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92D44A" w14:textId="77777777" w:rsidR="00E34861" w:rsidRDefault="000526FB" w:rsidP="009F7507">
      <w:pPr>
        <w:spacing w:after="0" w:line="240" w:lineRule="auto"/>
        <w:jc w:val="center"/>
        <w:rPr>
          <w:b/>
          <w:sz w:val="28"/>
          <w:szCs w:val="28"/>
        </w:rPr>
      </w:pPr>
      <w:bookmarkStart w:id="0" w:name="_GoBack"/>
      <w:bookmarkEnd w:id="0"/>
      <w:r>
        <w:rPr>
          <w:b/>
          <w:sz w:val="28"/>
          <w:szCs w:val="28"/>
        </w:rPr>
        <w:t xml:space="preserve">Generic Information Collection (GenIC) </w:t>
      </w:r>
      <w:r w:rsidR="00A73148" w:rsidRPr="002268E8">
        <w:rPr>
          <w:b/>
          <w:sz w:val="28"/>
          <w:szCs w:val="28"/>
        </w:rPr>
        <w:t>Submitt</w:t>
      </w:r>
      <w:r w:rsidR="00BB5A4C">
        <w:rPr>
          <w:b/>
          <w:sz w:val="28"/>
          <w:szCs w:val="28"/>
        </w:rPr>
        <w:t>al Form</w:t>
      </w:r>
      <w:r w:rsidR="00A73148" w:rsidRPr="002268E8">
        <w:rPr>
          <w:b/>
          <w:sz w:val="28"/>
          <w:szCs w:val="28"/>
        </w:rPr>
        <w:t xml:space="preserve"> for </w:t>
      </w:r>
    </w:p>
    <w:p w14:paraId="18E6D2A2" w14:textId="77777777" w:rsidR="00990609" w:rsidRDefault="00A73148">
      <w:pPr>
        <w:spacing w:after="0" w:line="240" w:lineRule="auto"/>
        <w:jc w:val="center"/>
        <w:rPr>
          <w:b/>
          <w:sz w:val="28"/>
          <w:szCs w:val="28"/>
        </w:rPr>
      </w:pPr>
      <w:r w:rsidRPr="002268E8">
        <w:rPr>
          <w:b/>
          <w:sz w:val="28"/>
          <w:szCs w:val="28"/>
        </w:rPr>
        <w:t>OMB Rev</w:t>
      </w:r>
      <w:r w:rsidR="002268E8" w:rsidRPr="002268E8">
        <w:rPr>
          <w:b/>
          <w:sz w:val="28"/>
          <w:szCs w:val="28"/>
        </w:rPr>
        <w:t xml:space="preserve">iew of </w:t>
      </w:r>
      <w:r w:rsidR="00C8371F">
        <w:rPr>
          <w:b/>
          <w:sz w:val="28"/>
          <w:szCs w:val="28"/>
        </w:rPr>
        <w:t xml:space="preserve">ATSDR </w:t>
      </w:r>
      <w:r w:rsidR="002268E8">
        <w:rPr>
          <w:b/>
          <w:sz w:val="28"/>
          <w:szCs w:val="28"/>
        </w:rPr>
        <w:t>Exposure Investigation</w:t>
      </w:r>
      <w:r w:rsidR="00BB5A4C">
        <w:rPr>
          <w:b/>
          <w:sz w:val="28"/>
          <w:szCs w:val="28"/>
        </w:rPr>
        <w:t>s</w:t>
      </w:r>
      <w:r w:rsidR="002268E8">
        <w:rPr>
          <w:b/>
          <w:sz w:val="28"/>
          <w:szCs w:val="28"/>
        </w:rPr>
        <w:t xml:space="preserve"> (EI</w:t>
      </w:r>
      <w:r w:rsidR="00BB5A4C">
        <w:rPr>
          <w:b/>
          <w:sz w:val="28"/>
          <w:szCs w:val="28"/>
        </w:rPr>
        <w:t>s</w:t>
      </w:r>
      <w:r w:rsidR="002268E8">
        <w:rPr>
          <w:b/>
          <w:sz w:val="28"/>
          <w:szCs w:val="28"/>
        </w:rPr>
        <w:t>)</w:t>
      </w:r>
      <w:r w:rsidR="002268E8" w:rsidRPr="002268E8">
        <w:rPr>
          <w:b/>
          <w:sz w:val="28"/>
          <w:szCs w:val="28"/>
        </w:rPr>
        <w:t xml:space="preserve"> </w:t>
      </w:r>
      <w:r w:rsidR="00990609">
        <w:rPr>
          <w:b/>
          <w:sz w:val="28"/>
          <w:szCs w:val="28"/>
        </w:rPr>
        <w:t>(0923-004</w:t>
      </w:r>
      <w:r w:rsidR="00066D15">
        <w:rPr>
          <w:b/>
          <w:sz w:val="28"/>
          <w:szCs w:val="28"/>
        </w:rPr>
        <w:t>8</w:t>
      </w:r>
      <w:r w:rsidR="00990609">
        <w:rPr>
          <w:b/>
          <w:sz w:val="28"/>
          <w:szCs w:val="28"/>
        </w:rPr>
        <w:t>)</w:t>
      </w:r>
    </w:p>
    <w:p w14:paraId="6A2B49B8" w14:textId="77777777" w:rsidR="00990609" w:rsidRPr="002268E8" w:rsidRDefault="00990609" w:rsidP="009F7507">
      <w:pPr>
        <w:spacing w:after="0" w:line="240" w:lineRule="auto"/>
        <w:jc w:val="center"/>
        <w:rPr>
          <w:b/>
          <w:sz w:val="28"/>
          <w:szCs w:val="28"/>
        </w:rPr>
      </w:pPr>
    </w:p>
    <w:p w14:paraId="19B812E1" w14:textId="28689767" w:rsidR="002268E8" w:rsidRDefault="002268E8">
      <w:pPr>
        <w:rPr>
          <w:b/>
          <w:sz w:val="24"/>
          <w:szCs w:val="24"/>
        </w:rPr>
      </w:pPr>
      <w:r w:rsidRPr="008C1299">
        <w:rPr>
          <w:b/>
          <w:sz w:val="24"/>
          <w:szCs w:val="24"/>
        </w:rPr>
        <w:t>PROJECT TITLE</w:t>
      </w:r>
      <w:r w:rsidR="00952433">
        <w:rPr>
          <w:b/>
          <w:sz w:val="24"/>
          <w:szCs w:val="24"/>
        </w:rPr>
        <w:t xml:space="preserve">:  </w:t>
      </w:r>
      <w:r w:rsidR="00FB52D0">
        <w:rPr>
          <w:b/>
          <w:sz w:val="24"/>
          <w:szCs w:val="24"/>
        </w:rPr>
        <w:t xml:space="preserve">Blood Lead </w:t>
      </w:r>
      <w:r w:rsidR="00EF14AC">
        <w:rPr>
          <w:b/>
          <w:sz w:val="24"/>
          <w:szCs w:val="24"/>
        </w:rPr>
        <w:t xml:space="preserve">and Urine Arsenic </w:t>
      </w:r>
      <w:r w:rsidR="00FB52D0">
        <w:rPr>
          <w:b/>
          <w:sz w:val="24"/>
          <w:szCs w:val="24"/>
        </w:rPr>
        <w:t xml:space="preserve">Levels in </w:t>
      </w:r>
      <w:r w:rsidR="00EF14AC">
        <w:rPr>
          <w:b/>
          <w:sz w:val="24"/>
          <w:szCs w:val="24"/>
        </w:rPr>
        <w:t>Anaconda, MT</w:t>
      </w:r>
      <w:r w:rsidR="006A1C2A">
        <w:rPr>
          <w:b/>
          <w:sz w:val="24"/>
          <w:szCs w:val="24"/>
        </w:rPr>
        <w:t xml:space="preserve"> Exposure Investigation</w:t>
      </w:r>
      <w:r w:rsidR="00E1096A">
        <w:rPr>
          <w:b/>
          <w:sz w:val="24"/>
          <w:szCs w:val="24"/>
        </w:rPr>
        <w:t xml:space="preserve">: Anaconda </w:t>
      </w:r>
      <w:r w:rsidR="00CF06F8">
        <w:rPr>
          <w:b/>
          <w:sz w:val="24"/>
          <w:szCs w:val="24"/>
        </w:rPr>
        <w:t xml:space="preserve">II </w:t>
      </w:r>
      <w:r w:rsidR="00E1096A">
        <w:rPr>
          <w:b/>
          <w:sz w:val="24"/>
          <w:szCs w:val="24"/>
        </w:rPr>
        <w:t>EI</w:t>
      </w:r>
    </w:p>
    <w:p w14:paraId="45B8FEF4" w14:textId="03345FCD" w:rsidR="00146801" w:rsidRPr="008C1299" w:rsidRDefault="005119AF">
      <w:pPr>
        <w:rPr>
          <w:b/>
          <w:sz w:val="24"/>
          <w:szCs w:val="24"/>
        </w:rPr>
      </w:pPr>
      <w:r>
        <w:rPr>
          <w:b/>
          <w:sz w:val="24"/>
          <w:szCs w:val="24"/>
        </w:rPr>
        <w:t xml:space="preserve">SITE </w:t>
      </w:r>
      <w:r w:rsidR="00146801">
        <w:rPr>
          <w:b/>
          <w:sz w:val="24"/>
          <w:szCs w:val="24"/>
        </w:rPr>
        <w:t>LOCATION</w:t>
      </w:r>
      <w:r w:rsidR="00952433">
        <w:rPr>
          <w:b/>
          <w:sz w:val="24"/>
          <w:szCs w:val="24"/>
        </w:rPr>
        <w:t xml:space="preserve">:  </w:t>
      </w:r>
      <w:r w:rsidR="00EF14AC">
        <w:rPr>
          <w:b/>
          <w:sz w:val="24"/>
          <w:szCs w:val="24"/>
        </w:rPr>
        <w:t>Anaconda, MT</w:t>
      </w:r>
    </w:p>
    <w:p w14:paraId="6519BFD7" w14:textId="79A796DF" w:rsidR="002C3309" w:rsidRDefault="002C3309">
      <w:pPr>
        <w:rPr>
          <w:b/>
          <w:sz w:val="24"/>
          <w:szCs w:val="24"/>
        </w:rPr>
      </w:pPr>
      <w:r>
        <w:rPr>
          <w:b/>
          <w:sz w:val="24"/>
          <w:szCs w:val="24"/>
        </w:rPr>
        <w:t>REQUESTED BURDEN HOURS</w:t>
      </w:r>
      <w:r w:rsidR="00245FE8">
        <w:rPr>
          <w:b/>
          <w:sz w:val="24"/>
          <w:szCs w:val="24"/>
        </w:rPr>
        <w:t xml:space="preserve">:    </w:t>
      </w:r>
      <w:r w:rsidR="00BA68DA">
        <w:rPr>
          <w:b/>
          <w:sz w:val="24"/>
          <w:szCs w:val="24"/>
        </w:rPr>
        <w:t>1</w:t>
      </w:r>
      <w:r w:rsidR="00E1096A">
        <w:rPr>
          <w:b/>
          <w:sz w:val="24"/>
          <w:szCs w:val="24"/>
        </w:rPr>
        <w:t>5</w:t>
      </w:r>
      <w:r w:rsidR="00BA68DA">
        <w:rPr>
          <w:b/>
          <w:sz w:val="24"/>
          <w:szCs w:val="24"/>
        </w:rPr>
        <w:t>0</w:t>
      </w:r>
    </w:p>
    <w:p w14:paraId="27E175D8" w14:textId="77777777" w:rsidR="00977D5F" w:rsidRDefault="00AD12BA">
      <w:pPr>
        <w:rPr>
          <w:b/>
          <w:sz w:val="24"/>
          <w:szCs w:val="24"/>
        </w:rPr>
      </w:pPr>
      <w:r>
        <w:rPr>
          <w:b/>
          <w:sz w:val="24"/>
          <w:szCs w:val="24"/>
        </w:rPr>
        <w:t xml:space="preserve">PROJECT </w:t>
      </w:r>
      <w:r w:rsidR="008C26C6">
        <w:rPr>
          <w:b/>
          <w:sz w:val="24"/>
          <w:szCs w:val="24"/>
        </w:rPr>
        <w:t>SUMMARY</w:t>
      </w:r>
    </w:p>
    <w:tbl>
      <w:tblPr>
        <w:tblStyle w:val="TableGrid"/>
        <w:tblW w:w="10296" w:type="dxa"/>
        <w:tblInd w:w="108" w:type="dxa"/>
        <w:tblLook w:val="04A0" w:firstRow="1" w:lastRow="0" w:firstColumn="1" w:lastColumn="0" w:noHBand="0" w:noVBand="1"/>
      </w:tblPr>
      <w:tblGrid>
        <w:gridCol w:w="3168"/>
        <w:gridCol w:w="7128"/>
      </w:tblGrid>
      <w:tr w:rsidR="00977D5F" w14:paraId="1E8F15E2" w14:textId="77777777" w:rsidTr="00B50EEF">
        <w:tc>
          <w:tcPr>
            <w:tcW w:w="3168" w:type="dxa"/>
            <w:vAlign w:val="center"/>
          </w:tcPr>
          <w:p w14:paraId="0F72B80A" w14:textId="77777777" w:rsidR="00977D5F" w:rsidRDefault="00977D5F" w:rsidP="005A3D6B">
            <w:pPr>
              <w:rPr>
                <w:b/>
                <w:sz w:val="24"/>
                <w:szCs w:val="24"/>
              </w:rPr>
            </w:pPr>
            <w:r>
              <w:rPr>
                <w:b/>
                <w:sz w:val="24"/>
                <w:szCs w:val="24"/>
              </w:rPr>
              <w:t>Principal Investigator(s):</w:t>
            </w:r>
          </w:p>
        </w:tc>
        <w:tc>
          <w:tcPr>
            <w:tcW w:w="7128" w:type="dxa"/>
            <w:vAlign w:val="center"/>
          </w:tcPr>
          <w:p w14:paraId="23FB56C3" w14:textId="77777777" w:rsidR="00FB52D0" w:rsidRDefault="00FB52D0" w:rsidP="005A3D6B">
            <w:pPr>
              <w:pStyle w:val="ListParagraph"/>
              <w:numPr>
                <w:ilvl w:val="0"/>
                <w:numId w:val="3"/>
              </w:numPr>
              <w:ind w:left="414"/>
              <w:rPr>
                <w:sz w:val="24"/>
                <w:szCs w:val="24"/>
              </w:rPr>
            </w:pPr>
            <w:r>
              <w:rPr>
                <w:sz w:val="24"/>
                <w:szCs w:val="24"/>
              </w:rPr>
              <w:t>Karen Scruton (ATSDR Headquarters)</w:t>
            </w:r>
          </w:p>
          <w:p w14:paraId="771F4832" w14:textId="0D9F8A53" w:rsidR="00EF14AC" w:rsidRDefault="00E21AC2" w:rsidP="00EF14AC">
            <w:pPr>
              <w:pStyle w:val="ListParagraph"/>
              <w:numPr>
                <w:ilvl w:val="0"/>
                <w:numId w:val="3"/>
              </w:numPr>
              <w:ind w:left="414"/>
              <w:rPr>
                <w:sz w:val="24"/>
                <w:szCs w:val="24"/>
              </w:rPr>
            </w:pPr>
            <w:r>
              <w:rPr>
                <w:sz w:val="24"/>
                <w:szCs w:val="24"/>
              </w:rPr>
              <w:t>Arthur Wendel</w:t>
            </w:r>
            <w:r w:rsidR="00EF14AC">
              <w:rPr>
                <w:sz w:val="24"/>
                <w:szCs w:val="24"/>
              </w:rPr>
              <w:t xml:space="preserve"> (ATSDR </w:t>
            </w:r>
            <w:r>
              <w:rPr>
                <w:sz w:val="24"/>
                <w:szCs w:val="24"/>
              </w:rPr>
              <w:t>Region 10 – Medical Officer</w:t>
            </w:r>
            <w:r w:rsidR="00EF14AC">
              <w:rPr>
                <w:sz w:val="24"/>
                <w:szCs w:val="24"/>
              </w:rPr>
              <w:t>)</w:t>
            </w:r>
          </w:p>
          <w:p w14:paraId="19163240" w14:textId="35A00011" w:rsidR="00836FD3" w:rsidRDefault="00836FD3" w:rsidP="00EF14AC">
            <w:pPr>
              <w:pStyle w:val="ListParagraph"/>
              <w:numPr>
                <w:ilvl w:val="0"/>
                <w:numId w:val="3"/>
              </w:numPr>
              <w:ind w:left="414"/>
              <w:rPr>
                <w:sz w:val="24"/>
                <w:szCs w:val="24"/>
              </w:rPr>
            </w:pPr>
            <w:r>
              <w:rPr>
                <w:sz w:val="24"/>
                <w:szCs w:val="24"/>
              </w:rPr>
              <w:t>Mateusz Karwowski (ATSDR Headquarters)</w:t>
            </w:r>
          </w:p>
          <w:p w14:paraId="2E3E13EC" w14:textId="3220172F" w:rsidR="00FB52D0" w:rsidRPr="00EF14AC" w:rsidRDefault="00EF14AC" w:rsidP="00EF14AC">
            <w:pPr>
              <w:pStyle w:val="ListParagraph"/>
              <w:numPr>
                <w:ilvl w:val="0"/>
                <w:numId w:val="3"/>
              </w:numPr>
              <w:ind w:left="414"/>
              <w:rPr>
                <w:sz w:val="24"/>
                <w:szCs w:val="24"/>
              </w:rPr>
            </w:pPr>
            <w:r>
              <w:rPr>
                <w:sz w:val="24"/>
                <w:szCs w:val="24"/>
              </w:rPr>
              <w:t>David Dorian</w:t>
            </w:r>
            <w:r w:rsidR="00977D5F" w:rsidRPr="00977D5F">
              <w:rPr>
                <w:sz w:val="24"/>
                <w:szCs w:val="24"/>
              </w:rPr>
              <w:t xml:space="preserve"> (ATSDR Region </w:t>
            </w:r>
            <w:r>
              <w:rPr>
                <w:sz w:val="24"/>
                <w:szCs w:val="24"/>
              </w:rPr>
              <w:t>8</w:t>
            </w:r>
            <w:r w:rsidR="00977D5F" w:rsidRPr="00977D5F">
              <w:rPr>
                <w:sz w:val="24"/>
                <w:szCs w:val="24"/>
              </w:rPr>
              <w:t>)</w:t>
            </w:r>
          </w:p>
        </w:tc>
      </w:tr>
      <w:tr w:rsidR="00977D5F" w14:paraId="34E8B2E3" w14:textId="77777777" w:rsidTr="00B50EEF">
        <w:tc>
          <w:tcPr>
            <w:tcW w:w="3168" w:type="dxa"/>
            <w:vAlign w:val="center"/>
          </w:tcPr>
          <w:p w14:paraId="72474E13" w14:textId="77777777" w:rsidR="00977D5F" w:rsidRDefault="00977D5F" w:rsidP="005A3D6B">
            <w:pPr>
              <w:rPr>
                <w:b/>
                <w:sz w:val="24"/>
                <w:szCs w:val="24"/>
              </w:rPr>
            </w:pPr>
            <w:r>
              <w:rPr>
                <w:b/>
                <w:sz w:val="24"/>
                <w:szCs w:val="24"/>
              </w:rPr>
              <w:t>Technical Assistance:</w:t>
            </w:r>
          </w:p>
        </w:tc>
        <w:tc>
          <w:tcPr>
            <w:tcW w:w="7128" w:type="dxa"/>
            <w:vAlign w:val="center"/>
          </w:tcPr>
          <w:p w14:paraId="348B19FA" w14:textId="17CB4413" w:rsidR="00977D5F" w:rsidRPr="002B7FAF" w:rsidRDefault="00FB52D0" w:rsidP="005A3D6B">
            <w:pPr>
              <w:pStyle w:val="ListParagraph"/>
              <w:numPr>
                <w:ilvl w:val="0"/>
                <w:numId w:val="2"/>
              </w:numPr>
              <w:ind w:left="414"/>
              <w:rPr>
                <w:b/>
                <w:sz w:val="24"/>
                <w:szCs w:val="24"/>
              </w:rPr>
            </w:pPr>
            <w:r>
              <w:rPr>
                <w:sz w:val="24"/>
                <w:szCs w:val="24"/>
              </w:rPr>
              <w:t xml:space="preserve">Region </w:t>
            </w:r>
            <w:r w:rsidR="00EF14AC">
              <w:rPr>
                <w:sz w:val="24"/>
                <w:szCs w:val="24"/>
              </w:rPr>
              <w:t>8</w:t>
            </w:r>
            <w:r>
              <w:rPr>
                <w:sz w:val="24"/>
                <w:szCs w:val="24"/>
              </w:rPr>
              <w:t xml:space="preserve"> Environmental Protection Agency (EPA)</w:t>
            </w:r>
            <w:r w:rsidR="00977D5F" w:rsidRPr="002B7FAF">
              <w:rPr>
                <w:sz w:val="24"/>
                <w:szCs w:val="24"/>
              </w:rPr>
              <w:t xml:space="preserve"> </w:t>
            </w:r>
          </w:p>
          <w:p w14:paraId="57705506" w14:textId="3ED50225" w:rsidR="00241D1E" w:rsidRPr="00FB52D0" w:rsidRDefault="00EF14AC" w:rsidP="005A3D6B">
            <w:pPr>
              <w:pStyle w:val="ListParagraph"/>
              <w:numPr>
                <w:ilvl w:val="0"/>
                <w:numId w:val="2"/>
              </w:numPr>
              <w:ind w:left="414"/>
              <w:rPr>
                <w:b/>
                <w:sz w:val="24"/>
                <w:szCs w:val="24"/>
              </w:rPr>
            </w:pPr>
            <w:r>
              <w:rPr>
                <w:color w:val="000000"/>
                <w:sz w:val="24"/>
                <w:szCs w:val="24"/>
              </w:rPr>
              <w:t>Montana Department of Public Health and Human Services (MDPHHS)</w:t>
            </w:r>
          </w:p>
          <w:p w14:paraId="0B7AB2C8" w14:textId="44B38F18" w:rsidR="00FB52D0" w:rsidRPr="002B7FAF" w:rsidRDefault="00EF14AC" w:rsidP="005A3D6B">
            <w:pPr>
              <w:pStyle w:val="ListParagraph"/>
              <w:numPr>
                <w:ilvl w:val="0"/>
                <w:numId w:val="2"/>
              </w:numPr>
              <w:ind w:left="414"/>
              <w:rPr>
                <w:b/>
                <w:sz w:val="24"/>
                <w:szCs w:val="24"/>
              </w:rPr>
            </w:pPr>
            <w:r>
              <w:rPr>
                <w:color w:val="000000"/>
                <w:sz w:val="24"/>
                <w:szCs w:val="24"/>
              </w:rPr>
              <w:t>Anaconda Deer Lodge County (ADLC) health department</w:t>
            </w:r>
          </w:p>
          <w:p w14:paraId="7D294FD6" w14:textId="23EF587F" w:rsidR="00977D5F" w:rsidRPr="00977D5F" w:rsidRDefault="009A4C91" w:rsidP="00EF14AC">
            <w:pPr>
              <w:pStyle w:val="ListParagraph"/>
              <w:numPr>
                <w:ilvl w:val="0"/>
                <w:numId w:val="2"/>
              </w:numPr>
              <w:ind w:left="414"/>
              <w:rPr>
                <w:b/>
                <w:sz w:val="24"/>
                <w:szCs w:val="24"/>
              </w:rPr>
            </w:pPr>
            <w:r w:rsidRPr="002B7FAF">
              <w:rPr>
                <w:sz w:val="24"/>
                <w:szCs w:val="24"/>
              </w:rPr>
              <w:t>NCEH/</w:t>
            </w:r>
            <w:r w:rsidR="00EF14AC">
              <w:rPr>
                <w:sz w:val="24"/>
                <w:szCs w:val="24"/>
              </w:rPr>
              <w:t>DLS</w:t>
            </w:r>
            <w:r w:rsidR="00977D5F" w:rsidRPr="002B7FAF">
              <w:rPr>
                <w:sz w:val="24"/>
                <w:szCs w:val="24"/>
              </w:rPr>
              <w:t xml:space="preserve"> laboratory</w:t>
            </w:r>
          </w:p>
        </w:tc>
      </w:tr>
      <w:tr w:rsidR="00977D5F" w14:paraId="25C1773E" w14:textId="77777777" w:rsidTr="00700B89">
        <w:tc>
          <w:tcPr>
            <w:tcW w:w="3168" w:type="dxa"/>
            <w:vAlign w:val="center"/>
          </w:tcPr>
          <w:p w14:paraId="5E2388E7" w14:textId="77777777" w:rsidR="00977D5F" w:rsidRDefault="00977D5F" w:rsidP="005A3D6B">
            <w:pPr>
              <w:rPr>
                <w:b/>
                <w:sz w:val="24"/>
                <w:szCs w:val="24"/>
              </w:rPr>
            </w:pPr>
            <w:r w:rsidRPr="007F0688">
              <w:rPr>
                <w:b/>
                <w:sz w:val="24"/>
                <w:szCs w:val="24"/>
              </w:rPr>
              <w:t>Source of Request (state, petition, etc.):</w:t>
            </w:r>
          </w:p>
        </w:tc>
        <w:tc>
          <w:tcPr>
            <w:tcW w:w="7128" w:type="dxa"/>
            <w:vAlign w:val="center"/>
          </w:tcPr>
          <w:p w14:paraId="1447E8FA" w14:textId="0BAFAC93" w:rsidR="00977D5F" w:rsidRPr="00977D5F" w:rsidRDefault="00627597" w:rsidP="00106C97">
            <w:pPr>
              <w:rPr>
                <w:sz w:val="24"/>
                <w:szCs w:val="24"/>
              </w:rPr>
            </w:pPr>
            <w:r>
              <w:rPr>
                <w:sz w:val="24"/>
                <w:szCs w:val="24"/>
              </w:rPr>
              <w:t xml:space="preserve">ATSDR EI </w:t>
            </w:r>
            <w:r w:rsidR="001079E3">
              <w:rPr>
                <w:sz w:val="24"/>
                <w:szCs w:val="24"/>
              </w:rPr>
              <w:t xml:space="preserve">will be conducted </w:t>
            </w:r>
            <w:r>
              <w:rPr>
                <w:sz w:val="24"/>
                <w:szCs w:val="24"/>
              </w:rPr>
              <w:t xml:space="preserve">in coordination with </w:t>
            </w:r>
            <w:r w:rsidR="001079E3">
              <w:rPr>
                <w:sz w:val="24"/>
                <w:szCs w:val="24"/>
              </w:rPr>
              <w:t>EPA.</w:t>
            </w:r>
            <w:r w:rsidR="00E21AC2">
              <w:rPr>
                <w:sz w:val="24"/>
                <w:szCs w:val="24"/>
              </w:rPr>
              <w:t xml:space="preserve"> This is follow-up testing to the EI </w:t>
            </w:r>
            <w:r w:rsidR="00CF06F8">
              <w:rPr>
                <w:sz w:val="24"/>
                <w:szCs w:val="24"/>
              </w:rPr>
              <w:t xml:space="preserve">previously </w:t>
            </w:r>
            <w:r w:rsidR="00E21AC2">
              <w:rPr>
                <w:sz w:val="24"/>
                <w:szCs w:val="24"/>
              </w:rPr>
              <w:t>conducted in September 2018. EPA is funding the laboratory costs associated with the additional testing.</w:t>
            </w:r>
          </w:p>
        </w:tc>
      </w:tr>
      <w:tr w:rsidR="00977D5F" w14:paraId="61AA36E6" w14:textId="77777777" w:rsidTr="001F3964">
        <w:trPr>
          <w:trHeight w:val="2042"/>
        </w:trPr>
        <w:tc>
          <w:tcPr>
            <w:tcW w:w="3168" w:type="dxa"/>
            <w:vAlign w:val="center"/>
          </w:tcPr>
          <w:p w14:paraId="0A0856C0" w14:textId="77777777" w:rsidR="00977D5F" w:rsidRDefault="00977D5F" w:rsidP="005A3D6B">
            <w:pPr>
              <w:rPr>
                <w:b/>
                <w:sz w:val="24"/>
                <w:szCs w:val="24"/>
              </w:rPr>
            </w:pPr>
            <w:r>
              <w:rPr>
                <w:b/>
                <w:sz w:val="24"/>
                <w:szCs w:val="24"/>
              </w:rPr>
              <w:t>Project Goals:</w:t>
            </w:r>
          </w:p>
        </w:tc>
        <w:tc>
          <w:tcPr>
            <w:tcW w:w="7128" w:type="dxa"/>
            <w:vAlign w:val="center"/>
          </w:tcPr>
          <w:p w14:paraId="4E190576" w14:textId="77777777" w:rsidR="001A2462" w:rsidRPr="006B546F" w:rsidRDefault="001A2462" w:rsidP="001A2462">
            <w:pPr>
              <w:spacing w:after="100" w:afterAutospacing="1"/>
              <w:rPr>
                <w:rFonts w:eastAsia="Times New Roman" w:cstheme="minorHAnsi"/>
                <w:sz w:val="24"/>
                <w:szCs w:val="24"/>
              </w:rPr>
            </w:pPr>
            <w:r w:rsidRPr="006B546F">
              <w:rPr>
                <w:rFonts w:eastAsia="Times New Roman" w:cstheme="minorHAnsi"/>
                <w:sz w:val="24"/>
                <w:szCs w:val="24"/>
              </w:rPr>
              <w:t>An EI was conducted at the Anaconda National Priority List (NPL) site in Anaconda, Montana in September, 2018. The Anaconda area was contaminated with heavy metals from past smelting activities in the area. The EI included the testing of 191 residents to determine the levels of lead in blood and arsenic in urine in residents in the Anaconda community. Community interest in the testing event was considerable and ATSDR was not able to test all interested participants. Therefore, EPA committed to fund additional laboratory testing in the community; ATDSR, ADLC and MDPHHS will conduct the additional testing in the community.</w:t>
            </w:r>
          </w:p>
          <w:p w14:paraId="30F35F54" w14:textId="2B8586F9" w:rsidR="001A2462" w:rsidRPr="006B546F" w:rsidRDefault="001A2462" w:rsidP="001A2462">
            <w:pPr>
              <w:spacing w:after="100" w:afterAutospacing="1"/>
              <w:rPr>
                <w:rFonts w:eastAsia="Times New Roman" w:cstheme="minorHAnsi"/>
                <w:sz w:val="24"/>
                <w:szCs w:val="24"/>
              </w:rPr>
            </w:pPr>
            <w:r w:rsidRPr="006B546F">
              <w:rPr>
                <w:rFonts w:eastAsia="Times New Roman" w:cstheme="minorHAnsi"/>
                <w:sz w:val="24"/>
                <w:szCs w:val="24"/>
              </w:rPr>
              <w:t xml:space="preserve">The Anaconda II EI is </w:t>
            </w:r>
            <w:r w:rsidR="00E1096A" w:rsidRPr="006B546F">
              <w:rPr>
                <w:rFonts w:eastAsia="Times New Roman" w:cstheme="minorHAnsi"/>
                <w:sz w:val="24"/>
                <w:szCs w:val="24"/>
              </w:rPr>
              <w:t>a follow-up to</w:t>
            </w:r>
            <w:r w:rsidRPr="006B546F">
              <w:rPr>
                <w:rFonts w:eastAsia="Times New Roman" w:cstheme="minorHAnsi"/>
                <w:sz w:val="24"/>
                <w:szCs w:val="24"/>
              </w:rPr>
              <w:t xml:space="preserve"> the EI conducted in September 2018 and has the same basic objectives and follow-up activities as the first EI: </w:t>
            </w:r>
          </w:p>
          <w:p w14:paraId="039CDCBB" w14:textId="77777777" w:rsidR="001A2462" w:rsidRPr="006B546F" w:rsidRDefault="001A2462" w:rsidP="001A2462">
            <w:pPr>
              <w:numPr>
                <w:ilvl w:val="0"/>
                <w:numId w:val="24"/>
              </w:numPr>
              <w:spacing w:after="100" w:afterAutospacing="1"/>
              <w:contextualSpacing/>
              <w:rPr>
                <w:rFonts w:eastAsia="Times New Roman" w:cstheme="minorHAnsi"/>
                <w:color w:val="000000"/>
                <w:sz w:val="24"/>
                <w:szCs w:val="24"/>
              </w:rPr>
            </w:pPr>
            <w:r w:rsidRPr="006B546F">
              <w:rPr>
                <w:rFonts w:eastAsia="Times New Roman" w:cstheme="minorHAnsi"/>
                <w:color w:val="000000"/>
                <w:sz w:val="24"/>
                <w:szCs w:val="24"/>
              </w:rPr>
              <w:t>Evaluate blood lead levels (BLLs) and recommend case management for participants with BLL ≥5 micrograms per deciliter (µg/dL) (CDC reference level)</w:t>
            </w:r>
          </w:p>
          <w:p w14:paraId="33CCA2CA" w14:textId="77777777" w:rsidR="001A2462" w:rsidRPr="006B546F" w:rsidRDefault="001A2462" w:rsidP="001A2462">
            <w:pPr>
              <w:numPr>
                <w:ilvl w:val="1"/>
                <w:numId w:val="23"/>
              </w:numPr>
              <w:spacing w:after="100" w:afterAutospacing="1"/>
              <w:contextualSpacing/>
              <w:rPr>
                <w:rFonts w:eastAsia="Times New Roman" w:cstheme="minorHAnsi"/>
                <w:sz w:val="24"/>
                <w:szCs w:val="24"/>
              </w:rPr>
            </w:pPr>
            <w:r w:rsidRPr="006B546F">
              <w:rPr>
                <w:rFonts w:eastAsia="Times New Roman" w:cstheme="minorHAnsi"/>
                <w:sz w:val="24"/>
                <w:szCs w:val="24"/>
              </w:rPr>
              <w:t>Recommend follow-up evaluation with a Primary Care Physician (PCP) for retesting and developmental and behavioral screening, as needed</w:t>
            </w:r>
          </w:p>
          <w:p w14:paraId="4C8DE358" w14:textId="77777777" w:rsidR="001A2462" w:rsidRPr="006B546F" w:rsidRDefault="001A2462" w:rsidP="001A2462">
            <w:pPr>
              <w:numPr>
                <w:ilvl w:val="1"/>
                <w:numId w:val="23"/>
              </w:numPr>
              <w:spacing w:after="100" w:afterAutospacing="1"/>
              <w:contextualSpacing/>
              <w:rPr>
                <w:rFonts w:eastAsia="Times New Roman" w:cstheme="minorHAnsi"/>
                <w:sz w:val="24"/>
                <w:szCs w:val="24"/>
              </w:rPr>
            </w:pPr>
            <w:r w:rsidRPr="006B546F">
              <w:rPr>
                <w:rFonts w:eastAsia="Times New Roman" w:cstheme="minorHAnsi"/>
                <w:sz w:val="24"/>
                <w:szCs w:val="24"/>
              </w:rPr>
              <w:t xml:space="preserve">Recommend an early intervention program for </w:t>
            </w:r>
            <w:r w:rsidRPr="006B546F">
              <w:rPr>
                <w:rFonts w:eastAsia="Times New Roman" w:cstheme="minorHAnsi"/>
                <w:sz w:val="24"/>
                <w:szCs w:val="24"/>
              </w:rPr>
              <w:lastRenderedPageBreak/>
              <w:t>children with developmental and behavioral issues, as needed</w:t>
            </w:r>
          </w:p>
          <w:p w14:paraId="7A577724" w14:textId="77777777" w:rsidR="001A2462" w:rsidRPr="006B546F" w:rsidRDefault="001A2462" w:rsidP="001A2462">
            <w:pPr>
              <w:numPr>
                <w:ilvl w:val="1"/>
                <w:numId w:val="23"/>
              </w:numPr>
              <w:tabs>
                <w:tab w:val="left" w:pos="0"/>
              </w:tabs>
              <w:spacing w:after="100" w:afterAutospacing="1"/>
              <w:contextualSpacing/>
              <w:outlineLvl w:val="4"/>
              <w:rPr>
                <w:rFonts w:eastAsia="Times New Roman" w:cstheme="minorHAnsi"/>
                <w:b/>
                <w:color w:val="000000"/>
                <w:szCs w:val="20"/>
              </w:rPr>
            </w:pPr>
            <w:r w:rsidRPr="006B546F">
              <w:rPr>
                <w:rFonts w:eastAsia="Times New Roman" w:cstheme="minorHAnsi"/>
                <w:color w:val="000000"/>
                <w:sz w:val="24"/>
                <w:szCs w:val="24"/>
              </w:rPr>
              <w:t xml:space="preserve">Provide information on nutrition that may help to decrease the absorption of lead into the body </w:t>
            </w:r>
          </w:p>
          <w:p w14:paraId="0882878F" w14:textId="7464F83E" w:rsidR="001A2462" w:rsidRPr="006B546F" w:rsidRDefault="001A2462" w:rsidP="001A2462">
            <w:pPr>
              <w:numPr>
                <w:ilvl w:val="0"/>
                <w:numId w:val="24"/>
              </w:numPr>
              <w:spacing w:after="100" w:afterAutospacing="1"/>
              <w:contextualSpacing/>
              <w:rPr>
                <w:rFonts w:eastAsia="Times New Roman" w:cstheme="minorHAnsi"/>
                <w:sz w:val="24"/>
                <w:szCs w:val="24"/>
              </w:rPr>
            </w:pPr>
            <w:r w:rsidRPr="006B546F">
              <w:rPr>
                <w:rFonts w:eastAsia="Times New Roman" w:cstheme="minorHAnsi"/>
                <w:sz w:val="24"/>
                <w:szCs w:val="24"/>
              </w:rPr>
              <w:t>Evaluate total and inorganic urine arsenic levels. Compare the creatinine-corrected total urinary arsenic level to the most up-to-date 95</w:t>
            </w:r>
            <w:r w:rsidRPr="006B546F">
              <w:rPr>
                <w:rFonts w:eastAsia="Times New Roman" w:cstheme="minorHAnsi"/>
                <w:sz w:val="24"/>
                <w:szCs w:val="24"/>
                <w:vertAlign w:val="superscript"/>
              </w:rPr>
              <w:t>th</w:t>
            </w:r>
            <w:r w:rsidRPr="006B546F">
              <w:rPr>
                <w:rFonts w:eastAsia="Times New Roman" w:cstheme="minorHAnsi"/>
                <w:sz w:val="24"/>
                <w:szCs w:val="24"/>
              </w:rPr>
              <w:t xml:space="preserve"> percentile value reported in NHANES. Currently, a value of 29.9 µg</w:t>
            </w:r>
            <w:r w:rsidR="0025443A" w:rsidRPr="006B546F">
              <w:rPr>
                <w:rFonts w:eastAsia="Times New Roman" w:cstheme="minorHAnsi"/>
                <w:sz w:val="24"/>
                <w:szCs w:val="24"/>
              </w:rPr>
              <w:t xml:space="preserve"> As</w:t>
            </w:r>
            <w:r w:rsidRPr="006B546F">
              <w:rPr>
                <w:rFonts w:eastAsia="Times New Roman" w:cstheme="minorHAnsi"/>
                <w:sz w:val="24"/>
                <w:szCs w:val="24"/>
              </w:rPr>
              <w:t>/g Cr is reported for children aged 6-11 years; 30.5 µg</w:t>
            </w:r>
            <w:r w:rsidR="0025443A" w:rsidRPr="006B546F">
              <w:rPr>
                <w:rFonts w:eastAsia="Times New Roman" w:cstheme="minorHAnsi"/>
                <w:sz w:val="24"/>
                <w:szCs w:val="24"/>
              </w:rPr>
              <w:t xml:space="preserve"> As</w:t>
            </w:r>
            <w:r w:rsidRPr="006B546F">
              <w:rPr>
                <w:rFonts w:eastAsia="Times New Roman" w:cstheme="minorHAnsi"/>
                <w:sz w:val="24"/>
                <w:szCs w:val="24"/>
              </w:rPr>
              <w:t>/g Cr for children aged 12-19 years and 54.0 µg</w:t>
            </w:r>
            <w:r w:rsidR="0025443A" w:rsidRPr="006B546F">
              <w:rPr>
                <w:rFonts w:eastAsia="Times New Roman" w:cstheme="minorHAnsi"/>
                <w:sz w:val="24"/>
                <w:szCs w:val="24"/>
              </w:rPr>
              <w:t xml:space="preserve"> As</w:t>
            </w:r>
            <w:r w:rsidRPr="006B546F">
              <w:rPr>
                <w:rFonts w:eastAsia="Times New Roman" w:cstheme="minorHAnsi"/>
                <w:sz w:val="24"/>
                <w:szCs w:val="24"/>
              </w:rPr>
              <w:t xml:space="preserve">/g Cr for adults aged 20 years and older (2013-2014 data) [CDC 2018]. </w:t>
            </w:r>
          </w:p>
          <w:p w14:paraId="12972695" w14:textId="77777777" w:rsidR="001A2462" w:rsidRPr="006B546F" w:rsidRDefault="001A2462" w:rsidP="001A2462">
            <w:pPr>
              <w:numPr>
                <w:ilvl w:val="1"/>
                <w:numId w:val="24"/>
              </w:numPr>
              <w:spacing w:after="100" w:afterAutospacing="1"/>
              <w:contextualSpacing/>
              <w:rPr>
                <w:rFonts w:eastAsia="Times New Roman" w:cstheme="minorHAnsi"/>
                <w:sz w:val="24"/>
                <w:szCs w:val="24"/>
              </w:rPr>
            </w:pPr>
            <w:r w:rsidRPr="006B546F">
              <w:rPr>
                <w:rFonts w:eastAsia="Times New Roman" w:cstheme="minorHAnsi"/>
                <w:sz w:val="24"/>
                <w:szCs w:val="24"/>
              </w:rPr>
              <w:t>For participants whose creatinine-corrected total urinary arsenic levels are above the appropriate 95</w:t>
            </w:r>
            <w:r w:rsidRPr="006B546F">
              <w:rPr>
                <w:rFonts w:eastAsia="Times New Roman" w:cstheme="minorHAnsi"/>
                <w:sz w:val="24"/>
                <w:szCs w:val="24"/>
                <w:vertAlign w:val="superscript"/>
              </w:rPr>
              <w:t>th</w:t>
            </w:r>
            <w:r w:rsidRPr="006B546F">
              <w:rPr>
                <w:rFonts w:eastAsia="Times New Roman" w:cstheme="minorHAnsi"/>
                <w:sz w:val="24"/>
                <w:szCs w:val="24"/>
              </w:rPr>
              <w:t xml:space="preserve"> percentile NHANES value, total inorganic urinary arsenic results will be compared to the most up-to-date 95</w:t>
            </w:r>
            <w:r w:rsidRPr="006B546F">
              <w:rPr>
                <w:rFonts w:eastAsia="Times New Roman" w:cstheme="minorHAnsi"/>
                <w:sz w:val="24"/>
                <w:szCs w:val="24"/>
                <w:vertAlign w:val="superscript"/>
              </w:rPr>
              <w:t>th</w:t>
            </w:r>
            <w:r w:rsidRPr="006B546F">
              <w:rPr>
                <w:rFonts w:eastAsia="Times New Roman" w:cstheme="minorHAnsi"/>
                <w:sz w:val="24"/>
                <w:szCs w:val="24"/>
              </w:rPr>
              <w:t xml:space="preserve"> percentile values specific to age group that are reported in NHANES [CDC 2018].</w:t>
            </w:r>
          </w:p>
          <w:p w14:paraId="4BAFED5B" w14:textId="77777777" w:rsidR="001A2462" w:rsidRPr="006B546F" w:rsidRDefault="001A2462" w:rsidP="001A2462">
            <w:pPr>
              <w:spacing w:after="100" w:afterAutospacing="1"/>
              <w:ind w:left="1440"/>
              <w:contextualSpacing/>
              <w:rPr>
                <w:rFonts w:eastAsia="Times New Roman" w:cstheme="minorHAnsi"/>
                <w:sz w:val="24"/>
                <w:szCs w:val="24"/>
              </w:rPr>
            </w:pPr>
          </w:p>
          <w:p w14:paraId="3731A3FC" w14:textId="77777777" w:rsidR="001A2462" w:rsidRPr="006B546F" w:rsidRDefault="001A2462" w:rsidP="001A2462">
            <w:pPr>
              <w:numPr>
                <w:ilvl w:val="0"/>
                <w:numId w:val="24"/>
              </w:numPr>
              <w:spacing w:after="100" w:afterAutospacing="1"/>
              <w:contextualSpacing/>
              <w:rPr>
                <w:rFonts w:eastAsia="Times New Roman" w:cstheme="minorHAnsi"/>
                <w:sz w:val="24"/>
                <w:szCs w:val="24"/>
              </w:rPr>
            </w:pPr>
            <w:r w:rsidRPr="006B546F">
              <w:rPr>
                <w:rFonts w:eastAsia="Times New Roman" w:cstheme="minorHAnsi"/>
                <w:sz w:val="24"/>
                <w:szCs w:val="24"/>
              </w:rPr>
              <w:t>Recommend ways to lower exposure to lead and arsenic in the home.</w:t>
            </w:r>
          </w:p>
          <w:p w14:paraId="066CD1EB" w14:textId="77777777" w:rsidR="001A2462" w:rsidRPr="006B546F" w:rsidRDefault="001A2462" w:rsidP="001A2462">
            <w:pPr>
              <w:numPr>
                <w:ilvl w:val="0"/>
                <w:numId w:val="22"/>
              </w:numPr>
              <w:spacing w:after="100" w:afterAutospacing="1"/>
              <w:contextualSpacing/>
              <w:rPr>
                <w:rFonts w:eastAsia="Times New Roman" w:cstheme="minorHAnsi"/>
                <w:color w:val="000000"/>
                <w:sz w:val="24"/>
                <w:szCs w:val="24"/>
              </w:rPr>
            </w:pPr>
            <w:r w:rsidRPr="006B546F">
              <w:rPr>
                <w:rFonts w:eastAsia="Times New Roman" w:cstheme="minorHAnsi"/>
                <w:sz w:val="24"/>
                <w:szCs w:val="24"/>
              </w:rPr>
              <w:t>Recommend ways to lower exposure to lead- and arsenic-containing dust in homes (e.g., attics)</w:t>
            </w:r>
          </w:p>
          <w:p w14:paraId="17BDCFE8" w14:textId="77777777" w:rsidR="001A2462" w:rsidRPr="006B546F" w:rsidRDefault="001A2462" w:rsidP="001A2462">
            <w:pPr>
              <w:spacing w:after="100" w:afterAutospacing="1"/>
              <w:ind w:left="1080"/>
              <w:contextualSpacing/>
              <w:rPr>
                <w:rFonts w:eastAsia="Times New Roman" w:cstheme="minorHAnsi"/>
                <w:color w:val="000000"/>
                <w:sz w:val="24"/>
                <w:szCs w:val="24"/>
              </w:rPr>
            </w:pPr>
            <w:r w:rsidRPr="006B546F">
              <w:rPr>
                <w:rFonts w:eastAsia="Times New Roman" w:cstheme="minorHAnsi"/>
                <w:color w:val="000000"/>
                <w:sz w:val="24"/>
                <w:szCs w:val="24"/>
              </w:rPr>
              <w:t>Assist the community with the identification of available resources for home assessments, including testing and remediation of yard soil and attics</w:t>
            </w:r>
          </w:p>
          <w:p w14:paraId="67DDBF36" w14:textId="77777777" w:rsidR="001A2462" w:rsidRPr="006B546F" w:rsidRDefault="001A2462" w:rsidP="001A2462">
            <w:pPr>
              <w:spacing w:after="100" w:afterAutospacing="1"/>
              <w:ind w:left="1080"/>
              <w:contextualSpacing/>
              <w:rPr>
                <w:rFonts w:eastAsia="Times New Roman" w:cstheme="minorHAnsi"/>
                <w:color w:val="000000"/>
                <w:sz w:val="24"/>
                <w:szCs w:val="24"/>
              </w:rPr>
            </w:pPr>
          </w:p>
          <w:p w14:paraId="00DE0D20" w14:textId="4F8507C9" w:rsidR="00977D5F" w:rsidRPr="006B546F" w:rsidRDefault="001A2462" w:rsidP="008737DB">
            <w:pPr>
              <w:numPr>
                <w:ilvl w:val="0"/>
                <w:numId w:val="24"/>
              </w:numPr>
              <w:spacing w:after="100" w:afterAutospacing="1"/>
              <w:contextualSpacing/>
              <w:rPr>
                <w:rFonts w:cstheme="minorHAnsi"/>
                <w:sz w:val="24"/>
                <w:szCs w:val="24"/>
              </w:rPr>
            </w:pPr>
            <w:r w:rsidRPr="006B546F">
              <w:rPr>
                <w:rFonts w:eastAsia="Times New Roman" w:cstheme="minorHAnsi"/>
                <w:color w:val="000000"/>
                <w:sz w:val="24"/>
                <w:szCs w:val="24"/>
              </w:rPr>
              <w:t>All participants will have the option of discussing their lead and/or arsenic findings with an ATSDR medical officer.</w:t>
            </w:r>
          </w:p>
        </w:tc>
      </w:tr>
      <w:tr w:rsidR="00977D5F" w14:paraId="5726654A" w14:textId="77777777" w:rsidTr="00B50EEF">
        <w:tc>
          <w:tcPr>
            <w:tcW w:w="3168" w:type="dxa"/>
            <w:vAlign w:val="center"/>
          </w:tcPr>
          <w:p w14:paraId="5A091130" w14:textId="77777777" w:rsidR="00977D5F" w:rsidRDefault="00977D5F" w:rsidP="005A3D6B">
            <w:pPr>
              <w:rPr>
                <w:b/>
                <w:sz w:val="24"/>
                <w:szCs w:val="24"/>
              </w:rPr>
            </w:pPr>
            <w:r>
              <w:rPr>
                <w:b/>
                <w:sz w:val="24"/>
                <w:szCs w:val="24"/>
              </w:rPr>
              <w:lastRenderedPageBreak/>
              <w:t>Project Objectives:</w:t>
            </w:r>
          </w:p>
        </w:tc>
        <w:tc>
          <w:tcPr>
            <w:tcW w:w="7128" w:type="dxa"/>
            <w:vAlign w:val="center"/>
          </w:tcPr>
          <w:p w14:paraId="7CB56D13" w14:textId="52B7771A" w:rsidR="00977D5F" w:rsidRPr="008737DB" w:rsidRDefault="00771A77" w:rsidP="00E1096A">
            <w:pPr>
              <w:rPr>
                <w:rFonts w:cstheme="minorHAnsi"/>
                <w:sz w:val="24"/>
                <w:szCs w:val="24"/>
              </w:rPr>
            </w:pPr>
            <w:r w:rsidRPr="008737DB">
              <w:rPr>
                <w:rFonts w:cstheme="minorHAnsi"/>
                <w:sz w:val="24"/>
                <w:szCs w:val="24"/>
              </w:rPr>
              <w:t>Th</w:t>
            </w:r>
            <w:r w:rsidR="00E04405" w:rsidRPr="008737DB">
              <w:rPr>
                <w:rFonts w:cstheme="minorHAnsi"/>
                <w:sz w:val="24"/>
                <w:szCs w:val="24"/>
              </w:rPr>
              <w:t xml:space="preserve">is exposure investigation will recruit </w:t>
            </w:r>
            <w:r w:rsidR="00836FD3" w:rsidRPr="008737DB">
              <w:rPr>
                <w:rFonts w:cstheme="minorHAnsi"/>
                <w:sz w:val="24"/>
                <w:szCs w:val="24"/>
              </w:rPr>
              <w:t xml:space="preserve">a maximum of </w:t>
            </w:r>
            <w:r w:rsidR="001A2462" w:rsidRPr="008737DB">
              <w:rPr>
                <w:rFonts w:cstheme="minorHAnsi"/>
                <w:sz w:val="24"/>
                <w:szCs w:val="24"/>
              </w:rPr>
              <w:t>3</w:t>
            </w:r>
            <w:r w:rsidR="00BB3ABB" w:rsidRPr="008737DB">
              <w:rPr>
                <w:rFonts w:cstheme="minorHAnsi"/>
                <w:sz w:val="24"/>
                <w:szCs w:val="24"/>
              </w:rPr>
              <w:t xml:space="preserve">00 </w:t>
            </w:r>
            <w:r w:rsidR="00E04405" w:rsidRPr="008737DB">
              <w:rPr>
                <w:rFonts w:cstheme="minorHAnsi"/>
                <w:sz w:val="24"/>
                <w:szCs w:val="24"/>
              </w:rPr>
              <w:t>community members</w:t>
            </w:r>
            <w:r w:rsidR="005956AA" w:rsidRPr="008737DB">
              <w:rPr>
                <w:rFonts w:cstheme="minorHAnsi"/>
                <w:sz w:val="24"/>
                <w:szCs w:val="24"/>
              </w:rPr>
              <w:t xml:space="preserve"> </w:t>
            </w:r>
            <w:r w:rsidR="00245FE8" w:rsidRPr="008737DB">
              <w:rPr>
                <w:rFonts w:cstheme="minorHAnsi"/>
                <w:sz w:val="24"/>
                <w:szCs w:val="24"/>
              </w:rPr>
              <w:t xml:space="preserve">living </w:t>
            </w:r>
            <w:r w:rsidR="0011153A" w:rsidRPr="008737DB">
              <w:rPr>
                <w:rFonts w:cstheme="minorHAnsi"/>
                <w:sz w:val="24"/>
                <w:szCs w:val="24"/>
              </w:rPr>
              <w:t>in the</w:t>
            </w:r>
            <w:r w:rsidR="004C6181" w:rsidRPr="008737DB">
              <w:rPr>
                <w:rFonts w:cstheme="minorHAnsi"/>
                <w:sz w:val="24"/>
                <w:szCs w:val="24"/>
              </w:rPr>
              <w:t xml:space="preserve"> </w:t>
            </w:r>
            <w:r w:rsidR="00EF14AC" w:rsidRPr="008737DB">
              <w:rPr>
                <w:rFonts w:cstheme="minorHAnsi"/>
                <w:sz w:val="24"/>
                <w:szCs w:val="24"/>
              </w:rPr>
              <w:t>Anaconda, MT area to be tested for blood lead and urine arsenic</w:t>
            </w:r>
            <w:r w:rsidR="0063667F" w:rsidRPr="008737DB">
              <w:rPr>
                <w:rFonts w:cstheme="minorHAnsi"/>
                <w:sz w:val="24"/>
                <w:szCs w:val="24"/>
              </w:rPr>
              <w:t>.</w:t>
            </w:r>
            <w:r w:rsidR="002B7FAF" w:rsidRPr="008737DB">
              <w:rPr>
                <w:rFonts w:cstheme="minorHAnsi"/>
                <w:sz w:val="24"/>
                <w:szCs w:val="24"/>
              </w:rPr>
              <w:t xml:space="preserve"> </w:t>
            </w:r>
            <w:r w:rsidR="001A2462" w:rsidRPr="008737DB">
              <w:rPr>
                <w:rFonts w:cstheme="minorHAnsi"/>
                <w:sz w:val="24"/>
                <w:szCs w:val="24"/>
              </w:rPr>
              <w:t xml:space="preserve">As a follow-up to the testing conducted in September 2018, approximately 250 adults </w:t>
            </w:r>
            <w:r w:rsidR="00E1096A" w:rsidRPr="008737DB">
              <w:rPr>
                <w:rFonts w:cstheme="minorHAnsi"/>
                <w:sz w:val="24"/>
                <w:szCs w:val="24"/>
              </w:rPr>
              <w:t>and 50 young children will be included in the testing</w:t>
            </w:r>
            <w:r w:rsidR="001A2462" w:rsidRPr="008737DB">
              <w:rPr>
                <w:rFonts w:cstheme="minorHAnsi"/>
                <w:sz w:val="24"/>
                <w:szCs w:val="24"/>
              </w:rPr>
              <w:t xml:space="preserve">. </w:t>
            </w:r>
            <w:r w:rsidR="00E1096A" w:rsidRPr="008737DB">
              <w:rPr>
                <w:rFonts w:cstheme="minorHAnsi"/>
                <w:sz w:val="24"/>
                <w:szCs w:val="24"/>
              </w:rPr>
              <w:t xml:space="preserve">Given the lack of representation of young children in the testing completed in September 2018, young children will be recruited by contacting Head Start, the preschools and elementary schools in Anaconda. </w:t>
            </w:r>
            <w:r w:rsidR="002B7FAF" w:rsidRPr="008737DB">
              <w:rPr>
                <w:rFonts w:cstheme="minorHAnsi"/>
                <w:sz w:val="24"/>
                <w:szCs w:val="24"/>
              </w:rPr>
              <w:t xml:space="preserve">We will </w:t>
            </w:r>
            <w:r w:rsidR="00E04405" w:rsidRPr="008737DB">
              <w:rPr>
                <w:rFonts w:cstheme="minorHAnsi"/>
                <w:sz w:val="24"/>
                <w:szCs w:val="24"/>
              </w:rPr>
              <w:t>compare</w:t>
            </w:r>
            <w:r w:rsidR="006B5535" w:rsidRPr="008737DB">
              <w:rPr>
                <w:rFonts w:cstheme="minorHAnsi"/>
                <w:sz w:val="24"/>
                <w:szCs w:val="24"/>
              </w:rPr>
              <w:t xml:space="preserve"> the results with levels of health concern</w:t>
            </w:r>
            <w:r w:rsidR="00FB2ED6" w:rsidRPr="008737DB">
              <w:rPr>
                <w:rFonts w:cstheme="minorHAnsi"/>
                <w:sz w:val="24"/>
                <w:szCs w:val="24"/>
              </w:rPr>
              <w:t xml:space="preserve"> (blood lead levels ≥5 µg/dL) or levels in the U.S. population [arsenic levels compared to appropriate National Health and Nutrition Examination Survey (NHANES) levels]</w:t>
            </w:r>
            <w:r w:rsidR="00DF48D0" w:rsidRPr="008737DB">
              <w:rPr>
                <w:rFonts w:cstheme="minorHAnsi"/>
                <w:sz w:val="24"/>
                <w:szCs w:val="24"/>
              </w:rPr>
              <w:t>,</w:t>
            </w:r>
            <w:r w:rsidR="006B5535" w:rsidRPr="008737DB">
              <w:rPr>
                <w:rFonts w:cstheme="minorHAnsi"/>
                <w:sz w:val="24"/>
                <w:szCs w:val="24"/>
              </w:rPr>
              <w:t xml:space="preserve"> provide participants with their individual results and interpretation/</w:t>
            </w:r>
            <w:r w:rsidR="004C6181" w:rsidRPr="008737DB">
              <w:rPr>
                <w:rFonts w:cstheme="minorHAnsi"/>
                <w:sz w:val="24"/>
                <w:szCs w:val="24"/>
              </w:rPr>
              <w:t xml:space="preserve"> </w:t>
            </w:r>
            <w:r w:rsidR="006B5535" w:rsidRPr="008737DB">
              <w:rPr>
                <w:rFonts w:cstheme="minorHAnsi"/>
                <w:sz w:val="24"/>
                <w:szCs w:val="24"/>
              </w:rPr>
              <w:t>recommendations</w:t>
            </w:r>
            <w:r w:rsidR="00DF48D0" w:rsidRPr="008737DB">
              <w:rPr>
                <w:rFonts w:cstheme="minorHAnsi"/>
                <w:sz w:val="24"/>
                <w:szCs w:val="24"/>
              </w:rPr>
              <w:t>,</w:t>
            </w:r>
            <w:r w:rsidR="006B5535" w:rsidRPr="008737DB">
              <w:rPr>
                <w:rFonts w:cstheme="minorHAnsi"/>
                <w:sz w:val="24"/>
                <w:szCs w:val="24"/>
              </w:rPr>
              <w:t xml:space="preserve"> and write a summary report</w:t>
            </w:r>
            <w:r w:rsidR="00E36E2D" w:rsidRPr="008737DB">
              <w:rPr>
                <w:rFonts w:cstheme="minorHAnsi"/>
                <w:sz w:val="24"/>
                <w:szCs w:val="24"/>
              </w:rPr>
              <w:t xml:space="preserve"> (EI report)</w:t>
            </w:r>
            <w:r w:rsidR="006B5535" w:rsidRPr="008737DB">
              <w:rPr>
                <w:rFonts w:cstheme="minorHAnsi"/>
                <w:sz w:val="24"/>
                <w:szCs w:val="24"/>
              </w:rPr>
              <w:t>.</w:t>
            </w:r>
          </w:p>
        </w:tc>
      </w:tr>
      <w:tr w:rsidR="00977D5F" w14:paraId="2F59FB9B" w14:textId="77777777" w:rsidTr="00B50EEF">
        <w:tc>
          <w:tcPr>
            <w:tcW w:w="3168" w:type="dxa"/>
            <w:vAlign w:val="center"/>
          </w:tcPr>
          <w:p w14:paraId="7708BD98" w14:textId="77777777" w:rsidR="00977D5F" w:rsidRDefault="00977D5F" w:rsidP="005A3D6B">
            <w:pPr>
              <w:rPr>
                <w:b/>
                <w:sz w:val="24"/>
                <w:szCs w:val="24"/>
              </w:rPr>
            </w:pPr>
            <w:r>
              <w:rPr>
                <w:b/>
                <w:sz w:val="24"/>
                <w:szCs w:val="24"/>
              </w:rPr>
              <w:t>Environmental Sampling to be Completed:</w:t>
            </w:r>
          </w:p>
        </w:tc>
        <w:tc>
          <w:tcPr>
            <w:tcW w:w="7128" w:type="dxa"/>
            <w:vAlign w:val="center"/>
          </w:tcPr>
          <w:p w14:paraId="255E57C6" w14:textId="3D9FD59E" w:rsidR="00977D5F" w:rsidRPr="008737DB" w:rsidRDefault="00F32AA2" w:rsidP="00FB2ED6">
            <w:pPr>
              <w:rPr>
                <w:rFonts w:cstheme="minorHAnsi"/>
                <w:sz w:val="24"/>
                <w:szCs w:val="24"/>
              </w:rPr>
            </w:pPr>
            <w:r w:rsidRPr="008737DB">
              <w:rPr>
                <w:rFonts w:cstheme="minorHAnsi"/>
                <w:sz w:val="24"/>
                <w:szCs w:val="24"/>
              </w:rPr>
              <w:t>None</w:t>
            </w:r>
            <w:r w:rsidR="00AB6175" w:rsidRPr="008737DB">
              <w:rPr>
                <w:rFonts w:cstheme="minorHAnsi"/>
                <w:sz w:val="24"/>
                <w:szCs w:val="24"/>
              </w:rPr>
              <w:t xml:space="preserve">. EPA is conducting </w:t>
            </w:r>
            <w:r w:rsidR="00FB2ED6" w:rsidRPr="008737DB">
              <w:rPr>
                <w:rFonts w:cstheme="minorHAnsi"/>
                <w:sz w:val="24"/>
                <w:szCs w:val="24"/>
              </w:rPr>
              <w:t xml:space="preserve">remedial action at the site as part </w:t>
            </w:r>
            <w:r w:rsidR="003B7C8F" w:rsidRPr="008737DB">
              <w:rPr>
                <w:rFonts w:cstheme="minorHAnsi"/>
                <w:sz w:val="24"/>
                <w:szCs w:val="24"/>
              </w:rPr>
              <w:t>the Remedial Investigation/Feasibility (RI/FS) process</w:t>
            </w:r>
            <w:r w:rsidR="00AB6175" w:rsidRPr="008737DB">
              <w:rPr>
                <w:rFonts w:cstheme="minorHAnsi"/>
                <w:sz w:val="24"/>
                <w:szCs w:val="24"/>
              </w:rPr>
              <w:t>.</w:t>
            </w:r>
          </w:p>
        </w:tc>
      </w:tr>
      <w:tr w:rsidR="00977D5F" w14:paraId="14823B1C" w14:textId="77777777" w:rsidTr="00B50EEF">
        <w:tc>
          <w:tcPr>
            <w:tcW w:w="3168" w:type="dxa"/>
            <w:vAlign w:val="center"/>
          </w:tcPr>
          <w:p w14:paraId="2A163763" w14:textId="77777777" w:rsidR="00977D5F" w:rsidRDefault="00977D5F" w:rsidP="005A3D6B">
            <w:pPr>
              <w:rPr>
                <w:b/>
                <w:sz w:val="24"/>
                <w:szCs w:val="24"/>
              </w:rPr>
            </w:pPr>
            <w:r>
              <w:rPr>
                <w:b/>
                <w:sz w:val="24"/>
                <w:szCs w:val="24"/>
              </w:rPr>
              <w:t>Biological Sampling to be Completed:</w:t>
            </w:r>
          </w:p>
        </w:tc>
        <w:tc>
          <w:tcPr>
            <w:tcW w:w="7128" w:type="dxa"/>
            <w:vAlign w:val="center"/>
          </w:tcPr>
          <w:p w14:paraId="004FE7F4" w14:textId="15725D2A" w:rsidR="00EB0D65" w:rsidRPr="008737DB" w:rsidRDefault="00E1096A" w:rsidP="00E1096A">
            <w:pPr>
              <w:rPr>
                <w:rFonts w:cstheme="minorHAnsi"/>
                <w:sz w:val="24"/>
                <w:szCs w:val="24"/>
              </w:rPr>
            </w:pPr>
            <w:r w:rsidRPr="008737DB">
              <w:rPr>
                <w:rFonts w:cstheme="minorHAnsi"/>
                <w:sz w:val="24"/>
                <w:szCs w:val="24"/>
              </w:rPr>
              <w:t>Follow-up b</w:t>
            </w:r>
            <w:r w:rsidR="00AB6175" w:rsidRPr="008737DB">
              <w:rPr>
                <w:rFonts w:cstheme="minorHAnsi"/>
                <w:sz w:val="24"/>
                <w:szCs w:val="24"/>
              </w:rPr>
              <w:t xml:space="preserve">lood lead </w:t>
            </w:r>
            <w:r w:rsidR="00FB2ED6" w:rsidRPr="008737DB">
              <w:rPr>
                <w:rFonts w:cstheme="minorHAnsi"/>
                <w:sz w:val="24"/>
                <w:szCs w:val="24"/>
              </w:rPr>
              <w:t xml:space="preserve">and urine arsenic </w:t>
            </w:r>
            <w:r w:rsidR="00AB6175" w:rsidRPr="008737DB">
              <w:rPr>
                <w:rFonts w:cstheme="minorHAnsi"/>
                <w:sz w:val="24"/>
                <w:szCs w:val="24"/>
              </w:rPr>
              <w:t>t</w:t>
            </w:r>
            <w:r w:rsidR="00C53B06" w:rsidRPr="008737DB">
              <w:rPr>
                <w:rFonts w:cstheme="minorHAnsi"/>
                <w:sz w:val="24"/>
                <w:szCs w:val="24"/>
              </w:rPr>
              <w:t xml:space="preserve">esting will occur in </w:t>
            </w:r>
            <w:r w:rsidR="00FB2ED6" w:rsidRPr="008737DB">
              <w:rPr>
                <w:rFonts w:cstheme="minorHAnsi"/>
                <w:sz w:val="24"/>
                <w:szCs w:val="24"/>
              </w:rPr>
              <w:t xml:space="preserve">fall 2018. Young children and pregnant women are </w:t>
            </w:r>
            <w:r w:rsidR="007B4833" w:rsidRPr="008737DB">
              <w:rPr>
                <w:rFonts w:cstheme="minorHAnsi"/>
                <w:sz w:val="24"/>
                <w:szCs w:val="24"/>
              </w:rPr>
              <w:t xml:space="preserve">more susceptible to the effects of heavy metals, especially lead, </w:t>
            </w:r>
            <w:r w:rsidR="001A2462" w:rsidRPr="008737DB">
              <w:rPr>
                <w:rFonts w:cstheme="minorHAnsi"/>
                <w:sz w:val="24"/>
                <w:szCs w:val="24"/>
              </w:rPr>
              <w:t xml:space="preserve">and, given their </w:t>
            </w:r>
            <w:r w:rsidR="001A2462" w:rsidRPr="008737DB">
              <w:rPr>
                <w:rFonts w:cstheme="minorHAnsi"/>
                <w:sz w:val="24"/>
                <w:szCs w:val="24"/>
              </w:rPr>
              <w:lastRenderedPageBreak/>
              <w:t xml:space="preserve">underrepresentation in the testing conducted in </w:t>
            </w:r>
            <w:r w:rsidRPr="008737DB">
              <w:rPr>
                <w:rFonts w:cstheme="minorHAnsi"/>
                <w:sz w:val="24"/>
                <w:szCs w:val="24"/>
              </w:rPr>
              <w:t>September 2018, they will be specifically recruited and a minimum of 50 testing appointments will be reserved for young children</w:t>
            </w:r>
            <w:r w:rsidR="007B4833" w:rsidRPr="008737DB">
              <w:rPr>
                <w:rFonts w:cstheme="minorHAnsi"/>
                <w:sz w:val="24"/>
                <w:szCs w:val="24"/>
              </w:rPr>
              <w:t>.</w:t>
            </w:r>
          </w:p>
        </w:tc>
      </w:tr>
      <w:tr w:rsidR="00977D5F" w14:paraId="30C36960" w14:textId="77777777" w:rsidTr="00B50EEF">
        <w:tc>
          <w:tcPr>
            <w:tcW w:w="3168" w:type="dxa"/>
            <w:vAlign w:val="center"/>
          </w:tcPr>
          <w:p w14:paraId="63224EE1" w14:textId="77777777" w:rsidR="00977D5F" w:rsidRDefault="00977D5F" w:rsidP="005A3D6B">
            <w:pPr>
              <w:rPr>
                <w:b/>
                <w:sz w:val="24"/>
                <w:szCs w:val="24"/>
              </w:rPr>
            </w:pPr>
            <w:r>
              <w:rPr>
                <w:b/>
                <w:sz w:val="24"/>
                <w:szCs w:val="24"/>
              </w:rPr>
              <w:lastRenderedPageBreak/>
              <w:t>Data Collection and Analysis Procedures:</w:t>
            </w:r>
          </w:p>
        </w:tc>
        <w:tc>
          <w:tcPr>
            <w:tcW w:w="7128" w:type="dxa"/>
            <w:vAlign w:val="center"/>
          </w:tcPr>
          <w:p w14:paraId="3638EE4E" w14:textId="77777777" w:rsidR="00C559A7" w:rsidRPr="008737DB" w:rsidRDefault="00B65000" w:rsidP="004B0DC0">
            <w:pPr>
              <w:rPr>
                <w:rFonts w:cstheme="minorHAnsi"/>
                <w:sz w:val="24"/>
                <w:szCs w:val="24"/>
              </w:rPr>
            </w:pPr>
            <w:r w:rsidRPr="008737DB">
              <w:rPr>
                <w:rFonts w:cstheme="minorHAnsi"/>
                <w:sz w:val="24"/>
                <w:szCs w:val="24"/>
                <w:u w:val="single"/>
              </w:rPr>
              <w:t>Recruitment of Participants:</w:t>
            </w:r>
            <w:r w:rsidR="004B0DC0" w:rsidRPr="008737DB">
              <w:rPr>
                <w:rFonts w:cstheme="minorHAnsi"/>
                <w:sz w:val="24"/>
                <w:szCs w:val="24"/>
                <w:u w:val="single"/>
              </w:rPr>
              <w:t xml:space="preserve"> </w:t>
            </w:r>
            <w:r w:rsidR="004B0DC0" w:rsidRPr="008737DB">
              <w:rPr>
                <w:rFonts w:cstheme="minorHAnsi"/>
                <w:sz w:val="24"/>
                <w:szCs w:val="24"/>
              </w:rPr>
              <w:t xml:space="preserve">Supporting Statements A and B are provided in Attachments 1 and 2. The Supporting Statements outline the EI data collection and analysis procedures. </w:t>
            </w:r>
          </w:p>
          <w:p w14:paraId="411AE6D9" w14:textId="77777777" w:rsidR="00C559A7" w:rsidRPr="008737DB" w:rsidRDefault="00C559A7" w:rsidP="004B0DC0">
            <w:pPr>
              <w:rPr>
                <w:rFonts w:cstheme="minorHAnsi"/>
                <w:sz w:val="24"/>
                <w:szCs w:val="24"/>
              </w:rPr>
            </w:pPr>
          </w:p>
          <w:p w14:paraId="4016FBBB" w14:textId="77777777" w:rsidR="001E03FD" w:rsidRPr="008737DB" w:rsidRDefault="001E03FD" w:rsidP="00C559A7">
            <w:pPr>
              <w:pStyle w:val="ListParagraph"/>
              <w:numPr>
                <w:ilvl w:val="0"/>
                <w:numId w:val="13"/>
              </w:numPr>
              <w:rPr>
                <w:rFonts w:cstheme="minorHAnsi"/>
                <w:sz w:val="24"/>
                <w:szCs w:val="24"/>
              </w:rPr>
            </w:pPr>
            <w:r w:rsidRPr="008737DB">
              <w:rPr>
                <w:rFonts w:cstheme="minorHAnsi"/>
                <w:sz w:val="24"/>
                <w:szCs w:val="24"/>
              </w:rPr>
              <w:t xml:space="preserve">Recruitment: </w:t>
            </w:r>
          </w:p>
          <w:p w14:paraId="719D545A" w14:textId="77777777" w:rsidR="00E1096A" w:rsidRPr="008737DB" w:rsidRDefault="00E1096A" w:rsidP="00E1096A">
            <w:pPr>
              <w:pStyle w:val="ListParagraph"/>
              <w:numPr>
                <w:ilvl w:val="0"/>
                <w:numId w:val="27"/>
              </w:numPr>
              <w:tabs>
                <w:tab w:val="left" w:pos="1545"/>
              </w:tabs>
              <w:spacing w:after="100" w:afterAutospacing="1"/>
              <w:rPr>
                <w:rFonts w:cstheme="minorHAnsi"/>
                <w:sz w:val="24"/>
                <w:szCs w:val="24"/>
              </w:rPr>
            </w:pPr>
            <w:r w:rsidRPr="008737DB">
              <w:rPr>
                <w:rFonts w:cstheme="minorHAnsi"/>
                <w:sz w:val="24"/>
                <w:szCs w:val="24"/>
              </w:rPr>
              <w:t>Testing a maximum of 300 participants for blood lead and urine arsenic levels, with a minimum of 50 appointments reserved for the testing of young children.</w:t>
            </w:r>
          </w:p>
          <w:p w14:paraId="3BBA0279" w14:textId="77777777" w:rsidR="00E1096A" w:rsidRPr="008737DB" w:rsidRDefault="00E1096A" w:rsidP="00E1096A">
            <w:pPr>
              <w:pStyle w:val="ListParagraph"/>
              <w:numPr>
                <w:ilvl w:val="0"/>
                <w:numId w:val="27"/>
              </w:numPr>
              <w:spacing w:after="120"/>
              <w:contextualSpacing w:val="0"/>
              <w:rPr>
                <w:rFonts w:cstheme="minorHAnsi"/>
                <w:sz w:val="24"/>
                <w:szCs w:val="24"/>
              </w:rPr>
            </w:pPr>
            <w:r w:rsidRPr="008737DB">
              <w:rPr>
                <w:rFonts w:cstheme="minorHAnsi"/>
                <w:sz w:val="24"/>
                <w:szCs w:val="24"/>
              </w:rPr>
              <w:t xml:space="preserve">Contacting people on the waiting list from the first testing event and offering them testing. </w:t>
            </w:r>
          </w:p>
          <w:p w14:paraId="69FDA682" w14:textId="77777777" w:rsidR="00E1096A" w:rsidRPr="008737DB" w:rsidRDefault="00E1096A" w:rsidP="00E1096A">
            <w:pPr>
              <w:pStyle w:val="ListParagraph"/>
              <w:numPr>
                <w:ilvl w:val="0"/>
                <w:numId w:val="27"/>
              </w:numPr>
              <w:spacing w:after="120"/>
              <w:contextualSpacing w:val="0"/>
              <w:rPr>
                <w:rFonts w:cstheme="minorHAnsi"/>
                <w:sz w:val="24"/>
                <w:szCs w:val="24"/>
              </w:rPr>
            </w:pPr>
            <w:r w:rsidRPr="008737DB">
              <w:rPr>
                <w:rFonts w:cstheme="minorHAnsi"/>
                <w:sz w:val="24"/>
                <w:szCs w:val="24"/>
              </w:rPr>
              <w:t>Recruiting young children and women of childbearing age by:</w:t>
            </w:r>
          </w:p>
          <w:p w14:paraId="42E9BF2A" w14:textId="77777777" w:rsidR="00E1096A" w:rsidRPr="008737DB" w:rsidRDefault="00E1096A" w:rsidP="00E1096A">
            <w:pPr>
              <w:pStyle w:val="ListParagraph"/>
              <w:numPr>
                <w:ilvl w:val="0"/>
                <w:numId w:val="25"/>
              </w:numPr>
              <w:spacing w:after="120"/>
              <w:ind w:left="1710"/>
              <w:contextualSpacing w:val="0"/>
              <w:rPr>
                <w:rFonts w:cstheme="minorHAnsi"/>
                <w:sz w:val="24"/>
                <w:szCs w:val="24"/>
              </w:rPr>
            </w:pPr>
            <w:r w:rsidRPr="008737DB">
              <w:rPr>
                <w:rFonts w:cstheme="minorHAnsi"/>
                <w:sz w:val="24"/>
                <w:szCs w:val="24"/>
              </w:rPr>
              <w:t>Having the ADLC health department reach out to the local Head Start program and offer testing to young children and their families at the Head Start facility. The testing will be conducted at the Head Start facility on one of the testing days. Young children from the area daycares will be provided with the Anaconda EI fact sheet and will be offered testing at the Head Start facility.</w:t>
            </w:r>
          </w:p>
          <w:p w14:paraId="7D2BED2F" w14:textId="3593A44B" w:rsidR="00AB78DD" w:rsidRPr="008737DB" w:rsidRDefault="00E1096A" w:rsidP="00E1096A">
            <w:pPr>
              <w:pStyle w:val="ListParagraph"/>
              <w:numPr>
                <w:ilvl w:val="1"/>
                <w:numId w:val="25"/>
              </w:numPr>
              <w:spacing w:after="120"/>
              <w:ind w:left="1710"/>
              <w:contextualSpacing w:val="0"/>
              <w:rPr>
                <w:rFonts w:cstheme="minorHAnsi"/>
                <w:sz w:val="24"/>
                <w:szCs w:val="24"/>
              </w:rPr>
            </w:pPr>
            <w:r w:rsidRPr="008737DB">
              <w:rPr>
                <w:rFonts w:cstheme="minorHAnsi"/>
                <w:sz w:val="24"/>
                <w:szCs w:val="24"/>
              </w:rPr>
              <w:t>Providing the Lincoln Primary School with the Anaconda EI fact sheet to disseminate information on the testing event.</w:t>
            </w:r>
          </w:p>
          <w:p w14:paraId="383533B7" w14:textId="77777777" w:rsidR="00593A63" w:rsidRPr="008737DB" w:rsidRDefault="00593A63" w:rsidP="004B0DC0">
            <w:pPr>
              <w:rPr>
                <w:rFonts w:cstheme="minorHAnsi"/>
                <w:sz w:val="24"/>
                <w:szCs w:val="24"/>
              </w:rPr>
            </w:pPr>
          </w:p>
          <w:p w14:paraId="12D0D15F" w14:textId="77777777" w:rsidR="008663E3" w:rsidRPr="008737DB" w:rsidRDefault="00593A63" w:rsidP="00B50EEF">
            <w:pPr>
              <w:pStyle w:val="ListParagraph"/>
              <w:numPr>
                <w:ilvl w:val="0"/>
                <w:numId w:val="8"/>
              </w:numPr>
              <w:rPr>
                <w:rFonts w:cstheme="minorHAnsi"/>
                <w:sz w:val="24"/>
                <w:szCs w:val="24"/>
              </w:rPr>
            </w:pPr>
            <w:r w:rsidRPr="008737DB">
              <w:rPr>
                <w:rFonts w:cstheme="minorHAnsi"/>
                <w:sz w:val="24"/>
                <w:szCs w:val="24"/>
              </w:rPr>
              <w:t>Collection:</w:t>
            </w:r>
            <w:r w:rsidR="005A6D67" w:rsidRPr="008737DB">
              <w:rPr>
                <w:rFonts w:cstheme="minorHAnsi"/>
                <w:sz w:val="24"/>
                <w:szCs w:val="24"/>
              </w:rPr>
              <w:t xml:space="preserve"> </w:t>
            </w:r>
          </w:p>
          <w:p w14:paraId="50E4F5AC" w14:textId="27C4D51D" w:rsidR="008663E3" w:rsidRPr="008737DB" w:rsidRDefault="008663E3" w:rsidP="00E1096A">
            <w:pPr>
              <w:pStyle w:val="ListParagraph"/>
              <w:numPr>
                <w:ilvl w:val="1"/>
                <w:numId w:val="28"/>
              </w:numPr>
              <w:ind w:left="1201" w:hanging="540"/>
              <w:rPr>
                <w:rFonts w:cstheme="minorHAnsi"/>
                <w:sz w:val="24"/>
                <w:szCs w:val="24"/>
              </w:rPr>
            </w:pPr>
            <w:r w:rsidRPr="008737DB">
              <w:rPr>
                <w:rFonts w:cstheme="minorHAnsi"/>
                <w:sz w:val="24"/>
                <w:szCs w:val="24"/>
              </w:rPr>
              <w:t>Participants will bring the first-morning urine they collected and will give it to ATSDR personnel</w:t>
            </w:r>
            <w:r w:rsidR="00E1096A" w:rsidRPr="008737DB">
              <w:rPr>
                <w:rFonts w:cstheme="minorHAnsi"/>
                <w:sz w:val="24"/>
                <w:szCs w:val="24"/>
              </w:rPr>
              <w:t xml:space="preserve"> at the blood collection location</w:t>
            </w:r>
            <w:r w:rsidRPr="008737DB">
              <w:rPr>
                <w:rFonts w:cstheme="minorHAnsi"/>
                <w:sz w:val="24"/>
                <w:szCs w:val="24"/>
              </w:rPr>
              <w:t>.</w:t>
            </w:r>
          </w:p>
          <w:p w14:paraId="2C6827E7" w14:textId="02286071" w:rsidR="00F432BE" w:rsidRPr="008737DB" w:rsidRDefault="00F432BE" w:rsidP="00E1096A">
            <w:pPr>
              <w:pStyle w:val="ListParagraph"/>
              <w:numPr>
                <w:ilvl w:val="1"/>
                <w:numId w:val="28"/>
              </w:numPr>
              <w:ind w:left="1201" w:hanging="540"/>
              <w:rPr>
                <w:rFonts w:cstheme="minorHAnsi"/>
                <w:sz w:val="24"/>
                <w:szCs w:val="24"/>
              </w:rPr>
            </w:pPr>
            <w:r w:rsidRPr="008737DB">
              <w:rPr>
                <w:rFonts w:cstheme="minorHAnsi"/>
                <w:sz w:val="24"/>
                <w:szCs w:val="24"/>
              </w:rPr>
              <w:t>The total time in the investigation is 30 minutes per pa</w:t>
            </w:r>
            <w:r w:rsidR="00940E93" w:rsidRPr="008737DB">
              <w:rPr>
                <w:rFonts w:cstheme="minorHAnsi"/>
                <w:sz w:val="24"/>
                <w:szCs w:val="24"/>
              </w:rPr>
              <w:t>r</w:t>
            </w:r>
            <w:r w:rsidRPr="008737DB">
              <w:rPr>
                <w:rFonts w:cstheme="minorHAnsi"/>
                <w:sz w:val="24"/>
                <w:szCs w:val="24"/>
              </w:rPr>
              <w:t xml:space="preserve">ticipant. </w:t>
            </w:r>
          </w:p>
          <w:p w14:paraId="6C0DD449" w14:textId="530913D0" w:rsidR="0076482D" w:rsidRPr="008737DB" w:rsidRDefault="00D32CFC" w:rsidP="00E1096A">
            <w:pPr>
              <w:pStyle w:val="ListParagraph"/>
              <w:numPr>
                <w:ilvl w:val="1"/>
                <w:numId w:val="29"/>
              </w:numPr>
              <w:rPr>
                <w:rFonts w:cstheme="minorHAnsi"/>
                <w:sz w:val="24"/>
                <w:szCs w:val="24"/>
              </w:rPr>
            </w:pPr>
            <w:r w:rsidRPr="008737DB">
              <w:rPr>
                <w:rFonts w:cstheme="minorHAnsi"/>
                <w:sz w:val="24"/>
                <w:szCs w:val="24"/>
              </w:rPr>
              <w:t>Adult participants and parental/guardian proxies for children</w:t>
            </w:r>
            <w:r w:rsidR="0076482D" w:rsidRPr="008737DB">
              <w:rPr>
                <w:rFonts w:cstheme="minorHAnsi"/>
                <w:sz w:val="24"/>
                <w:szCs w:val="24"/>
              </w:rPr>
              <w:t xml:space="preserve"> will be asked </w:t>
            </w:r>
            <w:r w:rsidR="00E27222" w:rsidRPr="008737DB">
              <w:rPr>
                <w:rFonts w:cstheme="minorHAnsi"/>
                <w:sz w:val="24"/>
                <w:szCs w:val="24"/>
              </w:rPr>
              <w:t>questions to allow a better interpretation of</w:t>
            </w:r>
            <w:r w:rsidR="00B54838" w:rsidRPr="008737DB">
              <w:rPr>
                <w:rFonts w:cstheme="minorHAnsi"/>
                <w:sz w:val="24"/>
                <w:szCs w:val="24"/>
              </w:rPr>
              <w:t xml:space="preserve"> </w:t>
            </w:r>
            <w:r w:rsidR="0078138E" w:rsidRPr="008737DB">
              <w:rPr>
                <w:rFonts w:cstheme="minorHAnsi"/>
                <w:sz w:val="24"/>
                <w:szCs w:val="24"/>
              </w:rPr>
              <w:t xml:space="preserve">blood </w:t>
            </w:r>
            <w:r w:rsidR="00AB78DD" w:rsidRPr="008737DB">
              <w:rPr>
                <w:rFonts w:cstheme="minorHAnsi"/>
                <w:sz w:val="24"/>
                <w:szCs w:val="24"/>
              </w:rPr>
              <w:t xml:space="preserve">and urine </w:t>
            </w:r>
            <w:r w:rsidR="00E27222" w:rsidRPr="008737DB">
              <w:rPr>
                <w:rFonts w:cstheme="minorHAnsi"/>
                <w:sz w:val="24"/>
                <w:szCs w:val="24"/>
              </w:rPr>
              <w:t xml:space="preserve">results. The questionnaire to be used in the EI is attached (Attachment </w:t>
            </w:r>
            <w:r w:rsidR="00B348E2" w:rsidRPr="008737DB">
              <w:rPr>
                <w:rFonts w:cstheme="minorHAnsi"/>
                <w:sz w:val="24"/>
                <w:szCs w:val="24"/>
              </w:rPr>
              <w:t>4</w:t>
            </w:r>
            <w:r w:rsidR="00E27222" w:rsidRPr="008737DB">
              <w:rPr>
                <w:rFonts w:cstheme="minorHAnsi"/>
                <w:sz w:val="24"/>
                <w:szCs w:val="24"/>
              </w:rPr>
              <w:t>)</w:t>
            </w:r>
            <w:r w:rsidR="005A6D67" w:rsidRPr="008737DB">
              <w:rPr>
                <w:rFonts w:cstheme="minorHAnsi"/>
                <w:sz w:val="24"/>
                <w:szCs w:val="24"/>
              </w:rPr>
              <w:t xml:space="preserve">, and is estimated to take </w:t>
            </w:r>
            <w:r w:rsidR="001C4AD2" w:rsidRPr="008737DB">
              <w:rPr>
                <w:rFonts w:cstheme="minorHAnsi"/>
                <w:sz w:val="24"/>
                <w:szCs w:val="24"/>
              </w:rPr>
              <w:t>2</w:t>
            </w:r>
            <w:r w:rsidR="005A6D67" w:rsidRPr="008737DB">
              <w:rPr>
                <w:rFonts w:cstheme="minorHAnsi"/>
                <w:sz w:val="24"/>
                <w:szCs w:val="24"/>
              </w:rPr>
              <w:t>0 minutes to complete.</w:t>
            </w:r>
          </w:p>
          <w:p w14:paraId="16B1512F" w14:textId="2F6E5765" w:rsidR="008663E3" w:rsidRPr="008737DB" w:rsidRDefault="008663E3" w:rsidP="00E1096A">
            <w:pPr>
              <w:pStyle w:val="ListParagraph"/>
              <w:numPr>
                <w:ilvl w:val="1"/>
                <w:numId w:val="29"/>
              </w:numPr>
              <w:rPr>
                <w:rFonts w:cstheme="minorHAnsi"/>
                <w:sz w:val="24"/>
                <w:szCs w:val="24"/>
              </w:rPr>
            </w:pPr>
            <w:r w:rsidRPr="008737DB">
              <w:rPr>
                <w:rFonts w:cstheme="minorHAnsi"/>
                <w:sz w:val="24"/>
                <w:szCs w:val="24"/>
              </w:rPr>
              <w:t xml:space="preserve">The blood samples will be obtained using certified phlebotomists at a designated location within the community. ATSDR personnel will pack and ship the blood and urine samples overnight to the NCEH/DLS laboratory from the blood collection site. Collection of the blood </w:t>
            </w:r>
            <w:r w:rsidR="00083053" w:rsidRPr="008737DB">
              <w:rPr>
                <w:rFonts w:cstheme="minorHAnsi"/>
                <w:sz w:val="24"/>
                <w:szCs w:val="24"/>
              </w:rPr>
              <w:t xml:space="preserve">and urine </w:t>
            </w:r>
            <w:r w:rsidRPr="008737DB">
              <w:rPr>
                <w:rFonts w:cstheme="minorHAnsi"/>
                <w:sz w:val="24"/>
                <w:szCs w:val="24"/>
              </w:rPr>
              <w:t>sample</w:t>
            </w:r>
            <w:r w:rsidR="00083053" w:rsidRPr="008737DB">
              <w:rPr>
                <w:rFonts w:cstheme="minorHAnsi"/>
                <w:sz w:val="24"/>
                <w:szCs w:val="24"/>
              </w:rPr>
              <w:t>s</w:t>
            </w:r>
            <w:r w:rsidRPr="008737DB">
              <w:rPr>
                <w:rFonts w:cstheme="minorHAnsi"/>
                <w:sz w:val="24"/>
                <w:szCs w:val="24"/>
              </w:rPr>
              <w:t xml:space="preserve"> is estimated to take 10 minutes to complete.</w:t>
            </w:r>
          </w:p>
          <w:p w14:paraId="6995E86E" w14:textId="3C926BBB" w:rsidR="001C2596" w:rsidRPr="008737DB" w:rsidRDefault="001C2596" w:rsidP="00B50EEF">
            <w:pPr>
              <w:pStyle w:val="ListParagraph"/>
              <w:numPr>
                <w:ilvl w:val="0"/>
                <w:numId w:val="8"/>
              </w:numPr>
              <w:rPr>
                <w:rFonts w:cstheme="minorHAnsi"/>
                <w:sz w:val="24"/>
                <w:szCs w:val="24"/>
              </w:rPr>
            </w:pPr>
            <w:r w:rsidRPr="008737DB">
              <w:rPr>
                <w:rFonts w:cstheme="minorHAnsi"/>
                <w:sz w:val="24"/>
                <w:szCs w:val="24"/>
              </w:rPr>
              <w:t xml:space="preserve">The </w:t>
            </w:r>
            <w:r w:rsidR="00AC57A7" w:rsidRPr="008737DB">
              <w:rPr>
                <w:rFonts w:cstheme="minorHAnsi"/>
                <w:sz w:val="24"/>
                <w:szCs w:val="24"/>
              </w:rPr>
              <w:t>human subjects</w:t>
            </w:r>
            <w:r w:rsidRPr="008737DB">
              <w:rPr>
                <w:rFonts w:cstheme="minorHAnsi"/>
                <w:sz w:val="24"/>
                <w:szCs w:val="24"/>
              </w:rPr>
              <w:t xml:space="preserve"> d</w:t>
            </w:r>
            <w:r w:rsidR="00D32CFC" w:rsidRPr="008737DB">
              <w:rPr>
                <w:rFonts w:cstheme="minorHAnsi"/>
                <w:sz w:val="24"/>
                <w:szCs w:val="24"/>
              </w:rPr>
              <w:t>etermination</w:t>
            </w:r>
            <w:r w:rsidRPr="008737DB">
              <w:rPr>
                <w:rFonts w:cstheme="minorHAnsi"/>
                <w:sz w:val="24"/>
                <w:szCs w:val="24"/>
              </w:rPr>
              <w:t xml:space="preserve"> is provided in Attachment </w:t>
            </w:r>
            <w:r w:rsidR="00B348E2" w:rsidRPr="008737DB">
              <w:rPr>
                <w:rFonts w:cstheme="minorHAnsi"/>
                <w:sz w:val="24"/>
                <w:szCs w:val="24"/>
              </w:rPr>
              <w:t>5</w:t>
            </w:r>
            <w:r w:rsidRPr="008737DB">
              <w:rPr>
                <w:rFonts w:cstheme="minorHAnsi"/>
                <w:sz w:val="24"/>
                <w:szCs w:val="24"/>
              </w:rPr>
              <w:t xml:space="preserve">. </w:t>
            </w:r>
            <w:r w:rsidR="00245FE8" w:rsidRPr="008737DB">
              <w:rPr>
                <w:rFonts w:cstheme="minorHAnsi"/>
                <w:sz w:val="24"/>
                <w:szCs w:val="24"/>
              </w:rPr>
              <w:t>The EI</w:t>
            </w:r>
            <w:r w:rsidRPr="008737DB">
              <w:rPr>
                <w:rFonts w:cstheme="minorHAnsi"/>
                <w:sz w:val="24"/>
                <w:szCs w:val="24"/>
              </w:rPr>
              <w:t xml:space="preserve"> is not considered a research study</w:t>
            </w:r>
            <w:r w:rsidR="008529CA" w:rsidRPr="008737DB">
              <w:rPr>
                <w:rFonts w:cstheme="minorHAnsi"/>
                <w:sz w:val="24"/>
                <w:szCs w:val="24"/>
              </w:rPr>
              <w:t>;</w:t>
            </w:r>
            <w:r w:rsidRPr="008737DB">
              <w:rPr>
                <w:rFonts w:cstheme="minorHAnsi"/>
                <w:sz w:val="24"/>
                <w:szCs w:val="24"/>
              </w:rPr>
              <w:t xml:space="preserve"> </w:t>
            </w:r>
            <w:r w:rsidR="008529CA" w:rsidRPr="008737DB">
              <w:rPr>
                <w:rFonts w:cstheme="minorHAnsi"/>
                <w:sz w:val="24"/>
                <w:szCs w:val="24"/>
              </w:rPr>
              <w:t>i</w:t>
            </w:r>
            <w:r w:rsidRPr="008737DB">
              <w:rPr>
                <w:rFonts w:cstheme="minorHAnsi"/>
                <w:sz w:val="24"/>
                <w:szCs w:val="24"/>
              </w:rPr>
              <w:t xml:space="preserve">ts primary intent is </w:t>
            </w:r>
            <w:r w:rsidR="00995A52" w:rsidRPr="008737DB">
              <w:rPr>
                <w:rFonts w:cstheme="minorHAnsi"/>
                <w:sz w:val="24"/>
                <w:szCs w:val="24"/>
              </w:rPr>
              <w:t xml:space="preserve">to provide a </w:t>
            </w:r>
            <w:r w:rsidRPr="008737DB">
              <w:rPr>
                <w:rFonts w:cstheme="minorHAnsi"/>
                <w:sz w:val="24"/>
                <w:szCs w:val="24"/>
              </w:rPr>
              <w:t xml:space="preserve">public health </w:t>
            </w:r>
            <w:r w:rsidR="00995A52" w:rsidRPr="008737DB">
              <w:rPr>
                <w:rFonts w:cstheme="minorHAnsi"/>
                <w:sz w:val="24"/>
                <w:szCs w:val="24"/>
              </w:rPr>
              <w:t>service for the community</w:t>
            </w:r>
            <w:r w:rsidRPr="008737DB">
              <w:rPr>
                <w:rFonts w:cstheme="minorHAnsi"/>
                <w:sz w:val="24"/>
                <w:szCs w:val="24"/>
              </w:rPr>
              <w:t>.</w:t>
            </w:r>
          </w:p>
          <w:p w14:paraId="038C1EB3" w14:textId="77777777" w:rsidR="006B546F" w:rsidRDefault="006B546F" w:rsidP="00B50EEF">
            <w:pPr>
              <w:rPr>
                <w:rFonts w:cstheme="minorHAnsi"/>
                <w:sz w:val="24"/>
                <w:szCs w:val="24"/>
                <w:u w:val="single"/>
              </w:rPr>
            </w:pPr>
          </w:p>
          <w:p w14:paraId="002C50EF" w14:textId="428F03A8" w:rsidR="006C2E1C" w:rsidRPr="008737DB" w:rsidRDefault="006C2E1C" w:rsidP="00B50EEF">
            <w:pPr>
              <w:rPr>
                <w:rFonts w:cstheme="minorHAnsi"/>
                <w:sz w:val="24"/>
                <w:szCs w:val="24"/>
                <w:u w:val="single"/>
              </w:rPr>
            </w:pPr>
            <w:r w:rsidRPr="008737DB">
              <w:rPr>
                <w:rFonts w:cstheme="minorHAnsi"/>
                <w:sz w:val="24"/>
                <w:szCs w:val="24"/>
                <w:u w:val="single"/>
              </w:rPr>
              <w:t>Analysis:</w:t>
            </w:r>
          </w:p>
          <w:p w14:paraId="3919E06C" w14:textId="79AE3B88" w:rsidR="006C2E1C" w:rsidRPr="008737DB" w:rsidRDefault="006C2E1C" w:rsidP="00CE22E8">
            <w:pPr>
              <w:pStyle w:val="ListParagraph"/>
              <w:numPr>
                <w:ilvl w:val="0"/>
                <w:numId w:val="7"/>
              </w:numPr>
              <w:rPr>
                <w:rFonts w:cstheme="minorHAnsi"/>
                <w:sz w:val="24"/>
                <w:szCs w:val="24"/>
              </w:rPr>
            </w:pPr>
            <w:r w:rsidRPr="008737DB">
              <w:rPr>
                <w:rFonts w:cstheme="minorHAnsi"/>
                <w:sz w:val="24"/>
                <w:szCs w:val="24"/>
              </w:rPr>
              <w:t xml:space="preserve">The blood </w:t>
            </w:r>
            <w:r w:rsidR="008663E3" w:rsidRPr="008737DB">
              <w:rPr>
                <w:rFonts w:cstheme="minorHAnsi"/>
                <w:sz w:val="24"/>
                <w:szCs w:val="24"/>
              </w:rPr>
              <w:t xml:space="preserve">and urine </w:t>
            </w:r>
            <w:r w:rsidRPr="008737DB">
              <w:rPr>
                <w:rFonts w:cstheme="minorHAnsi"/>
                <w:sz w:val="24"/>
                <w:szCs w:val="24"/>
              </w:rPr>
              <w:t xml:space="preserve">samples will be </w:t>
            </w:r>
            <w:r w:rsidR="00BA09ED" w:rsidRPr="008737DB">
              <w:rPr>
                <w:rFonts w:cstheme="minorHAnsi"/>
                <w:sz w:val="24"/>
                <w:szCs w:val="24"/>
              </w:rPr>
              <w:t>analy</w:t>
            </w:r>
            <w:r w:rsidR="00E36E2D" w:rsidRPr="008737DB">
              <w:rPr>
                <w:rFonts w:cstheme="minorHAnsi"/>
                <w:sz w:val="24"/>
                <w:szCs w:val="24"/>
              </w:rPr>
              <w:t>z</w:t>
            </w:r>
            <w:r w:rsidR="00BA09ED" w:rsidRPr="008737DB">
              <w:rPr>
                <w:rFonts w:cstheme="minorHAnsi"/>
                <w:sz w:val="24"/>
                <w:szCs w:val="24"/>
              </w:rPr>
              <w:t xml:space="preserve">ed </w:t>
            </w:r>
            <w:r w:rsidRPr="008737DB">
              <w:rPr>
                <w:rFonts w:cstheme="minorHAnsi"/>
                <w:sz w:val="24"/>
                <w:szCs w:val="24"/>
              </w:rPr>
              <w:t>by the NCEH</w:t>
            </w:r>
            <w:r w:rsidR="008663E3" w:rsidRPr="008737DB">
              <w:rPr>
                <w:rFonts w:cstheme="minorHAnsi"/>
                <w:sz w:val="24"/>
                <w:szCs w:val="24"/>
              </w:rPr>
              <w:t>/DLS</w:t>
            </w:r>
            <w:r w:rsidRPr="008737DB">
              <w:rPr>
                <w:rFonts w:cstheme="minorHAnsi"/>
                <w:sz w:val="24"/>
                <w:szCs w:val="24"/>
              </w:rPr>
              <w:t xml:space="preserve"> laboratory </w:t>
            </w:r>
            <w:r w:rsidR="00AC47D1" w:rsidRPr="008737DB">
              <w:rPr>
                <w:rFonts w:cstheme="minorHAnsi"/>
                <w:sz w:val="24"/>
                <w:szCs w:val="24"/>
              </w:rPr>
              <w:t>using state-of-art laboratory methods</w:t>
            </w:r>
            <w:r w:rsidR="00CE22E8" w:rsidRPr="008737DB">
              <w:rPr>
                <w:rFonts w:cstheme="minorHAnsi"/>
                <w:sz w:val="24"/>
                <w:szCs w:val="24"/>
              </w:rPr>
              <w:t>.</w:t>
            </w:r>
          </w:p>
        </w:tc>
      </w:tr>
      <w:tr w:rsidR="00977D5F" w14:paraId="7FEF61C7" w14:textId="77777777" w:rsidTr="00B50EEF">
        <w:tc>
          <w:tcPr>
            <w:tcW w:w="3168" w:type="dxa"/>
            <w:vAlign w:val="center"/>
          </w:tcPr>
          <w:p w14:paraId="53AE4F0E" w14:textId="77777777" w:rsidR="00977D5F" w:rsidRDefault="00977D5F" w:rsidP="005A3D6B">
            <w:pPr>
              <w:rPr>
                <w:b/>
                <w:sz w:val="24"/>
                <w:szCs w:val="24"/>
              </w:rPr>
            </w:pPr>
            <w:r>
              <w:rPr>
                <w:b/>
                <w:sz w:val="24"/>
                <w:szCs w:val="24"/>
              </w:rPr>
              <w:t>Information Collection Mode (in-person or remote):</w:t>
            </w:r>
          </w:p>
        </w:tc>
        <w:tc>
          <w:tcPr>
            <w:tcW w:w="7128" w:type="dxa"/>
            <w:vAlign w:val="center"/>
          </w:tcPr>
          <w:p w14:paraId="611BBB5A" w14:textId="77777777" w:rsidR="00977D5F" w:rsidRPr="008737DB" w:rsidRDefault="00446811" w:rsidP="005A3D6B">
            <w:pPr>
              <w:rPr>
                <w:rFonts w:cstheme="minorHAnsi"/>
                <w:sz w:val="24"/>
                <w:szCs w:val="24"/>
              </w:rPr>
            </w:pPr>
            <w:r w:rsidRPr="008737DB">
              <w:rPr>
                <w:rFonts w:cstheme="minorHAnsi"/>
                <w:sz w:val="24"/>
                <w:szCs w:val="24"/>
              </w:rPr>
              <w:t>In-person</w:t>
            </w:r>
          </w:p>
        </w:tc>
      </w:tr>
      <w:tr w:rsidR="00977D5F" w14:paraId="5B7C9B97" w14:textId="77777777" w:rsidTr="00B50EEF">
        <w:tc>
          <w:tcPr>
            <w:tcW w:w="3168" w:type="dxa"/>
            <w:vAlign w:val="center"/>
          </w:tcPr>
          <w:p w14:paraId="1D8719B0" w14:textId="77777777" w:rsidR="00977D5F" w:rsidRDefault="00977D5F" w:rsidP="005A3D6B">
            <w:pPr>
              <w:rPr>
                <w:b/>
                <w:sz w:val="24"/>
                <w:szCs w:val="24"/>
              </w:rPr>
            </w:pPr>
            <w:r>
              <w:rPr>
                <w:b/>
                <w:sz w:val="24"/>
                <w:szCs w:val="24"/>
              </w:rPr>
              <w:t>Plans for Payment to Participant (if applicable):</w:t>
            </w:r>
          </w:p>
        </w:tc>
        <w:tc>
          <w:tcPr>
            <w:tcW w:w="7128" w:type="dxa"/>
            <w:vAlign w:val="center"/>
          </w:tcPr>
          <w:p w14:paraId="62F13B4B" w14:textId="77777777" w:rsidR="00977D5F" w:rsidRPr="008737DB" w:rsidRDefault="00446811" w:rsidP="005A3D6B">
            <w:pPr>
              <w:rPr>
                <w:rFonts w:cstheme="minorHAnsi"/>
                <w:sz w:val="24"/>
                <w:szCs w:val="24"/>
              </w:rPr>
            </w:pPr>
            <w:r w:rsidRPr="008737DB">
              <w:rPr>
                <w:rFonts w:cstheme="minorHAnsi"/>
                <w:sz w:val="24"/>
                <w:szCs w:val="24"/>
              </w:rPr>
              <w:t>Not Applicable</w:t>
            </w:r>
          </w:p>
        </w:tc>
      </w:tr>
      <w:tr w:rsidR="00977D5F" w14:paraId="270CF43A" w14:textId="77777777" w:rsidTr="00B50EEF">
        <w:tc>
          <w:tcPr>
            <w:tcW w:w="3168" w:type="dxa"/>
            <w:vAlign w:val="center"/>
          </w:tcPr>
          <w:p w14:paraId="5669C68C" w14:textId="77777777" w:rsidR="00977D5F" w:rsidRDefault="00DD64AD" w:rsidP="005A3D6B">
            <w:pPr>
              <w:rPr>
                <w:b/>
                <w:sz w:val="24"/>
                <w:szCs w:val="24"/>
              </w:rPr>
            </w:pPr>
            <w:r>
              <w:rPr>
                <w:b/>
                <w:sz w:val="24"/>
                <w:szCs w:val="24"/>
              </w:rPr>
              <w:t>Privacy</w:t>
            </w:r>
            <w:r w:rsidR="00977D5F">
              <w:rPr>
                <w:b/>
                <w:sz w:val="24"/>
                <w:szCs w:val="24"/>
              </w:rPr>
              <w:t xml:space="preserve"> Protections:</w:t>
            </w:r>
          </w:p>
        </w:tc>
        <w:tc>
          <w:tcPr>
            <w:tcW w:w="7128" w:type="dxa"/>
            <w:vAlign w:val="center"/>
          </w:tcPr>
          <w:p w14:paraId="32F2C8C5" w14:textId="1E49F41F" w:rsidR="00977D5F" w:rsidRPr="008737DB" w:rsidRDefault="00DD64AD" w:rsidP="005A3D6B">
            <w:pPr>
              <w:rPr>
                <w:rFonts w:cstheme="minorHAnsi"/>
                <w:sz w:val="24"/>
                <w:szCs w:val="24"/>
              </w:rPr>
            </w:pPr>
            <w:r w:rsidRPr="008737DB">
              <w:rPr>
                <w:rFonts w:cstheme="minorHAnsi"/>
                <w:sz w:val="24"/>
                <w:szCs w:val="24"/>
              </w:rPr>
              <w:t>Privacy</w:t>
            </w:r>
            <w:r w:rsidR="00446811" w:rsidRPr="008737DB">
              <w:rPr>
                <w:rFonts w:cstheme="minorHAnsi"/>
                <w:sz w:val="24"/>
                <w:szCs w:val="24"/>
              </w:rPr>
              <w:t xml:space="preserve"> will be pr</w:t>
            </w:r>
            <w:r w:rsidR="001F71D9" w:rsidRPr="008737DB">
              <w:rPr>
                <w:rFonts w:cstheme="minorHAnsi"/>
                <w:sz w:val="24"/>
                <w:szCs w:val="24"/>
              </w:rPr>
              <w:t>otected to the fullest extent allowable by</w:t>
            </w:r>
            <w:r w:rsidR="00446811" w:rsidRPr="008737DB">
              <w:rPr>
                <w:rFonts w:cstheme="minorHAnsi"/>
                <w:sz w:val="24"/>
                <w:szCs w:val="24"/>
              </w:rPr>
              <w:t xml:space="preserve"> law.  </w:t>
            </w:r>
            <w:r w:rsidR="00797694" w:rsidRPr="008737DB">
              <w:rPr>
                <w:rFonts w:cstheme="minorHAnsi"/>
                <w:sz w:val="24"/>
                <w:szCs w:val="24"/>
              </w:rPr>
              <w:t xml:space="preserve">The consent forms contain information about </w:t>
            </w:r>
            <w:r w:rsidRPr="008737DB">
              <w:rPr>
                <w:rFonts w:cstheme="minorHAnsi"/>
                <w:sz w:val="24"/>
                <w:szCs w:val="24"/>
              </w:rPr>
              <w:t>privacy</w:t>
            </w:r>
            <w:r w:rsidR="00797694" w:rsidRPr="008737DB">
              <w:rPr>
                <w:rFonts w:cstheme="minorHAnsi"/>
                <w:sz w:val="24"/>
                <w:szCs w:val="24"/>
              </w:rPr>
              <w:t xml:space="preserve"> </w:t>
            </w:r>
            <w:r w:rsidR="000E2BF4" w:rsidRPr="008737DB">
              <w:rPr>
                <w:rFonts w:cstheme="minorHAnsi"/>
                <w:sz w:val="24"/>
                <w:szCs w:val="24"/>
              </w:rPr>
              <w:t>protections</w:t>
            </w:r>
            <w:r w:rsidR="00797694" w:rsidRPr="008737DB">
              <w:rPr>
                <w:rFonts w:cstheme="minorHAnsi"/>
                <w:sz w:val="24"/>
                <w:szCs w:val="24"/>
              </w:rPr>
              <w:t>.</w:t>
            </w:r>
          </w:p>
        </w:tc>
      </w:tr>
      <w:tr w:rsidR="00977D5F" w14:paraId="759F6CB8" w14:textId="77777777" w:rsidTr="00B50EEF">
        <w:tc>
          <w:tcPr>
            <w:tcW w:w="3168" w:type="dxa"/>
            <w:vAlign w:val="center"/>
          </w:tcPr>
          <w:p w14:paraId="37021390" w14:textId="77777777" w:rsidR="00977D5F" w:rsidRDefault="00977D5F" w:rsidP="005A3D6B">
            <w:pPr>
              <w:rPr>
                <w:b/>
                <w:sz w:val="24"/>
                <w:szCs w:val="24"/>
              </w:rPr>
            </w:pPr>
            <w:r>
              <w:rPr>
                <w:b/>
                <w:sz w:val="24"/>
                <w:szCs w:val="24"/>
              </w:rPr>
              <w:t>Other Ethical Concerns/Issues:</w:t>
            </w:r>
          </w:p>
        </w:tc>
        <w:tc>
          <w:tcPr>
            <w:tcW w:w="7128" w:type="dxa"/>
          </w:tcPr>
          <w:p w14:paraId="65B54185" w14:textId="77777777" w:rsidR="00977D5F" w:rsidRPr="008737DB" w:rsidRDefault="00C2426C" w:rsidP="006C23C0">
            <w:pPr>
              <w:rPr>
                <w:rFonts w:cstheme="minorHAnsi"/>
                <w:sz w:val="24"/>
                <w:szCs w:val="24"/>
              </w:rPr>
            </w:pPr>
            <w:r w:rsidRPr="008737DB">
              <w:rPr>
                <w:rFonts w:cstheme="minorHAnsi"/>
                <w:sz w:val="24"/>
                <w:szCs w:val="24"/>
              </w:rPr>
              <w:t xml:space="preserve">Blood will be drawn from children </w:t>
            </w:r>
            <w:r w:rsidR="006C23C0" w:rsidRPr="008737DB">
              <w:rPr>
                <w:rFonts w:cstheme="minorHAnsi"/>
                <w:sz w:val="24"/>
                <w:szCs w:val="24"/>
              </w:rPr>
              <w:t>and adults, which may</w:t>
            </w:r>
            <w:r w:rsidRPr="008737DB">
              <w:rPr>
                <w:rFonts w:cstheme="minorHAnsi"/>
                <w:sz w:val="24"/>
                <w:szCs w:val="24"/>
              </w:rPr>
              <w:t xml:space="preserve"> cause some fear </w:t>
            </w:r>
            <w:r w:rsidR="006C23C0" w:rsidRPr="008737DB">
              <w:rPr>
                <w:rFonts w:cstheme="minorHAnsi"/>
                <w:sz w:val="24"/>
                <w:szCs w:val="24"/>
              </w:rPr>
              <w:t xml:space="preserve">and discomfort </w:t>
            </w:r>
            <w:r w:rsidR="00245FE8" w:rsidRPr="008737DB">
              <w:rPr>
                <w:rFonts w:cstheme="minorHAnsi"/>
                <w:sz w:val="24"/>
                <w:szCs w:val="24"/>
              </w:rPr>
              <w:t xml:space="preserve">for </w:t>
            </w:r>
            <w:r w:rsidR="006C23C0" w:rsidRPr="008737DB">
              <w:rPr>
                <w:rFonts w:cstheme="minorHAnsi"/>
                <w:sz w:val="24"/>
                <w:szCs w:val="24"/>
              </w:rPr>
              <w:t>the participants</w:t>
            </w:r>
            <w:r w:rsidRPr="008737DB">
              <w:rPr>
                <w:rFonts w:cstheme="minorHAnsi"/>
                <w:sz w:val="24"/>
                <w:szCs w:val="24"/>
              </w:rPr>
              <w:t>.</w:t>
            </w:r>
          </w:p>
        </w:tc>
      </w:tr>
      <w:tr w:rsidR="00977D5F" w14:paraId="4F3297F5" w14:textId="77777777" w:rsidTr="00B50EEF">
        <w:tc>
          <w:tcPr>
            <w:tcW w:w="3168" w:type="dxa"/>
            <w:vAlign w:val="center"/>
          </w:tcPr>
          <w:p w14:paraId="001AD425" w14:textId="77777777" w:rsidR="00977D5F" w:rsidRDefault="00977D5F" w:rsidP="005A3D6B">
            <w:pPr>
              <w:rPr>
                <w:b/>
                <w:sz w:val="24"/>
                <w:szCs w:val="24"/>
              </w:rPr>
            </w:pPr>
            <w:r>
              <w:rPr>
                <w:b/>
                <w:sz w:val="24"/>
                <w:szCs w:val="24"/>
              </w:rPr>
              <w:t>Projected Time Frame:</w:t>
            </w:r>
          </w:p>
        </w:tc>
        <w:tc>
          <w:tcPr>
            <w:tcW w:w="7128" w:type="dxa"/>
          </w:tcPr>
          <w:p w14:paraId="20494850" w14:textId="7394CF7B" w:rsidR="00977D5F" w:rsidRPr="008737DB" w:rsidRDefault="005202A1" w:rsidP="0053447F">
            <w:pPr>
              <w:pStyle w:val="ListParagraph"/>
              <w:numPr>
                <w:ilvl w:val="0"/>
                <w:numId w:val="9"/>
              </w:numPr>
              <w:rPr>
                <w:rFonts w:cstheme="minorHAnsi"/>
                <w:sz w:val="24"/>
                <w:szCs w:val="24"/>
              </w:rPr>
            </w:pPr>
            <w:r w:rsidRPr="008737DB">
              <w:rPr>
                <w:rFonts w:cstheme="minorHAnsi"/>
                <w:sz w:val="24"/>
                <w:szCs w:val="24"/>
              </w:rPr>
              <w:t xml:space="preserve">The EI will be conducted over a </w:t>
            </w:r>
            <w:r w:rsidR="0053447F" w:rsidRPr="008737DB">
              <w:rPr>
                <w:rFonts w:cstheme="minorHAnsi"/>
                <w:sz w:val="24"/>
                <w:szCs w:val="24"/>
              </w:rPr>
              <w:t xml:space="preserve">period of </w:t>
            </w:r>
            <w:r w:rsidR="008663E3" w:rsidRPr="008737DB">
              <w:rPr>
                <w:rFonts w:cstheme="minorHAnsi"/>
                <w:sz w:val="24"/>
                <w:szCs w:val="24"/>
              </w:rPr>
              <w:t>4</w:t>
            </w:r>
            <w:r w:rsidR="00E36E2D" w:rsidRPr="008737DB">
              <w:rPr>
                <w:rFonts w:cstheme="minorHAnsi"/>
                <w:sz w:val="24"/>
                <w:szCs w:val="24"/>
              </w:rPr>
              <w:t xml:space="preserve"> </w:t>
            </w:r>
            <w:r w:rsidR="0053447F" w:rsidRPr="008737DB">
              <w:rPr>
                <w:rFonts w:cstheme="minorHAnsi"/>
                <w:sz w:val="24"/>
                <w:szCs w:val="24"/>
              </w:rPr>
              <w:t>days (</w:t>
            </w:r>
            <w:r w:rsidR="008663E3" w:rsidRPr="008737DB">
              <w:rPr>
                <w:rFonts w:cstheme="minorHAnsi"/>
                <w:sz w:val="24"/>
                <w:szCs w:val="24"/>
              </w:rPr>
              <w:t>Saturday through Tuesday</w:t>
            </w:r>
            <w:r w:rsidR="001E03FD" w:rsidRPr="008737DB">
              <w:rPr>
                <w:rFonts w:cstheme="minorHAnsi"/>
                <w:sz w:val="24"/>
                <w:szCs w:val="24"/>
              </w:rPr>
              <w:t>)</w:t>
            </w:r>
            <w:r w:rsidR="00E40471" w:rsidRPr="008737DB">
              <w:rPr>
                <w:rFonts w:cstheme="minorHAnsi"/>
                <w:sz w:val="24"/>
                <w:szCs w:val="24"/>
              </w:rPr>
              <w:t xml:space="preserve"> </w:t>
            </w:r>
            <w:r w:rsidR="0042709C" w:rsidRPr="008737DB">
              <w:rPr>
                <w:rFonts w:cstheme="minorHAnsi"/>
                <w:sz w:val="24"/>
                <w:szCs w:val="24"/>
              </w:rPr>
              <w:t>in the fall of 2018.</w:t>
            </w:r>
            <w:r w:rsidR="00435CB0" w:rsidRPr="008737DB">
              <w:rPr>
                <w:rFonts w:cstheme="minorHAnsi"/>
                <w:sz w:val="24"/>
                <w:szCs w:val="24"/>
              </w:rPr>
              <w:t xml:space="preserve"> </w:t>
            </w:r>
            <w:r w:rsidR="00573044" w:rsidRPr="008737DB">
              <w:rPr>
                <w:rFonts w:cstheme="minorHAnsi"/>
                <w:sz w:val="24"/>
                <w:szCs w:val="24"/>
              </w:rPr>
              <w:t>Data and s</w:t>
            </w:r>
            <w:r w:rsidR="0042709C" w:rsidRPr="008737DB">
              <w:rPr>
                <w:rFonts w:cstheme="minorHAnsi"/>
                <w:sz w:val="24"/>
                <w:szCs w:val="24"/>
              </w:rPr>
              <w:t>ample collection</w:t>
            </w:r>
            <w:r w:rsidR="0053447F" w:rsidRPr="008737DB">
              <w:rPr>
                <w:rFonts w:cstheme="minorHAnsi"/>
                <w:sz w:val="24"/>
                <w:szCs w:val="24"/>
              </w:rPr>
              <w:t xml:space="preserve"> will take approximately </w:t>
            </w:r>
            <w:r w:rsidR="00BA68DA" w:rsidRPr="008737DB">
              <w:rPr>
                <w:rFonts w:cstheme="minorHAnsi"/>
                <w:sz w:val="24"/>
                <w:szCs w:val="24"/>
              </w:rPr>
              <w:t xml:space="preserve">30 </w:t>
            </w:r>
            <w:r w:rsidR="0053447F" w:rsidRPr="008737DB">
              <w:rPr>
                <w:rFonts w:cstheme="minorHAnsi"/>
                <w:sz w:val="24"/>
                <w:szCs w:val="24"/>
              </w:rPr>
              <w:t>minutes per participant</w:t>
            </w:r>
            <w:r w:rsidR="00CE22E8" w:rsidRPr="008737DB">
              <w:rPr>
                <w:rFonts w:cstheme="minorHAnsi"/>
                <w:sz w:val="24"/>
                <w:szCs w:val="24"/>
              </w:rPr>
              <w:t xml:space="preserve">, including </w:t>
            </w:r>
            <w:r w:rsidR="0042709C" w:rsidRPr="008737DB">
              <w:rPr>
                <w:rFonts w:cstheme="minorHAnsi"/>
                <w:sz w:val="24"/>
                <w:szCs w:val="24"/>
              </w:rPr>
              <w:t xml:space="preserve">the </w:t>
            </w:r>
            <w:r w:rsidR="00CE22E8" w:rsidRPr="008737DB">
              <w:rPr>
                <w:rFonts w:cstheme="minorHAnsi"/>
                <w:sz w:val="24"/>
                <w:szCs w:val="24"/>
              </w:rPr>
              <w:t>questionnaire</w:t>
            </w:r>
            <w:r w:rsidR="009A5ADA" w:rsidRPr="008737DB">
              <w:rPr>
                <w:rFonts w:cstheme="minorHAnsi"/>
                <w:sz w:val="24"/>
                <w:szCs w:val="24"/>
              </w:rPr>
              <w:t>,</w:t>
            </w:r>
            <w:r w:rsidR="00BA68DA" w:rsidRPr="008737DB">
              <w:rPr>
                <w:rFonts w:cstheme="minorHAnsi"/>
                <w:sz w:val="24"/>
                <w:szCs w:val="24"/>
              </w:rPr>
              <w:t xml:space="preserve"> blood draw</w:t>
            </w:r>
            <w:r w:rsidR="009A5ADA" w:rsidRPr="008737DB">
              <w:rPr>
                <w:rFonts w:cstheme="minorHAnsi"/>
                <w:sz w:val="24"/>
                <w:szCs w:val="24"/>
              </w:rPr>
              <w:t>, and urine collection</w:t>
            </w:r>
            <w:r w:rsidR="0053447F" w:rsidRPr="008737DB">
              <w:rPr>
                <w:rFonts w:cstheme="minorHAnsi"/>
                <w:sz w:val="24"/>
                <w:szCs w:val="24"/>
              </w:rPr>
              <w:t>.</w:t>
            </w:r>
          </w:p>
          <w:p w14:paraId="3667F9BC" w14:textId="3AB89E06" w:rsidR="0053447F" w:rsidRPr="008737DB" w:rsidRDefault="0053447F" w:rsidP="0053447F">
            <w:pPr>
              <w:pStyle w:val="ListParagraph"/>
              <w:numPr>
                <w:ilvl w:val="0"/>
                <w:numId w:val="9"/>
              </w:numPr>
              <w:rPr>
                <w:rFonts w:cstheme="minorHAnsi"/>
                <w:sz w:val="24"/>
                <w:szCs w:val="24"/>
              </w:rPr>
            </w:pPr>
            <w:r w:rsidRPr="008737DB">
              <w:rPr>
                <w:rFonts w:cstheme="minorHAnsi"/>
                <w:sz w:val="24"/>
                <w:szCs w:val="24"/>
              </w:rPr>
              <w:t xml:space="preserve">The participants will be provided results of the blood </w:t>
            </w:r>
            <w:r w:rsidR="0042709C" w:rsidRPr="008737DB">
              <w:rPr>
                <w:rFonts w:cstheme="minorHAnsi"/>
                <w:sz w:val="24"/>
                <w:szCs w:val="24"/>
              </w:rPr>
              <w:t xml:space="preserve">and urine </w:t>
            </w:r>
            <w:r w:rsidR="00CE22E8" w:rsidRPr="008737DB">
              <w:rPr>
                <w:rFonts w:cstheme="minorHAnsi"/>
                <w:sz w:val="24"/>
                <w:szCs w:val="24"/>
              </w:rPr>
              <w:t>testing</w:t>
            </w:r>
            <w:r w:rsidRPr="008737DB">
              <w:rPr>
                <w:rFonts w:cstheme="minorHAnsi"/>
                <w:sz w:val="24"/>
                <w:szCs w:val="24"/>
              </w:rPr>
              <w:t xml:space="preserve"> within </w:t>
            </w:r>
            <w:r w:rsidR="00B95400" w:rsidRPr="008737DB">
              <w:rPr>
                <w:rFonts w:cstheme="minorHAnsi"/>
                <w:sz w:val="24"/>
                <w:szCs w:val="24"/>
              </w:rPr>
              <w:t>12</w:t>
            </w:r>
            <w:r w:rsidR="000F454D" w:rsidRPr="008737DB">
              <w:rPr>
                <w:rFonts w:cstheme="minorHAnsi"/>
                <w:sz w:val="24"/>
                <w:szCs w:val="24"/>
              </w:rPr>
              <w:t xml:space="preserve"> </w:t>
            </w:r>
            <w:r w:rsidRPr="008737DB">
              <w:rPr>
                <w:rFonts w:cstheme="minorHAnsi"/>
                <w:sz w:val="24"/>
                <w:szCs w:val="24"/>
              </w:rPr>
              <w:t xml:space="preserve">weeks </w:t>
            </w:r>
            <w:r w:rsidR="00245FE8" w:rsidRPr="008737DB">
              <w:rPr>
                <w:rFonts w:cstheme="minorHAnsi"/>
                <w:sz w:val="24"/>
                <w:szCs w:val="24"/>
              </w:rPr>
              <w:t>of</w:t>
            </w:r>
            <w:r w:rsidRPr="008737DB">
              <w:rPr>
                <w:rFonts w:cstheme="minorHAnsi"/>
                <w:sz w:val="24"/>
                <w:szCs w:val="24"/>
              </w:rPr>
              <w:t xml:space="preserve"> collection.</w:t>
            </w:r>
          </w:p>
          <w:p w14:paraId="4DE46CE6" w14:textId="77777777" w:rsidR="0053447F" w:rsidRPr="008737DB" w:rsidRDefault="0053447F" w:rsidP="000F454D">
            <w:pPr>
              <w:pStyle w:val="ListParagraph"/>
              <w:numPr>
                <w:ilvl w:val="0"/>
                <w:numId w:val="9"/>
              </w:numPr>
              <w:rPr>
                <w:rFonts w:cstheme="minorHAnsi"/>
                <w:sz w:val="24"/>
                <w:szCs w:val="24"/>
              </w:rPr>
            </w:pPr>
            <w:r w:rsidRPr="008737DB">
              <w:rPr>
                <w:rFonts w:cstheme="minorHAnsi"/>
                <w:sz w:val="24"/>
                <w:szCs w:val="24"/>
              </w:rPr>
              <w:t xml:space="preserve">The EI </w:t>
            </w:r>
            <w:r w:rsidR="00D41F21" w:rsidRPr="008737DB">
              <w:rPr>
                <w:rFonts w:cstheme="minorHAnsi"/>
                <w:sz w:val="24"/>
                <w:szCs w:val="24"/>
              </w:rPr>
              <w:t xml:space="preserve">report </w:t>
            </w:r>
            <w:r w:rsidRPr="008737DB">
              <w:rPr>
                <w:rFonts w:cstheme="minorHAnsi"/>
                <w:sz w:val="24"/>
                <w:szCs w:val="24"/>
              </w:rPr>
              <w:t>will be prepared</w:t>
            </w:r>
            <w:r w:rsidR="00E36E2D" w:rsidRPr="008737DB">
              <w:rPr>
                <w:rFonts w:cstheme="minorHAnsi"/>
                <w:sz w:val="24"/>
                <w:szCs w:val="24"/>
              </w:rPr>
              <w:t>,</w:t>
            </w:r>
            <w:r w:rsidRPr="008737DB">
              <w:rPr>
                <w:rFonts w:cstheme="minorHAnsi"/>
                <w:sz w:val="24"/>
                <w:szCs w:val="24"/>
              </w:rPr>
              <w:t xml:space="preserve"> cleared</w:t>
            </w:r>
            <w:r w:rsidR="00956EF2" w:rsidRPr="008737DB">
              <w:rPr>
                <w:rFonts w:cstheme="minorHAnsi"/>
                <w:sz w:val="24"/>
                <w:szCs w:val="24"/>
              </w:rPr>
              <w:t>, and released</w:t>
            </w:r>
            <w:r w:rsidRPr="008737DB">
              <w:rPr>
                <w:rFonts w:cstheme="minorHAnsi"/>
                <w:sz w:val="24"/>
                <w:szCs w:val="24"/>
              </w:rPr>
              <w:t xml:space="preserve"> as soon as possible.</w:t>
            </w:r>
          </w:p>
        </w:tc>
      </w:tr>
      <w:tr w:rsidR="00977D5F" w14:paraId="6EF7E150" w14:textId="77777777" w:rsidTr="00B50EEF">
        <w:tc>
          <w:tcPr>
            <w:tcW w:w="3168" w:type="dxa"/>
            <w:vAlign w:val="center"/>
          </w:tcPr>
          <w:p w14:paraId="62FC7B20" w14:textId="77777777" w:rsidR="00977D5F" w:rsidRDefault="00977D5F" w:rsidP="005A3D6B">
            <w:pPr>
              <w:rPr>
                <w:b/>
                <w:sz w:val="24"/>
                <w:szCs w:val="24"/>
              </w:rPr>
            </w:pPr>
            <w:r>
              <w:rPr>
                <w:b/>
                <w:sz w:val="24"/>
                <w:szCs w:val="24"/>
              </w:rPr>
              <w:t>Plans for Publication and Dissemination of Results:</w:t>
            </w:r>
          </w:p>
        </w:tc>
        <w:tc>
          <w:tcPr>
            <w:tcW w:w="7128" w:type="dxa"/>
          </w:tcPr>
          <w:p w14:paraId="0B0C74C3" w14:textId="70D5492B" w:rsidR="000F454D" w:rsidRPr="008737DB" w:rsidRDefault="00C2426C" w:rsidP="00245FE8">
            <w:pPr>
              <w:pStyle w:val="ListParagraph"/>
              <w:numPr>
                <w:ilvl w:val="0"/>
                <w:numId w:val="6"/>
              </w:numPr>
              <w:rPr>
                <w:rFonts w:cstheme="minorHAnsi"/>
                <w:sz w:val="24"/>
                <w:szCs w:val="24"/>
              </w:rPr>
            </w:pPr>
            <w:r w:rsidRPr="008737DB">
              <w:rPr>
                <w:rFonts w:cstheme="minorHAnsi"/>
                <w:sz w:val="24"/>
                <w:szCs w:val="24"/>
              </w:rPr>
              <w:t>Blood lead</w:t>
            </w:r>
            <w:r w:rsidR="0042709C" w:rsidRPr="008737DB">
              <w:rPr>
                <w:rFonts w:cstheme="minorHAnsi"/>
                <w:sz w:val="24"/>
                <w:szCs w:val="24"/>
              </w:rPr>
              <w:t xml:space="preserve"> and urine arsenic</w:t>
            </w:r>
            <w:r w:rsidRPr="008737DB">
              <w:rPr>
                <w:rFonts w:cstheme="minorHAnsi"/>
                <w:sz w:val="24"/>
                <w:szCs w:val="24"/>
              </w:rPr>
              <w:t xml:space="preserve"> results will be provided to participants within </w:t>
            </w:r>
            <w:r w:rsidR="00B95400" w:rsidRPr="008737DB">
              <w:rPr>
                <w:rFonts w:cstheme="minorHAnsi"/>
                <w:sz w:val="24"/>
                <w:szCs w:val="24"/>
              </w:rPr>
              <w:t>12 wee</w:t>
            </w:r>
            <w:r w:rsidRPr="008737DB">
              <w:rPr>
                <w:rFonts w:cstheme="minorHAnsi"/>
                <w:sz w:val="24"/>
                <w:szCs w:val="24"/>
              </w:rPr>
              <w:t xml:space="preserve">ks of </w:t>
            </w:r>
            <w:r w:rsidR="007B07B7" w:rsidRPr="008737DB">
              <w:rPr>
                <w:rFonts w:cstheme="minorHAnsi"/>
                <w:sz w:val="24"/>
                <w:szCs w:val="24"/>
              </w:rPr>
              <w:t>specimen collection</w:t>
            </w:r>
            <w:r w:rsidRPr="008737DB">
              <w:rPr>
                <w:rFonts w:cstheme="minorHAnsi"/>
                <w:sz w:val="24"/>
                <w:szCs w:val="24"/>
              </w:rPr>
              <w:t>.</w:t>
            </w:r>
          </w:p>
          <w:p w14:paraId="77E81329" w14:textId="104CA0E0" w:rsidR="00245FE8" w:rsidRPr="008737DB" w:rsidRDefault="00245FE8" w:rsidP="00245FE8">
            <w:pPr>
              <w:pStyle w:val="ListParagraph"/>
              <w:numPr>
                <w:ilvl w:val="0"/>
                <w:numId w:val="6"/>
              </w:numPr>
              <w:rPr>
                <w:rFonts w:cstheme="minorHAnsi"/>
                <w:sz w:val="24"/>
                <w:szCs w:val="24"/>
              </w:rPr>
            </w:pPr>
            <w:r w:rsidRPr="008737DB">
              <w:rPr>
                <w:rFonts w:cstheme="minorHAnsi"/>
                <w:sz w:val="24"/>
                <w:szCs w:val="24"/>
              </w:rPr>
              <w:t xml:space="preserve">If concentrations </w:t>
            </w:r>
            <w:r w:rsidR="0042709C" w:rsidRPr="008737DB">
              <w:rPr>
                <w:rFonts w:cstheme="minorHAnsi"/>
                <w:sz w:val="24"/>
                <w:szCs w:val="24"/>
              </w:rPr>
              <w:t xml:space="preserve">of lead </w:t>
            </w:r>
            <w:r w:rsidRPr="008737DB">
              <w:rPr>
                <w:rFonts w:cstheme="minorHAnsi"/>
                <w:sz w:val="24"/>
                <w:szCs w:val="24"/>
              </w:rPr>
              <w:t>in blood are found at</w:t>
            </w:r>
            <w:r w:rsidR="001E4DEE" w:rsidRPr="008737DB">
              <w:rPr>
                <w:rFonts w:cstheme="minorHAnsi"/>
                <w:sz w:val="24"/>
                <w:szCs w:val="24"/>
              </w:rPr>
              <w:t xml:space="preserve"> ≥5 µg/dL</w:t>
            </w:r>
            <w:r w:rsidR="0042709C" w:rsidRPr="008737DB">
              <w:rPr>
                <w:rFonts w:cstheme="minorHAnsi"/>
                <w:sz w:val="24"/>
                <w:szCs w:val="24"/>
              </w:rPr>
              <w:t xml:space="preserve"> or if total arsenic or total inorganic arsenic levels are above concentrations in the U.S. population (NHANES data)</w:t>
            </w:r>
            <w:r w:rsidRPr="008737DB">
              <w:rPr>
                <w:rFonts w:cstheme="minorHAnsi"/>
                <w:sz w:val="24"/>
                <w:szCs w:val="24"/>
              </w:rPr>
              <w:t>, participants will be contacted sooner.</w:t>
            </w:r>
          </w:p>
          <w:p w14:paraId="1D340030" w14:textId="77777777" w:rsidR="00C2426C" w:rsidRPr="008737DB" w:rsidRDefault="0053447F" w:rsidP="00245FE8">
            <w:pPr>
              <w:pStyle w:val="ListParagraph"/>
              <w:numPr>
                <w:ilvl w:val="0"/>
                <w:numId w:val="6"/>
              </w:numPr>
              <w:rPr>
                <w:rFonts w:cstheme="minorHAnsi"/>
                <w:sz w:val="24"/>
                <w:szCs w:val="24"/>
              </w:rPr>
            </w:pPr>
            <w:r w:rsidRPr="008737DB">
              <w:rPr>
                <w:rFonts w:cstheme="minorHAnsi"/>
                <w:sz w:val="24"/>
                <w:szCs w:val="24"/>
              </w:rPr>
              <w:t>The</w:t>
            </w:r>
            <w:r w:rsidR="00C2426C" w:rsidRPr="008737DB">
              <w:rPr>
                <w:rFonts w:cstheme="minorHAnsi"/>
                <w:sz w:val="24"/>
                <w:szCs w:val="24"/>
              </w:rPr>
              <w:t xml:space="preserve"> EI report will be prepared</w:t>
            </w:r>
            <w:r w:rsidR="00245FE8" w:rsidRPr="008737DB">
              <w:rPr>
                <w:rFonts w:cstheme="minorHAnsi"/>
                <w:sz w:val="24"/>
                <w:szCs w:val="24"/>
              </w:rPr>
              <w:t>,</w:t>
            </w:r>
            <w:r w:rsidR="00C2426C" w:rsidRPr="008737DB">
              <w:rPr>
                <w:rFonts w:cstheme="minorHAnsi"/>
                <w:sz w:val="24"/>
                <w:szCs w:val="24"/>
              </w:rPr>
              <w:t xml:space="preserve"> </w:t>
            </w:r>
            <w:r w:rsidR="001A5953" w:rsidRPr="008737DB">
              <w:rPr>
                <w:rFonts w:cstheme="minorHAnsi"/>
                <w:sz w:val="24"/>
                <w:szCs w:val="24"/>
              </w:rPr>
              <w:t>cleared</w:t>
            </w:r>
            <w:r w:rsidR="00245FE8" w:rsidRPr="008737DB">
              <w:rPr>
                <w:rFonts w:cstheme="minorHAnsi"/>
                <w:sz w:val="24"/>
                <w:szCs w:val="24"/>
              </w:rPr>
              <w:t xml:space="preserve"> and released</w:t>
            </w:r>
            <w:r w:rsidR="001A5953" w:rsidRPr="008737DB">
              <w:rPr>
                <w:rFonts w:cstheme="minorHAnsi"/>
                <w:sz w:val="24"/>
                <w:szCs w:val="24"/>
              </w:rPr>
              <w:t xml:space="preserve"> as soon as possible.</w:t>
            </w:r>
          </w:p>
        </w:tc>
      </w:tr>
      <w:tr w:rsidR="00977D5F" w14:paraId="32703A2E" w14:textId="77777777" w:rsidTr="006B546F">
        <w:tc>
          <w:tcPr>
            <w:tcW w:w="3168" w:type="dxa"/>
            <w:vAlign w:val="center"/>
          </w:tcPr>
          <w:p w14:paraId="368BBCE3" w14:textId="77777777" w:rsidR="00977D5F" w:rsidRDefault="00977D5F" w:rsidP="005A3D6B">
            <w:pPr>
              <w:rPr>
                <w:b/>
                <w:sz w:val="24"/>
                <w:szCs w:val="24"/>
              </w:rPr>
            </w:pPr>
            <w:r>
              <w:rPr>
                <w:b/>
                <w:sz w:val="24"/>
                <w:szCs w:val="24"/>
              </w:rPr>
              <w:t>Burden Hours Requested:</w:t>
            </w:r>
          </w:p>
        </w:tc>
        <w:tc>
          <w:tcPr>
            <w:tcW w:w="7128" w:type="dxa"/>
          </w:tcPr>
          <w:p w14:paraId="22597554" w14:textId="6F934996" w:rsidR="009E2696" w:rsidRPr="008737DB" w:rsidRDefault="00BA68DA" w:rsidP="00700B89">
            <w:pPr>
              <w:rPr>
                <w:rFonts w:cstheme="minorHAnsi"/>
                <w:sz w:val="24"/>
                <w:szCs w:val="24"/>
              </w:rPr>
            </w:pPr>
            <w:r w:rsidRPr="008737DB">
              <w:rPr>
                <w:rFonts w:cstheme="minorHAnsi"/>
                <w:sz w:val="24"/>
                <w:szCs w:val="24"/>
              </w:rPr>
              <w:t>1</w:t>
            </w:r>
            <w:r w:rsidR="00E1096A" w:rsidRPr="008737DB">
              <w:rPr>
                <w:rFonts w:cstheme="minorHAnsi"/>
                <w:sz w:val="24"/>
                <w:szCs w:val="24"/>
              </w:rPr>
              <w:t>5</w:t>
            </w:r>
            <w:r w:rsidRPr="008737DB">
              <w:rPr>
                <w:rFonts w:cstheme="minorHAnsi"/>
                <w:sz w:val="24"/>
                <w:szCs w:val="24"/>
              </w:rPr>
              <w:t xml:space="preserve">0 </w:t>
            </w:r>
            <w:r w:rsidR="0053447F" w:rsidRPr="008737DB">
              <w:rPr>
                <w:rFonts w:cstheme="minorHAnsi"/>
                <w:sz w:val="24"/>
                <w:szCs w:val="24"/>
              </w:rPr>
              <w:t xml:space="preserve">hours </w:t>
            </w:r>
          </w:p>
          <w:p w14:paraId="29DA3000" w14:textId="0543945E" w:rsidR="00977D5F" w:rsidRPr="008737DB" w:rsidRDefault="00E1096A" w:rsidP="004A462F">
            <w:pPr>
              <w:pStyle w:val="ListParagraph"/>
              <w:numPr>
                <w:ilvl w:val="0"/>
                <w:numId w:val="15"/>
              </w:numPr>
              <w:rPr>
                <w:rFonts w:cstheme="minorHAnsi"/>
                <w:sz w:val="24"/>
                <w:szCs w:val="24"/>
              </w:rPr>
            </w:pPr>
            <w:r w:rsidRPr="008737DB">
              <w:rPr>
                <w:rFonts w:cstheme="minorHAnsi"/>
                <w:sz w:val="24"/>
                <w:szCs w:val="24"/>
              </w:rPr>
              <w:t>3</w:t>
            </w:r>
            <w:r w:rsidR="0053447F" w:rsidRPr="008737DB">
              <w:rPr>
                <w:rFonts w:cstheme="minorHAnsi"/>
                <w:sz w:val="24"/>
                <w:szCs w:val="24"/>
              </w:rPr>
              <w:t xml:space="preserve">00 participants x </w:t>
            </w:r>
            <w:r w:rsidR="00BA68DA" w:rsidRPr="008737DB">
              <w:rPr>
                <w:rFonts w:cstheme="minorHAnsi"/>
                <w:sz w:val="24"/>
                <w:szCs w:val="24"/>
              </w:rPr>
              <w:t xml:space="preserve">30 </w:t>
            </w:r>
            <w:r w:rsidR="0053447F" w:rsidRPr="008737DB">
              <w:rPr>
                <w:rFonts w:cstheme="minorHAnsi"/>
                <w:sz w:val="24"/>
                <w:szCs w:val="24"/>
              </w:rPr>
              <w:t>minutes per participant</w:t>
            </w:r>
            <w:r w:rsidR="009E2696" w:rsidRPr="008737DB">
              <w:rPr>
                <w:rFonts w:cstheme="minorHAnsi"/>
                <w:sz w:val="24"/>
                <w:szCs w:val="24"/>
              </w:rPr>
              <w:t xml:space="preserve"> </w:t>
            </w:r>
          </w:p>
        </w:tc>
      </w:tr>
    </w:tbl>
    <w:p w14:paraId="1674C9CF" w14:textId="099BA95D" w:rsidR="00977D5F" w:rsidRPr="008C1299" w:rsidRDefault="00977D5F">
      <w:pPr>
        <w:rPr>
          <w:b/>
          <w:sz w:val="24"/>
          <w:szCs w:val="24"/>
        </w:rPr>
      </w:pPr>
    </w:p>
    <w:p w14:paraId="196ECE89" w14:textId="77777777" w:rsidR="00CD06AA" w:rsidRPr="008737DB" w:rsidRDefault="00CD06AA" w:rsidP="00CD06AA">
      <w:pPr>
        <w:rPr>
          <w:rFonts w:cstheme="minorHAnsi"/>
          <w:b/>
        </w:rPr>
      </w:pPr>
      <w:r w:rsidRPr="008737DB">
        <w:rPr>
          <w:rFonts w:cstheme="minorHAnsi"/>
          <w:b/>
        </w:rPr>
        <w:t>Attachments:</w:t>
      </w:r>
    </w:p>
    <w:p w14:paraId="571BEFB5" w14:textId="77777777" w:rsidR="00BA68DA" w:rsidRPr="008737DB" w:rsidRDefault="00BA68DA" w:rsidP="00BA68DA">
      <w:pPr>
        <w:pStyle w:val="ListParagraph"/>
        <w:numPr>
          <w:ilvl w:val="0"/>
          <w:numId w:val="1"/>
        </w:numPr>
        <w:rPr>
          <w:rFonts w:cstheme="minorHAnsi"/>
        </w:rPr>
      </w:pPr>
      <w:r w:rsidRPr="008737DB">
        <w:rPr>
          <w:rFonts w:cstheme="minorHAnsi"/>
        </w:rPr>
        <w:t>Supporting Statement A</w:t>
      </w:r>
    </w:p>
    <w:p w14:paraId="65C7D489" w14:textId="77777777" w:rsidR="00BA68DA" w:rsidRPr="008737DB" w:rsidRDefault="00BA68DA" w:rsidP="00BA68DA">
      <w:pPr>
        <w:pStyle w:val="ListParagraph"/>
        <w:numPr>
          <w:ilvl w:val="0"/>
          <w:numId w:val="1"/>
        </w:numPr>
        <w:rPr>
          <w:rFonts w:cstheme="minorHAnsi"/>
        </w:rPr>
      </w:pPr>
      <w:r w:rsidRPr="008737DB">
        <w:rPr>
          <w:rFonts w:cstheme="minorHAnsi"/>
        </w:rPr>
        <w:t>Supporting Statement B</w:t>
      </w:r>
    </w:p>
    <w:p w14:paraId="3E31672F" w14:textId="59991F8A" w:rsidR="00BA68DA" w:rsidRPr="008737DB" w:rsidRDefault="00BA68DA" w:rsidP="00BA68DA">
      <w:pPr>
        <w:pStyle w:val="ListParagraph"/>
        <w:numPr>
          <w:ilvl w:val="0"/>
          <w:numId w:val="1"/>
        </w:numPr>
        <w:rPr>
          <w:rFonts w:cstheme="minorHAnsi"/>
        </w:rPr>
      </w:pPr>
      <w:r w:rsidRPr="008737DB">
        <w:rPr>
          <w:rFonts w:cstheme="minorHAnsi"/>
        </w:rPr>
        <w:t xml:space="preserve">Anaconda, MT </w:t>
      </w:r>
      <w:r w:rsidR="005D4DE8">
        <w:rPr>
          <w:rFonts w:cstheme="minorHAnsi"/>
        </w:rPr>
        <w:t xml:space="preserve">II </w:t>
      </w:r>
      <w:r w:rsidRPr="008737DB">
        <w:rPr>
          <w:rFonts w:cstheme="minorHAnsi"/>
        </w:rPr>
        <w:t>EI Parental Permission/Assent/Consent Forms</w:t>
      </w:r>
    </w:p>
    <w:p w14:paraId="085040A2" w14:textId="77777777" w:rsidR="00BA68DA" w:rsidRPr="008737DB" w:rsidRDefault="00BA68DA" w:rsidP="00BA68DA">
      <w:pPr>
        <w:pStyle w:val="ListParagraph"/>
        <w:numPr>
          <w:ilvl w:val="1"/>
          <w:numId w:val="1"/>
        </w:numPr>
        <w:ind w:left="1080"/>
        <w:rPr>
          <w:rFonts w:cstheme="minorHAnsi"/>
        </w:rPr>
      </w:pPr>
      <w:r w:rsidRPr="008737DB">
        <w:rPr>
          <w:rFonts w:cstheme="minorHAnsi"/>
        </w:rPr>
        <w:t xml:space="preserve"> Privacy Act Statement</w:t>
      </w:r>
    </w:p>
    <w:p w14:paraId="09CC3011" w14:textId="77777777" w:rsidR="00BA68DA" w:rsidRPr="008737DB" w:rsidRDefault="00BA68DA" w:rsidP="00BA68DA">
      <w:pPr>
        <w:pStyle w:val="ListParagraph"/>
        <w:numPr>
          <w:ilvl w:val="1"/>
          <w:numId w:val="1"/>
        </w:numPr>
        <w:ind w:left="1080"/>
        <w:rPr>
          <w:rFonts w:cstheme="minorHAnsi"/>
        </w:rPr>
      </w:pPr>
      <w:r w:rsidRPr="008737DB">
        <w:rPr>
          <w:rFonts w:cstheme="minorHAnsi"/>
        </w:rPr>
        <w:t xml:space="preserve"> Adult Consent Form for Blood and Urine Testing</w:t>
      </w:r>
    </w:p>
    <w:p w14:paraId="795CABE7" w14:textId="77777777" w:rsidR="00BA68DA" w:rsidRPr="008737DB" w:rsidRDefault="00BA68DA" w:rsidP="00BA68DA">
      <w:pPr>
        <w:pStyle w:val="ListParagraph"/>
        <w:numPr>
          <w:ilvl w:val="1"/>
          <w:numId w:val="1"/>
        </w:numPr>
        <w:ind w:left="1080"/>
        <w:rPr>
          <w:rFonts w:cstheme="minorHAnsi"/>
        </w:rPr>
      </w:pPr>
      <w:r w:rsidRPr="008737DB">
        <w:rPr>
          <w:rFonts w:cstheme="minorHAnsi"/>
        </w:rPr>
        <w:t xml:space="preserve"> Parental Permission Form for Blood and Urine Testing: Children younger than 18 years of age</w:t>
      </w:r>
    </w:p>
    <w:p w14:paraId="733BB1CE" w14:textId="77777777" w:rsidR="00BA68DA" w:rsidRPr="008737DB" w:rsidRDefault="00BA68DA" w:rsidP="00BA68DA">
      <w:pPr>
        <w:pStyle w:val="ListParagraph"/>
        <w:numPr>
          <w:ilvl w:val="1"/>
          <w:numId w:val="1"/>
        </w:numPr>
        <w:ind w:left="1080"/>
        <w:rPr>
          <w:rFonts w:cstheme="minorHAnsi"/>
        </w:rPr>
      </w:pPr>
      <w:r w:rsidRPr="008737DB">
        <w:rPr>
          <w:rFonts w:cstheme="minorHAnsi"/>
        </w:rPr>
        <w:t>Assent Form for Blood and Urine Testing: Children between 7 and 17 years of age</w:t>
      </w:r>
    </w:p>
    <w:p w14:paraId="54211376" w14:textId="297F9BCE" w:rsidR="00BA68DA" w:rsidRPr="008737DB" w:rsidRDefault="00BA68DA" w:rsidP="00BA68DA">
      <w:pPr>
        <w:pStyle w:val="ListParagraph"/>
        <w:numPr>
          <w:ilvl w:val="0"/>
          <w:numId w:val="1"/>
        </w:numPr>
        <w:rPr>
          <w:rFonts w:cstheme="minorHAnsi"/>
        </w:rPr>
      </w:pPr>
      <w:r w:rsidRPr="008737DB">
        <w:rPr>
          <w:rFonts w:cstheme="minorHAnsi"/>
        </w:rPr>
        <w:t xml:space="preserve">Anaconda, MT </w:t>
      </w:r>
      <w:r w:rsidR="00825743">
        <w:rPr>
          <w:rFonts w:cstheme="minorHAnsi"/>
        </w:rPr>
        <w:t xml:space="preserve">II </w:t>
      </w:r>
      <w:r w:rsidRPr="008737DB">
        <w:rPr>
          <w:rFonts w:cstheme="minorHAnsi"/>
        </w:rPr>
        <w:t>EI Questionnaire</w:t>
      </w:r>
    </w:p>
    <w:p w14:paraId="13F477CD" w14:textId="54A6D863" w:rsidR="00BA68DA" w:rsidRPr="008737DB" w:rsidRDefault="00BA68DA" w:rsidP="00BA68DA">
      <w:pPr>
        <w:pStyle w:val="ListParagraph"/>
        <w:numPr>
          <w:ilvl w:val="0"/>
          <w:numId w:val="1"/>
        </w:numPr>
        <w:rPr>
          <w:rFonts w:cstheme="minorHAnsi"/>
        </w:rPr>
      </w:pPr>
      <w:r w:rsidRPr="008737DB">
        <w:rPr>
          <w:rFonts w:cstheme="minorHAnsi"/>
        </w:rPr>
        <w:t xml:space="preserve">Anaconda, MT </w:t>
      </w:r>
      <w:r w:rsidR="00825743">
        <w:rPr>
          <w:rFonts w:cstheme="minorHAnsi"/>
        </w:rPr>
        <w:t xml:space="preserve">II </w:t>
      </w:r>
      <w:r w:rsidRPr="008737DB">
        <w:rPr>
          <w:rFonts w:cstheme="minorHAnsi"/>
        </w:rPr>
        <w:t xml:space="preserve">EI Research Determination  </w:t>
      </w:r>
    </w:p>
    <w:p w14:paraId="24A4B676" w14:textId="6D8A1101" w:rsidR="00BA68DA" w:rsidRPr="008737DB" w:rsidRDefault="00BA68DA" w:rsidP="00BA68DA">
      <w:pPr>
        <w:pStyle w:val="ListParagraph"/>
        <w:numPr>
          <w:ilvl w:val="0"/>
          <w:numId w:val="1"/>
        </w:numPr>
        <w:rPr>
          <w:rFonts w:cstheme="minorHAnsi"/>
        </w:rPr>
      </w:pPr>
      <w:r w:rsidRPr="008737DB">
        <w:rPr>
          <w:rFonts w:cstheme="minorHAnsi"/>
        </w:rPr>
        <w:t xml:space="preserve">Anaconda, MT </w:t>
      </w:r>
      <w:r w:rsidR="00825743">
        <w:rPr>
          <w:rFonts w:cstheme="minorHAnsi"/>
        </w:rPr>
        <w:t xml:space="preserve">II </w:t>
      </w:r>
      <w:r w:rsidRPr="008737DB">
        <w:rPr>
          <w:rFonts w:cstheme="minorHAnsi"/>
        </w:rPr>
        <w:t>EI Sample Results Letter</w:t>
      </w:r>
    </w:p>
    <w:p w14:paraId="5DF88F2D" w14:textId="77777777" w:rsidR="00BA68DA" w:rsidRPr="008737DB" w:rsidRDefault="00BA68DA" w:rsidP="00BA68DA">
      <w:pPr>
        <w:pStyle w:val="ListParagraph"/>
        <w:numPr>
          <w:ilvl w:val="0"/>
          <w:numId w:val="1"/>
        </w:numPr>
        <w:rPr>
          <w:rFonts w:cstheme="minorHAnsi"/>
        </w:rPr>
      </w:pPr>
      <w:r w:rsidRPr="008737DB">
        <w:rPr>
          <w:rFonts w:cstheme="minorHAnsi"/>
        </w:rPr>
        <w:t>Example of Prior EI Final Report</w:t>
      </w:r>
    </w:p>
    <w:p w14:paraId="2399A809" w14:textId="77777777" w:rsidR="00BA68DA" w:rsidRPr="008737DB" w:rsidRDefault="00BA68DA" w:rsidP="00BA68DA">
      <w:pPr>
        <w:pStyle w:val="ListParagraph"/>
        <w:numPr>
          <w:ilvl w:val="0"/>
          <w:numId w:val="1"/>
        </w:numPr>
        <w:rPr>
          <w:rFonts w:cstheme="minorHAnsi"/>
        </w:rPr>
      </w:pPr>
      <w:r w:rsidRPr="008737DB">
        <w:rPr>
          <w:rFonts w:cstheme="minorHAnsi"/>
        </w:rPr>
        <w:t>Privacy Impact Assessment Form</w:t>
      </w:r>
    </w:p>
    <w:p w14:paraId="58D03051" w14:textId="5E88DC7C" w:rsidR="00BA68DA" w:rsidRPr="008737DB" w:rsidRDefault="00BA68DA" w:rsidP="00BA68DA">
      <w:pPr>
        <w:pStyle w:val="ListParagraph"/>
        <w:numPr>
          <w:ilvl w:val="0"/>
          <w:numId w:val="1"/>
        </w:numPr>
        <w:rPr>
          <w:rFonts w:cstheme="minorHAnsi"/>
        </w:rPr>
      </w:pPr>
      <w:r w:rsidRPr="008737DB">
        <w:rPr>
          <w:rFonts w:cstheme="minorHAnsi"/>
        </w:rPr>
        <w:t xml:space="preserve">Anaconda </w:t>
      </w:r>
      <w:r w:rsidR="00825743">
        <w:rPr>
          <w:rFonts w:cstheme="minorHAnsi"/>
        </w:rPr>
        <w:t xml:space="preserve">II </w:t>
      </w:r>
      <w:r w:rsidRPr="008737DB">
        <w:rPr>
          <w:rFonts w:cstheme="minorHAnsi"/>
        </w:rPr>
        <w:t>EI Protocol</w:t>
      </w:r>
    </w:p>
    <w:p w14:paraId="61FD12E9" w14:textId="33EC6608" w:rsidR="005D2153" w:rsidRPr="0042709C" w:rsidRDefault="005D2153" w:rsidP="004A462F">
      <w:pPr>
        <w:pStyle w:val="ListParagraph"/>
      </w:pPr>
    </w:p>
    <w:sectPr w:rsidR="005D2153" w:rsidRPr="0042709C" w:rsidSect="00D809E7">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E3554"/>
    <w:multiLevelType w:val="hybridMultilevel"/>
    <w:tmpl w:val="1DF0E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281F59"/>
    <w:multiLevelType w:val="hybridMultilevel"/>
    <w:tmpl w:val="90768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BA09FB"/>
    <w:multiLevelType w:val="hybridMultilevel"/>
    <w:tmpl w:val="2FD2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AE52E8"/>
    <w:multiLevelType w:val="hybridMultilevel"/>
    <w:tmpl w:val="B1C0C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463CB8"/>
    <w:multiLevelType w:val="hybridMultilevel"/>
    <w:tmpl w:val="60CE3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982861"/>
    <w:multiLevelType w:val="hybridMultilevel"/>
    <w:tmpl w:val="8C263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1857A5"/>
    <w:multiLevelType w:val="hybridMultilevel"/>
    <w:tmpl w:val="36F24E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C2D47E9"/>
    <w:multiLevelType w:val="hybridMultilevel"/>
    <w:tmpl w:val="F9F60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4C436F"/>
    <w:multiLevelType w:val="hybridMultilevel"/>
    <w:tmpl w:val="7B46C880"/>
    <w:lvl w:ilvl="0" w:tplc="0409000F">
      <w:start w:val="1"/>
      <w:numFmt w:val="decimal"/>
      <w:lvlText w:val="%1."/>
      <w:lvlJc w:val="left"/>
      <w:pPr>
        <w:ind w:left="72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D5573A"/>
    <w:multiLevelType w:val="hybridMultilevel"/>
    <w:tmpl w:val="10EA2E14"/>
    <w:lvl w:ilvl="0" w:tplc="097A03C6">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A86289"/>
    <w:multiLevelType w:val="hybridMultilevel"/>
    <w:tmpl w:val="FB2A211A"/>
    <w:lvl w:ilvl="0" w:tplc="8BCEFDF0">
      <w:start w:val="4"/>
      <w:numFmt w:val="decimal"/>
      <w:lvlText w:val="%1."/>
      <w:lvlJc w:val="left"/>
      <w:pPr>
        <w:ind w:left="108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47C770B6"/>
    <w:multiLevelType w:val="hybridMultilevel"/>
    <w:tmpl w:val="741019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7CE6C96"/>
    <w:multiLevelType w:val="hybridMultilevel"/>
    <w:tmpl w:val="AF54E0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855825"/>
    <w:multiLevelType w:val="hybridMultilevel"/>
    <w:tmpl w:val="BA721D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AA3824"/>
    <w:multiLevelType w:val="hybridMultilevel"/>
    <w:tmpl w:val="1D882E04"/>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195B21"/>
    <w:multiLevelType w:val="hybridMultilevel"/>
    <w:tmpl w:val="7D5A4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A02673"/>
    <w:multiLevelType w:val="hybridMultilevel"/>
    <w:tmpl w:val="7116B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2A07CA"/>
    <w:multiLevelType w:val="hybridMultilevel"/>
    <w:tmpl w:val="E27C595A"/>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63E4350"/>
    <w:multiLevelType w:val="hybridMultilevel"/>
    <w:tmpl w:val="CA56E18E"/>
    <w:lvl w:ilvl="0" w:tplc="0409000F">
      <w:start w:val="1"/>
      <w:numFmt w:val="decimal"/>
      <w:lvlText w:val="%1."/>
      <w:lvlJc w:val="left"/>
      <w:pPr>
        <w:ind w:left="720" w:hanging="360"/>
      </w:pPr>
      <w:rPr>
        <w:rFonts w:hint="default"/>
      </w:rPr>
    </w:lvl>
    <w:lvl w:ilvl="1" w:tplc="51E8C0E0">
      <w:start w:val="1"/>
      <w:numFmt w:val="upperLetter"/>
      <w:lvlText w:val="6%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CA0FED"/>
    <w:multiLevelType w:val="hybridMultilevel"/>
    <w:tmpl w:val="A87E74B8"/>
    <w:lvl w:ilvl="0" w:tplc="05C21E8E">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D930953"/>
    <w:multiLevelType w:val="hybridMultilevel"/>
    <w:tmpl w:val="E17872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65605E70"/>
    <w:multiLevelType w:val="hybridMultilevel"/>
    <w:tmpl w:val="92F8D0E4"/>
    <w:lvl w:ilvl="0" w:tplc="04090001">
      <w:start w:val="1"/>
      <w:numFmt w:val="bullet"/>
      <w:lvlText w:val=""/>
      <w:lvlJc w:val="left"/>
      <w:pPr>
        <w:ind w:left="1260" w:hanging="360"/>
      </w:pPr>
      <w:rPr>
        <w:rFonts w:ascii="Symbol" w:hAnsi="Symbol" w:hint="default"/>
        <w:b w:val="0"/>
      </w:rPr>
    </w:lvl>
    <w:lvl w:ilvl="1" w:tplc="04090001">
      <w:start w:val="1"/>
      <w:numFmt w:val="bullet"/>
      <w:lvlText w:val=""/>
      <w:lvlJc w:val="left"/>
      <w:pPr>
        <w:ind w:left="2070" w:hanging="360"/>
      </w:pPr>
      <w:rPr>
        <w:rFonts w:ascii="Symbol" w:hAnsi="Symbol" w:hint="default"/>
      </w:rPr>
    </w:lvl>
    <w:lvl w:ilvl="2" w:tplc="04090003">
      <w:start w:val="1"/>
      <w:numFmt w:val="bullet"/>
      <w:lvlText w:val="o"/>
      <w:lvlJc w:val="left"/>
      <w:pPr>
        <w:ind w:left="2790" w:hanging="180"/>
      </w:pPr>
      <w:rPr>
        <w:rFonts w:ascii="Courier New" w:hAnsi="Courier New" w:cs="Courier New" w:hint="default"/>
      </w:rPr>
    </w:lvl>
    <w:lvl w:ilvl="3" w:tplc="0409000F">
      <w:start w:val="1"/>
      <w:numFmt w:val="decimal"/>
      <w:lvlText w:val="%4."/>
      <w:lvlJc w:val="left"/>
      <w:pPr>
        <w:ind w:left="3510" w:hanging="360"/>
      </w:pPr>
    </w:lvl>
    <w:lvl w:ilvl="4" w:tplc="04090003">
      <w:start w:val="1"/>
      <w:numFmt w:val="bullet"/>
      <w:lvlText w:val="o"/>
      <w:lvlJc w:val="left"/>
      <w:pPr>
        <w:ind w:left="4230" w:hanging="360"/>
      </w:pPr>
      <w:rPr>
        <w:rFonts w:ascii="Courier New" w:hAnsi="Courier New" w:cs="Courier New" w:hint="default"/>
      </w:r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nsid w:val="6BCA7ADF"/>
    <w:multiLevelType w:val="hybridMultilevel"/>
    <w:tmpl w:val="45589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194DE5"/>
    <w:multiLevelType w:val="hybridMultilevel"/>
    <w:tmpl w:val="18A4A920"/>
    <w:lvl w:ilvl="0" w:tplc="04090001">
      <w:start w:val="1"/>
      <w:numFmt w:val="bullet"/>
      <w:lvlText w:val=""/>
      <w:lvlJc w:val="left"/>
      <w:pPr>
        <w:ind w:left="3384" w:hanging="360"/>
      </w:pPr>
      <w:rPr>
        <w:rFonts w:ascii="Symbol" w:hAnsi="Symbol" w:hint="default"/>
      </w:rPr>
    </w:lvl>
    <w:lvl w:ilvl="1" w:tplc="04090003">
      <w:start w:val="1"/>
      <w:numFmt w:val="bullet"/>
      <w:lvlText w:val="o"/>
      <w:lvlJc w:val="left"/>
      <w:pPr>
        <w:ind w:left="4104" w:hanging="360"/>
      </w:pPr>
      <w:rPr>
        <w:rFonts w:ascii="Courier New" w:hAnsi="Courier New" w:cs="Courier New" w:hint="default"/>
      </w:rPr>
    </w:lvl>
    <w:lvl w:ilvl="2" w:tplc="04090005" w:tentative="1">
      <w:start w:val="1"/>
      <w:numFmt w:val="bullet"/>
      <w:lvlText w:val=""/>
      <w:lvlJc w:val="left"/>
      <w:pPr>
        <w:ind w:left="4824" w:hanging="360"/>
      </w:pPr>
      <w:rPr>
        <w:rFonts w:ascii="Wingdings" w:hAnsi="Wingdings" w:hint="default"/>
      </w:rPr>
    </w:lvl>
    <w:lvl w:ilvl="3" w:tplc="04090001" w:tentative="1">
      <w:start w:val="1"/>
      <w:numFmt w:val="bullet"/>
      <w:lvlText w:val=""/>
      <w:lvlJc w:val="left"/>
      <w:pPr>
        <w:ind w:left="5544" w:hanging="360"/>
      </w:pPr>
      <w:rPr>
        <w:rFonts w:ascii="Symbol" w:hAnsi="Symbol" w:hint="default"/>
      </w:rPr>
    </w:lvl>
    <w:lvl w:ilvl="4" w:tplc="04090003" w:tentative="1">
      <w:start w:val="1"/>
      <w:numFmt w:val="bullet"/>
      <w:lvlText w:val="o"/>
      <w:lvlJc w:val="left"/>
      <w:pPr>
        <w:ind w:left="6264" w:hanging="360"/>
      </w:pPr>
      <w:rPr>
        <w:rFonts w:ascii="Courier New" w:hAnsi="Courier New" w:cs="Courier New" w:hint="default"/>
      </w:rPr>
    </w:lvl>
    <w:lvl w:ilvl="5" w:tplc="04090005" w:tentative="1">
      <w:start w:val="1"/>
      <w:numFmt w:val="bullet"/>
      <w:lvlText w:val=""/>
      <w:lvlJc w:val="left"/>
      <w:pPr>
        <w:ind w:left="6984" w:hanging="360"/>
      </w:pPr>
      <w:rPr>
        <w:rFonts w:ascii="Wingdings" w:hAnsi="Wingdings" w:hint="default"/>
      </w:rPr>
    </w:lvl>
    <w:lvl w:ilvl="6" w:tplc="04090001" w:tentative="1">
      <w:start w:val="1"/>
      <w:numFmt w:val="bullet"/>
      <w:lvlText w:val=""/>
      <w:lvlJc w:val="left"/>
      <w:pPr>
        <w:ind w:left="7704" w:hanging="360"/>
      </w:pPr>
      <w:rPr>
        <w:rFonts w:ascii="Symbol" w:hAnsi="Symbol" w:hint="default"/>
      </w:rPr>
    </w:lvl>
    <w:lvl w:ilvl="7" w:tplc="04090003" w:tentative="1">
      <w:start w:val="1"/>
      <w:numFmt w:val="bullet"/>
      <w:lvlText w:val="o"/>
      <w:lvlJc w:val="left"/>
      <w:pPr>
        <w:ind w:left="8424" w:hanging="360"/>
      </w:pPr>
      <w:rPr>
        <w:rFonts w:ascii="Courier New" w:hAnsi="Courier New" w:cs="Courier New" w:hint="default"/>
      </w:rPr>
    </w:lvl>
    <w:lvl w:ilvl="8" w:tplc="04090005" w:tentative="1">
      <w:start w:val="1"/>
      <w:numFmt w:val="bullet"/>
      <w:lvlText w:val=""/>
      <w:lvlJc w:val="left"/>
      <w:pPr>
        <w:ind w:left="9144" w:hanging="360"/>
      </w:pPr>
      <w:rPr>
        <w:rFonts w:ascii="Wingdings" w:hAnsi="Wingdings" w:hint="default"/>
      </w:rPr>
    </w:lvl>
  </w:abstractNum>
  <w:abstractNum w:abstractNumId="24">
    <w:nsid w:val="705F3F5D"/>
    <w:multiLevelType w:val="hybridMultilevel"/>
    <w:tmpl w:val="2F10FD1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44250DE"/>
    <w:multiLevelType w:val="hybridMultilevel"/>
    <w:tmpl w:val="4972252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5104820"/>
    <w:multiLevelType w:val="hybridMultilevel"/>
    <w:tmpl w:val="E8FC9C56"/>
    <w:lvl w:ilvl="0" w:tplc="04090001">
      <w:start w:val="1"/>
      <w:numFmt w:val="bullet"/>
      <w:lvlText w:val=""/>
      <w:lvlJc w:val="left"/>
      <w:pPr>
        <w:ind w:left="1170" w:hanging="360"/>
      </w:pPr>
      <w:rPr>
        <w:rFonts w:ascii="Symbol" w:hAnsi="Symbol" w:hint="default"/>
      </w:rPr>
    </w:lvl>
    <w:lvl w:ilvl="1" w:tplc="04090001">
      <w:start w:val="1"/>
      <w:numFmt w:val="bullet"/>
      <w:lvlText w:val=""/>
      <w:lvlJc w:val="left"/>
      <w:pPr>
        <w:ind w:left="1890" w:hanging="360"/>
      </w:pPr>
      <w:rPr>
        <w:rFonts w:ascii="Symbol" w:hAnsi="Symbol"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nsid w:val="7A95694C"/>
    <w:multiLevelType w:val="hybridMultilevel"/>
    <w:tmpl w:val="88CC9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7"/>
  </w:num>
  <w:num w:numId="5">
    <w:abstractNumId w:val="27"/>
  </w:num>
  <w:num w:numId="6">
    <w:abstractNumId w:val="15"/>
  </w:num>
  <w:num w:numId="7">
    <w:abstractNumId w:val="2"/>
  </w:num>
  <w:num w:numId="8">
    <w:abstractNumId w:val="22"/>
  </w:num>
  <w:num w:numId="9">
    <w:abstractNumId w:val="0"/>
  </w:num>
  <w:num w:numId="10">
    <w:abstractNumId w:val="4"/>
  </w:num>
  <w:num w:numId="11">
    <w:abstractNumId w:val="16"/>
  </w:num>
  <w:num w:numId="12">
    <w:abstractNumId w:val="18"/>
  </w:num>
  <w:num w:numId="13">
    <w:abstractNumId w:val="3"/>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20"/>
  </w:num>
  <w:num w:numId="17">
    <w:abstractNumId w:val="23"/>
  </w:num>
  <w:num w:numId="18">
    <w:abstractNumId w:val="10"/>
  </w:num>
  <w:num w:numId="19">
    <w:abstractNumId w:val="12"/>
  </w:num>
  <w:num w:numId="20">
    <w:abstractNumId w:val="21"/>
  </w:num>
  <w:num w:numId="21">
    <w:abstractNumId w:val="24"/>
  </w:num>
  <w:num w:numId="22">
    <w:abstractNumId w:val="11"/>
  </w:num>
  <w:num w:numId="23">
    <w:abstractNumId w:val="17"/>
  </w:num>
  <w:num w:numId="24">
    <w:abstractNumId w:val="9"/>
  </w:num>
  <w:num w:numId="25">
    <w:abstractNumId w:val="26"/>
  </w:num>
  <w:num w:numId="26">
    <w:abstractNumId w:val="19"/>
  </w:num>
  <w:num w:numId="27">
    <w:abstractNumId w:val="25"/>
  </w:num>
  <w:num w:numId="28">
    <w:abstractNumId w:val="14"/>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148"/>
    <w:rsid w:val="000005DE"/>
    <w:rsid w:val="00000DF3"/>
    <w:rsid w:val="0000462E"/>
    <w:rsid w:val="00007543"/>
    <w:rsid w:val="00010464"/>
    <w:rsid w:val="000168A2"/>
    <w:rsid w:val="00036452"/>
    <w:rsid w:val="0004565A"/>
    <w:rsid w:val="000457B7"/>
    <w:rsid w:val="000526FB"/>
    <w:rsid w:val="00054688"/>
    <w:rsid w:val="00054D50"/>
    <w:rsid w:val="0005599C"/>
    <w:rsid w:val="00057001"/>
    <w:rsid w:val="00066D15"/>
    <w:rsid w:val="0007663C"/>
    <w:rsid w:val="00081384"/>
    <w:rsid w:val="00083053"/>
    <w:rsid w:val="00085879"/>
    <w:rsid w:val="000967F1"/>
    <w:rsid w:val="000A030D"/>
    <w:rsid w:val="000A79DA"/>
    <w:rsid w:val="000B7EE5"/>
    <w:rsid w:val="000C7E3D"/>
    <w:rsid w:val="000E2BF4"/>
    <w:rsid w:val="000F454D"/>
    <w:rsid w:val="00105B25"/>
    <w:rsid w:val="00106C97"/>
    <w:rsid w:val="001079E3"/>
    <w:rsid w:val="0011153A"/>
    <w:rsid w:val="00114DF9"/>
    <w:rsid w:val="001224B6"/>
    <w:rsid w:val="00134B62"/>
    <w:rsid w:val="00146801"/>
    <w:rsid w:val="00147B01"/>
    <w:rsid w:val="00153F94"/>
    <w:rsid w:val="001564CF"/>
    <w:rsid w:val="00157EA0"/>
    <w:rsid w:val="00183C90"/>
    <w:rsid w:val="001A2462"/>
    <w:rsid w:val="001A5953"/>
    <w:rsid w:val="001B5953"/>
    <w:rsid w:val="001C2596"/>
    <w:rsid w:val="001C4AD2"/>
    <w:rsid w:val="001D268C"/>
    <w:rsid w:val="001E03FD"/>
    <w:rsid w:val="001E4DEE"/>
    <w:rsid w:val="001E5273"/>
    <w:rsid w:val="001E7826"/>
    <w:rsid w:val="001F3964"/>
    <w:rsid w:val="001F71D9"/>
    <w:rsid w:val="002101B5"/>
    <w:rsid w:val="0021261C"/>
    <w:rsid w:val="00222880"/>
    <w:rsid w:val="002268E8"/>
    <w:rsid w:val="00241D1E"/>
    <w:rsid w:val="00245FE8"/>
    <w:rsid w:val="0025443A"/>
    <w:rsid w:val="00255B07"/>
    <w:rsid w:val="00276B88"/>
    <w:rsid w:val="0027732D"/>
    <w:rsid w:val="00281057"/>
    <w:rsid w:val="0028500F"/>
    <w:rsid w:val="00293CDF"/>
    <w:rsid w:val="002A2531"/>
    <w:rsid w:val="002A5D89"/>
    <w:rsid w:val="002B1BC4"/>
    <w:rsid w:val="002B7FAF"/>
    <w:rsid w:val="002C1792"/>
    <w:rsid w:val="002C3309"/>
    <w:rsid w:val="002C53DE"/>
    <w:rsid w:val="002C5F6F"/>
    <w:rsid w:val="002D2DA8"/>
    <w:rsid w:val="002E0FE9"/>
    <w:rsid w:val="003025C4"/>
    <w:rsid w:val="00303828"/>
    <w:rsid w:val="00314173"/>
    <w:rsid w:val="0032501F"/>
    <w:rsid w:val="003266CE"/>
    <w:rsid w:val="00340746"/>
    <w:rsid w:val="00356B9F"/>
    <w:rsid w:val="00366F48"/>
    <w:rsid w:val="003711F5"/>
    <w:rsid w:val="00372C81"/>
    <w:rsid w:val="003A2015"/>
    <w:rsid w:val="003A3692"/>
    <w:rsid w:val="003A3868"/>
    <w:rsid w:val="003A4425"/>
    <w:rsid w:val="003B366F"/>
    <w:rsid w:val="003B7C8F"/>
    <w:rsid w:val="003D408F"/>
    <w:rsid w:val="003F6968"/>
    <w:rsid w:val="00423EF7"/>
    <w:rsid w:val="0042709C"/>
    <w:rsid w:val="00431C36"/>
    <w:rsid w:val="00435CB0"/>
    <w:rsid w:val="00437501"/>
    <w:rsid w:val="00446811"/>
    <w:rsid w:val="00450BF4"/>
    <w:rsid w:val="00456DD7"/>
    <w:rsid w:val="004579F8"/>
    <w:rsid w:val="00465806"/>
    <w:rsid w:val="00473F86"/>
    <w:rsid w:val="00485305"/>
    <w:rsid w:val="0049518C"/>
    <w:rsid w:val="004A3986"/>
    <w:rsid w:val="004A462F"/>
    <w:rsid w:val="004B0DC0"/>
    <w:rsid w:val="004B252F"/>
    <w:rsid w:val="004C6181"/>
    <w:rsid w:val="004D64A2"/>
    <w:rsid w:val="004F4797"/>
    <w:rsid w:val="005119AF"/>
    <w:rsid w:val="005202A1"/>
    <w:rsid w:val="00524C41"/>
    <w:rsid w:val="0053447F"/>
    <w:rsid w:val="00536341"/>
    <w:rsid w:val="00544D0B"/>
    <w:rsid w:val="00573044"/>
    <w:rsid w:val="00593097"/>
    <w:rsid w:val="0059309D"/>
    <w:rsid w:val="00593A63"/>
    <w:rsid w:val="00594706"/>
    <w:rsid w:val="005956AA"/>
    <w:rsid w:val="005961E9"/>
    <w:rsid w:val="005A3D6B"/>
    <w:rsid w:val="005A6D67"/>
    <w:rsid w:val="005B348D"/>
    <w:rsid w:val="005C389D"/>
    <w:rsid w:val="005D2153"/>
    <w:rsid w:val="005D258E"/>
    <w:rsid w:val="005D4DE8"/>
    <w:rsid w:val="005E1D60"/>
    <w:rsid w:val="005F093E"/>
    <w:rsid w:val="005F62B4"/>
    <w:rsid w:val="00611BBC"/>
    <w:rsid w:val="0061349B"/>
    <w:rsid w:val="00627597"/>
    <w:rsid w:val="00631EEA"/>
    <w:rsid w:val="0063667F"/>
    <w:rsid w:val="00652BD7"/>
    <w:rsid w:val="006565F3"/>
    <w:rsid w:val="006A1C2A"/>
    <w:rsid w:val="006A77B4"/>
    <w:rsid w:val="006B4CA3"/>
    <w:rsid w:val="006B546F"/>
    <w:rsid w:val="006B5535"/>
    <w:rsid w:val="006B74A2"/>
    <w:rsid w:val="006C23C0"/>
    <w:rsid w:val="006C2D55"/>
    <w:rsid w:val="006C2E1C"/>
    <w:rsid w:val="006D1E61"/>
    <w:rsid w:val="006F4D54"/>
    <w:rsid w:val="006F6D2F"/>
    <w:rsid w:val="00700B89"/>
    <w:rsid w:val="00722659"/>
    <w:rsid w:val="00732ABB"/>
    <w:rsid w:val="00752494"/>
    <w:rsid w:val="00761B07"/>
    <w:rsid w:val="0076482D"/>
    <w:rsid w:val="00771A77"/>
    <w:rsid w:val="007741F6"/>
    <w:rsid w:val="0078138E"/>
    <w:rsid w:val="00797694"/>
    <w:rsid w:val="007A07A6"/>
    <w:rsid w:val="007A2157"/>
    <w:rsid w:val="007A595C"/>
    <w:rsid w:val="007A7A7D"/>
    <w:rsid w:val="007B07B7"/>
    <w:rsid w:val="007B4833"/>
    <w:rsid w:val="007B53F4"/>
    <w:rsid w:val="007E60F2"/>
    <w:rsid w:val="00804F11"/>
    <w:rsid w:val="00825743"/>
    <w:rsid w:val="0083060B"/>
    <w:rsid w:val="00835250"/>
    <w:rsid w:val="00836FD3"/>
    <w:rsid w:val="008529CA"/>
    <w:rsid w:val="00854A8B"/>
    <w:rsid w:val="00855572"/>
    <w:rsid w:val="00862CCB"/>
    <w:rsid w:val="008663E3"/>
    <w:rsid w:val="008737DB"/>
    <w:rsid w:val="00881AA6"/>
    <w:rsid w:val="00885DD4"/>
    <w:rsid w:val="0089680C"/>
    <w:rsid w:val="008A1595"/>
    <w:rsid w:val="008B54E4"/>
    <w:rsid w:val="008C1299"/>
    <w:rsid w:val="008C26C6"/>
    <w:rsid w:val="008D593A"/>
    <w:rsid w:val="008D5F47"/>
    <w:rsid w:val="008E286E"/>
    <w:rsid w:val="00920DBD"/>
    <w:rsid w:val="00923E3E"/>
    <w:rsid w:val="009316B4"/>
    <w:rsid w:val="00933EF0"/>
    <w:rsid w:val="00935ED2"/>
    <w:rsid w:val="009402B9"/>
    <w:rsid w:val="00940E93"/>
    <w:rsid w:val="00944EB4"/>
    <w:rsid w:val="00952433"/>
    <w:rsid w:val="00956EF2"/>
    <w:rsid w:val="0096136C"/>
    <w:rsid w:val="00972778"/>
    <w:rsid w:val="009730FC"/>
    <w:rsid w:val="00977D5F"/>
    <w:rsid w:val="00990609"/>
    <w:rsid w:val="00992031"/>
    <w:rsid w:val="00992967"/>
    <w:rsid w:val="00995A52"/>
    <w:rsid w:val="00996E9F"/>
    <w:rsid w:val="009A02AB"/>
    <w:rsid w:val="009A4C91"/>
    <w:rsid w:val="009A5708"/>
    <w:rsid w:val="009A5ADA"/>
    <w:rsid w:val="009B7398"/>
    <w:rsid w:val="009C1673"/>
    <w:rsid w:val="009E2696"/>
    <w:rsid w:val="009E4287"/>
    <w:rsid w:val="009E491C"/>
    <w:rsid w:val="009F4E67"/>
    <w:rsid w:val="009F7507"/>
    <w:rsid w:val="00A128D9"/>
    <w:rsid w:val="00A3626C"/>
    <w:rsid w:val="00A42E0B"/>
    <w:rsid w:val="00A50513"/>
    <w:rsid w:val="00A56EAC"/>
    <w:rsid w:val="00A60004"/>
    <w:rsid w:val="00A6657C"/>
    <w:rsid w:val="00A73148"/>
    <w:rsid w:val="00AA7DE7"/>
    <w:rsid w:val="00AB6175"/>
    <w:rsid w:val="00AB78DD"/>
    <w:rsid w:val="00AC3F36"/>
    <w:rsid w:val="00AC47D1"/>
    <w:rsid w:val="00AC57A7"/>
    <w:rsid w:val="00AD12BA"/>
    <w:rsid w:val="00AD2FF0"/>
    <w:rsid w:val="00B135C2"/>
    <w:rsid w:val="00B22001"/>
    <w:rsid w:val="00B3092E"/>
    <w:rsid w:val="00B348E2"/>
    <w:rsid w:val="00B50EEF"/>
    <w:rsid w:val="00B512C3"/>
    <w:rsid w:val="00B54838"/>
    <w:rsid w:val="00B65000"/>
    <w:rsid w:val="00B76ACB"/>
    <w:rsid w:val="00B95400"/>
    <w:rsid w:val="00BA09ED"/>
    <w:rsid w:val="00BA4320"/>
    <w:rsid w:val="00BA68DA"/>
    <w:rsid w:val="00BB3ABB"/>
    <w:rsid w:val="00BB3C08"/>
    <w:rsid w:val="00BB5A4C"/>
    <w:rsid w:val="00BC6B98"/>
    <w:rsid w:val="00BD2DDB"/>
    <w:rsid w:val="00BF05F8"/>
    <w:rsid w:val="00BF1A54"/>
    <w:rsid w:val="00C172FC"/>
    <w:rsid w:val="00C23DF8"/>
    <w:rsid w:val="00C2426C"/>
    <w:rsid w:val="00C406EF"/>
    <w:rsid w:val="00C53B06"/>
    <w:rsid w:val="00C559A7"/>
    <w:rsid w:val="00C55B5E"/>
    <w:rsid w:val="00C8371F"/>
    <w:rsid w:val="00CB69F1"/>
    <w:rsid w:val="00CB72A3"/>
    <w:rsid w:val="00CC0157"/>
    <w:rsid w:val="00CC6774"/>
    <w:rsid w:val="00CC6823"/>
    <w:rsid w:val="00CD06AA"/>
    <w:rsid w:val="00CE22E8"/>
    <w:rsid w:val="00CF06F8"/>
    <w:rsid w:val="00D239D3"/>
    <w:rsid w:val="00D2641F"/>
    <w:rsid w:val="00D30BB2"/>
    <w:rsid w:val="00D312D7"/>
    <w:rsid w:val="00D32CFC"/>
    <w:rsid w:val="00D33409"/>
    <w:rsid w:val="00D3577B"/>
    <w:rsid w:val="00D41F21"/>
    <w:rsid w:val="00D43C37"/>
    <w:rsid w:val="00D56F90"/>
    <w:rsid w:val="00D642BE"/>
    <w:rsid w:val="00D7177D"/>
    <w:rsid w:val="00D745E2"/>
    <w:rsid w:val="00D7489E"/>
    <w:rsid w:val="00D809E7"/>
    <w:rsid w:val="00DA3458"/>
    <w:rsid w:val="00DA45A1"/>
    <w:rsid w:val="00DB5A15"/>
    <w:rsid w:val="00DC0C83"/>
    <w:rsid w:val="00DD34BD"/>
    <w:rsid w:val="00DD64AD"/>
    <w:rsid w:val="00DE1390"/>
    <w:rsid w:val="00DE13BE"/>
    <w:rsid w:val="00DF48D0"/>
    <w:rsid w:val="00E04405"/>
    <w:rsid w:val="00E1096A"/>
    <w:rsid w:val="00E21AC2"/>
    <w:rsid w:val="00E27222"/>
    <w:rsid w:val="00E34861"/>
    <w:rsid w:val="00E36E2D"/>
    <w:rsid w:val="00E40471"/>
    <w:rsid w:val="00E41AC1"/>
    <w:rsid w:val="00E5214B"/>
    <w:rsid w:val="00E5729B"/>
    <w:rsid w:val="00E60946"/>
    <w:rsid w:val="00E72879"/>
    <w:rsid w:val="00E84F8D"/>
    <w:rsid w:val="00E87DC9"/>
    <w:rsid w:val="00EA4036"/>
    <w:rsid w:val="00EB0D65"/>
    <w:rsid w:val="00ED7345"/>
    <w:rsid w:val="00EF05E1"/>
    <w:rsid w:val="00EF14AC"/>
    <w:rsid w:val="00EF656A"/>
    <w:rsid w:val="00EF6B0B"/>
    <w:rsid w:val="00EF6EF2"/>
    <w:rsid w:val="00F00F23"/>
    <w:rsid w:val="00F027EC"/>
    <w:rsid w:val="00F040A9"/>
    <w:rsid w:val="00F0550F"/>
    <w:rsid w:val="00F20D02"/>
    <w:rsid w:val="00F22D8E"/>
    <w:rsid w:val="00F2662B"/>
    <w:rsid w:val="00F32AA2"/>
    <w:rsid w:val="00F432BE"/>
    <w:rsid w:val="00F57FB7"/>
    <w:rsid w:val="00F60B52"/>
    <w:rsid w:val="00F8454C"/>
    <w:rsid w:val="00F94491"/>
    <w:rsid w:val="00F95EF6"/>
    <w:rsid w:val="00FB2ED6"/>
    <w:rsid w:val="00FB52D0"/>
    <w:rsid w:val="00FB57DA"/>
    <w:rsid w:val="00FE704C"/>
    <w:rsid w:val="00FE7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8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00F23"/>
    <w:pPr>
      <w:keepNext/>
      <w:keepLines/>
      <w:spacing w:before="200" w:after="0"/>
      <w:outlineLvl w:val="1"/>
    </w:pPr>
    <w:rPr>
      <w:rFonts w:ascii="Times New Roman" w:eastAsiaTheme="majorEastAsia" w:hAnsi="Times New Roman" w:cstheme="majorBidi"/>
      <w:b/>
      <w:bCs/>
      <w:sz w:val="24"/>
      <w:szCs w:val="26"/>
    </w:rPr>
  </w:style>
  <w:style w:type="paragraph" w:styleId="Heading5">
    <w:name w:val="heading 5"/>
    <w:basedOn w:val="Normal"/>
    <w:next w:val="Normal"/>
    <w:link w:val="Heading5Char"/>
    <w:uiPriority w:val="9"/>
    <w:semiHidden/>
    <w:unhideWhenUsed/>
    <w:qFormat/>
    <w:rsid w:val="001A246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8E8"/>
    <w:pPr>
      <w:ind w:left="720"/>
      <w:contextualSpacing/>
    </w:pPr>
  </w:style>
  <w:style w:type="character" w:styleId="CommentReference">
    <w:name w:val="annotation reference"/>
    <w:basedOn w:val="DefaultParagraphFont"/>
    <w:semiHidden/>
    <w:unhideWhenUsed/>
    <w:rsid w:val="00146801"/>
    <w:rPr>
      <w:sz w:val="16"/>
      <w:szCs w:val="16"/>
    </w:rPr>
  </w:style>
  <w:style w:type="paragraph" w:styleId="CommentText">
    <w:name w:val="annotation text"/>
    <w:basedOn w:val="Normal"/>
    <w:link w:val="CommentTextChar"/>
    <w:semiHidden/>
    <w:unhideWhenUsed/>
    <w:rsid w:val="00146801"/>
    <w:pPr>
      <w:spacing w:line="240" w:lineRule="auto"/>
    </w:pPr>
    <w:rPr>
      <w:sz w:val="20"/>
      <w:szCs w:val="20"/>
    </w:rPr>
  </w:style>
  <w:style w:type="character" w:customStyle="1" w:styleId="CommentTextChar">
    <w:name w:val="Comment Text Char"/>
    <w:basedOn w:val="DefaultParagraphFont"/>
    <w:link w:val="CommentText"/>
    <w:semiHidden/>
    <w:rsid w:val="00146801"/>
    <w:rPr>
      <w:sz w:val="20"/>
      <w:szCs w:val="20"/>
    </w:rPr>
  </w:style>
  <w:style w:type="paragraph" w:styleId="CommentSubject">
    <w:name w:val="annotation subject"/>
    <w:basedOn w:val="CommentText"/>
    <w:next w:val="CommentText"/>
    <w:link w:val="CommentSubjectChar"/>
    <w:uiPriority w:val="99"/>
    <w:semiHidden/>
    <w:unhideWhenUsed/>
    <w:rsid w:val="00146801"/>
    <w:rPr>
      <w:b/>
      <w:bCs/>
    </w:rPr>
  </w:style>
  <w:style w:type="character" w:customStyle="1" w:styleId="CommentSubjectChar">
    <w:name w:val="Comment Subject Char"/>
    <w:basedOn w:val="CommentTextChar"/>
    <w:link w:val="CommentSubject"/>
    <w:uiPriority w:val="99"/>
    <w:semiHidden/>
    <w:rsid w:val="00146801"/>
    <w:rPr>
      <w:b/>
      <w:bCs/>
      <w:sz w:val="20"/>
      <w:szCs w:val="20"/>
    </w:rPr>
  </w:style>
  <w:style w:type="paragraph" w:styleId="BalloonText">
    <w:name w:val="Balloon Text"/>
    <w:basedOn w:val="Normal"/>
    <w:link w:val="BalloonTextChar"/>
    <w:uiPriority w:val="99"/>
    <w:semiHidden/>
    <w:unhideWhenUsed/>
    <w:rsid w:val="001468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801"/>
    <w:rPr>
      <w:rFonts w:ascii="Tahoma" w:hAnsi="Tahoma" w:cs="Tahoma"/>
      <w:sz w:val="16"/>
      <w:szCs w:val="16"/>
    </w:rPr>
  </w:style>
  <w:style w:type="paragraph" w:customStyle="1" w:styleId="Default">
    <w:name w:val="Default"/>
    <w:rsid w:val="008C26C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D2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B57DA"/>
    <w:rPr>
      <w:b/>
      <w:bCs/>
    </w:rPr>
  </w:style>
  <w:style w:type="character" w:styleId="FootnoteReference">
    <w:name w:val="footnote reference"/>
    <w:aliases w:val="fr"/>
    <w:basedOn w:val="DefaultParagraphFont"/>
    <w:uiPriority w:val="99"/>
    <w:rsid w:val="00FB57DA"/>
    <w:rPr>
      <w:rFonts w:cs="Times New Roman"/>
      <w:vertAlign w:val="superscript"/>
    </w:rPr>
  </w:style>
  <w:style w:type="paragraph" w:styleId="NormalWeb">
    <w:name w:val="Normal (Web)"/>
    <w:basedOn w:val="Normal"/>
    <w:uiPriority w:val="99"/>
    <w:unhideWhenUsed/>
    <w:rsid w:val="00FB57DA"/>
    <w:pPr>
      <w:spacing w:after="18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A595C"/>
    <w:rPr>
      <w:color w:val="0000FF" w:themeColor="hyperlink"/>
      <w:u w:val="single"/>
    </w:rPr>
  </w:style>
  <w:style w:type="character" w:customStyle="1" w:styleId="Heading2Char">
    <w:name w:val="Heading 2 Char"/>
    <w:basedOn w:val="DefaultParagraphFont"/>
    <w:link w:val="Heading2"/>
    <w:uiPriority w:val="9"/>
    <w:rsid w:val="00F00F23"/>
    <w:rPr>
      <w:rFonts w:ascii="Times New Roman" w:eastAsiaTheme="majorEastAsia" w:hAnsi="Times New Roman" w:cstheme="majorBidi"/>
      <w:b/>
      <w:bCs/>
      <w:sz w:val="24"/>
      <w:szCs w:val="26"/>
    </w:rPr>
  </w:style>
  <w:style w:type="paragraph" w:styleId="Footer">
    <w:name w:val="footer"/>
    <w:basedOn w:val="Normal"/>
    <w:link w:val="FooterChar"/>
    <w:rsid w:val="0042709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42709C"/>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1A2462"/>
    <w:rPr>
      <w:rFonts w:asciiTheme="majorHAnsi" w:eastAsiaTheme="majorEastAsia" w:hAnsiTheme="majorHAnsi" w:cstheme="majorBidi"/>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00F23"/>
    <w:pPr>
      <w:keepNext/>
      <w:keepLines/>
      <w:spacing w:before="200" w:after="0"/>
      <w:outlineLvl w:val="1"/>
    </w:pPr>
    <w:rPr>
      <w:rFonts w:ascii="Times New Roman" w:eastAsiaTheme="majorEastAsia" w:hAnsi="Times New Roman" w:cstheme="majorBidi"/>
      <w:b/>
      <w:bCs/>
      <w:sz w:val="24"/>
      <w:szCs w:val="26"/>
    </w:rPr>
  </w:style>
  <w:style w:type="paragraph" w:styleId="Heading5">
    <w:name w:val="heading 5"/>
    <w:basedOn w:val="Normal"/>
    <w:next w:val="Normal"/>
    <w:link w:val="Heading5Char"/>
    <w:uiPriority w:val="9"/>
    <w:semiHidden/>
    <w:unhideWhenUsed/>
    <w:qFormat/>
    <w:rsid w:val="001A246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8E8"/>
    <w:pPr>
      <w:ind w:left="720"/>
      <w:contextualSpacing/>
    </w:pPr>
  </w:style>
  <w:style w:type="character" w:styleId="CommentReference">
    <w:name w:val="annotation reference"/>
    <w:basedOn w:val="DefaultParagraphFont"/>
    <w:semiHidden/>
    <w:unhideWhenUsed/>
    <w:rsid w:val="00146801"/>
    <w:rPr>
      <w:sz w:val="16"/>
      <w:szCs w:val="16"/>
    </w:rPr>
  </w:style>
  <w:style w:type="paragraph" w:styleId="CommentText">
    <w:name w:val="annotation text"/>
    <w:basedOn w:val="Normal"/>
    <w:link w:val="CommentTextChar"/>
    <w:semiHidden/>
    <w:unhideWhenUsed/>
    <w:rsid w:val="00146801"/>
    <w:pPr>
      <w:spacing w:line="240" w:lineRule="auto"/>
    </w:pPr>
    <w:rPr>
      <w:sz w:val="20"/>
      <w:szCs w:val="20"/>
    </w:rPr>
  </w:style>
  <w:style w:type="character" w:customStyle="1" w:styleId="CommentTextChar">
    <w:name w:val="Comment Text Char"/>
    <w:basedOn w:val="DefaultParagraphFont"/>
    <w:link w:val="CommentText"/>
    <w:semiHidden/>
    <w:rsid w:val="00146801"/>
    <w:rPr>
      <w:sz w:val="20"/>
      <w:szCs w:val="20"/>
    </w:rPr>
  </w:style>
  <w:style w:type="paragraph" w:styleId="CommentSubject">
    <w:name w:val="annotation subject"/>
    <w:basedOn w:val="CommentText"/>
    <w:next w:val="CommentText"/>
    <w:link w:val="CommentSubjectChar"/>
    <w:uiPriority w:val="99"/>
    <w:semiHidden/>
    <w:unhideWhenUsed/>
    <w:rsid w:val="00146801"/>
    <w:rPr>
      <w:b/>
      <w:bCs/>
    </w:rPr>
  </w:style>
  <w:style w:type="character" w:customStyle="1" w:styleId="CommentSubjectChar">
    <w:name w:val="Comment Subject Char"/>
    <w:basedOn w:val="CommentTextChar"/>
    <w:link w:val="CommentSubject"/>
    <w:uiPriority w:val="99"/>
    <w:semiHidden/>
    <w:rsid w:val="00146801"/>
    <w:rPr>
      <w:b/>
      <w:bCs/>
      <w:sz w:val="20"/>
      <w:szCs w:val="20"/>
    </w:rPr>
  </w:style>
  <w:style w:type="paragraph" w:styleId="BalloonText">
    <w:name w:val="Balloon Text"/>
    <w:basedOn w:val="Normal"/>
    <w:link w:val="BalloonTextChar"/>
    <w:uiPriority w:val="99"/>
    <w:semiHidden/>
    <w:unhideWhenUsed/>
    <w:rsid w:val="001468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801"/>
    <w:rPr>
      <w:rFonts w:ascii="Tahoma" w:hAnsi="Tahoma" w:cs="Tahoma"/>
      <w:sz w:val="16"/>
      <w:szCs w:val="16"/>
    </w:rPr>
  </w:style>
  <w:style w:type="paragraph" w:customStyle="1" w:styleId="Default">
    <w:name w:val="Default"/>
    <w:rsid w:val="008C26C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D2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B57DA"/>
    <w:rPr>
      <w:b/>
      <w:bCs/>
    </w:rPr>
  </w:style>
  <w:style w:type="character" w:styleId="FootnoteReference">
    <w:name w:val="footnote reference"/>
    <w:aliases w:val="fr"/>
    <w:basedOn w:val="DefaultParagraphFont"/>
    <w:uiPriority w:val="99"/>
    <w:rsid w:val="00FB57DA"/>
    <w:rPr>
      <w:rFonts w:cs="Times New Roman"/>
      <w:vertAlign w:val="superscript"/>
    </w:rPr>
  </w:style>
  <w:style w:type="paragraph" w:styleId="NormalWeb">
    <w:name w:val="Normal (Web)"/>
    <w:basedOn w:val="Normal"/>
    <w:uiPriority w:val="99"/>
    <w:unhideWhenUsed/>
    <w:rsid w:val="00FB57DA"/>
    <w:pPr>
      <w:spacing w:after="18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A595C"/>
    <w:rPr>
      <w:color w:val="0000FF" w:themeColor="hyperlink"/>
      <w:u w:val="single"/>
    </w:rPr>
  </w:style>
  <w:style w:type="character" w:customStyle="1" w:styleId="Heading2Char">
    <w:name w:val="Heading 2 Char"/>
    <w:basedOn w:val="DefaultParagraphFont"/>
    <w:link w:val="Heading2"/>
    <w:uiPriority w:val="9"/>
    <w:rsid w:val="00F00F23"/>
    <w:rPr>
      <w:rFonts w:ascii="Times New Roman" w:eastAsiaTheme="majorEastAsia" w:hAnsi="Times New Roman" w:cstheme="majorBidi"/>
      <w:b/>
      <w:bCs/>
      <w:sz w:val="24"/>
      <w:szCs w:val="26"/>
    </w:rPr>
  </w:style>
  <w:style w:type="paragraph" w:styleId="Footer">
    <w:name w:val="footer"/>
    <w:basedOn w:val="Normal"/>
    <w:link w:val="FooterChar"/>
    <w:rsid w:val="0042709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42709C"/>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1A2462"/>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1329</Words>
  <Characters>7577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Scruton, Karen M. (ATSDR/DHAC/EISAB)</dc:creator>
  <cp:lastModifiedBy>SYSTEM</cp:lastModifiedBy>
  <cp:revision>2</cp:revision>
  <cp:lastPrinted>2016-11-09T19:07:00Z</cp:lastPrinted>
  <dcterms:created xsi:type="dcterms:W3CDTF">2018-10-22T13:59:00Z</dcterms:created>
  <dcterms:modified xsi:type="dcterms:W3CDTF">2018-10-22T13:59:00Z</dcterms:modified>
</cp:coreProperties>
</file>