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2D44A" w14:textId="77777777" w:rsidR="00E34861" w:rsidRDefault="000526FB" w:rsidP="009F7507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Generic Information Collection (GenIC) </w:t>
      </w:r>
      <w:r w:rsidR="00A73148" w:rsidRPr="002268E8">
        <w:rPr>
          <w:b/>
          <w:sz w:val="28"/>
          <w:szCs w:val="28"/>
        </w:rPr>
        <w:t>Submitt</w:t>
      </w:r>
      <w:r w:rsidR="00BB5A4C">
        <w:rPr>
          <w:b/>
          <w:sz w:val="28"/>
          <w:szCs w:val="28"/>
        </w:rPr>
        <w:t>al Form</w:t>
      </w:r>
      <w:r w:rsidR="00A73148" w:rsidRPr="002268E8">
        <w:rPr>
          <w:b/>
          <w:sz w:val="28"/>
          <w:szCs w:val="28"/>
        </w:rPr>
        <w:t xml:space="preserve"> for </w:t>
      </w:r>
    </w:p>
    <w:p w14:paraId="18E6D2A2" w14:textId="77777777" w:rsidR="00990609" w:rsidRDefault="00A73148">
      <w:pPr>
        <w:spacing w:after="0" w:line="240" w:lineRule="auto"/>
        <w:jc w:val="center"/>
        <w:rPr>
          <w:b/>
          <w:sz w:val="28"/>
          <w:szCs w:val="28"/>
        </w:rPr>
      </w:pPr>
      <w:r w:rsidRPr="002268E8">
        <w:rPr>
          <w:b/>
          <w:sz w:val="28"/>
          <w:szCs w:val="28"/>
        </w:rPr>
        <w:t>OMB Rev</w:t>
      </w:r>
      <w:r w:rsidR="002268E8" w:rsidRPr="002268E8">
        <w:rPr>
          <w:b/>
          <w:sz w:val="28"/>
          <w:szCs w:val="28"/>
        </w:rPr>
        <w:t xml:space="preserve">iew of </w:t>
      </w:r>
      <w:r w:rsidR="00C8371F">
        <w:rPr>
          <w:b/>
          <w:sz w:val="28"/>
          <w:szCs w:val="28"/>
        </w:rPr>
        <w:t xml:space="preserve">ATSDR </w:t>
      </w:r>
      <w:r w:rsidR="002268E8">
        <w:rPr>
          <w:b/>
          <w:sz w:val="28"/>
          <w:szCs w:val="28"/>
        </w:rPr>
        <w:t>Exposure Investigation</w:t>
      </w:r>
      <w:r w:rsidR="00BB5A4C">
        <w:rPr>
          <w:b/>
          <w:sz w:val="28"/>
          <w:szCs w:val="28"/>
        </w:rPr>
        <w:t>s</w:t>
      </w:r>
      <w:r w:rsidR="002268E8">
        <w:rPr>
          <w:b/>
          <w:sz w:val="28"/>
          <w:szCs w:val="28"/>
        </w:rPr>
        <w:t xml:space="preserve"> (EI</w:t>
      </w:r>
      <w:r w:rsidR="00BB5A4C">
        <w:rPr>
          <w:b/>
          <w:sz w:val="28"/>
          <w:szCs w:val="28"/>
        </w:rPr>
        <w:t>s</w:t>
      </w:r>
      <w:r w:rsidR="002268E8">
        <w:rPr>
          <w:b/>
          <w:sz w:val="28"/>
          <w:szCs w:val="28"/>
        </w:rPr>
        <w:t>)</w:t>
      </w:r>
      <w:r w:rsidR="002268E8" w:rsidRPr="002268E8">
        <w:rPr>
          <w:b/>
          <w:sz w:val="28"/>
          <w:szCs w:val="28"/>
        </w:rPr>
        <w:t xml:space="preserve"> </w:t>
      </w:r>
      <w:r w:rsidR="00990609">
        <w:rPr>
          <w:b/>
          <w:sz w:val="28"/>
          <w:szCs w:val="28"/>
        </w:rPr>
        <w:t>(0923-004</w:t>
      </w:r>
      <w:r w:rsidR="00066D15">
        <w:rPr>
          <w:b/>
          <w:sz w:val="28"/>
          <w:szCs w:val="28"/>
        </w:rPr>
        <w:t>8</w:t>
      </w:r>
      <w:r w:rsidR="00990609">
        <w:rPr>
          <w:b/>
          <w:sz w:val="28"/>
          <w:szCs w:val="28"/>
        </w:rPr>
        <w:t>)</w:t>
      </w:r>
    </w:p>
    <w:p w14:paraId="6A2B49B8" w14:textId="77777777" w:rsidR="00990609" w:rsidRPr="002268E8" w:rsidRDefault="00990609" w:rsidP="009F7507">
      <w:pPr>
        <w:spacing w:after="0" w:line="240" w:lineRule="auto"/>
        <w:jc w:val="center"/>
        <w:rPr>
          <w:b/>
          <w:sz w:val="28"/>
          <w:szCs w:val="28"/>
        </w:rPr>
      </w:pPr>
    </w:p>
    <w:p w14:paraId="19B812E1" w14:textId="375DA2C0" w:rsidR="002268E8" w:rsidRDefault="002268E8">
      <w:pPr>
        <w:rPr>
          <w:b/>
          <w:sz w:val="24"/>
          <w:szCs w:val="24"/>
        </w:rPr>
      </w:pPr>
      <w:r w:rsidRPr="008C1299">
        <w:rPr>
          <w:b/>
          <w:sz w:val="24"/>
          <w:szCs w:val="24"/>
        </w:rPr>
        <w:t>PROJECT TITLE</w:t>
      </w:r>
      <w:r w:rsidR="00952433">
        <w:rPr>
          <w:b/>
          <w:sz w:val="24"/>
          <w:szCs w:val="24"/>
        </w:rPr>
        <w:t xml:space="preserve">:  </w:t>
      </w:r>
      <w:r w:rsidR="00FB52D0">
        <w:rPr>
          <w:b/>
          <w:sz w:val="24"/>
          <w:szCs w:val="24"/>
        </w:rPr>
        <w:t xml:space="preserve">Blood Lead </w:t>
      </w:r>
      <w:r w:rsidR="00EF14AC">
        <w:rPr>
          <w:b/>
          <w:sz w:val="24"/>
          <w:szCs w:val="24"/>
        </w:rPr>
        <w:t xml:space="preserve">and Urine Arsenic </w:t>
      </w:r>
      <w:r w:rsidR="00FB52D0">
        <w:rPr>
          <w:b/>
          <w:sz w:val="24"/>
          <w:szCs w:val="24"/>
        </w:rPr>
        <w:t xml:space="preserve">Levels in </w:t>
      </w:r>
      <w:r w:rsidR="00EF14AC">
        <w:rPr>
          <w:b/>
          <w:sz w:val="24"/>
          <w:szCs w:val="24"/>
        </w:rPr>
        <w:t>Anaconda, MT</w:t>
      </w:r>
      <w:r w:rsidR="006A1C2A">
        <w:rPr>
          <w:b/>
          <w:sz w:val="24"/>
          <w:szCs w:val="24"/>
        </w:rPr>
        <w:t xml:space="preserve"> Exposure Investigation</w:t>
      </w:r>
    </w:p>
    <w:p w14:paraId="45B8FEF4" w14:textId="03345FCD" w:rsidR="00146801" w:rsidRPr="008C1299" w:rsidRDefault="005119A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SITE </w:t>
      </w:r>
      <w:r w:rsidR="00146801">
        <w:rPr>
          <w:b/>
          <w:sz w:val="24"/>
          <w:szCs w:val="24"/>
        </w:rPr>
        <w:t>LOCATION</w:t>
      </w:r>
      <w:r w:rsidR="00952433">
        <w:rPr>
          <w:b/>
          <w:sz w:val="24"/>
          <w:szCs w:val="24"/>
        </w:rPr>
        <w:t xml:space="preserve">:  </w:t>
      </w:r>
      <w:r w:rsidR="00EF14AC">
        <w:rPr>
          <w:b/>
          <w:sz w:val="24"/>
          <w:szCs w:val="24"/>
        </w:rPr>
        <w:t>Anaconda, MT</w:t>
      </w:r>
    </w:p>
    <w:p w14:paraId="6519BFD7" w14:textId="6D9325F2" w:rsidR="002C3309" w:rsidRDefault="002C3309">
      <w:pPr>
        <w:rPr>
          <w:b/>
          <w:sz w:val="24"/>
          <w:szCs w:val="24"/>
        </w:rPr>
      </w:pPr>
      <w:r>
        <w:rPr>
          <w:b/>
          <w:sz w:val="24"/>
          <w:szCs w:val="24"/>
        </w:rPr>
        <w:t>REQUESTED BURDEN HOURS</w:t>
      </w:r>
      <w:r w:rsidR="00245FE8">
        <w:rPr>
          <w:b/>
          <w:sz w:val="24"/>
          <w:szCs w:val="24"/>
        </w:rPr>
        <w:t xml:space="preserve">:    </w:t>
      </w:r>
      <w:r w:rsidR="00BA68DA">
        <w:rPr>
          <w:b/>
          <w:sz w:val="24"/>
          <w:szCs w:val="24"/>
        </w:rPr>
        <w:t>100</w:t>
      </w:r>
    </w:p>
    <w:p w14:paraId="27E175D8" w14:textId="77777777" w:rsidR="00977D5F" w:rsidRDefault="00AD12B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PROJECT </w:t>
      </w:r>
      <w:r w:rsidR="008C26C6">
        <w:rPr>
          <w:b/>
          <w:sz w:val="24"/>
          <w:szCs w:val="24"/>
        </w:rPr>
        <w:t>SUMMARY</w:t>
      </w:r>
    </w:p>
    <w:tbl>
      <w:tblPr>
        <w:tblStyle w:val="TableGrid"/>
        <w:tblW w:w="10296" w:type="dxa"/>
        <w:tblInd w:w="108" w:type="dxa"/>
        <w:tblLook w:val="04A0" w:firstRow="1" w:lastRow="0" w:firstColumn="1" w:lastColumn="0" w:noHBand="0" w:noVBand="1"/>
      </w:tblPr>
      <w:tblGrid>
        <w:gridCol w:w="3168"/>
        <w:gridCol w:w="7128"/>
      </w:tblGrid>
      <w:tr w:rsidR="00977D5F" w14:paraId="1E8F15E2" w14:textId="77777777" w:rsidTr="00B50EEF">
        <w:tc>
          <w:tcPr>
            <w:tcW w:w="3168" w:type="dxa"/>
            <w:vAlign w:val="center"/>
          </w:tcPr>
          <w:p w14:paraId="0F72B80A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Principal Investigator(s):</w:t>
            </w:r>
          </w:p>
        </w:tc>
        <w:tc>
          <w:tcPr>
            <w:tcW w:w="7128" w:type="dxa"/>
            <w:vAlign w:val="center"/>
          </w:tcPr>
          <w:p w14:paraId="23FB56C3" w14:textId="77777777" w:rsidR="00FB52D0" w:rsidRDefault="00FB52D0" w:rsidP="005A3D6B">
            <w:pPr>
              <w:pStyle w:val="ListParagraph"/>
              <w:numPr>
                <w:ilvl w:val="0"/>
                <w:numId w:val="3"/>
              </w:numPr>
              <w:ind w:left="4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Karen Scruton (ATSDR Headquarters)</w:t>
            </w:r>
          </w:p>
          <w:p w14:paraId="771F4832" w14:textId="76B1ABBC" w:rsidR="00EF14AC" w:rsidRDefault="00EF14AC" w:rsidP="00EF14AC">
            <w:pPr>
              <w:pStyle w:val="ListParagraph"/>
              <w:numPr>
                <w:ilvl w:val="0"/>
                <w:numId w:val="3"/>
              </w:numPr>
              <w:ind w:left="4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Lourdes Rosales-Guevara (ATSDR Headquarters)</w:t>
            </w:r>
          </w:p>
          <w:p w14:paraId="19163240" w14:textId="35A00011" w:rsidR="00836FD3" w:rsidRDefault="00836FD3" w:rsidP="00EF14AC">
            <w:pPr>
              <w:pStyle w:val="ListParagraph"/>
              <w:numPr>
                <w:ilvl w:val="0"/>
                <w:numId w:val="3"/>
              </w:numPr>
              <w:ind w:left="4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Mateusz Karwowski (ATSDR Headquarters)</w:t>
            </w:r>
          </w:p>
          <w:p w14:paraId="2E3E13EC" w14:textId="3220172F" w:rsidR="00FB52D0" w:rsidRPr="00EF14AC" w:rsidRDefault="00EF14AC" w:rsidP="00EF14AC">
            <w:pPr>
              <w:pStyle w:val="ListParagraph"/>
              <w:numPr>
                <w:ilvl w:val="0"/>
                <w:numId w:val="3"/>
              </w:numPr>
              <w:ind w:left="4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David Dorian</w:t>
            </w:r>
            <w:r w:rsidR="00977D5F" w:rsidRPr="00977D5F">
              <w:rPr>
                <w:sz w:val="24"/>
                <w:szCs w:val="24"/>
              </w:rPr>
              <w:t xml:space="preserve"> (ATSDR Region </w:t>
            </w:r>
            <w:r>
              <w:rPr>
                <w:sz w:val="24"/>
                <w:szCs w:val="24"/>
              </w:rPr>
              <w:t>8</w:t>
            </w:r>
            <w:r w:rsidR="00977D5F" w:rsidRPr="00977D5F">
              <w:rPr>
                <w:sz w:val="24"/>
                <w:szCs w:val="24"/>
              </w:rPr>
              <w:t>)</w:t>
            </w:r>
          </w:p>
        </w:tc>
      </w:tr>
      <w:tr w:rsidR="00977D5F" w14:paraId="34E8B2E3" w14:textId="77777777" w:rsidTr="00B50EEF">
        <w:tc>
          <w:tcPr>
            <w:tcW w:w="3168" w:type="dxa"/>
            <w:vAlign w:val="center"/>
          </w:tcPr>
          <w:p w14:paraId="72474E13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Technical Assistance:</w:t>
            </w:r>
          </w:p>
        </w:tc>
        <w:tc>
          <w:tcPr>
            <w:tcW w:w="7128" w:type="dxa"/>
            <w:vAlign w:val="center"/>
          </w:tcPr>
          <w:p w14:paraId="348B19FA" w14:textId="17CB4413" w:rsidR="00977D5F" w:rsidRPr="002B7FAF" w:rsidRDefault="00FB52D0" w:rsidP="005A3D6B">
            <w:pPr>
              <w:pStyle w:val="ListParagraph"/>
              <w:numPr>
                <w:ilvl w:val="0"/>
                <w:numId w:val="2"/>
              </w:numPr>
              <w:ind w:left="414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Region </w:t>
            </w:r>
            <w:r w:rsidR="00EF14A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Environmental Protection Agency (EPA)</w:t>
            </w:r>
            <w:r w:rsidR="00977D5F" w:rsidRPr="002B7FAF">
              <w:rPr>
                <w:sz w:val="24"/>
                <w:szCs w:val="24"/>
              </w:rPr>
              <w:t xml:space="preserve"> </w:t>
            </w:r>
          </w:p>
          <w:p w14:paraId="57705506" w14:textId="3ED50225" w:rsidR="00241D1E" w:rsidRPr="00FB52D0" w:rsidRDefault="00EF14AC" w:rsidP="005A3D6B">
            <w:pPr>
              <w:pStyle w:val="ListParagraph"/>
              <w:numPr>
                <w:ilvl w:val="0"/>
                <w:numId w:val="2"/>
              </w:numPr>
              <w:ind w:left="414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Montana Department of Public Health and Human Services (MDPHHS)</w:t>
            </w:r>
          </w:p>
          <w:p w14:paraId="0B7AB2C8" w14:textId="44B38F18" w:rsidR="00FB52D0" w:rsidRPr="002B7FAF" w:rsidRDefault="00EF14AC" w:rsidP="005A3D6B">
            <w:pPr>
              <w:pStyle w:val="ListParagraph"/>
              <w:numPr>
                <w:ilvl w:val="0"/>
                <w:numId w:val="2"/>
              </w:numPr>
              <w:ind w:left="414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Anaconda Deer Lodge County (ADLC) health department</w:t>
            </w:r>
          </w:p>
          <w:p w14:paraId="7D294FD6" w14:textId="23EF587F" w:rsidR="00977D5F" w:rsidRPr="00977D5F" w:rsidRDefault="009A4C91" w:rsidP="00EF14AC">
            <w:pPr>
              <w:pStyle w:val="ListParagraph"/>
              <w:numPr>
                <w:ilvl w:val="0"/>
                <w:numId w:val="2"/>
              </w:numPr>
              <w:ind w:left="414"/>
              <w:rPr>
                <w:b/>
                <w:sz w:val="24"/>
                <w:szCs w:val="24"/>
              </w:rPr>
            </w:pPr>
            <w:r w:rsidRPr="002B7FAF">
              <w:rPr>
                <w:sz w:val="24"/>
                <w:szCs w:val="24"/>
              </w:rPr>
              <w:t>NCEH/</w:t>
            </w:r>
            <w:r w:rsidR="00EF14AC">
              <w:rPr>
                <w:sz w:val="24"/>
                <w:szCs w:val="24"/>
              </w:rPr>
              <w:t>DLS</w:t>
            </w:r>
            <w:r w:rsidR="00977D5F" w:rsidRPr="002B7FAF">
              <w:rPr>
                <w:sz w:val="24"/>
                <w:szCs w:val="24"/>
              </w:rPr>
              <w:t xml:space="preserve"> laboratory</w:t>
            </w:r>
          </w:p>
        </w:tc>
      </w:tr>
      <w:tr w:rsidR="00977D5F" w14:paraId="25C1773E" w14:textId="77777777" w:rsidTr="00700B89">
        <w:tc>
          <w:tcPr>
            <w:tcW w:w="3168" w:type="dxa"/>
            <w:vAlign w:val="center"/>
          </w:tcPr>
          <w:p w14:paraId="5E2388E7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 w:rsidRPr="007F0688">
              <w:rPr>
                <w:b/>
                <w:sz w:val="24"/>
                <w:szCs w:val="24"/>
              </w:rPr>
              <w:t>Source of Request (state, petition, etc.):</w:t>
            </w:r>
          </w:p>
        </w:tc>
        <w:tc>
          <w:tcPr>
            <w:tcW w:w="7128" w:type="dxa"/>
            <w:vAlign w:val="center"/>
          </w:tcPr>
          <w:p w14:paraId="1447E8FA" w14:textId="51AF2F2E" w:rsidR="00977D5F" w:rsidRPr="00977D5F" w:rsidRDefault="00627597" w:rsidP="00106C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ATSDR EI </w:t>
            </w:r>
            <w:r w:rsidR="001079E3">
              <w:rPr>
                <w:sz w:val="24"/>
                <w:szCs w:val="24"/>
              </w:rPr>
              <w:t xml:space="preserve">will be conducted </w:t>
            </w:r>
            <w:r>
              <w:rPr>
                <w:sz w:val="24"/>
                <w:szCs w:val="24"/>
              </w:rPr>
              <w:t xml:space="preserve">in coordination with </w:t>
            </w:r>
            <w:r w:rsidR="001079E3">
              <w:rPr>
                <w:sz w:val="24"/>
                <w:szCs w:val="24"/>
              </w:rPr>
              <w:t>EPA.</w:t>
            </w:r>
          </w:p>
        </w:tc>
      </w:tr>
      <w:tr w:rsidR="00977D5F" w14:paraId="61AA36E6" w14:textId="77777777" w:rsidTr="001F3964">
        <w:trPr>
          <w:trHeight w:val="2042"/>
        </w:trPr>
        <w:tc>
          <w:tcPr>
            <w:tcW w:w="3168" w:type="dxa"/>
            <w:vAlign w:val="center"/>
          </w:tcPr>
          <w:p w14:paraId="0A0856C0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 Goals:</w:t>
            </w:r>
          </w:p>
        </w:tc>
        <w:tc>
          <w:tcPr>
            <w:tcW w:w="7128" w:type="dxa"/>
            <w:vAlign w:val="center"/>
          </w:tcPr>
          <w:p w14:paraId="4A57A713" w14:textId="77777777" w:rsidR="00EF14AC" w:rsidRPr="00EF14AC" w:rsidRDefault="00EF14AC" w:rsidP="00EF14AC">
            <w:pPr>
              <w:numPr>
                <w:ilvl w:val="0"/>
                <w:numId w:val="16"/>
              </w:numPr>
              <w:spacing w:after="100" w:afterAutospacing="1"/>
              <w:ind w:left="486" w:hanging="4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eastAsia="Times New Roman" w:hAnsi="Times New Roman" w:cs="Times New Roman"/>
                <w:sz w:val="24"/>
                <w:szCs w:val="24"/>
              </w:rPr>
              <w:t>Evaluate blood lead levels (BLLs) for Anaconda residents that participate in the investigation.</w:t>
            </w:r>
          </w:p>
          <w:p w14:paraId="1FB170A0" w14:textId="77777777" w:rsidR="00EF14AC" w:rsidRPr="00EF14AC" w:rsidRDefault="00EF14AC" w:rsidP="00EF14AC">
            <w:pPr>
              <w:numPr>
                <w:ilvl w:val="0"/>
                <w:numId w:val="19"/>
              </w:num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eastAsia="Times New Roman" w:hAnsi="Times New Roman" w:cs="Times New Roman"/>
                <w:sz w:val="24"/>
                <w:szCs w:val="24"/>
              </w:rPr>
              <w:t>Recommend case management for participants with BLL ≥5 micrograms per deciliter (µg/dL) (CDC reference level)</w:t>
            </w:r>
          </w:p>
          <w:p w14:paraId="753A731A" w14:textId="77777777" w:rsidR="00EF14AC" w:rsidRPr="00EF14AC" w:rsidRDefault="00EF14AC" w:rsidP="00EF14AC">
            <w:pPr>
              <w:numPr>
                <w:ilvl w:val="0"/>
                <w:numId w:val="19"/>
              </w:num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eastAsia="Times New Roman" w:hAnsi="Times New Roman" w:cs="Times New Roman"/>
                <w:sz w:val="24"/>
                <w:szCs w:val="24"/>
              </w:rPr>
              <w:t>Recommend follow-up evaluation with a Primary Care Physician (PCP) for retesting and developmental and behavioral screening, as needed</w:t>
            </w:r>
          </w:p>
          <w:p w14:paraId="5E5EA980" w14:textId="77777777" w:rsidR="00EF14AC" w:rsidRPr="00EF14AC" w:rsidRDefault="00EF14AC" w:rsidP="00EF14AC">
            <w:pPr>
              <w:numPr>
                <w:ilvl w:val="0"/>
                <w:numId w:val="19"/>
              </w:numPr>
              <w:spacing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eastAsia="Times New Roman" w:hAnsi="Times New Roman" w:cs="Times New Roman"/>
                <w:sz w:val="24"/>
                <w:szCs w:val="24"/>
              </w:rPr>
              <w:t>Recommend an early intervention program for children with developmental and behavioral issues, as needed</w:t>
            </w:r>
          </w:p>
          <w:p w14:paraId="7099737B" w14:textId="77777777" w:rsidR="00EF14AC" w:rsidRPr="00EF14AC" w:rsidRDefault="00EF14AC" w:rsidP="00EF14AC">
            <w:pPr>
              <w:numPr>
                <w:ilvl w:val="0"/>
                <w:numId w:val="19"/>
              </w:numPr>
              <w:spacing w:after="100" w:afterAutospacing="1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4AC">
              <w:rPr>
                <w:rFonts w:ascii="Times New Roman" w:eastAsia="Times New Roman" w:hAnsi="Times New Roman" w:cs="Times New Roman"/>
                <w:sz w:val="24"/>
                <w:szCs w:val="24"/>
              </w:rPr>
              <w:t>Provide information on nutrition that may help to decrease the absorption of lead into the body</w:t>
            </w:r>
            <w:r w:rsidRPr="00EF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9F029AC" w14:textId="77777777" w:rsidR="00EF14AC" w:rsidRPr="00EF14AC" w:rsidRDefault="00EF14AC" w:rsidP="00EF14AC">
            <w:pPr>
              <w:numPr>
                <w:ilvl w:val="0"/>
                <w:numId w:val="16"/>
              </w:numPr>
              <w:spacing w:after="100" w:afterAutospacing="1"/>
              <w:ind w:left="486" w:hanging="4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Evaluate total and inorganic urine arsenic levels for Anaconda residents that participate in the investigation. </w:t>
            </w:r>
          </w:p>
          <w:p w14:paraId="1D7B8C38" w14:textId="77777777" w:rsidR="00EF14AC" w:rsidRPr="00EF14AC" w:rsidRDefault="00EF14AC" w:rsidP="00EF14AC">
            <w:pPr>
              <w:numPr>
                <w:ilvl w:val="0"/>
                <w:numId w:val="17"/>
              </w:numPr>
              <w:spacing w:after="100" w:afterAutospacing="1"/>
              <w:ind w:left="75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eastAsia="Times New Roman" w:hAnsi="Times New Roman" w:cs="Times New Roman"/>
                <w:sz w:val="24"/>
                <w:szCs w:val="24"/>
              </w:rPr>
              <w:t>Each participant’s creatinine-corrected, total urinary arsenic level will be compared to the most up-to-date 95</w:t>
            </w:r>
            <w:r w:rsidRPr="00EF14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1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percentile value reported in the National Health and Nutrition Examination Survey (NHANES). Currently, a value of 29.9 micrograms per gram of creatinine (µg/g Cr) is reported for children aged 6-11 years; 30.5 µg/g Cr for children aged 12-19 years and 54.0 µg/g Cr for adults aged 20 years and older (2013-2014 data) [CDC 2018]. </w:t>
            </w:r>
          </w:p>
          <w:p w14:paraId="27BF06EE" w14:textId="77777777" w:rsidR="00EF14AC" w:rsidRPr="00EF14AC" w:rsidRDefault="00EF14AC" w:rsidP="00EF14AC">
            <w:pPr>
              <w:numPr>
                <w:ilvl w:val="0"/>
                <w:numId w:val="17"/>
              </w:numPr>
              <w:spacing w:after="100" w:afterAutospacing="1"/>
              <w:ind w:left="75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eastAsia="Times New Roman" w:hAnsi="Times New Roman" w:cs="Times New Roman"/>
                <w:sz w:val="24"/>
                <w:szCs w:val="24"/>
              </w:rPr>
              <w:t>For participants whose creatinine-corrected, total urinary arsenic level is above the appropriate 95</w:t>
            </w:r>
            <w:r w:rsidRPr="00EF14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1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percentile NHANES value, total inorganic urinary arsenic results will be compared to the most up-to-date 95</w:t>
            </w:r>
            <w:r w:rsidRPr="00EF14A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EF1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percentile values specific to age </w:t>
            </w:r>
            <w:r w:rsidRPr="00EF14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group that are reported in NHANES [CDC 2018].</w:t>
            </w:r>
          </w:p>
          <w:p w14:paraId="66798FFB" w14:textId="77777777" w:rsidR="00EF14AC" w:rsidRPr="00EF14AC" w:rsidRDefault="00EF14AC" w:rsidP="00EF14AC">
            <w:pPr>
              <w:numPr>
                <w:ilvl w:val="0"/>
                <w:numId w:val="16"/>
              </w:numPr>
              <w:spacing w:after="100" w:afterAutospacing="1"/>
              <w:ind w:left="486" w:hanging="48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eastAsia="Times New Roman" w:hAnsi="Times New Roman" w:cs="Times New Roman"/>
                <w:sz w:val="24"/>
                <w:szCs w:val="24"/>
              </w:rPr>
              <w:t>Recommend ways to lower exposure to lead and arsenic in the home.</w:t>
            </w:r>
          </w:p>
          <w:p w14:paraId="609580E0" w14:textId="77777777" w:rsidR="00EF14AC" w:rsidRPr="00EF14AC" w:rsidRDefault="00EF14AC" w:rsidP="00EF14AC">
            <w:pPr>
              <w:numPr>
                <w:ilvl w:val="0"/>
                <w:numId w:val="20"/>
              </w:numPr>
              <w:spacing w:after="100" w:afterAutospacing="1"/>
              <w:ind w:left="846" w:hanging="45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Recommend ways to lower exposure to lead- and arsenic-containing dust in homes (e.g., attics) </w:t>
            </w:r>
          </w:p>
          <w:p w14:paraId="627DF268" w14:textId="77777777" w:rsidR="00EF14AC" w:rsidRPr="00EF14AC" w:rsidRDefault="00EF14AC" w:rsidP="00EF14AC">
            <w:pPr>
              <w:numPr>
                <w:ilvl w:val="0"/>
                <w:numId w:val="20"/>
              </w:numPr>
              <w:spacing w:after="100" w:afterAutospacing="1"/>
              <w:ind w:left="846" w:hanging="45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Assist the community with the identification of available resources for home assessments</w:t>
            </w:r>
          </w:p>
          <w:p w14:paraId="14C9623D" w14:textId="77777777" w:rsidR="00EF14AC" w:rsidRPr="00EF14AC" w:rsidRDefault="00EF14AC" w:rsidP="00EF14AC">
            <w:pPr>
              <w:numPr>
                <w:ilvl w:val="0"/>
                <w:numId w:val="18"/>
              </w:numPr>
              <w:spacing w:after="100" w:afterAutospacing="1"/>
              <w:ind w:left="486" w:hanging="486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1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All participants will have the option of discussing their lead and/or arsenic findings with an ATSDR medical officer.</w:t>
            </w:r>
          </w:p>
          <w:p w14:paraId="00DE0D20" w14:textId="77777777" w:rsidR="00977D5F" w:rsidRPr="00977D5F" w:rsidRDefault="00977D5F" w:rsidP="00EF14AC">
            <w:pPr>
              <w:ind w:left="486" w:hanging="486"/>
              <w:rPr>
                <w:sz w:val="24"/>
                <w:szCs w:val="24"/>
              </w:rPr>
            </w:pPr>
          </w:p>
        </w:tc>
      </w:tr>
      <w:tr w:rsidR="00977D5F" w14:paraId="5726654A" w14:textId="77777777" w:rsidTr="00B50EEF">
        <w:tc>
          <w:tcPr>
            <w:tcW w:w="3168" w:type="dxa"/>
            <w:vAlign w:val="center"/>
          </w:tcPr>
          <w:p w14:paraId="5A091130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Project Objectives:</w:t>
            </w:r>
          </w:p>
        </w:tc>
        <w:tc>
          <w:tcPr>
            <w:tcW w:w="7128" w:type="dxa"/>
            <w:vAlign w:val="center"/>
          </w:tcPr>
          <w:p w14:paraId="7CB56D13" w14:textId="00113975" w:rsidR="00977D5F" w:rsidRPr="00EF14AC" w:rsidRDefault="00771A77" w:rsidP="00FB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>Th</w:t>
            </w:r>
            <w:r w:rsidR="00E04405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is exposure investigation will recruit </w:t>
            </w:r>
            <w:r w:rsidR="00836FD3">
              <w:rPr>
                <w:rFonts w:ascii="Times New Roman" w:hAnsi="Times New Roman" w:cs="Times New Roman"/>
                <w:sz w:val="24"/>
                <w:szCs w:val="24"/>
              </w:rPr>
              <w:t xml:space="preserve">a maximum of </w:t>
            </w:r>
            <w:r w:rsidR="00BB3ABB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r w:rsidR="00E04405" w:rsidRPr="00EF14AC">
              <w:rPr>
                <w:rFonts w:ascii="Times New Roman" w:hAnsi="Times New Roman" w:cs="Times New Roman"/>
                <w:sz w:val="24"/>
                <w:szCs w:val="24"/>
              </w:rPr>
              <w:t>community members</w:t>
            </w:r>
            <w:r w:rsidR="005956AA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FE8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living </w:t>
            </w:r>
            <w:r w:rsidR="0011153A" w:rsidRPr="00EF14AC">
              <w:rPr>
                <w:rFonts w:ascii="Times New Roman" w:hAnsi="Times New Roman" w:cs="Times New Roman"/>
                <w:sz w:val="24"/>
                <w:szCs w:val="24"/>
              </w:rPr>
              <w:t>in the</w:t>
            </w:r>
            <w:r w:rsidR="004C6181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4AC" w:rsidRPr="00EF14AC">
              <w:rPr>
                <w:rFonts w:ascii="Times New Roman" w:hAnsi="Times New Roman" w:cs="Times New Roman"/>
                <w:sz w:val="24"/>
                <w:szCs w:val="24"/>
              </w:rPr>
              <w:t>Anaconda, MT area to be tested for blood lead and urine arsenic</w:t>
            </w:r>
            <w:r w:rsidR="0063667F" w:rsidRPr="00EF1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B7FAF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4AC">
              <w:rPr>
                <w:rFonts w:ascii="Times New Roman" w:hAnsi="Times New Roman" w:cs="Times New Roman"/>
                <w:sz w:val="24"/>
                <w:szCs w:val="24"/>
              </w:rPr>
              <w:t>Given community concerns, a</w:t>
            </w:r>
            <w:r w:rsidR="00EF14AC" w:rsidRPr="00EF14AC">
              <w:rPr>
                <w:rFonts w:ascii="Times New Roman" w:hAnsi="Times New Roman" w:cs="Times New Roman"/>
                <w:sz w:val="24"/>
                <w:szCs w:val="24"/>
              </w:rPr>
              <w:t>ll</w:t>
            </w:r>
            <w:r w:rsidR="00EF14AC">
              <w:rPr>
                <w:rFonts w:ascii="Times New Roman" w:hAnsi="Times New Roman" w:cs="Times New Roman"/>
                <w:sz w:val="24"/>
                <w:szCs w:val="24"/>
              </w:rPr>
              <w:t xml:space="preserve"> community members will be invited to participate</w:t>
            </w:r>
            <w:r w:rsidR="00CC0157" w:rsidRPr="00EF1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68A2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FAF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We will </w:t>
            </w:r>
            <w:r w:rsidR="00E04405" w:rsidRPr="00EF14AC">
              <w:rPr>
                <w:rFonts w:ascii="Times New Roman" w:hAnsi="Times New Roman" w:cs="Times New Roman"/>
                <w:sz w:val="24"/>
                <w:szCs w:val="24"/>
              </w:rPr>
              <w:t>compare</w:t>
            </w:r>
            <w:r w:rsidR="006B5535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the results with levels of health concern</w:t>
            </w:r>
            <w:r w:rsidR="00FB2ED6">
              <w:rPr>
                <w:rFonts w:ascii="Times New Roman" w:hAnsi="Times New Roman" w:cs="Times New Roman"/>
                <w:sz w:val="24"/>
                <w:szCs w:val="24"/>
              </w:rPr>
              <w:t xml:space="preserve"> (blood lead levels ≥5 µg/dL) or levels in the U.S. population [arsenic levels compared to appropriate National Health and Nutrition Examination Survey (NHANES) levels]</w:t>
            </w:r>
            <w:r w:rsidR="00DF48D0" w:rsidRPr="00EF14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5535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provide participants with their individual results and interpretation/</w:t>
            </w:r>
            <w:r w:rsidR="004C6181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5535" w:rsidRPr="00EF14AC">
              <w:rPr>
                <w:rFonts w:ascii="Times New Roman" w:hAnsi="Times New Roman" w:cs="Times New Roman"/>
                <w:sz w:val="24"/>
                <w:szCs w:val="24"/>
              </w:rPr>
              <w:t>recommendations</w:t>
            </w:r>
            <w:r w:rsidR="00DF48D0" w:rsidRPr="00EF14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5535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and write a summary report</w:t>
            </w:r>
            <w:r w:rsidR="00E36E2D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(EI report)</w:t>
            </w:r>
            <w:r w:rsidR="006B5535" w:rsidRPr="00EF1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7D5F" w14:paraId="2F59FB9B" w14:textId="77777777" w:rsidTr="00B50EEF">
        <w:tc>
          <w:tcPr>
            <w:tcW w:w="3168" w:type="dxa"/>
            <w:vAlign w:val="center"/>
          </w:tcPr>
          <w:p w14:paraId="7708BD98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Environmental Sampling to be Completed:</w:t>
            </w:r>
          </w:p>
        </w:tc>
        <w:tc>
          <w:tcPr>
            <w:tcW w:w="7128" w:type="dxa"/>
            <w:vAlign w:val="center"/>
          </w:tcPr>
          <w:p w14:paraId="255E57C6" w14:textId="3D9FD59E" w:rsidR="00977D5F" w:rsidRPr="00EF14AC" w:rsidRDefault="00F32AA2" w:rsidP="00FB2E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>None</w:t>
            </w:r>
            <w:r w:rsidR="00AB6175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. EPA is conducting </w:t>
            </w:r>
            <w:r w:rsidR="00FB2ED6">
              <w:rPr>
                <w:rFonts w:ascii="Times New Roman" w:hAnsi="Times New Roman" w:cs="Times New Roman"/>
                <w:sz w:val="24"/>
                <w:szCs w:val="24"/>
              </w:rPr>
              <w:t xml:space="preserve">remedial action at the site as part </w:t>
            </w:r>
            <w:r w:rsidR="003B7C8F" w:rsidRPr="00EF14AC">
              <w:rPr>
                <w:rFonts w:ascii="Times New Roman" w:hAnsi="Times New Roman" w:cs="Times New Roman"/>
                <w:sz w:val="24"/>
                <w:szCs w:val="24"/>
              </w:rPr>
              <w:t>the Remedial Investigation/Feasibility (RI/FS) process</w:t>
            </w:r>
            <w:r w:rsidR="00AB6175" w:rsidRPr="00EF1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7D5F" w14:paraId="14823B1C" w14:textId="77777777" w:rsidTr="00B50EEF">
        <w:tc>
          <w:tcPr>
            <w:tcW w:w="3168" w:type="dxa"/>
            <w:vAlign w:val="center"/>
          </w:tcPr>
          <w:p w14:paraId="2A163763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Biological Sampling to be Completed:</w:t>
            </w:r>
          </w:p>
        </w:tc>
        <w:tc>
          <w:tcPr>
            <w:tcW w:w="7128" w:type="dxa"/>
            <w:vAlign w:val="center"/>
          </w:tcPr>
          <w:p w14:paraId="004FE7F4" w14:textId="28091485" w:rsidR="00EB0D65" w:rsidRPr="00EF14AC" w:rsidRDefault="00AB6175" w:rsidP="007B48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Blood lead </w:t>
            </w:r>
            <w:r w:rsidR="00FB2ED6">
              <w:rPr>
                <w:rFonts w:ascii="Times New Roman" w:hAnsi="Times New Roman" w:cs="Times New Roman"/>
                <w:sz w:val="24"/>
                <w:szCs w:val="24"/>
              </w:rPr>
              <w:t xml:space="preserve">and urine arsenic 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C53B06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esting will occur in </w:t>
            </w:r>
            <w:r w:rsidR="00FB2ED6">
              <w:rPr>
                <w:rFonts w:ascii="Times New Roman" w:hAnsi="Times New Roman" w:cs="Times New Roman"/>
                <w:sz w:val="24"/>
                <w:szCs w:val="24"/>
              </w:rPr>
              <w:t xml:space="preserve">fall 2018. Young children and pregnant women are </w:t>
            </w:r>
            <w:r w:rsidR="007B4833">
              <w:rPr>
                <w:rFonts w:ascii="Times New Roman" w:hAnsi="Times New Roman" w:cs="Times New Roman"/>
                <w:sz w:val="24"/>
                <w:szCs w:val="24"/>
              </w:rPr>
              <w:t>more susceptible to the effects of heavy metals, especially lead, but g</w:t>
            </w:r>
            <w:r w:rsidR="00FB2ED6">
              <w:rPr>
                <w:rFonts w:ascii="Times New Roman" w:hAnsi="Times New Roman" w:cs="Times New Roman"/>
                <w:sz w:val="24"/>
                <w:szCs w:val="24"/>
              </w:rPr>
              <w:t xml:space="preserve">iven community concerns, all </w:t>
            </w:r>
            <w:r w:rsidR="007B4833">
              <w:rPr>
                <w:rFonts w:ascii="Times New Roman" w:hAnsi="Times New Roman" w:cs="Times New Roman"/>
                <w:sz w:val="24"/>
                <w:szCs w:val="24"/>
              </w:rPr>
              <w:t>residents of the Anaconda area are invited to participate in the EI.</w:t>
            </w:r>
          </w:p>
        </w:tc>
      </w:tr>
      <w:tr w:rsidR="00977D5F" w14:paraId="30C36960" w14:textId="77777777" w:rsidTr="00B50EEF">
        <w:tc>
          <w:tcPr>
            <w:tcW w:w="3168" w:type="dxa"/>
            <w:vAlign w:val="center"/>
          </w:tcPr>
          <w:p w14:paraId="63224EE1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Collection and Analysis Procedures:</w:t>
            </w:r>
          </w:p>
        </w:tc>
        <w:tc>
          <w:tcPr>
            <w:tcW w:w="7128" w:type="dxa"/>
            <w:vAlign w:val="center"/>
          </w:tcPr>
          <w:p w14:paraId="3638EE4E" w14:textId="77777777" w:rsidR="00C559A7" w:rsidRPr="00EF14AC" w:rsidRDefault="00B65000" w:rsidP="004B0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Recruitment of Participants:</w:t>
            </w:r>
            <w:r w:rsidR="004B0DC0" w:rsidRPr="00EF1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B0DC0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Supporting Statements A and B are provided in Attachments 1 and 2. The Supporting Statements outline the EI data collection and analysis procedures. </w:t>
            </w:r>
          </w:p>
          <w:p w14:paraId="411AE6D9" w14:textId="77777777" w:rsidR="00C559A7" w:rsidRPr="00EF14AC" w:rsidRDefault="00C559A7" w:rsidP="004B0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6FBBB" w14:textId="77777777" w:rsidR="001E03FD" w:rsidRPr="00EF14AC" w:rsidRDefault="001E03FD" w:rsidP="00C559A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Recruitment: </w:t>
            </w:r>
          </w:p>
          <w:p w14:paraId="1A2C7FF2" w14:textId="194BF3CB" w:rsidR="001E03FD" w:rsidRDefault="001224B6" w:rsidP="001E03FD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recruitment postcard providing information on the EI and inviting residents to participate will be sent to </w:t>
            </w:r>
            <w:r w:rsidR="000B7EE5">
              <w:rPr>
                <w:rFonts w:ascii="Times New Roman" w:hAnsi="Times New Roman" w:cs="Times New Roman"/>
                <w:sz w:val="24"/>
                <w:szCs w:val="24"/>
              </w:rPr>
              <w:t>participants in the Anaconda area approximately 2 weeks prior to the testing</w:t>
            </w:r>
            <w:r w:rsidR="001E03FD" w:rsidRPr="00EF1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D474E9" w14:textId="7F4A8D58" w:rsidR="000B7EE5" w:rsidRDefault="00722659" w:rsidP="001E03FD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Local partners, ADLC and MDPHHS, will assist ATSDR in sharing information on the EI effor</w:t>
            </w:r>
            <w:r w:rsidR="00DC0C83">
              <w:rPr>
                <w:rFonts w:ascii="Times New Roman" w:hAnsi="Times New Roman" w:cs="Times New Roman"/>
                <w:sz w:val="24"/>
                <w:szCs w:val="24"/>
              </w:rPr>
              <w:t>t by distributing fact sheets and posters in the Anaconda area and promoting the EI effort via social media.</w:t>
            </w:r>
          </w:p>
          <w:p w14:paraId="6A1D57B6" w14:textId="67E01021" w:rsidR="00DC0C83" w:rsidRDefault="00DC0C83" w:rsidP="001E03FD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Participants will contact ATSDR via a toll free number to make an appointment of the testing.</w:t>
            </w:r>
          </w:p>
          <w:p w14:paraId="19D79FA7" w14:textId="6BE9A355" w:rsidR="00DC0C83" w:rsidRDefault="00DC0C83" w:rsidP="001E03FD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Participants will be provided a urine collection kit which will include </w:t>
            </w:r>
            <w:r w:rsidR="00AB78DD">
              <w:rPr>
                <w:rFonts w:ascii="Times New Roman" w:hAnsi="Times New Roman" w:cs="Times New Roman"/>
                <w:sz w:val="24"/>
                <w:szCs w:val="24"/>
              </w:rPr>
              <w:t xml:space="preserve">instructions on how to collect, freeze and bring the same to the blood collection site. </w:t>
            </w:r>
          </w:p>
          <w:p w14:paraId="7D2BED2F" w14:textId="190447BC" w:rsidR="00AB78DD" w:rsidRPr="00EF14AC" w:rsidRDefault="00AB78DD" w:rsidP="001E03FD">
            <w:pPr>
              <w:pStyle w:val="ListParagraph"/>
              <w:numPr>
                <w:ilvl w:val="1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Participants will be provided a consent/parental permission/assent form, as appropriate, when the urine collection kit is provided to participants. Parental permission forms will be completed for all children younger than 18 years old and a child assent form will be completed for all children aged 7 to 1</w:t>
            </w:r>
            <w:r w:rsidR="000A79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years.</w:t>
            </w:r>
          </w:p>
          <w:p w14:paraId="383533B7" w14:textId="77777777" w:rsidR="00593A63" w:rsidRPr="00EF14AC" w:rsidRDefault="00593A63" w:rsidP="004B0D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0D15F" w14:textId="77777777" w:rsidR="008663E3" w:rsidRDefault="00593A63" w:rsidP="00B50EE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>Collection:</w:t>
            </w:r>
            <w:r w:rsidR="005A6D67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E4F5AC" w14:textId="77777777" w:rsidR="008663E3" w:rsidRDefault="008663E3" w:rsidP="008663E3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Participants will bring the first-morning urine they collected and will give it to ATSDR personnel.</w:t>
            </w:r>
          </w:p>
          <w:p w14:paraId="2C6827E7" w14:textId="0C8EFE1C" w:rsidR="00F432BE" w:rsidRDefault="00F432BE" w:rsidP="008663E3">
            <w:pPr>
              <w:pStyle w:val="ListParagraph"/>
              <w:numPr>
                <w:ilvl w:val="1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total time in the investigation is 30 minutes per paticipant. </w:t>
            </w:r>
          </w:p>
          <w:p w14:paraId="6C0DD449" w14:textId="537D9FA6" w:rsidR="0076482D" w:rsidRDefault="00D32CFC" w:rsidP="00D55AC4">
            <w:pPr>
              <w:pStyle w:val="ListParagraph"/>
              <w:numPr>
                <w:ilvl w:val="1"/>
                <w:numId w:val="8"/>
              </w:numPr>
              <w:ind w:left="174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>Adult participants and parental/guardian proxies for children</w:t>
            </w:r>
            <w:r w:rsidR="0076482D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will be asked </w:t>
            </w:r>
            <w:r w:rsidR="00E27222" w:rsidRPr="00EF14AC">
              <w:rPr>
                <w:rFonts w:ascii="Times New Roman" w:hAnsi="Times New Roman" w:cs="Times New Roman"/>
                <w:sz w:val="24"/>
                <w:szCs w:val="24"/>
              </w:rPr>
              <w:t>questions to allow a better interpretation of</w:t>
            </w:r>
            <w:r w:rsidR="00B54838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38E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blood </w:t>
            </w:r>
            <w:r w:rsidR="00AB78DD">
              <w:rPr>
                <w:rFonts w:ascii="Times New Roman" w:hAnsi="Times New Roman" w:cs="Times New Roman"/>
                <w:sz w:val="24"/>
                <w:szCs w:val="24"/>
              </w:rPr>
              <w:t xml:space="preserve">and urine </w:t>
            </w:r>
            <w:r w:rsidR="00E27222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results. The questionnaire to be used in the EI is attached (Attachment </w:t>
            </w:r>
            <w:r w:rsidR="00B348E2" w:rsidRPr="00EF14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7222" w:rsidRPr="00EF14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A6D67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, and is estimated to take </w:t>
            </w:r>
            <w:r w:rsidR="001C4A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6D67" w:rsidRPr="00EF14AC">
              <w:rPr>
                <w:rFonts w:ascii="Times New Roman" w:hAnsi="Times New Roman" w:cs="Times New Roman"/>
                <w:sz w:val="24"/>
                <w:szCs w:val="24"/>
              </w:rPr>
              <w:t>0 minutes to complete.</w:t>
            </w:r>
          </w:p>
          <w:p w14:paraId="16B1512F" w14:textId="2F6E5765" w:rsidR="008663E3" w:rsidRPr="008663E3" w:rsidRDefault="008663E3" w:rsidP="00D55AC4">
            <w:pPr>
              <w:pStyle w:val="ListParagraph"/>
              <w:numPr>
                <w:ilvl w:val="1"/>
                <w:numId w:val="8"/>
              </w:numPr>
              <w:ind w:left="1743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The blood samples will be obtained using certified phlebotomists at a designated location within the community. ATSDR personnel will pack and ship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blood and urine 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>samples overnight to the NCEH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/DLS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laboratory from the blood collection site. Collection of the blood </w:t>
            </w:r>
            <w:r w:rsidR="00083053">
              <w:rPr>
                <w:rFonts w:ascii="Times New Roman" w:hAnsi="Times New Roman" w:cs="Times New Roman"/>
                <w:sz w:val="24"/>
                <w:szCs w:val="24"/>
              </w:rPr>
              <w:t xml:space="preserve">and urine 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>sample</w:t>
            </w:r>
            <w:r w:rsidR="0008305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is estimated to take 10 minutes to complete.</w:t>
            </w:r>
          </w:p>
          <w:p w14:paraId="6995E86E" w14:textId="3C926BBB" w:rsidR="001C2596" w:rsidRPr="00EF14AC" w:rsidRDefault="001C2596" w:rsidP="00B50EEF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AC57A7" w:rsidRPr="00EF14AC">
              <w:rPr>
                <w:rFonts w:ascii="Times New Roman" w:hAnsi="Times New Roman" w:cs="Times New Roman"/>
                <w:sz w:val="24"/>
                <w:szCs w:val="24"/>
              </w:rPr>
              <w:t>human subjects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 w:rsidR="00D32CFC" w:rsidRPr="00EF14AC">
              <w:rPr>
                <w:rFonts w:ascii="Times New Roman" w:hAnsi="Times New Roman" w:cs="Times New Roman"/>
                <w:sz w:val="24"/>
                <w:szCs w:val="24"/>
              </w:rPr>
              <w:t>etermination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is provided in Attachment </w:t>
            </w:r>
            <w:r w:rsidR="00B348E2" w:rsidRPr="00EF14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5FE8" w:rsidRPr="00EF14AC">
              <w:rPr>
                <w:rFonts w:ascii="Times New Roman" w:hAnsi="Times New Roman" w:cs="Times New Roman"/>
                <w:sz w:val="24"/>
                <w:szCs w:val="24"/>
              </w:rPr>
              <w:t>The EI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is not considered a research study</w:t>
            </w:r>
            <w:r w:rsidR="008529CA" w:rsidRPr="00EF14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9CA" w:rsidRPr="00EF14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ts primary intent is </w:t>
            </w:r>
            <w:r w:rsidR="00995A52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to provide a 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public health </w:t>
            </w:r>
            <w:r w:rsidR="00995A52" w:rsidRPr="00EF14AC">
              <w:rPr>
                <w:rFonts w:ascii="Times New Roman" w:hAnsi="Times New Roman" w:cs="Times New Roman"/>
                <w:sz w:val="24"/>
                <w:szCs w:val="24"/>
              </w:rPr>
              <w:t>service for the community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2C50EF" w14:textId="77777777" w:rsidR="006C2E1C" w:rsidRPr="00EF14AC" w:rsidRDefault="006C2E1C" w:rsidP="00B50EE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F14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Analysis:</w:t>
            </w:r>
          </w:p>
          <w:p w14:paraId="3919E06C" w14:textId="79AE3B88" w:rsidR="006C2E1C" w:rsidRPr="00EF14AC" w:rsidRDefault="006C2E1C" w:rsidP="00CE22E8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The blood </w:t>
            </w:r>
            <w:r w:rsidR="008663E3">
              <w:rPr>
                <w:rFonts w:ascii="Times New Roman" w:hAnsi="Times New Roman" w:cs="Times New Roman"/>
                <w:sz w:val="24"/>
                <w:szCs w:val="24"/>
              </w:rPr>
              <w:t xml:space="preserve">and urine 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samples will be </w:t>
            </w:r>
            <w:r w:rsidR="00BA09ED" w:rsidRPr="00EF14AC">
              <w:rPr>
                <w:rFonts w:ascii="Times New Roman" w:hAnsi="Times New Roman" w:cs="Times New Roman"/>
                <w:sz w:val="24"/>
                <w:szCs w:val="24"/>
              </w:rPr>
              <w:t>analy</w:t>
            </w:r>
            <w:r w:rsidR="00E36E2D" w:rsidRPr="00EF14AC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A09ED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ed 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>by the NCEH</w:t>
            </w:r>
            <w:r w:rsidR="008663E3">
              <w:rPr>
                <w:rFonts w:ascii="Times New Roman" w:hAnsi="Times New Roman" w:cs="Times New Roman"/>
                <w:sz w:val="24"/>
                <w:szCs w:val="24"/>
              </w:rPr>
              <w:t>/DLS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laboratory </w:t>
            </w:r>
            <w:r w:rsidR="00AC47D1" w:rsidRPr="00EF14AC">
              <w:rPr>
                <w:rFonts w:ascii="Times New Roman" w:hAnsi="Times New Roman" w:cs="Times New Roman"/>
                <w:sz w:val="24"/>
                <w:szCs w:val="24"/>
              </w:rPr>
              <w:t>using state-of-art laboratory methods</w:t>
            </w:r>
            <w:r w:rsidR="00CE22E8" w:rsidRPr="00EF1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7D5F" w14:paraId="7FEF61C7" w14:textId="77777777" w:rsidTr="00B50EEF">
        <w:tc>
          <w:tcPr>
            <w:tcW w:w="3168" w:type="dxa"/>
            <w:vAlign w:val="center"/>
          </w:tcPr>
          <w:p w14:paraId="53AE4F0E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Information Collection Mode (in-person or remote):</w:t>
            </w:r>
          </w:p>
        </w:tc>
        <w:tc>
          <w:tcPr>
            <w:tcW w:w="7128" w:type="dxa"/>
            <w:vAlign w:val="center"/>
          </w:tcPr>
          <w:p w14:paraId="611BBB5A" w14:textId="77777777" w:rsidR="00977D5F" w:rsidRPr="00EF14AC" w:rsidRDefault="00446811" w:rsidP="005A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>In-person</w:t>
            </w:r>
          </w:p>
        </w:tc>
      </w:tr>
      <w:tr w:rsidR="00977D5F" w14:paraId="5B7C9B97" w14:textId="77777777" w:rsidTr="00B50EEF">
        <w:tc>
          <w:tcPr>
            <w:tcW w:w="3168" w:type="dxa"/>
            <w:vAlign w:val="center"/>
          </w:tcPr>
          <w:p w14:paraId="1D8719B0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Plans for Payment to Participant (if applicable):</w:t>
            </w:r>
          </w:p>
        </w:tc>
        <w:tc>
          <w:tcPr>
            <w:tcW w:w="7128" w:type="dxa"/>
            <w:vAlign w:val="center"/>
          </w:tcPr>
          <w:p w14:paraId="62F13B4B" w14:textId="77777777" w:rsidR="00977D5F" w:rsidRPr="00EF14AC" w:rsidRDefault="00446811" w:rsidP="005A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>Not Applicable</w:t>
            </w:r>
          </w:p>
        </w:tc>
      </w:tr>
      <w:tr w:rsidR="00977D5F" w14:paraId="270CF43A" w14:textId="77777777" w:rsidTr="00B50EEF">
        <w:tc>
          <w:tcPr>
            <w:tcW w:w="3168" w:type="dxa"/>
            <w:vAlign w:val="center"/>
          </w:tcPr>
          <w:p w14:paraId="5669C68C" w14:textId="77777777" w:rsidR="00977D5F" w:rsidRDefault="00DD64AD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Privacy</w:t>
            </w:r>
            <w:r w:rsidR="00977D5F">
              <w:rPr>
                <w:b/>
                <w:sz w:val="24"/>
                <w:szCs w:val="24"/>
              </w:rPr>
              <w:t xml:space="preserve"> Protections:</w:t>
            </w:r>
          </w:p>
        </w:tc>
        <w:tc>
          <w:tcPr>
            <w:tcW w:w="7128" w:type="dxa"/>
            <w:vAlign w:val="center"/>
          </w:tcPr>
          <w:p w14:paraId="32F2C8C5" w14:textId="1562919A" w:rsidR="00977D5F" w:rsidRPr="00EF14AC" w:rsidRDefault="00DD64AD" w:rsidP="005A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>Privacy</w:t>
            </w:r>
            <w:r w:rsidR="00446811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will be pr</w:t>
            </w:r>
            <w:r w:rsidR="001F71D9">
              <w:rPr>
                <w:rFonts w:ascii="Times New Roman" w:hAnsi="Times New Roman" w:cs="Times New Roman"/>
                <w:sz w:val="24"/>
                <w:szCs w:val="24"/>
              </w:rPr>
              <w:t>otected to the fullest extent allowable by</w:t>
            </w:r>
            <w:r w:rsidR="00446811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law.  </w:t>
            </w:r>
            <w:r w:rsidR="00797694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The consent forms contain information about 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>privacy</w:t>
            </w:r>
            <w:r w:rsidR="00797694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2BF4" w:rsidRPr="00EF14AC">
              <w:rPr>
                <w:rFonts w:ascii="Times New Roman" w:hAnsi="Times New Roman" w:cs="Times New Roman"/>
                <w:sz w:val="24"/>
                <w:szCs w:val="24"/>
              </w:rPr>
              <w:t>protections</w:t>
            </w:r>
            <w:r w:rsidR="00797694" w:rsidRPr="00EF1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7D5F" w14:paraId="759F6CB8" w14:textId="77777777" w:rsidTr="00B50EEF">
        <w:tc>
          <w:tcPr>
            <w:tcW w:w="3168" w:type="dxa"/>
            <w:vAlign w:val="center"/>
          </w:tcPr>
          <w:p w14:paraId="37021390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 Ethical Concerns/Issues:</w:t>
            </w:r>
          </w:p>
        </w:tc>
        <w:tc>
          <w:tcPr>
            <w:tcW w:w="7128" w:type="dxa"/>
          </w:tcPr>
          <w:p w14:paraId="65B54185" w14:textId="77777777" w:rsidR="00977D5F" w:rsidRPr="00EF14AC" w:rsidRDefault="00C2426C" w:rsidP="006C2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Blood will be drawn from children </w:t>
            </w:r>
            <w:r w:rsidR="006C23C0" w:rsidRPr="00EF14AC">
              <w:rPr>
                <w:rFonts w:ascii="Times New Roman" w:hAnsi="Times New Roman" w:cs="Times New Roman"/>
                <w:sz w:val="24"/>
                <w:szCs w:val="24"/>
              </w:rPr>
              <w:t>and adults, which may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cause some fear </w:t>
            </w:r>
            <w:r w:rsidR="006C23C0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and discomfort </w:t>
            </w:r>
            <w:r w:rsidR="00245FE8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for </w:t>
            </w:r>
            <w:r w:rsidR="006C23C0" w:rsidRPr="00EF14AC">
              <w:rPr>
                <w:rFonts w:ascii="Times New Roman" w:hAnsi="Times New Roman" w:cs="Times New Roman"/>
                <w:sz w:val="24"/>
                <w:szCs w:val="24"/>
              </w:rPr>
              <w:t>the participants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7D5F" w14:paraId="4F3297F5" w14:textId="77777777" w:rsidTr="00B50EEF">
        <w:tc>
          <w:tcPr>
            <w:tcW w:w="3168" w:type="dxa"/>
            <w:vAlign w:val="center"/>
          </w:tcPr>
          <w:p w14:paraId="001AD425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Projected Time Frame:</w:t>
            </w:r>
          </w:p>
        </w:tc>
        <w:tc>
          <w:tcPr>
            <w:tcW w:w="7128" w:type="dxa"/>
          </w:tcPr>
          <w:p w14:paraId="20494850" w14:textId="073F0C14" w:rsidR="00977D5F" w:rsidRPr="00EF14AC" w:rsidRDefault="005202A1" w:rsidP="0053447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The EI will be conducted over a </w:t>
            </w:r>
            <w:r w:rsidR="0053447F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period of </w:t>
            </w:r>
            <w:r w:rsidR="008663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6E2D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47F" w:rsidRPr="00EF14AC">
              <w:rPr>
                <w:rFonts w:ascii="Times New Roman" w:hAnsi="Times New Roman" w:cs="Times New Roman"/>
                <w:sz w:val="24"/>
                <w:szCs w:val="24"/>
              </w:rPr>
              <w:t>days (</w:t>
            </w:r>
            <w:r w:rsidR="008663E3">
              <w:rPr>
                <w:rFonts w:ascii="Times New Roman" w:hAnsi="Times New Roman" w:cs="Times New Roman"/>
                <w:sz w:val="24"/>
                <w:szCs w:val="24"/>
              </w:rPr>
              <w:t>Saturday through Tuesday</w:t>
            </w:r>
            <w:r w:rsidR="001E03FD" w:rsidRPr="00EF14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40471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709C">
              <w:rPr>
                <w:rFonts w:ascii="Times New Roman" w:hAnsi="Times New Roman" w:cs="Times New Roman"/>
                <w:sz w:val="24"/>
                <w:szCs w:val="24"/>
              </w:rPr>
              <w:t>in the fall of 2018.</w:t>
            </w:r>
            <w:r w:rsidR="00435C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044">
              <w:rPr>
                <w:rFonts w:ascii="Times New Roman" w:hAnsi="Times New Roman" w:cs="Times New Roman"/>
                <w:sz w:val="24"/>
                <w:szCs w:val="24"/>
              </w:rPr>
              <w:t>Data and s</w:t>
            </w:r>
            <w:r w:rsidR="0042709C">
              <w:rPr>
                <w:rFonts w:ascii="Times New Roman" w:hAnsi="Times New Roman" w:cs="Times New Roman"/>
                <w:sz w:val="24"/>
                <w:szCs w:val="24"/>
              </w:rPr>
              <w:t>ample collection</w:t>
            </w:r>
            <w:r w:rsidR="0053447F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will take approximately </w:t>
            </w:r>
            <w:r w:rsidR="00BA68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68DA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53447F" w:rsidRPr="00EF14AC">
              <w:rPr>
                <w:rFonts w:ascii="Times New Roman" w:hAnsi="Times New Roman" w:cs="Times New Roman"/>
                <w:sz w:val="24"/>
                <w:szCs w:val="24"/>
              </w:rPr>
              <w:t>minutes per participant</w:t>
            </w:r>
            <w:r w:rsidR="00CE22E8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, including </w:t>
            </w:r>
            <w:r w:rsidR="0042709C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CE22E8" w:rsidRPr="00EF14AC">
              <w:rPr>
                <w:rFonts w:ascii="Times New Roman" w:hAnsi="Times New Roman" w:cs="Times New Roman"/>
                <w:sz w:val="24"/>
                <w:szCs w:val="24"/>
              </w:rPr>
              <w:t>questionnaire</w:t>
            </w:r>
            <w:r w:rsidR="009A5A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68DA">
              <w:rPr>
                <w:rFonts w:ascii="Times New Roman" w:hAnsi="Times New Roman" w:cs="Times New Roman"/>
                <w:sz w:val="24"/>
                <w:szCs w:val="24"/>
              </w:rPr>
              <w:t xml:space="preserve"> blood draw</w:t>
            </w:r>
            <w:r w:rsidR="009A5ADA">
              <w:rPr>
                <w:rFonts w:ascii="Times New Roman" w:hAnsi="Times New Roman" w:cs="Times New Roman"/>
                <w:sz w:val="24"/>
                <w:szCs w:val="24"/>
              </w:rPr>
              <w:t>, and urine collection</w:t>
            </w:r>
            <w:r w:rsidR="0053447F" w:rsidRPr="00EF1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67F9BC" w14:textId="3AB89E06" w:rsidR="0053447F" w:rsidRPr="00EF14AC" w:rsidRDefault="0053447F" w:rsidP="0053447F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The participants will be provided results of the blood </w:t>
            </w:r>
            <w:r w:rsidR="0042709C">
              <w:rPr>
                <w:rFonts w:ascii="Times New Roman" w:hAnsi="Times New Roman" w:cs="Times New Roman"/>
                <w:sz w:val="24"/>
                <w:szCs w:val="24"/>
              </w:rPr>
              <w:t xml:space="preserve">and urine </w:t>
            </w:r>
            <w:r w:rsidR="00CE22E8" w:rsidRPr="00EF14AC">
              <w:rPr>
                <w:rFonts w:ascii="Times New Roman" w:hAnsi="Times New Roman" w:cs="Times New Roman"/>
                <w:sz w:val="24"/>
                <w:szCs w:val="24"/>
              </w:rPr>
              <w:t>testing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within </w:t>
            </w:r>
            <w:r w:rsidR="00B95400" w:rsidRPr="00EF14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F454D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weeks </w:t>
            </w:r>
            <w:r w:rsidR="00245FE8" w:rsidRPr="00EF14A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collection.</w:t>
            </w:r>
          </w:p>
          <w:p w14:paraId="4DE46CE6" w14:textId="77777777" w:rsidR="0053447F" w:rsidRPr="00EF14AC" w:rsidRDefault="0053447F" w:rsidP="000F454D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The EI </w:t>
            </w:r>
            <w:r w:rsidR="00D41F21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report 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>will be prepared</w:t>
            </w:r>
            <w:r w:rsidR="00E36E2D" w:rsidRPr="00EF14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cleared</w:t>
            </w:r>
            <w:r w:rsidR="00956EF2" w:rsidRPr="00EF14AC">
              <w:rPr>
                <w:rFonts w:ascii="Times New Roman" w:hAnsi="Times New Roman" w:cs="Times New Roman"/>
                <w:sz w:val="24"/>
                <w:szCs w:val="24"/>
              </w:rPr>
              <w:t>, and released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as soon as possible.</w:t>
            </w:r>
          </w:p>
        </w:tc>
      </w:tr>
      <w:tr w:rsidR="00977D5F" w14:paraId="6EF7E150" w14:textId="77777777" w:rsidTr="00B50EEF">
        <w:tc>
          <w:tcPr>
            <w:tcW w:w="3168" w:type="dxa"/>
            <w:vAlign w:val="center"/>
          </w:tcPr>
          <w:p w14:paraId="62FC7B20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Plans for Publication and Dissemination of Results:</w:t>
            </w:r>
          </w:p>
        </w:tc>
        <w:tc>
          <w:tcPr>
            <w:tcW w:w="7128" w:type="dxa"/>
          </w:tcPr>
          <w:p w14:paraId="0B0C74C3" w14:textId="70D5492B" w:rsidR="000F454D" w:rsidRPr="00EF14AC" w:rsidRDefault="00C2426C" w:rsidP="00245FE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>Blood lead</w:t>
            </w:r>
            <w:r w:rsidR="0042709C">
              <w:rPr>
                <w:rFonts w:ascii="Times New Roman" w:hAnsi="Times New Roman" w:cs="Times New Roman"/>
                <w:sz w:val="24"/>
                <w:szCs w:val="24"/>
              </w:rPr>
              <w:t xml:space="preserve"> and urine arsenic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results will be provided to participants within </w:t>
            </w:r>
            <w:r w:rsidR="00B95400" w:rsidRPr="00EF14AC">
              <w:rPr>
                <w:rFonts w:ascii="Times New Roman" w:hAnsi="Times New Roman" w:cs="Times New Roman"/>
                <w:sz w:val="24"/>
                <w:szCs w:val="24"/>
              </w:rPr>
              <w:t>12 wee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ks of </w:t>
            </w:r>
            <w:r w:rsidR="007B07B7" w:rsidRPr="00EF14AC">
              <w:rPr>
                <w:rFonts w:ascii="Times New Roman" w:hAnsi="Times New Roman" w:cs="Times New Roman"/>
                <w:sz w:val="24"/>
                <w:szCs w:val="24"/>
              </w:rPr>
              <w:t>specimen collection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E81329" w14:textId="104CA0E0" w:rsidR="00245FE8" w:rsidRPr="00EF14AC" w:rsidRDefault="00245FE8" w:rsidP="00245FE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If concentrations </w:t>
            </w:r>
            <w:r w:rsidR="0042709C">
              <w:rPr>
                <w:rFonts w:ascii="Times New Roman" w:hAnsi="Times New Roman" w:cs="Times New Roman"/>
                <w:sz w:val="24"/>
                <w:szCs w:val="24"/>
              </w:rPr>
              <w:t xml:space="preserve">of lead 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>in blood are found at</w:t>
            </w:r>
            <w:r w:rsidR="001E4DEE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≥5 µg/dL</w:t>
            </w:r>
            <w:r w:rsidR="0042709C">
              <w:rPr>
                <w:rFonts w:ascii="Times New Roman" w:hAnsi="Times New Roman" w:cs="Times New Roman"/>
                <w:sz w:val="24"/>
                <w:szCs w:val="24"/>
              </w:rPr>
              <w:t xml:space="preserve"> or if total arsenic or total inorganic arsenic levels are above concentrations in the U.S. population (NHANES data)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>, participants will be contacted sooner.</w:t>
            </w:r>
          </w:p>
          <w:p w14:paraId="1D340030" w14:textId="77777777" w:rsidR="00C2426C" w:rsidRPr="00EF14AC" w:rsidRDefault="0053447F" w:rsidP="00245FE8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C2426C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EI report will be prepared</w:t>
            </w:r>
            <w:r w:rsidR="00245FE8" w:rsidRPr="00EF14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426C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953" w:rsidRPr="00EF14AC">
              <w:rPr>
                <w:rFonts w:ascii="Times New Roman" w:hAnsi="Times New Roman" w:cs="Times New Roman"/>
                <w:sz w:val="24"/>
                <w:szCs w:val="24"/>
              </w:rPr>
              <w:t>cleared</w:t>
            </w:r>
            <w:r w:rsidR="00245FE8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and released</w:t>
            </w:r>
            <w:r w:rsidR="001A5953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as soon as possible.</w:t>
            </w:r>
          </w:p>
        </w:tc>
      </w:tr>
      <w:tr w:rsidR="00977D5F" w14:paraId="32703A2E" w14:textId="77777777" w:rsidTr="00B50EEF">
        <w:tc>
          <w:tcPr>
            <w:tcW w:w="3168" w:type="dxa"/>
            <w:vAlign w:val="center"/>
          </w:tcPr>
          <w:p w14:paraId="368BBCE3" w14:textId="77777777" w:rsidR="00977D5F" w:rsidRDefault="00977D5F" w:rsidP="005A3D6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Burden Hours Requested:</w:t>
            </w:r>
          </w:p>
        </w:tc>
        <w:tc>
          <w:tcPr>
            <w:tcW w:w="7128" w:type="dxa"/>
          </w:tcPr>
          <w:p w14:paraId="22597554" w14:textId="2515A442" w:rsidR="009E2696" w:rsidRPr="00EF14AC" w:rsidRDefault="00BA68DA" w:rsidP="00700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447F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hours </w:t>
            </w:r>
          </w:p>
          <w:p w14:paraId="29DA3000" w14:textId="6FFDC5FD" w:rsidR="00977D5F" w:rsidRPr="0042709C" w:rsidRDefault="009E2696" w:rsidP="004A462F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447F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00 participants x </w:t>
            </w:r>
            <w:r w:rsidR="00BA68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68DA"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53447F" w:rsidRPr="00EF14AC">
              <w:rPr>
                <w:rFonts w:ascii="Times New Roman" w:hAnsi="Times New Roman" w:cs="Times New Roman"/>
                <w:sz w:val="24"/>
                <w:szCs w:val="24"/>
              </w:rPr>
              <w:t>minutes per participant</w:t>
            </w:r>
            <w:r w:rsidRPr="00EF1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74C9CF" w14:textId="099BA95D" w:rsidR="00977D5F" w:rsidRPr="008C1299" w:rsidRDefault="00977D5F">
      <w:pPr>
        <w:rPr>
          <w:b/>
          <w:sz w:val="24"/>
          <w:szCs w:val="24"/>
        </w:rPr>
      </w:pPr>
    </w:p>
    <w:p w14:paraId="196ECE89" w14:textId="77777777" w:rsidR="00CD06AA" w:rsidRPr="00CD06AA" w:rsidRDefault="00CD06AA" w:rsidP="00CD06AA">
      <w:pPr>
        <w:rPr>
          <w:b/>
        </w:rPr>
      </w:pPr>
      <w:r w:rsidRPr="00CD06AA">
        <w:rPr>
          <w:b/>
        </w:rPr>
        <w:t>Attachments:</w:t>
      </w:r>
    </w:p>
    <w:p w14:paraId="571BEFB5" w14:textId="77777777" w:rsidR="00BA68DA" w:rsidRPr="0042536F" w:rsidRDefault="00BA68DA" w:rsidP="00BA68DA">
      <w:pPr>
        <w:pStyle w:val="ListParagraph"/>
        <w:numPr>
          <w:ilvl w:val="0"/>
          <w:numId w:val="1"/>
        </w:numPr>
      </w:pPr>
      <w:r w:rsidRPr="0042536F">
        <w:t>Supporting Statement A</w:t>
      </w:r>
    </w:p>
    <w:p w14:paraId="65C7D489" w14:textId="77777777" w:rsidR="00BA68DA" w:rsidRPr="0042536F" w:rsidRDefault="00BA68DA" w:rsidP="00BA68DA">
      <w:pPr>
        <w:pStyle w:val="ListParagraph"/>
        <w:numPr>
          <w:ilvl w:val="0"/>
          <w:numId w:val="1"/>
        </w:numPr>
      </w:pPr>
      <w:r w:rsidRPr="0042536F">
        <w:t>Supporting Statement B</w:t>
      </w:r>
    </w:p>
    <w:p w14:paraId="3E31672F" w14:textId="77777777" w:rsidR="00BA68DA" w:rsidRDefault="00BA68DA" w:rsidP="00BA68DA">
      <w:pPr>
        <w:pStyle w:val="ListParagraph"/>
        <w:numPr>
          <w:ilvl w:val="0"/>
          <w:numId w:val="1"/>
        </w:numPr>
      </w:pPr>
      <w:r>
        <w:t>Anaconda, MT</w:t>
      </w:r>
      <w:r w:rsidRPr="0042536F">
        <w:t xml:space="preserve"> EI Parental Permission/Assent/Consent Forms</w:t>
      </w:r>
    </w:p>
    <w:p w14:paraId="085040A2" w14:textId="77777777" w:rsidR="00BA68DA" w:rsidRDefault="00BA68DA" w:rsidP="00BA68DA">
      <w:pPr>
        <w:pStyle w:val="ListParagraph"/>
        <w:numPr>
          <w:ilvl w:val="1"/>
          <w:numId w:val="1"/>
        </w:numPr>
        <w:ind w:left="1080"/>
      </w:pPr>
      <w:r>
        <w:t xml:space="preserve"> Privacy Act Statement</w:t>
      </w:r>
    </w:p>
    <w:p w14:paraId="09CC3011" w14:textId="77777777" w:rsidR="00BA68DA" w:rsidRDefault="00BA68DA" w:rsidP="00BA68DA">
      <w:pPr>
        <w:pStyle w:val="ListParagraph"/>
        <w:numPr>
          <w:ilvl w:val="1"/>
          <w:numId w:val="1"/>
        </w:numPr>
        <w:ind w:left="1080"/>
      </w:pPr>
      <w:r>
        <w:t xml:space="preserve"> Adult </w:t>
      </w:r>
      <w:r w:rsidRPr="0042536F">
        <w:t xml:space="preserve">Consent Form for Blood </w:t>
      </w:r>
      <w:r>
        <w:t>and Urine</w:t>
      </w:r>
      <w:r w:rsidRPr="0042536F">
        <w:t xml:space="preserve"> Testing</w:t>
      </w:r>
    </w:p>
    <w:p w14:paraId="795CABE7" w14:textId="77777777" w:rsidR="00BA68DA" w:rsidRDefault="00BA68DA" w:rsidP="00BA68DA">
      <w:pPr>
        <w:pStyle w:val="ListParagraph"/>
        <w:numPr>
          <w:ilvl w:val="1"/>
          <w:numId w:val="1"/>
        </w:numPr>
        <w:ind w:left="1080"/>
      </w:pPr>
      <w:r>
        <w:t xml:space="preserve"> </w:t>
      </w:r>
      <w:r w:rsidRPr="0042536F">
        <w:t xml:space="preserve">Parental Permission Form for Blood </w:t>
      </w:r>
      <w:r>
        <w:t xml:space="preserve">and Urine </w:t>
      </w:r>
      <w:r w:rsidRPr="0042536F">
        <w:t xml:space="preserve">Testing: Children </w:t>
      </w:r>
      <w:r>
        <w:t xml:space="preserve">younger than </w:t>
      </w:r>
      <w:r w:rsidRPr="00147926">
        <w:t>18 years</w:t>
      </w:r>
      <w:r>
        <w:t xml:space="preserve"> of age</w:t>
      </w:r>
    </w:p>
    <w:p w14:paraId="733BB1CE" w14:textId="77777777" w:rsidR="00BA68DA" w:rsidRPr="00040280" w:rsidRDefault="00BA68DA" w:rsidP="00BA68DA">
      <w:pPr>
        <w:pStyle w:val="ListParagraph"/>
        <w:numPr>
          <w:ilvl w:val="1"/>
          <w:numId w:val="1"/>
        </w:numPr>
        <w:ind w:left="1080"/>
      </w:pPr>
      <w:r>
        <w:t>Assent Form for Blood and Urine Testing: Children between 7 and 17 years of age</w:t>
      </w:r>
    </w:p>
    <w:p w14:paraId="54211376" w14:textId="77777777" w:rsidR="00BA68DA" w:rsidRPr="0042536F" w:rsidRDefault="00BA68DA" w:rsidP="00BA68DA">
      <w:pPr>
        <w:pStyle w:val="ListParagraph"/>
        <w:numPr>
          <w:ilvl w:val="0"/>
          <w:numId w:val="1"/>
        </w:numPr>
      </w:pPr>
      <w:r>
        <w:t>Anaconda, MT</w:t>
      </w:r>
      <w:r w:rsidRPr="0042536F">
        <w:t xml:space="preserve"> EI Questionnaire</w:t>
      </w:r>
    </w:p>
    <w:p w14:paraId="13F477CD" w14:textId="77777777" w:rsidR="00BA68DA" w:rsidRPr="0042536F" w:rsidRDefault="00BA68DA" w:rsidP="00BA68DA">
      <w:pPr>
        <w:pStyle w:val="ListParagraph"/>
        <w:numPr>
          <w:ilvl w:val="0"/>
          <w:numId w:val="1"/>
        </w:numPr>
      </w:pPr>
      <w:r>
        <w:t>Anaconda, MT</w:t>
      </w:r>
      <w:r w:rsidRPr="0042536F">
        <w:t xml:space="preserve"> EI Research Determination  </w:t>
      </w:r>
    </w:p>
    <w:p w14:paraId="24A4B676" w14:textId="77777777" w:rsidR="00BA68DA" w:rsidRDefault="00BA68DA" w:rsidP="00BA68DA">
      <w:pPr>
        <w:pStyle w:val="ListParagraph"/>
        <w:numPr>
          <w:ilvl w:val="0"/>
          <w:numId w:val="1"/>
        </w:numPr>
      </w:pPr>
      <w:r>
        <w:t>Anaconda, MT</w:t>
      </w:r>
      <w:r w:rsidRPr="0042536F">
        <w:t xml:space="preserve"> EI Sample Results Letter</w:t>
      </w:r>
    </w:p>
    <w:p w14:paraId="5DF88F2D" w14:textId="77777777" w:rsidR="00BA68DA" w:rsidRDefault="00BA68DA" w:rsidP="00BA68DA">
      <w:pPr>
        <w:pStyle w:val="ListParagraph"/>
        <w:numPr>
          <w:ilvl w:val="0"/>
          <w:numId w:val="1"/>
        </w:numPr>
      </w:pPr>
      <w:r w:rsidRPr="0042536F">
        <w:t>Example of Prior EI Final Report</w:t>
      </w:r>
    </w:p>
    <w:p w14:paraId="2399A809" w14:textId="77777777" w:rsidR="00BA68DA" w:rsidRDefault="00BA68DA" w:rsidP="00BA68DA">
      <w:pPr>
        <w:pStyle w:val="ListParagraph"/>
        <w:numPr>
          <w:ilvl w:val="0"/>
          <w:numId w:val="1"/>
        </w:numPr>
      </w:pPr>
      <w:r>
        <w:t>Privacy Impact Assessment Form</w:t>
      </w:r>
    </w:p>
    <w:p w14:paraId="58D03051" w14:textId="77777777" w:rsidR="00BA68DA" w:rsidRDefault="00BA68DA" w:rsidP="00BA68DA">
      <w:pPr>
        <w:pStyle w:val="ListParagraph"/>
        <w:numPr>
          <w:ilvl w:val="0"/>
          <w:numId w:val="1"/>
        </w:numPr>
      </w:pPr>
      <w:r>
        <w:t>Anaconda EI Protocol</w:t>
      </w:r>
    </w:p>
    <w:p w14:paraId="61FD12E9" w14:textId="33EC6608" w:rsidR="005D2153" w:rsidRPr="0042709C" w:rsidRDefault="005D2153" w:rsidP="004A462F">
      <w:pPr>
        <w:pStyle w:val="ListParagraph"/>
      </w:pPr>
    </w:p>
    <w:sectPr w:rsidR="005D2153" w:rsidRPr="0042709C" w:rsidSect="00D809E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3554"/>
    <w:multiLevelType w:val="hybridMultilevel"/>
    <w:tmpl w:val="1DF0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81F59"/>
    <w:multiLevelType w:val="hybridMultilevel"/>
    <w:tmpl w:val="90768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A09FB"/>
    <w:multiLevelType w:val="hybridMultilevel"/>
    <w:tmpl w:val="2FD2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AE52E8"/>
    <w:multiLevelType w:val="hybridMultilevel"/>
    <w:tmpl w:val="B1C0C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463CB8"/>
    <w:multiLevelType w:val="hybridMultilevel"/>
    <w:tmpl w:val="60CE3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982861"/>
    <w:multiLevelType w:val="hybridMultilevel"/>
    <w:tmpl w:val="8C263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1857A5"/>
    <w:multiLevelType w:val="hybridMultilevel"/>
    <w:tmpl w:val="36F24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C2D47E9"/>
    <w:multiLevelType w:val="hybridMultilevel"/>
    <w:tmpl w:val="F9F60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4C436F"/>
    <w:multiLevelType w:val="hybridMultilevel"/>
    <w:tmpl w:val="7B46C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A86289"/>
    <w:multiLevelType w:val="hybridMultilevel"/>
    <w:tmpl w:val="FB2A211A"/>
    <w:lvl w:ilvl="0" w:tplc="8BCEFDF0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7CE6C96"/>
    <w:multiLevelType w:val="hybridMultilevel"/>
    <w:tmpl w:val="AF54E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195B21"/>
    <w:multiLevelType w:val="hybridMultilevel"/>
    <w:tmpl w:val="7D5A4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A02673"/>
    <w:multiLevelType w:val="hybridMultilevel"/>
    <w:tmpl w:val="7116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3E4350"/>
    <w:multiLevelType w:val="hybridMultilevel"/>
    <w:tmpl w:val="CA56E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E8C0E0">
      <w:start w:val="1"/>
      <w:numFmt w:val="upperLetter"/>
      <w:lvlText w:val="6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930953"/>
    <w:multiLevelType w:val="hybridMultilevel"/>
    <w:tmpl w:val="E1787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605E70"/>
    <w:multiLevelType w:val="hybridMultilevel"/>
    <w:tmpl w:val="92F8D0E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79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>
    <w:nsid w:val="6BCA7ADF"/>
    <w:multiLevelType w:val="hybridMultilevel"/>
    <w:tmpl w:val="45589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194DE5"/>
    <w:multiLevelType w:val="hybridMultilevel"/>
    <w:tmpl w:val="18A4A920"/>
    <w:lvl w:ilvl="0" w:tplc="0409000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44" w:hanging="360"/>
      </w:pPr>
      <w:rPr>
        <w:rFonts w:ascii="Wingdings" w:hAnsi="Wingdings" w:hint="default"/>
      </w:rPr>
    </w:lvl>
  </w:abstractNum>
  <w:abstractNum w:abstractNumId="18">
    <w:nsid w:val="705F3F5D"/>
    <w:multiLevelType w:val="hybridMultilevel"/>
    <w:tmpl w:val="2F10FD1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95694C"/>
    <w:multiLevelType w:val="hybridMultilevel"/>
    <w:tmpl w:val="88CC9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19"/>
  </w:num>
  <w:num w:numId="6">
    <w:abstractNumId w:val="11"/>
  </w:num>
  <w:num w:numId="7">
    <w:abstractNumId w:val="2"/>
  </w:num>
  <w:num w:numId="8">
    <w:abstractNumId w:val="16"/>
  </w:num>
  <w:num w:numId="9">
    <w:abstractNumId w:val="0"/>
  </w:num>
  <w:num w:numId="10">
    <w:abstractNumId w:val="4"/>
  </w:num>
  <w:num w:numId="11">
    <w:abstractNumId w:val="12"/>
  </w:num>
  <w:num w:numId="12">
    <w:abstractNumId w:val="13"/>
  </w:num>
  <w:num w:numId="13">
    <w:abstractNumId w:val="3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4"/>
  </w:num>
  <w:num w:numId="17">
    <w:abstractNumId w:val="17"/>
  </w:num>
  <w:num w:numId="18">
    <w:abstractNumId w:val="9"/>
  </w:num>
  <w:num w:numId="19">
    <w:abstractNumId w:val="10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48"/>
    <w:rsid w:val="000005DE"/>
    <w:rsid w:val="00000DF3"/>
    <w:rsid w:val="0000462E"/>
    <w:rsid w:val="00007543"/>
    <w:rsid w:val="00010464"/>
    <w:rsid w:val="000168A2"/>
    <w:rsid w:val="00036452"/>
    <w:rsid w:val="0004565A"/>
    <w:rsid w:val="000457B7"/>
    <w:rsid w:val="000526FB"/>
    <w:rsid w:val="00054688"/>
    <w:rsid w:val="00054D50"/>
    <w:rsid w:val="0005599C"/>
    <w:rsid w:val="00057001"/>
    <w:rsid w:val="00061DD5"/>
    <w:rsid w:val="00066D15"/>
    <w:rsid w:val="0007663C"/>
    <w:rsid w:val="00081384"/>
    <w:rsid w:val="00083053"/>
    <w:rsid w:val="00085879"/>
    <w:rsid w:val="000967F1"/>
    <w:rsid w:val="000A030D"/>
    <w:rsid w:val="000A79DA"/>
    <w:rsid w:val="000B7EE5"/>
    <w:rsid w:val="000C7E3D"/>
    <w:rsid w:val="000E2BF4"/>
    <w:rsid w:val="000F454D"/>
    <w:rsid w:val="00105B25"/>
    <w:rsid w:val="00106C97"/>
    <w:rsid w:val="001079E3"/>
    <w:rsid w:val="0011153A"/>
    <w:rsid w:val="00114DF9"/>
    <w:rsid w:val="001224B6"/>
    <w:rsid w:val="00134B62"/>
    <w:rsid w:val="00146801"/>
    <w:rsid w:val="00147B01"/>
    <w:rsid w:val="00153F94"/>
    <w:rsid w:val="001564CF"/>
    <w:rsid w:val="00157EA0"/>
    <w:rsid w:val="00183C90"/>
    <w:rsid w:val="001A5953"/>
    <w:rsid w:val="001B5953"/>
    <w:rsid w:val="001C2596"/>
    <w:rsid w:val="001C4AD2"/>
    <w:rsid w:val="001E03FD"/>
    <w:rsid w:val="001E4DEE"/>
    <w:rsid w:val="001E5273"/>
    <w:rsid w:val="001E7826"/>
    <w:rsid w:val="001F3964"/>
    <w:rsid w:val="001F71D9"/>
    <w:rsid w:val="002101B5"/>
    <w:rsid w:val="0021261C"/>
    <w:rsid w:val="00222880"/>
    <w:rsid w:val="002268E8"/>
    <w:rsid w:val="00241D1E"/>
    <w:rsid w:val="00245FE8"/>
    <w:rsid w:val="00255B07"/>
    <w:rsid w:val="00276B88"/>
    <w:rsid w:val="00281057"/>
    <w:rsid w:val="0028500F"/>
    <w:rsid w:val="00293CDF"/>
    <w:rsid w:val="002A2531"/>
    <w:rsid w:val="002A5D89"/>
    <w:rsid w:val="002B1BC4"/>
    <w:rsid w:val="002B7FAF"/>
    <w:rsid w:val="002C1792"/>
    <w:rsid w:val="002C3309"/>
    <w:rsid w:val="002C53DE"/>
    <w:rsid w:val="002C5F6F"/>
    <w:rsid w:val="002D2DA8"/>
    <w:rsid w:val="002E0FE9"/>
    <w:rsid w:val="003025C4"/>
    <w:rsid w:val="00303828"/>
    <w:rsid w:val="00314173"/>
    <w:rsid w:val="0032501F"/>
    <w:rsid w:val="003266CE"/>
    <w:rsid w:val="00340746"/>
    <w:rsid w:val="00356B9F"/>
    <w:rsid w:val="00366F48"/>
    <w:rsid w:val="003711F5"/>
    <w:rsid w:val="00372C81"/>
    <w:rsid w:val="003A2015"/>
    <w:rsid w:val="003A3692"/>
    <w:rsid w:val="003A3868"/>
    <w:rsid w:val="003A4425"/>
    <w:rsid w:val="003B366F"/>
    <w:rsid w:val="003B7C8F"/>
    <w:rsid w:val="003D408F"/>
    <w:rsid w:val="003F6968"/>
    <w:rsid w:val="00423EF7"/>
    <w:rsid w:val="0042709C"/>
    <w:rsid w:val="00431C36"/>
    <w:rsid w:val="00435CB0"/>
    <w:rsid w:val="00437501"/>
    <w:rsid w:val="00446811"/>
    <w:rsid w:val="00450BF4"/>
    <w:rsid w:val="00456DD7"/>
    <w:rsid w:val="004579F8"/>
    <w:rsid w:val="00465806"/>
    <w:rsid w:val="00473F86"/>
    <w:rsid w:val="00485305"/>
    <w:rsid w:val="0049518C"/>
    <w:rsid w:val="004A3986"/>
    <w:rsid w:val="004A462F"/>
    <w:rsid w:val="004B0DC0"/>
    <w:rsid w:val="004B252F"/>
    <w:rsid w:val="004C6181"/>
    <w:rsid w:val="004D64A2"/>
    <w:rsid w:val="004F4797"/>
    <w:rsid w:val="005056EF"/>
    <w:rsid w:val="005119AF"/>
    <w:rsid w:val="005202A1"/>
    <w:rsid w:val="0053447F"/>
    <w:rsid w:val="00536341"/>
    <w:rsid w:val="00544D0B"/>
    <w:rsid w:val="00573044"/>
    <w:rsid w:val="00593097"/>
    <w:rsid w:val="0059309D"/>
    <w:rsid w:val="00593A63"/>
    <w:rsid w:val="00594706"/>
    <w:rsid w:val="005956AA"/>
    <w:rsid w:val="005961E9"/>
    <w:rsid w:val="005A3D6B"/>
    <w:rsid w:val="005A6D67"/>
    <w:rsid w:val="005B348D"/>
    <w:rsid w:val="005C389D"/>
    <w:rsid w:val="005D2153"/>
    <w:rsid w:val="005D258E"/>
    <w:rsid w:val="005E1D60"/>
    <w:rsid w:val="005F093E"/>
    <w:rsid w:val="005F62B4"/>
    <w:rsid w:val="00611BBC"/>
    <w:rsid w:val="0061349B"/>
    <w:rsid w:val="00627597"/>
    <w:rsid w:val="0063667F"/>
    <w:rsid w:val="00652BD7"/>
    <w:rsid w:val="006565F3"/>
    <w:rsid w:val="006A1C2A"/>
    <w:rsid w:val="006A77B4"/>
    <w:rsid w:val="006B4CA3"/>
    <w:rsid w:val="006B5535"/>
    <w:rsid w:val="006B74A2"/>
    <w:rsid w:val="006C23C0"/>
    <w:rsid w:val="006C2D55"/>
    <w:rsid w:val="006C2E1C"/>
    <w:rsid w:val="006D1E61"/>
    <w:rsid w:val="006F4D54"/>
    <w:rsid w:val="006F6D2F"/>
    <w:rsid w:val="00700B89"/>
    <w:rsid w:val="00722659"/>
    <w:rsid w:val="00732ABB"/>
    <w:rsid w:val="00752494"/>
    <w:rsid w:val="00761B07"/>
    <w:rsid w:val="0076482D"/>
    <w:rsid w:val="00771A77"/>
    <w:rsid w:val="007741F6"/>
    <w:rsid w:val="0078138E"/>
    <w:rsid w:val="00797694"/>
    <w:rsid w:val="007A07A6"/>
    <w:rsid w:val="007A2157"/>
    <w:rsid w:val="007A595C"/>
    <w:rsid w:val="007A7A7D"/>
    <w:rsid w:val="007B07B7"/>
    <w:rsid w:val="007B4833"/>
    <w:rsid w:val="007B53F4"/>
    <w:rsid w:val="007E60F2"/>
    <w:rsid w:val="00804F11"/>
    <w:rsid w:val="0083060B"/>
    <w:rsid w:val="00835250"/>
    <w:rsid w:val="00836FD3"/>
    <w:rsid w:val="008529CA"/>
    <w:rsid w:val="00854A8B"/>
    <w:rsid w:val="00855572"/>
    <w:rsid w:val="00862CCB"/>
    <w:rsid w:val="008663E3"/>
    <w:rsid w:val="00881AA6"/>
    <w:rsid w:val="00885DD4"/>
    <w:rsid w:val="0089680C"/>
    <w:rsid w:val="008A1595"/>
    <w:rsid w:val="008B54E4"/>
    <w:rsid w:val="008C1299"/>
    <w:rsid w:val="008C26C6"/>
    <w:rsid w:val="008D593A"/>
    <w:rsid w:val="008D5F47"/>
    <w:rsid w:val="008E286E"/>
    <w:rsid w:val="00920DBD"/>
    <w:rsid w:val="00923E3E"/>
    <w:rsid w:val="009316B4"/>
    <w:rsid w:val="00933EF0"/>
    <w:rsid w:val="00935ED2"/>
    <w:rsid w:val="009402B9"/>
    <w:rsid w:val="00944EB4"/>
    <w:rsid w:val="00952433"/>
    <w:rsid w:val="00956EF2"/>
    <w:rsid w:val="0096136C"/>
    <w:rsid w:val="00972778"/>
    <w:rsid w:val="009730FC"/>
    <w:rsid w:val="00977D5F"/>
    <w:rsid w:val="00990609"/>
    <w:rsid w:val="00992031"/>
    <w:rsid w:val="00992967"/>
    <w:rsid w:val="00995A52"/>
    <w:rsid w:val="00996E9F"/>
    <w:rsid w:val="009A02AB"/>
    <w:rsid w:val="009A4C91"/>
    <w:rsid w:val="009A5708"/>
    <w:rsid w:val="009A5ADA"/>
    <w:rsid w:val="009B7398"/>
    <w:rsid w:val="009C1673"/>
    <w:rsid w:val="009E2696"/>
    <w:rsid w:val="009E4287"/>
    <w:rsid w:val="009E491C"/>
    <w:rsid w:val="009F4E67"/>
    <w:rsid w:val="009F7507"/>
    <w:rsid w:val="00A128D9"/>
    <w:rsid w:val="00A3626C"/>
    <w:rsid w:val="00A42E0B"/>
    <w:rsid w:val="00A50513"/>
    <w:rsid w:val="00A56EAC"/>
    <w:rsid w:val="00A60004"/>
    <w:rsid w:val="00A6657C"/>
    <w:rsid w:val="00A73148"/>
    <w:rsid w:val="00AA7DE7"/>
    <w:rsid w:val="00AB6175"/>
    <w:rsid w:val="00AB78DD"/>
    <w:rsid w:val="00AC3F36"/>
    <w:rsid w:val="00AC47D1"/>
    <w:rsid w:val="00AC57A7"/>
    <w:rsid w:val="00AD12BA"/>
    <w:rsid w:val="00AD2FF0"/>
    <w:rsid w:val="00B135C2"/>
    <w:rsid w:val="00B22001"/>
    <w:rsid w:val="00B3092E"/>
    <w:rsid w:val="00B348E2"/>
    <w:rsid w:val="00B50EEF"/>
    <w:rsid w:val="00B512C3"/>
    <w:rsid w:val="00B54838"/>
    <w:rsid w:val="00B65000"/>
    <w:rsid w:val="00B76ACB"/>
    <w:rsid w:val="00B95400"/>
    <w:rsid w:val="00BA09ED"/>
    <w:rsid w:val="00BA4320"/>
    <w:rsid w:val="00BA68DA"/>
    <w:rsid w:val="00BB3ABB"/>
    <w:rsid w:val="00BB3C08"/>
    <w:rsid w:val="00BB5A4C"/>
    <w:rsid w:val="00BC6B98"/>
    <w:rsid w:val="00BD2DDB"/>
    <w:rsid w:val="00BF05F8"/>
    <w:rsid w:val="00BF1A54"/>
    <w:rsid w:val="00C23DF8"/>
    <w:rsid w:val="00C2426C"/>
    <w:rsid w:val="00C406EF"/>
    <w:rsid w:val="00C53B06"/>
    <w:rsid w:val="00C559A7"/>
    <w:rsid w:val="00C55B5E"/>
    <w:rsid w:val="00C8371F"/>
    <w:rsid w:val="00CB69F1"/>
    <w:rsid w:val="00CB72A3"/>
    <w:rsid w:val="00CC0157"/>
    <w:rsid w:val="00CC6774"/>
    <w:rsid w:val="00CC6823"/>
    <w:rsid w:val="00CD06AA"/>
    <w:rsid w:val="00CE22E8"/>
    <w:rsid w:val="00D239D3"/>
    <w:rsid w:val="00D2641F"/>
    <w:rsid w:val="00D30BB2"/>
    <w:rsid w:val="00D312D7"/>
    <w:rsid w:val="00D32CFC"/>
    <w:rsid w:val="00D33409"/>
    <w:rsid w:val="00D3577B"/>
    <w:rsid w:val="00D41F21"/>
    <w:rsid w:val="00D43C37"/>
    <w:rsid w:val="00D55AC4"/>
    <w:rsid w:val="00D56F90"/>
    <w:rsid w:val="00D642BE"/>
    <w:rsid w:val="00D7177D"/>
    <w:rsid w:val="00D745E2"/>
    <w:rsid w:val="00D7489E"/>
    <w:rsid w:val="00D809E7"/>
    <w:rsid w:val="00DA3458"/>
    <w:rsid w:val="00DA45A1"/>
    <w:rsid w:val="00DB5A15"/>
    <w:rsid w:val="00DC0C83"/>
    <w:rsid w:val="00DD34BD"/>
    <w:rsid w:val="00DD64AD"/>
    <w:rsid w:val="00DE1390"/>
    <w:rsid w:val="00DE13BE"/>
    <w:rsid w:val="00DF48D0"/>
    <w:rsid w:val="00E04405"/>
    <w:rsid w:val="00E27222"/>
    <w:rsid w:val="00E34861"/>
    <w:rsid w:val="00E36E2D"/>
    <w:rsid w:val="00E40471"/>
    <w:rsid w:val="00E41AC1"/>
    <w:rsid w:val="00E5214B"/>
    <w:rsid w:val="00E5729B"/>
    <w:rsid w:val="00E60946"/>
    <w:rsid w:val="00E72879"/>
    <w:rsid w:val="00E84F8D"/>
    <w:rsid w:val="00E87DC9"/>
    <w:rsid w:val="00EA4036"/>
    <w:rsid w:val="00EB0D65"/>
    <w:rsid w:val="00ED7345"/>
    <w:rsid w:val="00EF05E1"/>
    <w:rsid w:val="00EF14AC"/>
    <w:rsid w:val="00EF656A"/>
    <w:rsid w:val="00EF6B0B"/>
    <w:rsid w:val="00EF6EF2"/>
    <w:rsid w:val="00F00F23"/>
    <w:rsid w:val="00F027EC"/>
    <w:rsid w:val="00F040A9"/>
    <w:rsid w:val="00F0550F"/>
    <w:rsid w:val="00F20D02"/>
    <w:rsid w:val="00F22D8E"/>
    <w:rsid w:val="00F2662B"/>
    <w:rsid w:val="00F32AA2"/>
    <w:rsid w:val="00F432BE"/>
    <w:rsid w:val="00F57FB7"/>
    <w:rsid w:val="00F60B52"/>
    <w:rsid w:val="00F8454C"/>
    <w:rsid w:val="00F94491"/>
    <w:rsid w:val="00F95EF6"/>
    <w:rsid w:val="00FB2ED6"/>
    <w:rsid w:val="00FB52D0"/>
    <w:rsid w:val="00FB57DA"/>
    <w:rsid w:val="00FE704C"/>
    <w:rsid w:val="00FE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82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F23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8E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468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6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68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8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2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D2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B57DA"/>
    <w:rPr>
      <w:b/>
      <w:bCs/>
    </w:rPr>
  </w:style>
  <w:style w:type="character" w:styleId="FootnoteReference">
    <w:name w:val="footnote reference"/>
    <w:aliases w:val="fr"/>
    <w:basedOn w:val="DefaultParagraphFont"/>
    <w:uiPriority w:val="99"/>
    <w:rsid w:val="00FB57DA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FB57DA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595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00F23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Footer">
    <w:name w:val="footer"/>
    <w:basedOn w:val="Normal"/>
    <w:link w:val="FooterChar"/>
    <w:rsid w:val="0042709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2709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0F23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8E8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14680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468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468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8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80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C2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AD2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B57DA"/>
    <w:rPr>
      <w:b/>
      <w:bCs/>
    </w:rPr>
  </w:style>
  <w:style w:type="character" w:styleId="FootnoteReference">
    <w:name w:val="footnote reference"/>
    <w:aliases w:val="fr"/>
    <w:basedOn w:val="DefaultParagraphFont"/>
    <w:uiPriority w:val="99"/>
    <w:rsid w:val="00FB57DA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unhideWhenUsed/>
    <w:rsid w:val="00FB57DA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595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00F23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Footer">
    <w:name w:val="footer"/>
    <w:basedOn w:val="Normal"/>
    <w:link w:val="FooterChar"/>
    <w:rsid w:val="0042709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42709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Scruton, Karen M. (ATSDR/DHAC/EISAB)</dc:creator>
  <cp:lastModifiedBy>SYSTEM</cp:lastModifiedBy>
  <cp:revision>2</cp:revision>
  <cp:lastPrinted>2016-11-09T19:07:00Z</cp:lastPrinted>
  <dcterms:created xsi:type="dcterms:W3CDTF">2018-08-31T13:57:00Z</dcterms:created>
  <dcterms:modified xsi:type="dcterms:W3CDTF">2018-08-31T13:57:00Z</dcterms:modified>
</cp:coreProperties>
</file>