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073B4" w14:textId="77777777" w:rsidR="008544D1" w:rsidRPr="003D773E" w:rsidRDefault="008544D1" w:rsidP="003D773E">
      <w:pPr>
        <w:rPr>
          <w:sz w:val="20"/>
          <w:szCs w:val="20"/>
        </w:rPr>
      </w:pPr>
      <w:bookmarkStart w:id="0" w:name="_GoBack"/>
      <w:bookmarkEnd w:id="0"/>
    </w:p>
    <w:p w14:paraId="43F395F5" w14:textId="77777777" w:rsidR="008544D1" w:rsidRDefault="008544D1" w:rsidP="008544D1">
      <w:pPr>
        <w:jc w:val="center"/>
        <w:rPr>
          <w:b/>
        </w:rPr>
      </w:pPr>
    </w:p>
    <w:p w14:paraId="72CCC279" w14:textId="3BD88100" w:rsidR="009E5282" w:rsidRDefault="009E5282" w:rsidP="008544D1">
      <w:pPr>
        <w:jc w:val="center"/>
        <w:rPr>
          <w:b/>
          <w:sz w:val="40"/>
          <w:szCs w:val="40"/>
        </w:rPr>
      </w:pPr>
      <w:r>
        <w:rPr>
          <w:b/>
          <w:sz w:val="40"/>
          <w:szCs w:val="40"/>
        </w:rPr>
        <w:t xml:space="preserve">Blood </w:t>
      </w:r>
      <w:r w:rsidR="005452C7">
        <w:rPr>
          <w:b/>
          <w:sz w:val="40"/>
          <w:szCs w:val="40"/>
        </w:rPr>
        <w:t xml:space="preserve">Lead </w:t>
      </w:r>
      <w:r w:rsidR="000A4A98">
        <w:rPr>
          <w:b/>
          <w:sz w:val="40"/>
          <w:szCs w:val="40"/>
        </w:rPr>
        <w:t xml:space="preserve">and Urine Arsenic </w:t>
      </w:r>
      <w:r>
        <w:rPr>
          <w:b/>
          <w:sz w:val="40"/>
          <w:szCs w:val="40"/>
        </w:rPr>
        <w:t xml:space="preserve">Levels in </w:t>
      </w:r>
      <w:r w:rsidR="000A4A98">
        <w:rPr>
          <w:b/>
          <w:sz w:val="40"/>
          <w:szCs w:val="40"/>
        </w:rPr>
        <w:t xml:space="preserve">Anaconda, </w:t>
      </w:r>
      <w:r w:rsidR="00384958">
        <w:rPr>
          <w:b/>
          <w:sz w:val="40"/>
          <w:szCs w:val="40"/>
        </w:rPr>
        <w:t>MT</w:t>
      </w:r>
    </w:p>
    <w:p w14:paraId="344DA06E" w14:textId="77777777" w:rsidR="00BC290E" w:rsidRPr="00BC290E" w:rsidRDefault="00BC290E" w:rsidP="008544D1">
      <w:pPr>
        <w:jc w:val="center"/>
        <w:rPr>
          <w:b/>
          <w:sz w:val="40"/>
          <w:szCs w:val="40"/>
        </w:rPr>
      </w:pPr>
      <w:r w:rsidRPr="00BC290E">
        <w:rPr>
          <w:b/>
          <w:sz w:val="40"/>
          <w:szCs w:val="40"/>
        </w:rPr>
        <w:t xml:space="preserve"> Exposure Investigation</w:t>
      </w:r>
    </w:p>
    <w:p w14:paraId="21107B32" w14:textId="77777777" w:rsidR="00BC290E" w:rsidRDefault="00BC290E" w:rsidP="008544D1">
      <w:pPr>
        <w:jc w:val="center"/>
      </w:pPr>
    </w:p>
    <w:p w14:paraId="105301D6" w14:textId="77777777" w:rsidR="00BC290E" w:rsidRDefault="00BC290E" w:rsidP="008544D1">
      <w:pPr>
        <w:jc w:val="center"/>
      </w:pPr>
      <w:r w:rsidRPr="00BC290E">
        <w:t>ATSDR</w:t>
      </w:r>
      <w:r>
        <w:t xml:space="preserve"> Exposure Investigations (EI) Generic Information Collection Request</w:t>
      </w:r>
    </w:p>
    <w:p w14:paraId="5B7A2BF5" w14:textId="77777777" w:rsidR="00BC290E" w:rsidRPr="00BC290E" w:rsidRDefault="00BC290E" w:rsidP="008544D1">
      <w:pPr>
        <w:jc w:val="center"/>
      </w:pPr>
      <w:r>
        <w:t xml:space="preserve">OMB No. </w:t>
      </w:r>
      <w:r w:rsidR="008E4769">
        <w:rPr>
          <w:color w:val="000000"/>
        </w:rPr>
        <w:t>0923-0048</w:t>
      </w:r>
    </w:p>
    <w:p w14:paraId="78F53F33" w14:textId="471ADE08" w:rsidR="00BC290E" w:rsidRPr="00EC4AE2" w:rsidRDefault="00BD6895" w:rsidP="008544D1">
      <w:pPr>
        <w:jc w:val="center"/>
      </w:pPr>
      <w:r>
        <w:rPr>
          <w:color w:val="000000"/>
        </w:rPr>
        <w:t>Expiration Date</w:t>
      </w:r>
      <w:r w:rsidR="004C00CE">
        <w:rPr>
          <w:color w:val="000000"/>
        </w:rPr>
        <w:t>:</w:t>
      </w:r>
      <w:r>
        <w:rPr>
          <w:color w:val="000000"/>
        </w:rPr>
        <w:t xml:space="preserve"> </w:t>
      </w:r>
      <w:r w:rsidR="009E5282">
        <w:rPr>
          <w:color w:val="000000"/>
        </w:rPr>
        <w:t>03/31/2019</w:t>
      </w:r>
    </w:p>
    <w:p w14:paraId="738688A0" w14:textId="77777777" w:rsidR="00BC290E" w:rsidRDefault="00BC290E" w:rsidP="008544D1">
      <w:pPr>
        <w:jc w:val="center"/>
        <w:rPr>
          <w:b/>
        </w:rPr>
      </w:pPr>
    </w:p>
    <w:p w14:paraId="0B346122" w14:textId="77777777" w:rsidR="00BC290E" w:rsidRDefault="00BC290E" w:rsidP="008544D1">
      <w:pPr>
        <w:jc w:val="center"/>
        <w:rPr>
          <w:b/>
        </w:rPr>
      </w:pPr>
    </w:p>
    <w:p w14:paraId="737F0454" w14:textId="77777777" w:rsidR="00380EA1" w:rsidRDefault="008544D1" w:rsidP="008544D1">
      <w:pPr>
        <w:jc w:val="center"/>
        <w:rPr>
          <w:b/>
        </w:rPr>
      </w:pPr>
      <w:r>
        <w:rPr>
          <w:b/>
        </w:rPr>
        <w:t xml:space="preserve">Supporting Statement </w:t>
      </w:r>
      <w:r w:rsidR="00BC290E">
        <w:rPr>
          <w:b/>
        </w:rPr>
        <w:t>Part A</w:t>
      </w:r>
      <w:r w:rsidR="00016C0E">
        <w:rPr>
          <w:b/>
        </w:rPr>
        <w:t xml:space="preserve"> </w:t>
      </w:r>
    </w:p>
    <w:p w14:paraId="6AD60672" w14:textId="77777777" w:rsidR="008544D1" w:rsidRDefault="008544D1" w:rsidP="008544D1">
      <w:pPr>
        <w:jc w:val="center"/>
        <w:rPr>
          <w:b/>
        </w:rPr>
      </w:pPr>
    </w:p>
    <w:p w14:paraId="2FC22E0A" w14:textId="77777777" w:rsidR="008544D1" w:rsidRDefault="008544D1" w:rsidP="008544D1">
      <w:pPr>
        <w:jc w:val="center"/>
        <w:rPr>
          <w:b/>
        </w:rPr>
      </w:pPr>
    </w:p>
    <w:p w14:paraId="476CFB64" w14:textId="38C9CA2C" w:rsidR="008544D1" w:rsidRDefault="00BC290E" w:rsidP="008544D1">
      <w:pPr>
        <w:jc w:val="center"/>
        <w:rPr>
          <w:b/>
        </w:rPr>
      </w:pPr>
      <w:r>
        <w:rPr>
          <w:b/>
        </w:rPr>
        <w:t xml:space="preserve">Submitted: </w:t>
      </w:r>
      <w:r w:rsidR="000A4A98">
        <w:rPr>
          <w:b/>
        </w:rPr>
        <w:t xml:space="preserve">August </w:t>
      </w:r>
      <w:r w:rsidR="00A033BD">
        <w:rPr>
          <w:b/>
        </w:rPr>
        <w:t xml:space="preserve">20, </w:t>
      </w:r>
      <w:r w:rsidR="000A4A98">
        <w:rPr>
          <w:b/>
        </w:rPr>
        <w:t>2018</w:t>
      </w:r>
    </w:p>
    <w:p w14:paraId="3AF5094A" w14:textId="77777777" w:rsidR="00583F53" w:rsidRDefault="00583F53" w:rsidP="008544D1">
      <w:pPr>
        <w:jc w:val="center"/>
        <w:rPr>
          <w:b/>
        </w:rPr>
      </w:pPr>
    </w:p>
    <w:p w14:paraId="65722D2E" w14:textId="77777777" w:rsidR="00583F53" w:rsidRDefault="00583F53" w:rsidP="00584A53">
      <w:pPr>
        <w:rPr>
          <w:b/>
        </w:rPr>
      </w:pPr>
    </w:p>
    <w:p w14:paraId="683C1A9F" w14:textId="77777777" w:rsidR="00583F53" w:rsidRDefault="00583F53" w:rsidP="008544D1">
      <w:pPr>
        <w:jc w:val="center"/>
        <w:rPr>
          <w:b/>
        </w:rPr>
      </w:pPr>
    </w:p>
    <w:p w14:paraId="64D62897" w14:textId="77777777" w:rsidR="00C84428" w:rsidRDefault="00C84428" w:rsidP="00C84428">
      <w:pPr>
        <w:jc w:val="center"/>
      </w:pPr>
      <w:r>
        <w:t>Science Support Branch (SSB)</w:t>
      </w:r>
    </w:p>
    <w:p w14:paraId="06E0191A" w14:textId="77777777" w:rsidR="00583F53" w:rsidRDefault="007A429D" w:rsidP="00C84428">
      <w:pPr>
        <w:jc w:val="center"/>
      </w:pPr>
      <w:r w:rsidRPr="007A429D">
        <w:t xml:space="preserve">Division of </w:t>
      </w:r>
      <w:r w:rsidR="00C84428">
        <w:t>Community and Health Investigations (DCHI)</w:t>
      </w:r>
    </w:p>
    <w:p w14:paraId="5E2FB1AA" w14:textId="77777777" w:rsidR="00C84428" w:rsidRPr="007A429D" w:rsidRDefault="00C84428" w:rsidP="00C84428">
      <w:pPr>
        <w:jc w:val="center"/>
      </w:pPr>
      <w:r>
        <w:t>Agency for Toxic Substances and Disease Registry (ATSDR)</w:t>
      </w:r>
    </w:p>
    <w:p w14:paraId="66BFC1F0" w14:textId="77777777" w:rsidR="005856AA" w:rsidRDefault="005856AA" w:rsidP="00583F53">
      <w:pPr>
        <w:rPr>
          <w:b/>
        </w:rPr>
      </w:pPr>
    </w:p>
    <w:p w14:paraId="658005B4" w14:textId="77777777" w:rsidR="00583F53" w:rsidRDefault="00583F53" w:rsidP="00583F53">
      <w:pPr>
        <w:rPr>
          <w:b/>
        </w:rPr>
      </w:pPr>
    </w:p>
    <w:p w14:paraId="176E238D" w14:textId="77777777" w:rsidR="00DE30C6" w:rsidRDefault="00DE30C6" w:rsidP="00C84428">
      <w:pPr>
        <w:tabs>
          <w:tab w:val="left" w:pos="1545"/>
        </w:tabs>
        <w:rPr>
          <w:b/>
        </w:rPr>
      </w:pPr>
    </w:p>
    <w:p w14:paraId="7756A1E0" w14:textId="77777777" w:rsidR="00DE30C6" w:rsidRDefault="00DE30C6" w:rsidP="00C84428">
      <w:pPr>
        <w:tabs>
          <w:tab w:val="left" w:pos="1545"/>
        </w:tabs>
        <w:rPr>
          <w:b/>
        </w:rPr>
      </w:pPr>
    </w:p>
    <w:p w14:paraId="518CFD6B" w14:textId="77777777" w:rsidR="00DE30C6" w:rsidRDefault="00DE30C6" w:rsidP="00C84428">
      <w:pPr>
        <w:tabs>
          <w:tab w:val="left" w:pos="1545"/>
        </w:tabs>
        <w:rPr>
          <w:b/>
        </w:rPr>
      </w:pPr>
    </w:p>
    <w:p w14:paraId="28E2D334" w14:textId="77777777" w:rsidR="00DE30C6" w:rsidRDefault="00DE30C6" w:rsidP="00C84428">
      <w:pPr>
        <w:tabs>
          <w:tab w:val="left" w:pos="1545"/>
        </w:tabs>
        <w:rPr>
          <w:b/>
        </w:rPr>
      </w:pPr>
    </w:p>
    <w:p w14:paraId="20CD49DC" w14:textId="77777777" w:rsidR="00DE30C6" w:rsidRDefault="00DE30C6" w:rsidP="00C84428">
      <w:pPr>
        <w:tabs>
          <w:tab w:val="left" w:pos="1545"/>
        </w:tabs>
        <w:rPr>
          <w:b/>
        </w:rPr>
      </w:pPr>
    </w:p>
    <w:p w14:paraId="0A92BA6F" w14:textId="77777777" w:rsidR="00DE30C6" w:rsidRDefault="00DE30C6" w:rsidP="00C84428">
      <w:pPr>
        <w:tabs>
          <w:tab w:val="left" w:pos="1545"/>
        </w:tabs>
        <w:rPr>
          <w:b/>
        </w:rPr>
      </w:pPr>
    </w:p>
    <w:p w14:paraId="3A06F92F" w14:textId="77777777" w:rsidR="00DE30C6" w:rsidRDefault="00DE30C6" w:rsidP="00C84428">
      <w:pPr>
        <w:tabs>
          <w:tab w:val="left" w:pos="1545"/>
        </w:tabs>
        <w:rPr>
          <w:b/>
        </w:rPr>
      </w:pPr>
    </w:p>
    <w:p w14:paraId="38925724" w14:textId="77777777" w:rsidR="00DE30C6" w:rsidRDefault="00DE30C6" w:rsidP="00C84428">
      <w:pPr>
        <w:tabs>
          <w:tab w:val="left" w:pos="1545"/>
        </w:tabs>
        <w:rPr>
          <w:b/>
        </w:rPr>
      </w:pPr>
    </w:p>
    <w:p w14:paraId="6125DC77" w14:textId="77777777" w:rsidR="00DE30C6" w:rsidRDefault="00DE30C6" w:rsidP="00C84428">
      <w:pPr>
        <w:tabs>
          <w:tab w:val="left" w:pos="1545"/>
        </w:tabs>
        <w:rPr>
          <w:b/>
        </w:rPr>
      </w:pPr>
    </w:p>
    <w:p w14:paraId="048799A6" w14:textId="77777777" w:rsidR="00DE30C6" w:rsidRDefault="00DE30C6" w:rsidP="00C84428">
      <w:pPr>
        <w:tabs>
          <w:tab w:val="left" w:pos="1545"/>
        </w:tabs>
        <w:rPr>
          <w:b/>
        </w:rPr>
      </w:pPr>
    </w:p>
    <w:p w14:paraId="611E35AB" w14:textId="77777777" w:rsidR="00DE30C6" w:rsidRDefault="00DE30C6" w:rsidP="00C84428">
      <w:pPr>
        <w:tabs>
          <w:tab w:val="left" w:pos="1545"/>
        </w:tabs>
        <w:rPr>
          <w:b/>
        </w:rPr>
      </w:pPr>
    </w:p>
    <w:p w14:paraId="7B67AB58" w14:textId="77777777" w:rsidR="00C84428" w:rsidRPr="00C84428" w:rsidRDefault="00C84428" w:rsidP="00C84428">
      <w:pPr>
        <w:tabs>
          <w:tab w:val="left" w:pos="1545"/>
        </w:tabs>
        <w:rPr>
          <w:b/>
        </w:rPr>
      </w:pPr>
      <w:r w:rsidRPr="00C84428">
        <w:rPr>
          <w:b/>
        </w:rPr>
        <w:t>Program Official:</w:t>
      </w:r>
    </w:p>
    <w:p w14:paraId="532550D2" w14:textId="77777777" w:rsidR="00C84428" w:rsidRDefault="00CC027D" w:rsidP="00C84428">
      <w:pPr>
        <w:autoSpaceDE w:val="0"/>
        <w:autoSpaceDN w:val="0"/>
        <w:adjustRightInd w:val="0"/>
        <w:ind w:left="720"/>
      </w:pPr>
      <w:r>
        <w:t>Peter J. Kowalski</w:t>
      </w:r>
      <w:r w:rsidR="00C84428">
        <w:t>, M</w:t>
      </w:r>
      <w:r>
        <w:t>PH</w:t>
      </w:r>
      <w:r w:rsidR="00C84428">
        <w:t xml:space="preserve">, </w:t>
      </w:r>
      <w:r>
        <w:t>CI</w:t>
      </w:r>
      <w:r w:rsidR="00C84428">
        <w:t>H</w:t>
      </w:r>
    </w:p>
    <w:p w14:paraId="599A59E2" w14:textId="77777777" w:rsidR="00C84428" w:rsidRDefault="00C84428" w:rsidP="00C84428">
      <w:pPr>
        <w:autoSpaceDE w:val="0"/>
        <w:autoSpaceDN w:val="0"/>
        <w:adjustRightInd w:val="0"/>
        <w:ind w:left="720"/>
      </w:pPr>
      <w:r>
        <w:t xml:space="preserve">Lead, Exposure Investigations </w:t>
      </w:r>
      <w:r w:rsidR="002F3BAA">
        <w:t xml:space="preserve">and Data Analysis </w:t>
      </w:r>
      <w:r>
        <w:t>Team</w:t>
      </w:r>
    </w:p>
    <w:p w14:paraId="11772BE4" w14:textId="77777777" w:rsidR="00C84428" w:rsidRDefault="00C84428" w:rsidP="00C84428">
      <w:pPr>
        <w:autoSpaceDE w:val="0"/>
        <w:autoSpaceDN w:val="0"/>
        <w:adjustRightInd w:val="0"/>
        <w:ind w:left="720"/>
      </w:pPr>
      <w:r>
        <w:t>Science Support Branch</w:t>
      </w:r>
    </w:p>
    <w:p w14:paraId="23DB75D0" w14:textId="77777777" w:rsidR="00C84428" w:rsidRDefault="00C84428" w:rsidP="00C84428">
      <w:pPr>
        <w:autoSpaceDE w:val="0"/>
        <w:autoSpaceDN w:val="0"/>
        <w:adjustRightInd w:val="0"/>
        <w:ind w:left="720"/>
      </w:pPr>
      <w:r>
        <w:t xml:space="preserve">Division of Community Health </w:t>
      </w:r>
      <w:r w:rsidRPr="008E0304">
        <w:t>Investigations</w:t>
      </w:r>
    </w:p>
    <w:p w14:paraId="354377F1" w14:textId="77777777" w:rsidR="00C84428" w:rsidRDefault="00C84428" w:rsidP="00C84428">
      <w:pPr>
        <w:autoSpaceDE w:val="0"/>
        <w:autoSpaceDN w:val="0"/>
        <w:adjustRightInd w:val="0"/>
        <w:ind w:left="720"/>
      </w:pPr>
      <w:r>
        <w:t>Agency for Toxic Substances and Disease Registry</w:t>
      </w:r>
    </w:p>
    <w:p w14:paraId="785D280C" w14:textId="77777777" w:rsidR="00C84428" w:rsidRDefault="00C84428" w:rsidP="00C84428">
      <w:pPr>
        <w:autoSpaceDE w:val="0"/>
        <w:autoSpaceDN w:val="0"/>
        <w:adjustRightInd w:val="0"/>
        <w:ind w:left="720"/>
        <w:rPr>
          <w:szCs w:val="20"/>
        </w:rPr>
      </w:pPr>
      <w:r>
        <w:rPr>
          <w:szCs w:val="20"/>
        </w:rPr>
        <w:t>4770 Buford Hwy NE, MS F59</w:t>
      </w:r>
      <w:r>
        <w:rPr>
          <w:szCs w:val="20"/>
        </w:rPr>
        <w:br/>
        <w:t>Atlanta, GA 30341</w:t>
      </w:r>
    </w:p>
    <w:p w14:paraId="28D649D9" w14:textId="77777777" w:rsidR="00C84428" w:rsidRDefault="00C84428" w:rsidP="00C84428">
      <w:pPr>
        <w:autoSpaceDE w:val="0"/>
        <w:autoSpaceDN w:val="0"/>
        <w:adjustRightInd w:val="0"/>
        <w:ind w:left="720"/>
      </w:pPr>
      <w:r>
        <w:t>Phone: 770-488-</w:t>
      </w:r>
      <w:r w:rsidR="00CC027D">
        <w:t>0776</w:t>
      </w:r>
    </w:p>
    <w:p w14:paraId="3FDBDC7A" w14:textId="77777777" w:rsidR="00C84428" w:rsidRDefault="00C84428" w:rsidP="00C84428">
      <w:pPr>
        <w:autoSpaceDE w:val="0"/>
        <w:autoSpaceDN w:val="0"/>
        <w:adjustRightInd w:val="0"/>
        <w:ind w:left="720"/>
      </w:pPr>
      <w:r>
        <w:t>Fax:  770-488-1542</w:t>
      </w:r>
    </w:p>
    <w:p w14:paraId="3141521E" w14:textId="521D0F1A" w:rsidR="001142C7" w:rsidRDefault="00C84428" w:rsidP="00AB317D">
      <w:pPr>
        <w:autoSpaceDE w:val="0"/>
        <w:autoSpaceDN w:val="0"/>
        <w:adjustRightInd w:val="0"/>
        <w:ind w:firstLine="720"/>
        <w:rPr>
          <w:b/>
          <w:color w:val="1F497D" w:themeColor="text2"/>
        </w:rPr>
      </w:pPr>
      <w:r>
        <w:t xml:space="preserve">Email: </w:t>
      </w:r>
      <w:hyperlink r:id="rId9" w:history="1">
        <w:r w:rsidR="00CC027D" w:rsidRPr="00CC027D">
          <w:rPr>
            <w:rStyle w:val="Hyperlink"/>
          </w:rPr>
          <w:t>PKowalski@cdc.gov</w:t>
        </w:r>
      </w:hyperlink>
      <w:r w:rsidR="00FD74D2">
        <w:rPr>
          <w:b/>
          <w:color w:val="1F497D" w:themeColor="text2"/>
        </w:rPr>
        <w:br w:type="page"/>
      </w:r>
    </w:p>
    <w:p w14:paraId="1850B336" w14:textId="77777777" w:rsidR="001142C7" w:rsidRDefault="001142C7" w:rsidP="00AB317D">
      <w:pPr>
        <w:autoSpaceDE w:val="0"/>
        <w:autoSpaceDN w:val="0"/>
        <w:adjustRightInd w:val="0"/>
        <w:rPr>
          <w:b/>
          <w:color w:val="1F497D" w:themeColor="text2"/>
        </w:rPr>
      </w:pPr>
    </w:p>
    <w:p w14:paraId="5346B08B" w14:textId="31F8292F" w:rsidR="006E3E43" w:rsidRPr="00D142FF" w:rsidRDefault="006E3E43" w:rsidP="00AB317D">
      <w:pPr>
        <w:autoSpaceDE w:val="0"/>
        <w:autoSpaceDN w:val="0"/>
        <w:adjustRightInd w:val="0"/>
      </w:pPr>
      <w:r w:rsidRPr="00D142FF">
        <w:rPr>
          <w:b/>
          <w:color w:val="1F497D" w:themeColor="text2"/>
        </w:rPr>
        <w:t>Table of Contents</w:t>
      </w:r>
    </w:p>
    <w:p w14:paraId="59EFA2AE" w14:textId="77777777" w:rsidR="00AC5805" w:rsidRPr="00D142FF" w:rsidRDefault="00AC5805" w:rsidP="00261215">
      <w:pPr>
        <w:rPr>
          <w:b/>
          <w:bCs/>
          <w:u w:val="single"/>
        </w:rPr>
      </w:pPr>
      <w:bookmarkStart w:id="1" w:name="_Toc304808214"/>
      <w:bookmarkStart w:id="2" w:name="_Toc304808301"/>
      <w:bookmarkStart w:id="3" w:name="_Toc305153411"/>
      <w:bookmarkStart w:id="4" w:name="_Toc305153629"/>
      <w:bookmarkStart w:id="5" w:name="_Toc305154205"/>
      <w:bookmarkStart w:id="6" w:name="_Toc305155359"/>
      <w:bookmarkStart w:id="7" w:name="_Toc306341889"/>
      <w:bookmarkStart w:id="8" w:name="_Toc306344142"/>
      <w:bookmarkStart w:id="9" w:name="_Toc306344783"/>
      <w:bookmarkStart w:id="10" w:name="_Toc306345024"/>
      <w:bookmarkStart w:id="11" w:name="_Toc311445493"/>
    </w:p>
    <w:sdt>
      <w:sdtPr>
        <w:rPr>
          <w:b/>
          <w:bCs/>
        </w:rPr>
        <w:id w:val="2086181389"/>
        <w:docPartObj>
          <w:docPartGallery w:val="Table of Contents"/>
          <w:docPartUnique/>
        </w:docPartObj>
      </w:sdtPr>
      <w:sdtEndPr>
        <w:rPr>
          <w:b w:val="0"/>
          <w:bCs w:val="0"/>
          <w:noProof/>
        </w:rPr>
      </w:sdtEndPr>
      <w:sdtContent>
        <w:p w14:paraId="7D8ABEAD" w14:textId="537AD054" w:rsidR="00C635E7" w:rsidRDefault="00311E38">
          <w:pPr>
            <w:pStyle w:val="TOC1"/>
            <w:rPr>
              <w:rFonts w:asciiTheme="minorHAnsi" w:eastAsiaTheme="minorEastAsia" w:hAnsiTheme="minorHAnsi" w:cstheme="minorBidi"/>
              <w:noProof/>
              <w:sz w:val="22"/>
              <w:szCs w:val="22"/>
            </w:rPr>
          </w:pPr>
          <w:r w:rsidRPr="00D142FF">
            <w:fldChar w:fldCharType="begin"/>
          </w:r>
          <w:r w:rsidR="002930BD" w:rsidRPr="00D142FF">
            <w:instrText xml:space="preserve"> TOC \o "1-3" \h \z \u </w:instrText>
          </w:r>
          <w:r w:rsidRPr="00D142FF">
            <w:fldChar w:fldCharType="separate"/>
          </w:r>
          <w:hyperlink w:anchor="_Toc522219727" w:history="1">
            <w:r w:rsidR="00C635E7" w:rsidRPr="004F38F8">
              <w:rPr>
                <w:rStyle w:val="Hyperlink"/>
                <w:noProof/>
              </w:rPr>
              <w:t>A. Justification</w:t>
            </w:r>
            <w:r w:rsidR="00C635E7">
              <w:rPr>
                <w:noProof/>
                <w:webHidden/>
              </w:rPr>
              <w:tab/>
            </w:r>
            <w:r w:rsidR="00C635E7">
              <w:rPr>
                <w:noProof/>
                <w:webHidden/>
              </w:rPr>
              <w:fldChar w:fldCharType="begin"/>
            </w:r>
            <w:r w:rsidR="00C635E7">
              <w:rPr>
                <w:noProof/>
                <w:webHidden/>
              </w:rPr>
              <w:instrText xml:space="preserve"> PAGEREF _Toc522219727 \h </w:instrText>
            </w:r>
            <w:r w:rsidR="00C635E7">
              <w:rPr>
                <w:noProof/>
                <w:webHidden/>
              </w:rPr>
            </w:r>
            <w:r w:rsidR="00C635E7">
              <w:rPr>
                <w:noProof/>
                <w:webHidden/>
              </w:rPr>
              <w:fldChar w:fldCharType="separate"/>
            </w:r>
            <w:r w:rsidR="006B39B1">
              <w:rPr>
                <w:noProof/>
                <w:webHidden/>
              </w:rPr>
              <w:t>5</w:t>
            </w:r>
            <w:r w:rsidR="00C635E7">
              <w:rPr>
                <w:noProof/>
                <w:webHidden/>
              </w:rPr>
              <w:fldChar w:fldCharType="end"/>
            </w:r>
          </w:hyperlink>
        </w:p>
        <w:p w14:paraId="4EC1EFC1" w14:textId="06DD5707" w:rsidR="00C635E7" w:rsidRDefault="008A23A9">
          <w:pPr>
            <w:pStyle w:val="TOC2"/>
            <w:rPr>
              <w:rFonts w:asciiTheme="minorHAnsi" w:hAnsiTheme="minorHAnsi" w:cstheme="minorBidi"/>
              <w:bCs w:val="0"/>
              <w:sz w:val="22"/>
              <w:szCs w:val="22"/>
            </w:rPr>
          </w:pPr>
          <w:hyperlink w:anchor="_Toc522219728" w:history="1">
            <w:r w:rsidR="00C635E7" w:rsidRPr="004F38F8">
              <w:rPr>
                <w:rStyle w:val="Hyperlink"/>
              </w:rPr>
              <w:t>A.1 Circumstances Making the Collection of Information Necessary</w:t>
            </w:r>
            <w:r w:rsidR="00C635E7">
              <w:rPr>
                <w:webHidden/>
              </w:rPr>
              <w:tab/>
            </w:r>
            <w:r w:rsidR="00C635E7">
              <w:rPr>
                <w:webHidden/>
              </w:rPr>
              <w:fldChar w:fldCharType="begin"/>
            </w:r>
            <w:r w:rsidR="00C635E7">
              <w:rPr>
                <w:webHidden/>
              </w:rPr>
              <w:instrText xml:space="preserve"> PAGEREF _Toc522219728 \h </w:instrText>
            </w:r>
            <w:r w:rsidR="00C635E7">
              <w:rPr>
                <w:webHidden/>
              </w:rPr>
            </w:r>
            <w:r w:rsidR="00C635E7">
              <w:rPr>
                <w:webHidden/>
              </w:rPr>
              <w:fldChar w:fldCharType="separate"/>
            </w:r>
            <w:r w:rsidR="006B39B1">
              <w:rPr>
                <w:webHidden/>
              </w:rPr>
              <w:t>5</w:t>
            </w:r>
            <w:r w:rsidR="00C635E7">
              <w:rPr>
                <w:webHidden/>
              </w:rPr>
              <w:fldChar w:fldCharType="end"/>
            </w:r>
          </w:hyperlink>
        </w:p>
        <w:p w14:paraId="0117912A" w14:textId="7FE2E243" w:rsidR="00C635E7" w:rsidRDefault="008A23A9">
          <w:pPr>
            <w:pStyle w:val="TOC2"/>
            <w:rPr>
              <w:rFonts w:asciiTheme="minorHAnsi" w:hAnsiTheme="minorHAnsi" w:cstheme="minorBidi"/>
              <w:bCs w:val="0"/>
              <w:sz w:val="22"/>
              <w:szCs w:val="22"/>
            </w:rPr>
          </w:pPr>
          <w:hyperlink w:anchor="_Toc522219729" w:history="1">
            <w:r w:rsidR="00C635E7" w:rsidRPr="004F38F8">
              <w:rPr>
                <w:rStyle w:val="Hyperlink"/>
              </w:rPr>
              <w:t>A.2. Purpose and Use of Information Collection</w:t>
            </w:r>
            <w:r w:rsidR="00C635E7">
              <w:rPr>
                <w:webHidden/>
              </w:rPr>
              <w:tab/>
            </w:r>
            <w:r w:rsidR="00C635E7">
              <w:rPr>
                <w:webHidden/>
              </w:rPr>
              <w:fldChar w:fldCharType="begin"/>
            </w:r>
            <w:r w:rsidR="00C635E7">
              <w:rPr>
                <w:webHidden/>
              </w:rPr>
              <w:instrText xml:space="preserve"> PAGEREF _Toc522219729 \h </w:instrText>
            </w:r>
            <w:r w:rsidR="00C635E7">
              <w:rPr>
                <w:webHidden/>
              </w:rPr>
            </w:r>
            <w:r w:rsidR="00C635E7">
              <w:rPr>
                <w:webHidden/>
              </w:rPr>
              <w:fldChar w:fldCharType="separate"/>
            </w:r>
            <w:r w:rsidR="006B39B1">
              <w:rPr>
                <w:webHidden/>
              </w:rPr>
              <w:t>7</w:t>
            </w:r>
            <w:r w:rsidR="00C635E7">
              <w:rPr>
                <w:webHidden/>
              </w:rPr>
              <w:fldChar w:fldCharType="end"/>
            </w:r>
          </w:hyperlink>
        </w:p>
        <w:p w14:paraId="0028A7C4" w14:textId="3EBDDA7A" w:rsidR="00C635E7" w:rsidRDefault="008A23A9">
          <w:pPr>
            <w:pStyle w:val="TOC2"/>
            <w:rPr>
              <w:rFonts w:asciiTheme="minorHAnsi" w:hAnsiTheme="minorHAnsi" w:cstheme="minorBidi"/>
              <w:bCs w:val="0"/>
              <w:sz w:val="22"/>
              <w:szCs w:val="22"/>
            </w:rPr>
          </w:pPr>
          <w:hyperlink w:anchor="_Toc522219730" w:history="1">
            <w:r w:rsidR="00C635E7" w:rsidRPr="004F38F8">
              <w:rPr>
                <w:rStyle w:val="Hyperlink"/>
              </w:rPr>
              <w:t>A.3. Use of Improved Information Technology and Burden Reduction</w:t>
            </w:r>
            <w:r w:rsidR="00C635E7">
              <w:rPr>
                <w:webHidden/>
              </w:rPr>
              <w:tab/>
            </w:r>
            <w:r w:rsidR="00C635E7">
              <w:rPr>
                <w:webHidden/>
              </w:rPr>
              <w:fldChar w:fldCharType="begin"/>
            </w:r>
            <w:r w:rsidR="00C635E7">
              <w:rPr>
                <w:webHidden/>
              </w:rPr>
              <w:instrText xml:space="preserve"> PAGEREF _Toc522219730 \h </w:instrText>
            </w:r>
            <w:r w:rsidR="00C635E7">
              <w:rPr>
                <w:webHidden/>
              </w:rPr>
            </w:r>
            <w:r w:rsidR="00C635E7">
              <w:rPr>
                <w:webHidden/>
              </w:rPr>
              <w:fldChar w:fldCharType="separate"/>
            </w:r>
            <w:r w:rsidR="006B39B1">
              <w:rPr>
                <w:webHidden/>
              </w:rPr>
              <w:t>8</w:t>
            </w:r>
            <w:r w:rsidR="00C635E7">
              <w:rPr>
                <w:webHidden/>
              </w:rPr>
              <w:fldChar w:fldCharType="end"/>
            </w:r>
          </w:hyperlink>
        </w:p>
        <w:p w14:paraId="32B8C3D3" w14:textId="4043D5BB" w:rsidR="00C635E7" w:rsidRDefault="008A23A9">
          <w:pPr>
            <w:pStyle w:val="TOC2"/>
            <w:rPr>
              <w:rFonts w:asciiTheme="minorHAnsi" w:hAnsiTheme="minorHAnsi" w:cstheme="minorBidi"/>
              <w:bCs w:val="0"/>
              <w:sz w:val="22"/>
              <w:szCs w:val="22"/>
            </w:rPr>
          </w:pPr>
          <w:hyperlink w:anchor="_Toc522219731" w:history="1">
            <w:r w:rsidR="00C635E7" w:rsidRPr="004F38F8">
              <w:rPr>
                <w:rStyle w:val="Hyperlink"/>
              </w:rPr>
              <w:t>A.4. Efforts to Identify Duplication and Use of Similar Information</w:t>
            </w:r>
            <w:r w:rsidR="00C635E7">
              <w:rPr>
                <w:webHidden/>
              </w:rPr>
              <w:tab/>
            </w:r>
            <w:r w:rsidR="00C635E7">
              <w:rPr>
                <w:webHidden/>
              </w:rPr>
              <w:fldChar w:fldCharType="begin"/>
            </w:r>
            <w:r w:rsidR="00C635E7">
              <w:rPr>
                <w:webHidden/>
              </w:rPr>
              <w:instrText xml:space="preserve"> PAGEREF _Toc522219731 \h </w:instrText>
            </w:r>
            <w:r w:rsidR="00C635E7">
              <w:rPr>
                <w:webHidden/>
              </w:rPr>
            </w:r>
            <w:r w:rsidR="00C635E7">
              <w:rPr>
                <w:webHidden/>
              </w:rPr>
              <w:fldChar w:fldCharType="separate"/>
            </w:r>
            <w:r w:rsidR="006B39B1">
              <w:rPr>
                <w:webHidden/>
              </w:rPr>
              <w:t>9</w:t>
            </w:r>
            <w:r w:rsidR="00C635E7">
              <w:rPr>
                <w:webHidden/>
              </w:rPr>
              <w:fldChar w:fldCharType="end"/>
            </w:r>
          </w:hyperlink>
        </w:p>
        <w:p w14:paraId="753D4EC6" w14:textId="35199790" w:rsidR="00C635E7" w:rsidRDefault="008A23A9">
          <w:pPr>
            <w:pStyle w:val="TOC2"/>
            <w:rPr>
              <w:rFonts w:asciiTheme="minorHAnsi" w:hAnsiTheme="minorHAnsi" w:cstheme="minorBidi"/>
              <w:bCs w:val="0"/>
              <w:sz w:val="22"/>
              <w:szCs w:val="22"/>
            </w:rPr>
          </w:pPr>
          <w:hyperlink w:anchor="_Toc522219732" w:history="1">
            <w:r w:rsidR="00C635E7" w:rsidRPr="004F38F8">
              <w:rPr>
                <w:rStyle w:val="Hyperlink"/>
              </w:rPr>
              <w:t>A.5. Impact on Small Businesses or Other Small Entities</w:t>
            </w:r>
            <w:r w:rsidR="00C635E7">
              <w:rPr>
                <w:webHidden/>
              </w:rPr>
              <w:tab/>
            </w:r>
            <w:r w:rsidR="00C635E7">
              <w:rPr>
                <w:webHidden/>
              </w:rPr>
              <w:fldChar w:fldCharType="begin"/>
            </w:r>
            <w:r w:rsidR="00C635E7">
              <w:rPr>
                <w:webHidden/>
              </w:rPr>
              <w:instrText xml:space="preserve"> PAGEREF _Toc522219732 \h </w:instrText>
            </w:r>
            <w:r w:rsidR="00C635E7">
              <w:rPr>
                <w:webHidden/>
              </w:rPr>
            </w:r>
            <w:r w:rsidR="00C635E7">
              <w:rPr>
                <w:webHidden/>
              </w:rPr>
              <w:fldChar w:fldCharType="separate"/>
            </w:r>
            <w:r w:rsidR="006B39B1">
              <w:rPr>
                <w:webHidden/>
              </w:rPr>
              <w:t>9</w:t>
            </w:r>
            <w:r w:rsidR="00C635E7">
              <w:rPr>
                <w:webHidden/>
              </w:rPr>
              <w:fldChar w:fldCharType="end"/>
            </w:r>
          </w:hyperlink>
        </w:p>
        <w:p w14:paraId="4C04038E" w14:textId="0655409C" w:rsidR="00C635E7" w:rsidRDefault="008A23A9">
          <w:pPr>
            <w:pStyle w:val="TOC2"/>
            <w:rPr>
              <w:rFonts w:asciiTheme="minorHAnsi" w:hAnsiTheme="minorHAnsi" w:cstheme="minorBidi"/>
              <w:bCs w:val="0"/>
              <w:sz w:val="22"/>
              <w:szCs w:val="22"/>
            </w:rPr>
          </w:pPr>
          <w:hyperlink w:anchor="_Toc522219733" w:history="1">
            <w:r w:rsidR="00C635E7" w:rsidRPr="004F38F8">
              <w:rPr>
                <w:rStyle w:val="Hyperlink"/>
              </w:rPr>
              <w:t>A.6. Consequences of Collecting the Information Less Frequently</w:t>
            </w:r>
            <w:r w:rsidR="00C635E7">
              <w:rPr>
                <w:webHidden/>
              </w:rPr>
              <w:tab/>
            </w:r>
            <w:r w:rsidR="00C635E7">
              <w:rPr>
                <w:webHidden/>
              </w:rPr>
              <w:fldChar w:fldCharType="begin"/>
            </w:r>
            <w:r w:rsidR="00C635E7">
              <w:rPr>
                <w:webHidden/>
              </w:rPr>
              <w:instrText xml:space="preserve"> PAGEREF _Toc522219733 \h </w:instrText>
            </w:r>
            <w:r w:rsidR="00C635E7">
              <w:rPr>
                <w:webHidden/>
              </w:rPr>
            </w:r>
            <w:r w:rsidR="00C635E7">
              <w:rPr>
                <w:webHidden/>
              </w:rPr>
              <w:fldChar w:fldCharType="separate"/>
            </w:r>
            <w:r w:rsidR="006B39B1">
              <w:rPr>
                <w:webHidden/>
              </w:rPr>
              <w:t>10</w:t>
            </w:r>
            <w:r w:rsidR="00C635E7">
              <w:rPr>
                <w:webHidden/>
              </w:rPr>
              <w:fldChar w:fldCharType="end"/>
            </w:r>
          </w:hyperlink>
        </w:p>
        <w:p w14:paraId="510941B7" w14:textId="21A00D4A" w:rsidR="00C635E7" w:rsidRDefault="008A23A9">
          <w:pPr>
            <w:pStyle w:val="TOC2"/>
            <w:rPr>
              <w:rFonts w:asciiTheme="minorHAnsi" w:hAnsiTheme="minorHAnsi" w:cstheme="minorBidi"/>
              <w:bCs w:val="0"/>
              <w:sz w:val="22"/>
              <w:szCs w:val="22"/>
            </w:rPr>
          </w:pPr>
          <w:hyperlink w:anchor="_Toc522219734" w:history="1">
            <w:r w:rsidR="00C635E7" w:rsidRPr="004F38F8">
              <w:rPr>
                <w:rStyle w:val="Hyperlink"/>
              </w:rPr>
              <w:t>A.7. Special Circumstances Relating to the Guidelines of 5 CFR 1320.5</w:t>
            </w:r>
            <w:r w:rsidR="00C635E7">
              <w:rPr>
                <w:webHidden/>
              </w:rPr>
              <w:tab/>
            </w:r>
            <w:r w:rsidR="00C635E7">
              <w:rPr>
                <w:webHidden/>
              </w:rPr>
              <w:fldChar w:fldCharType="begin"/>
            </w:r>
            <w:r w:rsidR="00C635E7">
              <w:rPr>
                <w:webHidden/>
              </w:rPr>
              <w:instrText xml:space="preserve"> PAGEREF _Toc522219734 \h </w:instrText>
            </w:r>
            <w:r w:rsidR="00C635E7">
              <w:rPr>
                <w:webHidden/>
              </w:rPr>
            </w:r>
            <w:r w:rsidR="00C635E7">
              <w:rPr>
                <w:webHidden/>
              </w:rPr>
              <w:fldChar w:fldCharType="separate"/>
            </w:r>
            <w:r w:rsidR="006B39B1">
              <w:rPr>
                <w:webHidden/>
              </w:rPr>
              <w:t>10</w:t>
            </w:r>
            <w:r w:rsidR="00C635E7">
              <w:rPr>
                <w:webHidden/>
              </w:rPr>
              <w:fldChar w:fldCharType="end"/>
            </w:r>
          </w:hyperlink>
        </w:p>
        <w:p w14:paraId="6B2AEF3B" w14:textId="0073FDC1" w:rsidR="00C635E7" w:rsidRDefault="008A23A9">
          <w:pPr>
            <w:pStyle w:val="TOC2"/>
            <w:rPr>
              <w:rFonts w:asciiTheme="minorHAnsi" w:hAnsiTheme="minorHAnsi" w:cstheme="minorBidi"/>
              <w:bCs w:val="0"/>
              <w:sz w:val="22"/>
              <w:szCs w:val="22"/>
            </w:rPr>
          </w:pPr>
          <w:hyperlink w:anchor="_Toc522219735" w:history="1">
            <w:r w:rsidR="00C635E7" w:rsidRPr="004F38F8">
              <w:rPr>
                <w:rStyle w:val="Hyperlink"/>
              </w:rPr>
              <w:t>A.8. Comments in Response to the Federal Register Notice and Efforts to Consult Outside the Agency</w:t>
            </w:r>
            <w:r w:rsidR="00C635E7">
              <w:rPr>
                <w:webHidden/>
              </w:rPr>
              <w:tab/>
            </w:r>
            <w:r w:rsidR="00C635E7">
              <w:rPr>
                <w:webHidden/>
              </w:rPr>
              <w:fldChar w:fldCharType="begin"/>
            </w:r>
            <w:r w:rsidR="00C635E7">
              <w:rPr>
                <w:webHidden/>
              </w:rPr>
              <w:instrText xml:space="preserve"> PAGEREF _Toc522219735 \h </w:instrText>
            </w:r>
            <w:r w:rsidR="00C635E7">
              <w:rPr>
                <w:webHidden/>
              </w:rPr>
            </w:r>
            <w:r w:rsidR="00C635E7">
              <w:rPr>
                <w:webHidden/>
              </w:rPr>
              <w:fldChar w:fldCharType="separate"/>
            </w:r>
            <w:r w:rsidR="006B39B1">
              <w:rPr>
                <w:webHidden/>
              </w:rPr>
              <w:t>10</w:t>
            </w:r>
            <w:r w:rsidR="00C635E7">
              <w:rPr>
                <w:webHidden/>
              </w:rPr>
              <w:fldChar w:fldCharType="end"/>
            </w:r>
          </w:hyperlink>
        </w:p>
        <w:p w14:paraId="69289DE5" w14:textId="4F15FD1F" w:rsidR="00C635E7" w:rsidRDefault="008A23A9">
          <w:pPr>
            <w:pStyle w:val="TOC2"/>
            <w:rPr>
              <w:rFonts w:asciiTheme="minorHAnsi" w:hAnsiTheme="minorHAnsi" w:cstheme="minorBidi"/>
              <w:bCs w:val="0"/>
              <w:sz w:val="22"/>
              <w:szCs w:val="22"/>
            </w:rPr>
          </w:pPr>
          <w:hyperlink w:anchor="_Toc522219736" w:history="1">
            <w:r w:rsidR="00C635E7" w:rsidRPr="004F38F8">
              <w:rPr>
                <w:rStyle w:val="Hyperlink"/>
              </w:rPr>
              <w:t>A.9. Explanation of Any Payment or Gift to Respondents</w:t>
            </w:r>
            <w:r w:rsidR="00C635E7">
              <w:rPr>
                <w:webHidden/>
              </w:rPr>
              <w:tab/>
            </w:r>
            <w:r w:rsidR="00C635E7">
              <w:rPr>
                <w:webHidden/>
              </w:rPr>
              <w:fldChar w:fldCharType="begin"/>
            </w:r>
            <w:r w:rsidR="00C635E7">
              <w:rPr>
                <w:webHidden/>
              </w:rPr>
              <w:instrText xml:space="preserve"> PAGEREF _Toc522219736 \h </w:instrText>
            </w:r>
            <w:r w:rsidR="00C635E7">
              <w:rPr>
                <w:webHidden/>
              </w:rPr>
            </w:r>
            <w:r w:rsidR="00C635E7">
              <w:rPr>
                <w:webHidden/>
              </w:rPr>
              <w:fldChar w:fldCharType="separate"/>
            </w:r>
            <w:r w:rsidR="006B39B1">
              <w:rPr>
                <w:webHidden/>
              </w:rPr>
              <w:t>10</w:t>
            </w:r>
            <w:r w:rsidR="00C635E7">
              <w:rPr>
                <w:webHidden/>
              </w:rPr>
              <w:fldChar w:fldCharType="end"/>
            </w:r>
          </w:hyperlink>
        </w:p>
        <w:p w14:paraId="563E56F2" w14:textId="23AA2AFE" w:rsidR="00C635E7" w:rsidRDefault="008A23A9">
          <w:pPr>
            <w:pStyle w:val="TOC2"/>
            <w:rPr>
              <w:rFonts w:asciiTheme="minorHAnsi" w:hAnsiTheme="minorHAnsi" w:cstheme="minorBidi"/>
              <w:bCs w:val="0"/>
              <w:sz w:val="22"/>
              <w:szCs w:val="22"/>
            </w:rPr>
          </w:pPr>
          <w:hyperlink w:anchor="_Toc522219737" w:history="1">
            <w:r w:rsidR="00C635E7" w:rsidRPr="004F38F8">
              <w:rPr>
                <w:rStyle w:val="Hyperlink"/>
              </w:rPr>
              <w:t>A.10. Protection of the Privacy and Confidentiality of Information Provided by Respondents</w:t>
            </w:r>
            <w:r w:rsidR="00C635E7">
              <w:rPr>
                <w:webHidden/>
              </w:rPr>
              <w:tab/>
            </w:r>
            <w:r w:rsidR="00C635E7">
              <w:rPr>
                <w:webHidden/>
              </w:rPr>
              <w:fldChar w:fldCharType="begin"/>
            </w:r>
            <w:r w:rsidR="00C635E7">
              <w:rPr>
                <w:webHidden/>
              </w:rPr>
              <w:instrText xml:space="preserve"> PAGEREF _Toc522219737 \h </w:instrText>
            </w:r>
            <w:r w:rsidR="00C635E7">
              <w:rPr>
                <w:webHidden/>
              </w:rPr>
            </w:r>
            <w:r w:rsidR="00C635E7">
              <w:rPr>
                <w:webHidden/>
              </w:rPr>
              <w:fldChar w:fldCharType="separate"/>
            </w:r>
            <w:r w:rsidR="006B39B1">
              <w:rPr>
                <w:webHidden/>
              </w:rPr>
              <w:t>10</w:t>
            </w:r>
            <w:r w:rsidR="00C635E7">
              <w:rPr>
                <w:webHidden/>
              </w:rPr>
              <w:fldChar w:fldCharType="end"/>
            </w:r>
          </w:hyperlink>
        </w:p>
        <w:p w14:paraId="309A6C50" w14:textId="3BAAEA1C" w:rsidR="00C635E7" w:rsidRDefault="008A23A9">
          <w:pPr>
            <w:pStyle w:val="TOC3"/>
            <w:tabs>
              <w:tab w:val="right" w:leader="dot" w:pos="9350"/>
            </w:tabs>
            <w:rPr>
              <w:noProof/>
            </w:rPr>
          </w:pPr>
          <w:hyperlink w:anchor="_Toc522219738" w:history="1">
            <w:r w:rsidR="00C635E7" w:rsidRPr="004F38F8">
              <w:rPr>
                <w:rStyle w:val="Hyperlink"/>
                <w:noProof/>
              </w:rPr>
              <w:t>A.10.1. Privacy Impact Assessment Information</w:t>
            </w:r>
            <w:r w:rsidR="00C635E7">
              <w:rPr>
                <w:noProof/>
                <w:webHidden/>
              </w:rPr>
              <w:tab/>
            </w:r>
            <w:r w:rsidR="00C635E7">
              <w:rPr>
                <w:noProof/>
                <w:webHidden/>
              </w:rPr>
              <w:fldChar w:fldCharType="begin"/>
            </w:r>
            <w:r w:rsidR="00C635E7">
              <w:rPr>
                <w:noProof/>
                <w:webHidden/>
              </w:rPr>
              <w:instrText xml:space="preserve"> PAGEREF _Toc522219738 \h </w:instrText>
            </w:r>
            <w:r w:rsidR="00C635E7">
              <w:rPr>
                <w:noProof/>
                <w:webHidden/>
              </w:rPr>
            </w:r>
            <w:r w:rsidR="00C635E7">
              <w:rPr>
                <w:noProof/>
                <w:webHidden/>
              </w:rPr>
              <w:fldChar w:fldCharType="separate"/>
            </w:r>
            <w:r w:rsidR="006B39B1">
              <w:rPr>
                <w:noProof/>
                <w:webHidden/>
              </w:rPr>
              <w:t>11</w:t>
            </w:r>
            <w:r w:rsidR="00C635E7">
              <w:rPr>
                <w:noProof/>
                <w:webHidden/>
              </w:rPr>
              <w:fldChar w:fldCharType="end"/>
            </w:r>
          </w:hyperlink>
        </w:p>
        <w:p w14:paraId="2F3A1035" w14:textId="5B597ED3" w:rsidR="00C635E7" w:rsidRDefault="008A23A9">
          <w:pPr>
            <w:pStyle w:val="TOC2"/>
            <w:rPr>
              <w:rFonts w:asciiTheme="minorHAnsi" w:hAnsiTheme="minorHAnsi" w:cstheme="minorBidi"/>
              <w:bCs w:val="0"/>
              <w:sz w:val="22"/>
              <w:szCs w:val="22"/>
            </w:rPr>
          </w:pPr>
          <w:hyperlink w:anchor="_Toc522219739" w:history="1">
            <w:r w:rsidR="00C635E7" w:rsidRPr="004F38F8">
              <w:rPr>
                <w:rStyle w:val="Hyperlink"/>
              </w:rPr>
              <w:t>A.11. Institutional Review Board (IRB) and Justification for Sensitive Questions</w:t>
            </w:r>
            <w:r w:rsidR="00C635E7">
              <w:rPr>
                <w:webHidden/>
              </w:rPr>
              <w:tab/>
            </w:r>
            <w:r w:rsidR="00C635E7">
              <w:rPr>
                <w:webHidden/>
              </w:rPr>
              <w:fldChar w:fldCharType="begin"/>
            </w:r>
            <w:r w:rsidR="00C635E7">
              <w:rPr>
                <w:webHidden/>
              </w:rPr>
              <w:instrText xml:space="preserve"> PAGEREF _Toc522219739 \h </w:instrText>
            </w:r>
            <w:r w:rsidR="00C635E7">
              <w:rPr>
                <w:webHidden/>
              </w:rPr>
            </w:r>
            <w:r w:rsidR="00C635E7">
              <w:rPr>
                <w:webHidden/>
              </w:rPr>
              <w:fldChar w:fldCharType="separate"/>
            </w:r>
            <w:r w:rsidR="006B39B1">
              <w:rPr>
                <w:webHidden/>
              </w:rPr>
              <w:t>14</w:t>
            </w:r>
            <w:r w:rsidR="00C635E7">
              <w:rPr>
                <w:webHidden/>
              </w:rPr>
              <w:fldChar w:fldCharType="end"/>
            </w:r>
          </w:hyperlink>
        </w:p>
        <w:p w14:paraId="618C7E3E" w14:textId="57715F0D" w:rsidR="00C635E7" w:rsidRDefault="008A23A9">
          <w:pPr>
            <w:pStyle w:val="TOC2"/>
            <w:rPr>
              <w:rFonts w:asciiTheme="minorHAnsi" w:hAnsiTheme="minorHAnsi" w:cstheme="minorBidi"/>
              <w:bCs w:val="0"/>
              <w:sz w:val="22"/>
              <w:szCs w:val="22"/>
            </w:rPr>
          </w:pPr>
          <w:hyperlink w:anchor="_Toc522219740" w:history="1">
            <w:r w:rsidR="00C635E7" w:rsidRPr="004F38F8">
              <w:rPr>
                <w:rStyle w:val="Hyperlink"/>
              </w:rPr>
              <w:t>A.12. Estimates of Annualized Burden Hours and Costs</w:t>
            </w:r>
            <w:r w:rsidR="00C635E7">
              <w:rPr>
                <w:webHidden/>
              </w:rPr>
              <w:tab/>
            </w:r>
            <w:r w:rsidR="00C635E7">
              <w:rPr>
                <w:webHidden/>
              </w:rPr>
              <w:fldChar w:fldCharType="begin"/>
            </w:r>
            <w:r w:rsidR="00C635E7">
              <w:rPr>
                <w:webHidden/>
              </w:rPr>
              <w:instrText xml:space="preserve"> PAGEREF _Toc522219740 \h </w:instrText>
            </w:r>
            <w:r w:rsidR="00C635E7">
              <w:rPr>
                <w:webHidden/>
              </w:rPr>
            </w:r>
            <w:r w:rsidR="00C635E7">
              <w:rPr>
                <w:webHidden/>
              </w:rPr>
              <w:fldChar w:fldCharType="separate"/>
            </w:r>
            <w:r w:rsidR="006B39B1">
              <w:rPr>
                <w:webHidden/>
              </w:rPr>
              <w:t>14</w:t>
            </w:r>
            <w:r w:rsidR="00C635E7">
              <w:rPr>
                <w:webHidden/>
              </w:rPr>
              <w:fldChar w:fldCharType="end"/>
            </w:r>
          </w:hyperlink>
        </w:p>
        <w:p w14:paraId="65D40B2E" w14:textId="3DF58812" w:rsidR="00C635E7" w:rsidRDefault="008A23A9">
          <w:pPr>
            <w:pStyle w:val="TOC3"/>
            <w:tabs>
              <w:tab w:val="right" w:leader="dot" w:pos="9350"/>
            </w:tabs>
            <w:rPr>
              <w:noProof/>
            </w:rPr>
          </w:pPr>
          <w:hyperlink w:anchor="_Toc522219741" w:history="1">
            <w:r w:rsidR="00C635E7" w:rsidRPr="004F38F8">
              <w:rPr>
                <w:rStyle w:val="Hyperlink"/>
                <w:noProof/>
              </w:rPr>
              <w:t>A.12.1. Estimates of Annualized Burden Hours</w:t>
            </w:r>
            <w:r w:rsidR="00C635E7">
              <w:rPr>
                <w:noProof/>
                <w:webHidden/>
              </w:rPr>
              <w:tab/>
            </w:r>
            <w:r w:rsidR="00C635E7">
              <w:rPr>
                <w:noProof/>
                <w:webHidden/>
              </w:rPr>
              <w:fldChar w:fldCharType="begin"/>
            </w:r>
            <w:r w:rsidR="00C635E7">
              <w:rPr>
                <w:noProof/>
                <w:webHidden/>
              </w:rPr>
              <w:instrText xml:space="preserve"> PAGEREF _Toc522219741 \h </w:instrText>
            </w:r>
            <w:r w:rsidR="00C635E7">
              <w:rPr>
                <w:noProof/>
                <w:webHidden/>
              </w:rPr>
            </w:r>
            <w:r w:rsidR="00C635E7">
              <w:rPr>
                <w:noProof/>
                <w:webHidden/>
              </w:rPr>
              <w:fldChar w:fldCharType="separate"/>
            </w:r>
            <w:r w:rsidR="006B39B1">
              <w:rPr>
                <w:noProof/>
                <w:webHidden/>
              </w:rPr>
              <w:t>14</w:t>
            </w:r>
            <w:r w:rsidR="00C635E7">
              <w:rPr>
                <w:noProof/>
                <w:webHidden/>
              </w:rPr>
              <w:fldChar w:fldCharType="end"/>
            </w:r>
          </w:hyperlink>
        </w:p>
        <w:p w14:paraId="12BDCAD1" w14:textId="0DE05C9F" w:rsidR="00C635E7" w:rsidRDefault="008A23A9">
          <w:pPr>
            <w:pStyle w:val="TOC3"/>
            <w:tabs>
              <w:tab w:val="right" w:leader="dot" w:pos="9350"/>
            </w:tabs>
            <w:rPr>
              <w:noProof/>
            </w:rPr>
          </w:pPr>
          <w:hyperlink w:anchor="_Toc522219742" w:history="1">
            <w:r w:rsidR="00C635E7" w:rsidRPr="004F38F8">
              <w:rPr>
                <w:rStyle w:val="Hyperlink"/>
                <w:noProof/>
              </w:rPr>
              <w:t>A.12.2. Annualized Cost to Respondents</w:t>
            </w:r>
            <w:r w:rsidR="00C635E7">
              <w:rPr>
                <w:noProof/>
                <w:webHidden/>
              </w:rPr>
              <w:tab/>
            </w:r>
            <w:r w:rsidR="00C635E7">
              <w:rPr>
                <w:noProof/>
                <w:webHidden/>
              </w:rPr>
              <w:fldChar w:fldCharType="begin"/>
            </w:r>
            <w:r w:rsidR="00C635E7">
              <w:rPr>
                <w:noProof/>
                <w:webHidden/>
              </w:rPr>
              <w:instrText xml:space="preserve"> PAGEREF _Toc522219742 \h </w:instrText>
            </w:r>
            <w:r w:rsidR="00C635E7">
              <w:rPr>
                <w:noProof/>
                <w:webHidden/>
              </w:rPr>
            </w:r>
            <w:r w:rsidR="00C635E7">
              <w:rPr>
                <w:noProof/>
                <w:webHidden/>
              </w:rPr>
              <w:fldChar w:fldCharType="separate"/>
            </w:r>
            <w:r w:rsidR="006B39B1">
              <w:rPr>
                <w:noProof/>
                <w:webHidden/>
              </w:rPr>
              <w:t>15</w:t>
            </w:r>
            <w:r w:rsidR="00C635E7">
              <w:rPr>
                <w:noProof/>
                <w:webHidden/>
              </w:rPr>
              <w:fldChar w:fldCharType="end"/>
            </w:r>
          </w:hyperlink>
        </w:p>
        <w:p w14:paraId="161A6502" w14:textId="7493489C" w:rsidR="00C635E7" w:rsidRDefault="008A23A9">
          <w:pPr>
            <w:pStyle w:val="TOC2"/>
            <w:rPr>
              <w:rFonts w:asciiTheme="minorHAnsi" w:hAnsiTheme="minorHAnsi" w:cstheme="minorBidi"/>
              <w:bCs w:val="0"/>
              <w:sz w:val="22"/>
              <w:szCs w:val="22"/>
            </w:rPr>
          </w:pPr>
          <w:hyperlink w:anchor="_Toc522219743" w:history="1">
            <w:r w:rsidR="00C635E7" w:rsidRPr="004F38F8">
              <w:rPr>
                <w:rStyle w:val="Hyperlink"/>
              </w:rPr>
              <w:t>A.13. Estimates of Other Total Annual Cost Burden to Respondents or Record Keepers</w:t>
            </w:r>
            <w:r w:rsidR="00C635E7">
              <w:rPr>
                <w:webHidden/>
              </w:rPr>
              <w:tab/>
            </w:r>
            <w:r w:rsidR="00C635E7">
              <w:rPr>
                <w:webHidden/>
              </w:rPr>
              <w:fldChar w:fldCharType="begin"/>
            </w:r>
            <w:r w:rsidR="00C635E7">
              <w:rPr>
                <w:webHidden/>
              </w:rPr>
              <w:instrText xml:space="preserve"> PAGEREF _Toc522219743 \h </w:instrText>
            </w:r>
            <w:r w:rsidR="00C635E7">
              <w:rPr>
                <w:webHidden/>
              </w:rPr>
            </w:r>
            <w:r w:rsidR="00C635E7">
              <w:rPr>
                <w:webHidden/>
              </w:rPr>
              <w:fldChar w:fldCharType="separate"/>
            </w:r>
            <w:r w:rsidR="006B39B1">
              <w:rPr>
                <w:webHidden/>
              </w:rPr>
              <w:t>15</w:t>
            </w:r>
            <w:r w:rsidR="00C635E7">
              <w:rPr>
                <w:webHidden/>
              </w:rPr>
              <w:fldChar w:fldCharType="end"/>
            </w:r>
          </w:hyperlink>
        </w:p>
        <w:p w14:paraId="0DA1B03B" w14:textId="6AD09EA9" w:rsidR="00C635E7" w:rsidRDefault="008A23A9">
          <w:pPr>
            <w:pStyle w:val="TOC2"/>
            <w:rPr>
              <w:rFonts w:asciiTheme="minorHAnsi" w:hAnsiTheme="minorHAnsi" w:cstheme="minorBidi"/>
              <w:bCs w:val="0"/>
              <w:sz w:val="22"/>
              <w:szCs w:val="22"/>
            </w:rPr>
          </w:pPr>
          <w:hyperlink w:anchor="_Toc522219744" w:history="1">
            <w:r w:rsidR="00C635E7" w:rsidRPr="004F38F8">
              <w:rPr>
                <w:rStyle w:val="Hyperlink"/>
              </w:rPr>
              <w:t>A.14. Annualized Cost to the Government</w:t>
            </w:r>
            <w:r w:rsidR="00C635E7">
              <w:rPr>
                <w:webHidden/>
              </w:rPr>
              <w:tab/>
            </w:r>
            <w:r w:rsidR="00C635E7">
              <w:rPr>
                <w:webHidden/>
              </w:rPr>
              <w:fldChar w:fldCharType="begin"/>
            </w:r>
            <w:r w:rsidR="00C635E7">
              <w:rPr>
                <w:webHidden/>
              </w:rPr>
              <w:instrText xml:space="preserve"> PAGEREF _Toc522219744 \h </w:instrText>
            </w:r>
            <w:r w:rsidR="00C635E7">
              <w:rPr>
                <w:webHidden/>
              </w:rPr>
            </w:r>
            <w:r w:rsidR="00C635E7">
              <w:rPr>
                <w:webHidden/>
              </w:rPr>
              <w:fldChar w:fldCharType="separate"/>
            </w:r>
            <w:r w:rsidR="006B39B1">
              <w:rPr>
                <w:webHidden/>
              </w:rPr>
              <w:t>15</w:t>
            </w:r>
            <w:r w:rsidR="00C635E7">
              <w:rPr>
                <w:webHidden/>
              </w:rPr>
              <w:fldChar w:fldCharType="end"/>
            </w:r>
          </w:hyperlink>
        </w:p>
        <w:p w14:paraId="0EF28B3F" w14:textId="558FE0B6" w:rsidR="00C635E7" w:rsidRDefault="008A23A9">
          <w:pPr>
            <w:pStyle w:val="TOC2"/>
            <w:rPr>
              <w:rFonts w:asciiTheme="minorHAnsi" w:hAnsiTheme="minorHAnsi" w:cstheme="minorBidi"/>
              <w:bCs w:val="0"/>
              <w:sz w:val="22"/>
              <w:szCs w:val="22"/>
            </w:rPr>
          </w:pPr>
          <w:hyperlink w:anchor="_Toc522219745" w:history="1">
            <w:r w:rsidR="00C635E7" w:rsidRPr="004F38F8">
              <w:rPr>
                <w:rStyle w:val="Hyperlink"/>
              </w:rPr>
              <w:t>A.15. Explanation for Program Changes or Adjustments</w:t>
            </w:r>
            <w:r w:rsidR="00C635E7">
              <w:rPr>
                <w:webHidden/>
              </w:rPr>
              <w:tab/>
            </w:r>
            <w:r w:rsidR="00C635E7">
              <w:rPr>
                <w:webHidden/>
              </w:rPr>
              <w:fldChar w:fldCharType="begin"/>
            </w:r>
            <w:r w:rsidR="00C635E7">
              <w:rPr>
                <w:webHidden/>
              </w:rPr>
              <w:instrText xml:space="preserve"> PAGEREF _Toc522219745 \h </w:instrText>
            </w:r>
            <w:r w:rsidR="00C635E7">
              <w:rPr>
                <w:webHidden/>
              </w:rPr>
            </w:r>
            <w:r w:rsidR="00C635E7">
              <w:rPr>
                <w:webHidden/>
              </w:rPr>
              <w:fldChar w:fldCharType="separate"/>
            </w:r>
            <w:r w:rsidR="006B39B1">
              <w:rPr>
                <w:webHidden/>
              </w:rPr>
              <w:t>16</w:t>
            </w:r>
            <w:r w:rsidR="00C635E7">
              <w:rPr>
                <w:webHidden/>
              </w:rPr>
              <w:fldChar w:fldCharType="end"/>
            </w:r>
          </w:hyperlink>
        </w:p>
        <w:p w14:paraId="09D4B221" w14:textId="67A67570" w:rsidR="00C635E7" w:rsidRDefault="008A23A9">
          <w:pPr>
            <w:pStyle w:val="TOC2"/>
            <w:rPr>
              <w:rFonts w:asciiTheme="minorHAnsi" w:hAnsiTheme="minorHAnsi" w:cstheme="minorBidi"/>
              <w:bCs w:val="0"/>
              <w:sz w:val="22"/>
              <w:szCs w:val="22"/>
            </w:rPr>
          </w:pPr>
          <w:hyperlink w:anchor="_Toc522219746" w:history="1">
            <w:r w:rsidR="00C635E7" w:rsidRPr="004F38F8">
              <w:rPr>
                <w:rStyle w:val="Hyperlink"/>
              </w:rPr>
              <w:t>A.16. Plans for Tabulation and Publication and Project Time Schedule</w:t>
            </w:r>
            <w:r w:rsidR="00C635E7">
              <w:rPr>
                <w:webHidden/>
              </w:rPr>
              <w:tab/>
            </w:r>
            <w:r w:rsidR="00C635E7">
              <w:rPr>
                <w:webHidden/>
              </w:rPr>
              <w:fldChar w:fldCharType="begin"/>
            </w:r>
            <w:r w:rsidR="00C635E7">
              <w:rPr>
                <w:webHidden/>
              </w:rPr>
              <w:instrText xml:space="preserve"> PAGEREF _Toc522219746 \h </w:instrText>
            </w:r>
            <w:r w:rsidR="00C635E7">
              <w:rPr>
                <w:webHidden/>
              </w:rPr>
            </w:r>
            <w:r w:rsidR="00C635E7">
              <w:rPr>
                <w:webHidden/>
              </w:rPr>
              <w:fldChar w:fldCharType="separate"/>
            </w:r>
            <w:r w:rsidR="006B39B1">
              <w:rPr>
                <w:webHidden/>
              </w:rPr>
              <w:t>16</w:t>
            </w:r>
            <w:r w:rsidR="00C635E7">
              <w:rPr>
                <w:webHidden/>
              </w:rPr>
              <w:fldChar w:fldCharType="end"/>
            </w:r>
          </w:hyperlink>
        </w:p>
        <w:p w14:paraId="3FC23EFB" w14:textId="6739E2A7" w:rsidR="00C635E7" w:rsidRDefault="008A23A9">
          <w:pPr>
            <w:pStyle w:val="TOC2"/>
            <w:rPr>
              <w:rFonts w:asciiTheme="minorHAnsi" w:hAnsiTheme="minorHAnsi" w:cstheme="minorBidi"/>
              <w:bCs w:val="0"/>
              <w:sz w:val="22"/>
              <w:szCs w:val="22"/>
            </w:rPr>
          </w:pPr>
          <w:hyperlink w:anchor="_Toc522219747" w:history="1">
            <w:r w:rsidR="00C635E7" w:rsidRPr="004F38F8">
              <w:rPr>
                <w:rStyle w:val="Hyperlink"/>
              </w:rPr>
              <w:t>A.17. Reason(s) Display of OMB Expiration Date is Inappropriate</w:t>
            </w:r>
            <w:r w:rsidR="00C635E7">
              <w:rPr>
                <w:webHidden/>
              </w:rPr>
              <w:tab/>
            </w:r>
            <w:r w:rsidR="00C635E7">
              <w:rPr>
                <w:webHidden/>
              </w:rPr>
              <w:fldChar w:fldCharType="begin"/>
            </w:r>
            <w:r w:rsidR="00C635E7">
              <w:rPr>
                <w:webHidden/>
              </w:rPr>
              <w:instrText xml:space="preserve"> PAGEREF _Toc522219747 \h </w:instrText>
            </w:r>
            <w:r w:rsidR="00C635E7">
              <w:rPr>
                <w:webHidden/>
              </w:rPr>
            </w:r>
            <w:r w:rsidR="00C635E7">
              <w:rPr>
                <w:webHidden/>
              </w:rPr>
              <w:fldChar w:fldCharType="separate"/>
            </w:r>
            <w:r w:rsidR="006B39B1">
              <w:rPr>
                <w:webHidden/>
              </w:rPr>
              <w:t>16</w:t>
            </w:r>
            <w:r w:rsidR="00C635E7">
              <w:rPr>
                <w:webHidden/>
              </w:rPr>
              <w:fldChar w:fldCharType="end"/>
            </w:r>
          </w:hyperlink>
        </w:p>
        <w:p w14:paraId="19F6F65B" w14:textId="536E60B6" w:rsidR="00C635E7" w:rsidRDefault="008A23A9">
          <w:pPr>
            <w:pStyle w:val="TOC2"/>
            <w:rPr>
              <w:rFonts w:asciiTheme="minorHAnsi" w:hAnsiTheme="minorHAnsi" w:cstheme="minorBidi"/>
              <w:bCs w:val="0"/>
              <w:sz w:val="22"/>
              <w:szCs w:val="22"/>
            </w:rPr>
          </w:pPr>
          <w:hyperlink w:anchor="_Toc522219748" w:history="1">
            <w:r w:rsidR="00C635E7" w:rsidRPr="004F38F8">
              <w:rPr>
                <w:rStyle w:val="Hyperlink"/>
              </w:rPr>
              <w:t>A.18. Exceptions to Certification for Paperwork Reduction Act Submissions</w:t>
            </w:r>
            <w:r w:rsidR="00C635E7">
              <w:rPr>
                <w:webHidden/>
              </w:rPr>
              <w:tab/>
            </w:r>
            <w:r w:rsidR="00C635E7">
              <w:rPr>
                <w:webHidden/>
              </w:rPr>
              <w:fldChar w:fldCharType="begin"/>
            </w:r>
            <w:r w:rsidR="00C635E7">
              <w:rPr>
                <w:webHidden/>
              </w:rPr>
              <w:instrText xml:space="preserve"> PAGEREF _Toc522219748 \h </w:instrText>
            </w:r>
            <w:r w:rsidR="00C635E7">
              <w:rPr>
                <w:webHidden/>
              </w:rPr>
            </w:r>
            <w:r w:rsidR="00C635E7">
              <w:rPr>
                <w:webHidden/>
              </w:rPr>
              <w:fldChar w:fldCharType="separate"/>
            </w:r>
            <w:r w:rsidR="006B39B1">
              <w:rPr>
                <w:webHidden/>
              </w:rPr>
              <w:t>17</w:t>
            </w:r>
            <w:r w:rsidR="00C635E7">
              <w:rPr>
                <w:webHidden/>
              </w:rPr>
              <w:fldChar w:fldCharType="end"/>
            </w:r>
          </w:hyperlink>
        </w:p>
        <w:p w14:paraId="779C9C33" w14:textId="6E52E792" w:rsidR="002930BD" w:rsidRDefault="00311E38">
          <w:r w:rsidRPr="00D142FF">
            <w:rPr>
              <w:b/>
              <w:bCs/>
              <w:noProof/>
            </w:rPr>
            <w:fldChar w:fldCharType="end"/>
          </w:r>
        </w:p>
      </w:sdtContent>
    </w:sdt>
    <w:bookmarkEnd w:id="1"/>
    <w:bookmarkEnd w:id="2"/>
    <w:bookmarkEnd w:id="3"/>
    <w:bookmarkEnd w:id="4"/>
    <w:bookmarkEnd w:id="5"/>
    <w:bookmarkEnd w:id="6"/>
    <w:bookmarkEnd w:id="7"/>
    <w:bookmarkEnd w:id="8"/>
    <w:bookmarkEnd w:id="9"/>
    <w:bookmarkEnd w:id="10"/>
    <w:bookmarkEnd w:id="11"/>
    <w:p w14:paraId="4E21554D" w14:textId="77777777" w:rsidR="003B2430" w:rsidRDefault="003B2430">
      <w:pPr>
        <w:rPr>
          <w:b/>
        </w:rPr>
      </w:pPr>
    </w:p>
    <w:p w14:paraId="6FD23FB7" w14:textId="77777777" w:rsidR="003B2430" w:rsidRDefault="003B2430">
      <w:pPr>
        <w:rPr>
          <w:b/>
        </w:rPr>
      </w:pPr>
    </w:p>
    <w:p w14:paraId="6FE33A07" w14:textId="77777777" w:rsidR="003B2430" w:rsidRDefault="003B2430">
      <w:pPr>
        <w:rPr>
          <w:b/>
        </w:rPr>
      </w:pPr>
    </w:p>
    <w:p w14:paraId="7B3603C5" w14:textId="77777777" w:rsidR="003B2430" w:rsidRDefault="003B2430">
      <w:pPr>
        <w:rPr>
          <w:b/>
        </w:rPr>
      </w:pPr>
    </w:p>
    <w:p w14:paraId="623B85B0" w14:textId="77777777" w:rsidR="003B2430" w:rsidRDefault="003B2430">
      <w:pPr>
        <w:rPr>
          <w:b/>
        </w:rPr>
      </w:pPr>
    </w:p>
    <w:p w14:paraId="2084AB26" w14:textId="55B5C835" w:rsidR="00147926" w:rsidRDefault="00147926">
      <w:pPr>
        <w:rPr>
          <w:b/>
        </w:rPr>
      </w:pPr>
      <w:r>
        <w:rPr>
          <w:b/>
        </w:rPr>
        <w:br w:type="page"/>
      </w:r>
    </w:p>
    <w:p w14:paraId="39CE82C1" w14:textId="77777777" w:rsidR="003B2430" w:rsidRDefault="003B2430">
      <w:pPr>
        <w:rPr>
          <w:b/>
        </w:rPr>
      </w:pPr>
    </w:p>
    <w:p w14:paraId="4BFBC115" w14:textId="77777777" w:rsidR="0068233D" w:rsidRPr="0042536F" w:rsidRDefault="0068233D">
      <w:pPr>
        <w:rPr>
          <w:b/>
        </w:rPr>
      </w:pPr>
      <w:r w:rsidRPr="0042536F">
        <w:rPr>
          <w:b/>
        </w:rPr>
        <w:t>Attachments:</w:t>
      </w:r>
    </w:p>
    <w:p w14:paraId="142B1B92" w14:textId="77777777" w:rsidR="0068233D" w:rsidRDefault="0068233D"/>
    <w:p w14:paraId="54CD7AD1" w14:textId="77777777" w:rsidR="00713DDE" w:rsidRPr="0042536F" w:rsidRDefault="00713DDE" w:rsidP="006F62B8">
      <w:pPr>
        <w:pStyle w:val="ListParagraph"/>
        <w:numPr>
          <w:ilvl w:val="0"/>
          <w:numId w:val="6"/>
        </w:numPr>
        <w:spacing w:after="200" w:line="276" w:lineRule="auto"/>
      </w:pPr>
      <w:r w:rsidRPr="0042536F">
        <w:t>Supporting Statement A</w:t>
      </w:r>
    </w:p>
    <w:p w14:paraId="69ED8867" w14:textId="77777777" w:rsidR="00713DDE" w:rsidRPr="0042536F" w:rsidRDefault="00713DDE" w:rsidP="006F62B8">
      <w:pPr>
        <w:pStyle w:val="ListParagraph"/>
        <w:numPr>
          <w:ilvl w:val="0"/>
          <w:numId w:val="6"/>
        </w:numPr>
        <w:spacing w:after="200" w:line="276" w:lineRule="auto"/>
      </w:pPr>
      <w:r w:rsidRPr="0042536F">
        <w:t>Supporting Statement B</w:t>
      </w:r>
    </w:p>
    <w:p w14:paraId="5896C782" w14:textId="4D82AC8E" w:rsidR="00713DDE" w:rsidRDefault="00632559" w:rsidP="0082063A">
      <w:pPr>
        <w:pStyle w:val="ListParagraph"/>
        <w:numPr>
          <w:ilvl w:val="0"/>
          <w:numId w:val="6"/>
        </w:numPr>
        <w:spacing w:after="200" w:line="276" w:lineRule="auto"/>
      </w:pPr>
      <w:r>
        <w:t>Anaconda, MT</w:t>
      </w:r>
      <w:r w:rsidR="00713DDE" w:rsidRPr="0042536F">
        <w:t xml:space="preserve"> EI Parental Permission/Assent/Consent Forms</w:t>
      </w:r>
    </w:p>
    <w:p w14:paraId="08FC931F" w14:textId="60EB6C7B" w:rsidR="00591BD1" w:rsidRDefault="00591BD1" w:rsidP="0082063A">
      <w:pPr>
        <w:pStyle w:val="ListParagraph"/>
        <w:numPr>
          <w:ilvl w:val="1"/>
          <w:numId w:val="6"/>
        </w:numPr>
        <w:spacing w:after="200" w:line="276" w:lineRule="auto"/>
        <w:ind w:left="1080"/>
      </w:pPr>
      <w:r>
        <w:t xml:space="preserve"> Privacy Act Statement</w:t>
      </w:r>
    </w:p>
    <w:p w14:paraId="609011D5" w14:textId="7A3BCD6F" w:rsidR="009B740C" w:rsidRDefault="009B740C" w:rsidP="0082063A">
      <w:pPr>
        <w:pStyle w:val="ListParagraph"/>
        <w:numPr>
          <w:ilvl w:val="1"/>
          <w:numId w:val="6"/>
        </w:numPr>
        <w:spacing w:after="200" w:line="276" w:lineRule="auto"/>
        <w:ind w:left="1080"/>
      </w:pPr>
      <w:r>
        <w:t xml:space="preserve"> </w:t>
      </w:r>
      <w:r w:rsidR="00A033BD">
        <w:t xml:space="preserve">Adult </w:t>
      </w:r>
      <w:r w:rsidR="00891A32" w:rsidRPr="0042536F">
        <w:t xml:space="preserve">Consent Form for Blood </w:t>
      </w:r>
      <w:r>
        <w:t>and Urine</w:t>
      </w:r>
      <w:r w:rsidR="00891A32" w:rsidRPr="0042536F">
        <w:t xml:space="preserve"> Testing</w:t>
      </w:r>
    </w:p>
    <w:p w14:paraId="2B70BC3D" w14:textId="4EEB3824" w:rsidR="00062B5A" w:rsidRDefault="00891A32" w:rsidP="0082063A">
      <w:pPr>
        <w:pStyle w:val="ListParagraph"/>
        <w:numPr>
          <w:ilvl w:val="1"/>
          <w:numId w:val="6"/>
        </w:numPr>
        <w:spacing w:after="200" w:line="276" w:lineRule="auto"/>
        <w:ind w:left="1080"/>
      </w:pPr>
      <w:r>
        <w:t xml:space="preserve"> </w:t>
      </w:r>
      <w:r w:rsidR="00851CE8" w:rsidRPr="0042536F">
        <w:t xml:space="preserve">Parental Permission Form for Blood </w:t>
      </w:r>
      <w:r w:rsidR="009B740C">
        <w:t xml:space="preserve">and Urine </w:t>
      </w:r>
      <w:r w:rsidR="00D31890" w:rsidRPr="0042536F">
        <w:t>Testing</w:t>
      </w:r>
      <w:r w:rsidR="00851CE8" w:rsidRPr="0042536F">
        <w:t xml:space="preserve">: Children </w:t>
      </w:r>
      <w:r w:rsidR="009B740C">
        <w:t xml:space="preserve">younger </w:t>
      </w:r>
      <w:r w:rsidR="00B8494C">
        <w:t xml:space="preserve">than </w:t>
      </w:r>
      <w:r w:rsidR="001C1DB0" w:rsidRPr="00147926">
        <w:t>18</w:t>
      </w:r>
      <w:r w:rsidR="00B8494C" w:rsidRPr="00147926">
        <w:t xml:space="preserve"> years</w:t>
      </w:r>
      <w:r w:rsidR="00B06ACC">
        <w:t xml:space="preserve"> of age</w:t>
      </w:r>
    </w:p>
    <w:p w14:paraId="1816ECA9" w14:textId="3D32CAD3" w:rsidR="009B740C" w:rsidRPr="00040280" w:rsidRDefault="006B39B1" w:rsidP="0082063A">
      <w:pPr>
        <w:pStyle w:val="ListParagraph"/>
        <w:numPr>
          <w:ilvl w:val="1"/>
          <w:numId w:val="6"/>
        </w:numPr>
        <w:spacing w:after="200" w:line="276" w:lineRule="auto"/>
        <w:ind w:left="1080"/>
      </w:pPr>
      <w:r>
        <w:t xml:space="preserve"> </w:t>
      </w:r>
      <w:r w:rsidR="009B740C">
        <w:t>Assent Form for Blood and Urine Testing: Children between 7 and 17 years of age</w:t>
      </w:r>
    </w:p>
    <w:p w14:paraId="468A2652" w14:textId="430E6F31" w:rsidR="00713DDE" w:rsidRPr="0042536F" w:rsidRDefault="00632559" w:rsidP="006F62B8">
      <w:pPr>
        <w:pStyle w:val="ListParagraph"/>
        <w:numPr>
          <w:ilvl w:val="0"/>
          <w:numId w:val="6"/>
        </w:numPr>
        <w:spacing w:after="200" w:line="276" w:lineRule="auto"/>
      </w:pPr>
      <w:r>
        <w:t>Anaconda, MT</w:t>
      </w:r>
      <w:r w:rsidR="00713DDE" w:rsidRPr="0042536F">
        <w:t xml:space="preserve"> EI Questionnaire</w:t>
      </w:r>
    </w:p>
    <w:p w14:paraId="3CECE591" w14:textId="44B34D1A" w:rsidR="00713DDE" w:rsidRPr="0042536F" w:rsidRDefault="00632559" w:rsidP="006F62B8">
      <w:pPr>
        <w:pStyle w:val="ListParagraph"/>
        <w:numPr>
          <w:ilvl w:val="0"/>
          <w:numId w:val="6"/>
        </w:numPr>
        <w:spacing w:after="200" w:line="276" w:lineRule="auto"/>
      </w:pPr>
      <w:r>
        <w:t>Anaconda, MT</w:t>
      </w:r>
      <w:r w:rsidR="00713DDE" w:rsidRPr="0042536F">
        <w:t xml:space="preserve"> EI Research Determination  </w:t>
      </w:r>
    </w:p>
    <w:p w14:paraId="2475E7BC" w14:textId="0AC865E0" w:rsidR="000433E5" w:rsidRDefault="00632559" w:rsidP="006F62B8">
      <w:pPr>
        <w:pStyle w:val="ListParagraph"/>
        <w:numPr>
          <w:ilvl w:val="0"/>
          <w:numId w:val="6"/>
        </w:numPr>
        <w:spacing w:after="200" w:line="276" w:lineRule="auto"/>
      </w:pPr>
      <w:r>
        <w:t>Anaconda, MT</w:t>
      </w:r>
      <w:r w:rsidR="00713DDE" w:rsidRPr="0042536F">
        <w:t xml:space="preserve"> EI Sample Results Letter</w:t>
      </w:r>
    </w:p>
    <w:p w14:paraId="5C94EDFE" w14:textId="4722B39F" w:rsidR="00713DDE" w:rsidRDefault="00713DDE" w:rsidP="006F62B8">
      <w:pPr>
        <w:pStyle w:val="ListParagraph"/>
        <w:numPr>
          <w:ilvl w:val="0"/>
          <w:numId w:val="6"/>
        </w:numPr>
        <w:spacing w:after="200" w:line="276" w:lineRule="auto"/>
      </w:pPr>
      <w:r w:rsidRPr="0042536F">
        <w:t>Example of Prior EI Final Report</w:t>
      </w:r>
    </w:p>
    <w:p w14:paraId="6E3157C8" w14:textId="62548E1F" w:rsidR="00B06ACC" w:rsidRDefault="00B06ACC" w:rsidP="006F62B8">
      <w:pPr>
        <w:pStyle w:val="ListParagraph"/>
        <w:numPr>
          <w:ilvl w:val="0"/>
          <w:numId w:val="6"/>
        </w:numPr>
        <w:spacing w:after="200" w:line="276" w:lineRule="auto"/>
      </w:pPr>
      <w:r>
        <w:t>Privacy Impact Assessment Form</w:t>
      </w:r>
    </w:p>
    <w:p w14:paraId="1951A279" w14:textId="0B633CCF" w:rsidR="00B06ACC" w:rsidRDefault="00B06ACC" w:rsidP="006F62B8">
      <w:pPr>
        <w:pStyle w:val="ListParagraph"/>
        <w:numPr>
          <w:ilvl w:val="0"/>
          <w:numId w:val="6"/>
        </w:numPr>
        <w:spacing w:after="200" w:line="276" w:lineRule="auto"/>
      </w:pPr>
      <w:r>
        <w:t>Anaconda EI Protocol</w:t>
      </w:r>
    </w:p>
    <w:p w14:paraId="587B0D3A" w14:textId="77777777" w:rsidR="0068233D" w:rsidRDefault="0068233D">
      <w:r>
        <w:t xml:space="preserve">  </w:t>
      </w:r>
    </w:p>
    <w:p w14:paraId="20C72746" w14:textId="35147456" w:rsidR="00A441FB" w:rsidRPr="00C635E7" w:rsidRDefault="00233EDA" w:rsidP="00C635E7">
      <w:pPr>
        <w:rPr>
          <w:rFonts w:asciiTheme="majorHAnsi" w:eastAsiaTheme="majorEastAsia" w:hAnsiTheme="majorHAnsi" w:cstheme="majorBidi"/>
          <w:b/>
          <w:bCs/>
          <w:color w:val="365F91" w:themeColor="accent1" w:themeShade="BF"/>
          <w:sz w:val="28"/>
          <w:szCs w:val="28"/>
        </w:rPr>
      </w:pPr>
      <w:r>
        <w:br w:type="page"/>
      </w:r>
    </w:p>
    <w:p w14:paraId="786DDF2D" w14:textId="0E07D8E4" w:rsidR="005940F4" w:rsidRDefault="00751515">
      <w:pPr>
        <w:rPr>
          <w:rFonts w:asciiTheme="majorHAnsi" w:eastAsiaTheme="majorEastAsia" w:hAnsiTheme="majorHAnsi" w:cstheme="majorBidi"/>
          <w:b/>
          <w:bCs/>
          <w:color w:val="365F91" w:themeColor="accent1" w:themeShade="BF"/>
          <w:sz w:val="28"/>
          <w:szCs w:val="28"/>
        </w:rPr>
      </w:pPr>
      <w:bookmarkStart w:id="12" w:name="_Toc466636138"/>
      <w:bookmarkStart w:id="13" w:name="_Toc466636336"/>
      <w:r>
        <w:rPr>
          <w:noProof/>
        </w:rPr>
        <mc:AlternateContent>
          <mc:Choice Requires="wps">
            <w:drawing>
              <wp:inline distT="0" distB="0" distL="0" distR="0" wp14:anchorId="26F17BE2" wp14:editId="7CEADCF0">
                <wp:extent cx="5943600" cy="7752522"/>
                <wp:effectExtent l="0" t="0" r="19050"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752522"/>
                        </a:xfrm>
                        <a:prstGeom prst="rect">
                          <a:avLst/>
                        </a:prstGeom>
                        <a:solidFill>
                          <a:srgbClr val="FFFFFF"/>
                        </a:solidFill>
                        <a:ln w="9525">
                          <a:solidFill>
                            <a:srgbClr val="000000"/>
                          </a:solidFill>
                          <a:miter lim="800000"/>
                          <a:headEnd/>
                          <a:tailEnd/>
                        </a:ln>
                      </wps:spPr>
                      <wps:txbx>
                        <w:txbxContent>
                          <w:p w14:paraId="59CBA801" w14:textId="77777777" w:rsidR="006A07AF" w:rsidRDefault="006A07AF" w:rsidP="00751515">
                            <w:r w:rsidRPr="0056679B">
                              <w:rPr>
                                <w:b/>
                              </w:rPr>
                              <w:t>Goal of the Study:</w:t>
                            </w:r>
                            <w:r w:rsidRPr="0056679B">
                              <w:t xml:space="preserve"> </w:t>
                            </w:r>
                            <w:r>
                              <w:t>This project has four primary objectives:</w:t>
                            </w:r>
                          </w:p>
                          <w:p w14:paraId="74F90D98" w14:textId="77777777" w:rsidR="006A07AF" w:rsidRPr="00A441FB" w:rsidRDefault="006A07AF" w:rsidP="00751515">
                            <w:pPr>
                              <w:pStyle w:val="ListParagraph"/>
                              <w:numPr>
                                <w:ilvl w:val="0"/>
                                <w:numId w:val="10"/>
                              </w:numPr>
                            </w:pPr>
                            <w:r w:rsidRPr="00A441FB">
                              <w:t xml:space="preserve">Evaluate Blood Lead Levels (BLLs) for </w:t>
                            </w:r>
                            <w:r>
                              <w:t xml:space="preserve">Anaconda residents and recommend case management  (follow-up with a primary care provider (PRP)) for participants with </w:t>
                            </w:r>
                            <w:r w:rsidRPr="00A441FB">
                              <w:t xml:space="preserve">BLL ≥5µg/dL </w:t>
                            </w:r>
                          </w:p>
                          <w:p w14:paraId="118B7B41" w14:textId="77777777" w:rsidR="006A07AF" w:rsidRDefault="006A07AF" w:rsidP="00751515">
                            <w:pPr>
                              <w:pStyle w:val="ListParagraph"/>
                              <w:numPr>
                                <w:ilvl w:val="0"/>
                                <w:numId w:val="10"/>
                              </w:numPr>
                            </w:pPr>
                            <w:r>
                              <w:t>Evaluate total and speciated urine arsenic levels for Anaconda residents and compare to appropriate National Health and Nutrition Examination Survey (NHANES) values to determine whether follow-up may be warranted.</w:t>
                            </w:r>
                          </w:p>
                          <w:p w14:paraId="2F0429FB" w14:textId="77777777" w:rsidR="006A07AF" w:rsidRDefault="006A07AF" w:rsidP="00751515">
                            <w:pPr>
                              <w:pStyle w:val="ListParagraph"/>
                              <w:numPr>
                                <w:ilvl w:val="0"/>
                                <w:numId w:val="10"/>
                              </w:numPr>
                            </w:pPr>
                            <w:r>
                              <w:t>To address both lead and arsenic exposure, the EI will</w:t>
                            </w:r>
                          </w:p>
                          <w:p w14:paraId="4DCB52F5" w14:textId="77777777" w:rsidR="006A07AF" w:rsidRPr="00A441FB" w:rsidRDefault="006A07AF" w:rsidP="00751515">
                            <w:pPr>
                              <w:pStyle w:val="ListParagraph"/>
                              <w:numPr>
                                <w:ilvl w:val="0"/>
                                <w:numId w:val="11"/>
                              </w:numPr>
                            </w:pPr>
                            <w:r w:rsidRPr="00A441FB">
                              <w:t>Recommend ways to lower exposure to contaminated soil</w:t>
                            </w:r>
                          </w:p>
                          <w:p w14:paraId="0C3A5381" w14:textId="77777777" w:rsidR="006A07AF" w:rsidRDefault="006A07AF" w:rsidP="00751515">
                            <w:pPr>
                              <w:pStyle w:val="ListParagraph"/>
                              <w:numPr>
                                <w:ilvl w:val="0"/>
                                <w:numId w:val="11"/>
                              </w:numPr>
                            </w:pPr>
                            <w:r w:rsidRPr="00A441FB">
                              <w:t>Recommend ways to lower exposure to dust</w:t>
                            </w:r>
                            <w:r>
                              <w:t>, especially</w:t>
                            </w:r>
                            <w:r w:rsidRPr="00A441FB">
                              <w:t xml:space="preserve"> in </w:t>
                            </w:r>
                            <w:r>
                              <w:t>attics</w:t>
                            </w:r>
                          </w:p>
                          <w:p w14:paraId="34A22ED1" w14:textId="77777777" w:rsidR="006A07AF" w:rsidRPr="00A441FB" w:rsidRDefault="006A07AF" w:rsidP="00751515">
                            <w:pPr>
                              <w:pStyle w:val="ListParagraph"/>
                              <w:numPr>
                                <w:ilvl w:val="0"/>
                                <w:numId w:val="10"/>
                              </w:numPr>
                            </w:pPr>
                            <w:r>
                              <w:t>All participants will have the option of discussing their lead and/or arsenic findings with an ATSDR medical officer.</w:t>
                            </w:r>
                          </w:p>
                          <w:p w14:paraId="4CEACF2F" w14:textId="77777777" w:rsidR="006A07AF" w:rsidRPr="0056679B" w:rsidRDefault="006A07AF" w:rsidP="00751515"/>
                          <w:p w14:paraId="671B0DF2" w14:textId="2BAE9CD1" w:rsidR="006A07AF" w:rsidRPr="0056679B" w:rsidRDefault="006A07AF" w:rsidP="00751515">
                            <w:r w:rsidRPr="0056679B">
                              <w:rPr>
                                <w:b/>
                              </w:rPr>
                              <w:t>Intended Use of the Resulting Data</w:t>
                            </w:r>
                            <w:r w:rsidRPr="0056679B">
                              <w:t xml:space="preserve">: Data will </w:t>
                            </w:r>
                            <w:r>
                              <w:t xml:space="preserve">determine whether participants have BLLs ≥5 µg/dL, the CDC reference level, and will compare total and total inorganic urine arsenic values to those in the general population (NHANES). Soil in Anaconda was contaminated with heavy metals, especially lead and arsenic, from former smelter activities and the site has been designated a National Priority List (NPL) site (aka Superfund site). EPA is currently working in the community to address community concern and remediate residential properties. </w:t>
                            </w:r>
                            <w:r w:rsidRPr="00D76A33">
                              <w:t>The results of this EI are not intended to be generalized and are applicable only to the sampled participants</w:t>
                            </w:r>
                            <w:r>
                              <w:t xml:space="preserve">. </w:t>
                            </w:r>
                            <w:r w:rsidRPr="0056679B">
                              <w:t xml:space="preserve"> </w:t>
                            </w:r>
                          </w:p>
                          <w:p w14:paraId="13F2EEE2" w14:textId="77777777" w:rsidR="006A07AF" w:rsidRPr="0056679B" w:rsidRDefault="006A07AF" w:rsidP="00751515"/>
                          <w:p w14:paraId="69C31224" w14:textId="26413F64" w:rsidR="006A07AF" w:rsidRPr="0056679B" w:rsidRDefault="006A07AF" w:rsidP="00751515">
                            <w:r>
                              <w:rPr>
                                <w:b/>
                              </w:rPr>
                              <w:t>Methods to be Used to C</w:t>
                            </w:r>
                            <w:r w:rsidRPr="0056679B">
                              <w:rPr>
                                <w:b/>
                              </w:rPr>
                              <w:t>ollect</w:t>
                            </w:r>
                            <w:r>
                              <w:t>: A maximum of 200 blood lead and urine arsenic samples will be collected during the fall of 2018, which reflects the time where residents are likely to be outside and exposure is considered to be high. Recruitment will include sending postcards to residents in the Anaconda area inviting them to participate in the EI. Local partners, including the Montana Department of Public Health and Human Services (MDPHHS) and the Anaconda Deer Lodge County (ADLC) Health Department will assist ATSDR in recruitment efforts.</w:t>
                            </w:r>
                          </w:p>
                          <w:p w14:paraId="7B9BD833" w14:textId="77777777" w:rsidR="006A07AF" w:rsidRPr="0056679B" w:rsidRDefault="006A07AF" w:rsidP="00751515"/>
                          <w:p w14:paraId="24C216AA" w14:textId="14499B25" w:rsidR="006A07AF" w:rsidRPr="0056679B" w:rsidRDefault="006A07AF" w:rsidP="00751515">
                            <w:r w:rsidRPr="001B26E3">
                              <w:rPr>
                                <w:b/>
                              </w:rPr>
                              <w:t>Subpopulation to be Studied</w:t>
                            </w:r>
                            <w:r>
                              <w:t xml:space="preserve">: Given community concern regarding exposure to lead and arsenic, all community members are invited to participate in the EI as part of a convenience sample of 200 individuals (adults and children). </w:t>
                            </w:r>
                          </w:p>
                          <w:p w14:paraId="44EC2E3B" w14:textId="77777777" w:rsidR="006A07AF" w:rsidRPr="0056679B" w:rsidRDefault="006A07AF" w:rsidP="00751515"/>
                          <w:p w14:paraId="33B6694C" w14:textId="77777777" w:rsidR="006A07AF" w:rsidRDefault="006A07AF" w:rsidP="00751515">
                            <w:r>
                              <w:rPr>
                                <w:b/>
                              </w:rPr>
                              <w:t>How Data will be A</w:t>
                            </w:r>
                            <w:r w:rsidRPr="001B26E3">
                              <w:rPr>
                                <w:b/>
                              </w:rPr>
                              <w:t>nalyzed</w:t>
                            </w:r>
                            <w:r>
                              <w:t>: The blood and urine samples will be analyzed by the CDC National Center for Environmental Health Division of Laboratory Science (NCEH/DLS) and the results provided to the EI team. The participants will be provided the results via a letter sent via US mail. Participants with BLL ≥5 µg/dL will be personally contacted by the ATSDR Medical Officer and follow-up will be conducted by Region 8 ATSDR and the ADLC health department. Participants with urine arsenic levels greater than appropriate NHANES levels will be contacted by the ATSDR Medical Officer to determine whether follow-up may be warranted. All participants will be provided information on how to reduce exposure to lead and arsenic.</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61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">
                <v:textbox>
                  <w:txbxContent>
                    <w:p w14:paraId="59CBA801" w14:textId="77777777" w:rsidR="006A07AF" w:rsidRDefault="006A07AF" w:rsidP="00751515">
                      <w:r w:rsidRPr="0056679B">
                        <w:rPr>
                          <w:b/>
                        </w:rPr>
                        <w:t>Goal of the Study:</w:t>
                      </w:r>
                      <w:r w:rsidRPr="0056679B">
                        <w:t xml:space="preserve"> </w:t>
                      </w:r>
                      <w:r>
                        <w:t>This project has four primary objectives:</w:t>
                      </w:r>
                    </w:p>
                    <w:p w14:paraId="74F90D98" w14:textId="77777777" w:rsidR="006A07AF" w:rsidRPr="00A441FB" w:rsidRDefault="006A07AF" w:rsidP="00751515">
                      <w:pPr>
                        <w:pStyle w:val="ListParagraph"/>
                        <w:numPr>
                          <w:ilvl w:val="0"/>
                          <w:numId w:val="10"/>
                        </w:numPr>
                      </w:pPr>
                      <w:r w:rsidRPr="00A441FB">
                        <w:t xml:space="preserve">Evaluate Blood Lead Levels (BLLs) for </w:t>
                      </w:r>
                      <w:r>
                        <w:t xml:space="preserve">Anaconda residents and recommend case management  (follow-up with a primary care provider (PRP)) for participants with </w:t>
                      </w:r>
                      <w:r w:rsidRPr="00A441FB">
                        <w:t xml:space="preserve">BLL ≥5µg/dL </w:t>
                      </w:r>
                    </w:p>
                    <w:p w14:paraId="118B7B41" w14:textId="77777777" w:rsidR="006A07AF" w:rsidRDefault="006A07AF" w:rsidP="00751515">
                      <w:pPr>
                        <w:pStyle w:val="ListParagraph"/>
                        <w:numPr>
                          <w:ilvl w:val="0"/>
                          <w:numId w:val="10"/>
                        </w:numPr>
                      </w:pPr>
                      <w:r>
                        <w:t>Evaluate total and speciated urine arsenic levels for Anaconda residents and compare to appropriate National Health and Nutrition Examination Survey (NHANES) values to determine whether follow-up may be warranted.</w:t>
                      </w:r>
                    </w:p>
                    <w:p w14:paraId="2F0429FB" w14:textId="77777777" w:rsidR="006A07AF" w:rsidRDefault="006A07AF" w:rsidP="00751515">
                      <w:pPr>
                        <w:pStyle w:val="ListParagraph"/>
                        <w:numPr>
                          <w:ilvl w:val="0"/>
                          <w:numId w:val="10"/>
                        </w:numPr>
                      </w:pPr>
                      <w:r>
                        <w:t>To address both lead and arsenic exposure, the EI will</w:t>
                      </w:r>
                    </w:p>
                    <w:p w14:paraId="4DCB52F5" w14:textId="77777777" w:rsidR="006A07AF" w:rsidRPr="00A441FB" w:rsidRDefault="006A07AF" w:rsidP="00751515">
                      <w:pPr>
                        <w:pStyle w:val="ListParagraph"/>
                        <w:numPr>
                          <w:ilvl w:val="0"/>
                          <w:numId w:val="11"/>
                        </w:numPr>
                      </w:pPr>
                      <w:r w:rsidRPr="00A441FB">
                        <w:t>Recommend ways to lower exposure to contaminated soil</w:t>
                      </w:r>
                    </w:p>
                    <w:p w14:paraId="0C3A5381" w14:textId="77777777" w:rsidR="006A07AF" w:rsidRDefault="006A07AF" w:rsidP="00751515">
                      <w:pPr>
                        <w:pStyle w:val="ListParagraph"/>
                        <w:numPr>
                          <w:ilvl w:val="0"/>
                          <w:numId w:val="11"/>
                        </w:numPr>
                      </w:pPr>
                      <w:r w:rsidRPr="00A441FB">
                        <w:t>Recommend ways to lower exposure to dust</w:t>
                      </w:r>
                      <w:r>
                        <w:t>, especially</w:t>
                      </w:r>
                      <w:r w:rsidRPr="00A441FB">
                        <w:t xml:space="preserve"> in </w:t>
                      </w:r>
                      <w:r>
                        <w:t>attics</w:t>
                      </w:r>
                    </w:p>
                    <w:p w14:paraId="34A22ED1" w14:textId="77777777" w:rsidR="006A07AF" w:rsidRPr="00A441FB" w:rsidRDefault="006A07AF" w:rsidP="00751515">
                      <w:pPr>
                        <w:pStyle w:val="ListParagraph"/>
                        <w:numPr>
                          <w:ilvl w:val="0"/>
                          <w:numId w:val="10"/>
                        </w:numPr>
                      </w:pPr>
                      <w:r>
                        <w:t>All participants will have the option of discussing their lead and/or arsenic findings with an ATSDR medical officer.</w:t>
                      </w:r>
                    </w:p>
                    <w:p w14:paraId="4CEACF2F" w14:textId="77777777" w:rsidR="006A07AF" w:rsidRPr="0056679B" w:rsidRDefault="006A07AF" w:rsidP="00751515"/>
                    <w:p w14:paraId="671B0DF2" w14:textId="2BAE9CD1" w:rsidR="006A07AF" w:rsidRPr="0056679B" w:rsidRDefault="006A07AF" w:rsidP="00751515">
                      <w:r w:rsidRPr="0056679B">
                        <w:rPr>
                          <w:b/>
                        </w:rPr>
                        <w:t>Intended Use of the Resulting Data</w:t>
                      </w:r>
                      <w:r w:rsidRPr="0056679B">
                        <w:t xml:space="preserve">: Data will </w:t>
                      </w:r>
                      <w:r>
                        <w:t xml:space="preserve">determine whether participants have BLLs ≥5 µg/dL, the CDC reference level, and will compare total and total inorganic urine arsenic values to those in the general population (NHANES). Soil in Anaconda was contaminated with heavy metals, especially lead and arsenic, from former smelter activities and the site has been designated a National Priority List (NPL) site (aka Superfund site). EPA is currently working in the community to address community concern and remediate residential properties. </w:t>
                      </w:r>
                      <w:r w:rsidRPr="00D76A33">
                        <w:t>The results of this EI are not intended to be generalized and are applicable only to the sampled participants</w:t>
                      </w:r>
                      <w:r>
                        <w:t xml:space="preserve">. </w:t>
                      </w:r>
                      <w:r w:rsidRPr="0056679B">
                        <w:t xml:space="preserve"> </w:t>
                      </w:r>
                    </w:p>
                    <w:p w14:paraId="13F2EEE2" w14:textId="77777777" w:rsidR="006A07AF" w:rsidRPr="0056679B" w:rsidRDefault="006A07AF" w:rsidP="00751515"/>
                    <w:p w14:paraId="69C31224" w14:textId="26413F64" w:rsidR="006A07AF" w:rsidRPr="0056679B" w:rsidRDefault="006A07AF" w:rsidP="00751515">
                      <w:r>
                        <w:rPr>
                          <w:b/>
                        </w:rPr>
                        <w:t>Methods to be Used to C</w:t>
                      </w:r>
                      <w:r w:rsidRPr="0056679B">
                        <w:rPr>
                          <w:b/>
                        </w:rPr>
                        <w:t>ollect</w:t>
                      </w:r>
                      <w:r>
                        <w:t>: A maximum of 200 blood lead and urine arsenic samples will be collected during the fall of 2018, which reflects the time where residents are likely to be outside and exposure is considered to be high. Recruitment will include sending postcards to residents in the Anaconda area inviting them to participate in the EI. Local partners, including the Montana Department of Public Health and Human Services (MDPHHS) and the Anaconda Deer Lodge County (ADLC) Health Department will assist ATSDR in recruitment efforts.</w:t>
                      </w:r>
                    </w:p>
                    <w:p w14:paraId="7B9BD833" w14:textId="77777777" w:rsidR="006A07AF" w:rsidRPr="0056679B" w:rsidRDefault="006A07AF" w:rsidP="00751515"/>
                    <w:p w14:paraId="24C216AA" w14:textId="14499B25" w:rsidR="006A07AF" w:rsidRPr="0056679B" w:rsidRDefault="006A07AF" w:rsidP="00751515">
                      <w:r w:rsidRPr="001B26E3">
                        <w:rPr>
                          <w:b/>
                        </w:rPr>
                        <w:t>Subpopulation to be Studied</w:t>
                      </w:r>
                      <w:r>
                        <w:t xml:space="preserve">: Given community concern regarding exposure to lead and arsenic, all community members are invited to participate in the EI as part of a convenience sample of 200 individuals (adults and children). </w:t>
                      </w:r>
                    </w:p>
                    <w:p w14:paraId="44EC2E3B" w14:textId="77777777" w:rsidR="006A07AF" w:rsidRPr="0056679B" w:rsidRDefault="006A07AF" w:rsidP="00751515"/>
                    <w:p w14:paraId="33B6694C" w14:textId="77777777" w:rsidR="006A07AF" w:rsidRDefault="006A07AF" w:rsidP="00751515">
                      <w:r>
                        <w:rPr>
                          <w:b/>
                        </w:rPr>
                        <w:t>How Data will be A</w:t>
                      </w:r>
                      <w:r w:rsidRPr="001B26E3">
                        <w:rPr>
                          <w:b/>
                        </w:rPr>
                        <w:t>nalyzed</w:t>
                      </w:r>
                      <w:r>
                        <w:t>: The blood and urine samples will be analyzed by the CDC National Center for Environmental Health Division of Laboratory Science (NCEH/DLS) and the results provided to the EI team. The participants will be provided the results via a letter sent via US mail. Participants with BLL ≥5 µg/dL will be personally contacted by the ATSDR Medical Officer and follow-up will be conducted by Region 8 ATSDR and the ADLC health department. Participants with urine arsenic levels greater than appropriate NHANES levels will be contacted by the ATSDR Medical Officer to determine whether follow-up may be warranted. All participants will be provided information on how to reduce exposure to lead and arsenic.</w:t>
                      </w:r>
                    </w:p>
                  </w:txbxContent>
                </v:textbox>
                <w10:anchorlock/>
              </v:shape>
            </w:pict>
          </mc:Fallback>
        </mc:AlternateContent>
      </w:r>
      <w:bookmarkEnd w:id="12"/>
      <w:bookmarkEnd w:id="13"/>
    </w:p>
    <w:p w14:paraId="2A7B3EE2" w14:textId="19735418" w:rsidR="00EC4AE2" w:rsidRPr="00C635E7" w:rsidRDefault="00312D79" w:rsidP="00C635E7">
      <w:pPr>
        <w:pStyle w:val="Heading1"/>
      </w:pPr>
      <w:bookmarkStart w:id="14" w:name="_Toc522219727"/>
      <w:r w:rsidRPr="00C635E7">
        <w:t>A. Justification</w:t>
      </w:r>
      <w:bookmarkEnd w:id="14"/>
    </w:p>
    <w:p w14:paraId="55283E8A" w14:textId="3F450EF6" w:rsidR="00311E38" w:rsidRDefault="00DE0214" w:rsidP="001C226F">
      <w:pPr>
        <w:pStyle w:val="Heading2"/>
      </w:pPr>
      <w:bookmarkStart w:id="15" w:name="_Toc522219728"/>
      <w:r>
        <w:t xml:space="preserve">A.1 Circumstances </w:t>
      </w:r>
      <w:r w:rsidRPr="001C226F">
        <w:t>Making</w:t>
      </w:r>
      <w:r>
        <w:t xml:space="preserve"> the Collection of Information Necessary</w:t>
      </w:r>
      <w:bookmarkEnd w:id="15"/>
    </w:p>
    <w:p w14:paraId="03F41731" w14:textId="77777777" w:rsidR="00073047" w:rsidRPr="003E4C15" w:rsidRDefault="00073047" w:rsidP="004C7B15"/>
    <w:p w14:paraId="462A6B39" w14:textId="05A31FC6" w:rsidR="0069469D" w:rsidRDefault="00BC290E" w:rsidP="00D94910">
      <w:pPr>
        <w:spacing w:line="276" w:lineRule="auto"/>
        <w:rPr>
          <w:bCs/>
        </w:rPr>
      </w:pPr>
      <w:r>
        <w:rPr>
          <w:bCs/>
        </w:rPr>
        <w:t xml:space="preserve">This data collection is being conducted using the Generic Information Collection mechanism of the </w:t>
      </w:r>
      <w:r w:rsidR="000244F3">
        <w:rPr>
          <w:bCs/>
        </w:rPr>
        <w:t>Agency for Toxic Substances an</w:t>
      </w:r>
      <w:r w:rsidR="005452C7">
        <w:rPr>
          <w:bCs/>
        </w:rPr>
        <w:t>d</w:t>
      </w:r>
      <w:r w:rsidR="000244F3">
        <w:rPr>
          <w:bCs/>
        </w:rPr>
        <w:t xml:space="preserve"> Disease Registry (</w:t>
      </w:r>
      <w:r>
        <w:rPr>
          <w:bCs/>
        </w:rPr>
        <w:t>ATSDR</w:t>
      </w:r>
      <w:r w:rsidR="000244F3">
        <w:rPr>
          <w:bCs/>
        </w:rPr>
        <w:t>)</w:t>
      </w:r>
      <w:r>
        <w:rPr>
          <w:bCs/>
        </w:rPr>
        <w:t xml:space="preserve"> Exposure Investigations (EIs) – OMB </w:t>
      </w:r>
      <w:r w:rsidR="00EB2D9F">
        <w:rPr>
          <w:bCs/>
        </w:rPr>
        <w:t xml:space="preserve">Control </w:t>
      </w:r>
      <w:r>
        <w:rPr>
          <w:bCs/>
        </w:rPr>
        <w:t>No.0923-0048</w:t>
      </w:r>
      <w:r w:rsidR="00EB2D9F">
        <w:rPr>
          <w:bCs/>
        </w:rPr>
        <w:t>,</w:t>
      </w:r>
      <w:r w:rsidR="00E734E7">
        <w:rPr>
          <w:bCs/>
        </w:rPr>
        <w:t xml:space="preserve"> exp</w:t>
      </w:r>
      <w:r w:rsidR="000B7F02">
        <w:rPr>
          <w:bCs/>
        </w:rPr>
        <w:t>iration date</w:t>
      </w:r>
      <w:r w:rsidR="00E734E7">
        <w:rPr>
          <w:bCs/>
        </w:rPr>
        <w:t xml:space="preserve"> </w:t>
      </w:r>
      <w:r w:rsidR="005452C7">
        <w:rPr>
          <w:bCs/>
        </w:rPr>
        <w:t>3</w:t>
      </w:r>
      <w:r w:rsidR="00E734E7">
        <w:rPr>
          <w:bCs/>
        </w:rPr>
        <w:t>/31/201</w:t>
      </w:r>
      <w:r w:rsidR="005452C7">
        <w:rPr>
          <w:bCs/>
        </w:rPr>
        <w:t>9</w:t>
      </w:r>
      <w:r>
        <w:rPr>
          <w:bCs/>
        </w:rPr>
        <w:t xml:space="preserve">. The data collection for the </w:t>
      </w:r>
      <w:r w:rsidR="00C52647">
        <w:rPr>
          <w:rStyle w:val="Strong"/>
          <w:b w:val="0"/>
        </w:rPr>
        <w:t xml:space="preserve">Anaconda </w:t>
      </w:r>
      <w:r>
        <w:rPr>
          <w:bCs/>
        </w:rPr>
        <w:t xml:space="preserve">EI aligns with the </w:t>
      </w:r>
      <w:r w:rsidR="00827296">
        <w:rPr>
          <w:bCs/>
        </w:rPr>
        <w:t>a</w:t>
      </w:r>
      <w:r w:rsidR="00905D07">
        <w:rPr>
          <w:bCs/>
        </w:rPr>
        <w:t xml:space="preserve">gency’s </w:t>
      </w:r>
      <w:r>
        <w:rPr>
          <w:bCs/>
        </w:rPr>
        <w:t>mission.</w:t>
      </w:r>
    </w:p>
    <w:p w14:paraId="64603AED" w14:textId="77777777" w:rsidR="00363D95" w:rsidRDefault="00363D95" w:rsidP="007E5790">
      <w:pPr>
        <w:rPr>
          <w:bCs/>
        </w:rPr>
      </w:pPr>
    </w:p>
    <w:p w14:paraId="5AC19267" w14:textId="77777777" w:rsidR="00363D95" w:rsidRPr="007F6ADC" w:rsidRDefault="00363D95" w:rsidP="00D94910">
      <w:pPr>
        <w:spacing w:line="276" w:lineRule="auto"/>
        <w:rPr>
          <w:color w:val="000000"/>
          <w:szCs w:val="20"/>
        </w:rPr>
      </w:pPr>
      <w:r>
        <w:rPr>
          <w:color w:val="000000"/>
          <w:szCs w:val="20"/>
        </w:rPr>
        <w:t>The data collection is authorized by the Comprehensive Environmental Response, Compensation, and Liability Act of 1980 (CERCLA), commonly known as the “Superfund” Act, as amended by the Superfund Amendments and Reauthorization Act (SARA) of 1986.</w:t>
      </w:r>
    </w:p>
    <w:p w14:paraId="4F1A605E" w14:textId="77777777" w:rsidR="00BC290E" w:rsidRDefault="00BC290E" w:rsidP="007E5790"/>
    <w:p w14:paraId="41EFE604" w14:textId="77777777" w:rsidR="005B1CE6" w:rsidRPr="005B1CE6" w:rsidRDefault="005B1CE6" w:rsidP="007E5790">
      <w:pPr>
        <w:rPr>
          <w:rStyle w:val="Strong"/>
          <w:rFonts w:asciiTheme="majorHAnsi" w:hAnsiTheme="majorHAnsi"/>
          <w:color w:val="4F81BD"/>
        </w:rPr>
      </w:pPr>
      <w:r w:rsidRPr="005B1CE6">
        <w:rPr>
          <w:rStyle w:val="Strong"/>
          <w:rFonts w:asciiTheme="majorHAnsi" w:hAnsiTheme="majorHAnsi"/>
          <w:color w:val="4F81BD"/>
        </w:rPr>
        <w:t>ATSDR Public Health Assessment Process</w:t>
      </w:r>
      <w:r w:rsidR="00C15C5B">
        <w:rPr>
          <w:rStyle w:val="Strong"/>
          <w:rFonts w:asciiTheme="majorHAnsi" w:hAnsiTheme="majorHAnsi"/>
          <w:color w:val="4F81BD"/>
        </w:rPr>
        <w:t xml:space="preserve"> and the Role of the Exposure Investigation</w:t>
      </w:r>
    </w:p>
    <w:p w14:paraId="2B580890" w14:textId="77777777" w:rsidR="005B1CE6" w:rsidRDefault="005B1CE6" w:rsidP="007E5790">
      <w:pPr>
        <w:rPr>
          <w:color w:val="000000"/>
        </w:rPr>
      </w:pPr>
    </w:p>
    <w:p w14:paraId="51EB0ED3" w14:textId="0AC2CE2A" w:rsidR="00CF3D24" w:rsidRDefault="00632559" w:rsidP="005335A2">
      <w:pPr>
        <w:spacing w:after="100" w:afterAutospacing="1" w:line="276" w:lineRule="auto"/>
      </w:pPr>
      <w:r>
        <w:t xml:space="preserve">The Anaconda Company Smelter operated from 1884 through 1981. The Anaconda Copper Mining Company mined copper ore in nearby Butte, Montana and operated a smelter on the north side of Warm Springs Creek, adjacent to the town of Anaconda from 1884 to 1901. This area is now referred to as the “Old Works.” In 1902, ore processing commenced at the Washoe Reduction Works (the “New Works”) on Smelter Hill, east of town. Both smelters resulted in large volumes of waste that were disposed on the ground and in surface water, and used as fill. Airborne contaminants from stacks and waste (slag) piles resulted in widespread surface soil contamination with heavy metals (principally arsenic, cadmium, copper, lead and zinc). </w:t>
      </w:r>
      <w:r w:rsidR="005335A2">
        <w:t>In 1983, the U.S. Environmental Protection Agency (EPA) placed the Anaconda Company Smelter site on the National Priorities List (NPL).</w:t>
      </w:r>
    </w:p>
    <w:p w14:paraId="3BF6EDC1" w14:textId="1244C3BC" w:rsidR="00FD2B00" w:rsidRDefault="00FD2B00" w:rsidP="00FD2B00">
      <w:pPr>
        <w:spacing w:after="100" w:afterAutospacing="1" w:line="276" w:lineRule="auto"/>
      </w:pPr>
      <w:r>
        <w:t>Atlantic Richfield Corporation (ARCO) purchased the ACM in 1977 and conducts the site clean-up as the potentially responsible party. Smelter operations ceased in 1980, and the 585-foot landmark brick stack is the only remaining structure from the Washoe operations. Various remedial activities have been conducted to address the environmental contamination including permanent relocation of people living in the Mill Creek neighborhood; remediation of residential yards; and removal, consolidation, and on-site containment of waste material and contaminated soil.</w:t>
      </w:r>
      <w:r w:rsidR="002252F1" w:rsidRPr="002252F1">
        <w:t xml:space="preserve"> </w:t>
      </w:r>
      <w:r w:rsidR="002252F1">
        <w:t xml:space="preserve">While significant progress in site remediation and the concurrent reduction of potential exposures has been made to date, contamination, such as exposed slag and soils in residential areas, remains. </w:t>
      </w:r>
      <w:r w:rsidR="00751515">
        <w:t xml:space="preserve">Remediation of millions of cubic yards of mining wastes and roughly 20,000 acres of contaminated soil through the Superfund program continues. </w:t>
      </w:r>
      <w:r w:rsidR="002252F1">
        <w:t xml:space="preserve">Additionally, interior dust clean up, required by a 2013 Amendment to the Community Soils Operable Unit Record of Decision to address arsenic and lead contamination, is not yet complete. </w:t>
      </w:r>
    </w:p>
    <w:p w14:paraId="1D15DB30" w14:textId="26381C2B" w:rsidR="00632559" w:rsidRDefault="00632559" w:rsidP="00632559">
      <w:pPr>
        <w:spacing w:after="100" w:afterAutospacing="1" w:line="276" w:lineRule="auto"/>
      </w:pPr>
      <w:r>
        <w:t xml:space="preserve">Arsenic is the primary contaminant of concern and potential exposures to inorganic arsenic are the fundamental health risk addressed in site remediation. </w:t>
      </w:r>
      <w:r w:rsidR="009478C1">
        <w:t xml:space="preserve">Lead has been noted in soil and attic dust and lead is also considered a contaminant of concern at the site. </w:t>
      </w:r>
      <w:r w:rsidR="00CF3D24">
        <w:t xml:space="preserve">The site includes </w:t>
      </w:r>
      <w:r w:rsidR="009478C1">
        <w:t xml:space="preserve">the area surrounding the former Anaconda smelter site and includes the communities of both Anaconda and Opportunity. </w:t>
      </w:r>
    </w:p>
    <w:p w14:paraId="4109A373" w14:textId="77777777" w:rsidR="00632559" w:rsidRDefault="00632559" w:rsidP="00632559">
      <w:pPr>
        <w:spacing w:after="100" w:afterAutospacing="1" w:line="276" w:lineRule="auto"/>
      </w:pPr>
      <w:r>
        <w:t xml:space="preserve">In May 2018 ATSDR, in coordination with the Montana Department of Public Health and Human Services (MDPHHS), which is funded, in part, by the ATSDR state cooperative agreement program, and the Anaconda Deer Lodge County (ADLC) Health Department, conducted a public listening session to assess community health concerns.  The community identified exposure to arsenic and lead as the primary public health issues associated with environmental contamination. </w:t>
      </w:r>
    </w:p>
    <w:p w14:paraId="084862E8" w14:textId="77777777" w:rsidR="00363D95" w:rsidRDefault="00363D95" w:rsidP="00363D95">
      <w:pPr>
        <w:rPr>
          <w:rStyle w:val="Strong"/>
          <w:rFonts w:asciiTheme="majorHAnsi" w:hAnsiTheme="majorHAnsi"/>
          <w:color w:val="4F81BD"/>
        </w:rPr>
      </w:pPr>
      <w:r>
        <w:rPr>
          <w:rStyle w:val="Strong"/>
          <w:rFonts w:asciiTheme="majorHAnsi" w:hAnsiTheme="majorHAnsi"/>
          <w:color w:val="4F81BD"/>
        </w:rPr>
        <w:t>The Exposure Investigation Criteria and Recommendation Process</w:t>
      </w:r>
    </w:p>
    <w:p w14:paraId="5C0725EA" w14:textId="77777777" w:rsidR="00363D95" w:rsidRDefault="00363D95" w:rsidP="00363D95"/>
    <w:p w14:paraId="1946655B" w14:textId="77777777" w:rsidR="007E282F" w:rsidRDefault="00074222" w:rsidP="007E282F">
      <w:r>
        <w:t>Four</w:t>
      </w:r>
      <w:r w:rsidR="007E282F">
        <w:t xml:space="preserve"> criteria must be met for the EI to be approved</w:t>
      </w:r>
      <w:r>
        <w:t xml:space="preserve"> and conducted</w:t>
      </w:r>
      <w:r w:rsidR="007E282F">
        <w:t>. The criteria are:</w:t>
      </w:r>
    </w:p>
    <w:p w14:paraId="3CAB1911" w14:textId="77777777" w:rsidR="007E282F" w:rsidRDefault="007E282F" w:rsidP="007E282F"/>
    <w:p w14:paraId="0AED862F" w14:textId="77777777" w:rsidR="007E282F" w:rsidRDefault="007E282F" w:rsidP="006F62B8">
      <w:pPr>
        <w:numPr>
          <w:ilvl w:val="0"/>
          <w:numId w:val="5"/>
        </w:numPr>
      </w:pPr>
      <w:r>
        <w:t>Can an exposed population be identified?</w:t>
      </w:r>
    </w:p>
    <w:p w14:paraId="554166DB" w14:textId="77777777" w:rsidR="007E282F" w:rsidRDefault="007E282F" w:rsidP="006F62B8">
      <w:pPr>
        <w:numPr>
          <w:ilvl w:val="0"/>
          <w:numId w:val="5"/>
        </w:numPr>
      </w:pPr>
      <w:r>
        <w:t>Does a data gap exist that affects the ability to determine if a health hazard exists?</w:t>
      </w:r>
    </w:p>
    <w:p w14:paraId="4913B8B9" w14:textId="77777777" w:rsidR="007E282F" w:rsidRDefault="007E282F" w:rsidP="006F62B8">
      <w:pPr>
        <w:numPr>
          <w:ilvl w:val="0"/>
          <w:numId w:val="5"/>
        </w:numPr>
      </w:pPr>
      <w:r>
        <w:t>Can an EI be designed that will address this data gap?</w:t>
      </w:r>
    </w:p>
    <w:p w14:paraId="14A270E5" w14:textId="77777777" w:rsidR="007E282F" w:rsidRDefault="007E282F" w:rsidP="006F62B8">
      <w:pPr>
        <w:numPr>
          <w:ilvl w:val="0"/>
          <w:numId w:val="5"/>
        </w:numPr>
      </w:pPr>
      <w:r>
        <w:t>Will the EI results impact the public health decision for the site?</w:t>
      </w:r>
    </w:p>
    <w:p w14:paraId="36D1B2F2" w14:textId="77777777" w:rsidR="007E282F" w:rsidRDefault="007E282F" w:rsidP="007E282F"/>
    <w:p w14:paraId="25CAB8C5" w14:textId="28379293" w:rsidR="00074222" w:rsidRDefault="007E282F" w:rsidP="007E282F">
      <w:r>
        <w:rPr>
          <w:color w:val="000000"/>
        </w:rPr>
        <w:t xml:space="preserve">If the answers to these questions indicate that an EI would allow ATSDR to make a better-informed public health call, </w:t>
      </w:r>
      <w:r w:rsidRPr="00A471FA">
        <w:t>the DCHI</w:t>
      </w:r>
      <w:r>
        <w:t xml:space="preserve"> EI Team</w:t>
      </w:r>
      <w:r w:rsidRPr="00A471FA">
        <w:t xml:space="preserve"> </w:t>
      </w:r>
      <w:r>
        <w:t>may conduct</w:t>
      </w:r>
      <w:r w:rsidRPr="00A471FA">
        <w:t xml:space="preserve"> </w:t>
      </w:r>
      <w:r>
        <w:t>agency-led EIs</w:t>
      </w:r>
      <w:r w:rsidRPr="00A471FA">
        <w:t>.</w:t>
      </w:r>
      <w:r w:rsidR="001352D8" w:rsidRPr="001352D8">
        <w:t xml:space="preserve"> </w:t>
      </w:r>
      <w:r w:rsidR="00074222">
        <w:t xml:space="preserve">For the </w:t>
      </w:r>
      <w:r w:rsidR="002252F1">
        <w:t>Anaconda MT</w:t>
      </w:r>
      <w:r w:rsidR="004E4A2A">
        <w:t xml:space="preserve"> site</w:t>
      </w:r>
      <w:r w:rsidR="00074222">
        <w:t>, the responses to the four questions (provided below) indicated that an EI is warranted at the site.</w:t>
      </w:r>
    </w:p>
    <w:p w14:paraId="6D1F22A6" w14:textId="77777777" w:rsidR="00074222" w:rsidRDefault="00074222" w:rsidP="007E282F"/>
    <w:p w14:paraId="5E812646" w14:textId="64B6804A" w:rsidR="007E282F" w:rsidRDefault="001352D8" w:rsidP="007E282F">
      <w:pPr>
        <w:rPr>
          <w:color w:val="000000"/>
          <w:szCs w:val="20"/>
        </w:rPr>
      </w:pPr>
      <w:r>
        <w:t xml:space="preserve">The EI Team from the DCHI Science Support Branch (SSB) and the ATSDR Region </w:t>
      </w:r>
      <w:r w:rsidR="002252F1">
        <w:t>8</w:t>
      </w:r>
      <w:r>
        <w:t xml:space="preserve"> Office will lead the investigation, evaluate the results, and communicate their public health findings and recommendations to the community (further discussed in Section A.2)</w:t>
      </w:r>
      <w:r>
        <w:rPr>
          <w:rFonts w:eastAsiaTheme="minorHAnsi"/>
        </w:rPr>
        <w:t xml:space="preserve"> </w:t>
      </w:r>
      <w:r w:rsidR="007E282F">
        <w:t xml:space="preserve"> </w:t>
      </w:r>
    </w:p>
    <w:p w14:paraId="1BA641E5" w14:textId="77777777" w:rsidR="001977A4" w:rsidRDefault="001977A4" w:rsidP="00363D95"/>
    <w:p w14:paraId="543AA856" w14:textId="1D99F5D8" w:rsidR="00BC290E" w:rsidRDefault="008F5CF3" w:rsidP="00691B3B">
      <w:r>
        <w:rPr>
          <w:rStyle w:val="Strong"/>
          <w:rFonts w:asciiTheme="majorHAnsi" w:hAnsiTheme="majorHAnsi"/>
          <w:color w:val="4F81BD"/>
        </w:rPr>
        <w:t xml:space="preserve">Blood Lead Levels </w:t>
      </w:r>
      <w:r w:rsidR="00B95C35">
        <w:rPr>
          <w:rStyle w:val="Strong"/>
          <w:rFonts w:asciiTheme="majorHAnsi" w:hAnsiTheme="majorHAnsi"/>
          <w:color w:val="4F81BD"/>
        </w:rPr>
        <w:t xml:space="preserve">and Urine Arsenic Levels </w:t>
      </w:r>
      <w:r>
        <w:rPr>
          <w:rStyle w:val="Strong"/>
          <w:rFonts w:asciiTheme="majorHAnsi" w:hAnsiTheme="majorHAnsi"/>
          <w:color w:val="4F81BD"/>
        </w:rPr>
        <w:t xml:space="preserve">in </w:t>
      </w:r>
      <w:r w:rsidR="00B95C35">
        <w:rPr>
          <w:rStyle w:val="Strong"/>
          <w:rFonts w:asciiTheme="majorHAnsi" w:hAnsiTheme="majorHAnsi"/>
          <w:color w:val="4F81BD"/>
        </w:rPr>
        <w:t>Anaconda, MT</w:t>
      </w:r>
      <w:r w:rsidR="00BC290E">
        <w:rPr>
          <w:rStyle w:val="Strong"/>
          <w:rFonts w:asciiTheme="majorHAnsi" w:hAnsiTheme="majorHAnsi"/>
          <w:color w:val="4F81BD"/>
        </w:rPr>
        <w:t xml:space="preserve"> Exposure </w:t>
      </w:r>
      <w:r w:rsidR="00BC290E" w:rsidRPr="00844EC5">
        <w:rPr>
          <w:rStyle w:val="Strong"/>
          <w:rFonts w:asciiTheme="majorHAnsi" w:hAnsiTheme="majorHAnsi"/>
          <w:color w:val="4F81BD"/>
        </w:rPr>
        <w:t>Investigation</w:t>
      </w:r>
    </w:p>
    <w:p w14:paraId="6958C348" w14:textId="77777777" w:rsidR="00363D95" w:rsidRDefault="00363D95" w:rsidP="007F6ADC">
      <w:pPr>
        <w:rPr>
          <w:color w:val="000000"/>
          <w:szCs w:val="20"/>
        </w:rPr>
      </w:pPr>
    </w:p>
    <w:p w14:paraId="23C4F519" w14:textId="5945CFF1" w:rsidR="00D20679" w:rsidRDefault="00363D95" w:rsidP="002252F1">
      <w:pPr>
        <w:spacing w:after="100" w:afterAutospacing="1" w:line="276" w:lineRule="auto"/>
      </w:pPr>
      <w:r>
        <w:rPr>
          <w:color w:val="000000"/>
          <w:szCs w:val="20"/>
        </w:rPr>
        <w:t xml:space="preserve">The four questions used to establish whether it was appropriate to conduct an EI for the </w:t>
      </w:r>
      <w:r w:rsidR="00B95C35">
        <w:rPr>
          <w:color w:val="000000"/>
          <w:szCs w:val="20"/>
        </w:rPr>
        <w:t>Anaconda, MT</w:t>
      </w:r>
      <w:r>
        <w:rPr>
          <w:color w:val="000000"/>
          <w:szCs w:val="20"/>
        </w:rPr>
        <w:t xml:space="preserve"> site were as follows:</w:t>
      </w:r>
      <w:r w:rsidR="00D20679" w:rsidRPr="00D20679">
        <w:t xml:space="preserve"> </w:t>
      </w:r>
      <w:r w:rsidR="00D20679">
        <w:t>Responses to ATSDR’s EI criteria are provided below:</w:t>
      </w:r>
    </w:p>
    <w:p w14:paraId="676F2A3A" w14:textId="77777777" w:rsidR="008F5CF3" w:rsidRPr="002252F1" w:rsidRDefault="008F5CF3" w:rsidP="006F62B8">
      <w:pPr>
        <w:numPr>
          <w:ilvl w:val="0"/>
          <w:numId w:val="8"/>
        </w:numPr>
        <w:spacing w:after="100" w:afterAutospacing="1" w:line="276" w:lineRule="auto"/>
        <w:ind w:left="360"/>
        <w:contextualSpacing/>
        <w:rPr>
          <w:rFonts w:eastAsia="Calibri"/>
          <w:i/>
        </w:rPr>
      </w:pPr>
      <w:r w:rsidRPr="002252F1">
        <w:rPr>
          <w:rFonts w:eastAsia="Calibri"/>
          <w:i/>
        </w:rPr>
        <w:t>Can an exposed population be identified?</w:t>
      </w:r>
    </w:p>
    <w:p w14:paraId="2EB3DAB3" w14:textId="20F0699B" w:rsidR="008F5CF3" w:rsidRPr="008F5CF3" w:rsidRDefault="008F5CF3" w:rsidP="002252F1">
      <w:pPr>
        <w:spacing w:after="100" w:afterAutospacing="1" w:line="276" w:lineRule="auto"/>
        <w:ind w:left="360"/>
        <w:rPr>
          <w:rFonts w:eastAsia="Calibri"/>
        </w:rPr>
      </w:pPr>
      <w:r w:rsidRPr="008F5CF3">
        <w:rPr>
          <w:rFonts w:eastAsia="Calibri"/>
        </w:rPr>
        <w:t xml:space="preserve">  </w:t>
      </w:r>
      <w:r w:rsidR="002252F1" w:rsidRPr="00FF2327">
        <w:rPr>
          <w:rFonts w:eastAsiaTheme="minorHAnsi"/>
        </w:rPr>
        <w:t xml:space="preserve">Yes. Soil sampling data and biological testing data (blood lead and urine arsenic) indicate that sensitive populations could be at risk for exposure to harmful levels of lead and arsenic in this community.  </w:t>
      </w:r>
    </w:p>
    <w:p w14:paraId="44D9C085" w14:textId="19370591" w:rsidR="008F5CF3" w:rsidRPr="008F5CF3" w:rsidRDefault="008F5CF3" w:rsidP="006F62B8">
      <w:pPr>
        <w:numPr>
          <w:ilvl w:val="0"/>
          <w:numId w:val="8"/>
        </w:numPr>
        <w:spacing w:after="100" w:afterAutospacing="1" w:line="276" w:lineRule="auto"/>
        <w:ind w:left="360"/>
        <w:contextualSpacing/>
        <w:rPr>
          <w:rFonts w:eastAsia="Calibri"/>
        </w:rPr>
      </w:pPr>
      <w:r w:rsidRPr="008F5CF3">
        <w:rPr>
          <w:rFonts w:eastAsia="Calibri"/>
          <w:i/>
        </w:rPr>
        <w:t>Does a data gap exists that affects our ability to decide that a public health hazard exists?</w:t>
      </w:r>
    </w:p>
    <w:p w14:paraId="70BB90B2" w14:textId="54B22708" w:rsidR="008F5CF3" w:rsidRDefault="002252F1" w:rsidP="002252F1">
      <w:pPr>
        <w:spacing w:after="100" w:afterAutospacing="1" w:line="276" w:lineRule="auto"/>
        <w:ind w:left="360"/>
        <w:contextualSpacing/>
        <w:rPr>
          <w:rFonts w:eastAsiaTheme="minorHAnsi"/>
        </w:rPr>
      </w:pPr>
      <w:r>
        <w:rPr>
          <w:rFonts w:eastAsiaTheme="minorHAnsi"/>
        </w:rPr>
        <w:t>Additional blood lead and urine arsenic data will better identify whether residents may have been exposed to the lead and arsenic contamination in the community.</w:t>
      </w:r>
    </w:p>
    <w:p w14:paraId="51905052" w14:textId="77777777" w:rsidR="002252F1" w:rsidRPr="008F5CF3" w:rsidRDefault="002252F1" w:rsidP="002252F1">
      <w:pPr>
        <w:spacing w:after="100" w:afterAutospacing="1" w:line="276" w:lineRule="auto"/>
        <w:ind w:left="360"/>
        <w:contextualSpacing/>
        <w:rPr>
          <w:rFonts w:eastAsia="Calibri"/>
        </w:rPr>
      </w:pPr>
    </w:p>
    <w:p w14:paraId="66AAE975" w14:textId="77777777" w:rsidR="008F5CF3" w:rsidRPr="008F5CF3" w:rsidRDefault="008F5CF3" w:rsidP="006F62B8">
      <w:pPr>
        <w:numPr>
          <w:ilvl w:val="0"/>
          <w:numId w:val="8"/>
        </w:numPr>
        <w:spacing w:after="100" w:afterAutospacing="1" w:line="276" w:lineRule="auto"/>
        <w:ind w:left="360"/>
        <w:contextualSpacing/>
        <w:rPr>
          <w:rFonts w:eastAsia="Calibri"/>
          <w:i/>
        </w:rPr>
      </w:pPr>
      <w:r w:rsidRPr="008F5CF3">
        <w:rPr>
          <w:rFonts w:eastAsia="Calibri"/>
          <w:i/>
        </w:rPr>
        <w:t>Can an Exposure Investigation address the data gap?</w:t>
      </w:r>
    </w:p>
    <w:p w14:paraId="45CB23D1" w14:textId="0D7A4346" w:rsidR="008F5CF3" w:rsidRPr="008F5CF3" w:rsidRDefault="002252F1" w:rsidP="002252F1">
      <w:pPr>
        <w:spacing w:after="100" w:afterAutospacing="1" w:line="276" w:lineRule="auto"/>
        <w:ind w:left="360"/>
        <w:contextualSpacing/>
        <w:rPr>
          <w:rFonts w:eastAsia="Calibri"/>
        </w:rPr>
      </w:pPr>
      <w:r w:rsidRPr="00FF2327">
        <w:rPr>
          <w:rFonts w:eastAsiaTheme="minorHAnsi"/>
        </w:rPr>
        <w:t>Yes</w:t>
      </w:r>
      <w:r>
        <w:rPr>
          <w:rFonts w:eastAsiaTheme="minorHAnsi"/>
        </w:rPr>
        <w:t>.</w:t>
      </w:r>
      <w:r w:rsidRPr="00FF2327">
        <w:rPr>
          <w:rFonts w:eastAsiaTheme="minorHAnsi"/>
        </w:rPr>
        <w:t xml:space="preserve"> Completing</w:t>
      </w:r>
      <w:r>
        <w:rPr>
          <w:rFonts w:eastAsiaTheme="minorHAnsi"/>
        </w:rPr>
        <w:t xml:space="preserve"> blood lead and urine arsenic testing will provide additional information on the impact of environmental contamination on the community.</w:t>
      </w:r>
    </w:p>
    <w:p w14:paraId="1D29DB80" w14:textId="77777777" w:rsidR="008F5CF3" w:rsidRPr="008F5CF3" w:rsidRDefault="008F5CF3" w:rsidP="002252F1">
      <w:pPr>
        <w:spacing w:after="100" w:afterAutospacing="1" w:line="276" w:lineRule="auto"/>
        <w:ind w:left="360"/>
        <w:contextualSpacing/>
        <w:rPr>
          <w:rFonts w:eastAsia="Calibri"/>
        </w:rPr>
      </w:pPr>
    </w:p>
    <w:p w14:paraId="69D6776B" w14:textId="77777777" w:rsidR="008F5CF3" w:rsidRPr="008F5CF3" w:rsidRDefault="008F5CF3" w:rsidP="006F62B8">
      <w:pPr>
        <w:numPr>
          <w:ilvl w:val="0"/>
          <w:numId w:val="8"/>
        </w:numPr>
        <w:spacing w:after="100" w:afterAutospacing="1" w:line="276" w:lineRule="auto"/>
        <w:ind w:left="360"/>
        <w:contextualSpacing/>
        <w:rPr>
          <w:rFonts w:eastAsia="Calibri"/>
          <w:i/>
        </w:rPr>
      </w:pPr>
      <w:r w:rsidRPr="008F5CF3">
        <w:rPr>
          <w:rFonts w:eastAsia="Calibri"/>
          <w:i/>
        </w:rPr>
        <w:t>How will the Exposure Investigation results impact public health decision making?</w:t>
      </w:r>
    </w:p>
    <w:p w14:paraId="63B02D5E" w14:textId="442B5CAB" w:rsidR="008F5CF3" w:rsidRPr="008F5CF3" w:rsidRDefault="002252F1" w:rsidP="002252F1">
      <w:pPr>
        <w:spacing w:after="100" w:afterAutospacing="1" w:line="276" w:lineRule="auto"/>
        <w:ind w:left="360"/>
        <w:contextualSpacing/>
        <w:rPr>
          <w:rFonts w:eastAsia="Calibri"/>
        </w:rPr>
      </w:pPr>
      <w:r w:rsidRPr="00617F70">
        <w:rPr>
          <w:rFonts w:eastAsiaTheme="minorHAnsi"/>
        </w:rPr>
        <w:t xml:space="preserve">The results of the blood lead and urine arsenic testing will assist </w:t>
      </w:r>
      <w:r>
        <w:rPr>
          <w:rFonts w:eastAsiaTheme="minorHAnsi"/>
        </w:rPr>
        <w:t>the ADLC health department and the MCPHHS to evaluate and prioritize available resources from ARCO (e.g., funds for case management, lead paint screening in homes, dust sampling in attics in the community).</w:t>
      </w:r>
    </w:p>
    <w:p w14:paraId="15F54EFC" w14:textId="77777777" w:rsidR="00D20679" w:rsidRDefault="00D20679" w:rsidP="00D20679">
      <w:pPr>
        <w:spacing w:line="276" w:lineRule="auto"/>
      </w:pPr>
    </w:p>
    <w:p w14:paraId="7EE3D303" w14:textId="786E149F" w:rsidR="00D20679" w:rsidRPr="00255C38" w:rsidRDefault="00D20679" w:rsidP="002252F1">
      <w:pPr>
        <w:spacing w:after="100" w:afterAutospacing="1" w:line="276" w:lineRule="auto"/>
        <w:rPr>
          <w:color w:val="FF0000"/>
        </w:rPr>
      </w:pPr>
      <w:r>
        <w:t xml:space="preserve">Certain traits put people at higher risk for lead </w:t>
      </w:r>
      <w:r w:rsidR="002252F1">
        <w:t xml:space="preserve">and arsenic </w:t>
      </w:r>
      <w:r>
        <w:t>exposure. Some characteristics contribute to susceptibilities (e.g., age, race, sex) and others to vulnerability (e.g., socioeconomic status)</w:t>
      </w:r>
      <w:r w:rsidR="005D55BE">
        <w:t xml:space="preserve"> [Binder et al 1978]</w:t>
      </w:r>
      <w:r>
        <w:t xml:space="preserve">. In addition to the risks posed by living in the city of </w:t>
      </w:r>
      <w:r w:rsidR="002252F1">
        <w:t xml:space="preserve">Anaconda </w:t>
      </w:r>
      <w:r>
        <w:t xml:space="preserve">with lead </w:t>
      </w:r>
      <w:r w:rsidR="002252F1">
        <w:t xml:space="preserve">and arsenic </w:t>
      </w:r>
      <w:r>
        <w:t>contaminated soil other major risks factors for higher lead levels are, living in older housing, and poverty</w:t>
      </w:r>
      <w:r w:rsidRPr="00B24827">
        <w:t>.</w:t>
      </w:r>
    </w:p>
    <w:p w14:paraId="66393203" w14:textId="652BA69A" w:rsidR="00156A60" w:rsidRDefault="00245495" w:rsidP="002252F1">
      <w:pPr>
        <w:spacing w:after="100" w:afterAutospacing="1" w:line="276" w:lineRule="auto"/>
      </w:pPr>
      <w:r>
        <w:rPr>
          <w:rFonts w:eastAsiaTheme="minorHAnsi"/>
        </w:rPr>
        <w:t xml:space="preserve">Once the </w:t>
      </w:r>
      <w:r w:rsidR="00E43DA9">
        <w:rPr>
          <w:rFonts w:eastAsiaTheme="minorHAnsi"/>
        </w:rPr>
        <w:t>EI</w:t>
      </w:r>
      <w:r>
        <w:rPr>
          <w:rFonts w:eastAsiaTheme="minorHAnsi"/>
        </w:rPr>
        <w:t xml:space="preserve"> data collection and analysis </w:t>
      </w:r>
      <w:r w:rsidR="00236A25">
        <w:rPr>
          <w:rFonts w:eastAsiaTheme="minorHAnsi"/>
        </w:rPr>
        <w:t xml:space="preserve">from </w:t>
      </w:r>
      <w:r w:rsidR="002252F1">
        <w:rPr>
          <w:rFonts w:eastAsiaTheme="minorHAnsi"/>
        </w:rPr>
        <w:t>the</w:t>
      </w:r>
      <w:r w:rsidR="00236A25">
        <w:rPr>
          <w:rFonts w:eastAsiaTheme="minorHAnsi"/>
        </w:rPr>
        <w:t xml:space="preserve"> sampling rounds are</w:t>
      </w:r>
      <w:r>
        <w:rPr>
          <w:rFonts w:eastAsiaTheme="minorHAnsi"/>
        </w:rPr>
        <w:t xml:space="preserve"> complete, </w:t>
      </w:r>
      <w:r w:rsidR="00156A60">
        <w:rPr>
          <w:rFonts w:eastAsiaTheme="minorHAnsi"/>
        </w:rPr>
        <w:t xml:space="preserve">the ATSDR Team </w:t>
      </w:r>
      <w:r w:rsidR="0035250C">
        <w:rPr>
          <w:rFonts w:eastAsiaTheme="minorHAnsi"/>
        </w:rPr>
        <w:t xml:space="preserve">will </w:t>
      </w:r>
      <w:r w:rsidR="00156A60">
        <w:rPr>
          <w:rFonts w:eastAsiaTheme="minorHAnsi"/>
        </w:rPr>
        <w:t xml:space="preserve">conduct a public availability session for participants in the EI and </w:t>
      </w:r>
      <w:r w:rsidR="00E43DA9">
        <w:rPr>
          <w:rFonts w:eastAsiaTheme="minorHAnsi"/>
        </w:rPr>
        <w:t xml:space="preserve">for </w:t>
      </w:r>
      <w:r w:rsidR="00156A60">
        <w:rPr>
          <w:rFonts w:eastAsiaTheme="minorHAnsi"/>
        </w:rPr>
        <w:t xml:space="preserve">the community as a whole to discuss </w:t>
      </w:r>
      <w:r w:rsidR="00156A60" w:rsidRPr="00245495">
        <w:t xml:space="preserve">recommendations to reduce exposure and </w:t>
      </w:r>
      <w:r>
        <w:t xml:space="preserve">potential </w:t>
      </w:r>
      <w:r w:rsidR="00156A60" w:rsidRPr="00245495">
        <w:t xml:space="preserve">health concerns </w:t>
      </w:r>
      <w:r>
        <w:t xml:space="preserve">related to </w:t>
      </w:r>
      <w:r w:rsidR="0088149D">
        <w:t>lead</w:t>
      </w:r>
      <w:r w:rsidR="00156A60" w:rsidRPr="00245495">
        <w:t>.</w:t>
      </w:r>
      <w:r w:rsidR="00506F10">
        <w:t xml:space="preserve">  </w:t>
      </w:r>
    </w:p>
    <w:p w14:paraId="3B407DF9" w14:textId="5BC72FDD" w:rsidR="0035250C" w:rsidRPr="008E5E79" w:rsidRDefault="00FD70FF" w:rsidP="002252F1">
      <w:pPr>
        <w:spacing w:after="100" w:afterAutospacing="1" w:line="276" w:lineRule="auto"/>
        <w:rPr>
          <w:rFonts w:eastAsiaTheme="minorHAnsi"/>
        </w:rPr>
      </w:pPr>
      <w:r>
        <w:rPr>
          <w:rFonts w:eastAsiaTheme="minorHAnsi"/>
        </w:rPr>
        <w:t>A full E</w:t>
      </w:r>
      <w:r w:rsidR="00137B93">
        <w:rPr>
          <w:rFonts w:eastAsiaTheme="minorHAnsi"/>
        </w:rPr>
        <w:t>I</w:t>
      </w:r>
      <w:r w:rsidR="005E629B">
        <w:rPr>
          <w:rFonts w:eastAsiaTheme="minorHAnsi"/>
        </w:rPr>
        <w:t xml:space="preserve"> Final R</w:t>
      </w:r>
      <w:r>
        <w:rPr>
          <w:rFonts w:eastAsiaTheme="minorHAnsi"/>
        </w:rPr>
        <w:t xml:space="preserve">eport is </w:t>
      </w:r>
      <w:r w:rsidR="00245495">
        <w:rPr>
          <w:rFonts w:eastAsiaTheme="minorHAnsi"/>
        </w:rPr>
        <w:t xml:space="preserve">also </w:t>
      </w:r>
      <w:r w:rsidR="005E629B">
        <w:rPr>
          <w:rFonts w:eastAsiaTheme="minorHAnsi"/>
        </w:rPr>
        <w:t>completed and made available to the public</w:t>
      </w:r>
      <w:r w:rsidR="00156A60">
        <w:rPr>
          <w:rFonts w:eastAsiaTheme="minorHAnsi"/>
        </w:rPr>
        <w:t xml:space="preserve"> </w:t>
      </w:r>
      <w:r w:rsidR="00245495">
        <w:rPr>
          <w:rFonts w:eastAsiaTheme="minorHAnsi"/>
        </w:rPr>
        <w:t xml:space="preserve">and </w:t>
      </w:r>
      <w:r w:rsidR="00137B93">
        <w:rPr>
          <w:rFonts w:eastAsiaTheme="minorHAnsi"/>
        </w:rPr>
        <w:t xml:space="preserve">to </w:t>
      </w:r>
      <w:r w:rsidR="00245495">
        <w:rPr>
          <w:rFonts w:eastAsiaTheme="minorHAnsi"/>
        </w:rPr>
        <w:t xml:space="preserve">all partners </w:t>
      </w:r>
      <w:r w:rsidR="00156A60">
        <w:rPr>
          <w:rFonts w:eastAsiaTheme="minorHAnsi"/>
        </w:rPr>
        <w:t>once all samples and data have been collected and analyzed</w:t>
      </w:r>
      <w:r w:rsidR="0035250C">
        <w:rPr>
          <w:rFonts w:eastAsiaTheme="minorHAnsi"/>
        </w:rPr>
        <w:t xml:space="preserve">. </w:t>
      </w:r>
    </w:p>
    <w:p w14:paraId="00028A43" w14:textId="07B84AD0" w:rsidR="00067EF1" w:rsidRPr="003E4C15" w:rsidRDefault="00067EF1" w:rsidP="00844EC5">
      <w:pPr>
        <w:pStyle w:val="Heading2"/>
      </w:pPr>
      <w:bookmarkStart w:id="16" w:name="_Toc305153413"/>
      <w:bookmarkStart w:id="17" w:name="_Toc305153631"/>
      <w:bookmarkStart w:id="18" w:name="_Toc305154207"/>
      <w:bookmarkStart w:id="19" w:name="_Toc305155361"/>
      <w:bookmarkStart w:id="20" w:name="_Toc306341891"/>
      <w:bookmarkStart w:id="21" w:name="_Toc306344144"/>
      <w:bookmarkStart w:id="22" w:name="_Toc306344785"/>
      <w:bookmarkStart w:id="23" w:name="_Toc306345026"/>
      <w:bookmarkStart w:id="24" w:name="_Toc311445495"/>
      <w:bookmarkStart w:id="25" w:name="_Toc522219729"/>
      <w:r w:rsidRPr="003E4C15">
        <w:t>A.2</w:t>
      </w:r>
      <w:r w:rsidR="002A0056">
        <w:t>.</w:t>
      </w:r>
      <w:r w:rsidRPr="003E4C15">
        <w:t xml:space="preserve"> Purpose and Use of Information</w:t>
      </w:r>
      <w:bookmarkEnd w:id="16"/>
      <w:bookmarkEnd w:id="17"/>
      <w:bookmarkEnd w:id="18"/>
      <w:bookmarkEnd w:id="19"/>
      <w:bookmarkEnd w:id="20"/>
      <w:bookmarkEnd w:id="21"/>
      <w:bookmarkEnd w:id="22"/>
      <w:bookmarkEnd w:id="23"/>
      <w:bookmarkEnd w:id="24"/>
      <w:r w:rsidR="00186982">
        <w:t xml:space="preserve"> Collection</w:t>
      </w:r>
      <w:bookmarkEnd w:id="25"/>
    </w:p>
    <w:p w14:paraId="7C7ED2A0" w14:textId="77777777" w:rsidR="0068197A" w:rsidRPr="002D0805" w:rsidRDefault="0068197A" w:rsidP="002F40AB">
      <w:pPr>
        <w:autoSpaceDE w:val="0"/>
        <w:autoSpaceDN w:val="0"/>
        <w:adjustRightInd w:val="0"/>
      </w:pPr>
    </w:p>
    <w:p w14:paraId="5D825513" w14:textId="77777777" w:rsidR="000B7DD8" w:rsidRDefault="000B7DD8" w:rsidP="000B7DD8">
      <w:pPr>
        <w:spacing w:after="100" w:afterAutospacing="1" w:line="276" w:lineRule="auto"/>
      </w:pPr>
      <w:r>
        <w:t>The objectives of the EI in Anaconda include:</w:t>
      </w:r>
    </w:p>
    <w:p w14:paraId="6C06ADAA" w14:textId="77777777" w:rsidR="000B7DD8" w:rsidRPr="001842FD" w:rsidRDefault="000B7DD8" w:rsidP="006F62B8">
      <w:pPr>
        <w:pStyle w:val="ListParagraph"/>
        <w:numPr>
          <w:ilvl w:val="0"/>
          <w:numId w:val="9"/>
        </w:numPr>
        <w:spacing w:after="100" w:afterAutospacing="1" w:line="276" w:lineRule="auto"/>
      </w:pPr>
      <w:r w:rsidRPr="001842FD">
        <w:t xml:space="preserve">Evaluate </w:t>
      </w:r>
      <w:r>
        <w:t>b</w:t>
      </w:r>
      <w:r w:rsidRPr="001842FD">
        <w:t xml:space="preserve">lood </w:t>
      </w:r>
      <w:r>
        <w:t>l</w:t>
      </w:r>
      <w:r w:rsidRPr="001842FD">
        <w:t xml:space="preserve">ead </w:t>
      </w:r>
      <w:r>
        <w:t>l</w:t>
      </w:r>
      <w:r w:rsidRPr="001842FD">
        <w:t xml:space="preserve">evels (BLLs) for </w:t>
      </w:r>
      <w:r>
        <w:t>Anaconda residents</w:t>
      </w:r>
      <w:r w:rsidRPr="001842FD">
        <w:t xml:space="preserve"> </w:t>
      </w:r>
      <w:r>
        <w:t>that participate in the investigation.</w:t>
      </w:r>
    </w:p>
    <w:p w14:paraId="574144F3" w14:textId="77777777" w:rsidR="000B7DD8" w:rsidRPr="001842FD" w:rsidRDefault="000B7DD8" w:rsidP="006F62B8">
      <w:pPr>
        <w:pStyle w:val="ListParagraph"/>
        <w:numPr>
          <w:ilvl w:val="1"/>
          <w:numId w:val="12"/>
        </w:numPr>
        <w:spacing w:after="100" w:afterAutospacing="1" w:line="276" w:lineRule="auto"/>
      </w:pPr>
      <w:r>
        <w:t>Recommend</w:t>
      </w:r>
      <w:r w:rsidRPr="001842FD">
        <w:t xml:space="preserve"> case management for participants with BLL ≥5</w:t>
      </w:r>
      <w:r>
        <w:t xml:space="preserve"> micrograms per deciliter (</w:t>
      </w:r>
      <w:r w:rsidRPr="001842FD">
        <w:t>µg/dL</w:t>
      </w:r>
      <w:r>
        <w:t>)</w:t>
      </w:r>
      <w:r w:rsidRPr="001842FD">
        <w:t xml:space="preserve"> </w:t>
      </w:r>
      <w:r>
        <w:t>(CDC reference level)</w:t>
      </w:r>
    </w:p>
    <w:p w14:paraId="7DFEF138" w14:textId="77777777" w:rsidR="000B7DD8" w:rsidRDefault="000B7DD8" w:rsidP="006F62B8">
      <w:pPr>
        <w:pStyle w:val="ListParagraph"/>
        <w:numPr>
          <w:ilvl w:val="2"/>
          <w:numId w:val="12"/>
        </w:numPr>
        <w:spacing w:after="100" w:afterAutospacing="1" w:line="276" w:lineRule="auto"/>
      </w:pPr>
      <w:r w:rsidRPr="001842FD">
        <w:t xml:space="preserve">Recommend follow-up </w:t>
      </w:r>
      <w:r>
        <w:t xml:space="preserve">evaluation </w:t>
      </w:r>
      <w:r w:rsidRPr="001842FD">
        <w:t xml:space="preserve">with a </w:t>
      </w:r>
      <w:r>
        <w:t>Primary Care Physician (PCP) for retesting and developmental and behavioral screening, as needed</w:t>
      </w:r>
    </w:p>
    <w:p w14:paraId="3878F478" w14:textId="77777777" w:rsidR="000B7DD8" w:rsidRDefault="000B7DD8" w:rsidP="006F62B8">
      <w:pPr>
        <w:pStyle w:val="ListParagraph"/>
        <w:numPr>
          <w:ilvl w:val="2"/>
          <w:numId w:val="12"/>
        </w:numPr>
        <w:spacing w:after="100" w:afterAutospacing="1" w:line="276" w:lineRule="auto"/>
      </w:pPr>
      <w:r>
        <w:t>Recommend an early intervention program for children with developmental and behavioral issues, as needed</w:t>
      </w:r>
    </w:p>
    <w:p w14:paraId="134774A4" w14:textId="77777777" w:rsidR="000B7DD8" w:rsidRPr="003065DE" w:rsidRDefault="000B7DD8" w:rsidP="006F62B8">
      <w:pPr>
        <w:pStyle w:val="ListParagraph"/>
        <w:numPr>
          <w:ilvl w:val="2"/>
          <w:numId w:val="12"/>
        </w:numPr>
        <w:spacing w:after="100" w:afterAutospacing="1" w:line="276" w:lineRule="auto"/>
      </w:pPr>
      <w:r w:rsidRPr="00083B22">
        <w:t>Provide information on nutrition that may help to decrease the absorption of lead into the body</w:t>
      </w:r>
      <w:r w:rsidRPr="001A3525">
        <w:t xml:space="preserve"> </w:t>
      </w:r>
    </w:p>
    <w:p w14:paraId="37527146" w14:textId="77777777" w:rsidR="000B7DD8" w:rsidRDefault="000B7DD8" w:rsidP="006F62B8">
      <w:pPr>
        <w:pStyle w:val="ListParagraph"/>
        <w:numPr>
          <w:ilvl w:val="0"/>
          <w:numId w:val="9"/>
        </w:numPr>
        <w:spacing w:after="100" w:afterAutospacing="1" w:line="276" w:lineRule="auto"/>
      </w:pPr>
      <w:r>
        <w:t xml:space="preserve">Evaluate total and inorganic urine arsenic levels for Anaconda residents that participate in the investigation. </w:t>
      </w:r>
    </w:p>
    <w:p w14:paraId="70D05F05" w14:textId="674F4FED" w:rsidR="000B7DD8" w:rsidRDefault="000B7DD8" w:rsidP="006F62B8">
      <w:pPr>
        <w:pStyle w:val="ListParagraph"/>
        <w:numPr>
          <w:ilvl w:val="0"/>
          <w:numId w:val="13"/>
        </w:numPr>
        <w:spacing w:after="100" w:afterAutospacing="1" w:line="276" w:lineRule="auto"/>
      </w:pPr>
      <w:r>
        <w:t>Each participant’s creatinine-corrected, total urinary arsenic level will be compared to the most up-to-date 95</w:t>
      </w:r>
      <w:r w:rsidRPr="00D75352">
        <w:rPr>
          <w:vertAlign w:val="superscript"/>
        </w:rPr>
        <w:t>th</w:t>
      </w:r>
      <w:r>
        <w:t xml:space="preserve"> percentile value reported in the National Health and Nutrition Examination Survey (NHANES). Currently, a value of 29.9 micrograms per gram of creatinine (µg/g Cr) is reported for children aged 6-11 years; 30.5 µg/g Cr for children aged 12-19 years and 54.0 µg/g Cr for adults aged 20 years and older (2013-2014 data). </w:t>
      </w:r>
    </w:p>
    <w:p w14:paraId="04DA45CC" w14:textId="1B3F3331" w:rsidR="000B7DD8" w:rsidRPr="00D75352" w:rsidRDefault="000B7DD8" w:rsidP="006F62B8">
      <w:pPr>
        <w:pStyle w:val="ListParagraph"/>
        <w:numPr>
          <w:ilvl w:val="0"/>
          <w:numId w:val="13"/>
        </w:numPr>
        <w:spacing w:after="100" w:afterAutospacing="1" w:line="276" w:lineRule="auto"/>
      </w:pPr>
      <w:r>
        <w:t>For participants whose creatinine-corrected, total urinary arsenic level is above the appropriate 95</w:t>
      </w:r>
      <w:r w:rsidRPr="0018286A">
        <w:rPr>
          <w:vertAlign w:val="superscript"/>
        </w:rPr>
        <w:t>th</w:t>
      </w:r>
      <w:r>
        <w:t xml:space="preserve"> percentile NHANES value, total inorganic urinary arsenic results will be compared to the most up-to-date 95</w:t>
      </w:r>
      <w:r w:rsidRPr="00D75352">
        <w:rPr>
          <w:vertAlign w:val="superscript"/>
        </w:rPr>
        <w:t>th</w:t>
      </w:r>
      <w:r>
        <w:t xml:space="preserve"> percentile values specific to age group that are reported in NHANES.</w:t>
      </w:r>
    </w:p>
    <w:p w14:paraId="44B443B4" w14:textId="77777777" w:rsidR="000B7DD8" w:rsidRPr="001842FD" w:rsidRDefault="000B7DD8" w:rsidP="006F62B8">
      <w:pPr>
        <w:pStyle w:val="ListParagraph"/>
        <w:numPr>
          <w:ilvl w:val="0"/>
          <w:numId w:val="9"/>
        </w:numPr>
        <w:spacing w:after="100" w:afterAutospacing="1" w:line="276" w:lineRule="auto"/>
        <w:ind w:left="720"/>
      </w:pPr>
      <w:r w:rsidRPr="001842FD">
        <w:t xml:space="preserve">Recommend ways to lower exposure to </w:t>
      </w:r>
      <w:r>
        <w:t>lead and arsenic in the home.</w:t>
      </w:r>
    </w:p>
    <w:p w14:paraId="52962AC1" w14:textId="77777777" w:rsidR="000B7DD8" w:rsidRPr="006A6FF7" w:rsidRDefault="000B7DD8" w:rsidP="006F62B8">
      <w:pPr>
        <w:pStyle w:val="ListParagraph"/>
        <w:numPr>
          <w:ilvl w:val="0"/>
          <w:numId w:val="15"/>
        </w:numPr>
        <w:spacing w:after="100" w:afterAutospacing="1" w:line="276" w:lineRule="auto"/>
        <w:ind w:left="1530" w:hanging="450"/>
      </w:pPr>
      <w:r w:rsidRPr="003065DE">
        <w:t xml:space="preserve">Recommend ways to lower exposure to lead- and arsenic-containing dust in </w:t>
      </w:r>
      <w:r>
        <w:t xml:space="preserve">homes (e.g., </w:t>
      </w:r>
      <w:r w:rsidRPr="003065DE">
        <w:t>attics</w:t>
      </w:r>
      <w:r>
        <w:t>)</w:t>
      </w:r>
      <w:r w:rsidRPr="003065DE">
        <w:t xml:space="preserve"> </w:t>
      </w:r>
    </w:p>
    <w:p w14:paraId="65F30A33" w14:textId="77777777" w:rsidR="000B7DD8" w:rsidRDefault="000B7DD8" w:rsidP="006F62B8">
      <w:pPr>
        <w:pStyle w:val="ListParagraph"/>
        <w:numPr>
          <w:ilvl w:val="0"/>
          <w:numId w:val="15"/>
        </w:numPr>
        <w:spacing w:after="100" w:afterAutospacing="1" w:line="276" w:lineRule="auto"/>
        <w:ind w:left="1530" w:hanging="450"/>
      </w:pPr>
      <w:r>
        <w:t>Assist the community with the identification of available resources for home assessments</w:t>
      </w:r>
    </w:p>
    <w:p w14:paraId="37DB296F" w14:textId="77777777" w:rsidR="000B7DD8" w:rsidRPr="009764DA" w:rsidRDefault="000B7DD8" w:rsidP="006F62B8">
      <w:pPr>
        <w:pStyle w:val="ListParagraph"/>
        <w:numPr>
          <w:ilvl w:val="0"/>
          <w:numId w:val="14"/>
        </w:numPr>
        <w:spacing w:after="100" w:afterAutospacing="1" w:line="276" w:lineRule="auto"/>
        <w:ind w:left="720"/>
      </w:pPr>
      <w:r>
        <w:t>All participants will have the option of discussing their lead and/or arsenic findings with an ATSDR medical officer.</w:t>
      </w:r>
    </w:p>
    <w:p w14:paraId="39F7281C" w14:textId="77777777" w:rsidR="000B7DD8" w:rsidRDefault="000B7DD8" w:rsidP="000B7DD8">
      <w:pPr>
        <w:tabs>
          <w:tab w:val="left" w:pos="1545"/>
        </w:tabs>
      </w:pPr>
    </w:p>
    <w:p w14:paraId="0710AD81" w14:textId="724157FA" w:rsidR="00154C0F" w:rsidRDefault="00F31C3D" w:rsidP="00D94910">
      <w:pPr>
        <w:tabs>
          <w:tab w:val="left" w:pos="1545"/>
        </w:tabs>
        <w:spacing w:line="276" w:lineRule="auto"/>
      </w:pPr>
      <w:r>
        <w:t>Data</w:t>
      </w:r>
      <w:r w:rsidR="0075380A">
        <w:t xml:space="preserve"> </w:t>
      </w:r>
      <w:r w:rsidR="0070071C">
        <w:t xml:space="preserve">from </w:t>
      </w:r>
      <w:r w:rsidR="00154C0F" w:rsidRPr="00C91A37">
        <w:t>ATSDR’s</w:t>
      </w:r>
      <w:r w:rsidR="003732FE">
        <w:t xml:space="preserve"> </w:t>
      </w:r>
      <w:r w:rsidR="000B7DD8">
        <w:t>Anaconda MT</w:t>
      </w:r>
      <w:r w:rsidR="00B21F21">
        <w:t xml:space="preserve"> </w:t>
      </w:r>
      <w:r w:rsidR="00154C0F" w:rsidRPr="00C91A37">
        <w:t>EI report</w:t>
      </w:r>
      <w:r w:rsidR="00B21F21">
        <w:t xml:space="preserve"> may </w:t>
      </w:r>
      <w:r w:rsidR="00DE3B20">
        <w:t xml:space="preserve">also </w:t>
      </w:r>
      <w:r w:rsidR="00B21F21">
        <w:t>be</w:t>
      </w:r>
      <w:r w:rsidR="00154C0F" w:rsidRPr="00C91A37">
        <w:t xml:space="preserve"> used by public health professionals, environmental risk managers, and other decision makers in determining the source and extent of the exposures. </w:t>
      </w:r>
    </w:p>
    <w:p w14:paraId="25DCEBE8" w14:textId="77777777" w:rsidR="00CE0CFF" w:rsidRDefault="00CE0CFF" w:rsidP="00D94910">
      <w:pPr>
        <w:tabs>
          <w:tab w:val="left" w:pos="1545"/>
        </w:tabs>
        <w:spacing w:line="276" w:lineRule="auto"/>
      </w:pPr>
    </w:p>
    <w:p w14:paraId="2752E60B" w14:textId="0A8A2FD5" w:rsidR="00221518" w:rsidRDefault="00CC797F" w:rsidP="00D94910">
      <w:pPr>
        <w:autoSpaceDE w:val="0"/>
        <w:autoSpaceDN w:val="0"/>
        <w:adjustRightInd w:val="0"/>
        <w:spacing w:line="276" w:lineRule="auto"/>
        <w:rPr>
          <w:bCs/>
        </w:rPr>
      </w:pPr>
      <w:r>
        <w:t>ATSDR</w:t>
      </w:r>
      <w:r w:rsidR="00375D68">
        <w:t xml:space="preserve"> will produce </w:t>
      </w:r>
      <w:r w:rsidR="00B21F21">
        <w:t xml:space="preserve">this </w:t>
      </w:r>
      <w:r w:rsidR="00375D68">
        <w:t xml:space="preserve">needed information to support public health action. Further, </w:t>
      </w:r>
      <w:r w:rsidR="00FC0A68">
        <w:t>th</w:t>
      </w:r>
      <w:r w:rsidR="008553BA">
        <w:t>e results of th</w:t>
      </w:r>
      <w:r w:rsidR="00B21F21">
        <w:t>is</w:t>
      </w:r>
      <w:r w:rsidR="008553BA">
        <w:t xml:space="preserve"> EI are</w:t>
      </w:r>
      <w:r w:rsidR="00096C93">
        <w:t xml:space="preserve"> </w:t>
      </w:r>
      <w:r w:rsidR="008553BA">
        <w:t>not</w:t>
      </w:r>
      <w:r w:rsidR="00D37683">
        <w:t xml:space="preserve"> intended to be</w:t>
      </w:r>
      <w:r w:rsidR="008553BA">
        <w:t xml:space="preserve"> generaliz</w:t>
      </w:r>
      <w:r w:rsidR="0015682F">
        <w:t>ed</w:t>
      </w:r>
      <w:r w:rsidR="008553BA">
        <w:t xml:space="preserve"> and are applicable only to the participants.  </w:t>
      </w:r>
    </w:p>
    <w:p w14:paraId="325007C4" w14:textId="77777777" w:rsidR="00255CE9" w:rsidRPr="004025FF" w:rsidRDefault="00255CE9" w:rsidP="00D94910">
      <w:pPr>
        <w:autoSpaceDE w:val="0"/>
        <w:autoSpaceDN w:val="0"/>
        <w:adjustRightInd w:val="0"/>
        <w:spacing w:line="276" w:lineRule="auto"/>
      </w:pPr>
    </w:p>
    <w:p w14:paraId="40C9505B" w14:textId="77777777" w:rsidR="00A821CE" w:rsidRDefault="009901D9" w:rsidP="00D94910">
      <w:pPr>
        <w:tabs>
          <w:tab w:val="left" w:pos="1545"/>
        </w:tabs>
        <w:spacing w:line="276" w:lineRule="auto"/>
        <w:rPr>
          <w:i/>
        </w:rPr>
      </w:pPr>
      <w:bookmarkStart w:id="26" w:name="_Toc305153414"/>
      <w:bookmarkStart w:id="27" w:name="_Toc305153632"/>
      <w:bookmarkStart w:id="28" w:name="_Toc305154208"/>
      <w:bookmarkStart w:id="29" w:name="_Toc305155362"/>
      <w:bookmarkStart w:id="30" w:name="_Toc306341892"/>
      <w:bookmarkStart w:id="31" w:name="_Toc306344145"/>
      <w:bookmarkStart w:id="32" w:name="_Toc306344786"/>
      <w:bookmarkStart w:id="33" w:name="_Toc306345027"/>
      <w:bookmarkStart w:id="34" w:name="_Toc311445496"/>
      <w:r>
        <w:t xml:space="preserve">ATSDR only collects information that will help us interpret the laboratory data and recognize likely exposure scenarios. </w:t>
      </w:r>
      <w:r w:rsidR="00A821CE">
        <w:t xml:space="preserve">Once we conduct an EI, we match the unique answers given by participants with their laboratory results or environmental samples to determine whether intervention is needed on an individual level. The information collection is therefore </w:t>
      </w:r>
      <w:r w:rsidR="00A821CE">
        <w:rPr>
          <w:i/>
        </w:rPr>
        <w:t>inherently person- or location-specific</w:t>
      </w:r>
      <w:r w:rsidR="00DD4D45">
        <w:rPr>
          <w:i/>
        </w:rPr>
        <w:t>.</w:t>
      </w:r>
    </w:p>
    <w:p w14:paraId="061C8F86" w14:textId="77777777" w:rsidR="000664AD" w:rsidRDefault="000664AD" w:rsidP="00D94910">
      <w:pPr>
        <w:tabs>
          <w:tab w:val="left" w:pos="1545"/>
        </w:tabs>
        <w:spacing w:line="276" w:lineRule="auto"/>
        <w:rPr>
          <w:i/>
        </w:rPr>
      </w:pPr>
    </w:p>
    <w:p w14:paraId="10BAC0B4" w14:textId="77777777" w:rsidR="00A821CE" w:rsidRDefault="00A821CE" w:rsidP="00D94910">
      <w:pPr>
        <w:spacing w:line="276" w:lineRule="auto"/>
      </w:pPr>
      <w:r>
        <w:t xml:space="preserve">Data are treated </w:t>
      </w:r>
      <w:r w:rsidR="003A5B61">
        <w:t>to protect privacy</w:t>
      </w:r>
      <w:r>
        <w:t>; access to computer files is password-protected and access is limited to authorized EI personnel</w:t>
      </w:r>
      <w:r w:rsidR="00167F85">
        <w:t>, including contracto</w:t>
      </w:r>
      <w:r w:rsidR="0039614F">
        <w:t>r</w:t>
      </w:r>
      <w:r w:rsidR="00167F85">
        <w:t>s</w:t>
      </w:r>
      <w:r>
        <w:t>. All staff working on the project agrees to safeguard the data and not to make unauthorized disclosures. Published reports may present responses in aggregate form and no individuals are identified by name.</w:t>
      </w:r>
    </w:p>
    <w:p w14:paraId="13032280" w14:textId="77777777" w:rsidR="006D3381" w:rsidRDefault="006D3381" w:rsidP="00D94910">
      <w:pPr>
        <w:spacing w:line="276" w:lineRule="auto"/>
      </w:pPr>
    </w:p>
    <w:p w14:paraId="677F75A2" w14:textId="3E579DB6" w:rsidR="00322A9F" w:rsidRPr="00D531DA" w:rsidRDefault="00322A9F" w:rsidP="00216DEF">
      <w:pPr>
        <w:pStyle w:val="Heading2"/>
      </w:pPr>
      <w:bookmarkStart w:id="35" w:name="_Toc522219730"/>
      <w:r w:rsidRPr="00D531DA">
        <w:t>A.3</w:t>
      </w:r>
      <w:r w:rsidR="002A0056">
        <w:t>.</w:t>
      </w:r>
      <w:r w:rsidRPr="00D531DA">
        <w:t xml:space="preserve"> Use of Improved Information Technology and Burden Reduction</w:t>
      </w:r>
      <w:bookmarkEnd w:id="26"/>
      <w:bookmarkEnd w:id="27"/>
      <w:bookmarkEnd w:id="28"/>
      <w:bookmarkEnd w:id="29"/>
      <w:bookmarkEnd w:id="30"/>
      <w:bookmarkEnd w:id="31"/>
      <w:bookmarkEnd w:id="32"/>
      <w:bookmarkEnd w:id="33"/>
      <w:bookmarkEnd w:id="34"/>
      <w:bookmarkEnd w:id="35"/>
    </w:p>
    <w:p w14:paraId="1FD0A331" w14:textId="77777777" w:rsidR="00F01A85" w:rsidRDefault="00F01A85" w:rsidP="00167F85">
      <w:pPr>
        <w:tabs>
          <w:tab w:val="left" w:pos="1545"/>
        </w:tabs>
      </w:pPr>
    </w:p>
    <w:p w14:paraId="22115263" w14:textId="772738F5" w:rsidR="009704E2" w:rsidRDefault="00167F85" w:rsidP="00D94910">
      <w:pPr>
        <w:tabs>
          <w:tab w:val="left" w:pos="1545"/>
        </w:tabs>
        <w:spacing w:line="276" w:lineRule="auto"/>
      </w:pPr>
      <w:r>
        <w:t xml:space="preserve">ATSDR </w:t>
      </w:r>
      <w:r w:rsidR="00BE03A0">
        <w:t xml:space="preserve">will </w:t>
      </w:r>
      <w:r w:rsidR="0002723A">
        <w:t>conduct computer-assisted personal</w:t>
      </w:r>
      <w:r w:rsidR="00394595">
        <w:t xml:space="preserve"> </w:t>
      </w:r>
      <w:r w:rsidR="00BE03A0">
        <w:t>interview</w:t>
      </w:r>
      <w:r w:rsidR="00394595">
        <w:t xml:space="preserve">s </w:t>
      </w:r>
      <w:r w:rsidR="0002723A">
        <w:t xml:space="preserve">(CAPIs) </w:t>
      </w:r>
      <w:r w:rsidR="000B7DD8">
        <w:t xml:space="preserve">at the sample collection location and may also </w:t>
      </w:r>
      <w:r w:rsidR="00C04F17">
        <w:t>complete</w:t>
      </w:r>
      <w:r w:rsidR="003732FE">
        <w:t xml:space="preserve"> a hard-copy </w:t>
      </w:r>
      <w:r w:rsidR="00C04F17">
        <w:t xml:space="preserve">questionnaire </w:t>
      </w:r>
      <w:r w:rsidR="00394595">
        <w:t>with</w:t>
      </w:r>
      <w:r w:rsidR="00BE03A0">
        <w:t xml:space="preserve"> the participants</w:t>
      </w:r>
      <w:r w:rsidR="003732FE">
        <w:t xml:space="preserve">. </w:t>
      </w:r>
      <w:r w:rsidR="00394595">
        <w:rPr>
          <w:color w:val="000000"/>
        </w:rPr>
        <w:t xml:space="preserve">The information will be recorded electronically on a laptop computer. </w:t>
      </w:r>
    </w:p>
    <w:p w14:paraId="0D9273AA" w14:textId="0191857B" w:rsidR="0068197A" w:rsidRDefault="0068197A" w:rsidP="00186982">
      <w:pPr>
        <w:pStyle w:val="Heading2"/>
      </w:pPr>
      <w:bookmarkStart w:id="36" w:name="_Toc305153415"/>
      <w:bookmarkStart w:id="37" w:name="_Toc305153633"/>
      <w:bookmarkStart w:id="38" w:name="_Toc305154209"/>
      <w:bookmarkStart w:id="39" w:name="_Toc305155363"/>
      <w:bookmarkStart w:id="40" w:name="_Toc306341893"/>
      <w:bookmarkStart w:id="41" w:name="_Toc306344146"/>
      <w:bookmarkStart w:id="42" w:name="_Toc306344787"/>
      <w:bookmarkStart w:id="43" w:name="_Toc306345028"/>
      <w:bookmarkStart w:id="44" w:name="_Toc311445497"/>
      <w:bookmarkStart w:id="45" w:name="_Toc522219731"/>
      <w:r w:rsidRPr="004F54A8">
        <w:t>A.4</w:t>
      </w:r>
      <w:r w:rsidR="002A0056">
        <w:t>.</w:t>
      </w:r>
      <w:r w:rsidRPr="004F54A8">
        <w:t xml:space="preserve"> Efforts </w:t>
      </w:r>
      <w:r w:rsidR="00261215">
        <w:t xml:space="preserve">to </w:t>
      </w:r>
      <w:r w:rsidRPr="004F54A8">
        <w:t>Identify Duplication and Use of Similar Information</w:t>
      </w:r>
      <w:bookmarkEnd w:id="36"/>
      <w:bookmarkEnd w:id="37"/>
      <w:bookmarkEnd w:id="38"/>
      <w:bookmarkEnd w:id="39"/>
      <w:bookmarkEnd w:id="40"/>
      <w:bookmarkEnd w:id="41"/>
      <w:bookmarkEnd w:id="42"/>
      <w:bookmarkEnd w:id="43"/>
      <w:bookmarkEnd w:id="44"/>
      <w:bookmarkEnd w:id="45"/>
    </w:p>
    <w:p w14:paraId="466BF01D" w14:textId="77777777" w:rsidR="004F54A8" w:rsidRPr="004F54A8" w:rsidRDefault="004F54A8" w:rsidP="004F54A8"/>
    <w:p w14:paraId="46CD916D" w14:textId="51A7D94A" w:rsidR="00AE6CFC" w:rsidRDefault="00B75065" w:rsidP="00E329B2">
      <w:pPr>
        <w:spacing w:after="100" w:afterAutospacing="1" w:line="276" w:lineRule="auto"/>
      </w:pPr>
      <w:r w:rsidRPr="00404A8D">
        <w:t xml:space="preserve"> </w:t>
      </w:r>
      <w:r w:rsidR="00AE6CFC">
        <w:t xml:space="preserve">In the past, several biomonitoring investigations have been conducted evaluating potential exposure to residents exposed to environmental contaminants from smelting activities. The ATSDR Health Consultation </w:t>
      </w:r>
      <w:r w:rsidR="00E329B2">
        <w:t xml:space="preserve">[ATSDR </w:t>
      </w:r>
      <w:r w:rsidR="002A756C">
        <w:t>2007</w:t>
      </w:r>
      <w:r w:rsidR="00E329B2">
        <w:t>]</w:t>
      </w:r>
      <w:r w:rsidR="00AE6CFC">
        <w:t xml:space="preserve"> provides information on the past biomonitoring events in the Anaconda area</w:t>
      </w:r>
      <w:r w:rsidR="002A756C">
        <w:t>. The results of biomonitoring events from 1977-1997 indicated that arsenic levels are elevated above background levels (arsenic</w:t>
      </w:r>
      <w:r w:rsidR="0017344E">
        <w:t xml:space="preserve"> in hair, blood and urine were higher in Anaconda than in non-smelter-related towns). A correlation between soil arsenic and </w:t>
      </w:r>
      <w:r w:rsidR="00E329B2">
        <w:t xml:space="preserve">speciated </w:t>
      </w:r>
      <w:r w:rsidR="0017344E">
        <w:t xml:space="preserve">urine arsenic has also been found </w:t>
      </w:r>
      <w:r w:rsidR="00E329B2">
        <w:t>in</w:t>
      </w:r>
      <w:r w:rsidR="0017344E">
        <w:t xml:space="preserve"> Anaconda</w:t>
      </w:r>
      <w:r w:rsidR="00AE6CFC">
        <w:t>.</w:t>
      </w:r>
    </w:p>
    <w:p w14:paraId="5750DFE2" w14:textId="02B4D4AD" w:rsidR="00AE6CFC" w:rsidRDefault="00AE6CFC" w:rsidP="00AE6CFC">
      <w:pPr>
        <w:spacing w:after="100" w:afterAutospacing="1" w:line="276" w:lineRule="auto"/>
      </w:pPr>
      <w:r>
        <w:t>The 2007 ATSDR Health Consultation concluded that “biomonitoring of children in the Anaconda area has been useful to indicate elevated past exposures while the smelter operated and, later, in the Mill Creek area of the site. More recent measurements showed average urine arsenic levels to be similar to control towns; however, some children still had elevated arsenic levels, indicating the need to continue to address arsenic exposures at the site” [ATSDR 2007].</w:t>
      </w:r>
    </w:p>
    <w:p w14:paraId="3EB94C9E" w14:textId="138A7DD4" w:rsidR="00E329B2" w:rsidRDefault="00AE6CFC" w:rsidP="00AE6CFC">
      <w:pPr>
        <w:spacing w:after="100" w:afterAutospacing="1" w:line="276" w:lineRule="auto"/>
      </w:pPr>
      <w:r>
        <w:t>In 2013, ARCO contracted with ENVIRON International Corporation in consultation with ADLC to conduct a baseline blood lead and urinary arsenic biomonitoring study to evaluate potential exposure of residents in the Anaconda area. Blood lead and urine arsenic sampling was offered to community members</w:t>
      </w:r>
      <w:r w:rsidR="00E329B2">
        <w:t xml:space="preserve">. Results indicated that blood lead </w:t>
      </w:r>
      <w:r w:rsidR="006F62B8">
        <w:t xml:space="preserve">(maximum of 5.4 µg/dL in a participant 7 years or older) </w:t>
      </w:r>
      <w:r w:rsidR="00E329B2">
        <w:t xml:space="preserve">and urine arsenic were </w:t>
      </w:r>
      <w:r w:rsidR="006F62B8">
        <w:t xml:space="preserve">found in Anaconda residents. </w:t>
      </w:r>
    </w:p>
    <w:p w14:paraId="4309EBFB" w14:textId="556CA1B4" w:rsidR="006F62B8" w:rsidRDefault="006F62B8" w:rsidP="00AE6CFC">
      <w:pPr>
        <w:spacing w:after="100" w:afterAutospacing="1" w:line="276" w:lineRule="auto"/>
      </w:pPr>
      <w:r>
        <w:t>The results of past biomonitoring events indicate that residents are likely to still be exposed to lead and arsenic in the environment as a result of past smelting activities in Anaconda.</w:t>
      </w:r>
    </w:p>
    <w:p w14:paraId="37452450" w14:textId="3C4B66FC" w:rsidR="006F62B8" w:rsidRDefault="006F62B8" w:rsidP="006F62B8">
      <w:pPr>
        <w:spacing w:after="100" w:afterAutospacing="1" w:line="276" w:lineRule="auto"/>
      </w:pPr>
      <w:r>
        <w:t xml:space="preserve">In May 2018, ATSDR, in partnership with the MDPHHS and the ADLC Health Department, hosted a listening sessions in Anaconda to address community concerns. Fifty-four people provided detailed accounts of their health concerns as they relate to contamination at the site. </w:t>
      </w:r>
    </w:p>
    <w:p w14:paraId="728EEDD2" w14:textId="2F0507D8" w:rsidR="006F62B8" w:rsidRDefault="006F62B8" w:rsidP="006F62B8">
      <w:pPr>
        <w:spacing w:after="100" w:afterAutospacing="1" w:line="276" w:lineRule="auto"/>
      </w:pPr>
      <w:r>
        <w:t xml:space="preserve">Many concerns related to potential exposure to arsenic from soil, household dust, and particulate matter blowing off the slag piles on windy days. Community members also worried about children’s health and expressed concern that autoimmune and neurodegenerative diseases were elevated in Anaconda. </w:t>
      </w:r>
    </w:p>
    <w:p w14:paraId="6F0ABC1D" w14:textId="3E5877A0" w:rsidR="006F62B8" w:rsidRDefault="006F62B8" w:rsidP="006F62B8">
      <w:pPr>
        <w:spacing w:after="100" w:afterAutospacing="1" w:line="276" w:lineRule="auto"/>
      </w:pPr>
      <w:r>
        <w:t>An Exposure Investigation will address community concerns associated with continued exposure to lead and arsenic in site media.</w:t>
      </w:r>
    </w:p>
    <w:p w14:paraId="0ACB9390" w14:textId="2BA1DBEC" w:rsidR="00322A9F" w:rsidRPr="004F54A8" w:rsidRDefault="00322A9F" w:rsidP="00844EC5">
      <w:pPr>
        <w:pStyle w:val="Heading2"/>
        <w:spacing w:before="0"/>
      </w:pPr>
      <w:bookmarkStart w:id="46" w:name="_Toc305153416"/>
      <w:bookmarkStart w:id="47" w:name="_Toc305153634"/>
      <w:bookmarkStart w:id="48" w:name="_Toc305154210"/>
      <w:bookmarkStart w:id="49" w:name="_Toc305155364"/>
      <w:bookmarkStart w:id="50" w:name="_Toc306341894"/>
      <w:bookmarkStart w:id="51" w:name="_Toc306344147"/>
      <w:bookmarkStart w:id="52" w:name="_Toc306344788"/>
      <w:bookmarkStart w:id="53" w:name="_Toc306345029"/>
      <w:bookmarkStart w:id="54" w:name="_Toc311445498"/>
      <w:bookmarkStart w:id="55" w:name="_Toc522219732"/>
      <w:r w:rsidRPr="004F54A8">
        <w:t>A.5</w:t>
      </w:r>
      <w:r w:rsidR="002A0056">
        <w:t>.</w:t>
      </w:r>
      <w:r w:rsidRPr="004F54A8">
        <w:t xml:space="preserve"> Impact on Small Business</w:t>
      </w:r>
      <w:r w:rsidR="00261215">
        <w:t>es</w:t>
      </w:r>
      <w:r w:rsidRPr="004F54A8">
        <w:t xml:space="preserve"> or Other Small Entities</w:t>
      </w:r>
      <w:bookmarkEnd w:id="46"/>
      <w:bookmarkEnd w:id="47"/>
      <w:bookmarkEnd w:id="48"/>
      <w:bookmarkEnd w:id="49"/>
      <w:bookmarkEnd w:id="50"/>
      <w:bookmarkEnd w:id="51"/>
      <w:bookmarkEnd w:id="52"/>
      <w:bookmarkEnd w:id="53"/>
      <w:bookmarkEnd w:id="54"/>
      <w:bookmarkEnd w:id="55"/>
    </w:p>
    <w:p w14:paraId="3EE89F47" w14:textId="77777777" w:rsidR="004F54A8" w:rsidRDefault="004F54A8" w:rsidP="002F40AB">
      <w:pPr>
        <w:autoSpaceDE w:val="0"/>
        <w:autoSpaceDN w:val="0"/>
        <w:adjustRightInd w:val="0"/>
        <w:rPr>
          <w:rFonts w:ascii="TimesNewRoman" w:hAnsi="TimesNewRoman" w:cs="TimesNewRoman"/>
        </w:rPr>
      </w:pPr>
    </w:p>
    <w:p w14:paraId="7D3347D2" w14:textId="7AE3883D" w:rsidR="00D55B9B" w:rsidRDefault="00C844C8" w:rsidP="00D94910">
      <w:pPr>
        <w:tabs>
          <w:tab w:val="left" w:pos="1545"/>
        </w:tabs>
        <w:spacing w:line="276" w:lineRule="auto"/>
      </w:pPr>
      <w:bookmarkStart w:id="56" w:name="_Toc305153417"/>
      <w:bookmarkStart w:id="57" w:name="_Toc305153635"/>
      <w:bookmarkStart w:id="58" w:name="_Toc305154211"/>
      <w:bookmarkStart w:id="59" w:name="_Toc305155365"/>
      <w:bookmarkStart w:id="60" w:name="_Toc306341895"/>
      <w:bookmarkStart w:id="61" w:name="_Toc306344148"/>
      <w:bookmarkStart w:id="62" w:name="_Toc306344789"/>
      <w:bookmarkStart w:id="63" w:name="_Toc306345030"/>
      <w:bookmarkStart w:id="64" w:name="_Toc311445499"/>
      <w:r>
        <w:t xml:space="preserve">The only small businesses that may be included in the </w:t>
      </w:r>
      <w:r w:rsidR="006F62B8">
        <w:t>Anaconda MT</w:t>
      </w:r>
      <w:r>
        <w:t xml:space="preserve"> EI include daycare centers and preschool/elementary schools. </w:t>
      </w:r>
      <w:r w:rsidR="00257CCF">
        <w:t>These facilities will be approached for recruitment of children that attend the facility.</w:t>
      </w:r>
    </w:p>
    <w:p w14:paraId="33574C1C" w14:textId="6B930E95" w:rsidR="00322A9F" w:rsidRPr="004F54A8" w:rsidRDefault="00322A9F" w:rsidP="00186982">
      <w:pPr>
        <w:pStyle w:val="Heading2"/>
      </w:pPr>
      <w:bookmarkStart w:id="65" w:name="_Toc522219733"/>
      <w:r w:rsidRPr="004F54A8">
        <w:t>A.6</w:t>
      </w:r>
      <w:r w:rsidR="002A0056">
        <w:t>.</w:t>
      </w:r>
      <w:r w:rsidRPr="004F54A8">
        <w:t xml:space="preserve"> Consequences of Collecting the Information Less Frequently</w:t>
      </w:r>
      <w:bookmarkEnd w:id="56"/>
      <w:bookmarkEnd w:id="57"/>
      <w:bookmarkEnd w:id="58"/>
      <w:bookmarkEnd w:id="59"/>
      <w:bookmarkEnd w:id="60"/>
      <w:bookmarkEnd w:id="61"/>
      <w:bookmarkEnd w:id="62"/>
      <w:bookmarkEnd w:id="63"/>
      <w:bookmarkEnd w:id="64"/>
      <w:bookmarkEnd w:id="65"/>
    </w:p>
    <w:p w14:paraId="370F9BB9" w14:textId="77777777" w:rsidR="004F54A8" w:rsidRPr="002D0805" w:rsidRDefault="004F54A8" w:rsidP="004F54A8">
      <w:pPr>
        <w:autoSpaceDE w:val="0"/>
        <w:autoSpaceDN w:val="0"/>
        <w:adjustRightInd w:val="0"/>
        <w:rPr>
          <w:b/>
          <w:bCs/>
        </w:rPr>
      </w:pPr>
    </w:p>
    <w:p w14:paraId="6CD5E1F8" w14:textId="60C068BE" w:rsidR="00164F2C" w:rsidRDefault="000A2598" w:rsidP="00D94910">
      <w:pPr>
        <w:tabs>
          <w:tab w:val="left" w:pos="1545"/>
        </w:tabs>
        <w:spacing w:line="276" w:lineRule="auto"/>
      </w:pPr>
      <w:r>
        <w:t xml:space="preserve">This request is for a </w:t>
      </w:r>
      <w:r w:rsidR="006F62B8">
        <w:t>one</w:t>
      </w:r>
      <w:r w:rsidR="00DD5453">
        <w:t>-time</w:t>
      </w:r>
      <w:r>
        <w:t xml:space="preserve"> data collection</w:t>
      </w:r>
      <w:r w:rsidR="006F62B8">
        <w:t xml:space="preserve"> in the fall of 2018</w:t>
      </w:r>
      <w:r>
        <w:t xml:space="preserve">. </w:t>
      </w:r>
      <w:r w:rsidR="00A6396B">
        <w:t>There are no legal obstacles to reduce the burden.</w:t>
      </w:r>
      <w:bookmarkStart w:id="66" w:name="_Toc305155366"/>
      <w:bookmarkStart w:id="67" w:name="_Toc306341896"/>
      <w:bookmarkStart w:id="68" w:name="_Toc306344149"/>
      <w:bookmarkStart w:id="69" w:name="_Toc306344790"/>
      <w:bookmarkStart w:id="70" w:name="_Toc306345031"/>
      <w:bookmarkStart w:id="71" w:name="_Toc311445500"/>
    </w:p>
    <w:p w14:paraId="644AD829" w14:textId="4722C310" w:rsidR="00322A9F" w:rsidRPr="00266092" w:rsidRDefault="00322A9F" w:rsidP="00D94910">
      <w:pPr>
        <w:pStyle w:val="Heading2"/>
        <w:spacing w:line="276" w:lineRule="auto"/>
      </w:pPr>
      <w:bookmarkStart w:id="72" w:name="_Toc522219734"/>
      <w:r w:rsidRPr="00266092">
        <w:t>A.7</w:t>
      </w:r>
      <w:r w:rsidR="002A0056">
        <w:t>.</w:t>
      </w:r>
      <w:r w:rsidRPr="00266092">
        <w:t xml:space="preserve"> Special Circumstances Relating to the Guidelines of 5 CFR 1320.5</w:t>
      </w:r>
      <w:bookmarkEnd w:id="66"/>
      <w:bookmarkEnd w:id="67"/>
      <w:bookmarkEnd w:id="68"/>
      <w:bookmarkEnd w:id="69"/>
      <w:bookmarkEnd w:id="70"/>
      <w:bookmarkEnd w:id="71"/>
      <w:bookmarkEnd w:id="72"/>
    </w:p>
    <w:p w14:paraId="26537A7B" w14:textId="77777777" w:rsidR="004F54A8" w:rsidRDefault="004F54A8" w:rsidP="00D94910">
      <w:pPr>
        <w:autoSpaceDE w:val="0"/>
        <w:autoSpaceDN w:val="0"/>
        <w:adjustRightInd w:val="0"/>
        <w:spacing w:line="276" w:lineRule="auto"/>
        <w:rPr>
          <w:rFonts w:ascii="TimesNewRoman" w:hAnsi="TimesNewRoman" w:cs="TimesNewRoman"/>
        </w:rPr>
      </w:pPr>
    </w:p>
    <w:p w14:paraId="6B8E9580" w14:textId="77777777" w:rsidR="0073591C" w:rsidRPr="002D0805" w:rsidRDefault="00322A9F" w:rsidP="00D94910">
      <w:pPr>
        <w:autoSpaceDE w:val="0"/>
        <w:autoSpaceDN w:val="0"/>
        <w:adjustRightInd w:val="0"/>
        <w:spacing w:line="276" w:lineRule="auto"/>
        <w:rPr>
          <w:b/>
          <w:bCs/>
        </w:rPr>
      </w:pPr>
      <w:r w:rsidRPr="002D0805">
        <w:rPr>
          <w:rFonts w:ascii="TimesNewRoman" w:hAnsi="TimesNewRoman" w:cs="TimesNewRoman"/>
        </w:rPr>
        <w:t>There are no special circumstances associated with this data collection. The data</w:t>
      </w:r>
      <w:r w:rsidR="00E34DE4" w:rsidRPr="002D0805">
        <w:rPr>
          <w:rFonts w:ascii="TimesNewRoman" w:hAnsi="TimesNewRoman" w:cs="TimesNewRoman"/>
        </w:rPr>
        <w:t xml:space="preserve"> collection will fully comply</w:t>
      </w:r>
      <w:r w:rsidRPr="002D0805">
        <w:rPr>
          <w:rFonts w:ascii="TimesNewRoman" w:hAnsi="TimesNewRoman" w:cs="TimesNewRoman"/>
        </w:rPr>
        <w:t xml:space="preserve"> with the guidelines of 5 CFR 1320.5</w:t>
      </w:r>
      <w:r w:rsidR="000A2598">
        <w:rPr>
          <w:rFonts w:ascii="TimesNewRoman" w:hAnsi="TimesNewRoman" w:cs="TimesNewRoman"/>
        </w:rPr>
        <w:t xml:space="preserve"> and will be voluntary</w:t>
      </w:r>
      <w:r w:rsidRPr="002D0805">
        <w:rPr>
          <w:rFonts w:ascii="TimesNewRoman" w:hAnsi="TimesNewRoman" w:cs="TimesNewRoman"/>
        </w:rPr>
        <w:t>.</w:t>
      </w:r>
    </w:p>
    <w:p w14:paraId="580A4104" w14:textId="77777777" w:rsidR="00A077EB" w:rsidRDefault="00A077EB" w:rsidP="00D94910">
      <w:pPr>
        <w:pStyle w:val="Heading2"/>
        <w:spacing w:before="0" w:line="276" w:lineRule="auto"/>
      </w:pPr>
      <w:bookmarkStart w:id="73" w:name="_Toc305155367"/>
      <w:bookmarkStart w:id="74" w:name="_Toc306341897"/>
      <w:bookmarkStart w:id="75" w:name="_Toc306344150"/>
      <w:bookmarkStart w:id="76" w:name="_Toc306344791"/>
      <w:bookmarkStart w:id="77" w:name="_Toc306345032"/>
      <w:bookmarkStart w:id="78" w:name="_Toc311445501"/>
    </w:p>
    <w:p w14:paraId="1C6D177D" w14:textId="710490E8" w:rsidR="007E0E75" w:rsidRPr="003934D6" w:rsidRDefault="00322A9F" w:rsidP="00D94910">
      <w:pPr>
        <w:pStyle w:val="Heading2"/>
        <w:spacing w:before="0" w:line="276" w:lineRule="auto"/>
      </w:pPr>
      <w:bookmarkStart w:id="79" w:name="_Toc522219735"/>
      <w:r w:rsidRPr="003934D6">
        <w:t>A.8</w:t>
      </w:r>
      <w:r w:rsidR="002A0056">
        <w:t>.</w:t>
      </w:r>
      <w:r w:rsidRPr="003934D6">
        <w:t xml:space="preserve"> Comments in Response to the Federal Register Notice and Efforts to Consult Outside</w:t>
      </w:r>
      <w:bookmarkEnd w:id="73"/>
      <w:bookmarkEnd w:id="74"/>
      <w:bookmarkEnd w:id="75"/>
      <w:bookmarkEnd w:id="76"/>
      <w:bookmarkEnd w:id="77"/>
      <w:bookmarkEnd w:id="78"/>
      <w:r w:rsidR="00186982" w:rsidRPr="003934D6">
        <w:t xml:space="preserve"> the Agency</w:t>
      </w:r>
      <w:bookmarkEnd w:id="79"/>
      <w:r w:rsidR="00186982" w:rsidRPr="003934D6">
        <w:t xml:space="preserve"> </w:t>
      </w:r>
    </w:p>
    <w:p w14:paraId="202AD281" w14:textId="77777777" w:rsidR="003934D6" w:rsidRPr="003934D6" w:rsidRDefault="003934D6" w:rsidP="00D94910">
      <w:pPr>
        <w:autoSpaceDE w:val="0"/>
        <w:autoSpaceDN w:val="0"/>
        <w:adjustRightInd w:val="0"/>
        <w:spacing w:line="276" w:lineRule="auto"/>
        <w:rPr>
          <w:rFonts w:asciiTheme="majorHAnsi" w:hAnsiTheme="majorHAnsi"/>
          <w:b/>
          <w:bCs/>
          <w:sz w:val="26"/>
          <w:szCs w:val="26"/>
        </w:rPr>
      </w:pPr>
    </w:p>
    <w:p w14:paraId="25DA6C44" w14:textId="15D5B891" w:rsidR="00DD5453" w:rsidRDefault="000A2598" w:rsidP="00D94910">
      <w:pPr>
        <w:tabs>
          <w:tab w:val="left" w:pos="1545"/>
        </w:tabs>
        <w:spacing w:line="276" w:lineRule="auto"/>
        <w:rPr>
          <w:color w:val="000000"/>
        </w:rPr>
      </w:pPr>
      <w:r>
        <w:rPr>
          <w:color w:val="000000"/>
        </w:rPr>
        <w:t xml:space="preserve">This data collection is being conducted using the Generic Information Collection mechanism for Exposure Investigations – OMB </w:t>
      </w:r>
      <w:r w:rsidR="00CB584F">
        <w:rPr>
          <w:color w:val="000000"/>
        </w:rPr>
        <w:t xml:space="preserve">Control </w:t>
      </w:r>
      <w:r>
        <w:rPr>
          <w:color w:val="000000"/>
        </w:rPr>
        <w:t>No. 0923-0048</w:t>
      </w:r>
      <w:r w:rsidR="001A7EA9">
        <w:rPr>
          <w:color w:val="000000"/>
        </w:rPr>
        <w:t xml:space="preserve"> (expiration date: 0</w:t>
      </w:r>
      <w:r w:rsidR="00EE7C07">
        <w:rPr>
          <w:color w:val="000000"/>
        </w:rPr>
        <w:t>3</w:t>
      </w:r>
      <w:r w:rsidR="001A7EA9">
        <w:rPr>
          <w:color w:val="000000"/>
        </w:rPr>
        <w:t>/31/201</w:t>
      </w:r>
      <w:r w:rsidR="00EE7C07">
        <w:rPr>
          <w:color w:val="000000"/>
        </w:rPr>
        <w:t>9</w:t>
      </w:r>
      <w:r w:rsidR="001A7EA9">
        <w:rPr>
          <w:color w:val="000000"/>
        </w:rPr>
        <w:t>)</w:t>
      </w:r>
      <w:r>
        <w:rPr>
          <w:color w:val="000000"/>
        </w:rPr>
        <w:t xml:space="preserve">.  A </w:t>
      </w:r>
      <w:r w:rsidR="00A6396B">
        <w:t xml:space="preserve">60-day Federal Register </w:t>
      </w:r>
      <w:r w:rsidR="00DD5453">
        <w:t>N</w:t>
      </w:r>
      <w:r w:rsidR="00A6396B">
        <w:t xml:space="preserve">otice was published in the </w:t>
      </w:r>
      <w:r w:rsidR="00A6396B" w:rsidRPr="0039614F">
        <w:rPr>
          <w:i/>
        </w:rPr>
        <w:t>Federal Register</w:t>
      </w:r>
      <w:r w:rsidR="00A6396B">
        <w:t xml:space="preserve">, Vol. </w:t>
      </w:r>
      <w:r w:rsidR="00C96CF6">
        <w:t>80</w:t>
      </w:r>
      <w:r w:rsidR="00A6396B">
        <w:t xml:space="preserve">, No. </w:t>
      </w:r>
      <w:r w:rsidR="00C96CF6">
        <w:t>189</w:t>
      </w:r>
      <w:r w:rsidR="00A6396B">
        <w:t xml:space="preserve"> on </w:t>
      </w:r>
      <w:r w:rsidR="00C96CF6">
        <w:t>Wednesday</w:t>
      </w:r>
      <w:r w:rsidR="00A6396B">
        <w:t xml:space="preserve">, </w:t>
      </w:r>
      <w:r w:rsidR="00C96CF6">
        <w:t>September 30</w:t>
      </w:r>
      <w:r w:rsidR="00A6396B">
        <w:t>, 201</w:t>
      </w:r>
      <w:r w:rsidR="00C96CF6">
        <w:t>5</w:t>
      </w:r>
      <w:r w:rsidR="00A6396B" w:rsidRPr="0039614F">
        <w:rPr>
          <w:color w:val="000000"/>
        </w:rPr>
        <w:t xml:space="preserve">. </w:t>
      </w:r>
      <w:r>
        <w:rPr>
          <w:color w:val="000000"/>
        </w:rPr>
        <w:t xml:space="preserve">No comments were received. </w:t>
      </w:r>
      <w:bookmarkStart w:id="80" w:name="_Toc305155369"/>
      <w:bookmarkStart w:id="81" w:name="_Toc306341899"/>
      <w:bookmarkStart w:id="82" w:name="_Toc306344152"/>
      <w:bookmarkStart w:id="83" w:name="_Toc306344793"/>
      <w:bookmarkStart w:id="84" w:name="_Toc306345034"/>
      <w:bookmarkStart w:id="85" w:name="_Toc311445503"/>
    </w:p>
    <w:p w14:paraId="30CAFCE8" w14:textId="77777777" w:rsidR="008C45E6" w:rsidRDefault="008C45E6" w:rsidP="00D94910">
      <w:pPr>
        <w:tabs>
          <w:tab w:val="left" w:pos="1545"/>
        </w:tabs>
        <w:spacing w:line="276" w:lineRule="auto"/>
        <w:rPr>
          <w:color w:val="000000"/>
        </w:rPr>
      </w:pPr>
    </w:p>
    <w:p w14:paraId="63642ACE" w14:textId="19875896" w:rsidR="008C45E6" w:rsidRDefault="008C45E6" w:rsidP="00D94910">
      <w:pPr>
        <w:tabs>
          <w:tab w:val="left" w:pos="1545"/>
        </w:tabs>
        <w:spacing w:line="276" w:lineRule="auto"/>
        <w:rPr>
          <w:rFonts w:asciiTheme="majorHAnsi" w:eastAsiaTheme="majorEastAsia" w:hAnsiTheme="majorHAnsi" w:cstheme="majorBidi"/>
          <w:b/>
          <w:bCs/>
          <w:color w:val="4F81BD" w:themeColor="accent1"/>
          <w:sz w:val="26"/>
          <w:szCs w:val="26"/>
        </w:rPr>
      </w:pPr>
      <w:r>
        <w:rPr>
          <w:color w:val="000000"/>
        </w:rPr>
        <w:t>ATSDR is conducting this EI in collaboration with</w:t>
      </w:r>
      <w:r w:rsidR="00801157">
        <w:rPr>
          <w:color w:val="000000"/>
        </w:rPr>
        <w:t xml:space="preserve"> Region 8 EPA, the Montana Department of Public Health and Human Services (MDPHHS), and the Anaconda Deer Lodge County (ADLC) health department</w:t>
      </w:r>
      <w:r>
        <w:rPr>
          <w:color w:val="000000"/>
        </w:rPr>
        <w:t>.</w:t>
      </w:r>
    </w:p>
    <w:p w14:paraId="47783888" w14:textId="7968C1C3" w:rsidR="0068197A" w:rsidRPr="00266092" w:rsidRDefault="0068197A" w:rsidP="00186982">
      <w:pPr>
        <w:pStyle w:val="Heading2"/>
      </w:pPr>
      <w:bookmarkStart w:id="86" w:name="_Toc522219736"/>
      <w:r w:rsidRPr="00266092">
        <w:t>A.9</w:t>
      </w:r>
      <w:r w:rsidR="002A0056">
        <w:t>.</w:t>
      </w:r>
      <w:r w:rsidRPr="00266092">
        <w:t xml:space="preserve"> </w:t>
      </w:r>
      <w:r w:rsidRPr="007F446A">
        <w:t>Explanation</w:t>
      </w:r>
      <w:r w:rsidRPr="00266092">
        <w:t xml:space="preserve"> of Any Payment or Gift to </w:t>
      </w:r>
      <w:r w:rsidR="001E683D" w:rsidRPr="00266092">
        <w:t>Respondents</w:t>
      </w:r>
      <w:bookmarkEnd w:id="80"/>
      <w:bookmarkEnd w:id="81"/>
      <w:bookmarkEnd w:id="82"/>
      <w:bookmarkEnd w:id="83"/>
      <w:bookmarkEnd w:id="84"/>
      <w:bookmarkEnd w:id="85"/>
      <w:bookmarkEnd w:id="86"/>
    </w:p>
    <w:p w14:paraId="6A1D8C5A" w14:textId="77777777" w:rsidR="0068197A" w:rsidRPr="002D0805" w:rsidRDefault="0068197A" w:rsidP="002F40AB">
      <w:pPr>
        <w:autoSpaceDE w:val="0"/>
        <w:autoSpaceDN w:val="0"/>
        <w:adjustRightInd w:val="0"/>
      </w:pPr>
    </w:p>
    <w:p w14:paraId="0A9E3576" w14:textId="77777777" w:rsidR="00BA56FB" w:rsidRDefault="00980401" w:rsidP="00BA56FB">
      <w:pPr>
        <w:tabs>
          <w:tab w:val="left" w:pos="1545"/>
        </w:tabs>
      </w:pPr>
      <w:bookmarkStart w:id="87" w:name="_Toc305155370"/>
      <w:bookmarkStart w:id="88" w:name="_Toc306341900"/>
      <w:bookmarkStart w:id="89" w:name="_Toc306344153"/>
      <w:bookmarkStart w:id="90" w:name="_Toc306344794"/>
      <w:bookmarkStart w:id="91" w:name="_Toc306345035"/>
      <w:bookmarkStart w:id="92" w:name="_Toc311445504"/>
      <w:r>
        <w:t>ATSDR will not provide payments or gifts to participants.</w:t>
      </w:r>
    </w:p>
    <w:p w14:paraId="72759E65" w14:textId="20A4A4D5" w:rsidR="00EA3580" w:rsidRDefault="00EA3580" w:rsidP="00C41444">
      <w:pPr>
        <w:pStyle w:val="Heading2"/>
      </w:pPr>
      <w:bookmarkStart w:id="93" w:name="_Toc522219737"/>
      <w:r>
        <w:t xml:space="preserve">A.10. </w:t>
      </w:r>
      <w:r w:rsidR="0037198B" w:rsidRPr="0037198B">
        <w:t>Protection of the Privacy and Confidentiality of Information Provided by Respondents</w:t>
      </w:r>
      <w:bookmarkEnd w:id="93"/>
    </w:p>
    <w:p w14:paraId="254A812E" w14:textId="77777777" w:rsidR="0047002D" w:rsidRPr="0047002D" w:rsidRDefault="0047002D" w:rsidP="00C41444"/>
    <w:bookmarkEnd w:id="87"/>
    <w:bookmarkEnd w:id="88"/>
    <w:bookmarkEnd w:id="89"/>
    <w:bookmarkEnd w:id="90"/>
    <w:bookmarkEnd w:id="91"/>
    <w:bookmarkEnd w:id="92"/>
    <w:p w14:paraId="2C20D55D" w14:textId="7A25F5C0" w:rsidR="006A07AF" w:rsidRDefault="004C1327" w:rsidP="00D94910">
      <w:pPr>
        <w:spacing w:line="276" w:lineRule="auto"/>
      </w:pPr>
      <w:r>
        <w:t>ATSDR/</w:t>
      </w:r>
      <w:r w:rsidR="00A96A4D" w:rsidRPr="000A7CAB">
        <w:t>NCEH Information Systems Security officer (ISSO)</w:t>
      </w:r>
      <w:r w:rsidR="00B7549D" w:rsidRPr="000A7CAB">
        <w:t xml:space="preserve"> </w:t>
      </w:r>
      <w:r>
        <w:t>has</w:t>
      </w:r>
      <w:r w:rsidRPr="000A7CAB">
        <w:t xml:space="preserve"> </w:t>
      </w:r>
      <w:r w:rsidR="00B7549D" w:rsidRPr="000A7CAB">
        <w:t>determined that the Privacy Act does apply</w:t>
      </w:r>
      <w:r>
        <w:t xml:space="preserve"> for the Anaconda EI</w:t>
      </w:r>
      <w:r w:rsidR="00B7549D" w:rsidRPr="000A7CAB">
        <w:t>. The relevant Privacy Act Syste</w:t>
      </w:r>
      <w:r w:rsidR="00B7549D" w:rsidRPr="00B4500F">
        <w:t xml:space="preserve">m of Records Notice (SORN) for this EI is </w:t>
      </w:r>
      <w:r w:rsidR="00A96A4D" w:rsidRPr="00AB317D">
        <w:t xml:space="preserve">Privacy Act System Notice 09-19-0001, </w:t>
      </w:r>
      <w:r w:rsidR="00B7549D" w:rsidRPr="000A7CAB">
        <w:t>Records of Persons Exposed or Potentially Exposed to Toxic</w:t>
      </w:r>
      <w:r w:rsidR="00B7549D" w:rsidRPr="00C41444">
        <w:t xml:space="preserve"> or Hazardous Substances (HHS/ATSDR).</w:t>
      </w:r>
    </w:p>
    <w:p w14:paraId="5EF044AA" w14:textId="5A7DEE03" w:rsidR="004C1327" w:rsidRDefault="00B7549D" w:rsidP="00D94910">
      <w:pPr>
        <w:spacing w:line="276" w:lineRule="auto"/>
      </w:pPr>
      <w:r w:rsidRPr="00C41444">
        <w:t xml:space="preserve"> </w:t>
      </w:r>
    </w:p>
    <w:p w14:paraId="5DF04B41" w14:textId="0633FB46" w:rsidR="006A07AF" w:rsidRDefault="004C1327" w:rsidP="00D94910">
      <w:pPr>
        <w:spacing w:line="276" w:lineRule="auto"/>
      </w:pPr>
      <w:r>
        <w:t xml:space="preserve">A Privacy Impact Assessment (PIA) form provides information </w:t>
      </w:r>
      <w:r w:rsidR="00430F47">
        <w:t xml:space="preserve">on information </w:t>
      </w:r>
      <w:r>
        <w:t xml:space="preserve">that will be collected from respondents and how it will be secured (Attachment </w:t>
      </w:r>
      <w:r w:rsidR="006A07AF">
        <w:t xml:space="preserve">8). </w:t>
      </w:r>
      <w:r w:rsidR="00B06ACC">
        <w:t>A Privacy Act Statement is included in the consent package (Attachment 3).</w:t>
      </w:r>
    </w:p>
    <w:p w14:paraId="38D051AD" w14:textId="43012B62" w:rsidR="006A07AF" w:rsidRPr="0082063A" w:rsidRDefault="006A07AF" w:rsidP="0082063A">
      <w:pPr>
        <w:spacing w:line="276" w:lineRule="auto"/>
        <w:rPr>
          <w:color w:val="000000"/>
          <w:szCs w:val="20"/>
        </w:rPr>
      </w:pPr>
    </w:p>
    <w:p w14:paraId="089F8B31" w14:textId="78917440" w:rsidR="00B7549D" w:rsidRDefault="00B7549D" w:rsidP="0082063A">
      <w:pPr>
        <w:tabs>
          <w:tab w:val="left" w:pos="1545"/>
        </w:tabs>
        <w:spacing w:line="276" w:lineRule="auto"/>
      </w:pPr>
      <w:r>
        <w:rPr>
          <w:color w:val="000000"/>
          <w:szCs w:val="20"/>
        </w:rPr>
        <w:t xml:space="preserve">Data obtained during the </w:t>
      </w:r>
      <w:r w:rsidR="00A12A64">
        <w:rPr>
          <w:color w:val="000000"/>
          <w:szCs w:val="20"/>
        </w:rPr>
        <w:t>EI</w:t>
      </w:r>
      <w:r>
        <w:rPr>
          <w:color w:val="000000"/>
          <w:szCs w:val="20"/>
        </w:rPr>
        <w:t xml:space="preserve"> will be treated in a secure manner and will not be disclosed, unless otherwise compelled by law. </w:t>
      </w:r>
      <w:r w:rsidR="00801157">
        <w:t>Montana</w:t>
      </w:r>
      <w:r w:rsidR="002A7372">
        <w:t xml:space="preserve"> Open Record </w:t>
      </w:r>
      <w:r>
        <w:t>Laws require openness in government, which may result in personal identification being accessible by the general public. The EI will comply with all appropriate requirements.</w:t>
      </w:r>
    </w:p>
    <w:p w14:paraId="38EF094F" w14:textId="77777777" w:rsidR="00F14206" w:rsidRDefault="00F14206" w:rsidP="00C41444">
      <w:pPr>
        <w:rPr>
          <w:i/>
        </w:rPr>
      </w:pPr>
    </w:p>
    <w:p w14:paraId="4544EF78" w14:textId="0BF98ED8" w:rsidR="00A6396B" w:rsidRPr="00B7549D" w:rsidRDefault="000C2177">
      <w:pPr>
        <w:pStyle w:val="Heading3"/>
      </w:pPr>
      <w:bookmarkStart w:id="94" w:name="_Toc522219738"/>
      <w:r w:rsidRPr="00B7549D">
        <w:t xml:space="preserve">A.10.1. </w:t>
      </w:r>
      <w:r w:rsidR="00A6396B" w:rsidRPr="00B7549D">
        <w:t>Privacy Impact Assessment Information</w:t>
      </w:r>
      <w:bookmarkEnd w:id="94"/>
    </w:p>
    <w:p w14:paraId="00A3AB49" w14:textId="77777777" w:rsidR="00F14206" w:rsidRDefault="00F14206" w:rsidP="00A6396B">
      <w:pPr>
        <w:tabs>
          <w:tab w:val="left" w:pos="1545"/>
        </w:tabs>
      </w:pPr>
    </w:p>
    <w:p w14:paraId="21EEB715" w14:textId="580791CC" w:rsidR="00B7549D" w:rsidRDefault="00B7549D" w:rsidP="0082063A">
      <w:pPr>
        <w:tabs>
          <w:tab w:val="left" w:pos="1545"/>
        </w:tabs>
        <w:spacing w:line="276" w:lineRule="auto"/>
        <w:rPr>
          <w:bCs/>
          <w:iCs/>
        </w:rPr>
      </w:pPr>
      <w:r>
        <w:rPr>
          <w:bCs/>
          <w:iCs/>
        </w:rPr>
        <w:t xml:space="preserve">The </w:t>
      </w:r>
      <w:r w:rsidR="00801157">
        <w:rPr>
          <w:bCs/>
          <w:iCs/>
        </w:rPr>
        <w:t>Anaconda, MT</w:t>
      </w:r>
      <w:r>
        <w:rPr>
          <w:bCs/>
          <w:iCs/>
        </w:rPr>
        <w:t xml:space="preserve"> EI will involve </w:t>
      </w:r>
      <w:r w:rsidR="006C6DFE">
        <w:rPr>
          <w:bCs/>
          <w:iCs/>
        </w:rPr>
        <w:t xml:space="preserve">up to </w:t>
      </w:r>
      <w:r w:rsidR="00801157">
        <w:rPr>
          <w:bCs/>
          <w:iCs/>
        </w:rPr>
        <w:t>2</w:t>
      </w:r>
      <w:r w:rsidR="006C6DFE">
        <w:rPr>
          <w:bCs/>
          <w:iCs/>
        </w:rPr>
        <w:t xml:space="preserve">00 participants, including </w:t>
      </w:r>
      <w:r>
        <w:rPr>
          <w:bCs/>
          <w:iCs/>
        </w:rPr>
        <w:t>children</w:t>
      </w:r>
      <w:r w:rsidR="00801157">
        <w:rPr>
          <w:bCs/>
          <w:iCs/>
        </w:rPr>
        <w:t xml:space="preserve"> and adults</w:t>
      </w:r>
      <w:r>
        <w:rPr>
          <w:bCs/>
          <w:iCs/>
        </w:rPr>
        <w:t>. ATSDR provides participants with information on the EI process and what it can and cannot determine. After providing the participants this information, ATSDR will ask for parental permission and minor assent, or adult consent to participate in the EI</w:t>
      </w:r>
      <w:r w:rsidR="00430F47">
        <w:rPr>
          <w:bCs/>
          <w:iCs/>
        </w:rPr>
        <w:t xml:space="preserve"> (Attachment 3)</w:t>
      </w:r>
      <w:r>
        <w:rPr>
          <w:bCs/>
          <w:iCs/>
        </w:rPr>
        <w:t xml:space="preserve">. Participation is completely voluntary; participants can stop participating in the EI at any time.  </w:t>
      </w:r>
    </w:p>
    <w:p w14:paraId="5DF276DF" w14:textId="77777777" w:rsidR="00B7549D" w:rsidRDefault="00B7549D" w:rsidP="00D94910">
      <w:pPr>
        <w:tabs>
          <w:tab w:val="left" w:pos="1545"/>
        </w:tabs>
        <w:spacing w:line="276" w:lineRule="auto"/>
        <w:rPr>
          <w:bCs/>
          <w:iCs/>
        </w:rPr>
      </w:pPr>
    </w:p>
    <w:p w14:paraId="72871322" w14:textId="77777777" w:rsidR="00495623" w:rsidRDefault="00495623" w:rsidP="00D94910">
      <w:pPr>
        <w:spacing w:line="276" w:lineRule="auto"/>
      </w:pPr>
      <w:r>
        <w:rPr>
          <w:rStyle w:val="Strong"/>
          <w:rFonts w:asciiTheme="majorHAnsi" w:hAnsiTheme="majorHAnsi"/>
          <w:color w:val="4F81BD"/>
        </w:rPr>
        <w:t>Overview of the Data Collection System</w:t>
      </w:r>
    </w:p>
    <w:p w14:paraId="42F5E5A1" w14:textId="77777777" w:rsidR="00D607C6" w:rsidDel="0036112F" w:rsidRDefault="00D607C6" w:rsidP="00D94910">
      <w:pPr>
        <w:tabs>
          <w:tab w:val="left" w:pos="1545"/>
        </w:tabs>
        <w:spacing w:line="276" w:lineRule="auto"/>
      </w:pPr>
    </w:p>
    <w:p w14:paraId="6E772914" w14:textId="25A233DF" w:rsidR="00D607C6" w:rsidDel="0036112F" w:rsidRDefault="00D607C6" w:rsidP="00D94910">
      <w:pPr>
        <w:tabs>
          <w:tab w:val="left" w:pos="1545"/>
        </w:tabs>
        <w:spacing w:line="276" w:lineRule="auto"/>
      </w:pPr>
      <w:r w:rsidRPr="00F272FD" w:rsidDel="0036112F">
        <w:t>The primary objective of the</w:t>
      </w:r>
      <w:r w:rsidDel="0036112F">
        <w:t xml:space="preserve"> information collected for the </w:t>
      </w:r>
      <w:r w:rsidR="00801157">
        <w:t>Anaconda, MT</w:t>
      </w:r>
      <w:r w:rsidDel="0036112F">
        <w:t xml:space="preserve"> EI is to assess exposures to environmental lead. Data obtained during this EI will include analytical measures of </w:t>
      </w:r>
      <w:r w:rsidR="00EF1853">
        <w:t>lead</w:t>
      </w:r>
      <w:r w:rsidDel="0036112F">
        <w:t xml:space="preserve"> in blood</w:t>
      </w:r>
      <w:r w:rsidR="00801157">
        <w:t xml:space="preserve"> and arsenic in urine</w:t>
      </w:r>
      <w:r w:rsidDel="0036112F">
        <w:t>. Information obtained from the participants assists the team in determining if exposure has occurred or is occurring.</w:t>
      </w:r>
      <w:r w:rsidRPr="00C14B8B" w:rsidDel="0036112F">
        <w:t xml:space="preserve"> </w:t>
      </w:r>
      <w:r w:rsidDel="0036112F">
        <w:t>For this EI, a data collection system will include all of the measurements and procedures that are proposed to address data gaps in the blood and urine sampling.</w:t>
      </w:r>
    </w:p>
    <w:p w14:paraId="6C6FCB11" w14:textId="77777777" w:rsidR="00D607C6" w:rsidDel="0036112F" w:rsidRDefault="00D607C6" w:rsidP="00D607C6">
      <w:pPr>
        <w:tabs>
          <w:tab w:val="left" w:pos="1545"/>
        </w:tabs>
      </w:pPr>
    </w:p>
    <w:p w14:paraId="17CE2D1C" w14:textId="77777777" w:rsidR="00D607C6" w:rsidDel="0036112F" w:rsidRDefault="00D607C6" w:rsidP="00D94910">
      <w:pPr>
        <w:tabs>
          <w:tab w:val="left" w:pos="1545"/>
        </w:tabs>
        <w:spacing w:line="276" w:lineRule="auto"/>
      </w:pPr>
      <w:r w:rsidDel="0036112F">
        <w:t>The data collection system for this EI will be characterized by the following:</w:t>
      </w:r>
    </w:p>
    <w:p w14:paraId="5BA54E3B" w14:textId="77777777" w:rsidR="00D607C6" w:rsidDel="0036112F" w:rsidRDefault="00D607C6" w:rsidP="00D94910">
      <w:pPr>
        <w:tabs>
          <w:tab w:val="left" w:pos="1545"/>
        </w:tabs>
        <w:spacing w:line="276" w:lineRule="auto"/>
      </w:pPr>
    </w:p>
    <w:p w14:paraId="6FB71D13" w14:textId="77777777" w:rsidR="00D607C6" w:rsidRPr="00DB10B4" w:rsidDel="0036112F" w:rsidRDefault="00D607C6" w:rsidP="006F62B8">
      <w:pPr>
        <w:pStyle w:val="ListParagraph"/>
        <w:numPr>
          <w:ilvl w:val="0"/>
          <w:numId w:val="1"/>
        </w:numPr>
        <w:tabs>
          <w:tab w:val="left" w:pos="1545"/>
        </w:tabs>
        <w:spacing w:line="276" w:lineRule="auto"/>
        <w:rPr>
          <w:u w:val="single"/>
        </w:rPr>
      </w:pPr>
      <w:r w:rsidRPr="00DB10B4" w:rsidDel="0036112F">
        <w:rPr>
          <w:u w:val="single"/>
        </w:rPr>
        <w:t xml:space="preserve">Who </w:t>
      </w:r>
      <w:r w:rsidDel="0036112F">
        <w:rPr>
          <w:u w:val="single"/>
        </w:rPr>
        <w:t>will use the</w:t>
      </w:r>
      <w:r w:rsidRPr="00DB10B4" w:rsidDel="0036112F">
        <w:rPr>
          <w:u w:val="single"/>
        </w:rPr>
        <w:t xml:space="preserve"> EI </w:t>
      </w:r>
      <w:r w:rsidDel="0036112F">
        <w:rPr>
          <w:u w:val="single"/>
        </w:rPr>
        <w:t>Data Collection System?</w:t>
      </w:r>
    </w:p>
    <w:p w14:paraId="5EE35477" w14:textId="3F1FB32C" w:rsidR="00D607C6" w:rsidDel="0036112F" w:rsidRDefault="00D607C6" w:rsidP="00D94910">
      <w:pPr>
        <w:pStyle w:val="ListParagraph"/>
        <w:spacing w:line="276" w:lineRule="auto"/>
      </w:pPr>
      <w:r w:rsidRPr="00DB10B4" w:rsidDel="0036112F">
        <w:t xml:space="preserve">The </w:t>
      </w:r>
      <w:r w:rsidDel="0036112F">
        <w:t xml:space="preserve">DCHI SSB </w:t>
      </w:r>
      <w:r w:rsidRPr="00DB10B4" w:rsidDel="0036112F">
        <w:t xml:space="preserve">EI </w:t>
      </w:r>
      <w:r w:rsidDel="0036112F">
        <w:t>T</w:t>
      </w:r>
      <w:r w:rsidRPr="00DB10B4" w:rsidDel="0036112F">
        <w:t>eam</w:t>
      </w:r>
      <w:r w:rsidDel="0036112F">
        <w:t xml:space="preserve"> and the ATSDR Region </w:t>
      </w:r>
      <w:r w:rsidR="00801157">
        <w:t>8</w:t>
      </w:r>
      <w:r w:rsidDel="0036112F">
        <w:t xml:space="preserve"> staff </w:t>
      </w:r>
      <w:r w:rsidRPr="00DB10B4" w:rsidDel="0036112F">
        <w:t xml:space="preserve">will use the </w:t>
      </w:r>
      <w:r w:rsidDel="0036112F">
        <w:t xml:space="preserve">Data Collection System to perform the blood </w:t>
      </w:r>
      <w:r w:rsidR="00587FF2">
        <w:t xml:space="preserve">and urine </w:t>
      </w:r>
      <w:r w:rsidDel="0036112F">
        <w:t>collection and laboratory analysis during the</w:t>
      </w:r>
      <w:r w:rsidR="00835B5F">
        <w:t xml:space="preserve"> </w:t>
      </w:r>
      <w:r w:rsidR="00587FF2">
        <w:t>Anaconda, MT</w:t>
      </w:r>
      <w:r w:rsidDel="0036112F">
        <w:t xml:space="preserve"> EI. </w:t>
      </w:r>
    </w:p>
    <w:p w14:paraId="522C4F18" w14:textId="77777777" w:rsidR="00D607C6" w:rsidDel="0036112F" w:rsidRDefault="00D607C6" w:rsidP="00D94910">
      <w:pPr>
        <w:pStyle w:val="ListParagraph"/>
        <w:spacing w:line="276" w:lineRule="auto"/>
      </w:pPr>
    </w:p>
    <w:p w14:paraId="08E31AD9" w14:textId="77777777" w:rsidR="00D607C6" w:rsidRPr="00DB10B4" w:rsidDel="0036112F" w:rsidRDefault="00D607C6" w:rsidP="006F62B8">
      <w:pPr>
        <w:pStyle w:val="ListParagraph"/>
        <w:numPr>
          <w:ilvl w:val="0"/>
          <w:numId w:val="1"/>
        </w:numPr>
        <w:spacing w:line="276" w:lineRule="auto"/>
        <w:rPr>
          <w:u w:val="single"/>
        </w:rPr>
      </w:pPr>
      <w:r w:rsidRPr="00DB10B4" w:rsidDel="0036112F">
        <w:rPr>
          <w:u w:val="single"/>
        </w:rPr>
        <w:t>Who can be included as part of the EI</w:t>
      </w:r>
      <w:r w:rsidDel="0036112F">
        <w:rPr>
          <w:u w:val="single"/>
        </w:rPr>
        <w:t xml:space="preserve"> Generic Clearance?</w:t>
      </w:r>
    </w:p>
    <w:p w14:paraId="4F398D33" w14:textId="51074165" w:rsidR="00D607C6" w:rsidRDefault="00D607C6" w:rsidP="00587FF2">
      <w:pPr>
        <w:spacing w:line="276" w:lineRule="auto"/>
        <w:ind w:left="720"/>
      </w:pPr>
      <w:r w:rsidDel="0036112F">
        <w:t>EI participants for the</w:t>
      </w:r>
      <w:r w:rsidR="00835B5F">
        <w:t xml:space="preserve"> </w:t>
      </w:r>
      <w:r w:rsidR="00587FF2">
        <w:t>Anaconda, MT</w:t>
      </w:r>
      <w:r w:rsidDel="0036112F">
        <w:t xml:space="preserve"> EI</w:t>
      </w:r>
      <w:r w:rsidDel="0036112F">
        <w:rPr>
          <w:bCs/>
        </w:rPr>
        <w:t xml:space="preserve"> are identified </w:t>
      </w:r>
      <w:r w:rsidR="00587FF2">
        <w:rPr>
          <w:bCs/>
        </w:rPr>
        <w:t xml:space="preserve">any resident of Anaconda and the rural surrounding area. For lead, young children and pregnant women are most susceptible to the effects of lead exposure, but given community concern, all residents are welcome to participate in the EI. </w:t>
      </w:r>
      <w:r w:rsidRPr="000A3873" w:rsidDel="0036112F">
        <w:t xml:space="preserve"> </w:t>
      </w:r>
    </w:p>
    <w:p w14:paraId="06470DA1" w14:textId="5AF4CAD6" w:rsidR="00EC3A9E" w:rsidRDefault="00EC3A9E" w:rsidP="00D94910">
      <w:pPr>
        <w:spacing w:line="276" w:lineRule="auto"/>
        <w:ind w:left="720"/>
      </w:pPr>
    </w:p>
    <w:p w14:paraId="5797EFAB" w14:textId="77777777" w:rsidR="00D607C6" w:rsidRPr="009175DC" w:rsidDel="0036112F" w:rsidRDefault="00D607C6" w:rsidP="006F62B8">
      <w:pPr>
        <w:pStyle w:val="ListParagraph"/>
        <w:numPr>
          <w:ilvl w:val="0"/>
          <w:numId w:val="1"/>
        </w:numPr>
        <w:spacing w:line="276" w:lineRule="auto"/>
        <w:rPr>
          <w:u w:val="single"/>
        </w:rPr>
      </w:pPr>
      <w:r w:rsidRPr="009175DC" w:rsidDel="0036112F">
        <w:rPr>
          <w:u w:val="single"/>
        </w:rPr>
        <w:t>What types of questions may be asked as part of the EI Generic Clearance?</w:t>
      </w:r>
    </w:p>
    <w:p w14:paraId="7AD24E4E" w14:textId="31F272B9" w:rsidR="00D607C6" w:rsidRPr="00584A53" w:rsidDel="0036112F" w:rsidRDefault="00D607C6" w:rsidP="00D94910">
      <w:pPr>
        <w:pStyle w:val="ListParagraph"/>
        <w:spacing w:line="276" w:lineRule="auto"/>
        <w:rPr>
          <w:b/>
          <w:bCs/>
        </w:rPr>
      </w:pPr>
      <w:r w:rsidDel="0036112F">
        <w:t xml:space="preserve">For the </w:t>
      </w:r>
      <w:r w:rsidR="00D1540B">
        <w:t>A</w:t>
      </w:r>
      <w:r w:rsidR="00587FF2">
        <w:t>naconda, MT</w:t>
      </w:r>
      <w:r w:rsidDel="0036112F">
        <w:t xml:space="preserve"> EI, the medi</w:t>
      </w:r>
      <w:r w:rsidR="00587FF2">
        <w:t>a</w:t>
      </w:r>
      <w:r w:rsidDel="0036112F">
        <w:t xml:space="preserve"> of concern </w:t>
      </w:r>
      <w:r w:rsidR="00587FF2">
        <w:t>are</w:t>
      </w:r>
      <w:r w:rsidDel="0036112F">
        <w:t xml:space="preserve"> soil </w:t>
      </w:r>
      <w:r w:rsidR="00587FF2">
        <w:t xml:space="preserve">and attic dust </w:t>
      </w:r>
      <w:r w:rsidDel="0036112F">
        <w:t>contaminated with lead</w:t>
      </w:r>
      <w:r w:rsidR="00587FF2">
        <w:t xml:space="preserve"> and arsenic</w:t>
      </w:r>
      <w:r w:rsidDel="0036112F">
        <w:t xml:space="preserve">. Attachment 4 provides the information collection form that will be used to evaluate </w:t>
      </w:r>
      <w:r w:rsidR="00E956A6">
        <w:t xml:space="preserve">lead </w:t>
      </w:r>
      <w:r w:rsidR="00587FF2">
        <w:t xml:space="preserve">and arsenic </w:t>
      </w:r>
      <w:r w:rsidR="00E956A6">
        <w:t>exposure</w:t>
      </w:r>
      <w:r w:rsidDel="0036112F">
        <w:t xml:space="preserve"> of EI participants. </w:t>
      </w:r>
    </w:p>
    <w:p w14:paraId="711308B5" w14:textId="77777777" w:rsidR="00D607C6" w:rsidDel="0036112F" w:rsidRDefault="00D607C6" w:rsidP="00D94910">
      <w:pPr>
        <w:pStyle w:val="Heading3"/>
        <w:spacing w:before="0" w:line="276" w:lineRule="auto"/>
        <w:rPr>
          <w:rFonts w:ascii="Times New Roman" w:hAnsi="Times New Roman" w:cs="Times New Roman"/>
          <w:b w:val="0"/>
          <w:color w:val="auto"/>
          <w:u w:val="single"/>
        </w:rPr>
      </w:pPr>
    </w:p>
    <w:p w14:paraId="02420A0F" w14:textId="77777777" w:rsidR="00495623" w:rsidRDefault="00495623" w:rsidP="00D94910">
      <w:pPr>
        <w:spacing w:line="276" w:lineRule="auto"/>
      </w:pPr>
      <w:r>
        <w:rPr>
          <w:rStyle w:val="Strong"/>
          <w:rFonts w:asciiTheme="majorHAnsi" w:hAnsiTheme="majorHAnsi"/>
          <w:color w:val="4F81BD"/>
        </w:rPr>
        <w:t>Items of Information to be Collected</w:t>
      </w:r>
    </w:p>
    <w:p w14:paraId="3A889021" w14:textId="77777777" w:rsidR="00D607C6" w:rsidDel="0036112F" w:rsidRDefault="00D607C6" w:rsidP="00D94910">
      <w:pPr>
        <w:tabs>
          <w:tab w:val="left" w:pos="1545"/>
        </w:tabs>
        <w:spacing w:line="276" w:lineRule="auto"/>
      </w:pPr>
    </w:p>
    <w:p w14:paraId="240E220D" w14:textId="77777777" w:rsidR="00D607C6" w:rsidDel="0036112F" w:rsidRDefault="00D607C6" w:rsidP="00D94910">
      <w:pPr>
        <w:tabs>
          <w:tab w:val="left" w:pos="1545"/>
        </w:tabs>
        <w:spacing w:line="276" w:lineRule="auto"/>
      </w:pPr>
      <w:r w:rsidDel="0036112F">
        <w:t>Collecting identifying information is necessary to facilitate personal contact with participants, to obtain their parental permission/assent/consent to participate and to provide them with results. The information is also used by ATSDR to better interpret the results of the sampling. ATSDR uses the information only to contact respondents. Data is treated in a private manner, unless otherwise compelled by law.</w:t>
      </w:r>
    </w:p>
    <w:p w14:paraId="4D3D11F5" w14:textId="77777777" w:rsidR="00D607C6" w:rsidDel="0036112F" w:rsidRDefault="00D607C6" w:rsidP="00D94910">
      <w:pPr>
        <w:tabs>
          <w:tab w:val="left" w:pos="1545"/>
        </w:tabs>
        <w:spacing w:line="276" w:lineRule="auto"/>
        <w:rPr>
          <w:bCs/>
          <w:iCs/>
          <w:color w:val="000000"/>
        </w:rPr>
      </w:pPr>
    </w:p>
    <w:p w14:paraId="3AE6B78D" w14:textId="68A76A52" w:rsidR="00D607C6" w:rsidDel="0036112F" w:rsidRDefault="00D607C6" w:rsidP="00D94910">
      <w:pPr>
        <w:tabs>
          <w:tab w:val="left" w:pos="1545"/>
        </w:tabs>
        <w:spacing w:line="276" w:lineRule="auto"/>
        <w:rPr>
          <w:bCs/>
          <w:iCs/>
          <w:color w:val="000000"/>
        </w:rPr>
      </w:pPr>
      <w:r w:rsidDel="0036112F">
        <w:rPr>
          <w:bCs/>
          <w:iCs/>
          <w:color w:val="000000"/>
        </w:rPr>
        <w:t xml:space="preserve">ATSDR collects contact information (e.g., name, address, phone number, email address) to provide the participant with their individual results. General information, which includes age/date of birth, race, gender, etc., </w:t>
      </w:r>
      <w:r w:rsidR="00E956A6">
        <w:rPr>
          <w:bCs/>
          <w:iCs/>
          <w:color w:val="000000"/>
        </w:rPr>
        <w:t>will be</w:t>
      </w:r>
      <w:r w:rsidDel="0036112F">
        <w:rPr>
          <w:bCs/>
          <w:iCs/>
          <w:color w:val="000000"/>
        </w:rPr>
        <w:t xml:space="preserve"> collected </w:t>
      </w:r>
      <w:r w:rsidR="00E956A6">
        <w:rPr>
          <w:bCs/>
          <w:iCs/>
          <w:color w:val="000000"/>
        </w:rPr>
        <w:t>since we are recruiting specific age groups in the EI</w:t>
      </w:r>
      <w:r w:rsidDel="0036112F">
        <w:rPr>
          <w:bCs/>
          <w:iCs/>
          <w:color w:val="000000"/>
        </w:rPr>
        <w:t>.</w:t>
      </w:r>
    </w:p>
    <w:p w14:paraId="401C6401" w14:textId="77777777" w:rsidR="00D607C6" w:rsidDel="0036112F" w:rsidRDefault="00D607C6" w:rsidP="00D94910">
      <w:pPr>
        <w:tabs>
          <w:tab w:val="left" w:pos="1545"/>
        </w:tabs>
        <w:spacing w:line="276" w:lineRule="auto"/>
        <w:rPr>
          <w:bCs/>
          <w:iCs/>
        </w:rPr>
      </w:pPr>
    </w:p>
    <w:p w14:paraId="1C3554A8" w14:textId="7E915499" w:rsidR="00D607C6" w:rsidDel="0036112F" w:rsidRDefault="00D607C6" w:rsidP="00D94910">
      <w:pPr>
        <w:tabs>
          <w:tab w:val="left" w:pos="1545"/>
        </w:tabs>
        <w:spacing w:line="276" w:lineRule="auto"/>
        <w:rPr>
          <w:bCs/>
          <w:iCs/>
          <w:color w:val="000000"/>
        </w:rPr>
      </w:pPr>
      <w:r w:rsidDel="0036112F">
        <w:rPr>
          <w:bCs/>
          <w:iCs/>
        </w:rPr>
        <w:t xml:space="preserve">ATSDR will ask participants questions about their recreational activities that could increase their potential exposure to lead </w:t>
      </w:r>
      <w:r w:rsidR="007F0B24">
        <w:rPr>
          <w:bCs/>
          <w:iCs/>
        </w:rPr>
        <w:t>and arsenic in environmental media.</w:t>
      </w:r>
      <w:r w:rsidDel="0036112F">
        <w:t xml:space="preserve"> </w:t>
      </w:r>
      <w:r w:rsidDel="0036112F">
        <w:rPr>
          <w:bCs/>
        </w:rPr>
        <w:t xml:space="preserve">Only questions needed to determine the extent of exposure in a particular situation will be asked. The questions are intended to estimate how long and how frequently participants may have contact with soil in the neighborhoods surrounding the site.  </w:t>
      </w:r>
    </w:p>
    <w:p w14:paraId="44FD5FC9" w14:textId="77777777" w:rsidR="00D607C6" w:rsidDel="0036112F" w:rsidRDefault="00D607C6" w:rsidP="00D94910">
      <w:pPr>
        <w:tabs>
          <w:tab w:val="left" w:pos="1545"/>
        </w:tabs>
        <w:spacing w:line="276" w:lineRule="auto"/>
      </w:pPr>
    </w:p>
    <w:p w14:paraId="4750890C" w14:textId="78FAD277" w:rsidR="00D607C6" w:rsidRPr="005348BC" w:rsidDel="0036112F" w:rsidRDefault="00D607C6" w:rsidP="00D94910">
      <w:pPr>
        <w:spacing w:line="276" w:lineRule="auto"/>
        <w:rPr>
          <w:b/>
          <w:bCs/>
        </w:rPr>
      </w:pPr>
      <w:r w:rsidDel="0036112F">
        <w:t>In addition, A</w:t>
      </w:r>
      <w:r w:rsidRPr="005348BC" w:rsidDel="0036112F">
        <w:rPr>
          <w:bCs/>
          <w:iCs/>
        </w:rPr>
        <w:t xml:space="preserve">TSDR will also collect information on other possible sources of lead </w:t>
      </w:r>
      <w:r w:rsidR="007F0B24">
        <w:rPr>
          <w:bCs/>
          <w:iCs/>
        </w:rPr>
        <w:t xml:space="preserve">and arsenic </w:t>
      </w:r>
      <w:r w:rsidRPr="005348BC" w:rsidDel="0036112F">
        <w:rPr>
          <w:bCs/>
          <w:iCs/>
        </w:rPr>
        <w:t xml:space="preserve">exposure such as age </w:t>
      </w:r>
      <w:r w:rsidDel="0036112F">
        <w:rPr>
          <w:bCs/>
          <w:iCs/>
        </w:rPr>
        <w:t xml:space="preserve">and construction characteristics </w:t>
      </w:r>
      <w:r w:rsidRPr="005348BC" w:rsidDel="0036112F">
        <w:rPr>
          <w:bCs/>
          <w:iCs/>
        </w:rPr>
        <w:t xml:space="preserve">of </w:t>
      </w:r>
      <w:r w:rsidDel="0036112F">
        <w:rPr>
          <w:bCs/>
          <w:iCs/>
        </w:rPr>
        <w:t xml:space="preserve">the </w:t>
      </w:r>
      <w:r w:rsidRPr="005348BC" w:rsidDel="0036112F">
        <w:rPr>
          <w:bCs/>
          <w:iCs/>
        </w:rPr>
        <w:t>home, foods eaten, hobbies</w:t>
      </w:r>
      <w:r w:rsidDel="0036112F">
        <w:rPr>
          <w:bCs/>
          <w:iCs/>
        </w:rPr>
        <w:t>, time spent outdoors,</w:t>
      </w:r>
      <w:r w:rsidRPr="005348BC" w:rsidDel="0036112F">
        <w:rPr>
          <w:bCs/>
          <w:iCs/>
        </w:rPr>
        <w:t xml:space="preserve"> etc. That information represents their individual exposure history. </w:t>
      </w:r>
    </w:p>
    <w:p w14:paraId="77A661D4" w14:textId="77777777" w:rsidR="00D607C6" w:rsidDel="0036112F" w:rsidRDefault="00D607C6" w:rsidP="00D94910">
      <w:pPr>
        <w:tabs>
          <w:tab w:val="left" w:pos="1545"/>
        </w:tabs>
        <w:spacing w:line="276" w:lineRule="auto"/>
        <w:rPr>
          <w:bCs/>
          <w:iCs/>
        </w:rPr>
      </w:pPr>
    </w:p>
    <w:p w14:paraId="4504055D" w14:textId="5756C814" w:rsidR="00D607C6" w:rsidRDefault="00D607C6" w:rsidP="00D94910">
      <w:pPr>
        <w:spacing w:line="276" w:lineRule="auto"/>
        <w:rPr>
          <w:bCs/>
          <w:iCs/>
        </w:rPr>
      </w:pPr>
      <w:r w:rsidDel="0036112F">
        <w:t>The blood collection will be overseen by ATSDR personnel, obtained by trained phlebotomists, and shipped directly to the CDC National Center for Environmental Health (NCEH) laboratory in Atlanta for analysis.  Appropriate Quality Assurance Plans will be prepared and implemented by ATSDR.</w:t>
      </w:r>
      <w:r w:rsidDel="0036112F">
        <w:rPr>
          <w:bCs/>
          <w:iCs/>
        </w:rPr>
        <w:t xml:space="preserve"> Blood lead samples will be collected at a central location within the community.  </w:t>
      </w:r>
    </w:p>
    <w:p w14:paraId="37468BE5" w14:textId="182F2701" w:rsidR="00017E63" w:rsidRDefault="00017E63" w:rsidP="00D94910">
      <w:pPr>
        <w:spacing w:line="276" w:lineRule="auto"/>
        <w:rPr>
          <w:bCs/>
          <w:iCs/>
        </w:rPr>
      </w:pPr>
    </w:p>
    <w:p w14:paraId="63F80536" w14:textId="0DA1CF09" w:rsidR="00017E63" w:rsidRPr="003D22FC" w:rsidDel="0036112F" w:rsidRDefault="00017E63" w:rsidP="00D94910">
      <w:pPr>
        <w:spacing w:line="276" w:lineRule="auto"/>
      </w:pPr>
      <w:r>
        <w:rPr>
          <w:bCs/>
          <w:iCs/>
        </w:rPr>
        <w:t>An example of a completed Exposure Investigation is provided as Attachment 7 and the final Anconda, MT Protocol is provided as Attachment 9.</w:t>
      </w:r>
    </w:p>
    <w:p w14:paraId="464EAAA9" w14:textId="77777777" w:rsidR="00D607C6" w:rsidRPr="00C41444" w:rsidRDefault="00D607C6" w:rsidP="00D94910">
      <w:pPr>
        <w:tabs>
          <w:tab w:val="left" w:pos="1545"/>
        </w:tabs>
        <w:spacing w:line="276" w:lineRule="auto"/>
        <w:rPr>
          <w:rStyle w:val="Strong"/>
        </w:rPr>
      </w:pPr>
    </w:p>
    <w:p w14:paraId="52F5E21F" w14:textId="77777777" w:rsidR="00495623" w:rsidRDefault="00495623" w:rsidP="00D94910">
      <w:pPr>
        <w:spacing w:line="276" w:lineRule="auto"/>
      </w:pPr>
      <w:r>
        <w:rPr>
          <w:rStyle w:val="Strong"/>
          <w:rFonts w:asciiTheme="majorHAnsi" w:hAnsiTheme="majorHAnsi"/>
          <w:color w:val="4F81BD"/>
        </w:rPr>
        <w:t>Sharing and Purpose of Collected Information</w:t>
      </w:r>
    </w:p>
    <w:p w14:paraId="3DF0991A" w14:textId="77777777" w:rsidR="00F30854" w:rsidRDefault="00F30854" w:rsidP="00D94910">
      <w:pPr>
        <w:tabs>
          <w:tab w:val="left" w:pos="1545"/>
        </w:tabs>
        <w:spacing w:line="276" w:lineRule="auto"/>
        <w:rPr>
          <w:rStyle w:val="Strong"/>
        </w:rPr>
      </w:pPr>
    </w:p>
    <w:p w14:paraId="522E4C1E" w14:textId="2B42C1A9" w:rsidR="00F30854" w:rsidRPr="009B0F1A" w:rsidRDefault="00F30854" w:rsidP="00D94910">
      <w:pPr>
        <w:tabs>
          <w:tab w:val="left" w:pos="1545"/>
        </w:tabs>
        <w:spacing w:line="276" w:lineRule="auto"/>
        <w:rPr>
          <w:rStyle w:val="Strong"/>
          <w:b w:val="0"/>
        </w:rPr>
      </w:pPr>
      <w:r w:rsidRPr="009B0F1A">
        <w:rPr>
          <w:rStyle w:val="Strong"/>
          <w:b w:val="0"/>
        </w:rPr>
        <w:t>The information</w:t>
      </w:r>
      <w:r>
        <w:rPr>
          <w:rStyle w:val="Strong"/>
          <w:b w:val="0"/>
        </w:rPr>
        <w:t xml:space="preserve"> collected for the </w:t>
      </w:r>
      <w:r w:rsidR="00AD43A1">
        <w:rPr>
          <w:rStyle w:val="Strong"/>
          <w:b w:val="0"/>
        </w:rPr>
        <w:t xml:space="preserve">EI </w:t>
      </w:r>
      <w:r>
        <w:rPr>
          <w:rStyle w:val="Strong"/>
          <w:b w:val="0"/>
        </w:rPr>
        <w:t>will be use</w:t>
      </w:r>
      <w:r w:rsidR="00D251B9">
        <w:rPr>
          <w:rStyle w:val="Strong"/>
          <w:b w:val="0"/>
        </w:rPr>
        <w:t xml:space="preserve">d to evaluate whether participants may have been exposed to lead </w:t>
      </w:r>
      <w:r w:rsidR="007F0B24">
        <w:rPr>
          <w:rStyle w:val="Strong"/>
          <w:b w:val="0"/>
        </w:rPr>
        <w:t xml:space="preserve">and arsenic </w:t>
      </w:r>
      <w:r w:rsidR="00AD43A1">
        <w:rPr>
          <w:rStyle w:val="Strong"/>
          <w:b w:val="0"/>
        </w:rPr>
        <w:t xml:space="preserve">in the area near the </w:t>
      </w:r>
      <w:r w:rsidR="0045064D">
        <w:rPr>
          <w:rStyle w:val="Strong"/>
          <w:b w:val="0"/>
        </w:rPr>
        <w:t>former smelter site</w:t>
      </w:r>
      <w:r w:rsidR="00D251B9">
        <w:rPr>
          <w:rStyle w:val="Strong"/>
          <w:b w:val="0"/>
        </w:rPr>
        <w:t xml:space="preserve">.  Participants will be notified of their individual results and an </w:t>
      </w:r>
      <w:r w:rsidR="00AD43A1">
        <w:rPr>
          <w:rStyle w:val="Strong"/>
          <w:b w:val="0"/>
        </w:rPr>
        <w:t>EI</w:t>
      </w:r>
      <w:r w:rsidR="00D251B9">
        <w:rPr>
          <w:rStyle w:val="Strong"/>
          <w:b w:val="0"/>
        </w:rPr>
        <w:t xml:space="preserve"> report will be prepared that will present the results of the </w:t>
      </w:r>
      <w:r w:rsidR="00AD43A1">
        <w:rPr>
          <w:rStyle w:val="Strong"/>
          <w:b w:val="0"/>
        </w:rPr>
        <w:t>investigation.</w:t>
      </w:r>
    </w:p>
    <w:p w14:paraId="552AF449" w14:textId="77777777" w:rsidR="00F30854" w:rsidRDefault="00F30854" w:rsidP="00D94910">
      <w:pPr>
        <w:tabs>
          <w:tab w:val="left" w:pos="1545"/>
        </w:tabs>
        <w:spacing w:line="276" w:lineRule="auto"/>
        <w:rPr>
          <w:rStyle w:val="Strong"/>
        </w:rPr>
      </w:pPr>
    </w:p>
    <w:p w14:paraId="6BEA891B" w14:textId="77777777" w:rsidR="00495623" w:rsidRDefault="00495623" w:rsidP="00D94910">
      <w:pPr>
        <w:spacing w:line="276" w:lineRule="auto"/>
      </w:pPr>
      <w:r>
        <w:rPr>
          <w:rStyle w:val="Strong"/>
          <w:rFonts w:asciiTheme="majorHAnsi" w:hAnsiTheme="majorHAnsi"/>
          <w:color w:val="4F81BD"/>
        </w:rPr>
        <w:t>Securing of Collected Inform</w:t>
      </w:r>
      <w:r w:rsidRPr="006274AD">
        <w:rPr>
          <w:rStyle w:val="Strong"/>
          <w:rFonts w:asciiTheme="majorHAnsi" w:hAnsiTheme="majorHAnsi"/>
          <w:color w:val="4F81BD"/>
        </w:rPr>
        <w:t>ation</w:t>
      </w:r>
    </w:p>
    <w:p w14:paraId="1F9AC2ED" w14:textId="77777777" w:rsidR="00BB6422" w:rsidRDefault="00BB6422" w:rsidP="00D94910">
      <w:pPr>
        <w:tabs>
          <w:tab w:val="left" w:pos="1545"/>
        </w:tabs>
        <w:spacing w:line="276" w:lineRule="auto"/>
      </w:pPr>
    </w:p>
    <w:p w14:paraId="0F34CA27" w14:textId="77777777" w:rsidR="00BB6422" w:rsidRDefault="00BB6422" w:rsidP="00D94910">
      <w:pPr>
        <w:tabs>
          <w:tab w:val="left" w:pos="1545"/>
        </w:tabs>
        <w:spacing w:line="276" w:lineRule="auto"/>
        <w:rPr>
          <w:i/>
        </w:rPr>
      </w:pPr>
      <w:r>
        <w:t xml:space="preserve">ATSDR only collects information that will help us interpret the laboratory data and recognize likely exposure scenarios. Once we conduct an EI, we match the unique answers given by participants with their laboratory results or environmental samples to determine whether intervention is needed on an individual level. The information collection is therefore </w:t>
      </w:r>
      <w:r>
        <w:rPr>
          <w:i/>
        </w:rPr>
        <w:t>inherently person- or location-specific.</w:t>
      </w:r>
    </w:p>
    <w:p w14:paraId="773BFBA7" w14:textId="77777777" w:rsidR="00BB6422" w:rsidRDefault="00BB6422" w:rsidP="00D94910">
      <w:pPr>
        <w:tabs>
          <w:tab w:val="left" w:pos="1545"/>
        </w:tabs>
        <w:spacing w:line="276" w:lineRule="auto"/>
        <w:rPr>
          <w:i/>
        </w:rPr>
      </w:pPr>
    </w:p>
    <w:p w14:paraId="53322C6E" w14:textId="2747C425" w:rsidR="00BB6422" w:rsidRDefault="00BB6422" w:rsidP="00D94910">
      <w:pPr>
        <w:spacing w:line="276" w:lineRule="auto"/>
      </w:pPr>
      <w:r>
        <w:t>Data are treated to protect privacy; access to computer files is password-protected and access is limited to authorized EI personnel, including contractors. All staff working on the project agree to safeguard the data and not to make unauthorized disclosures. Published reports may present responses in aggregate form and no individuals are identified by name.</w:t>
      </w:r>
    </w:p>
    <w:p w14:paraId="46DF4E0E" w14:textId="77777777" w:rsidR="00C41444" w:rsidRDefault="00C41444" w:rsidP="00D94910">
      <w:pPr>
        <w:spacing w:line="276" w:lineRule="auto"/>
      </w:pPr>
    </w:p>
    <w:p w14:paraId="7FC23D9B" w14:textId="07B13F4E" w:rsidR="00C41444" w:rsidRDefault="00C41444" w:rsidP="00D94910">
      <w:pPr>
        <w:tabs>
          <w:tab w:val="left" w:pos="1545"/>
        </w:tabs>
        <w:spacing w:line="276" w:lineRule="auto"/>
      </w:pPr>
      <w:r>
        <w:t xml:space="preserve">Data are treated in a private manner, unless otherwise compelled by law. Paper documents containing personal identifiers are kept in locked file cabinets at ATSDR. </w:t>
      </w:r>
      <w:r>
        <w:rPr>
          <w:color w:val="000000"/>
        </w:rPr>
        <w:t>ATSDR computers comply with the HHS Standard 2008-0007.001S for encryption</w:t>
      </w:r>
      <w:r>
        <w:t xml:space="preserve"> in accordance with information systems security requirements for safeguarding personally identifiable information.  Access to computer files is password-protected and access is limited to authorized EI personnel. That information is stored in a secure database along with the laboratory results. </w:t>
      </w:r>
    </w:p>
    <w:p w14:paraId="59C2714C" w14:textId="77777777" w:rsidR="00BB6422" w:rsidRPr="00C41444" w:rsidDel="0036112F" w:rsidRDefault="00BB6422" w:rsidP="00D94910">
      <w:pPr>
        <w:tabs>
          <w:tab w:val="left" w:pos="1545"/>
        </w:tabs>
        <w:spacing w:line="276" w:lineRule="auto"/>
        <w:rPr>
          <w:rStyle w:val="Strong"/>
        </w:rPr>
      </w:pPr>
    </w:p>
    <w:p w14:paraId="1381528B" w14:textId="77777777" w:rsidR="00495623" w:rsidRDefault="00495623" w:rsidP="00D94910">
      <w:pPr>
        <w:spacing w:line="276" w:lineRule="auto"/>
      </w:pPr>
      <w:r>
        <w:rPr>
          <w:rStyle w:val="Strong"/>
          <w:rFonts w:asciiTheme="majorHAnsi" w:hAnsiTheme="majorHAnsi"/>
          <w:color w:val="4F81BD"/>
        </w:rPr>
        <w:t>Applicability of the Privacy Act</w:t>
      </w:r>
    </w:p>
    <w:p w14:paraId="2D913770" w14:textId="77777777" w:rsidR="00D80635" w:rsidRDefault="00D80635" w:rsidP="00D94910">
      <w:pPr>
        <w:tabs>
          <w:tab w:val="left" w:pos="1545"/>
        </w:tabs>
        <w:spacing w:line="276" w:lineRule="auto"/>
      </w:pPr>
    </w:p>
    <w:p w14:paraId="37088F5E" w14:textId="77777777" w:rsidR="00A6396B" w:rsidRDefault="00A6396B" w:rsidP="00D94910">
      <w:pPr>
        <w:tabs>
          <w:tab w:val="left" w:pos="1545"/>
        </w:tabs>
        <w:spacing w:line="276" w:lineRule="auto"/>
      </w:pPr>
      <w:r>
        <w:t xml:space="preserve">A. </w:t>
      </w:r>
      <w:r w:rsidR="00EF3B23">
        <w:t>T</w:t>
      </w:r>
      <w:r>
        <w:t xml:space="preserve">he Privacy Act is applicable. The applicable System of Records Notice (SORN) is </w:t>
      </w:r>
      <w:r w:rsidR="00EF3B23">
        <w:t>No.</w:t>
      </w:r>
      <w:r>
        <w:t xml:space="preserve"> 09-19-0001, “Records of Persons Exposed or Potentially Exposed to Hazardous or Toxic Substances.”</w:t>
      </w:r>
    </w:p>
    <w:p w14:paraId="5E70CE28" w14:textId="77777777" w:rsidR="00A6396B" w:rsidRDefault="00A6396B" w:rsidP="00D94910">
      <w:pPr>
        <w:tabs>
          <w:tab w:val="left" w:pos="1545"/>
        </w:tabs>
        <w:spacing w:line="276" w:lineRule="auto"/>
      </w:pPr>
    </w:p>
    <w:p w14:paraId="28A1B989" w14:textId="77777777" w:rsidR="00723DD6" w:rsidRDefault="00A6396B" w:rsidP="00D94910">
      <w:pPr>
        <w:tabs>
          <w:tab w:val="left" w:pos="1545"/>
        </w:tabs>
        <w:spacing w:line="276" w:lineRule="auto"/>
      </w:pPr>
      <w:r>
        <w:t>B.  Identifying information such as name, address, phone numbe</w:t>
      </w:r>
      <w:r w:rsidR="000848A3">
        <w:t xml:space="preserve">r and email are collected. </w:t>
      </w:r>
      <w:r>
        <w:t xml:space="preserve">ATSDR uses the information only to contact respondents. Identifying information is necessary to facilitate the personal contact with respondents to conduct the </w:t>
      </w:r>
      <w:r w:rsidR="005511E1">
        <w:t>questionnaire</w:t>
      </w:r>
      <w:r>
        <w:t>, to obtain con</w:t>
      </w:r>
      <w:r w:rsidR="006D6063">
        <w:t xml:space="preserve">sent to </w:t>
      </w:r>
      <w:r w:rsidR="006D6063" w:rsidRPr="000848A3">
        <w:t>participate</w:t>
      </w:r>
      <w:r w:rsidRPr="000848A3">
        <w:t xml:space="preserve">, and to provide them their results. </w:t>
      </w:r>
    </w:p>
    <w:p w14:paraId="5F5790EA" w14:textId="77777777" w:rsidR="00723DD6" w:rsidRDefault="00723DD6" w:rsidP="00D94910">
      <w:pPr>
        <w:tabs>
          <w:tab w:val="left" w:pos="1545"/>
        </w:tabs>
        <w:spacing w:line="276" w:lineRule="auto"/>
      </w:pPr>
    </w:p>
    <w:p w14:paraId="3D5F3A2C" w14:textId="77777777" w:rsidR="000848A3" w:rsidRDefault="00A6396B" w:rsidP="00D94910">
      <w:pPr>
        <w:tabs>
          <w:tab w:val="left" w:pos="1545"/>
        </w:tabs>
        <w:spacing w:line="276" w:lineRule="auto"/>
      </w:pPr>
      <w:r w:rsidRPr="000848A3">
        <w:t>Al</w:t>
      </w:r>
      <w:r w:rsidR="00072511">
        <w:t>l identifying information maintained by the agency will be</w:t>
      </w:r>
      <w:r w:rsidR="00723DD6">
        <w:t xml:space="preserve"> managed by ATSDR and is</w:t>
      </w:r>
      <w:r w:rsidR="000848A3" w:rsidRPr="000848A3">
        <w:t xml:space="preserve"> subject to the ATSDR Comprehensive Record Control Schedule (CRCS), B-371, which contains authorized disposition instructions for ATSDR's administrative an</w:t>
      </w:r>
      <w:r w:rsidR="002415A9">
        <w:t>d program records.</w:t>
      </w:r>
      <w:r w:rsidR="000848A3" w:rsidRPr="000848A3">
        <w:t xml:space="preserve"> </w:t>
      </w:r>
    </w:p>
    <w:p w14:paraId="6FB91689" w14:textId="77777777" w:rsidR="00A6396B" w:rsidRDefault="00A6396B" w:rsidP="00D94910">
      <w:pPr>
        <w:tabs>
          <w:tab w:val="left" w:pos="1545"/>
        </w:tabs>
        <w:spacing w:line="276" w:lineRule="auto"/>
      </w:pPr>
    </w:p>
    <w:p w14:paraId="2AA271E5" w14:textId="3EE8DD72" w:rsidR="00AB36D9" w:rsidRDefault="00AB36D9" w:rsidP="00D94910">
      <w:pPr>
        <w:tabs>
          <w:tab w:val="left" w:pos="1545"/>
        </w:tabs>
        <w:spacing w:line="276" w:lineRule="auto"/>
      </w:pPr>
      <w:r>
        <w:t xml:space="preserve">C. Respondent Consent </w:t>
      </w:r>
      <w:r w:rsidR="00582C91">
        <w:t>–</w:t>
      </w:r>
      <w:r>
        <w:t xml:space="preserve">ATSDR will require that EI participants be fully informed of the potential risks and benefits of their participation and that the privacy of the participants’ information </w:t>
      </w:r>
      <w:r w:rsidR="00B25CED">
        <w:t xml:space="preserve">will </w:t>
      </w:r>
      <w:r>
        <w:t xml:space="preserve">be protected. The </w:t>
      </w:r>
      <w:r w:rsidR="00B25CED">
        <w:t xml:space="preserve">parental permission, </w:t>
      </w:r>
      <w:r w:rsidR="00CF46BE">
        <w:t xml:space="preserve">minor assent, </w:t>
      </w:r>
      <w:r w:rsidR="00B25CED">
        <w:t xml:space="preserve">and </w:t>
      </w:r>
      <w:r w:rsidR="00CF46BE">
        <w:t xml:space="preserve">adult </w:t>
      </w:r>
      <w:r>
        <w:t>consent forms for the</w:t>
      </w:r>
      <w:r w:rsidR="0096642B">
        <w:t xml:space="preserve"> </w:t>
      </w:r>
      <w:r w:rsidR="00B95C35">
        <w:t>Anaconda, MT</w:t>
      </w:r>
      <w:r>
        <w:t xml:space="preserve"> EI include all appropriate information from the Privacy Act including authority and purpose for collecting the data, with whom identifiable information will be shared, the voluntary nature of the information collection and the effect upon the respondent for not participating</w:t>
      </w:r>
      <w:r w:rsidR="004C1A39">
        <w:t xml:space="preserve"> (Attachment 3)</w:t>
      </w:r>
      <w:r>
        <w:t>.</w:t>
      </w:r>
      <w:r w:rsidR="00160EFB">
        <w:t xml:space="preserve"> </w:t>
      </w:r>
      <w:r w:rsidR="00430F47">
        <w:t xml:space="preserve">Montana </w:t>
      </w:r>
      <w:r w:rsidR="00160EFB">
        <w:t>Sunshine Laws require openness in government</w:t>
      </w:r>
      <w:r w:rsidR="00412949">
        <w:t xml:space="preserve"> and will be followed</w:t>
      </w:r>
      <w:r w:rsidR="00160EFB">
        <w:t>.  The EI will comply with all appropriate requirements.</w:t>
      </w:r>
    </w:p>
    <w:p w14:paraId="34F815DD" w14:textId="77777777" w:rsidR="00A6396B" w:rsidRDefault="00A6396B" w:rsidP="00D94910">
      <w:pPr>
        <w:tabs>
          <w:tab w:val="left" w:pos="1545"/>
        </w:tabs>
        <w:spacing w:line="276" w:lineRule="auto"/>
      </w:pPr>
    </w:p>
    <w:p w14:paraId="2C6B978D" w14:textId="77777777" w:rsidR="00A6396B" w:rsidRDefault="00A6396B" w:rsidP="00D94910">
      <w:pPr>
        <w:tabs>
          <w:tab w:val="left" w:pos="1545"/>
        </w:tabs>
        <w:spacing w:line="276" w:lineRule="auto"/>
      </w:pPr>
      <w:r>
        <w:t>D. Voluntary Nature</w:t>
      </w:r>
      <w:r w:rsidR="00FE1266">
        <w:t xml:space="preserve"> - </w:t>
      </w:r>
      <w:r>
        <w:t>Respondents are told that their participation in the EI is voluntary and they may refuse to answer any of the questions.</w:t>
      </w:r>
    </w:p>
    <w:p w14:paraId="326FE269" w14:textId="77777777" w:rsidR="003436A2" w:rsidRDefault="003436A2" w:rsidP="00D94910">
      <w:pPr>
        <w:tabs>
          <w:tab w:val="left" w:pos="1545"/>
        </w:tabs>
        <w:spacing w:line="276" w:lineRule="auto"/>
      </w:pPr>
    </w:p>
    <w:p w14:paraId="36A1D503" w14:textId="3B3EF955" w:rsidR="001E683D" w:rsidRPr="00266092" w:rsidRDefault="001E683D" w:rsidP="00D94910">
      <w:pPr>
        <w:pStyle w:val="Heading2"/>
        <w:spacing w:line="276" w:lineRule="auto"/>
      </w:pPr>
      <w:bookmarkStart w:id="95" w:name="_Toc305155371"/>
      <w:bookmarkStart w:id="96" w:name="_Toc306341901"/>
      <w:bookmarkStart w:id="97" w:name="_Toc306344154"/>
      <w:bookmarkStart w:id="98" w:name="_Toc306344795"/>
      <w:bookmarkStart w:id="99" w:name="_Toc306345036"/>
      <w:bookmarkStart w:id="100" w:name="_Toc311445505"/>
      <w:bookmarkStart w:id="101" w:name="_Toc522219739"/>
      <w:r w:rsidRPr="00266092">
        <w:t>A.11</w:t>
      </w:r>
      <w:r w:rsidR="006E0743">
        <w:t>.</w:t>
      </w:r>
      <w:r w:rsidRPr="00266092">
        <w:t xml:space="preserve"> </w:t>
      </w:r>
      <w:r w:rsidR="0037198B" w:rsidRPr="0037198B">
        <w:t>Institutional Review Board (IRB) and Justification for Sensitive Questions</w:t>
      </w:r>
      <w:bookmarkEnd w:id="95"/>
      <w:bookmarkEnd w:id="96"/>
      <w:bookmarkEnd w:id="97"/>
      <w:bookmarkEnd w:id="98"/>
      <w:bookmarkEnd w:id="99"/>
      <w:bookmarkEnd w:id="100"/>
      <w:bookmarkEnd w:id="101"/>
    </w:p>
    <w:p w14:paraId="7975B74B" w14:textId="77777777" w:rsidR="00266092" w:rsidRPr="002D0805" w:rsidRDefault="00266092" w:rsidP="00D94910">
      <w:pPr>
        <w:autoSpaceDE w:val="0"/>
        <w:autoSpaceDN w:val="0"/>
        <w:adjustRightInd w:val="0"/>
        <w:spacing w:line="276" w:lineRule="auto"/>
        <w:rPr>
          <w:b/>
          <w:bCs/>
        </w:rPr>
      </w:pPr>
    </w:p>
    <w:p w14:paraId="1C14B121" w14:textId="74F5E78B" w:rsidR="00DB19B8" w:rsidRPr="004D735B" w:rsidRDefault="00DB19B8" w:rsidP="00DB19B8">
      <w:pPr>
        <w:tabs>
          <w:tab w:val="left" w:pos="1545"/>
        </w:tabs>
        <w:spacing w:line="276" w:lineRule="auto"/>
      </w:pPr>
      <w:r>
        <w:t>Federal Regulations for Protection of Human Subjects (45 CFR 46) state that “</w:t>
      </w:r>
      <w:r w:rsidRPr="006F1ACD">
        <w:rPr>
          <w:i/>
        </w:rPr>
        <w:t>research</w:t>
      </w:r>
      <w:r>
        <w:t xml:space="preserve"> means a systematic investigation, including research development, testing, and evaluation, designed to develop or contribute to generalizable knowledge.” In contrast, this EI is intended to be a systematic investigation but is not designed to develop or contribute to generalizable knowledge. The </w:t>
      </w:r>
      <w:r w:rsidR="007F0B24">
        <w:t>Anaconda, MT</w:t>
      </w:r>
      <w:r>
        <w:t xml:space="preserve"> EI is a nonresearch activity and human subjects review by an Institutional Review Board (IRB) is not required. The EI was reviewed by the NCEH/ATSDR Human Subjects Coordinator (Attachment 5). </w:t>
      </w:r>
    </w:p>
    <w:p w14:paraId="60DBFB27" w14:textId="77777777" w:rsidR="00DB19B8" w:rsidRDefault="00DB19B8" w:rsidP="00D94910">
      <w:pPr>
        <w:autoSpaceDE w:val="0"/>
        <w:autoSpaceDN w:val="0"/>
        <w:adjustRightInd w:val="0"/>
        <w:spacing w:line="276" w:lineRule="auto"/>
        <w:rPr>
          <w:color w:val="000000"/>
        </w:rPr>
      </w:pPr>
    </w:p>
    <w:p w14:paraId="3405A4F8" w14:textId="3B92CF69" w:rsidR="00FE2EAC" w:rsidRDefault="00A6396B" w:rsidP="00D94910">
      <w:pPr>
        <w:autoSpaceDE w:val="0"/>
        <w:autoSpaceDN w:val="0"/>
        <w:adjustRightInd w:val="0"/>
        <w:spacing w:line="276" w:lineRule="auto"/>
      </w:pPr>
      <w:r>
        <w:rPr>
          <w:color w:val="000000"/>
        </w:rPr>
        <w:t xml:space="preserve">ATSDR </w:t>
      </w:r>
      <w:r w:rsidR="0016335B">
        <w:rPr>
          <w:color w:val="000000"/>
        </w:rPr>
        <w:t>will</w:t>
      </w:r>
      <w:r>
        <w:rPr>
          <w:color w:val="000000"/>
        </w:rPr>
        <w:t xml:space="preserve"> gather information about individual characteristics (e.g., gender, age, ethnicity, and race) to assis</w:t>
      </w:r>
      <w:r w:rsidR="009B760F">
        <w:rPr>
          <w:color w:val="000000"/>
        </w:rPr>
        <w:t>t with interpretation for biolog</w:t>
      </w:r>
      <w:r>
        <w:rPr>
          <w:color w:val="000000"/>
        </w:rPr>
        <w:t xml:space="preserve">ical samples. For example, the individual’s laboratory results are compared to similar ethnicity and race results in the </w:t>
      </w:r>
      <w:r>
        <w:rPr>
          <w:i/>
          <w:iCs/>
          <w:color w:val="000000"/>
        </w:rPr>
        <w:t xml:space="preserve">National Report on Human Exposure to Environmental Chemicals </w:t>
      </w:r>
      <w:r w:rsidRPr="00F676BC">
        <w:rPr>
          <w:iCs/>
          <w:color w:val="000000"/>
        </w:rPr>
        <w:t>(</w:t>
      </w:r>
      <w:r w:rsidR="0016335B" w:rsidRPr="0016335B">
        <w:rPr>
          <w:iCs/>
          <w:color w:val="000000"/>
        </w:rPr>
        <w:t>http://www.cdc.gov/exposurereport/</w:t>
      </w:r>
      <w:r w:rsidRPr="00F676BC">
        <w:rPr>
          <w:iCs/>
          <w:color w:val="000000"/>
        </w:rPr>
        <w:t>)</w:t>
      </w:r>
      <w:r w:rsidRPr="00FA34A2">
        <w:rPr>
          <w:color w:val="000000"/>
        </w:rPr>
        <w:t>.</w:t>
      </w:r>
      <w:r>
        <w:rPr>
          <w:color w:val="000000"/>
        </w:rPr>
        <w:t xml:space="preserve"> </w:t>
      </w:r>
      <w:r>
        <w:rPr>
          <w:bCs/>
          <w:iCs/>
        </w:rPr>
        <w:t>Beyond that</w:t>
      </w:r>
      <w:r>
        <w:t xml:space="preserve">, questions of a sensitive nature </w:t>
      </w:r>
      <w:r w:rsidR="00F83594">
        <w:t>will not</w:t>
      </w:r>
      <w:r w:rsidR="0016335B">
        <w:t xml:space="preserve"> be</w:t>
      </w:r>
      <w:r>
        <w:t xml:space="preserve"> not asked. </w:t>
      </w:r>
    </w:p>
    <w:p w14:paraId="57968726" w14:textId="77777777" w:rsidR="00FE2EAC" w:rsidRDefault="00FE2EAC" w:rsidP="00D94910">
      <w:pPr>
        <w:autoSpaceDE w:val="0"/>
        <w:autoSpaceDN w:val="0"/>
        <w:adjustRightInd w:val="0"/>
        <w:spacing w:line="276" w:lineRule="auto"/>
      </w:pPr>
    </w:p>
    <w:p w14:paraId="44CB9A77" w14:textId="67043ACF" w:rsidR="00A6396B" w:rsidRDefault="00967E84" w:rsidP="00D94910">
      <w:pPr>
        <w:autoSpaceDE w:val="0"/>
        <w:autoSpaceDN w:val="0"/>
        <w:adjustRightInd w:val="0"/>
        <w:spacing w:line="276" w:lineRule="auto"/>
      </w:pPr>
      <w:r>
        <w:t>W</w:t>
      </w:r>
      <w:r w:rsidR="00A6396B">
        <w:t xml:space="preserve">e </w:t>
      </w:r>
      <w:r w:rsidR="00F83594">
        <w:t>will not</w:t>
      </w:r>
      <w:r w:rsidR="00A6396B">
        <w:t xml:space="preserve"> ask questions on </w:t>
      </w:r>
      <w:r w:rsidR="00876CA0">
        <w:t xml:space="preserve">symptoms, medical outcomes, or </w:t>
      </w:r>
      <w:r w:rsidR="00A6396B">
        <w:t xml:space="preserve">drug and medication use. </w:t>
      </w:r>
      <w:r w:rsidR="00085240">
        <w:t>For the</w:t>
      </w:r>
      <w:r w:rsidR="00412949">
        <w:t xml:space="preserve"> </w:t>
      </w:r>
      <w:r w:rsidR="009461EA">
        <w:t>Anaconda, MT</w:t>
      </w:r>
      <w:r w:rsidR="00085240">
        <w:t xml:space="preserve"> EI, </w:t>
      </w:r>
      <w:r w:rsidR="00A6396B">
        <w:t xml:space="preserve">ATSDR </w:t>
      </w:r>
      <w:r w:rsidR="00085240" w:rsidRPr="00584A53">
        <w:t>will</w:t>
      </w:r>
      <w:r w:rsidR="00A6396B">
        <w:t xml:space="preserve"> ask questions pertaining to recent or current pregnancy status </w:t>
      </w:r>
      <w:r w:rsidR="00085240">
        <w:t xml:space="preserve">because </w:t>
      </w:r>
      <w:r w:rsidR="00A6396B">
        <w:t>pregnancy makes a woman and her unborn child more vulnerable to the effects of lead</w:t>
      </w:r>
      <w:r w:rsidR="00A838D2">
        <w:t xml:space="preserve">.  </w:t>
      </w:r>
    </w:p>
    <w:p w14:paraId="51F1A304" w14:textId="77777777" w:rsidR="00A6396B" w:rsidRDefault="00A6396B" w:rsidP="00D94910">
      <w:pPr>
        <w:tabs>
          <w:tab w:val="left" w:pos="1545"/>
        </w:tabs>
        <w:spacing w:line="276" w:lineRule="auto"/>
      </w:pPr>
    </w:p>
    <w:p w14:paraId="3E07BDD9" w14:textId="77777777" w:rsidR="00392B58" w:rsidRDefault="00A6396B" w:rsidP="00D94910">
      <w:pPr>
        <w:tabs>
          <w:tab w:val="left" w:pos="1545"/>
        </w:tabs>
        <w:spacing w:line="276" w:lineRule="auto"/>
      </w:pPr>
      <w:r>
        <w:t>Social se</w:t>
      </w:r>
      <w:r w:rsidR="00646835">
        <w:t xml:space="preserve">curity numbers are not needed nor will </w:t>
      </w:r>
      <w:r w:rsidR="00E31C99">
        <w:t xml:space="preserve">they </w:t>
      </w:r>
      <w:r w:rsidR="00646835">
        <w:t>be</w:t>
      </w:r>
      <w:r>
        <w:t xml:space="preserve"> requested.</w:t>
      </w:r>
    </w:p>
    <w:p w14:paraId="4A0B0F2A" w14:textId="2D4280D9" w:rsidR="00651981" w:rsidRPr="00392B58" w:rsidRDefault="00651981" w:rsidP="00D94910">
      <w:pPr>
        <w:pStyle w:val="Heading2"/>
        <w:spacing w:line="276" w:lineRule="auto"/>
      </w:pPr>
      <w:bookmarkStart w:id="102" w:name="_Toc306344155"/>
      <w:bookmarkStart w:id="103" w:name="_Toc306344796"/>
      <w:bookmarkStart w:id="104" w:name="_Toc306345037"/>
      <w:bookmarkStart w:id="105" w:name="_Toc311445506"/>
      <w:bookmarkStart w:id="106" w:name="_Toc522219740"/>
      <w:r w:rsidRPr="00A527F9">
        <w:t>A.12</w:t>
      </w:r>
      <w:r w:rsidR="002A0056">
        <w:t>.</w:t>
      </w:r>
      <w:r w:rsidRPr="00A527F9">
        <w:t xml:space="preserve"> Estimates of Annualized Burden Hours and Costs</w:t>
      </w:r>
      <w:bookmarkEnd w:id="102"/>
      <w:bookmarkEnd w:id="103"/>
      <w:bookmarkEnd w:id="104"/>
      <w:bookmarkEnd w:id="105"/>
      <w:bookmarkEnd w:id="106"/>
    </w:p>
    <w:p w14:paraId="2551963A" w14:textId="77777777" w:rsidR="006653AB" w:rsidRPr="004628E1" w:rsidRDefault="006653AB" w:rsidP="00D94910">
      <w:pPr>
        <w:pStyle w:val="Heading3"/>
        <w:spacing w:line="276" w:lineRule="auto"/>
      </w:pPr>
      <w:bookmarkStart w:id="107" w:name="_Toc522219741"/>
      <w:bookmarkStart w:id="108" w:name="_Toc306344156"/>
      <w:bookmarkStart w:id="109" w:name="_Toc306344797"/>
      <w:bookmarkStart w:id="110" w:name="_Toc306345038"/>
      <w:bookmarkStart w:id="111" w:name="_Toc311445507"/>
      <w:r w:rsidRPr="004628E1">
        <w:t>A.</w:t>
      </w:r>
      <w:r w:rsidR="00B60A40">
        <w:t>12.1.</w:t>
      </w:r>
      <w:r w:rsidRPr="004628E1">
        <w:t xml:space="preserve"> Estimates of </w:t>
      </w:r>
      <w:r w:rsidRPr="003B5990">
        <w:t>Annualized</w:t>
      </w:r>
      <w:r w:rsidRPr="004628E1">
        <w:t xml:space="preserve"> Burden Hours</w:t>
      </w:r>
      <w:bookmarkEnd w:id="107"/>
    </w:p>
    <w:p w14:paraId="45FCEBFD" w14:textId="77777777" w:rsidR="006653AB" w:rsidRDefault="006653AB" w:rsidP="00D94910">
      <w:pPr>
        <w:tabs>
          <w:tab w:val="center" w:pos="4680"/>
          <w:tab w:val="left" w:pos="7710"/>
        </w:tabs>
        <w:spacing w:line="276" w:lineRule="auto"/>
        <w:rPr>
          <w:bCs/>
        </w:rPr>
      </w:pPr>
    </w:p>
    <w:p w14:paraId="12F6163D" w14:textId="05A5FFCC" w:rsidR="006653AB" w:rsidRDefault="006653AB" w:rsidP="00D94910">
      <w:pPr>
        <w:tabs>
          <w:tab w:val="center" w:pos="4680"/>
          <w:tab w:val="left" w:pos="7710"/>
        </w:tabs>
        <w:spacing w:line="276" w:lineRule="auto"/>
      </w:pPr>
      <w:r>
        <w:rPr>
          <w:bCs/>
        </w:rPr>
        <w:t xml:space="preserve">The </w:t>
      </w:r>
      <w:r w:rsidR="00A838D2">
        <w:rPr>
          <w:bCs/>
        </w:rPr>
        <w:t xml:space="preserve">estimate for burden hours </w:t>
      </w:r>
      <w:r w:rsidR="00540BD7">
        <w:rPr>
          <w:bCs/>
        </w:rPr>
        <w:t>for the</w:t>
      </w:r>
      <w:r w:rsidR="005748D7">
        <w:rPr>
          <w:bCs/>
        </w:rPr>
        <w:t xml:space="preserve"> </w:t>
      </w:r>
      <w:r w:rsidR="009461EA">
        <w:rPr>
          <w:bCs/>
        </w:rPr>
        <w:t>Anaconda, MT</w:t>
      </w:r>
      <w:r w:rsidR="00540BD7">
        <w:rPr>
          <w:bCs/>
        </w:rPr>
        <w:t xml:space="preserve"> EI </w:t>
      </w:r>
      <w:r w:rsidR="00A838D2">
        <w:rPr>
          <w:bCs/>
        </w:rPr>
        <w:t xml:space="preserve">is based on similar </w:t>
      </w:r>
      <w:r w:rsidR="00540BD7">
        <w:rPr>
          <w:bCs/>
        </w:rPr>
        <w:t>EIs that the EI team has conducted in the past</w:t>
      </w:r>
      <w:r w:rsidR="00540BD7" w:rsidRPr="0082063A">
        <w:rPr>
          <w:bCs/>
        </w:rPr>
        <w:t xml:space="preserve">.  The </w:t>
      </w:r>
      <w:r w:rsidRPr="0082063A">
        <w:rPr>
          <w:bCs/>
        </w:rPr>
        <w:t xml:space="preserve">time burden per respondent is estimated at </w:t>
      </w:r>
      <w:r w:rsidR="009461EA" w:rsidRPr="0082063A">
        <w:rPr>
          <w:bCs/>
        </w:rPr>
        <w:t>3</w:t>
      </w:r>
      <w:r w:rsidR="005511E1" w:rsidRPr="0082063A">
        <w:rPr>
          <w:bCs/>
        </w:rPr>
        <w:t>0 minutes. A typical questionnaire</w:t>
      </w:r>
      <w:r w:rsidRPr="0082063A">
        <w:rPr>
          <w:bCs/>
        </w:rPr>
        <w:t xml:space="preserve"> may include up to </w:t>
      </w:r>
      <w:r w:rsidR="009461EA" w:rsidRPr="0082063A">
        <w:rPr>
          <w:bCs/>
        </w:rPr>
        <w:t>60</w:t>
      </w:r>
      <w:r w:rsidRPr="0082063A">
        <w:rPr>
          <w:bCs/>
        </w:rPr>
        <w:t xml:space="preserve"> questions</w:t>
      </w:r>
      <w:r w:rsidR="0035509C">
        <w:rPr>
          <w:bCs/>
        </w:rPr>
        <w:t>,</w:t>
      </w:r>
      <w:r w:rsidR="0035509C" w:rsidRPr="0082063A">
        <w:rPr>
          <w:bCs/>
        </w:rPr>
        <w:t xml:space="preserve"> taking approximately 20 minutes to complete. </w:t>
      </w:r>
      <w:r w:rsidRPr="0082063A">
        <w:rPr>
          <w:bCs/>
        </w:rPr>
        <w:t xml:space="preserve"> </w:t>
      </w:r>
      <w:r w:rsidR="00D17C39" w:rsidRPr="0082063A">
        <w:rPr>
          <w:bCs/>
        </w:rPr>
        <w:t xml:space="preserve">Blood draw </w:t>
      </w:r>
      <w:r w:rsidR="000F7C28">
        <w:rPr>
          <w:bCs/>
        </w:rPr>
        <w:t>and urine collection are</w:t>
      </w:r>
      <w:r w:rsidR="00D17C39" w:rsidRPr="0082063A">
        <w:rPr>
          <w:bCs/>
        </w:rPr>
        <w:t xml:space="preserve"> estimated to take 10 minutes</w:t>
      </w:r>
      <w:r w:rsidR="002133F2" w:rsidRPr="0082063A">
        <w:rPr>
          <w:bCs/>
        </w:rPr>
        <w:t xml:space="preserve"> for a total of </w:t>
      </w:r>
      <w:r w:rsidR="0035509C" w:rsidRPr="0082063A">
        <w:rPr>
          <w:bCs/>
        </w:rPr>
        <w:t xml:space="preserve">30 </w:t>
      </w:r>
      <w:r w:rsidR="002133F2" w:rsidRPr="0082063A">
        <w:rPr>
          <w:bCs/>
        </w:rPr>
        <w:t>minutes per respondent</w:t>
      </w:r>
      <w:r w:rsidR="00D17C39" w:rsidRPr="0082063A">
        <w:rPr>
          <w:bCs/>
        </w:rPr>
        <w:t xml:space="preserve">. </w:t>
      </w:r>
      <w:r w:rsidRPr="0082063A">
        <w:t>The</w:t>
      </w:r>
      <w:r w:rsidRPr="00D02DDA">
        <w:t xml:space="preserve"> total estimated burden hours are </w:t>
      </w:r>
      <w:r w:rsidR="0035509C">
        <w:t>100</w:t>
      </w:r>
      <w:r w:rsidRPr="00D02DDA">
        <w:t>.</w:t>
      </w:r>
    </w:p>
    <w:p w14:paraId="05BFE706" w14:textId="77777777" w:rsidR="006653AB" w:rsidRPr="00935939" w:rsidRDefault="006653AB" w:rsidP="006653AB">
      <w:pPr>
        <w:tabs>
          <w:tab w:val="left" w:pos="1545"/>
        </w:tabs>
        <w:rPr>
          <w:b/>
        </w:rPr>
      </w:pPr>
    </w:p>
    <w:p w14:paraId="2E0E81E2" w14:textId="77777777" w:rsidR="006653AB" w:rsidRPr="00A5763A" w:rsidRDefault="006653AB" w:rsidP="006653AB">
      <w:pPr>
        <w:tabs>
          <w:tab w:val="left" w:pos="1545"/>
        </w:tabs>
        <w:rPr>
          <w:u w:val="single"/>
        </w:rPr>
      </w:pPr>
      <w:r w:rsidRPr="00A5763A">
        <w:rPr>
          <w:u w:val="single"/>
        </w:rPr>
        <w:t>Estimated Annualized Burden Hours</w:t>
      </w:r>
    </w:p>
    <w:p w14:paraId="7D99977C" w14:textId="77777777" w:rsidR="006653AB" w:rsidRPr="00A5763A" w:rsidRDefault="006653AB" w:rsidP="006653AB">
      <w:pPr>
        <w:tabs>
          <w:tab w:val="left" w:pos="1545"/>
        </w:tabs>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623"/>
        <w:gridCol w:w="1534"/>
        <w:gridCol w:w="1533"/>
        <w:gridCol w:w="1534"/>
        <w:gridCol w:w="1534"/>
      </w:tblGrid>
      <w:tr w:rsidR="004C1A39" w:rsidRPr="00A5763A" w14:paraId="346F2D10" w14:textId="77777777" w:rsidTr="005511E1">
        <w:trPr>
          <w:trHeight w:val="719"/>
        </w:trPr>
        <w:tc>
          <w:tcPr>
            <w:tcW w:w="1818" w:type="dxa"/>
            <w:shd w:val="clear" w:color="auto" w:fill="auto"/>
          </w:tcPr>
          <w:p w14:paraId="08556ED4" w14:textId="77777777" w:rsidR="00311E38" w:rsidRPr="00041F9D" w:rsidRDefault="00311E38" w:rsidP="00041F9D">
            <w:pPr>
              <w:tabs>
                <w:tab w:val="left" w:pos="1545"/>
              </w:tabs>
              <w:jc w:val="center"/>
            </w:pPr>
            <w:r w:rsidRPr="00041F9D">
              <w:t>Type of Respondents</w:t>
            </w:r>
          </w:p>
        </w:tc>
        <w:tc>
          <w:tcPr>
            <w:tcW w:w="1623" w:type="dxa"/>
            <w:shd w:val="clear" w:color="auto" w:fill="auto"/>
          </w:tcPr>
          <w:p w14:paraId="50897B61" w14:textId="77777777" w:rsidR="00311E38" w:rsidRPr="00041F9D" w:rsidRDefault="004C1A39" w:rsidP="00041F9D">
            <w:pPr>
              <w:tabs>
                <w:tab w:val="left" w:pos="1545"/>
              </w:tabs>
              <w:jc w:val="center"/>
            </w:pPr>
            <w:r>
              <w:t>Name of Form</w:t>
            </w:r>
          </w:p>
        </w:tc>
        <w:tc>
          <w:tcPr>
            <w:tcW w:w="1534" w:type="dxa"/>
            <w:shd w:val="clear" w:color="auto" w:fill="auto"/>
          </w:tcPr>
          <w:p w14:paraId="454F1334" w14:textId="77777777" w:rsidR="00311E38" w:rsidRPr="00041F9D" w:rsidRDefault="004C1A39" w:rsidP="00041F9D">
            <w:pPr>
              <w:widowControl w:val="0"/>
              <w:tabs>
                <w:tab w:val="left" w:pos="1545"/>
              </w:tabs>
              <w:autoSpaceDE w:val="0"/>
              <w:autoSpaceDN w:val="0"/>
              <w:adjustRightInd w:val="0"/>
              <w:jc w:val="center"/>
            </w:pPr>
            <w:r w:rsidRPr="005674AF">
              <w:t>No. of Respondents</w:t>
            </w:r>
          </w:p>
        </w:tc>
        <w:tc>
          <w:tcPr>
            <w:tcW w:w="1533" w:type="dxa"/>
            <w:shd w:val="clear" w:color="auto" w:fill="auto"/>
          </w:tcPr>
          <w:p w14:paraId="05A07900" w14:textId="77777777" w:rsidR="00311E38" w:rsidRPr="00041F9D" w:rsidRDefault="004C1A39" w:rsidP="00041F9D">
            <w:pPr>
              <w:widowControl w:val="0"/>
              <w:tabs>
                <w:tab w:val="left" w:pos="1545"/>
              </w:tabs>
              <w:autoSpaceDE w:val="0"/>
              <w:autoSpaceDN w:val="0"/>
              <w:adjustRightInd w:val="0"/>
              <w:jc w:val="center"/>
            </w:pPr>
            <w:r w:rsidRPr="005674AF">
              <w:t>No. of Responses per Respondent</w:t>
            </w:r>
          </w:p>
        </w:tc>
        <w:tc>
          <w:tcPr>
            <w:tcW w:w="1534" w:type="dxa"/>
            <w:shd w:val="clear" w:color="auto" w:fill="auto"/>
          </w:tcPr>
          <w:p w14:paraId="784EB6EF" w14:textId="77777777" w:rsidR="00311E38" w:rsidRDefault="004C1A39" w:rsidP="00041F9D">
            <w:pPr>
              <w:widowControl w:val="0"/>
              <w:tabs>
                <w:tab w:val="left" w:pos="1545"/>
              </w:tabs>
              <w:autoSpaceDE w:val="0"/>
              <w:autoSpaceDN w:val="0"/>
              <w:adjustRightInd w:val="0"/>
              <w:jc w:val="center"/>
            </w:pPr>
            <w:r w:rsidRPr="005674AF">
              <w:t xml:space="preserve">Average Burden per Response </w:t>
            </w:r>
          </w:p>
          <w:p w14:paraId="7ECCE907" w14:textId="77777777" w:rsidR="00311E38" w:rsidRPr="00041F9D" w:rsidRDefault="004C1A39" w:rsidP="00041F9D">
            <w:pPr>
              <w:widowControl w:val="0"/>
              <w:tabs>
                <w:tab w:val="left" w:pos="1545"/>
              </w:tabs>
              <w:autoSpaceDE w:val="0"/>
              <w:autoSpaceDN w:val="0"/>
              <w:adjustRightInd w:val="0"/>
              <w:jc w:val="center"/>
            </w:pPr>
            <w:r w:rsidRPr="005674AF">
              <w:t>(in hours)</w:t>
            </w:r>
          </w:p>
        </w:tc>
        <w:tc>
          <w:tcPr>
            <w:tcW w:w="1534" w:type="dxa"/>
          </w:tcPr>
          <w:p w14:paraId="1614BBA4" w14:textId="77777777" w:rsidR="00311E38" w:rsidRPr="00041F9D" w:rsidRDefault="004C1A39" w:rsidP="00041F9D">
            <w:pPr>
              <w:widowControl w:val="0"/>
              <w:tabs>
                <w:tab w:val="left" w:pos="1545"/>
              </w:tabs>
              <w:autoSpaceDE w:val="0"/>
              <w:autoSpaceDN w:val="0"/>
              <w:adjustRightInd w:val="0"/>
              <w:jc w:val="center"/>
            </w:pPr>
            <w:r w:rsidRPr="005674AF">
              <w:t>Total Burden (In Hours)</w:t>
            </w:r>
          </w:p>
        </w:tc>
      </w:tr>
      <w:tr w:rsidR="009825BE" w:rsidRPr="00A5763A" w14:paraId="0E64DFDC" w14:textId="77777777" w:rsidTr="005511E1">
        <w:trPr>
          <w:trHeight w:val="584"/>
        </w:trPr>
        <w:tc>
          <w:tcPr>
            <w:tcW w:w="1818" w:type="dxa"/>
            <w:shd w:val="clear" w:color="auto" w:fill="auto"/>
            <w:vAlign w:val="center"/>
          </w:tcPr>
          <w:p w14:paraId="28209847" w14:textId="6110315A" w:rsidR="009825BE" w:rsidRPr="00041F9D" w:rsidRDefault="009825BE" w:rsidP="009461EA">
            <w:pPr>
              <w:widowControl w:val="0"/>
              <w:tabs>
                <w:tab w:val="left" w:pos="1545"/>
              </w:tabs>
              <w:autoSpaceDE w:val="0"/>
              <w:autoSpaceDN w:val="0"/>
              <w:adjustRightInd w:val="0"/>
              <w:jc w:val="center"/>
            </w:pPr>
            <w:r w:rsidRPr="00041F9D">
              <w:t xml:space="preserve">EI </w:t>
            </w:r>
            <w:r>
              <w:t>P</w:t>
            </w:r>
            <w:r w:rsidRPr="00041F9D">
              <w:t>articipants</w:t>
            </w:r>
            <w:r>
              <w:t xml:space="preserve"> </w:t>
            </w:r>
          </w:p>
        </w:tc>
        <w:tc>
          <w:tcPr>
            <w:tcW w:w="1623" w:type="dxa"/>
            <w:shd w:val="clear" w:color="auto" w:fill="auto"/>
            <w:vAlign w:val="center"/>
          </w:tcPr>
          <w:p w14:paraId="057EB0FE" w14:textId="1E3C718B" w:rsidR="009825BE" w:rsidRPr="00041F9D" w:rsidRDefault="009825BE" w:rsidP="009461EA">
            <w:pPr>
              <w:widowControl w:val="0"/>
              <w:tabs>
                <w:tab w:val="left" w:pos="1545"/>
              </w:tabs>
              <w:autoSpaceDE w:val="0"/>
              <w:autoSpaceDN w:val="0"/>
              <w:adjustRightInd w:val="0"/>
              <w:jc w:val="center"/>
            </w:pPr>
            <w:r>
              <w:t>Participant Questionnaire</w:t>
            </w:r>
            <w:r w:rsidR="0035509C">
              <w:t xml:space="preserve"> and </w:t>
            </w:r>
            <w:r w:rsidR="00E76C00">
              <w:t>Sample</w:t>
            </w:r>
            <w:r w:rsidR="0035509C">
              <w:t xml:space="preserve"> Collection</w:t>
            </w:r>
            <w:r>
              <w:t xml:space="preserve"> </w:t>
            </w:r>
          </w:p>
        </w:tc>
        <w:tc>
          <w:tcPr>
            <w:tcW w:w="1534" w:type="dxa"/>
            <w:shd w:val="clear" w:color="auto" w:fill="auto"/>
            <w:vAlign w:val="center"/>
          </w:tcPr>
          <w:p w14:paraId="6858A18A" w14:textId="74C49253" w:rsidR="009825BE" w:rsidRPr="00041F9D" w:rsidRDefault="009825BE" w:rsidP="006523AC">
            <w:pPr>
              <w:widowControl w:val="0"/>
              <w:tabs>
                <w:tab w:val="left" w:pos="1545"/>
              </w:tabs>
              <w:autoSpaceDE w:val="0"/>
              <w:autoSpaceDN w:val="0"/>
              <w:adjustRightInd w:val="0"/>
              <w:jc w:val="center"/>
            </w:pPr>
            <w:r>
              <w:t>2</w:t>
            </w:r>
            <w:r w:rsidRPr="005674AF">
              <w:t>00</w:t>
            </w:r>
          </w:p>
        </w:tc>
        <w:tc>
          <w:tcPr>
            <w:tcW w:w="1533" w:type="dxa"/>
            <w:shd w:val="clear" w:color="auto" w:fill="auto"/>
            <w:vAlign w:val="center"/>
          </w:tcPr>
          <w:p w14:paraId="2B3A1DDA" w14:textId="4A43F4B0" w:rsidR="009825BE" w:rsidRPr="00041F9D" w:rsidRDefault="009461EA" w:rsidP="006523AC">
            <w:pPr>
              <w:widowControl w:val="0"/>
              <w:tabs>
                <w:tab w:val="left" w:pos="1545"/>
              </w:tabs>
              <w:autoSpaceDE w:val="0"/>
              <w:autoSpaceDN w:val="0"/>
              <w:adjustRightInd w:val="0"/>
              <w:jc w:val="center"/>
            </w:pPr>
            <w:r>
              <w:t>1</w:t>
            </w:r>
          </w:p>
        </w:tc>
        <w:tc>
          <w:tcPr>
            <w:tcW w:w="1534" w:type="dxa"/>
            <w:shd w:val="clear" w:color="auto" w:fill="auto"/>
            <w:vAlign w:val="center"/>
          </w:tcPr>
          <w:p w14:paraId="6F97EB31" w14:textId="1B68CBDB" w:rsidR="009825BE" w:rsidRPr="00041F9D" w:rsidRDefault="0035509C" w:rsidP="006523AC">
            <w:pPr>
              <w:widowControl w:val="0"/>
              <w:tabs>
                <w:tab w:val="left" w:pos="1545"/>
              </w:tabs>
              <w:autoSpaceDE w:val="0"/>
              <w:autoSpaceDN w:val="0"/>
              <w:adjustRightInd w:val="0"/>
              <w:jc w:val="center"/>
            </w:pPr>
            <w:r>
              <w:t>3</w:t>
            </w:r>
            <w:r w:rsidRPr="005674AF">
              <w:t>0</w:t>
            </w:r>
            <w:r w:rsidR="009825BE" w:rsidRPr="005674AF">
              <w:t>/60</w:t>
            </w:r>
          </w:p>
        </w:tc>
        <w:tc>
          <w:tcPr>
            <w:tcW w:w="1534" w:type="dxa"/>
            <w:vAlign w:val="center"/>
          </w:tcPr>
          <w:p w14:paraId="32269D14" w14:textId="1E615AE4" w:rsidR="009825BE" w:rsidRPr="00041F9D" w:rsidRDefault="0035509C" w:rsidP="0082063A">
            <w:pPr>
              <w:widowControl w:val="0"/>
              <w:tabs>
                <w:tab w:val="left" w:pos="1545"/>
              </w:tabs>
              <w:autoSpaceDE w:val="0"/>
              <w:autoSpaceDN w:val="0"/>
              <w:adjustRightInd w:val="0"/>
              <w:jc w:val="center"/>
            </w:pPr>
            <w:r>
              <w:t>100</w:t>
            </w:r>
          </w:p>
        </w:tc>
      </w:tr>
      <w:tr w:rsidR="00C126EA" w:rsidRPr="00A5763A" w14:paraId="7954B382" w14:textId="77777777" w:rsidTr="005511E1">
        <w:trPr>
          <w:trHeight w:val="584"/>
        </w:trPr>
        <w:tc>
          <w:tcPr>
            <w:tcW w:w="1818" w:type="dxa"/>
            <w:shd w:val="clear" w:color="auto" w:fill="auto"/>
            <w:vAlign w:val="center"/>
          </w:tcPr>
          <w:p w14:paraId="6C017B04" w14:textId="41778ABF" w:rsidR="00C126EA" w:rsidRDefault="00C126EA" w:rsidP="00041F9D">
            <w:pPr>
              <w:widowControl w:val="0"/>
              <w:tabs>
                <w:tab w:val="left" w:pos="1545"/>
              </w:tabs>
              <w:autoSpaceDE w:val="0"/>
              <w:autoSpaceDN w:val="0"/>
              <w:adjustRightInd w:val="0"/>
              <w:jc w:val="center"/>
            </w:pPr>
            <w:r>
              <w:t>Total</w:t>
            </w:r>
          </w:p>
        </w:tc>
        <w:tc>
          <w:tcPr>
            <w:tcW w:w="1623" w:type="dxa"/>
            <w:shd w:val="clear" w:color="auto" w:fill="auto"/>
            <w:vAlign w:val="center"/>
          </w:tcPr>
          <w:p w14:paraId="0FD93CD2" w14:textId="77777777" w:rsidR="00C126EA" w:rsidRDefault="00C126EA" w:rsidP="005511E1">
            <w:pPr>
              <w:widowControl w:val="0"/>
              <w:tabs>
                <w:tab w:val="left" w:pos="1545"/>
              </w:tabs>
              <w:autoSpaceDE w:val="0"/>
              <w:autoSpaceDN w:val="0"/>
              <w:adjustRightInd w:val="0"/>
              <w:jc w:val="center"/>
            </w:pPr>
          </w:p>
        </w:tc>
        <w:tc>
          <w:tcPr>
            <w:tcW w:w="1534" w:type="dxa"/>
            <w:shd w:val="clear" w:color="auto" w:fill="auto"/>
            <w:vAlign w:val="center"/>
          </w:tcPr>
          <w:p w14:paraId="1BFF06C1" w14:textId="77777777" w:rsidR="00C126EA" w:rsidRDefault="00C126EA" w:rsidP="006523AC">
            <w:pPr>
              <w:widowControl w:val="0"/>
              <w:tabs>
                <w:tab w:val="left" w:pos="1545"/>
              </w:tabs>
              <w:autoSpaceDE w:val="0"/>
              <w:autoSpaceDN w:val="0"/>
              <w:adjustRightInd w:val="0"/>
              <w:jc w:val="center"/>
            </w:pPr>
          </w:p>
        </w:tc>
        <w:tc>
          <w:tcPr>
            <w:tcW w:w="1533" w:type="dxa"/>
            <w:shd w:val="clear" w:color="auto" w:fill="auto"/>
            <w:vAlign w:val="center"/>
          </w:tcPr>
          <w:p w14:paraId="21B2D203" w14:textId="77777777" w:rsidR="00C126EA" w:rsidRDefault="00C126EA" w:rsidP="006523AC">
            <w:pPr>
              <w:widowControl w:val="0"/>
              <w:tabs>
                <w:tab w:val="left" w:pos="1545"/>
              </w:tabs>
              <w:autoSpaceDE w:val="0"/>
              <w:autoSpaceDN w:val="0"/>
              <w:adjustRightInd w:val="0"/>
              <w:jc w:val="center"/>
            </w:pPr>
          </w:p>
        </w:tc>
        <w:tc>
          <w:tcPr>
            <w:tcW w:w="1534" w:type="dxa"/>
            <w:shd w:val="clear" w:color="auto" w:fill="auto"/>
            <w:vAlign w:val="center"/>
          </w:tcPr>
          <w:p w14:paraId="642F83E5" w14:textId="77777777" w:rsidR="00C126EA" w:rsidRDefault="00C126EA" w:rsidP="006523AC">
            <w:pPr>
              <w:widowControl w:val="0"/>
              <w:tabs>
                <w:tab w:val="left" w:pos="1545"/>
              </w:tabs>
              <w:autoSpaceDE w:val="0"/>
              <w:autoSpaceDN w:val="0"/>
              <w:adjustRightInd w:val="0"/>
              <w:jc w:val="center"/>
            </w:pPr>
          </w:p>
        </w:tc>
        <w:tc>
          <w:tcPr>
            <w:tcW w:w="1534" w:type="dxa"/>
            <w:vAlign w:val="center"/>
          </w:tcPr>
          <w:p w14:paraId="0DE3DAFC" w14:textId="17E89780" w:rsidR="00C126EA" w:rsidRDefault="0035509C" w:rsidP="0082063A">
            <w:pPr>
              <w:widowControl w:val="0"/>
              <w:tabs>
                <w:tab w:val="left" w:pos="1545"/>
              </w:tabs>
              <w:autoSpaceDE w:val="0"/>
              <w:autoSpaceDN w:val="0"/>
              <w:adjustRightInd w:val="0"/>
              <w:jc w:val="center"/>
            </w:pPr>
            <w:r>
              <w:t>100</w:t>
            </w:r>
          </w:p>
        </w:tc>
      </w:tr>
    </w:tbl>
    <w:p w14:paraId="4EECBB5C" w14:textId="77777777" w:rsidR="00F4473C" w:rsidRPr="00CA1072" w:rsidRDefault="00F4473C" w:rsidP="007F446A">
      <w:pPr>
        <w:pStyle w:val="Heading2"/>
        <w:rPr>
          <w:rFonts w:ascii="Times New Roman" w:hAnsi="Times New Roman" w:cs="Times New Roman"/>
          <w:color w:val="4F81BD"/>
          <w:sz w:val="24"/>
        </w:rPr>
      </w:pPr>
      <w:bookmarkStart w:id="112" w:name="_Toc306344157"/>
      <w:bookmarkStart w:id="113" w:name="_Toc306344798"/>
      <w:bookmarkStart w:id="114" w:name="_Toc306345039"/>
      <w:bookmarkStart w:id="115" w:name="_Toc311445508"/>
      <w:bookmarkEnd w:id="108"/>
      <w:bookmarkEnd w:id="109"/>
      <w:bookmarkEnd w:id="110"/>
      <w:bookmarkEnd w:id="111"/>
    </w:p>
    <w:p w14:paraId="6ADC9A5A" w14:textId="77777777" w:rsidR="006653AB" w:rsidRPr="0094069A" w:rsidRDefault="00B60A40" w:rsidP="00B60A40">
      <w:pPr>
        <w:pStyle w:val="Heading3"/>
      </w:pPr>
      <w:bookmarkStart w:id="116" w:name="_Toc522219742"/>
      <w:r>
        <w:t>A.12.2.</w:t>
      </w:r>
      <w:r w:rsidR="006653AB" w:rsidRPr="0094069A">
        <w:t xml:space="preserve"> Annualized Cost to Respondents</w:t>
      </w:r>
      <w:bookmarkEnd w:id="116"/>
    </w:p>
    <w:p w14:paraId="2C1A580C" w14:textId="77777777" w:rsidR="006653AB" w:rsidRDefault="006653AB" w:rsidP="006653AB">
      <w:pPr>
        <w:tabs>
          <w:tab w:val="center" w:pos="4680"/>
          <w:tab w:val="left" w:pos="7710"/>
        </w:tabs>
        <w:rPr>
          <w:b/>
        </w:rPr>
      </w:pPr>
    </w:p>
    <w:p w14:paraId="09B086D3" w14:textId="5108C597" w:rsidR="006653AB" w:rsidRDefault="006653AB" w:rsidP="00D94910">
      <w:pPr>
        <w:tabs>
          <w:tab w:val="center" w:pos="4680"/>
          <w:tab w:val="left" w:pos="7710"/>
        </w:tabs>
        <w:spacing w:line="276" w:lineRule="auto"/>
        <w:rPr>
          <w:color w:val="FF0000"/>
        </w:rPr>
      </w:pPr>
      <w:r>
        <w:t xml:space="preserve">Using a </w:t>
      </w:r>
      <w:r w:rsidR="009461EA">
        <w:t xml:space="preserve">mean hourly </w:t>
      </w:r>
      <w:r>
        <w:t>rate of $</w:t>
      </w:r>
      <w:r w:rsidR="009461EA">
        <w:t>24.34</w:t>
      </w:r>
      <w:r>
        <w:rPr>
          <w:color w:val="000000"/>
        </w:rPr>
        <w:t>/hr</w:t>
      </w:r>
      <w:r w:rsidR="00761F94">
        <w:rPr>
          <w:color w:val="000000"/>
        </w:rPr>
        <w:t>.</w:t>
      </w:r>
      <w:r>
        <w:rPr>
          <w:color w:val="000000"/>
        </w:rPr>
        <w:t>,</w:t>
      </w:r>
      <w:r>
        <w:t xml:space="preserve"> the annualized cost to respondents for the hour burdens for the collection of information is $</w:t>
      </w:r>
      <w:r w:rsidR="0035509C">
        <w:t>2,434.00</w:t>
      </w:r>
      <w:r>
        <w:t>. The hourly wage rate is based on the U.S. Department of Labor, Bureau of Labor Statistics’ most current statistics [</w:t>
      </w:r>
      <w:r w:rsidR="00A43880">
        <w:t xml:space="preserve">May </w:t>
      </w:r>
      <w:r w:rsidR="005D7E81">
        <w:t>201</w:t>
      </w:r>
      <w:r w:rsidR="009461EA">
        <w:t>7</w:t>
      </w:r>
      <w:r w:rsidR="005D7E81">
        <w:t xml:space="preserve"> </w:t>
      </w:r>
      <w:r>
        <w:t>National Occupational Employment and Wage Estimates United States,</w:t>
      </w:r>
      <w:r w:rsidR="009461EA">
        <w:t xml:space="preserve"> </w:t>
      </w:r>
      <w:r w:rsidR="005D7E81" w:rsidRPr="005D7E81">
        <w:t>http://www.bls.gov/oes/current/oes_nat.htm#00-0000</w:t>
      </w:r>
      <w:r>
        <w:t>].</w:t>
      </w:r>
    </w:p>
    <w:p w14:paraId="5431048C" w14:textId="77777777" w:rsidR="006653AB" w:rsidRDefault="006653AB" w:rsidP="006653AB">
      <w:pPr>
        <w:tabs>
          <w:tab w:val="center" w:pos="4680"/>
          <w:tab w:val="left" w:pos="7710"/>
        </w:tabs>
        <w:rPr>
          <w:color w:val="FF0000"/>
        </w:rPr>
      </w:pPr>
    </w:p>
    <w:p w14:paraId="77885C07" w14:textId="77777777" w:rsidR="006653AB" w:rsidRPr="003D5701" w:rsidRDefault="006653AB" w:rsidP="006653AB">
      <w:pPr>
        <w:tabs>
          <w:tab w:val="center" w:pos="4680"/>
          <w:tab w:val="left" w:pos="7710"/>
        </w:tabs>
        <w:rPr>
          <w:u w:val="single"/>
        </w:rPr>
      </w:pPr>
      <w:r w:rsidRPr="003D5701">
        <w:rPr>
          <w:color w:val="000000"/>
          <w:u w:val="single"/>
        </w:rPr>
        <w:t xml:space="preserve">Estimated Annualized </w:t>
      </w:r>
      <w:r w:rsidRPr="003D5701">
        <w:rPr>
          <w:u w:val="single"/>
        </w:rPr>
        <w:t>Burden Costs</w:t>
      </w:r>
    </w:p>
    <w:p w14:paraId="453F6B55" w14:textId="77777777" w:rsidR="006653AB" w:rsidRDefault="006653AB" w:rsidP="006653AB">
      <w:pPr>
        <w:tabs>
          <w:tab w:val="center" w:pos="4680"/>
          <w:tab w:val="left" w:pos="771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1915"/>
        <w:gridCol w:w="1916"/>
      </w:tblGrid>
      <w:tr w:rsidR="006653AB" w:rsidRPr="00A5763A" w14:paraId="60D9A753" w14:textId="77777777" w:rsidTr="006653AB">
        <w:tc>
          <w:tcPr>
            <w:tcW w:w="1915" w:type="dxa"/>
            <w:shd w:val="clear" w:color="auto" w:fill="auto"/>
          </w:tcPr>
          <w:p w14:paraId="2D058036" w14:textId="77777777" w:rsidR="00311E38" w:rsidRDefault="00311E38" w:rsidP="00041F9D">
            <w:pPr>
              <w:tabs>
                <w:tab w:val="center" w:pos="4680"/>
                <w:tab w:val="left" w:pos="7710"/>
              </w:tabs>
              <w:jc w:val="center"/>
            </w:pPr>
            <w:r w:rsidRPr="00041F9D">
              <w:t>Type of Respondent</w:t>
            </w:r>
          </w:p>
        </w:tc>
        <w:tc>
          <w:tcPr>
            <w:tcW w:w="1915" w:type="dxa"/>
            <w:shd w:val="clear" w:color="auto" w:fill="auto"/>
          </w:tcPr>
          <w:p w14:paraId="47145369" w14:textId="77777777" w:rsidR="00311E38" w:rsidRPr="00041F9D" w:rsidRDefault="00311E38" w:rsidP="00041F9D">
            <w:pPr>
              <w:widowControl w:val="0"/>
              <w:tabs>
                <w:tab w:val="left" w:pos="1545"/>
              </w:tabs>
              <w:autoSpaceDE w:val="0"/>
              <w:autoSpaceDN w:val="0"/>
              <w:adjustRightInd w:val="0"/>
              <w:jc w:val="center"/>
            </w:pPr>
            <w:r w:rsidRPr="00041F9D">
              <w:t>Total Burden Hours</w:t>
            </w:r>
          </w:p>
        </w:tc>
        <w:tc>
          <w:tcPr>
            <w:tcW w:w="1915" w:type="dxa"/>
            <w:shd w:val="clear" w:color="auto" w:fill="auto"/>
          </w:tcPr>
          <w:p w14:paraId="71D0BB08" w14:textId="77777777" w:rsidR="00311E38" w:rsidRDefault="00311E38" w:rsidP="00041F9D">
            <w:pPr>
              <w:tabs>
                <w:tab w:val="center" w:pos="4680"/>
                <w:tab w:val="left" w:pos="7710"/>
              </w:tabs>
              <w:jc w:val="center"/>
            </w:pPr>
            <w:r w:rsidRPr="00041F9D">
              <w:t>No. Responses per Respondent</w:t>
            </w:r>
          </w:p>
        </w:tc>
        <w:tc>
          <w:tcPr>
            <w:tcW w:w="1915" w:type="dxa"/>
            <w:shd w:val="clear" w:color="auto" w:fill="auto"/>
          </w:tcPr>
          <w:p w14:paraId="6FA42494" w14:textId="77777777" w:rsidR="00311E38" w:rsidRDefault="00311E38" w:rsidP="00041F9D">
            <w:pPr>
              <w:tabs>
                <w:tab w:val="center" w:pos="4680"/>
                <w:tab w:val="left" w:pos="7710"/>
              </w:tabs>
              <w:jc w:val="center"/>
            </w:pPr>
            <w:r w:rsidRPr="00041F9D">
              <w:t>Hourly Wage Rate</w:t>
            </w:r>
          </w:p>
        </w:tc>
        <w:tc>
          <w:tcPr>
            <w:tcW w:w="1916" w:type="dxa"/>
            <w:shd w:val="clear" w:color="auto" w:fill="auto"/>
          </w:tcPr>
          <w:p w14:paraId="071C3994" w14:textId="77777777" w:rsidR="00311E38" w:rsidRDefault="00311E38" w:rsidP="00041F9D">
            <w:pPr>
              <w:tabs>
                <w:tab w:val="center" w:pos="4680"/>
                <w:tab w:val="left" w:pos="7710"/>
              </w:tabs>
              <w:jc w:val="center"/>
            </w:pPr>
            <w:r w:rsidRPr="00041F9D">
              <w:t>Total Respondent Costs</w:t>
            </w:r>
          </w:p>
        </w:tc>
      </w:tr>
      <w:tr w:rsidR="006653AB" w:rsidRPr="00A5763A" w14:paraId="7FD63783" w14:textId="77777777" w:rsidTr="006653AB">
        <w:tc>
          <w:tcPr>
            <w:tcW w:w="1915" w:type="dxa"/>
            <w:shd w:val="clear" w:color="auto" w:fill="auto"/>
          </w:tcPr>
          <w:p w14:paraId="18F4FCB6" w14:textId="77777777" w:rsidR="00311E38" w:rsidRPr="00041F9D" w:rsidRDefault="00311E38" w:rsidP="00041F9D">
            <w:pPr>
              <w:widowControl w:val="0"/>
              <w:tabs>
                <w:tab w:val="center" w:pos="4680"/>
                <w:tab w:val="left" w:pos="7710"/>
              </w:tabs>
              <w:autoSpaceDE w:val="0"/>
              <w:autoSpaceDN w:val="0"/>
              <w:adjustRightInd w:val="0"/>
              <w:jc w:val="center"/>
            </w:pPr>
            <w:r w:rsidRPr="00041F9D">
              <w:t>EI participants</w:t>
            </w:r>
          </w:p>
        </w:tc>
        <w:tc>
          <w:tcPr>
            <w:tcW w:w="1915" w:type="dxa"/>
            <w:shd w:val="clear" w:color="auto" w:fill="auto"/>
          </w:tcPr>
          <w:p w14:paraId="098F98A1" w14:textId="5891259E" w:rsidR="00311E38" w:rsidRPr="00041F9D" w:rsidRDefault="0035509C" w:rsidP="0082063A">
            <w:pPr>
              <w:widowControl w:val="0"/>
              <w:tabs>
                <w:tab w:val="center" w:pos="4680"/>
                <w:tab w:val="left" w:pos="7710"/>
              </w:tabs>
              <w:autoSpaceDE w:val="0"/>
              <w:autoSpaceDN w:val="0"/>
              <w:adjustRightInd w:val="0"/>
              <w:jc w:val="center"/>
            </w:pPr>
            <w:r>
              <w:t>100</w:t>
            </w:r>
          </w:p>
        </w:tc>
        <w:tc>
          <w:tcPr>
            <w:tcW w:w="1915" w:type="dxa"/>
            <w:shd w:val="clear" w:color="auto" w:fill="auto"/>
          </w:tcPr>
          <w:p w14:paraId="64DF090A" w14:textId="77777777" w:rsidR="006653AB" w:rsidRPr="00041F9D" w:rsidRDefault="00311E38" w:rsidP="006523AC">
            <w:pPr>
              <w:widowControl w:val="0"/>
              <w:tabs>
                <w:tab w:val="center" w:pos="4680"/>
                <w:tab w:val="left" w:pos="7710"/>
              </w:tabs>
              <w:autoSpaceDE w:val="0"/>
              <w:autoSpaceDN w:val="0"/>
              <w:adjustRightInd w:val="0"/>
              <w:jc w:val="center"/>
            </w:pPr>
            <w:r w:rsidRPr="00041F9D">
              <w:t>1</w:t>
            </w:r>
          </w:p>
        </w:tc>
        <w:tc>
          <w:tcPr>
            <w:tcW w:w="1915" w:type="dxa"/>
            <w:shd w:val="clear" w:color="auto" w:fill="auto"/>
          </w:tcPr>
          <w:p w14:paraId="5B6AB972" w14:textId="44725153" w:rsidR="00311E38" w:rsidRPr="00041F9D" w:rsidRDefault="00311E38" w:rsidP="009461EA">
            <w:pPr>
              <w:widowControl w:val="0"/>
              <w:tabs>
                <w:tab w:val="center" w:pos="4680"/>
                <w:tab w:val="left" w:pos="7710"/>
              </w:tabs>
              <w:autoSpaceDE w:val="0"/>
              <w:autoSpaceDN w:val="0"/>
              <w:adjustRightInd w:val="0"/>
              <w:jc w:val="right"/>
            </w:pPr>
            <w:r w:rsidRPr="00041F9D">
              <w:t>$</w:t>
            </w:r>
            <w:r w:rsidR="009461EA">
              <w:t>24.34</w:t>
            </w:r>
          </w:p>
        </w:tc>
        <w:tc>
          <w:tcPr>
            <w:tcW w:w="1916" w:type="dxa"/>
            <w:shd w:val="clear" w:color="auto" w:fill="auto"/>
          </w:tcPr>
          <w:p w14:paraId="28592B13" w14:textId="535D1097" w:rsidR="00311E38" w:rsidRPr="00041F9D" w:rsidRDefault="00311E38" w:rsidP="0082063A">
            <w:pPr>
              <w:widowControl w:val="0"/>
              <w:tabs>
                <w:tab w:val="center" w:pos="4680"/>
                <w:tab w:val="left" w:pos="7710"/>
              </w:tabs>
              <w:autoSpaceDE w:val="0"/>
              <w:autoSpaceDN w:val="0"/>
              <w:adjustRightInd w:val="0"/>
              <w:jc w:val="right"/>
            </w:pPr>
            <w:r w:rsidRPr="00041F9D">
              <w:t>$</w:t>
            </w:r>
            <w:r w:rsidR="0035509C">
              <w:t>2,434.00</w:t>
            </w:r>
          </w:p>
        </w:tc>
      </w:tr>
    </w:tbl>
    <w:p w14:paraId="581CA4F5" w14:textId="77777777" w:rsidR="00311E38" w:rsidRDefault="00311E38" w:rsidP="00041F9D">
      <w:pPr>
        <w:tabs>
          <w:tab w:val="center" w:pos="4680"/>
          <w:tab w:val="left" w:pos="7710"/>
        </w:tabs>
        <w:jc w:val="center"/>
        <w:rPr>
          <w:b/>
        </w:rPr>
      </w:pPr>
    </w:p>
    <w:p w14:paraId="5DF13B52" w14:textId="77777777" w:rsidR="00261215" w:rsidRDefault="00B60A40" w:rsidP="00B60A40">
      <w:pPr>
        <w:pStyle w:val="Heading2"/>
      </w:pPr>
      <w:bookmarkStart w:id="117" w:name="_Toc522219743"/>
      <w:r>
        <w:t>A.13</w:t>
      </w:r>
      <w:r w:rsidR="002A0056">
        <w:t>.</w:t>
      </w:r>
      <w:r w:rsidR="00261215">
        <w:t xml:space="preserve"> Estimates of Other Total Annual Cost Burden to </w:t>
      </w:r>
      <w:r w:rsidR="009F3DD8">
        <w:t>Respondents</w:t>
      </w:r>
      <w:r w:rsidR="00261215">
        <w:t xml:space="preserve"> o</w:t>
      </w:r>
      <w:r w:rsidR="00DD0E31">
        <w:t>r</w:t>
      </w:r>
      <w:r w:rsidR="00261215">
        <w:t xml:space="preserve"> Record Keepers</w:t>
      </w:r>
      <w:bookmarkEnd w:id="117"/>
    </w:p>
    <w:p w14:paraId="0A7D9D59" w14:textId="77777777" w:rsidR="00DD0E31" w:rsidRPr="000128D8" w:rsidRDefault="00DD0E31" w:rsidP="006653AB">
      <w:pPr>
        <w:tabs>
          <w:tab w:val="center" w:pos="4680"/>
          <w:tab w:val="left" w:pos="7710"/>
        </w:tabs>
      </w:pPr>
    </w:p>
    <w:p w14:paraId="100A09AB" w14:textId="77777777" w:rsidR="00DD0E31" w:rsidRDefault="00540BD7" w:rsidP="006653AB">
      <w:pPr>
        <w:tabs>
          <w:tab w:val="center" w:pos="4680"/>
          <w:tab w:val="left" w:pos="7710"/>
        </w:tabs>
        <w:rPr>
          <w:b/>
        </w:rPr>
      </w:pPr>
      <w:r>
        <w:t>There will be no direct costs to the participants other than their time to participate in the EI</w:t>
      </w:r>
      <w:r w:rsidR="00DD0E31" w:rsidRPr="000128D8">
        <w:t>.</w:t>
      </w:r>
    </w:p>
    <w:bookmarkEnd w:id="112"/>
    <w:bookmarkEnd w:id="113"/>
    <w:bookmarkEnd w:id="114"/>
    <w:bookmarkEnd w:id="115"/>
    <w:p w14:paraId="6C21B0A5" w14:textId="77777777" w:rsidR="00AB0F01" w:rsidRPr="00A527F9" w:rsidRDefault="00AB0F01" w:rsidP="002F40AB">
      <w:pPr>
        <w:autoSpaceDE w:val="0"/>
        <w:autoSpaceDN w:val="0"/>
        <w:adjustRightInd w:val="0"/>
        <w:rPr>
          <w:color w:val="000000" w:themeColor="text1"/>
        </w:rPr>
      </w:pPr>
    </w:p>
    <w:p w14:paraId="6382ADBD" w14:textId="77777777" w:rsidR="006653AB" w:rsidRDefault="00B60A40" w:rsidP="00B60A40">
      <w:pPr>
        <w:pStyle w:val="Heading2"/>
      </w:pPr>
      <w:bookmarkStart w:id="118" w:name="_Toc522219744"/>
      <w:bookmarkStart w:id="119" w:name="_Toc306344159"/>
      <w:bookmarkStart w:id="120" w:name="_Toc306344800"/>
      <w:bookmarkStart w:id="121" w:name="_Toc306345041"/>
      <w:bookmarkStart w:id="122" w:name="_Toc311445510"/>
      <w:r>
        <w:t>A.14</w:t>
      </w:r>
      <w:r w:rsidR="006653AB">
        <w:t>. Annualized Cost to the Government</w:t>
      </w:r>
      <w:bookmarkEnd w:id="118"/>
    </w:p>
    <w:p w14:paraId="275018FB" w14:textId="77777777" w:rsidR="006653AB" w:rsidRDefault="006653AB" w:rsidP="006653AB">
      <w:pPr>
        <w:tabs>
          <w:tab w:val="center" w:pos="4680"/>
          <w:tab w:val="left" w:pos="7710"/>
        </w:tabs>
        <w:rPr>
          <w:b/>
        </w:rPr>
      </w:pPr>
    </w:p>
    <w:p w14:paraId="46DB2F8C" w14:textId="77777777" w:rsidR="006653AB" w:rsidRDefault="006653AB" w:rsidP="006653AB">
      <w:pPr>
        <w:tabs>
          <w:tab w:val="center" w:pos="4680"/>
          <w:tab w:val="left" w:pos="7710"/>
        </w:tabs>
      </w:pPr>
      <w:r>
        <w:t xml:space="preserve">Costs for ATSDR personnel </w:t>
      </w:r>
      <w:r w:rsidR="00B847C9">
        <w:t>a</w:t>
      </w:r>
      <w:r>
        <w:t>re estimated based on experience with previous EI activities.</w:t>
      </w:r>
      <w:r w:rsidR="00540BD7">
        <w:t xml:space="preserve">  </w:t>
      </w:r>
    </w:p>
    <w:p w14:paraId="61BBE9F2" w14:textId="77777777" w:rsidR="00540BD7" w:rsidRPr="006523AC" w:rsidRDefault="00540BD7" w:rsidP="006653AB">
      <w:pPr>
        <w:tabs>
          <w:tab w:val="center" w:pos="4680"/>
          <w:tab w:val="left" w:pos="7710"/>
        </w:tabs>
      </w:pPr>
    </w:p>
    <w:tbl>
      <w:tblPr>
        <w:tblStyle w:val="TableGrid1"/>
        <w:tblW w:w="9567" w:type="dxa"/>
        <w:tblInd w:w="9" w:type="dxa"/>
        <w:tblLayout w:type="fixed"/>
        <w:tblLook w:val="04A0" w:firstRow="1" w:lastRow="0" w:firstColumn="1" w:lastColumn="0" w:noHBand="0" w:noVBand="1"/>
      </w:tblPr>
      <w:tblGrid>
        <w:gridCol w:w="5296"/>
        <w:gridCol w:w="1499"/>
        <w:gridCol w:w="1386"/>
        <w:gridCol w:w="1386"/>
      </w:tblGrid>
      <w:tr w:rsidR="00540BD7" w:rsidRPr="006523AC" w14:paraId="42D7FD19" w14:textId="77777777" w:rsidTr="00BC3480">
        <w:trPr>
          <w:trHeight w:val="593"/>
        </w:trPr>
        <w:tc>
          <w:tcPr>
            <w:tcW w:w="5296" w:type="dxa"/>
            <w:tcBorders>
              <w:bottom w:val="single" w:sz="4" w:space="0" w:color="auto"/>
            </w:tcBorders>
            <w:shd w:val="clear" w:color="auto" w:fill="D9D9D9" w:themeFill="background1" w:themeFillShade="D9"/>
            <w:vAlign w:val="center"/>
          </w:tcPr>
          <w:p w14:paraId="010ACBD3" w14:textId="77777777" w:rsidR="00540BD7" w:rsidRPr="006523AC" w:rsidRDefault="00540BD7" w:rsidP="00540BD7">
            <w:pPr>
              <w:rPr>
                <w:rFonts w:ascii="Times New Roman" w:hAnsi="Times New Roman" w:cs="Times New Roman"/>
              </w:rPr>
            </w:pPr>
            <w:r w:rsidRPr="006523AC">
              <w:rPr>
                <w:rFonts w:ascii="Times New Roman" w:hAnsi="Times New Roman" w:cs="Times New Roman"/>
              </w:rPr>
              <w:t xml:space="preserve">Staff (FTE) </w:t>
            </w:r>
          </w:p>
        </w:tc>
        <w:tc>
          <w:tcPr>
            <w:tcW w:w="1499" w:type="dxa"/>
            <w:tcBorders>
              <w:bottom w:val="single" w:sz="4" w:space="0" w:color="auto"/>
            </w:tcBorders>
            <w:shd w:val="clear" w:color="auto" w:fill="D9D9D9" w:themeFill="background1" w:themeFillShade="D9"/>
            <w:vAlign w:val="center"/>
          </w:tcPr>
          <w:p w14:paraId="163A0824" w14:textId="77777777" w:rsidR="00540BD7" w:rsidRPr="006523AC" w:rsidRDefault="00540BD7" w:rsidP="00B76161">
            <w:pPr>
              <w:jc w:val="center"/>
              <w:rPr>
                <w:rFonts w:ascii="Times New Roman" w:hAnsi="Times New Roman" w:cs="Times New Roman"/>
              </w:rPr>
            </w:pPr>
            <w:r w:rsidRPr="006523AC">
              <w:rPr>
                <w:rFonts w:ascii="Times New Roman" w:hAnsi="Times New Roman" w:cs="Times New Roman"/>
              </w:rPr>
              <w:t>Average Hours per Collection</w:t>
            </w:r>
          </w:p>
        </w:tc>
        <w:tc>
          <w:tcPr>
            <w:tcW w:w="1386" w:type="dxa"/>
            <w:tcBorders>
              <w:bottom w:val="single" w:sz="4" w:space="0" w:color="auto"/>
            </w:tcBorders>
            <w:shd w:val="clear" w:color="auto" w:fill="D9D9D9" w:themeFill="background1" w:themeFillShade="D9"/>
            <w:vAlign w:val="center"/>
          </w:tcPr>
          <w:p w14:paraId="4B57002E" w14:textId="77777777" w:rsidR="00540BD7" w:rsidRPr="006523AC" w:rsidRDefault="00540BD7" w:rsidP="00B76161">
            <w:pPr>
              <w:jc w:val="center"/>
              <w:rPr>
                <w:rFonts w:ascii="Times New Roman" w:hAnsi="Times New Roman" w:cs="Times New Roman"/>
              </w:rPr>
            </w:pPr>
            <w:r w:rsidRPr="006523AC">
              <w:rPr>
                <w:rFonts w:ascii="Times New Roman" w:hAnsi="Times New Roman" w:cs="Times New Roman"/>
              </w:rPr>
              <w:t>Average Hourly Rate</w:t>
            </w:r>
          </w:p>
        </w:tc>
        <w:tc>
          <w:tcPr>
            <w:tcW w:w="1386" w:type="dxa"/>
            <w:tcBorders>
              <w:bottom w:val="single" w:sz="4" w:space="0" w:color="auto"/>
            </w:tcBorders>
            <w:shd w:val="clear" w:color="auto" w:fill="D9D9D9" w:themeFill="background1" w:themeFillShade="D9"/>
            <w:vAlign w:val="center"/>
          </w:tcPr>
          <w:p w14:paraId="63AEC567" w14:textId="77777777" w:rsidR="00540BD7" w:rsidRPr="006523AC" w:rsidRDefault="00540BD7" w:rsidP="00B76161">
            <w:pPr>
              <w:jc w:val="center"/>
              <w:rPr>
                <w:rFonts w:ascii="Times New Roman" w:hAnsi="Times New Roman" w:cs="Times New Roman"/>
              </w:rPr>
            </w:pPr>
            <w:r w:rsidRPr="006523AC">
              <w:rPr>
                <w:rFonts w:ascii="Times New Roman" w:hAnsi="Times New Roman" w:cs="Times New Roman"/>
              </w:rPr>
              <w:t>Average Cost</w:t>
            </w:r>
          </w:p>
        </w:tc>
      </w:tr>
      <w:tr w:rsidR="00540BD7" w:rsidRPr="006523AC" w14:paraId="3CA1D762" w14:textId="77777777" w:rsidTr="00BC3480">
        <w:tc>
          <w:tcPr>
            <w:tcW w:w="5296" w:type="dxa"/>
            <w:tcBorders>
              <w:top w:val="single" w:sz="4" w:space="0" w:color="auto"/>
            </w:tcBorders>
          </w:tcPr>
          <w:p w14:paraId="73158B82" w14:textId="1BEB55CF" w:rsidR="00540BD7" w:rsidRPr="00BC3480" w:rsidRDefault="00540BD7" w:rsidP="00941043">
            <w:pPr>
              <w:rPr>
                <w:rFonts w:ascii="Times New Roman" w:hAnsi="Times New Roman" w:cs="Times New Roman"/>
              </w:rPr>
            </w:pPr>
            <w:r w:rsidRPr="00BC3480">
              <w:rPr>
                <w:rFonts w:ascii="Times New Roman" w:hAnsi="Times New Roman" w:cs="Times New Roman"/>
              </w:rPr>
              <w:t xml:space="preserve"> </w:t>
            </w:r>
            <w:r w:rsidR="00403BAE" w:rsidRPr="00BC3480">
              <w:rPr>
                <w:rFonts w:ascii="Times New Roman" w:hAnsi="Times New Roman" w:cs="Times New Roman"/>
              </w:rPr>
              <w:t>Medical Officer (</w:t>
            </w:r>
            <w:r w:rsidR="005258E1" w:rsidRPr="00BC3480">
              <w:rPr>
                <w:rFonts w:ascii="Times New Roman" w:hAnsi="Times New Roman" w:cs="Times New Roman"/>
              </w:rPr>
              <w:t xml:space="preserve">Lead </w:t>
            </w:r>
            <w:r w:rsidR="00DB2E14" w:rsidRPr="00BC3480">
              <w:rPr>
                <w:rFonts w:ascii="Times New Roman" w:hAnsi="Times New Roman" w:cs="Times New Roman"/>
              </w:rPr>
              <w:t>Investigator</w:t>
            </w:r>
            <w:r w:rsidR="005258E1" w:rsidRPr="00BC3480">
              <w:rPr>
                <w:rFonts w:ascii="Times New Roman" w:hAnsi="Times New Roman" w:cs="Times New Roman"/>
              </w:rPr>
              <w:t xml:space="preserve"> – </w:t>
            </w:r>
            <w:r w:rsidR="00941043" w:rsidRPr="00BC3480">
              <w:rPr>
                <w:rFonts w:ascii="Times New Roman" w:hAnsi="Times New Roman" w:cs="Times New Roman"/>
              </w:rPr>
              <w:t>GS-14</w:t>
            </w:r>
            <w:r w:rsidR="00403BAE" w:rsidRPr="00BC3480">
              <w:rPr>
                <w:rFonts w:ascii="Times New Roman" w:hAnsi="Times New Roman" w:cs="Times New Roman"/>
              </w:rPr>
              <w:t>)</w:t>
            </w:r>
          </w:p>
        </w:tc>
        <w:tc>
          <w:tcPr>
            <w:tcW w:w="1499" w:type="dxa"/>
            <w:tcBorders>
              <w:top w:val="single" w:sz="4" w:space="0" w:color="auto"/>
            </w:tcBorders>
          </w:tcPr>
          <w:p w14:paraId="1C95FBDB" w14:textId="3A974543" w:rsidR="00311E38" w:rsidRPr="00BC3480" w:rsidRDefault="00BC3480" w:rsidP="00BC3480">
            <w:pPr>
              <w:jc w:val="center"/>
              <w:rPr>
                <w:rFonts w:ascii="Times New Roman" w:eastAsia="Times New Roman" w:hAnsi="Times New Roman" w:cs="Times New Roman"/>
              </w:rPr>
            </w:pPr>
            <w:r>
              <w:rPr>
                <w:rFonts w:ascii="Times New Roman" w:hAnsi="Times New Roman" w:cs="Times New Roman"/>
              </w:rPr>
              <w:t>50</w:t>
            </w:r>
            <w:r w:rsidR="00941043" w:rsidRPr="00BC3480">
              <w:rPr>
                <w:rFonts w:ascii="Times New Roman" w:hAnsi="Times New Roman" w:cs="Times New Roman"/>
              </w:rPr>
              <w:t>0</w:t>
            </w:r>
          </w:p>
        </w:tc>
        <w:tc>
          <w:tcPr>
            <w:tcW w:w="1386" w:type="dxa"/>
            <w:tcBorders>
              <w:top w:val="single" w:sz="4" w:space="0" w:color="auto"/>
            </w:tcBorders>
          </w:tcPr>
          <w:p w14:paraId="40EBBD53" w14:textId="1CF48079" w:rsidR="00311E38" w:rsidRPr="00BC3480" w:rsidRDefault="009A0F23" w:rsidP="00BC3480">
            <w:pPr>
              <w:jc w:val="center"/>
              <w:rPr>
                <w:rFonts w:ascii="Times New Roman" w:eastAsia="Times New Roman" w:hAnsi="Times New Roman" w:cs="Times New Roman"/>
              </w:rPr>
            </w:pPr>
            <w:r w:rsidRPr="00BC3480">
              <w:rPr>
                <w:rFonts w:ascii="Times New Roman" w:hAnsi="Times New Roman" w:cs="Times New Roman"/>
              </w:rPr>
              <w:t>$5</w:t>
            </w:r>
            <w:r w:rsidR="00BC3480">
              <w:rPr>
                <w:rFonts w:ascii="Times New Roman" w:hAnsi="Times New Roman" w:cs="Times New Roman"/>
              </w:rPr>
              <w:t>4.24</w:t>
            </w:r>
          </w:p>
        </w:tc>
        <w:tc>
          <w:tcPr>
            <w:tcW w:w="1386" w:type="dxa"/>
            <w:tcBorders>
              <w:top w:val="single" w:sz="4" w:space="0" w:color="auto"/>
            </w:tcBorders>
          </w:tcPr>
          <w:p w14:paraId="2ECAFEE8" w14:textId="763FBB03" w:rsidR="00311E38" w:rsidRPr="00BC3480" w:rsidRDefault="009A0F23" w:rsidP="00BC3480">
            <w:pPr>
              <w:jc w:val="right"/>
              <w:rPr>
                <w:rFonts w:ascii="Times New Roman" w:eastAsia="Times New Roman" w:hAnsi="Times New Roman" w:cs="Times New Roman"/>
              </w:rPr>
            </w:pPr>
            <w:r w:rsidRPr="00BC3480">
              <w:rPr>
                <w:rFonts w:ascii="Times New Roman" w:hAnsi="Times New Roman" w:cs="Times New Roman"/>
              </w:rPr>
              <w:t>$</w:t>
            </w:r>
            <w:r w:rsidR="00BC3480">
              <w:rPr>
                <w:rFonts w:ascii="Times New Roman" w:hAnsi="Times New Roman" w:cs="Times New Roman"/>
              </w:rPr>
              <w:t>27,120.00</w:t>
            </w:r>
          </w:p>
        </w:tc>
      </w:tr>
      <w:tr w:rsidR="00540BD7" w:rsidRPr="006523AC" w14:paraId="3AEC7B9C" w14:textId="77777777" w:rsidTr="00BC3480">
        <w:tc>
          <w:tcPr>
            <w:tcW w:w="5296" w:type="dxa"/>
          </w:tcPr>
          <w:p w14:paraId="27D0A0EC" w14:textId="2EA64EB6" w:rsidR="00941043" w:rsidRPr="00BC3480" w:rsidRDefault="00540BD7" w:rsidP="00941043">
            <w:pPr>
              <w:rPr>
                <w:rFonts w:ascii="Times New Roman" w:hAnsi="Times New Roman" w:cs="Times New Roman"/>
              </w:rPr>
            </w:pPr>
            <w:r w:rsidRPr="00BC3480">
              <w:rPr>
                <w:rFonts w:ascii="Times New Roman" w:hAnsi="Times New Roman" w:cs="Times New Roman"/>
              </w:rPr>
              <w:t xml:space="preserve"> </w:t>
            </w:r>
            <w:r w:rsidR="00941043" w:rsidRPr="00BC3480">
              <w:rPr>
                <w:rFonts w:ascii="Times New Roman" w:hAnsi="Times New Roman" w:cs="Times New Roman"/>
              </w:rPr>
              <w:t>Headquarters Health Scientist (GS-13)</w:t>
            </w:r>
          </w:p>
        </w:tc>
        <w:tc>
          <w:tcPr>
            <w:tcW w:w="1499" w:type="dxa"/>
          </w:tcPr>
          <w:p w14:paraId="09BA3ACE" w14:textId="496F8738" w:rsidR="00311E38" w:rsidRPr="00BC3480" w:rsidRDefault="00941043" w:rsidP="00BC3480">
            <w:pPr>
              <w:jc w:val="center"/>
              <w:rPr>
                <w:rFonts w:ascii="Times New Roman" w:eastAsia="SimSun" w:hAnsi="Times New Roman" w:cs="Times New Roman"/>
                <w:lang w:eastAsia="zh-CN"/>
              </w:rPr>
            </w:pPr>
            <w:r w:rsidRPr="00BC3480">
              <w:rPr>
                <w:rFonts w:ascii="Times New Roman" w:hAnsi="Times New Roman" w:cs="Times New Roman"/>
              </w:rPr>
              <w:t>750</w:t>
            </w:r>
          </w:p>
        </w:tc>
        <w:tc>
          <w:tcPr>
            <w:tcW w:w="1386" w:type="dxa"/>
          </w:tcPr>
          <w:p w14:paraId="486EA5BC" w14:textId="06803CF6" w:rsidR="00311E38" w:rsidRPr="00BC3480" w:rsidRDefault="009A0F23" w:rsidP="00BC3480">
            <w:pPr>
              <w:jc w:val="center"/>
              <w:rPr>
                <w:rFonts w:ascii="Times New Roman" w:eastAsia="SimSun" w:hAnsi="Times New Roman" w:cs="Times New Roman"/>
                <w:lang w:eastAsia="zh-CN"/>
              </w:rPr>
            </w:pPr>
            <w:r w:rsidRPr="00BC3480">
              <w:rPr>
                <w:rFonts w:ascii="Times New Roman" w:hAnsi="Times New Roman" w:cs="Times New Roman"/>
              </w:rPr>
              <w:t>$</w:t>
            </w:r>
            <w:r w:rsidR="00BC3480" w:rsidRPr="00BC3480">
              <w:rPr>
                <w:rFonts w:ascii="Times New Roman" w:hAnsi="Times New Roman" w:cs="Times New Roman"/>
              </w:rPr>
              <w:t>45.90</w:t>
            </w:r>
          </w:p>
        </w:tc>
        <w:tc>
          <w:tcPr>
            <w:tcW w:w="1386" w:type="dxa"/>
          </w:tcPr>
          <w:p w14:paraId="57D90047" w14:textId="06C0C189" w:rsidR="00941043" w:rsidRPr="00BC3480" w:rsidRDefault="009A0F23" w:rsidP="00BC3480">
            <w:pPr>
              <w:jc w:val="right"/>
              <w:rPr>
                <w:rFonts w:ascii="Times New Roman" w:hAnsi="Times New Roman" w:cs="Times New Roman"/>
              </w:rPr>
            </w:pPr>
            <w:r w:rsidRPr="00BC3480">
              <w:rPr>
                <w:rFonts w:ascii="Times New Roman" w:hAnsi="Times New Roman" w:cs="Times New Roman"/>
              </w:rPr>
              <w:t>$</w:t>
            </w:r>
            <w:r w:rsidR="00BC3480">
              <w:rPr>
                <w:rFonts w:ascii="Times New Roman" w:hAnsi="Times New Roman" w:cs="Times New Roman"/>
              </w:rPr>
              <w:t>34,425.00</w:t>
            </w:r>
          </w:p>
        </w:tc>
      </w:tr>
      <w:tr w:rsidR="00941043" w:rsidRPr="006523AC" w14:paraId="17CE8E91" w14:textId="77777777" w:rsidTr="00BC3480">
        <w:tc>
          <w:tcPr>
            <w:tcW w:w="5296" w:type="dxa"/>
          </w:tcPr>
          <w:p w14:paraId="06F7FC16" w14:textId="1F537C97" w:rsidR="00941043" w:rsidRPr="00BC3480" w:rsidRDefault="00941043" w:rsidP="005956B8">
            <w:pPr>
              <w:rPr>
                <w:rFonts w:ascii="Times New Roman" w:hAnsi="Times New Roman" w:cs="Times New Roman"/>
              </w:rPr>
            </w:pPr>
            <w:r w:rsidRPr="00BC3480">
              <w:rPr>
                <w:rFonts w:ascii="Times New Roman" w:hAnsi="Times New Roman" w:cs="Times New Roman"/>
              </w:rPr>
              <w:t xml:space="preserve"> Regional Representative (Health Scientist – GS-13)</w:t>
            </w:r>
          </w:p>
        </w:tc>
        <w:tc>
          <w:tcPr>
            <w:tcW w:w="1499" w:type="dxa"/>
          </w:tcPr>
          <w:p w14:paraId="728E7D61" w14:textId="56A33B3F" w:rsidR="00941043" w:rsidRPr="00BC3480" w:rsidRDefault="00941043" w:rsidP="00BC3480">
            <w:pPr>
              <w:jc w:val="center"/>
              <w:rPr>
                <w:rFonts w:ascii="Times New Roman" w:hAnsi="Times New Roman" w:cs="Times New Roman"/>
              </w:rPr>
            </w:pPr>
            <w:r w:rsidRPr="00BC3480">
              <w:rPr>
                <w:rFonts w:ascii="Times New Roman" w:hAnsi="Times New Roman" w:cs="Times New Roman"/>
              </w:rPr>
              <w:t>400</w:t>
            </w:r>
          </w:p>
        </w:tc>
        <w:tc>
          <w:tcPr>
            <w:tcW w:w="1386" w:type="dxa"/>
          </w:tcPr>
          <w:p w14:paraId="5F6CE494" w14:textId="42BABACC" w:rsidR="00941043" w:rsidRPr="00BC3480" w:rsidRDefault="00941043" w:rsidP="00BC3480">
            <w:pPr>
              <w:jc w:val="center"/>
              <w:rPr>
                <w:rFonts w:ascii="Times New Roman" w:hAnsi="Times New Roman" w:cs="Times New Roman"/>
              </w:rPr>
            </w:pPr>
            <w:r w:rsidRPr="00BC3480">
              <w:rPr>
                <w:rFonts w:ascii="Times New Roman" w:hAnsi="Times New Roman" w:cs="Times New Roman"/>
              </w:rPr>
              <w:t>$</w:t>
            </w:r>
            <w:r w:rsidR="00BC3480" w:rsidRPr="00BC3480">
              <w:rPr>
                <w:rFonts w:ascii="Times New Roman" w:hAnsi="Times New Roman" w:cs="Times New Roman"/>
              </w:rPr>
              <w:t>45.90</w:t>
            </w:r>
          </w:p>
        </w:tc>
        <w:tc>
          <w:tcPr>
            <w:tcW w:w="1386" w:type="dxa"/>
          </w:tcPr>
          <w:p w14:paraId="6F89E2CC" w14:textId="1C9C288E" w:rsidR="00941043" w:rsidRPr="00BC3480" w:rsidRDefault="00C07BF4" w:rsidP="00BC3480">
            <w:pPr>
              <w:jc w:val="right"/>
              <w:rPr>
                <w:rFonts w:ascii="Times New Roman" w:hAnsi="Times New Roman" w:cs="Times New Roman"/>
              </w:rPr>
            </w:pPr>
            <w:r w:rsidRPr="00BC3480">
              <w:rPr>
                <w:rFonts w:ascii="Times New Roman" w:hAnsi="Times New Roman" w:cs="Times New Roman"/>
              </w:rPr>
              <w:t>$</w:t>
            </w:r>
            <w:r w:rsidR="00BC3480">
              <w:rPr>
                <w:rFonts w:ascii="Times New Roman" w:hAnsi="Times New Roman" w:cs="Times New Roman"/>
              </w:rPr>
              <w:t>18,360.00</w:t>
            </w:r>
          </w:p>
        </w:tc>
      </w:tr>
      <w:tr w:rsidR="00540BD7" w:rsidRPr="006523AC" w14:paraId="46EFF201" w14:textId="77777777" w:rsidTr="00796151">
        <w:trPr>
          <w:trHeight w:val="332"/>
        </w:trPr>
        <w:tc>
          <w:tcPr>
            <w:tcW w:w="8181" w:type="dxa"/>
            <w:gridSpan w:val="3"/>
            <w:vAlign w:val="center"/>
          </w:tcPr>
          <w:p w14:paraId="633F12C9" w14:textId="77777777" w:rsidR="00540BD7" w:rsidRPr="006523AC" w:rsidRDefault="00540BD7" w:rsidP="00B76161">
            <w:pPr>
              <w:jc w:val="right"/>
              <w:rPr>
                <w:rFonts w:ascii="Times New Roman" w:hAnsi="Times New Roman" w:cs="Times New Roman"/>
              </w:rPr>
            </w:pPr>
            <w:r w:rsidRPr="006523AC">
              <w:rPr>
                <w:rFonts w:ascii="Times New Roman" w:hAnsi="Times New Roman" w:cs="Times New Roman"/>
              </w:rPr>
              <w:t xml:space="preserve">Estimated Total </w:t>
            </w:r>
            <w:r w:rsidR="00145016" w:rsidRPr="006523AC">
              <w:rPr>
                <w:rFonts w:ascii="Times New Roman" w:hAnsi="Times New Roman" w:cs="Times New Roman"/>
              </w:rPr>
              <w:t xml:space="preserve">Personnel </w:t>
            </w:r>
            <w:r w:rsidRPr="006523AC">
              <w:rPr>
                <w:rFonts w:ascii="Times New Roman" w:hAnsi="Times New Roman" w:cs="Times New Roman"/>
              </w:rPr>
              <w:t xml:space="preserve">Cost of </w:t>
            </w:r>
            <w:r w:rsidR="00F83594" w:rsidRPr="006523AC">
              <w:rPr>
                <w:rFonts w:ascii="Times New Roman" w:hAnsi="Times New Roman" w:cs="Times New Roman"/>
              </w:rPr>
              <w:t>Exposure Investigation</w:t>
            </w:r>
          </w:p>
        </w:tc>
        <w:tc>
          <w:tcPr>
            <w:tcW w:w="1386" w:type="dxa"/>
            <w:vAlign w:val="center"/>
          </w:tcPr>
          <w:p w14:paraId="05C08D0D" w14:textId="3E107249" w:rsidR="00311E38" w:rsidRPr="00041F9D" w:rsidRDefault="009A0F23" w:rsidP="00BC3480">
            <w:pPr>
              <w:jc w:val="right"/>
              <w:rPr>
                <w:rFonts w:ascii="Times New Roman" w:hAnsi="Times New Roman" w:cs="Times New Roman"/>
              </w:rPr>
            </w:pPr>
            <w:r w:rsidRPr="006523AC">
              <w:rPr>
                <w:rFonts w:ascii="Times New Roman" w:hAnsi="Times New Roman" w:cs="Times New Roman"/>
              </w:rPr>
              <w:t>$</w:t>
            </w:r>
            <w:r w:rsidR="00BC3480">
              <w:rPr>
                <w:rFonts w:ascii="Times New Roman" w:hAnsi="Times New Roman" w:cs="Times New Roman"/>
              </w:rPr>
              <w:t>79,905.00</w:t>
            </w:r>
          </w:p>
        </w:tc>
      </w:tr>
    </w:tbl>
    <w:p w14:paraId="7E23F8BC" w14:textId="77777777" w:rsidR="00540BD7" w:rsidRPr="005D7203" w:rsidRDefault="00540BD7" w:rsidP="006653AB">
      <w:pPr>
        <w:tabs>
          <w:tab w:val="center" w:pos="4680"/>
          <w:tab w:val="left" w:pos="7710"/>
        </w:tabs>
      </w:pPr>
    </w:p>
    <w:p w14:paraId="450A4579" w14:textId="77777777" w:rsidR="006653AB" w:rsidRPr="005D7203" w:rsidRDefault="006653AB" w:rsidP="006653AB">
      <w:pPr>
        <w:tabs>
          <w:tab w:val="center" w:pos="4680"/>
          <w:tab w:val="left" w:pos="7710"/>
        </w:tabs>
        <w:rPr>
          <w:b/>
        </w:rPr>
      </w:pPr>
      <w:r w:rsidRPr="005D7203">
        <w:rPr>
          <w:b/>
        </w:rPr>
        <w:t xml:space="preserve">                                                                                          </w:t>
      </w:r>
    </w:p>
    <w:tbl>
      <w:tblPr>
        <w:tblStyle w:val="LightList"/>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1183"/>
        <w:gridCol w:w="4145"/>
        <w:gridCol w:w="2832"/>
        <w:gridCol w:w="1416"/>
      </w:tblGrid>
      <w:tr w:rsidR="00B76161" w:rsidRPr="005D7203" w14:paraId="5544A4BC" w14:textId="77777777" w:rsidTr="00DB56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0" w:type="dxa"/>
            <w:gridSpan w:val="3"/>
            <w:tcBorders>
              <w:bottom w:val="single" w:sz="8" w:space="0" w:color="000000" w:themeColor="text1"/>
            </w:tcBorders>
            <w:shd w:val="clear" w:color="auto" w:fill="D9D9D9" w:themeFill="background1" w:themeFillShade="D9"/>
          </w:tcPr>
          <w:p w14:paraId="3618127E" w14:textId="77777777" w:rsidR="00311E38" w:rsidRPr="00631517" w:rsidRDefault="006B32E4" w:rsidP="00041F9D">
            <w:pPr>
              <w:tabs>
                <w:tab w:val="left" w:pos="1545"/>
              </w:tabs>
              <w:jc w:val="both"/>
              <w:rPr>
                <w:rFonts w:eastAsia="SimSun"/>
                <w:b w:val="0"/>
                <w:bCs w:val="0"/>
                <w:color w:val="auto"/>
                <w:lang w:eastAsia="zh-CN"/>
              </w:rPr>
            </w:pPr>
            <w:r w:rsidRPr="00844EC5">
              <w:rPr>
                <w:b w:val="0"/>
                <w:color w:val="auto"/>
              </w:rPr>
              <w:t>Non-Personnel</w:t>
            </w:r>
          </w:p>
        </w:tc>
        <w:tc>
          <w:tcPr>
            <w:tcW w:w="1416" w:type="dxa"/>
            <w:shd w:val="clear" w:color="auto" w:fill="D9D9D9" w:themeFill="background1" w:themeFillShade="D9"/>
          </w:tcPr>
          <w:p w14:paraId="548A35F4" w14:textId="77777777" w:rsidR="00311E38" w:rsidRPr="00A10D50" w:rsidRDefault="006B32E4" w:rsidP="00041F9D">
            <w:pPr>
              <w:tabs>
                <w:tab w:val="left" w:pos="1545"/>
              </w:tabs>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10D50">
              <w:t>Cost</w:t>
            </w:r>
          </w:p>
        </w:tc>
      </w:tr>
      <w:tr w:rsidR="00B76161" w:rsidRPr="005D7203" w14:paraId="18097AC2" w14:textId="77777777" w:rsidTr="00DB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0" w:type="dxa"/>
            <w:gridSpan w:val="3"/>
          </w:tcPr>
          <w:p w14:paraId="4570AAFF" w14:textId="77777777" w:rsidR="00B76161" w:rsidRPr="00631517" w:rsidRDefault="006B32E4" w:rsidP="006653AB">
            <w:pPr>
              <w:tabs>
                <w:tab w:val="left" w:pos="1545"/>
              </w:tabs>
              <w:rPr>
                <w:b w:val="0"/>
              </w:rPr>
            </w:pPr>
            <w:r w:rsidRPr="00844EC5">
              <w:rPr>
                <w:b w:val="0"/>
              </w:rPr>
              <w:t>Travel costs</w:t>
            </w:r>
          </w:p>
        </w:tc>
        <w:tc>
          <w:tcPr>
            <w:tcW w:w="1416" w:type="dxa"/>
          </w:tcPr>
          <w:p w14:paraId="0E5CC54B" w14:textId="77777777" w:rsidR="00B76161" w:rsidRPr="00631517" w:rsidRDefault="00B76161" w:rsidP="006653AB">
            <w:pPr>
              <w:tabs>
                <w:tab w:val="left" w:pos="1545"/>
              </w:tabs>
              <w:cnfStyle w:val="000000100000" w:firstRow="0" w:lastRow="0" w:firstColumn="0" w:lastColumn="0" w:oddVBand="0" w:evenVBand="0" w:oddHBand="1" w:evenHBand="0" w:firstRowFirstColumn="0" w:firstRowLastColumn="0" w:lastRowFirstColumn="0" w:lastRowLastColumn="0"/>
            </w:pPr>
          </w:p>
        </w:tc>
      </w:tr>
      <w:tr w:rsidR="00DB2E14" w:rsidRPr="005D7203" w14:paraId="167A686B" w14:textId="77777777" w:rsidTr="00DB5631">
        <w:tc>
          <w:tcPr>
            <w:cnfStyle w:val="001000000000" w:firstRow="0" w:lastRow="0" w:firstColumn="1" w:lastColumn="0" w:oddVBand="0" w:evenVBand="0" w:oddHBand="0" w:evenHBand="0" w:firstRowFirstColumn="0" w:firstRowLastColumn="0" w:lastRowFirstColumn="0" w:lastRowLastColumn="0"/>
            <w:tcW w:w="1183" w:type="dxa"/>
            <w:tcBorders>
              <w:bottom w:val="single" w:sz="8" w:space="0" w:color="000000" w:themeColor="text1"/>
              <w:right w:val="nil"/>
            </w:tcBorders>
          </w:tcPr>
          <w:p w14:paraId="3EB713E8" w14:textId="77777777" w:rsidR="00DB2E14" w:rsidRPr="00631517" w:rsidRDefault="00DB2E14" w:rsidP="006653AB">
            <w:pPr>
              <w:tabs>
                <w:tab w:val="left" w:pos="1545"/>
              </w:tabs>
              <w:rPr>
                <w:b w:val="0"/>
              </w:rPr>
            </w:pPr>
          </w:p>
        </w:tc>
        <w:tc>
          <w:tcPr>
            <w:tcW w:w="6977" w:type="dxa"/>
            <w:gridSpan w:val="2"/>
            <w:tcBorders>
              <w:left w:val="nil"/>
              <w:bottom w:val="single" w:sz="8" w:space="0" w:color="000000" w:themeColor="text1"/>
            </w:tcBorders>
          </w:tcPr>
          <w:p w14:paraId="1083844D" w14:textId="77777777" w:rsidR="00DB2E14" w:rsidRPr="00631517" w:rsidRDefault="00DB2E14" w:rsidP="00DB2E14">
            <w:pPr>
              <w:tabs>
                <w:tab w:val="left" w:pos="1545"/>
              </w:tabs>
              <w:cnfStyle w:val="000000000000" w:firstRow="0" w:lastRow="0" w:firstColumn="0" w:lastColumn="0" w:oddVBand="0" w:evenVBand="0" w:oddHBand="0" w:evenHBand="0" w:firstRowFirstColumn="0" w:firstRowLastColumn="0" w:lastRowFirstColumn="0" w:lastRowLastColumn="0"/>
            </w:pPr>
            <w:r w:rsidRPr="00631517">
              <w:t>Atlanta Personnel</w:t>
            </w:r>
          </w:p>
        </w:tc>
        <w:tc>
          <w:tcPr>
            <w:tcW w:w="1416" w:type="dxa"/>
          </w:tcPr>
          <w:p w14:paraId="2077295C" w14:textId="1B505945" w:rsidR="00311E38" w:rsidRPr="00844EC5" w:rsidRDefault="00DB2E14" w:rsidP="00BC3480">
            <w:pPr>
              <w:tabs>
                <w:tab w:val="left" w:pos="1545"/>
              </w:tabs>
              <w:jc w:val="right"/>
              <w:cnfStyle w:val="000000000000" w:firstRow="0" w:lastRow="0" w:firstColumn="0" w:lastColumn="0" w:oddVBand="0" w:evenVBand="0" w:oddHBand="0" w:evenHBand="0" w:firstRowFirstColumn="0" w:firstRowLastColumn="0" w:lastRowFirstColumn="0" w:lastRowLastColumn="0"/>
            </w:pPr>
            <w:r w:rsidRPr="00844EC5">
              <w:t>$</w:t>
            </w:r>
            <w:r w:rsidR="00BC3480">
              <w:t>7,400</w:t>
            </w:r>
            <w:r w:rsidR="00796151">
              <w:t>.00</w:t>
            </w:r>
          </w:p>
        </w:tc>
      </w:tr>
      <w:tr w:rsidR="00DB2E14" w:rsidRPr="005D7203" w14:paraId="380AF693" w14:textId="77777777" w:rsidTr="00DB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dxa"/>
            <w:tcBorders>
              <w:top w:val="none" w:sz="0" w:space="0" w:color="auto"/>
              <w:left w:val="none" w:sz="0" w:space="0" w:color="auto"/>
              <w:bottom w:val="none" w:sz="0" w:space="0" w:color="auto"/>
              <w:right w:val="nil"/>
            </w:tcBorders>
          </w:tcPr>
          <w:p w14:paraId="71049AF9" w14:textId="77777777" w:rsidR="00DB2E14" w:rsidRPr="00631517" w:rsidRDefault="00DB2E14" w:rsidP="006653AB">
            <w:pPr>
              <w:tabs>
                <w:tab w:val="left" w:pos="1545"/>
              </w:tabs>
              <w:rPr>
                <w:b w:val="0"/>
              </w:rPr>
            </w:pPr>
          </w:p>
        </w:tc>
        <w:tc>
          <w:tcPr>
            <w:tcW w:w="6977" w:type="dxa"/>
            <w:gridSpan w:val="2"/>
            <w:tcBorders>
              <w:top w:val="none" w:sz="0" w:space="0" w:color="auto"/>
              <w:left w:val="nil"/>
              <w:bottom w:val="none" w:sz="0" w:space="0" w:color="auto"/>
            </w:tcBorders>
          </w:tcPr>
          <w:p w14:paraId="58BA34F2" w14:textId="77777777" w:rsidR="00DB2E14" w:rsidRPr="00631517" w:rsidRDefault="00DB2E14" w:rsidP="00DB2E14">
            <w:pPr>
              <w:tabs>
                <w:tab w:val="left" w:pos="1545"/>
              </w:tabs>
              <w:cnfStyle w:val="000000100000" w:firstRow="0" w:lastRow="0" w:firstColumn="0" w:lastColumn="0" w:oddVBand="0" w:evenVBand="0" w:oddHBand="1" w:evenHBand="0" w:firstRowFirstColumn="0" w:firstRowLastColumn="0" w:lastRowFirstColumn="0" w:lastRowLastColumn="0"/>
            </w:pPr>
            <w:r w:rsidRPr="00631517">
              <w:t>Regional Personnel</w:t>
            </w:r>
          </w:p>
        </w:tc>
        <w:tc>
          <w:tcPr>
            <w:tcW w:w="1416" w:type="dxa"/>
            <w:tcBorders>
              <w:top w:val="none" w:sz="0" w:space="0" w:color="auto"/>
              <w:bottom w:val="none" w:sz="0" w:space="0" w:color="auto"/>
              <w:right w:val="none" w:sz="0" w:space="0" w:color="auto"/>
            </w:tcBorders>
          </w:tcPr>
          <w:p w14:paraId="7A8E16BB" w14:textId="5FF0C2B8" w:rsidR="00311E38" w:rsidRPr="00844EC5" w:rsidRDefault="00DB2E14" w:rsidP="00BC3480">
            <w:pPr>
              <w:tabs>
                <w:tab w:val="left" w:pos="1545"/>
              </w:tabs>
              <w:jc w:val="right"/>
              <w:cnfStyle w:val="000000100000" w:firstRow="0" w:lastRow="0" w:firstColumn="0" w:lastColumn="0" w:oddVBand="0" w:evenVBand="0" w:oddHBand="1" w:evenHBand="0" w:firstRowFirstColumn="0" w:firstRowLastColumn="0" w:lastRowFirstColumn="0" w:lastRowLastColumn="0"/>
            </w:pPr>
            <w:r w:rsidRPr="00844EC5">
              <w:t>$</w:t>
            </w:r>
            <w:r w:rsidR="00BC3480">
              <w:t>3,200</w:t>
            </w:r>
            <w:r w:rsidRPr="00844EC5">
              <w:t>.</w:t>
            </w:r>
            <w:r w:rsidR="0007281C" w:rsidRPr="00844EC5">
              <w:t>00</w:t>
            </w:r>
          </w:p>
        </w:tc>
      </w:tr>
      <w:tr w:rsidR="00DB2E14" w:rsidRPr="005D7203" w14:paraId="04BD1EE5" w14:textId="77777777" w:rsidTr="00DB5631">
        <w:tc>
          <w:tcPr>
            <w:cnfStyle w:val="001000000000" w:firstRow="0" w:lastRow="0" w:firstColumn="1" w:lastColumn="0" w:oddVBand="0" w:evenVBand="0" w:oddHBand="0" w:evenHBand="0" w:firstRowFirstColumn="0" w:firstRowLastColumn="0" w:lastRowFirstColumn="0" w:lastRowLastColumn="0"/>
            <w:tcW w:w="5328" w:type="dxa"/>
            <w:gridSpan w:val="2"/>
            <w:tcBorders>
              <w:right w:val="nil"/>
            </w:tcBorders>
          </w:tcPr>
          <w:p w14:paraId="17A23BF3" w14:textId="77777777" w:rsidR="00DB2E14" w:rsidRPr="00631517" w:rsidRDefault="006B32E4" w:rsidP="00DB5631">
            <w:pPr>
              <w:widowControl w:val="0"/>
              <w:tabs>
                <w:tab w:val="left" w:pos="1545"/>
              </w:tabs>
              <w:autoSpaceDE w:val="0"/>
              <w:autoSpaceDN w:val="0"/>
              <w:adjustRightInd w:val="0"/>
              <w:rPr>
                <w:b w:val="0"/>
              </w:rPr>
            </w:pPr>
            <w:r w:rsidRPr="00844EC5">
              <w:rPr>
                <w:b w:val="0"/>
              </w:rPr>
              <w:t>Laboratory costs</w:t>
            </w:r>
          </w:p>
        </w:tc>
        <w:tc>
          <w:tcPr>
            <w:tcW w:w="2832" w:type="dxa"/>
            <w:tcBorders>
              <w:left w:val="nil"/>
            </w:tcBorders>
          </w:tcPr>
          <w:p w14:paraId="45E284E3" w14:textId="77777777" w:rsidR="00DB2E14" w:rsidRPr="00631517" w:rsidRDefault="00DB2E14" w:rsidP="006653AB">
            <w:pPr>
              <w:tabs>
                <w:tab w:val="left" w:pos="1545"/>
              </w:tabs>
              <w:cnfStyle w:val="000000000000" w:firstRow="0" w:lastRow="0" w:firstColumn="0" w:lastColumn="0" w:oddVBand="0" w:evenVBand="0" w:oddHBand="0" w:evenHBand="0" w:firstRowFirstColumn="0" w:firstRowLastColumn="0" w:lastRowFirstColumn="0" w:lastRowLastColumn="0"/>
            </w:pPr>
          </w:p>
        </w:tc>
        <w:tc>
          <w:tcPr>
            <w:tcW w:w="1416" w:type="dxa"/>
          </w:tcPr>
          <w:p w14:paraId="1E10C75E" w14:textId="77777777" w:rsidR="00311E38" w:rsidRPr="00844EC5" w:rsidRDefault="00311E38" w:rsidP="00041F9D">
            <w:pPr>
              <w:tabs>
                <w:tab w:val="left" w:pos="1545"/>
              </w:tabs>
              <w:jc w:val="right"/>
              <w:cnfStyle w:val="000000000000" w:firstRow="0" w:lastRow="0" w:firstColumn="0" w:lastColumn="0" w:oddVBand="0" w:evenVBand="0" w:oddHBand="0" w:evenHBand="0" w:firstRowFirstColumn="0" w:firstRowLastColumn="0" w:lastRowFirstColumn="0" w:lastRowLastColumn="0"/>
            </w:pPr>
          </w:p>
        </w:tc>
      </w:tr>
      <w:tr w:rsidR="009A0F23" w:rsidRPr="005D7203" w14:paraId="0211C6E1" w14:textId="77777777" w:rsidTr="00DB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gridSpan w:val="2"/>
            <w:tcBorders>
              <w:right w:val="nil"/>
            </w:tcBorders>
          </w:tcPr>
          <w:p w14:paraId="6656DE14" w14:textId="77777777" w:rsidR="00DB2E14" w:rsidRPr="00631517" w:rsidRDefault="006B32E4" w:rsidP="006653AB">
            <w:pPr>
              <w:tabs>
                <w:tab w:val="left" w:pos="1545"/>
              </w:tabs>
              <w:rPr>
                <w:b w:val="0"/>
              </w:rPr>
            </w:pPr>
            <w:r w:rsidRPr="00844EC5">
              <w:rPr>
                <w:b w:val="0"/>
              </w:rPr>
              <w:t>Includes phlebotomist, shipping and sample analysis</w:t>
            </w:r>
          </w:p>
        </w:tc>
        <w:tc>
          <w:tcPr>
            <w:tcW w:w="2832" w:type="dxa"/>
            <w:tcBorders>
              <w:left w:val="nil"/>
            </w:tcBorders>
          </w:tcPr>
          <w:p w14:paraId="2D928985" w14:textId="77777777" w:rsidR="00DB2E14" w:rsidRPr="00631517" w:rsidRDefault="00DB2E14" w:rsidP="006653AB">
            <w:pPr>
              <w:tabs>
                <w:tab w:val="left" w:pos="1545"/>
              </w:tabs>
              <w:cnfStyle w:val="000000100000" w:firstRow="0" w:lastRow="0" w:firstColumn="0" w:lastColumn="0" w:oddVBand="0" w:evenVBand="0" w:oddHBand="1" w:evenHBand="0" w:firstRowFirstColumn="0" w:firstRowLastColumn="0" w:lastRowFirstColumn="0" w:lastRowLastColumn="0"/>
            </w:pPr>
          </w:p>
        </w:tc>
        <w:tc>
          <w:tcPr>
            <w:tcW w:w="1416" w:type="dxa"/>
          </w:tcPr>
          <w:p w14:paraId="69B28E80" w14:textId="5CD91409" w:rsidR="00311E38" w:rsidRPr="00844EC5" w:rsidRDefault="00796151" w:rsidP="00BC3480">
            <w:pPr>
              <w:tabs>
                <w:tab w:val="left" w:pos="1545"/>
              </w:tabs>
              <w:jc w:val="right"/>
              <w:cnfStyle w:val="000000100000" w:firstRow="0" w:lastRow="0" w:firstColumn="0" w:lastColumn="0" w:oddVBand="0" w:evenVBand="0" w:oddHBand="1" w:evenHBand="0" w:firstRowFirstColumn="0" w:firstRowLastColumn="0" w:lastRowFirstColumn="0" w:lastRowLastColumn="0"/>
            </w:pPr>
            <w:r>
              <w:t>$7</w:t>
            </w:r>
            <w:r w:rsidR="00BC3480">
              <w:t>2</w:t>
            </w:r>
            <w:r>
              <w:t>,000.00</w:t>
            </w:r>
          </w:p>
        </w:tc>
      </w:tr>
      <w:tr w:rsidR="00B76161" w:rsidRPr="005D7203" w14:paraId="3233E013" w14:textId="77777777" w:rsidTr="00DB5631">
        <w:tc>
          <w:tcPr>
            <w:cnfStyle w:val="001000000000" w:firstRow="0" w:lastRow="0" w:firstColumn="1" w:lastColumn="0" w:oddVBand="0" w:evenVBand="0" w:oddHBand="0" w:evenHBand="0" w:firstRowFirstColumn="0" w:firstRowLastColumn="0" w:lastRowFirstColumn="0" w:lastRowLastColumn="0"/>
            <w:tcW w:w="8160" w:type="dxa"/>
            <w:gridSpan w:val="3"/>
          </w:tcPr>
          <w:p w14:paraId="7F075B4F" w14:textId="77777777" w:rsidR="00311E38" w:rsidRPr="00631517" w:rsidRDefault="00A10D50" w:rsidP="00041F9D">
            <w:pPr>
              <w:tabs>
                <w:tab w:val="left" w:pos="1545"/>
              </w:tabs>
              <w:jc w:val="right"/>
              <w:rPr>
                <w:b w:val="0"/>
                <w:bCs w:val="0"/>
              </w:rPr>
            </w:pPr>
            <w:r w:rsidRPr="00844EC5">
              <w:rPr>
                <w:b w:val="0"/>
              </w:rPr>
              <w:t xml:space="preserve">Estimated Total </w:t>
            </w:r>
            <w:r w:rsidRPr="00631517">
              <w:rPr>
                <w:b w:val="0"/>
              </w:rPr>
              <w:t>Non-p</w:t>
            </w:r>
            <w:r w:rsidRPr="00844EC5">
              <w:rPr>
                <w:b w:val="0"/>
              </w:rPr>
              <w:t>ersonnel Cost of Exposure Investigation</w:t>
            </w:r>
          </w:p>
        </w:tc>
        <w:tc>
          <w:tcPr>
            <w:tcW w:w="1416" w:type="dxa"/>
          </w:tcPr>
          <w:p w14:paraId="5846E108" w14:textId="485B7CF6" w:rsidR="00311E38" w:rsidRPr="00631517" w:rsidRDefault="00311E38" w:rsidP="00BC3480">
            <w:pPr>
              <w:tabs>
                <w:tab w:val="left" w:pos="1545"/>
              </w:tabs>
              <w:jc w:val="right"/>
              <w:cnfStyle w:val="000000000000" w:firstRow="0" w:lastRow="0" w:firstColumn="0" w:lastColumn="0" w:oddVBand="0" w:evenVBand="0" w:oddHBand="0" w:evenHBand="0" w:firstRowFirstColumn="0" w:firstRowLastColumn="0" w:lastRowFirstColumn="0" w:lastRowLastColumn="0"/>
            </w:pPr>
            <w:r w:rsidRPr="00631517">
              <w:t>$</w:t>
            </w:r>
            <w:r w:rsidR="00BC3480">
              <w:t>82,600</w:t>
            </w:r>
            <w:r w:rsidRPr="00631517">
              <w:t>.00</w:t>
            </w:r>
          </w:p>
        </w:tc>
      </w:tr>
      <w:tr w:rsidR="00B76161" w:rsidRPr="005D7203" w14:paraId="5A0FC0C1" w14:textId="77777777" w:rsidTr="00DB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0" w:type="dxa"/>
            <w:gridSpan w:val="3"/>
          </w:tcPr>
          <w:p w14:paraId="0B280F86" w14:textId="43F2D1E8" w:rsidR="00311E38" w:rsidRPr="00631517" w:rsidRDefault="00A10D50" w:rsidP="00041F9D">
            <w:pPr>
              <w:tabs>
                <w:tab w:val="left" w:pos="1545"/>
              </w:tabs>
              <w:jc w:val="right"/>
              <w:rPr>
                <w:b w:val="0"/>
                <w:bCs w:val="0"/>
              </w:rPr>
            </w:pPr>
            <w:r w:rsidRPr="00631517">
              <w:rPr>
                <w:b w:val="0"/>
              </w:rPr>
              <w:t>Total EI Cost</w:t>
            </w:r>
            <w:r w:rsidR="00B76161" w:rsidRPr="00631517">
              <w:rPr>
                <w:b w:val="0"/>
              </w:rPr>
              <w:t xml:space="preserve"> (Personnel + Non-</w:t>
            </w:r>
            <w:r w:rsidRPr="00631517">
              <w:rPr>
                <w:b w:val="0"/>
              </w:rPr>
              <w:t>p</w:t>
            </w:r>
            <w:r w:rsidR="00B76161" w:rsidRPr="00631517">
              <w:rPr>
                <w:b w:val="0"/>
              </w:rPr>
              <w:t>ersonnel costs)</w:t>
            </w:r>
          </w:p>
        </w:tc>
        <w:tc>
          <w:tcPr>
            <w:tcW w:w="1416" w:type="dxa"/>
          </w:tcPr>
          <w:p w14:paraId="1AE83A42" w14:textId="255F8662" w:rsidR="00311E38" w:rsidRPr="00844EC5" w:rsidRDefault="00311E38" w:rsidP="00BC3480">
            <w:pPr>
              <w:tabs>
                <w:tab w:val="left" w:pos="1545"/>
              </w:tabs>
              <w:jc w:val="right"/>
              <w:cnfStyle w:val="000000100000" w:firstRow="0" w:lastRow="0" w:firstColumn="0" w:lastColumn="0" w:oddVBand="0" w:evenVBand="0" w:oddHBand="1" w:evenHBand="0" w:firstRowFirstColumn="0" w:firstRowLastColumn="0" w:lastRowFirstColumn="0" w:lastRowLastColumn="0"/>
            </w:pPr>
            <w:r w:rsidRPr="00631517">
              <w:t>$</w:t>
            </w:r>
            <w:r w:rsidR="00BC3480">
              <w:t>162,505.00</w:t>
            </w:r>
          </w:p>
        </w:tc>
      </w:tr>
    </w:tbl>
    <w:p w14:paraId="29629098" w14:textId="7038AD44" w:rsidR="006653AB" w:rsidRPr="005D7203" w:rsidRDefault="006653AB" w:rsidP="006653AB">
      <w:pPr>
        <w:tabs>
          <w:tab w:val="left" w:pos="1545"/>
        </w:tabs>
      </w:pPr>
    </w:p>
    <w:p w14:paraId="4551E0F3" w14:textId="77777777" w:rsidR="0007281C" w:rsidRDefault="0007281C" w:rsidP="006653AB">
      <w:pPr>
        <w:tabs>
          <w:tab w:val="left" w:pos="1545"/>
        </w:tabs>
      </w:pPr>
      <w:r>
        <w:t>The travel costs include the following:</w:t>
      </w:r>
    </w:p>
    <w:p w14:paraId="712F99EC" w14:textId="49C92DFC" w:rsidR="0007281C" w:rsidRDefault="0007281C" w:rsidP="006F62B8">
      <w:pPr>
        <w:pStyle w:val="ListParagraph"/>
        <w:numPr>
          <w:ilvl w:val="0"/>
          <w:numId w:val="3"/>
        </w:numPr>
        <w:tabs>
          <w:tab w:val="left" w:pos="1545"/>
        </w:tabs>
        <w:spacing w:line="276" w:lineRule="auto"/>
      </w:pPr>
      <w:r>
        <w:t>Travel to the site from Atlanta (</w:t>
      </w:r>
      <w:r w:rsidR="00E5432B">
        <w:t>2</w:t>
      </w:r>
      <w:r>
        <w:t xml:space="preserve"> </w:t>
      </w:r>
      <w:r w:rsidR="00E5432B">
        <w:t>people)</w:t>
      </w:r>
      <w:r>
        <w:t xml:space="preserve"> </w:t>
      </w:r>
      <w:r w:rsidR="00486D6F">
        <w:t xml:space="preserve">for </w:t>
      </w:r>
      <w:r w:rsidR="009461EA">
        <w:t>two weeks</w:t>
      </w:r>
      <w:r w:rsidR="009857E0">
        <w:t xml:space="preserve"> </w:t>
      </w:r>
    </w:p>
    <w:p w14:paraId="4A30F629" w14:textId="3BC584F1" w:rsidR="009857E0" w:rsidRDefault="009857E0" w:rsidP="006F62B8">
      <w:pPr>
        <w:pStyle w:val="ListParagraph"/>
        <w:numPr>
          <w:ilvl w:val="0"/>
          <w:numId w:val="3"/>
        </w:numPr>
        <w:tabs>
          <w:tab w:val="left" w:pos="1545"/>
        </w:tabs>
        <w:spacing w:line="276" w:lineRule="auto"/>
      </w:pPr>
      <w:r>
        <w:t xml:space="preserve">Travel to the site from </w:t>
      </w:r>
      <w:r w:rsidR="009461EA">
        <w:t>Denver</w:t>
      </w:r>
      <w:r w:rsidR="00E5432B">
        <w:t xml:space="preserve"> (</w:t>
      </w:r>
      <w:r w:rsidR="009461EA">
        <w:t>1</w:t>
      </w:r>
      <w:r w:rsidR="00E5432B">
        <w:t xml:space="preserve"> </w:t>
      </w:r>
      <w:r w:rsidR="00796151">
        <w:t>person</w:t>
      </w:r>
      <w:r>
        <w:t xml:space="preserve">) for </w:t>
      </w:r>
      <w:r w:rsidR="009461EA">
        <w:t>two weeks</w:t>
      </w:r>
      <w:r>
        <w:t xml:space="preserve"> </w:t>
      </w:r>
    </w:p>
    <w:p w14:paraId="53604D73" w14:textId="194930E2" w:rsidR="004B35BF" w:rsidRDefault="004B35BF" w:rsidP="006F62B8">
      <w:pPr>
        <w:pStyle w:val="ListParagraph"/>
        <w:numPr>
          <w:ilvl w:val="0"/>
          <w:numId w:val="3"/>
        </w:numPr>
        <w:tabs>
          <w:tab w:val="left" w:pos="1545"/>
        </w:tabs>
        <w:spacing w:line="276" w:lineRule="auto"/>
      </w:pPr>
      <w:r>
        <w:t>T</w:t>
      </w:r>
      <w:r w:rsidR="00486D6F">
        <w:t xml:space="preserve">ravel to the site from Atlanta </w:t>
      </w:r>
      <w:r>
        <w:t xml:space="preserve"> </w:t>
      </w:r>
      <w:r w:rsidR="00486D6F">
        <w:t>(</w:t>
      </w:r>
      <w:r w:rsidR="004A79F0">
        <w:t>2</w:t>
      </w:r>
      <w:r w:rsidR="00486D6F">
        <w:t xml:space="preserve"> person</w:t>
      </w:r>
      <w:r>
        <w:t xml:space="preserve"> ) and </w:t>
      </w:r>
      <w:r w:rsidR="009461EA">
        <w:t>Denver</w:t>
      </w:r>
      <w:r>
        <w:t xml:space="preserve"> (</w:t>
      </w:r>
      <w:r w:rsidR="00486D6F">
        <w:t>1 person</w:t>
      </w:r>
      <w:r>
        <w:t xml:space="preserve"> ) </w:t>
      </w:r>
      <w:r w:rsidR="004A79F0">
        <w:t>to provide the results to the community</w:t>
      </w:r>
    </w:p>
    <w:p w14:paraId="3088045A" w14:textId="77777777" w:rsidR="00935939" w:rsidRPr="008E0304" w:rsidRDefault="00935939" w:rsidP="006653AB">
      <w:pPr>
        <w:tabs>
          <w:tab w:val="left" w:pos="1545"/>
        </w:tabs>
      </w:pPr>
    </w:p>
    <w:p w14:paraId="6D1BC6C9" w14:textId="77777777" w:rsidR="006653AB" w:rsidRPr="00041F9D" w:rsidRDefault="00B04CF8" w:rsidP="007F446A">
      <w:pPr>
        <w:pStyle w:val="Heading2"/>
      </w:pPr>
      <w:bookmarkStart w:id="123" w:name="_Toc522219745"/>
      <w:bookmarkStart w:id="124" w:name="_Toc306344160"/>
      <w:bookmarkStart w:id="125" w:name="_Toc306344801"/>
      <w:bookmarkStart w:id="126" w:name="_Toc306345042"/>
      <w:bookmarkStart w:id="127" w:name="_Toc311445513"/>
      <w:bookmarkEnd w:id="119"/>
      <w:bookmarkEnd w:id="120"/>
      <w:bookmarkEnd w:id="121"/>
      <w:bookmarkEnd w:id="122"/>
      <w:r w:rsidRPr="00041F9D">
        <w:t>A.</w:t>
      </w:r>
      <w:r w:rsidR="006653AB" w:rsidRPr="00041F9D">
        <w:t>1</w:t>
      </w:r>
      <w:r w:rsidR="00B60A40" w:rsidRPr="00041F9D">
        <w:t>5</w:t>
      </w:r>
      <w:r w:rsidR="006653AB" w:rsidRPr="00041F9D">
        <w:t>. Explanation for Program Changes or Adjustments</w:t>
      </w:r>
      <w:bookmarkEnd w:id="123"/>
    </w:p>
    <w:p w14:paraId="5DA601E8" w14:textId="77777777" w:rsidR="006653AB" w:rsidRPr="003B5990" w:rsidRDefault="006653AB" w:rsidP="006653AB">
      <w:pPr>
        <w:tabs>
          <w:tab w:val="left" w:pos="1545"/>
        </w:tabs>
        <w:rPr>
          <w:b/>
          <w:u w:val="single"/>
        </w:rPr>
      </w:pPr>
    </w:p>
    <w:p w14:paraId="44A408E8" w14:textId="77777777" w:rsidR="006653AB" w:rsidRPr="00041F9D" w:rsidRDefault="00311E38" w:rsidP="006653AB">
      <w:pPr>
        <w:tabs>
          <w:tab w:val="left" w:pos="1545"/>
        </w:tabs>
      </w:pPr>
      <w:r w:rsidRPr="00041F9D">
        <w:rPr>
          <w:rFonts w:eastAsia="Calibri"/>
        </w:rPr>
        <w:t>This is a new data collection.</w:t>
      </w:r>
    </w:p>
    <w:p w14:paraId="63F68E23" w14:textId="77777777" w:rsidR="006653AB" w:rsidRPr="003B5990" w:rsidRDefault="006653AB" w:rsidP="006653AB">
      <w:pPr>
        <w:tabs>
          <w:tab w:val="left" w:pos="1545"/>
        </w:tabs>
        <w:rPr>
          <w:u w:val="single"/>
        </w:rPr>
      </w:pPr>
    </w:p>
    <w:p w14:paraId="04B7B71A" w14:textId="77777777" w:rsidR="006653AB" w:rsidRPr="003B5990" w:rsidRDefault="00B04CF8">
      <w:pPr>
        <w:pStyle w:val="Heading2"/>
      </w:pPr>
      <w:bookmarkStart w:id="128" w:name="_Toc522219746"/>
      <w:r w:rsidRPr="003B5990">
        <w:t>A.</w:t>
      </w:r>
      <w:r w:rsidR="006653AB" w:rsidRPr="003B5990">
        <w:t>1</w:t>
      </w:r>
      <w:r w:rsidR="00B60A40">
        <w:t>6</w:t>
      </w:r>
      <w:r w:rsidR="006653AB" w:rsidRPr="003B5990">
        <w:t>. Plans for Tabulation and Publication and Project Time Schedule</w:t>
      </w:r>
      <w:bookmarkEnd w:id="128"/>
    </w:p>
    <w:p w14:paraId="16F80084" w14:textId="77777777" w:rsidR="005676F3" w:rsidRPr="007F446A" w:rsidRDefault="005676F3" w:rsidP="00935939">
      <w:pPr>
        <w:tabs>
          <w:tab w:val="left" w:pos="1545"/>
        </w:tabs>
      </w:pPr>
    </w:p>
    <w:p w14:paraId="433897E7" w14:textId="77777777" w:rsidR="00935939" w:rsidRPr="00844EC5" w:rsidRDefault="00D74CE6" w:rsidP="00844EC5">
      <w:r>
        <w:rPr>
          <w:rStyle w:val="Strong"/>
          <w:rFonts w:asciiTheme="majorHAnsi" w:hAnsiTheme="majorHAnsi"/>
          <w:color w:val="4F81BD"/>
        </w:rPr>
        <w:t>A.16.1 Project Time Schedule</w:t>
      </w:r>
    </w:p>
    <w:p w14:paraId="6D284B7D" w14:textId="77777777" w:rsidR="00935939" w:rsidRDefault="00935939" w:rsidP="00935939">
      <w:pPr>
        <w:tabs>
          <w:tab w:val="left" w:pos="1545"/>
        </w:tabs>
        <w:rPr>
          <w:b/>
        </w:rPr>
      </w:pPr>
    </w:p>
    <w:p w14:paraId="3DE4DAB2" w14:textId="7D659A8E" w:rsidR="00F04621" w:rsidRPr="007F446A" w:rsidRDefault="00540BD7" w:rsidP="00F04621">
      <w:pPr>
        <w:tabs>
          <w:tab w:val="left" w:pos="1545"/>
        </w:tabs>
      </w:pPr>
      <w:r>
        <w:t>The</w:t>
      </w:r>
      <w:r w:rsidR="00F04621" w:rsidRPr="007F446A">
        <w:t xml:space="preserve"> project </w:t>
      </w:r>
      <w:r w:rsidR="00DD0E31" w:rsidRPr="007F446A">
        <w:t>T</w:t>
      </w:r>
      <w:r w:rsidR="00F04621" w:rsidRPr="007F446A">
        <w:t>ime</w:t>
      </w:r>
      <w:r w:rsidR="00DD0E31" w:rsidRPr="007F446A">
        <w:t xml:space="preserve"> Schedule</w:t>
      </w:r>
      <w:r w:rsidR="00F04621" w:rsidRPr="007F446A">
        <w:t xml:space="preserve"> </w:t>
      </w:r>
      <w:r>
        <w:t xml:space="preserve">for the </w:t>
      </w:r>
      <w:r w:rsidR="00B95C35">
        <w:t>Anaconda, MT</w:t>
      </w:r>
      <w:r>
        <w:t xml:space="preserve"> EI is as follows:</w:t>
      </w:r>
      <w:r w:rsidR="00F04621" w:rsidRPr="007F446A">
        <w:t xml:space="preserve"> </w:t>
      </w:r>
    </w:p>
    <w:p w14:paraId="0FA6A1E1" w14:textId="77777777" w:rsidR="00F04621" w:rsidRDefault="00935939" w:rsidP="00935939">
      <w:pPr>
        <w:tabs>
          <w:tab w:val="left" w:pos="1545"/>
        </w:tabs>
        <w:rPr>
          <w:b/>
        </w:rPr>
      </w:pPr>
      <w:r>
        <w:rPr>
          <w:b/>
        </w:rPr>
        <w:t xml:space="preserve"> </w:t>
      </w:r>
    </w:p>
    <w:p w14:paraId="069CE598" w14:textId="77777777" w:rsidR="00482FD3" w:rsidRDefault="00482FD3" w:rsidP="00935939">
      <w:pPr>
        <w:tabs>
          <w:tab w:val="left" w:pos="1545"/>
        </w:tabs>
        <w:rPr>
          <w:b/>
        </w:rPr>
      </w:pPr>
    </w:p>
    <w:p w14:paraId="4C20BC2E" w14:textId="77777777" w:rsidR="00935939" w:rsidRDefault="00935939" w:rsidP="00935939">
      <w:pPr>
        <w:tabs>
          <w:tab w:val="left" w:pos="1545"/>
        </w:tabs>
        <w:rPr>
          <w:b/>
        </w:rPr>
      </w:pPr>
      <w:r>
        <w:rPr>
          <w:b/>
        </w:rPr>
        <w:t>Activity                                                                                 Time Schedule</w:t>
      </w:r>
    </w:p>
    <w:p w14:paraId="1EE000E3" w14:textId="77777777" w:rsidR="00935939" w:rsidRDefault="00935939" w:rsidP="00935939">
      <w:pPr>
        <w:tabs>
          <w:tab w:val="left" w:pos="1545"/>
        </w:tabs>
        <w:rPr>
          <w:b/>
        </w:rPr>
      </w:pPr>
    </w:p>
    <w:p w14:paraId="128EC595" w14:textId="000B283A" w:rsidR="00935939" w:rsidRDefault="00935939" w:rsidP="002202D1">
      <w:pPr>
        <w:tabs>
          <w:tab w:val="left" w:pos="1545"/>
        </w:tabs>
        <w:jc w:val="both"/>
      </w:pPr>
      <w:r>
        <w:t>Start of data collection</w:t>
      </w:r>
      <w:r w:rsidR="00486D6F">
        <w:t xml:space="preserve"> and </w:t>
      </w:r>
      <w:r w:rsidR="00472B8E">
        <w:t>f</w:t>
      </w:r>
      <w:r w:rsidR="00486D6F">
        <w:t xml:space="preserve">ield </w:t>
      </w:r>
      <w:r w:rsidR="00472B8E">
        <w:t>w</w:t>
      </w:r>
      <w:r w:rsidR="00B16729">
        <w:t>ork</w:t>
      </w:r>
      <w:r w:rsidR="00594EE2">
        <w:t xml:space="preserve">   </w:t>
      </w:r>
      <w:r w:rsidR="00472B8E">
        <w:t>..</w:t>
      </w:r>
      <w:r w:rsidR="0011317C">
        <w:t>...</w:t>
      </w:r>
      <w:r w:rsidR="00651D96">
        <w:t>…</w:t>
      </w:r>
      <w:r w:rsidR="00B16729">
        <w:t>……………..</w:t>
      </w:r>
      <w:r w:rsidR="002202D1">
        <w:t>……</w:t>
      </w:r>
      <w:r w:rsidR="001E61E6">
        <w:t>2</w:t>
      </w:r>
      <w:r w:rsidR="002712D8">
        <w:t xml:space="preserve"> </w:t>
      </w:r>
      <w:r w:rsidR="00AB00BC">
        <w:t>week</w:t>
      </w:r>
      <w:r w:rsidR="001E61E6">
        <w:t>s</w:t>
      </w:r>
      <w:r>
        <w:t xml:space="preserve"> after OMB approval</w:t>
      </w:r>
    </w:p>
    <w:p w14:paraId="0A3E92B0" w14:textId="7D55471F" w:rsidR="00935939" w:rsidRDefault="00661279" w:rsidP="002202D1">
      <w:pPr>
        <w:tabs>
          <w:tab w:val="left" w:pos="1545"/>
        </w:tabs>
        <w:jc w:val="both"/>
      </w:pPr>
      <w:r>
        <w:t>Data and laboratory a</w:t>
      </w:r>
      <w:r w:rsidR="00935939">
        <w:t>nalysis………………………………....</w:t>
      </w:r>
      <w:r w:rsidR="00D37004">
        <w:t>..</w:t>
      </w:r>
      <w:r w:rsidR="002202D1">
        <w:t>...</w:t>
      </w:r>
      <w:r w:rsidR="00430FC6">
        <w:t xml:space="preserve"> </w:t>
      </w:r>
      <w:r w:rsidR="001E61E6">
        <w:t>2</w:t>
      </w:r>
      <w:r w:rsidR="00D044CA">
        <w:t>-</w:t>
      </w:r>
      <w:r w:rsidR="001E61E6">
        <w:t>3</w:t>
      </w:r>
      <w:r w:rsidR="00935939">
        <w:t xml:space="preserve"> months after OMB approval</w:t>
      </w:r>
    </w:p>
    <w:p w14:paraId="1D8E2E33" w14:textId="044E684B" w:rsidR="00935939" w:rsidRDefault="00935939" w:rsidP="002202D1">
      <w:pPr>
        <w:tabs>
          <w:tab w:val="left" w:pos="1545"/>
        </w:tabs>
        <w:jc w:val="both"/>
      </w:pPr>
      <w:r>
        <w:t>Respond to participants ……………………………</w:t>
      </w:r>
      <w:r w:rsidR="0011317C">
        <w:t>.</w:t>
      </w:r>
      <w:r>
        <w:t>…....</w:t>
      </w:r>
      <w:r w:rsidR="002712D8">
        <w:t>.....</w:t>
      </w:r>
      <w:r w:rsidR="0011317C">
        <w:t>.....</w:t>
      </w:r>
      <w:r w:rsidR="002202D1">
        <w:t>..</w:t>
      </w:r>
      <w:r w:rsidR="001E61E6">
        <w:t>4</w:t>
      </w:r>
      <w:r>
        <w:t xml:space="preserve"> months after OMB approval</w:t>
      </w:r>
    </w:p>
    <w:p w14:paraId="728F2035" w14:textId="26E95347" w:rsidR="00935939" w:rsidRDefault="00935939" w:rsidP="002202D1">
      <w:pPr>
        <w:tabs>
          <w:tab w:val="left" w:pos="1545"/>
        </w:tabs>
        <w:jc w:val="both"/>
      </w:pPr>
      <w:r>
        <w:t xml:space="preserve">Written </w:t>
      </w:r>
      <w:r w:rsidR="00472B8E">
        <w:t>r</w:t>
      </w:r>
      <w:r>
        <w:t>eport</w:t>
      </w:r>
      <w:r w:rsidR="001E61E6">
        <w:t xml:space="preserve"> released….</w:t>
      </w:r>
      <w:r>
        <w:t>………………………</w:t>
      </w:r>
      <w:r w:rsidR="00472B8E">
        <w:t>.</w:t>
      </w:r>
      <w:r>
        <w:t>…......</w:t>
      </w:r>
      <w:r w:rsidR="00D37004">
        <w:t>.....</w:t>
      </w:r>
      <w:r w:rsidR="0011317C">
        <w:t>..</w:t>
      </w:r>
      <w:r w:rsidR="00B16729">
        <w:t>..</w:t>
      </w:r>
      <w:r w:rsidR="002202D1">
        <w:t>..</w:t>
      </w:r>
      <w:r w:rsidR="0011317C">
        <w:t>..</w:t>
      </w:r>
      <w:r w:rsidR="00482FD3">
        <w:t xml:space="preserve">TBD - </w:t>
      </w:r>
      <w:r w:rsidR="00651D96">
        <w:t>based on clearance process</w:t>
      </w:r>
    </w:p>
    <w:p w14:paraId="77D38E9B" w14:textId="77777777" w:rsidR="006653AB" w:rsidRDefault="006653AB" w:rsidP="006653AB">
      <w:pPr>
        <w:tabs>
          <w:tab w:val="left" w:pos="1545"/>
        </w:tabs>
      </w:pPr>
    </w:p>
    <w:p w14:paraId="0A12CC2B" w14:textId="4CF961F9" w:rsidR="00DB4BB8" w:rsidRDefault="00DB4BB8" w:rsidP="00D94910">
      <w:pPr>
        <w:tabs>
          <w:tab w:val="left" w:pos="1545"/>
        </w:tabs>
        <w:spacing w:line="276" w:lineRule="auto"/>
      </w:pPr>
      <w:r>
        <w:t xml:space="preserve">Response letters to the participants will be sent for those with elevated </w:t>
      </w:r>
      <w:r w:rsidR="00AA5E22">
        <w:t xml:space="preserve">and normal </w:t>
      </w:r>
      <w:r w:rsidR="00FD3B2F">
        <w:t xml:space="preserve">results </w:t>
      </w:r>
      <w:r w:rsidR="00AA5E22">
        <w:t>(</w:t>
      </w:r>
      <w:r w:rsidR="00FD3B2F">
        <w:t xml:space="preserve">Samples are provided in </w:t>
      </w:r>
      <w:r w:rsidR="00AA5E22">
        <w:t xml:space="preserve">Attachment </w:t>
      </w:r>
      <w:r w:rsidR="00FD3B2F">
        <w:t>6</w:t>
      </w:r>
      <w:r>
        <w:t>).</w:t>
      </w:r>
      <w:r w:rsidR="00AA5E22">
        <w:t xml:space="preserve"> An example of a prior Exposure Investigation report is provided as Attachment </w:t>
      </w:r>
      <w:r w:rsidR="00FD3B2F">
        <w:t>7</w:t>
      </w:r>
      <w:r w:rsidR="00AA5E22">
        <w:t>.</w:t>
      </w:r>
    </w:p>
    <w:p w14:paraId="0E2F4AD7" w14:textId="77777777" w:rsidR="006653AB" w:rsidRDefault="00B04CF8" w:rsidP="007F446A">
      <w:pPr>
        <w:pStyle w:val="Heading2"/>
      </w:pPr>
      <w:bookmarkStart w:id="129" w:name="_Toc522219747"/>
      <w:r>
        <w:t>A.</w:t>
      </w:r>
      <w:r w:rsidR="006653AB">
        <w:t>1</w:t>
      </w:r>
      <w:r w:rsidR="00B60A40">
        <w:t>7</w:t>
      </w:r>
      <w:r w:rsidR="006653AB">
        <w:t>. Reason(s) Display of OMB Expiration Date is Inappropriate</w:t>
      </w:r>
      <w:bookmarkEnd w:id="129"/>
    </w:p>
    <w:p w14:paraId="4756DCF1" w14:textId="77777777" w:rsidR="006653AB" w:rsidRDefault="006653AB" w:rsidP="006653AB">
      <w:pPr>
        <w:tabs>
          <w:tab w:val="left" w:pos="1545"/>
        </w:tabs>
        <w:rPr>
          <w:b/>
        </w:rPr>
      </w:pPr>
    </w:p>
    <w:p w14:paraId="6A66E449" w14:textId="77777777" w:rsidR="006653AB" w:rsidRDefault="006653AB" w:rsidP="006653AB">
      <w:pPr>
        <w:tabs>
          <w:tab w:val="left" w:pos="1545"/>
        </w:tabs>
      </w:pPr>
      <w:r>
        <w:t>We are not requesting an exemption.</w:t>
      </w:r>
    </w:p>
    <w:p w14:paraId="0850C374" w14:textId="77777777" w:rsidR="006653AB" w:rsidRDefault="006653AB" w:rsidP="006653AB">
      <w:pPr>
        <w:tabs>
          <w:tab w:val="left" w:pos="1545"/>
        </w:tabs>
      </w:pPr>
    </w:p>
    <w:p w14:paraId="1D66E114" w14:textId="77777777" w:rsidR="006653AB" w:rsidRDefault="00B04CF8" w:rsidP="007F446A">
      <w:pPr>
        <w:pStyle w:val="Heading2"/>
      </w:pPr>
      <w:bookmarkStart w:id="130" w:name="_Toc522219748"/>
      <w:r>
        <w:t>A.</w:t>
      </w:r>
      <w:r w:rsidR="006653AB">
        <w:t>1</w:t>
      </w:r>
      <w:r w:rsidR="00B60A40">
        <w:t>8</w:t>
      </w:r>
      <w:r w:rsidR="006653AB">
        <w:t>. Exceptions to Certification for Paperwork Reduction Act Submissions</w:t>
      </w:r>
      <w:bookmarkEnd w:id="130"/>
    </w:p>
    <w:p w14:paraId="0ED58EFD" w14:textId="77777777" w:rsidR="006653AB" w:rsidRDefault="006653AB" w:rsidP="006653AB">
      <w:pPr>
        <w:tabs>
          <w:tab w:val="left" w:pos="1545"/>
        </w:tabs>
        <w:rPr>
          <w:b/>
        </w:rPr>
      </w:pPr>
    </w:p>
    <w:p w14:paraId="31DB47C5" w14:textId="77777777" w:rsidR="006653AB" w:rsidRDefault="006653AB" w:rsidP="006653AB">
      <w:pPr>
        <w:tabs>
          <w:tab w:val="left" w:pos="1545"/>
        </w:tabs>
      </w:pPr>
      <w:r>
        <w:rPr>
          <w:b/>
        </w:rPr>
        <w:t xml:space="preserve"> </w:t>
      </w:r>
      <w:r>
        <w:t>There are no exceptions to certification for Paperwork Reduction Act.</w:t>
      </w:r>
    </w:p>
    <w:bookmarkEnd w:id="124"/>
    <w:bookmarkEnd w:id="125"/>
    <w:bookmarkEnd w:id="126"/>
    <w:bookmarkEnd w:id="127"/>
    <w:p w14:paraId="445D0B76" w14:textId="35E4BA9A" w:rsidR="00AA78D1" w:rsidRDefault="00AA78D1" w:rsidP="002F40AB">
      <w:pPr>
        <w:rPr>
          <w:rFonts w:eastAsia="SimSun"/>
          <w:b/>
          <w:bCs/>
          <w:lang w:eastAsia="zh-CN"/>
        </w:rPr>
      </w:pPr>
    </w:p>
    <w:p w14:paraId="22D776B8" w14:textId="04FDEABD" w:rsidR="0017344E" w:rsidRDefault="0017344E" w:rsidP="002F40AB">
      <w:pPr>
        <w:rPr>
          <w:rFonts w:eastAsia="SimSun"/>
          <w:b/>
          <w:bCs/>
          <w:lang w:eastAsia="zh-CN"/>
        </w:rPr>
      </w:pPr>
      <w:r>
        <w:rPr>
          <w:rFonts w:eastAsia="SimSun"/>
          <w:b/>
          <w:bCs/>
          <w:lang w:eastAsia="zh-CN"/>
        </w:rPr>
        <w:t>References:</w:t>
      </w:r>
    </w:p>
    <w:p w14:paraId="1C23110E" w14:textId="704E1132" w:rsidR="0017344E" w:rsidRDefault="0017344E" w:rsidP="002F40AB">
      <w:pPr>
        <w:rPr>
          <w:rFonts w:eastAsia="SimSun"/>
          <w:b/>
          <w:bCs/>
          <w:lang w:eastAsia="zh-CN"/>
        </w:rPr>
      </w:pPr>
    </w:p>
    <w:p w14:paraId="65CB992E" w14:textId="4E8CBA83" w:rsidR="0017344E" w:rsidRDefault="0017344E" w:rsidP="0017344E">
      <w:pPr>
        <w:pStyle w:val="NormalWeb"/>
        <w:shd w:val="clear" w:color="auto" w:fill="FFFFFF"/>
        <w:spacing w:after="100" w:afterAutospacing="1"/>
        <w:rPr>
          <w:color w:val="000000"/>
          <w:lang w:val="en"/>
        </w:rPr>
      </w:pPr>
      <w:r>
        <w:rPr>
          <w:color w:val="000000"/>
          <w:lang w:val="en"/>
        </w:rPr>
        <w:t xml:space="preserve">[ATSDR 2007] </w:t>
      </w:r>
      <w:r w:rsidRPr="00805F4F">
        <w:rPr>
          <w:color w:val="000000"/>
          <w:lang w:val="en"/>
        </w:rPr>
        <w:t xml:space="preserve">Agency for Toxic Substances and Disease Registry. 2007. </w:t>
      </w:r>
      <w:r>
        <w:rPr>
          <w:color w:val="000000"/>
          <w:lang w:val="en"/>
        </w:rPr>
        <w:t>Health Consultation: Evaluation of Residential Soil Arsenic Action Level. Anaconda Co. Smelter Site, Anaconda, Deer Lodge County, MT. EPA Facility ID: MTD093291656</w:t>
      </w:r>
    </w:p>
    <w:p w14:paraId="187CB91D" w14:textId="77777777" w:rsidR="0017344E" w:rsidRDefault="0017344E" w:rsidP="0017344E">
      <w:pPr>
        <w:spacing w:after="100" w:afterAutospacing="1"/>
      </w:pPr>
      <w:r>
        <w:t>Brink LL, Talbot EO, Sharma RK, March GM, Wu WC, Rager JR, Strosnider HM (2013). Do U.S. Ambient Air Lead Levels Have a Significant Impact on Childhood Blood Lead Levels: Result of a National Study. J. Environ and Public Health. Available at:</w:t>
      </w:r>
      <w:r w:rsidRPr="002746C8">
        <w:t xml:space="preserve"> </w:t>
      </w:r>
      <w:hyperlink r:id="rId10" w:history="1">
        <w:r w:rsidRPr="006452D5">
          <w:rPr>
            <w:rStyle w:val="Hyperlink"/>
          </w:rPr>
          <w:t>http://www.hindawi.com/journals/jeph/2013/278042/</w:t>
        </w:r>
      </w:hyperlink>
      <w:r w:rsidRPr="006452D5">
        <w:t>.</w:t>
      </w:r>
    </w:p>
    <w:p w14:paraId="3343E10A" w14:textId="32220B3A" w:rsidR="0017344E" w:rsidRPr="001E6052" w:rsidRDefault="0017344E" w:rsidP="0017344E">
      <w:pPr>
        <w:pStyle w:val="CommentText"/>
        <w:spacing w:after="100" w:afterAutospacing="1"/>
        <w:rPr>
          <w:sz w:val="24"/>
          <w:szCs w:val="24"/>
        </w:rPr>
      </w:pPr>
      <w:r>
        <w:rPr>
          <w:color w:val="333333"/>
          <w:sz w:val="24"/>
          <w:szCs w:val="24"/>
        </w:rPr>
        <w:t xml:space="preserve">[CDC 2018] </w:t>
      </w:r>
      <w:r w:rsidRPr="00E70F00">
        <w:rPr>
          <w:color w:val="333333"/>
          <w:sz w:val="24"/>
          <w:szCs w:val="24"/>
        </w:rPr>
        <w:t xml:space="preserve">Centers for Disease Control and Prevention. Fourth Report on Human Exposure to Environmental Chemicals, Updated Tables, (March 2018). Atlanta, GA: U.S. Department of Health and Human Services, Centers for Disease Control and Prevention. </w:t>
      </w:r>
      <w:hyperlink r:id="rId11" w:history="1">
        <w:r w:rsidRPr="00E70F00">
          <w:rPr>
            <w:color w:val="075290"/>
            <w:sz w:val="24"/>
            <w:szCs w:val="24"/>
            <w:u w:val="single"/>
          </w:rPr>
          <w:t>https://www.cdc.gov/exposurereport/</w:t>
        </w:r>
      </w:hyperlink>
      <w:r w:rsidRPr="001E6052">
        <w:rPr>
          <w:sz w:val="24"/>
          <w:szCs w:val="24"/>
        </w:rPr>
        <w:t xml:space="preserve"> </w:t>
      </w:r>
    </w:p>
    <w:p w14:paraId="7DF69A21" w14:textId="77777777" w:rsidR="0017344E" w:rsidRDefault="0017344E" w:rsidP="002F40AB">
      <w:pPr>
        <w:rPr>
          <w:rFonts w:eastAsia="SimSun"/>
          <w:b/>
          <w:bCs/>
          <w:lang w:eastAsia="zh-CN"/>
        </w:rPr>
      </w:pPr>
    </w:p>
    <w:sectPr w:rsidR="0017344E" w:rsidSect="0067720C">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5A95C" w14:textId="77777777" w:rsidR="006A07AF" w:rsidRDefault="006A07AF">
      <w:r>
        <w:separator/>
      </w:r>
    </w:p>
  </w:endnote>
  <w:endnote w:type="continuationSeparator" w:id="0">
    <w:p w14:paraId="01B6BDCF" w14:textId="77777777" w:rsidR="006A07AF" w:rsidRDefault="006A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54AA3" w14:textId="77777777" w:rsidR="006A07AF" w:rsidRDefault="006A07AF"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9D2277" w14:textId="77777777" w:rsidR="006A07AF" w:rsidRDefault="006A07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6B87D" w14:textId="4A4A944F" w:rsidR="006A07AF" w:rsidRDefault="006A07AF"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23A9">
      <w:rPr>
        <w:rStyle w:val="PageNumber"/>
        <w:noProof/>
      </w:rPr>
      <w:t>1</w:t>
    </w:r>
    <w:r>
      <w:rPr>
        <w:rStyle w:val="PageNumber"/>
      </w:rPr>
      <w:fldChar w:fldCharType="end"/>
    </w:r>
  </w:p>
  <w:p w14:paraId="2FA06708" w14:textId="77777777" w:rsidR="006A07AF" w:rsidRDefault="006A0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43340" w14:textId="77777777" w:rsidR="006A07AF" w:rsidRDefault="006A07AF">
      <w:r>
        <w:separator/>
      </w:r>
    </w:p>
  </w:footnote>
  <w:footnote w:type="continuationSeparator" w:id="0">
    <w:p w14:paraId="6B7474F8" w14:textId="77777777" w:rsidR="006A07AF" w:rsidRDefault="006A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3B64C6A5" w14:textId="2E07883D" w:rsidR="006A07AF" w:rsidRDefault="006A07AF" w:rsidP="0067720C">
        <w:pPr>
          <w:pStyle w:val="Header"/>
          <w:jc w:val="center"/>
          <w:rPr>
            <w:rFonts w:asciiTheme="majorHAnsi" w:eastAsiaTheme="majorEastAsia" w:hAnsiTheme="majorHAnsi" w:cstheme="majorBidi"/>
            <w:sz w:val="32"/>
            <w:szCs w:val="32"/>
          </w:rPr>
        </w:pPr>
        <w:r>
          <w:rPr>
            <w:sz w:val="20"/>
            <w:szCs w:val="20"/>
          </w:rPr>
          <w:t>Attachment 1. Blood Lead and Urine Arsenic Levels in Anaconda, MT EI:  Supporting Statement A</w:t>
        </w:r>
      </w:p>
    </w:sdtContent>
  </w:sdt>
  <w:p w14:paraId="24257B1D" w14:textId="77777777" w:rsidR="006A07AF" w:rsidRDefault="006A07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1EA1"/>
    <w:multiLevelType w:val="hybridMultilevel"/>
    <w:tmpl w:val="6F14C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9B57AB"/>
    <w:multiLevelType w:val="hybridMultilevel"/>
    <w:tmpl w:val="B7FA9D18"/>
    <w:lvl w:ilvl="0" w:tplc="799CB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655E71"/>
    <w:multiLevelType w:val="hybridMultilevel"/>
    <w:tmpl w:val="8F7E400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D4C436F"/>
    <w:multiLevelType w:val="hybridMultilevel"/>
    <w:tmpl w:val="E5AE0766"/>
    <w:lvl w:ilvl="0" w:tplc="0409000F">
      <w:start w:val="1"/>
      <w:numFmt w:val="decimal"/>
      <w:lvlText w:val="%1."/>
      <w:lvlJc w:val="left"/>
      <w:pPr>
        <w:ind w:left="720" w:hanging="360"/>
      </w:pPr>
      <w:rPr>
        <w:rFonts w:hint="default"/>
      </w:rPr>
    </w:lvl>
    <w:lvl w:ilvl="1" w:tplc="630C50A0">
      <w:start w:val="1"/>
      <w:numFmt w:val="upperLetter"/>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817AD9"/>
    <w:multiLevelType w:val="hybridMultilevel"/>
    <w:tmpl w:val="804ED732"/>
    <w:lvl w:ilvl="0" w:tplc="89C268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A86289"/>
    <w:multiLevelType w:val="hybridMultilevel"/>
    <w:tmpl w:val="FB2A211A"/>
    <w:lvl w:ilvl="0" w:tplc="8BCEFDF0">
      <w:start w:val="4"/>
      <w:numFmt w:val="decimal"/>
      <w:lvlText w:val="%1."/>
      <w:lvlJc w:val="left"/>
      <w:pPr>
        <w:ind w:left="108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40E43003"/>
    <w:multiLevelType w:val="hybridMultilevel"/>
    <w:tmpl w:val="371E02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7CE6C96"/>
    <w:multiLevelType w:val="hybridMultilevel"/>
    <w:tmpl w:val="AF54E0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3E4350"/>
    <w:multiLevelType w:val="hybridMultilevel"/>
    <w:tmpl w:val="CA56E18E"/>
    <w:lvl w:ilvl="0" w:tplc="0409000F">
      <w:start w:val="1"/>
      <w:numFmt w:val="decimal"/>
      <w:lvlText w:val="%1."/>
      <w:lvlJc w:val="left"/>
      <w:pPr>
        <w:ind w:left="720" w:hanging="360"/>
      </w:pPr>
      <w:rPr>
        <w:rFonts w:hint="default"/>
      </w:rPr>
    </w:lvl>
    <w:lvl w:ilvl="1" w:tplc="51E8C0E0">
      <w:start w:val="1"/>
      <w:numFmt w:val="upperLetter"/>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6B4C6E"/>
    <w:multiLevelType w:val="hybridMultilevel"/>
    <w:tmpl w:val="B0A6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930953"/>
    <w:multiLevelType w:val="hybridMultilevel"/>
    <w:tmpl w:val="EAE85A84"/>
    <w:lvl w:ilvl="0" w:tplc="C9D45E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605E70"/>
    <w:multiLevelType w:val="hybridMultilevel"/>
    <w:tmpl w:val="92F8D0E4"/>
    <w:lvl w:ilvl="0" w:tplc="04090001">
      <w:start w:val="1"/>
      <w:numFmt w:val="bullet"/>
      <w:lvlText w:val=""/>
      <w:lvlJc w:val="left"/>
      <w:pPr>
        <w:ind w:left="1260" w:hanging="360"/>
      </w:pPr>
      <w:rPr>
        <w:rFonts w:ascii="Symbol" w:hAnsi="Symbol" w:hint="default"/>
        <w:b w:val="0"/>
      </w:rPr>
    </w:lvl>
    <w:lvl w:ilvl="1" w:tplc="04090001">
      <w:start w:val="1"/>
      <w:numFmt w:val="bullet"/>
      <w:lvlText w:val=""/>
      <w:lvlJc w:val="left"/>
      <w:pPr>
        <w:ind w:left="2070" w:hanging="360"/>
      </w:pPr>
      <w:rPr>
        <w:rFonts w:ascii="Symbol" w:hAnsi="Symbol" w:hint="default"/>
      </w:rPr>
    </w:lvl>
    <w:lvl w:ilvl="2" w:tplc="04090003">
      <w:start w:val="1"/>
      <w:numFmt w:val="bullet"/>
      <w:lvlText w:val="o"/>
      <w:lvlJc w:val="left"/>
      <w:pPr>
        <w:ind w:left="2790" w:hanging="180"/>
      </w:pPr>
      <w:rPr>
        <w:rFonts w:ascii="Courier New" w:hAnsi="Courier New" w:cs="Courier New" w:hint="default"/>
      </w:rPr>
    </w:lvl>
    <w:lvl w:ilvl="3" w:tplc="0409000F">
      <w:start w:val="1"/>
      <w:numFmt w:val="decimal"/>
      <w:lvlText w:val="%4."/>
      <w:lvlJc w:val="left"/>
      <w:pPr>
        <w:ind w:left="3510" w:hanging="360"/>
      </w:pPr>
    </w:lvl>
    <w:lvl w:ilvl="4" w:tplc="04090003">
      <w:start w:val="1"/>
      <w:numFmt w:val="bullet"/>
      <w:lvlText w:val="o"/>
      <w:lvlJc w:val="left"/>
      <w:pPr>
        <w:ind w:left="4230" w:hanging="360"/>
      </w:pPr>
      <w:rPr>
        <w:rFonts w:ascii="Courier New" w:hAnsi="Courier New" w:cs="Courier New" w:hint="default"/>
      </w:r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6EFE4BFA"/>
    <w:multiLevelType w:val="hybridMultilevel"/>
    <w:tmpl w:val="B986C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194DE5"/>
    <w:multiLevelType w:val="hybridMultilevel"/>
    <w:tmpl w:val="18A4A9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EA25633"/>
    <w:multiLevelType w:val="hybridMultilevel"/>
    <w:tmpl w:val="7A66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0"/>
  </w:num>
  <w:num w:numId="4">
    <w:abstractNumId w:val="7"/>
  </w:num>
  <w:num w:numId="5">
    <w:abstractNumId w:val="5"/>
  </w:num>
  <w:num w:numId="6">
    <w:abstractNumId w:val="4"/>
  </w:num>
  <w:num w:numId="7">
    <w:abstractNumId w:val="9"/>
  </w:num>
  <w:num w:numId="8">
    <w:abstractNumId w:val="3"/>
  </w:num>
  <w:num w:numId="9">
    <w:abstractNumId w:val="11"/>
  </w:num>
  <w:num w:numId="10">
    <w:abstractNumId w:val="1"/>
  </w:num>
  <w:num w:numId="11">
    <w:abstractNumId w:val="0"/>
  </w:num>
  <w:num w:numId="12">
    <w:abstractNumId w:val="8"/>
  </w:num>
  <w:num w:numId="13">
    <w:abstractNumId w:val="15"/>
  </w:num>
  <w:num w:numId="14">
    <w:abstractNumId w:val="6"/>
  </w:num>
  <w:num w:numId="15">
    <w:abstractNumId w:val="13"/>
  </w:num>
  <w:num w:numId="16">
    <w:abstractNumId w:val="16"/>
  </w:num>
  <w:num w:numId="1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A8"/>
    <w:rsid w:val="000000D1"/>
    <w:rsid w:val="00000592"/>
    <w:rsid w:val="00000D99"/>
    <w:rsid w:val="000010F4"/>
    <w:rsid w:val="00001F47"/>
    <w:rsid w:val="00002E14"/>
    <w:rsid w:val="0000420B"/>
    <w:rsid w:val="00005117"/>
    <w:rsid w:val="000074F7"/>
    <w:rsid w:val="00010E39"/>
    <w:rsid w:val="00010F99"/>
    <w:rsid w:val="000124B5"/>
    <w:rsid w:val="00012804"/>
    <w:rsid w:val="000128D8"/>
    <w:rsid w:val="00012C7C"/>
    <w:rsid w:val="00015984"/>
    <w:rsid w:val="00016C0E"/>
    <w:rsid w:val="00017E63"/>
    <w:rsid w:val="00022806"/>
    <w:rsid w:val="000244F3"/>
    <w:rsid w:val="000258E4"/>
    <w:rsid w:val="00025B51"/>
    <w:rsid w:val="0002723A"/>
    <w:rsid w:val="000275B0"/>
    <w:rsid w:val="00027A5E"/>
    <w:rsid w:val="00030EFC"/>
    <w:rsid w:val="00031570"/>
    <w:rsid w:val="000323A4"/>
    <w:rsid w:val="0003287E"/>
    <w:rsid w:val="00032922"/>
    <w:rsid w:val="00032FB0"/>
    <w:rsid w:val="00040280"/>
    <w:rsid w:val="0004143B"/>
    <w:rsid w:val="00041524"/>
    <w:rsid w:val="00041D2A"/>
    <w:rsid w:val="00041F9D"/>
    <w:rsid w:val="000433E5"/>
    <w:rsid w:val="000472D0"/>
    <w:rsid w:val="00047884"/>
    <w:rsid w:val="00047F9C"/>
    <w:rsid w:val="00050D0E"/>
    <w:rsid w:val="000526A9"/>
    <w:rsid w:val="00052A85"/>
    <w:rsid w:val="00053166"/>
    <w:rsid w:val="00055819"/>
    <w:rsid w:val="0005797C"/>
    <w:rsid w:val="00061479"/>
    <w:rsid w:val="00062A3F"/>
    <w:rsid w:val="00062B5A"/>
    <w:rsid w:val="00062BC0"/>
    <w:rsid w:val="000635E9"/>
    <w:rsid w:val="000646CA"/>
    <w:rsid w:val="000649C1"/>
    <w:rsid w:val="00065156"/>
    <w:rsid w:val="000663F9"/>
    <w:rsid w:val="000664AD"/>
    <w:rsid w:val="000670FA"/>
    <w:rsid w:val="00067EB5"/>
    <w:rsid w:val="00067EF1"/>
    <w:rsid w:val="00072511"/>
    <w:rsid w:val="0007281C"/>
    <w:rsid w:val="00073047"/>
    <w:rsid w:val="00074222"/>
    <w:rsid w:val="000773C4"/>
    <w:rsid w:val="000804D3"/>
    <w:rsid w:val="00080DBF"/>
    <w:rsid w:val="00081A58"/>
    <w:rsid w:val="00082B8D"/>
    <w:rsid w:val="00083406"/>
    <w:rsid w:val="0008428C"/>
    <w:rsid w:val="000848A3"/>
    <w:rsid w:val="00085240"/>
    <w:rsid w:val="00087084"/>
    <w:rsid w:val="0008749C"/>
    <w:rsid w:val="00087551"/>
    <w:rsid w:val="0008756C"/>
    <w:rsid w:val="00090754"/>
    <w:rsid w:val="00090CCA"/>
    <w:rsid w:val="00091F11"/>
    <w:rsid w:val="000930B2"/>
    <w:rsid w:val="000939DD"/>
    <w:rsid w:val="00094F19"/>
    <w:rsid w:val="00096B34"/>
    <w:rsid w:val="00096C93"/>
    <w:rsid w:val="00097D89"/>
    <w:rsid w:val="000A0B3D"/>
    <w:rsid w:val="000A15C9"/>
    <w:rsid w:val="000A1EAB"/>
    <w:rsid w:val="000A2598"/>
    <w:rsid w:val="000A2E46"/>
    <w:rsid w:val="000A32C4"/>
    <w:rsid w:val="000A3873"/>
    <w:rsid w:val="000A49BD"/>
    <w:rsid w:val="000A4A98"/>
    <w:rsid w:val="000A5592"/>
    <w:rsid w:val="000A5668"/>
    <w:rsid w:val="000A65A5"/>
    <w:rsid w:val="000A6D11"/>
    <w:rsid w:val="000A7CAB"/>
    <w:rsid w:val="000B093C"/>
    <w:rsid w:val="000B0BC3"/>
    <w:rsid w:val="000B1254"/>
    <w:rsid w:val="000B1712"/>
    <w:rsid w:val="000B23EF"/>
    <w:rsid w:val="000B283E"/>
    <w:rsid w:val="000B3CA2"/>
    <w:rsid w:val="000B4D9B"/>
    <w:rsid w:val="000B5420"/>
    <w:rsid w:val="000B62E7"/>
    <w:rsid w:val="000B6474"/>
    <w:rsid w:val="000B7365"/>
    <w:rsid w:val="000B76DC"/>
    <w:rsid w:val="000B7DD8"/>
    <w:rsid w:val="000B7F02"/>
    <w:rsid w:val="000C0446"/>
    <w:rsid w:val="000C2177"/>
    <w:rsid w:val="000C41E6"/>
    <w:rsid w:val="000C5B26"/>
    <w:rsid w:val="000C63C7"/>
    <w:rsid w:val="000C641F"/>
    <w:rsid w:val="000D0F5D"/>
    <w:rsid w:val="000D26C5"/>
    <w:rsid w:val="000D43FA"/>
    <w:rsid w:val="000D455D"/>
    <w:rsid w:val="000D4FEF"/>
    <w:rsid w:val="000D6641"/>
    <w:rsid w:val="000D67EE"/>
    <w:rsid w:val="000E17DC"/>
    <w:rsid w:val="000E4314"/>
    <w:rsid w:val="000E531D"/>
    <w:rsid w:val="000E68C0"/>
    <w:rsid w:val="000E6BBC"/>
    <w:rsid w:val="000E7793"/>
    <w:rsid w:val="000F3C1B"/>
    <w:rsid w:val="000F4354"/>
    <w:rsid w:val="000F4CCE"/>
    <w:rsid w:val="000F5AD6"/>
    <w:rsid w:val="000F704F"/>
    <w:rsid w:val="000F7C28"/>
    <w:rsid w:val="0010521B"/>
    <w:rsid w:val="00105540"/>
    <w:rsid w:val="00106CD3"/>
    <w:rsid w:val="001071F9"/>
    <w:rsid w:val="001075DE"/>
    <w:rsid w:val="00107B7A"/>
    <w:rsid w:val="001100C0"/>
    <w:rsid w:val="00110107"/>
    <w:rsid w:val="00110292"/>
    <w:rsid w:val="00110D66"/>
    <w:rsid w:val="001116DC"/>
    <w:rsid w:val="00111AEA"/>
    <w:rsid w:val="00112AB8"/>
    <w:rsid w:val="0011317C"/>
    <w:rsid w:val="001142C7"/>
    <w:rsid w:val="00114D3E"/>
    <w:rsid w:val="00115158"/>
    <w:rsid w:val="0011558C"/>
    <w:rsid w:val="00120226"/>
    <w:rsid w:val="001210BD"/>
    <w:rsid w:val="00122D9D"/>
    <w:rsid w:val="001230EC"/>
    <w:rsid w:val="00123448"/>
    <w:rsid w:val="00127E39"/>
    <w:rsid w:val="00132A7C"/>
    <w:rsid w:val="001337F5"/>
    <w:rsid w:val="00133C79"/>
    <w:rsid w:val="001349FC"/>
    <w:rsid w:val="00134A2C"/>
    <w:rsid w:val="00134F7C"/>
    <w:rsid w:val="001351F2"/>
    <w:rsid w:val="001352D8"/>
    <w:rsid w:val="00136BB4"/>
    <w:rsid w:val="00137B93"/>
    <w:rsid w:val="00142A17"/>
    <w:rsid w:val="00143131"/>
    <w:rsid w:val="00143AB2"/>
    <w:rsid w:val="00145016"/>
    <w:rsid w:val="001458B0"/>
    <w:rsid w:val="00146B56"/>
    <w:rsid w:val="00147410"/>
    <w:rsid w:val="00147926"/>
    <w:rsid w:val="001509BD"/>
    <w:rsid w:val="00151017"/>
    <w:rsid w:val="001513C4"/>
    <w:rsid w:val="00153B8B"/>
    <w:rsid w:val="00154C0F"/>
    <w:rsid w:val="0015682F"/>
    <w:rsid w:val="00156A60"/>
    <w:rsid w:val="00156C1D"/>
    <w:rsid w:val="00156E28"/>
    <w:rsid w:val="001608A1"/>
    <w:rsid w:val="00160EFB"/>
    <w:rsid w:val="00161D0A"/>
    <w:rsid w:val="00162D9E"/>
    <w:rsid w:val="0016335B"/>
    <w:rsid w:val="001635A6"/>
    <w:rsid w:val="001635FD"/>
    <w:rsid w:val="00164F2C"/>
    <w:rsid w:val="00165D9D"/>
    <w:rsid w:val="00166980"/>
    <w:rsid w:val="00167843"/>
    <w:rsid w:val="00167F85"/>
    <w:rsid w:val="001716E3"/>
    <w:rsid w:val="001717DF"/>
    <w:rsid w:val="00172B0F"/>
    <w:rsid w:val="0017344E"/>
    <w:rsid w:val="00174115"/>
    <w:rsid w:val="00175106"/>
    <w:rsid w:val="00175336"/>
    <w:rsid w:val="00180B4A"/>
    <w:rsid w:val="0018100B"/>
    <w:rsid w:val="001828C9"/>
    <w:rsid w:val="001833B6"/>
    <w:rsid w:val="001834A3"/>
    <w:rsid w:val="00186261"/>
    <w:rsid w:val="00186982"/>
    <w:rsid w:val="00187F73"/>
    <w:rsid w:val="00190128"/>
    <w:rsid w:val="00190465"/>
    <w:rsid w:val="00191562"/>
    <w:rsid w:val="00191BD4"/>
    <w:rsid w:val="00192F70"/>
    <w:rsid w:val="00195192"/>
    <w:rsid w:val="001977A4"/>
    <w:rsid w:val="001A02F8"/>
    <w:rsid w:val="001A48A4"/>
    <w:rsid w:val="001A6554"/>
    <w:rsid w:val="001A7EA9"/>
    <w:rsid w:val="001B2F0F"/>
    <w:rsid w:val="001B330F"/>
    <w:rsid w:val="001B392D"/>
    <w:rsid w:val="001B42E6"/>
    <w:rsid w:val="001B6C41"/>
    <w:rsid w:val="001B71A2"/>
    <w:rsid w:val="001C01C8"/>
    <w:rsid w:val="001C1DB0"/>
    <w:rsid w:val="001C226F"/>
    <w:rsid w:val="001C579A"/>
    <w:rsid w:val="001C5B78"/>
    <w:rsid w:val="001C6298"/>
    <w:rsid w:val="001C7136"/>
    <w:rsid w:val="001D0AD0"/>
    <w:rsid w:val="001D0EAE"/>
    <w:rsid w:val="001D4FF9"/>
    <w:rsid w:val="001D558F"/>
    <w:rsid w:val="001D63B6"/>
    <w:rsid w:val="001D6A64"/>
    <w:rsid w:val="001D7273"/>
    <w:rsid w:val="001D789D"/>
    <w:rsid w:val="001E0E17"/>
    <w:rsid w:val="001E18A6"/>
    <w:rsid w:val="001E1C8D"/>
    <w:rsid w:val="001E2294"/>
    <w:rsid w:val="001E32B5"/>
    <w:rsid w:val="001E61E6"/>
    <w:rsid w:val="001E683D"/>
    <w:rsid w:val="001E6AFE"/>
    <w:rsid w:val="001E6C16"/>
    <w:rsid w:val="001E7EE8"/>
    <w:rsid w:val="001F0DE9"/>
    <w:rsid w:val="001F0F12"/>
    <w:rsid w:val="001F4DC1"/>
    <w:rsid w:val="001F671F"/>
    <w:rsid w:val="00201F22"/>
    <w:rsid w:val="002025B5"/>
    <w:rsid w:val="00210F73"/>
    <w:rsid w:val="0021137C"/>
    <w:rsid w:val="0021237B"/>
    <w:rsid w:val="002133F2"/>
    <w:rsid w:val="00214A74"/>
    <w:rsid w:val="002154E3"/>
    <w:rsid w:val="00215E9D"/>
    <w:rsid w:val="00216CF8"/>
    <w:rsid w:val="00216DEF"/>
    <w:rsid w:val="002202D1"/>
    <w:rsid w:val="00221518"/>
    <w:rsid w:val="00221B76"/>
    <w:rsid w:val="00224F03"/>
    <w:rsid w:val="002252F1"/>
    <w:rsid w:val="00226069"/>
    <w:rsid w:val="00226789"/>
    <w:rsid w:val="00226F12"/>
    <w:rsid w:val="00227352"/>
    <w:rsid w:val="002275A3"/>
    <w:rsid w:val="002276C7"/>
    <w:rsid w:val="00233EDA"/>
    <w:rsid w:val="00235605"/>
    <w:rsid w:val="00235E02"/>
    <w:rsid w:val="00236A25"/>
    <w:rsid w:val="00240CF0"/>
    <w:rsid w:val="002415A9"/>
    <w:rsid w:val="00241C5C"/>
    <w:rsid w:val="002428A9"/>
    <w:rsid w:val="00242ACE"/>
    <w:rsid w:val="00244270"/>
    <w:rsid w:val="00244F9A"/>
    <w:rsid w:val="00245495"/>
    <w:rsid w:val="00246A18"/>
    <w:rsid w:val="00246A47"/>
    <w:rsid w:val="00246B5A"/>
    <w:rsid w:val="002473AB"/>
    <w:rsid w:val="00250919"/>
    <w:rsid w:val="00250E9A"/>
    <w:rsid w:val="002515D0"/>
    <w:rsid w:val="002538AC"/>
    <w:rsid w:val="00255CE9"/>
    <w:rsid w:val="002569E1"/>
    <w:rsid w:val="002570B0"/>
    <w:rsid w:val="00257CCF"/>
    <w:rsid w:val="00261215"/>
    <w:rsid w:val="002640DF"/>
    <w:rsid w:val="00265F7C"/>
    <w:rsid w:val="00266092"/>
    <w:rsid w:val="002669CF"/>
    <w:rsid w:val="00270902"/>
    <w:rsid w:val="00270CDE"/>
    <w:rsid w:val="002712D8"/>
    <w:rsid w:val="00273680"/>
    <w:rsid w:val="002741FD"/>
    <w:rsid w:val="0027662B"/>
    <w:rsid w:val="002766A0"/>
    <w:rsid w:val="00277628"/>
    <w:rsid w:val="00277A1A"/>
    <w:rsid w:val="002812FB"/>
    <w:rsid w:val="002818F3"/>
    <w:rsid w:val="002835A1"/>
    <w:rsid w:val="0028483B"/>
    <w:rsid w:val="00284F9D"/>
    <w:rsid w:val="0029205A"/>
    <w:rsid w:val="002930BD"/>
    <w:rsid w:val="00293159"/>
    <w:rsid w:val="00293340"/>
    <w:rsid w:val="00295101"/>
    <w:rsid w:val="0029554B"/>
    <w:rsid w:val="002955F5"/>
    <w:rsid w:val="00297C51"/>
    <w:rsid w:val="002A0056"/>
    <w:rsid w:val="002A04F0"/>
    <w:rsid w:val="002A435F"/>
    <w:rsid w:val="002A43BA"/>
    <w:rsid w:val="002A57E4"/>
    <w:rsid w:val="002A676A"/>
    <w:rsid w:val="002A7372"/>
    <w:rsid w:val="002A756C"/>
    <w:rsid w:val="002A779C"/>
    <w:rsid w:val="002B1573"/>
    <w:rsid w:val="002B198F"/>
    <w:rsid w:val="002B2744"/>
    <w:rsid w:val="002B3F38"/>
    <w:rsid w:val="002B4079"/>
    <w:rsid w:val="002B651B"/>
    <w:rsid w:val="002B775D"/>
    <w:rsid w:val="002C0499"/>
    <w:rsid w:val="002C0563"/>
    <w:rsid w:val="002C180F"/>
    <w:rsid w:val="002C2492"/>
    <w:rsid w:val="002C249D"/>
    <w:rsid w:val="002C33E8"/>
    <w:rsid w:val="002C5903"/>
    <w:rsid w:val="002C6403"/>
    <w:rsid w:val="002C7DD8"/>
    <w:rsid w:val="002D0805"/>
    <w:rsid w:val="002D1635"/>
    <w:rsid w:val="002D18BD"/>
    <w:rsid w:val="002D21A8"/>
    <w:rsid w:val="002D4337"/>
    <w:rsid w:val="002D48E0"/>
    <w:rsid w:val="002D4CEF"/>
    <w:rsid w:val="002D6888"/>
    <w:rsid w:val="002D6CB4"/>
    <w:rsid w:val="002D78FB"/>
    <w:rsid w:val="002E0CB9"/>
    <w:rsid w:val="002E2057"/>
    <w:rsid w:val="002E24AE"/>
    <w:rsid w:val="002E2A9E"/>
    <w:rsid w:val="002E57EE"/>
    <w:rsid w:val="002F0422"/>
    <w:rsid w:val="002F1CBF"/>
    <w:rsid w:val="002F269E"/>
    <w:rsid w:val="002F38FD"/>
    <w:rsid w:val="002F3BAA"/>
    <w:rsid w:val="002F40AB"/>
    <w:rsid w:val="002F5B1D"/>
    <w:rsid w:val="002F6358"/>
    <w:rsid w:val="002F6507"/>
    <w:rsid w:val="002F7273"/>
    <w:rsid w:val="00303B3C"/>
    <w:rsid w:val="003047A0"/>
    <w:rsid w:val="0030631D"/>
    <w:rsid w:val="00306AA5"/>
    <w:rsid w:val="00307746"/>
    <w:rsid w:val="003108EF"/>
    <w:rsid w:val="00311E38"/>
    <w:rsid w:val="00312462"/>
    <w:rsid w:val="00312B53"/>
    <w:rsid w:val="00312D79"/>
    <w:rsid w:val="00313614"/>
    <w:rsid w:val="0031417C"/>
    <w:rsid w:val="00314B98"/>
    <w:rsid w:val="003155AC"/>
    <w:rsid w:val="00315F9A"/>
    <w:rsid w:val="003169D4"/>
    <w:rsid w:val="00316DF8"/>
    <w:rsid w:val="00317784"/>
    <w:rsid w:val="00320114"/>
    <w:rsid w:val="00322A7D"/>
    <w:rsid w:val="00322A9F"/>
    <w:rsid w:val="00324120"/>
    <w:rsid w:val="00330E89"/>
    <w:rsid w:val="003327B3"/>
    <w:rsid w:val="00336BB1"/>
    <w:rsid w:val="003376AD"/>
    <w:rsid w:val="00340194"/>
    <w:rsid w:val="00340F43"/>
    <w:rsid w:val="003428A5"/>
    <w:rsid w:val="003436A2"/>
    <w:rsid w:val="00344150"/>
    <w:rsid w:val="003453F4"/>
    <w:rsid w:val="00347865"/>
    <w:rsid w:val="0035250C"/>
    <w:rsid w:val="003530FB"/>
    <w:rsid w:val="0035509C"/>
    <w:rsid w:val="0035552F"/>
    <w:rsid w:val="00356195"/>
    <w:rsid w:val="0035718C"/>
    <w:rsid w:val="00357B6C"/>
    <w:rsid w:val="00360D53"/>
    <w:rsid w:val="0036112F"/>
    <w:rsid w:val="00362654"/>
    <w:rsid w:val="00362A15"/>
    <w:rsid w:val="00362B96"/>
    <w:rsid w:val="00363D95"/>
    <w:rsid w:val="003649A9"/>
    <w:rsid w:val="00365505"/>
    <w:rsid w:val="00365AC6"/>
    <w:rsid w:val="00370214"/>
    <w:rsid w:val="00370423"/>
    <w:rsid w:val="00370EFD"/>
    <w:rsid w:val="0037198B"/>
    <w:rsid w:val="00372087"/>
    <w:rsid w:val="00372214"/>
    <w:rsid w:val="00372FBE"/>
    <w:rsid w:val="003732FE"/>
    <w:rsid w:val="00375D68"/>
    <w:rsid w:val="0037652E"/>
    <w:rsid w:val="00380EA1"/>
    <w:rsid w:val="003817BF"/>
    <w:rsid w:val="003821C4"/>
    <w:rsid w:val="0038222D"/>
    <w:rsid w:val="003838E1"/>
    <w:rsid w:val="00384958"/>
    <w:rsid w:val="00384A59"/>
    <w:rsid w:val="003858FE"/>
    <w:rsid w:val="0039052A"/>
    <w:rsid w:val="00392B58"/>
    <w:rsid w:val="003934D6"/>
    <w:rsid w:val="00393781"/>
    <w:rsid w:val="00394595"/>
    <w:rsid w:val="0039614F"/>
    <w:rsid w:val="003961A9"/>
    <w:rsid w:val="0039667D"/>
    <w:rsid w:val="0039668D"/>
    <w:rsid w:val="00396DB3"/>
    <w:rsid w:val="0039749A"/>
    <w:rsid w:val="003A17EB"/>
    <w:rsid w:val="003A1F30"/>
    <w:rsid w:val="003A313C"/>
    <w:rsid w:val="003A3443"/>
    <w:rsid w:val="003A34E7"/>
    <w:rsid w:val="003A3C5F"/>
    <w:rsid w:val="003A4223"/>
    <w:rsid w:val="003A448A"/>
    <w:rsid w:val="003A5B61"/>
    <w:rsid w:val="003A5BCE"/>
    <w:rsid w:val="003A6410"/>
    <w:rsid w:val="003B0656"/>
    <w:rsid w:val="003B09D0"/>
    <w:rsid w:val="003B2430"/>
    <w:rsid w:val="003B3B72"/>
    <w:rsid w:val="003B574E"/>
    <w:rsid w:val="003B5990"/>
    <w:rsid w:val="003B6233"/>
    <w:rsid w:val="003C02F1"/>
    <w:rsid w:val="003C1D15"/>
    <w:rsid w:val="003C221E"/>
    <w:rsid w:val="003C2859"/>
    <w:rsid w:val="003C2B64"/>
    <w:rsid w:val="003C4AD3"/>
    <w:rsid w:val="003C4B87"/>
    <w:rsid w:val="003C6471"/>
    <w:rsid w:val="003C6E41"/>
    <w:rsid w:val="003D08A0"/>
    <w:rsid w:val="003D22FC"/>
    <w:rsid w:val="003D25F3"/>
    <w:rsid w:val="003D5009"/>
    <w:rsid w:val="003D5701"/>
    <w:rsid w:val="003D6F20"/>
    <w:rsid w:val="003D773E"/>
    <w:rsid w:val="003E010E"/>
    <w:rsid w:val="003E1120"/>
    <w:rsid w:val="003E2FB3"/>
    <w:rsid w:val="003E3EEB"/>
    <w:rsid w:val="003E4C15"/>
    <w:rsid w:val="003E4C67"/>
    <w:rsid w:val="003F09CC"/>
    <w:rsid w:val="003F3B2E"/>
    <w:rsid w:val="003F3C32"/>
    <w:rsid w:val="003F5A07"/>
    <w:rsid w:val="003F7A03"/>
    <w:rsid w:val="0040058C"/>
    <w:rsid w:val="004014F8"/>
    <w:rsid w:val="004021A7"/>
    <w:rsid w:val="004025FF"/>
    <w:rsid w:val="00403254"/>
    <w:rsid w:val="00403BAE"/>
    <w:rsid w:val="004058DD"/>
    <w:rsid w:val="00405E33"/>
    <w:rsid w:val="004064CA"/>
    <w:rsid w:val="00412949"/>
    <w:rsid w:val="0041541A"/>
    <w:rsid w:val="00415CEC"/>
    <w:rsid w:val="00416587"/>
    <w:rsid w:val="00416780"/>
    <w:rsid w:val="00416D17"/>
    <w:rsid w:val="004172EC"/>
    <w:rsid w:val="004204E1"/>
    <w:rsid w:val="0042229C"/>
    <w:rsid w:val="0042232C"/>
    <w:rsid w:val="00423A15"/>
    <w:rsid w:val="00424699"/>
    <w:rsid w:val="00424FA1"/>
    <w:rsid w:val="00425269"/>
    <w:rsid w:val="0042536F"/>
    <w:rsid w:val="0042698E"/>
    <w:rsid w:val="004276E7"/>
    <w:rsid w:val="004306B4"/>
    <w:rsid w:val="00430CBD"/>
    <w:rsid w:val="00430EBD"/>
    <w:rsid w:val="00430F47"/>
    <w:rsid w:val="00430FC6"/>
    <w:rsid w:val="004311D8"/>
    <w:rsid w:val="0043298B"/>
    <w:rsid w:val="004338EC"/>
    <w:rsid w:val="00434A70"/>
    <w:rsid w:val="00435BAC"/>
    <w:rsid w:val="0043660F"/>
    <w:rsid w:val="00436698"/>
    <w:rsid w:val="00436D45"/>
    <w:rsid w:val="004413CB"/>
    <w:rsid w:val="00442BA2"/>
    <w:rsid w:val="00443311"/>
    <w:rsid w:val="0044565F"/>
    <w:rsid w:val="00447597"/>
    <w:rsid w:val="0044774C"/>
    <w:rsid w:val="004505C1"/>
    <w:rsid w:val="0045064D"/>
    <w:rsid w:val="0045668E"/>
    <w:rsid w:val="004628E1"/>
    <w:rsid w:val="00463437"/>
    <w:rsid w:val="004651C7"/>
    <w:rsid w:val="0047002D"/>
    <w:rsid w:val="00470BAA"/>
    <w:rsid w:val="00471684"/>
    <w:rsid w:val="00472B8E"/>
    <w:rsid w:val="00472E96"/>
    <w:rsid w:val="00476293"/>
    <w:rsid w:val="00477197"/>
    <w:rsid w:val="0048047A"/>
    <w:rsid w:val="00481480"/>
    <w:rsid w:val="00482FD3"/>
    <w:rsid w:val="004856EE"/>
    <w:rsid w:val="00486659"/>
    <w:rsid w:val="00486AB5"/>
    <w:rsid w:val="00486D6F"/>
    <w:rsid w:val="004873AB"/>
    <w:rsid w:val="0049129C"/>
    <w:rsid w:val="0049131E"/>
    <w:rsid w:val="004916CD"/>
    <w:rsid w:val="00491741"/>
    <w:rsid w:val="00491A63"/>
    <w:rsid w:val="00493735"/>
    <w:rsid w:val="00495623"/>
    <w:rsid w:val="004959AF"/>
    <w:rsid w:val="004A0218"/>
    <w:rsid w:val="004A074D"/>
    <w:rsid w:val="004A1E3D"/>
    <w:rsid w:val="004A2373"/>
    <w:rsid w:val="004A25E1"/>
    <w:rsid w:val="004A36EC"/>
    <w:rsid w:val="004A41B1"/>
    <w:rsid w:val="004A6A69"/>
    <w:rsid w:val="004A79F0"/>
    <w:rsid w:val="004B07BE"/>
    <w:rsid w:val="004B18EA"/>
    <w:rsid w:val="004B1EEE"/>
    <w:rsid w:val="004B3540"/>
    <w:rsid w:val="004B35BF"/>
    <w:rsid w:val="004B6110"/>
    <w:rsid w:val="004B69D7"/>
    <w:rsid w:val="004B7A2F"/>
    <w:rsid w:val="004C00CE"/>
    <w:rsid w:val="004C06B5"/>
    <w:rsid w:val="004C1327"/>
    <w:rsid w:val="004C1A39"/>
    <w:rsid w:val="004C1DF9"/>
    <w:rsid w:val="004C1E1A"/>
    <w:rsid w:val="004C25B6"/>
    <w:rsid w:val="004C5ED9"/>
    <w:rsid w:val="004C6650"/>
    <w:rsid w:val="004C7309"/>
    <w:rsid w:val="004C7391"/>
    <w:rsid w:val="004C7B15"/>
    <w:rsid w:val="004D0F5A"/>
    <w:rsid w:val="004D1612"/>
    <w:rsid w:val="004D2FCD"/>
    <w:rsid w:val="004D4123"/>
    <w:rsid w:val="004D458D"/>
    <w:rsid w:val="004D46CB"/>
    <w:rsid w:val="004D54A5"/>
    <w:rsid w:val="004D5914"/>
    <w:rsid w:val="004D6401"/>
    <w:rsid w:val="004D72D2"/>
    <w:rsid w:val="004D735B"/>
    <w:rsid w:val="004D778E"/>
    <w:rsid w:val="004D7DFC"/>
    <w:rsid w:val="004E050A"/>
    <w:rsid w:val="004E1968"/>
    <w:rsid w:val="004E1D00"/>
    <w:rsid w:val="004E224F"/>
    <w:rsid w:val="004E22E0"/>
    <w:rsid w:val="004E3383"/>
    <w:rsid w:val="004E3FE0"/>
    <w:rsid w:val="004E4A2A"/>
    <w:rsid w:val="004E6F39"/>
    <w:rsid w:val="004E71B9"/>
    <w:rsid w:val="004F0058"/>
    <w:rsid w:val="004F005E"/>
    <w:rsid w:val="004F0854"/>
    <w:rsid w:val="004F1A80"/>
    <w:rsid w:val="004F2C7C"/>
    <w:rsid w:val="004F32F0"/>
    <w:rsid w:val="004F43DE"/>
    <w:rsid w:val="004F4FDE"/>
    <w:rsid w:val="004F5338"/>
    <w:rsid w:val="004F54A8"/>
    <w:rsid w:val="0050045B"/>
    <w:rsid w:val="00500461"/>
    <w:rsid w:val="00502EA3"/>
    <w:rsid w:val="00504E3B"/>
    <w:rsid w:val="0050563D"/>
    <w:rsid w:val="00506F10"/>
    <w:rsid w:val="00510653"/>
    <w:rsid w:val="005124EC"/>
    <w:rsid w:val="005141ED"/>
    <w:rsid w:val="00515B99"/>
    <w:rsid w:val="0051601C"/>
    <w:rsid w:val="005167C6"/>
    <w:rsid w:val="00517048"/>
    <w:rsid w:val="005229C8"/>
    <w:rsid w:val="00523D3E"/>
    <w:rsid w:val="00523DDE"/>
    <w:rsid w:val="00524678"/>
    <w:rsid w:val="005246DD"/>
    <w:rsid w:val="005249EE"/>
    <w:rsid w:val="005258E1"/>
    <w:rsid w:val="00525D5A"/>
    <w:rsid w:val="005322EC"/>
    <w:rsid w:val="005335A2"/>
    <w:rsid w:val="00533CE9"/>
    <w:rsid w:val="00533F1F"/>
    <w:rsid w:val="0053404A"/>
    <w:rsid w:val="005348BC"/>
    <w:rsid w:val="00535D03"/>
    <w:rsid w:val="00536DFA"/>
    <w:rsid w:val="005376FC"/>
    <w:rsid w:val="00537907"/>
    <w:rsid w:val="005403F3"/>
    <w:rsid w:val="005409A9"/>
    <w:rsid w:val="00540BD7"/>
    <w:rsid w:val="0054372A"/>
    <w:rsid w:val="00543EE8"/>
    <w:rsid w:val="00544321"/>
    <w:rsid w:val="00544956"/>
    <w:rsid w:val="005452C7"/>
    <w:rsid w:val="00546017"/>
    <w:rsid w:val="00550A98"/>
    <w:rsid w:val="00550CE9"/>
    <w:rsid w:val="005511E1"/>
    <w:rsid w:val="00551AB0"/>
    <w:rsid w:val="00551B93"/>
    <w:rsid w:val="00551BA1"/>
    <w:rsid w:val="00551BCA"/>
    <w:rsid w:val="00552A78"/>
    <w:rsid w:val="0055302A"/>
    <w:rsid w:val="00556503"/>
    <w:rsid w:val="005569F0"/>
    <w:rsid w:val="00556C24"/>
    <w:rsid w:val="005570EF"/>
    <w:rsid w:val="00557FCB"/>
    <w:rsid w:val="005610D0"/>
    <w:rsid w:val="00562ECD"/>
    <w:rsid w:val="00562EF3"/>
    <w:rsid w:val="005632D5"/>
    <w:rsid w:val="00563588"/>
    <w:rsid w:val="005674AF"/>
    <w:rsid w:val="005676F3"/>
    <w:rsid w:val="00567F99"/>
    <w:rsid w:val="00570135"/>
    <w:rsid w:val="00571985"/>
    <w:rsid w:val="00573A1B"/>
    <w:rsid w:val="005748D7"/>
    <w:rsid w:val="00575460"/>
    <w:rsid w:val="00576A27"/>
    <w:rsid w:val="00577BBE"/>
    <w:rsid w:val="00577C55"/>
    <w:rsid w:val="005804B0"/>
    <w:rsid w:val="0058073B"/>
    <w:rsid w:val="00581926"/>
    <w:rsid w:val="00582665"/>
    <w:rsid w:val="00582965"/>
    <w:rsid w:val="00582C91"/>
    <w:rsid w:val="00583F53"/>
    <w:rsid w:val="00584A53"/>
    <w:rsid w:val="005856AA"/>
    <w:rsid w:val="00585FC5"/>
    <w:rsid w:val="00587809"/>
    <w:rsid w:val="00587C1B"/>
    <w:rsid w:val="00587FF2"/>
    <w:rsid w:val="00590499"/>
    <w:rsid w:val="00590EB2"/>
    <w:rsid w:val="00591BD1"/>
    <w:rsid w:val="005940F4"/>
    <w:rsid w:val="00594EE2"/>
    <w:rsid w:val="005956B8"/>
    <w:rsid w:val="0059593E"/>
    <w:rsid w:val="00596E4A"/>
    <w:rsid w:val="00597B47"/>
    <w:rsid w:val="005A53DC"/>
    <w:rsid w:val="005A5509"/>
    <w:rsid w:val="005A57CC"/>
    <w:rsid w:val="005A58B9"/>
    <w:rsid w:val="005A65F9"/>
    <w:rsid w:val="005A68D5"/>
    <w:rsid w:val="005A6DDF"/>
    <w:rsid w:val="005B0CA9"/>
    <w:rsid w:val="005B17A7"/>
    <w:rsid w:val="005B1CE6"/>
    <w:rsid w:val="005B1DE2"/>
    <w:rsid w:val="005B43F9"/>
    <w:rsid w:val="005B45F4"/>
    <w:rsid w:val="005B4870"/>
    <w:rsid w:val="005B4ECC"/>
    <w:rsid w:val="005B5BC2"/>
    <w:rsid w:val="005B6B9A"/>
    <w:rsid w:val="005B722C"/>
    <w:rsid w:val="005B769E"/>
    <w:rsid w:val="005B7A60"/>
    <w:rsid w:val="005C0816"/>
    <w:rsid w:val="005C18BF"/>
    <w:rsid w:val="005C1CDE"/>
    <w:rsid w:val="005C27F5"/>
    <w:rsid w:val="005C3ADD"/>
    <w:rsid w:val="005C59F6"/>
    <w:rsid w:val="005C5A41"/>
    <w:rsid w:val="005C5AF0"/>
    <w:rsid w:val="005C69CF"/>
    <w:rsid w:val="005D207D"/>
    <w:rsid w:val="005D27AB"/>
    <w:rsid w:val="005D3D80"/>
    <w:rsid w:val="005D3F9C"/>
    <w:rsid w:val="005D4B8D"/>
    <w:rsid w:val="005D55BE"/>
    <w:rsid w:val="005D5663"/>
    <w:rsid w:val="005D662F"/>
    <w:rsid w:val="005D6724"/>
    <w:rsid w:val="005D7203"/>
    <w:rsid w:val="005D7AF7"/>
    <w:rsid w:val="005D7E81"/>
    <w:rsid w:val="005E1D66"/>
    <w:rsid w:val="005E447E"/>
    <w:rsid w:val="005E5A71"/>
    <w:rsid w:val="005E629B"/>
    <w:rsid w:val="005E6AED"/>
    <w:rsid w:val="005E6F59"/>
    <w:rsid w:val="005E7D5C"/>
    <w:rsid w:val="005F38BB"/>
    <w:rsid w:val="005F5787"/>
    <w:rsid w:val="005F578E"/>
    <w:rsid w:val="005F7A53"/>
    <w:rsid w:val="006008B4"/>
    <w:rsid w:val="00602106"/>
    <w:rsid w:val="0060553B"/>
    <w:rsid w:val="00605FEE"/>
    <w:rsid w:val="006100EA"/>
    <w:rsid w:val="006124CC"/>
    <w:rsid w:val="006135CD"/>
    <w:rsid w:val="00613CB6"/>
    <w:rsid w:val="00615C29"/>
    <w:rsid w:val="00615C38"/>
    <w:rsid w:val="00617385"/>
    <w:rsid w:val="0061771E"/>
    <w:rsid w:val="00617FA2"/>
    <w:rsid w:val="006201FF"/>
    <w:rsid w:val="00620FD9"/>
    <w:rsid w:val="00621375"/>
    <w:rsid w:val="00622E0D"/>
    <w:rsid w:val="0062452D"/>
    <w:rsid w:val="00624B68"/>
    <w:rsid w:val="0062514C"/>
    <w:rsid w:val="00625E0A"/>
    <w:rsid w:val="006262E9"/>
    <w:rsid w:val="0062653B"/>
    <w:rsid w:val="006270A4"/>
    <w:rsid w:val="006300F0"/>
    <w:rsid w:val="00631517"/>
    <w:rsid w:val="00631525"/>
    <w:rsid w:val="00631651"/>
    <w:rsid w:val="00632559"/>
    <w:rsid w:val="00632F57"/>
    <w:rsid w:val="00633134"/>
    <w:rsid w:val="0063375F"/>
    <w:rsid w:val="006352DF"/>
    <w:rsid w:val="00642AAC"/>
    <w:rsid w:val="00646241"/>
    <w:rsid w:val="00646835"/>
    <w:rsid w:val="00646A93"/>
    <w:rsid w:val="00647428"/>
    <w:rsid w:val="00650B53"/>
    <w:rsid w:val="00651981"/>
    <w:rsid w:val="00651D96"/>
    <w:rsid w:val="006523AC"/>
    <w:rsid w:val="006525AA"/>
    <w:rsid w:val="00656B10"/>
    <w:rsid w:val="00660F0C"/>
    <w:rsid w:val="00661279"/>
    <w:rsid w:val="006626EC"/>
    <w:rsid w:val="00663053"/>
    <w:rsid w:val="006653AB"/>
    <w:rsid w:val="00665A27"/>
    <w:rsid w:val="006660AE"/>
    <w:rsid w:val="006668A4"/>
    <w:rsid w:val="00672FE7"/>
    <w:rsid w:val="006739D2"/>
    <w:rsid w:val="00673AD7"/>
    <w:rsid w:val="006761DF"/>
    <w:rsid w:val="0067720C"/>
    <w:rsid w:val="00680197"/>
    <w:rsid w:val="0068197A"/>
    <w:rsid w:val="00681AD2"/>
    <w:rsid w:val="0068233D"/>
    <w:rsid w:val="006825C5"/>
    <w:rsid w:val="00684BCD"/>
    <w:rsid w:val="006856D7"/>
    <w:rsid w:val="00685C2D"/>
    <w:rsid w:val="006862DD"/>
    <w:rsid w:val="006871DE"/>
    <w:rsid w:val="00690212"/>
    <w:rsid w:val="0069091B"/>
    <w:rsid w:val="00691B3B"/>
    <w:rsid w:val="00692540"/>
    <w:rsid w:val="006925F9"/>
    <w:rsid w:val="006935DC"/>
    <w:rsid w:val="0069429B"/>
    <w:rsid w:val="00694686"/>
    <w:rsid w:val="0069469D"/>
    <w:rsid w:val="006966C0"/>
    <w:rsid w:val="006970F2"/>
    <w:rsid w:val="00697B11"/>
    <w:rsid w:val="006A0032"/>
    <w:rsid w:val="006A07AF"/>
    <w:rsid w:val="006A187C"/>
    <w:rsid w:val="006A1D0A"/>
    <w:rsid w:val="006A2AA7"/>
    <w:rsid w:val="006A2E93"/>
    <w:rsid w:val="006A3F75"/>
    <w:rsid w:val="006A4220"/>
    <w:rsid w:val="006A44C0"/>
    <w:rsid w:val="006A4EDB"/>
    <w:rsid w:val="006A7661"/>
    <w:rsid w:val="006B00BC"/>
    <w:rsid w:val="006B044B"/>
    <w:rsid w:val="006B07C5"/>
    <w:rsid w:val="006B0EEC"/>
    <w:rsid w:val="006B0F4C"/>
    <w:rsid w:val="006B2C20"/>
    <w:rsid w:val="006B32E4"/>
    <w:rsid w:val="006B39B1"/>
    <w:rsid w:val="006B4164"/>
    <w:rsid w:val="006B486D"/>
    <w:rsid w:val="006B4A7B"/>
    <w:rsid w:val="006B5F7B"/>
    <w:rsid w:val="006B749A"/>
    <w:rsid w:val="006C1B8A"/>
    <w:rsid w:val="006C45FD"/>
    <w:rsid w:val="006C5515"/>
    <w:rsid w:val="006C5E99"/>
    <w:rsid w:val="006C6DFE"/>
    <w:rsid w:val="006C7264"/>
    <w:rsid w:val="006C7542"/>
    <w:rsid w:val="006D06C5"/>
    <w:rsid w:val="006D1176"/>
    <w:rsid w:val="006D19A3"/>
    <w:rsid w:val="006D2146"/>
    <w:rsid w:val="006D3381"/>
    <w:rsid w:val="006D34D6"/>
    <w:rsid w:val="006D38F8"/>
    <w:rsid w:val="006D3C64"/>
    <w:rsid w:val="006D5E84"/>
    <w:rsid w:val="006D5FE1"/>
    <w:rsid w:val="006D6063"/>
    <w:rsid w:val="006D7085"/>
    <w:rsid w:val="006D784F"/>
    <w:rsid w:val="006D7CB6"/>
    <w:rsid w:val="006E0743"/>
    <w:rsid w:val="006E0815"/>
    <w:rsid w:val="006E2387"/>
    <w:rsid w:val="006E2673"/>
    <w:rsid w:val="006E3A77"/>
    <w:rsid w:val="006E3E43"/>
    <w:rsid w:val="006E4A36"/>
    <w:rsid w:val="006E6CFE"/>
    <w:rsid w:val="006F0135"/>
    <w:rsid w:val="006F0C29"/>
    <w:rsid w:val="006F0D45"/>
    <w:rsid w:val="006F15B9"/>
    <w:rsid w:val="006F1740"/>
    <w:rsid w:val="006F1ACD"/>
    <w:rsid w:val="006F4BE8"/>
    <w:rsid w:val="006F614B"/>
    <w:rsid w:val="006F62B8"/>
    <w:rsid w:val="006F6333"/>
    <w:rsid w:val="006F66A3"/>
    <w:rsid w:val="006F78CE"/>
    <w:rsid w:val="006F7AFF"/>
    <w:rsid w:val="006F7F98"/>
    <w:rsid w:val="0070071C"/>
    <w:rsid w:val="00701769"/>
    <w:rsid w:val="00701BE8"/>
    <w:rsid w:val="00702BDA"/>
    <w:rsid w:val="00703450"/>
    <w:rsid w:val="007038B4"/>
    <w:rsid w:val="007049CD"/>
    <w:rsid w:val="00705106"/>
    <w:rsid w:val="0070579F"/>
    <w:rsid w:val="00706228"/>
    <w:rsid w:val="0070634B"/>
    <w:rsid w:val="00706D3E"/>
    <w:rsid w:val="00710C8A"/>
    <w:rsid w:val="00710CFC"/>
    <w:rsid w:val="0071113A"/>
    <w:rsid w:val="00712A9A"/>
    <w:rsid w:val="0071388D"/>
    <w:rsid w:val="00713A02"/>
    <w:rsid w:val="00713DDE"/>
    <w:rsid w:val="00714C71"/>
    <w:rsid w:val="00715651"/>
    <w:rsid w:val="007159BF"/>
    <w:rsid w:val="00715EFC"/>
    <w:rsid w:val="00716010"/>
    <w:rsid w:val="00716202"/>
    <w:rsid w:val="007174AA"/>
    <w:rsid w:val="007210F0"/>
    <w:rsid w:val="00722B19"/>
    <w:rsid w:val="00723DD6"/>
    <w:rsid w:val="0072412B"/>
    <w:rsid w:val="00725D08"/>
    <w:rsid w:val="00725DCD"/>
    <w:rsid w:val="00726FEB"/>
    <w:rsid w:val="0072708F"/>
    <w:rsid w:val="00730E49"/>
    <w:rsid w:val="0073556E"/>
    <w:rsid w:val="0073591C"/>
    <w:rsid w:val="00736050"/>
    <w:rsid w:val="00736F73"/>
    <w:rsid w:val="00737C4B"/>
    <w:rsid w:val="00741687"/>
    <w:rsid w:val="00741AAF"/>
    <w:rsid w:val="00742C09"/>
    <w:rsid w:val="00746165"/>
    <w:rsid w:val="007464B5"/>
    <w:rsid w:val="00747B23"/>
    <w:rsid w:val="00747C8D"/>
    <w:rsid w:val="00751515"/>
    <w:rsid w:val="00751DA9"/>
    <w:rsid w:val="007521E8"/>
    <w:rsid w:val="00752445"/>
    <w:rsid w:val="007530C8"/>
    <w:rsid w:val="0075380A"/>
    <w:rsid w:val="00754324"/>
    <w:rsid w:val="007561E0"/>
    <w:rsid w:val="00756787"/>
    <w:rsid w:val="007603E8"/>
    <w:rsid w:val="00761F94"/>
    <w:rsid w:val="007626DF"/>
    <w:rsid w:val="007637AE"/>
    <w:rsid w:val="00763E7C"/>
    <w:rsid w:val="0076515F"/>
    <w:rsid w:val="0076649B"/>
    <w:rsid w:val="0076675A"/>
    <w:rsid w:val="007668BA"/>
    <w:rsid w:val="00767580"/>
    <w:rsid w:val="00770826"/>
    <w:rsid w:val="00770A10"/>
    <w:rsid w:val="007715C9"/>
    <w:rsid w:val="007724FA"/>
    <w:rsid w:val="00773C8D"/>
    <w:rsid w:val="00775279"/>
    <w:rsid w:val="007770D8"/>
    <w:rsid w:val="00783A0A"/>
    <w:rsid w:val="00786093"/>
    <w:rsid w:val="00787683"/>
    <w:rsid w:val="00787FAC"/>
    <w:rsid w:val="00791540"/>
    <w:rsid w:val="00793F4F"/>
    <w:rsid w:val="0079581E"/>
    <w:rsid w:val="00796151"/>
    <w:rsid w:val="007A224E"/>
    <w:rsid w:val="007A429D"/>
    <w:rsid w:val="007A454F"/>
    <w:rsid w:val="007A6909"/>
    <w:rsid w:val="007B0ED5"/>
    <w:rsid w:val="007B12CE"/>
    <w:rsid w:val="007B1F9E"/>
    <w:rsid w:val="007B2881"/>
    <w:rsid w:val="007B3239"/>
    <w:rsid w:val="007B3CDB"/>
    <w:rsid w:val="007B4BE9"/>
    <w:rsid w:val="007B5494"/>
    <w:rsid w:val="007B5A13"/>
    <w:rsid w:val="007B5E65"/>
    <w:rsid w:val="007B7EBA"/>
    <w:rsid w:val="007B7F3D"/>
    <w:rsid w:val="007C0CB8"/>
    <w:rsid w:val="007C1E6A"/>
    <w:rsid w:val="007C3132"/>
    <w:rsid w:val="007C43B8"/>
    <w:rsid w:val="007C6A1A"/>
    <w:rsid w:val="007C6B61"/>
    <w:rsid w:val="007C7FBC"/>
    <w:rsid w:val="007D17D3"/>
    <w:rsid w:val="007D1A50"/>
    <w:rsid w:val="007D1F66"/>
    <w:rsid w:val="007D31CC"/>
    <w:rsid w:val="007D3384"/>
    <w:rsid w:val="007D3DBD"/>
    <w:rsid w:val="007D6BC6"/>
    <w:rsid w:val="007E0CE7"/>
    <w:rsid w:val="007E0E75"/>
    <w:rsid w:val="007E282F"/>
    <w:rsid w:val="007E4325"/>
    <w:rsid w:val="007E4B2D"/>
    <w:rsid w:val="007E5790"/>
    <w:rsid w:val="007E79B5"/>
    <w:rsid w:val="007F0B24"/>
    <w:rsid w:val="007F0FDF"/>
    <w:rsid w:val="007F21F1"/>
    <w:rsid w:val="007F299C"/>
    <w:rsid w:val="007F29E5"/>
    <w:rsid w:val="007F2DBD"/>
    <w:rsid w:val="007F446A"/>
    <w:rsid w:val="007F5CC7"/>
    <w:rsid w:val="007F6ADC"/>
    <w:rsid w:val="007F6C49"/>
    <w:rsid w:val="007F6C6E"/>
    <w:rsid w:val="007F782D"/>
    <w:rsid w:val="007F7C8B"/>
    <w:rsid w:val="00800B8E"/>
    <w:rsid w:val="00801157"/>
    <w:rsid w:val="008024C8"/>
    <w:rsid w:val="008026B5"/>
    <w:rsid w:val="00803711"/>
    <w:rsid w:val="00803EDE"/>
    <w:rsid w:val="0080540F"/>
    <w:rsid w:val="00807721"/>
    <w:rsid w:val="008103C4"/>
    <w:rsid w:val="00811ADE"/>
    <w:rsid w:val="00812B06"/>
    <w:rsid w:val="00813FA3"/>
    <w:rsid w:val="00815BB8"/>
    <w:rsid w:val="008171A9"/>
    <w:rsid w:val="00820320"/>
    <w:rsid w:val="0082063A"/>
    <w:rsid w:val="00821907"/>
    <w:rsid w:val="00827296"/>
    <w:rsid w:val="00827DB6"/>
    <w:rsid w:val="00830317"/>
    <w:rsid w:val="00831792"/>
    <w:rsid w:val="00831830"/>
    <w:rsid w:val="00831D46"/>
    <w:rsid w:val="008327AD"/>
    <w:rsid w:val="008337BA"/>
    <w:rsid w:val="008343E7"/>
    <w:rsid w:val="00834A61"/>
    <w:rsid w:val="00835B5F"/>
    <w:rsid w:val="00837498"/>
    <w:rsid w:val="00840018"/>
    <w:rsid w:val="00840708"/>
    <w:rsid w:val="00841619"/>
    <w:rsid w:val="00842AB9"/>
    <w:rsid w:val="00843880"/>
    <w:rsid w:val="00843A8A"/>
    <w:rsid w:val="00844EC5"/>
    <w:rsid w:val="008450DB"/>
    <w:rsid w:val="00846CC9"/>
    <w:rsid w:val="00847060"/>
    <w:rsid w:val="00847198"/>
    <w:rsid w:val="008474D8"/>
    <w:rsid w:val="00851094"/>
    <w:rsid w:val="00851CD5"/>
    <w:rsid w:val="00851CE8"/>
    <w:rsid w:val="0085216B"/>
    <w:rsid w:val="00852993"/>
    <w:rsid w:val="00852FFD"/>
    <w:rsid w:val="00853DC2"/>
    <w:rsid w:val="008544D1"/>
    <w:rsid w:val="0085451D"/>
    <w:rsid w:val="008553BA"/>
    <w:rsid w:val="00855412"/>
    <w:rsid w:val="008557A0"/>
    <w:rsid w:val="00863529"/>
    <w:rsid w:val="00865D04"/>
    <w:rsid w:val="00867883"/>
    <w:rsid w:val="00867C46"/>
    <w:rsid w:val="008700C1"/>
    <w:rsid w:val="0087175C"/>
    <w:rsid w:val="008727C6"/>
    <w:rsid w:val="00874CBF"/>
    <w:rsid w:val="00876788"/>
    <w:rsid w:val="00876CA0"/>
    <w:rsid w:val="00877A1D"/>
    <w:rsid w:val="00877FA2"/>
    <w:rsid w:val="00880A8E"/>
    <w:rsid w:val="00880E89"/>
    <w:rsid w:val="00881217"/>
    <w:rsid w:val="0088149D"/>
    <w:rsid w:val="0088195A"/>
    <w:rsid w:val="0088235A"/>
    <w:rsid w:val="008823BC"/>
    <w:rsid w:val="00882546"/>
    <w:rsid w:val="00882841"/>
    <w:rsid w:val="0088333C"/>
    <w:rsid w:val="00883F9C"/>
    <w:rsid w:val="00885069"/>
    <w:rsid w:val="00885BD4"/>
    <w:rsid w:val="00885FF4"/>
    <w:rsid w:val="00891A32"/>
    <w:rsid w:val="008924F6"/>
    <w:rsid w:val="00894DE5"/>
    <w:rsid w:val="00895514"/>
    <w:rsid w:val="00895579"/>
    <w:rsid w:val="00895946"/>
    <w:rsid w:val="00896148"/>
    <w:rsid w:val="0089707D"/>
    <w:rsid w:val="008972B9"/>
    <w:rsid w:val="008A19C2"/>
    <w:rsid w:val="008A23A9"/>
    <w:rsid w:val="008A2D3D"/>
    <w:rsid w:val="008A3B55"/>
    <w:rsid w:val="008A3CCD"/>
    <w:rsid w:val="008A3DE4"/>
    <w:rsid w:val="008A5672"/>
    <w:rsid w:val="008A6840"/>
    <w:rsid w:val="008A6E5B"/>
    <w:rsid w:val="008B0522"/>
    <w:rsid w:val="008B21E9"/>
    <w:rsid w:val="008B3931"/>
    <w:rsid w:val="008B3B33"/>
    <w:rsid w:val="008B4C9C"/>
    <w:rsid w:val="008B7D44"/>
    <w:rsid w:val="008C1377"/>
    <w:rsid w:val="008C1B55"/>
    <w:rsid w:val="008C2779"/>
    <w:rsid w:val="008C2C02"/>
    <w:rsid w:val="008C45E6"/>
    <w:rsid w:val="008D1BFD"/>
    <w:rsid w:val="008D37FC"/>
    <w:rsid w:val="008D41EA"/>
    <w:rsid w:val="008D4A27"/>
    <w:rsid w:val="008D66DB"/>
    <w:rsid w:val="008D6CD5"/>
    <w:rsid w:val="008D7155"/>
    <w:rsid w:val="008D78F1"/>
    <w:rsid w:val="008E0BAF"/>
    <w:rsid w:val="008E2E05"/>
    <w:rsid w:val="008E4769"/>
    <w:rsid w:val="008E4AFD"/>
    <w:rsid w:val="008E5673"/>
    <w:rsid w:val="008E59DE"/>
    <w:rsid w:val="008E5E79"/>
    <w:rsid w:val="008E7880"/>
    <w:rsid w:val="008F0BD8"/>
    <w:rsid w:val="008F1A73"/>
    <w:rsid w:val="008F387E"/>
    <w:rsid w:val="008F5B3E"/>
    <w:rsid w:val="008F5CF3"/>
    <w:rsid w:val="008F60D1"/>
    <w:rsid w:val="008F6F3B"/>
    <w:rsid w:val="008F7BAF"/>
    <w:rsid w:val="0090017A"/>
    <w:rsid w:val="0090143B"/>
    <w:rsid w:val="009040C8"/>
    <w:rsid w:val="00904B63"/>
    <w:rsid w:val="00905D07"/>
    <w:rsid w:val="00907FAA"/>
    <w:rsid w:val="0091056C"/>
    <w:rsid w:val="00910E12"/>
    <w:rsid w:val="009111B5"/>
    <w:rsid w:val="009111F2"/>
    <w:rsid w:val="00911CE2"/>
    <w:rsid w:val="00912517"/>
    <w:rsid w:val="009125FC"/>
    <w:rsid w:val="009151DE"/>
    <w:rsid w:val="00916A55"/>
    <w:rsid w:val="009175DC"/>
    <w:rsid w:val="00921AC6"/>
    <w:rsid w:val="009221B6"/>
    <w:rsid w:val="00923C7F"/>
    <w:rsid w:val="009241BC"/>
    <w:rsid w:val="00926230"/>
    <w:rsid w:val="00926D65"/>
    <w:rsid w:val="00931ABC"/>
    <w:rsid w:val="00931F60"/>
    <w:rsid w:val="0093242E"/>
    <w:rsid w:val="00933B75"/>
    <w:rsid w:val="00934902"/>
    <w:rsid w:val="009354DC"/>
    <w:rsid w:val="00935939"/>
    <w:rsid w:val="00937B45"/>
    <w:rsid w:val="0094069A"/>
    <w:rsid w:val="009406CD"/>
    <w:rsid w:val="00941043"/>
    <w:rsid w:val="009439CE"/>
    <w:rsid w:val="00944D45"/>
    <w:rsid w:val="009461EA"/>
    <w:rsid w:val="009478C1"/>
    <w:rsid w:val="0095152D"/>
    <w:rsid w:val="009527A2"/>
    <w:rsid w:val="009536FF"/>
    <w:rsid w:val="00954D8D"/>
    <w:rsid w:val="00956AE1"/>
    <w:rsid w:val="00960373"/>
    <w:rsid w:val="00960A32"/>
    <w:rsid w:val="009632E5"/>
    <w:rsid w:val="00964CEA"/>
    <w:rsid w:val="0096642B"/>
    <w:rsid w:val="00967C70"/>
    <w:rsid w:val="00967E84"/>
    <w:rsid w:val="00970149"/>
    <w:rsid w:val="009704E2"/>
    <w:rsid w:val="00975A0E"/>
    <w:rsid w:val="00975DCA"/>
    <w:rsid w:val="00976456"/>
    <w:rsid w:val="00976B21"/>
    <w:rsid w:val="00980401"/>
    <w:rsid w:val="009804CC"/>
    <w:rsid w:val="00980EA3"/>
    <w:rsid w:val="009825BE"/>
    <w:rsid w:val="00982769"/>
    <w:rsid w:val="009857E0"/>
    <w:rsid w:val="00986435"/>
    <w:rsid w:val="009876B9"/>
    <w:rsid w:val="00987923"/>
    <w:rsid w:val="009901D9"/>
    <w:rsid w:val="00992266"/>
    <w:rsid w:val="00992380"/>
    <w:rsid w:val="00996090"/>
    <w:rsid w:val="00997496"/>
    <w:rsid w:val="009A0F23"/>
    <w:rsid w:val="009A39DE"/>
    <w:rsid w:val="009A5B2F"/>
    <w:rsid w:val="009A6B06"/>
    <w:rsid w:val="009A6D70"/>
    <w:rsid w:val="009A6F5F"/>
    <w:rsid w:val="009A78C3"/>
    <w:rsid w:val="009A7A46"/>
    <w:rsid w:val="009B0450"/>
    <w:rsid w:val="009B086A"/>
    <w:rsid w:val="009B0CD9"/>
    <w:rsid w:val="009B0F1A"/>
    <w:rsid w:val="009B12B7"/>
    <w:rsid w:val="009B1E31"/>
    <w:rsid w:val="009B2DB3"/>
    <w:rsid w:val="009B2E1F"/>
    <w:rsid w:val="009B4768"/>
    <w:rsid w:val="009B5A69"/>
    <w:rsid w:val="009B5B95"/>
    <w:rsid w:val="009B740C"/>
    <w:rsid w:val="009B760F"/>
    <w:rsid w:val="009C017E"/>
    <w:rsid w:val="009C0A6E"/>
    <w:rsid w:val="009C0F41"/>
    <w:rsid w:val="009C1D28"/>
    <w:rsid w:val="009C2297"/>
    <w:rsid w:val="009C3EAD"/>
    <w:rsid w:val="009C6278"/>
    <w:rsid w:val="009C647D"/>
    <w:rsid w:val="009C7EC5"/>
    <w:rsid w:val="009D0082"/>
    <w:rsid w:val="009D067F"/>
    <w:rsid w:val="009D0A49"/>
    <w:rsid w:val="009D2B96"/>
    <w:rsid w:val="009D32A5"/>
    <w:rsid w:val="009D47CC"/>
    <w:rsid w:val="009D525A"/>
    <w:rsid w:val="009D5C4B"/>
    <w:rsid w:val="009E398E"/>
    <w:rsid w:val="009E3EFD"/>
    <w:rsid w:val="009E5282"/>
    <w:rsid w:val="009E6C75"/>
    <w:rsid w:val="009E6DA5"/>
    <w:rsid w:val="009E6EFE"/>
    <w:rsid w:val="009E767A"/>
    <w:rsid w:val="009E7AC5"/>
    <w:rsid w:val="009E7E5D"/>
    <w:rsid w:val="009F01AC"/>
    <w:rsid w:val="009F0C31"/>
    <w:rsid w:val="009F3DD8"/>
    <w:rsid w:val="009F4056"/>
    <w:rsid w:val="009F79A3"/>
    <w:rsid w:val="00A019FE"/>
    <w:rsid w:val="00A033BD"/>
    <w:rsid w:val="00A0377F"/>
    <w:rsid w:val="00A04208"/>
    <w:rsid w:val="00A043F4"/>
    <w:rsid w:val="00A05675"/>
    <w:rsid w:val="00A075F5"/>
    <w:rsid w:val="00A077EB"/>
    <w:rsid w:val="00A10D1E"/>
    <w:rsid w:val="00A10D50"/>
    <w:rsid w:val="00A11980"/>
    <w:rsid w:val="00A11A30"/>
    <w:rsid w:val="00A122DF"/>
    <w:rsid w:val="00A124FB"/>
    <w:rsid w:val="00A12A64"/>
    <w:rsid w:val="00A131AA"/>
    <w:rsid w:val="00A178BC"/>
    <w:rsid w:val="00A21BF9"/>
    <w:rsid w:val="00A2458F"/>
    <w:rsid w:val="00A25A2E"/>
    <w:rsid w:val="00A25F24"/>
    <w:rsid w:val="00A26CFD"/>
    <w:rsid w:val="00A32523"/>
    <w:rsid w:val="00A328B0"/>
    <w:rsid w:val="00A345B9"/>
    <w:rsid w:val="00A3479A"/>
    <w:rsid w:val="00A34E95"/>
    <w:rsid w:val="00A40160"/>
    <w:rsid w:val="00A43880"/>
    <w:rsid w:val="00A438DA"/>
    <w:rsid w:val="00A441FB"/>
    <w:rsid w:val="00A448B8"/>
    <w:rsid w:val="00A46ADB"/>
    <w:rsid w:val="00A46B8D"/>
    <w:rsid w:val="00A471FA"/>
    <w:rsid w:val="00A472F6"/>
    <w:rsid w:val="00A50A42"/>
    <w:rsid w:val="00A51C6D"/>
    <w:rsid w:val="00A52251"/>
    <w:rsid w:val="00A527F9"/>
    <w:rsid w:val="00A52D1C"/>
    <w:rsid w:val="00A53295"/>
    <w:rsid w:val="00A5763A"/>
    <w:rsid w:val="00A61184"/>
    <w:rsid w:val="00A61500"/>
    <w:rsid w:val="00A62536"/>
    <w:rsid w:val="00A626AF"/>
    <w:rsid w:val="00A6396B"/>
    <w:rsid w:val="00A66DAE"/>
    <w:rsid w:val="00A67E98"/>
    <w:rsid w:val="00A67F95"/>
    <w:rsid w:val="00A702BF"/>
    <w:rsid w:val="00A735BD"/>
    <w:rsid w:val="00A738C5"/>
    <w:rsid w:val="00A74BB6"/>
    <w:rsid w:val="00A7532B"/>
    <w:rsid w:val="00A76333"/>
    <w:rsid w:val="00A777F5"/>
    <w:rsid w:val="00A77BB1"/>
    <w:rsid w:val="00A821CE"/>
    <w:rsid w:val="00A826AE"/>
    <w:rsid w:val="00A838D2"/>
    <w:rsid w:val="00A83B80"/>
    <w:rsid w:val="00A8571E"/>
    <w:rsid w:val="00A869A3"/>
    <w:rsid w:val="00A870CD"/>
    <w:rsid w:val="00A87855"/>
    <w:rsid w:val="00A87A23"/>
    <w:rsid w:val="00A87C6C"/>
    <w:rsid w:val="00A906EE"/>
    <w:rsid w:val="00A9158C"/>
    <w:rsid w:val="00A9376A"/>
    <w:rsid w:val="00A93EE6"/>
    <w:rsid w:val="00A96A4D"/>
    <w:rsid w:val="00AA0385"/>
    <w:rsid w:val="00AA0731"/>
    <w:rsid w:val="00AA09E4"/>
    <w:rsid w:val="00AA1E39"/>
    <w:rsid w:val="00AA4D16"/>
    <w:rsid w:val="00AA5444"/>
    <w:rsid w:val="00AA5E22"/>
    <w:rsid w:val="00AA6588"/>
    <w:rsid w:val="00AA6674"/>
    <w:rsid w:val="00AA75C6"/>
    <w:rsid w:val="00AA78D1"/>
    <w:rsid w:val="00AB00BC"/>
    <w:rsid w:val="00AB03D8"/>
    <w:rsid w:val="00AB0F01"/>
    <w:rsid w:val="00AB2507"/>
    <w:rsid w:val="00AB25C6"/>
    <w:rsid w:val="00AB2C60"/>
    <w:rsid w:val="00AB317D"/>
    <w:rsid w:val="00AB36D9"/>
    <w:rsid w:val="00AB3A64"/>
    <w:rsid w:val="00AB4F00"/>
    <w:rsid w:val="00AB6D82"/>
    <w:rsid w:val="00AB6F2A"/>
    <w:rsid w:val="00AB7942"/>
    <w:rsid w:val="00AC2CDD"/>
    <w:rsid w:val="00AC2F6F"/>
    <w:rsid w:val="00AC314B"/>
    <w:rsid w:val="00AC31AF"/>
    <w:rsid w:val="00AC4F7D"/>
    <w:rsid w:val="00AC5805"/>
    <w:rsid w:val="00AC610E"/>
    <w:rsid w:val="00AC6600"/>
    <w:rsid w:val="00AC7886"/>
    <w:rsid w:val="00AC7EF1"/>
    <w:rsid w:val="00AD0389"/>
    <w:rsid w:val="00AD061E"/>
    <w:rsid w:val="00AD148E"/>
    <w:rsid w:val="00AD2511"/>
    <w:rsid w:val="00AD43A1"/>
    <w:rsid w:val="00AD4576"/>
    <w:rsid w:val="00AD50C5"/>
    <w:rsid w:val="00AD602D"/>
    <w:rsid w:val="00AD6606"/>
    <w:rsid w:val="00AD72ED"/>
    <w:rsid w:val="00AD7F09"/>
    <w:rsid w:val="00AE0E6A"/>
    <w:rsid w:val="00AE1610"/>
    <w:rsid w:val="00AE17D0"/>
    <w:rsid w:val="00AE3CF2"/>
    <w:rsid w:val="00AE502B"/>
    <w:rsid w:val="00AE6CFC"/>
    <w:rsid w:val="00AE74B5"/>
    <w:rsid w:val="00AF26E9"/>
    <w:rsid w:val="00AF2E12"/>
    <w:rsid w:val="00AF5B3B"/>
    <w:rsid w:val="00AF6E17"/>
    <w:rsid w:val="00AF7D67"/>
    <w:rsid w:val="00B008C1"/>
    <w:rsid w:val="00B00D95"/>
    <w:rsid w:val="00B00DC0"/>
    <w:rsid w:val="00B01F7C"/>
    <w:rsid w:val="00B0412E"/>
    <w:rsid w:val="00B04CF8"/>
    <w:rsid w:val="00B0589F"/>
    <w:rsid w:val="00B05A66"/>
    <w:rsid w:val="00B063C5"/>
    <w:rsid w:val="00B066C8"/>
    <w:rsid w:val="00B06ACC"/>
    <w:rsid w:val="00B15881"/>
    <w:rsid w:val="00B15930"/>
    <w:rsid w:val="00B16729"/>
    <w:rsid w:val="00B1685E"/>
    <w:rsid w:val="00B21773"/>
    <w:rsid w:val="00B21995"/>
    <w:rsid w:val="00B21F21"/>
    <w:rsid w:val="00B25CED"/>
    <w:rsid w:val="00B27846"/>
    <w:rsid w:val="00B27C47"/>
    <w:rsid w:val="00B321C7"/>
    <w:rsid w:val="00B3460A"/>
    <w:rsid w:val="00B34A61"/>
    <w:rsid w:val="00B358DB"/>
    <w:rsid w:val="00B36AF6"/>
    <w:rsid w:val="00B36E38"/>
    <w:rsid w:val="00B36FA1"/>
    <w:rsid w:val="00B4086F"/>
    <w:rsid w:val="00B40A7A"/>
    <w:rsid w:val="00B4500F"/>
    <w:rsid w:val="00B47FC8"/>
    <w:rsid w:val="00B50008"/>
    <w:rsid w:val="00B50E36"/>
    <w:rsid w:val="00B5145D"/>
    <w:rsid w:val="00B516B5"/>
    <w:rsid w:val="00B521F3"/>
    <w:rsid w:val="00B546AA"/>
    <w:rsid w:val="00B54903"/>
    <w:rsid w:val="00B56027"/>
    <w:rsid w:val="00B57704"/>
    <w:rsid w:val="00B609EE"/>
    <w:rsid w:val="00B60A40"/>
    <w:rsid w:val="00B61DF3"/>
    <w:rsid w:val="00B636CE"/>
    <w:rsid w:val="00B664C7"/>
    <w:rsid w:val="00B6689C"/>
    <w:rsid w:val="00B66C54"/>
    <w:rsid w:val="00B7021C"/>
    <w:rsid w:val="00B71004"/>
    <w:rsid w:val="00B713EF"/>
    <w:rsid w:val="00B72286"/>
    <w:rsid w:val="00B722DF"/>
    <w:rsid w:val="00B75065"/>
    <w:rsid w:val="00B753E2"/>
    <w:rsid w:val="00B7549D"/>
    <w:rsid w:val="00B75B14"/>
    <w:rsid w:val="00B76161"/>
    <w:rsid w:val="00B7646F"/>
    <w:rsid w:val="00B779B9"/>
    <w:rsid w:val="00B80AFD"/>
    <w:rsid w:val="00B8156A"/>
    <w:rsid w:val="00B8403E"/>
    <w:rsid w:val="00B847C9"/>
    <w:rsid w:val="00B8494C"/>
    <w:rsid w:val="00B86136"/>
    <w:rsid w:val="00B86366"/>
    <w:rsid w:val="00B86A7D"/>
    <w:rsid w:val="00B91009"/>
    <w:rsid w:val="00B914D1"/>
    <w:rsid w:val="00B921DF"/>
    <w:rsid w:val="00B926E6"/>
    <w:rsid w:val="00B937FF"/>
    <w:rsid w:val="00B959DB"/>
    <w:rsid w:val="00B95C35"/>
    <w:rsid w:val="00B9643C"/>
    <w:rsid w:val="00B96D7C"/>
    <w:rsid w:val="00B97651"/>
    <w:rsid w:val="00BA194D"/>
    <w:rsid w:val="00BA2DB3"/>
    <w:rsid w:val="00BA470D"/>
    <w:rsid w:val="00BA47CA"/>
    <w:rsid w:val="00BA4EE3"/>
    <w:rsid w:val="00BA56FB"/>
    <w:rsid w:val="00BA5875"/>
    <w:rsid w:val="00BA620E"/>
    <w:rsid w:val="00BA66BB"/>
    <w:rsid w:val="00BA6BD0"/>
    <w:rsid w:val="00BA6C1E"/>
    <w:rsid w:val="00BA6CC3"/>
    <w:rsid w:val="00BA6D28"/>
    <w:rsid w:val="00BA7E87"/>
    <w:rsid w:val="00BB0BBB"/>
    <w:rsid w:val="00BB15B3"/>
    <w:rsid w:val="00BB1C88"/>
    <w:rsid w:val="00BB1FB0"/>
    <w:rsid w:val="00BB25EB"/>
    <w:rsid w:val="00BB3C96"/>
    <w:rsid w:val="00BB59A0"/>
    <w:rsid w:val="00BB6422"/>
    <w:rsid w:val="00BC1606"/>
    <w:rsid w:val="00BC20CD"/>
    <w:rsid w:val="00BC290E"/>
    <w:rsid w:val="00BC3480"/>
    <w:rsid w:val="00BC5479"/>
    <w:rsid w:val="00BC58F2"/>
    <w:rsid w:val="00BC6B74"/>
    <w:rsid w:val="00BD055A"/>
    <w:rsid w:val="00BD3371"/>
    <w:rsid w:val="00BD459D"/>
    <w:rsid w:val="00BD56EA"/>
    <w:rsid w:val="00BD6895"/>
    <w:rsid w:val="00BD6BA6"/>
    <w:rsid w:val="00BD7CA4"/>
    <w:rsid w:val="00BE03A0"/>
    <w:rsid w:val="00BE089B"/>
    <w:rsid w:val="00BE1787"/>
    <w:rsid w:val="00BE1DEC"/>
    <w:rsid w:val="00BE2C82"/>
    <w:rsid w:val="00BE2D24"/>
    <w:rsid w:val="00BE4476"/>
    <w:rsid w:val="00BE5F98"/>
    <w:rsid w:val="00BF017A"/>
    <w:rsid w:val="00BF0E68"/>
    <w:rsid w:val="00BF15FC"/>
    <w:rsid w:val="00BF2FD3"/>
    <w:rsid w:val="00BF7A67"/>
    <w:rsid w:val="00C01198"/>
    <w:rsid w:val="00C031A7"/>
    <w:rsid w:val="00C03ADA"/>
    <w:rsid w:val="00C03AE2"/>
    <w:rsid w:val="00C04F17"/>
    <w:rsid w:val="00C06A2E"/>
    <w:rsid w:val="00C07301"/>
    <w:rsid w:val="00C07A79"/>
    <w:rsid w:val="00C07BF4"/>
    <w:rsid w:val="00C10348"/>
    <w:rsid w:val="00C126EA"/>
    <w:rsid w:val="00C13133"/>
    <w:rsid w:val="00C14506"/>
    <w:rsid w:val="00C14B8B"/>
    <w:rsid w:val="00C15C5B"/>
    <w:rsid w:val="00C172FA"/>
    <w:rsid w:val="00C17B04"/>
    <w:rsid w:val="00C310E9"/>
    <w:rsid w:val="00C31271"/>
    <w:rsid w:val="00C31758"/>
    <w:rsid w:val="00C320C2"/>
    <w:rsid w:val="00C32384"/>
    <w:rsid w:val="00C34854"/>
    <w:rsid w:val="00C348B2"/>
    <w:rsid w:val="00C3534C"/>
    <w:rsid w:val="00C3649B"/>
    <w:rsid w:val="00C41301"/>
    <w:rsid w:val="00C41444"/>
    <w:rsid w:val="00C416F7"/>
    <w:rsid w:val="00C4182D"/>
    <w:rsid w:val="00C439D4"/>
    <w:rsid w:val="00C43E2B"/>
    <w:rsid w:val="00C442F8"/>
    <w:rsid w:val="00C501D8"/>
    <w:rsid w:val="00C50DFD"/>
    <w:rsid w:val="00C5118C"/>
    <w:rsid w:val="00C520DE"/>
    <w:rsid w:val="00C52647"/>
    <w:rsid w:val="00C5343B"/>
    <w:rsid w:val="00C53688"/>
    <w:rsid w:val="00C53D8E"/>
    <w:rsid w:val="00C54F1F"/>
    <w:rsid w:val="00C56944"/>
    <w:rsid w:val="00C610E2"/>
    <w:rsid w:val="00C623F5"/>
    <w:rsid w:val="00C635E7"/>
    <w:rsid w:val="00C66259"/>
    <w:rsid w:val="00C666E7"/>
    <w:rsid w:val="00C70199"/>
    <w:rsid w:val="00C71975"/>
    <w:rsid w:val="00C720CE"/>
    <w:rsid w:val="00C7213D"/>
    <w:rsid w:val="00C73A89"/>
    <w:rsid w:val="00C7476C"/>
    <w:rsid w:val="00C748C7"/>
    <w:rsid w:val="00C80CD8"/>
    <w:rsid w:val="00C81483"/>
    <w:rsid w:val="00C81831"/>
    <w:rsid w:val="00C84428"/>
    <w:rsid w:val="00C844C8"/>
    <w:rsid w:val="00C8586F"/>
    <w:rsid w:val="00C86505"/>
    <w:rsid w:val="00C865E7"/>
    <w:rsid w:val="00C86F57"/>
    <w:rsid w:val="00C87EE0"/>
    <w:rsid w:val="00C901EF"/>
    <w:rsid w:val="00C912A3"/>
    <w:rsid w:val="00C91A37"/>
    <w:rsid w:val="00C9386D"/>
    <w:rsid w:val="00C95965"/>
    <w:rsid w:val="00C95BD4"/>
    <w:rsid w:val="00C96CF6"/>
    <w:rsid w:val="00CA0F1B"/>
    <w:rsid w:val="00CA1072"/>
    <w:rsid w:val="00CA18B5"/>
    <w:rsid w:val="00CA43EE"/>
    <w:rsid w:val="00CA485A"/>
    <w:rsid w:val="00CA5F04"/>
    <w:rsid w:val="00CB030D"/>
    <w:rsid w:val="00CB0C74"/>
    <w:rsid w:val="00CB3A8C"/>
    <w:rsid w:val="00CB46B3"/>
    <w:rsid w:val="00CB566E"/>
    <w:rsid w:val="00CB584F"/>
    <w:rsid w:val="00CB5B30"/>
    <w:rsid w:val="00CB782F"/>
    <w:rsid w:val="00CC027D"/>
    <w:rsid w:val="00CC065A"/>
    <w:rsid w:val="00CC1289"/>
    <w:rsid w:val="00CC1786"/>
    <w:rsid w:val="00CC2A52"/>
    <w:rsid w:val="00CC2DE4"/>
    <w:rsid w:val="00CC30C9"/>
    <w:rsid w:val="00CC368C"/>
    <w:rsid w:val="00CC386F"/>
    <w:rsid w:val="00CC456D"/>
    <w:rsid w:val="00CC4EF9"/>
    <w:rsid w:val="00CC5F52"/>
    <w:rsid w:val="00CC6546"/>
    <w:rsid w:val="00CC797F"/>
    <w:rsid w:val="00CC7A58"/>
    <w:rsid w:val="00CD176C"/>
    <w:rsid w:val="00CD2E55"/>
    <w:rsid w:val="00CD49F0"/>
    <w:rsid w:val="00CD53D0"/>
    <w:rsid w:val="00CD6AC5"/>
    <w:rsid w:val="00CD77A4"/>
    <w:rsid w:val="00CE0166"/>
    <w:rsid w:val="00CE0451"/>
    <w:rsid w:val="00CE0CFF"/>
    <w:rsid w:val="00CE1F6F"/>
    <w:rsid w:val="00CE4438"/>
    <w:rsid w:val="00CE6A57"/>
    <w:rsid w:val="00CE7A92"/>
    <w:rsid w:val="00CE7B22"/>
    <w:rsid w:val="00CF0F14"/>
    <w:rsid w:val="00CF1C35"/>
    <w:rsid w:val="00CF1CB9"/>
    <w:rsid w:val="00CF2B4B"/>
    <w:rsid w:val="00CF3D24"/>
    <w:rsid w:val="00CF45D1"/>
    <w:rsid w:val="00CF46BE"/>
    <w:rsid w:val="00CF4F4B"/>
    <w:rsid w:val="00CF5300"/>
    <w:rsid w:val="00CF5D2A"/>
    <w:rsid w:val="00D006FC"/>
    <w:rsid w:val="00D0117C"/>
    <w:rsid w:val="00D01D7E"/>
    <w:rsid w:val="00D02958"/>
    <w:rsid w:val="00D038EA"/>
    <w:rsid w:val="00D03F33"/>
    <w:rsid w:val="00D044CA"/>
    <w:rsid w:val="00D05E7E"/>
    <w:rsid w:val="00D1094B"/>
    <w:rsid w:val="00D11AF1"/>
    <w:rsid w:val="00D128A3"/>
    <w:rsid w:val="00D142FF"/>
    <w:rsid w:val="00D1540B"/>
    <w:rsid w:val="00D15E81"/>
    <w:rsid w:val="00D15F51"/>
    <w:rsid w:val="00D169FF"/>
    <w:rsid w:val="00D172E1"/>
    <w:rsid w:val="00D177E1"/>
    <w:rsid w:val="00D17C39"/>
    <w:rsid w:val="00D20679"/>
    <w:rsid w:val="00D206BB"/>
    <w:rsid w:val="00D20A6C"/>
    <w:rsid w:val="00D22108"/>
    <w:rsid w:val="00D24DCC"/>
    <w:rsid w:val="00D251B9"/>
    <w:rsid w:val="00D2646E"/>
    <w:rsid w:val="00D27307"/>
    <w:rsid w:val="00D304A9"/>
    <w:rsid w:val="00D31890"/>
    <w:rsid w:val="00D336A9"/>
    <w:rsid w:val="00D34806"/>
    <w:rsid w:val="00D34EA7"/>
    <w:rsid w:val="00D35C82"/>
    <w:rsid w:val="00D37004"/>
    <w:rsid w:val="00D37683"/>
    <w:rsid w:val="00D40E37"/>
    <w:rsid w:val="00D40EF1"/>
    <w:rsid w:val="00D45467"/>
    <w:rsid w:val="00D45D67"/>
    <w:rsid w:val="00D46DAE"/>
    <w:rsid w:val="00D47211"/>
    <w:rsid w:val="00D51404"/>
    <w:rsid w:val="00D51804"/>
    <w:rsid w:val="00D522A4"/>
    <w:rsid w:val="00D52887"/>
    <w:rsid w:val="00D531DA"/>
    <w:rsid w:val="00D540BE"/>
    <w:rsid w:val="00D54ECC"/>
    <w:rsid w:val="00D550A1"/>
    <w:rsid w:val="00D55988"/>
    <w:rsid w:val="00D55B9B"/>
    <w:rsid w:val="00D55D6E"/>
    <w:rsid w:val="00D56C4C"/>
    <w:rsid w:val="00D5729F"/>
    <w:rsid w:val="00D607C6"/>
    <w:rsid w:val="00D62296"/>
    <w:rsid w:val="00D6270F"/>
    <w:rsid w:val="00D63163"/>
    <w:rsid w:val="00D636F1"/>
    <w:rsid w:val="00D7097B"/>
    <w:rsid w:val="00D71EA8"/>
    <w:rsid w:val="00D72648"/>
    <w:rsid w:val="00D72820"/>
    <w:rsid w:val="00D73B85"/>
    <w:rsid w:val="00D745C1"/>
    <w:rsid w:val="00D74CE6"/>
    <w:rsid w:val="00D77446"/>
    <w:rsid w:val="00D774A7"/>
    <w:rsid w:val="00D80635"/>
    <w:rsid w:val="00D81A57"/>
    <w:rsid w:val="00D82BA0"/>
    <w:rsid w:val="00D83377"/>
    <w:rsid w:val="00D84227"/>
    <w:rsid w:val="00D851A6"/>
    <w:rsid w:val="00D87295"/>
    <w:rsid w:val="00D87F8E"/>
    <w:rsid w:val="00D90A6B"/>
    <w:rsid w:val="00D917D9"/>
    <w:rsid w:val="00D92073"/>
    <w:rsid w:val="00D920BE"/>
    <w:rsid w:val="00D922D9"/>
    <w:rsid w:val="00D927EE"/>
    <w:rsid w:val="00D92D58"/>
    <w:rsid w:val="00D94491"/>
    <w:rsid w:val="00D94910"/>
    <w:rsid w:val="00D96573"/>
    <w:rsid w:val="00D96ED3"/>
    <w:rsid w:val="00D974AC"/>
    <w:rsid w:val="00DA1093"/>
    <w:rsid w:val="00DA1B5A"/>
    <w:rsid w:val="00DA1D41"/>
    <w:rsid w:val="00DA1F51"/>
    <w:rsid w:val="00DA2728"/>
    <w:rsid w:val="00DA4BF8"/>
    <w:rsid w:val="00DA60CB"/>
    <w:rsid w:val="00DB10B4"/>
    <w:rsid w:val="00DB19B8"/>
    <w:rsid w:val="00DB2E14"/>
    <w:rsid w:val="00DB3894"/>
    <w:rsid w:val="00DB38E0"/>
    <w:rsid w:val="00DB40FC"/>
    <w:rsid w:val="00DB4436"/>
    <w:rsid w:val="00DB4BB8"/>
    <w:rsid w:val="00DB5631"/>
    <w:rsid w:val="00DB5EEF"/>
    <w:rsid w:val="00DB673C"/>
    <w:rsid w:val="00DC0480"/>
    <w:rsid w:val="00DC0E41"/>
    <w:rsid w:val="00DC12D4"/>
    <w:rsid w:val="00DC16A7"/>
    <w:rsid w:val="00DC3A20"/>
    <w:rsid w:val="00DC44A1"/>
    <w:rsid w:val="00DC47E0"/>
    <w:rsid w:val="00DC4CCD"/>
    <w:rsid w:val="00DC53BD"/>
    <w:rsid w:val="00DD0E31"/>
    <w:rsid w:val="00DD1125"/>
    <w:rsid w:val="00DD27DB"/>
    <w:rsid w:val="00DD36FF"/>
    <w:rsid w:val="00DD42CA"/>
    <w:rsid w:val="00DD4D45"/>
    <w:rsid w:val="00DD5453"/>
    <w:rsid w:val="00DD7416"/>
    <w:rsid w:val="00DD7B33"/>
    <w:rsid w:val="00DD7FC3"/>
    <w:rsid w:val="00DE0214"/>
    <w:rsid w:val="00DE1C93"/>
    <w:rsid w:val="00DE30C6"/>
    <w:rsid w:val="00DE3B20"/>
    <w:rsid w:val="00DE611E"/>
    <w:rsid w:val="00DF0145"/>
    <w:rsid w:val="00DF2618"/>
    <w:rsid w:val="00DF3DF4"/>
    <w:rsid w:val="00DF4F52"/>
    <w:rsid w:val="00DF6716"/>
    <w:rsid w:val="00DF7BBB"/>
    <w:rsid w:val="00DF7DAC"/>
    <w:rsid w:val="00E00171"/>
    <w:rsid w:val="00E00752"/>
    <w:rsid w:val="00E03572"/>
    <w:rsid w:val="00E04772"/>
    <w:rsid w:val="00E0614B"/>
    <w:rsid w:val="00E07DFE"/>
    <w:rsid w:val="00E07E1D"/>
    <w:rsid w:val="00E110E9"/>
    <w:rsid w:val="00E12B50"/>
    <w:rsid w:val="00E15186"/>
    <w:rsid w:val="00E2469A"/>
    <w:rsid w:val="00E26172"/>
    <w:rsid w:val="00E27F1D"/>
    <w:rsid w:val="00E30B4C"/>
    <w:rsid w:val="00E31C99"/>
    <w:rsid w:val="00E329B2"/>
    <w:rsid w:val="00E34DE4"/>
    <w:rsid w:val="00E35756"/>
    <w:rsid w:val="00E357F9"/>
    <w:rsid w:val="00E35AE8"/>
    <w:rsid w:val="00E41768"/>
    <w:rsid w:val="00E43ABD"/>
    <w:rsid w:val="00E43C62"/>
    <w:rsid w:val="00E43DA9"/>
    <w:rsid w:val="00E45433"/>
    <w:rsid w:val="00E46AA2"/>
    <w:rsid w:val="00E47144"/>
    <w:rsid w:val="00E50DBF"/>
    <w:rsid w:val="00E5153C"/>
    <w:rsid w:val="00E517AC"/>
    <w:rsid w:val="00E5432B"/>
    <w:rsid w:val="00E54A59"/>
    <w:rsid w:val="00E56DDD"/>
    <w:rsid w:val="00E56F8D"/>
    <w:rsid w:val="00E60F77"/>
    <w:rsid w:val="00E6213F"/>
    <w:rsid w:val="00E62F08"/>
    <w:rsid w:val="00E630B8"/>
    <w:rsid w:val="00E6343A"/>
    <w:rsid w:val="00E66FE4"/>
    <w:rsid w:val="00E67508"/>
    <w:rsid w:val="00E71BF8"/>
    <w:rsid w:val="00E734E7"/>
    <w:rsid w:val="00E74E9B"/>
    <w:rsid w:val="00E75D1B"/>
    <w:rsid w:val="00E7687D"/>
    <w:rsid w:val="00E769DD"/>
    <w:rsid w:val="00E76C00"/>
    <w:rsid w:val="00E805B0"/>
    <w:rsid w:val="00E80AB1"/>
    <w:rsid w:val="00E80BBE"/>
    <w:rsid w:val="00E81B5F"/>
    <w:rsid w:val="00E821B6"/>
    <w:rsid w:val="00E82C8B"/>
    <w:rsid w:val="00E85EC3"/>
    <w:rsid w:val="00E8609B"/>
    <w:rsid w:val="00E86660"/>
    <w:rsid w:val="00E87403"/>
    <w:rsid w:val="00E94BFC"/>
    <w:rsid w:val="00E94D8F"/>
    <w:rsid w:val="00E94FFE"/>
    <w:rsid w:val="00E9522E"/>
    <w:rsid w:val="00E956A6"/>
    <w:rsid w:val="00E95C0A"/>
    <w:rsid w:val="00E979AC"/>
    <w:rsid w:val="00E97D2A"/>
    <w:rsid w:val="00E97FDA"/>
    <w:rsid w:val="00EA033E"/>
    <w:rsid w:val="00EA0926"/>
    <w:rsid w:val="00EA3580"/>
    <w:rsid w:val="00EB0830"/>
    <w:rsid w:val="00EB2078"/>
    <w:rsid w:val="00EB2BAC"/>
    <w:rsid w:val="00EB2D9F"/>
    <w:rsid w:val="00EB3FB3"/>
    <w:rsid w:val="00EB5291"/>
    <w:rsid w:val="00EB5387"/>
    <w:rsid w:val="00EB75E1"/>
    <w:rsid w:val="00EC07F3"/>
    <w:rsid w:val="00EC15EB"/>
    <w:rsid w:val="00EC182F"/>
    <w:rsid w:val="00EC1DF0"/>
    <w:rsid w:val="00EC2C5C"/>
    <w:rsid w:val="00EC3A9E"/>
    <w:rsid w:val="00EC3C9C"/>
    <w:rsid w:val="00EC3EB6"/>
    <w:rsid w:val="00EC4AE2"/>
    <w:rsid w:val="00EC5352"/>
    <w:rsid w:val="00ED0227"/>
    <w:rsid w:val="00ED09D9"/>
    <w:rsid w:val="00ED0DC6"/>
    <w:rsid w:val="00ED13DD"/>
    <w:rsid w:val="00ED1878"/>
    <w:rsid w:val="00ED28C8"/>
    <w:rsid w:val="00ED360E"/>
    <w:rsid w:val="00ED3B34"/>
    <w:rsid w:val="00ED471C"/>
    <w:rsid w:val="00ED49AE"/>
    <w:rsid w:val="00ED7048"/>
    <w:rsid w:val="00EE0C4C"/>
    <w:rsid w:val="00EE0E7A"/>
    <w:rsid w:val="00EE4AB8"/>
    <w:rsid w:val="00EE4EF2"/>
    <w:rsid w:val="00EE6F4D"/>
    <w:rsid w:val="00EE7C07"/>
    <w:rsid w:val="00EF170D"/>
    <w:rsid w:val="00EF17A8"/>
    <w:rsid w:val="00EF1853"/>
    <w:rsid w:val="00EF2746"/>
    <w:rsid w:val="00EF31D9"/>
    <w:rsid w:val="00EF3B23"/>
    <w:rsid w:val="00EF550C"/>
    <w:rsid w:val="00EF64CE"/>
    <w:rsid w:val="00EF712A"/>
    <w:rsid w:val="00F00596"/>
    <w:rsid w:val="00F00722"/>
    <w:rsid w:val="00F00F45"/>
    <w:rsid w:val="00F01598"/>
    <w:rsid w:val="00F01A85"/>
    <w:rsid w:val="00F04621"/>
    <w:rsid w:val="00F04E71"/>
    <w:rsid w:val="00F05356"/>
    <w:rsid w:val="00F06A79"/>
    <w:rsid w:val="00F07833"/>
    <w:rsid w:val="00F07C6E"/>
    <w:rsid w:val="00F11419"/>
    <w:rsid w:val="00F1146A"/>
    <w:rsid w:val="00F1207D"/>
    <w:rsid w:val="00F130AB"/>
    <w:rsid w:val="00F14206"/>
    <w:rsid w:val="00F1433C"/>
    <w:rsid w:val="00F15CE8"/>
    <w:rsid w:val="00F15D6A"/>
    <w:rsid w:val="00F16B0B"/>
    <w:rsid w:val="00F22376"/>
    <w:rsid w:val="00F30854"/>
    <w:rsid w:val="00F30BAA"/>
    <w:rsid w:val="00F31650"/>
    <w:rsid w:val="00F31C3D"/>
    <w:rsid w:val="00F32D0F"/>
    <w:rsid w:val="00F33515"/>
    <w:rsid w:val="00F34064"/>
    <w:rsid w:val="00F35C9F"/>
    <w:rsid w:val="00F36192"/>
    <w:rsid w:val="00F36518"/>
    <w:rsid w:val="00F36CD2"/>
    <w:rsid w:val="00F37060"/>
    <w:rsid w:val="00F3707E"/>
    <w:rsid w:val="00F3741B"/>
    <w:rsid w:val="00F37A9E"/>
    <w:rsid w:val="00F37CFE"/>
    <w:rsid w:val="00F37D85"/>
    <w:rsid w:val="00F40DCD"/>
    <w:rsid w:val="00F41025"/>
    <w:rsid w:val="00F41417"/>
    <w:rsid w:val="00F41522"/>
    <w:rsid w:val="00F437C1"/>
    <w:rsid w:val="00F4464F"/>
    <w:rsid w:val="00F4473C"/>
    <w:rsid w:val="00F452E2"/>
    <w:rsid w:val="00F45E38"/>
    <w:rsid w:val="00F479E8"/>
    <w:rsid w:val="00F50F94"/>
    <w:rsid w:val="00F52E21"/>
    <w:rsid w:val="00F53B2E"/>
    <w:rsid w:val="00F53BF3"/>
    <w:rsid w:val="00F545F1"/>
    <w:rsid w:val="00F57D39"/>
    <w:rsid w:val="00F57ED0"/>
    <w:rsid w:val="00F6341F"/>
    <w:rsid w:val="00F639B2"/>
    <w:rsid w:val="00F645BB"/>
    <w:rsid w:val="00F64C6F"/>
    <w:rsid w:val="00F67B43"/>
    <w:rsid w:val="00F7064D"/>
    <w:rsid w:val="00F72405"/>
    <w:rsid w:val="00F748B7"/>
    <w:rsid w:val="00F74BFF"/>
    <w:rsid w:val="00F74C6E"/>
    <w:rsid w:val="00F750DD"/>
    <w:rsid w:val="00F75151"/>
    <w:rsid w:val="00F7530C"/>
    <w:rsid w:val="00F758F5"/>
    <w:rsid w:val="00F77028"/>
    <w:rsid w:val="00F805D6"/>
    <w:rsid w:val="00F81370"/>
    <w:rsid w:val="00F83594"/>
    <w:rsid w:val="00F84ECE"/>
    <w:rsid w:val="00F85551"/>
    <w:rsid w:val="00F86530"/>
    <w:rsid w:val="00F86E85"/>
    <w:rsid w:val="00F87CEC"/>
    <w:rsid w:val="00F91B28"/>
    <w:rsid w:val="00F91CE0"/>
    <w:rsid w:val="00F92405"/>
    <w:rsid w:val="00F93C84"/>
    <w:rsid w:val="00F94E25"/>
    <w:rsid w:val="00F95037"/>
    <w:rsid w:val="00F95ABC"/>
    <w:rsid w:val="00F97BDE"/>
    <w:rsid w:val="00FA0259"/>
    <w:rsid w:val="00FA40E0"/>
    <w:rsid w:val="00FA53F4"/>
    <w:rsid w:val="00FA6F5D"/>
    <w:rsid w:val="00FB4322"/>
    <w:rsid w:val="00FB4601"/>
    <w:rsid w:val="00FB53EE"/>
    <w:rsid w:val="00FB6641"/>
    <w:rsid w:val="00FC0600"/>
    <w:rsid w:val="00FC0A68"/>
    <w:rsid w:val="00FC104B"/>
    <w:rsid w:val="00FC2019"/>
    <w:rsid w:val="00FC34BA"/>
    <w:rsid w:val="00FC3F0F"/>
    <w:rsid w:val="00FC427F"/>
    <w:rsid w:val="00FC7134"/>
    <w:rsid w:val="00FC7452"/>
    <w:rsid w:val="00FC797B"/>
    <w:rsid w:val="00FC7FDA"/>
    <w:rsid w:val="00FD2B00"/>
    <w:rsid w:val="00FD2B98"/>
    <w:rsid w:val="00FD30E6"/>
    <w:rsid w:val="00FD3B2F"/>
    <w:rsid w:val="00FD4450"/>
    <w:rsid w:val="00FD45B8"/>
    <w:rsid w:val="00FD70FF"/>
    <w:rsid w:val="00FD74D2"/>
    <w:rsid w:val="00FE00D0"/>
    <w:rsid w:val="00FE102E"/>
    <w:rsid w:val="00FE1266"/>
    <w:rsid w:val="00FE2EAC"/>
    <w:rsid w:val="00FE3862"/>
    <w:rsid w:val="00FE425E"/>
    <w:rsid w:val="00FE494B"/>
    <w:rsid w:val="00FF2670"/>
    <w:rsid w:val="00FF5670"/>
    <w:rsid w:val="00FF5E79"/>
    <w:rsid w:val="00FF65F8"/>
    <w:rsid w:val="00FF7853"/>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2A74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uiPriority w:val="99"/>
    <w:rsid w:val="008E2E05"/>
    <w:rPr>
      <w:rFonts w:eastAsia="SimSun"/>
      <w:sz w:val="20"/>
      <w:szCs w:val="20"/>
    </w:rPr>
  </w:style>
  <w:style w:type="character" w:customStyle="1" w:styleId="CommentTextChar">
    <w:name w:val="Comment Text Char"/>
    <w:basedOn w:val="DefaultParagraphFont"/>
    <w:link w:val="CommentText"/>
    <w:uiPriority w:val="99"/>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8E4769"/>
    <w:pPr>
      <w:tabs>
        <w:tab w:val="left" w:pos="660"/>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8E4769"/>
    <w:pPr>
      <w:tabs>
        <w:tab w:val="right" w:leader="dot" w:pos="9350"/>
      </w:tabs>
      <w:spacing w:after="100" w:line="276" w:lineRule="auto"/>
      <w:ind w:left="216"/>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3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source">
    <w:name w:val="exhibit source"/>
    <w:basedOn w:val="Normal"/>
    <w:uiPriority w:val="99"/>
    <w:rsid w:val="00563588"/>
    <w:pPr>
      <w:keepLines/>
      <w:spacing w:before="40" w:after="40" w:line="200" w:lineRule="exact"/>
      <w:ind w:left="187" w:hanging="187"/>
    </w:pPr>
    <w:rPr>
      <w:rFonts w:ascii="Arial" w:eastAsia="Calibri" w:hAnsi="Arial" w:cs="Arial"/>
      <w:sz w:val="18"/>
      <w:szCs w:val="18"/>
    </w:rPr>
  </w:style>
  <w:style w:type="paragraph" w:customStyle="1" w:styleId="TableHeaders">
    <w:name w:val="Table Headers"/>
    <w:basedOn w:val="Normal"/>
    <w:uiPriority w:val="99"/>
    <w:rsid w:val="00563588"/>
    <w:pPr>
      <w:keepNext/>
      <w:spacing w:before="40" w:after="40"/>
      <w:jc w:val="center"/>
    </w:pPr>
    <w:rPr>
      <w:rFonts w:ascii="Arial" w:eastAsia="Calibri"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563588"/>
    <w:pPr>
      <w:spacing w:before="120" w:after="120"/>
      <w:ind w:firstLine="720"/>
    </w:pPr>
    <w:rPr>
      <w:rFonts w:ascii="Calibri" w:eastAsia="Calibri" w:hAnsi="Calibri" w:cs="Calibri"/>
    </w:rPr>
  </w:style>
  <w:style w:type="character" w:customStyle="1" w:styleId="bodytextChar">
    <w:name w:val="body text Char"/>
    <w:aliases w:val="bt Char,body tx Char,indent Char,flush Char,memo body text Char"/>
    <w:basedOn w:val="DefaultParagraphFont"/>
    <w:link w:val="BodyText1"/>
    <w:uiPriority w:val="99"/>
    <w:locked/>
    <w:rsid w:val="00563588"/>
    <w:rPr>
      <w:rFonts w:ascii="Calibri" w:eastAsia="Calibri" w:hAnsi="Calibri" w:cs="Calibri"/>
      <w:sz w:val="24"/>
      <w:szCs w:val="24"/>
    </w:rPr>
  </w:style>
  <w:style w:type="character" w:styleId="FootnoteReference">
    <w:name w:val="footnote reference"/>
    <w:aliases w:val="fr"/>
    <w:basedOn w:val="DefaultParagraphFont"/>
    <w:uiPriority w:val="99"/>
    <w:rsid w:val="001C7136"/>
    <w:rPr>
      <w:rFonts w:cs="Times New Roman"/>
      <w:vertAlign w:val="superscript"/>
    </w:rPr>
  </w:style>
  <w:style w:type="paragraph" w:styleId="FootnoteText">
    <w:name w:val="footnote text"/>
    <w:basedOn w:val="Normal"/>
    <w:link w:val="FootnoteTextChar"/>
    <w:uiPriority w:val="99"/>
    <w:semiHidden/>
    <w:rsid w:val="001C7136"/>
    <w:rPr>
      <w:sz w:val="20"/>
      <w:szCs w:val="20"/>
    </w:rPr>
  </w:style>
  <w:style w:type="character" w:customStyle="1" w:styleId="FootnoteTextChar">
    <w:name w:val="Footnote Text Char"/>
    <w:basedOn w:val="DefaultParagraphFont"/>
    <w:link w:val="FootnoteText"/>
    <w:uiPriority w:val="99"/>
    <w:semiHidden/>
    <w:rsid w:val="001C7136"/>
  </w:style>
  <w:style w:type="paragraph" w:styleId="NoSpacing">
    <w:name w:val="No Spacing"/>
    <w:uiPriority w:val="1"/>
    <w:qFormat/>
    <w:rsid w:val="001C7136"/>
    <w:rPr>
      <w:rFonts w:ascii="Calibri" w:eastAsia="Calibri" w:hAnsi="Calibri" w:cs="Calibri"/>
      <w:sz w:val="22"/>
      <w:szCs w:val="22"/>
    </w:rPr>
  </w:style>
  <w:style w:type="paragraph" w:styleId="Revision">
    <w:name w:val="Revision"/>
    <w:hidden/>
    <w:uiPriority w:val="99"/>
    <w:semiHidden/>
    <w:rsid w:val="00737C4B"/>
    <w:rPr>
      <w:sz w:val="24"/>
      <w:szCs w:val="24"/>
    </w:rPr>
  </w:style>
  <w:style w:type="paragraph" w:styleId="NormalWeb">
    <w:name w:val="Normal (Web)"/>
    <w:basedOn w:val="Normal"/>
    <w:uiPriority w:val="99"/>
    <w:unhideWhenUsed/>
    <w:rsid w:val="0076675A"/>
    <w:pPr>
      <w:spacing w:after="180"/>
    </w:pPr>
  </w:style>
  <w:style w:type="paragraph" w:customStyle="1" w:styleId="BulletText1">
    <w:name w:val="Bullet Text 1"/>
    <w:basedOn w:val="Normal"/>
    <w:qFormat/>
    <w:rsid w:val="00FB53EE"/>
    <w:pPr>
      <w:numPr>
        <w:numId w:val="2"/>
      </w:numPr>
    </w:pPr>
    <w:rPr>
      <w:color w:val="000000"/>
      <w:szCs w:val="20"/>
    </w:rPr>
  </w:style>
  <w:style w:type="table" w:customStyle="1" w:styleId="TableGrid1">
    <w:name w:val="Table Grid1"/>
    <w:basedOn w:val="TableNormal"/>
    <w:next w:val="TableGrid"/>
    <w:uiPriority w:val="59"/>
    <w:rsid w:val="00540BD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DB2E1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1Light">
    <w:name w:val="Grid Table 1 Light"/>
    <w:basedOn w:val="TableNormal"/>
    <w:uiPriority w:val="46"/>
    <w:rsid w:val="00FC0A68"/>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uiPriority w:val="99"/>
    <w:rsid w:val="008E2E05"/>
    <w:rPr>
      <w:rFonts w:eastAsia="SimSun"/>
      <w:sz w:val="20"/>
      <w:szCs w:val="20"/>
    </w:rPr>
  </w:style>
  <w:style w:type="character" w:customStyle="1" w:styleId="CommentTextChar">
    <w:name w:val="Comment Text Char"/>
    <w:basedOn w:val="DefaultParagraphFont"/>
    <w:link w:val="CommentText"/>
    <w:uiPriority w:val="99"/>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8E4769"/>
    <w:pPr>
      <w:tabs>
        <w:tab w:val="left" w:pos="660"/>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8E4769"/>
    <w:pPr>
      <w:tabs>
        <w:tab w:val="right" w:leader="dot" w:pos="9350"/>
      </w:tabs>
      <w:spacing w:after="100" w:line="276" w:lineRule="auto"/>
      <w:ind w:left="216"/>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3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source">
    <w:name w:val="exhibit source"/>
    <w:basedOn w:val="Normal"/>
    <w:uiPriority w:val="99"/>
    <w:rsid w:val="00563588"/>
    <w:pPr>
      <w:keepLines/>
      <w:spacing w:before="40" w:after="40" w:line="200" w:lineRule="exact"/>
      <w:ind w:left="187" w:hanging="187"/>
    </w:pPr>
    <w:rPr>
      <w:rFonts w:ascii="Arial" w:eastAsia="Calibri" w:hAnsi="Arial" w:cs="Arial"/>
      <w:sz w:val="18"/>
      <w:szCs w:val="18"/>
    </w:rPr>
  </w:style>
  <w:style w:type="paragraph" w:customStyle="1" w:styleId="TableHeaders">
    <w:name w:val="Table Headers"/>
    <w:basedOn w:val="Normal"/>
    <w:uiPriority w:val="99"/>
    <w:rsid w:val="00563588"/>
    <w:pPr>
      <w:keepNext/>
      <w:spacing w:before="40" w:after="40"/>
      <w:jc w:val="center"/>
    </w:pPr>
    <w:rPr>
      <w:rFonts w:ascii="Arial" w:eastAsia="Calibri"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563588"/>
    <w:pPr>
      <w:spacing w:before="120" w:after="120"/>
      <w:ind w:firstLine="720"/>
    </w:pPr>
    <w:rPr>
      <w:rFonts w:ascii="Calibri" w:eastAsia="Calibri" w:hAnsi="Calibri" w:cs="Calibri"/>
    </w:rPr>
  </w:style>
  <w:style w:type="character" w:customStyle="1" w:styleId="bodytextChar">
    <w:name w:val="body text Char"/>
    <w:aliases w:val="bt Char,body tx Char,indent Char,flush Char,memo body text Char"/>
    <w:basedOn w:val="DefaultParagraphFont"/>
    <w:link w:val="BodyText1"/>
    <w:uiPriority w:val="99"/>
    <w:locked/>
    <w:rsid w:val="00563588"/>
    <w:rPr>
      <w:rFonts w:ascii="Calibri" w:eastAsia="Calibri" w:hAnsi="Calibri" w:cs="Calibri"/>
      <w:sz w:val="24"/>
      <w:szCs w:val="24"/>
    </w:rPr>
  </w:style>
  <w:style w:type="character" w:styleId="FootnoteReference">
    <w:name w:val="footnote reference"/>
    <w:aliases w:val="fr"/>
    <w:basedOn w:val="DefaultParagraphFont"/>
    <w:uiPriority w:val="99"/>
    <w:rsid w:val="001C7136"/>
    <w:rPr>
      <w:rFonts w:cs="Times New Roman"/>
      <w:vertAlign w:val="superscript"/>
    </w:rPr>
  </w:style>
  <w:style w:type="paragraph" w:styleId="FootnoteText">
    <w:name w:val="footnote text"/>
    <w:basedOn w:val="Normal"/>
    <w:link w:val="FootnoteTextChar"/>
    <w:uiPriority w:val="99"/>
    <w:semiHidden/>
    <w:rsid w:val="001C7136"/>
    <w:rPr>
      <w:sz w:val="20"/>
      <w:szCs w:val="20"/>
    </w:rPr>
  </w:style>
  <w:style w:type="character" w:customStyle="1" w:styleId="FootnoteTextChar">
    <w:name w:val="Footnote Text Char"/>
    <w:basedOn w:val="DefaultParagraphFont"/>
    <w:link w:val="FootnoteText"/>
    <w:uiPriority w:val="99"/>
    <w:semiHidden/>
    <w:rsid w:val="001C7136"/>
  </w:style>
  <w:style w:type="paragraph" w:styleId="NoSpacing">
    <w:name w:val="No Spacing"/>
    <w:uiPriority w:val="1"/>
    <w:qFormat/>
    <w:rsid w:val="001C7136"/>
    <w:rPr>
      <w:rFonts w:ascii="Calibri" w:eastAsia="Calibri" w:hAnsi="Calibri" w:cs="Calibri"/>
      <w:sz w:val="22"/>
      <w:szCs w:val="22"/>
    </w:rPr>
  </w:style>
  <w:style w:type="paragraph" w:styleId="Revision">
    <w:name w:val="Revision"/>
    <w:hidden/>
    <w:uiPriority w:val="99"/>
    <w:semiHidden/>
    <w:rsid w:val="00737C4B"/>
    <w:rPr>
      <w:sz w:val="24"/>
      <w:szCs w:val="24"/>
    </w:rPr>
  </w:style>
  <w:style w:type="paragraph" w:styleId="NormalWeb">
    <w:name w:val="Normal (Web)"/>
    <w:basedOn w:val="Normal"/>
    <w:uiPriority w:val="99"/>
    <w:unhideWhenUsed/>
    <w:rsid w:val="0076675A"/>
    <w:pPr>
      <w:spacing w:after="180"/>
    </w:pPr>
  </w:style>
  <w:style w:type="paragraph" w:customStyle="1" w:styleId="BulletText1">
    <w:name w:val="Bullet Text 1"/>
    <w:basedOn w:val="Normal"/>
    <w:qFormat/>
    <w:rsid w:val="00FB53EE"/>
    <w:pPr>
      <w:numPr>
        <w:numId w:val="2"/>
      </w:numPr>
    </w:pPr>
    <w:rPr>
      <w:color w:val="000000"/>
      <w:szCs w:val="20"/>
    </w:rPr>
  </w:style>
  <w:style w:type="table" w:customStyle="1" w:styleId="TableGrid1">
    <w:name w:val="Table Grid1"/>
    <w:basedOn w:val="TableNormal"/>
    <w:next w:val="TableGrid"/>
    <w:uiPriority w:val="59"/>
    <w:rsid w:val="00540BD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DB2E1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1Light">
    <w:name w:val="Grid Table 1 Light"/>
    <w:basedOn w:val="TableNormal"/>
    <w:uiPriority w:val="46"/>
    <w:rsid w:val="00FC0A68"/>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757">
      <w:bodyDiv w:val="1"/>
      <w:marLeft w:val="4"/>
      <w:marRight w:val="4"/>
      <w:marTop w:val="4"/>
      <w:marBottom w:val="4"/>
      <w:divBdr>
        <w:top w:val="none" w:sz="0" w:space="0" w:color="auto"/>
        <w:left w:val="none" w:sz="0" w:space="0" w:color="auto"/>
        <w:bottom w:val="none" w:sz="0" w:space="0" w:color="auto"/>
        <w:right w:val="none" w:sz="0" w:space="0" w:color="auto"/>
      </w:divBdr>
      <w:divsChild>
        <w:div w:id="361322222">
          <w:marLeft w:val="0"/>
          <w:marRight w:val="0"/>
          <w:marTop w:val="0"/>
          <w:marBottom w:val="0"/>
          <w:divBdr>
            <w:top w:val="none" w:sz="0" w:space="0" w:color="auto"/>
            <w:left w:val="none" w:sz="0" w:space="0" w:color="auto"/>
            <w:bottom w:val="none" w:sz="0" w:space="0" w:color="auto"/>
            <w:right w:val="none" w:sz="0" w:space="0" w:color="auto"/>
          </w:divBdr>
          <w:divsChild>
            <w:div w:id="917522548">
              <w:marLeft w:val="0"/>
              <w:marRight w:val="0"/>
              <w:marTop w:val="0"/>
              <w:marBottom w:val="180"/>
              <w:divBdr>
                <w:top w:val="none" w:sz="0" w:space="0" w:color="auto"/>
                <w:left w:val="none" w:sz="0" w:space="0" w:color="auto"/>
                <w:bottom w:val="none" w:sz="0" w:space="0" w:color="auto"/>
                <w:right w:val="none" w:sz="0" w:space="0" w:color="auto"/>
              </w:divBdr>
              <w:divsChild>
                <w:div w:id="1183740811">
                  <w:marLeft w:val="0"/>
                  <w:marRight w:val="0"/>
                  <w:marTop w:val="0"/>
                  <w:marBottom w:val="0"/>
                  <w:divBdr>
                    <w:top w:val="none" w:sz="0" w:space="0" w:color="auto"/>
                    <w:left w:val="none" w:sz="0" w:space="0" w:color="auto"/>
                    <w:bottom w:val="none" w:sz="0" w:space="0" w:color="auto"/>
                    <w:right w:val="none" w:sz="0" w:space="0" w:color="auto"/>
                  </w:divBdr>
                  <w:divsChild>
                    <w:div w:id="1792748479">
                      <w:marLeft w:val="0"/>
                      <w:marRight w:val="0"/>
                      <w:marTop w:val="0"/>
                      <w:marBottom w:val="0"/>
                      <w:divBdr>
                        <w:top w:val="none" w:sz="0" w:space="0" w:color="auto"/>
                        <w:left w:val="none" w:sz="0" w:space="0" w:color="auto"/>
                        <w:bottom w:val="none" w:sz="0" w:space="0" w:color="auto"/>
                        <w:right w:val="none" w:sz="0" w:space="0" w:color="auto"/>
                      </w:divBdr>
                      <w:divsChild>
                        <w:div w:id="11665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182984337">
      <w:bodyDiv w:val="1"/>
      <w:marLeft w:val="4"/>
      <w:marRight w:val="4"/>
      <w:marTop w:val="4"/>
      <w:marBottom w:val="4"/>
      <w:divBdr>
        <w:top w:val="none" w:sz="0" w:space="0" w:color="auto"/>
        <w:left w:val="none" w:sz="0" w:space="0" w:color="auto"/>
        <w:bottom w:val="none" w:sz="0" w:space="0" w:color="auto"/>
        <w:right w:val="none" w:sz="0" w:space="0" w:color="auto"/>
      </w:divBdr>
      <w:divsChild>
        <w:div w:id="1207450431">
          <w:marLeft w:val="0"/>
          <w:marRight w:val="0"/>
          <w:marTop w:val="0"/>
          <w:marBottom w:val="0"/>
          <w:divBdr>
            <w:top w:val="none" w:sz="0" w:space="0" w:color="auto"/>
            <w:left w:val="none" w:sz="0" w:space="0" w:color="auto"/>
            <w:bottom w:val="none" w:sz="0" w:space="0" w:color="auto"/>
            <w:right w:val="none" w:sz="0" w:space="0" w:color="auto"/>
          </w:divBdr>
          <w:divsChild>
            <w:div w:id="1750350520">
              <w:marLeft w:val="0"/>
              <w:marRight w:val="0"/>
              <w:marTop w:val="0"/>
              <w:marBottom w:val="180"/>
              <w:divBdr>
                <w:top w:val="none" w:sz="0" w:space="0" w:color="auto"/>
                <w:left w:val="none" w:sz="0" w:space="0" w:color="auto"/>
                <w:bottom w:val="none" w:sz="0" w:space="0" w:color="auto"/>
                <w:right w:val="none" w:sz="0" w:space="0" w:color="auto"/>
              </w:divBdr>
              <w:divsChild>
                <w:div w:id="92290392">
                  <w:marLeft w:val="0"/>
                  <w:marRight w:val="0"/>
                  <w:marTop w:val="0"/>
                  <w:marBottom w:val="0"/>
                  <w:divBdr>
                    <w:top w:val="none" w:sz="0" w:space="0" w:color="auto"/>
                    <w:left w:val="none" w:sz="0" w:space="0" w:color="auto"/>
                    <w:bottom w:val="none" w:sz="0" w:space="0" w:color="auto"/>
                    <w:right w:val="none" w:sz="0" w:space="0" w:color="auto"/>
                  </w:divBdr>
                  <w:divsChild>
                    <w:div w:id="573466871">
                      <w:marLeft w:val="0"/>
                      <w:marRight w:val="0"/>
                      <w:marTop w:val="0"/>
                      <w:marBottom w:val="0"/>
                      <w:divBdr>
                        <w:top w:val="none" w:sz="0" w:space="0" w:color="auto"/>
                        <w:left w:val="none" w:sz="0" w:space="0" w:color="auto"/>
                        <w:bottom w:val="none" w:sz="0" w:space="0" w:color="auto"/>
                        <w:right w:val="none" w:sz="0" w:space="0" w:color="auto"/>
                      </w:divBdr>
                      <w:divsChild>
                        <w:div w:id="207673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085241">
      <w:bodyDiv w:val="1"/>
      <w:marLeft w:val="0"/>
      <w:marRight w:val="0"/>
      <w:marTop w:val="0"/>
      <w:marBottom w:val="0"/>
      <w:divBdr>
        <w:top w:val="none" w:sz="0" w:space="0" w:color="auto"/>
        <w:left w:val="none" w:sz="0" w:space="0" w:color="auto"/>
        <w:bottom w:val="none" w:sz="0" w:space="0" w:color="auto"/>
        <w:right w:val="none" w:sz="0" w:space="0" w:color="auto"/>
      </w:divBdr>
    </w:div>
    <w:div w:id="393746743">
      <w:bodyDiv w:val="1"/>
      <w:marLeft w:val="4"/>
      <w:marRight w:val="4"/>
      <w:marTop w:val="4"/>
      <w:marBottom w:val="4"/>
      <w:divBdr>
        <w:top w:val="none" w:sz="0" w:space="0" w:color="auto"/>
        <w:left w:val="none" w:sz="0" w:space="0" w:color="auto"/>
        <w:bottom w:val="none" w:sz="0" w:space="0" w:color="auto"/>
        <w:right w:val="none" w:sz="0" w:space="0" w:color="auto"/>
      </w:divBdr>
      <w:divsChild>
        <w:div w:id="1613786907">
          <w:marLeft w:val="0"/>
          <w:marRight w:val="0"/>
          <w:marTop w:val="0"/>
          <w:marBottom w:val="0"/>
          <w:divBdr>
            <w:top w:val="none" w:sz="0" w:space="0" w:color="auto"/>
            <w:left w:val="none" w:sz="0" w:space="0" w:color="auto"/>
            <w:bottom w:val="none" w:sz="0" w:space="0" w:color="auto"/>
            <w:right w:val="none" w:sz="0" w:space="0" w:color="auto"/>
          </w:divBdr>
          <w:divsChild>
            <w:div w:id="1302806668">
              <w:marLeft w:val="0"/>
              <w:marRight w:val="0"/>
              <w:marTop w:val="0"/>
              <w:marBottom w:val="180"/>
              <w:divBdr>
                <w:top w:val="none" w:sz="0" w:space="0" w:color="auto"/>
                <w:left w:val="none" w:sz="0" w:space="0" w:color="auto"/>
                <w:bottom w:val="none" w:sz="0" w:space="0" w:color="auto"/>
                <w:right w:val="none" w:sz="0" w:space="0" w:color="auto"/>
              </w:divBdr>
              <w:divsChild>
                <w:div w:id="2091343103">
                  <w:marLeft w:val="0"/>
                  <w:marRight w:val="0"/>
                  <w:marTop w:val="0"/>
                  <w:marBottom w:val="0"/>
                  <w:divBdr>
                    <w:top w:val="none" w:sz="0" w:space="0" w:color="auto"/>
                    <w:left w:val="none" w:sz="0" w:space="0" w:color="auto"/>
                    <w:bottom w:val="none" w:sz="0" w:space="0" w:color="auto"/>
                    <w:right w:val="none" w:sz="0" w:space="0" w:color="auto"/>
                  </w:divBdr>
                  <w:divsChild>
                    <w:div w:id="26223955">
                      <w:marLeft w:val="0"/>
                      <w:marRight w:val="0"/>
                      <w:marTop w:val="0"/>
                      <w:marBottom w:val="0"/>
                      <w:divBdr>
                        <w:top w:val="none" w:sz="0" w:space="0" w:color="auto"/>
                        <w:left w:val="none" w:sz="0" w:space="0" w:color="auto"/>
                        <w:bottom w:val="none" w:sz="0" w:space="0" w:color="auto"/>
                        <w:right w:val="none" w:sz="0" w:space="0" w:color="auto"/>
                      </w:divBdr>
                      <w:divsChild>
                        <w:div w:id="16712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881477101">
      <w:bodyDiv w:val="1"/>
      <w:marLeft w:val="4"/>
      <w:marRight w:val="4"/>
      <w:marTop w:val="4"/>
      <w:marBottom w:val="4"/>
      <w:divBdr>
        <w:top w:val="none" w:sz="0" w:space="0" w:color="auto"/>
        <w:left w:val="none" w:sz="0" w:space="0" w:color="auto"/>
        <w:bottom w:val="none" w:sz="0" w:space="0" w:color="auto"/>
        <w:right w:val="none" w:sz="0" w:space="0" w:color="auto"/>
      </w:divBdr>
      <w:divsChild>
        <w:div w:id="1067454350">
          <w:marLeft w:val="0"/>
          <w:marRight w:val="0"/>
          <w:marTop w:val="0"/>
          <w:marBottom w:val="0"/>
          <w:divBdr>
            <w:top w:val="none" w:sz="0" w:space="0" w:color="auto"/>
            <w:left w:val="none" w:sz="0" w:space="0" w:color="auto"/>
            <w:bottom w:val="none" w:sz="0" w:space="0" w:color="auto"/>
            <w:right w:val="none" w:sz="0" w:space="0" w:color="auto"/>
          </w:divBdr>
          <w:divsChild>
            <w:div w:id="1422070567">
              <w:marLeft w:val="0"/>
              <w:marRight w:val="0"/>
              <w:marTop w:val="0"/>
              <w:marBottom w:val="180"/>
              <w:divBdr>
                <w:top w:val="none" w:sz="0" w:space="0" w:color="auto"/>
                <w:left w:val="none" w:sz="0" w:space="0" w:color="auto"/>
                <w:bottom w:val="none" w:sz="0" w:space="0" w:color="auto"/>
                <w:right w:val="none" w:sz="0" w:space="0" w:color="auto"/>
              </w:divBdr>
              <w:divsChild>
                <w:div w:id="247007722">
                  <w:marLeft w:val="0"/>
                  <w:marRight w:val="0"/>
                  <w:marTop w:val="0"/>
                  <w:marBottom w:val="0"/>
                  <w:divBdr>
                    <w:top w:val="none" w:sz="0" w:space="0" w:color="auto"/>
                    <w:left w:val="none" w:sz="0" w:space="0" w:color="auto"/>
                    <w:bottom w:val="none" w:sz="0" w:space="0" w:color="auto"/>
                    <w:right w:val="none" w:sz="0" w:space="0" w:color="auto"/>
                  </w:divBdr>
                  <w:divsChild>
                    <w:div w:id="578290829">
                      <w:marLeft w:val="0"/>
                      <w:marRight w:val="0"/>
                      <w:marTop w:val="0"/>
                      <w:marBottom w:val="0"/>
                      <w:divBdr>
                        <w:top w:val="none" w:sz="0" w:space="0" w:color="auto"/>
                        <w:left w:val="none" w:sz="0" w:space="0" w:color="auto"/>
                        <w:bottom w:val="none" w:sz="0" w:space="0" w:color="auto"/>
                        <w:right w:val="none" w:sz="0" w:space="0" w:color="auto"/>
                      </w:divBdr>
                      <w:divsChild>
                        <w:div w:id="6336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578476">
      <w:bodyDiv w:val="1"/>
      <w:marLeft w:val="4"/>
      <w:marRight w:val="4"/>
      <w:marTop w:val="4"/>
      <w:marBottom w:val="4"/>
      <w:divBdr>
        <w:top w:val="none" w:sz="0" w:space="0" w:color="auto"/>
        <w:left w:val="none" w:sz="0" w:space="0" w:color="auto"/>
        <w:bottom w:val="none" w:sz="0" w:space="0" w:color="auto"/>
        <w:right w:val="none" w:sz="0" w:space="0" w:color="auto"/>
      </w:divBdr>
      <w:divsChild>
        <w:div w:id="1901746093">
          <w:marLeft w:val="0"/>
          <w:marRight w:val="0"/>
          <w:marTop w:val="0"/>
          <w:marBottom w:val="0"/>
          <w:divBdr>
            <w:top w:val="none" w:sz="0" w:space="0" w:color="auto"/>
            <w:left w:val="none" w:sz="0" w:space="0" w:color="auto"/>
            <w:bottom w:val="none" w:sz="0" w:space="0" w:color="auto"/>
            <w:right w:val="none" w:sz="0" w:space="0" w:color="auto"/>
          </w:divBdr>
          <w:divsChild>
            <w:div w:id="1569265822">
              <w:marLeft w:val="0"/>
              <w:marRight w:val="0"/>
              <w:marTop w:val="0"/>
              <w:marBottom w:val="180"/>
              <w:divBdr>
                <w:top w:val="none" w:sz="0" w:space="0" w:color="auto"/>
                <w:left w:val="none" w:sz="0" w:space="0" w:color="auto"/>
                <w:bottom w:val="none" w:sz="0" w:space="0" w:color="auto"/>
                <w:right w:val="none" w:sz="0" w:space="0" w:color="auto"/>
              </w:divBdr>
              <w:divsChild>
                <w:div w:id="386345976">
                  <w:marLeft w:val="0"/>
                  <w:marRight w:val="0"/>
                  <w:marTop w:val="0"/>
                  <w:marBottom w:val="0"/>
                  <w:divBdr>
                    <w:top w:val="none" w:sz="0" w:space="0" w:color="auto"/>
                    <w:left w:val="none" w:sz="0" w:space="0" w:color="auto"/>
                    <w:bottom w:val="none" w:sz="0" w:space="0" w:color="auto"/>
                    <w:right w:val="none" w:sz="0" w:space="0" w:color="auto"/>
                  </w:divBdr>
                  <w:divsChild>
                    <w:div w:id="1994095812">
                      <w:marLeft w:val="0"/>
                      <w:marRight w:val="0"/>
                      <w:marTop w:val="0"/>
                      <w:marBottom w:val="0"/>
                      <w:divBdr>
                        <w:top w:val="none" w:sz="0" w:space="0" w:color="auto"/>
                        <w:left w:val="none" w:sz="0" w:space="0" w:color="auto"/>
                        <w:bottom w:val="none" w:sz="0" w:space="0" w:color="auto"/>
                        <w:right w:val="none" w:sz="0" w:space="0" w:color="auto"/>
                      </w:divBdr>
                      <w:divsChild>
                        <w:div w:id="11904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337783">
      <w:bodyDiv w:val="1"/>
      <w:marLeft w:val="4"/>
      <w:marRight w:val="4"/>
      <w:marTop w:val="4"/>
      <w:marBottom w:val="4"/>
      <w:divBdr>
        <w:top w:val="none" w:sz="0" w:space="0" w:color="auto"/>
        <w:left w:val="none" w:sz="0" w:space="0" w:color="auto"/>
        <w:bottom w:val="none" w:sz="0" w:space="0" w:color="auto"/>
        <w:right w:val="none" w:sz="0" w:space="0" w:color="auto"/>
      </w:divBdr>
      <w:divsChild>
        <w:div w:id="119686677">
          <w:marLeft w:val="0"/>
          <w:marRight w:val="0"/>
          <w:marTop w:val="0"/>
          <w:marBottom w:val="0"/>
          <w:divBdr>
            <w:top w:val="none" w:sz="0" w:space="0" w:color="auto"/>
            <w:left w:val="none" w:sz="0" w:space="0" w:color="auto"/>
            <w:bottom w:val="none" w:sz="0" w:space="0" w:color="auto"/>
            <w:right w:val="none" w:sz="0" w:space="0" w:color="auto"/>
          </w:divBdr>
          <w:divsChild>
            <w:div w:id="1211184068">
              <w:marLeft w:val="0"/>
              <w:marRight w:val="0"/>
              <w:marTop w:val="0"/>
              <w:marBottom w:val="180"/>
              <w:divBdr>
                <w:top w:val="none" w:sz="0" w:space="0" w:color="auto"/>
                <w:left w:val="none" w:sz="0" w:space="0" w:color="auto"/>
                <w:bottom w:val="none" w:sz="0" w:space="0" w:color="auto"/>
                <w:right w:val="none" w:sz="0" w:space="0" w:color="auto"/>
              </w:divBdr>
              <w:divsChild>
                <w:div w:id="1173688973">
                  <w:marLeft w:val="0"/>
                  <w:marRight w:val="0"/>
                  <w:marTop w:val="0"/>
                  <w:marBottom w:val="0"/>
                  <w:divBdr>
                    <w:top w:val="none" w:sz="0" w:space="0" w:color="auto"/>
                    <w:left w:val="none" w:sz="0" w:space="0" w:color="auto"/>
                    <w:bottom w:val="none" w:sz="0" w:space="0" w:color="auto"/>
                    <w:right w:val="none" w:sz="0" w:space="0" w:color="auto"/>
                  </w:divBdr>
                  <w:divsChild>
                    <w:div w:id="1213540653">
                      <w:marLeft w:val="0"/>
                      <w:marRight w:val="0"/>
                      <w:marTop w:val="0"/>
                      <w:marBottom w:val="0"/>
                      <w:divBdr>
                        <w:top w:val="none" w:sz="0" w:space="0" w:color="auto"/>
                        <w:left w:val="none" w:sz="0" w:space="0" w:color="auto"/>
                        <w:bottom w:val="none" w:sz="0" w:space="0" w:color="auto"/>
                        <w:right w:val="none" w:sz="0" w:space="0" w:color="auto"/>
                      </w:divBdr>
                      <w:divsChild>
                        <w:div w:id="10385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125513">
      <w:bodyDiv w:val="1"/>
      <w:marLeft w:val="0"/>
      <w:marRight w:val="0"/>
      <w:marTop w:val="0"/>
      <w:marBottom w:val="0"/>
      <w:divBdr>
        <w:top w:val="none" w:sz="0" w:space="0" w:color="auto"/>
        <w:left w:val="none" w:sz="0" w:space="0" w:color="auto"/>
        <w:bottom w:val="none" w:sz="0" w:space="0" w:color="auto"/>
        <w:right w:val="none" w:sz="0" w:space="0" w:color="auto"/>
      </w:divBdr>
    </w:div>
    <w:div w:id="1259674249">
      <w:bodyDiv w:val="1"/>
      <w:marLeft w:val="4"/>
      <w:marRight w:val="4"/>
      <w:marTop w:val="4"/>
      <w:marBottom w:val="4"/>
      <w:divBdr>
        <w:top w:val="none" w:sz="0" w:space="0" w:color="auto"/>
        <w:left w:val="none" w:sz="0" w:space="0" w:color="auto"/>
        <w:bottom w:val="none" w:sz="0" w:space="0" w:color="auto"/>
        <w:right w:val="none" w:sz="0" w:space="0" w:color="auto"/>
      </w:divBdr>
      <w:divsChild>
        <w:div w:id="424421391">
          <w:marLeft w:val="0"/>
          <w:marRight w:val="0"/>
          <w:marTop w:val="0"/>
          <w:marBottom w:val="0"/>
          <w:divBdr>
            <w:top w:val="none" w:sz="0" w:space="0" w:color="auto"/>
            <w:left w:val="none" w:sz="0" w:space="0" w:color="auto"/>
            <w:bottom w:val="none" w:sz="0" w:space="0" w:color="auto"/>
            <w:right w:val="none" w:sz="0" w:space="0" w:color="auto"/>
          </w:divBdr>
          <w:divsChild>
            <w:div w:id="1061945431">
              <w:marLeft w:val="0"/>
              <w:marRight w:val="0"/>
              <w:marTop w:val="0"/>
              <w:marBottom w:val="180"/>
              <w:divBdr>
                <w:top w:val="none" w:sz="0" w:space="0" w:color="auto"/>
                <w:left w:val="none" w:sz="0" w:space="0" w:color="auto"/>
                <w:bottom w:val="none" w:sz="0" w:space="0" w:color="auto"/>
                <w:right w:val="none" w:sz="0" w:space="0" w:color="auto"/>
              </w:divBdr>
              <w:divsChild>
                <w:div w:id="920065964">
                  <w:marLeft w:val="0"/>
                  <w:marRight w:val="0"/>
                  <w:marTop w:val="0"/>
                  <w:marBottom w:val="0"/>
                  <w:divBdr>
                    <w:top w:val="none" w:sz="0" w:space="0" w:color="auto"/>
                    <w:left w:val="none" w:sz="0" w:space="0" w:color="auto"/>
                    <w:bottom w:val="none" w:sz="0" w:space="0" w:color="auto"/>
                    <w:right w:val="none" w:sz="0" w:space="0" w:color="auto"/>
                  </w:divBdr>
                  <w:divsChild>
                    <w:div w:id="1856848465">
                      <w:marLeft w:val="0"/>
                      <w:marRight w:val="0"/>
                      <w:marTop w:val="0"/>
                      <w:marBottom w:val="0"/>
                      <w:divBdr>
                        <w:top w:val="none" w:sz="0" w:space="0" w:color="auto"/>
                        <w:left w:val="none" w:sz="0" w:space="0" w:color="auto"/>
                        <w:bottom w:val="none" w:sz="0" w:space="0" w:color="auto"/>
                        <w:right w:val="none" w:sz="0" w:space="0" w:color="auto"/>
                      </w:divBdr>
                      <w:divsChild>
                        <w:div w:id="2487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101752">
      <w:bodyDiv w:val="1"/>
      <w:marLeft w:val="0"/>
      <w:marRight w:val="0"/>
      <w:marTop w:val="0"/>
      <w:marBottom w:val="0"/>
      <w:divBdr>
        <w:top w:val="none" w:sz="0" w:space="0" w:color="auto"/>
        <w:left w:val="none" w:sz="0" w:space="0" w:color="auto"/>
        <w:bottom w:val="none" w:sz="0" w:space="0" w:color="auto"/>
        <w:right w:val="none" w:sz="0" w:space="0" w:color="auto"/>
      </w:divBdr>
    </w:div>
    <w:div w:id="1514220139">
      <w:bodyDiv w:val="1"/>
      <w:marLeft w:val="0"/>
      <w:marRight w:val="0"/>
      <w:marTop w:val="0"/>
      <w:marBottom w:val="0"/>
      <w:divBdr>
        <w:top w:val="none" w:sz="0" w:space="0" w:color="auto"/>
        <w:left w:val="none" w:sz="0" w:space="0" w:color="auto"/>
        <w:bottom w:val="none" w:sz="0" w:space="0" w:color="auto"/>
        <w:right w:val="none" w:sz="0" w:space="0" w:color="auto"/>
      </w:divBdr>
    </w:div>
    <w:div w:id="1529677844">
      <w:bodyDiv w:val="1"/>
      <w:marLeft w:val="4"/>
      <w:marRight w:val="4"/>
      <w:marTop w:val="4"/>
      <w:marBottom w:val="4"/>
      <w:divBdr>
        <w:top w:val="none" w:sz="0" w:space="0" w:color="auto"/>
        <w:left w:val="none" w:sz="0" w:space="0" w:color="auto"/>
        <w:bottom w:val="none" w:sz="0" w:space="0" w:color="auto"/>
        <w:right w:val="none" w:sz="0" w:space="0" w:color="auto"/>
      </w:divBdr>
      <w:divsChild>
        <w:div w:id="430244653">
          <w:marLeft w:val="0"/>
          <w:marRight w:val="0"/>
          <w:marTop w:val="0"/>
          <w:marBottom w:val="0"/>
          <w:divBdr>
            <w:top w:val="none" w:sz="0" w:space="0" w:color="auto"/>
            <w:left w:val="none" w:sz="0" w:space="0" w:color="auto"/>
            <w:bottom w:val="none" w:sz="0" w:space="0" w:color="auto"/>
            <w:right w:val="none" w:sz="0" w:space="0" w:color="auto"/>
          </w:divBdr>
          <w:divsChild>
            <w:div w:id="122575348">
              <w:marLeft w:val="0"/>
              <w:marRight w:val="0"/>
              <w:marTop w:val="0"/>
              <w:marBottom w:val="180"/>
              <w:divBdr>
                <w:top w:val="none" w:sz="0" w:space="0" w:color="auto"/>
                <w:left w:val="none" w:sz="0" w:space="0" w:color="auto"/>
                <w:bottom w:val="none" w:sz="0" w:space="0" w:color="auto"/>
                <w:right w:val="none" w:sz="0" w:space="0" w:color="auto"/>
              </w:divBdr>
              <w:divsChild>
                <w:div w:id="187378174">
                  <w:marLeft w:val="0"/>
                  <w:marRight w:val="0"/>
                  <w:marTop w:val="0"/>
                  <w:marBottom w:val="0"/>
                  <w:divBdr>
                    <w:top w:val="none" w:sz="0" w:space="0" w:color="auto"/>
                    <w:left w:val="none" w:sz="0" w:space="0" w:color="auto"/>
                    <w:bottom w:val="none" w:sz="0" w:space="0" w:color="auto"/>
                    <w:right w:val="none" w:sz="0" w:space="0" w:color="auto"/>
                  </w:divBdr>
                  <w:divsChild>
                    <w:div w:id="1434401576">
                      <w:marLeft w:val="0"/>
                      <w:marRight w:val="0"/>
                      <w:marTop w:val="0"/>
                      <w:marBottom w:val="0"/>
                      <w:divBdr>
                        <w:top w:val="none" w:sz="0" w:space="0" w:color="auto"/>
                        <w:left w:val="none" w:sz="0" w:space="0" w:color="auto"/>
                        <w:bottom w:val="none" w:sz="0" w:space="0" w:color="auto"/>
                        <w:right w:val="none" w:sz="0" w:space="0" w:color="auto"/>
                      </w:divBdr>
                      <w:divsChild>
                        <w:div w:id="16899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228297">
      <w:bodyDiv w:val="1"/>
      <w:marLeft w:val="0"/>
      <w:marRight w:val="0"/>
      <w:marTop w:val="0"/>
      <w:marBottom w:val="0"/>
      <w:divBdr>
        <w:top w:val="none" w:sz="0" w:space="0" w:color="auto"/>
        <w:left w:val="none" w:sz="0" w:space="0" w:color="auto"/>
        <w:bottom w:val="none" w:sz="0" w:space="0" w:color="auto"/>
        <w:right w:val="none" w:sz="0" w:space="0" w:color="auto"/>
      </w:divBdr>
    </w:div>
    <w:div w:id="20865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exposurerepor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indawi.com/journals/jeph/2013/278042/" TargetMode="External"/><Relationship Id="rId4" Type="http://schemas.microsoft.com/office/2007/relationships/stylesWithEffects" Target="stylesWithEffects.xml"/><Relationship Id="rId9" Type="http://schemas.openxmlformats.org/officeDocument/2006/relationships/hyperlink" Target="mailto:PKowalski@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76D0A-ABF4-4559-96D5-1B9104E5E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4882</Words>
  <Characters>27831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Attachment 1. Blood Lead and Urine Arsenic Levels in Anaconda, MT EI:  Supporting Statement A</vt:lpstr>
    </vt:vector>
  </TitlesOfParts>
  <Company>Centers for Disease Control and Prevention</Company>
  <LinksUpToDate>false</LinksUpToDate>
  <CharactersWithSpaces>32648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Blood Lead and Urine Arsenic Levels in Anaconda, MT EI:  Supporting Statement A</dc:title>
  <dc:creator>CDC User</dc:creator>
  <cp:lastModifiedBy>SYSTEM</cp:lastModifiedBy>
  <cp:revision>2</cp:revision>
  <cp:lastPrinted>2016-11-09T19:07:00Z</cp:lastPrinted>
  <dcterms:created xsi:type="dcterms:W3CDTF">2018-08-31T13:01:00Z</dcterms:created>
  <dcterms:modified xsi:type="dcterms:W3CDTF">2018-08-31T13:01:00Z</dcterms:modified>
</cp:coreProperties>
</file>