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2D44A" w14:textId="77777777" w:rsidR="00E34861" w:rsidRPr="003650DA" w:rsidRDefault="000526FB" w:rsidP="009F7507">
      <w:pPr>
        <w:spacing w:after="0" w:line="240" w:lineRule="auto"/>
        <w:jc w:val="center"/>
        <w:rPr>
          <w:b/>
          <w:sz w:val="28"/>
          <w:szCs w:val="28"/>
        </w:rPr>
      </w:pPr>
      <w:r w:rsidRPr="003650DA">
        <w:rPr>
          <w:b/>
          <w:sz w:val="28"/>
          <w:szCs w:val="28"/>
        </w:rPr>
        <w:t>Generic Information Collection (</w:t>
      </w:r>
      <w:proofErr w:type="spellStart"/>
      <w:r w:rsidRPr="003650DA">
        <w:rPr>
          <w:b/>
          <w:sz w:val="28"/>
          <w:szCs w:val="28"/>
        </w:rPr>
        <w:t>GenIC</w:t>
      </w:r>
      <w:proofErr w:type="spellEnd"/>
      <w:r w:rsidRPr="003650DA">
        <w:rPr>
          <w:b/>
          <w:sz w:val="28"/>
          <w:szCs w:val="28"/>
        </w:rPr>
        <w:t xml:space="preserve">) </w:t>
      </w:r>
      <w:r w:rsidR="00A73148" w:rsidRPr="003650DA">
        <w:rPr>
          <w:b/>
          <w:sz w:val="28"/>
          <w:szCs w:val="28"/>
        </w:rPr>
        <w:t>Submitt</w:t>
      </w:r>
      <w:r w:rsidR="00BB5A4C" w:rsidRPr="003650DA">
        <w:rPr>
          <w:b/>
          <w:sz w:val="28"/>
          <w:szCs w:val="28"/>
        </w:rPr>
        <w:t>al Form</w:t>
      </w:r>
      <w:r w:rsidR="00A73148" w:rsidRPr="003650DA">
        <w:rPr>
          <w:b/>
          <w:sz w:val="28"/>
          <w:szCs w:val="28"/>
        </w:rPr>
        <w:t xml:space="preserve"> for </w:t>
      </w:r>
    </w:p>
    <w:p w14:paraId="18E6D2A2" w14:textId="77777777" w:rsidR="00990609" w:rsidRPr="003650DA" w:rsidRDefault="00A73148">
      <w:pPr>
        <w:spacing w:after="0" w:line="240" w:lineRule="auto"/>
        <w:jc w:val="center"/>
        <w:rPr>
          <w:b/>
          <w:sz w:val="28"/>
          <w:szCs w:val="28"/>
        </w:rPr>
      </w:pPr>
      <w:r w:rsidRPr="003650DA">
        <w:rPr>
          <w:b/>
          <w:sz w:val="28"/>
          <w:szCs w:val="28"/>
        </w:rPr>
        <w:t>OMB Rev</w:t>
      </w:r>
      <w:r w:rsidR="002268E8" w:rsidRPr="003650DA">
        <w:rPr>
          <w:b/>
          <w:sz w:val="28"/>
          <w:szCs w:val="28"/>
        </w:rPr>
        <w:t xml:space="preserve">iew of </w:t>
      </w:r>
      <w:r w:rsidR="00C8371F" w:rsidRPr="003650DA">
        <w:rPr>
          <w:b/>
          <w:sz w:val="28"/>
          <w:szCs w:val="28"/>
        </w:rPr>
        <w:t xml:space="preserve">ATSDR </w:t>
      </w:r>
      <w:r w:rsidR="002268E8" w:rsidRPr="003650DA">
        <w:rPr>
          <w:b/>
          <w:sz w:val="28"/>
          <w:szCs w:val="28"/>
        </w:rPr>
        <w:t>Exposure Investigation</w:t>
      </w:r>
      <w:r w:rsidR="00BB5A4C" w:rsidRPr="003650DA">
        <w:rPr>
          <w:b/>
          <w:sz w:val="28"/>
          <w:szCs w:val="28"/>
        </w:rPr>
        <w:t>s</w:t>
      </w:r>
      <w:r w:rsidR="002268E8" w:rsidRPr="003650DA">
        <w:rPr>
          <w:b/>
          <w:sz w:val="28"/>
          <w:szCs w:val="28"/>
        </w:rPr>
        <w:t xml:space="preserve"> (EI</w:t>
      </w:r>
      <w:r w:rsidR="00BB5A4C" w:rsidRPr="003650DA">
        <w:rPr>
          <w:b/>
          <w:sz w:val="28"/>
          <w:szCs w:val="28"/>
        </w:rPr>
        <w:t>s</w:t>
      </w:r>
      <w:r w:rsidR="002268E8" w:rsidRPr="003650DA">
        <w:rPr>
          <w:b/>
          <w:sz w:val="28"/>
          <w:szCs w:val="28"/>
        </w:rPr>
        <w:t xml:space="preserve">) </w:t>
      </w:r>
      <w:r w:rsidR="00990609" w:rsidRPr="003650DA">
        <w:rPr>
          <w:b/>
          <w:sz w:val="28"/>
          <w:szCs w:val="28"/>
        </w:rPr>
        <w:t>(0923-004</w:t>
      </w:r>
      <w:r w:rsidR="00066D15" w:rsidRPr="003650DA">
        <w:rPr>
          <w:b/>
          <w:sz w:val="28"/>
          <w:szCs w:val="28"/>
        </w:rPr>
        <w:t>8</w:t>
      </w:r>
      <w:r w:rsidR="00990609" w:rsidRPr="003650DA">
        <w:rPr>
          <w:b/>
          <w:sz w:val="28"/>
          <w:szCs w:val="28"/>
        </w:rPr>
        <w:t>)</w:t>
      </w:r>
    </w:p>
    <w:p w14:paraId="6A2B49B8" w14:textId="77777777" w:rsidR="00990609" w:rsidRPr="003650DA" w:rsidRDefault="00990609" w:rsidP="009F7507">
      <w:pPr>
        <w:spacing w:after="0" w:line="240" w:lineRule="auto"/>
        <w:jc w:val="center"/>
        <w:rPr>
          <w:b/>
          <w:sz w:val="28"/>
          <w:szCs w:val="28"/>
        </w:rPr>
      </w:pPr>
    </w:p>
    <w:p w14:paraId="19B29576" w14:textId="39EB68C3" w:rsidR="00A64283" w:rsidRPr="003650DA" w:rsidRDefault="002268E8" w:rsidP="00E13816">
      <w:pPr>
        <w:rPr>
          <w:b/>
          <w:sz w:val="24"/>
          <w:szCs w:val="24"/>
        </w:rPr>
      </w:pPr>
      <w:r w:rsidRPr="003650DA">
        <w:rPr>
          <w:b/>
          <w:sz w:val="24"/>
          <w:szCs w:val="24"/>
        </w:rPr>
        <w:t>PROJECT TITLE</w:t>
      </w:r>
      <w:r w:rsidR="00952433" w:rsidRPr="003650DA">
        <w:rPr>
          <w:b/>
          <w:sz w:val="24"/>
          <w:szCs w:val="24"/>
        </w:rPr>
        <w:t xml:space="preserve">:  </w:t>
      </w:r>
      <w:r w:rsidR="00E13816" w:rsidRPr="00E13816">
        <w:rPr>
          <w:b/>
          <w:sz w:val="24"/>
          <w:szCs w:val="24"/>
        </w:rPr>
        <w:t>Drinking Water Exposure Investigation</w:t>
      </w:r>
      <w:r w:rsidR="00592032">
        <w:rPr>
          <w:b/>
          <w:sz w:val="24"/>
          <w:szCs w:val="24"/>
        </w:rPr>
        <w:t xml:space="preserve"> </w:t>
      </w:r>
      <w:r w:rsidR="00E13816" w:rsidRPr="00E13816">
        <w:rPr>
          <w:b/>
          <w:sz w:val="24"/>
          <w:szCs w:val="24"/>
        </w:rPr>
        <w:t>Dimock, PA</w:t>
      </w:r>
    </w:p>
    <w:p w14:paraId="45B8FEF4" w14:textId="0F05E4F8" w:rsidR="00146801" w:rsidRPr="008C1299" w:rsidRDefault="005119AF">
      <w:pPr>
        <w:rPr>
          <w:b/>
          <w:sz w:val="24"/>
          <w:szCs w:val="24"/>
        </w:rPr>
      </w:pPr>
      <w:r>
        <w:rPr>
          <w:b/>
          <w:sz w:val="24"/>
          <w:szCs w:val="24"/>
        </w:rPr>
        <w:t xml:space="preserve">SITE </w:t>
      </w:r>
      <w:r w:rsidR="00146801">
        <w:rPr>
          <w:b/>
          <w:sz w:val="24"/>
          <w:szCs w:val="24"/>
        </w:rPr>
        <w:t>LOCATION</w:t>
      </w:r>
      <w:r w:rsidR="00952433">
        <w:rPr>
          <w:b/>
          <w:sz w:val="24"/>
          <w:szCs w:val="24"/>
        </w:rPr>
        <w:t xml:space="preserve">:  </w:t>
      </w:r>
      <w:r w:rsidR="00C62534">
        <w:rPr>
          <w:b/>
          <w:sz w:val="24"/>
          <w:szCs w:val="24"/>
        </w:rPr>
        <w:t>Dimock</w:t>
      </w:r>
      <w:r w:rsidR="00F85DD2">
        <w:rPr>
          <w:b/>
          <w:sz w:val="24"/>
          <w:szCs w:val="24"/>
        </w:rPr>
        <w:t>,</w:t>
      </w:r>
      <w:r w:rsidR="00C62534">
        <w:rPr>
          <w:b/>
          <w:sz w:val="24"/>
          <w:szCs w:val="24"/>
        </w:rPr>
        <w:t xml:space="preserve"> Pennsylvania</w:t>
      </w:r>
    </w:p>
    <w:p w14:paraId="6519BFD7" w14:textId="27BABD78" w:rsidR="002C3309" w:rsidRDefault="002C3309">
      <w:pPr>
        <w:rPr>
          <w:b/>
          <w:sz w:val="24"/>
          <w:szCs w:val="24"/>
        </w:rPr>
      </w:pPr>
      <w:r>
        <w:rPr>
          <w:b/>
          <w:sz w:val="24"/>
          <w:szCs w:val="24"/>
        </w:rPr>
        <w:t>REQUESTED BURDEN HOURS</w:t>
      </w:r>
      <w:r w:rsidR="00245FE8" w:rsidRPr="00A3294E">
        <w:rPr>
          <w:b/>
          <w:sz w:val="24"/>
          <w:szCs w:val="24"/>
        </w:rPr>
        <w:t xml:space="preserve">:    </w:t>
      </w:r>
      <w:r w:rsidR="009F23BC" w:rsidRPr="00A3294E">
        <w:rPr>
          <w:b/>
          <w:sz w:val="24"/>
          <w:szCs w:val="24"/>
        </w:rPr>
        <w:t>30</w:t>
      </w:r>
    </w:p>
    <w:p w14:paraId="27E175D8" w14:textId="77777777" w:rsidR="00977D5F" w:rsidRDefault="00AD12BA">
      <w:pPr>
        <w:rPr>
          <w:b/>
          <w:sz w:val="24"/>
          <w:szCs w:val="24"/>
        </w:rPr>
      </w:pPr>
      <w:r>
        <w:rPr>
          <w:b/>
          <w:sz w:val="24"/>
          <w:szCs w:val="24"/>
        </w:rPr>
        <w:t xml:space="preserve">PROJECT </w:t>
      </w:r>
      <w:r w:rsidR="008C26C6">
        <w:rPr>
          <w:b/>
          <w:sz w:val="24"/>
          <w:szCs w:val="24"/>
        </w:rPr>
        <w:t>SUMMARY</w:t>
      </w:r>
    </w:p>
    <w:tbl>
      <w:tblPr>
        <w:tblStyle w:val="TableGrid"/>
        <w:tblW w:w="10296" w:type="dxa"/>
        <w:tblInd w:w="108" w:type="dxa"/>
        <w:tblLook w:val="04A0" w:firstRow="1" w:lastRow="0" w:firstColumn="1" w:lastColumn="0" w:noHBand="0" w:noVBand="1"/>
      </w:tblPr>
      <w:tblGrid>
        <w:gridCol w:w="3168"/>
        <w:gridCol w:w="7128"/>
      </w:tblGrid>
      <w:tr w:rsidR="00977D5F" w14:paraId="1E8F15E2" w14:textId="77777777" w:rsidTr="00B50EEF">
        <w:tc>
          <w:tcPr>
            <w:tcW w:w="3168" w:type="dxa"/>
            <w:vAlign w:val="center"/>
          </w:tcPr>
          <w:p w14:paraId="0F72B80A" w14:textId="77777777" w:rsidR="00977D5F" w:rsidRDefault="00977D5F" w:rsidP="005A3D6B">
            <w:pPr>
              <w:rPr>
                <w:b/>
                <w:sz w:val="24"/>
                <w:szCs w:val="24"/>
              </w:rPr>
            </w:pPr>
            <w:r>
              <w:rPr>
                <w:b/>
                <w:sz w:val="24"/>
                <w:szCs w:val="24"/>
              </w:rPr>
              <w:t>Principal Investigator(s):</w:t>
            </w:r>
          </w:p>
        </w:tc>
        <w:tc>
          <w:tcPr>
            <w:tcW w:w="7128" w:type="dxa"/>
            <w:vAlign w:val="center"/>
          </w:tcPr>
          <w:p w14:paraId="11D2E20C" w14:textId="67F82C32" w:rsidR="00A64283" w:rsidRDefault="00C62534" w:rsidP="005A3D6B">
            <w:pPr>
              <w:pStyle w:val="ListParagraph"/>
              <w:numPr>
                <w:ilvl w:val="0"/>
                <w:numId w:val="3"/>
              </w:numPr>
              <w:ind w:left="414"/>
              <w:rPr>
                <w:sz w:val="24"/>
                <w:szCs w:val="24"/>
              </w:rPr>
            </w:pPr>
            <w:r>
              <w:rPr>
                <w:sz w:val="24"/>
                <w:szCs w:val="24"/>
              </w:rPr>
              <w:t xml:space="preserve">Robert </w:t>
            </w:r>
            <w:proofErr w:type="spellStart"/>
            <w:r>
              <w:rPr>
                <w:sz w:val="24"/>
                <w:szCs w:val="24"/>
              </w:rPr>
              <w:t>Helverson</w:t>
            </w:r>
            <w:proofErr w:type="spellEnd"/>
            <w:r>
              <w:rPr>
                <w:sz w:val="24"/>
                <w:szCs w:val="24"/>
              </w:rPr>
              <w:t xml:space="preserve"> (ATSDR Region 3</w:t>
            </w:r>
            <w:r w:rsidR="00A64283">
              <w:rPr>
                <w:sz w:val="24"/>
                <w:szCs w:val="24"/>
              </w:rPr>
              <w:t>)</w:t>
            </w:r>
          </w:p>
          <w:p w14:paraId="62A764B3" w14:textId="31DAE882" w:rsidR="00A64283" w:rsidRDefault="00C62534" w:rsidP="005A3D6B">
            <w:pPr>
              <w:pStyle w:val="ListParagraph"/>
              <w:numPr>
                <w:ilvl w:val="0"/>
                <w:numId w:val="3"/>
              </w:numPr>
              <w:ind w:left="414"/>
              <w:rPr>
                <w:sz w:val="24"/>
                <w:szCs w:val="24"/>
              </w:rPr>
            </w:pPr>
            <w:r>
              <w:rPr>
                <w:sz w:val="24"/>
                <w:szCs w:val="24"/>
              </w:rPr>
              <w:t>Karen Scruton</w:t>
            </w:r>
            <w:r w:rsidR="00A64283">
              <w:rPr>
                <w:sz w:val="24"/>
                <w:szCs w:val="24"/>
              </w:rPr>
              <w:t xml:space="preserve"> (ATSDR </w:t>
            </w:r>
            <w:r>
              <w:rPr>
                <w:sz w:val="24"/>
                <w:szCs w:val="24"/>
              </w:rPr>
              <w:t>Headquarters</w:t>
            </w:r>
            <w:r w:rsidR="00A64283">
              <w:rPr>
                <w:sz w:val="24"/>
                <w:szCs w:val="24"/>
              </w:rPr>
              <w:t>)</w:t>
            </w:r>
          </w:p>
          <w:p w14:paraId="2E3E13EC" w14:textId="185017FF" w:rsidR="00FB52D0" w:rsidRPr="00A64283" w:rsidRDefault="00C62534" w:rsidP="00A64283">
            <w:pPr>
              <w:pStyle w:val="ListParagraph"/>
              <w:numPr>
                <w:ilvl w:val="0"/>
                <w:numId w:val="3"/>
              </w:numPr>
              <w:ind w:left="414"/>
              <w:rPr>
                <w:sz w:val="24"/>
                <w:szCs w:val="24"/>
              </w:rPr>
            </w:pPr>
            <w:r>
              <w:rPr>
                <w:sz w:val="24"/>
                <w:szCs w:val="24"/>
              </w:rPr>
              <w:t>Lora Werner (ATSDR Region 3</w:t>
            </w:r>
            <w:r w:rsidR="00977D5F">
              <w:rPr>
                <w:sz w:val="24"/>
                <w:szCs w:val="24"/>
              </w:rPr>
              <w:t>)</w:t>
            </w:r>
          </w:p>
        </w:tc>
      </w:tr>
      <w:tr w:rsidR="00977D5F" w14:paraId="34E8B2E3" w14:textId="77777777" w:rsidTr="00B50EEF">
        <w:tc>
          <w:tcPr>
            <w:tcW w:w="3168" w:type="dxa"/>
            <w:vAlign w:val="center"/>
          </w:tcPr>
          <w:p w14:paraId="72474E13" w14:textId="06DD145C" w:rsidR="00977D5F" w:rsidRDefault="00977D5F" w:rsidP="005A3D6B">
            <w:pPr>
              <w:rPr>
                <w:b/>
                <w:sz w:val="24"/>
                <w:szCs w:val="24"/>
              </w:rPr>
            </w:pPr>
            <w:r>
              <w:rPr>
                <w:b/>
                <w:sz w:val="24"/>
                <w:szCs w:val="24"/>
              </w:rPr>
              <w:t>Technical Assistance:</w:t>
            </w:r>
          </w:p>
        </w:tc>
        <w:tc>
          <w:tcPr>
            <w:tcW w:w="7128" w:type="dxa"/>
            <w:vAlign w:val="center"/>
          </w:tcPr>
          <w:p w14:paraId="348B19FA" w14:textId="6B0F87E1" w:rsidR="00977D5F" w:rsidRPr="002B7FAF" w:rsidRDefault="00FB52D0" w:rsidP="005A3D6B">
            <w:pPr>
              <w:pStyle w:val="ListParagraph"/>
              <w:numPr>
                <w:ilvl w:val="0"/>
                <w:numId w:val="2"/>
              </w:numPr>
              <w:ind w:left="414"/>
              <w:rPr>
                <w:b/>
                <w:sz w:val="24"/>
                <w:szCs w:val="24"/>
              </w:rPr>
            </w:pPr>
            <w:r>
              <w:rPr>
                <w:sz w:val="24"/>
                <w:szCs w:val="24"/>
              </w:rPr>
              <w:t xml:space="preserve">Region </w:t>
            </w:r>
            <w:r w:rsidR="00C62534">
              <w:rPr>
                <w:sz w:val="24"/>
                <w:szCs w:val="24"/>
              </w:rPr>
              <w:t>3</w:t>
            </w:r>
            <w:r>
              <w:rPr>
                <w:sz w:val="24"/>
                <w:szCs w:val="24"/>
              </w:rPr>
              <w:t xml:space="preserve"> Environmental Protection Agency (EPA)</w:t>
            </w:r>
            <w:r w:rsidR="00977D5F" w:rsidRPr="002B7FAF">
              <w:rPr>
                <w:sz w:val="24"/>
                <w:szCs w:val="24"/>
              </w:rPr>
              <w:t xml:space="preserve"> </w:t>
            </w:r>
          </w:p>
          <w:p w14:paraId="57705506" w14:textId="0A1A1926" w:rsidR="00241D1E" w:rsidRPr="00FB52D0" w:rsidRDefault="00C62534" w:rsidP="005A3D6B">
            <w:pPr>
              <w:pStyle w:val="ListParagraph"/>
              <w:numPr>
                <w:ilvl w:val="0"/>
                <w:numId w:val="2"/>
              </w:numPr>
              <w:ind w:left="414"/>
              <w:rPr>
                <w:b/>
                <w:sz w:val="24"/>
                <w:szCs w:val="24"/>
              </w:rPr>
            </w:pPr>
            <w:r>
              <w:rPr>
                <w:color w:val="000000"/>
                <w:sz w:val="24"/>
                <w:szCs w:val="24"/>
              </w:rPr>
              <w:t>Pennsylvania Department of Environmental Protection (PADEP)</w:t>
            </w:r>
          </w:p>
          <w:p w14:paraId="0B7AB2C8" w14:textId="7A3C8595" w:rsidR="00FB52D0" w:rsidRPr="002B7FAF" w:rsidRDefault="00C62534" w:rsidP="005A3D6B">
            <w:pPr>
              <w:pStyle w:val="ListParagraph"/>
              <w:numPr>
                <w:ilvl w:val="0"/>
                <w:numId w:val="2"/>
              </w:numPr>
              <w:ind w:left="414"/>
              <w:rPr>
                <w:b/>
                <w:sz w:val="24"/>
                <w:szCs w:val="24"/>
              </w:rPr>
            </w:pPr>
            <w:r>
              <w:rPr>
                <w:color w:val="000000"/>
                <w:sz w:val="24"/>
                <w:szCs w:val="24"/>
              </w:rPr>
              <w:t>Pennsylvania Department of Health (PADOH)</w:t>
            </w:r>
          </w:p>
          <w:p w14:paraId="7D294FD6" w14:textId="14792988" w:rsidR="00977D5F" w:rsidRPr="00977D5F" w:rsidRDefault="00C62534" w:rsidP="005A3D6B">
            <w:pPr>
              <w:pStyle w:val="ListParagraph"/>
              <w:numPr>
                <w:ilvl w:val="0"/>
                <w:numId w:val="2"/>
              </w:numPr>
              <w:ind w:left="414"/>
              <w:rPr>
                <w:b/>
                <w:sz w:val="24"/>
                <w:szCs w:val="24"/>
              </w:rPr>
            </w:pPr>
            <w:r>
              <w:rPr>
                <w:sz w:val="24"/>
                <w:szCs w:val="24"/>
              </w:rPr>
              <w:t>Eastern Research Group (ERG) - Contractor</w:t>
            </w:r>
          </w:p>
        </w:tc>
      </w:tr>
      <w:tr w:rsidR="00977D5F" w14:paraId="25C1773E" w14:textId="77777777" w:rsidTr="00700B89">
        <w:tc>
          <w:tcPr>
            <w:tcW w:w="3168" w:type="dxa"/>
            <w:vAlign w:val="center"/>
          </w:tcPr>
          <w:p w14:paraId="5E2388E7" w14:textId="77777777" w:rsidR="00977D5F" w:rsidRDefault="00977D5F" w:rsidP="005A3D6B">
            <w:pPr>
              <w:rPr>
                <w:b/>
                <w:sz w:val="24"/>
                <w:szCs w:val="24"/>
              </w:rPr>
            </w:pPr>
            <w:r w:rsidRPr="007F0688">
              <w:rPr>
                <w:b/>
                <w:sz w:val="24"/>
                <w:szCs w:val="24"/>
              </w:rPr>
              <w:t>Source of Request (state, petition, etc.):</w:t>
            </w:r>
          </w:p>
        </w:tc>
        <w:tc>
          <w:tcPr>
            <w:tcW w:w="7128" w:type="dxa"/>
            <w:vAlign w:val="center"/>
          </w:tcPr>
          <w:p w14:paraId="1447E8FA" w14:textId="7F957FCE" w:rsidR="00977D5F" w:rsidRPr="002F437A" w:rsidRDefault="00BC0793" w:rsidP="00106C97">
            <w:pPr>
              <w:rPr>
                <w:sz w:val="24"/>
                <w:szCs w:val="24"/>
              </w:rPr>
            </w:pPr>
            <w:r w:rsidRPr="002F437A">
              <w:rPr>
                <w:sz w:val="24"/>
                <w:szCs w:val="24"/>
              </w:rPr>
              <w:t xml:space="preserve">The Agency for Toxic Substances and Disease </w:t>
            </w:r>
            <w:r>
              <w:rPr>
                <w:sz w:val="24"/>
                <w:szCs w:val="24"/>
              </w:rPr>
              <w:t>(</w:t>
            </w:r>
            <w:r w:rsidR="00627597" w:rsidRPr="002F437A">
              <w:rPr>
                <w:sz w:val="24"/>
                <w:szCs w:val="24"/>
              </w:rPr>
              <w:t>ATSDR</w:t>
            </w:r>
            <w:r>
              <w:rPr>
                <w:sz w:val="24"/>
                <w:szCs w:val="24"/>
              </w:rPr>
              <w:t>)</w:t>
            </w:r>
            <w:r w:rsidR="00627597" w:rsidRPr="002F437A">
              <w:rPr>
                <w:sz w:val="24"/>
                <w:szCs w:val="24"/>
              </w:rPr>
              <w:t xml:space="preserve"> </w:t>
            </w:r>
            <w:r w:rsidR="00A64283" w:rsidRPr="002F437A">
              <w:rPr>
                <w:sz w:val="24"/>
                <w:szCs w:val="24"/>
              </w:rPr>
              <w:t>exposure investigation (</w:t>
            </w:r>
            <w:r w:rsidR="00627597" w:rsidRPr="002F437A">
              <w:rPr>
                <w:sz w:val="24"/>
                <w:szCs w:val="24"/>
              </w:rPr>
              <w:t>EI</w:t>
            </w:r>
            <w:r w:rsidR="00A64283" w:rsidRPr="002F437A">
              <w:rPr>
                <w:sz w:val="24"/>
                <w:szCs w:val="24"/>
              </w:rPr>
              <w:t>)</w:t>
            </w:r>
            <w:r w:rsidR="00627597" w:rsidRPr="002F437A">
              <w:rPr>
                <w:sz w:val="24"/>
                <w:szCs w:val="24"/>
              </w:rPr>
              <w:t xml:space="preserve"> </w:t>
            </w:r>
            <w:r w:rsidR="001079E3" w:rsidRPr="002F437A">
              <w:rPr>
                <w:sz w:val="24"/>
                <w:szCs w:val="24"/>
              </w:rPr>
              <w:t xml:space="preserve">will be conducted </w:t>
            </w:r>
            <w:r w:rsidR="00627597" w:rsidRPr="002F437A">
              <w:rPr>
                <w:sz w:val="24"/>
                <w:szCs w:val="24"/>
              </w:rPr>
              <w:t xml:space="preserve">in coordination with </w:t>
            </w:r>
            <w:r w:rsidR="001079E3" w:rsidRPr="002F437A">
              <w:rPr>
                <w:sz w:val="24"/>
                <w:szCs w:val="24"/>
              </w:rPr>
              <w:t>EPA.</w:t>
            </w:r>
          </w:p>
        </w:tc>
      </w:tr>
      <w:tr w:rsidR="00977D5F" w14:paraId="61AA36E6" w14:textId="77777777" w:rsidTr="00B3644B">
        <w:trPr>
          <w:trHeight w:val="800"/>
        </w:trPr>
        <w:tc>
          <w:tcPr>
            <w:tcW w:w="3168" w:type="dxa"/>
            <w:vAlign w:val="center"/>
          </w:tcPr>
          <w:p w14:paraId="0A0856C0" w14:textId="77777777" w:rsidR="00977D5F" w:rsidRDefault="00977D5F" w:rsidP="005A3D6B">
            <w:pPr>
              <w:rPr>
                <w:b/>
                <w:sz w:val="24"/>
                <w:szCs w:val="24"/>
              </w:rPr>
            </w:pPr>
            <w:r>
              <w:rPr>
                <w:b/>
                <w:sz w:val="24"/>
                <w:szCs w:val="24"/>
              </w:rPr>
              <w:t>Project Goals:</w:t>
            </w:r>
          </w:p>
        </w:tc>
        <w:tc>
          <w:tcPr>
            <w:tcW w:w="7128" w:type="dxa"/>
            <w:vAlign w:val="center"/>
          </w:tcPr>
          <w:p w14:paraId="3C8EA026" w14:textId="41B42936" w:rsidR="003A7C6D" w:rsidRPr="002F437A" w:rsidRDefault="003A7C6D" w:rsidP="003A7C6D">
            <w:pPr>
              <w:rPr>
                <w:sz w:val="24"/>
                <w:szCs w:val="24"/>
              </w:rPr>
            </w:pPr>
            <w:r w:rsidRPr="002F437A">
              <w:rPr>
                <w:sz w:val="24"/>
                <w:szCs w:val="24"/>
              </w:rPr>
              <w:t xml:space="preserve">The goals for the Drinking Water Exposure Investigation (EI) in Dimock, PA are to test residential well water, bulk water </w:t>
            </w:r>
            <w:proofErr w:type="gramStart"/>
            <w:r w:rsidRPr="002F437A">
              <w:rPr>
                <w:sz w:val="24"/>
                <w:szCs w:val="24"/>
              </w:rPr>
              <w:t>sources</w:t>
            </w:r>
            <w:proofErr w:type="gramEnd"/>
            <w:r w:rsidRPr="002F437A">
              <w:rPr>
                <w:sz w:val="24"/>
                <w:szCs w:val="24"/>
              </w:rPr>
              <w:t xml:space="preserve"> and indoor air to assess ingestion and inhalation exposure pathways at specific Dimock residences. ATSDR will perform the following actions:</w:t>
            </w:r>
          </w:p>
          <w:p w14:paraId="46A2B2D6" w14:textId="77777777" w:rsidR="003A7C6D" w:rsidRPr="002F437A" w:rsidRDefault="003A7C6D" w:rsidP="003A7C6D">
            <w:pPr>
              <w:pStyle w:val="s4"/>
              <w:numPr>
                <w:ilvl w:val="0"/>
                <w:numId w:val="23"/>
              </w:numPr>
              <w:spacing w:before="0" w:beforeAutospacing="0" w:after="0" w:afterAutospacing="0"/>
              <w:rPr>
                <w:rStyle w:val="bumpedfont15"/>
                <w:rFonts w:asciiTheme="minorHAnsi" w:hAnsiTheme="minorHAnsi"/>
              </w:rPr>
            </w:pPr>
            <w:r w:rsidRPr="002F437A">
              <w:rPr>
                <w:rStyle w:val="bumpedfont15"/>
                <w:rFonts w:asciiTheme="minorHAnsi" w:hAnsiTheme="minorHAnsi"/>
              </w:rPr>
              <w:t xml:space="preserve">Test private well water (at the tap and raw groundwater), as well as supplied bulk water sources, for a list of contaminants associated with natural gas drilling methods. </w:t>
            </w:r>
          </w:p>
          <w:p w14:paraId="6AB39E32" w14:textId="379DD795" w:rsidR="003A7C6D" w:rsidRPr="002F437A" w:rsidRDefault="003A7C6D" w:rsidP="003A7C6D">
            <w:pPr>
              <w:pStyle w:val="s4"/>
              <w:numPr>
                <w:ilvl w:val="0"/>
                <w:numId w:val="23"/>
              </w:numPr>
              <w:spacing w:before="0" w:beforeAutospacing="0" w:after="0" w:afterAutospacing="0"/>
              <w:rPr>
                <w:rStyle w:val="bumpedfont15"/>
                <w:rFonts w:asciiTheme="minorHAnsi" w:hAnsiTheme="minorHAnsi"/>
              </w:rPr>
            </w:pPr>
            <w:r w:rsidRPr="002F437A">
              <w:rPr>
                <w:rStyle w:val="bumpedfont15"/>
                <w:rFonts w:asciiTheme="minorHAnsi" w:hAnsiTheme="minorHAnsi"/>
              </w:rPr>
              <w:t xml:space="preserve">Monitor indoor air for total </w:t>
            </w:r>
            <w:r w:rsidR="00552388">
              <w:rPr>
                <w:rStyle w:val="bumpedfont15"/>
                <w:rFonts w:asciiTheme="minorHAnsi" w:hAnsiTheme="minorHAnsi"/>
              </w:rPr>
              <w:t>volatile organic compounds</w:t>
            </w:r>
            <w:r w:rsidRPr="002F437A">
              <w:rPr>
                <w:rStyle w:val="bumpedfont15"/>
                <w:rFonts w:asciiTheme="minorHAnsi" w:hAnsiTheme="minorHAnsi"/>
              </w:rPr>
              <w:t xml:space="preserve"> and combustible gas during water testing due to the presence of methane gas in samples tested by </w:t>
            </w:r>
            <w:r w:rsidRPr="002F437A">
              <w:rPr>
                <w:rStyle w:val="bumpedfont15"/>
                <w:rFonts w:asciiTheme="minorHAnsi" w:hAnsiTheme="minorHAnsi" w:cs="Tahoma"/>
              </w:rPr>
              <w:t>the U.S. Environmental Protection Agency (</w:t>
            </w:r>
            <w:r w:rsidRPr="002F437A">
              <w:rPr>
                <w:rStyle w:val="bumpedfont15"/>
                <w:rFonts w:asciiTheme="minorHAnsi" w:hAnsiTheme="minorHAnsi"/>
              </w:rPr>
              <w:t xml:space="preserve">EPA) in 2012. </w:t>
            </w:r>
          </w:p>
          <w:p w14:paraId="07C8D7EF" w14:textId="77777777" w:rsidR="003A7C6D" w:rsidRPr="002F437A" w:rsidRDefault="003A7C6D" w:rsidP="003A7C6D">
            <w:pPr>
              <w:pStyle w:val="s4"/>
              <w:numPr>
                <w:ilvl w:val="0"/>
                <w:numId w:val="23"/>
              </w:numPr>
              <w:spacing w:before="0" w:beforeAutospacing="0" w:after="0" w:afterAutospacing="0"/>
              <w:rPr>
                <w:rStyle w:val="bumpedfont15"/>
                <w:rFonts w:asciiTheme="minorHAnsi" w:hAnsiTheme="minorHAnsi"/>
              </w:rPr>
            </w:pPr>
            <w:r w:rsidRPr="002F437A">
              <w:rPr>
                <w:rStyle w:val="bumpedfont15"/>
                <w:rFonts w:asciiTheme="minorHAnsi" w:hAnsiTheme="minorHAnsi"/>
              </w:rPr>
              <w:t>Test water and indoor air for radon.</w:t>
            </w:r>
          </w:p>
          <w:p w14:paraId="00DE0D20" w14:textId="07B6F3B7" w:rsidR="00977D5F" w:rsidRPr="002F437A" w:rsidRDefault="00977D5F" w:rsidP="003A7C6D">
            <w:pPr>
              <w:rPr>
                <w:sz w:val="24"/>
                <w:szCs w:val="24"/>
              </w:rPr>
            </w:pPr>
          </w:p>
        </w:tc>
      </w:tr>
      <w:tr w:rsidR="00977D5F" w14:paraId="5726654A" w14:textId="77777777" w:rsidTr="00B50EEF">
        <w:tc>
          <w:tcPr>
            <w:tcW w:w="3168" w:type="dxa"/>
            <w:vAlign w:val="center"/>
          </w:tcPr>
          <w:p w14:paraId="5A091130" w14:textId="169A8D2D" w:rsidR="00977D5F" w:rsidRDefault="00977D5F" w:rsidP="005A3D6B">
            <w:pPr>
              <w:rPr>
                <w:b/>
                <w:sz w:val="24"/>
                <w:szCs w:val="24"/>
              </w:rPr>
            </w:pPr>
            <w:r>
              <w:rPr>
                <w:b/>
                <w:sz w:val="24"/>
                <w:szCs w:val="24"/>
              </w:rPr>
              <w:t>Project Objectives:</w:t>
            </w:r>
          </w:p>
        </w:tc>
        <w:tc>
          <w:tcPr>
            <w:tcW w:w="7128" w:type="dxa"/>
            <w:vAlign w:val="center"/>
          </w:tcPr>
          <w:p w14:paraId="1E3E6CD7" w14:textId="1B7A7110" w:rsidR="003A7C6D" w:rsidRPr="002F437A" w:rsidRDefault="003A7C6D" w:rsidP="003A7C6D">
            <w:pPr>
              <w:spacing w:after="100" w:afterAutospacing="1"/>
              <w:rPr>
                <w:sz w:val="24"/>
                <w:szCs w:val="24"/>
              </w:rPr>
            </w:pPr>
            <w:r w:rsidRPr="002F437A">
              <w:rPr>
                <w:sz w:val="24"/>
                <w:szCs w:val="24"/>
              </w:rPr>
              <w:t xml:space="preserve">The objectives of the EI at Dimock, PA are to determine whether constituents associated with natural gas drilling activities may be present in drinking water at levels that may result in health effects (chemical or radon exposure) or safety concerns (methane). </w:t>
            </w:r>
            <w:r w:rsidR="00150C04">
              <w:rPr>
                <w:sz w:val="24"/>
                <w:szCs w:val="24"/>
              </w:rPr>
              <w:t xml:space="preserve">Levels of concern are identified as levels of a contaminant that exceed ATSDR comparison values (CVS) or other contaminant-specific screening criteria. </w:t>
            </w:r>
            <w:r w:rsidRPr="002F437A">
              <w:rPr>
                <w:sz w:val="24"/>
                <w:szCs w:val="24"/>
              </w:rPr>
              <w:t>If this is the case, ATSDR will make the following recommendations to residents:</w:t>
            </w:r>
          </w:p>
          <w:p w14:paraId="5BE2470D" w14:textId="77777777" w:rsidR="003A7C6D" w:rsidRPr="002F437A" w:rsidRDefault="003A7C6D" w:rsidP="003A7C6D">
            <w:pPr>
              <w:pStyle w:val="ListParagraph"/>
              <w:numPr>
                <w:ilvl w:val="1"/>
                <w:numId w:val="24"/>
              </w:numPr>
              <w:spacing w:after="100" w:afterAutospacing="1"/>
              <w:rPr>
                <w:sz w:val="24"/>
                <w:szCs w:val="24"/>
              </w:rPr>
            </w:pPr>
            <w:r w:rsidRPr="002F437A">
              <w:rPr>
                <w:sz w:val="24"/>
                <w:szCs w:val="24"/>
              </w:rPr>
              <w:t>install a home water treatment system to address chemicals and methane in water or obtain an alternative source of drinking water, and</w:t>
            </w:r>
          </w:p>
          <w:p w14:paraId="12CC9A7D" w14:textId="77777777" w:rsidR="003A7C6D" w:rsidRPr="002F437A" w:rsidRDefault="003A7C6D" w:rsidP="003A7C6D">
            <w:pPr>
              <w:pStyle w:val="ListParagraph"/>
              <w:numPr>
                <w:ilvl w:val="1"/>
                <w:numId w:val="24"/>
              </w:numPr>
              <w:spacing w:after="100" w:afterAutospacing="1"/>
              <w:rPr>
                <w:sz w:val="24"/>
                <w:szCs w:val="24"/>
              </w:rPr>
            </w:pPr>
            <w:proofErr w:type="gramStart"/>
            <w:r w:rsidRPr="002F437A">
              <w:rPr>
                <w:sz w:val="24"/>
                <w:szCs w:val="24"/>
              </w:rPr>
              <w:lastRenderedPageBreak/>
              <w:t>install</w:t>
            </w:r>
            <w:proofErr w:type="gramEnd"/>
            <w:r w:rsidRPr="002F437A">
              <w:rPr>
                <w:sz w:val="24"/>
                <w:szCs w:val="24"/>
              </w:rPr>
              <w:t xml:space="preserve"> a radon treatment system if radon levels are found to be above the action level.</w:t>
            </w:r>
          </w:p>
          <w:p w14:paraId="4E4F5BF1" w14:textId="7FC07E05" w:rsidR="003A7C6D" w:rsidRPr="002F437A" w:rsidRDefault="003A7C6D" w:rsidP="003A7C6D">
            <w:pPr>
              <w:tabs>
                <w:tab w:val="left" w:pos="1545"/>
              </w:tabs>
              <w:spacing w:after="100" w:afterAutospacing="1"/>
              <w:rPr>
                <w:sz w:val="24"/>
                <w:szCs w:val="24"/>
              </w:rPr>
            </w:pPr>
            <w:r w:rsidRPr="002F437A">
              <w:rPr>
                <w:sz w:val="24"/>
                <w:szCs w:val="24"/>
              </w:rPr>
              <w:t>Data from ATSDR’s Dimock EI report</w:t>
            </w:r>
            <w:r w:rsidR="00507D43">
              <w:rPr>
                <w:sz w:val="24"/>
                <w:szCs w:val="24"/>
              </w:rPr>
              <w:t xml:space="preserve"> (sample in Attachment 7)</w:t>
            </w:r>
            <w:r w:rsidRPr="002F437A">
              <w:rPr>
                <w:sz w:val="24"/>
                <w:szCs w:val="24"/>
              </w:rPr>
              <w:t xml:space="preserve"> may be used by public health professionals, environmental risk managers, and other decision makers in determining the source and extent of the exposures. </w:t>
            </w:r>
          </w:p>
          <w:p w14:paraId="5586FEAC" w14:textId="77777777" w:rsidR="003A7C6D" w:rsidRPr="002F437A" w:rsidRDefault="003A7C6D" w:rsidP="003A7C6D">
            <w:pPr>
              <w:autoSpaceDE w:val="0"/>
              <w:autoSpaceDN w:val="0"/>
              <w:adjustRightInd w:val="0"/>
              <w:spacing w:after="100" w:afterAutospacing="1"/>
              <w:rPr>
                <w:bCs/>
                <w:sz w:val="24"/>
                <w:szCs w:val="24"/>
              </w:rPr>
            </w:pPr>
            <w:r w:rsidRPr="002F437A">
              <w:rPr>
                <w:sz w:val="24"/>
                <w:szCs w:val="24"/>
              </w:rPr>
              <w:t xml:space="preserve">ATSDR will produce this needed information to support public health action. Further, the results of this EI are not intended to be generalized and are applicable only to the participants.  </w:t>
            </w:r>
          </w:p>
          <w:p w14:paraId="4B8BAB36" w14:textId="672EAB32" w:rsidR="00977D5F" w:rsidRPr="002F437A" w:rsidRDefault="003A7C6D" w:rsidP="007959E9">
            <w:pPr>
              <w:tabs>
                <w:tab w:val="left" w:pos="1545"/>
              </w:tabs>
              <w:spacing w:after="100" w:afterAutospacing="1"/>
              <w:rPr>
                <w:i/>
                <w:sz w:val="24"/>
                <w:szCs w:val="24"/>
              </w:rPr>
            </w:pPr>
            <w:r w:rsidRPr="002F437A">
              <w:rPr>
                <w:sz w:val="24"/>
                <w:szCs w:val="24"/>
              </w:rPr>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sidRPr="002F437A">
              <w:rPr>
                <w:i/>
                <w:sz w:val="24"/>
                <w:szCs w:val="24"/>
              </w:rPr>
              <w:t>inherentl</w:t>
            </w:r>
            <w:r w:rsidR="007959E9" w:rsidRPr="002F437A">
              <w:rPr>
                <w:i/>
                <w:sz w:val="24"/>
                <w:szCs w:val="24"/>
              </w:rPr>
              <w:t>y person- or location-specific</w:t>
            </w:r>
            <w:r w:rsidR="002F437A" w:rsidRPr="002F437A">
              <w:rPr>
                <w:i/>
                <w:sz w:val="24"/>
                <w:szCs w:val="24"/>
              </w:rPr>
              <w:t>.</w:t>
            </w:r>
          </w:p>
          <w:p w14:paraId="7CB56D13" w14:textId="3B4E7282" w:rsidR="007959E9" w:rsidRPr="002F437A" w:rsidRDefault="007959E9" w:rsidP="007959E9">
            <w:pPr>
              <w:tabs>
                <w:tab w:val="left" w:pos="1545"/>
              </w:tabs>
              <w:spacing w:after="100" w:afterAutospacing="1"/>
              <w:rPr>
                <w:i/>
                <w:sz w:val="24"/>
                <w:szCs w:val="24"/>
              </w:rPr>
            </w:pPr>
          </w:p>
        </w:tc>
      </w:tr>
      <w:tr w:rsidR="00977D5F" w14:paraId="2F59FB9B" w14:textId="77777777" w:rsidTr="00B50EEF">
        <w:tc>
          <w:tcPr>
            <w:tcW w:w="3168" w:type="dxa"/>
            <w:vAlign w:val="center"/>
          </w:tcPr>
          <w:p w14:paraId="7708BD98" w14:textId="4834031E" w:rsidR="00977D5F" w:rsidRDefault="00977D5F" w:rsidP="005A3D6B">
            <w:pPr>
              <w:rPr>
                <w:b/>
                <w:sz w:val="24"/>
                <w:szCs w:val="24"/>
              </w:rPr>
            </w:pPr>
            <w:r>
              <w:rPr>
                <w:b/>
                <w:sz w:val="24"/>
                <w:szCs w:val="24"/>
              </w:rPr>
              <w:lastRenderedPageBreak/>
              <w:t>Environmental Sampling to be Completed:</w:t>
            </w:r>
          </w:p>
        </w:tc>
        <w:tc>
          <w:tcPr>
            <w:tcW w:w="7128" w:type="dxa"/>
            <w:vAlign w:val="center"/>
          </w:tcPr>
          <w:p w14:paraId="255E57C6" w14:textId="5A313933" w:rsidR="00977D5F" w:rsidRPr="002F437A" w:rsidRDefault="003A7C6D" w:rsidP="007959E9">
            <w:pPr>
              <w:rPr>
                <w:sz w:val="24"/>
                <w:szCs w:val="24"/>
              </w:rPr>
            </w:pPr>
            <w:r w:rsidRPr="002F437A">
              <w:rPr>
                <w:sz w:val="24"/>
                <w:szCs w:val="24"/>
              </w:rPr>
              <w:t xml:space="preserve">Testing drinking water, raw groundwater and bulk water for constituents associated with natural gas drilling activities. </w:t>
            </w:r>
            <w:r w:rsidR="006D25DA" w:rsidRPr="002F437A">
              <w:rPr>
                <w:sz w:val="24"/>
                <w:szCs w:val="24"/>
              </w:rPr>
              <w:t xml:space="preserve">In addition, </w:t>
            </w:r>
            <w:r w:rsidR="007959E9" w:rsidRPr="002F437A">
              <w:rPr>
                <w:sz w:val="24"/>
                <w:szCs w:val="24"/>
              </w:rPr>
              <w:t xml:space="preserve">testing </w:t>
            </w:r>
            <w:r w:rsidR="006D25DA" w:rsidRPr="002F437A">
              <w:rPr>
                <w:sz w:val="24"/>
                <w:szCs w:val="24"/>
              </w:rPr>
              <w:t>radon in water an</w:t>
            </w:r>
            <w:r w:rsidR="00BC7A12" w:rsidRPr="002F437A">
              <w:rPr>
                <w:sz w:val="24"/>
                <w:szCs w:val="24"/>
              </w:rPr>
              <w:t>d indoor air.</w:t>
            </w:r>
          </w:p>
        </w:tc>
      </w:tr>
      <w:tr w:rsidR="00977D5F" w14:paraId="14823B1C" w14:textId="77777777" w:rsidTr="00B50EEF">
        <w:tc>
          <w:tcPr>
            <w:tcW w:w="3168" w:type="dxa"/>
            <w:vAlign w:val="center"/>
          </w:tcPr>
          <w:p w14:paraId="2A163763" w14:textId="77777777" w:rsidR="00977D5F" w:rsidRDefault="00977D5F" w:rsidP="005A3D6B">
            <w:pPr>
              <w:rPr>
                <w:b/>
                <w:sz w:val="24"/>
                <w:szCs w:val="24"/>
              </w:rPr>
            </w:pPr>
            <w:r>
              <w:rPr>
                <w:b/>
                <w:sz w:val="24"/>
                <w:szCs w:val="24"/>
              </w:rPr>
              <w:t>Biological Sampling to be Completed:</w:t>
            </w:r>
          </w:p>
        </w:tc>
        <w:tc>
          <w:tcPr>
            <w:tcW w:w="7128" w:type="dxa"/>
            <w:vAlign w:val="center"/>
          </w:tcPr>
          <w:p w14:paraId="004FE7F4" w14:textId="5DDD38EE" w:rsidR="00EB0D65" w:rsidRPr="002F437A" w:rsidRDefault="006B2ABE" w:rsidP="006B2ABE">
            <w:pPr>
              <w:rPr>
                <w:sz w:val="24"/>
                <w:szCs w:val="24"/>
              </w:rPr>
            </w:pPr>
            <w:r w:rsidRPr="002F437A">
              <w:rPr>
                <w:sz w:val="24"/>
                <w:szCs w:val="24"/>
              </w:rPr>
              <w:t>No biological testing will be completed for the EI.</w:t>
            </w:r>
          </w:p>
        </w:tc>
      </w:tr>
      <w:tr w:rsidR="00977D5F" w14:paraId="30C36960" w14:textId="77777777" w:rsidTr="00B50EEF">
        <w:tc>
          <w:tcPr>
            <w:tcW w:w="3168" w:type="dxa"/>
            <w:vAlign w:val="center"/>
          </w:tcPr>
          <w:p w14:paraId="63224EE1" w14:textId="6E74224A" w:rsidR="00977D5F" w:rsidRDefault="00977D5F" w:rsidP="005A3D6B">
            <w:pPr>
              <w:rPr>
                <w:b/>
                <w:sz w:val="24"/>
                <w:szCs w:val="24"/>
              </w:rPr>
            </w:pPr>
            <w:r>
              <w:rPr>
                <w:b/>
                <w:sz w:val="24"/>
                <w:szCs w:val="24"/>
              </w:rPr>
              <w:t>Data Collection and Analysis Procedures:</w:t>
            </w:r>
          </w:p>
        </w:tc>
        <w:tc>
          <w:tcPr>
            <w:tcW w:w="7128" w:type="dxa"/>
            <w:vAlign w:val="center"/>
          </w:tcPr>
          <w:p w14:paraId="3638EE4E" w14:textId="77777777" w:rsidR="00C559A7" w:rsidRPr="002F437A" w:rsidRDefault="00B65000" w:rsidP="004B0DC0">
            <w:pPr>
              <w:rPr>
                <w:sz w:val="24"/>
                <w:szCs w:val="24"/>
              </w:rPr>
            </w:pPr>
            <w:r w:rsidRPr="002F437A">
              <w:rPr>
                <w:sz w:val="24"/>
                <w:szCs w:val="24"/>
                <w:u w:val="single"/>
              </w:rPr>
              <w:t>Recruitment of Participants:</w:t>
            </w:r>
            <w:r w:rsidR="004B0DC0" w:rsidRPr="002F437A">
              <w:rPr>
                <w:sz w:val="24"/>
                <w:szCs w:val="24"/>
                <w:u w:val="single"/>
              </w:rPr>
              <w:t xml:space="preserve"> </w:t>
            </w:r>
            <w:r w:rsidR="004B0DC0" w:rsidRPr="002F437A">
              <w:rPr>
                <w:sz w:val="24"/>
                <w:szCs w:val="24"/>
              </w:rPr>
              <w:t xml:space="preserve">Supporting Statements A and B are provided in Attachments 1 and 2. The Supporting Statements outline the EI data collection and analysis procedures. </w:t>
            </w:r>
          </w:p>
          <w:p w14:paraId="411AE6D9" w14:textId="77777777" w:rsidR="00C559A7" w:rsidRPr="002F437A" w:rsidRDefault="00C559A7" w:rsidP="004B0DC0">
            <w:pPr>
              <w:rPr>
                <w:sz w:val="24"/>
                <w:szCs w:val="24"/>
              </w:rPr>
            </w:pPr>
          </w:p>
          <w:p w14:paraId="74231E4B" w14:textId="77915741" w:rsidR="006B2ABE" w:rsidRPr="002F437A" w:rsidRDefault="00B020F2" w:rsidP="00B020F2">
            <w:pPr>
              <w:pStyle w:val="ListParagraph"/>
              <w:widowControl w:val="0"/>
              <w:numPr>
                <w:ilvl w:val="0"/>
                <w:numId w:val="27"/>
              </w:numPr>
              <w:autoSpaceDE w:val="0"/>
              <w:autoSpaceDN w:val="0"/>
              <w:adjustRightInd w:val="0"/>
              <w:spacing w:after="100" w:afterAutospacing="1"/>
              <w:rPr>
                <w:rStyle w:val="bumpedfont15"/>
                <w:rFonts w:cs="Times New Roman"/>
                <w:sz w:val="24"/>
                <w:szCs w:val="24"/>
              </w:rPr>
            </w:pPr>
            <w:r w:rsidRPr="002F437A">
              <w:rPr>
                <w:rFonts w:cs="Times New Roman"/>
                <w:sz w:val="24"/>
                <w:szCs w:val="24"/>
              </w:rPr>
              <w:t xml:space="preserve">Recruitment: </w:t>
            </w:r>
            <w:r w:rsidR="006B2ABE" w:rsidRPr="002F437A">
              <w:rPr>
                <w:rFonts w:cs="Times New Roman"/>
                <w:sz w:val="24"/>
                <w:szCs w:val="24"/>
              </w:rPr>
              <w:t>E</w:t>
            </w:r>
            <w:r w:rsidR="006B2ABE" w:rsidRPr="002F437A">
              <w:rPr>
                <w:rStyle w:val="bumpedfont15"/>
                <w:rFonts w:cs="Times New Roman"/>
                <w:sz w:val="24"/>
                <w:szCs w:val="24"/>
              </w:rPr>
              <w:t xml:space="preserve">I participants will be selected from the 64 residences tested by EPA in 2012 with a maximum of 20 homes being included in the EI. </w:t>
            </w:r>
            <w:r w:rsidR="006B2ABE" w:rsidRPr="002F437A">
              <w:rPr>
                <w:rFonts w:cs="Times New Roman"/>
                <w:sz w:val="24"/>
                <w:szCs w:val="24"/>
              </w:rPr>
              <w:t xml:space="preserve">An invitation letter and fact sheet will be sent to the 64 potential participants that outlines the EI objectives. The invitation letter and EI fact sheet are provided in </w:t>
            </w:r>
            <w:r w:rsidR="002E5C68">
              <w:rPr>
                <w:rFonts w:cs="Times New Roman"/>
                <w:sz w:val="24"/>
                <w:szCs w:val="24"/>
              </w:rPr>
              <w:t>Attachment 9</w:t>
            </w:r>
            <w:r w:rsidR="006B2ABE" w:rsidRPr="002F437A">
              <w:rPr>
                <w:rFonts w:cs="Times New Roman"/>
                <w:sz w:val="24"/>
                <w:szCs w:val="24"/>
              </w:rPr>
              <w:t xml:space="preserve">. </w:t>
            </w:r>
            <w:r w:rsidR="006B2ABE" w:rsidRPr="002F437A">
              <w:rPr>
                <w:rStyle w:val="bumpedfont15"/>
                <w:rFonts w:cs="Times New Roman"/>
                <w:sz w:val="24"/>
                <w:szCs w:val="24"/>
              </w:rPr>
              <w:t>The residences to be included in the EI will be identified using the following criteria:</w:t>
            </w:r>
          </w:p>
          <w:p w14:paraId="2E8E213C" w14:textId="48D7D518" w:rsidR="006B2ABE" w:rsidRPr="002F437A" w:rsidRDefault="006B2ABE" w:rsidP="00B020F2">
            <w:pPr>
              <w:pStyle w:val="ListParagraph"/>
              <w:widowControl w:val="0"/>
              <w:numPr>
                <w:ilvl w:val="0"/>
                <w:numId w:val="28"/>
              </w:numPr>
              <w:autoSpaceDE w:val="0"/>
              <w:autoSpaceDN w:val="0"/>
              <w:adjustRightInd w:val="0"/>
              <w:spacing w:after="100" w:afterAutospacing="1"/>
              <w:contextualSpacing w:val="0"/>
              <w:rPr>
                <w:rStyle w:val="bumpedfont15"/>
                <w:rFonts w:cs="Times New Roman"/>
                <w:sz w:val="24"/>
                <w:szCs w:val="24"/>
              </w:rPr>
            </w:pPr>
            <w:r w:rsidRPr="002F437A">
              <w:rPr>
                <w:rStyle w:val="bumpedfont15"/>
                <w:rFonts w:cs="Times New Roman"/>
                <w:sz w:val="24"/>
                <w:szCs w:val="24"/>
              </w:rPr>
              <w:t>Residences included in the 2012 EPA testing event that have</w:t>
            </w:r>
          </w:p>
          <w:p w14:paraId="0876BE30" w14:textId="77777777" w:rsidR="006B2ABE" w:rsidRPr="002F437A" w:rsidRDefault="006B2ABE" w:rsidP="00B020F2">
            <w:pPr>
              <w:pStyle w:val="ListParagraph"/>
              <w:numPr>
                <w:ilvl w:val="1"/>
                <w:numId w:val="28"/>
              </w:numPr>
              <w:spacing w:after="100" w:afterAutospacing="1"/>
              <w:contextualSpacing w:val="0"/>
              <w:rPr>
                <w:rStyle w:val="bumpedfont15"/>
                <w:rFonts w:cs="Times New Roman"/>
                <w:sz w:val="24"/>
                <w:szCs w:val="24"/>
              </w:rPr>
            </w:pPr>
            <w:r w:rsidRPr="002F437A">
              <w:rPr>
                <w:rStyle w:val="bumpedfont15"/>
                <w:rFonts w:cs="Times New Roman"/>
                <w:sz w:val="24"/>
                <w:szCs w:val="24"/>
              </w:rPr>
              <w:t>private well water identified as a health hazard in the 2016 HC that continues to be used as a source of potable water in the home, or</w:t>
            </w:r>
          </w:p>
          <w:p w14:paraId="4E6AF8ED" w14:textId="77777777" w:rsidR="006B2ABE" w:rsidRPr="002F437A" w:rsidRDefault="006B2ABE" w:rsidP="00B020F2">
            <w:pPr>
              <w:pStyle w:val="ListParagraph"/>
              <w:widowControl w:val="0"/>
              <w:numPr>
                <w:ilvl w:val="1"/>
                <w:numId w:val="28"/>
              </w:numPr>
              <w:autoSpaceDE w:val="0"/>
              <w:autoSpaceDN w:val="0"/>
              <w:adjustRightInd w:val="0"/>
              <w:spacing w:after="100" w:afterAutospacing="1"/>
              <w:contextualSpacing w:val="0"/>
              <w:rPr>
                <w:rStyle w:val="bumpedfont15"/>
                <w:rFonts w:cs="Times New Roman"/>
                <w:sz w:val="24"/>
                <w:szCs w:val="24"/>
              </w:rPr>
            </w:pPr>
            <w:r w:rsidRPr="002F437A">
              <w:rPr>
                <w:rStyle w:val="bumpedfont15"/>
                <w:rFonts w:cs="Times New Roman"/>
                <w:sz w:val="24"/>
                <w:szCs w:val="24"/>
              </w:rPr>
              <w:t xml:space="preserve">an existing concern about the quality of their water, e.g., detections near or exceeding level of concern, discoloration or bubbling of water, and proximity of well to natural gas </w:t>
            </w:r>
            <w:r w:rsidRPr="002F437A">
              <w:rPr>
                <w:rStyle w:val="bumpedfont15"/>
                <w:rFonts w:cs="Times New Roman"/>
                <w:sz w:val="24"/>
                <w:szCs w:val="24"/>
              </w:rPr>
              <w:lastRenderedPageBreak/>
              <w:t>production wells.</w:t>
            </w:r>
          </w:p>
          <w:p w14:paraId="78DC837C" w14:textId="42037B83" w:rsidR="006B2ABE" w:rsidRPr="002F437A" w:rsidRDefault="006B2ABE" w:rsidP="00B020F2">
            <w:pPr>
              <w:pStyle w:val="ListParagraph"/>
              <w:numPr>
                <w:ilvl w:val="0"/>
                <w:numId w:val="28"/>
              </w:numPr>
              <w:spacing w:after="100" w:afterAutospacing="1"/>
              <w:contextualSpacing w:val="0"/>
              <w:rPr>
                <w:rStyle w:val="bumpedfont15"/>
                <w:rFonts w:cs="Times New Roman"/>
                <w:sz w:val="24"/>
                <w:szCs w:val="24"/>
              </w:rPr>
            </w:pPr>
            <w:r w:rsidRPr="002F437A">
              <w:rPr>
                <w:rStyle w:val="bumpedfont15"/>
                <w:rFonts w:cs="Times New Roman"/>
                <w:sz w:val="24"/>
                <w:szCs w:val="24"/>
              </w:rPr>
              <w:t>If greater than 20 residences me</w:t>
            </w:r>
            <w:r w:rsidR="009F23BC">
              <w:rPr>
                <w:rStyle w:val="bumpedfont15"/>
                <w:rFonts w:cs="Times New Roman"/>
                <w:sz w:val="24"/>
                <w:szCs w:val="24"/>
              </w:rPr>
              <w:t>e</w:t>
            </w:r>
            <w:r w:rsidRPr="002F437A">
              <w:rPr>
                <w:rStyle w:val="bumpedfont15"/>
                <w:rFonts w:cs="Times New Roman"/>
                <w:sz w:val="24"/>
                <w:szCs w:val="24"/>
              </w:rPr>
              <w:t>t the criteria, participants will be selected based on the results of the 2012 EPA testing: Those with well water with the highest number and/or concentration of contaminants of concern will be given priority for inclusion in the EI.</w:t>
            </w:r>
            <w:r w:rsidR="002E5C68">
              <w:rPr>
                <w:rStyle w:val="bumpedfont15"/>
                <w:rFonts w:cs="Times New Roman"/>
                <w:sz w:val="24"/>
                <w:szCs w:val="24"/>
              </w:rPr>
              <w:t xml:space="preserve"> Contaminants will be evaluated using ATSDR </w:t>
            </w:r>
            <w:r w:rsidR="00601352">
              <w:rPr>
                <w:rStyle w:val="bumpedfont15"/>
                <w:rFonts w:cs="Times New Roman"/>
                <w:sz w:val="24"/>
                <w:szCs w:val="24"/>
              </w:rPr>
              <w:t xml:space="preserve">comparison </w:t>
            </w:r>
            <w:proofErr w:type="gramStart"/>
            <w:r w:rsidR="00601352">
              <w:rPr>
                <w:rStyle w:val="bumpedfont15"/>
                <w:rFonts w:cs="Times New Roman"/>
                <w:sz w:val="24"/>
                <w:szCs w:val="24"/>
              </w:rPr>
              <w:t xml:space="preserve">values </w:t>
            </w:r>
            <w:r w:rsidR="002E5C68">
              <w:rPr>
                <w:rStyle w:val="bumpedfont15"/>
                <w:rFonts w:cs="Times New Roman"/>
                <w:sz w:val="24"/>
                <w:szCs w:val="24"/>
              </w:rPr>
              <w:t xml:space="preserve"> and</w:t>
            </w:r>
            <w:proofErr w:type="gramEnd"/>
            <w:r w:rsidR="002E5C68">
              <w:rPr>
                <w:rStyle w:val="bumpedfont15"/>
                <w:rFonts w:cs="Times New Roman"/>
                <w:sz w:val="24"/>
                <w:szCs w:val="24"/>
              </w:rPr>
              <w:t xml:space="preserve"> </w:t>
            </w:r>
            <w:r w:rsidR="00150C04">
              <w:rPr>
                <w:rStyle w:val="bumpedfont15"/>
                <w:rFonts w:cs="Times New Roman"/>
                <w:sz w:val="24"/>
                <w:szCs w:val="24"/>
              </w:rPr>
              <w:t>other contaminant-specific screening criteria</w:t>
            </w:r>
            <w:r w:rsidR="002E5C68">
              <w:rPr>
                <w:rStyle w:val="bumpedfont15"/>
                <w:rFonts w:cs="Times New Roman"/>
                <w:sz w:val="24"/>
                <w:szCs w:val="24"/>
              </w:rPr>
              <w:t>.</w:t>
            </w:r>
          </w:p>
          <w:p w14:paraId="6C0DD449" w14:textId="322B4FE1" w:rsidR="0076482D" w:rsidRPr="002F437A" w:rsidRDefault="006B2ABE" w:rsidP="00BD1DE4">
            <w:pPr>
              <w:pStyle w:val="ListParagraph"/>
              <w:numPr>
                <w:ilvl w:val="0"/>
                <w:numId w:val="8"/>
              </w:numPr>
              <w:rPr>
                <w:sz w:val="24"/>
                <w:szCs w:val="24"/>
              </w:rPr>
            </w:pPr>
            <w:r w:rsidRPr="002F437A">
              <w:rPr>
                <w:sz w:val="24"/>
                <w:szCs w:val="24"/>
              </w:rPr>
              <w:t>C</w:t>
            </w:r>
            <w:r w:rsidR="00593A63" w:rsidRPr="002F437A">
              <w:rPr>
                <w:sz w:val="24"/>
                <w:szCs w:val="24"/>
              </w:rPr>
              <w:t>ollection:</w:t>
            </w:r>
            <w:r w:rsidR="005A6D67" w:rsidRPr="002F437A">
              <w:rPr>
                <w:sz w:val="24"/>
                <w:szCs w:val="24"/>
              </w:rPr>
              <w:t xml:space="preserve"> </w:t>
            </w:r>
            <w:r w:rsidR="0076482D" w:rsidRPr="002F437A">
              <w:rPr>
                <w:sz w:val="24"/>
                <w:szCs w:val="24"/>
              </w:rPr>
              <w:t xml:space="preserve">All participants will be provided </w:t>
            </w:r>
            <w:r w:rsidR="00E41AC1" w:rsidRPr="002F437A">
              <w:rPr>
                <w:sz w:val="24"/>
                <w:szCs w:val="24"/>
              </w:rPr>
              <w:t xml:space="preserve">a </w:t>
            </w:r>
            <w:r w:rsidR="005C389D" w:rsidRPr="002F437A">
              <w:rPr>
                <w:sz w:val="24"/>
                <w:szCs w:val="24"/>
              </w:rPr>
              <w:t>consent</w:t>
            </w:r>
            <w:r w:rsidR="0076482D" w:rsidRPr="002F437A">
              <w:rPr>
                <w:sz w:val="24"/>
                <w:szCs w:val="24"/>
              </w:rPr>
              <w:t xml:space="preserve"> form</w:t>
            </w:r>
            <w:r w:rsidR="00120CFC">
              <w:rPr>
                <w:sz w:val="24"/>
                <w:szCs w:val="24"/>
              </w:rPr>
              <w:t xml:space="preserve"> (Attachment 3)</w:t>
            </w:r>
            <w:r w:rsidR="0076482D" w:rsidRPr="002F437A">
              <w:rPr>
                <w:sz w:val="24"/>
                <w:szCs w:val="24"/>
              </w:rPr>
              <w:t xml:space="preserve"> to sign</w:t>
            </w:r>
            <w:r w:rsidR="00147B01" w:rsidRPr="002F437A">
              <w:rPr>
                <w:sz w:val="24"/>
                <w:szCs w:val="24"/>
              </w:rPr>
              <w:t xml:space="preserve"> </w:t>
            </w:r>
            <w:r w:rsidR="000929E7" w:rsidRPr="002F437A">
              <w:rPr>
                <w:sz w:val="24"/>
                <w:szCs w:val="24"/>
              </w:rPr>
              <w:t>to allow ATSDR to conduct the testing</w:t>
            </w:r>
            <w:r w:rsidR="00611BBC" w:rsidRPr="002F437A">
              <w:rPr>
                <w:sz w:val="24"/>
                <w:szCs w:val="24"/>
              </w:rPr>
              <w:t xml:space="preserve">. </w:t>
            </w:r>
            <w:r w:rsidR="000929E7" w:rsidRPr="002F437A">
              <w:rPr>
                <w:sz w:val="24"/>
                <w:szCs w:val="24"/>
              </w:rPr>
              <w:t xml:space="preserve"> Participants </w:t>
            </w:r>
            <w:r w:rsidR="0076482D" w:rsidRPr="002F437A">
              <w:rPr>
                <w:sz w:val="24"/>
                <w:szCs w:val="24"/>
              </w:rPr>
              <w:t xml:space="preserve">will be asked </w:t>
            </w:r>
            <w:r w:rsidR="00E27222" w:rsidRPr="002F437A">
              <w:rPr>
                <w:sz w:val="24"/>
                <w:szCs w:val="24"/>
              </w:rPr>
              <w:t>questions to allow a better interpretation of</w:t>
            </w:r>
            <w:r w:rsidR="00B54838" w:rsidRPr="002F437A">
              <w:rPr>
                <w:sz w:val="24"/>
                <w:szCs w:val="24"/>
              </w:rPr>
              <w:t xml:space="preserve"> </w:t>
            </w:r>
            <w:r w:rsidR="000929E7" w:rsidRPr="002F437A">
              <w:rPr>
                <w:sz w:val="24"/>
                <w:szCs w:val="24"/>
              </w:rPr>
              <w:t>testing</w:t>
            </w:r>
            <w:r w:rsidR="0078138E" w:rsidRPr="002F437A">
              <w:rPr>
                <w:sz w:val="24"/>
                <w:szCs w:val="24"/>
              </w:rPr>
              <w:t xml:space="preserve"> </w:t>
            </w:r>
            <w:r w:rsidR="00E27222" w:rsidRPr="002F437A">
              <w:rPr>
                <w:sz w:val="24"/>
                <w:szCs w:val="24"/>
              </w:rPr>
              <w:t xml:space="preserve">results. The questionnaire to be used in the EI is attached (Attachment </w:t>
            </w:r>
            <w:r w:rsidR="00B348E2" w:rsidRPr="002F437A">
              <w:rPr>
                <w:sz w:val="24"/>
                <w:szCs w:val="24"/>
              </w:rPr>
              <w:t>4</w:t>
            </w:r>
            <w:r w:rsidR="00E27222" w:rsidRPr="002F437A">
              <w:rPr>
                <w:sz w:val="24"/>
                <w:szCs w:val="24"/>
              </w:rPr>
              <w:t>)</w:t>
            </w:r>
            <w:r w:rsidR="005A6D67" w:rsidRPr="002F437A">
              <w:rPr>
                <w:sz w:val="24"/>
                <w:szCs w:val="24"/>
              </w:rPr>
              <w:t>, and is estimated to take 20 minutes to complete.</w:t>
            </w:r>
          </w:p>
          <w:p w14:paraId="6995E86E" w14:textId="4AB85340" w:rsidR="001C2596" w:rsidRPr="002F437A" w:rsidRDefault="001C2596" w:rsidP="00B50EEF">
            <w:pPr>
              <w:pStyle w:val="ListParagraph"/>
              <w:numPr>
                <w:ilvl w:val="0"/>
                <w:numId w:val="8"/>
              </w:numPr>
              <w:rPr>
                <w:sz w:val="24"/>
                <w:szCs w:val="24"/>
              </w:rPr>
            </w:pPr>
            <w:r w:rsidRPr="002F437A">
              <w:rPr>
                <w:sz w:val="24"/>
                <w:szCs w:val="24"/>
              </w:rPr>
              <w:t xml:space="preserve">The </w:t>
            </w:r>
            <w:r w:rsidR="00AC57A7" w:rsidRPr="002F437A">
              <w:rPr>
                <w:sz w:val="24"/>
                <w:szCs w:val="24"/>
              </w:rPr>
              <w:t xml:space="preserve">human </w:t>
            </w:r>
            <w:proofErr w:type="gramStart"/>
            <w:r w:rsidR="00AC57A7" w:rsidRPr="002F437A">
              <w:rPr>
                <w:sz w:val="24"/>
                <w:szCs w:val="24"/>
              </w:rPr>
              <w:t>subjects</w:t>
            </w:r>
            <w:proofErr w:type="gramEnd"/>
            <w:r w:rsidRPr="002F437A">
              <w:rPr>
                <w:sz w:val="24"/>
                <w:szCs w:val="24"/>
              </w:rPr>
              <w:t xml:space="preserve"> d</w:t>
            </w:r>
            <w:r w:rsidR="00D32CFC" w:rsidRPr="002F437A">
              <w:rPr>
                <w:sz w:val="24"/>
                <w:szCs w:val="24"/>
              </w:rPr>
              <w:t>etermination</w:t>
            </w:r>
            <w:r w:rsidRPr="002F437A">
              <w:rPr>
                <w:sz w:val="24"/>
                <w:szCs w:val="24"/>
              </w:rPr>
              <w:t xml:space="preserve"> is provided in Attachment </w:t>
            </w:r>
            <w:r w:rsidR="000929E7" w:rsidRPr="002F437A">
              <w:rPr>
                <w:sz w:val="24"/>
                <w:szCs w:val="24"/>
              </w:rPr>
              <w:t>8</w:t>
            </w:r>
            <w:r w:rsidRPr="002F437A">
              <w:rPr>
                <w:sz w:val="24"/>
                <w:szCs w:val="24"/>
              </w:rPr>
              <w:t xml:space="preserve">. </w:t>
            </w:r>
            <w:r w:rsidR="00245FE8" w:rsidRPr="002F437A">
              <w:rPr>
                <w:sz w:val="24"/>
                <w:szCs w:val="24"/>
              </w:rPr>
              <w:t>The EI</w:t>
            </w:r>
            <w:r w:rsidRPr="002F437A">
              <w:rPr>
                <w:sz w:val="24"/>
                <w:szCs w:val="24"/>
              </w:rPr>
              <w:t xml:space="preserve"> is not considered a research study</w:t>
            </w:r>
            <w:r w:rsidR="008529CA" w:rsidRPr="002F437A">
              <w:rPr>
                <w:sz w:val="24"/>
                <w:szCs w:val="24"/>
              </w:rPr>
              <w:t>;</w:t>
            </w:r>
            <w:r w:rsidRPr="002F437A">
              <w:rPr>
                <w:sz w:val="24"/>
                <w:szCs w:val="24"/>
              </w:rPr>
              <w:t xml:space="preserve"> </w:t>
            </w:r>
            <w:r w:rsidR="008529CA" w:rsidRPr="002F437A">
              <w:rPr>
                <w:sz w:val="24"/>
                <w:szCs w:val="24"/>
              </w:rPr>
              <w:t>i</w:t>
            </w:r>
            <w:r w:rsidRPr="002F437A">
              <w:rPr>
                <w:sz w:val="24"/>
                <w:szCs w:val="24"/>
              </w:rPr>
              <w:t xml:space="preserve">ts primary intent is </w:t>
            </w:r>
            <w:r w:rsidR="00995A52" w:rsidRPr="002F437A">
              <w:rPr>
                <w:sz w:val="24"/>
                <w:szCs w:val="24"/>
              </w:rPr>
              <w:t xml:space="preserve">to provide a </w:t>
            </w:r>
            <w:r w:rsidRPr="002F437A">
              <w:rPr>
                <w:sz w:val="24"/>
                <w:szCs w:val="24"/>
              </w:rPr>
              <w:t xml:space="preserve">public health </w:t>
            </w:r>
            <w:r w:rsidR="00995A52" w:rsidRPr="002F437A">
              <w:rPr>
                <w:sz w:val="24"/>
                <w:szCs w:val="24"/>
              </w:rPr>
              <w:t>service for the community</w:t>
            </w:r>
            <w:r w:rsidRPr="002F437A">
              <w:rPr>
                <w:sz w:val="24"/>
                <w:szCs w:val="24"/>
              </w:rPr>
              <w:t>.</w:t>
            </w:r>
          </w:p>
          <w:p w14:paraId="002C50EF" w14:textId="77777777" w:rsidR="006C2E1C" w:rsidRPr="002F437A" w:rsidRDefault="006C2E1C" w:rsidP="00B50EEF">
            <w:pPr>
              <w:rPr>
                <w:sz w:val="24"/>
                <w:szCs w:val="24"/>
                <w:u w:val="single"/>
              </w:rPr>
            </w:pPr>
            <w:r w:rsidRPr="002F437A">
              <w:rPr>
                <w:sz w:val="24"/>
                <w:szCs w:val="24"/>
                <w:u w:val="single"/>
              </w:rPr>
              <w:t>Analysis:</w:t>
            </w:r>
          </w:p>
          <w:p w14:paraId="3919E06C" w14:textId="2E1E942E" w:rsidR="006C2E1C" w:rsidRPr="002F437A" w:rsidRDefault="006C2E1C" w:rsidP="0015250A">
            <w:pPr>
              <w:pStyle w:val="ListParagraph"/>
              <w:numPr>
                <w:ilvl w:val="0"/>
                <w:numId w:val="7"/>
              </w:numPr>
              <w:rPr>
                <w:sz w:val="24"/>
                <w:szCs w:val="24"/>
              </w:rPr>
            </w:pPr>
            <w:r w:rsidRPr="002F437A">
              <w:rPr>
                <w:sz w:val="24"/>
                <w:szCs w:val="24"/>
              </w:rPr>
              <w:t xml:space="preserve">The samples will be </w:t>
            </w:r>
            <w:r w:rsidR="00BA09ED" w:rsidRPr="002F437A">
              <w:rPr>
                <w:sz w:val="24"/>
                <w:szCs w:val="24"/>
              </w:rPr>
              <w:t>analy</w:t>
            </w:r>
            <w:r w:rsidR="00E36E2D" w:rsidRPr="002F437A">
              <w:rPr>
                <w:sz w:val="24"/>
                <w:szCs w:val="24"/>
              </w:rPr>
              <w:t>z</w:t>
            </w:r>
            <w:r w:rsidR="00BA09ED" w:rsidRPr="002F437A">
              <w:rPr>
                <w:sz w:val="24"/>
                <w:szCs w:val="24"/>
              </w:rPr>
              <w:t xml:space="preserve">ed </w:t>
            </w:r>
            <w:r w:rsidRPr="002F437A">
              <w:rPr>
                <w:sz w:val="24"/>
                <w:szCs w:val="24"/>
              </w:rPr>
              <w:t xml:space="preserve">by </w:t>
            </w:r>
            <w:proofErr w:type="spellStart"/>
            <w:r w:rsidR="0015250A" w:rsidRPr="002F437A">
              <w:rPr>
                <w:sz w:val="24"/>
                <w:szCs w:val="24"/>
              </w:rPr>
              <w:t>TestAmerica</w:t>
            </w:r>
            <w:proofErr w:type="spellEnd"/>
            <w:r w:rsidR="0015250A" w:rsidRPr="002F437A">
              <w:rPr>
                <w:sz w:val="24"/>
                <w:szCs w:val="24"/>
              </w:rPr>
              <w:t xml:space="preserve"> (constituents in water), </w:t>
            </w:r>
            <w:proofErr w:type="spellStart"/>
            <w:r w:rsidR="0015250A" w:rsidRPr="002F437A">
              <w:rPr>
                <w:sz w:val="24"/>
                <w:szCs w:val="24"/>
              </w:rPr>
              <w:t>Microbac</w:t>
            </w:r>
            <w:proofErr w:type="spellEnd"/>
            <w:r w:rsidR="0015250A" w:rsidRPr="002F437A">
              <w:rPr>
                <w:sz w:val="24"/>
                <w:szCs w:val="24"/>
              </w:rPr>
              <w:t xml:space="preserve"> (bacteria in </w:t>
            </w:r>
            <w:proofErr w:type="gramStart"/>
            <w:r w:rsidR="0015250A" w:rsidRPr="002F437A">
              <w:rPr>
                <w:sz w:val="24"/>
                <w:szCs w:val="24"/>
              </w:rPr>
              <w:t>water)</w:t>
            </w:r>
            <w:proofErr w:type="gramEnd"/>
            <w:r w:rsidR="0015250A" w:rsidRPr="002F437A">
              <w:rPr>
                <w:sz w:val="24"/>
                <w:szCs w:val="24"/>
              </w:rPr>
              <w:t xml:space="preserve"> and </w:t>
            </w:r>
            <w:proofErr w:type="spellStart"/>
            <w:r w:rsidR="0015250A" w:rsidRPr="002F437A">
              <w:rPr>
                <w:sz w:val="24"/>
                <w:szCs w:val="24"/>
              </w:rPr>
              <w:t>AccuStar</w:t>
            </w:r>
            <w:proofErr w:type="spellEnd"/>
            <w:r w:rsidR="0015250A" w:rsidRPr="002F437A">
              <w:rPr>
                <w:sz w:val="24"/>
                <w:szCs w:val="24"/>
              </w:rPr>
              <w:t xml:space="preserve"> Labs (radon test kits)</w:t>
            </w:r>
            <w:r w:rsidRPr="002F437A">
              <w:rPr>
                <w:sz w:val="24"/>
                <w:szCs w:val="24"/>
              </w:rPr>
              <w:t xml:space="preserve"> </w:t>
            </w:r>
            <w:r w:rsidR="00AC47D1" w:rsidRPr="002F437A">
              <w:rPr>
                <w:sz w:val="24"/>
                <w:szCs w:val="24"/>
              </w:rPr>
              <w:t>using state-of-art laboratory methods</w:t>
            </w:r>
            <w:r w:rsidR="00CE22E8" w:rsidRPr="002F437A">
              <w:rPr>
                <w:sz w:val="24"/>
                <w:szCs w:val="24"/>
              </w:rPr>
              <w:t>.</w:t>
            </w:r>
          </w:p>
        </w:tc>
      </w:tr>
      <w:tr w:rsidR="00977D5F" w14:paraId="7FEF61C7" w14:textId="77777777" w:rsidTr="00B50EEF">
        <w:tc>
          <w:tcPr>
            <w:tcW w:w="3168" w:type="dxa"/>
            <w:vAlign w:val="center"/>
          </w:tcPr>
          <w:p w14:paraId="53AE4F0E" w14:textId="7793E7CB" w:rsidR="00977D5F" w:rsidRDefault="00977D5F" w:rsidP="005A3D6B">
            <w:pPr>
              <w:rPr>
                <w:b/>
                <w:sz w:val="24"/>
                <w:szCs w:val="24"/>
              </w:rPr>
            </w:pPr>
            <w:r>
              <w:rPr>
                <w:b/>
                <w:sz w:val="24"/>
                <w:szCs w:val="24"/>
              </w:rPr>
              <w:lastRenderedPageBreak/>
              <w:t>Information Collection Mode (in-person or remote):</w:t>
            </w:r>
          </w:p>
        </w:tc>
        <w:tc>
          <w:tcPr>
            <w:tcW w:w="7128" w:type="dxa"/>
            <w:vAlign w:val="center"/>
          </w:tcPr>
          <w:p w14:paraId="611BBB5A" w14:textId="77777777" w:rsidR="00977D5F" w:rsidRPr="002F437A" w:rsidRDefault="00446811" w:rsidP="005A3D6B">
            <w:pPr>
              <w:rPr>
                <w:sz w:val="24"/>
                <w:szCs w:val="24"/>
              </w:rPr>
            </w:pPr>
            <w:r w:rsidRPr="002F437A">
              <w:rPr>
                <w:sz w:val="24"/>
                <w:szCs w:val="24"/>
              </w:rPr>
              <w:t>In-person</w:t>
            </w:r>
          </w:p>
        </w:tc>
      </w:tr>
      <w:tr w:rsidR="00977D5F" w14:paraId="5B7C9B97" w14:textId="77777777" w:rsidTr="00B50EEF">
        <w:tc>
          <w:tcPr>
            <w:tcW w:w="3168" w:type="dxa"/>
            <w:vAlign w:val="center"/>
          </w:tcPr>
          <w:p w14:paraId="1D8719B0" w14:textId="77777777" w:rsidR="00977D5F" w:rsidRDefault="00977D5F" w:rsidP="005A3D6B">
            <w:pPr>
              <w:rPr>
                <w:b/>
                <w:sz w:val="24"/>
                <w:szCs w:val="24"/>
              </w:rPr>
            </w:pPr>
            <w:r>
              <w:rPr>
                <w:b/>
                <w:sz w:val="24"/>
                <w:szCs w:val="24"/>
              </w:rPr>
              <w:t>Plans for Payment to Participant (if applicable):</w:t>
            </w:r>
          </w:p>
        </w:tc>
        <w:tc>
          <w:tcPr>
            <w:tcW w:w="7128" w:type="dxa"/>
            <w:vAlign w:val="center"/>
          </w:tcPr>
          <w:p w14:paraId="62F13B4B" w14:textId="77777777" w:rsidR="00977D5F" w:rsidRPr="002F437A" w:rsidRDefault="00446811" w:rsidP="005A3D6B">
            <w:pPr>
              <w:rPr>
                <w:sz w:val="24"/>
                <w:szCs w:val="24"/>
              </w:rPr>
            </w:pPr>
            <w:r w:rsidRPr="002F437A">
              <w:rPr>
                <w:sz w:val="24"/>
                <w:szCs w:val="24"/>
              </w:rPr>
              <w:t>Not Applicable</w:t>
            </w:r>
          </w:p>
        </w:tc>
      </w:tr>
      <w:tr w:rsidR="00977D5F" w14:paraId="270CF43A" w14:textId="77777777" w:rsidTr="00B50EEF">
        <w:tc>
          <w:tcPr>
            <w:tcW w:w="3168" w:type="dxa"/>
            <w:vAlign w:val="center"/>
          </w:tcPr>
          <w:p w14:paraId="5669C68C" w14:textId="77777777" w:rsidR="00977D5F" w:rsidRDefault="00DD64AD" w:rsidP="005A3D6B">
            <w:pPr>
              <w:rPr>
                <w:b/>
                <w:sz w:val="24"/>
                <w:szCs w:val="24"/>
              </w:rPr>
            </w:pPr>
            <w:r>
              <w:rPr>
                <w:b/>
                <w:sz w:val="24"/>
                <w:szCs w:val="24"/>
              </w:rPr>
              <w:t>Privacy</w:t>
            </w:r>
            <w:r w:rsidR="00977D5F">
              <w:rPr>
                <w:b/>
                <w:sz w:val="24"/>
                <w:szCs w:val="24"/>
              </w:rPr>
              <w:t xml:space="preserve"> Protections:</w:t>
            </w:r>
          </w:p>
        </w:tc>
        <w:tc>
          <w:tcPr>
            <w:tcW w:w="7128" w:type="dxa"/>
            <w:vAlign w:val="center"/>
          </w:tcPr>
          <w:p w14:paraId="32F2C8C5" w14:textId="09236BCF" w:rsidR="00977D5F" w:rsidRPr="002F437A" w:rsidRDefault="00DD64AD" w:rsidP="005A3D6B">
            <w:pPr>
              <w:rPr>
                <w:sz w:val="24"/>
                <w:szCs w:val="24"/>
              </w:rPr>
            </w:pPr>
            <w:r w:rsidRPr="002F437A">
              <w:rPr>
                <w:sz w:val="24"/>
                <w:szCs w:val="24"/>
              </w:rPr>
              <w:t>Privacy</w:t>
            </w:r>
            <w:r w:rsidR="00446811" w:rsidRPr="002F437A">
              <w:rPr>
                <w:sz w:val="24"/>
                <w:szCs w:val="24"/>
              </w:rPr>
              <w:t xml:space="preserve"> will be protected to the fullest extent of the law.  </w:t>
            </w:r>
            <w:r w:rsidR="00797694" w:rsidRPr="002F437A">
              <w:rPr>
                <w:sz w:val="24"/>
                <w:szCs w:val="24"/>
              </w:rPr>
              <w:t xml:space="preserve">The consent forms contain information about </w:t>
            </w:r>
            <w:r w:rsidRPr="002F437A">
              <w:rPr>
                <w:sz w:val="24"/>
                <w:szCs w:val="24"/>
              </w:rPr>
              <w:t>privacy</w:t>
            </w:r>
            <w:r w:rsidR="00797694" w:rsidRPr="002F437A">
              <w:rPr>
                <w:sz w:val="24"/>
                <w:szCs w:val="24"/>
              </w:rPr>
              <w:t xml:space="preserve"> </w:t>
            </w:r>
            <w:r w:rsidR="000E2BF4" w:rsidRPr="002F437A">
              <w:rPr>
                <w:sz w:val="24"/>
                <w:szCs w:val="24"/>
              </w:rPr>
              <w:t>protections</w:t>
            </w:r>
            <w:r w:rsidR="00797694" w:rsidRPr="002F437A">
              <w:rPr>
                <w:sz w:val="24"/>
                <w:szCs w:val="24"/>
              </w:rPr>
              <w:t>.</w:t>
            </w:r>
          </w:p>
        </w:tc>
      </w:tr>
      <w:tr w:rsidR="00977D5F" w14:paraId="759F6CB8" w14:textId="77777777" w:rsidTr="00B50EEF">
        <w:tc>
          <w:tcPr>
            <w:tcW w:w="3168" w:type="dxa"/>
            <w:vAlign w:val="center"/>
          </w:tcPr>
          <w:p w14:paraId="37021390" w14:textId="77777777" w:rsidR="00977D5F" w:rsidRDefault="00977D5F" w:rsidP="005A3D6B">
            <w:pPr>
              <w:rPr>
                <w:b/>
                <w:sz w:val="24"/>
                <w:szCs w:val="24"/>
              </w:rPr>
            </w:pPr>
            <w:r>
              <w:rPr>
                <w:b/>
                <w:sz w:val="24"/>
                <w:szCs w:val="24"/>
              </w:rPr>
              <w:t>Other Ethical Concerns/Issues:</w:t>
            </w:r>
          </w:p>
        </w:tc>
        <w:tc>
          <w:tcPr>
            <w:tcW w:w="7128" w:type="dxa"/>
          </w:tcPr>
          <w:p w14:paraId="65B54185" w14:textId="3A0FB7FE" w:rsidR="00977D5F" w:rsidRPr="002F437A" w:rsidRDefault="00436442" w:rsidP="00844025">
            <w:pPr>
              <w:rPr>
                <w:sz w:val="24"/>
                <w:szCs w:val="24"/>
              </w:rPr>
            </w:pPr>
            <w:r w:rsidRPr="002F437A">
              <w:rPr>
                <w:sz w:val="24"/>
                <w:szCs w:val="24"/>
              </w:rPr>
              <w:t>Water and indoor air samples will be obtained from residents in the Dimock community. No ethical concerns or issues</w:t>
            </w:r>
            <w:r w:rsidR="00844025" w:rsidRPr="002F437A">
              <w:rPr>
                <w:sz w:val="24"/>
                <w:szCs w:val="24"/>
              </w:rPr>
              <w:t xml:space="preserve"> are identified.</w:t>
            </w:r>
          </w:p>
        </w:tc>
      </w:tr>
      <w:tr w:rsidR="00977D5F" w14:paraId="4F3297F5" w14:textId="77777777" w:rsidTr="00B50EEF">
        <w:tc>
          <w:tcPr>
            <w:tcW w:w="3168" w:type="dxa"/>
            <w:vAlign w:val="center"/>
          </w:tcPr>
          <w:p w14:paraId="001AD425" w14:textId="77777777" w:rsidR="00977D5F" w:rsidRDefault="00977D5F" w:rsidP="005A3D6B">
            <w:pPr>
              <w:rPr>
                <w:b/>
                <w:sz w:val="24"/>
                <w:szCs w:val="24"/>
              </w:rPr>
            </w:pPr>
            <w:r>
              <w:rPr>
                <w:b/>
                <w:sz w:val="24"/>
                <w:szCs w:val="24"/>
              </w:rPr>
              <w:t>Projected Time Frame:</w:t>
            </w:r>
          </w:p>
        </w:tc>
        <w:tc>
          <w:tcPr>
            <w:tcW w:w="7128" w:type="dxa"/>
          </w:tcPr>
          <w:p w14:paraId="5A594F43" w14:textId="3A28C1E0" w:rsidR="00844025" w:rsidRPr="002F437A" w:rsidRDefault="005202A1" w:rsidP="00844025">
            <w:pPr>
              <w:spacing w:after="100" w:afterAutospacing="1"/>
              <w:rPr>
                <w:sz w:val="24"/>
                <w:szCs w:val="24"/>
              </w:rPr>
            </w:pPr>
            <w:r w:rsidRPr="002F437A">
              <w:rPr>
                <w:sz w:val="24"/>
                <w:szCs w:val="24"/>
              </w:rPr>
              <w:t xml:space="preserve">The EI will be conducted </w:t>
            </w:r>
            <w:r w:rsidR="00C948D3">
              <w:rPr>
                <w:sz w:val="24"/>
                <w:szCs w:val="24"/>
              </w:rPr>
              <w:t xml:space="preserve">in </w:t>
            </w:r>
            <w:r w:rsidR="00844025" w:rsidRPr="002F437A">
              <w:rPr>
                <w:sz w:val="24"/>
                <w:szCs w:val="24"/>
              </w:rPr>
              <w:t>two phases:</w:t>
            </w:r>
          </w:p>
          <w:p w14:paraId="70FFAE6A" w14:textId="77777777" w:rsidR="00844025" w:rsidRPr="002F437A" w:rsidRDefault="00844025" w:rsidP="00844025">
            <w:pPr>
              <w:pStyle w:val="ListParagraph"/>
              <w:widowControl w:val="0"/>
              <w:numPr>
                <w:ilvl w:val="0"/>
                <w:numId w:val="30"/>
              </w:numPr>
              <w:autoSpaceDE w:val="0"/>
              <w:autoSpaceDN w:val="0"/>
              <w:adjustRightInd w:val="0"/>
              <w:spacing w:after="100" w:afterAutospacing="1"/>
              <w:rPr>
                <w:sz w:val="24"/>
                <w:szCs w:val="24"/>
              </w:rPr>
            </w:pPr>
            <w:r w:rsidRPr="002F437A">
              <w:rPr>
                <w:sz w:val="24"/>
                <w:szCs w:val="24"/>
              </w:rPr>
              <w:t>ATSDR will conduct a site visit prior to the testing to accomplish the following:</w:t>
            </w:r>
          </w:p>
          <w:p w14:paraId="1BD30708" w14:textId="6DB2C937" w:rsidR="00844025" w:rsidRPr="002F437A" w:rsidRDefault="00844025" w:rsidP="00844025">
            <w:pPr>
              <w:pStyle w:val="ListParagraph"/>
              <w:widowControl w:val="0"/>
              <w:numPr>
                <w:ilvl w:val="1"/>
                <w:numId w:val="9"/>
              </w:numPr>
              <w:autoSpaceDE w:val="0"/>
              <w:autoSpaceDN w:val="0"/>
              <w:adjustRightInd w:val="0"/>
              <w:spacing w:after="100" w:afterAutospacing="1"/>
              <w:contextualSpacing w:val="0"/>
              <w:rPr>
                <w:sz w:val="24"/>
                <w:szCs w:val="24"/>
              </w:rPr>
            </w:pPr>
            <w:r w:rsidRPr="002F437A">
              <w:rPr>
                <w:sz w:val="24"/>
                <w:szCs w:val="24"/>
              </w:rPr>
              <w:t xml:space="preserve">Obtain written consent for accessing and testing water at the residence (Attachment 3). The consent includes granting permission to share de-identified well water and indoor air monitoring results with Pennsylvania state agencies and other federal agencies, </w:t>
            </w:r>
          </w:p>
          <w:p w14:paraId="09C16E63" w14:textId="77777777" w:rsidR="00844025" w:rsidRPr="002F437A" w:rsidRDefault="00844025" w:rsidP="00844025">
            <w:pPr>
              <w:pStyle w:val="ListParagraph"/>
              <w:widowControl w:val="0"/>
              <w:numPr>
                <w:ilvl w:val="1"/>
                <w:numId w:val="9"/>
              </w:numPr>
              <w:autoSpaceDE w:val="0"/>
              <w:autoSpaceDN w:val="0"/>
              <w:adjustRightInd w:val="0"/>
              <w:spacing w:after="100" w:afterAutospacing="1"/>
              <w:contextualSpacing w:val="0"/>
              <w:rPr>
                <w:sz w:val="24"/>
                <w:szCs w:val="24"/>
              </w:rPr>
            </w:pPr>
            <w:r w:rsidRPr="002F437A">
              <w:rPr>
                <w:sz w:val="24"/>
                <w:szCs w:val="24"/>
              </w:rPr>
              <w:t>Assess the accessibility at the residence to test raw water if a treatment system is in place, and</w:t>
            </w:r>
          </w:p>
          <w:p w14:paraId="5CB49372" w14:textId="2C9F5809" w:rsidR="00844025" w:rsidRPr="002F437A" w:rsidRDefault="00844025" w:rsidP="00844025">
            <w:pPr>
              <w:pStyle w:val="ListParagraph"/>
              <w:widowControl w:val="0"/>
              <w:numPr>
                <w:ilvl w:val="1"/>
                <w:numId w:val="9"/>
              </w:numPr>
              <w:autoSpaceDE w:val="0"/>
              <w:autoSpaceDN w:val="0"/>
              <w:adjustRightInd w:val="0"/>
              <w:spacing w:after="100" w:afterAutospacing="1"/>
              <w:contextualSpacing w:val="0"/>
              <w:rPr>
                <w:sz w:val="24"/>
                <w:szCs w:val="24"/>
              </w:rPr>
            </w:pPr>
            <w:r w:rsidRPr="002F437A">
              <w:rPr>
                <w:sz w:val="24"/>
                <w:szCs w:val="24"/>
              </w:rPr>
              <w:t>Complete a site-specific questionnaire about water quality in the home to assist in the sampling effort. The questionnaire is provided in Attachment 4.</w:t>
            </w:r>
            <w:r w:rsidR="00005B8F" w:rsidRPr="002F437A">
              <w:rPr>
                <w:sz w:val="24"/>
                <w:szCs w:val="24"/>
              </w:rPr>
              <w:t xml:space="preserve"> </w:t>
            </w:r>
          </w:p>
          <w:p w14:paraId="37D83BFF" w14:textId="680D6339" w:rsidR="00005B8F" w:rsidRPr="002F437A" w:rsidRDefault="00005B8F" w:rsidP="00844025">
            <w:pPr>
              <w:pStyle w:val="ListParagraph"/>
              <w:widowControl w:val="0"/>
              <w:numPr>
                <w:ilvl w:val="1"/>
                <w:numId w:val="9"/>
              </w:numPr>
              <w:autoSpaceDE w:val="0"/>
              <w:autoSpaceDN w:val="0"/>
              <w:adjustRightInd w:val="0"/>
              <w:spacing w:after="100" w:afterAutospacing="1"/>
              <w:contextualSpacing w:val="0"/>
              <w:rPr>
                <w:sz w:val="24"/>
                <w:szCs w:val="24"/>
              </w:rPr>
            </w:pPr>
            <w:r w:rsidRPr="002F437A">
              <w:rPr>
                <w:sz w:val="24"/>
                <w:szCs w:val="24"/>
              </w:rPr>
              <w:t xml:space="preserve">Completion of the consent form and questionnaire will </w:t>
            </w:r>
            <w:r w:rsidRPr="002F437A">
              <w:rPr>
                <w:sz w:val="24"/>
                <w:szCs w:val="24"/>
              </w:rPr>
              <w:lastRenderedPageBreak/>
              <w:t xml:space="preserve">take approximately 20 minutes. </w:t>
            </w:r>
          </w:p>
          <w:p w14:paraId="4DE46CE6" w14:textId="5B938D2E" w:rsidR="0053447F" w:rsidRPr="00C948D3" w:rsidRDefault="00844025" w:rsidP="00C948D3">
            <w:pPr>
              <w:pStyle w:val="ListParagraph"/>
              <w:numPr>
                <w:ilvl w:val="0"/>
                <w:numId w:val="9"/>
              </w:numPr>
              <w:rPr>
                <w:sz w:val="24"/>
                <w:szCs w:val="24"/>
              </w:rPr>
            </w:pPr>
            <w:r w:rsidRPr="002F437A">
              <w:rPr>
                <w:sz w:val="24"/>
                <w:szCs w:val="24"/>
              </w:rPr>
              <w:t>ATSDR will conduct the testing over a period of one week</w:t>
            </w:r>
            <w:r w:rsidR="00C948D3">
              <w:rPr>
                <w:sz w:val="24"/>
                <w:szCs w:val="24"/>
              </w:rPr>
              <w:t xml:space="preserve"> and samples will be sent to accredited laboratories for analysis.</w:t>
            </w:r>
          </w:p>
        </w:tc>
      </w:tr>
      <w:tr w:rsidR="00977D5F" w14:paraId="6EF7E150" w14:textId="77777777" w:rsidTr="00B50EEF">
        <w:tc>
          <w:tcPr>
            <w:tcW w:w="3168" w:type="dxa"/>
            <w:vAlign w:val="center"/>
          </w:tcPr>
          <w:p w14:paraId="62FC7B20" w14:textId="7D826506" w:rsidR="00977D5F" w:rsidRDefault="00977D5F" w:rsidP="005A3D6B">
            <w:pPr>
              <w:rPr>
                <w:b/>
                <w:sz w:val="24"/>
                <w:szCs w:val="24"/>
              </w:rPr>
            </w:pPr>
            <w:r>
              <w:rPr>
                <w:b/>
                <w:sz w:val="24"/>
                <w:szCs w:val="24"/>
              </w:rPr>
              <w:lastRenderedPageBreak/>
              <w:t>Plans for Publication and Dissemination of Results:</w:t>
            </w:r>
          </w:p>
        </w:tc>
        <w:tc>
          <w:tcPr>
            <w:tcW w:w="7128" w:type="dxa"/>
          </w:tcPr>
          <w:p w14:paraId="0B0C74C3" w14:textId="132794C8" w:rsidR="000F454D" w:rsidRPr="002F437A" w:rsidRDefault="00C948D3" w:rsidP="00245FE8">
            <w:pPr>
              <w:pStyle w:val="ListParagraph"/>
              <w:numPr>
                <w:ilvl w:val="0"/>
                <w:numId w:val="6"/>
              </w:numPr>
              <w:rPr>
                <w:sz w:val="24"/>
                <w:szCs w:val="24"/>
              </w:rPr>
            </w:pPr>
            <w:r>
              <w:rPr>
                <w:sz w:val="24"/>
                <w:szCs w:val="24"/>
              </w:rPr>
              <w:t>Water and radon results</w:t>
            </w:r>
            <w:r w:rsidR="00C2426C" w:rsidRPr="002F437A">
              <w:rPr>
                <w:sz w:val="24"/>
                <w:szCs w:val="24"/>
              </w:rPr>
              <w:t xml:space="preserve"> will be provided to participants within </w:t>
            </w:r>
            <w:r w:rsidR="00E67D26">
              <w:rPr>
                <w:sz w:val="24"/>
                <w:szCs w:val="24"/>
              </w:rPr>
              <w:t>12</w:t>
            </w:r>
            <w:r>
              <w:rPr>
                <w:sz w:val="24"/>
                <w:szCs w:val="24"/>
              </w:rPr>
              <w:t xml:space="preserve"> </w:t>
            </w:r>
            <w:r w:rsidR="00B95400" w:rsidRPr="002F437A">
              <w:rPr>
                <w:sz w:val="24"/>
                <w:szCs w:val="24"/>
              </w:rPr>
              <w:t>wee</w:t>
            </w:r>
            <w:r w:rsidR="00C2426C" w:rsidRPr="002F437A">
              <w:rPr>
                <w:sz w:val="24"/>
                <w:szCs w:val="24"/>
              </w:rPr>
              <w:t xml:space="preserve">ks of </w:t>
            </w:r>
            <w:r>
              <w:rPr>
                <w:sz w:val="24"/>
                <w:szCs w:val="24"/>
              </w:rPr>
              <w:t>sampling</w:t>
            </w:r>
            <w:r w:rsidR="00C2426C" w:rsidRPr="002F437A">
              <w:rPr>
                <w:sz w:val="24"/>
                <w:szCs w:val="24"/>
              </w:rPr>
              <w:t>.</w:t>
            </w:r>
          </w:p>
          <w:p w14:paraId="1D340030" w14:textId="77777777" w:rsidR="00C2426C" w:rsidRPr="002F437A" w:rsidRDefault="0053447F" w:rsidP="00245FE8">
            <w:pPr>
              <w:pStyle w:val="ListParagraph"/>
              <w:numPr>
                <w:ilvl w:val="0"/>
                <w:numId w:val="6"/>
              </w:numPr>
              <w:rPr>
                <w:sz w:val="24"/>
                <w:szCs w:val="24"/>
              </w:rPr>
            </w:pPr>
            <w:r w:rsidRPr="002F437A">
              <w:rPr>
                <w:sz w:val="24"/>
                <w:szCs w:val="24"/>
              </w:rPr>
              <w:t>The</w:t>
            </w:r>
            <w:r w:rsidR="00C2426C" w:rsidRPr="002F437A">
              <w:rPr>
                <w:sz w:val="24"/>
                <w:szCs w:val="24"/>
              </w:rPr>
              <w:t xml:space="preserve"> EI report will be prepared</w:t>
            </w:r>
            <w:r w:rsidR="00245FE8" w:rsidRPr="002F437A">
              <w:rPr>
                <w:sz w:val="24"/>
                <w:szCs w:val="24"/>
              </w:rPr>
              <w:t>,</w:t>
            </w:r>
            <w:r w:rsidR="00C2426C" w:rsidRPr="002F437A">
              <w:rPr>
                <w:sz w:val="24"/>
                <w:szCs w:val="24"/>
              </w:rPr>
              <w:t xml:space="preserve"> </w:t>
            </w:r>
            <w:proofErr w:type="gramStart"/>
            <w:r w:rsidR="001A5953" w:rsidRPr="002F437A">
              <w:rPr>
                <w:sz w:val="24"/>
                <w:szCs w:val="24"/>
              </w:rPr>
              <w:t>cleared</w:t>
            </w:r>
            <w:proofErr w:type="gramEnd"/>
            <w:r w:rsidR="00245FE8" w:rsidRPr="002F437A">
              <w:rPr>
                <w:sz w:val="24"/>
                <w:szCs w:val="24"/>
              </w:rPr>
              <w:t xml:space="preserve"> and released</w:t>
            </w:r>
            <w:r w:rsidR="001A5953" w:rsidRPr="002F437A">
              <w:rPr>
                <w:sz w:val="24"/>
                <w:szCs w:val="24"/>
              </w:rPr>
              <w:t xml:space="preserve"> as soon as possible.</w:t>
            </w:r>
          </w:p>
        </w:tc>
      </w:tr>
      <w:tr w:rsidR="00977D5F" w14:paraId="32703A2E" w14:textId="77777777" w:rsidTr="00B50EEF">
        <w:tc>
          <w:tcPr>
            <w:tcW w:w="3168" w:type="dxa"/>
            <w:vAlign w:val="center"/>
          </w:tcPr>
          <w:p w14:paraId="368BBCE3" w14:textId="77777777" w:rsidR="00977D5F" w:rsidRDefault="00977D5F" w:rsidP="005A3D6B">
            <w:pPr>
              <w:rPr>
                <w:b/>
                <w:sz w:val="24"/>
                <w:szCs w:val="24"/>
              </w:rPr>
            </w:pPr>
            <w:r>
              <w:rPr>
                <w:b/>
                <w:sz w:val="24"/>
                <w:szCs w:val="24"/>
              </w:rPr>
              <w:t>Burden Hours Requested:</w:t>
            </w:r>
          </w:p>
        </w:tc>
        <w:tc>
          <w:tcPr>
            <w:tcW w:w="7128" w:type="dxa"/>
          </w:tcPr>
          <w:p w14:paraId="22597554" w14:textId="57EC6100" w:rsidR="009E2696" w:rsidRPr="009C66BC" w:rsidRDefault="00A57200" w:rsidP="00700B89">
            <w:pPr>
              <w:rPr>
                <w:sz w:val="24"/>
                <w:szCs w:val="24"/>
              </w:rPr>
            </w:pPr>
            <w:r w:rsidRPr="009C66BC">
              <w:rPr>
                <w:sz w:val="24"/>
                <w:szCs w:val="24"/>
              </w:rPr>
              <w:t>30</w:t>
            </w:r>
            <w:r w:rsidR="00440050" w:rsidRPr="009C66BC">
              <w:rPr>
                <w:sz w:val="24"/>
                <w:szCs w:val="24"/>
              </w:rPr>
              <w:t xml:space="preserve"> </w:t>
            </w:r>
            <w:r w:rsidR="0053447F" w:rsidRPr="009C66BC">
              <w:rPr>
                <w:sz w:val="24"/>
                <w:szCs w:val="24"/>
              </w:rPr>
              <w:t xml:space="preserve">hours </w:t>
            </w:r>
          </w:p>
          <w:p w14:paraId="29DA3000" w14:textId="46ACB4F4" w:rsidR="00977D5F" w:rsidRPr="00700B89" w:rsidRDefault="00C948D3" w:rsidP="00C948D3">
            <w:pPr>
              <w:pStyle w:val="ListParagraph"/>
              <w:numPr>
                <w:ilvl w:val="0"/>
                <w:numId w:val="15"/>
              </w:numPr>
              <w:rPr>
                <w:sz w:val="24"/>
                <w:szCs w:val="24"/>
              </w:rPr>
            </w:pPr>
            <w:r w:rsidRPr="009C66BC">
              <w:rPr>
                <w:sz w:val="24"/>
                <w:szCs w:val="24"/>
              </w:rPr>
              <w:t>2</w:t>
            </w:r>
            <w:r w:rsidR="0053447F" w:rsidRPr="009C66BC">
              <w:rPr>
                <w:sz w:val="24"/>
                <w:szCs w:val="24"/>
              </w:rPr>
              <w:t xml:space="preserve">0 participants x </w:t>
            </w:r>
            <w:r w:rsidR="00A57200" w:rsidRPr="009C66BC">
              <w:rPr>
                <w:sz w:val="24"/>
                <w:szCs w:val="24"/>
              </w:rPr>
              <w:t>9</w:t>
            </w:r>
            <w:r w:rsidR="009E2696" w:rsidRPr="009C66BC">
              <w:rPr>
                <w:sz w:val="24"/>
                <w:szCs w:val="24"/>
              </w:rPr>
              <w:t xml:space="preserve">0 </w:t>
            </w:r>
            <w:r w:rsidR="0053447F" w:rsidRPr="009C66BC">
              <w:rPr>
                <w:sz w:val="24"/>
                <w:szCs w:val="24"/>
              </w:rPr>
              <w:t>minutes per participant</w:t>
            </w:r>
            <w:r w:rsidR="009E2696" w:rsidRPr="00700B89">
              <w:rPr>
                <w:sz w:val="24"/>
                <w:szCs w:val="24"/>
              </w:rPr>
              <w:t xml:space="preserve"> </w:t>
            </w:r>
          </w:p>
        </w:tc>
      </w:tr>
    </w:tbl>
    <w:p w14:paraId="1674C9CF" w14:textId="099BA95D" w:rsidR="00977D5F" w:rsidRDefault="00977D5F">
      <w:pPr>
        <w:rPr>
          <w:b/>
          <w:sz w:val="24"/>
          <w:szCs w:val="24"/>
        </w:rPr>
      </w:pPr>
    </w:p>
    <w:p w14:paraId="62C93B6F" w14:textId="54BC1A2F" w:rsidR="005B2F62" w:rsidRDefault="005B2F62" w:rsidP="005B2F62">
      <w:pPr>
        <w:rPr>
          <w:b/>
        </w:rPr>
      </w:pPr>
      <w:r w:rsidRPr="005B2F62">
        <w:rPr>
          <w:b/>
        </w:rPr>
        <w:t>Attachments:</w:t>
      </w:r>
    </w:p>
    <w:p w14:paraId="766F9FBA" w14:textId="77777777" w:rsidR="00C948D3" w:rsidRPr="0042536F" w:rsidRDefault="00C948D3" w:rsidP="00C948D3">
      <w:pPr>
        <w:pStyle w:val="ListParagraph"/>
        <w:numPr>
          <w:ilvl w:val="0"/>
          <w:numId w:val="1"/>
        </w:numPr>
      </w:pPr>
      <w:r w:rsidRPr="0042536F">
        <w:t>Supporting Statement A</w:t>
      </w:r>
      <w:bookmarkStart w:id="0" w:name="_GoBack"/>
      <w:bookmarkEnd w:id="0"/>
    </w:p>
    <w:p w14:paraId="334FAB64" w14:textId="77777777" w:rsidR="00C948D3" w:rsidRPr="0042536F" w:rsidRDefault="00C948D3" w:rsidP="00C948D3">
      <w:pPr>
        <w:pStyle w:val="ListParagraph"/>
        <w:numPr>
          <w:ilvl w:val="0"/>
          <w:numId w:val="1"/>
        </w:numPr>
      </w:pPr>
      <w:r w:rsidRPr="0042536F">
        <w:t>Supporting Statement B</w:t>
      </w:r>
    </w:p>
    <w:p w14:paraId="126EE8E2" w14:textId="77777777" w:rsidR="00C948D3" w:rsidRDefault="00C948D3" w:rsidP="00C948D3">
      <w:pPr>
        <w:pStyle w:val="ListParagraph"/>
        <w:numPr>
          <w:ilvl w:val="0"/>
          <w:numId w:val="1"/>
        </w:numPr>
      </w:pPr>
      <w:r>
        <w:t>Dimock</w:t>
      </w:r>
      <w:r w:rsidRPr="0042536F">
        <w:t xml:space="preserve"> EI Consent Form</w:t>
      </w:r>
    </w:p>
    <w:p w14:paraId="43E8D981" w14:textId="77777777" w:rsidR="00C948D3" w:rsidRDefault="00C948D3" w:rsidP="00C948D3">
      <w:pPr>
        <w:pStyle w:val="ListParagraph"/>
        <w:numPr>
          <w:ilvl w:val="0"/>
          <w:numId w:val="1"/>
        </w:numPr>
      </w:pPr>
      <w:r>
        <w:t>Dimock</w:t>
      </w:r>
      <w:r w:rsidRPr="0042536F">
        <w:t xml:space="preserve"> EI Questionnaire</w:t>
      </w:r>
    </w:p>
    <w:p w14:paraId="56ECF491" w14:textId="34C03908" w:rsidR="00C948D3" w:rsidRPr="0042536F" w:rsidRDefault="00C948D3" w:rsidP="00C948D3">
      <w:pPr>
        <w:pStyle w:val="ListParagraph"/>
        <w:numPr>
          <w:ilvl w:val="0"/>
          <w:numId w:val="1"/>
        </w:numPr>
      </w:pPr>
      <w:r>
        <w:t xml:space="preserve">Dimock EI </w:t>
      </w:r>
      <w:r w:rsidR="00512BA3">
        <w:t>P</w:t>
      </w:r>
      <w:r>
        <w:t>rotocol</w:t>
      </w:r>
    </w:p>
    <w:p w14:paraId="5B6F3C2F" w14:textId="77777777" w:rsidR="00C948D3" w:rsidRPr="0042536F" w:rsidRDefault="00C948D3" w:rsidP="00C948D3">
      <w:pPr>
        <w:pStyle w:val="ListParagraph"/>
        <w:numPr>
          <w:ilvl w:val="0"/>
          <w:numId w:val="1"/>
        </w:numPr>
      </w:pPr>
      <w:r>
        <w:t>Dimock</w:t>
      </w:r>
      <w:r w:rsidRPr="0042536F">
        <w:t xml:space="preserve"> EI Sample Results Letter</w:t>
      </w:r>
    </w:p>
    <w:p w14:paraId="5564CB49" w14:textId="77777777" w:rsidR="00C948D3" w:rsidRDefault="00C948D3" w:rsidP="00C948D3">
      <w:pPr>
        <w:pStyle w:val="ListParagraph"/>
        <w:numPr>
          <w:ilvl w:val="0"/>
          <w:numId w:val="1"/>
        </w:numPr>
      </w:pPr>
      <w:r w:rsidRPr="0042536F">
        <w:t>Example of Prior EI Final Report</w:t>
      </w:r>
    </w:p>
    <w:p w14:paraId="73998969" w14:textId="77777777" w:rsidR="002E5C68" w:rsidRDefault="00C948D3" w:rsidP="00C948D3">
      <w:pPr>
        <w:pStyle w:val="ListParagraph"/>
        <w:numPr>
          <w:ilvl w:val="0"/>
          <w:numId w:val="1"/>
        </w:numPr>
      </w:pPr>
      <w:r>
        <w:t xml:space="preserve">Dimock </w:t>
      </w:r>
      <w:r w:rsidRPr="0042536F">
        <w:t xml:space="preserve">EI Research Determination </w:t>
      </w:r>
    </w:p>
    <w:p w14:paraId="16D7A529" w14:textId="2B5F60F1" w:rsidR="00C948D3" w:rsidRPr="0042536F" w:rsidRDefault="002E5C68" w:rsidP="00C948D3">
      <w:pPr>
        <w:pStyle w:val="ListParagraph"/>
        <w:numPr>
          <w:ilvl w:val="0"/>
          <w:numId w:val="1"/>
        </w:numPr>
      </w:pPr>
      <w:r>
        <w:t>Dimock EI</w:t>
      </w:r>
      <w:r w:rsidR="007D2AA8">
        <w:t xml:space="preserve"> </w:t>
      </w:r>
      <w:r w:rsidR="003E3128">
        <w:t>Letter</w:t>
      </w:r>
      <w:r>
        <w:t xml:space="preserve"> of invitation to participate and fact sheet</w:t>
      </w:r>
      <w:r w:rsidR="00C948D3" w:rsidRPr="0042536F">
        <w:t xml:space="preserve"> </w:t>
      </w:r>
    </w:p>
    <w:p w14:paraId="4E464377" w14:textId="77777777" w:rsidR="00C948D3" w:rsidRPr="005B2F62" w:rsidRDefault="00C948D3" w:rsidP="005B2F62">
      <w:pPr>
        <w:rPr>
          <w:b/>
        </w:rPr>
      </w:pPr>
    </w:p>
    <w:sectPr w:rsidR="00C948D3" w:rsidRPr="005B2F62" w:rsidSect="00D809E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F78"/>
    <w:multiLevelType w:val="hybridMultilevel"/>
    <w:tmpl w:val="E7B49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3554"/>
    <w:multiLevelType w:val="hybridMultilevel"/>
    <w:tmpl w:val="1DF0E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81F59"/>
    <w:multiLevelType w:val="hybridMultilevel"/>
    <w:tmpl w:val="907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2FFE"/>
    <w:multiLevelType w:val="hybridMultilevel"/>
    <w:tmpl w:val="9DB6F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A09FB"/>
    <w:multiLevelType w:val="hybridMultilevel"/>
    <w:tmpl w:val="2FD2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E52E8"/>
    <w:multiLevelType w:val="hybridMultilevel"/>
    <w:tmpl w:val="B1C0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E3EA2"/>
    <w:multiLevelType w:val="hybridMultilevel"/>
    <w:tmpl w:val="0364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63CB8"/>
    <w:multiLevelType w:val="hybridMultilevel"/>
    <w:tmpl w:val="60CE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82861"/>
    <w:multiLevelType w:val="hybridMultilevel"/>
    <w:tmpl w:val="8C2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89A"/>
    <w:multiLevelType w:val="hybridMultilevel"/>
    <w:tmpl w:val="07DA9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31BB2"/>
    <w:multiLevelType w:val="hybridMultilevel"/>
    <w:tmpl w:val="4D5C3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B57AB"/>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5789C"/>
    <w:multiLevelType w:val="hybridMultilevel"/>
    <w:tmpl w:val="919A5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1857A5"/>
    <w:multiLevelType w:val="hybridMultilevel"/>
    <w:tmpl w:val="36F24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CD2EFD"/>
    <w:multiLevelType w:val="hybridMultilevel"/>
    <w:tmpl w:val="F4D8C4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2D47E9"/>
    <w:multiLevelType w:val="hybridMultilevel"/>
    <w:tmpl w:val="F9F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C436F"/>
    <w:multiLevelType w:val="hybridMultilevel"/>
    <w:tmpl w:val="F6780A90"/>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24B8F"/>
    <w:multiLevelType w:val="hybridMultilevel"/>
    <w:tmpl w:val="D0304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5B21"/>
    <w:multiLevelType w:val="hybridMultilevel"/>
    <w:tmpl w:val="7D5A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45EAD"/>
    <w:multiLevelType w:val="hybridMultilevel"/>
    <w:tmpl w:val="9BFEF6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A02673"/>
    <w:multiLevelType w:val="hybridMultilevel"/>
    <w:tmpl w:val="7116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4191B"/>
    <w:multiLevelType w:val="hybridMultilevel"/>
    <w:tmpl w:val="33B06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930953"/>
    <w:multiLevelType w:val="hybridMultilevel"/>
    <w:tmpl w:val="E178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EDB5264"/>
    <w:multiLevelType w:val="hybridMultilevel"/>
    <w:tmpl w:val="00004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400031"/>
    <w:multiLevelType w:val="hybridMultilevel"/>
    <w:tmpl w:val="26A03C3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210BE"/>
    <w:multiLevelType w:val="hybridMultilevel"/>
    <w:tmpl w:val="888273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81227FD"/>
    <w:multiLevelType w:val="hybridMultilevel"/>
    <w:tmpl w:val="A71A16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694C"/>
    <w:multiLevelType w:val="hybridMultilevel"/>
    <w:tmpl w:val="88CC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8"/>
  </w:num>
  <w:num w:numId="4">
    <w:abstractNumId w:val="15"/>
  </w:num>
  <w:num w:numId="5">
    <w:abstractNumId w:val="29"/>
  </w:num>
  <w:num w:numId="6">
    <w:abstractNumId w:val="18"/>
  </w:num>
  <w:num w:numId="7">
    <w:abstractNumId w:val="4"/>
  </w:num>
  <w:num w:numId="8">
    <w:abstractNumId w:val="26"/>
  </w:num>
  <w:num w:numId="9">
    <w:abstractNumId w:val="1"/>
  </w:num>
  <w:num w:numId="10">
    <w:abstractNumId w:val="7"/>
  </w:num>
  <w:num w:numId="11">
    <w:abstractNumId w:val="20"/>
  </w:num>
  <w:num w:numId="12">
    <w:abstractNumId w:val="21"/>
  </w:num>
  <w:num w:numId="13">
    <w:abstractNumId w:val="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4"/>
  </w:num>
  <w:num w:numId="17">
    <w:abstractNumId w:val="17"/>
  </w:num>
  <w:num w:numId="18">
    <w:abstractNumId w:val="19"/>
  </w:num>
  <w:num w:numId="19">
    <w:abstractNumId w:val="11"/>
  </w:num>
  <w:num w:numId="20">
    <w:abstractNumId w:val="28"/>
  </w:num>
  <w:num w:numId="21">
    <w:abstractNumId w:val="27"/>
  </w:num>
  <w:num w:numId="22">
    <w:abstractNumId w:val="10"/>
  </w:num>
  <w:num w:numId="23">
    <w:abstractNumId w:val="3"/>
  </w:num>
  <w:num w:numId="24">
    <w:abstractNumId w:val="14"/>
  </w:num>
  <w:num w:numId="25">
    <w:abstractNumId w:val="22"/>
  </w:num>
  <w:num w:numId="26">
    <w:abstractNumId w:val="12"/>
  </w:num>
  <w:num w:numId="27">
    <w:abstractNumId w:val="6"/>
  </w:num>
  <w:num w:numId="28">
    <w:abstractNumId w:val="25"/>
  </w:num>
  <w:num w:numId="29">
    <w:abstractNumId w:val="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48"/>
    <w:rsid w:val="000005DE"/>
    <w:rsid w:val="00000DF3"/>
    <w:rsid w:val="0000462E"/>
    <w:rsid w:val="00005B8F"/>
    <w:rsid w:val="00007543"/>
    <w:rsid w:val="00010464"/>
    <w:rsid w:val="000107BC"/>
    <w:rsid w:val="000168A2"/>
    <w:rsid w:val="00036452"/>
    <w:rsid w:val="0004565A"/>
    <w:rsid w:val="000457B7"/>
    <w:rsid w:val="000526FB"/>
    <w:rsid w:val="00054688"/>
    <w:rsid w:val="00054D50"/>
    <w:rsid w:val="0005599C"/>
    <w:rsid w:val="00057001"/>
    <w:rsid w:val="00066D15"/>
    <w:rsid w:val="0007663C"/>
    <w:rsid w:val="00081384"/>
    <w:rsid w:val="00085879"/>
    <w:rsid w:val="000929E7"/>
    <w:rsid w:val="000967F1"/>
    <w:rsid w:val="000A030D"/>
    <w:rsid w:val="000C7E3D"/>
    <w:rsid w:val="000E2BF4"/>
    <w:rsid w:val="000F369B"/>
    <w:rsid w:val="000F454D"/>
    <w:rsid w:val="00105B25"/>
    <w:rsid w:val="00106C97"/>
    <w:rsid w:val="001079E3"/>
    <w:rsid w:val="0011153A"/>
    <w:rsid w:val="00114DF9"/>
    <w:rsid w:val="00120CFC"/>
    <w:rsid w:val="00134B62"/>
    <w:rsid w:val="00146801"/>
    <w:rsid w:val="00147B01"/>
    <w:rsid w:val="00150C04"/>
    <w:rsid w:val="0015250A"/>
    <w:rsid w:val="00153F94"/>
    <w:rsid w:val="001564CF"/>
    <w:rsid w:val="00157EA0"/>
    <w:rsid w:val="00170CDE"/>
    <w:rsid w:val="00183C90"/>
    <w:rsid w:val="001A5953"/>
    <w:rsid w:val="001B5953"/>
    <w:rsid w:val="001C2596"/>
    <w:rsid w:val="001E03FD"/>
    <w:rsid w:val="001E4DEE"/>
    <w:rsid w:val="001E5273"/>
    <w:rsid w:val="001E7826"/>
    <w:rsid w:val="001F3964"/>
    <w:rsid w:val="002101B5"/>
    <w:rsid w:val="0021261C"/>
    <w:rsid w:val="00222880"/>
    <w:rsid w:val="002268E8"/>
    <w:rsid w:val="00241D1E"/>
    <w:rsid w:val="00245FE8"/>
    <w:rsid w:val="00255B07"/>
    <w:rsid w:val="00276B88"/>
    <w:rsid w:val="00281057"/>
    <w:rsid w:val="0028500F"/>
    <w:rsid w:val="00293CDF"/>
    <w:rsid w:val="002A2531"/>
    <w:rsid w:val="002A5D89"/>
    <w:rsid w:val="002B1BC4"/>
    <w:rsid w:val="002B7FAF"/>
    <w:rsid w:val="002C1792"/>
    <w:rsid w:val="002C3309"/>
    <w:rsid w:val="002C53DE"/>
    <w:rsid w:val="002C5F6F"/>
    <w:rsid w:val="002D2DA8"/>
    <w:rsid w:val="002E0FE9"/>
    <w:rsid w:val="002E5C68"/>
    <w:rsid w:val="002F437A"/>
    <w:rsid w:val="003025C4"/>
    <w:rsid w:val="00314173"/>
    <w:rsid w:val="0032501F"/>
    <w:rsid w:val="003266CE"/>
    <w:rsid w:val="00340746"/>
    <w:rsid w:val="00351360"/>
    <w:rsid w:val="00356B9F"/>
    <w:rsid w:val="003650DA"/>
    <w:rsid w:val="00366F48"/>
    <w:rsid w:val="003711F5"/>
    <w:rsid w:val="00372C81"/>
    <w:rsid w:val="003A2015"/>
    <w:rsid w:val="003A3692"/>
    <w:rsid w:val="003A3868"/>
    <w:rsid w:val="003A7C6D"/>
    <w:rsid w:val="003B366F"/>
    <w:rsid w:val="003B7C8F"/>
    <w:rsid w:val="003D408F"/>
    <w:rsid w:val="003E3128"/>
    <w:rsid w:val="003F6968"/>
    <w:rsid w:val="00431C36"/>
    <w:rsid w:val="00436442"/>
    <w:rsid w:val="00437501"/>
    <w:rsid w:val="00440050"/>
    <w:rsid w:val="00446811"/>
    <w:rsid w:val="00450BF4"/>
    <w:rsid w:val="0045304E"/>
    <w:rsid w:val="00456DD7"/>
    <w:rsid w:val="004579F8"/>
    <w:rsid w:val="00465806"/>
    <w:rsid w:val="00473F86"/>
    <w:rsid w:val="00485305"/>
    <w:rsid w:val="0049518C"/>
    <w:rsid w:val="004A3986"/>
    <w:rsid w:val="004B0DC0"/>
    <w:rsid w:val="004B252F"/>
    <w:rsid w:val="004C6181"/>
    <w:rsid w:val="004D64A2"/>
    <w:rsid w:val="004F4797"/>
    <w:rsid w:val="00507D43"/>
    <w:rsid w:val="005119AF"/>
    <w:rsid w:val="00512BA3"/>
    <w:rsid w:val="005202A1"/>
    <w:rsid w:val="0053447F"/>
    <w:rsid w:val="00536341"/>
    <w:rsid w:val="00544D0B"/>
    <w:rsid w:val="00552388"/>
    <w:rsid w:val="00592032"/>
    <w:rsid w:val="00593097"/>
    <w:rsid w:val="0059309D"/>
    <w:rsid w:val="00593A63"/>
    <w:rsid w:val="00594706"/>
    <w:rsid w:val="005956AA"/>
    <w:rsid w:val="005961E9"/>
    <w:rsid w:val="005A3D6B"/>
    <w:rsid w:val="005A6D67"/>
    <w:rsid w:val="005B2F62"/>
    <w:rsid w:val="005B348D"/>
    <w:rsid w:val="005C389D"/>
    <w:rsid w:val="005D2153"/>
    <w:rsid w:val="005D258E"/>
    <w:rsid w:val="005E1D60"/>
    <w:rsid w:val="005F093E"/>
    <w:rsid w:val="005F62B4"/>
    <w:rsid w:val="00601352"/>
    <w:rsid w:val="00611BBC"/>
    <w:rsid w:val="0061349B"/>
    <w:rsid w:val="00625F59"/>
    <w:rsid w:val="00627597"/>
    <w:rsid w:val="0063667F"/>
    <w:rsid w:val="00652BD7"/>
    <w:rsid w:val="006565F3"/>
    <w:rsid w:val="006A1C2A"/>
    <w:rsid w:val="006A77B4"/>
    <w:rsid w:val="006B2ABE"/>
    <w:rsid w:val="006B4CA3"/>
    <w:rsid w:val="006B5535"/>
    <w:rsid w:val="006B74A2"/>
    <w:rsid w:val="006C23C0"/>
    <w:rsid w:val="006C2D55"/>
    <w:rsid w:val="006C2E1C"/>
    <w:rsid w:val="006D1E61"/>
    <w:rsid w:val="006D25DA"/>
    <w:rsid w:val="006D2960"/>
    <w:rsid w:val="006F4D54"/>
    <w:rsid w:val="006F6D2F"/>
    <w:rsid w:val="00700B89"/>
    <w:rsid w:val="00752494"/>
    <w:rsid w:val="00761B07"/>
    <w:rsid w:val="0076482D"/>
    <w:rsid w:val="00771A77"/>
    <w:rsid w:val="007741F6"/>
    <w:rsid w:val="0078138E"/>
    <w:rsid w:val="007959E9"/>
    <w:rsid w:val="00797694"/>
    <w:rsid w:val="007A07A6"/>
    <w:rsid w:val="007A2157"/>
    <w:rsid w:val="007A595C"/>
    <w:rsid w:val="007A7A7D"/>
    <w:rsid w:val="007B07B7"/>
    <w:rsid w:val="007B53F4"/>
    <w:rsid w:val="007D0C9C"/>
    <w:rsid w:val="007D2AA8"/>
    <w:rsid w:val="007E60F2"/>
    <w:rsid w:val="00804F11"/>
    <w:rsid w:val="008200A1"/>
    <w:rsid w:val="0083060B"/>
    <w:rsid w:val="00835250"/>
    <w:rsid w:val="00844025"/>
    <w:rsid w:val="008529CA"/>
    <w:rsid w:val="00854A8B"/>
    <w:rsid w:val="00855572"/>
    <w:rsid w:val="00881AA6"/>
    <w:rsid w:val="00885DD4"/>
    <w:rsid w:val="0089680C"/>
    <w:rsid w:val="008A1595"/>
    <w:rsid w:val="008B2787"/>
    <w:rsid w:val="008B54E4"/>
    <w:rsid w:val="008C1299"/>
    <w:rsid w:val="008C26C6"/>
    <w:rsid w:val="008D593A"/>
    <w:rsid w:val="008D5F47"/>
    <w:rsid w:val="008E286E"/>
    <w:rsid w:val="008E4A30"/>
    <w:rsid w:val="00904A1F"/>
    <w:rsid w:val="00920DBD"/>
    <w:rsid w:val="00923E3E"/>
    <w:rsid w:val="009316B4"/>
    <w:rsid w:val="00933EF0"/>
    <w:rsid w:val="00935ED2"/>
    <w:rsid w:val="009402B9"/>
    <w:rsid w:val="00944EB4"/>
    <w:rsid w:val="00952433"/>
    <w:rsid w:val="00956EF2"/>
    <w:rsid w:val="0096136C"/>
    <w:rsid w:val="00972778"/>
    <w:rsid w:val="009730FC"/>
    <w:rsid w:val="00977D5F"/>
    <w:rsid w:val="00983D65"/>
    <w:rsid w:val="00990609"/>
    <w:rsid w:val="00992031"/>
    <w:rsid w:val="00992967"/>
    <w:rsid w:val="00995A52"/>
    <w:rsid w:val="00996E9F"/>
    <w:rsid w:val="009A02AB"/>
    <w:rsid w:val="009A4C91"/>
    <w:rsid w:val="009A5708"/>
    <w:rsid w:val="009B7398"/>
    <w:rsid w:val="009C1673"/>
    <w:rsid w:val="009C40EF"/>
    <w:rsid w:val="009C66BC"/>
    <w:rsid w:val="009E2696"/>
    <w:rsid w:val="009E4287"/>
    <w:rsid w:val="009E491C"/>
    <w:rsid w:val="009F23BC"/>
    <w:rsid w:val="009F4E67"/>
    <w:rsid w:val="009F7507"/>
    <w:rsid w:val="00A128D9"/>
    <w:rsid w:val="00A3294E"/>
    <w:rsid w:val="00A3626C"/>
    <w:rsid w:val="00A42E0B"/>
    <w:rsid w:val="00A50513"/>
    <w:rsid w:val="00A56EAC"/>
    <w:rsid w:val="00A57200"/>
    <w:rsid w:val="00A60004"/>
    <w:rsid w:val="00A64283"/>
    <w:rsid w:val="00A722E1"/>
    <w:rsid w:val="00A73148"/>
    <w:rsid w:val="00AA7DE7"/>
    <w:rsid w:val="00AB6175"/>
    <w:rsid w:val="00AC3F36"/>
    <w:rsid w:val="00AC47D1"/>
    <w:rsid w:val="00AC57A7"/>
    <w:rsid w:val="00AD12BA"/>
    <w:rsid w:val="00AD2FF0"/>
    <w:rsid w:val="00B020F2"/>
    <w:rsid w:val="00B10382"/>
    <w:rsid w:val="00B135C2"/>
    <w:rsid w:val="00B22001"/>
    <w:rsid w:val="00B3092E"/>
    <w:rsid w:val="00B348E2"/>
    <w:rsid w:val="00B3644B"/>
    <w:rsid w:val="00B50EEF"/>
    <w:rsid w:val="00B512C3"/>
    <w:rsid w:val="00B54838"/>
    <w:rsid w:val="00B65000"/>
    <w:rsid w:val="00B72E49"/>
    <w:rsid w:val="00B76ACB"/>
    <w:rsid w:val="00B95400"/>
    <w:rsid w:val="00BA09ED"/>
    <w:rsid w:val="00BA4320"/>
    <w:rsid w:val="00BB3C08"/>
    <w:rsid w:val="00BB5106"/>
    <w:rsid w:val="00BB5A4C"/>
    <w:rsid w:val="00BC0793"/>
    <w:rsid w:val="00BC7A12"/>
    <w:rsid w:val="00BD1DE4"/>
    <w:rsid w:val="00BD2DDB"/>
    <w:rsid w:val="00BF05F8"/>
    <w:rsid w:val="00BF1A54"/>
    <w:rsid w:val="00C23DF8"/>
    <w:rsid w:val="00C2426C"/>
    <w:rsid w:val="00C406EF"/>
    <w:rsid w:val="00C53B06"/>
    <w:rsid w:val="00C559A7"/>
    <w:rsid w:val="00C55B5E"/>
    <w:rsid w:val="00C62534"/>
    <w:rsid w:val="00C8371F"/>
    <w:rsid w:val="00C948D3"/>
    <w:rsid w:val="00CB69F1"/>
    <w:rsid w:val="00CB72A3"/>
    <w:rsid w:val="00CC0157"/>
    <w:rsid w:val="00CC6774"/>
    <w:rsid w:val="00CC6823"/>
    <w:rsid w:val="00CD06AA"/>
    <w:rsid w:val="00CE22E8"/>
    <w:rsid w:val="00D239D3"/>
    <w:rsid w:val="00D25D4F"/>
    <w:rsid w:val="00D2641F"/>
    <w:rsid w:val="00D30BB2"/>
    <w:rsid w:val="00D312D7"/>
    <w:rsid w:val="00D32CFC"/>
    <w:rsid w:val="00D32E3F"/>
    <w:rsid w:val="00D33409"/>
    <w:rsid w:val="00D34EB6"/>
    <w:rsid w:val="00D3577B"/>
    <w:rsid w:val="00D41F21"/>
    <w:rsid w:val="00D43C37"/>
    <w:rsid w:val="00D56F90"/>
    <w:rsid w:val="00D642BE"/>
    <w:rsid w:val="00D745E2"/>
    <w:rsid w:val="00D7489E"/>
    <w:rsid w:val="00D809E7"/>
    <w:rsid w:val="00D86056"/>
    <w:rsid w:val="00DA3458"/>
    <w:rsid w:val="00DA45A1"/>
    <w:rsid w:val="00DB40B9"/>
    <w:rsid w:val="00DB5A15"/>
    <w:rsid w:val="00DD34BD"/>
    <w:rsid w:val="00DD64AD"/>
    <w:rsid w:val="00DE1390"/>
    <w:rsid w:val="00DE13BE"/>
    <w:rsid w:val="00DF48D0"/>
    <w:rsid w:val="00E04405"/>
    <w:rsid w:val="00E13816"/>
    <w:rsid w:val="00E27222"/>
    <w:rsid w:val="00E34861"/>
    <w:rsid w:val="00E36E2D"/>
    <w:rsid w:val="00E40471"/>
    <w:rsid w:val="00E41AC1"/>
    <w:rsid w:val="00E5214B"/>
    <w:rsid w:val="00E5729B"/>
    <w:rsid w:val="00E60946"/>
    <w:rsid w:val="00E67D26"/>
    <w:rsid w:val="00E72879"/>
    <w:rsid w:val="00E84F8D"/>
    <w:rsid w:val="00E87DC9"/>
    <w:rsid w:val="00EA4036"/>
    <w:rsid w:val="00EB0D65"/>
    <w:rsid w:val="00ED7345"/>
    <w:rsid w:val="00EE37C6"/>
    <w:rsid w:val="00EF05E1"/>
    <w:rsid w:val="00EF656A"/>
    <w:rsid w:val="00EF6B0B"/>
    <w:rsid w:val="00EF6EF2"/>
    <w:rsid w:val="00F00F23"/>
    <w:rsid w:val="00F027EC"/>
    <w:rsid w:val="00F040A9"/>
    <w:rsid w:val="00F0550F"/>
    <w:rsid w:val="00F20D02"/>
    <w:rsid w:val="00F2662B"/>
    <w:rsid w:val="00F32AA2"/>
    <w:rsid w:val="00F57FB7"/>
    <w:rsid w:val="00F60B52"/>
    <w:rsid w:val="00F8454C"/>
    <w:rsid w:val="00F85DD2"/>
    <w:rsid w:val="00F94491"/>
    <w:rsid w:val="00F95EF6"/>
    <w:rsid w:val="00FB52D0"/>
    <w:rsid w:val="00FB57DA"/>
    <w:rsid w:val="00FE4F52"/>
    <w:rsid w:val="00FE6CF3"/>
    <w:rsid w:val="00FE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2E3E"/>
  <w15:docId w15:val="{2B45D3A3-7FCA-47D4-8A10-0ADF2785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00F23"/>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E8"/>
    <w:pPr>
      <w:ind w:left="720"/>
      <w:contextualSpacing/>
    </w:pPr>
  </w:style>
  <w:style w:type="character" w:styleId="CommentReference">
    <w:name w:val="annotation reference"/>
    <w:basedOn w:val="DefaultParagraphFont"/>
    <w:semiHidden/>
    <w:unhideWhenUsed/>
    <w:rsid w:val="00146801"/>
    <w:rPr>
      <w:sz w:val="16"/>
      <w:szCs w:val="16"/>
    </w:rPr>
  </w:style>
  <w:style w:type="paragraph" w:styleId="CommentText">
    <w:name w:val="annotation text"/>
    <w:basedOn w:val="Normal"/>
    <w:link w:val="CommentTextChar"/>
    <w:semiHidden/>
    <w:unhideWhenUsed/>
    <w:rsid w:val="00146801"/>
    <w:pPr>
      <w:spacing w:line="240" w:lineRule="auto"/>
    </w:pPr>
    <w:rPr>
      <w:sz w:val="20"/>
      <w:szCs w:val="20"/>
    </w:rPr>
  </w:style>
  <w:style w:type="character" w:customStyle="1" w:styleId="CommentTextChar">
    <w:name w:val="Comment Text Char"/>
    <w:basedOn w:val="DefaultParagraphFont"/>
    <w:link w:val="CommentText"/>
    <w:semiHidden/>
    <w:rsid w:val="00146801"/>
    <w:rPr>
      <w:sz w:val="20"/>
      <w:szCs w:val="20"/>
    </w:rPr>
  </w:style>
  <w:style w:type="paragraph" w:styleId="CommentSubject">
    <w:name w:val="annotation subject"/>
    <w:basedOn w:val="CommentText"/>
    <w:next w:val="CommentText"/>
    <w:link w:val="CommentSubjectChar"/>
    <w:uiPriority w:val="99"/>
    <w:semiHidden/>
    <w:unhideWhenUsed/>
    <w:rsid w:val="00146801"/>
    <w:rPr>
      <w:b/>
      <w:bCs/>
    </w:rPr>
  </w:style>
  <w:style w:type="character" w:customStyle="1" w:styleId="CommentSubjectChar">
    <w:name w:val="Comment Subject Char"/>
    <w:basedOn w:val="CommentTextChar"/>
    <w:link w:val="CommentSubject"/>
    <w:uiPriority w:val="99"/>
    <w:semiHidden/>
    <w:rsid w:val="00146801"/>
    <w:rPr>
      <w:b/>
      <w:bCs/>
      <w:sz w:val="20"/>
      <w:szCs w:val="20"/>
    </w:rPr>
  </w:style>
  <w:style w:type="paragraph" w:styleId="BalloonText">
    <w:name w:val="Balloon Text"/>
    <w:basedOn w:val="Normal"/>
    <w:link w:val="BalloonTextChar"/>
    <w:uiPriority w:val="99"/>
    <w:semiHidden/>
    <w:unhideWhenUsed/>
    <w:rsid w:val="0014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01"/>
    <w:rPr>
      <w:rFonts w:ascii="Tahoma" w:hAnsi="Tahoma" w:cs="Tahoma"/>
      <w:sz w:val="16"/>
      <w:szCs w:val="16"/>
    </w:rPr>
  </w:style>
  <w:style w:type="paragraph" w:customStyle="1" w:styleId="Default">
    <w:name w:val="Default"/>
    <w:rsid w:val="008C26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D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57DA"/>
    <w:rPr>
      <w:b/>
      <w:bCs/>
    </w:rPr>
  </w:style>
  <w:style w:type="character" w:styleId="FootnoteReference">
    <w:name w:val="footnote reference"/>
    <w:aliases w:val="fr"/>
    <w:basedOn w:val="DefaultParagraphFont"/>
    <w:uiPriority w:val="99"/>
    <w:rsid w:val="00FB57DA"/>
    <w:rPr>
      <w:rFonts w:cs="Times New Roman"/>
      <w:vertAlign w:val="superscript"/>
    </w:rPr>
  </w:style>
  <w:style w:type="paragraph" w:styleId="NormalWeb">
    <w:name w:val="Normal (Web)"/>
    <w:basedOn w:val="Normal"/>
    <w:uiPriority w:val="99"/>
    <w:unhideWhenUsed/>
    <w:rsid w:val="00FB57DA"/>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595C"/>
    <w:rPr>
      <w:color w:val="0000FF" w:themeColor="hyperlink"/>
      <w:u w:val="single"/>
    </w:rPr>
  </w:style>
  <w:style w:type="character" w:customStyle="1" w:styleId="Heading2Char">
    <w:name w:val="Heading 2 Char"/>
    <w:basedOn w:val="DefaultParagraphFont"/>
    <w:link w:val="Heading2"/>
    <w:uiPriority w:val="9"/>
    <w:rsid w:val="00F00F23"/>
    <w:rPr>
      <w:rFonts w:ascii="Times New Roman" w:eastAsiaTheme="majorEastAsia" w:hAnsi="Times New Roman" w:cstheme="majorBidi"/>
      <w:b/>
      <w:bCs/>
      <w:sz w:val="24"/>
      <w:szCs w:val="26"/>
    </w:rPr>
  </w:style>
  <w:style w:type="paragraph" w:customStyle="1" w:styleId="s4">
    <w:name w:val="s4"/>
    <w:basedOn w:val="Normal"/>
    <w:rsid w:val="003A7C6D"/>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rsid w:val="003A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4BB7-87E8-4AF9-8A47-74195DA2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Scruton, Karen M. (ATSDR/DHAC/EISAB)</dc:creator>
  <cp:lastModifiedBy>Vempaty, Padmaja (ATSDR/OADS)</cp:lastModifiedBy>
  <cp:revision>7</cp:revision>
  <cp:lastPrinted>2016-11-09T19:07:00Z</cp:lastPrinted>
  <dcterms:created xsi:type="dcterms:W3CDTF">2017-06-05T19:28:00Z</dcterms:created>
  <dcterms:modified xsi:type="dcterms:W3CDTF">2017-06-07T17:02:00Z</dcterms:modified>
</cp:coreProperties>
</file>