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79A8E" w14:textId="77777777" w:rsidR="00C01C92" w:rsidRPr="00C01C92" w:rsidRDefault="004934BF" w:rsidP="00C01C92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Attachment 6: </w:t>
      </w:r>
      <w:r w:rsidR="004D33CE">
        <w:rPr>
          <w:rFonts w:cs="Times New Roman"/>
          <w:b/>
        </w:rPr>
        <w:t>Drinking Water</w:t>
      </w:r>
      <w:r w:rsidR="00C01C92" w:rsidRPr="00C01C92">
        <w:rPr>
          <w:rFonts w:cs="Times New Roman"/>
          <w:b/>
        </w:rPr>
        <w:t xml:space="preserve"> Exposure Investigation</w:t>
      </w:r>
    </w:p>
    <w:p w14:paraId="7FB11DFC" w14:textId="77777777" w:rsidR="004934BF" w:rsidRDefault="00C01C92" w:rsidP="00C01C92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  <w:r w:rsidRPr="00C01C92">
        <w:rPr>
          <w:rFonts w:cs="Times New Roman"/>
          <w:b/>
        </w:rPr>
        <w:t>Dimock, PA</w:t>
      </w:r>
      <w:r>
        <w:rPr>
          <w:rFonts w:cs="Times New Roman"/>
          <w:b/>
        </w:rPr>
        <w:t xml:space="preserve"> Sample </w:t>
      </w:r>
      <w:r w:rsidR="004934BF">
        <w:rPr>
          <w:rFonts w:cs="Times New Roman"/>
          <w:b/>
        </w:rPr>
        <w:t>Results Letter</w:t>
      </w:r>
    </w:p>
    <w:p w14:paraId="48D85C09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</w:p>
    <w:p w14:paraId="2F4F991E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</w:p>
    <w:p w14:paraId="1BB1D131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</w:p>
    <w:p w14:paraId="0FB30E9C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</w:p>
    <w:p w14:paraId="634426ED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cs="Times New Roman"/>
          <w:b/>
        </w:rPr>
      </w:pPr>
      <w:r w:rsidRPr="007B652C">
        <w:rPr>
          <w:rFonts w:cs="Times New Roman"/>
          <w:b/>
        </w:rPr>
        <w:t>(ATSDR Letterhead)</w:t>
      </w:r>
    </w:p>
    <w:p w14:paraId="48962B0A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</w:rPr>
      </w:pPr>
    </w:p>
    <w:p w14:paraId="43FDE969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</w:rPr>
      </w:pPr>
    </w:p>
    <w:p w14:paraId="7EF0459F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</w:rPr>
      </w:pPr>
      <w:r w:rsidRPr="007B652C">
        <w:rPr>
          <w:rFonts w:cs="Times New Roman"/>
          <w:b/>
        </w:rPr>
        <w:t>Date</w:t>
      </w:r>
    </w:p>
    <w:p w14:paraId="62ABD4DA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b/>
        </w:rPr>
      </w:pPr>
    </w:p>
    <w:p w14:paraId="7511A534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7B652C">
        <w:rPr>
          <w:rFonts w:cs="Times New Roman"/>
        </w:rPr>
        <w:t>Dear NAME:</w:t>
      </w:r>
    </w:p>
    <w:p w14:paraId="40FBBF51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14:paraId="14E750FB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7B652C">
        <w:rPr>
          <w:rFonts w:cs="Times New Roman"/>
        </w:rPr>
        <w:t xml:space="preserve">In </w:t>
      </w:r>
      <w:r>
        <w:rPr>
          <w:rFonts w:cs="Times New Roman"/>
        </w:rPr>
        <w:t>July</w:t>
      </w:r>
      <w:r w:rsidRPr="007B652C">
        <w:rPr>
          <w:rFonts w:cs="Times New Roman"/>
        </w:rPr>
        <w:t xml:space="preserve"> 201</w:t>
      </w:r>
      <w:r>
        <w:rPr>
          <w:rFonts w:cs="Times New Roman"/>
        </w:rPr>
        <w:t>7</w:t>
      </w:r>
      <w:r w:rsidRPr="007B652C">
        <w:rPr>
          <w:rFonts w:cs="Times New Roman"/>
        </w:rPr>
        <w:t xml:space="preserve"> you allowed the Agency for Toxic Substances and Disease Registry (ATSDR) to take samples of your private well water</w:t>
      </w:r>
      <w:r>
        <w:rPr>
          <w:rFonts w:cs="Times New Roman"/>
        </w:rPr>
        <w:t xml:space="preserve"> and bulk water (if appropriate)</w:t>
      </w:r>
      <w:r w:rsidRPr="007B652C">
        <w:rPr>
          <w:rFonts w:cs="Times New Roman"/>
        </w:rPr>
        <w:t xml:space="preserve"> and test them for chemicals</w:t>
      </w:r>
      <w:r>
        <w:rPr>
          <w:rFonts w:cs="Times New Roman"/>
        </w:rPr>
        <w:t xml:space="preserve">. We also sampled indoor air at your home for radon gas. </w:t>
      </w:r>
      <w:r w:rsidRPr="007B652C">
        <w:rPr>
          <w:rFonts w:cs="Times New Roman"/>
        </w:rPr>
        <w:t>We are providing you with the test results in this letter</w:t>
      </w:r>
      <w:r>
        <w:rPr>
          <w:rFonts w:cs="Times New Roman"/>
        </w:rPr>
        <w:t xml:space="preserve">. </w:t>
      </w:r>
      <w:r w:rsidRPr="007B652C">
        <w:rPr>
          <w:rFonts w:cs="Times New Roman"/>
        </w:rPr>
        <w:t>We thank you for allowing us to test your well</w:t>
      </w:r>
      <w:r>
        <w:rPr>
          <w:rFonts w:cs="Times New Roman"/>
        </w:rPr>
        <w:t xml:space="preserve">. </w:t>
      </w:r>
      <w:r w:rsidRPr="007B652C">
        <w:rPr>
          <w:rFonts w:cs="Times New Roman"/>
        </w:rPr>
        <w:t xml:space="preserve">If you have any questions, please call or e-mail </w:t>
      </w:r>
      <w:r>
        <w:rPr>
          <w:rFonts w:cs="Times New Roman"/>
        </w:rPr>
        <w:t xml:space="preserve">Robert </w:t>
      </w:r>
      <w:proofErr w:type="spellStart"/>
      <w:r>
        <w:rPr>
          <w:rFonts w:cs="Times New Roman"/>
        </w:rPr>
        <w:t>Helverson</w:t>
      </w:r>
      <w:proofErr w:type="spellEnd"/>
      <w:r w:rsidRPr="007B652C">
        <w:rPr>
          <w:rFonts w:cs="Times New Roman"/>
        </w:rPr>
        <w:t xml:space="preserve"> at </w:t>
      </w:r>
      <w:r>
        <w:rPr>
          <w:rFonts w:cs="Times New Roman"/>
        </w:rPr>
        <w:t>215-814-3139</w:t>
      </w:r>
      <w:r w:rsidRPr="007B652C">
        <w:rPr>
          <w:rFonts w:cs="Times New Roman"/>
        </w:rPr>
        <w:t xml:space="preserve">, </w:t>
      </w:r>
      <w:r>
        <w:rPr>
          <w:rFonts w:cs="Times New Roman"/>
        </w:rPr>
        <w:t xml:space="preserve">or by email at </w:t>
      </w:r>
      <w:hyperlink r:id="rId7" w:history="1">
        <w:r w:rsidRPr="00AE5EE5">
          <w:rPr>
            <w:rStyle w:val="Hyperlink"/>
            <w:rFonts w:cs="Times New Roman"/>
          </w:rPr>
          <w:t>gfu6@cdc.gov</w:t>
        </w:r>
      </w:hyperlink>
    </w:p>
    <w:p w14:paraId="091A7CC3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14:paraId="5830F491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>
        <w:rPr>
          <w:rFonts w:cs="Times New Roman"/>
        </w:rPr>
        <w:t>S</w:t>
      </w:r>
      <w:r w:rsidRPr="007B652C">
        <w:rPr>
          <w:rFonts w:cs="Times New Roman"/>
        </w:rPr>
        <w:t>incerely,</w:t>
      </w:r>
    </w:p>
    <w:p w14:paraId="69235390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14:paraId="0B49A2F1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14:paraId="22FCB30C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14:paraId="536D8F60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>
        <w:rPr>
          <w:rFonts w:cs="Times New Roman"/>
        </w:rPr>
        <w:t xml:space="preserve">Robert </w:t>
      </w:r>
      <w:proofErr w:type="spellStart"/>
      <w:r>
        <w:rPr>
          <w:rFonts w:cs="Times New Roman"/>
        </w:rPr>
        <w:t>Helverson</w:t>
      </w:r>
      <w:proofErr w:type="spellEnd"/>
      <w:r>
        <w:rPr>
          <w:rFonts w:cs="Times New Roman"/>
        </w:rPr>
        <w:t>, MS</w:t>
      </w:r>
    </w:p>
    <w:p w14:paraId="2D2242AC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Region 3 Representative</w:t>
      </w:r>
    </w:p>
    <w:p w14:paraId="16649070" w14:textId="77777777" w:rsidR="004934BF" w:rsidRPr="005F43BD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>
        <w:rPr>
          <w:rFonts w:cs="Times New Roman"/>
        </w:rPr>
        <w:t>Division of Community Health Investigations (DCHI), Eastern Branch</w:t>
      </w:r>
    </w:p>
    <w:p w14:paraId="2B05C4E6" w14:textId="77777777" w:rsidR="004934BF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A</w:t>
      </w:r>
      <w:r>
        <w:rPr>
          <w:rFonts w:cs="Times New Roman"/>
        </w:rPr>
        <w:t>gency for Toxic Substances and Disease Registry (A</w:t>
      </w:r>
      <w:r w:rsidRPr="005F43BD">
        <w:rPr>
          <w:rFonts w:cs="Times New Roman"/>
        </w:rPr>
        <w:t>TSDR</w:t>
      </w:r>
      <w:r>
        <w:rPr>
          <w:rFonts w:cs="Times New Roman"/>
        </w:rPr>
        <w:t>)</w:t>
      </w:r>
    </w:p>
    <w:p w14:paraId="175F657A" w14:textId="77777777" w:rsidR="004934BF" w:rsidRPr="007B652C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14:paraId="41C4BC75" w14:textId="382FBE02" w:rsidR="004934BF" w:rsidRPr="00305954" w:rsidRDefault="004934BF" w:rsidP="004934BF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305954">
        <w:rPr>
          <w:rFonts w:cs="Times New Roman"/>
        </w:rPr>
        <w:t>Enclosure (</w:t>
      </w:r>
      <w:r w:rsidR="00E260CA" w:rsidRPr="00305954">
        <w:rPr>
          <w:rFonts w:cs="Times New Roman"/>
        </w:rPr>
        <w:t>W</w:t>
      </w:r>
      <w:r w:rsidR="00C474D8" w:rsidRPr="00305954">
        <w:rPr>
          <w:rFonts w:cs="Times New Roman"/>
        </w:rPr>
        <w:t xml:space="preserve">ill be chemical-specific </w:t>
      </w:r>
      <w:proofErr w:type="spellStart"/>
      <w:r w:rsidR="00C474D8" w:rsidRPr="00305954">
        <w:rPr>
          <w:rFonts w:cs="Times New Roman"/>
        </w:rPr>
        <w:t>writeups</w:t>
      </w:r>
      <w:proofErr w:type="spellEnd"/>
      <w:r w:rsidR="00C474D8" w:rsidRPr="00305954">
        <w:rPr>
          <w:rFonts w:cs="Times New Roman"/>
        </w:rPr>
        <w:t xml:space="preserve"> for each contaminant – see example below </w:t>
      </w:r>
      <w:r w:rsidR="00087A76" w:rsidRPr="00305954">
        <w:rPr>
          <w:rFonts w:cs="Times New Roman"/>
        </w:rPr>
        <w:t>– up to date toxicological information and appropriate references will be included.</w:t>
      </w:r>
      <w:r w:rsidRPr="00305954">
        <w:rPr>
          <w:rFonts w:cs="Times New Roman"/>
        </w:rPr>
        <w:t>)</w:t>
      </w:r>
    </w:p>
    <w:p w14:paraId="337EA4C1" w14:textId="77777777" w:rsidR="004934BF" w:rsidRDefault="004934BF" w:rsidP="004934BF">
      <w:pPr>
        <w:spacing w:before="0"/>
      </w:pPr>
    </w:p>
    <w:p w14:paraId="1C834832" w14:textId="77777777" w:rsidR="004934BF" w:rsidRDefault="004934BF" w:rsidP="004934BF">
      <w:pPr>
        <w:jc w:val="center"/>
      </w:pPr>
      <w:bookmarkStart w:id="0" w:name="_GoBack"/>
      <w:bookmarkEnd w:id="0"/>
    </w:p>
    <w:p w14:paraId="5E4B8EB7" w14:textId="13AEE923" w:rsidR="00654DDB" w:rsidRDefault="00654DDB">
      <w:pPr>
        <w:spacing w:before="0"/>
      </w:pPr>
      <w:r>
        <w:br w:type="page"/>
      </w:r>
    </w:p>
    <w:p w14:paraId="0D412BFB" w14:textId="77777777" w:rsidR="00A81969" w:rsidRDefault="00A81969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  <w:r w:rsidRPr="00A81969">
        <w:rPr>
          <w:rFonts w:eastAsiaTheme="minorHAnsi" w:cs="Times New Roman"/>
          <w:b/>
          <w:bCs/>
        </w:rPr>
        <w:lastRenderedPageBreak/>
        <w:t>Methane can increase risk for explosion</w:t>
      </w:r>
    </w:p>
    <w:p w14:paraId="46E4AB1D" w14:textId="77777777" w:rsidR="00087A76" w:rsidRPr="00A81969" w:rsidRDefault="00087A76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</w:p>
    <w:p w14:paraId="1840F548" w14:textId="77777777" w:rsidR="00A81969" w:rsidRPr="00A81969" w:rsidRDefault="00A81969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>The methane level in your water (10 mg/L) was equal to the bottom end of the warning range set by</w:t>
      </w:r>
    </w:p>
    <w:p w14:paraId="0F0E8E5F" w14:textId="7E8164D9" w:rsidR="00A81969" w:rsidRPr="00A81969" w:rsidRDefault="00A81969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the</w:t>
      </w:r>
      <w:proofErr w:type="gramEnd"/>
      <w:r w:rsidRPr="00A81969">
        <w:rPr>
          <w:rFonts w:eastAsiaTheme="minorHAnsi" w:cs="Times New Roman"/>
        </w:rPr>
        <w:t xml:space="preserve"> U.S. Department of the Interior (DOI). The possible buildup of methane gas indoors can</w:t>
      </w:r>
    </w:p>
    <w:p w14:paraId="3C78835E" w14:textId="77777777" w:rsidR="00A81969" w:rsidRPr="00A81969" w:rsidRDefault="00A81969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increase</w:t>
      </w:r>
      <w:proofErr w:type="gramEnd"/>
      <w:r w:rsidRPr="00A81969">
        <w:rPr>
          <w:rFonts w:eastAsiaTheme="minorHAnsi" w:cs="Times New Roman"/>
        </w:rPr>
        <w:t xml:space="preserve"> the risk for an explosion. Drinking methane dissolved in well water is not considered a</w:t>
      </w:r>
    </w:p>
    <w:p w14:paraId="054D8A99" w14:textId="4506DA3C" w:rsidR="00A81969" w:rsidRPr="00A81969" w:rsidRDefault="00A81969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health</w:t>
      </w:r>
      <w:proofErr w:type="gramEnd"/>
      <w:r w:rsidRPr="00A81969">
        <w:rPr>
          <w:rFonts w:eastAsiaTheme="minorHAnsi" w:cs="Times New Roman"/>
        </w:rPr>
        <w:t xml:space="preserve"> concern. </w:t>
      </w:r>
    </w:p>
    <w:p w14:paraId="20DD7A49" w14:textId="77777777" w:rsidR="00A81969" w:rsidRDefault="00A81969" w:rsidP="00A81969">
      <w:pPr>
        <w:autoSpaceDE w:val="0"/>
        <w:autoSpaceDN w:val="0"/>
        <w:adjustRightInd w:val="0"/>
        <w:spacing w:before="0" w:after="0" w:line="240" w:lineRule="auto"/>
        <w:rPr>
          <w:rFonts w:ascii="Times-Roman" w:eastAsiaTheme="minorHAnsi" w:hAnsi="Times-Roman" w:cs="Times-Roman"/>
          <w:sz w:val="22"/>
          <w:szCs w:val="22"/>
        </w:rPr>
      </w:pPr>
    </w:p>
    <w:p w14:paraId="44624440" w14:textId="0ACACB14" w:rsidR="00FE7846" w:rsidRDefault="00FE7846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  <w:r w:rsidRPr="00A81969">
        <w:rPr>
          <w:rFonts w:eastAsiaTheme="minorHAnsi" w:cs="Times New Roman"/>
          <w:b/>
          <w:bCs/>
        </w:rPr>
        <w:t>Sodium is a health concern for people trying to limit salt intake</w:t>
      </w:r>
    </w:p>
    <w:p w14:paraId="4D854E9A" w14:textId="77777777" w:rsidR="00087A76" w:rsidRPr="00A81969" w:rsidRDefault="00087A76" w:rsidP="00A81969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</w:p>
    <w:p w14:paraId="08E111E9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>Sodium was found in your well at 24.2 mg/L, which exceeds the EPA DWEL advisory level of 20</w:t>
      </w:r>
    </w:p>
    <w:p w14:paraId="3D78D623" w14:textId="31CC13B8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mg/L</w:t>
      </w:r>
      <w:proofErr w:type="gramEnd"/>
      <w:r w:rsidRPr="00A81969">
        <w:rPr>
          <w:rFonts w:eastAsiaTheme="minorHAnsi" w:cs="Times New Roman"/>
        </w:rPr>
        <w:t>. The level of 20 mg/L is intended to protect people who have high blood pressure or are on a</w:t>
      </w:r>
    </w:p>
    <w:p w14:paraId="5FBBC2EC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sodium-restricted</w:t>
      </w:r>
      <w:proofErr w:type="gramEnd"/>
      <w:r w:rsidRPr="00A81969">
        <w:rPr>
          <w:rFonts w:eastAsiaTheme="minorHAnsi" w:cs="Times New Roman"/>
        </w:rPr>
        <w:t xml:space="preserve"> diet. Drinking water with a high level of sodium is a health concern for people who</w:t>
      </w:r>
    </w:p>
    <w:p w14:paraId="4131B924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must</w:t>
      </w:r>
      <w:proofErr w:type="gramEnd"/>
      <w:r w:rsidRPr="00A81969">
        <w:rPr>
          <w:rFonts w:eastAsiaTheme="minorHAnsi" w:cs="Times New Roman"/>
        </w:rPr>
        <w:t xml:space="preserve"> limit how much salt they eat or drink. The taste of water is generally offensive to all users at</w:t>
      </w:r>
    </w:p>
    <w:p w14:paraId="2B987904" w14:textId="7D1D381B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levels</w:t>
      </w:r>
      <w:proofErr w:type="gramEnd"/>
      <w:r w:rsidRPr="00A81969">
        <w:rPr>
          <w:rFonts w:eastAsiaTheme="minorHAnsi" w:cs="Times New Roman"/>
        </w:rPr>
        <w:t xml:space="preserve"> of 200 mg/L and above because of the salty taste. Children are also sensitive to salt in their diet.</w:t>
      </w:r>
    </w:p>
    <w:p w14:paraId="13674740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>People who drink this water and must limit their salt intake should discuss the levels of sodium in their</w:t>
      </w:r>
    </w:p>
    <w:p w14:paraId="7C252FF3" w14:textId="77777777" w:rsidR="00FE7846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water</w:t>
      </w:r>
      <w:proofErr w:type="gramEnd"/>
      <w:r w:rsidRPr="00A81969">
        <w:rPr>
          <w:rFonts w:eastAsiaTheme="minorHAnsi" w:cs="Times New Roman"/>
        </w:rPr>
        <w:t xml:space="preserve"> with their family doctor.</w:t>
      </w:r>
    </w:p>
    <w:p w14:paraId="3D60D22D" w14:textId="77777777" w:rsidR="00A81969" w:rsidRPr="00A81969" w:rsidRDefault="00A81969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</w:p>
    <w:p w14:paraId="39AD64FB" w14:textId="466BEE1A" w:rsidR="00FE7846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  <w:r w:rsidRPr="00A81969">
        <w:rPr>
          <w:rFonts w:eastAsiaTheme="minorHAnsi" w:cs="Times New Roman"/>
          <w:b/>
          <w:bCs/>
        </w:rPr>
        <w:t>TDS may make water hard or salty</w:t>
      </w:r>
    </w:p>
    <w:p w14:paraId="0E254656" w14:textId="77777777" w:rsidR="00087A76" w:rsidRPr="00A81969" w:rsidRDefault="00087A7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</w:p>
    <w:p w14:paraId="4C07B3A5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>Total dissolved solids (TDS) were found in your well at 522 mg/L, which is above the EPA SMCL of</w:t>
      </w:r>
    </w:p>
    <w:p w14:paraId="5E839F33" w14:textId="32EEFDF3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 xml:space="preserve">500 mg/L. TDS </w:t>
      </w:r>
      <w:proofErr w:type="gramStart"/>
      <w:r w:rsidRPr="00A81969">
        <w:rPr>
          <w:rFonts w:eastAsiaTheme="minorHAnsi" w:cs="Times New Roman"/>
        </w:rPr>
        <w:t>is</w:t>
      </w:r>
      <w:proofErr w:type="gramEnd"/>
      <w:r w:rsidRPr="00A81969">
        <w:rPr>
          <w:rFonts w:eastAsiaTheme="minorHAnsi" w:cs="Times New Roman"/>
        </w:rPr>
        <w:t xml:space="preserve"> a measure of dissolved substances in the water. If the TDS is high, then the water</w:t>
      </w:r>
    </w:p>
    <w:p w14:paraId="7A7F54B2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may</w:t>
      </w:r>
      <w:proofErr w:type="gramEnd"/>
      <w:r w:rsidRPr="00A81969">
        <w:rPr>
          <w:rFonts w:eastAsiaTheme="minorHAnsi" w:cs="Times New Roman"/>
        </w:rPr>
        <w:t xml:space="preserve"> be hard, stain, or taste salty. Based on taste, TDS levels greater than 1,100 mg/L are considered to</w:t>
      </w:r>
    </w:p>
    <w:p w14:paraId="01E12375" w14:textId="1CA84590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be</w:t>
      </w:r>
      <w:proofErr w:type="gramEnd"/>
      <w:r w:rsidRPr="00A81969">
        <w:rPr>
          <w:rFonts w:eastAsiaTheme="minorHAnsi" w:cs="Times New Roman"/>
        </w:rPr>
        <w:t xml:space="preserve"> </w:t>
      </w:r>
      <w:r w:rsidR="00A81969">
        <w:rPr>
          <w:rFonts w:eastAsiaTheme="minorHAnsi" w:cs="Times New Roman"/>
        </w:rPr>
        <w:t>unacceptable for drinking water</w:t>
      </w:r>
      <w:r w:rsidRPr="00A81969">
        <w:rPr>
          <w:rFonts w:eastAsiaTheme="minorHAnsi" w:cs="Times New Roman"/>
        </w:rPr>
        <w:t>. Because the level in your well is above 500 mg/L, your water</w:t>
      </w:r>
    </w:p>
    <w:p w14:paraId="3519FD78" w14:textId="77777777" w:rsidR="00FE7846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spellStart"/>
      <w:proofErr w:type="gramStart"/>
      <w:r w:rsidRPr="00A81969">
        <w:rPr>
          <w:rFonts w:eastAsiaTheme="minorHAnsi" w:cs="Times New Roman"/>
        </w:rPr>
        <w:t>may</w:t>
      </w:r>
      <w:proofErr w:type="spellEnd"/>
      <w:proofErr w:type="gramEnd"/>
      <w:r w:rsidRPr="00A81969">
        <w:rPr>
          <w:rFonts w:eastAsiaTheme="minorHAnsi" w:cs="Times New Roman"/>
        </w:rPr>
        <w:t xml:space="preserve"> taste salty.</w:t>
      </w:r>
    </w:p>
    <w:p w14:paraId="7612592C" w14:textId="77777777" w:rsidR="00A81969" w:rsidRPr="00A81969" w:rsidRDefault="00A81969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</w:p>
    <w:p w14:paraId="411DC6C1" w14:textId="359A288C" w:rsidR="00FE7846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  <w:r w:rsidRPr="00A81969">
        <w:rPr>
          <w:rFonts w:eastAsiaTheme="minorHAnsi" w:cs="Times New Roman"/>
          <w:b/>
          <w:bCs/>
        </w:rPr>
        <w:t>Arsenic can increase the risk of cancer</w:t>
      </w:r>
    </w:p>
    <w:p w14:paraId="4708034B" w14:textId="77777777" w:rsidR="00087A76" w:rsidRPr="00A81969" w:rsidRDefault="00087A7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</w:p>
    <w:p w14:paraId="2E5EA2A5" w14:textId="2737E42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 xml:space="preserve">Arsenic was found in your well water at 0.17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 xml:space="preserve">/L and does not exceed the EPA MCL of 10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>/L or a</w:t>
      </w:r>
    </w:p>
    <w:p w14:paraId="7F92672F" w14:textId="26388436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non-cancer</w:t>
      </w:r>
      <w:proofErr w:type="gramEnd"/>
      <w:r w:rsidRPr="00A81969">
        <w:rPr>
          <w:rFonts w:eastAsiaTheme="minorHAnsi" w:cs="Times New Roman"/>
        </w:rPr>
        <w:t xml:space="preserve"> ATSDR screening level of 3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>/L. Arsenic can increase the risk of cancer of the skin and</w:t>
      </w:r>
    </w:p>
    <w:p w14:paraId="2E8D6EB6" w14:textId="6134CF80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lungs</w:t>
      </w:r>
      <w:proofErr w:type="gramEnd"/>
      <w:r w:rsidRPr="00A81969">
        <w:rPr>
          <w:rFonts w:eastAsiaTheme="minorHAnsi" w:cs="Times New Roman"/>
        </w:rPr>
        <w:t xml:space="preserve">. The amount found in your well water exceeds the cancer screening value of 0.023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>/L. If you</w:t>
      </w:r>
    </w:p>
    <w:p w14:paraId="02DD00AE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consume</w:t>
      </w:r>
      <w:proofErr w:type="gramEnd"/>
      <w:r w:rsidRPr="00A81969">
        <w:rPr>
          <w:rFonts w:eastAsiaTheme="minorHAnsi" w:cs="Times New Roman"/>
        </w:rPr>
        <w:t xml:space="preserve"> the water for many years (70 years) and drink at least 2 liters a day, at the level detected in</w:t>
      </w:r>
    </w:p>
    <w:p w14:paraId="736FCE67" w14:textId="77777777" w:rsidR="00FE7846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your</w:t>
      </w:r>
      <w:proofErr w:type="gramEnd"/>
      <w:r w:rsidRPr="00A81969">
        <w:rPr>
          <w:rFonts w:eastAsiaTheme="minorHAnsi" w:cs="Times New Roman"/>
        </w:rPr>
        <w:t xml:space="preserve"> water, there is a slight increased risk of developing cancer.</w:t>
      </w:r>
    </w:p>
    <w:p w14:paraId="38F3F6C7" w14:textId="77777777" w:rsidR="00A81969" w:rsidRPr="00A81969" w:rsidRDefault="00A81969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</w:p>
    <w:p w14:paraId="234E324B" w14:textId="2D7E0970" w:rsidR="00FE7846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  <w:r w:rsidRPr="00A81969">
        <w:rPr>
          <w:rFonts w:eastAsiaTheme="minorHAnsi" w:cs="Times New Roman"/>
          <w:b/>
          <w:bCs/>
        </w:rPr>
        <w:t>Iron may affect taste and cause staining</w:t>
      </w:r>
    </w:p>
    <w:p w14:paraId="42031F57" w14:textId="77777777" w:rsidR="007374A9" w:rsidRPr="00A81969" w:rsidRDefault="007374A9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</w:p>
    <w:p w14:paraId="09EC2ECE" w14:textId="0C08D57F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 xml:space="preserve">Iron was found in your well water at 758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 xml:space="preserve">/L, which is above the EPA SMCL of 300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>/L Drinking</w:t>
      </w:r>
    </w:p>
    <w:p w14:paraId="44CC5A38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the</w:t>
      </w:r>
      <w:proofErr w:type="gramEnd"/>
      <w:r w:rsidRPr="00A81969">
        <w:rPr>
          <w:rFonts w:eastAsiaTheme="minorHAnsi" w:cs="Times New Roman"/>
        </w:rPr>
        <w:t xml:space="preserve"> water with this amount of iron will not harm the health of a normal person but some people have a</w:t>
      </w:r>
    </w:p>
    <w:p w14:paraId="6EADF7D3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condition</w:t>
      </w:r>
      <w:proofErr w:type="gramEnd"/>
      <w:r w:rsidRPr="00A81969">
        <w:rPr>
          <w:rFonts w:eastAsiaTheme="minorHAnsi" w:cs="Times New Roman"/>
        </w:rPr>
        <w:t xml:space="preserve"> called hemochromatosis (body absorbs too much iron), and drinking water with too much</w:t>
      </w:r>
    </w:p>
    <w:p w14:paraId="23093F8F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iron</w:t>
      </w:r>
      <w:proofErr w:type="gramEnd"/>
      <w:r w:rsidRPr="00A81969">
        <w:rPr>
          <w:rFonts w:eastAsiaTheme="minorHAnsi" w:cs="Times New Roman"/>
        </w:rPr>
        <w:t xml:space="preserve"> may cause organ damage. Your water may have a bad taste (metallic), and a rusty color which can</w:t>
      </w:r>
    </w:p>
    <w:p w14:paraId="34D805A0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stain</w:t>
      </w:r>
      <w:proofErr w:type="gramEnd"/>
      <w:r w:rsidRPr="00A81969">
        <w:rPr>
          <w:rFonts w:eastAsiaTheme="minorHAnsi" w:cs="Times New Roman"/>
        </w:rPr>
        <w:t xml:space="preserve"> clothes and dishes after washing. Because the levels are above the SMCL, your water may not be</w:t>
      </w:r>
    </w:p>
    <w:p w14:paraId="5E5C9933" w14:textId="77777777" w:rsidR="00FE7846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suitable</w:t>
      </w:r>
      <w:proofErr w:type="gramEnd"/>
      <w:r w:rsidRPr="00A81969">
        <w:rPr>
          <w:rFonts w:eastAsiaTheme="minorHAnsi" w:cs="Times New Roman"/>
        </w:rPr>
        <w:t xml:space="preserve"> for drinking or cooking.</w:t>
      </w:r>
    </w:p>
    <w:p w14:paraId="024F0BA2" w14:textId="77777777" w:rsidR="00A81969" w:rsidRPr="00A81969" w:rsidRDefault="00A81969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</w:p>
    <w:p w14:paraId="10BB5C00" w14:textId="77777777" w:rsidR="007374A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  <w:r w:rsidRPr="00A81969">
        <w:rPr>
          <w:rFonts w:eastAsiaTheme="minorHAnsi" w:cs="Times New Roman"/>
          <w:b/>
          <w:bCs/>
        </w:rPr>
        <w:t>Lithium is a health concern if people are taking it for medical reasons</w:t>
      </w:r>
    </w:p>
    <w:p w14:paraId="6C2FD329" w14:textId="77777777" w:rsidR="007374A9" w:rsidRDefault="007374A9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</w:p>
    <w:p w14:paraId="18767CFA" w14:textId="49F3181E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A81969">
        <w:rPr>
          <w:rFonts w:eastAsiaTheme="minorHAnsi" w:cs="Times New Roman"/>
        </w:rPr>
        <w:t xml:space="preserve">Lithium was found in your well at 31.7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 xml:space="preserve">/L which is above the screening level of 31 </w:t>
      </w:r>
      <w:proofErr w:type="spellStart"/>
      <w:r w:rsidRPr="00A81969">
        <w:rPr>
          <w:rFonts w:eastAsiaTheme="minorHAnsi" w:cs="Times New Roman"/>
        </w:rPr>
        <w:t>μg</w:t>
      </w:r>
      <w:proofErr w:type="spellEnd"/>
      <w:r w:rsidRPr="00A81969">
        <w:rPr>
          <w:rFonts w:eastAsiaTheme="minorHAnsi" w:cs="Times New Roman"/>
        </w:rPr>
        <w:t>/L for</w:t>
      </w:r>
    </w:p>
    <w:p w14:paraId="14A53C98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children</w:t>
      </w:r>
      <w:proofErr w:type="gramEnd"/>
      <w:r w:rsidRPr="00A81969">
        <w:rPr>
          <w:rFonts w:eastAsiaTheme="minorHAnsi" w:cs="Times New Roman"/>
        </w:rPr>
        <w:t>. Lithium is prescribed by doctors to treat mood disorders. Its use as a medicine should be</w:t>
      </w:r>
    </w:p>
    <w:p w14:paraId="2212486C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closely</w:t>
      </w:r>
      <w:proofErr w:type="gramEnd"/>
      <w:r w:rsidRPr="00A81969">
        <w:rPr>
          <w:rFonts w:eastAsiaTheme="minorHAnsi" w:cs="Times New Roman"/>
        </w:rPr>
        <w:t xml:space="preserve"> monitored by a doctor because a person can experience side effects such as an upset stomach</w:t>
      </w:r>
    </w:p>
    <w:p w14:paraId="3271095D" w14:textId="77777777" w:rsidR="00FE7846" w:rsidRPr="00A81969" w:rsidRDefault="00FE7846" w:rsidP="00FE7846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and</w:t>
      </w:r>
      <w:proofErr w:type="gramEnd"/>
      <w:r w:rsidRPr="00A81969">
        <w:rPr>
          <w:rFonts w:eastAsiaTheme="minorHAnsi" w:cs="Times New Roman"/>
        </w:rPr>
        <w:t xml:space="preserve"> effects on the kidneys and nervous system, if they take too much. A person taking lithium for</w:t>
      </w:r>
    </w:p>
    <w:p w14:paraId="737575F6" w14:textId="5F7CBAFF" w:rsidR="00DC57CC" w:rsidRDefault="00FE7846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A81969">
        <w:rPr>
          <w:rFonts w:eastAsiaTheme="minorHAnsi" w:cs="Times New Roman"/>
        </w:rPr>
        <w:t>medical</w:t>
      </w:r>
      <w:proofErr w:type="gramEnd"/>
      <w:r w:rsidRPr="00A81969">
        <w:rPr>
          <w:rFonts w:eastAsiaTheme="minorHAnsi" w:cs="Times New Roman"/>
        </w:rPr>
        <w:t xml:space="preserve"> reasons should consult their physician if they using this water for drinking or cooking.</w:t>
      </w:r>
    </w:p>
    <w:p w14:paraId="51D314CF" w14:textId="77777777" w:rsid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  <w:r w:rsidRPr="00C474D8">
        <w:rPr>
          <w:rFonts w:eastAsiaTheme="minorHAnsi" w:cs="Times New Roman"/>
          <w:b/>
          <w:bCs/>
        </w:rPr>
        <w:lastRenderedPageBreak/>
        <w:t>TPH and Oil and Grease may affect taste and quality of water</w:t>
      </w:r>
    </w:p>
    <w:p w14:paraId="10A5798F" w14:textId="77777777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  <w:b/>
          <w:bCs/>
        </w:rPr>
      </w:pPr>
    </w:p>
    <w:p w14:paraId="29D21A33" w14:textId="77777777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C474D8">
        <w:rPr>
          <w:rFonts w:eastAsiaTheme="minorHAnsi" w:cs="Times New Roman"/>
        </w:rPr>
        <w:t xml:space="preserve">TPH were found in your well water at 940 </w:t>
      </w:r>
      <w:proofErr w:type="spellStart"/>
      <w:r w:rsidRPr="00C474D8">
        <w:rPr>
          <w:rFonts w:eastAsiaTheme="minorHAnsi" w:cs="Times New Roman"/>
        </w:rPr>
        <w:t>μg</w:t>
      </w:r>
      <w:proofErr w:type="spellEnd"/>
      <w:r w:rsidRPr="00C474D8">
        <w:rPr>
          <w:rFonts w:eastAsiaTheme="minorHAnsi" w:cs="Times New Roman"/>
        </w:rPr>
        <w:t>/L which is above the screening level defined by</w:t>
      </w:r>
    </w:p>
    <w:p w14:paraId="7C43D790" w14:textId="0DF10C78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r w:rsidRPr="00C474D8">
        <w:rPr>
          <w:rFonts w:eastAsiaTheme="minorHAnsi" w:cs="Times New Roman"/>
        </w:rPr>
        <w:t>IDEM. Oil and Grease were found in your well water at a level of 2.6 mg/L (no screening level</w:t>
      </w:r>
    </w:p>
    <w:p w14:paraId="51B1A2A0" w14:textId="77777777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C474D8">
        <w:rPr>
          <w:rFonts w:eastAsiaTheme="minorHAnsi" w:cs="Times New Roman"/>
        </w:rPr>
        <w:t>available</w:t>
      </w:r>
      <w:proofErr w:type="gramEnd"/>
      <w:r w:rsidRPr="00C474D8">
        <w:rPr>
          <w:rFonts w:eastAsiaTheme="minorHAnsi" w:cs="Times New Roman"/>
        </w:rPr>
        <w:t>). TPH and Oil and Grease are not normally found in drinking water supplies. Their</w:t>
      </w:r>
    </w:p>
    <w:p w14:paraId="26B8C2F2" w14:textId="77777777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C474D8">
        <w:rPr>
          <w:rFonts w:eastAsiaTheme="minorHAnsi" w:cs="Times New Roman"/>
        </w:rPr>
        <w:t>presence</w:t>
      </w:r>
      <w:proofErr w:type="gramEnd"/>
      <w:r w:rsidRPr="00C474D8">
        <w:rPr>
          <w:rFonts w:eastAsiaTheme="minorHAnsi" w:cs="Times New Roman"/>
        </w:rPr>
        <w:t xml:space="preserve"> may affect the taste and quality of your drinking water. Finding TPH in a water sample</w:t>
      </w:r>
    </w:p>
    <w:p w14:paraId="191B8A32" w14:textId="77777777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C474D8">
        <w:rPr>
          <w:rFonts w:eastAsiaTheme="minorHAnsi" w:cs="Times New Roman"/>
        </w:rPr>
        <w:t>means</w:t>
      </w:r>
      <w:proofErr w:type="gramEnd"/>
      <w:r w:rsidRPr="00C474D8">
        <w:rPr>
          <w:rFonts w:eastAsiaTheme="minorHAnsi" w:cs="Times New Roman"/>
        </w:rPr>
        <w:t xml:space="preserve"> that a range of hydrocarbons is present in your well water; this measurement is not specific to</w:t>
      </w:r>
    </w:p>
    <w:p w14:paraId="50915031" w14:textId="77777777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C474D8">
        <w:rPr>
          <w:rFonts w:eastAsiaTheme="minorHAnsi" w:cs="Times New Roman"/>
        </w:rPr>
        <w:t>any</w:t>
      </w:r>
      <w:proofErr w:type="gramEnd"/>
      <w:r w:rsidRPr="00C474D8">
        <w:rPr>
          <w:rFonts w:eastAsiaTheme="minorHAnsi" w:cs="Times New Roman"/>
        </w:rPr>
        <w:t xml:space="preserve"> one chemical. Unless we know what the chemicals were in this TPH mixture, we cannot tell</w:t>
      </w:r>
    </w:p>
    <w:p w14:paraId="4F1EAF37" w14:textId="71BE5232" w:rsidR="00C474D8" w:rsidRPr="00C474D8" w:rsidRDefault="00C474D8" w:rsidP="00C474D8">
      <w:pPr>
        <w:autoSpaceDE w:val="0"/>
        <w:autoSpaceDN w:val="0"/>
        <w:adjustRightInd w:val="0"/>
        <w:spacing w:before="0" w:after="0" w:line="240" w:lineRule="auto"/>
        <w:rPr>
          <w:rFonts w:eastAsiaTheme="minorHAnsi" w:cs="Times New Roman"/>
        </w:rPr>
      </w:pPr>
      <w:proofErr w:type="gramStart"/>
      <w:r w:rsidRPr="00C474D8">
        <w:rPr>
          <w:rFonts w:eastAsiaTheme="minorHAnsi" w:cs="Times New Roman"/>
        </w:rPr>
        <w:t>you</w:t>
      </w:r>
      <w:proofErr w:type="gramEnd"/>
      <w:r w:rsidRPr="00C474D8">
        <w:rPr>
          <w:rFonts w:eastAsiaTheme="minorHAnsi" w:cs="Times New Roman"/>
        </w:rPr>
        <w:t xml:space="preserve"> what this detection means for your health.</w:t>
      </w:r>
    </w:p>
    <w:sectPr w:rsidR="00C474D8" w:rsidRPr="00C474D8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3FC8D" w14:textId="77777777" w:rsidR="00C474D8" w:rsidRDefault="00C474D8" w:rsidP="008B5D54">
      <w:pPr>
        <w:spacing w:after="0" w:line="240" w:lineRule="auto"/>
      </w:pPr>
      <w:r>
        <w:separator/>
      </w:r>
    </w:p>
  </w:endnote>
  <w:endnote w:type="continuationSeparator" w:id="0">
    <w:p w14:paraId="05D50F91" w14:textId="77777777" w:rsidR="00C474D8" w:rsidRDefault="00C474D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69B8D" w14:textId="77777777" w:rsidR="00C474D8" w:rsidRDefault="00C474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BC24" w14:textId="77777777" w:rsidR="00C474D8" w:rsidRDefault="00C474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A4C7" w14:textId="77777777" w:rsidR="00C474D8" w:rsidRDefault="00C47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0170D" w14:textId="77777777" w:rsidR="00C474D8" w:rsidRDefault="00C474D8" w:rsidP="008B5D54">
      <w:pPr>
        <w:spacing w:after="0" w:line="240" w:lineRule="auto"/>
      </w:pPr>
      <w:r>
        <w:separator/>
      </w:r>
    </w:p>
  </w:footnote>
  <w:footnote w:type="continuationSeparator" w:id="0">
    <w:p w14:paraId="3E229417" w14:textId="77777777" w:rsidR="00C474D8" w:rsidRDefault="00C474D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5A611" w14:textId="77777777" w:rsidR="00C474D8" w:rsidRDefault="00C474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0FA94" w14:textId="77777777" w:rsidR="00C474D8" w:rsidRDefault="00C474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937A5" w14:textId="77777777" w:rsidR="00C474D8" w:rsidRDefault="00C47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BF"/>
    <w:rsid w:val="00087A76"/>
    <w:rsid w:val="002435D5"/>
    <w:rsid w:val="00305954"/>
    <w:rsid w:val="003D5D41"/>
    <w:rsid w:val="00490B1C"/>
    <w:rsid w:val="004934BF"/>
    <w:rsid w:val="004D33CE"/>
    <w:rsid w:val="006419FE"/>
    <w:rsid w:val="00654DDB"/>
    <w:rsid w:val="006C6578"/>
    <w:rsid w:val="007374A9"/>
    <w:rsid w:val="00790015"/>
    <w:rsid w:val="008B5D54"/>
    <w:rsid w:val="00907A53"/>
    <w:rsid w:val="00A81969"/>
    <w:rsid w:val="00AF080D"/>
    <w:rsid w:val="00B51A94"/>
    <w:rsid w:val="00B55735"/>
    <w:rsid w:val="00B608AC"/>
    <w:rsid w:val="00C01C92"/>
    <w:rsid w:val="00C474D8"/>
    <w:rsid w:val="00DC57CC"/>
    <w:rsid w:val="00E260CA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D58305"/>
  <w15:chartTrackingRefBased/>
  <w15:docId w15:val="{12735005-68E1-40F5-84D1-4E19DAF0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BF"/>
    <w:pPr>
      <w:spacing w:before="240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uiPriority w:val="99"/>
    <w:rsid w:val="004934B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1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A94"/>
    <w:rPr>
      <w:rFonts w:ascii="Times New Roman" w:eastAsia="Times New Roman" w:hAnsi="Times New Roman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A94"/>
    <w:rPr>
      <w:rFonts w:ascii="Times New Roman" w:eastAsia="Times New Roman" w:hAnsi="Times New Roman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9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fu6@cd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9E87-3649-489F-8870-64E4B619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Vempaty, Padmaja (ATSDR/OADS)</cp:lastModifiedBy>
  <cp:revision>5</cp:revision>
  <dcterms:created xsi:type="dcterms:W3CDTF">2017-06-05T18:04:00Z</dcterms:created>
  <dcterms:modified xsi:type="dcterms:W3CDTF">2017-06-07T12:51:00Z</dcterms:modified>
</cp:coreProperties>
</file>