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27FA1" w14:textId="77777777" w:rsidR="002D6BE5" w:rsidRDefault="002D6BE5" w:rsidP="005E55A9">
      <w:pPr>
        <w:jc w:val="center"/>
        <w:rPr>
          <w:b/>
          <w:sz w:val="40"/>
          <w:szCs w:val="40"/>
        </w:rPr>
      </w:pPr>
      <w:bookmarkStart w:id="0" w:name="_Toc306344165"/>
      <w:bookmarkStart w:id="1" w:name="_Toc306344806"/>
      <w:bookmarkStart w:id="2" w:name="_Toc306345047"/>
      <w:bookmarkStart w:id="3" w:name="_Toc311445518"/>
    </w:p>
    <w:p w14:paraId="65071AA1" w14:textId="77777777" w:rsidR="002D6BE5" w:rsidRDefault="002D6BE5" w:rsidP="005E55A9">
      <w:pPr>
        <w:jc w:val="center"/>
        <w:rPr>
          <w:b/>
          <w:sz w:val="40"/>
          <w:szCs w:val="40"/>
        </w:rPr>
      </w:pPr>
    </w:p>
    <w:p w14:paraId="14065053" w14:textId="4BA7B2BE" w:rsidR="005E55A9" w:rsidRPr="005E55A9" w:rsidRDefault="005E55A9" w:rsidP="005E55A9">
      <w:pPr>
        <w:jc w:val="center"/>
        <w:rPr>
          <w:b/>
          <w:sz w:val="40"/>
          <w:szCs w:val="40"/>
        </w:rPr>
      </w:pPr>
      <w:r w:rsidRPr="005E55A9">
        <w:rPr>
          <w:b/>
          <w:sz w:val="40"/>
          <w:szCs w:val="40"/>
        </w:rPr>
        <w:t>Drinking Water</w:t>
      </w:r>
    </w:p>
    <w:p w14:paraId="51444E9A" w14:textId="77777777" w:rsidR="005E55A9" w:rsidRPr="005E55A9" w:rsidRDefault="005E55A9" w:rsidP="005E55A9">
      <w:pPr>
        <w:jc w:val="center"/>
        <w:rPr>
          <w:b/>
          <w:sz w:val="40"/>
          <w:szCs w:val="40"/>
        </w:rPr>
      </w:pPr>
      <w:r w:rsidRPr="005E55A9">
        <w:rPr>
          <w:b/>
          <w:sz w:val="40"/>
          <w:szCs w:val="40"/>
        </w:rPr>
        <w:t xml:space="preserve"> Exposure Investigation</w:t>
      </w:r>
    </w:p>
    <w:p w14:paraId="41EB6BAA" w14:textId="2C9C6A72" w:rsidR="003A7A75" w:rsidRDefault="005E55A9" w:rsidP="008934D6">
      <w:pPr>
        <w:jc w:val="center"/>
        <w:rPr>
          <w:b/>
          <w:sz w:val="40"/>
          <w:szCs w:val="40"/>
        </w:rPr>
      </w:pPr>
      <w:r w:rsidRPr="005E55A9">
        <w:rPr>
          <w:b/>
          <w:sz w:val="40"/>
          <w:szCs w:val="40"/>
        </w:rPr>
        <w:t>Dimock, PA</w:t>
      </w:r>
      <w:r>
        <w:rPr>
          <w:b/>
          <w:sz w:val="40"/>
          <w:szCs w:val="40"/>
        </w:rPr>
        <w:t xml:space="preserve"> </w:t>
      </w:r>
    </w:p>
    <w:p w14:paraId="040822B0" w14:textId="77777777" w:rsidR="002D6BE5" w:rsidRDefault="002D6BE5" w:rsidP="008934D6">
      <w:pPr>
        <w:jc w:val="center"/>
        <w:rPr>
          <w:b/>
          <w:sz w:val="40"/>
          <w:szCs w:val="40"/>
        </w:rPr>
      </w:pPr>
    </w:p>
    <w:p w14:paraId="47275C08" w14:textId="77777777" w:rsidR="002D6BE5" w:rsidRDefault="002D6BE5" w:rsidP="008934D6">
      <w:pPr>
        <w:jc w:val="center"/>
        <w:rPr>
          <w:b/>
          <w:sz w:val="40"/>
          <w:szCs w:val="40"/>
        </w:rPr>
      </w:pPr>
    </w:p>
    <w:p w14:paraId="4C026B2F" w14:textId="77777777" w:rsidR="002D6BE5" w:rsidRDefault="002D6BE5" w:rsidP="008934D6">
      <w:pPr>
        <w:jc w:val="center"/>
        <w:rPr>
          <w:b/>
          <w:sz w:val="40"/>
          <w:szCs w:val="40"/>
        </w:rPr>
      </w:pPr>
    </w:p>
    <w:p w14:paraId="13D6C078" w14:textId="77777777" w:rsidR="002D6BE5" w:rsidRDefault="002D6BE5" w:rsidP="008934D6">
      <w:pPr>
        <w:jc w:val="center"/>
      </w:pPr>
    </w:p>
    <w:p w14:paraId="119296AF" w14:textId="77777777" w:rsidR="008934D6" w:rsidRDefault="008934D6" w:rsidP="008934D6">
      <w:pPr>
        <w:jc w:val="center"/>
      </w:pPr>
      <w:r w:rsidRPr="00BC290E">
        <w:t>ATSDR</w:t>
      </w:r>
      <w:r>
        <w:t xml:space="preserve"> Exposure Investigations (EI) Generic Information Collection Request</w:t>
      </w:r>
    </w:p>
    <w:p w14:paraId="3FAB71F2" w14:textId="77777777" w:rsidR="008934D6" w:rsidRPr="00BC290E" w:rsidRDefault="008934D6" w:rsidP="008934D6">
      <w:pPr>
        <w:jc w:val="center"/>
      </w:pPr>
      <w:r>
        <w:t>OMB No. 0923-0048</w:t>
      </w:r>
    </w:p>
    <w:p w14:paraId="2F3F177F" w14:textId="77777777" w:rsidR="000D0BA5" w:rsidRDefault="000D0BA5" w:rsidP="000D0BA5">
      <w:pPr>
        <w:jc w:val="center"/>
        <w:rPr>
          <w:b/>
        </w:rPr>
      </w:pPr>
    </w:p>
    <w:p w14:paraId="22754106" w14:textId="77777777" w:rsidR="000D0BA5" w:rsidRDefault="00944592" w:rsidP="00C66E47">
      <w:pPr>
        <w:jc w:val="center"/>
        <w:rPr>
          <w:b/>
        </w:rPr>
      </w:pPr>
      <w:r>
        <w:rPr>
          <w:b/>
        </w:rPr>
        <w:t xml:space="preserve">Attachment 2: </w:t>
      </w:r>
      <w:r w:rsidR="000D0BA5">
        <w:rPr>
          <w:b/>
        </w:rPr>
        <w:t>Supporting Statement Part B</w:t>
      </w:r>
    </w:p>
    <w:p w14:paraId="074C4D83" w14:textId="77777777" w:rsidR="000D0BA5" w:rsidRDefault="000D0BA5" w:rsidP="00C66E47">
      <w:pPr>
        <w:jc w:val="center"/>
        <w:rPr>
          <w:b/>
        </w:rPr>
      </w:pPr>
    </w:p>
    <w:p w14:paraId="15465543" w14:textId="303906EB" w:rsidR="00637EA9" w:rsidRDefault="000D0BA5" w:rsidP="00C66E47">
      <w:pPr>
        <w:jc w:val="center"/>
        <w:rPr>
          <w:b/>
        </w:rPr>
      </w:pPr>
      <w:r>
        <w:rPr>
          <w:b/>
        </w:rPr>
        <w:t xml:space="preserve">Submitted: </w:t>
      </w:r>
      <w:r w:rsidR="002C5393">
        <w:rPr>
          <w:b/>
        </w:rPr>
        <w:t>June 2017</w:t>
      </w:r>
      <w:bookmarkStart w:id="4" w:name="_GoBack"/>
      <w:bookmarkEnd w:id="4"/>
    </w:p>
    <w:p w14:paraId="4641A76F" w14:textId="77777777" w:rsidR="00637EA9" w:rsidRDefault="00637EA9" w:rsidP="00637EA9">
      <w:pPr>
        <w:jc w:val="center"/>
        <w:rPr>
          <w:b/>
        </w:rPr>
      </w:pPr>
    </w:p>
    <w:p w14:paraId="5FC11AB9" w14:textId="77777777" w:rsidR="00637EA9" w:rsidRDefault="00637EA9" w:rsidP="00637EA9">
      <w:pPr>
        <w:jc w:val="center"/>
        <w:rPr>
          <w:b/>
        </w:rPr>
      </w:pPr>
    </w:p>
    <w:p w14:paraId="0E2B1D67" w14:textId="77777777" w:rsidR="00637EA9" w:rsidRDefault="00637EA9" w:rsidP="00637EA9">
      <w:pPr>
        <w:jc w:val="center"/>
        <w:rPr>
          <w:b/>
        </w:rPr>
      </w:pPr>
    </w:p>
    <w:p w14:paraId="2713A501" w14:textId="77777777" w:rsidR="00637EA9" w:rsidRDefault="00637EA9" w:rsidP="00637EA9">
      <w:pPr>
        <w:jc w:val="center"/>
      </w:pPr>
      <w:r>
        <w:t>Science Support Branch (SSB)</w:t>
      </w:r>
    </w:p>
    <w:p w14:paraId="37ADCDC3" w14:textId="77777777" w:rsidR="00637EA9" w:rsidRDefault="00637EA9" w:rsidP="00637EA9">
      <w:pPr>
        <w:jc w:val="center"/>
      </w:pPr>
      <w:r>
        <w:t>Division of Community and Health Investigations (DCHI)</w:t>
      </w:r>
    </w:p>
    <w:p w14:paraId="21BB86BC" w14:textId="77777777" w:rsidR="00637EA9" w:rsidRDefault="00637EA9" w:rsidP="00637EA9">
      <w:pPr>
        <w:jc w:val="center"/>
      </w:pPr>
      <w:r>
        <w:t>Agency for Toxic Substances and Disease Registry (ATSDR)</w:t>
      </w:r>
    </w:p>
    <w:p w14:paraId="322CAC6B" w14:textId="77777777" w:rsidR="00637EA9" w:rsidRDefault="00637EA9" w:rsidP="00637EA9">
      <w:pPr>
        <w:jc w:val="center"/>
        <w:rPr>
          <w:b/>
        </w:rPr>
      </w:pPr>
    </w:p>
    <w:p w14:paraId="76DF61B4" w14:textId="77777777" w:rsidR="00637EA9" w:rsidRDefault="00637EA9" w:rsidP="00637EA9">
      <w:pPr>
        <w:rPr>
          <w:b/>
        </w:rPr>
      </w:pPr>
    </w:p>
    <w:p w14:paraId="72B4389D" w14:textId="77777777" w:rsidR="00637EA9" w:rsidRDefault="00637EA9" w:rsidP="00637EA9">
      <w:pPr>
        <w:rPr>
          <w:b/>
        </w:rPr>
      </w:pPr>
    </w:p>
    <w:p w14:paraId="15D0680C" w14:textId="77777777" w:rsidR="00512CC4" w:rsidRDefault="00512CC4" w:rsidP="00637EA9">
      <w:pPr>
        <w:tabs>
          <w:tab w:val="left" w:pos="1545"/>
        </w:tabs>
        <w:rPr>
          <w:b/>
        </w:rPr>
      </w:pPr>
    </w:p>
    <w:p w14:paraId="77344416" w14:textId="77777777" w:rsidR="00512CC4" w:rsidRDefault="00512CC4" w:rsidP="00637EA9">
      <w:pPr>
        <w:tabs>
          <w:tab w:val="left" w:pos="1545"/>
        </w:tabs>
        <w:rPr>
          <w:b/>
        </w:rPr>
      </w:pPr>
    </w:p>
    <w:p w14:paraId="2B24F4E2" w14:textId="77777777" w:rsidR="00512CC4" w:rsidRDefault="00512CC4" w:rsidP="00637EA9">
      <w:pPr>
        <w:tabs>
          <w:tab w:val="left" w:pos="1545"/>
        </w:tabs>
        <w:rPr>
          <w:b/>
        </w:rPr>
      </w:pPr>
    </w:p>
    <w:p w14:paraId="43D3435D" w14:textId="77777777" w:rsidR="00512CC4" w:rsidRDefault="00512CC4" w:rsidP="00637EA9">
      <w:pPr>
        <w:tabs>
          <w:tab w:val="left" w:pos="1545"/>
        </w:tabs>
        <w:rPr>
          <w:b/>
        </w:rPr>
      </w:pPr>
    </w:p>
    <w:p w14:paraId="72E7B9AB" w14:textId="77777777" w:rsidR="00512CC4" w:rsidRDefault="00512CC4" w:rsidP="00637EA9">
      <w:pPr>
        <w:tabs>
          <w:tab w:val="left" w:pos="1545"/>
        </w:tabs>
        <w:rPr>
          <w:b/>
        </w:rPr>
      </w:pPr>
    </w:p>
    <w:p w14:paraId="3ECAC01E" w14:textId="77777777" w:rsidR="00512CC4" w:rsidRDefault="00512CC4" w:rsidP="00637EA9">
      <w:pPr>
        <w:tabs>
          <w:tab w:val="left" w:pos="1545"/>
        </w:tabs>
        <w:rPr>
          <w:b/>
        </w:rPr>
      </w:pPr>
    </w:p>
    <w:p w14:paraId="06ECD38D" w14:textId="77777777" w:rsidR="00637EA9" w:rsidRDefault="00637EA9" w:rsidP="00637EA9">
      <w:pPr>
        <w:tabs>
          <w:tab w:val="left" w:pos="1545"/>
        </w:tabs>
        <w:rPr>
          <w:b/>
        </w:rPr>
      </w:pPr>
      <w:r>
        <w:rPr>
          <w:b/>
        </w:rPr>
        <w:t>Program Official:</w:t>
      </w:r>
    </w:p>
    <w:p w14:paraId="467C8D15" w14:textId="77777777" w:rsidR="00637EA9" w:rsidRDefault="00637EA9" w:rsidP="00637EA9">
      <w:pPr>
        <w:autoSpaceDE w:val="0"/>
        <w:autoSpaceDN w:val="0"/>
        <w:adjustRightInd w:val="0"/>
        <w:ind w:left="720"/>
      </w:pPr>
      <w:r>
        <w:t>Peter J. Kowalski, MPH, CIH</w:t>
      </w:r>
    </w:p>
    <w:p w14:paraId="333D35B2" w14:textId="461FF7D4" w:rsidR="00637EA9" w:rsidRDefault="00637EA9" w:rsidP="00637EA9">
      <w:pPr>
        <w:autoSpaceDE w:val="0"/>
        <w:autoSpaceDN w:val="0"/>
        <w:adjustRightInd w:val="0"/>
        <w:ind w:left="720"/>
      </w:pPr>
      <w:r>
        <w:t>Lead, Exposure Investigations</w:t>
      </w:r>
      <w:r w:rsidR="008934D6">
        <w:t xml:space="preserve"> and Data Analysis</w:t>
      </w:r>
      <w:r>
        <w:t xml:space="preserve"> Team</w:t>
      </w:r>
    </w:p>
    <w:p w14:paraId="4E41CA0D" w14:textId="77777777" w:rsidR="00637EA9" w:rsidRDefault="00637EA9" w:rsidP="00637EA9">
      <w:pPr>
        <w:autoSpaceDE w:val="0"/>
        <w:autoSpaceDN w:val="0"/>
        <w:adjustRightInd w:val="0"/>
        <w:ind w:left="720"/>
      </w:pPr>
      <w:r>
        <w:t>Science Support Branch</w:t>
      </w:r>
    </w:p>
    <w:p w14:paraId="4CF12D23" w14:textId="77777777" w:rsidR="00637EA9" w:rsidRDefault="00637EA9" w:rsidP="00637EA9">
      <w:pPr>
        <w:autoSpaceDE w:val="0"/>
        <w:autoSpaceDN w:val="0"/>
        <w:adjustRightInd w:val="0"/>
        <w:ind w:left="720"/>
      </w:pPr>
      <w:r>
        <w:t>Division of Community Health Investigations</w:t>
      </w:r>
    </w:p>
    <w:p w14:paraId="5B5D7E71" w14:textId="77777777" w:rsidR="00637EA9" w:rsidRDefault="00637EA9" w:rsidP="00637EA9">
      <w:pPr>
        <w:autoSpaceDE w:val="0"/>
        <w:autoSpaceDN w:val="0"/>
        <w:adjustRightInd w:val="0"/>
        <w:ind w:left="720"/>
      </w:pPr>
      <w:r>
        <w:t>Agency for Toxic Substances and Disease Registry</w:t>
      </w:r>
    </w:p>
    <w:p w14:paraId="2CC89004" w14:textId="77777777" w:rsidR="00637EA9" w:rsidRDefault="00637EA9" w:rsidP="00637EA9">
      <w:pPr>
        <w:autoSpaceDE w:val="0"/>
        <w:autoSpaceDN w:val="0"/>
        <w:adjustRightInd w:val="0"/>
        <w:ind w:left="720"/>
        <w:rPr>
          <w:szCs w:val="20"/>
          <w:lang w:val="en"/>
        </w:rPr>
      </w:pPr>
      <w:r>
        <w:rPr>
          <w:szCs w:val="20"/>
          <w:lang w:val="en"/>
        </w:rPr>
        <w:t>4770 Buford Hwy NE, MS F59</w:t>
      </w:r>
      <w:r>
        <w:rPr>
          <w:szCs w:val="20"/>
          <w:lang w:val="en"/>
        </w:rPr>
        <w:br/>
      </w:r>
      <w:smartTag w:uri="urn:schemas-microsoft-com:office:smarttags" w:element="place">
        <w:smartTag w:uri="urn:schemas-microsoft-com:office:smarttags" w:element="City">
          <w:r>
            <w:rPr>
              <w:szCs w:val="20"/>
              <w:lang w:val="en"/>
            </w:rPr>
            <w:t>Atlanta</w:t>
          </w:r>
        </w:smartTag>
        <w:r>
          <w:rPr>
            <w:szCs w:val="20"/>
            <w:lang w:val="en"/>
          </w:rPr>
          <w:t xml:space="preserve">, </w:t>
        </w:r>
        <w:smartTag w:uri="urn:schemas-microsoft-com:office:smarttags" w:element="State">
          <w:r>
            <w:rPr>
              <w:szCs w:val="20"/>
              <w:lang w:val="en"/>
            </w:rPr>
            <w:t>GA</w:t>
          </w:r>
        </w:smartTag>
        <w:r>
          <w:rPr>
            <w:szCs w:val="20"/>
            <w:lang w:val="en"/>
          </w:rPr>
          <w:t xml:space="preserve"> </w:t>
        </w:r>
        <w:smartTag w:uri="urn:schemas-microsoft-com:office:smarttags" w:element="PostalCode">
          <w:r>
            <w:rPr>
              <w:szCs w:val="20"/>
              <w:lang w:val="en"/>
            </w:rPr>
            <w:t>30341</w:t>
          </w:r>
        </w:smartTag>
      </w:smartTag>
    </w:p>
    <w:p w14:paraId="2549B090" w14:textId="77777777" w:rsidR="00637EA9" w:rsidRDefault="00637EA9" w:rsidP="00637EA9">
      <w:pPr>
        <w:autoSpaceDE w:val="0"/>
        <w:autoSpaceDN w:val="0"/>
        <w:adjustRightInd w:val="0"/>
        <w:ind w:left="720"/>
      </w:pPr>
      <w:r>
        <w:t>Phone: 770-488-0776</w:t>
      </w:r>
    </w:p>
    <w:p w14:paraId="17074641" w14:textId="77777777" w:rsidR="00637EA9" w:rsidRDefault="00637EA9" w:rsidP="00637EA9">
      <w:pPr>
        <w:autoSpaceDE w:val="0"/>
        <w:autoSpaceDN w:val="0"/>
        <w:adjustRightInd w:val="0"/>
        <w:ind w:left="720"/>
      </w:pPr>
      <w:r>
        <w:t>Fax:  770-488-1542</w:t>
      </w:r>
    </w:p>
    <w:p w14:paraId="0D1ED919" w14:textId="77777777" w:rsidR="00637EA9" w:rsidRDefault="00637EA9" w:rsidP="00637EA9">
      <w:pPr>
        <w:autoSpaceDE w:val="0"/>
        <w:autoSpaceDN w:val="0"/>
        <w:adjustRightInd w:val="0"/>
        <w:ind w:left="720"/>
      </w:pPr>
      <w:r>
        <w:t xml:space="preserve">Email: </w:t>
      </w:r>
      <w:hyperlink r:id="rId8" w:history="1">
        <w:r>
          <w:rPr>
            <w:rStyle w:val="Hyperlink"/>
          </w:rPr>
          <w:t>PKowalski@cdc.gov</w:t>
        </w:r>
      </w:hyperlink>
    </w:p>
    <w:p w14:paraId="4A825F0E" w14:textId="0339276D" w:rsidR="003878D7" w:rsidRDefault="003878D7">
      <w:pPr>
        <w:rPr>
          <w:b/>
        </w:rPr>
      </w:pPr>
    </w:p>
    <w:p w14:paraId="1E34DF39" w14:textId="77777777" w:rsidR="00392C0E" w:rsidRDefault="00392C0E">
      <w:pPr>
        <w:rPr>
          <w:b/>
        </w:rPr>
      </w:pPr>
    </w:p>
    <w:p w14:paraId="6D6448C0" w14:textId="77777777" w:rsidR="004B64BA" w:rsidRPr="004B64BA" w:rsidRDefault="004B64BA" w:rsidP="004B64BA">
      <w:pPr>
        <w:rPr>
          <w:b/>
        </w:rPr>
      </w:pPr>
    </w:p>
    <w:sdt>
      <w:sdtPr>
        <w:rPr>
          <w:rFonts w:ascii="Times New Roman" w:eastAsia="Times New Roman" w:hAnsi="Times New Roman" w:cs="Times New Roman"/>
          <w:b w:val="0"/>
          <w:bCs w:val="0"/>
          <w:color w:val="auto"/>
          <w:sz w:val="24"/>
          <w:szCs w:val="24"/>
        </w:rPr>
        <w:id w:val="-1812703533"/>
        <w:docPartObj>
          <w:docPartGallery w:val="Table of Contents"/>
          <w:docPartUnique/>
        </w:docPartObj>
      </w:sdtPr>
      <w:sdtEndPr>
        <w:rPr>
          <w:noProof/>
        </w:rPr>
      </w:sdtEndPr>
      <w:sdtContent>
        <w:p w14:paraId="3B47CCAF" w14:textId="77777777" w:rsidR="004B64BA" w:rsidRDefault="004B64BA" w:rsidP="004B64BA">
          <w:pPr>
            <w:pStyle w:val="TOCHeading"/>
            <w:jc w:val="center"/>
          </w:pPr>
          <w:r>
            <w:t>Table of Contents</w:t>
          </w:r>
        </w:p>
        <w:p w14:paraId="4C8434CF" w14:textId="77777777" w:rsidR="004B64BA" w:rsidRPr="004B64BA" w:rsidRDefault="004B64BA" w:rsidP="004B64BA"/>
        <w:p w14:paraId="5B97B9E0" w14:textId="77777777" w:rsidR="00AF4CFE" w:rsidRDefault="004B64BA">
          <w:pPr>
            <w:pStyle w:val="TOC1"/>
            <w:rPr>
              <w:rFonts w:asciiTheme="minorHAnsi" w:eastAsiaTheme="minorEastAsia" w:hAnsiTheme="minorHAnsi" w:cstheme="minorBidi"/>
              <w:noProof/>
              <w:sz w:val="22"/>
              <w:szCs w:val="22"/>
            </w:rPr>
          </w:pPr>
          <w:r>
            <w:rPr>
              <w:rFonts w:eastAsiaTheme="minorEastAsia"/>
            </w:rPr>
            <w:fldChar w:fldCharType="begin"/>
          </w:r>
          <w:r>
            <w:instrText xml:space="preserve"> TOC \o "1-3" \h \z \u </w:instrText>
          </w:r>
          <w:r>
            <w:rPr>
              <w:rFonts w:eastAsiaTheme="minorEastAsia"/>
            </w:rPr>
            <w:fldChar w:fldCharType="separate"/>
          </w:r>
          <w:hyperlink w:anchor="_Toc483223472" w:history="1">
            <w:r w:rsidR="00AF4CFE" w:rsidRPr="00616B96">
              <w:rPr>
                <w:rStyle w:val="Hyperlink"/>
                <w:noProof/>
              </w:rPr>
              <w:t>B. Collections of Information Employing Statistical Methods</w:t>
            </w:r>
            <w:r w:rsidR="00AF4CFE">
              <w:rPr>
                <w:noProof/>
                <w:webHidden/>
              </w:rPr>
              <w:tab/>
            </w:r>
            <w:r w:rsidR="00AF4CFE">
              <w:rPr>
                <w:noProof/>
                <w:webHidden/>
              </w:rPr>
              <w:fldChar w:fldCharType="begin"/>
            </w:r>
            <w:r w:rsidR="00AF4CFE">
              <w:rPr>
                <w:noProof/>
                <w:webHidden/>
              </w:rPr>
              <w:instrText xml:space="preserve"> PAGEREF _Toc483223472 \h </w:instrText>
            </w:r>
            <w:r w:rsidR="00AF4CFE">
              <w:rPr>
                <w:noProof/>
                <w:webHidden/>
              </w:rPr>
            </w:r>
            <w:r w:rsidR="00AF4CFE">
              <w:rPr>
                <w:noProof/>
                <w:webHidden/>
              </w:rPr>
              <w:fldChar w:fldCharType="separate"/>
            </w:r>
            <w:r w:rsidR="00127494">
              <w:rPr>
                <w:noProof/>
                <w:webHidden/>
              </w:rPr>
              <w:t>3</w:t>
            </w:r>
            <w:r w:rsidR="00AF4CFE">
              <w:rPr>
                <w:noProof/>
                <w:webHidden/>
              </w:rPr>
              <w:fldChar w:fldCharType="end"/>
            </w:r>
          </w:hyperlink>
        </w:p>
        <w:p w14:paraId="66C2A828" w14:textId="77777777" w:rsidR="00AF4CFE" w:rsidRDefault="007F037E">
          <w:pPr>
            <w:pStyle w:val="TOC2"/>
            <w:rPr>
              <w:rFonts w:asciiTheme="minorHAnsi" w:hAnsiTheme="minorHAnsi" w:cstheme="minorBidi"/>
              <w:bCs w:val="0"/>
              <w:sz w:val="22"/>
              <w:szCs w:val="22"/>
            </w:rPr>
          </w:pPr>
          <w:hyperlink w:anchor="_Toc483223473" w:history="1">
            <w:r w:rsidR="00AF4CFE" w:rsidRPr="00616B96">
              <w:rPr>
                <w:rStyle w:val="Hyperlink"/>
              </w:rPr>
              <w:t>B.1. Respondent Universe and Sampling Methods</w:t>
            </w:r>
            <w:r w:rsidR="00AF4CFE">
              <w:rPr>
                <w:webHidden/>
              </w:rPr>
              <w:tab/>
            </w:r>
            <w:r w:rsidR="00AF4CFE">
              <w:rPr>
                <w:webHidden/>
              </w:rPr>
              <w:fldChar w:fldCharType="begin"/>
            </w:r>
            <w:r w:rsidR="00AF4CFE">
              <w:rPr>
                <w:webHidden/>
              </w:rPr>
              <w:instrText xml:space="preserve"> PAGEREF _Toc483223473 \h </w:instrText>
            </w:r>
            <w:r w:rsidR="00AF4CFE">
              <w:rPr>
                <w:webHidden/>
              </w:rPr>
            </w:r>
            <w:r w:rsidR="00AF4CFE">
              <w:rPr>
                <w:webHidden/>
              </w:rPr>
              <w:fldChar w:fldCharType="separate"/>
            </w:r>
            <w:r w:rsidR="00127494">
              <w:rPr>
                <w:webHidden/>
              </w:rPr>
              <w:t>3</w:t>
            </w:r>
            <w:r w:rsidR="00AF4CFE">
              <w:rPr>
                <w:webHidden/>
              </w:rPr>
              <w:fldChar w:fldCharType="end"/>
            </w:r>
          </w:hyperlink>
        </w:p>
        <w:p w14:paraId="54B9E1F1" w14:textId="77777777" w:rsidR="00AF4CFE" w:rsidRDefault="007F037E">
          <w:pPr>
            <w:pStyle w:val="TOC2"/>
            <w:rPr>
              <w:rFonts w:asciiTheme="minorHAnsi" w:hAnsiTheme="minorHAnsi" w:cstheme="minorBidi"/>
              <w:bCs w:val="0"/>
              <w:sz w:val="22"/>
              <w:szCs w:val="22"/>
            </w:rPr>
          </w:pPr>
          <w:hyperlink w:anchor="_Toc483223474" w:history="1">
            <w:r w:rsidR="00AF4CFE" w:rsidRPr="00616B96">
              <w:rPr>
                <w:rStyle w:val="Hyperlink"/>
              </w:rPr>
              <w:t>B.2. Procedures for the Collection of Information</w:t>
            </w:r>
            <w:r w:rsidR="00AF4CFE">
              <w:rPr>
                <w:webHidden/>
              </w:rPr>
              <w:tab/>
            </w:r>
            <w:r w:rsidR="00AF4CFE">
              <w:rPr>
                <w:webHidden/>
              </w:rPr>
              <w:fldChar w:fldCharType="begin"/>
            </w:r>
            <w:r w:rsidR="00AF4CFE">
              <w:rPr>
                <w:webHidden/>
              </w:rPr>
              <w:instrText xml:space="preserve"> PAGEREF _Toc483223474 \h </w:instrText>
            </w:r>
            <w:r w:rsidR="00AF4CFE">
              <w:rPr>
                <w:webHidden/>
              </w:rPr>
            </w:r>
            <w:r w:rsidR="00AF4CFE">
              <w:rPr>
                <w:webHidden/>
              </w:rPr>
              <w:fldChar w:fldCharType="separate"/>
            </w:r>
            <w:r w:rsidR="00127494">
              <w:rPr>
                <w:webHidden/>
              </w:rPr>
              <w:t>3</w:t>
            </w:r>
            <w:r w:rsidR="00AF4CFE">
              <w:rPr>
                <w:webHidden/>
              </w:rPr>
              <w:fldChar w:fldCharType="end"/>
            </w:r>
          </w:hyperlink>
        </w:p>
        <w:p w14:paraId="7A1DCB77" w14:textId="77777777" w:rsidR="00AF4CFE" w:rsidRDefault="007F037E">
          <w:pPr>
            <w:pStyle w:val="TOC2"/>
            <w:rPr>
              <w:rFonts w:asciiTheme="minorHAnsi" w:hAnsiTheme="minorHAnsi" w:cstheme="minorBidi"/>
              <w:bCs w:val="0"/>
              <w:sz w:val="22"/>
              <w:szCs w:val="22"/>
            </w:rPr>
          </w:pPr>
          <w:hyperlink w:anchor="_Toc483223475" w:history="1">
            <w:r w:rsidR="00AF4CFE" w:rsidRPr="00616B96">
              <w:rPr>
                <w:rStyle w:val="Hyperlink"/>
              </w:rPr>
              <w:t>B.3. Methods to Maximize Response Rates and Deal with Non-response</w:t>
            </w:r>
            <w:r w:rsidR="00AF4CFE">
              <w:rPr>
                <w:webHidden/>
              </w:rPr>
              <w:tab/>
            </w:r>
            <w:r w:rsidR="00AF4CFE">
              <w:rPr>
                <w:webHidden/>
              </w:rPr>
              <w:fldChar w:fldCharType="begin"/>
            </w:r>
            <w:r w:rsidR="00AF4CFE">
              <w:rPr>
                <w:webHidden/>
              </w:rPr>
              <w:instrText xml:space="preserve"> PAGEREF _Toc483223475 \h </w:instrText>
            </w:r>
            <w:r w:rsidR="00AF4CFE">
              <w:rPr>
                <w:webHidden/>
              </w:rPr>
            </w:r>
            <w:r w:rsidR="00AF4CFE">
              <w:rPr>
                <w:webHidden/>
              </w:rPr>
              <w:fldChar w:fldCharType="separate"/>
            </w:r>
            <w:r w:rsidR="00127494">
              <w:rPr>
                <w:webHidden/>
              </w:rPr>
              <w:t>4</w:t>
            </w:r>
            <w:r w:rsidR="00AF4CFE">
              <w:rPr>
                <w:webHidden/>
              </w:rPr>
              <w:fldChar w:fldCharType="end"/>
            </w:r>
          </w:hyperlink>
        </w:p>
        <w:p w14:paraId="64138A2A" w14:textId="77777777" w:rsidR="00AF4CFE" w:rsidRDefault="007F037E">
          <w:pPr>
            <w:pStyle w:val="TOC2"/>
            <w:rPr>
              <w:rFonts w:asciiTheme="minorHAnsi" w:hAnsiTheme="minorHAnsi" w:cstheme="minorBidi"/>
              <w:bCs w:val="0"/>
              <w:sz w:val="22"/>
              <w:szCs w:val="22"/>
            </w:rPr>
          </w:pPr>
          <w:hyperlink w:anchor="_Toc483223476" w:history="1">
            <w:r w:rsidR="00AF4CFE" w:rsidRPr="00616B96">
              <w:rPr>
                <w:rStyle w:val="Hyperlink"/>
              </w:rPr>
              <w:t>B.4. Test of Procedures or Methods to be Undertaken</w:t>
            </w:r>
            <w:r w:rsidR="00AF4CFE">
              <w:rPr>
                <w:webHidden/>
              </w:rPr>
              <w:tab/>
            </w:r>
            <w:r w:rsidR="00AF4CFE">
              <w:rPr>
                <w:webHidden/>
              </w:rPr>
              <w:fldChar w:fldCharType="begin"/>
            </w:r>
            <w:r w:rsidR="00AF4CFE">
              <w:rPr>
                <w:webHidden/>
              </w:rPr>
              <w:instrText xml:space="preserve"> PAGEREF _Toc483223476 \h </w:instrText>
            </w:r>
            <w:r w:rsidR="00AF4CFE">
              <w:rPr>
                <w:webHidden/>
              </w:rPr>
            </w:r>
            <w:r w:rsidR="00AF4CFE">
              <w:rPr>
                <w:webHidden/>
              </w:rPr>
              <w:fldChar w:fldCharType="separate"/>
            </w:r>
            <w:r w:rsidR="00127494">
              <w:rPr>
                <w:webHidden/>
              </w:rPr>
              <w:t>4</w:t>
            </w:r>
            <w:r w:rsidR="00AF4CFE">
              <w:rPr>
                <w:webHidden/>
              </w:rPr>
              <w:fldChar w:fldCharType="end"/>
            </w:r>
          </w:hyperlink>
        </w:p>
        <w:p w14:paraId="5CA869DD" w14:textId="77777777" w:rsidR="00AF4CFE" w:rsidRDefault="007F037E">
          <w:pPr>
            <w:pStyle w:val="TOC2"/>
            <w:rPr>
              <w:rFonts w:asciiTheme="minorHAnsi" w:hAnsiTheme="minorHAnsi" w:cstheme="minorBidi"/>
              <w:bCs w:val="0"/>
              <w:sz w:val="22"/>
              <w:szCs w:val="22"/>
            </w:rPr>
          </w:pPr>
          <w:hyperlink w:anchor="_Toc483223477" w:history="1">
            <w:r w:rsidR="00AF4CFE" w:rsidRPr="00616B96">
              <w:rPr>
                <w:rStyle w:val="Hyperlink"/>
              </w:rPr>
              <w:t>B.5. Individuals Consulted on Statistical Aspects and Individuals Collecting and/or Analyzing Data</w:t>
            </w:r>
            <w:r w:rsidR="00AF4CFE">
              <w:rPr>
                <w:webHidden/>
              </w:rPr>
              <w:tab/>
            </w:r>
            <w:r w:rsidR="00AF4CFE">
              <w:rPr>
                <w:webHidden/>
              </w:rPr>
              <w:fldChar w:fldCharType="begin"/>
            </w:r>
            <w:r w:rsidR="00AF4CFE">
              <w:rPr>
                <w:webHidden/>
              </w:rPr>
              <w:instrText xml:space="preserve"> PAGEREF _Toc483223477 \h </w:instrText>
            </w:r>
            <w:r w:rsidR="00AF4CFE">
              <w:rPr>
                <w:webHidden/>
              </w:rPr>
            </w:r>
            <w:r w:rsidR="00AF4CFE">
              <w:rPr>
                <w:webHidden/>
              </w:rPr>
              <w:fldChar w:fldCharType="separate"/>
            </w:r>
            <w:r w:rsidR="00127494">
              <w:rPr>
                <w:webHidden/>
              </w:rPr>
              <w:t>4</w:t>
            </w:r>
            <w:r w:rsidR="00AF4CFE">
              <w:rPr>
                <w:webHidden/>
              </w:rPr>
              <w:fldChar w:fldCharType="end"/>
            </w:r>
          </w:hyperlink>
        </w:p>
        <w:p w14:paraId="36D26991" w14:textId="4A580420" w:rsidR="004B64BA" w:rsidRDefault="004B64BA">
          <w:r>
            <w:rPr>
              <w:b/>
              <w:bCs/>
              <w:noProof/>
            </w:rPr>
            <w:fldChar w:fldCharType="end"/>
          </w:r>
        </w:p>
      </w:sdtContent>
    </w:sdt>
    <w:p w14:paraId="200E1DAC" w14:textId="77777777" w:rsidR="002347A7" w:rsidRDefault="002347A7" w:rsidP="004A065B">
      <w:pPr>
        <w:rPr>
          <w:b/>
        </w:rPr>
      </w:pPr>
    </w:p>
    <w:p w14:paraId="67772AD9" w14:textId="77777777" w:rsidR="002347A7" w:rsidRDefault="002347A7" w:rsidP="004A065B">
      <w:pPr>
        <w:rPr>
          <w:b/>
        </w:rPr>
      </w:pPr>
    </w:p>
    <w:p w14:paraId="55B7581A" w14:textId="77777777" w:rsidR="00127494" w:rsidRDefault="00127494" w:rsidP="004A065B">
      <w:pPr>
        <w:rPr>
          <w:b/>
        </w:rPr>
      </w:pPr>
    </w:p>
    <w:p w14:paraId="7E83FD29" w14:textId="77777777" w:rsidR="00127494" w:rsidRDefault="00127494" w:rsidP="004A065B">
      <w:pPr>
        <w:rPr>
          <w:b/>
        </w:rPr>
      </w:pPr>
    </w:p>
    <w:p w14:paraId="28941CB6" w14:textId="77777777" w:rsidR="00127494" w:rsidRDefault="00127494" w:rsidP="004A065B">
      <w:pPr>
        <w:rPr>
          <w:b/>
        </w:rPr>
      </w:pPr>
    </w:p>
    <w:p w14:paraId="551E2DAF" w14:textId="77777777" w:rsidR="00127494" w:rsidRDefault="00127494" w:rsidP="004A065B">
      <w:pPr>
        <w:rPr>
          <w:b/>
        </w:rPr>
      </w:pPr>
    </w:p>
    <w:p w14:paraId="01CB7BED" w14:textId="77777777" w:rsidR="00127494" w:rsidRDefault="00127494" w:rsidP="004A065B">
      <w:pPr>
        <w:rPr>
          <w:b/>
        </w:rPr>
      </w:pPr>
    </w:p>
    <w:p w14:paraId="765DF568" w14:textId="77777777" w:rsidR="00127494" w:rsidRDefault="00127494" w:rsidP="004A065B">
      <w:pPr>
        <w:rPr>
          <w:b/>
        </w:rPr>
      </w:pPr>
    </w:p>
    <w:p w14:paraId="0D9C8D79" w14:textId="77777777" w:rsidR="00127494" w:rsidRDefault="00127494" w:rsidP="004A065B">
      <w:pPr>
        <w:rPr>
          <w:b/>
        </w:rPr>
      </w:pPr>
    </w:p>
    <w:p w14:paraId="49EC1AB9" w14:textId="77777777" w:rsidR="00127494" w:rsidRDefault="00127494" w:rsidP="004A065B">
      <w:pPr>
        <w:rPr>
          <w:b/>
        </w:rPr>
      </w:pPr>
    </w:p>
    <w:p w14:paraId="01C9F4CA" w14:textId="77777777" w:rsidR="00127494" w:rsidRDefault="00127494" w:rsidP="004A065B">
      <w:pPr>
        <w:rPr>
          <w:b/>
        </w:rPr>
      </w:pPr>
    </w:p>
    <w:p w14:paraId="3BC0AB18" w14:textId="77777777" w:rsidR="00127494" w:rsidRDefault="00127494" w:rsidP="004A065B">
      <w:pPr>
        <w:rPr>
          <w:b/>
        </w:rPr>
      </w:pPr>
    </w:p>
    <w:p w14:paraId="69709D06" w14:textId="77777777" w:rsidR="00127494" w:rsidRDefault="00127494" w:rsidP="004A065B">
      <w:pPr>
        <w:rPr>
          <w:b/>
        </w:rPr>
      </w:pPr>
    </w:p>
    <w:p w14:paraId="5118B20E" w14:textId="77777777" w:rsidR="002347A7" w:rsidRDefault="002347A7" w:rsidP="004A065B">
      <w:pPr>
        <w:rPr>
          <w:b/>
        </w:rPr>
      </w:pPr>
    </w:p>
    <w:p w14:paraId="686D20AD" w14:textId="7FC7A856" w:rsidR="004B64BA" w:rsidRDefault="004B64BA">
      <w:pPr>
        <w:rPr>
          <w:b/>
          <w:bCs/>
        </w:rPr>
      </w:pPr>
    </w:p>
    <w:p w14:paraId="535C1AA1" w14:textId="77777777" w:rsidR="008C4C5E" w:rsidRPr="0042536F" w:rsidRDefault="008C4C5E" w:rsidP="008C4C5E">
      <w:pPr>
        <w:rPr>
          <w:b/>
        </w:rPr>
      </w:pPr>
      <w:r w:rsidRPr="0042536F">
        <w:rPr>
          <w:b/>
        </w:rPr>
        <w:t>Attachments:</w:t>
      </w:r>
    </w:p>
    <w:p w14:paraId="0F7677CB" w14:textId="77777777" w:rsidR="008C4C5E" w:rsidRDefault="008C4C5E" w:rsidP="008C4C5E"/>
    <w:p w14:paraId="51F83FC6" w14:textId="77777777" w:rsidR="005857A2" w:rsidRPr="0042536F" w:rsidRDefault="005857A2" w:rsidP="005857A2">
      <w:pPr>
        <w:pStyle w:val="ListParagraph"/>
        <w:numPr>
          <w:ilvl w:val="0"/>
          <w:numId w:val="11"/>
        </w:numPr>
        <w:spacing w:after="200" w:line="276" w:lineRule="auto"/>
      </w:pPr>
      <w:r w:rsidRPr="0042536F">
        <w:t>Supporting Statement A</w:t>
      </w:r>
    </w:p>
    <w:p w14:paraId="3BB36493" w14:textId="77777777" w:rsidR="005857A2" w:rsidRPr="0042536F" w:rsidRDefault="005857A2" w:rsidP="005857A2">
      <w:pPr>
        <w:pStyle w:val="ListParagraph"/>
        <w:numPr>
          <w:ilvl w:val="0"/>
          <w:numId w:val="11"/>
        </w:numPr>
        <w:spacing w:after="200" w:line="276" w:lineRule="auto"/>
      </w:pPr>
      <w:r w:rsidRPr="0042536F">
        <w:t>Supporting Statement B</w:t>
      </w:r>
    </w:p>
    <w:p w14:paraId="6C26267A" w14:textId="77777777" w:rsidR="005857A2" w:rsidRDefault="005857A2" w:rsidP="005857A2">
      <w:pPr>
        <w:pStyle w:val="ListParagraph"/>
        <w:numPr>
          <w:ilvl w:val="0"/>
          <w:numId w:val="11"/>
        </w:numPr>
        <w:spacing w:after="200" w:line="276" w:lineRule="auto"/>
      </w:pPr>
      <w:r>
        <w:t>Dimock</w:t>
      </w:r>
      <w:r w:rsidRPr="0042536F">
        <w:t xml:space="preserve"> EI Consent Form</w:t>
      </w:r>
    </w:p>
    <w:p w14:paraId="0E9F16AD" w14:textId="77777777" w:rsidR="005857A2" w:rsidRDefault="005857A2" w:rsidP="005857A2">
      <w:pPr>
        <w:pStyle w:val="ListParagraph"/>
        <w:numPr>
          <w:ilvl w:val="0"/>
          <w:numId w:val="11"/>
        </w:numPr>
        <w:spacing w:after="200" w:line="276" w:lineRule="auto"/>
      </w:pPr>
      <w:r>
        <w:t>Dimock</w:t>
      </w:r>
      <w:r w:rsidRPr="0042536F">
        <w:t xml:space="preserve"> EI Questionnaire</w:t>
      </w:r>
    </w:p>
    <w:p w14:paraId="0835A42C" w14:textId="000C8A13" w:rsidR="005857A2" w:rsidRPr="0042536F" w:rsidRDefault="005D6965" w:rsidP="005857A2">
      <w:pPr>
        <w:pStyle w:val="ListParagraph"/>
        <w:numPr>
          <w:ilvl w:val="0"/>
          <w:numId w:val="11"/>
        </w:numPr>
        <w:spacing w:after="200" w:line="276" w:lineRule="auto"/>
      </w:pPr>
      <w:r>
        <w:t>Dimock EI P</w:t>
      </w:r>
      <w:r w:rsidR="005857A2">
        <w:t>rotocol</w:t>
      </w:r>
    </w:p>
    <w:p w14:paraId="0CE7DDBD" w14:textId="77777777" w:rsidR="005857A2" w:rsidRPr="0042536F" w:rsidRDefault="005857A2" w:rsidP="005857A2">
      <w:pPr>
        <w:pStyle w:val="ListParagraph"/>
        <w:numPr>
          <w:ilvl w:val="0"/>
          <w:numId w:val="11"/>
        </w:numPr>
        <w:spacing w:after="200" w:line="276" w:lineRule="auto"/>
      </w:pPr>
      <w:r>
        <w:t>Dimock</w:t>
      </w:r>
      <w:r w:rsidRPr="0042536F">
        <w:t xml:space="preserve"> EI Sample Results Letter</w:t>
      </w:r>
    </w:p>
    <w:p w14:paraId="36326684" w14:textId="77777777" w:rsidR="005857A2" w:rsidRDefault="005857A2" w:rsidP="005857A2">
      <w:pPr>
        <w:pStyle w:val="ListParagraph"/>
        <w:numPr>
          <w:ilvl w:val="0"/>
          <w:numId w:val="11"/>
        </w:numPr>
        <w:spacing w:after="200" w:line="276" w:lineRule="auto"/>
      </w:pPr>
      <w:r w:rsidRPr="0042536F">
        <w:t>Example of Prior EI Final Report</w:t>
      </w:r>
    </w:p>
    <w:p w14:paraId="6B10B0EC" w14:textId="08C03053" w:rsidR="00426544" w:rsidRDefault="005857A2" w:rsidP="005857A2">
      <w:pPr>
        <w:pStyle w:val="ListParagraph"/>
        <w:numPr>
          <w:ilvl w:val="0"/>
          <w:numId w:val="11"/>
        </w:numPr>
        <w:spacing w:after="200" w:line="276" w:lineRule="auto"/>
      </w:pPr>
      <w:r>
        <w:t xml:space="preserve">Dimock </w:t>
      </w:r>
      <w:r w:rsidRPr="0042536F">
        <w:t xml:space="preserve">EI Research Determination  </w:t>
      </w:r>
    </w:p>
    <w:p w14:paraId="30F978BD" w14:textId="3C14B6B4" w:rsidR="00771ECB" w:rsidRDefault="00771ECB" w:rsidP="005857A2">
      <w:pPr>
        <w:pStyle w:val="ListParagraph"/>
        <w:numPr>
          <w:ilvl w:val="0"/>
          <w:numId w:val="11"/>
        </w:numPr>
        <w:spacing w:after="200" w:line="276" w:lineRule="auto"/>
      </w:pPr>
      <w:r>
        <w:t>Dimock EI letter of invitation to participate and fact sheet</w:t>
      </w:r>
      <w:r w:rsidRPr="0042536F">
        <w:t xml:space="preserve"> </w:t>
      </w:r>
    </w:p>
    <w:p w14:paraId="1F31D111" w14:textId="77777777" w:rsidR="00C75116" w:rsidRDefault="00426544" w:rsidP="00EC3D82">
      <w:pPr>
        <w:pStyle w:val="Heading1"/>
        <w:rPr>
          <w:rFonts w:ascii="Times New Roman" w:hAnsi="Times New Roman" w:cs="Times New Roman"/>
        </w:rPr>
      </w:pPr>
      <w:r>
        <w:br w:type="page"/>
      </w:r>
      <w:bookmarkStart w:id="5" w:name="_Toc483223472"/>
      <w:bookmarkStart w:id="6" w:name="_Toc306344166"/>
      <w:bookmarkStart w:id="7" w:name="_Toc306344807"/>
      <w:bookmarkStart w:id="8" w:name="_Toc306345048"/>
      <w:bookmarkStart w:id="9" w:name="_Toc311445519"/>
      <w:bookmarkEnd w:id="0"/>
      <w:bookmarkEnd w:id="1"/>
      <w:bookmarkEnd w:id="2"/>
      <w:bookmarkEnd w:id="3"/>
      <w:r w:rsidR="00EC3D82" w:rsidRPr="00E25C38">
        <w:rPr>
          <w:rFonts w:ascii="Times New Roman" w:hAnsi="Times New Roman" w:cs="Times New Roman"/>
        </w:rPr>
        <w:lastRenderedPageBreak/>
        <w:t>B. Collections of Information Employing Statistical Methods</w:t>
      </w:r>
      <w:bookmarkEnd w:id="5"/>
    </w:p>
    <w:p w14:paraId="4E8F8BA5" w14:textId="77777777" w:rsidR="00396203" w:rsidRPr="00396203" w:rsidRDefault="00396203" w:rsidP="00396203"/>
    <w:p w14:paraId="322BFA59" w14:textId="0F06CA4B" w:rsidR="00922952" w:rsidRPr="00396203" w:rsidRDefault="00EC3D82" w:rsidP="00396203">
      <w:pPr>
        <w:rPr>
          <w:sz w:val="22"/>
          <w:szCs w:val="22"/>
        </w:rPr>
      </w:pPr>
      <w:r w:rsidRPr="00396203">
        <w:rPr>
          <w:sz w:val="22"/>
          <w:szCs w:val="22"/>
        </w:rPr>
        <w:t>T</w:t>
      </w:r>
      <w:r w:rsidR="008074FA" w:rsidRPr="00396203">
        <w:rPr>
          <w:sz w:val="22"/>
          <w:szCs w:val="22"/>
        </w:rPr>
        <w:t>his is</w:t>
      </w:r>
      <w:r w:rsidR="00922952" w:rsidRPr="00396203">
        <w:rPr>
          <w:sz w:val="22"/>
          <w:szCs w:val="22"/>
        </w:rPr>
        <w:t xml:space="preserve"> no statistical methodology used for t</w:t>
      </w:r>
      <w:r w:rsidR="008074FA" w:rsidRPr="00396203">
        <w:rPr>
          <w:sz w:val="22"/>
          <w:szCs w:val="22"/>
        </w:rPr>
        <w:t>his</w:t>
      </w:r>
      <w:r w:rsidR="00922952" w:rsidRPr="00396203">
        <w:rPr>
          <w:sz w:val="22"/>
          <w:szCs w:val="22"/>
        </w:rPr>
        <w:t xml:space="preserve"> investigation</w:t>
      </w:r>
      <w:r w:rsidR="008074FA" w:rsidRPr="00396203">
        <w:rPr>
          <w:sz w:val="22"/>
          <w:szCs w:val="22"/>
        </w:rPr>
        <w:t xml:space="preserve">. Section B.1 </w:t>
      </w:r>
      <w:r w:rsidR="00922952" w:rsidRPr="00396203">
        <w:rPr>
          <w:sz w:val="22"/>
          <w:szCs w:val="22"/>
        </w:rPr>
        <w:t>of the submission</w:t>
      </w:r>
      <w:r w:rsidR="008074FA" w:rsidRPr="00396203">
        <w:rPr>
          <w:sz w:val="22"/>
          <w:szCs w:val="22"/>
        </w:rPr>
        <w:t xml:space="preserve"> (below)</w:t>
      </w:r>
      <w:r w:rsidR="00922952" w:rsidRPr="00396203">
        <w:rPr>
          <w:sz w:val="22"/>
          <w:szCs w:val="22"/>
        </w:rPr>
        <w:t xml:space="preserve"> describe</w:t>
      </w:r>
      <w:r w:rsidR="008074FA" w:rsidRPr="00396203">
        <w:rPr>
          <w:sz w:val="22"/>
          <w:szCs w:val="22"/>
        </w:rPr>
        <w:t>s</w:t>
      </w:r>
      <w:r w:rsidR="00922952" w:rsidRPr="00396203">
        <w:rPr>
          <w:sz w:val="22"/>
          <w:szCs w:val="22"/>
        </w:rPr>
        <w:t xml:space="preserve"> how the data </w:t>
      </w:r>
      <w:r w:rsidR="008074FA" w:rsidRPr="00396203">
        <w:rPr>
          <w:sz w:val="22"/>
          <w:szCs w:val="22"/>
        </w:rPr>
        <w:t>will be</w:t>
      </w:r>
      <w:r w:rsidR="00922952" w:rsidRPr="00396203">
        <w:rPr>
          <w:sz w:val="22"/>
          <w:szCs w:val="22"/>
        </w:rPr>
        <w:t xml:space="preserve"> collected.</w:t>
      </w:r>
    </w:p>
    <w:p w14:paraId="399F1A58" w14:textId="77777777" w:rsidR="008E2E05" w:rsidRPr="00E25C38" w:rsidRDefault="00D05E7E" w:rsidP="00AD1C21">
      <w:pPr>
        <w:pStyle w:val="Heading2"/>
        <w:rPr>
          <w:rFonts w:ascii="Times New Roman" w:hAnsi="Times New Roman" w:cs="Times New Roman"/>
        </w:rPr>
      </w:pPr>
      <w:bookmarkStart w:id="10" w:name="_Toc483223473"/>
      <w:r w:rsidRPr="00E25C38">
        <w:rPr>
          <w:rFonts w:ascii="Times New Roman" w:hAnsi="Times New Roman" w:cs="Times New Roman"/>
        </w:rPr>
        <w:t>B</w:t>
      </w:r>
      <w:r w:rsidR="008E2E05" w:rsidRPr="00E25C38">
        <w:rPr>
          <w:rFonts w:ascii="Times New Roman" w:hAnsi="Times New Roman" w:cs="Times New Roman"/>
        </w:rPr>
        <w:t>.1</w:t>
      </w:r>
      <w:r w:rsidR="00EE17C0" w:rsidRPr="00E25C38">
        <w:rPr>
          <w:rFonts w:ascii="Times New Roman" w:hAnsi="Times New Roman" w:cs="Times New Roman"/>
        </w:rPr>
        <w:t>.</w:t>
      </w:r>
      <w:r w:rsidR="008E2E05" w:rsidRPr="00E25C38">
        <w:rPr>
          <w:rFonts w:ascii="Times New Roman" w:hAnsi="Times New Roman" w:cs="Times New Roman"/>
        </w:rPr>
        <w:t xml:space="preserve"> Respondent Universe and Sampling Methods</w:t>
      </w:r>
      <w:bookmarkEnd w:id="6"/>
      <w:bookmarkEnd w:id="7"/>
      <w:bookmarkEnd w:id="8"/>
      <w:bookmarkEnd w:id="9"/>
      <w:bookmarkEnd w:id="10"/>
      <w:r w:rsidR="006925F9" w:rsidRPr="00E25C38">
        <w:rPr>
          <w:rFonts w:ascii="Times New Roman" w:hAnsi="Times New Roman" w:cs="Times New Roman"/>
        </w:rPr>
        <w:fldChar w:fldCharType="begin"/>
      </w:r>
      <w:r w:rsidR="006925F9" w:rsidRPr="00E25C38">
        <w:rPr>
          <w:rFonts w:ascii="Times New Roman" w:hAnsi="Times New Roman" w:cs="Times New Roman"/>
        </w:rPr>
        <w:fldChar w:fldCharType="end"/>
      </w:r>
    </w:p>
    <w:p w14:paraId="27C2858D" w14:textId="77777777" w:rsidR="00510653" w:rsidRPr="00EE49D5" w:rsidRDefault="00510653" w:rsidP="002F40AB">
      <w:pPr>
        <w:autoSpaceDE w:val="0"/>
        <w:autoSpaceDN w:val="0"/>
        <w:adjustRightInd w:val="0"/>
      </w:pPr>
    </w:p>
    <w:p w14:paraId="0D225B31" w14:textId="3DBC0BE0" w:rsidR="00356195" w:rsidRPr="00E25C38" w:rsidRDefault="00922952" w:rsidP="009B0D74">
      <w:pPr>
        <w:tabs>
          <w:tab w:val="left" w:pos="1545"/>
        </w:tabs>
        <w:spacing w:after="100" w:afterAutospacing="1" w:line="360" w:lineRule="auto"/>
        <w:rPr>
          <w:sz w:val="22"/>
          <w:szCs w:val="22"/>
        </w:rPr>
      </w:pPr>
      <w:r w:rsidRPr="00E25C38">
        <w:rPr>
          <w:sz w:val="22"/>
          <w:szCs w:val="22"/>
        </w:rPr>
        <w:t xml:space="preserve">Since </w:t>
      </w:r>
      <w:r w:rsidR="00E707A5" w:rsidRPr="00E25C38">
        <w:rPr>
          <w:sz w:val="22"/>
          <w:szCs w:val="22"/>
        </w:rPr>
        <w:t>the Agency for Toxic Substances and Disease Registry (</w:t>
      </w:r>
      <w:r w:rsidRPr="00E25C38">
        <w:rPr>
          <w:sz w:val="22"/>
          <w:szCs w:val="22"/>
        </w:rPr>
        <w:t>ATSDR</w:t>
      </w:r>
      <w:r w:rsidR="00E707A5" w:rsidRPr="00E25C38">
        <w:rPr>
          <w:sz w:val="22"/>
          <w:szCs w:val="22"/>
        </w:rPr>
        <w:t>)</w:t>
      </w:r>
      <w:r w:rsidRPr="00E25C38">
        <w:rPr>
          <w:sz w:val="22"/>
          <w:szCs w:val="22"/>
        </w:rPr>
        <w:t xml:space="preserve"> does not use the </w:t>
      </w:r>
      <w:r w:rsidR="00E707A5" w:rsidRPr="00E25C38">
        <w:rPr>
          <w:sz w:val="22"/>
          <w:szCs w:val="22"/>
        </w:rPr>
        <w:t>exposure investigation (</w:t>
      </w:r>
      <w:r w:rsidR="00BA6607" w:rsidRPr="00E25C38">
        <w:rPr>
          <w:sz w:val="22"/>
          <w:szCs w:val="22"/>
        </w:rPr>
        <w:t>EI</w:t>
      </w:r>
      <w:r w:rsidR="00E707A5" w:rsidRPr="00E25C38">
        <w:rPr>
          <w:sz w:val="22"/>
          <w:szCs w:val="22"/>
        </w:rPr>
        <w:t>)</w:t>
      </w:r>
      <w:r w:rsidRPr="00E25C38">
        <w:rPr>
          <w:sz w:val="22"/>
          <w:szCs w:val="22"/>
        </w:rPr>
        <w:t xml:space="preserve"> results to generalize or estimate the total exposed population, the respondent universe and statistical methods for determining sample size are not a factor. </w:t>
      </w:r>
    </w:p>
    <w:p w14:paraId="5E882BD8" w14:textId="051AB977" w:rsidR="005B1125" w:rsidRPr="00E25C38" w:rsidRDefault="00377AA6" w:rsidP="005B1125">
      <w:pPr>
        <w:autoSpaceDE w:val="0"/>
        <w:autoSpaceDN w:val="0"/>
        <w:adjustRightInd w:val="0"/>
        <w:spacing w:after="100" w:afterAutospacing="1" w:line="360" w:lineRule="auto"/>
        <w:rPr>
          <w:sz w:val="22"/>
          <w:szCs w:val="22"/>
        </w:rPr>
      </w:pPr>
      <w:r w:rsidRPr="00E25C38">
        <w:rPr>
          <w:sz w:val="22"/>
          <w:szCs w:val="22"/>
        </w:rPr>
        <w:t xml:space="preserve">In 2012, EPA sampled 64 private water wells in the area and </w:t>
      </w:r>
      <w:r w:rsidR="00BE4D2F" w:rsidRPr="00E25C38">
        <w:rPr>
          <w:sz w:val="22"/>
          <w:szCs w:val="22"/>
        </w:rPr>
        <w:t xml:space="preserve">ATSDR’s Health Consultation </w:t>
      </w:r>
      <w:r w:rsidR="00B932CE" w:rsidRPr="00E25C38">
        <w:rPr>
          <w:sz w:val="22"/>
          <w:szCs w:val="22"/>
        </w:rPr>
        <w:t xml:space="preserve">(HC) </w:t>
      </w:r>
      <w:r w:rsidR="00BE4D2F" w:rsidRPr="00E25C38">
        <w:rPr>
          <w:sz w:val="22"/>
          <w:szCs w:val="22"/>
        </w:rPr>
        <w:t xml:space="preserve">reported health issues associated with contaminants in </w:t>
      </w:r>
      <w:r w:rsidR="00484786" w:rsidRPr="00E25C38">
        <w:rPr>
          <w:sz w:val="22"/>
          <w:szCs w:val="22"/>
        </w:rPr>
        <w:t>water as well as an explosive hazard resulting from elevated levels of methane in water.</w:t>
      </w:r>
      <w:r w:rsidR="00FD6370" w:rsidRPr="00E25C38">
        <w:rPr>
          <w:sz w:val="22"/>
          <w:szCs w:val="22"/>
        </w:rPr>
        <w:t xml:space="preserve"> </w:t>
      </w:r>
    </w:p>
    <w:p w14:paraId="4F6B6230" w14:textId="6C709B18" w:rsidR="00B932CE" w:rsidRPr="00E25C38" w:rsidRDefault="00B932CE" w:rsidP="005B1125">
      <w:pPr>
        <w:autoSpaceDE w:val="0"/>
        <w:autoSpaceDN w:val="0"/>
        <w:adjustRightInd w:val="0"/>
        <w:spacing w:after="100" w:afterAutospacing="1" w:line="360" w:lineRule="auto"/>
        <w:rPr>
          <w:sz w:val="22"/>
          <w:szCs w:val="22"/>
        </w:rPr>
      </w:pPr>
      <w:r w:rsidRPr="00E25C38">
        <w:rPr>
          <w:sz w:val="22"/>
          <w:szCs w:val="22"/>
        </w:rPr>
        <w:t>Based on recommendations from the HC and input from stakeholders, this EI will test the following:</w:t>
      </w:r>
    </w:p>
    <w:p w14:paraId="6D49B0E4" w14:textId="7CB6DF4C" w:rsidR="00B932CE" w:rsidRPr="00E25C38" w:rsidRDefault="00B932CE" w:rsidP="00B932CE">
      <w:pPr>
        <w:pStyle w:val="ListParagraph"/>
        <w:numPr>
          <w:ilvl w:val="0"/>
          <w:numId w:val="20"/>
        </w:numPr>
        <w:autoSpaceDE w:val="0"/>
        <w:autoSpaceDN w:val="0"/>
        <w:adjustRightInd w:val="0"/>
        <w:spacing w:after="100" w:afterAutospacing="1" w:line="360" w:lineRule="auto"/>
        <w:rPr>
          <w:sz w:val="22"/>
          <w:szCs w:val="22"/>
        </w:rPr>
      </w:pPr>
      <w:r w:rsidRPr="00E25C38">
        <w:rPr>
          <w:sz w:val="22"/>
          <w:szCs w:val="22"/>
        </w:rPr>
        <w:t>Private well water (</w:t>
      </w:r>
      <w:r w:rsidR="007958D1" w:rsidRPr="00E25C38">
        <w:rPr>
          <w:sz w:val="22"/>
          <w:szCs w:val="22"/>
        </w:rPr>
        <w:t>drinking water and raw groundwater</w:t>
      </w:r>
      <w:r w:rsidRPr="00E25C38">
        <w:rPr>
          <w:sz w:val="22"/>
          <w:szCs w:val="22"/>
        </w:rPr>
        <w:t>) for constituents associated with natural gas drilling activities</w:t>
      </w:r>
    </w:p>
    <w:p w14:paraId="4DCEF209" w14:textId="750B5179" w:rsidR="00B932CE" w:rsidRPr="00E25C38" w:rsidRDefault="00B932CE" w:rsidP="00B932CE">
      <w:pPr>
        <w:pStyle w:val="ListParagraph"/>
        <w:numPr>
          <w:ilvl w:val="0"/>
          <w:numId w:val="20"/>
        </w:numPr>
        <w:autoSpaceDE w:val="0"/>
        <w:autoSpaceDN w:val="0"/>
        <w:adjustRightInd w:val="0"/>
        <w:spacing w:after="100" w:afterAutospacing="1" w:line="360" w:lineRule="auto"/>
        <w:rPr>
          <w:sz w:val="22"/>
          <w:szCs w:val="22"/>
        </w:rPr>
      </w:pPr>
      <w:r w:rsidRPr="00E25C38">
        <w:rPr>
          <w:sz w:val="22"/>
          <w:szCs w:val="22"/>
        </w:rPr>
        <w:t>Bulk water, if appropriate, for the same constituents tested in well water</w:t>
      </w:r>
    </w:p>
    <w:p w14:paraId="7B729000" w14:textId="381EF4A6" w:rsidR="00B932CE" w:rsidRPr="00E25C38" w:rsidRDefault="00FB70C6" w:rsidP="00B932CE">
      <w:pPr>
        <w:pStyle w:val="ListParagraph"/>
        <w:numPr>
          <w:ilvl w:val="0"/>
          <w:numId w:val="20"/>
        </w:numPr>
        <w:autoSpaceDE w:val="0"/>
        <w:autoSpaceDN w:val="0"/>
        <w:adjustRightInd w:val="0"/>
        <w:spacing w:after="100" w:afterAutospacing="1" w:line="360" w:lineRule="auto"/>
        <w:rPr>
          <w:sz w:val="22"/>
          <w:szCs w:val="22"/>
        </w:rPr>
      </w:pPr>
      <w:r w:rsidRPr="00E25C38">
        <w:rPr>
          <w:sz w:val="22"/>
          <w:szCs w:val="22"/>
        </w:rPr>
        <w:t>Water and i</w:t>
      </w:r>
      <w:r w:rsidR="00B932CE" w:rsidRPr="00E25C38">
        <w:rPr>
          <w:sz w:val="22"/>
          <w:szCs w:val="22"/>
        </w:rPr>
        <w:t>ndoor air for radon</w:t>
      </w:r>
    </w:p>
    <w:p w14:paraId="30BF9169" w14:textId="73D47BC5" w:rsidR="004B64BA" w:rsidRPr="00E25C38" w:rsidRDefault="00741EB6" w:rsidP="00AD1C21">
      <w:pPr>
        <w:pStyle w:val="Heading2"/>
        <w:rPr>
          <w:rFonts w:ascii="Times New Roman" w:hAnsi="Times New Roman" w:cs="Times New Roman"/>
        </w:rPr>
      </w:pPr>
      <w:bookmarkStart w:id="11" w:name="_Toc306344167"/>
      <w:bookmarkStart w:id="12" w:name="_Toc306344808"/>
      <w:bookmarkStart w:id="13" w:name="_Toc306345049"/>
      <w:bookmarkStart w:id="14" w:name="_Toc311445520"/>
      <w:r w:rsidRPr="00E25C38">
        <w:rPr>
          <w:rFonts w:ascii="Times New Roman" w:hAnsi="Times New Roman" w:cs="Times New Roman"/>
        </w:rPr>
        <w:t xml:space="preserve"> </w:t>
      </w:r>
      <w:bookmarkStart w:id="15" w:name="_Toc483223474"/>
      <w:r w:rsidR="008E2E05" w:rsidRPr="00E25C38">
        <w:rPr>
          <w:rFonts w:ascii="Times New Roman" w:hAnsi="Times New Roman" w:cs="Times New Roman"/>
        </w:rPr>
        <w:t>B.2</w:t>
      </w:r>
      <w:r w:rsidR="00EE17C0" w:rsidRPr="00E25C38">
        <w:rPr>
          <w:rFonts w:ascii="Times New Roman" w:hAnsi="Times New Roman" w:cs="Times New Roman"/>
        </w:rPr>
        <w:t>.</w:t>
      </w:r>
      <w:r w:rsidR="008E2E05" w:rsidRPr="00E25C38">
        <w:rPr>
          <w:rFonts w:ascii="Times New Roman" w:hAnsi="Times New Roman" w:cs="Times New Roman"/>
        </w:rPr>
        <w:t xml:space="preserve"> Procedures for the Collection of Information</w:t>
      </w:r>
      <w:bookmarkEnd w:id="11"/>
      <w:bookmarkEnd w:id="12"/>
      <w:bookmarkEnd w:id="13"/>
      <w:bookmarkEnd w:id="14"/>
      <w:bookmarkEnd w:id="15"/>
    </w:p>
    <w:p w14:paraId="403A4887" w14:textId="77777777" w:rsidR="008E2E05" w:rsidRPr="00E25C38" w:rsidRDefault="006925F9" w:rsidP="00FD0B9F">
      <w:pPr>
        <w:pStyle w:val="Heading3"/>
        <w:spacing w:before="0"/>
        <w:rPr>
          <w:rFonts w:ascii="Times New Roman" w:hAnsi="Times New Roman" w:cs="Times New Roman"/>
          <w:sz w:val="22"/>
          <w:szCs w:val="22"/>
        </w:rPr>
      </w:pPr>
      <w:r w:rsidRPr="00E25C38">
        <w:rPr>
          <w:rFonts w:ascii="Times New Roman" w:hAnsi="Times New Roman" w:cs="Times New Roman"/>
          <w:sz w:val="22"/>
          <w:szCs w:val="22"/>
        </w:rPr>
        <w:fldChar w:fldCharType="begin"/>
      </w:r>
      <w:r w:rsidRPr="00E25C38">
        <w:rPr>
          <w:rFonts w:ascii="Times New Roman" w:hAnsi="Times New Roman" w:cs="Times New Roman"/>
          <w:sz w:val="22"/>
          <w:szCs w:val="22"/>
        </w:rPr>
        <w:fldChar w:fldCharType="end"/>
      </w:r>
    </w:p>
    <w:p w14:paraId="05045604" w14:textId="5865FA39" w:rsidR="00B2579E" w:rsidRPr="00E25C38" w:rsidRDefault="00B2579E" w:rsidP="00B2579E">
      <w:pPr>
        <w:spacing w:after="100" w:afterAutospacing="1" w:line="360" w:lineRule="auto"/>
        <w:rPr>
          <w:sz w:val="22"/>
          <w:szCs w:val="22"/>
        </w:rPr>
      </w:pPr>
      <w:r w:rsidRPr="00E25C38">
        <w:rPr>
          <w:rFonts w:eastAsiaTheme="minorHAnsi"/>
          <w:sz w:val="22"/>
          <w:szCs w:val="22"/>
        </w:rPr>
        <w:t xml:space="preserve">The EI will include obtaining consent from the homeowner to conduct the testing (Attachment 3) and administering a questionnaire to evaluate water use in the home (Attachment 4). </w:t>
      </w:r>
    </w:p>
    <w:p w14:paraId="508C17A8" w14:textId="01C16D7C" w:rsidR="00922952" w:rsidRPr="00E25C38" w:rsidRDefault="00922952" w:rsidP="00FB3942">
      <w:pPr>
        <w:tabs>
          <w:tab w:val="left" w:pos="1545"/>
        </w:tabs>
        <w:spacing w:before="240" w:after="200" w:line="360" w:lineRule="auto"/>
        <w:rPr>
          <w:sz w:val="22"/>
          <w:szCs w:val="22"/>
        </w:rPr>
      </w:pPr>
      <w:r w:rsidRPr="00E25C38">
        <w:rPr>
          <w:sz w:val="22"/>
          <w:szCs w:val="22"/>
        </w:rPr>
        <w:t xml:space="preserve">Prior to the interviews, the EI team is trained on the site-specific </w:t>
      </w:r>
      <w:r w:rsidR="00BA6607" w:rsidRPr="00E25C38">
        <w:rPr>
          <w:sz w:val="22"/>
          <w:szCs w:val="22"/>
        </w:rPr>
        <w:t xml:space="preserve">questions to be asked </w:t>
      </w:r>
      <w:r w:rsidRPr="00E25C38">
        <w:rPr>
          <w:sz w:val="22"/>
          <w:szCs w:val="22"/>
        </w:rPr>
        <w:t>(e.g., the purpose of each question, how to capture answers, place for comments, etc.</w:t>
      </w:r>
      <w:r w:rsidR="00A625D7" w:rsidRPr="00E25C38">
        <w:rPr>
          <w:sz w:val="22"/>
          <w:szCs w:val="22"/>
        </w:rPr>
        <w:t>)</w:t>
      </w:r>
      <w:r w:rsidRPr="00E25C38">
        <w:rPr>
          <w:sz w:val="22"/>
          <w:szCs w:val="22"/>
        </w:rPr>
        <w:t xml:space="preserve">. The </w:t>
      </w:r>
      <w:r w:rsidR="00BA6607" w:rsidRPr="00E25C38">
        <w:rPr>
          <w:sz w:val="22"/>
          <w:szCs w:val="22"/>
        </w:rPr>
        <w:t>list of qu</w:t>
      </w:r>
      <w:r w:rsidR="00D15E62" w:rsidRPr="00E25C38">
        <w:rPr>
          <w:sz w:val="22"/>
          <w:szCs w:val="22"/>
        </w:rPr>
        <w:t>e</w:t>
      </w:r>
      <w:r w:rsidR="00BA6607" w:rsidRPr="00E25C38">
        <w:rPr>
          <w:sz w:val="22"/>
          <w:szCs w:val="22"/>
        </w:rPr>
        <w:t>stions</w:t>
      </w:r>
      <w:r w:rsidRPr="00E25C38">
        <w:rPr>
          <w:sz w:val="22"/>
          <w:szCs w:val="22"/>
        </w:rPr>
        <w:t xml:space="preserve"> and individual’s answers are stored in a secure database or locked filing cabinet.</w:t>
      </w:r>
    </w:p>
    <w:p w14:paraId="29745EE0" w14:textId="30D0F363" w:rsidR="00922952" w:rsidRPr="00E25C38" w:rsidRDefault="00922952" w:rsidP="00FB3942">
      <w:pPr>
        <w:tabs>
          <w:tab w:val="left" w:pos="1545"/>
        </w:tabs>
        <w:spacing w:before="240" w:after="200" w:line="360" w:lineRule="auto"/>
        <w:rPr>
          <w:sz w:val="22"/>
          <w:szCs w:val="22"/>
        </w:rPr>
      </w:pPr>
      <w:r w:rsidRPr="00E25C38">
        <w:rPr>
          <w:sz w:val="22"/>
          <w:szCs w:val="22"/>
        </w:rPr>
        <w:t>Each participant is given information regarding the EI</w:t>
      </w:r>
      <w:r w:rsidR="00CE07D4">
        <w:rPr>
          <w:sz w:val="22"/>
          <w:szCs w:val="22"/>
        </w:rPr>
        <w:t xml:space="preserve"> and a contact person and </w:t>
      </w:r>
      <w:r w:rsidRPr="00E25C38">
        <w:rPr>
          <w:sz w:val="22"/>
          <w:szCs w:val="22"/>
        </w:rPr>
        <w:t>telephone number to answer questions</w:t>
      </w:r>
      <w:r w:rsidR="00FD0B9F" w:rsidRPr="00E25C38">
        <w:rPr>
          <w:sz w:val="22"/>
          <w:szCs w:val="22"/>
        </w:rPr>
        <w:t xml:space="preserve"> (Attachment</w:t>
      </w:r>
      <w:r w:rsidR="00B44474" w:rsidRPr="00E25C38">
        <w:rPr>
          <w:sz w:val="22"/>
          <w:szCs w:val="22"/>
        </w:rPr>
        <w:t xml:space="preserve"> </w:t>
      </w:r>
      <w:r w:rsidR="00930CA4">
        <w:rPr>
          <w:sz w:val="22"/>
          <w:szCs w:val="22"/>
        </w:rPr>
        <w:t>3</w:t>
      </w:r>
      <w:r w:rsidR="00FD0B9F" w:rsidRPr="00E25C38">
        <w:rPr>
          <w:sz w:val="22"/>
          <w:szCs w:val="22"/>
        </w:rPr>
        <w:t>)</w:t>
      </w:r>
      <w:r w:rsidRPr="00E25C38">
        <w:rPr>
          <w:sz w:val="22"/>
          <w:szCs w:val="22"/>
        </w:rPr>
        <w:t>. Each participant receives a copy of their personal results</w:t>
      </w:r>
      <w:r w:rsidR="002F59BB" w:rsidRPr="00E25C38">
        <w:rPr>
          <w:sz w:val="22"/>
          <w:szCs w:val="22"/>
        </w:rPr>
        <w:t xml:space="preserve"> (sample results letters provid</w:t>
      </w:r>
      <w:r w:rsidR="00CE4AAD" w:rsidRPr="00E25C38">
        <w:rPr>
          <w:sz w:val="22"/>
          <w:szCs w:val="22"/>
        </w:rPr>
        <w:t>ed in Attachment 6). Individual results will be protected to the full extent provided by law and will not be shared publically in any published reports.</w:t>
      </w:r>
    </w:p>
    <w:p w14:paraId="70687EDB" w14:textId="77777777" w:rsidR="00922952" w:rsidRDefault="00922952" w:rsidP="00922952">
      <w:pPr>
        <w:tabs>
          <w:tab w:val="left" w:pos="1545"/>
        </w:tabs>
        <w:rPr>
          <w:sz w:val="22"/>
          <w:szCs w:val="22"/>
        </w:rPr>
      </w:pPr>
    </w:p>
    <w:p w14:paraId="73D77C56" w14:textId="77777777" w:rsidR="00D03F33" w:rsidRPr="00E25C38" w:rsidRDefault="00D03F33" w:rsidP="00AD1C21">
      <w:pPr>
        <w:pStyle w:val="Heading2"/>
        <w:rPr>
          <w:rFonts w:ascii="Times New Roman" w:hAnsi="Times New Roman" w:cs="Times New Roman"/>
        </w:rPr>
      </w:pPr>
      <w:bookmarkStart w:id="16" w:name="_Toc306344809"/>
      <w:bookmarkStart w:id="17" w:name="_Toc306345050"/>
      <w:bookmarkStart w:id="18" w:name="_Toc311445521"/>
      <w:bookmarkStart w:id="19" w:name="_Toc483223475"/>
      <w:r w:rsidRPr="00E25C38">
        <w:rPr>
          <w:rFonts w:ascii="Times New Roman" w:hAnsi="Times New Roman" w:cs="Times New Roman"/>
        </w:rPr>
        <w:lastRenderedPageBreak/>
        <w:t>B.3</w:t>
      </w:r>
      <w:r w:rsidR="00EE17C0" w:rsidRPr="00E25C38">
        <w:rPr>
          <w:rFonts w:ascii="Times New Roman" w:hAnsi="Times New Roman" w:cs="Times New Roman"/>
        </w:rPr>
        <w:t>.</w:t>
      </w:r>
      <w:r w:rsidRPr="00E25C38">
        <w:rPr>
          <w:rFonts w:ascii="Times New Roman" w:hAnsi="Times New Roman" w:cs="Times New Roman"/>
        </w:rPr>
        <w:t xml:space="preserve"> Methods to Maximize Response Rates and Deal with Non-response</w:t>
      </w:r>
      <w:bookmarkEnd w:id="16"/>
      <w:bookmarkEnd w:id="17"/>
      <w:bookmarkEnd w:id="18"/>
      <w:bookmarkEnd w:id="19"/>
      <w:r w:rsidR="006925F9" w:rsidRPr="00E25C38">
        <w:rPr>
          <w:rFonts w:ascii="Times New Roman" w:hAnsi="Times New Roman" w:cs="Times New Roman"/>
        </w:rPr>
        <w:fldChar w:fldCharType="begin"/>
      </w:r>
      <w:r w:rsidR="006925F9" w:rsidRPr="00E25C38">
        <w:rPr>
          <w:rFonts w:ascii="Times New Roman" w:hAnsi="Times New Roman" w:cs="Times New Roman"/>
        </w:rPr>
        <w:fldChar w:fldCharType="end"/>
      </w:r>
    </w:p>
    <w:p w14:paraId="2CC9D4EC" w14:textId="77777777" w:rsidR="00D03F33" w:rsidRPr="00EE49D5" w:rsidRDefault="00D03F33" w:rsidP="002F40AB">
      <w:pPr>
        <w:pStyle w:val="Default"/>
        <w:rPr>
          <w:color w:val="auto"/>
        </w:rPr>
      </w:pPr>
    </w:p>
    <w:p w14:paraId="26D70751" w14:textId="6474CD24" w:rsidR="003C5A24" w:rsidRPr="00E25C38" w:rsidRDefault="003C5A24" w:rsidP="003C5A24">
      <w:pPr>
        <w:widowControl w:val="0"/>
        <w:autoSpaceDE w:val="0"/>
        <w:autoSpaceDN w:val="0"/>
        <w:adjustRightInd w:val="0"/>
        <w:spacing w:after="100" w:afterAutospacing="1" w:line="360" w:lineRule="auto"/>
        <w:rPr>
          <w:rStyle w:val="bumpedfont15"/>
          <w:rFonts w:eastAsiaTheme="minorHAnsi"/>
          <w:sz w:val="22"/>
          <w:szCs w:val="22"/>
        </w:rPr>
      </w:pPr>
      <w:r w:rsidRPr="00E25C38">
        <w:rPr>
          <w:rStyle w:val="bumpedfont15"/>
          <w:rFonts w:eastAsiaTheme="minorHAnsi"/>
          <w:sz w:val="22"/>
          <w:szCs w:val="22"/>
        </w:rPr>
        <w:t xml:space="preserve">EI participants will be selected from the 64 residences tested by EPA in 2012 with a maximum of 20 homes being included in the EI. </w:t>
      </w:r>
      <w:r w:rsidRPr="00E25C38">
        <w:rPr>
          <w:sz w:val="22"/>
          <w:szCs w:val="22"/>
        </w:rPr>
        <w:t>An invitation letter and fact sheet will be sent to the 64 potential participants that outlines the EI objectives. The invitation letter and EI fact sheet are provided in</w:t>
      </w:r>
      <w:r w:rsidR="009B1D64" w:rsidRPr="00EE49D5">
        <w:rPr>
          <w:sz w:val="22"/>
          <w:szCs w:val="22"/>
        </w:rPr>
        <w:t xml:space="preserve"> </w:t>
      </w:r>
      <w:r w:rsidR="00930CA4">
        <w:rPr>
          <w:sz w:val="22"/>
          <w:szCs w:val="22"/>
        </w:rPr>
        <w:t>A</w:t>
      </w:r>
      <w:r w:rsidR="009B1D64" w:rsidRPr="00524F6F">
        <w:rPr>
          <w:sz w:val="22"/>
          <w:szCs w:val="22"/>
        </w:rPr>
        <w:t>ttachment</w:t>
      </w:r>
      <w:r w:rsidR="0022668D" w:rsidRPr="00524F6F">
        <w:rPr>
          <w:sz w:val="22"/>
          <w:szCs w:val="22"/>
        </w:rPr>
        <w:t xml:space="preserve"> 9</w:t>
      </w:r>
      <w:r w:rsidR="00930CA4">
        <w:rPr>
          <w:sz w:val="22"/>
          <w:szCs w:val="22"/>
        </w:rPr>
        <w:t xml:space="preserve">. </w:t>
      </w:r>
      <w:r w:rsidRPr="00E25C38">
        <w:rPr>
          <w:rStyle w:val="bumpedfont15"/>
          <w:rFonts w:eastAsiaTheme="minorHAnsi"/>
          <w:sz w:val="22"/>
          <w:szCs w:val="22"/>
        </w:rPr>
        <w:t>The residences to be included in the EI will be identified using the following criteria:</w:t>
      </w:r>
    </w:p>
    <w:p w14:paraId="224082DF" w14:textId="77777777" w:rsidR="003C5A24" w:rsidRPr="00E25C38" w:rsidRDefault="003C5A24" w:rsidP="003C5A24">
      <w:pPr>
        <w:pStyle w:val="ListParagraph"/>
        <w:widowControl w:val="0"/>
        <w:numPr>
          <w:ilvl w:val="0"/>
          <w:numId w:val="21"/>
        </w:numPr>
        <w:autoSpaceDE w:val="0"/>
        <w:autoSpaceDN w:val="0"/>
        <w:adjustRightInd w:val="0"/>
        <w:spacing w:after="100" w:afterAutospacing="1" w:line="360" w:lineRule="auto"/>
        <w:contextualSpacing w:val="0"/>
        <w:rPr>
          <w:rStyle w:val="bumpedfont15"/>
          <w:rFonts w:eastAsiaTheme="minorHAnsi"/>
          <w:sz w:val="22"/>
          <w:szCs w:val="22"/>
        </w:rPr>
      </w:pPr>
      <w:r w:rsidRPr="00E25C38">
        <w:rPr>
          <w:rStyle w:val="bumpedfont15"/>
          <w:rFonts w:eastAsiaTheme="minorHAnsi"/>
          <w:sz w:val="22"/>
          <w:szCs w:val="22"/>
        </w:rPr>
        <w:t>Residences included in the 2012 EPA testing event that have</w:t>
      </w:r>
    </w:p>
    <w:p w14:paraId="1FE973B0" w14:textId="77777777" w:rsidR="003C5A24" w:rsidRPr="00E25C38" w:rsidRDefault="003C5A24" w:rsidP="003C5A24">
      <w:pPr>
        <w:pStyle w:val="ListParagraph"/>
        <w:numPr>
          <w:ilvl w:val="1"/>
          <w:numId w:val="21"/>
        </w:numPr>
        <w:spacing w:after="200" w:line="360" w:lineRule="auto"/>
        <w:contextualSpacing w:val="0"/>
        <w:rPr>
          <w:rStyle w:val="bumpedfont15"/>
          <w:rFonts w:eastAsiaTheme="minorHAnsi"/>
          <w:sz w:val="22"/>
          <w:szCs w:val="22"/>
        </w:rPr>
      </w:pPr>
      <w:r w:rsidRPr="00E25C38">
        <w:rPr>
          <w:rStyle w:val="bumpedfont15"/>
          <w:rFonts w:eastAsiaTheme="minorHAnsi"/>
          <w:sz w:val="22"/>
          <w:szCs w:val="22"/>
        </w:rPr>
        <w:t>private well water identified as a health hazard in the 2016 HC that continues to be used as a source of potable water in the home, or</w:t>
      </w:r>
    </w:p>
    <w:p w14:paraId="5A07F623" w14:textId="77777777" w:rsidR="003C5A24" w:rsidRPr="00E25C38" w:rsidRDefault="003C5A24" w:rsidP="003C5A24">
      <w:pPr>
        <w:pStyle w:val="ListParagraph"/>
        <w:widowControl w:val="0"/>
        <w:numPr>
          <w:ilvl w:val="1"/>
          <w:numId w:val="21"/>
        </w:numPr>
        <w:autoSpaceDE w:val="0"/>
        <w:autoSpaceDN w:val="0"/>
        <w:adjustRightInd w:val="0"/>
        <w:spacing w:after="100" w:afterAutospacing="1" w:line="360" w:lineRule="auto"/>
        <w:contextualSpacing w:val="0"/>
        <w:rPr>
          <w:rStyle w:val="bumpedfont15"/>
          <w:rFonts w:eastAsiaTheme="minorHAnsi"/>
          <w:sz w:val="22"/>
          <w:szCs w:val="22"/>
        </w:rPr>
      </w:pPr>
      <w:r w:rsidRPr="00E25C38">
        <w:rPr>
          <w:rStyle w:val="bumpedfont15"/>
          <w:rFonts w:eastAsiaTheme="minorHAnsi"/>
          <w:sz w:val="22"/>
          <w:szCs w:val="22"/>
        </w:rPr>
        <w:t>an existing concern about the quality of their water, e.g., detections near or exceeding level of concern, discoloration or bubbling of water, and proximity of well to natural gas production wells.</w:t>
      </w:r>
    </w:p>
    <w:p w14:paraId="7E7A7653" w14:textId="77777777" w:rsidR="003C5A24" w:rsidRPr="00E25C38" w:rsidRDefault="003C5A24" w:rsidP="003C5A24">
      <w:pPr>
        <w:pStyle w:val="ListParagraph"/>
        <w:numPr>
          <w:ilvl w:val="0"/>
          <w:numId w:val="22"/>
        </w:numPr>
        <w:spacing w:after="200" w:line="360" w:lineRule="auto"/>
        <w:contextualSpacing w:val="0"/>
        <w:rPr>
          <w:rStyle w:val="bumpedfont15"/>
          <w:rFonts w:eastAsiaTheme="minorHAnsi"/>
          <w:sz w:val="22"/>
          <w:szCs w:val="22"/>
        </w:rPr>
      </w:pPr>
      <w:r w:rsidRPr="00E25C38">
        <w:rPr>
          <w:rStyle w:val="bumpedfont15"/>
          <w:rFonts w:eastAsiaTheme="minorHAnsi"/>
          <w:sz w:val="22"/>
          <w:szCs w:val="22"/>
        </w:rPr>
        <w:t>If greater than 20 residences met the criteria, participants will be selected based on the results of the 2012 EPA testing: Those with well water with the highest number and/or concentration of contaminants of concern will be given priority for inclusion in the EI.</w:t>
      </w:r>
    </w:p>
    <w:p w14:paraId="0AE57AF1" w14:textId="56C9AB1A" w:rsidR="00DD7349" w:rsidRPr="00E25C38" w:rsidRDefault="00AB3C08" w:rsidP="00CC677B">
      <w:pPr>
        <w:spacing w:before="240" w:after="200" w:line="360" w:lineRule="auto"/>
        <w:rPr>
          <w:sz w:val="22"/>
          <w:szCs w:val="22"/>
        </w:rPr>
      </w:pPr>
      <w:r w:rsidRPr="00E25C38">
        <w:rPr>
          <w:sz w:val="22"/>
          <w:szCs w:val="22"/>
        </w:rPr>
        <w:t xml:space="preserve">The residents that will be recruited have been sampled by EPA previously, so they are aware of how the sampling will occur. We will attempt to obtain consent to sample at as many residents as possible. </w:t>
      </w:r>
      <w:r w:rsidR="00CB49A6" w:rsidRPr="00E25C38">
        <w:rPr>
          <w:sz w:val="22"/>
          <w:szCs w:val="22"/>
        </w:rPr>
        <w:t xml:space="preserve">Even without 100% participation, we can interpret results </w:t>
      </w:r>
      <w:r w:rsidR="00CA6BC1" w:rsidRPr="00E25C38">
        <w:rPr>
          <w:sz w:val="22"/>
          <w:szCs w:val="22"/>
        </w:rPr>
        <w:t>because we are providing participants an individual result and are not</w:t>
      </w:r>
      <w:r w:rsidR="00DD7349" w:rsidRPr="00E25C38">
        <w:rPr>
          <w:sz w:val="22"/>
          <w:szCs w:val="22"/>
        </w:rPr>
        <w:t xml:space="preserve"> attempting to determine population level exposures.</w:t>
      </w:r>
    </w:p>
    <w:p w14:paraId="3ADD8BE7" w14:textId="77777777" w:rsidR="00D03F33" w:rsidRPr="00E25C38" w:rsidRDefault="00D03F33" w:rsidP="00AD1C21">
      <w:pPr>
        <w:pStyle w:val="Heading2"/>
        <w:rPr>
          <w:rFonts w:ascii="Times New Roman" w:hAnsi="Times New Roman" w:cs="Times New Roman"/>
        </w:rPr>
      </w:pPr>
      <w:bookmarkStart w:id="20" w:name="_Toc306344810"/>
      <w:bookmarkStart w:id="21" w:name="_Toc306345051"/>
      <w:bookmarkStart w:id="22" w:name="_Toc311445522"/>
      <w:bookmarkStart w:id="23" w:name="_Toc483223476"/>
      <w:r w:rsidRPr="00E25C38">
        <w:rPr>
          <w:rFonts w:ascii="Times New Roman" w:hAnsi="Times New Roman" w:cs="Times New Roman"/>
        </w:rPr>
        <w:t>B.4</w:t>
      </w:r>
      <w:r w:rsidR="00EE17C0" w:rsidRPr="00E25C38">
        <w:rPr>
          <w:rFonts w:ascii="Times New Roman" w:hAnsi="Times New Roman" w:cs="Times New Roman"/>
        </w:rPr>
        <w:t>.</w:t>
      </w:r>
      <w:r w:rsidRPr="00E25C38">
        <w:rPr>
          <w:rFonts w:ascii="Times New Roman" w:hAnsi="Times New Roman" w:cs="Times New Roman"/>
        </w:rPr>
        <w:t xml:space="preserve"> Test of Procedures or Methods to be </w:t>
      </w:r>
      <w:proofErr w:type="gramStart"/>
      <w:r w:rsidRPr="00E25C38">
        <w:rPr>
          <w:rFonts w:ascii="Times New Roman" w:hAnsi="Times New Roman" w:cs="Times New Roman"/>
        </w:rPr>
        <w:t>Undertaken</w:t>
      </w:r>
      <w:bookmarkEnd w:id="20"/>
      <w:bookmarkEnd w:id="21"/>
      <w:bookmarkEnd w:id="22"/>
      <w:bookmarkEnd w:id="23"/>
      <w:proofErr w:type="gramEnd"/>
      <w:r w:rsidR="006925F9" w:rsidRPr="00E25C38">
        <w:rPr>
          <w:rFonts w:ascii="Times New Roman" w:hAnsi="Times New Roman" w:cs="Times New Roman"/>
        </w:rPr>
        <w:fldChar w:fldCharType="begin"/>
      </w:r>
      <w:r w:rsidR="006925F9" w:rsidRPr="00E25C38">
        <w:rPr>
          <w:rFonts w:ascii="Times New Roman" w:hAnsi="Times New Roman" w:cs="Times New Roman"/>
        </w:rPr>
        <w:fldChar w:fldCharType="end"/>
      </w:r>
    </w:p>
    <w:p w14:paraId="604D007F" w14:textId="77777777" w:rsidR="00D03F33" w:rsidRPr="00E25C38" w:rsidRDefault="00D03F33" w:rsidP="002F40AB">
      <w:pPr>
        <w:pStyle w:val="Default"/>
        <w:rPr>
          <w:color w:val="auto"/>
          <w:sz w:val="22"/>
          <w:szCs w:val="22"/>
        </w:rPr>
      </w:pPr>
    </w:p>
    <w:p w14:paraId="0518F157" w14:textId="77777777" w:rsidR="00DD7349" w:rsidRPr="00E25C38" w:rsidRDefault="00A31903" w:rsidP="00DD7349">
      <w:pPr>
        <w:tabs>
          <w:tab w:val="left" w:pos="1545"/>
        </w:tabs>
        <w:rPr>
          <w:sz w:val="22"/>
          <w:szCs w:val="22"/>
        </w:rPr>
      </w:pPr>
      <w:r w:rsidRPr="00E25C38">
        <w:rPr>
          <w:sz w:val="22"/>
          <w:szCs w:val="22"/>
        </w:rPr>
        <w:t xml:space="preserve">The EI team will use </w:t>
      </w:r>
      <w:r w:rsidR="0080109A" w:rsidRPr="00E25C38">
        <w:rPr>
          <w:sz w:val="22"/>
          <w:szCs w:val="22"/>
        </w:rPr>
        <w:t xml:space="preserve">the </w:t>
      </w:r>
      <w:r w:rsidRPr="00E25C38">
        <w:rPr>
          <w:sz w:val="22"/>
          <w:szCs w:val="22"/>
        </w:rPr>
        <w:t xml:space="preserve">questions </w:t>
      </w:r>
      <w:r w:rsidR="0080109A" w:rsidRPr="00E25C38">
        <w:rPr>
          <w:sz w:val="22"/>
          <w:szCs w:val="22"/>
        </w:rPr>
        <w:t xml:space="preserve">provided in </w:t>
      </w:r>
      <w:r w:rsidRPr="00E25C38">
        <w:rPr>
          <w:sz w:val="22"/>
          <w:szCs w:val="22"/>
        </w:rPr>
        <w:t>Attachmen</w:t>
      </w:r>
      <w:r w:rsidR="00996B73" w:rsidRPr="00E25C38">
        <w:rPr>
          <w:sz w:val="22"/>
          <w:szCs w:val="22"/>
        </w:rPr>
        <w:t xml:space="preserve">t </w:t>
      </w:r>
      <w:r w:rsidR="00F46404" w:rsidRPr="00E25C38">
        <w:rPr>
          <w:sz w:val="22"/>
          <w:szCs w:val="22"/>
        </w:rPr>
        <w:t>4</w:t>
      </w:r>
      <w:r w:rsidRPr="00E25C38">
        <w:rPr>
          <w:sz w:val="22"/>
          <w:szCs w:val="22"/>
        </w:rPr>
        <w:t>.</w:t>
      </w:r>
    </w:p>
    <w:p w14:paraId="7F1C57BF" w14:textId="58170810" w:rsidR="00651981" w:rsidRPr="00E25C38" w:rsidRDefault="00651981" w:rsidP="00AD1C21">
      <w:pPr>
        <w:pStyle w:val="Heading2"/>
        <w:rPr>
          <w:rFonts w:ascii="Times New Roman" w:hAnsi="Times New Roman" w:cs="Times New Roman"/>
        </w:rPr>
      </w:pPr>
      <w:bookmarkStart w:id="24" w:name="_Toc306344811"/>
      <w:bookmarkStart w:id="25" w:name="_Toc306345052"/>
      <w:bookmarkStart w:id="26" w:name="_Toc311445523"/>
      <w:bookmarkStart w:id="27" w:name="_Toc483223477"/>
      <w:r w:rsidRPr="00E25C38">
        <w:rPr>
          <w:rFonts w:ascii="Times New Roman" w:hAnsi="Times New Roman" w:cs="Times New Roman"/>
        </w:rPr>
        <w:t>B.5</w:t>
      </w:r>
      <w:r w:rsidR="00EE17C0" w:rsidRPr="00E25C38">
        <w:rPr>
          <w:rFonts w:ascii="Times New Roman" w:hAnsi="Times New Roman" w:cs="Times New Roman"/>
        </w:rPr>
        <w:t>.</w:t>
      </w:r>
      <w:r w:rsidRPr="00E25C38">
        <w:rPr>
          <w:rFonts w:ascii="Times New Roman" w:hAnsi="Times New Roman" w:cs="Times New Roman"/>
        </w:rPr>
        <w:t xml:space="preserve"> Individuals Consulted on Statistical Aspects and Individuals Collecting and/or</w:t>
      </w:r>
      <w:r w:rsidR="007C7FBC" w:rsidRPr="00E25C38">
        <w:rPr>
          <w:rFonts w:ascii="Times New Roman" w:hAnsi="Times New Roman" w:cs="Times New Roman"/>
        </w:rPr>
        <w:t xml:space="preserve"> </w:t>
      </w:r>
      <w:r w:rsidRPr="00E25C38">
        <w:rPr>
          <w:rFonts w:ascii="Times New Roman" w:hAnsi="Times New Roman" w:cs="Times New Roman"/>
        </w:rPr>
        <w:t>Analyzing Data</w:t>
      </w:r>
      <w:bookmarkEnd w:id="24"/>
      <w:bookmarkEnd w:id="25"/>
      <w:bookmarkEnd w:id="26"/>
      <w:bookmarkEnd w:id="27"/>
    </w:p>
    <w:p w14:paraId="7D5F2F0C" w14:textId="77777777" w:rsidR="00651981" w:rsidRPr="00E25C38" w:rsidRDefault="00651981" w:rsidP="002F40AB">
      <w:pPr>
        <w:autoSpaceDE w:val="0"/>
        <w:autoSpaceDN w:val="0"/>
        <w:adjustRightInd w:val="0"/>
        <w:rPr>
          <w:sz w:val="22"/>
          <w:szCs w:val="22"/>
        </w:rPr>
      </w:pPr>
    </w:p>
    <w:p w14:paraId="06D7103F" w14:textId="6C22898D" w:rsidR="00A04208" w:rsidRPr="00E25C38" w:rsidRDefault="00A31903" w:rsidP="005B0CA9">
      <w:pPr>
        <w:rPr>
          <w:sz w:val="22"/>
          <w:szCs w:val="22"/>
        </w:rPr>
      </w:pPr>
      <w:r w:rsidRPr="00E25C38">
        <w:rPr>
          <w:sz w:val="22"/>
          <w:szCs w:val="22"/>
        </w:rPr>
        <w:t>Statistical calculations are not used to determine participation in E</w:t>
      </w:r>
      <w:r w:rsidR="0079062F" w:rsidRPr="00E25C38">
        <w:rPr>
          <w:sz w:val="22"/>
          <w:szCs w:val="22"/>
        </w:rPr>
        <w:t>I</w:t>
      </w:r>
      <w:r w:rsidRPr="00E25C38">
        <w:rPr>
          <w:sz w:val="22"/>
          <w:szCs w:val="22"/>
        </w:rPr>
        <w:t xml:space="preserve">s.  </w:t>
      </w:r>
    </w:p>
    <w:sectPr w:rsidR="00A04208" w:rsidRPr="00E25C38" w:rsidSect="0067720C">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DB0A5" w14:textId="77777777" w:rsidR="00CE07D4" w:rsidRDefault="00CE07D4">
      <w:r>
        <w:separator/>
      </w:r>
    </w:p>
  </w:endnote>
  <w:endnote w:type="continuationSeparator" w:id="0">
    <w:p w14:paraId="08FEB437" w14:textId="77777777" w:rsidR="00CE07D4" w:rsidRDefault="00CE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17FED" w14:textId="77777777" w:rsidR="00CE07D4" w:rsidRDefault="00CE07D4"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5A6EE" w14:textId="77777777" w:rsidR="00CE07D4" w:rsidRDefault="00CE07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BAFE0" w14:textId="77777777" w:rsidR="00CE07D4" w:rsidRDefault="00CE07D4"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037E">
      <w:rPr>
        <w:rStyle w:val="PageNumber"/>
        <w:noProof/>
      </w:rPr>
      <w:t>4</w:t>
    </w:r>
    <w:r>
      <w:rPr>
        <w:rStyle w:val="PageNumber"/>
      </w:rPr>
      <w:fldChar w:fldCharType="end"/>
    </w:r>
  </w:p>
  <w:p w14:paraId="23A71718" w14:textId="77777777" w:rsidR="00CE07D4" w:rsidRDefault="00CE0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31201" w14:textId="77777777" w:rsidR="00CE07D4" w:rsidRDefault="00CE07D4">
      <w:r>
        <w:separator/>
      </w:r>
    </w:p>
  </w:footnote>
  <w:footnote w:type="continuationSeparator" w:id="0">
    <w:p w14:paraId="5ACD7D45" w14:textId="77777777" w:rsidR="00CE07D4" w:rsidRDefault="00CE0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C50E6" w14:textId="77777777" w:rsidR="00CE07D4" w:rsidRDefault="00CE07D4" w:rsidP="0067720C">
    <w:pPr>
      <w:pStyle w:val="Header"/>
      <w:jc w:val="center"/>
      <w:rPr>
        <w:rFonts w:asciiTheme="majorHAnsi" w:eastAsiaTheme="majorEastAsia" w:hAnsiTheme="majorHAnsi" w:cstheme="majorBidi"/>
        <w:sz w:val="32"/>
        <w:szCs w:val="32"/>
      </w:rPr>
    </w:pPr>
  </w:p>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2638891C" w14:textId="11BB6DCB" w:rsidR="00CE07D4" w:rsidRDefault="00CE07D4" w:rsidP="00295736">
        <w:pPr>
          <w:pStyle w:val="Header"/>
          <w:jc w:val="center"/>
          <w:rPr>
            <w:rFonts w:asciiTheme="majorHAnsi" w:eastAsiaTheme="majorEastAsia" w:hAnsiTheme="majorHAnsi" w:cstheme="majorBidi"/>
            <w:sz w:val="32"/>
            <w:szCs w:val="32"/>
          </w:rPr>
        </w:pPr>
        <w:r>
          <w:rPr>
            <w:sz w:val="20"/>
            <w:szCs w:val="20"/>
          </w:rPr>
          <w:t>Attachment 2 Drinking Water Exposure Investigation in Dimock PA:  Supporting Statement B</w:t>
        </w:r>
      </w:p>
    </w:sdtContent>
  </w:sdt>
  <w:p w14:paraId="61F0ACE5" w14:textId="77777777" w:rsidR="00CE07D4" w:rsidRDefault="00CE07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685D"/>
    <w:multiLevelType w:val="hybridMultilevel"/>
    <w:tmpl w:val="FE2A35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020528"/>
    <w:multiLevelType w:val="hybridMultilevel"/>
    <w:tmpl w:val="DD7435D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106A6EE1"/>
    <w:multiLevelType w:val="hybridMultilevel"/>
    <w:tmpl w:val="11E28C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820081"/>
    <w:multiLevelType w:val="hybridMultilevel"/>
    <w:tmpl w:val="05083EAC"/>
    <w:lvl w:ilvl="0" w:tplc="0409000F">
      <w:start w:val="1"/>
      <w:numFmt w:val="decimal"/>
      <w:lvlText w:val="%1."/>
      <w:lvlJc w:val="left"/>
      <w:pPr>
        <w:ind w:left="720" w:hanging="360"/>
      </w:pPr>
      <w:rPr>
        <w:rFonts w:hint="default"/>
      </w:rPr>
    </w:lvl>
    <w:lvl w:ilvl="1" w:tplc="630C50A0">
      <w:start w:val="1"/>
      <w:numFmt w:val="upperLetter"/>
      <w:lvlText w:val="3%2."/>
      <w:lvlJc w:val="left"/>
      <w:pPr>
        <w:ind w:left="1620" w:hanging="360"/>
      </w:pPr>
      <w:rPr>
        <w:rFonts w:hint="default"/>
      </w:rPr>
    </w:lvl>
    <w:lvl w:ilvl="2" w:tplc="42088B5A">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14012"/>
    <w:multiLevelType w:val="hybridMultilevel"/>
    <w:tmpl w:val="4612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E3D85"/>
    <w:multiLevelType w:val="hybridMultilevel"/>
    <w:tmpl w:val="54B65332"/>
    <w:lvl w:ilvl="0" w:tplc="E40E9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C82217"/>
    <w:multiLevelType w:val="hybridMultilevel"/>
    <w:tmpl w:val="EC10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5789C"/>
    <w:multiLevelType w:val="hybridMultilevel"/>
    <w:tmpl w:val="919A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01B50"/>
    <w:multiLevelType w:val="hybridMultilevel"/>
    <w:tmpl w:val="F842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48081D"/>
    <w:multiLevelType w:val="hybridMultilevel"/>
    <w:tmpl w:val="BF6068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0B04C7"/>
    <w:multiLevelType w:val="hybridMultilevel"/>
    <w:tmpl w:val="E19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77FB4"/>
    <w:multiLevelType w:val="hybridMultilevel"/>
    <w:tmpl w:val="4370A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C436F"/>
    <w:multiLevelType w:val="hybridMultilevel"/>
    <w:tmpl w:val="3EDA8618"/>
    <w:lvl w:ilvl="0" w:tplc="0409000F">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42088B5A">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F5706"/>
    <w:multiLevelType w:val="hybridMultilevel"/>
    <w:tmpl w:val="6F50DE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035746"/>
    <w:multiLevelType w:val="hybridMultilevel"/>
    <w:tmpl w:val="A71EB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A65D3"/>
    <w:multiLevelType w:val="hybridMultilevel"/>
    <w:tmpl w:val="761A698C"/>
    <w:lvl w:ilvl="0" w:tplc="76B8FDC8">
      <w:start w:val="1"/>
      <w:numFmt w:val="decimal"/>
      <w:lvlText w:val="%1."/>
      <w:lvlJc w:val="left"/>
      <w:pPr>
        <w:tabs>
          <w:tab w:val="num" w:pos="72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F4191B"/>
    <w:multiLevelType w:val="hybridMultilevel"/>
    <w:tmpl w:val="33B06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AB7A44"/>
    <w:multiLevelType w:val="hybridMultilevel"/>
    <w:tmpl w:val="BF5E27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0174B6"/>
    <w:multiLevelType w:val="hybridMultilevel"/>
    <w:tmpl w:val="5E06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CA7ADF"/>
    <w:multiLevelType w:val="hybridMultilevel"/>
    <w:tmpl w:val="455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3E6BDA"/>
    <w:multiLevelType w:val="hybridMultilevel"/>
    <w:tmpl w:val="CE260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CA390B"/>
    <w:multiLevelType w:val="hybridMultilevel"/>
    <w:tmpl w:val="1DA4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
  </w:num>
  <w:num w:numId="4">
    <w:abstractNumId w:val="5"/>
  </w:num>
  <w:num w:numId="5">
    <w:abstractNumId w:val="15"/>
  </w:num>
  <w:num w:numId="6">
    <w:abstractNumId w:val="8"/>
  </w:num>
  <w:num w:numId="7">
    <w:abstractNumId w:val="19"/>
  </w:num>
  <w:num w:numId="8">
    <w:abstractNumId w:val="10"/>
  </w:num>
  <w:num w:numId="9">
    <w:abstractNumId w:val="9"/>
  </w:num>
  <w:num w:numId="10">
    <w:abstractNumId w:val="6"/>
  </w:num>
  <w:num w:numId="11">
    <w:abstractNumId w:val="12"/>
  </w:num>
  <w:num w:numId="12">
    <w:abstractNumId w:val="20"/>
  </w:num>
  <w:num w:numId="13">
    <w:abstractNumId w:val="16"/>
  </w:num>
  <w:num w:numId="14">
    <w:abstractNumId w:val="4"/>
  </w:num>
  <w:num w:numId="15">
    <w:abstractNumId w:val="21"/>
  </w:num>
  <w:num w:numId="16">
    <w:abstractNumId w:val="14"/>
  </w:num>
  <w:num w:numId="17">
    <w:abstractNumId w:val="2"/>
  </w:num>
  <w:num w:numId="18">
    <w:abstractNumId w:val="18"/>
  </w:num>
  <w:num w:numId="19">
    <w:abstractNumId w:val="3"/>
  </w:num>
  <w:num w:numId="20">
    <w:abstractNumId w:val="22"/>
  </w:num>
  <w:num w:numId="21">
    <w:abstractNumId w:val="17"/>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A8"/>
    <w:rsid w:val="00016C0E"/>
    <w:rsid w:val="00032922"/>
    <w:rsid w:val="00033971"/>
    <w:rsid w:val="000406F1"/>
    <w:rsid w:val="00041368"/>
    <w:rsid w:val="00043FFB"/>
    <w:rsid w:val="000472D0"/>
    <w:rsid w:val="000532F6"/>
    <w:rsid w:val="0005797C"/>
    <w:rsid w:val="000649C1"/>
    <w:rsid w:val="00067EB5"/>
    <w:rsid w:val="00067EF1"/>
    <w:rsid w:val="000773C4"/>
    <w:rsid w:val="0008749C"/>
    <w:rsid w:val="00090754"/>
    <w:rsid w:val="00091F11"/>
    <w:rsid w:val="00094F19"/>
    <w:rsid w:val="000A5592"/>
    <w:rsid w:val="000A59C1"/>
    <w:rsid w:val="000A65A5"/>
    <w:rsid w:val="000B283E"/>
    <w:rsid w:val="000B6AE7"/>
    <w:rsid w:val="000D0BA5"/>
    <w:rsid w:val="000E423A"/>
    <w:rsid w:val="000E7793"/>
    <w:rsid w:val="000F1AB2"/>
    <w:rsid w:val="00106CD3"/>
    <w:rsid w:val="00120226"/>
    <w:rsid w:val="00122D9D"/>
    <w:rsid w:val="00127494"/>
    <w:rsid w:val="001337F5"/>
    <w:rsid w:val="00146FF0"/>
    <w:rsid w:val="00156C1D"/>
    <w:rsid w:val="00156E28"/>
    <w:rsid w:val="001618FD"/>
    <w:rsid w:val="00166980"/>
    <w:rsid w:val="001716E3"/>
    <w:rsid w:val="00175336"/>
    <w:rsid w:val="001833B6"/>
    <w:rsid w:val="00190128"/>
    <w:rsid w:val="00191746"/>
    <w:rsid w:val="00191AB3"/>
    <w:rsid w:val="00196613"/>
    <w:rsid w:val="00197CA0"/>
    <w:rsid w:val="001B2F0F"/>
    <w:rsid w:val="001B6C41"/>
    <w:rsid w:val="001D2C40"/>
    <w:rsid w:val="001D3D23"/>
    <w:rsid w:val="001D4FF9"/>
    <w:rsid w:val="001D6A64"/>
    <w:rsid w:val="001D6E98"/>
    <w:rsid w:val="001D7273"/>
    <w:rsid w:val="001E683D"/>
    <w:rsid w:val="001E6C56"/>
    <w:rsid w:val="001F2FE1"/>
    <w:rsid w:val="001F671F"/>
    <w:rsid w:val="00204774"/>
    <w:rsid w:val="00226592"/>
    <w:rsid w:val="0022668D"/>
    <w:rsid w:val="00226789"/>
    <w:rsid w:val="00226F12"/>
    <w:rsid w:val="002347A7"/>
    <w:rsid w:val="00235E02"/>
    <w:rsid w:val="00241E8F"/>
    <w:rsid w:val="002428A9"/>
    <w:rsid w:val="002555EC"/>
    <w:rsid w:val="002569E1"/>
    <w:rsid w:val="00260BCB"/>
    <w:rsid w:val="00266092"/>
    <w:rsid w:val="002669CF"/>
    <w:rsid w:val="00284F9D"/>
    <w:rsid w:val="0029554B"/>
    <w:rsid w:val="00295736"/>
    <w:rsid w:val="00297C51"/>
    <w:rsid w:val="002B1573"/>
    <w:rsid w:val="002B198F"/>
    <w:rsid w:val="002B2744"/>
    <w:rsid w:val="002B4079"/>
    <w:rsid w:val="002B599C"/>
    <w:rsid w:val="002C5393"/>
    <w:rsid w:val="002D0805"/>
    <w:rsid w:val="002D1B61"/>
    <w:rsid w:val="002D6BE5"/>
    <w:rsid w:val="002E0CB9"/>
    <w:rsid w:val="002E24AE"/>
    <w:rsid w:val="002F0422"/>
    <w:rsid w:val="002F40AB"/>
    <w:rsid w:val="002F59BB"/>
    <w:rsid w:val="00307746"/>
    <w:rsid w:val="00314B98"/>
    <w:rsid w:val="00322A9F"/>
    <w:rsid w:val="00331D1E"/>
    <w:rsid w:val="003327B3"/>
    <w:rsid w:val="003453F4"/>
    <w:rsid w:val="00346214"/>
    <w:rsid w:val="00346379"/>
    <w:rsid w:val="0035552F"/>
    <w:rsid w:val="00356195"/>
    <w:rsid w:val="00362A15"/>
    <w:rsid w:val="00364C2B"/>
    <w:rsid w:val="00370214"/>
    <w:rsid w:val="00370EFD"/>
    <w:rsid w:val="00372087"/>
    <w:rsid w:val="00377AA6"/>
    <w:rsid w:val="00380EA1"/>
    <w:rsid w:val="003838E1"/>
    <w:rsid w:val="00386915"/>
    <w:rsid w:val="003878D7"/>
    <w:rsid w:val="003900D3"/>
    <w:rsid w:val="00392C0E"/>
    <w:rsid w:val="003961A9"/>
    <w:rsid w:val="00396203"/>
    <w:rsid w:val="003A4223"/>
    <w:rsid w:val="003A6F80"/>
    <w:rsid w:val="003A7A75"/>
    <w:rsid w:val="003B09D0"/>
    <w:rsid w:val="003C2B64"/>
    <w:rsid w:val="003C5A24"/>
    <w:rsid w:val="003D25F3"/>
    <w:rsid w:val="003E010E"/>
    <w:rsid w:val="003E4C15"/>
    <w:rsid w:val="003F3169"/>
    <w:rsid w:val="003F3B2E"/>
    <w:rsid w:val="00405846"/>
    <w:rsid w:val="004064CA"/>
    <w:rsid w:val="00416780"/>
    <w:rsid w:val="0042229C"/>
    <w:rsid w:val="00424FA1"/>
    <w:rsid w:val="00425483"/>
    <w:rsid w:val="00426544"/>
    <w:rsid w:val="0043215B"/>
    <w:rsid w:val="004338EC"/>
    <w:rsid w:val="00443311"/>
    <w:rsid w:val="00454EFD"/>
    <w:rsid w:val="0045668E"/>
    <w:rsid w:val="004577E7"/>
    <w:rsid w:val="0046637A"/>
    <w:rsid w:val="00471684"/>
    <w:rsid w:val="00483496"/>
    <w:rsid w:val="00484786"/>
    <w:rsid w:val="004856EE"/>
    <w:rsid w:val="004916CD"/>
    <w:rsid w:val="00491741"/>
    <w:rsid w:val="004A065B"/>
    <w:rsid w:val="004A1D19"/>
    <w:rsid w:val="004A36EC"/>
    <w:rsid w:val="004B3540"/>
    <w:rsid w:val="004B64BA"/>
    <w:rsid w:val="004C1E1A"/>
    <w:rsid w:val="004C25B6"/>
    <w:rsid w:val="004C7309"/>
    <w:rsid w:val="004C7391"/>
    <w:rsid w:val="004E1968"/>
    <w:rsid w:val="004E22E0"/>
    <w:rsid w:val="004F43DE"/>
    <w:rsid w:val="004F54A8"/>
    <w:rsid w:val="0050015B"/>
    <w:rsid w:val="0050045B"/>
    <w:rsid w:val="00500461"/>
    <w:rsid w:val="00504E3B"/>
    <w:rsid w:val="0050563D"/>
    <w:rsid w:val="00510653"/>
    <w:rsid w:val="00512CC4"/>
    <w:rsid w:val="00515DFA"/>
    <w:rsid w:val="0051601C"/>
    <w:rsid w:val="005229C8"/>
    <w:rsid w:val="00523D3E"/>
    <w:rsid w:val="00524F6F"/>
    <w:rsid w:val="005322EC"/>
    <w:rsid w:val="00533F1F"/>
    <w:rsid w:val="00544956"/>
    <w:rsid w:val="00546017"/>
    <w:rsid w:val="00550A98"/>
    <w:rsid w:val="00551BCA"/>
    <w:rsid w:val="00552A78"/>
    <w:rsid w:val="00562ECD"/>
    <w:rsid w:val="00583F53"/>
    <w:rsid w:val="005857A2"/>
    <w:rsid w:val="00587809"/>
    <w:rsid w:val="00596E4A"/>
    <w:rsid w:val="005B0CA9"/>
    <w:rsid w:val="005B1125"/>
    <w:rsid w:val="005B43F9"/>
    <w:rsid w:val="005B45F4"/>
    <w:rsid w:val="005B4ECC"/>
    <w:rsid w:val="005B6B9A"/>
    <w:rsid w:val="005B70B1"/>
    <w:rsid w:val="005B769E"/>
    <w:rsid w:val="005C0816"/>
    <w:rsid w:val="005C27F5"/>
    <w:rsid w:val="005C5A41"/>
    <w:rsid w:val="005C5AF0"/>
    <w:rsid w:val="005D3D80"/>
    <w:rsid w:val="005D6965"/>
    <w:rsid w:val="005E55A9"/>
    <w:rsid w:val="005E5A4C"/>
    <w:rsid w:val="005F5787"/>
    <w:rsid w:val="005F5C5A"/>
    <w:rsid w:val="005F77A0"/>
    <w:rsid w:val="005F7A53"/>
    <w:rsid w:val="00606748"/>
    <w:rsid w:val="00607022"/>
    <w:rsid w:val="00614445"/>
    <w:rsid w:val="00617385"/>
    <w:rsid w:val="0061771E"/>
    <w:rsid w:val="006201FF"/>
    <w:rsid w:val="00622E0D"/>
    <w:rsid w:val="006262E9"/>
    <w:rsid w:val="0062653B"/>
    <w:rsid w:val="00627ECB"/>
    <w:rsid w:val="00631525"/>
    <w:rsid w:val="00637EA9"/>
    <w:rsid w:val="00642AAC"/>
    <w:rsid w:val="0064606A"/>
    <w:rsid w:val="00651981"/>
    <w:rsid w:val="006525AA"/>
    <w:rsid w:val="00660F0C"/>
    <w:rsid w:val="00663286"/>
    <w:rsid w:val="00664110"/>
    <w:rsid w:val="00665CFE"/>
    <w:rsid w:val="0067381A"/>
    <w:rsid w:val="0067720C"/>
    <w:rsid w:val="00677FFA"/>
    <w:rsid w:val="0068197A"/>
    <w:rsid w:val="00692540"/>
    <w:rsid w:val="006925F9"/>
    <w:rsid w:val="00694686"/>
    <w:rsid w:val="006A0032"/>
    <w:rsid w:val="006A2AA7"/>
    <w:rsid w:val="006A44C0"/>
    <w:rsid w:val="006A7718"/>
    <w:rsid w:val="006B103B"/>
    <w:rsid w:val="006C5E45"/>
    <w:rsid w:val="006C7264"/>
    <w:rsid w:val="006D19A3"/>
    <w:rsid w:val="006D3C64"/>
    <w:rsid w:val="006D7CB6"/>
    <w:rsid w:val="006E2387"/>
    <w:rsid w:val="006E37D0"/>
    <w:rsid w:val="006E3E43"/>
    <w:rsid w:val="006F0D45"/>
    <w:rsid w:val="006F15B9"/>
    <w:rsid w:val="006F6099"/>
    <w:rsid w:val="006F6333"/>
    <w:rsid w:val="00700409"/>
    <w:rsid w:val="007049CD"/>
    <w:rsid w:val="0070749D"/>
    <w:rsid w:val="0071113A"/>
    <w:rsid w:val="00712A9A"/>
    <w:rsid w:val="0071388D"/>
    <w:rsid w:val="00716010"/>
    <w:rsid w:val="00716202"/>
    <w:rsid w:val="00723DC5"/>
    <w:rsid w:val="007310A6"/>
    <w:rsid w:val="00731B13"/>
    <w:rsid w:val="0073591C"/>
    <w:rsid w:val="00736050"/>
    <w:rsid w:val="00741EB6"/>
    <w:rsid w:val="007530C8"/>
    <w:rsid w:val="007563C4"/>
    <w:rsid w:val="007626DF"/>
    <w:rsid w:val="00763E7C"/>
    <w:rsid w:val="007668BA"/>
    <w:rsid w:val="00770340"/>
    <w:rsid w:val="00771ECB"/>
    <w:rsid w:val="007724FA"/>
    <w:rsid w:val="00786093"/>
    <w:rsid w:val="0079062F"/>
    <w:rsid w:val="007958D1"/>
    <w:rsid w:val="007A23B2"/>
    <w:rsid w:val="007A2631"/>
    <w:rsid w:val="007A3FA2"/>
    <w:rsid w:val="007A429D"/>
    <w:rsid w:val="007C1C05"/>
    <w:rsid w:val="007C3132"/>
    <w:rsid w:val="007C7FBC"/>
    <w:rsid w:val="007D3384"/>
    <w:rsid w:val="007D3DBD"/>
    <w:rsid w:val="007E0E75"/>
    <w:rsid w:val="007E79B5"/>
    <w:rsid w:val="007F037E"/>
    <w:rsid w:val="007F21F1"/>
    <w:rsid w:val="007F299C"/>
    <w:rsid w:val="007F6380"/>
    <w:rsid w:val="007F782D"/>
    <w:rsid w:val="0080109A"/>
    <w:rsid w:val="008074FA"/>
    <w:rsid w:val="00807721"/>
    <w:rsid w:val="008103C4"/>
    <w:rsid w:val="00831D46"/>
    <w:rsid w:val="00833C4B"/>
    <w:rsid w:val="008343E7"/>
    <w:rsid w:val="00837498"/>
    <w:rsid w:val="00843A8A"/>
    <w:rsid w:val="008474D8"/>
    <w:rsid w:val="00851094"/>
    <w:rsid w:val="00852FFD"/>
    <w:rsid w:val="00853D8F"/>
    <w:rsid w:val="00853DC2"/>
    <w:rsid w:val="008544D1"/>
    <w:rsid w:val="00863529"/>
    <w:rsid w:val="00866BEC"/>
    <w:rsid w:val="008700C1"/>
    <w:rsid w:val="0087135C"/>
    <w:rsid w:val="00877FA2"/>
    <w:rsid w:val="00881217"/>
    <w:rsid w:val="008934D6"/>
    <w:rsid w:val="00894EE6"/>
    <w:rsid w:val="00895946"/>
    <w:rsid w:val="008A3CCD"/>
    <w:rsid w:val="008A5672"/>
    <w:rsid w:val="008A6840"/>
    <w:rsid w:val="008C23B6"/>
    <w:rsid w:val="008C3501"/>
    <w:rsid w:val="008C4C5E"/>
    <w:rsid w:val="008C50FD"/>
    <w:rsid w:val="008D1BFD"/>
    <w:rsid w:val="008D66DB"/>
    <w:rsid w:val="008E09AA"/>
    <w:rsid w:val="008E0BAF"/>
    <w:rsid w:val="008E2E05"/>
    <w:rsid w:val="008E7880"/>
    <w:rsid w:val="008F0BD8"/>
    <w:rsid w:val="008F496F"/>
    <w:rsid w:val="008F5B3E"/>
    <w:rsid w:val="008F60D1"/>
    <w:rsid w:val="009017BB"/>
    <w:rsid w:val="00904B63"/>
    <w:rsid w:val="0091056C"/>
    <w:rsid w:val="0091210D"/>
    <w:rsid w:val="009221B6"/>
    <w:rsid w:val="00922952"/>
    <w:rsid w:val="00923C7F"/>
    <w:rsid w:val="00926D65"/>
    <w:rsid w:val="00930CA4"/>
    <w:rsid w:val="00931ABC"/>
    <w:rsid w:val="0093242E"/>
    <w:rsid w:val="00934902"/>
    <w:rsid w:val="00944592"/>
    <w:rsid w:val="00951498"/>
    <w:rsid w:val="00954D8D"/>
    <w:rsid w:val="00956AE1"/>
    <w:rsid w:val="00962A96"/>
    <w:rsid w:val="00966A40"/>
    <w:rsid w:val="00975A0E"/>
    <w:rsid w:val="00982769"/>
    <w:rsid w:val="00991172"/>
    <w:rsid w:val="00995202"/>
    <w:rsid w:val="00996B73"/>
    <w:rsid w:val="009A6F5F"/>
    <w:rsid w:val="009B0450"/>
    <w:rsid w:val="009B086A"/>
    <w:rsid w:val="009B0CD9"/>
    <w:rsid w:val="009B0D74"/>
    <w:rsid w:val="009B12B7"/>
    <w:rsid w:val="009B1D64"/>
    <w:rsid w:val="009B5B95"/>
    <w:rsid w:val="009C0719"/>
    <w:rsid w:val="009C2297"/>
    <w:rsid w:val="009C3AA7"/>
    <w:rsid w:val="009C4A89"/>
    <w:rsid w:val="009C7EC5"/>
    <w:rsid w:val="009D067F"/>
    <w:rsid w:val="009D0A49"/>
    <w:rsid w:val="009D525A"/>
    <w:rsid w:val="009E0C38"/>
    <w:rsid w:val="009E7E5D"/>
    <w:rsid w:val="009F79A3"/>
    <w:rsid w:val="00A04208"/>
    <w:rsid w:val="00A054A2"/>
    <w:rsid w:val="00A05675"/>
    <w:rsid w:val="00A124FB"/>
    <w:rsid w:val="00A1616A"/>
    <w:rsid w:val="00A25F24"/>
    <w:rsid w:val="00A31903"/>
    <w:rsid w:val="00A3479A"/>
    <w:rsid w:val="00A448B8"/>
    <w:rsid w:val="00A4570A"/>
    <w:rsid w:val="00A469D9"/>
    <w:rsid w:val="00A527F9"/>
    <w:rsid w:val="00A53944"/>
    <w:rsid w:val="00A625D7"/>
    <w:rsid w:val="00A62966"/>
    <w:rsid w:val="00A64340"/>
    <w:rsid w:val="00A663E0"/>
    <w:rsid w:val="00A71C48"/>
    <w:rsid w:val="00A73207"/>
    <w:rsid w:val="00A73E57"/>
    <w:rsid w:val="00A7532B"/>
    <w:rsid w:val="00A87C6C"/>
    <w:rsid w:val="00A93360"/>
    <w:rsid w:val="00A93EE6"/>
    <w:rsid w:val="00AA4D16"/>
    <w:rsid w:val="00AB045D"/>
    <w:rsid w:val="00AB0F01"/>
    <w:rsid w:val="00AB2C60"/>
    <w:rsid w:val="00AB3C08"/>
    <w:rsid w:val="00AB7942"/>
    <w:rsid w:val="00AC2CDD"/>
    <w:rsid w:val="00AC2F6F"/>
    <w:rsid w:val="00AC6600"/>
    <w:rsid w:val="00AC7886"/>
    <w:rsid w:val="00AD1C21"/>
    <w:rsid w:val="00AD6846"/>
    <w:rsid w:val="00AD7F09"/>
    <w:rsid w:val="00AE0C85"/>
    <w:rsid w:val="00AE1610"/>
    <w:rsid w:val="00AE22F8"/>
    <w:rsid w:val="00AF4CFE"/>
    <w:rsid w:val="00AF6312"/>
    <w:rsid w:val="00B01A66"/>
    <w:rsid w:val="00B05A66"/>
    <w:rsid w:val="00B14558"/>
    <w:rsid w:val="00B22AE5"/>
    <w:rsid w:val="00B2579E"/>
    <w:rsid w:val="00B3460A"/>
    <w:rsid w:val="00B40A7A"/>
    <w:rsid w:val="00B44474"/>
    <w:rsid w:val="00B471E8"/>
    <w:rsid w:val="00B516B5"/>
    <w:rsid w:val="00B64F7B"/>
    <w:rsid w:val="00B722DF"/>
    <w:rsid w:val="00B85D22"/>
    <w:rsid w:val="00B932CE"/>
    <w:rsid w:val="00B9643C"/>
    <w:rsid w:val="00BA6607"/>
    <w:rsid w:val="00BA6CC3"/>
    <w:rsid w:val="00BB0BBB"/>
    <w:rsid w:val="00BB15B3"/>
    <w:rsid w:val="00BB25EB"/>
    <w:rsid w:val="00BB3DD1"/>
    <w:rsid w:val="00BC00AC"/>
    <w:rsid w:val="00BD459D"/>
    <w:rsid w:val="00BE4476"/>
    <w:rsid w:val="00BE4D2F"/>
    <w:rsid w:val="00BF017A"/>
    <w:rsid w:val="00BF7A67"/>
    <w:rsid w:val="00C05D88"/>
    <w:rsid w:val="00C1089D"/>
    <w:rsid w:val="00C1413B"/>
    <w:rsid w:val="00C172FA"/>
    <w:rsid w:val="00C20983"/>
    <w:rsid w:val="00C31583"/>
    <w:rsid w:val="00C31758"/>
    <w:rsid w:val="00C320C2"/>
    <w:rsid w:val="00C32384"/>
    <w:rsid w:val="00C50DFD"/>
    <w:rsid w:val="00C520DE"/>
    <w:rsid w:val="00C56DE5"/>
    <w:rsid w:val="00C6281A"/>
    <w:rsid w:val="00C638EE"/>
    <w:rsid w:val="00C666E7"/>
    <w:rsid w:val="00C66E47"/>
    <w:rsid w:val="00C7213D"/>
    <w:rsid w:val="00C73A89"/>
    <w:rsid w:val="00C748C7"/>
    <w:rsid w:val="00C75116"/>
    <w:rsid w:val="00C767FD"/>
    <w:rsid w:val="00C86F57"/>
    <w:rsid w:val="00C87004"/>
    <w:rsid w:val="00C9386D"/>
    <w:rsid w:val="00C953DA"/>
    <w:rsid w:val="00C95965"/>
    <w:rsid w:val="00CA0F1B"/>
    <w:rsid w:val="00CA18B5"/>
    <w:rsid w:val="00CA485A"/>
    <w:rsid w:val="00CA6BC1"/>
    <w:rsid w:val="00CB49A6"/>
    <w:rsid w:val="00CC2A52"/>
    <w:rsid w:val="00CC2B2E"/>
    <w:rsid w:val="00CC456D"/>
    <w:rsid w:val="00CC677B"/>
    <w:rsid w:val="00CD1627"/>
    <w:rsid w:val="00CD49F0"/>
    <w:rsid w:val="00CD53D0"/>
    <w:rsid w:val="00CE07D4"/>
    <w:rsid w:val="00CE4AAD"/>
    <w:rsid w:val="00CF0F14"/>
    <w:rsid w:val="00CF1BA9"/>
    <w:rsid w:val="00CF1C35"/>
    <w:rsid w:val="00CF45D1"/>
    <w:rsid w:val="00D03F33"/>
    <w:rsid w:val="00D05E7E"/>
    <w:rsid w:val="00D1094B"/>
    <w:rsid w:val="00D15E62"/>
    <w:rsid w:val="00D15E81"/>
    <w:rsid w:val="00D169FF"/>
    <w:rsid w:val="00D172E1"/>
    <w:rsid w:val="00D177E1"/>
    <w:rsid w:val="00D20A6C"/>
    <w:rsid w:val="00D26AB5"/>
    <w:rsid w:val="00D27F9B"/>
    <w:rsid w:val="00D34CA5"/>
    <w:rsid w:val="00D51404"/>
    <w:rsid w:val="00D531DA"/>
    <w:rsid w:val="00D5729F"/>
    <w:rsid w:val="00D63163"/>
    <w:rsid w:val="00D72820"/>
    <w:rsid w:val="00D81A57"/>
    <w:rsid w:val="00D82BA0"/>
    <w:rsid w:val="00D84227"/>
    <w:rsid w:val="00D87295"/>
    <w:rsid w:val="00D92073"/>
    <w:rsid w:val="00D922D9"/>
    <w:rsid w:val="00D92D58"/>
    <w:rsid w:val="00D94491"/>
    <w:rsid w:val="00D96573"/>
    <w:rsid w:val="00DA1B5A"/>
    <w:rsid w:val="00DA492D"/>
    <w:rsid w:val="00DA4BF8"/>
    <w:rsid w:val="00DB0623"/>
    <w:rsid w:val="00DC12D4"/>
    <w:rsid w:val="00DC6464"/>
    <w:rsid w:val="00DD36FF"/>
    <w:rsid w:val="00DD7349"/>
    <w:rsid w:val="00DD7416"/>
    <w:rsid w:val="00DF0145"/>
    <w:rsid w:val="00DF2618"/>
    <w:rsid w:val="00DF3DF4"/>
    <w:rsid w:val="00DF4F52"/>
    <w:rsid w:val="00E013D0"/>
    <w:rsid w:val="00E026D1"/>
    <w:rsid w:val="00E04D09"/>
    <w:rsid w:val="00E23D4B"/>
    <w:rsid w:val="00E25C38"/>
    <w:rsid w:val="00E26172"/>
    <w:rsid w:val="00E27421"/>
    <w:rsid w:val="00E30EC6"/>
    <w:rsid w:val="00E34DE4"/>
    <w:rsid w:val="00E357F9"/>
    <w:rsid w:val="00E46AA2"/>
    <w:rsid w:val="00E47144"/>
    <w:rsid w:val="00E5153C"/>
    <w:rsid w:val="00E52AFD"/>
    <w:rsid w:val="00E53261"/>
    <w:rsid w:val="00E6213F"/>
    <w:rsid w:val="00E630B8"/>
    <w:rsid w:val="00E66FE4"/>
    <w:rsid w:val="00E707A5"/>
    <w:rsid w:val="00E711AF"/>
    <w:rsid w:val="00E74E9B"/>
    <w:rsid w:val="00E81D76"/>
    <w:rsid w:val="00E821B6"/>
    <w:rsid w:val="00E82C8B"/>
    <w:rsid w:val="00E85EC3"/>
    <w:rsid w:val="00EB5387"/>
    <w:rsid w:val="00EC2C5C"/>
    <w:rsid w:val="00EC3D82"/>
    <w:rsid w:val="00ED360E"/>
    <w:rsid w:val="00ED3B34"/>
    <w:rsid w:val="00ED471C"/>
    <w:rsid w:val="00EE17C0"/>
    <w:rsid w:val="00EE49D5"/>
    <w:rsid w:val="00EF17A8"/>
    <w:rsid w:val="00EF34D4"/>
    <w:rsid w:val="00EF712A"/>
    <w:rsid w:val="00F00596"/>
    <w:rsid w:val="00F1433C"/>
    <w:rsid w:val="00F263A6"/>
    <w:rsid w:val="00F31650"/>
    <w:rsid w:val="00F317AA"/>
    <w:rsid w:val="00F3244B"/>
    <w:rsid w:val="00F33A3A"/>
    <w:rsid w:val="00F36192"/>
    <w:rsid w:val="00F36CD2"/>
    <w:rsid w:val="00F3741B"/>
    <w:rsid w:val="00F37A9E"/>
    <w:rsid w:val="00F37D85"/>
    <w:rsid w:val="00F40172"/>
    <w:rsid w:val="00F40FDD"/>
    <w:rsid w:val="00F41025"/>
    <w:rsid w:val="00F46404"/>
    <w:rsid w:val="00F53AF0"/>
    <w:rsid w:val="00F639B2"/>
    <w:rsid w:val="00F67B43"/>
    <w:rsid w:val="00F74C6E"/>
    <w:rsid w:val="00F7530C"/>
    <w:rsid w:val="00F86846"/>
    <w:rsid w:val="00F92405"/>
    <w:rsid w:val="00F95037"/>
    <w:rsid w:val="00FA235B"/>
    <w:rsid w:val="00FA53F4"/>
    <w:rsid w:val="00FB3942"/>
    <w:rsid w:val="00FB70C6"/>
    <w:rsid w:val="00FC1CCA"/>
    <w:rsid w:val="00FC427F"/>
    <w:rsid w:val="00FD0B9F"/>
    <w:rsid w:val="00FD6370"/>
    <w:rsid w:val="00FE0CD2"/>
    <w:rsid w:val="00FE1990"/>
    <w:rsid w:val="00FE7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3969"/>
    <o:shapelayout v:ext="edit">
      <o:idmap v:ext="edit" data="1"/>
    </o:shapelayout>
  </w:shapeDefaults>
  <w:decimalSymbol w:val="."/>
  <w:listSeparator w:val=","/>
  <w14:docId w14:val="0EE9491C"/>
  <w15:docId w15:val="{9091D8CE-60A5-45FF-B856-1ADDFD78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rsid w:val="008E2E05"/>
    <w:rPr>
      <w:rFonts w:eastAsia="SimSun"/>
      <w:sz w:val="20"/>
      <w:szCs w:val="20"/>
    </w:rPr>
  </w:style>
  <w:style w:type="character" w:customStyle="1" w:styleId="CommentTextChar">
    <w:name w:val="Comment Text Char"/>
    <w:basedOn w:val="DefaultParagraphFont"/>
    <w:link w:val="CommentText"/>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6C56"/>
    <w:rPr>
      <w:sz w:val="24"/>
      <w:szCs w:val="24"/>
    </w:rPr>
  </w:style>
  <w:style w:type="character" w:customStyle="1" w:styleId="bumpedfont15">
    <w:name w:val="bumpedfont15"/>
    <w:basedOn w:val="DefaultParagraphFont"/>
    <w:rsid w:val="005B1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628050878">
      <w:bodyDiv w:val="1"/>
      <w:marLeft w:val="0"/>
      <w:marRight w:val="0"/>
      <w:marTop w:val="0"/>
      <w:marBottom w:val="0"/>
      <w:divBdr>
        <w:top w:val="none" w:sz="0" w:space="0" w:color="auto"/>
        <w:left w:val="none" w:sz="0" w:space="0" w:color="auto"/>
        <w:bottom w:val="none" w:sz="0" w:space="0" w:color="auto"/>
        <w:right w:val="none" w:sz="0" w:space="0" w:color="auto"/>
      </w:divBdr>
    </w:div>
    <w:div w:id="11423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owalski@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59CC1-779A-4388-9703-993C9ACC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801</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Attachment 2 Drinking Water Exposure Investigation in Dimock PA:  Supporting Statement B</vt:lpstr>
    </vt:vector>
  </TitlesOfParts>
  <Company>Centers for Disease Control and Prevention</Company>
  <LinksUpToDate>false</LinksUpToDate>
  <CharactersWithSpaces>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Drinking Water Exposure Investigation in Dimock PA:  Supporting Statement B</dc:title>
  <dc:creator>murphy</dc:creator>
  <cp:lastModifiedBy>Vempaty, Padmaja (ATSDR/OADS)</cp:lastModifiedBy>
  <cp:revision>24</cp:revision>
  <cp:lastPrinted>2017-06-07T12:50:00Z</cp:lastPrinted>
  <dcterms:created xsi:type="dcterms:W3CDTF">2017-06-05T15:50:00Z</dcterms:created>
  <dcterms:modified xsi:type="dcterms:W3CDTF">2017-06-07T17:27:00Z</dcterms:modified>
</cp:coreProperties>
</file>