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073B4" w14:textId="77777777" w:rsidR="008544D1" w:rsidRPr="003D773E" w:rsidRDefault="008544D1" w:rsidP="003D773E">
      <w:pPr>
        <w:rPr>
          <w:sz w:val="20"/>
          <w:szCs w:val="20"/>
        </w:rPr>
      </w:pPr>
    </w:p>
    <w:p w14:paraId="72CCC279" w14:textId="4818D9B2" w:rsidR="009E5282" w:rsidRDefault="00C96EF2" w:rsidP="008544D1">
      <w:pPr>
        <w:jc w:val="center"/>
        <w:rPr>
          <w:b/>
          <w:sz w:val="40"/>
          <w:szCs w:val="40"/>
        </w:rPr>
      </w:pPr>
      <w:r>
        <w:rPr>
          <w:b/>
          <w:sz w:val="40"/>
          <w:szCs w:val="40"/>
        </w:rPr>
        <w:t>Drinking Water</w:t>
      </w:r>
    </w:p>
    <w:p w14:paraId="344DA06E" w14:textId="3CF93E2A" w:rsidR="00BC290E" w:rsidRDefault="00BC290E" w:rsidP="008544D1">
      <w:pPr>
        <w:jc w:val="center"/>
        <w:rPr>
          <w:b/>
          <w:sz w:val="40"/>
          <w:szCs w:val="40"/>
        </w:rPr>
      </w:pPr>
      <w:r w:rsidRPr="00BC290E">
        <w:rPr>
          <w:b/>
          <w:sz w:val="40"/>
          <w:szCs w:val="40"/>
        </w:rPr>
        <w:t xml:space="preserve"> Exposure Investigation</w:t>
      </w:r>
    </w:p>
    <w:p w14:paraId="6FF83442" w14:textId="23BC7E81" w:rsidR="00916F0E" w:rsidRDefault="00916F0E" w:rsidP="008544D1">
      <w:pPr>
        <w:jc w:val="center"/>
        <w:rPr>
          <w:b/>
          <w:sz w:val="40"/>
          <w:szCs w:val="40"/>
        </w:rPr>
      </w:pPr>
      <w:r>
        <w:rPr>
          <w:b/>
          <w:sz w:val="40"/>
          <w:szCs w:val="40"/>
        </w:rPr>
        <w:t>Dimock, PA</w:t>
      </w:r>
    </w:p>
    <w:p w14:paraId="28D308BC" w14:textId="77777777" w:rsidR="00615AC9" w:rsidRDefault="00615AC9" w:rsidP="008544D1">
      <w:pPr>
        <w:jc w:val="center"/>
        <w:rPr>
          <w:b/>
          <w:sz w:val="40"/>
          <w:szCs w:val="40"/>
        </w:rPr>
      </w:pPr>
    </w:p>
    <w:p w14:paraId="4302EA3D" w14:textId="77777777" w:rsidR="00615AC9" w:rsidRDefault="00615AC9" w:rsidP="008544D1">
      <w:pPr>
        <w:jc w:val="center"/>
        <w:rPr>
          <w:b/>
          <w:sz w:val="40"/>
          <w:szCs w:val="40"/>
        </w:rPr>
      </w:pPr>
    </w:p>
    <w:p w14:paraId="61E10D1C" w14:textId="77777777" w:rsidR="00615AC9" w:rsidRPr="00BC290E" w:rsidRDefault="00615AC9" w:rsidP="008544D1">
      <w:pPr>
        <w:jc w:val="center"/>
        <w:rPr>
          <w:b/>
          <w:sz w:val="40"/>
          <w:szCs w:val="40"/>
        </w:rPr>
      </w:pPr>
    </w:p>
    <w:p w14:paraId="21107B32" w14:textId="77777777" w:rsidR="00BC290E" w:rsidRDefault="00BC290E" w:rsidP="008544D1">
      <w:pPr>
        <w:jc w:val="center"/>
      </w:pPr>
    </w:p>
    <w:p w14:paraId="105301D6" w14:textId="77777777" w:rsidR="00BC290E" w:rsidRDefault="00BC290E" w:rsidP="008544D1">
      <w:pPr>
        <w:jc w:val="center"/>
      </w:pPr>
      <w:r w:rsidRPr="00BC290E">
        <w:t>ATSDR</w:t>
      </w:r>
      <w:r>
        <w:t xml:space="preserve"> Exposure Investigations (EI) Generic Information Collection Request</w:t>
      </w:r>
    </w:p>
    <w:p w14:paraId="5B7A2BF5" w14:textId="77777777" w:rsidR="00BC290E" w:rsidRPr="00BC290E" w:rsidRDefault="00BC290E" w:rsidP="008544D1">
      <w:pPr>
        <w:jc w:val="center"/>
      </w:pPr>
      <w:r>
        <w:t xml:space="preserve">OMB No. </w:t>
      </w:r>
      <w:r w:rsidR="008E4769">
        <w:rPr>
          <w:color w:val="000000"/>
        </w:rPr>
        <w:t>0923-0048</w:t>
      </w:r>
    </w:p>
    <w:p w14:paraId="78F53F33" w14:textId="471ADE08" w:rsidR="00BC290E" w:rsidRPr="00EC4AE2" w:rsidRDefault="00BD6895" w:rsidP="008544D1">
      <w:pPr>
        <w:jc w:val="center"/>
      </w:pPr>
      <w:r>
        <w:rPr>
          <w:color w:val="000000"/>
        </w:rPr>
        <w:t>Expiration Date</w:t>
      </w:r>
      <w:r w:rsidR="004C00CE">
        <w:rPr>
          <w:color w:val="000000"/>
        </w:rPr>
        <w:t>:</w:t>
      </w:r>
      <w:r>
        <w:rPr>
          <w:color w:val="000000"/>
        </w:rPr>
        <w:t xml:space="preserve"> </w:t>
      </w:r>
      <w:r w:rsidR="009E5282">
        <w:rPr>
          <w:color w:val="000000"/>
        </w:rPr>
        <w:t>03/31/2019</w:t>
      </w:r>
    </w:p>
    <w:p w14:paraId="738688A0" w14:textId="77777777" w:rsidR="00BC290E" w:rsidRDefault="00BC290E" w:rsidP="008544D1">
      <w:pPr>
        <w:jc w:val="center"/>
        <w:rPr>
          <w:b/>
        </w:rPr>
      </w:pPr>
    </w:p>
    <w:p w14:paraId="0B346122" w14:textId="77777777" w:rsidR="00BC290E" w:rsidRDefault="00BC290E" w:rsidP="008544D1">
      <w:pPr>
        <w:jc w:val="center"/>
        <w:rPr>
          <w:b/>
        </w:rPr>
      </w:pPr>
    </w:p>
    <w:p w14:paraId="737F0454" w14:textId="7BA1B251" w:rsidR="00380EA1" w:rsidRDefault="00FE0884" w:rsidP="008544D1">
      <w:pPr>
        <w:jc w:val="center"/>
        <w:rPr>
          <w:b/>
        </w:rPr>
      </w:pPr>
      <w:r>
        <w:rPr>
          <w:b/>
        </w:rPr>
        <w:t xml:space="preserve">Attachment 1: </w:t>
      </w:r>
      <w:r w:rsidR="008544D1">
        <w:rPr>
          <w:b/>
        </w:rPr>
        <w:t xml:space="preserve">Supporting Statement </w:t>
      </w:r>
      <w:r w:rsidR="00BC290E">
        <w:rPr>
          <w:b/>
        </w:rPr>
        <w:t>Part A</w:t>
      </w:r>
      <w:r w:rsidR="00016C0E">
        <w:rPr>
          <w:b/>
        </w:rPr>
        <w:t xml:space="preserve"> </w:t>
      </w:r>
    </w:p>
    <w:p w14:paraId="6AD60672" w14:textId="77777777" w:rsidR="008544D1" w:rsidRDefault="008544D1" w:rsidP="008544D1">
      <w:pPr>
        <w:jc w:val="center"/>
        <w:rPr>
          <w:b/>
        </w:rPr>
      </w:pPr>
    </w:p>
    <w:p w14:paraId="2FC22E0A" w14:textId="77777777" w:rsidR="008544D1" w:rsidRDefault="008544D1" w:rsidP="008544D1">
      <w:pPr>
        <w:jc w:val="center"/>
        <w:rPr>
          <w:b/>
        </w:rPr>
      </w:pPr>
    </w:p>
    <w:p w14:paraId="476CFB64" w14:textId="36BC3E95" w:rsidR="008544D1" w:rsidRDefault="00BC290E" w:rsidP="008544D1">
      <w:pPr>
        <w:jc w:val="center"/>
        <w:rPr>
          <w:b/>
        </w:rPr>
      </w:pPr>
      <w:r>
        <w:rPr>
          <w:b/>
        </w:rPr>
        <w:t xml:space="preserve">Submitted: </w:t>
      </w:r>
      <w:r w:rsidR="00047508" w:rsidRPr="00275F48">
        <w:rPr>
          <w:b/>
        </w:rPr>
        <w:t>June</w:t>
      </w:r>
      <w:r w:rsidR="00916F0E" w:rsidRPr="00275F48">
        <w:rPr>
          <w:b/>
        </w:rPr>
        <w:t xml:space="preserve"> 2017</w:t>
      </w:r>
    </w:p>
    <w:p w14:paraId="3AF5094A" w14:textId="77777777" w:rsidR="00583F53" w:rsidRDefault="00583F53" w:rsidP="008544D1">
      <w:pPr>
        <w:jc w:val="center"/>
        <w:rPr>
          <w:b/>
        </w:rPr>
      </w:pPr>
    </w:p>
    <w:p w14:paraId="65722D2E" w14:textId="77777777" w:rsidR="00583F53" w:rsidRDefault="00583F53" w:rsidP="00584A53">
      <w:pPr>
        <w:rPr>
          <w:b/>
        </w:rPr>
      </w:pPr>
    </w:p>
    <w:p w14:paraId="683C1A9F" w14:textId="77777777" w:rsidR="00583F53" w:rsidRDefault="00583F53" w:rsidP="008544D1">
      <w:pPr>
        <w:jc w:val="center"/>
        <w:rPr>
          <w:b/>
        </w:rPr>
      </w:pPr>
    </w:p>
    <w:p w14:paraId="64D62897" w14:textId="77777777" w:rsidR="00C84428" w:rsidRDefault="00C84428" w:rsidP="00C84428">
      <w:pPr>
        <w:jc w:val="center"/>
      </w:pPr>
      <w:r>
        <w:t>Science Support Branch (SSB)</w:t>
      </w:r>
    </w:p>
    <w:p w14:paraId="06E0191A" w14:textId="77777777" w:rsidR="00583F53" w:rsidRDefault="007A429D" w:rsidP="00C84428">
      <w:pPr>
        <w:jc w:val="center"/>
      </w:pPr>
      <w:r w:rsidRPr="007A429D">
        <w:t xml:space="preserve">Division of </w:t>
      </w:r>
      <w:r w:rsidR="00C84428">
        <w:t>Community and Health Investigations (DCHI)</w:t>
      </w:r>
    </w:p>
    <w:p w14:paraId="5E2FB1AA" w14:textId="77777777" w:rsidR="00C84428" w:rsidRPr="007A429D" w:rsidRDefault="00C84428" w:rsidP="00C84428">
      <w:pPr>
        <w:jc w:val="center"/>
      </w:pPr>
      <w:r>
        <w:t>Agency for Toxic Substances and Disease Registry (ATSDR)</w:t>
      </w:r>
    </w:p>
    <w:p w14:paraId="66BFC1F0" w14:textId="77777777" w:rsidR="005856AA" w:rsidRDefault="005856AA" w:rsidP="00583F53">
      <w:pPr>
        <w:rPr>
          <w:b/>
        </w:rPr>
      </w:pPr>
    </w:p>
    <w:p w14:paraId="658005B4" w14:textId="77777777" w:rsidR="00583F53" w:rsidRDefault="00583F53" w:rsidP="00583F53">
      <w:pPr>
        <w:rPr>
          <w:b/>
        </w:rPr>
      </w:pPr>
    </w:p>
    <w:p w14:paraId="176E238D" w14:textId="77777777" w:rsidR="00DE30C6" w:rsidRDefault="00DE30C6" w:rsidP="00C84428">
      <w:pPr>
        <w:tabs>
          <w:tab w:val="left" w:pos="1545"/>
        </w:tabs>
        <w:rPr>
          <w:b/>
        </w:rPr>
      </w:pPr>
    </w:p>
    <w:p w14:paraId="7756A1E0" w14:textId="77777777" w:rsidR="00DE30C6" w:rsidRDefault="00DE30C6" w:rsidP="00C84428">
      <w:pPr>
        <w:tabs>
          <w:tab w:val="left" w:pos="1545"/>
        </w:tabs>
        <w:rPr>
          <w:b/>
        </w:rPr>
      </w:pPr>
    </w:p>
    <w:p w14:paraId="3A06F92F" w14:textId="77777777" w:rsidR="00DE30C6" w:rsidRDefault="00DE30C6" w:rsidP="00C84428">
      <w:pPr>
        <w:tabs>
          <w:tab w:val="left" w:pos="1545"/>
        </w:tabs>
        <w:rPr>
          <w:b/>
        </w:rPr>
      </w:pPr>
    </w:p>
    <w:p w14:paraId="38925724" w14:textId="77777777" w:rsidR="00DE30C6" w:rsidRDefault="00DE30C6" w:rsidP="00C84428">
      <w:pPr>
        <w:tabs>
          <w:tab w:val="left" w:pos="1545"/>
        </w:tabs>
        <w:rPr>
          <w:b/>
        </w:rPr>
      </w:pPr>
    </w:p>
    <w:p w14:paraId="6125DC77" w14:textId="77777777" w:rsidR="00DE30C6" w:rsidRDefault="00DE30C6" w:rsidP="00C84428">
      <w:pPr>
        <w:tabs>
          <w:tab w:val="left" w:pos="1545"/>
        </w:tabs>
        <w:rPr>
          <w:b/>
        </w:rPr>
      </w:pPr>
    </w:p>
    <w:p w14:paraId="048799A6" w14:textId="77777777" w:rsidR="00DE30C6" w:rsidRDefault="00DE30C6" w:rsidP="00C84428">
      <w:pPr>
        <w:tabs>
          <w:tab w:val="left" w:pos="1545"/>
        </w:tabs>
        <w:rPr>
          <w:b/>
        </w:rPr>
      </w:pPr>
    </w:p>
    <w:p w14:paraId="611E35AB" w14:textId="77777777" w:rsidR="00DE30C6" w:rsidRDefault="00DE30C6" w:rsidP="00C84428">
      <w:pPr>
        <w:tabs>
          <w:tab w:val="left" w:pos="1545"/>
        </w:tabs>
        <w:rPr>
          <w:b/>
        </w:rPr>
      </w:pPr>
    </w:p>
    <w:p w14:paraId="7B67AB58" w14:textId="77777777" w:rsidR="00C84428" w:rsidRPr="00C84428" w:rsidRDefault="00C84428" w:rsidP="00C84428">
      <w:pPr>
        <w:tabs>
          <w:tab w:val="left" w:pos="1545"/>
        </w:tabs>
        <w:rPr>
          <w:b/>
        </w:rPr>
      </w:pPr>
      <w:r w:rsidRPr="00C84428">
        <w:rPr>
          <w:b/>
        </w:rPr>
        <w:t>Program Official:</w:t>
      </w:r>
    </w:p>
    <w:p w14:paraId="532550D2" w14:textId="77777777"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14:paraId="599A59E2" w14:textId="77777777" w:rsidR="00C84428" w:rsidRDefault="00C84428" w:rsidP="00C84428">
      <w:pPr>
        <w:autoSpaceDE w:val="0"/>
        <w:autoSpaceDN w:val="0"/>
        <w:adjustRightInd w:val="0"/>
        <w:ind w:left="720"/>
      </w:pPr>
      <w:r>
        <w:t xml:space="preserve">Lead, Exposure Investigations </w:t>
      </w:r>
      <w:r w:rsidR="002F3BAA">
        <w:t xml:space="preserve">and Data Analysis </w:t>
      </w:r>
      <w:r>
        <w:t>Team</w:t>
      </w:r>
    </w:p>
    <w:p w14:paraId="11772BE4" w14:textId="77777777" w:rsidR="00C84428" w:rsidRDefault="00C84428" w:rsidP="00C84428">
      <w:pPr>
        <w:autoSpaceDE w:val="0"/>
        <w:autoSpaceDN w:val="0"/>
        <w:adjustRightInd w:val="0"/>
        <w:ind w:left="720"/>
      </w:pPr>
      <w:r>
        <w:t>Science Support Branch</w:t>
      </w:r>
    </w:p>
    <w:p w14:paraId="23DB75D0" w14:textId="77777777" w:rsidR="00C84428" w:rsidRDefault="00C84428" w:rsidP="00C84428">
      <w:pPr>
        <w:autoSpaceDE w:val="0"/>
        <w:autoSpaceDN w:val="0"/>
        <w:adjustRightInd w:val="0"/>
        <w:ind w:left="720"/>
      </w:pPr>
      <w:r>
        <w:t xml:space="preserve">Division of Community Health </w:t>
      </w:r>
      <w:r w:rsidRPr="008E0304">
        <w:t>Investigations</w:t>
      </w:r>
    </w:p>
    <w:p w14:paraId="354377F1" w14:textId="77777777" w:rsidR="00C84428" w:rsidRDefault="00C84428" w:rsidP="00C84428">
      <w:pPr>
        <w:autoSpaceDE w:val="0"/>
        <w:autoSpaceDN w:val="0"/>
        <w:adjustRightInd w:val="0"/>
        <w:ind w:left="720"/>
      </w:pPr>
      <w:r>
        <w:t>Agency for Toxic Substances and Disease Registry</w:t>
      </w:r>
    </w:p>
    <w:p w14:paraId="785D280C" w14:textId="77777777" w:rsidR="00C84428" w:rsidRDefault="00C84428" w:rsidP="00C84428">
      <w:pPr>
        <w:autoSpaceDE w:val="0"/>
        <w:autoSpaceDN w:val="0"/>
        <w:adjustRightInd w:val="0"/>
        <w:ind w:left="720"/>
        <w:rPr>
          <w:szCs w:val="20"/>
        </w:rPr>
      </w:pPr>
      <w:r>
        <w:rPr>
          <w:szCs w:val="20"/>
        </w:rPr>
        <w:t>4770 Buford Hwy NE, MS F59</w:t>
      </w:r>
      <w:r>
        <w:rPr>
          <w:szCs w:val="20"/>
        </w:rPr>
        <w:br/>
        <w:t>Atlanta, GA 30341</w:t>
      </w:r>
    </w:p>
    <w:p w14:paraId="28D649D9" w14:textId="77777777" w:rsidR="00C84428" w:rsidRDefault="00C84428" w:rsidP="00C84428">
      <w:pPr>
        <w:autoSpaceDE w:val="0"/>
        <w:autoSpaceDN w:val="0"/>
        <w:adjustRightInd w:val="0"/>
        <w:ind w:left="720"/>
      </w:pPr>
      <w:r>
        <w:t>Phone: 770-488-</w:t>
      </w:r>
      <w:r w:rsidR="00CC027D">
        <w:t>0776</w:t>
      </w:r>
    </w:p>
    <w:p w14:paraId="3FDBDC7A" w14:textId="77777777" w:rsidR="00C84428" w:rsidRDefault="00C84428" w:rsidP="00C84428">
      <w:pPr>
        <w:autoSpaceDE w:val="0"/>
        <w:autoSpaceDN w:val="0"/>
        <w:adjustRightInd w:val="0"/>
        <w:ind w:left="720"/>
      </w:pPr>
      <w:r>
        <w:t>Fax:  770-488-1542</w:t>
      </w:r>
    </w:p>
    <w:p w14:paraId="3141521E" w14:textId="521D0F1A" w:rsidR="001142C7" w:rsidRDefault="00C84428" w:rsidP="00AB317D">
      <w:pPr>
        <w:autoSpaceDE w:val="0"/>
        <w:autoSpaceDN w:val="0"/>
        <w:adjustRightInd w:val="0"/>
        <w:ind w:firstLine="720"/>
        <w:rPr>
          <w:b/>
          <w:color w:val="1F497D" w:themeColor="text2"/>
        </w:rPr>
      </w:pPr>
      <w:r>
        <w:t xml:space="preserve">Email: </w:t>
      </w:r>
      <w:hyperlink r:id="rId8" w:history="1">
        <w:r w:rsidR="00CC027D" w:rsidRPr="00CC027D">
          <w:rPr>
            <w:rStyle w:val="Hyperlink"/>
          </w:rPr>
          <w:t>PKowalski@cdc.gov</w:t>
        </w:r>
      </w:hyperlink>
      <w:r w:rsidR="00FD74D2">
        <w:rPr>
          <w:b/>
          <w:color w:val="1F497D" w:themeColor="text2"/>
        </w:rPr>
        <w:br w:type="page"/>
      </w:r>
    </w:p>
    <w:p w14:paraId="1850B336" w14:textId="77777777" w:rsidR="001142C7" w:rsidRDefault="001142C7" w:rsidP="00AB317D">
      <w:pPr>
        <w:autoSpaceDE w:val="0"/>
        <w:autoSpaceDN w:val="0"/>
        <w:adjustRightInd w:val="0"/>
        <w:rPr>
          <w:b/>
          <w:color w:val="1F497D" w:themeColor="text2"/>
        </w:rPr>
      </w:pPr>
    </w:p>
    <w:p w14:paraId="5F98AC18" w14:textId="7FBED089" w:rsidR="000833BD" w:rsidRDefault="006E3E43" w:rsidP="00AB317D">
      <w:pPr>
        <w:autoSpaceDE w:val="0"/>
        <w:autoSpaceDN w:val="0"/>
        <w:adjustRightInd w:val="0"/>
        <w:rPr>
          <w:b/>
          <w:color w:val="1F497D" w:themeColor="text2"/>
        </w:rPr>
      </w:pPr>
      <w:r w:rsidRPr="00D142FF">
        <w:rPr>
          <w:b/>
          <w:color w:val="1F497D" w:themeColor="text2"/>
        </w:rPr>
        <w:t>Table of Contents</w:t>
      </w:r>
    </w:p>
    <w:sdt>
      <w:sdtPr>
        <w:rPr>
          <w:rFonts w:ascii="Times New Roman" w:eastAsia="Times New Roman" w:hAnsi="Times New Roman" w:cs="Times New Roman"/>
          <w:b w:val="0"/>
          <w:bCs w:val="0"/>
          <w:color w:val="auto"/>
          <w:sz w:val="24"/>
          <w:szCs w:val="24"/>
        </w:rPr>
        <w:id w:val="2005388221"/>
        <w:docPartObj>
          <w:docPartGallery w:val="Table of Contents"/>
          <w:docPartUnique/>
        </w:docPartObj>
      </w:sdtPr>
      <w:sdtEndPr>
        <w:rPr>
          <w:noProof/>
        </w:rPr>
      </w:sdtEndPr>
      <w:sdtContent>
        <w:p w14:paraId="4D52B9BE" w14:textId="04E49A80" w:rsidR="005C41A5" w:rsidRDefault="005C41A5">
          <w:pPr>
            <w:pStyle w:val="TOCHeading"/>
          </w:pPr>
        </w:p>
        <w:p w14:paraId="2813C3A5" w14:textId="6D9C6E9C" w:rsidR="000401DC" w:rsidRDefault="005C41A5">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3922840" w:history="1"/>
          <w:hyperlink w:anchor="_Toc483922841" w:history="1">
            <w:r w:rsidR="000401DC" w:rsidRPr="0035411D">
              <w:rPr>
                <w:rStyle w:val="Hyperlink"/>
                <w:noProof/>
              </w:rPr>
              <w:t>A. Justification</w:t>
            </w:r>
            <w:r w:rsidR="000401DC">
              <w:rPr>
                <w:noProof/>
                <w:webHidden/>
              </w:rPr>
              <w:tab/>
            </w:r>
            <w:r w:rsidR="000401DC">
              <w:rPr>
                <w:noProof/>
                <w:webHidden/>
              </w:rPr>
              <w:fldChar w:fldCharType="begin"/>
            </w:r>
            <w:r w:rsidR="000401DC">
              <w:rPr>
                <w:noProof/>
                <w:webHidden/>
              </w:rPr>
              <w:instrText xml:space="preserve"> PAGEREF _Toc483922841 \h </w:instrText>
            </w:r>
            <w:r w:rsidR="000401DC">
              <w:rPr>
                <w:noProof/>
                <w:webHidden/>
              </w:rPr>
            </w:r>
            <w:r w:rsidR="000401DC">
              <w:rPr>
                <w:noProof/>
                <w:webHidden/>
              </w:rPr>
              <w:fldChar w:fldCharType="separate"/>
            </w:r>
            <w:r w:rsidR="00615AC9">
              <w:rPr>
                <w:noProof/>
                <w:webHidden/>
              </w:rPr>
              <w:t>5</w:t>
            </w:r>
            <w:r w:rsidR="000401DC">
              <w:rPr>
                <w:noProof/>
                <w:webHidden/>
              </w:rPr>
              <w:fldChar w:fldCharType="end"/>
            </w:r>
          </w:hyperlink>
        </w:p>
        <w:p w14:paraId="1945488A" w14:textId="77777777" w:rsidR="000401DC" w:rsidRDefault="005E39EA">
          <w:pPr>
            <w:pStyle w:val="TOC2"/>
            <w:rPr>
              <w:rFonts w:asciiTheme="minorHAnsi" w:hAnsiTheme="minorHAnsi" w:cstheme="minorBidi"/>
              <w:bCs w:val="0"/>
              <w:sz w:val="22"/>
              <w:szCs w:val="22"/>
            </w:rPr>
          </w:pPr>
          <w:hyperlink w:anchor="_Toc483922842" w:history="1">
            <w:r w:rsidR="000401DC" w:rsidRPr="0035411D">
              <w:rPr>
                <w:rStyle w:val="Hyperlink"/>
              </w:rPr>
              <w:t>A.1 Circumstances Making the Collection of Information Necessary</w:t>
            </w:r>
            <w:r w:rsidR="000401DC">
              <w:rPr>
                <w:webHidden/>
              </w:rPr>
              <w:tab/>
            </w:r>
            <w:r w:rsidR="000401DC">
              <w:rPr>
                <w:webHidden/>
              </w:rPr>
              <w:fldChar w:fldCharType="begin"/>
            </w:r>
            <w:r w:rsidR="000401DC">
              <w:rPr>
                <w:webHidden/>
              </w:rPr>
              <w:instrText xml:space="preserve"> PAGEREF _Toc483922842 \h </w:instrText>
            </w:r>
            <w:r w:rsidR="000401DC">
              <w:rPr>
                <w:webHidden/>
              </w:rPr>
            </w:r>
            <w:r w:rsidR="000401DC">
              <w:rPr>
                <w:webHidden/>
              </w:rPr>
              <w:fldChar w:fldCharType="separate"/>
            </w:r>
            <w:r w:rsidR="00615AC9">
              <w:rPr>
                <w:webHidden/>
              </w:rPr>
              <w:t>5</w:t>
            </w:r>
            <w:r w:rsidR="000401DC">
              <w:rPr>
                <w:webHidden/>
              </w:rPr>
              <w:fldChar w:fldCharType="end"/>
            </w:r>
          </w:hyperlink>
        </w:p>
        <w:p w14:paraId="11FCA76F" w14:textId="77777777" w:rsidR="000401DC" w:rsidRDefault="005E39EA">
          <w:pPr>
            <w:pStyle w:val="TOC2"/>
            <w:rPr>
              <w:rFonts w:asciiTheme="minorHAnsi" w:hAnsiTheme="minorHAnsi" w:cstheme="minorBidi"/>
              <w:bCs w:val="0"/>
              <w:sz w:val="22"/>
              <w:szCs w:val="22"/>
            </w:rPr>
          </w:pPr>
          <w:hyperlink w:anchor="_Toc483922843" w:history="1">
            <w:r w:rsidR="000401DC" w:rsidRPr="0035411D">
              <w:rPr>
                <w:rStyle w:val="Hyperlink"/>
              </w:rPr>
              <w:t>A.2. Purpose and Use of Information Collection</w:t>
            </w:r>
            <w:r w:rsidR="000401DC">
              <w:rPr>
                <w:webHidden/>
              </w:rPr>
              <w:tab/>
            </w:r>
            <w:r w:rsidR="000401DC">
              <w:rPr>
                <w:webHidden/>
              </w:rPr>
              <w:fldChar w:fldCharType="begin"/>
            </w:r>
            <w:r w:rsidR="000401DC">
              <w:rPr>
                <w:webHidden/>
              </w:rPr>
              <w:instrText xml:space="preserve"> PAGEREF _Toc483922843 \h </w:instrText>
            </w:r>
            <w:r w:rsidR="000401DC">
              <w:rPr>
                <w:webHidden/>
              </w:rPr>
            </w:r>
            <w:r w:rsidR="000401DC">
              <w:rPr>
                <w:webHidden/>
              </w:rPr>
              <w:fldChar w:fldCharType="separate"/>
            </w:r>
            <w:r w:rsidR="00615AC9">
              <w:rPr>
                <w:webHidden/>
              </w:rPr>
              <w:t>10</w:t>
            </w:r>
            <w:r w:rsidR="000401DC">
              <w:rPr>
                <w:webHidden/>
              </w:rPr>
              <w:fldChar w:fldCharType="end"/>
            </w:r>
          </w:hyperlink>
        </w:p>
        <w:p w14:paraId="24B003E0" w14:textId="77777777" w:rsidR="000401DC" w:rsidRDefault="005E39EA">
          <w:pPr>
            <w:pStyle w:val="TOC2"/>
            <w:rPr>
              <w:rFonts w:asciiTheme="minorHAnsi" w:hAnsiTheme="minorHAnsi" w:cstheme="minorBidi"/>
              <w:bCs w:val="0"/>
              <w:sz w:val="22"/>
              <w:szCs w:val="22"/>
            </w:rPr>
          </w:pPr>
          <w:hyperlink w:anchor="_Toc483922844" w:history="1">
            <w:r w:rsidR="000401DC" w:rsidRPr="0035411D">
              <w:rPr>
                <w:rStyle w:val="Hyperlink"/>
              </w:rPr>
              <w:t>A.3. Use of Improved Information Technology and Burden Reduction</w:t>
            </w:r>
            <w:r w:rsidR="000401DC">
              <w:rPr>
                <w:webHidden/>
              </w:rPr>
              <w:tab/>
            </w:r>
            <w:r w:rsidR="000401DC">
              <w:rPr>
                <w:webHidden/>
              </w:rPr>
              <w:fldChar w:fldCharType="begin"/>
            </w:r>
            <w:r w:rsidR="000401DC">
              <w:rPr>
                <w:webHidden/>
              </w:rPr>
              <w:instrText xml:space="preserve"> PAGEREF _Toc483922844 \h </w:instrText>
            </w:r>
            <w:r w:rsidR="000401DC">
              <w:rPr>
                <w:webHidden/>
              </w:rPr>
            </w:r>
            <w:r w:rsidR="000401DC">
              <w:rPr>
                <w:webHidden/>
              </w:rPr>
              <w:fldChar w:fldCharType="separate"/>
            </w:r>
            <w:r w:rsidR="00615AC9">
              <w:rPr>
                <w:webHidden/>
              </w:rPr>
              <w:t>11</w:t>
            </w:r>
            <w:r w:rsidR="000401DC">
              <w:rPr>
                <w:webHidden/>
              </w:rPr>
              <w:fldChar w:fldCharType="end"/>
            </w:r>
          </w:hyperlink>
        </w:p>
        <w:p w14:paraId="0F9164D8" w14:textId="77777777" w:rsidR="000401DC" w:rsidRDefault="005E39EA">
          <w:pPr>
            <w:pStyle w:val="TOC2"/>
            <w:rPr>
              <w:rFonts w:asciiTheme="minorHAnsi" w:hAnsiTheme="minorHAnsi" w:cstheme="minorBidi"/>
              <w:bCs w:val="0"/>
              <w:sz w:val="22"/>
              <w:szCs w:val="22"/>
            </w:rPr>
          </w:pPr>
          <w:hyperlink w:anchor="_Toc483922845" w:history="1">
            <w:r w:rsidR="000401DC" w:rsidRPr="0035411D">
              <w:rPr>
                <w:rStyle w:val="Hyperlink"/>
              </w:rPr>
              <w:t>A.4. Efforts to Identify Duplication and Use of Similar Information</w:t>
            </w:r>
            <w:r w:rsidR="000401DC">
              <w:rPr>
                <w:webHidden/>
              </w:rPr>
              <w:tab/>
            </w:r>
            <w:r w:rsidR="000401DC">
              <w:rPr>
                <w:webHidden/>
              </w:rPr>
              <w:fldChar w:fldCharType="begin"/>
            </w:r>
            <w:r w:rsidR="000401DC">
              <w:rPr>
                <w:webHidden/>
              </w:rPr>
              <w:instrText xml:space="preserve"> PAGEREF _Toc483922845 \h </w:instrText>
            </w:r>
            <w:r w:rsidR="000401DC">
              <w:rPr>
                <w:webHidden/>
              </w:rPr>
            </w:r>
            <w:r w:rsidR="000401DC">
              <w:rPr>
                <w:webHidden/>
              </w:rPr>
              <w:fldChar w:fldCharType="separate"/>
            </w:r>
            <w:r w:rsidR="00615AC9">
              <w:rPr>
                <w:webHidden/>
              </w:rPr>
              <w:t>11</w:t>
            </w:r>
            <w:r w:rsidR="000401DC">
              <w:rPr>
                <w:webHidden/>
              </w:rPr>
              <w:fldChar w:fldCharType="end"/>
            </w:r>
          </w:hyperlink>
        </w:p>
        <w:p w14:paraId="57D67C59" w14:textId="77777777" w:rsidR="000401DC" w:rsidRDefault="005E39EA">
          <w:pPr>
            <w:pStyle w:val="TOC2"/>
            <w:rPr>
              <w:rFonts w:asciiTheme="minorHAnsi" w:hAnsiTheme="minorHAnsi" w:cstheme="minorBidi"/>
              <w:bCs w:val="0"/>
              <w:sz w:val="22"/>
              <w:szCs w:val="22"/>
            </w:rPr>
          </w:pPr>
          <w:hyperlink w:anchor="_Toc483922846" w:history="1">
            <w:r w:rsidR="000401DC" w:rsidRPr="0035411D">
              <w:rPr>
                <w:rStyle w:val="Hyperlink"/>
              </w:rPr>
              <w:t>A.5. Impact on Small Businesses or Other Small Entities</w:t>
            </w:r>
            <w:r w:rsidR="000401DC">
              <w:rPr>
                <w:webHidden/>
              </w:rPr>
              <w:tab/>
            </w:r>
            <w:r w:rsidR="000401DC">
              <w:rPr>
                <w:webHidden/>
              </w:rPr>
              <w:fldChar w:fldCharType="begin"/>
            </w:r>
            <w:r w:rsidR="000401DC">
              <w:rPr>
                <w:webHidden/>
              </w:rPr>
              <w:instrText xml:space="preserve"> PAGEREF _Toc483922846 \h </w:instrText>
            </w:r>
            <w:r w:rsidR="000401DC">
              <w:rPr>
                <w:webHidden/>
              </w:rPr>
            </w:r>
            <w:r w:rsidR="000401DC">
              <w:rPr>
                <w:webHidden/>
              </w:rPr>
              <w:fldChar w:fldCharType="separate"/>
            </w:r>
            <w:r w:rsidR="00615AC9">
              <w:rPr>
                <w:webHidden/>
              </w:rPr>
              <w:t>12</w:t>
            </w:r>
            <w:r w:rsidR="000401DC">
              <w:rPr>
                <w:webHidden/>
              </w:rPr>
              <w:fldChar w:fldCharType="end"/>
            </w:r>
          </w:hyperlink>
        </w:p>
        <w:p w14:paraId="5A6D3FEB" w14:textId="77777777" w:rsidR="000401DC" w:rsidRDefault="005E39EA">
          <w:pPr>
            <w:pStyle w:val="TOC2"/>
            <w:rPr>
              <w:rFonts w:asciiTheme="minorHAnsi" w:hAnsiTheme="minorHAnsi" w:cstheme="minorBidi"/>
              <w:bCs w:val="0"/>
              <w:sz w:val="22"/>
              <w:szCs w:val="22"/>
            </w:rPr>
          </w:pPr>
          <w:hyperlink w:anchor="_Toc483922847" w:history="1">
            <w:r w:rsidR="000401DC" w:rsidRPr="0035411D">
              <w:rPr>
                <w:rStyle w:val="Hyperlink"/>
              </w:rPr>
              <w:t>A.6. Consequences of Collecting the Information Less Frequently</w:t>
            </w:r>
            <w:r w:rsidR="000401DC">
              <w:rPr>
                <w:webHidden/>
              </w:rPr>
              <w:tab/>
            </w:r>
            <w:r w:rsidR="000401DC">
              <w:rPr>
                <w:webHidden/>
              </w:rPr>
              <w:fldChar w:fldCharType="begin"/>
            </w:r>
            <w:r w:rsidR="000401DC">
              <w:rPr>
                <w:webHidden/>
              </w:rPr>
              <w:instrText xml:space="preserve"> PAGEREF _Toc483922847 \h </w:instrText>
            </w:r>
            <w:r w:rsidR="000401DC">
              <w:rPr>
                <w:webHidden/>
              </w:rPr>
            </w:r>
            <w:r w:rsidR="000401DC">
              <w:rPr>
                <w:webHidden/>
              </w:rPr>
              <w:fldChar w:fldCharType="separate"/>
            </w:r>
            <w:r w:rsidR="00615AC9">
              <w:rPr>
                <w:webHidden/>
              </w:rPr>
              <w:t>12</w:t>
            </w:r>
            <w:r w:rsidR="000401DC">
              <w:rPr>
                <w:webHidden/>
              </w:rPr>
              <w:fldChar w:fldCharType="end"/>
            </w:r>
          </w:hyperlink>
        </w:p>
        <w:p w14:paraId="2C39EF31" w14:textId="77777777" w:rsidR="000401DC" w:rsidRDefault="005E39EA">
          <w:pPr>
            <w:pStyle w:val="TOC2"/>
            <w:rPr>
              <w:rFonts w:asciiTheme="minorHAnsi" w:hAnsiTheme="minorHAnsi" w:cstheme="minorBidi"/>
              <w:bCs w:val="0"/>
              <w:sz w:val="22"/>
              <w:szCs w:val="22"/>
            </w:rPr>
          </w:pPr>
          <w:hyperlink w:anchor="_Toc483922848" w:history="1">
            <w:r w:rsidR="000401DC" w:rsidRPr="0035411D">
              <w:rPr>
                <w:rStyle w:val="Hyperlink"/>
              </w:rPr>
              <w:t>A.7. Special Circumstances Relating to the Guidelines of 5 CFR 1320.5</w:t>
            </w:r>
            <w:r w:rsidR="000401DC">
              <w:rPr>
                <w:webHidden/>
              </w:rPr>
              <w:tab/>
            </w:r>
            <w:r w:rsidR="000401DC">
              <w:rPr>
                <w:webHidden/>
              </w:rPr>
              <w:fldChar w:fldCharType="begin"/>
            </w:r>
            <w:r w:rsidR="000401DC">
              <w:rPr>
                <w:webHidden/>
              </w:rPr>
              <w:instrText xml:space="preserve"> PAGEREF _Toc483922848 \h </w:instrText>
            </w:r>
            <w:r w:rsidR="000401DC">
              <w:rPr>
                <w:webHidden/>
              </w:rPr>
            </w:r>
            <w:r w:rsidR="000401DC">
              <w:rPr>
                <w:webHidden/>
              </w:rPr>
              <w:fldChar w:fldCharType="separate"/>
            </w:r>
            <w:r w:rsidR="00615AC9">
              <w:rPr>
                <w:webHidden/>
              </w:rPr>
              <w:t>12</w:t>
            </w:r>
            <w:r w:rsidR="000401DC">
              <w:rPr>
                <w:webHidden/>
              </w:rPr>
              <w:fldChar w:fldCharType="end"/>
            </w:r>
          </w:hyperlink>
        </w:p>
        <w:p w14:paraId="4599F5F4" w14:textId="77777777" w:rsidR="000401DC" w:rsidRDefault="005E39EA">
          <w:pPr>
            <w:pStyle w:val="TOC2"/>
            <w:rPr>
              <w:rFonts w:asciiTheme="minorHAnsi" w:hAnsiTheme="minorHAnsi" w:cstheme="minorBidi"/>
              <w:bCs w:val="0"/>
              <w:sz w:val="22"/>
              <w:szCs w:val="22"/>
            </w:rPr>
          </w:pPr>
          <w:hyperlink w:anchor="_Toc483922849" w:history="1">
            <w:r w:rsidR="000401DC" w:rsidRPr="0035411D">
              <w:rPr>
                <w:rStyle w:val="Hyperlink"/>
              </w:rPr>
              <w:t>A.8. Comments in Response to the Federal Register Notice and Efforts to Consult Outside the Agency</w:t>
            </w:r>
            <w:r w:rsidR="000401DC">
              <w:rPr>
                <w:webHidden/>
              </w:rPr>
              <w:tab/>
            </w:r>
            <w:r w:rsidR="000401DC">
              <w:rPr>
                <w:webHidden/>
              </w:rPr>
              <w:fldChar w:fldCharType="begin"/>
            </w:r>
            <w:r w:rsidR="000401DC">
              <w:rPr>
                <w:webHidden/>
              </w:rPr>
              <w:instrText xml:space="preserve"> PAGEREF _Toc483922849 \h </w:instrText>
            </w:r>
            <w:r w:rsidR="000401DC">
              <w:rPr>
                <w:webHidden/>
              </w:rPr>
            </w:r>
            <w:r w:rsidR="000401DC">
              <w:rPr>
                <w:webHidden/>
              </w:rPr>
              <w:fldChar w:fldCharType="separate"/>
            </w:r>
            <w:r w:rsidR="00615AC9">
              <w:rPr>
                <w:webHidden/>
              </w:rPr>
              <w:t>12</w:t>
            </w:r>
            <w:r w:rsidR="000401DC">
              <w:rPr>
                <w:webHidden/>
              </w:rPr>
              <w:fldChar w:fldCharType="end"/>
            </w:r>
          </w:hyperlink>
        </w:p>
        <w:p w14:paraId="3E7D7299" w14:textId="77777777" w:rsidR="000401DC" w:rsidRDefault="005E39EA">
          <w:pPr>
            <w:pStyle w:val="TOC2"/>
            <w:rPr>
              <w:rFonts w:asciiTheme="minorHAnsi" w:hAnsiTheme="minorHAnsi" w:cstheme="minorBidi"/>
              <w:bCs w:val="0"/>
              <w:sz w:val="22"/>
              <w:szCs w:val="22"/>
            </w:rPr>
          </w:pPr>
          <w:hyperlink w:anchor="_Toc483922850" w:history="1">
            <w:r w:rsidR="000401DC" w:rsidRPr="0035411D">
              <w:rPr>
                <w:rStyle w:val="Hyperlink"/>
              </w:rPr>
              <w:t>A.9. Explanation of Any Payment or Gift to Respondents</w:t>
            </w:r>
            <w:r w:rsidR="000401DC">
              <w:rPr>
                <w:webHidden/>
              </w:rPr>
              <w:tab/>
            </w:r>
            <w:r w:rsidR="000401DC">
              <w:rPr>
                <w:webHidden/>
              </w:rPr>
              <w:fldChar w:fldCharType="begin"/>
            </w:r>
            <w:r w:rsidR="000401DC">
              <w:rPr>
                <w:webHidden/>
              </w:rPr>
              <w:instrText xml:space="preserve"> PAGEREF _Toc483922850 \h </w:instrText>
            </w:r>
            <w:r w:rsidR="000401DC">
              <w:rPr>
                <w:webHidden/>
              </w:rPr>
            </w:r>
            <w:r w:rsidR="000401DC">
              <w:rPr>
                <w:webHidden/>
              </w:rPr>
              <w:fldChar w:fldCharType="separate"/>
            </w:r>
            <w:r w:rsidR="00615AC9">
              <w:rPr>
                <w:webHidden/>
              </w:rPr>
              <w:t>12</w:t>
            </w:r>
            <w:r w:rsidR="000401DC">
              <w:rPr>
                <w:webHidden/>
              </w:rPr>
              <w:fldChar w:fldCharType="end"/>
            </w:r>
          </w:hyperlink>
        </w:p>
        <w:p w14:paraId="6DA23311" w14:textId="77777777" w:rsidR="000401DC" w:rsidRDefault="005E39EA">
          <w:pPr>
            <w:pStyle w:val="TOC2"/>
            <w:rPr>
              <w:rFonts w:asciiTheme="minorHAnsi" w:hAnsiTheme="minorHAnsi" w:cstheme="minorBidi"/>
              <w:bCs w:val="0"/>
              <w:sz w:val="22"/>
              <w:szCs w:val="22"/>
            </w:rPr>
          </w:pPr>
          <w:hyperlink w:anchor="_Toc483922851" w:history="1">
            <w:r w:rsidR="000401DC" w:rsidRPr="0035411D">
              <w:rPr>
                <w:rStyle w:val="Hyperlink"/>
              </w:rPr>
              <w:t>A.10. Assurance of Confidentiality Provided to Respondents</w:t>
            </w:r>
            <w:r w:rsidR="000401DC">
              <w:rPr>
                <w:webHidden/>
              </w:rPr>
              <w:tab/>
            </w:r>
            <w:r w:rsidR="000401DC">
              <w:rPr>
                <w:webHidden/>
              </w:rPr>
              <w:fldChar w:fldCharType="begin"/>
            </w:r>
            <w:r w:rsidR="000401DC">
              <w:rPr>
                <w:webHidden/>
              </w:rPr>
              <w:instrText xml:space="preserve"> PAGEREF _Toc483922851 \h </w:instrText>
            </w:r>
            <w:r w:rsidR="000401DC">
              <w:rPr>
                <w:webHidden/>
              </w:rPr>
            </w:r>
            <w:r w:rsidR="000401DC">
              <w:rPr>
                <w:webHidden/>
              </w:rPr>
              <w:fldChar w:fldCharType="separate"/>
            </w:r>
            <w:r w:rsidR="00615AC9">
              <w:rPr>
                <w:webHidden/>
              </w:rPr>
              <w:t>12</w:t>
            </w:r>
            <w:r w:rsidR="000401DC">
              <w:rPr>
                <w:webHidden/>
              </w:rPr>
              <w:fldChar w:fldCharType="end"/>
            </w:r>
          </w:hyperlink>
        </w:p>
        <w:p w14:paraId="028E0B11" w14:textId="77777777" w:rsidR="000401DC" w:rsidRDefault="005E39EA">
          <w:pPr>
            <w:pStyle w:val="TOC2"/>
            <w:rPr>
              <w:rFonts w:asciiTheme="minorHAnsi" w:hAnsiTheme="minorHAnsi" w:cstheme="minorBidi"/>
              <w:bCs w:val="0"/>
              <w:sz w:val="22"/>
              <w:szCs w:val="22"/>
            </w:rPr>
          </w:pPr>
          <w:hyperlink w:anchor="_Toc483922852" w:history="1">
            <w:r w:rsidR="000401DC" w:rsidRPr="0035411D">
              <w:rPr>
                <w:rStyle w:val="Hyperlink"/>
              </w:rPr>
              <w:t>A.11. Justification for Sensitive Questions</w:t>
            </w:r>
            <w:r w:rsidR="000401DC">
              <w:rPr>
                <w:webHidden/>
              </w:rPr>
              <w:tab/>
            </w:r>
            <w:r w:rsidR="000401DC">
              <w:rPr>
                <w:webHidden/>
              </w:rPr>
              <w:fldChar w:fldCharType="begin"/>
            </w:r>
            <w:r w:rsidR="000401DC">
              <w:rPr>
                <w:webHidden/>
              </w:rPr>
              <w:instrText xml:space="preserve"> PAGEREF _Toc483922852 \h </w:instrText>
            </w:r>
            <w:r w:rsidR="000401DC">
              <w:rPr>
                <w:webHidden/>
              </w:rPr>
            </w:r>
            <w:r w:rsidR="000401DC">
              <w:rPr>
                <w:webHidden/>
              </w:rPr>
              <w:fldChar w:fldCharType="separate"/>
            </w:r>
            <w:r w:rsidR="00615AC9">
              <w:rPr>
                <w:webHidden/>
              </w:rPr>
              <w:t>14</w:t>
            </w:r>
            <w:r w:rsidR="000401DC">
              <w:rPr>
                <w:webHidden/>
              </w:rPr>
              <w:fldChar w:fldCharType="end"/>
            </w:r>
          </w:hyperlink>
        </w:p>
        <w:p w14:paraId="1E4B3045" w14:textId="77777777" w:rsidR="000401DC" w:rsidRDefault="005E39EA">
          <w:pPr>
            <w:pStyle w:val="TOC2"/>
            <w:rPr>
              <w:rFonts w:asciiTheme="minorHAnsi" w:hAnsiTheme="minorHAnsi" w:cstheme="minorBidi"/>
              <w:bCs w:val="0"/>
              <w:sz w:val="22"/>
              <w:szCs w:val="22"/>
            </w:rPr>
          </w:pPr>
          <w:hyperlink w:anchor="_Toc483922853" w:history="1">
            <w:r w:rsidR="000401DC" w:rsidRPr="0035411D">
              <w:rPr>
                <w:rStyle w:val="Hyperlink"/>
              </w:rPr>
              <w:t>A.12. Estimates of Annualized Burden Hours and Costs</w:t>
            </w:r>
            <w:r w:rsidR="000401DC">
              <w:rPr>
                <w:webHidden/>
              </w:rPr>
              <w:tab/>
            </w:r>
            <w:r w:rsidR="000401DC">
              <w:rPr>
                <w:webHidden/>
              </w:rPr>
              <w:fldChar w:fldCharType="begin"/>
            </w:r>
            <w:r w:rsidR="000401DC">
              <w:rPr>
                <w:webHidden/>
              </w:rPr>
              <w:instrText xml:space="preserve"> PAGEREF _Toc483922853 \h </w:instrText>
            </w:r>
            <w:r w:rsidR="000401DC">
              <w:rPr>
                <w:webHidden/>
              </w:rPr>
            </w:r>
            <w:r w:rsidR="000401DC">
              <w:rPr>
                <w:webHidden/>
              </w:rPr>
              <w:fldChar w:fldCharType="separate"/>
            </w:r>
            <w:r w:rsidR="00615AC9">
              <w:rPr>
                <w:webHidden/>
              </w:rPr>
              <w:t>15</w:t>
            </w:r>
            <w:r w:rsidR="000401DC">
              <w:rPr>
                <w:webHidden/>
              </w:rPr>
              <w:fldChar w:fldCharType="end"/>
            </w:r>
          </w:hyperlink>
        </w:p>
        <w:p w14:paraId="4587772C" w14:textId="77777777" w:rsidR="000401DC" w:rsidRDefault="005E39EA">
          <w:pPr>
            <w:pStyle w:val="TOC2"/>
            <w:rPr>
              <w:rFonts w:asciiTheme="minorHAnsi" w:hAnsiTheme="minorHAnsi" w:cstheme="minorBidi"/>
              <w:bCs w:val="0"/>
              <w:sz w:val="22"/>
              <w:szCs w:val="22"/>
            </w:rPr>
          </w:pPr>
          <w:hyperlink w:anchor="_Toc483922854" w:history="1">
            <w:r w:rsidR="000401DC" w:rsidRPr="0035411D">
              <w:rPr>
                <w:rStyle w:val="Hyperlink"/>
              </w:rPr>
              <w:t>A.13. Estimates of Other Total Annual Cost Burden to Respondents or Record Keepers</w:t>
            </w:r>
            <w:r w:rsidR="000401DC">
              <w:rPr>
                <w:webHidden/>
              </w:rPr>
              <w:tab/>
            </w:r>
            <w:r w:rsidR="000401DC">
              <w:rPr>
                <w:webHidden/>
              </w:rPr>
              <w:fldChar w:fldCharType="begin"/>
            </w:r>
            <w:r w:rsidR="000401DC">
              <w:rPr>
                <w:webHidden/>
              </w:rPr>
              <w:instrText xml:space="preserve"> PAGEREF _Toc483922854 \h </w:instrText>
            </w:r>
            <w:r w:rsidR="000401DC">
              <w:rPr>
                <w:webHidden/>
              </w:rPr>
            </w:r>
            <w:r w:rsidR="000401DC">
              <w:rPr>
                <w:webHidden/>
              </w:rPr>
              <w:fldChar w:fldCharType="separate"/>
            </w:r>
            <w:r w:rsidR="00615AC9">
              <w:rPr>
                <w:webHidden/>
              </w:rPr>
              <w:t>16</w:t>
            </w:r>
            <w:r w:rsidR="000401DC">
              <w:rPr>
                <w:webHidden/>
              </w:rPr>
              <w:fldChar w:fldCharType="end"/>
            </w:r>
          </w:hyperlink>
        </w:p>
        <w:p w14:paraId="78F3B4FD" w14:textId="77777777" w:rsidR="000401DC" w:rsidRDefault="005E39EA">
          <w:pPr>
            <w:pStyle w:val="TOC2"/>
            <w:rPr>
              <w:rFonts w:asciiTheme="minorHAnsi" w:hAnsiTheme="minorHAnsi" w:cstheme="minorBidi"/>
              <w:bCs w:val="0"/>
              <w:sz w:val="22"/>
              <w:szCs w:val="22"/>
            </w:rPr>
          </w:pPr>
          <w:hyperlink w:anchor="_Toc483922855" w:history="1">
            <w:r w:rsidR="000401DC" w:rsidRPr="0035411D">
              <w:rPr>
                <w:rStyle w:val="Hyperlink"/>
              </w:rPr>
              <w:t>A.14. Annualized Cost to the Government</w:t>
            </w:r>
            <w:r w:rsidR="000401DC">
              <w:rPr>
                <w:webHidden/>
              </w:rPr>
              <w:tab/>
            </w:r>
            <w:r w:rsidR="000401DC">
              <w:rPr>
                <w:webHidden/>
              </w:rPr>
              <w:fldChar w:fldCharType="begin"/>
            </w:r>
            <w:r w:rsidR="000401DC">
              <w:rPr>
                <w:webHidden/>
              </w:rPr>
              <w:instrText xml:space="preserve"> PAGEREF _Toc483922855 \h </w:instrText>
            </w:r>
            <w:r w:rsidR="000401DC">
              <w:rPr>
                <w:webHidden/>
              </w:rPr>
            </w:r>
            <w:r w:rsidR="000401DC">
              <w:rPr>
                <w:webHidden/>
              </w:rPr>
              <w:fldChar w:fldCharType="separate"/>
            </w:r>
            <w:r w:rsidR="00615AC9">
              <w:rPr>
                <w:webHidden/>
              </w:rPr>
              <w:t>16</w:t>
            </w:r>
            <w:r w:rsidR="000401DC">
              <w:rPr>
                <w:webHidden/>
              </w:rPr>
              <w:fldChar w:fldCharType="end"/>
            </w:r>
          </w:hyperlink>
        </w:p>
        <w:p w14:paraId="38733E3A" w14:textId="77777777" w:rsidR="000401DC" w:rsidRDefault="005E39EA">
          <w:pPr>
            <w:pStyle w:val="TOC2"/>
            <w:rPr>
              <w:rFonts w:asciiTheme="minorHAnsi" w:hAnsiTheme="minorHAnsi" w:cstheme="minorBidi"/>
              <w:bCs w:val="0"/>
              <w:sz w:val="22"/>
              <w:szCs w:val="22"/>
            </w:rPr>
          </w:pPr>
          <w:hyperlink w:anchor="_Toc483922856" w:history="1">
            <w:r w:rsidR="000401DC" w:rsidRPr="0035411D">
              <w:rPr>
                <w:rStyle w:val="Hyperlink"/>
              </w:rPr>
              <w:t>A.15. Explanation for Program Changes or Adjustments</w:t>
            </w:r>
            <w:r w:rsidR="000401DC">
              <w:rPr>
                <w:webHidden/>
              </w:rPr>
              <w:tab/>
            </w:r>
            <w:r w:rsidR="000401DC">
              <w:rPr>
                <w:webHidden/>
              </w:rPr>
              <w:fldChar w:fldCharType="begin"/>
            </w:r>
            <w:r w:rsidR="000401DC">
              <w:rPr>
                <w:webHidden/>
              </w:rPr>
              <w:instrText xml:space="preserve"> PAGEREF _Toc483922856 \h </w:instrText>
            </w:r>
            <w:r w:rsidR="000401DC">
              <w:rPr>
                <w:webHidden/>
              </w:rPr>
            </w:r>
            <w:r w:rsidR="000401DC">
              <w:rPr>
                <w:webHidden/>
              </w:rPr>
              <w:fldChar w:fldCharType="separate"/>
            </w:r>
            <w:r w:rsidR="00615AC9">
              <w:rPr>
                <w:webHidden/>
              </w:rPr>
              <w:t>16</w:t>
            </w:r>
            <w:r w:rsidR="000401DC">
              <w:rPr>
                <w:webHidden/>
              </w:rPr>
              <w:fldChar w:fldCharType="end"/>
            </w:r>
          </w:hyperlink>
        </w:p>
        <w:p w14:paraId="38271BB3" w14:textId="77777777" w:rsidR="000401DC" w:rsidRDefault="005E39EA">
          <w:pPr>
            <w:pStyle w:val="TOC2"/>
            <w:rPr>
              <w:rFonts w:asciiTheme="minorHAnsi" w:hAnsiTheme="minorHAnsi" w:cstheme="minorBidi"/>
              <w:bCs w:val="0"/>
              <w:sz w:val="22"/>
              <w:szCs w:val="22"/>
            </w:rPr>
          </w:pPr>
          <w:hyperlink w:anchor="_Toc483922857" w:history="1">
            <w:r w:rsidR="000401DC" w:rsidRPr="0035411D">
              <w:rPr>
                <w:rStyle w:val="Hyperlink"/>
              </w:rPr>
              <w:t>A.16. Plans for Tabulation and Publication and Project Time Schedule</w:t>
            </w:r>
            <w:r w:rsidR="000401DC">
              <w:rPr>
                <w:webHidden/>
              </w:rPr>
              <w:tab/>
            </w:r>
            <w:r w:rsidR="000401DC">
              <w:rPr>
                <w:webHidden/>
              </w:rPr>
              <w:fldChar w:fldCharType="begin"/>
            </w:r>
            <w:r w:rsidR="000401DC">
              <w:rPr>
                <w:webHidden/>
              </w:rPr>
              <w:instrText xml:space="preserve"> PAGEREF _Toc483922857 \h </w:instrText>
            </w:r>
            <w:r w:rsidR="000401DC">
              <w:rPr>
                <w:webHidden/>
              </w:rPr>
            </w:r>
            <w:r w:rsidR="000401DC">
              <w:rPr>
                <w:webHidden/>
              </w:rPr>
              <w:fldChar w:fldCharType="separate"/>
            </w:r>
            <w:r w:rsidR="00615AC9">
              <w:rPr>
                <w:webHidden/>
              </w:rPr>
              <w:t>16</w:t>
            </w:r>
            <w:r w:rsidR="000401DC">
              <w:rPr>
                <w:webHidden/>
              </w:rPr>
              <w:fldChar w:fldCharType="end"/>
            </w:r>
          </w:hyperlink>
        </w:p>
        <w:p w14:paraId="4F5E79B1" w14:textId="77777777" w:rsidR="000401DC" w:rsidRDefault="005E39EA">
          <w:pPr>
            <w:pStyle w:val="TOC2"/>
            <w:rPr>
              <w:rFonts w:asciiTheme="minorHAnsi" w:hAnsiTheme="minorHAnsi" w:cstheme="minorBidi"/>
              <w:bCs w:val="0"/>
              <w:sz w:val="22"/>
              <w:szCs w:val="22"/>
            </w:rPr>
          </w:pPr>
          <w:hyperlink w:anchor="_Toc483922858" w:history="1">
            <w:r w:rsidR="000401DC" w:rsidRPr="0035411D">
              <w:rPr>
                <w:rStyle w:val="Hyperlink"/>
              </w:rPr>
              <w:t>A.17. Reason(s) Display of OMB Expiration Date is Inappropriate</w:t>
            </w:r>
            <w:r w:rsidR="000401DC">
              <w:rPr>
                <w:webHidden/>
              </w:rPr>
              <w:tab/>
            </w:r>
            <w:r w:rsidR="000401DC">
              <w:rPr>
                <w:webHidden/>
              </w:rPr>
              <w:fldChar w:fldCharType="begin"/>
            </w:r>
            <w:r w:rsidR="000401DC">
              <w:rPr>
                <w:webHidden/>
              </w:rPr>
              <w:instrText xml:space="preserve"> PAGEREF _Toc483922858 \h </w:instrText>
            </w:r>
            <w:r w:rsidR="000401DC">
              <w:rPr>
                <w:webHidden/>
              </w:rPr>
            </w:r>
            <w:r w:rsidR="000401DC">
              <w:rPr>
                <w:webHidden/>
              </w:rPr>
              <w:fldChar w:fldCharType="separate"/>
            </w:r>
            <w:r w:rsidR="00615AC9">
              <w:rPr>
                <w:webHidden/>
              </w:rPr>
              <w:t>17</w:t>
            </w:r>
            <w:r w:rsidR="000401DC">
              <w:rPr>
                <w:webHidden/>
              </w:rPr>
              <w:fldChar w:fldCharType="end"/>
            </w:r>
          </w:hyperlink>
        </w:p>
        <w:p w14:paraId="766F6911" w14:textId="77777777" w:rsidR="000401DC" w:rsidRDefault="005E39EA">
          <w:pPr>
            <w:pStyle w:val="TOC2"/>
            <w:rPr>
              <w:rFonts w:asciiTheme="minorHAnsi" w:hAnsiTheme="minorHAnsi" w:cstheme="minorBidi"/>
              <w:bCs w:val="0"/>
              <w:sz w:val="22"/>
              <w:szCs w:val="22"/>
            </w:rPr>
          </w:pPr>
          <w:hyperlink w:anchor="_Toc483922859" w:history="1">
            <w:r w:rsidR="000401DC" w:rsidRPr="0035411D">
              <w:rPr>
                <w:rStyle w:val="Hyperlink"/>
              </w:rPr>
              <w:t>A.18. Exceptions to Certification for Paperwork Reduction Act Submissions</w:t>
            </w:r>
            <w:r w:rsidR="000401DC">
              <w:rPr>
                <w:webHidden/>
              </w:rPr>
              <w:tab/>
            </w:r>
            <w:r w:rsidR="000401DC">
              <w:rPr>
                <w:webHidden/>
              </w:rPr>
              <w:fldChar w:fldCharType="begin"/>
            </w:r>
            <w:r w:rsidR="000401DC">
              <w:rPr>
                <w:webHidden/>
              </w:rPr>
              <w:instrText xml:space="preserve"> PAGEREF _Toc483922859 \h </w:instrText>
            </w:r>
            <w:r w:rsidR="000401DC">
              <w:rPr>
                <w:webHidden/>
              </w:rPr>
            </w:r>
            <w:r w:rsidR="000401DC">
              <w:rPr>
                <w:webHidden/>
              </w:rPr>
              <w:fldChar w:fldCharType="separate"/>
            </w:r>
            <w:r w:rsidR="00615AC9">
              <w:rPr>
                <w:webHidden/>
              </w:rPr>
              <w:t>17</w:t>
            </w:r>
            <w:r w:rsidR="000401DC">
              <w:rPr>
                <w:webHidden/>
              </w:rPr>
              <w:fldChar w:fldCharType="end"/>
            </w:r>
          </w:hyperlink>
        </w:p>
        <w:p w14:paraId="79AC7D38" w14:textId="4B93845C" w:rsidR="005C41A5" w:rsidRDefault="005C41A5">
          <w:r>
            <w:rPr>
              <w:b/>
              <w:bCs/>
              <w:noProof/>
            </w:rPr>
            <w:fldChar w:fldCharType="end"/>
          </w:r>
        </w:p>
      </w:sdtContent>
    </w:sdt>
    <w:p w14:paraId="4E21554D" w14:textId="77777777" w:rsidR="003B2430" w:rsidRDefault="003B2430">
      <w:pPr>
        <w:rPr>
          <w:b/>
        </w:rPr>
      </w:pPr>
    </w:p>
    <w:p w14:paraId="6FD23FB7" w14:textId="77777777" w:rsidR="003B2430" w:rsidRDefault="003B2430">
      <w:pPr>
        <w:rPr>
          <w:b/>
        </w:rPr>
      </w:pPr>
    </w:p>
    <w:p w14:paraId="6FE33A07" w14:textId="77777777" w:rsidR="003B2430" w:rsidRDefault="003B2430">
      <w:pPr>
        <w:rPr>
          <w:b/>
        </w:rPr>
      </w:pPr>
    </w:p>
    <w:p w14:paraId="7B3603C5" w14:textId="77777777" w:rsidR="003B2430" w:rsidRDefault="003B2430">
      <w:pPr>
        <w:rPr>
          <w:b/>
        </w:rPr>
      </w:pPr>
    </w:p>
    <w:p w14:paraId="623B85B0" w14:textId="254C360F" w:rsidR="000401DC" w:rsidRDefault="000401DC">
      <w:pPr>
        <w:rPr>
          <w:b/>
        </w:rPr>
      </w:pPr>
      <w:r>
        <w:rPr>
          <w:b/>
        </w:rPr>
        <w:br w:type="page"/>
      </w:r>
    </w:p>
    <w:p w14:paraId="77C299C3" w14:textId="77777777" w:rsidR="003B2430" w:rsidRDefault="003B2430">
      <w:pPr>
        <w:rPr>
          <w:b/>
        </w:rPr>
      </w:pPr>
    </w:p>
    <w:p w14:paraId="2084AB26" w14:textId="5107D9D2" w:rsidR="00147926" w:rsidRDefault="00147926">
      <w:pPr>
        <w:rPr>
          <w:b/>
        </w:rPr>
      </w:pPr>
    </w:p>
    <w:p w14:paraId="39CE82C1" w14:textId="77777777" w:rsidR="003B2430" w:rsidRDefault="003B2430">
      <w:pPr>
        <w:rPr>
          <w:b/>
        </w:rPr>
      </w:pPr>
    </w:p>
    <w:p w14:paraId="4BFBC115" w14:textId="77777777" w:rsidR="0068233D" w:rsidRPr="0042536F" w:rsidRDefault="0068233D">
      <w:pPr>
        <w:rPr>
          <w:b/>
        </w:rPr>
      </w:pPr>
      <w:r w:rsidRPr="0042536F">
        <w:rPr>
          <w:b/>
        </w:rPr>
        <w:t>Attachments:</w:t>
      </w:r>
    </w:p>
    <w:p w14:paraId="142B1B92" w14:textId="77777777" w:rsidR="0068233D" w:rsidRDefault="0068233D"/>
    <w:p w14:paraId="54CD7AD1" w14:textId="77777777" w:rsidR="00713DDE" w:rsidRPr="0042536F" w:rsidRDefault="00713DDE" w:rsidP="00B86A20">
      <w:pPr>
        <w:pStyle w:val="ListParagraph"/>
        <w:numPr>
          <w:ilvl w:val="0"/>
          <w:numId w:val="5"/>
        </w:numPr>
        <w:spacing w:after="200" w:line="276" w:lineRule="auto"/>
      </w:pPr>
      <w:r w:rsidRPr="0042536F">
        <w:t>Supporting Statement A</w:t>
      </w:r>
    </w:p>
    <w:p w14:paraId="69ED8867" w14:textId="77777777" w:rsidR="00713DDE" w:rsidRPr="0042536F" w:rsidRDefault="00713DDE" w:rsidP="00B86A20">
      <w:pPr>
        <w:pStyle w:val="ListParagraph"/>
        <w:numPr>
          <w:ilvl w:val="0"/>
          <w:numId w:val="5"/>
        </w:numPr>
        <w:spacing w:after="200" w:line="276" w:lineRule="auto"/>
      </w:pPr>
      <w:r w:rsidRPr="0042536F">
        <w:t>Supporting Statement B</w:t>
      </w:r>
    </w:p>
    <w:p w14:paraId="5896C782" w14:textId="2D976132" w:rsidR="00713DDE" w:rsidRDefault="00FE0884" w:rsidP="00B86A20">
      <w:pPr>
        <w:pStyle w:val="ListParagraph"/>
        <w:numPr>
          <w:ilvl w:val="0"/>
          <w:numId w:val="5"/>
        </w:numPr>
        <w:spacing w:after="200" w:line="276" w:lineRule="auto"/>
      </w:pPr>
      <w:r>
        <w:t>Dimock</w:t>
      </w:r>
      <w:r w:rsidR="00713DDE" w:rsidRPr="0042536F">
        <w:t xml:space="preserve"> EI Consent Form</w:t>
      </w:r>
    </w:p>
    <w:p w14:paraId="1A2C4911" w14:textId="775A2FB7" w:rsidR="00C100BE" w:rsidRDefault="00FE0884" w:rsidP="00C100BE">
      <w:pPr>
        <w:pStyle w:val="ListParagraph"/>
        <w:numPr>
          <w:ilvl w:val="0"/>
          <w:numId w:val="5"/>
        </w:numPr>
        <w:spacing w:after="200" w:line="276" w:lineRule="auto"/>
      </w:pPr>
      <w:r>
        <w:t>Dimock</w:t>
      </w:r>
      <w:r w:rsidR="00713DDE" w:rsidRPr="0042536F">
        <w:t xml:space="preserve"> EI Questionnaire</w:t>
      </w:r>
    </w:p>
    <w:p w14:paraId="48F2C37D" w14:textId="2D8BA6E3" w:rsidR="00910C88" w:rsidRPr="0042536F" w:rsidRDefault="00910C88" w:rsidP="00910C88">
      <w:pPr>
        <w:pStyle w:val="ListParagraph"/>
        <w:numPr>
          <w:ilvl w:val="0"/>
          <w:numId w:val="5"/>
        </w:numPr>
        <w:spacing w:after="200" w:line="276" w:lineRule="auto"/>
      </w:pPr>
      <w:r>
        <w:t xml:space="preserve">Dimock EI </w:t>
      </w:r>
      <w:r w:rsidR="00663811">
        <w:t>P</w:t>
      </w:r>
      <w:r>
        <w:t>rotocol</w:t>
      </w:r>
    </w:p>
    <w:p w14:paraId="23B34A28" w14:textId="77777777" w:rsidR="00F9674A" w:rsidRPr="0042536F" w:rsidRDefault="00F9674A" w:rsidP="00F9674A">
      <w:pPr>
        <w:pStyle w:val="ListParagraph"/>
        <w:numPr>
          <w:ilvl w:val="0"/>
          <w:numId w:val="5"/>
        </w:numPr>
        <w:spacing w:after="200" w:line="276" w:lineRule="auto"/>
      </w:pPr>
      <w:r>
        <w:t>Dimock</w:t>
      </w:r>
      <w:r w:rsidRPr="0042536F">
        <w:t xml:space="preserve"> EI Sample Results Letter</w:t>
      </w:r>
    </w:p>
    <w:p w14:paraId="50E9C393" w14:textId="77777777" w:rsidR="00910C88" w:rsidRDefault="00910C88" w:rsidP="00910C88">
      <w:pPr>
        <w:pStyle w:val="ListParagraph"/>
        <w:numPr>
          <w:ilvl w:val="0"/>
          <w:numId w:val="5"/>
        </w:numPr>
        <w:spacing w:after="200" w:line="276" w:lineRule="auto"/>
      </w:pPr>
      <w:r w:rsidRPr="0042536F">
        <w:t>Example of Prior EI Final Report</w:t>
      </w:r>
    </w:p>
    <w:p w14:paraId="3CECE591" w14:textId="6EB9A761" w:rsidR="00713DDE" w:rsidRDefault="00FE0884" w:rsidP="00B86A20">
      <w:pPr>
        <w:pStyle w:val="ListParagraph"/>
        <w:numPr>
          <w:ilvl w:val="0"/>
          <w:numId w:val="5"/>
        </w:numPr>
        <w:spacing w:after="200" w:line="276" w:lineRule="auto"/>
      </w:pPr>
      <w:r>
        <w:t xml:space="preserve">Dimock </w:t>
      </w:r>
      <w:r w:rsidR="00713DDE" w:rsidRPr="0042536F">
        <w:t xml:space="preserve">EI </w:t>
      </w:r>
      <w:r w:rsidR="00126421">
        <w:t xml:space="preserve">ATSDR </w:t>
      </w:r>
      <w:r w:rsidR="00713DDE" w:rsidRPr="0042536F">
        <w:t xml:space="preserve">Research Determination  </w:t>
      </w:r>
    </w:p>
    <w:p w14:paraId="045015B4" w14:textId="4D6DD50B" w:rsidR="00D47BB3" w:rsidRPr="0042536F" w:rsidRDefault="00D47BB3" w:rsidP="00B86A20">
      <w:pPr>
        <w:pStyle w:val="ListParagraph"/>
        <w:numPr>
          <w:ilvl w:val="0"/>
          <w:numId w:val="5"/>
        </w:numPr>
        <w:spacing w:after="200" w:line="276" w:lineRule="auto"/>
      </w:pPr>
      <w:r>
        <w:t xml:space="preserve">Dimock EI </w:t>
      </w:r>
      <w:r w:rsidR="001C498F">
        <w:t>L</w:t>
      </w:r>
      <w:r>
        <w:t xml:space="preserve">etter of </w:t>
      </w:r>
      <w:r w:rsidR="00451B0D">
        <w:t xml:space="preserve">Invitation </w:t>
      </w:r>
      <w:r>
        <w:t xml:space="preserve">to </w:t>
      </w:r>
      <w:r w:rsidR="00451B0D">
        <w:t xml:space="preserve">Participate </w:t>
      </w:r>
      <w:r>
        <w:t xml:space="preserve">and </w:t>
      </w:r>
      <w:r w:rsidR="00451B0D">
        <w:t>Fact Sheet</w:t>
      </w:r>
      <w:r w:rsidR="00451B0D" w:rsidRPr="0042536F">
        <w:t xml:space="preserve"> </w:t>
      </w:r>
    </w:p>
    <w:p w14:paraId="587B0D3A" w14:textId="77777777" w:rsidR="0068233D" w:rsidRDefault="0068233D">
      <w:r>
        <w:t xml:space="preserve">  </w:t>
      </w:r>
    </w:p>
    <w:p w14:paraId="20C72746" w14:textId="4DA19350" w:rsidR="00A441FB" w:rsidRDefault="00233EDA" w:rsidP="008B61EF">
      <w:r>
        <w:br w:type="page"/>
      </w:r>
    </w:p>
    <w:bookmarkStart w:id="0" w:name="_Toc466636138"/>
    <w:bookmarkStart w:id="1" w:name="_Toc466636336"/>
    <w:bookmarkStart w:id="2" w:name="_Toc483922840"/>
    <w:p w14:paraId="133A7349" w14:textId="6E41CB5A" w:rsidR="00A441FB" w:rsidRDefault="0035718C" w:rsidP="00233EDA">
      <w:pPr>
        <w:pStyle w:val="Heading1"/>
      </w:pPr>
      <w:r>
        <w:rPr>
          <w:noProof/>
        </w:rPr>
        <w:lastRenderedPageBreak/>
        <mc:AlternateContent>
          <mc:Choice Requires="wps">
            <w:drawing>
              <wp:inline distT="0" distB="0" distL="0" distR="0" wp14:anchorId="6D233D2B" wp14:editId="2CAAFAEB">
                <wp:extent cx="5943600" cy="6568440"/>
                <wp:effectExtent l="0" t="0" r="19050" b="2286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68440"/>
                        </a:xfrm>
                        <a:prstGeom prst="rect">
                          <a:avLst/>
                        </a:prstGeom>
                        <a:solidFill>
                          <a:srgbClr val="FFFFFF"/>
                        </a:solidFill>
                        <a:ln w="9525">
                          <a:solidFill>
                            <a:srgbClr val="000000"/>
                          </a:solidFill>
                          <a:miter lim="800000"/>
                          <a:headEnd/>
                          <a:tailEnd/>
                        </a:ln>
                      </wps:spPr>
                      <wps:txbx>
                        <w:txbxContent>
                          <w:p w14:paraId="5B305194" w14:textId="784316B0" w:rsidR="00A831A2" w:rsidRDefault="00A831A2" w:rsidP="00773444">
                            <w:r>
                              <w:rPr>
                                <w:b/>
                              </w:rPr>
                              <w:t>Goal of the s</w:t>
                            </w:r>
                            <w:r w:rsidRPr="0056679B">
                              <w:rPr>
                                <w:b/>
                              </w:rPr>
                              <w:t>tudy:</w:t>
                            </w:r>
                            <w:r w:rsidRPr="0056679B">
                              <w:t xml:space="preserve"> </w:t>
                            </w:r>
                            <w:r>
                              <w:t xml:space="preserve"> </w:t>
                            </w:r>
                            <w:r w:rsidRPr="001842FD">
                              <w:t xml:space="preserve">The goals for the </w:t>
                            </w:r>
                            <w:r>
                              <w:t>Drinking Water Exposure Investigation (EI) in Dimock, PA are to test residential well water, bulk water sources and indoor air to assess ingestion and inhalation exposure pathways at specific Dimock residences. The Agency for Toxic Substances and Disease Registry (ATSDR) will perform the following actions:</w:t>
                            </w:r>
                          </w:p>
                          <w:p w14:paraId="22D0124D" w14:textId="77777777" w:rsidR="00A831A2" w:rsidRPr="001842FD" w:rsidRDefault="00A831A2" w:rsidP="00773444"/>
                          <w:p w14:paraId="67B688E8" w14:textId="77777777" w:rsidR="00A831A2" w:rsidRDefault="00A831A2" w:rsidP="00773444">
                            <w:pPr>
                              <w:pStyle w:val="s4"/>
                              <w:numPr>
                                <w:ilvl w:val="0"/>
                                <w:numId w:val="8"/>
                              </w:numPr>
                              <w:spacing w:before="0" w:beforeAutospacing="0" w:after="0" w:afterAutospacing="0"/>
                              <w:rPr>
                                <w:rStyle w:val="bumpedfont15"/>
                              </w:rPr>
                            </w:pPr>
                            <w:r>
                              <w:rPr>
                                <w:rStyle w:val="bumpedfont15"/>
                              </w:rPr>
                              <w:t xml:space="preserve">Test private well water (at the tap and raw groundwater), as well as supplied bulk water sources, for a list of contaminants associated with natural gas drilling methods. </w:t>
                            </w:r>
                          </w:p>
                          <w:p w14:paraId="60AF2CEE" w14:textId="3B0BA90F" w:rsidR="00A831A2" w:rsidRDefault="00A831A2" w:rsidP="00773444">
                            <w:pPr>
                              <w:pStyle w:val="s4"/>
                              <w:numPr>
                                <w:ilvl w:val="0"/>
                                <w:numId w:val="8"/>
                              </w:numPr>
                              <w:spacing w:before="0" w:beforeAutospacing="0" w:after="0" w:afterAutospacing="0"/>
                              <w:rPr>
                                <w:rStyle w:val="bumpedfont15"/>
                              </w:rPr>
                            </w:pPr>
                            <w:r>
                              <w:rPr>
                                <w:rStyle w:val="bumpedfont15"/>
                              </w:rPr>
                              <w:t>Monitor indoor air for total volatile organic compounds (VOCs) and combustible gas during water testing.</w:t>
                            </w:r>
                            <w:r>
                              <w:rPr>
                                <w:rStyle w:val="bumpedfont15"/>
                                <w:rFonts w:cs="Tahoma"/>
                              </w:rPr>
                              <w:t xml:space="preserve"> </w:t>
                            </w:r>
                          </w:p>
                          <w:p w14:paraId="3B5BA1F2" w14:textId="77777777" w:rsidR="00A831A2" w:rsidRDefault="00A831A2" w:rsidP="00773444">
                            <w:pPr>
                              <w:pStyle w:val="s4"/>
                              <w:numPr>
                                <w:ilvl w:val="0"/>
                                <w:numId w:val="8"/>
                              </w:numPr>
                              <w:spacing w:before="0" w:beforeAutospacing="0" w:after="0" w:afterAutospacing="0"/>
                              <w:rPr>
                                <w:rStyle w:val="bumpedfont15"/>
                              </w:rPr>
                            </w:pPr>
                            <w:r>
                              <w:rPr>
                                <w:rStyle w:val="bumpedfont15"/>
                              </w:rPr>
                              <w:t>Test water and indoor air for radon.</w:t>
                            </w:r>
                          </w:p>
                          <w:p w14:paraId="396CB132" w14:textId="77777777" w:rsidR="00A831A2" w:rsidRPr="0056679B" w:rsidRDefault="00A831A2" w:rsidP="00AB317D"/>
                          <w:p w14:paraId="7C1CD3EC" w14:textId="2EDCA170" w:rsidR="00A831A2" w:rsidRDefault="00A831A2" w:rsidP="006B3691">
                            <w:r w:rsidRPr="0056679B">
                              <w:rPr>
                                <w:b/>
                              </w:rPr>
                              <w:t xml:space="preserve">Intended </w:t>
                            </w:r>
                            <w:r>
                              <w:rPr>
                                <w:b/>
                              </w:rPr>
                              <w:t>u</w:t>
                            </w:r>
                            <w:r w:rsidRPr="0056679B">
                              <w:rPr>
                                <w:b/>
                              </w:rPr>
                              <w:t xml:space="preserve">se of the </w:t>
                            </w:r>
                            <w:r>
                              <w:rPr>
                                <w:b/>
                              </w:rPr>
                              <w:t>r</w:t>
                            </w:r>
                            <w:r w:rsidRPr="0056679B">
                              <w:rPr>
                                <w:b/>
                              </w:rPr>
                              <w:t xml:space="preserve">esulting </w:t>
                            </w:r>
                            <w:r>
                              <w:rPr>
                                <w:b/>
                              </w:rPr>
                              <w:t>d</w:t>
                            </w:r>
                            <w:r w:rsidRPr="0056679B">
                              <w:rPr>
                                <w:b/>
                              </w:rPr>
                              <w:t>ata</w:t>
                            </w:r>
                            <w:r w:rsidRPr="0056679B">
                              <w:t xml:space="preserve">: </w:t>
                            </w:r>
                            <w:r>
                              <w:rPr>
                                <w:rStyle w:val="bumpedfont15"/>
                              </w:rPr>
                              <w:t>Based on the results of the testing, ATSDR will provide recommendations to federal, state, and local officials, and homeowners to reduce risks from exposure to contaminants detected in residential well water, bulk water and indoor air.</w:t>
                            </w:r>
                          </w:p>
                          <w:p w14:paraId="15BA1D6C" w14:textId="77777777" w:rsidR="00A831A2" w:rsidRDefault="00A831A2" w:rsidP="00AB317D"/>
                          <w:p w14:paraId="76BB2B69" w14:textId="122023D2" w:rsidR="00A831A2" w:rsidRDefault="00A831A2" w:rsidP="00AB317D">
                            <w:r>
                              <w:rPr>
                                <w:b/>
                              </w:rPr>
                              <w:t>Methods to be used to c</w:t>
                            </w:r>
                            <w:r w:rsidRPr="0056679B">
                              <w:rPr>
                                <w:b/>
                              </w:rPr>
                              <w:t>ollect</w:t>
                            </w:r>
                            <w:r>
                              <w:t>: Homes will be sampled for:</w:t>
                            </w:r>
                          </w:p>
                          <w:p w14:paraId="4808830E" w14:textId="21D95893" w:rsidR="00A831A2" w:rsidRDefault="00A831A2" w:rsidP="00D962F5">
                            <w:pPr>
                              <w:pStyle w:val="ListParagraph"/>
                              <w:numPr>
                                <w:ilvl w:val="0"/>
                                <w:numId w:val="18"/>
                              </w:numPr>
                            </w:pPr>
                            <w:r>
                              <w:t>Private well water (at the tap and raw groundwater) for contaminants associated with natural gas activities in the area.</w:t>
                            </w:r>
                          </w:p>
                          <w:p w14:paraId="1F16E3C6" w14:textId="29DFF32C" w:rsidR="00A831A2" w:rsidRDefault="00A831A2" w:rsidP="00DC07F5">
                            <w:pPr>
                              <w:pStyle w:val="ListParagraph"/>
                              <w:numPr>
                                <w:ilvl w:val="0"/>
                                <w:numId w:val="18"/>
                              </w:numPr>
                            </w:pPr>
                            <w:r>
                              <w:t>Bulk supplied water will be tested for the same contaminants as private well water.</w:t>
                            </w:r>
                          </w:p>
                          <w:p w14:paraId="524DEC7D" w14:textId="0DD1E1F8" w:rsidR="00A831A2" w:rsidRPr="0056679B" w:rsidRDefault="00A831A2" w:rsidP="00AF51DD">
                            <w:pPr>
                              <w:pStyle w:val="ListParagraph"/>
                              <w:numPr>
                                <w:ilvl w:val="0"/>
                                <w:numId w:val="18"/>
                              </w:numPr>
                            </w:pPr>
                            <w:r>
                              <w:t>Indoor air will be assessed in the field for hazardous conditions during water sampling and radon test kits will be left in the home to sample radon.</w:t>
                            </w:r>
                          </w:p>
                          <w:p w14:paraId="057D5355" w14:textId="77777777" w:rsidR="00A831A2" w:rsidRPr="0056679B" w:rsidRDefault="00A831A2" w:rsidP="00AB317D"/>
                          <w:p w14:paraId="33F2A4D8" w14:textId="2BC07D44" w:rsidR="00A831A2" w:rsidRPr="0056679B" w:rsidRDefault="00A831A2" w:rsidP="00AB317D">
                            <w:r w:rsidRPr="00A51DF2">
                              <w:rPr>
                                <w:b/>
                              </w:rPr>
                              <w:t xml:space="preserve">Subpopulation to be </w:t>
                            </w:r>
                            <w:r>
                              <w:rPr>
                                <w:b/>
                              </w:rPr>
                              <w:t>s</w:t>
                            </w:r>
                            <w:r w:rsidRPr="00A51DF2">
                              <w:rPr>
                                <w:b/>
                              </w:rPr>
                              <w:t>tudied</w:t>
                            </w:r>
                            <w:r>
                              <w:t>: P</w:t>
                            </w:r>
                            <w:r w:rsidRPr="00A51DF2">
                              <w:t>rivate well water</w:t>
                            </w:r>
                            <w:r>
                              <w:t xml:space="preserve"> </w:t>
                            </w:r>
                            <w:r w:rsidRPr="00A51DF2">
                              <w:t>in 64 homes</w:t>
                            </w:r>
                            <w:r>
                              <w:t xml:space="preserve"> was tested by Environmental Protection Agency (EPA)</w:t>
                            </w:r>
                            <w:r w:rsidRPr="00A51DF2">
                              <w:t xml:space="preserve"> in 2012 for contaminants associated with natural gas drilling activities. </w:t>
                            </w:r>
                            <w:r w:rsidRPr="00275F48">
                              <w:t>Participants in this EI will be chosen from those included in the EPA 2012 sampling event; up to 20 of the 64 homes will be retested.</w:t>
                            </w:r>
                          </w:p>
                          <w:p w14:paraId="7EAAB873" w14:textId="77777777" w:rsidR="00A831A2" w:rsidRPr="0056679B" w:rsidRDefault="00A831A2" w:rsidP="00AB317D"/>
                          <w:p w14:paraId="35D2ACF4" w14:textId="06EDDD73" w:rsidR="00A831A2" w:rsidRDefault="00A831A2" w:rsidP="0035718C">
                            <w:r>
                              <w:rPr>
                                <w:b/>
                              </w:rPr>
                              <w:t>How Data will be a</w:t>
                            </w:r>
                            <w:r w:rsidRPr="001B26E3">
                              <w:rPr>
                                <w:b/>
                              </w:rPr>
                              <w:t>nalyzed</w:t>
                            </w:r>
                            <w:r>
                              <w:t xml:space="preserve">: The water samples will be analyzed by an accredited laboratory and results screened using ATSDR comparison values (CVs). Further evaluation of contaminants that exceed CVs will be completed to provide the basis for a public health evaluation. Radon will be screened against the EPA reporting limit. Appropriate recommendations will be made to reduce exposure of participants to contaminants from water and indoor air. Results of the bulk water samples will be used to ensure that the water supplied for participants is safe and appropriate. </w:t>
                            </w:r>
                          </w:p>
                        </w:txbxContent>
                      </wps:txbx>
                      <wps:bodyPr rot="0" vert="horz" wrap="square" lIns="91440" tIns="45720" rIns="91440" bIns="45720" anchor="t" anchorCtr="0">
                        <a:noAutofit/>
                      </wps:bodyPr>
                    </wps:wsp>
                  </a:graphicData>
                </a:graphic>
              </wp:inline>
            </w:drawing>
          </mc:Choice>
          <mc:Fallback>
            <w:pict>
              <v:shapetype w14:anchorId="6D233D2B" id="_x0000_t202" coordsize="21600,21600" o:spt="202" path="m,l,21600r21600,l21600,xe">
                <v:stroke joinstyle="miter"/>
                <v:path gradientshapeok="t" o:connecttype="rect"/>
              </v:shapetype>
              <v:shape id="Text Box 2" o:spid="_x0000_s1026" type="#_x0000_t202" style="width:468pt;height:5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">
                <v:textbox>
                  <w:txbxContent>
                    <w:p w14:paraId="5B305194" w14:textId="784316B0" w:rsidR="00A831A2" w:rsidRDefault="00A831A2" w:rsidP="00773444">
                      <w:r>
                        <w:rPr>
                          <w:b/>
                        </w:rPr>
                        <w:t>Goal of the s</w:t>
                      </w:r>
                      <w:r w:rsidRPr="0056679B">
                        <w:rPr>
                          <w:b/>
                        </w:rPr>
                        <w:t>tudy:</w:t>
                      </w:r>
                      <w:r w:rsidRPr="0056679B">
                        <w:t xml:space="preserve"> </w:t>
                      </w:r>
                      <w:r>
                        <w:t xml:space="preserve"> </w:t>
                      </w:r>
                      <w:r w:rsidRPr="001842FD">
                        <w:t xml:space="preserve">The goals for the </w:t>
                      </w:r>
                      <w:r>
                        <w:t>Drinking Water Exposure Investigation (EI) in Dimock, PA are to test residential well water, bulk water sources and indoor air to assess ingestion and inhalation exposure pathways at specific Dimock residences. The Agency for Toxic Substances and Disease Registry (ATSDR) will perform the following actions:</w:t>
                      </w:r>
                    </w:p>
                    <w:p w14:paraId="22D0124D" w14:textId="77777777" w:rsidR="00A831A2" w:rsidRPr="001842FD" w:rsidRDefault="00A831A2" w:rsidP="00773444"/>
                    <w:p w14:paraId="67B688E8" w14:textId="77777777" w:rsidR="00A831A2" w:rsidRDefault="00A831A2" w:rsidP="00773444">
                      <w:pPr>
                        <w:pStyle w:val="s4"/>
                        <w:numPr>
                          <w:ilvl w:val="0"/>
                          <w:numId w:val="8"/>
                        </w:numPr>
                        <w:spacing w:before="0" w:beforeAutospacing="0" w:after="0" w:afterAutospacing="0"/>
                        <w:rPr>
                          <w:rStyle w:val="bumpedfont15"/>
                        </w:rPr>
                      </w:pPr>
                      <w:r>
                        <w:rPr>
                          <w:rStyle w:val="bumpedfont15"/>
                        </w:rPr>
                        <w:t xml:space="preserve">Test private well water (at the tap and raw groundwater), as well as supplied bulk water sources, for a list of contaminants associated with natural gas drilling methods. </w:t>
                      </w:r>
                    </w:p>
                    <w:p w14:paraId="60AF2CEE" w14:textId="3B0BA90F" w:rsidR="00A831A2" w:rsidRDefault="00A831A2" w:rsidP="00773444">
                      <w:pPr>
                        <w:pStyle w:val="s4"/>
                        <w:numPr>
                          <w:ilvl w:val="0"/>
                          <w:numId w:val="8"/>
                        </w:numPr>
                        <w:spacing w:before="0" w:beforeAutospacing="0" w:after="0" w:afterAutospacing="0"/>
                        <w:rPr>
                          <w:rStyle w:val="bumpedfont15"/>
                        </w:rPr>
                      </w:pPr>
                      <w:r>
                        <w:rPr>
                          <w:rStyle w:val="bumpedfont15"/>
                        </w:rPr>
                        <w:t>Monitor indoor air for total volatile organic compounds (VOCs) and combustible gas during water testing.</w:t>
                      </w:r>
                      <w:r>
                        <w:rPr>
                          <w:rStyle w:val="bumpedfont15"/>
                          <w:rFonts w:cs="Tahoma"/>
                        </w:rPr>
                        <w:t xml:space="preserve"> </w:t>
                      </w:r>
                    </w:p>
                    <w:p w14:paraId="3B5BA1F2" w14:textId="77777777" w:rsidR="00A831A2" w:rsidRDefault="00A831A2" w:rsidP="00773444">
                      <w:pPr>
                        <w:pStyle w:val="s4"/>
                        <w:numPr>
                          <w:ilvl w:val="0"/>
                          <w:numId w:val="8"/>
                        </w:numPr>
                        <w:spacing w:before="0" w:beforeAutospacing="0" w:after="0" w:afterAutospacing="0"/>
                        <w:rPr>
                          <w:rStyle w:val="bumpedfont15"/>
                        </w:rPr>
                      </w:pPr>
                      <w:r>
                        <w:rPr>
                          <w:rStyle w:val="bumpedfont15"/>
                        </w:rPr>
                        <w:t>Test water and indoor air for radon.</w:t>
                      </w:r>
                    </w:p>
                    <w:p w14:paraId="396CB132" w14:textId="77777777" w:rsidR="00A831A2" w:rsidRPr="0056679B" w:rsidRDefault="00A831A2" w:rsidP="00AB317D"/>
                    <w:p w14:paraId="7C1CD3EC" w14:textId="2EDCA170" w:rsidR="00A831A2" w:rsidRDefault="00A831A2" w:rsidP="006B3691">
                      <w:r w:rsidRPr="0056679B">
                        <w:rPr>
                          <w:b/>
                        </w:rPr>
                        <w:t xml:space="preserve">Intended </w:t>
                      </w:r>
                      <w:r>
                        <w:rPr>
                          <w:b/>
                        </w:rPr>
                        <w:t>u</w:t>
                      </w:r>
                      <w:r w:rsidRPr="0056679B">
                        <w:rPr>
                          <w:b/>
                        </w:rPr>
                        <w:t xml:space="preserve">se of the </w:t>
                      </w:r>
                      <w:r>
                        <w:rPr>
                          <w:b/>
                        </w:rPr>
                        <w:t>r</w:t>
                      </w:r>
                      <w:r w:rsidRPr="0056679B">
                        <w:rPr>
                          <w:b/>
                        </w:rPr>
                        <w:t xml:space="preserve">esulting </w:t>
                      </w:r>
                      <w:r>
                        <w:rPr>
                          <w:b/>
                        </w:rPr>
                        <w:t>d</w:t>
                      </w:r>
                      <w:r w:rsidRPr="0056679B">
                        <w:rPr>
                          <w:b/>
                        </w:rPr>
                        <w:t>ata</w:t>
                      </w:r>
                      <w:r w:rsidRPr="0056679B">
                        <w:t xml:space="preserve">: </w:t>
                      </w:r>
                      <w:r>
                        <w:rPr>
                          <w:rStyle w:val="bumpedfont15"/>
                        </w:rPr>
                        <w:t>Based on the results of the testing, ATSDR will provide recommendations to federal, state, and local officials, and homeowners to reduce risks from exposure to contaminants detected in residential well water, bulk water and indoor air.</w:t>
                      </w:r>
                    </w:p>
                    <w:p w14:paraId="15BA1D6C" w14:textId="77777777" w:rsidR="00A831A2" w:rsidRDefault="00A831A2" w:rsidP="00AB317D"/>
                    <w:p w14:paraId="76BB2B69" w14:textId="122023D2" w:rsidR="00A831A2" w:rsidRDefault="00A831A2" w:rsidP="00AB317D">
                      <w:r>
                        <w:rPr>
                          <w:b/>
                        </w:rPr>
                        <w:t>Methods to be used to c</w:t>
                      </w:r>
                      <w:r w:rsidRPr="0056679B">
                        <w:rPr>
                          <w:b/>
                        </w:rPr>
                        <w:t>ollect</w:t>
                      </w:r>
                      <w:r>
                        <w:t>: Homes will be sampled for:</w:t>
                      </w:r>
                    </w:p>
                    <w:p w14:paraId="4808830E" w14:textId="21D95893" w:rsidR="00A831A2" w:rsidRDefault="00A831A2" w:rsidP="00D962F5">
                      <w:pPr>
                        <w:pStyle w:val="ListParagraph"/>
                        <w:numPr>
                          <w:ilvl w:val="0"/>
                          <w:numId w:val="18"/>
                        </w:numPr>
                      </w:pPr>
                      <w:r>
                        <w:t>Private well water (at the tap and raw groundwater) for contaminants associated with natural gas activities in the area.</w:t>
                      </w:r>
                    </w:p>
                    <w:p w14:paraId="1F16E3C6" w14:textId="29DFF32C" w:rsidR="00A831A2" w:rsidRDefault="00A831A2" w:rsidP="00DC07F5">
                      <w:pPr>
                        <w:pStyle w:val="ListParagraph"/>
                        <w:numPr>
                          <w:ilvl w:val="0"/>
                          <w:numId w:val="18"/>
                        </w:numPr>
                      </w:pPr>
                      <w:r>
                        <w:t>Bulk supplied water will be tested for the same contaminants as private well water.</w:t>
                      </w:r>
                    </w:p>
                    <w:p w14:paraId="524DEC7D" w14:textId="0DD1E1F8" w:rsidR="00A831A2" w:rsidRPr="0056679B" w:rsidRDefault="00A831A2" w:rsidP="00AF51DD">
                      <w:pPr>
                        <w:pStyle w:val="ListParagraph"/>
                        <w:numPr>
                          <w:ilvl w:val="0"/>
                          <w:numId w:val="18"/>
                        </w:numPr>
                      </w:pPr>
                      <w:r>
                        <w:t>Indoor air will be assessed in the field for hazardous conditions during water sampling and radon test kits will be left in the home to sample radon.</w:t>
                      </w:r>
                    </w:p>
                    <w:p w14:paraId="057D5355" w14:textId="77777777" w:rsidR="00A831A2" w:rsidRPr="0056679B" w:rsidRDefault="00A831A2" w:rsidP="00AB317D"/>
                    <w:p w14:paraId="33F2A4D8" w14:textId="2BC07D44" w:rsidR="00A831A2" w:rsidRPr="0056679B" w:rsidRDefault="00A831A2" w:rsidP="00AB317D">
                      <w:r w:rsidRPr="00A51DF2">
                        <w:rPr>
                          <w:b/>
                        </w:rPr>
                        <w:t xml:space="preserve">Subpopulation to be </w:t>
                      </w:r>
                      <w:r>
                        <w:rPr>
                          <w:b/>
                        </w:rPr>
                        <w:t>s</w:t>
                      </w:r>
                      <w:r w:rsidRPr="00A51DF2">
                        <w:rPr>
                          <w:b/>
                        </w:rPr>
                        <w:t>tudied</w:t>
                      </w:r>
                      <w:r>
                        <w:t>: P</w:t>
                      </w:r>
                      <w:r w:rsidRPr="00A51DF2">
                        <w:t>rivate well water</w:t>
                      </w:r>
                      <w:r>
                        <w:t xml:space="preserve"> </w:t>
                      </w:r>
                      <w:r w:rsidRPr="00A51DF2">
                        <w:t>in 64 homes</w:t>
                      </w:r>
                      <w:r>
                        <w:t xml:space="preserve"> was tested by Environmental Protection Agency (EPA)</w:t>
                      </w:r>
                      <w:r w:rsidRPr="00A51DF2">
                        <w:t xml:space="preserve"> in 2012 for contaminants associated with natural gas drilling activities. </w:t>
                      </w:r>
                      <w:r w:rsidRPr="00275F48">
                        <w:t>Participants in this EI will be chosen from those included in the EPA 2012 sampling event; up to 20 of the 64 homes will be retested.</w:t>
                      </w:r>
                    </w:p>
                    <w:p w14:paraId="7EAAB873" w14:textId="77777777" w:rsidR="00A831A2" w:rsidRPr="0056679B" w:rsidRDefault="00A831A2" w:rsidP="00AB317D"/>
                    <w:p w14:paraId="35D2ACF4" w14:textId="06EDDD73" w:rsidR="00A831A2" w:rsidRDefault="00A831A2" w:rsidP="0035718C">
                      <w:r>
                        <w:rPr>
                          <w:b/>
                        </w:rPr>
                        <w:t>How Data will be a</w:t>
                      </w:r>
                      <w:r w:rsidRPr="001B26E3">
                        <w:rPr>
                          <w:b/>
                        </w:rPr>
                        <w:t>nalyzed</w:t>
                      </w:r>
                      <w:r>
                        <w:t xml:space="preserve">: The water samples will be analyzed by an accredited laboratory and results screened using ATSDR comparison values (CVs). Further evaluation of contaminants that exceed CVs will be completed to provide the basis for a public health evaluation. Radon will be screened against the EPA reporting limit. Appropriate recommendations will be made to reduce exposure of participants to contaminants from water and indoor air. Results of the bulk water samples will be used to ensure that the water supplied for participants is safe and appropriate. </w:t>
                      </w:r>
                    </w:p>
                  </w:txbxContent>
                </v:textbox>
                <w10:anchorlock/>
              </v:shape>
            </w:pict>
          </mc:Fallback>
        </mc:AlternateContent>
      </w:r>
      <w:bookmarkEnd w:id="0"/>
      <w:bookmarkEnd w:id="1"/>
      <w:bookmarkEnd w:id="2"/>
    </w:p>
    <w:p w14:paraId="786DDF2D" w14:textId="77777777" w:rsidR="005940F4" w:rsidRDefault="005940F4">
      <w:pPr>
        <w:rPr>
          <w:rFonts w:asciiTheme="majorHAnsi" w:eastAsiaTheme="majorEastAsia" w:hAnsiTheme="majorHAnsi" w:cstheme="majorBidi"/>
          <w:b/>
          <w:bCs/>
          <w:color w:val="365F91" w:themeColor="accent1" w:themeShade="BF"/>
          <w:sz w:val="28"/>
          <w:szCs w:val="28"/>
        </w:rPr>
      </w:pPr>
      <w:r>
        <w:br w:type="page"/>
      </w:r>
    </w:p>
    <w:p w14:paraId="2A7B3EE2" w14:textId="19735418" w:rsidR="00EC4AE2" w:rsidRPr="00B721F2" w:rsidRDefault="00312D79" w:rsidP="001C226F">
      <w:pPr>
        <w:pStyle w:val="Heading1"/>
        <w:rPr>
          <w:rFonts w:ascii="Times New Roman" w:hAnsi="Times New Roman" w:cs="Times New Roman"/>
        </w:rPr>
      </w:pPr>
      <w:bookmarkStart w:id="3" w:name="_Toc483922841"/>
      <w:r w:rsidRPr="00B721F2">
        <w:rPr>
          <w:rFonts w:ascii="Times New Roman" w:hAnsi="Times New Roman" w:cs="Times New Roman"/>
        </w:rPr>
        <w:lastRenderedPageBreak/>
        <w:t>A. Justification</w:t>
      </w:r>
      <w:bookmarkEnd w:id="3"/>
    </w:p>
    <w:p w14:paraId="55283E8A" w14:textId="3F450EF6" w:rsidR="00311E38" w:rsidRPr="00B721F2" w:rsidRDefault="00DE0214" w:rsidP="001C226F">
      <w:pPr>
        <w:pStyle w:val="Heading2"/>
        <w:rPr>
          <w:rFonts w:ascii="Times New Roman" w:hAnsi="Times New Roman" w:cs="Times New Roman"/>
        </w:rPr>
      </w:pPr>
      <w:bookmarkStart w:id="4" w:name="_Toc483922842"/>
      <w:r w:rsidRPr="00B721F2">
        <w:rPr>
          <w:rFonts w:ascii="Times New Roman" w:hAnsi="Times New Roman" w:cs="Times New Roman"/>
        </w:rPr>
        <w:t>A.1 Circumstances Making the Collection of Information Necessary</w:t>
      </w:r>
      <w:bookmarkEnd w:id="4"/>
    </w:p>
    <w:p w14:paraId="03F41731" w14:textId="77777777" w:rsidR="00073047" w:rsidRPr="003E4C15" w:rsidRDefault="00073047" w:rsidP="004C7B15"/>
    <w:p w14:paraId="64603AED" w14:textId="664116EB" w:rsidR="00363D95" w:rsidRDefault="00BC290E" w:rsidP="000E6B17">
      <w:pPr>
        <w:spacing w:after="100" w:afterAutospacing="1" w:line="360" w:lineRule="auto"/>
        <w:rPr>
          <w:bCs/>
        </w:rPr>
      </w:pPr>
      <w:r>
        <w:rPr>
          <w:bCs/>
        </w:rPr>
        <w:t xml:space="preserve">This data collection is being conducted using the Generic Information Collection mechanism of the </w:t>
      </w:r>
      <w:r w:rsidR="000244F3">
        <w:rPr>
          <w:bCs/>
        </w:rPr>
        <w:t>Agency for Toxic Substances an</w:t>
      </w:r>
      <w:r w:rsidR="005452C7">
        <w:rPr>
          <w:bCs/>
        </w:rPr>
        <w:t>d</w:t>
      </w:r>
      <w:r w:rsidR="000244F3">
        <w:rPr>
          <w:bCs/>
        </w:rPr>
        <w:t xml:space="preserve"> Disease Registry (</w:t>
      </w:r>
      <w:r>
        <w:rPr>
          <w:bCs/>
        </w:rPr>
        <w:t>ATSDR</w:t>
      </w:r>
      <w:r w:rsidR="000244F3">
        <w:rPr>
          <w:bCs/>
        </w:rPr>
        <w:t>)</w:t>
      </w:r>
      <w:r>
        <w:rPr>
          <w:bCs/>
        </w:rPr>
        <w:t xml:space="preserve"> Exposure Investigations (EIs) – OMB </w:t>
      </w:r>
      <w:r w:rsidR="00EB2D9F">
        <w:rPr>
          <w:bCs/>
        </w:rPr>
        <w:t xml:space="preserve">Control </w:t>
      </w:r>
      <w:r>
        <w:rPr>
          <w:bCs/>
        </w:rPr>
        <w:t>No.0923-0048</w:t>
      </w:r>
      <w:r w:rsidR="00EB2D9F">
        <w:rPr>
          <w:bCs/>
        </w:rPr>
        <w:t>,</w:t>
      </w:r>
      <w:r w:rsidR="00E734E7">
        <w:rPr>
          <w:bCs/>
        </w:rPr>
        <w:t xml:space="preserve"> </w:t>
      </w:r>
      <w:r w:rsidR="00E734E7" w:rsidRPr="0069306C">
        <w:rPr>
          <w:bCs/>
        </w:rPr>
        <w:t>exp</w:t>
      </w:r>
      <w:r w:rsidR="000B7F02" w:rsidRPr="0069306C">
        <w:rPr>
          <w:bCs/>
        </w:rPr>
        <w:t>iration date</w:t>
      </w:r>
      <w:r w:rsidR="00E734E7" w:rsidRPr="0069306C">
        <w:rPr>
          <w:bCs/>
        </w:rPr>
        <w:t xml:space="preserve"> </w:t>
      </w:r>
      <w:r w:rsidR="005452C7" w:rsidRPr="0069306C">
        <w:rPr>
          <w:bCs/>
        </w:rPr>
        <w:t>3</w:t>
      </w:r>
      <w:r w:rsidR="00E734E7" w:rsidRPr="0069306C">
        <w:rPr>
          <w:bCs/>
        </w:rPr>
        <w:t>/31/201</w:t>
      </w:r>
      <w:r w:rsidR="005452C7" w:rsidRPr="0069306C">
        <w:rPr>
          <w:bCs/>
        </w:rPr>
        <w:t>9</w:t>
      </w:r>
      <w:r w:rsidRPr="0069306C">
        <w:rPr>
          <w:bCs/>
        </w:rPr>
        <w:t>.</w:t>
      </w:r>
      <w:r>
        <w:rPr>
          <w:bCs/>
        </w:rPr>
        <w:t xml:space="preserve"> The data collection for the </w:t>
      </w:r>
      <w:r w:rsidR="008B1566">
        <w:rPr>
          <w:rStyle w:val="Strong"/>
          <w:b w:val="0"/>
        </w:rPr>
        <w:t xml:space="preserve">Dimock </w:t>
      </w:r>
      <w:r w:rsidR="00FB3366">
        <w:rPr>
          <w:rStyle w:val="Strong"/>
          <w:b w:val="0"/>
        </w:rPr>
        <w:t>Drinking Water</w:t>
      </w:r>
      <w:r>
        <w:rPr>
          <w:bCs/>
        </w:rPr>
        <w:t xml:space="preserve"> EI aligns with the </w:t>
      </w:r>
      <w:r w:rsidR="00827296">
        <w:rPr>
          <w:bCs/>
        </w:rPr>
        <w:t>a</w:t>
      </w:r>
      <w:r w:rsidR="00905D07">
        <w:rPr>
          <w:bCs/>
        </w:rPr>
        <w:t xml:space="preserve">gency’s </w:t>
      </w:r>
      <w:r>
        <w:rPr>
          <w:bCs/>
        </w:rPr>
        <w:t>mission</w:t>
      </w:r>
      <w:r w:rsidR="008E654C">
        <w:rPr>
          <w:bCs/>
        </w:rPr>
        <w:t>.</w:t>
      </w:r>
      <w:r w:rsidR="00F47097">
        <w:rPr>
          <w:bCs/>
        </w:rPr>
        <w:t xml:space="preserve"> </w:t>
      </w:r>
      <w:r w:rsidR="006D78E2" w:rsidRPr="00275F48">
        <w:rPr>
          <w:bCs/>
        </w:rPr>
        <w:t>Paperwork Reduction Act (PRA) clearance for</w:t>
      </w:r>
      <w:r w:rsidR="00510CDA" w:rsidRPr="00275F48">
        <w:rPr>
          <w:bCs/>
        </w:rPr>
        <w:t xml:space="preserve"> this</w:t>
      </w:r>
      <w:r w:rsidR="006D78E2" w:rsidRPr="00275F48">
        <w:rPr>
          <w:bCs/>
        </w:rPr>
        <w:t xml:space="preserve"> GenIC needs to be in place </w:t>
      </w:r>
      <w:r w:rsidR="00451B0D" w:rsidRPr="00275F48">
        <w:rPr>
          <w:bCs/>
        </w:rPr>
        <w:t xml:space="preserve">by June </w:t>
      </w:r>
      <w:r w:rsidR="00A259D9" w:rsidRPr="00275F48">
        <w:rPr>
          <w:bCs/>
        </w:rPr>
        <w:t>28, 2017</w:t>
      </w:r>
      <w:r w:rsidR="00D94BF1" w:rsidRPr="00275F48">
        <w:rPr>
          <w:bCs/>
        </w:rPr>
        <w:t xml:space="preserve"> as</w:t>
      </w:r>
      <w:r w:rsidR="00577A8A" w:rsidRPr="00275F48">
        <w:rPr>
          <w:bCs/>
        </w:rPr>
        <w:t xml:space="preserve"> </w:t>
      </w:r>
      <w:r w:rsidR="00F47097" w:rsidRPr="00275F48">
        <w:rPr>
          <w:bCs/>
        </w:rPr>
        <w:t>A</w:t>
      </w:r>
      <w:r w:rsidR="006D78E2" w:rsidRPr="00275F48">
        <w:rPr>
          <w:bCs/>
        </w:rPr>
        <w:t xml:space="preserve">TSDR is committed </w:t>
      </w:r>
      <w:r w:rsidR="00F47097" w:rsidRPr="00275F48">
        <w:rPr>
          <w:bCs/>
        </w:rPr>
        <w:t xml:space="preserve">to </w:t>
      </w:r>
      <w:r w:rsidR="00275F48">
        <w:rPr>
          <w:bCs/>
        </w:rPr>
        <w:t>conduct a pre-testing visit</w:t>
      </w:r>
      <w:r w:rsidR="008E654C" w:rsidRPr="00275F48">
        <w:rPr>
          <w:bCs/>
        </w:rPr>
        <w:t xml:space="preserve"> </w:t>
      </w:r>
      <w:r w:rsidR="00275F48">
        <w:rPr>
          <w:bCs/>
        </w:rPr>
        <w:t xml:space="preserve">in </w:t>
      </w:r>
      <w:r w:rsidR="00A259D9" w:rsidRPr="00275F48">
        <w:rPr>
          <w:bCs/>
        </w:rPr>
        <w:t>early J</w:t>
      </w:r>
      <w:r w:rsidR="008E654C" w:rsidRPr="00275F48">
        <w:rPr>
          <w:bCs/>
        </w:rPr>
        <w:t>uly 2017</w:t>
      </w:r>
      <w:r w:rsidR="006D78E2" w:rsidRPr="00275F48">
        <w:rPr>
          <w:bCs/>
        </w:rPr>
        <w:t>.</w:t>
      </w:r>
      <w:r w:rsidR="00F47097">
        <w:rPr>
          <w:bCs/>
        </w:rPr>
        <w:t xml:space="preserve"> </w:t>
      </w:r>
    </w:p>
    <w:p w14:paraId="5AC19267" w14:textId="77777777" w:rsidR="00363D95" w:rsidRDefault="00363D95" w:rsidP="000E6B17">
      <w:pPr>
        <w:spacing w:after="100" w:afterAutospacing="1" w:line="360" w:lineRule="auto"/>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14:paraId="2DDEF942" w14:textId="7F7466B1" w:rsidR="003175E2" w:rsidRPr="007F6ADC" w:rsidRDefault="003175E2" w:rsidP="000E6B17">
      <w:pPr>
        <w:spacing w:after="100" w:afterAutospacing="1" w:line="360" w:lineRule="auto"/>
        <w:rPr>
          <w:color w:val="000000"/>
          <w:szCs w:val="20"/>
        </w:rPr>
      </w:pPr>
      <w:r>
        <w:rPr>
          <w:color w:val="000000"/>
          <w:szCs w:val="20"/>
        </w:rPr>
        <w:t xml:space="preserve">The Exposure Investigation will be conducted in summer 2017. It is important for the testing to be completed in a timely manner to ensure that </w:t>
      </w:r>
      <w:r w:rsidR="000401DC">
        <w:rPr>
          <w:color w:val="000000"/>
          <w:szCs w:val="20"/>
        </w:rPr>
        <w:t xml:space="preserve">any </w:t>
      </w:r>
      <w:r>
        <w:rPr>
          <w:color w:val="000000"/>
          <w:szCs w:val="20"/>
        </w:rPr>
        <w:t xml:space="preserve">public health issues associated with drinking water in the Dimock area are identified and recommendations can be made to reduce exposure. </w:t>
      </w:r>
    </w:p>
    <w:p w14:paraId="4F1A605E" w14:textId="77777777" w:rsidR="00BC290E" w:rsidRDefault="00BC290E" w:rsidP="007E5790"/>
    <w:p w14:paraId="41EFE604" w14:textId="77777777" w:rsidR="005B1CE6" w:rsidRPr="00B721F2" w:rsidRDefault="005B1CE6" w:rsidP="007E5790">
      <w:pPr>
        <w:rPr>
          <w:rStyle w:val="Strong"/>
          <w:color w:val="4F81BD"/>
        </w:rPr>
      </w:pPr>
      <w:r w:rsidRPr="00B721F2">
        <w:rPr>
          <w:rStyle w:val="Strong"/>
          <w:color w:val="4F81BD"/>
        </w:rPr>
        <w:t>ATSDR Public Health Assessment Process</w:t>
      </w:r>
      <w:r w:rsidR="00C15C5B" w:rsidRPr="00B721F2">
        <w:rPr>
          <w:rStyle w:val="Strong"/>
          <w:color w:val="4F81BD"/>
        </w:rPr>
        <w:t xml:space="preserve"> and the Role of the Exposure Investigation</w:t>
      </w:r>
    </w:p>
    <w:p w14:paraId="2B580890" w14:textId="77777777" w:rsidR="005B1CE6" w:rsidRDefault="005B1CE6" w:rsidP="007E5790">
      <w:pPr>
        <w:rPr>
          <w:color w:val="000000"/>
        </w:rPr>
      </w:pPr>
    </w:p>
    <w:p w14:paraId="3C5A4A06" w14:textId="77777777" w:rsidR="006510CF" w:rsidRDefault="006510CF" w:rsidP="006510CF">
      <w:pPr>
        <w:spacing w:after="120" w:line="360" w:lineRule="auto"/>
      </w:pPr>
      <w:r>
        <w:rPr>
          <w:bCs/>
        </w:rPr>
        <w:t xml:space="preserve">As part of the Public Health Assessment (PHA) process, ATSDR conducts </w:t>
      </w:r>
      <w:r w:rsidRPr="00EE0250">
        <w:rPr>
          <w:bCs/>
        </w:rPr>
        <w:t xml:space="preserve">Exposure Investigations (EIs) </w:t>
      </w:r>
      <w:r>
        <w:rPr>
          <w:bCs/>
        </w:rPr>
        <w:t xml:space="preserve">to perform </w:t>
      </w:r>
      <w:r w:rsidRPr="00EE0250">
        <w:rPr>
          <w:bCs/>
        </w:rPr>
        <w:t xml:space="preserve">targeted biologic and environmental sampling to </w:t>
      </w:r>
      <w:r w:rsidRPr="00EE0250">
        <w:rPr>
          <w:bCs/>
          <w:i/>
        </w:rPr>
        <w:t xml:space="preserve">determine whether people </w:t>
      </w:r>
      <w:r w:rsidRPr="00EE0250">
        <w:rPr>
          <w:i/>
        </w:rPr>
        <w:t xml:space="preserve">are or have been exposed to unusual levels of pollutants at specific locations </w:t>
      </w:r>
      <w:r w:rsidRPr="00EE0250">
        <w:t>(e.g., where people live, spend leisure time, or anywhere they might come into contact with contaminants under investigation). ATSDR uses EIs to fill data gap</w:t>
      </w:r>
      <w:r>
        <w:t>s</w:t>
      </w:r>
      <w:r w:rsidRPr="00EE0250">
        <w:t xml:space="preserve"> that </w:t>
      </w:r>
      <w:r>
        <w:t>are</w:t>
      </w:r>
      <w:r w:rsidRPr="00EE0250">
        <w:t xml:space="preserve"> essential for evaluating community exposure pathways and determining if a health hazard is present.  The EI team conducts environmental and/or biological</w:t>
      </w:r>
      <w:r>
        <w:t xml:space="preserve"> sampling</w:t>
      </w:r>
      <w:r w:rsidRPr="00EE0250">
        <w:t xml:space="preserve"> focused on areas where exposures are expected to be high. </w:t>
      </w:r>
    </w:p>
    <w:p w14:paraId="3B6B877B" w14:textId="2739467D" w:rsidR="006510CF" w:rsidRPr="00B721F2" w:rsidRDefault="006510CF" w:rsidP="006510CF">
      <w:pPr>
        <w:spacing w:after="120" w:line="360" w:lineRule="auto"/>
        <w:rPr>
          <w:rStyle w:val="Strong"/>
          <w:color w:val="4F81BD" w:themeColor="accent1"/>
        </w:rPr>
      </w:pPr>
      <w:r w:rsidRPr="00B721F2">
        <w:rPr>
          <w:rStyle w:val="Strong"/>
          <w:color w:val="4F81BD" w:themeColor="accent1"/>
        </w:rPr>
        <w:t>Contamination in Dimock, PA</w:t>
      </w:r>
    </w:p>
    <w:p w14:paraId="662D1AE9" w14:textId="6A5333FE" w:rsidR="000A4715" w:rsidRDefault="00180564" w:rsidP="000E6B17">
      <w:pPr>
        <w:pStyle w:val="s4"/>
        <w:spacing w:before="0" w:beforeAutospacing="0" w:line="360" w:lineRule="auto"/>
        <w:rPr>
          <w:rStyle w:val="bumpedfont15"/>
        </w:rPr>
      </w:pPr>
      <w:r w:rsidRPr="00DB4198">
        <w:rPr>
          <w:rStyle w:val="bumpedfont15"/>
        </w:rPr>
        <w:t xml:space="preserve">Unconventional natural gas drilling activities have been ongoing in the Dimock area for nearly 10 years. </w:t>
      </w:r>
      <w:r w:rsidR="00943E1D">
        <w:rPr>
          <w:rStyle w:val="bumpedfont15"/>
        </w:rPr>
        <w:t xml:space="preserve">In 2012, EPA sampled private wells </w:t>
      </w:r>
      <w:r w:rsidR="00016E47">
        <w:rPr>
          <w:rStyle w:val="bumpedfont15"/>
        </w:rPr>
        <w:t>at</w:t>
      </w:r>
      <w:r w:rsidR="00943E1D">
        <w:rPr>
          <w:rStyle w:val="bumpedfont15"/>
        </w:rPr>
        <w:t xml:space="preserve"> 64 residences in the Dimock area </w:t>
      </w:r>
      <w:r w:rsidR="006E6841">
        <w:rPr>
          <w:rStyle w:val="bumpedfont15"/>
        </w:rPr>
        <w:t xml:space="preserve">and requested ATSDR assistance in the analysis of the sampling results. </w:t>
      </w:r>
      <w:r w:rsidR="000A4715">
        <w:rPr>
          <w:rStyle w:val="bumpedfont15"/>
        </w:rPr>
        <w:t xml:space="preserve">In 2016, </w:t>
      </w:r>
      <w:r w:rsidR="006E6841">
        <w:rPr>
          <w:rStyle w:val="bumpedfont15"/>
        </w:rPr>
        <w:t>ATSDR</w:t>
      </w:r>
      <w:r w:rsidR="00FC1DAF">
        <w:rPr>
          <w:rStyle w:val="bumpedfont15"/>
        </w:rPr>
        <w:t xml:space="preserve"> </w:t>
      </w:r>
      <w:r w:rsidR="00016E47">
        <w:rPr>
          <w:rStyle w:val="bumpedfont15"/>
        </w:rPr>
        <w:t>prepared</w:t>
      </w:r>
      <w:r w:rsidR="00FC1DAF">
        <w:rPr>
          <w:rStyle w:val="bumpedfont15"/>
        </w:rPr>
        <w:t xml:space="preserve"> </w:t>
      </w:r>
      <w:r w:rsidR="000A4715">
        <w:rPr>
          <w:rStyle w:val="bumpedfont15"/>
        </w:rPr>
        <w:t xml:space="preserve">a Health </w:t>
      </w:r>
      <w:r w:rsidR="000A4715">
        <w:rPr>
          <w:rStyle w:val="bumpedfont15"/>
        </w:rPr>
        <w:lastRenderedPageBreak/>
        <w:t xml:space="preserve">Consultation (HC) </w:t>
      </w:r>
      <w:r w:rsidR="00FC1DAF">
        <w:rPr>
          <w:rStyle w:val="bumpedfont15"/>
        </w:rPr>
        <w:t>for the private well water data collected during the EPA 2012 sampling event (ATSDR 2016)</w:t>
      </w:r>
      <w:r w:rsidR="000A4715">
        <w:rPr>
          <w:rStyle w:val="bumpedfont15"/>
        </w:rPr>
        <w:t xml:space="preserve">. The </w:t>
      </w:r>
      <w:r w:rsidR="006E6841">
        <w:rPr>
          <w:rStyle w:val="bumpedfont15"/>
        </w:rPr>
        <w:t xml:space="preserve">2016 HC included the following </w:t>
      </w:r>
      <w:r w:rsidR="000A4715">
        <w:rPr>
          <w:rStyle w:val="bumpedfont15"/>
        </w:rPr>
        <w:t>recommendations:</w:t>
      </w:r>
    </w:p>
    <w:p w14:paraId="32D5324B" w14:textId="77777777" w:rsidR="006E6841" w:rsidRDefault="006E6841" w:rsidP="006E6841">
      <w:pPr>
        <w:pStyle w:val="s4"/>
        <w:numPr>
          <w:ilvl w:val="0"/>
          <w:numId w:val="10"/>
        </w:numPr>
        <w:spacing w:before="0" w:beforeAutospacing="0" w:after="0" w:afterAutospacing="0" w:line="360" w:lineRule="auto"/>
        <w:rPr>
          <w:rStyle w:val="bumpedfont15"/>
        </w:rPr>
      </w:pPr>
      <w:r>
        <w:rPr>
          <w:rStyle w:val="bumpedfont15"/>
        </w:rPr>
        <w:t>Homes with elevated levels of inorganic contaminants of concern in their well water should install a home treatment system for their well water or obtain an alternative source of drinking water.</w:t>
      </w:r>
    </w:p>
    <w:p w14:paraId="37F7397A" w14:textId="77777777" w:rsidR="006E6841" w:rsidRDefault="006E6841" w:rsidP="006E6841">
      <w:pPr>
        <w:pStyle w:val="s4"/>
        <w:numPr>
          <w:ilvl w:val="0"/>
          <w:numId w:val="10"/>
        </w:numPr>
        <w:spacing w:before="0" w:beforeAutospacing="0" w:after="0" w:afterAutospacing="0" w:line="360" w:lineRule="auto"/>
        <w:rPr>
          <w:rStyle w:val="bumpedfont15"/>
        </w:rPr>
      </w:pPr>
      <w:r>
        <w:rPr>
          <w:rStyle w:val="bumpedfont15"/>
        </w:rPr>
        <w:t xml:space="preserve">Homes with high levels of methane in their well water should vent and treat the water to eliminate the buildup of the flammable methane gas. </w:t>
      </w:r>
    </w:p>
    <w:p w14:paraId="2264E0CA" w14:textId="3284FB12" w:rsidR="006E6841" w:rsidRDefault="006E6841" w:rsidP="006E6841">
      <w:pPr>
        <w:pStyle w:val="s4"/>
        <w:numPr>
          <w:ilvl w:val="0"/>
          <w:numId w:val="10"/>
        </w:numPr>
        <w:spacing w:before="0" w:beforeAutospacing="0" w:after="0" w:afterAutospacing="0" w:line="360" w:lineRule="auto"/>
        <w:rPr>
          <w:rStyle w:val="bumpedfont15"/>
        </w:rPr>
      </w:pPr>
      <w:r>
        <w:rPr>
          <w:rStyle w:val="bumpedfont15"/>
        </w:rPr>
        <w:t>Additional sampling of the tested wells be completed for further assessment of groundwater in the area.</w:t>
      </w:r>
    </w:p>
    <w:p w14:paraId="1582CE30" w14:textId="77777777" w:rsidR="006B48A8" w:rsidRDefault="006B48A8" w:rsidP="00275F48">
      <w:pPr>
        <w:pStyle w:val="s4"/>
        <w:spacing w:before="0" w:beforeAutospacing="0" w:after="0" w:afterAutospacing="0" w:line="360" w:lineRule="auto"/>
        <w:rPr>
          <w:rStyle w:val="bumpedfont15"/>
        </w:rPr>
      </w:pPr>
    </w:p>
    <w:p w14:paraId="76D285E3" w14:textId="77777777" w:rsidR="006E6841" w:rsidRDefault="006E6841" w:rsidP="006E6841">
      <w:pPr>
        <w:widowControl w:val="0"/>
        <w:autoSpaceDE w:val="0"/>
        <w:autoSpaceDN w:val="0"/>
        <w:adjustRightInd w:val="0"/>
        <w:spacing w:after="100" w:afterAutospacing="1" w:line="360" w:lineRule="auto"/>
      </w:pPr>
      <w:r>
        <w:rPr>
          <w:rStyle w:val="bumpedfont15"/>
        </w:rPr>
        <w:t>S</w:t>
      </w:r>
      <w:r>
        <w:t>ite conditions have changed since 2012, when the last groundwater data set was acquired by EPA. In August 2012</w:t>
      </w:r>
      <w:r w:rsidRPr="00C631C7">
        <w:t xml:space="preserve">, </w:t>
      </w:r>
      <w:r>
        <w:t>the Pennsylvania Department of Environmental Protection (</w:t>
      </w:r>
      <w:r w:rsidRPr="00503879">
        <w:t>PADEP</w:t>
      </w:r>
      <w:r>
        <w:t>)</w:t>
      </w:r>
      <w:r w:rsidRPr="00503879">
        <w:t xml:space="preserve"> lifted</w:t>
      </w:r>
      <w:r>
        <w:t xml:space="preserve"> the moratorium on completion of previously drilled natural gas wells in the area. In December 2012 and February 2013, several residents reported to PADEP and one resident reported to the National Response Center (NRC) visual changes in their private drinking water quality (turbidity, color changes, increased methane) (NRC 2012, verbal communications to ATSDR Region 3 from EPA Region 3 and residents). </w:t>
      </w:r>
    </w:p>
    <w:p w14:paraId="6CD583D2" w14:textId="77777777" w:rsidR="00BB7046" w:rsidRDefault="00BB7046" w:rsidP="00BB7046">
      <w:pPr>
        <w:pStyle w:val="s4"/>
        <w:spacing w:before="0" w:beforeAutospacing="0" w:line="360" w:lineRule="auto"/>
        <w:rPr>
          <w:rStyle w:val="bumpedfont15"/>
        </w:rPr>
      </w:pPr>
      <w:r>
        <w:rPr>
          <w:rStyle w:val="bumpedfont15"/>
        </w:rPr>
        <w:t xml:space="preserve">In a follow-up to the release of the ATSDR 2016 Dimock HC, ATSDR met with community residents, PADEP, EPA and Pennsylvania Department of Health (PADOH). ATSDR met with these stakeholders to (1) discuss the current status of groundwater quality, (2) communicate the conclusions and recommendations of the HC, (3) determine whether any additional environmental sampling data were available from state agencies or residents that had not been evaluated and (4) further support and recommend additional groundwater and indoor air assessments to address data gaps regarding current exposures in the site area. </w:t>
      </w:r>
    </w:p>
    <w:p w14:paraId="3A6A3588" w14:textId="77777777" w:rsidR="006E6841" w:rsidRDefault="006E6841" w:rsidP="006E6841">
      <w:pPr>
        <w:pStyle w:val="s4"/>
        <w:spacing w:before="0" w:beforeAutospacing="0" w:after="0" w:afterAutospacing="0" w:line="360" w:lineRule="auto"/>
        <w:rPr>
          <w:rStyle w:val="bumpedfont15"/>
        </w:rPr>
      </w:pPr>
      <w:r>
        <w:rPr>
          <w:rStyle w:val="bumpedfont15"/>
        </w:rPr>
        <w:t>The data gaps identified from the 2016 HC and from communications with stakeholders include:</w:t>
      </w:r>
    </w:p>
    <w:p w14:paraId="17946E9C" w14:textId="77777777" w:rsidR="006E6841" w:rsidRDefault="006E6841" w:rsidP="006E6841">
      <w:pPr>
        <w:pStyle w:val="s4"/>
        <w:numPr>
          <w:ilvl w:val="0"/>
          <w:numId w:val="16"/>
        </w:numPr>
        <w:spacing w:before="0" w:beforeAutospacing="0" w:after="0" w:afterAutospacing="0" w:line="360" w:lineRule="auto"/>
        <w:rPr>
          <w:rStyle w:val="bumpedfont15"/>
        </w:rPr>
      </w:pPr>
      <w:r>
        <w:rPr>
          <w:rStyle w:val="bumpedfont15"/>
        </w:rPr>
        <w:t xml:space="preserve">Retesting of private well water at residences tested in 2012 because conditions associated with natural gas extraction activities in the area have changed since 2012 and residents have concerns about the quality of their water. </w:t>
      </w:r>
    </w:p>
    <w:p w14:paraId="783B6E0F" w14:textId="77777777" w:rsidR="00BB7046" w:rsidRPr="00BB7046" w:rsidRDefault="006E6841" w:rsidP="00BB7046">
      <w:pPr>
        <w:pStyle w:val="s4"/>
        <w:numPr>
          <w:ilvl w:val="0"/>
          <w:numId w:val="16"/>
        </w:numPr>
        <w:spacing w:before="0" w:beforeAutospacing="0" w:after="0" w:afterAutospacing="0" w:line="360" w:lineRule="auto"/>
        <w:rPr>
          <w:rStyle w:val="bumpedfont15"/>
          <w:rFonts w:cs="Tahoma"/>
        </w:rPr>
      </w:pPr>
      <w:r>
        <w:rPr>
          <w:rStyle w:val="bumpedfont15"/>
        </w:rPr>
        <w:lastRenderedPageBreak/>
        <w:t xml:space="preserve">Testing of water supplied to residents (bulk water) because the source of the water varies and some residents are concerned about the quality of the supplied water. </w:t>
      </w:r>
    </w:p>
    <w:p w14:paraId="4D5BEAFC" w14:textId="4A0F9AC9" w:rsidR="00BB7046" w:rsidRPr="0047160F" w:rsidRDefault="00BB7046" w:rsidP="0047160F">
      <w:pPr>
        <w:pStyle w:val="s4"/>
        <w:numPr>
          <w:ilvl w:val="0"/>
          <w:numId w:val="16"/>
        </w:numPr>
        <w:spacing w:before="0" w:beforeAutospacing="0" w:line="360" w:lineRule="auto"/>
        <w:rPr>
          <w:rStyle w:val="bumpedfont15"/>
          <w:rFonts w:cs="Tahoma"/>
        </w:rPr>
      </w:pPr>
      <w:r>
        <w:rPr>
          <w:rStyle w:val="bumpedfont15"/>
        </w:rPr>
        <w:t xml:space="preserve">Testing radon in the home based on residents’ concern. Radon testing in both water and indoor air will be conducted in response to community concerns given that radon is naturally-occurring in the Dimock area.  The radon testing in indoor air will be provided in the homes where water testing is completed. </w:t>
      </w:r>
    </w:p>
    <w:p w14:paraId="520A5B9B" w14:textId="6A19247D" w:rsidR="000A4715" w:rsidRPr="0047160F" w:rsidRDefault="0047160F" w:rsidP="0047160F">
      <w:pPr>
        <w:widowControl w:val="0"/>
        <w:autoSpaceDE w:val="0"/>
        <w:autoSpaceDN w:val="0"/>
        <w:adjustRightInd w:val="0"/>
        <w:spacing w:after="100" w:afterAutospacing="1" w:line="360" w:lineRule="auto"/>
        <w:rPr>
          <w:rStyle w:val="bumpedfont15"/>
          <w:rFonts w:eastAsiaTheme="minorHAnsi"/>
        </w:rPr>
      </w:pPr>
      <w:r w:rsidRPr="0047160F">
        <w:rPr>
          <w:rStyle w:val="bumpedfont15"/>
          <w:rFonts w:eastAsiaTheme="minorHAnsi"/>
        </w:rPr>
        <w:t>ATSDR designed the EI to address these data gaps. A panel of water contaminants potentially associated with natural gas production has been developed by ATSDR and is consistent with sampling performed by EPA in their 2012 sampling event. In addition, radon in water and indoor air will be tested. The EI report</w:t>
      </w:r>
      <w:r w:rsidR="00CE0E49">
        <w:rPr>
          <w:rStyle w:val="bumpedfont15"/>
          <w:rFonts w:eastAsiaTheme="minorHAnsi"/>
        </w:rPr>
        <w:t xml:space="preserve"> </w:t>
      </w:r>
      <w:r w:rsidRPr="0047160F">
        <w:rPr>
          <w:rStyle w:val="bumpedfont15"/>
          <w:rFonts w:eastAsiaTheme="minorHAnsi"/>
        </w:rPr>
        <w:t xml:space="preserve">will summarize the data, present conclusions about potential health hazards, and provide recommendations for further actions by property owners, PADEP or local agencies, and the EPA. ATSDR will provide a health interpretation of individual sampling results to participants in the EI. </w:t>
      </w:r>
    </w:p>
    <w:p w14:paraId="084862E8" w14:textId="77777777"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14:paraId="5C0725EA" w14:textId="77777777" w:rsidR="00363D95" w:rsidRDefault="00363D95" w:rsidP="00363D95"/>
    <w:p w14:paraId="5FF88A93" w14:textId="77777777" w:rsidR="006E6841" w:rsidRPr="00EE0250" w:rsidRDefault="006E6841" w:rsidP="006E6841">
      <w:pPr>
        <w:spacing w:after="100" w:afterAutospacing="1" w:line="360" w:lineRule="auto"/>
      </w:pPr>
      <w:r>
        <w:rPr>
          <w:bCs/>
        </w:rPr>
        <w:t xml:space="preserve">An </w:t>
      </w:r>
      <w:r w:rsidRPr="00EE0250">
        <w:rPr>
          <w:bCs/>
        </w:rPr>
        <w:t xml:space="preserve">EI </w:t>
      </w:r>
      <w:r>
        <w:rPr>
          <w:bCs/>
        </w:rPr>
        <w:t xml:space="preserve">is </w:t>
      </w:r>
      <w:r w:rsidRPr="00EE0250">
        <w:rPr>
          <w:bCs/>
        </w:rPr>
        <w:t>an approach developed by ATSDR that employ</w:t>
      </w:r>
      <w:r>
        <w:rPr>
          <w:bCs/>
        </w:rPr>
        <w:t>s</w:t>
      </w:r>
      <w:r w:rsidRPr="00EE0250">
        <w:rPr>
          <w:bCs/>
        </w:rPr>
        <w:t xml:space="preserve"> targeted biologic and environmental sampling to </w:t>
      </w:r>
      <w:r w:rsidRPr="00EE0250">
        <w:rPr>
          <w:bCs/>
          <w:i/>
        </w:rPr>
        <w:t xml:space="preserve">determine whether people </w:t>
      </w:r>
      <w:r w:rsidRPr="00EE0250">
        <w:rPr>
          <w:i/>
        </w:rPr>
        <w:t xml:space="preserve">are or have been exposed to unusual levels of pollutants at specific locations </w:t>
      </w:r>
      <w:r w:rsidRPr="00EE0250">
        <w:t xml:space="preserve">(e.g., where people live, spend leisure time, or anywhere they might come into contact with contaminants under investigation). </w:t>
      </w:r>
    </w:p>
    <w:p w14:paraId="183D5B59" w14:textId="6199B78F" w:rsidR="006E6841" w:rsidRDefault="006E6841" w:rsidP="006E6841">
      <w:pPr>
        <w:spacing w:after="100" w:afterAutospacing="1" w:line="360" w:lineRule="auto"/>
      </w:pPr>
      <w:r w:rsidRPr="00EE0250">
        <w:t>ATSDR uses EIs to fill data gap</w:t>
      </w:r>
      <w:r>
        <w:t>s</w:t>
      </w:r>
      <w:r w:rsidRPr="00EE0250">
        <w:t xml:space="preserve"> that </w:t>
      </w:r>
      <w:r>
        <w:t>are</w:t>
      </w:r>
      <w:r w:rsidRPr="00EE0250">
        <w:t xml:space="preserve"> essential for evaluating community exposure pathways and determining if a health hazard is present.  </w:t>
      </w:r>
      <w:r>
        <w:t xml:space="preserve">An EI is NOT a research study. Rather, it is </w:t>
      </w:r>
      <w:r w:rsidR="00CE0E49">
        <w:t xml:space="preserve">an </w:t>
      </w:r>
      <w:r>
        <w:t xml:space="preserve">attempt at identifying the most highly exposed individuals and determining their exposure. The results are a public health service directed to individual participants and are not generalizable to other populations. </w:t>
      </w:r>
      <w:r w:rsidRPr="00EE0250">
        <w:t xml:space="preserve"> </w:t>
      </w:r>
    </w:p>
    <w:p w14:paraId="320572DA" w14:textId="77777777" w:rsidR="006E6841" w:rsidRDefault="006E6841" w:rsidP="006E6841">
      <w:pPr>
        <w:spacing w:after="100" w:afterAutospacing="1" w:line="360" w:lineRule="auto"/>
        <w:rPr>
          <w:color w:val="000000"/>
        </w:rPr>
      </w:pPr>
      <w:r>
        <w:rPr>
          <w:color w:val="000000"/>
        </w:rPr>
        <w:t xml:space="preserve">EIs must consider the following </w:t>
      </w:r>
      <w:r w:rsidRPr="00EE0250">
        <w:rPr>
          <w:color w:val="000000"/>
        </w:rPr>
        <w:t xml:space="preserve">four </w:t>
      </w:r>
      <w:r>
        <w:rPr>
          <w:color w:val="000000"/>
        </w:rPr>
        <w:t>questions</w:t>
      </w:r>
      <w:r w:rsidRPr="00EE0250">
        <w:rPr>
          <w:color w:val="000000"/>
        </w:rPr>
        <w:t>:</w:t>
      </w:r>
    </w:p>
    <w:p w14:paraId="05D506F7" w14:textId="77777777" w:rsidR="006E6841" w:rsidRDefault="007E282F" w:rsidP="00773444">
      <w:pPr>
        <w:pStyle w:val="ListParagraph"/>
        <w:numPr>
          <w:ilvl w:val="0"/>
          <w:numId w:val="4"/>
        </w:numPr>
        <w:spacing w:after="100" w:afterAutospacing="1" w:line="360" w:lineRule="auto"/>
      </w:pPr>
      <w:r>
        <w:t>Can an exposed population be identified?</w:t>
      </w:r>
    </w:p>
    <w:p w14:paraId="554166DB" w14:textId="5878DF96" w:rsidR="007E282F" w:rsidRDefault="007E282F" w:rsidP="00773444">
      <w:pPr>
        <w:pStyle w:val="ListParagraph"/>
        <w:numPr>
          <w:ilvl w:val="0"/>
          <w:numId w:val="4"/>
        </w:numPr>
        <w:spacing w:after="100" w:afterAutospacing="1" w:line="360" w:lineRule="auto"/>
      </w:pPr>
      <w:r>
        <w:t>Does a data gap exist that affects the ability to determine if a health hazard exists?</w:t>
      </w:r>
    </w:p>
    <w:p w14:paraId="4913B8B9" w14:textId="77777777" w:rsidR="007E282F" w:rsidRDefault="007E282F" w:rsidP="00B86A20">
      <w:pPr>
        <w:numPr>
          <w:ilvl w:val="0"/>
          <w:numId w:val="4"/>
        </w:numPr>
        <w:spacing w:after="100" w:afterAutospacing="1" w:line="360" w:lineRule="auto"/>
      </w:pPr>
      <w:r>
        <w:t>Can an EI be designed that will address this data gap?</w:t>
      </w:r>
    </w:p>
    <w:p w14:paraId="14A270E5" w14:textId="77777777" w:rsidR="007E282F" w:rsidRDefault="007E282F" w:rsidP="00B86A20">
      <w:pPr>
        <w:numPr>
          <w:ilvl w:val="0"/>
          <w:numId w:val="4"/>
        </w:numPr>
        <w:spacing w:after="100" w:afterAutospacing="1" w:line="360" w:lineRule="auto"/>
      </w:pPr>
      <w:r>
        <w:lastRenderedPageBreak/>
        <w:t>Will the EI results impact the public health decision for the site?</w:t>
      </w:r>
    </w:p>
    <w:p w14:paraId="5750BD15" w14:textId="5FB8D142" w:rsidR="00F43C73" w:rsidRDefault="00F43C73" w:rsidP="00E44B79">
      <w:pPr>
        <w:tabs>
          <w:tab w:val="left" w:pos="270"/>
        </w:tabs>
        <w:spacing w:line="360" w:lineRule="auto"/>
      </w:pPr>
      <w:r w:rsidRPr="00F43C73">
        <w:rPr>
          <w:color w:val="000000"/>
        </w:rPr>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w:t>
      </w:r>
      <w:r w:rsidRPr="001352D8">
        <w:t xml:space="preserve"> </w:t>
      </w:r>
      <w:r>
        <w:t xml:space="preserve">For the Dimock site, the responses to the four questions (provided below) indicate that an EI is warranted at the site. </w:t>
      </w:r>
    </w:p>
    <w:p w14:paraId="4F72A3D2" w14:textId="77777777" w:rsidR="00F43C73" w:rsidRDefault="00F43C73" w:rsidP="00705BBA">
      <w:pPr>
        <w:spacing w:line="360" w:lineRule="auto"/>
        <w:ind w:left="360"/>
      </w:pPr>
    </w:p>
    <w:p w14:paraId="7C039D48" w14:textId="599A5208" w:rsidR="00F43C73" w:rsidRDefault="00F43C73" w:rsidP="00E44B79">
      <w:pPr>
        <w:spacing w:line="360" w:lineRule="auto"/>
      </w:pPr>
      <w:r>
        <w:t>The EI Team from ATSDR Region 3 office and the DCHI Science Support Branch (SSB) will lead the investigation, evaluate the results, and communicate their public health findings and recommendations to the community (further discussed in Section A.2)</w:t>
      </w:r>
      <w:r w:rsidRPr="00F43C73">
        <w:rPr>
          <w:rFonts w:eastAsiaTheme="minorHAnsi"/>
        </w:rPr>
        <w:t xml:space="preserve"> </w:t>
      </w:r>
      <w:r>
        <w:t xml:space="preserve"> </w:t>
      </w:r>
    </w:p>
    <w:p w14:paraId="686C1D39" w14:textId="77777777" w:rsidR="00225396" w:rsidRPr="00F43C73" w:rsidRDefault="00225396" w:rsidP="00E44B79">
      <w:pPr>
        <w:spacing w:line="360" w:lineRule="auto"/>
        <w:rPr>
          <w:color w:val="000000"/>
          <w:szCs w:val="20"/>
        </w:rPr>
      </w:pPr>
    </w:p>
    <w:p w14:paraId="29255EFB" w14:textId="77777777" w:rsidR="00CA3BDA" w:rsidRPr="00CA3BDA" w:rsidRDefault="00363D95" w:rsidP="00CA3BDA">
      <w:pPr>
        <w:widowControl w:val="0"/>
        <w:autoSpaceDE w:val="0"/>
        <w:autoSpaceDN w:val="0"/>
        <w:adjustRightInd w:val="0"/>
        <w:spacing w:after="100" w:afterAutospacing="1" w:line="360" w:lineRule="auto"/>
        <w:rPr>
          <w:i/>
        </w:rPr>
      </w:pPr>
      <w:r>
        <w:rPr>
          <w:color w:val="000000"/>
          <w:szCs w:val="20"/>
        </w:rPr>
        <w:t xml:space="preserve">The four questions used to establish whether it was appropriate to conduct an EI for the </w:t>
      </w:r>
      <w:r w:rsidR="009103DC">
        <w:rPr>
          <w:color w:val="000000"/>
          <w:szCs w:val="20"/>
        </w:rPr>
        <w:t>Dimock, PA</w:t>
      </w:r>
      <w:r>
        <w:rPr>
          <w:color w:val="000000"/>
          <w:szCs w:val="20"/>
        </w:rPr>
        <w:t xml:space="preserve"> site were as follows:</w:t>
      </w:r>
    </w:p>
    <w:p w14:paraId="687C8617" w14:textId="7DD2E2FD" w:rsidR="00D247BC" w:rsidRPr="0031768A" w:rsidRDefault="00D247BC" w:rsidP="00D247BC">
      <w:pPr>
        <w:widowControl w:val="0"/>
        <w:numPr>
          <w:ilvl w:val="0"/>
          <w:numId w:val="12"/>
        </w:numPr>
        <w:autoSpaceDE w:val="0"/>
        <w:autoSpaceDN w:val="0"/>
        <w:adjustRightInd w:val="0"/>
        <w:spacing w:after="100" w:afterAutospacing="1" w:line="360" w:lineRule="auto"/>
        <w:ind w:left="288" w:hanging="288"/>
        <w:rPr>
          <w:i/>
        </w:rPr>
      </w:pPr>
      <w:r w:rsidRPr="00D247BC">
        <w:rPr>
          <w:i/>
        </w:rPr>
        <w:t xml:space="preserve"> </w:t>
      </w:r>
      <w:r w:rsidRPr="0031768A">
        <w:rPr>
          <w:i/>
        </w:rPr>
        <w:t xml:space="preserve">Can an exposed population be identified?  </w:t>
      </w:r>
    </w:p>
    <w:p w14:paraId="0C3112B3" w14:textId="00CCA53E" w:rsidR="00D247BC" w:rsidRPr="00415AC4" w:rsidRDefault="00D247BC" w:rsidP="00D247BC">
      <w:pPr>
        <w:widowControl w:val="0"/>
        <w:autoSpaceDE w:val="0"/>
        <w:autoSpaceDN w:val="0"/>
        <w:adjustRightInd w:val="0"/>
        <w:spacing w:after="100" w:afterAutospacing="1" w:line="360" w:lineRule="auto"/>
      </w:pPr>
      <w:r w:rsidRPr="00E95D19">
        <w:rPr>
          <w:b/>
        </w:rPr>
        <w:t>Yes</w:t>
      </w:r>
      <w:r>
        <w:rPr>
          <w:b/>
        </w:rPr>
        <w:t xml:space="preserve"> </w:t>
      </w:r>
      <w:r>
        <w:t>–</w:t>
      </w:r>
      <w:r w:rsidRPr="00415AC4">
        <w:t xml:space="preserve"> </w:t>
      </w:r>
      <w:r w:rsidR="000C7349">
        <w:t>S</w:t>
      </w:r>
      <w:r>
        <w:t xml:space="preserve">ampling conducted in 2012 </w:t>
      </w:r>
      <w:r w:rsidR="000C7349">
        <w:t xml:space="preserve">by EPA </w:t>
      </w:r>
      <w:r>
        <w:t xml:space="preserve">identified constituents in private well water that may result in health effects or a safety hazard (ATSDR 2016). </w:t>
      </w:r>
      <w:r w:rsidRPr="00415AC4">
        <w:t>Dimock residents have expressed concern about exposure to their groundwater since 2009 and some residents continue</w:t>
      </w:r>
      <w:r>
        <w:t>d</w:t>
      </w:r>
      <w:r w:rsidRPr="00415AC4">
        <w:t xml:space="preserve"> to express concern in 2016. </w:t>
      </w:r>
    </w:p>
    <w:p w14:paraId="51A7178C" w14:textId="77777777" w:rsidR="00D247BC" w:rsidRPr="0074556A" w:rsidRDefault="00D247BC" w:rsidP="00D247BC">
      <w:pPr>
        <w:widowControl w:val="0"/>
        <w:autoSpaceDE w:val="0"/>
        <w:autoSpaceDN w:val="0"/>
        <w:adjustRightInd w:val="0"/>
        <w:spacing w:after="100" w:afterAutospacing="1" w:line="360" w:lineRule="auto"/>
        <w:ind w:left="288" w:hanging="288"/>
        <w:rPr>
          <w:b/>
        </w:rPr>
      </w:pPr>
      <w:r w:rsidRPr="00415AC4">
        <w:rPr>
          <w:b/>
        </w:rPr>
        <w:t xml:space="preserve">2. </w:t>
      </w:r>
      <w:r w:rsidRPr="0031768A">
        <w:rPr>
          <w:i/>
        </w:rPr>
        <w:t>Does a data gap exist that affects your ability to determine if a public health hazard exists?</w:t>
      </w:r>
    </w:p>
    <w:p w14:paraId="123F2A62" w14:textId="64F28F18" w:rsidR="00D247BC" w:rsidRPr="00415AC4" w:rsidRDefault="00D247BC" w:rsidP="00D247BC">
      <w:pPr>
        <w:widowControl w:val="0"/>
        <w:autoSpaceDE w:val="0"/>
        <w:autoSpaceDN w:val="0"/>
        <w:adjustRightInd w:val="0"/>
        <w:spacing w:after="100" w:afterAutospacing="1" w:line="360" w:lineRule="auto"/>
      </w:pPr>
      <w:r w:rsidRPr="00E95D19">
        <w:rPr>
          <w:b/>
        </w:rPr>
        <w:t>Yes</w:t>
      </w:r>
      <w:r>
        <w:t xml:space="preserve"> </w:t>
      </w:r>
      <w:r w:rsidRPr="00415AC4">
        <w:t xml:space="preserve">- There </w:t>
      </w:r>
      <w:r>
        <w:t>are</w:t>
      </w:r>
      <w:r w:rsidRPr="00415AC4">
        <w:t xml:space="preserve"> insufficient data to assess current exposures</w:t>
      </w:r>
      <w:r>
        <w:t xml:space="preserve"> to contaminants in private well water</w:t>
      </w:r>
      <w:r w:rsidRPr="00415AC4">
        <w:t>. A limited amount of data ha</w:t>
      </w:r>
      <w:r>
        <w:t>s</w:t>
      </w:r>
      <w:r w:rsidRPr="00415AC4">
        <w:t xml:space="preserve"> been made available for certain Dimock private wells. However, the last comprehensive sampling activities were conducted over four years ago</w:t>
      </w:r>
      <w:r w:rsidR="008508F9">
        <w:t xml:space="preserve"> (2012)</w:t>
      </w:r>
      <w:r w:rsidRPr="00415AC4">
        <w:t xml:space="preserve"> when EPA sampled 64 wells in the </w:t>
      </w:r>
      <w:r>
        <w:t>Dimock</w:t>
      </w:r>
      <w:r w:rsidRPr="00415AC4">
        <w:t xml:space="preserve"> area. </w:t>
      </w:r>
      <w:r>
        <w:t xml:space="preserve">Without current groundwater assessment data, and given the considerable changes in the area (e.g., completion activities including hydraulic fracturing), ATSDR cannot determine whether unhealthy exposures to chemicals in groundwater are occurring. Residents have also had complaints regarding the quality of the bulk water that has been supplied as an alternate source of drinking water. The results of the drinking water and bulk water testing will assist regulators in determining whether residents should obtain or continue using alternate sources of drinking water. Residents have also been concerned about radon in the </w:t>
      </w:r>
      <w:r>
        <w:lastRenderedPageBreak/>
        <w:t>area. Radon is found naturally in the Dimock area and will be tested as a public service in homes where water testing will be conducted.</w:t>
      </w:r>
    </w:p>
    <w:p w14:paraId="4FADC92E" w14:textId="77777777" w:rsidR="00D247BC" w:rsidRPr="00E46A6E" w:rsidRDefault="00D247BC" w:rsidP="00D247BC">
      <w:pPr>
        <w:widowControl w:val="0"/>
        <w:autoSpaceDE w:val="0"/>
        <w:autoSpaceDN w:val="0"/>
        <w:adjustRightInd w:val="0"/>
        <w:spacing w:after="100" w:afterAutospacing="1" w:line="360" w:lineRule="auto"/>
        <w:rPr>
          <w:i/>
          <w:sz w:val="28"/>
          <w:szCs w:val="28"/>
        </w:rPr>
      </w:pPr>
      <w:r w:rsidRPr="00B05CBA">
        <w:rPr>
          <w:b/>
        </w:rPr>
        <w:t xml:space="preserve">3. </w:t>
      </w:r>
      <w:r w:rsidRPr="0031768A">
        <w:rPr>
          <w:i/>
        </w:rPr>
        <w:t>Can an EI address the data gap?</w:t>
      </w:r>
    </w:p>
    <w:p w14:paraId="590BC3B3" w14:textId="77777777" w:rsidR="00D247BC" w:rsidRPr="00B05CBA" w:rsidRDefault="00D247BC" w:rsidP="00D247BC">
      <w:pPr>
        <w:widowControl w:val="0"/>
        <w:autoSpaceDE w:val="0"/>
        <w:autoSpaceDN w:val="0"/>
        <w:adjustRightInd w:val="0"/>
        <w:spacing w:after="100" w:afterAutospacing="1" w:line="360" w:lineRule="auto"/>
      </w:pPr>
      <w:r w:rsidRPr="00E95D19">
        <w:rPr>
          <w:b/>
        </w:rPr>
        <w:t>Yes</w:t>
      </w:r>
      <w:r>
        <w:rPr>
          <w:b/>
        </w:rPr>
        <w:t xml:space="preserve"> </w:t>
      </w:r>
      <w:r w:rsidRPr="00B05CBA">
        <w:t>- The sampling of groundwater</w:t>
      </w:r>
      <w:r>
        <w:t>, bulk water</w:t>
      </w:r>
      <w:r w:rsidRPr="00B05CBA">
        <w:t xml:space="preserve"> and </w:t>
      </w:r>
      <w:r>
        <w:t>radon</w:t>
      </w:r>
      <w:r w:rsidRPr="00B05CBA">
        <w:t xml:space="preserve"> and </w:t>
      </w:r>
      <w:r>
        <w:t>an</w:t>
      </w:r>
      <w:r w:rsidRPr="00B05CBA">
        <w:t xml:space="preserve"> analysis of the chemical constituents detected in these exposure </w:t>
      </w:r>
      <w:r>
        <w:t>media</w:t>
      </w:r>
      <w:r w:rsidRPr="00B05CBA">
        <w:t xml:space="preserve"> will </w:t>
      </w:r>
      <w:r>
        <w:t>provide</w:t>
      </w:r>
      <w:r w:rsidRPr="00B05CBA">
        <w:t xml:space="preserve"> a health-based evaluation for residents in the community. Screening </w:t>
      </w:r>
      <w:r>
        <w:t>indoor air</w:t>
      </w:r>
      <w:r w:rsidRPr="00B05CBA">
        <w:t xml:space="preserve"> in the field for </w:t>
      </w:r>
      <w:r>
        <w:t xml:space="preserve">total VOCs and </w:t>
      </w:r>
      <w:r w:rsidRPr="00B05CBA">
        <w:t>combustible gas</w:t>
      </w:r>
      <w:r>
        <w:t xml:space="preserve"> emissions is included to ensure the safety of personnel during water sampling because methane has been detected in elevated concentrations in past sampling events. Testing of radon in indoor air will be provided in those homes where water testing will be conducted.</w:t>
      </w:r>
    </w:p>
    <w:p w14:paraId="335F89A3" w14:textId="77777777" w:rsidR="00D247BC" w:rsidRPr="00FC6AE7" w:rsidRDefault="00D247BC" w:rsidP="00D247BC">
      <w:pPr>
        <w:widowControl w:val="0"/>
        <w:autoSpaceDE w:val="0"/>
        <w:autoSpaceDN w:val="0"/>
        <w:adjustRightInd w:val="0"/>
        <w:ind w:left="288" w:hanging="288"/>
        <w:rPr>
          <w:b/>
          <w:highlight w:val="yellow"/>
        </w:rPr>
      </w:pPr>
    </w:p>
    <w:p w14:paraId="7330035C" w14:textId="77777777" w:rsidR="00D247BC" w:rsidRPr="00E46A6E" w:rsidRDefault="00D247BC" w:rsidP="00D247BC">
      <w:pPr>
        <w:widowControl w:val="0"/>
        <w:autoSpaceDE w:val="0"/>
        <w:autoSpaceDN w:val="0"/>
        <w:adjustRightInd w:val="0"/>
        <w:spacing w:after="100" w:afterAutospacing="1" w:line="360" w:lineRule="auto"/>
        <w:rPr>
          <w:i/>
          <w:sz w:val="28"/>
          <w:szCs w:val="28"/>
        </w:rPr>
      </w:pPr>
      <w:r w:rsidRPr="00B05CBA">
        <w:rPr>
          <w:b/>
        </w:rPr>
        <w:t>4.</w:t>
      </w:r>
      <w:r w:rsidRPr="00E95D19">
        <w:rPr>
          <w:b/>
        </w:rPr>
        <w:t xml:space="preserve"> </w:t>
      </w:r>
      <w:r w:rsidRPr="0031768A">
        <w:rPr>
          <w:i/>
        </w:rPr>
        <w:t>How will the EI results impact public health decision making?</w:t>
      </w:r>
    </w:p>
    <w:p w14:paraId="13FDD5C3" w14:textId="77777777" w:rsidR="00D247BC" w:rsidRPr="00FC6AE7" w:rsidRDefault="00D247BC" w:rsidP="00D247BC">
      <w:pPr>
        <w:widowControl w:val="0"/>
        <w:autoSpaceDE w:val="0"/>
        <w:autoSpaceDN w:val="0"/>
        <w:adjustRightInd w:val="0"/>
        <w:spacing w:after="100" w:afterAutospacing="1" w:line="360" w:lineRule="auto"/>
        <w:rPr>
          <w:highlight w:val="yellow"/>
        </w:rPr>
      </w:pPr>
      <w:r w:rsidRPr="00B05CBA">
        <w:t xml:space="preserve">More information on the chemical composition of area well water will provide important information </w:t>
      </w:r>
      <w:r>
        <w:t>to guide</w:t>
      </w:r>
      <w:r w:rsidRPr="00B05CBA">
        <w:t xml:space="preserve"> public health recommendations</w:t>
      </w:r>
      <w:r>
        <w:t xml:space="preserve"> and actions</w:t>
      </w:r>
      <w:r w:rsidRPr="00B05CBA">
        <w:t xml:space="preserve">. Assessment of bulk water will determine the quality of these replacement supplies that have been provided to numerous residents in the Dimock area. Although municipal water is not available to residents in this area, point of use and whole house water treatment and other alternative water supplies can be considered as an exposure mitigation alternative. Indoor air </w:t>
      </w:r>
      <w:r>
        <w:t>testing</w:t>
      </w:r>
      <w:r w:rsidRPr="00B05CBA">
        <w:t xml:space="preserve"> for radon will provide important information regarding exposures to a known carcinogen. Information from this EI and the subsequent health consultation may also be useful in triggering </w:t>
      </w:r>
      <w:r>
        <w:t>remedial</w:t>
      </w:r>
      <w:r w:rsidRPr="00B05CBA">
        <w:t xml:space="preserve"> action</w:t>
      </w:r>
      <w:r>
        <w:t>s to mitigate exposures or safety hazards</w:t>
      </w:r>
      <w:r w:rsidRPr="00B05CBA">
        <w:t>.</w:t>
      </w:r>
    </w:p>
    <w:p w14:paraId="22EBFBDF" w14:textId="219535AE" w:rsidR="008333D2" w:rsidRPr="008333D2" w:rsidRDefault="00A91055" w:rsidP="008333D2">
      <w:pPr>
        <w:spacing w:after="100" w:afterAutospacing="1" w:line="360" w:lineRule="auto"/>
      </w:pPr>
      <w:r>
        <w:rPr>
          <w:rFonts w:eastAsiaTheme="minorHAnsi"/>
        </w:rPr>
        <w:t xml:space="preserve">The EI will include obtaining consent from the homeowner to conduct the testing (Attachment 3) and administering a questionnaire to evaluate </w:t>
      </w:r>
      <w:r w:rsidR="004377C5">
        <w:rPr>
          <w:rFonts w:eastAsiaTheme="minorHAnsi"/>
        </w:rPr>
        <w:t xml:space="preserve">water use in the home (Attachment 4). </w:t>
      </w:r>
      <w:r w:rsidR="00503D9A">
        <w:rPr>
          <w:rFonts w:eastAsiaTheme="minorHAnsi"/>
        </w:rPr>
        <w:t xml:space="preserve">The cleared EI protocol </w:t>
      </w:r>
      <w:r w:rsidR="00F9674A">
        <w:rPr>
          <w:rFonts w:eastAsiaTheme="minorHAnsi"/>
        </w:rPr>
        <w:t xml:space="preserve">including a Sampling and Analysis Plan (SAP) </w:t>
      </w:r>
      <w:r w:rsidR="00503D9A">
        <w:rPr>
          <w:rFonts w:eastAsiaTheme="minorHAnsi"/>
        </w:rPr>
        <w:t xml:space="preserve">is included as Attachment 5. Results of water and radon testing will be provided to the participants in a letter (Attachment 6). </w:t>
      </w:r>
      <w:r w:rsidR="008333D2">
        <w:rPr>
          <w:rFonts w:eastAsiaTheme="minorHAnsi"/>
        </w:rPr>
        <w:t xml:space="preserve">Once the EI data collection and analysis from the follow up EI is complete, the ATSDR Team will conduct a public availability session for participants in the EI and for the community as a whole to discuss </w:t>
      </w:r>
      <w:r w:rsidR="008333D2" w:rsidRPr="00245495">
        <w:t xml:space="preserve">recommendations to reduce exposure and </w:t>
      </w:r>
      <w:r w:rsidR="008333D2">
        <w:t xml:space="preserve">potential </w:t>
      </w:r>
      <w:r w:rsidR="008333D2" w:rsidRPr="00245495">
        <w:t>health concerns</w:t>
      </w:r>
      <w:r w:rsidR="00BD1727">
        <w:t xml:space="preserve"> associated with drinking water and radon in the area</w:t>
      </w:r>
      <w:r w:rsidR="008333D2" w:rsidRPr="00245495">
        <w:t xml:space="preserve">. </w:t>
      </w:r>
    </w:p>
    <w:p w14:paraId="3B407DF9" w14:textId="5638DB96" w:rsidR="0035250C" w:rsidRPr="008E5E79" w:rsidRDefault="00FD70FF" w:rsidP="008333D2">
      <w:pPr>
        <w:spacing w:after="100" w:afterAutospacing="1" w:line="360" w:lineRule="auto"/>
        <w:rPr>
          <w:rFonts w:eastAsiaTheme="minorHAnsi"/>
        </w:rPr>
      </w:pPr>
      <w:r>
        <w:rPr>
          <w:rFonts w:eastAsiaTheme="minorHAnsi"/>
        </w:rPr>
        <w:lastRenderedPageBreak/>
        <w:t>A full E</w:t>
      </w:r>
      <w:r w:rsidR="00137B93">
        <w:rPr>
          <w:rFonts w:eastAsiaTheme="minorHAnsi"/>
        </w:rPr>
        <w:t>I</w:t>
      </w:r>
      <w:r w:rsidR="005E629B">
        <w:rPr>
          <w:rFonts w:eastAsiaTheme="minorHAnsi"/>
        </w:rPr>
        <w:t xml:space="preserve"> Final R</w:t>
      </w:r>
      <w:r>
        <w:rPr>
          <w:rFonts w:eastAsiaTheme="minorHAnsi"/>
        </w:rPr>
        <w:t xml:space="preserve">eport </w:t>
      </w:r>
      <w:r w:rsidR="00405576">
        <w:rPr>
          <w:rFonts w:eastAsiaTheme="minorHAnsi"/>
        </w:rPr>
        <w:t>will be</w:t>
      </w:r>
      <w:r w:rsidR="00245495">
        <w:rPr>
          <w:rFonts w:eastAsiaTheme="minorHAnsi"/>
        </w:rPr>
        <w:t xml:space="preserve"> </w:t>
      </w:r>
      <w:r w:rsidR="005E629B">
        <w:rPr>
          <w:rFonts w:eastAsiaTheme="minorHAnsi"/>
        </w:rPr>
        <w:t>completed and made available to the public</w:t>
      </w:r>
      <w:r w:rsidR="00156A60">
        <w:rPr>
          <w:rFonts w:eastAsiaTheme="minorHAnsi"/>
        </w:rPr>
        <w:t xml:space="preserve"> </w:t>
      </w:r>
      <w:r w:rsidR="00245495">
        <w:rPr>
          <w:rFonts w:eastAsiaTheme="minorHAnsi"/>
        </w:rPr>
        <w:t xml:space="preserve">and </w:t>
      </w:r>
      <w:r w:rsidR="00137B93">
        <w:rPr>
          <w:rFonts w:eastAsiaTheme="minorHAnsi"/>
        </w:rPr>
        <w:t xml:space="preserve">to </w:t>
      </w:r>
      <w:r w:rsidR="00245495">
        <w:rPr>
          <w:rFonts w:eastAsiaTheme="minorHAnsi"/>
        </w:rPr>
        <w:t xml:space="preserve">all partners </w:t>
      </w:r>
      <w:r w:rsidR="00156A60">
        <w:rPr>
          <w:rFonts w:eastAsiaTheme="minorHAnsi"/>
        </w:rPr>
        <w:t>once all samples and data have been collected and analyzed</w:t>
      </w:r>
      <w:r w:rsidR="0035250C">
        <w:rPr>
          <w:rFonts w:eastAsiaTheme="minorHAnsi"/>
        </w:rPr>
        <w:t>. An example of a past EI Final Report is included as Attachment 7.</w:t>
      </w:r>
    </w:p>
    <w:p w14:paraId="00028A43" w14:textId="07B84AD0" w:rsidR="00067EF1" w:rsidRPr="003E4C15" w:rsidRDefault="00067EF1" w:rsidP="00844EC5">
      <w:pPr>
        <w:pStyle w:val="Heading2"/>
      </w:pPr>
      <w:bookmarkStart w:id="5" w:name="_Toc305153413"/>
      <w:bookmarkStart w:id="6" w:name="_Toc305153631"/>
      <w:bookmarkStart w:id="7" w:name="_Toc305154207"/>
      <w:bookmarkStart w:id="8" w:name="_Toc305155361"/>
      <w:bookmarkStart w:id="9" w:name="_Toc306341891"/>
      <w:bookmarkStart w:id="10" w:name="_Toc306344144"/>
      <w:bookmarkStart w:id="11" w:name="_Toc306344785"/>
      <w:bookmarkStart w:id="12" w:name="_Toc306345026"/>
      <w:bookmarkStart w:id="13" w:name="_Toc311445495"/>
      <w:bookmarkStart w:id="14" w:name="_Toc483922843"/>
      <w:r w:rsidRPr="003E4C15">
        <w:t>A.2</w:t>
      </w:r>
      <w:r w:rsidR="002A0056">
        <w:t>.</w:t>
      </w:r>
      <w:r w:rsidRPr="003E4C15">
        <w:t xml:space="preserve"> Purpose and Use of Information</w:t>
      </w:r>
      <w:bookmarkEnd w:id="5"/>
      <w:bookmarkEnd w:id="6"/>
      <w:bookmarkEnd w:id="7"/>
      <w:bookmarkEnd w:id="8"/>
      <w:bookmarkEnd w:id="9"/>
      <w:bookmarkEnd w:id="10"/>
      <w:bookmarkEnd w:id="11"/>
      <w:bookmarkEnd w:id="12"/>
      <w:bookmarkEnd w:id="13"/>
      <w:r w:rsidR="00186982">
        <w:t xml:space="preserve"> Collection</w:t>
      </w:r>
      <w:bookmarkEnd w:id="14"/>
    </w:p>
    <w:p w14:paraId="7C7ED2A0" w14:textId="77777777" w:rsidR="0068197A" w:rsidRPr="002D0805" w:rsidRDefault="0068197A" w:rsidP="002F40AB">
      <w:pPr>
        <w:autoSpaceDE w:val="0"/>
        <w:autoSpaceDN w:val="0"/>
        <w:adjustRightInd w:val="0"/>
      </w:pPr>
    </w:p>
    <w:p w14:paraId="7DCB0A42" w14:textId="70C912F5" w:rsidR="00B864A4" w:rsidRDefault="005220C3" w:rsidP="005220C3">
      <w:pPr>
        <w:spacing w:before="240" w:after="200" w:line="360" w:lineRule="auto"/>
      </w:pPr>
      <w:r w:rsidRPr="001842FD">
        <w:t xml:space="preserve">The </w:t>
      </w:r>
      <w:r w:rsidR="007644D8">
        <w:t xml:space="preserve">purpose of </w:t>
      </w:r>
      <w:r w:rsidRPr="001842FD">
        <w:t xml:space="preserve">the </w:t>
      </w:r>
      <w:r w:rsidR="008B2769">
        <w:t>Drinking</w:t>
      </w:r>
      <w:r>
        <w:t xml:space="preserve"> Water EI at Dimock, PA</w:t>
      </w:r>
      <w:r w:rsidR="005A26B8">
        <w:t xml:space="preserve"> </w:t>
      </w:r>
      <w:r w:rsidR="007644D8">
        <w:t>is</w:t>
      </w:r>
      <w:r w:rsidR="005A26B8">
        <w:t xml:space="preserve"> to determine whether </w:t>
      </w:r>
      <w:r w:rsidR="00A71E6C">
        <w:t>constituents</w:t>
      </w:r>
      <w:r w:rsidR="005A26B8">
        <w:t xml:space="preserve"> associated with natural gas drilling activities may </w:t>
      </w:r>
      <w:r w:rsidR="0068708B">
        <w:t>be present in drinking water at levels that may result in health</w:t>
      </w:r>
      <w:r w:rsidR="00E44B79">
        <w:t xml:space="preserve"> effects</w:t>
      </w:r>
      <w:r w:rsidR="007E5D9A">
        <w:t xml:space="preserve"> (chemical or radon exposure) or safety </w:t>
      </w:r>
      <w:r w:rsidR="00E44B79">
        <w:t xml:space="preserve">concerns </w:t>
      </w:r>
      <w:r w:rsidR="007E5D9A">
        <w:t>(methane).</w:t>
      </w:r>
      <w:r w:rsidR="00ED3EB4">
        <w:t xml:space="preserve"> If this is the case, ATSDR will </w:t>
      </w:r>
      <w:r w:rsidR="00B864A4">
        <w:t xml:space="preserve">make the following </w:t>
      </w:r>
      <w:r w:rsidR="00FF5398">
        <w:t>recommend</w:t>
      </w:r>
      <w:r w:rsidR="00B864A4">
        <w:t>ations</w:t>
      </w:r>
      <w:r w:rsidR="007C23DA">
        <w:t xml:space="preserve"> to residents</w:t>
      </w:r>
      <w:r w:rsidR="00B864A4">
        <w:t>:</w:t>
      </w:r>
    </w:p>
    <w:p w14:paraId="7F6A7749" w14:textId="73AA0A6C" w:rsidR="008F6968" w:rsidRDefault="00FF5398" w:rsidP="008F6968">
      <w:pPr>
        <w:pStyle w:val="ListParagraph"/>
        <w:numPr>
          <w:ilvl w:val="1"/>
          <w:numId w:val="12"/>
        </w:numPr>
        <w:spacing w:before="240" w:after="200" w:line="360" w:lineRule="auto"/>
      </w:pPr>
      <w:r>
        <w:t xml:space="preserve">install a home water treatment system </w:t>
      </w:r>
      <w:r w:rsidR="003C54D2">
        <w:t>to address chemical</w:t>
      </w:r>
      <w:r w:rsidR="00B066AB">
        <w:t>s</w:t>
      </w:r>
      <w:r w:rsidR="003C54D2">
        <w:t xml:space="preserve"> and methane in water </w:t>
      </w:r>
      <w:r>
        <w:t>or obtain an alternative source of drinking water</w:t>
      </w:r>
      <w:r w:rsidR="007C23DA">
        <w:t>,</w:t>
      </w:r>
      <w:r w:rsidR="008F6968">
        <w:t xml:space="preserve"> </w:t>
      </w:r>
      <w:r w:rsidR="007E5D9A">
        <w:t>and</w:t>
      </w:r>
    </w:p>
    <w:p w14:paraId="1EC046B3" w14:textId="1B35E9B8" w:rsidR="007C23DA" w:rsidRDefault="00681797" w:rsidP="00B864A4">
      <w:pPr>
        <w:pStyle w:val="ListParagraph"/>
        <w:numPr>
          <w:ilvl w:val="1"/>
          <w:numId w:val="12"/>
        </w:numPr>
        <w:spacing w:before="240" w:after="200" w:line="360" w:lineRule="auto"/>
      </w:pPr>
      <w:r>
        <w:t xml:space="preserve">install a radon treatment system if radon levels are found to be above the </w:t>
      </w:r>
      <w:r w:rsidR="007E5D9A">
        <w:t>action level.</w:t>
      </w:r>
    </w:p>
    <w:p w14:paraId="0710AD81" w14:textId="61944C34" w:rsidR="00154C0F" w:rsidRDefault="00F31C3D" w:rsidP="0088449B">
      <w:pPr>
        <w:tabs>
          <w:tab w:val="left" w:pos="1545"/>
        </w:tabs>
        <w:spacing w:before="240" w:after="200" w:line="360" w:lineRule="auto"/>
      </w:pPr>
      <w:r>
        <w:t>Data</w:t>
      </w:r>
      <w:r w:rsidR="0075380A">
        <w:t xml:space="preserve"> </w:t>
      </w:r>
      <w:r w:rsidR="0070071C">
        <w:t xml:space="preserve">from </w:t>
      </w:r>
      <w:r w:rsidR="00154C0F" w:rsidRPr="00C91A37">
        <w:t>ATSDR’s</w:t>
      </w:r>
      <w:r w:rsidR="003732FE">
        <w:t xml:space="preserve"> </w:t>
      </w:r>
      <w:r w:rsidR="0088449B">
        <w:t xml:space="preserve">Dimock </w:t>
      </w:r>
      <w:r w:rsidR="00154C0F" w:rsidRPr="00C91A37">
        <w:t>EI report</w:t>
      </w:r>
      <w:r w:rsidR="00B21F21">
        <w:t xml:space="preserve"> may be</w:t>
      </w:r>
      <w:r w:rsidR="00154C0F" w:rsidRPr="00C91A37">
        <w:t xml:space="preserve"> used by public health professionals, environmental risk managers, and other decision makers in determining the source and extent of the exposures. </w:t>
      </w:r>
    </w:p>
    <w:p w14:paraId="2752E60B" w14:textId="0A8A2FD5" w:rsidR="00221518" w:rsidRDefault="00CC797F" w:rsidP="0088449B">
      <w:pPr>
        <w:autoSpaceDE w:val="0"/>
        <w:autoSpaceDN w:val="0"/>
        <w:adjustRightInd w:val="0"/>
        <w:spacing w:before="240" w:after="200" w:line="360" w:lineRule="auto"/>
        <w:rPr>
          <w:bCs/>
        </w:rPr>
      </w:pPr>
      <w:r>
        <w:t>ATSDR</w:t>
      </w:r>
      <w:r w:rsidR="00375D68">
        <w:t xml:space="preserve"> will produce </w:t>
      </w:r>
      <w:r w:rsidR="00B21F21">
        <w:t xml:space="preserve">this </w:t>
      </w:r>
      <w:r w:rsidR="00375D68">
        <w:t xml:space="preserve">needed information to support public health action. Further, </w:t>
      </w:r>
      <w:r w:rsidR="00FC0A68">
        <w:t>th</w:t>
      </w:r>
      <w:r w:rsidR="008553BA">
        <w:t>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participants.  </w:t>
      </w:r>
    </w:p>
    <w:p w14:paraId="40C9505B" w14:textId="77777777" w:rsidR="00A821CE" w:rsidRDefault="009901D9" w:rsidP="0088449B">
      <w:pPr>
        <w:tabs>
          <w:tab w:val="left" w:pos="1545"/>
        </w:tabs>
        <w:spacing w:before="240" w:after="200" w:line="360" w:lineRule="auto"/>
        <w:rPr>
          <w:i/>
        </w:rPr>
      </w:pPr>
      <w:bookmarkStart w:id="15" w:name="_Toc305153414"/>
      <w:bookmarkStart w:id="16" w:name="_Toc305153632"/>
      <w:bookmarkStart w:id="17" w:name="_Toc305154208"/>
      <w:bookmarkStart w:id="18" w:name="_Toc305155362"/>
      <w:bookmarkStart w:id="19" w:name="_Toc306341892"/>
      <w:bookmarkStart w:id="20" w:name="_Toc306344145"/>
      <w:bookmarkStart w:id="21" w:name="_Toc306344786"/>
      <w:bookmarkStart w:id="22" w:name="_Toc306345027"/>
      <w:bookmarkStart w:id="23" w:name="_Toc311445496"/>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DD4D45">
        <w:rPr>
          <w:i/>
        </w:rPr>
        <w:t>.</w:t>
      </w:r>
    </w:p>
    <w:p w14:paraId="02803D64" w14:textId="68DB53A1" w:rsidR="001B1D3C" w:rsidDel="0036112F" w:rsidRDefault="001B1D3C" w:rsidP="001B1D3C">
      <w:pPr>
        <w:tabs>
          <w:tab w:val="left" w:pos="1545"/>
        </w:tabs>
        <w:spacing w:before="240" w:after="200" w:line="360" w:lineRule="auto"/>
      </w:pPr>
      <w:r w:rsidRPr="00275F48">
        <w:rPr>
          <w:rStyle w:val="bumpedfont15"/>
          <w:rFonts w:eastAsiaTheme="minorHAnsi"/>
        </w:rPr>
        <w:t>If greater than 20 residences me</w:t>
      </w:r>
      <w:r w:rsidR="00310FB9">
        <w:rPr>
          <w:rStyle w:val="bumpedfont15"/>
          <w:rFonts w:eastAsiaTheme="minorHAnsi"/>
        </w:rPr>
        <w:t>e</w:t>
      </w:r>
      <w:r w:rsidRPr="00275F48">
        <w:rPr>
          <w:rStyle w:val="bumpedfont15"/>
          <w:rFonts w:eastAsiaTheme="minorHAnsi"/>
        </w:rPr>
        <w:t>t the criteria, participants will be selected based on the results of the 2012 EPA testing: Those with well water with the highest number and/or concentration of contaminants of concern will be given priority for inclusion in the EI. As such, the test results from this investigation will be specific to these participants and are not generalizable to the community-at-large or to other populations.</w:t>
      </w:r>
      <w:r w:rsidRPr="00275F48">
        <w:t xml:space="preserve"> The participants will be tested in summer 2017.</w:t>
      </w:r>
    </w:p>
    <w:p w14:paraId="10BAC0B4" w14:textId="77777777" w:rsidR="00A821CE" w:rsidRDefault="00A821CE" w:rsidP="0088449B">
      <w:pPr>
        <w:spacing w:before="240" w:after="200" w:line="360" w:lineRule="auto"/>
      </w:pPr>
      <w:r>
        <w:lastRenderedPageBreak/>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14:paraId="677F75A2" w14:textId="33528F88" w:rsidR="00322A9F" w:rsidRPr="00D531DA" w:rsidRDefault="00322A9F" w:rsidP="00216DEF">
      <w:pPr>
        <w:pStyle w:val="Heading2"/>
      </w:pPr>
      <w:bookmarkStart w:id="24" w:name="_Toc483922844"/>
      <w:r w:rsidRPr="00D531DA">
        <w:t>A.3</w:t>
      </w:r>
      <w:r w:rsidR="002A0056">
        <w:t>.</w:t>
      </w:r>
      <w:r w:rsidRPr="00D531DA">
        <w:t xml:space="preserve"> Use of Improved Information Technology and Burden Reduction</w:t>
      </w:r>
      <w:bookmarkEnd w:id="15"/>
      <w:bookmarkEnd w:id="16"/>
      <w:bookmarkEnd w:id="17"/>
      <w:bookmarkEnd w:id="18"/>
      <w:bookmarkEnd w:id="19"/>
      <w:bookmarkEnd w:id="20"/>
      <w:bookmarkEnd w:id="21"/>
      <w:bookmarkEnd w:id="22"/>
      <w:bookmarkEnd w:id="23"/>
      <w:bookmarkEnd w:id="24"/>
    </w:p>
    <w:p w14:paraId="1FD0A331" w14:textId="77777777" w:rsidR="00F01A85" w:rsidRDefault="00F01A85" w:rsidP="00167F85">
      <w:pPr>
        <w:tabs>
          <w:tab w:val="left" w:pos="1545"/>
        </w:tabs>
      </w:pPr>
    </w:p>
    <w:p w14:paraId="22115263" w14:textId="1017EEFB" w:rsidR="009704E2" w:rsidRDefault="00167F85" w:rsidP="0088449B">
      <w:pPr>
        <w:tabs>
          <w:tab w:val="left" w:pos="1545"/>
        </w:tabs>
        <w:spacing w:before="240" w:after="200" w:line="360" w:lineRule="auto"/>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3732FE">
        <w:t xml:space="preserve">as well </w:t>
      </w:r>
      <w:r w:rsidR="00C04F17">
        <w:t xml:space="preserve">complete </w:t>
      </w:r>
      <w:r w:rsidR="003732FE">
        <w:t xml:space="preserve">a hard-copy </w:t>
      </w:r>
      <w:r w:rsidR="00C04F17">
        <w:t>questionnaire</w:t>
      </w:r>
      <w:r w:rsidR="00D04DF8">
        <w:t xml:space="preserve"> (Attachment 4)</w:t>
      </w:r>
      <w:r w:rsidR="00C04F17">
        <w:t xml:space="preserve"> </w:t>
      </w:r>
      <w:r w:rsidR="00394595">
        <w:t>with</w:t>
      </w:r>
      <w:r w:rsidR="00BE03A0">
        <w:t xml:space="preserve"> the participants at </w:t>
      </w:r>
      <w:r w:rsidR="00990C98">
        <w:t>their homes</w:t>
      </w:r>
      <w:r w:rsidR="003732FE">
        <w:t xml:space="preserve">. </w:t>
      </w:r>
      <w:r w:rsidR="00394595">
        <w:rPr>
          <w:color w:val="000000"/>
        </w:rPr>
        <w:t xml:space="preserve">The information will be recorded electronically on a laptop computer. </w:t>
      </w:r>
    </w:p>
    <w:p w14:paraId="0D9273AA" w14:textId="0191857B" w:rsidR="0068197A" w:rsidRDefault="0068197A" w:rsidP="00186982">
      <w:pPr>
        <w:pStyle w:val="Heading2"/>
      </w:pPr>
      <w:bookmarkStart w:id="25" w:name="_Toc305153415"/>
      <w:bookmarkStart w:id="26" w:name="_Toc305153633"/>
      <w:bookmarkStart w:id="27" w:name="_Toc305154209"/>
      <w:bookmarkStart w:id="28" w:name="_Toc305155363"/>
      <w:bookmarkStart w:id="29" w:name="_Toc306341893"/>
      <w:bookmarkStart w:id="30" w:name="_Toc306344146"/>
      <w:bookmarkStart w:id="31" w:name="_Toc306344787"/>
      <w:bookmarkStart w:id="32" w:name="_Toc306345028"/>
      <w:bookmarkStart w:id="33" w:name="_Toc311445497"/>
      <w:bookmarkStart w:id="34" w:name="_Toc483922845"/>
      <w:r w:rsidRPr="004F54A8">
        <w:t>A.4</w:t>
      </w:r>
      <w:r w:rsidR="002A0056">
        <w:t>.</w:t>
      </w:r>
      <w:r w:rsidRPr="004F54A8">
        <w:t xml:space="preserve"> Efforts </w:t>
      </w:r>
      <w:r w:rsidR="00261215">
        <w:t xml:space="preserve">to </w:t>
      </w:r>
      <w:r w:rsidRPr="004F54A8">
        <w:t>Identify Duplication and Use of Similar Information</w:t>
      </w:r>
      <w:bookmarkEnd w:id="25"/>
      <w:bookmarkEnd w:id="26"/>
      <w:bookmarkEnd w:id="27"/>
      <w:bookmarkEnd w:id="28"/>
      <w:bookmarkEnd w:id="29"/>
      <w:bookmarkEnd w:id="30"/>
      <w:bookmarkEnd w:id="31"/>
      <w:bookmarkEnd w:id="32"/>
      <w:bookmarkEnd w:id="33"/>
      <w:bookmarkEnd w:id="34"/>
    </w:p>
    <w:p w14:paraId="466BF01D" w14:textId="77777777" w:rsidR="004F54A8" w:rsidRPr="004F54A8" w:rsidRDefault="004F54A8" w:rsidP="004F54A8"/>
    <w:p w14:paraId="054A4925" w14:textId="06A63ACC" w:rsidR="0088449B" w:rsidRDefault="00370D12" w:rsidP="00180FB8">
      <w:pPr>
        <w:spacing w:before="240" w:after="200" w:line="360" w:lineRule="auto"/>
      </w:pPr>
      <w:r>
        <w:t xml:space="preserve"> P</w:t>
      </w:r>
      <w:r w:rsidR="0088449B">
        <w:t xml:space="preserve">rivate well data from </w:t>
      </w:r>
      <w:r w:rsidR="00180FB8">
        <w:t xml:space="preserve">64 residences </w:t>
      </w:r>
      <w:r w:rsidR="00E85365">
        <w:t xml:space="preserve">was collected by EPA </w:t>
      </w:r>
      <w:r w:rsidR="00180FB8">
        <w:t>in 2012. Data collected included samples at the well, the tap and, where applicable, before and after any existing home water treatment system. Sampling results were used to determine whether residents should be supplied an alternative source of drinking water (bulk water).</w:t>
      </w:r>
    </w:p>
    <w:p w14:paraId="3EB5DF13" w14:textId="5177F459" w:rsidR="00180FB8" w:rsidRDefault="00180FB8" w:rsidP="00007A64">
      <w:pPr>
        <w:widowControl w:val="0"/>
        <w:autoSpaceDE w:val="0"/>
        <w:autoSpaceDN w:val="0"/>
        <w:adjustRightInd w:val="0"/>
        <w:spacing w:line="360" w:lineRule="auto"/>
      </w:pPr>
      <w:r>
        <w:t xml:space="preserve">Site conditions have changed since 2012, when the last comprehensive groundwater data set was acquired for the site area: (1) PADEP lifted a moratorium on completion of previously drilled wells in the site area in August 2012; and (2) In December 2012 and February 2013, several residents reported to PADEP and one resident reported to the National Response Center visual changes in their private drinking water quality (turbidity, color changes, increased methane) (NRC 2012, verbal communications to ATSDR Region 3 from EPA Region 3 and residents). </w:t>
      </w:r>
      <w:r w:rsidR="00007A64">
        <w:t>R</w:t>
      </w:r>
      <w:r w:rsidR="005E1887">
        <w:t xml:space="preserve">esidents in the area have also been concerned </w:t>
      </w:r>
      <w:r w:rsidR="00AE4E8C">
        <w:t xml:space="preserve">about radon levels in the Dimock area. </w:t>
      </w:r>
      <w:r>
        <w:t xml:space="preserve">Given the changes in site conditions and the lack of information regarding levels of </w:t>
      </w:r>
      <w:r w:rsidR="005E1887">
        <w:t xml:space="preserve">radon in water and </w:t>
      </w:r>
      <w:r>
        <w:t>indoor radon in the area, the samples collected for this EI will include:</w:t>
      </w:r>
    </w:p>
    <w:p w14:paraId="6F4EA4AC" w14:textId="1E40E6B3" w:rsidR="00180FB8" w:rsidRDefault="00180FB8" w:rsidP="00B86A20">
      <w:pPr>
        <w:pStyle w:val="ListParagraph"/>
        <w:numPr>
          <w:ilvl w:val="0"/>
          <w:numId w:val="13"/>
        </w:numPr>
        <w:spacing w:before="240" w:after="200" w:line="360" w:lineRule="auto"/>
      </w:pPr>
      <w:r>
        <w:t xml:space="preserve">Samples of </w:t>
      </w:r>
      <w:r w:rsidR="00E5693F">
        <w:t>drinking water and raw</w:t>
      </w:r>
      <w:r w:rsidR="00442DF3">
        <w:t xml:space="preserve"> groundwater</w:t>
      </w:r>
      <w:r>
        <w:t>, as appropriate</w:t>
      </w:r>
    </w:p>
    <w:p w14:paraId="0EA353EA" w14:textId="3057843B" w:rsidR="00180FB8" w:rsidRDefault="00180FB8" w:rsidP="00B86A20">
      <w:pPr>
        <w:pStyle w:val="ListParagraph"/>
        <w:numPr>
          <w:ilvl w:val="0"/>
          <w:numId w:val="13"/>
        </w:numPr>
        <w:spacing w:before="240" w:after="200" w:line="360" w:lineRule="auto"/>
      </w:pPr>
      <w:r>
        <w:t>Samples of bulk water supplies that are being provided to residents</w:t>
      </w:r>
    </w:p>
    <w:p w14:paraId="115CCE00" w14:textId="3ADF1A7F" w:rsidR="00180FB8" w:rsidRDefault="00180FB8" w:rsidP="00B86A20">
      <w:pPr>
        <w:pStyle w:val="ListParagraph"/>
        <w:numPr>
          <w:ilvl w:val="0"/>
          <w:numId w:val="13"/>
        </w:numPr>
        <w:spacing w:before="240" w:after="200" w:line="360" w:lineRule="auto"/>
      </w:pPr>
      <w:r>
        <w:t>Sample</w:t>
      </w:r>
      <w:r w:rsidR="00442DF3">
        <w:t>s</w:t>
      </w:r>
      <w:r>
        <w:t xml:space="preserve"> of </w:t>
      </w:r>
      <w:r w:rsidR="00AE4E8C">
        <w:t xml:space="preserve">radon in water and </w:t>
      </w:r>
      <w:r>
        <w:t xml:space="preserve">indoor </w:t>
      </w:r>
      <w:r w:rsidR="00AE4E8C">
        <w:t>air</w:t>
      </w:r>
      <w:r>
        <w:t>.</w:t>
      </w:r>
    </w:p>
    <w:p w14:paraId="0ACB9390" w14:textId="2BA1DBEC" w:rsidR="00322A9F" w:rsidRPr="004F54A8" w:rsidRDefault="00322A9F" w:rsidP="00180FB8">
      <w:pPr>
        <w:pStyle w:val="Heading2"/>
        <w:spacing w:before="240" w:after="200" w:line="360" w:lineRule="auto"/>
      </w:pPr>
      <w:bookmarkStart w:id="35" w:name="_Toc305153416"/>
      <w:bookmarkStart w:id="36" w:name="_Toc305153634"/>
      <w:bookmarkStart w:id="37" w:name="_Toc305154210"/>
      <w:bookmarkStart w:id="38" w:name="_Toc305155364"/>
      <w:bookmarkStart w:id="39" w:name="_Toc306341894"/>
      <w:bookmarkStart w:id="40" w:name="_Toc306344147"/>
      <w:bookmarkStart w:id="41" w:name="_Toc306344788"/>
      <w:bookmarkStart w:id="42" w:name="_Toc306345029"/>
      <w:bookmarkStart w:id="43" w:name="_Toc311445498"/>
      <w:bookmarkStart w:id="44" w:name="_Toc483922846"/>
      <w:r w:rsidRPr="004F54A8">
        <w:lastRenderedPageBreak/>
        <w:t>A.5</w:t>
      </w:r>
      <w:r w:rsidR="002A0056">
        <w:t>.</w:t>
      </w:r>
      <w:r w:rsidRPr="004F54A8">
        <w:t xml:space="preserve"> Impact on Small Business</w:t>
      </w:r>
      <w:r w:rsidR="00261215">
        <w:t>es</w:t>
      </w:r>
      <w:r w:rsidRPr="004F54A8">
        <w:t xml:space="preserve"> or Other Small Entities</w:t>
      </w:r>
      <w:bookmarkEnd w:id="35"/>
      <w:bookmarkEnd w:id="36"/>
      <w:bookmarkEnd w:id="37"/>
      <w:bookmarkEnd w:id="38"/>
      <w:bookmarkEnd w:id="39"/>
      <w:bookmarkEnd w:id="40"/>
      <w:bookmarkEnd w:id="41"/>
      <w:bookmarkEnd w:id="42"/>
      <w:bookmarkEnd w:id="43"/>
      <w:bookmarkEnd w:id="44"/>
    </w:p>
    <w:p w14:paraId="7D3347D2" w14:textId="191A544F" w:rsidR="00D55B9B" w:rsidRDefault="00180FB8" w:rsidP="00180FB8">
      <w:pPr>
        <w:tabs>
          <w:tab w:val="left" w:pos="1545"/>
        </w:tabs>
        <w:spacing w:before="240" w:after="200" w:line="360" w:lineRule="auto"/>
      </w:pPr>
      <w:bookmarkStart w:id="45" w:name="_Toc305153417"/>
      <w:bookmarkStart w:id="46" w:name="_Toc305153635"/>
      <w:bookmarkStart w:id="47" w:name="_Toc305154211"/>
      <w:bookmarkStart w:id="48" w:name="_Toc305155365"/>
      <w:bookmarkStart w:id="49" w:name="_Toc306341895"/>
      <w:bookmarkStart w:id="50" w:name="_Toc306344148"/>
      <w:bookmarkStart w:id="51" w:name="_Toc306344789"/>
      <w:bookmarkStart w:id="52" w:name="_Toc306345030"/>
      <w:bookmarkStart w:id="53" w:name="_Toc311445499"/>
      <w:r>
        <w:t>Small businesses are not included in the sampling plan for the Dimock EI.</w:t>
      </w:r>
    </w:p>
    <w:p w14:paraId="33574C1C" w14:textId="6B930E95" w:rsidR="00322A9F" w:rsidRPr="004F54A8" w:rsidRDefault="00322A9F" w:rsidP="00180FB8">
      <w:pPr>
        <w:pStyle w:val="Heading2"/>
        <w:spacing w:before="240" w:after="200" w:line="360" w:lineRule="auto"/>
      </w:pPr>
      <w:bookmarkStart w:id="54" w:name="_Toc483922847"/>
      <w:r w:rsidRPr="004F54A8">
        <w:t>A.6</w:t>
      </w:r>
      <w:r w:rsidR="002A0056">
        <w:t>.</w:t>
      </w:r>
      <w:r w:rsidRPr="004F54A8">
        <w:t xml:space="preserve"> Consequences of Collecting the Information Less Frequently</w:t>
      </w:r>
      <w:bookmarkEnd w:id="45"/>
      <w:bookmarkEnd w:id="46"/>
      <w:bookmarkEnd w:id="47"/>
      <w:bookmarkEnd w:id="48"/>
      <w:bookmarkEnd w:id="49"/>
      <w:bookmarkEnd w:id="50"/>
      <w:bookmarkEnd w:id="51"/>
      <w:bookmarkEnd w:id="52"/>
      <w:bookmarkEnd w:id="53"/>
      <w:bookmarkEnd w:id="54"/>
    </w:p>
    <w:p w14:paraId="6CD5E1F8" w14:textId="0478A6AF" w:rsidR="00164F2C" w:rsidRDefault="000A2598" w:rsidP="00180FB8">
      <w:pPr>
        <w:tabs>
          <w:tab w:val="left" w:pos="1545"/>
        </w:tabs>
        <w:spacing w:before="240" w:after="200" w:line="360" w:lineRule="auto"/>
      </w:pPr>
      <w:r>
        <w:t xml:space="preserve">This request is for a </w:t>
      </w:r>
      <w:r w:rsidR="00180FB8">
        <w:t>one</w:t>
      </w:r>
      <w:r w:rsidR="00DD5453">
        <w:t>-time</w:t>
      </w:r>
      <w:r>
        <w:t xml:space="preserve"> data collection</w:t>
      </w:r>
      <w:r w:rsidR="00180FB8">
        <w:t xml:space="preserve"> in the summer of 2017.</w:t>
      </w:r>
      <w:r>
        <w:t xml:space="preserve"> </w:t>
      </w:r>
      <w:r w:rsidR="00A6396B">
        <w:t>There are no legal obstacles to reduce the burden.</w:t>
      </w:r>
      <w:bookmarkStart w:id="55" w:name="_Toc305155366"/>
      <w:bookmarkStart w:id="56" w:name="_Toc306341896"/>
      <w:bookmarkStart w:id="57" w:name="_Toc306344149"/>
      <w:bookmarkStart w:id="58" w:name="_Toc306344790"/>
      <w:bookmarkStart w:id="59" w:name="_Toc306345031"/>
      <w:bookmarkStart w:id="60" w:name="_Toc311445500"/>
    </w:p>
    <w:p w14:paraId="644AD829" w14:textId="4722C310" w:rsidR="00322A9F" w:rsidRPr="00266092" w:rsidRDefault="00322A9F" w:rsidP="00180FB8">
      <w:pPr>
        <w:pStyle w:val="Heading2"/>
        <w:spacing w:before="240" w:after="200" w:line="360" w:lineRule="auto"/>
      </w:pPr>
      <w:bookmarkStart w:id="61" w:name="_Toc483922848"/>
      <w:r w:rsidRPr="00266092">
        <w:t>A.7</w:t>
      </w:r>
      <w:r w:rsidR="002A0056">
        <w:t>.</w:t>
      </w:r>
      <w:r w:rsidRPr="00266092">
        <w:t xml:space="preserve"> Special Circumstances Relating to the Guidelines of 5 CFR 1320.5</w:t>
      </w:r>
      <w:bookmarkEnd w:id="55"/>
      <w:bookmarkEnd w:id="56"/>
      <w:bookmarkEnd w:id="57"/>
      <w:bookmarkEnd w:id="58"/>
      <w:bookmarkEnd w:id="59"/>
      <w:bookmarkEnd w:id="60"/>
      <w:bookmarkEnd w:id="61"/>
    </w:p>
    <w:p w14:paraId="6B8E9580" w14:textId="77777777" w:rsidR="0073591C" w:rsidRPr="002D0805" w:rsidRDefault="00322A9F" w:rsidP="00180FB8">
      <w:pPr>
        <w:autoSpaceDE w:val="0"/>
        <w:autoSpaceDN w:val="0"/>
        <w:adjustRightInd w:val="0"/>
        <w:spacing w:before="240" w:after="200" w:line="360" w:lineRule="auto"/>
        <w:rPr>
          <w:b/>
          <w:bCs/>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14:paraId="1C6D177D" w14:textId="710490E8" w:rsidR="007E0E75" w:rsidRPr="003934D6" w:rsidRDefault="00322A9F" w:rsidP="00180FB8">
      <w:pPr>
        <w:pStyle w:val="Heading2"/>
        <w:spacing w:before="240" w:after="200" w:line="360" w:lineRule="auto"/>
      </w:pPr>
      <w:bookmarkStart w:id="62" w:name="_Toc305155367"/>
      <w:bookmarkStart w:id="63" w:name="_Toc306341897"/>
      <w:bookmarkStart w:id="64" w:name="_Toc306344150"/>
      <w:bookmarkStart w:id="65" w:name="_Toc306344791"/>
      <w:bookmarkStart w:id="66" w:name="_Toc306345032"/>
      <w:bookmarkStart w:id="67" w:name="_Toc311445501"/>
      <w:bookmarkStart w:id="68" w:name="_Toc483922849"/>
      <w:r w:rsidRPr="003934D6">
        <w:t>A.8</w:t>
      </w:r>
      <w:r w:rsidR="002A0056">
        <w:t>.</w:t>
      </w:r>
      <w:r w:rsidRPr="003934D6">
        <w:t xml:space="preserve"> Comments in Response to the Federal Register Notice and Efforts to Consult Outside</w:t>
      </w:r>
      <w:bookmarkEnd w:id="62"/>
      <w:bookmarkEnd w:id="63"/>
      <w:bookmarkEnd w:id="64"/>
      <w:bookmarkEnd w:id="65"/>
      <w:bookmarkEnd w:id="66"/>
      <w:bookmarkEnd w:id="67"/>
      <w:r w:rsidR="00186982" w:rsidRPr="003934D6">
        <w:t xml:space="preserve"> the Agency</w:t>
      </w:r>
      <w:bookmarkEnd w:id="68"/>
      <w:r w:rsidR="00186982" w:rsidRPr="003934D6">
        <w:t xml:space="preserve"> </w:t>
      </w:r>
    </w:p>
    <w:p w14:paraId="25DA6C44" w14:textId="15D5B891" w:rsidR="00DD5453" w:rsidRDefault="000A2598" w:rsidP="00180FB8">
      <w:pPr>
        <w:tabs>
          <w:tab w:val="left" w:pos="1545"/>
        </w:tabs>
        <w:spacing w:before="240" w:after="200" w:line="360" w:lineRule="auto"/>
        <w:rPr>
          <w:color w:val="000000"/>
        </w:rPr>
      </w:pPr>
      <w:r>
        <w:rPr>
          <w:color w:val="000000"/>
        </w:rPr>
        <w:t xml:space="preserve">This data collection is being conducted using the Generic Information Collection mechanism for Exposure Investigations – OMB </w:t>
      </w:r>
      <w:r w:rsidR="00CB584F">
        <w:rPr>
          <w:color w:val="000000"/>
        </w:rPr>
        <w:t xml:space="preserve">Control </w:t>
      </w:r>
      <w:r>
        <w:rPr>
          <w:color w:val="000000"/>
        </w:rPr>
        <w:t>No. 0923-0048</w:t>
      </w:r>
      <w:r w:rsidR="001A7EA9">
        <w:rPr>
          <w:color w:val="000000"/>
        </w:rPr>
        <w:t xml:space="preserve"> (expiration date: 0</w:t>
      </w:r>
      <w:r w:rsidR="00EE7C07">
        <w:rPr>
          <w:color w:val="000000"/>
        </w:rPr>
        <w:t>3</w:t>
      </w:r>
      <w:r w:rsidR="001A7EA9">
        <w:rPr>
          <w:color w:val="000000"/>
        </w:rPr>
        <w:t>/31/201</w:t>
      </w:r>
      <w:r w:rsidR="00EE7C07">
        <w:rPr>
          <w:color w:val="000000"/>
        </w:rPr>
        <w:t>9</w:t>
      </w:r>
      <w:r w:rsidR="001A7EA9">
        <w:rPr>
          <w:color w:val="000000"/>
        </w:rPr>
        <w:t>)</w:t>
      </w:r>
      <w:r>
        <w:rPr>
          <w:color w:val="000000"/>
        </w:rPr>
        <w:t xml:space="preserve">.  A </w:t>
      </w:r>
      <w:r w:rsidR="00A6396B">
        <w:t xml:space="preserve">60-day Federal Register </w:t>
      </w:r>
      <w:r w:rsidR="00DD5453">
        <w:t>N</w:t>
      </w:r>
      <w:r w:rsidR="00A6396B">
        <w:t xml:space="preserve">otice was published in the </w:t>
      </w:r>
      <w:r w:rsidR="00A6396B" w:rsidRPr="0039614F">
        <w:rPr>
          <w:i/>
        </w:rPr>
        <w:t>Federal Register</w:t>
      </w:r>
      <w:r w:rsidR="00A6396B">
        <w:t xml:space="preserve">, Vol. </w:t>
      </w:r>
      <w:r w:rsidR="00C96CF6">
        <w:t>80</w:t>
      </w:r>
      <w:r w:rsidR="00A6396B">
        <w:t xml:space="preserve">, No. </w:t>
      </w:r>
      <w:r w:rsidR="00C96CF6">
        <w:t>189</w:t>
      </w:r>
      <w:r w:rsidR="00A6396B">
        <w:t xml:space="preserve"> on </w:t>
      </w:r>
      <w:r w:rsidR="00C96CF6">
        <w:t>Wednesday</w:t>
      </w:r>
      <w:r w:rsidR="00A6396B">
        <w:t xml:space="preserve">, </w:t>
      </w:r>
      <w:r w:rsidR="00C96CF6">
        <w:t>September 30</w:t>
      </w:r>
      <w:r w:rsidR="00A6396B">
        <w:t>, 201</w:t>
      </w:r>
      <w:r w:rsidR="00C96CF6">
        <w:t>5</w:t>
      </w:r>
      <w:r w:rsidR="00A6396B" w:rsidRPr="0039614F">
        <w:rPr>
          <w:color w:val="000000"/>
        </w:rPr>
        <w:t xml:space="preserve">. </w:t>
      </w:r>
      <w:r>
        <w:rPr>
          <w:color w:val="000000"/>
        </w:rPr>
        <w:t xml:space="preserve">No comments were received. </w:t>
      </w:r>
      <w:bookmarkStart w:id="69" w:name="_Toc305155369"/>
      <w:bookmarkStart w:id="70" w:name="_Toc306341899"/>
      <w:bookmarkStart w:id="71" w:name="_Toc306344152"/>
      <w:bookmarkStart w:id="72" w:name="_Toc306344793"/>
      <w:bookmarkStart w:id="73" w:name="_Toc306345034"/>
      <w:bookmarkStart w:id="74" w:name="_Toc311445503"/>
    </w:p>
    <w:p w14:paraId="63642ACE" w14:textId="4A0542B9" w:rsidR="008C45E6" w:rsidRDefault="008C45E6" w:rsidP="00180FB8">
      <w:pPr>
        <w:tabs>
          <w:tab w:val="left" w:pos="1545"/>
        </w:tabs>
        <w:spacing w:before="240" w:after="200" w:line="360" w:lineRule="auto"/>
        <w:rPr>
          <w:rFonts w:asciiTheme="majorHAnsi" w:eastAsiaTheme="majorEastAsia" w:hAnsiTheme="majorHAnsi" w:cstheme="majorBidi"/>
          <w:b/>
          <w:bCs/>
          <w:color w:val="4F81BD" w:themeColor="accent1"/>
          <w:sz w:val="26"/>
          <w:szCs w:val="26"/>
        </w:rPr>
      </w:pPr>
      <w:r>
        <w:rPr>
          <w:color w:val="000000"/>
        </w:rPr>
        <w:t xml:space="preserve">ATSDR is conducting this EI in collaboration with </w:t>
      </w:r>
      <w:r w:rsidR="00180FB8">
        <w:rPr>
          <w:color w:val="000000"/>
        </w:rPr>
        <w:t xml:space="preserve">EPA, the Pennsylvania Department of </w:t>
      </w:r>
      <w:r w:rsidR="00C06F8D">
        <w:rPr>
          <w:color w:val="000000"/>
        </w:rPr>
        <w:t>Environmental Protection (PADEP) and the Pennsylvania Department of Health (PADOH)</w:t>
      </w:r>
      <w:r>
        <w:rPr>
          <w:color w:val="000000"/>
        </w:rPr>
        <w:t>.</w:t>
      </w:r>
    </w:p>
    <w:p w14:paraId="47783888" w14:textId="7968C1C3" w:rsidR="0068197A" w:rsidRPr="00266092" w:rsidRDefault="0068197A" w:rsidP="00180FB8">
      <w:pPr>
        <w:pStyle w:val="Heading2"/>
        <w:spacing w:before="240" w:after="200" w:line="360" w:lineRule="auto"/>
      </w:pPr>
      <w:bookmarkStart w:id="75" w:name="_Toc483922850"/>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69"/>
      <w:bookmarkEnd w:id="70"/>
      <w:bookmarkEnd w:id="71"/>
      <w:bookmarkEnd w:id="72"/>
      <w:bookmarkEnd w:id="73"/>
      <w:bookmarkEnd w:id="74"/>
      <w:bookmarkEnd w:id="75"/>
    </w:p>
    <w:p w14:paraId="0A9E3576" w14:textId="77777777" w:rsidR="00BA56FB" w:rsidRDefault="00980401" w:rsidP="00180FB8">
      <w:pPr>
        <w:tabs>
          <w:tab w:val="left" w:pos="1545"/>
        </w:tabs>
        <w:spacing w:before="240" w:after="200" w:line="360" w:lineRule="auto"/>
      </w:pPr>
      <w:bookmarkStart w:id="76" w:name="_Toc305155370"/>
      <w:bookmarkStart w:id="77" w:name="_Toc306341900"/>
      <w:bookmarkStart w:id="78" w:name="_Toc306344153"/>
      <w:bookmarkStart w:id="79" w:name="_Toc306344794"/>
      <w:bookmarkStart w:id="80" w:name="_Toc306345035"/>
      <w:bookmarkStart w:id="81" w:name="_Toc311445504"/>
      <w:r>
        <w:t>ATSDR will not provide payments or gifts to participants.</w:t>
      </w:r>
    </w:p>
    <w:p w14:paraId="72759E65" w14:textId="098CF57C" w:rsidR="00EA3580" w:rsidRDefault="00EA3580" w:rsidP="00180FB8">
      <w:pPr>
        <w:pStyle w:val="Heading2"/>
        <w:spacing w:before="240" w:after="200" w:line="360" w:lineRule="auto"/>
      </w:pPr>
      <w:bookmarkStart w:id="82" w:name="_Toc483922851"/>
      <w:r>
        <w:t xml:space="preserve">A.10. </w:t>
      </w:r>
      <w:r w:rsidR="00461481">
        <w:t>Assurance of Confidentiality Provided to Respondents</w:t>
      </w:r>
      <w:bookmarkEnd w:id="82"/>
    </w:p>
    <w:bookmarkEnd w:id="76"/>
    <w:bookmarkEnd w:id="77"/>
    <w:bookmarkEnd w:id="78"/>
    <w:bookmarkEnd w:id="79"/>
    <w:bookmarkEnd w:id="80"/>
    <w:bookmarkEnd w:id="81"/>
    <w:p w14:paraId="3DFC7567" w14:textId="11ED34A6" w:rsidR="005203CB" w:rsidRDefault="00B7549D" w:rsidP="006E3226">
      <w:pPr>
        <w:autoSpaceDE w:val="0"/>
        <w:autoSpaceDN w:val="0"/>
        <w:adjustRightInd w:val="0"/>
        <w:spacing w:after="100" w:afterAutospacing="1" w:line="360" w:lineRule="auto"/>
      </w:pPr>
      <w:r w:rsidRPr="00C41444">
        <w:t xml:space="preserve">This submission has </w:t>
      </w:r>
      <w:r w:rsidRPr="00B008C1">
        <w:t>been reviewed by</w:t>
      </w:r>
      <w:r w:rsidR="00A96A4D" w:rsidRPr="000A7CAB">
        <w:t xml:space="preserve"> the NCEH</w:t>
      </w:r>
      <w:r w:rsidR="00E04144">
        <w:t>/ATSDR</w:t>
      </w:r>
      <w:r w:rsidR="00A96A4D" w:rsidRPr="000A7CAB">
        <w:t xml:space="preserve"> Information Systems Security officer</w:t>
      </w:r>
      <w:r w:rsidRPr="000A7CAB">
        <w:t xml:space="preserve"> who determined that the Privacy Act does apply. The relevant Privacy Act Syste</w:t>
      </w:r>
      <w:r w:rsidRPr="00B4500F">
        <w:t xml:space="preserve">m of Records Notice (SORN) for this EI is </w:t>
      </w:r>
      <w:r w:rsidR="00A96A4D" w:rsidRPr="00AB317D">
        <w:t xml:space="preserve">Privacy Act System Notice 09-19-0001, </w:t>
      </w:r>
      <w:r w:rsidRPr="000A7CAB">
        <w:t>Records of Persons Exposed or Potentially Exposed to Toxic</w:t>
      </w:r>
      <w:r w:rsidRPr="00C41444">
        <w:t xml:space="preserve"> or Hazardous Substances (HHS/ATSDR). </w:t>
      </w:r>
    </w:p>
    <w:p w14:paraId="7C00BFFB" w14:textId="0C989DCC" w:rsidR="00A058F0" w:rsidRDefault="00B7549D" w:rsidP="006E3226">
      <w:pPr>
        <w:autoSpaceDE w:val="0"/>
        <w:autoSpaceDN w:val="0"/>
        <w:adjustRightInd w:val="0"/>
        <w:spacing w:after="100" w:afterAutospacing="1" w:line="360" w:lineRule="auto"/>
        <w:rPr>
          <w:rFonts w:cs="ITCFranklinGothicStd-Book"/>
        </w:rPr>
      </w:pPr>
      <w:r w:rsidRPr="00C41444">
        <w:lastRenderedPageBreak/>
        <w:t>This SORN is intended to allow for the implementation of the legislated mandate of ATSDR to identify the public health threat caused by exposure to toxic and hazardous substances using exposure investigations.</w:t>
      </w:r>
      <w:r w:rsidR="00A058F0" w:rsidRPr="00A058F0">
        <w:rPr>
          <w:rFonts w:cs="ITCFranklinGothicStd-Book"/>
        </w:rPr>
        <w:t xml:space="preserve"> </w:t>
      </w:r>
      <w:r w:rsidR="00A058F0" w:rsidRPr="00A73A59">
        <w:rPr>
          <w:rFonts w:cs="ITCFranklinGothicStd-Book"/>
        </w:rPr>
        <w:t>The following I</w:t>
      </w:r>
      <w:r w:rsidR="00A058F0">
        <w:rPr>
          <w:rFonts w:cs="ITCFranklinGothicStd-Book"/>
        </w:rPr>
        <w:t>nformation in Identifiable Form (I</w:t>
      </w:r>
      <w:r w:rsidR="00A058F0" w:rsidRPr="00A73A59">
        <w:rPr>
          <w:rFonts w:cs="ITCFranklinGothicStd-Book"/>
        </w:rPr>
        <w:t>IF</w:t>
      </w:r>
      <w:r w:rsidR="00A058F0">
        <w:rPr>
          <w:rFonts w:cs="ITCFranklinGothicStd-Book"/>
        </w:rPr>
        <w:t>)</w:t>
      </w:r>
      <w:r w:rsidR="00A058F0" w:rsidRPr="00A73A59">
        <w:rPr>
          <w:rFonts w:cs="ITCFranklinGothicStd-Book"/>
        </w:rPr>
        <w:t xml:space="preserve"> Categories apply</w:t>
      </w:r>
      <w:r w:rsidR="005C00F6">
        <w:rPr>
          <w:rFonts w:cs="ITCFranklinGothicStd-Book"/>
        </w:rPr>
        <w:t xml:space="preserve"> to this information collection</w:t>
      </w:r>
      <w:r w:rsidR="00A058F0" w:rsidRPr="00442DF3">
        <w:rPr>
          <w:rFonts w:cs="ITCFranklinGothicStd-Book"/>
        </w:rPr>
        <w:t>:</w:t>
      </w:r>
    </w:p>
    <w:p w14:paraId="43D203C2" w14:textId="77777777" w:rsidR="00A058F0" w:rsidRDefault="00A058F0" w:rsidP="00A058F0">
      <w:pPr>
        <w:autoSpaceDE w:val="0"/>
        <w:autoSpaceDN w:val="0"/>
        <w:adjustRightInd w:val="0"/>
        <w:ind w:left="360"/>
        <w:rPr>
          <w:rFonts w:cs="ITCFranklinGothicStd-Book"/>
        </w:rPr>
      </w:pPr>
    </w:p>
    <w:p w14:paraId="6AE701D1" w14:textId="77777777" w:rsidR="00A058F0" w:rsidRDefault="00A058F0" w:rsidP="00A058F0">
      <w:pPr>
        <w:autoSpaceDE w:val="0"/>
        <w:autoSpaceDN w:val="0"/>
        <w:adjustRightInd w:val="0"/>
        <w:ind w:left="360"/>
      </w:pPr>
      <w:r>
        <w:rPr>
          <w:rFonts w:cs="ITCFranklinGothicStd-Book"/>
        </w:rPr>
        <w:tab/>
      </w:r>
      <w:r>
        <w:rPr>
          <w:rFonts w:cs="ITCFranklinGothicStd-Book"/>
        </w:rPr>
        <w:tab/>
      </w:r>
      <w:r w:rsidRPr="00D20211">
        <w:rPr>
          <w:rFonts w:ascii="Segoe UI Symbol" w:hAnsi="Segoe UI Symbol" w:cs="Segoe UI Symbol"/>
        </w:rPr>
        <w:t>❑</w:t>
      </w:r>
      <w:r w:rsidRPr="00D20211">
        <w:t xml:space="preserve"> Name</w:t>
      </w:r>
      <w:r>
        <w:tab/>
      </w:r>
      <w:r>
        <w:tab/>
      </w:r>
      <w:r>
        <w:tab/>
      </w:r>
      <w:r w:rsidRPr="00D20211">
        <w:rPr>
          <w:rFonts w:ascii="Segoe UI Symbol" w:hAnsi="Segoe UI Symbol" w:cs="Segoe UI Symbol"/>
        </w:rPr>
        <w:t>❑</w:t>
      </w:r>
      <w:r>
        <w:t xml:space="preserve"> Phone Numbers</w:t>
      </w:r>
    </w:p>
    <w:p w14:paraId="055576C8" w14:textId="77777777" w:rsidR="005203CB" w:rsidRDefault="00A058F0" w:rsidP="00A058F0">
      <w:pPr>
        <w:autoSpaceDE w:val="0"/>
        <w:autoSpaceDN w:val="0"/>
        <w:adjustRightInd w:val="0"/>
        <w:ind w:left="360"/>
      </w:pPr>
      <w:r>
        <w:tab/>
      </w:r>
      <w:r>
        <w:tab/>
      </w:r>
      <w:r w:rsidRPr="00D20211">
        <w:rPr>
          <w:rFonts w:ascii="Segoe UI Symbol" w:hAnsi="Segoe UI Symbol" w:cs="Segoe UI Symbol"/>
        </w:rPr>
        <w:t>❑</w:t>
      </w:r>
      <w:r w:rsidRPr="00D20211">
        <w:t xml:space="preserve"> Date of Birth</w:t>
      </w:r>
      <w:r>
        <w:tab/>
      </w:r>
      <w:r>
        <w:tab/>
      </w:r>
      <w:r w:rsidRPr="00D20211">
        <w:rPr>
          <w:rFonts w:ascii="Segoe UI Symbol" w:hAnsi="Segoe UI Symbol" w:cs="Segoe UI Symbol"/>
        </w:rPr>
        <w:t>❑</w:t>
      </w:r>
      <w:r w:rsidRPr="00D20211">
        <w:t xml:space="preserve"> Mailing Address</w:t>
      </w:r>
      <w:r>
        <w:tab/>
      </w:r>
    </w:p>
    <w:p w14:paraId="4397AECF" w14:textId="202FB916" w:rsidR="00A058F0" w:rsidRDefault="005203CB" w:rsidP="00A058F0">
      <w:pPr>
        <w:autoSpaceDE w:val="0"/>
        <w:autoSpaceDN w:val="0"/>
        <w:adjustRightInd w:val="0"/>
        <w:ind w:left="360"/>
        <w:rPr>
          <w:color w:val="000000"/>
        </w:rPr>
      </w:pPr>
      <w:r>
        <w:tab/>
      </w:r>
      <w:r w:rsidR="00A058F0">
        <w:tab/>
      </w:r>
      <w:r w:rsidR="00A058F0" w:rsidRPr="00D20211">
        <w:rPr>
          <w:rFonts w:ascii="Segoe UI Symbol" w:hAnsi="Segoe UI Symbol" w:cs="Segoe UI Symbol"/>
        </w:rPr>
        <w:t>❑</w:t>
      </w:r>
      <w:r w:rsidR="00A058F0" w:rsidRPr="00D20211">
        <w:t xml:space="preserve"> Email Addres</w:t>
      </w:r>
      <w:r w:rsidR="00A058F0">
        <w:t>s</w:t>
      </w:r>
    </w:p>
    <w:p w14:paraId="2D1A0FDF" w14:textId="77777777" w:rsidR="00A058F0" w:rsidRDefault="00A058F0" w:rsidP="00A058F0">
      <w:pPr>
        <w:spacing w:line="276" w:lineRule="auto"/>
        <w:rPr>
          <w:color w:val="000000"/>
          <w:szCs w:val="20"/>
        </w:rPr>
      </w:pPr>
    </w:p>
    <w:p w14:paraId="2A7B3D83" w14:textId="0400D403" w:rsidR="006B1518" w:rsidRDefault="00A81079" w:rsidP="006B1518">
      <w:pPr>
        <w:tabs>
          <w:tab w:val="left" w:pos="1545"/>
        </w:tabs>
        <w:spacing w:after="100" w:afterAutospacing="1" w:line="360" w:lineRule="auto"/>
      </w:pPr>
      <w:r w:rsidRPr="00DA6BBB">
        <w:t xml:space="preserve">The paper document containing </w:t>
      </w:r>
      <w:r>
        <w:t>IIF</w:t>
      </w:r>
      <w:r w:rsidRPr="00DA6BBB">
        <w:t xml:space="preserve"> are kept in locked file cabinets at ATSDR. </w:t>
      </w:r>
      <w:r w:rsidR="00B7549D">
        <w:rPr>
          <w:color w:val="000000"/>
          <w:szCs w:val="20"/>
        </w:rPr>
        <w:t xml:space="preserve">Data obtained during the </w:t>
      </w:r>
      <w:r w:rsidR="00A12A64">
        <w:rPr>
          <w:color w:val="000000"/>
          <w:szCs w:val="20"/>
        </w:rPr>
        <w:t>EI</w:t>
      </w:r>
      <w:r w:rsidR="00B7549D">
        <w:rPr>
          <w:color w:val="000000"/>
          <w:szCs w:val="20"/>
        </w:rPr>
        <w:t xml:space="preserve"> will be treated in a secure manner and will not be disclosed, unless otherwise compelled by law. </w:t>
      </w:r>
      <w:r w:rsidR="00C06F8D" w:rsidRPr="00595B5E">
        <w:rPr>
          <w:color w:val="000000"/>
          <w:szCs w:val="20"/>
        </w:rPr>
        <w:t xml:space="preserve">The </w:t>
      </w:r>
      <w:r w:rsidR="00C06F8D" w:rsidRPr="00595B5E">
        <w:t>Pennsylvania Sunshine</w:t>
      </w:r>
      <w:r w:rsidR="002A7372" w:rsidRPr="00595B5E">
        <w:t xml:space="preserve"> </w:t>
      </w:r>
      <w:r w:rsidR="00B7549D" w:rsidRPr="00595B5E">
        <w:t>Law require</w:t>
      </w:r>
      <w:r w:rsidR="00C06F8D" w:rsidRPr="00595B5E">
        <w:t>s</w:t>
      </w:r>
      <w:r w:rsidR="00B7549D" w:rsidRPr="00595B5E">
        <w:t xml:space="preserve"> openness in government, which may result in personal identification</w:t>
      </w:r>
      <w:r w:rsidR="00595B5E">
        <w:t xml:space="preserve"> </w:t>
      </w:r>
      <w:r w:rsidR="00B7549D" w:rsidRPr="00595B5E">
        <w:t>being accessible by the general public.</w:t>
      </w:r>
      <w:r w:rsidR="006B1518" w:rsidRPr="006B1518">
        <w:t xml:space="preserve"> </w:t>
      </w:r>
      <w:r w:rsidR="006B1518">
        <w:t>T</w:t>
      </w:r>
      <w:r w:rsidR="006B1518" w:rsidRPr="00DA6BBB">
        <w:t xml:space="preserve">he </w:t>
      </w:r>
      <w:r w:rsidR="006B1518">
        <w:t>consent</w:t>
      </w:r>
      <w:r w:rsidR="006B1518" w:rsidRPr="00DA6BBB">
        <w:t xml:space="preserve"> form</w:t>
      </w:r>
      <w:r w:rsidR="006B1518">
        <w:t xml:space="preserve"> (Attachment 3)</w:t>
      </w:r>
      <w:r w:rsidR="006B1518" w:rsidRPr="00DA6BBB">
        <w:t xml:space="preserve"> include</w:t>
      </w:r>
      <w:r w:rsidR="006B1518">
        <w:t>s</w:t>
      </w:r>
      <w:r w:rsidR="006B1518" w:rsidRPr="00DA6BBB">
        <w:t xml:space="preserve"> a statement indicating that </w:t>
      </w:r>
      <w:r w:rsidR="006B1518">
        <w:t xml:space="preserve">these laws may apply and the EI will comply with all appropriate requirements. </w:t>
      </w:r>
      <w:r w:rsidR="006B1518" w:rsidRPr="000848A3">
        <w:t>Al</w:t>
      </w:r>
      <w:r w:rsidR="006B1518">
        <w:t>l identifying information maintained by the agency will be managed by ATSDR and is</w:t>
      </w:r>
      <w:r w:rsidR="006B1518" w:rsidRPr="000848A3">
        <w:t xml:space="preserve"> subject to the ATSDR Comprehensive Record Control Schedule (CRCS), B-371, which contains authorized disposition instructions for ATSDR's administrative an</w:t>
      </w:r>
      <w:r w:rsidR="006B1518">
        <w:t>d program records.</w:t>
      </w:r>
      <w:r w:rsidR="006B1518" w:rsidRPr="000848A3">
        <w:t xml:space="preserve"> </w:t>
      </w:r>
    </w:p>
    <w:p w14:paraId="732E80FB" w14:textId="747C6B1C" w:rsidR="00237DCC" w:rsidRDefault="00237DCC" w:rsidP="00237DCC">
      <w:pPr>
        <w:spacing w:before="240" w:after="200" w:line="360" w:lineRule="auto"/>
      </w:pPr>
      <w:r>
        <w:t>Data are treated to protect privacy; access to computer files is password-protected and access is limited to authorized EI personnel, including contractors.</w:t>
      </w:r>
      <w:r w:rsidRPr="00237DCC">
        <w:rPr>
          <w:color w:val="000000"/>
        </w:rPr>
        <w:t xml:space="preserve"> </w:t>
      </w:r>
      <w:r>
        <w:rPr>
          <w:color w:val="000000"/>
        </w:rPr>
        <w:t>ATSDR computers comply with the HHS Standard 2008-0007.001S for encryption</w:t>
      </w:r>
      <w:r>
        <w:t xml:space="preserve"> in accordance with information systems security requirements for safeguarding personally identifiable information.   All staff working on the project agree to safeguard the data and not to make unauthorized disclosures. Published reports may present responses in aggregate form and no individuals are identified by name.</w:t>
      </w:r>
    </w:p>
    <w:p w14:paraId="21EEB715" w14:textId="54076444" w:rsidR="00B7549D" w:rsidRDefault="00B7549D" w:rsidP="00180FB8">
      <w:pPr>
        <w:tabs>
          <w:tab w:val="left" w:pos="1545"/>
        </w:tabs>
        <w:spacing w:before="240" w:after="200" w:line="360" w:lineRule="auto"/>
        <w:rPr>
          <w:bCs/>
          <w:iCs/>
        </w:rPr>
      </w:pPr>
      <w:r>
        <w:rPr>
          <w:bCs/>
          <w:iCs/>
        </w:rPr>
        <w:t xml:space="preserve">The </w:t>
      </w:r>
      <w:r w:rsidR="00B9628F">
        <w:rPr>
          <w:bCs/>
          <w:iCs/>
        </w:rPr>
        <w:t>Dimock</w:t>
      </w:r>
      <w:r>
        <w:rPr>
          <w:bCs/>
          <w:iCs/>
        </w:rPr>
        <w:t xml:space="preserve"> EI will involve </w:t>
      </w:r>
      <w:r w:rsidR="006C6DFE">
        <w:rPr>
          <w:bCs/>
          <w:iCs/>
        </w:rPr>
        <w:t xml:space="preserve">up to </w:t>
      </w:r>
      <w:r w:rsidR="00911550">
        <w:rPr>
          <w:bCs/>
          <w:iCs/>
        </w:rPr>
        <w:t>20</w:t>
      </w:r>
      <w:r w:rsidR="006C6DFE">
        <w:rPr>
          <w:bCs/>
          <w:iCs/>
        </w:rPr>
        <w:t xml:space="preserve"> </w:t>
      </w:r>
      <w:r w:rsidR="00B9628F">
        <w:rPr>
          <w:bCs/>
          <w:iCs/>
        </w:rPr>
        <w:t>residences</w:t>
      </w:r>
      <w:r>
        <w:rPr>
          <w:bCs/>
          <w:iCs/>
        </w:rPr>
        <w:t xml:space="preserve">. ATSDR provides </w:t>
      </w:r>
      <w:r w:rsidR="00B9628F">
        <w:rPr>
          <w:bCs/>
          <w:iCs/>
        </w:rPr>
        <w:t xml:space="preserve">homeowners </w:t>
      </w:r>
      <w:r>
        <w:rPr>
          <w:bCs/>
          <w:iCs/>
        </w:rPr>
        <w:t xml:space="preserve">with information on the EI process and what it can and cannot determine. After providing the participants this information, </w:t>
      </w:r>
      <w:r w:rsidRPr="007C1B32">
        <w:rPr>
          <w:bCs/>
          <w:iCs/>
        </w:rPr>
        <w:t xml:space="preserve">ATSDR will </w:t>
      </w:r>
      <w:r w:rsidR="00480143" w:rsidRPr="007C1B32">
        <w:rPr>
          <w:bCs/>
          <w:iCs/>
        </w:rPr>
        <w:t>send invite letter</w:t>
      </w:r>
      <w:r w:rsidR="006C71E8" w:rsidRPr="007C1B32">
        <w:rPr>
          <w:bCs/>
          <w:iCs/>
        </w:rPr>
        <w:t xml:space="preserve"> (Attachment 9)</w:t>
      </w:r>
      <w:r w:rsidR="00480143" w:rsidRPr="007C1B32">
        <w:rPr>
          <w:bCs/>
          <w:iCs/>
        </w:rPr>
        <w:t xml:space="preserve"> to</w:t>
      </w:r>
      <w:r w:rsidRPr="007C1B32">
        <w:rPr>
          <w:bCs/>
          <w:iCs/>
        </w:rPr>
        <w:t xml:space="preserve"> </w:t>
      </w:r>
      <w:r w:rsidR="00B9628F" w:rsidRPr="007C1B32">
        <w:rPr>
          <w:bCs/>
          <w:iCs/>
        </w:rPr>
        <w:t xml:space="preserve">residents </w:t>
      </w:r>
      <w:r w:rsidR="001F4E03" w:rsidRPr="007C1B32">
        <w:rPr>
          <w:bCs/>
          <w:iCs/>
        </w:rPr>
        <w:t>to</w:t>
      </w:r>
      <w:r w:rsidR="00480143" w:rsidRPr="007C1B32">
        <w:rPr>
          <w:bCs/>
          <w:iCs/>
        </w:rPr>
        <w:t xml:space="preserve"> participate in</w:t>
      </w:r>
      <w:r w:rsidR="001F4E03" w:rsidRPr="007C1B32">
        <w:rPr>
          <w:bCs/>
          <w:iCs/>
        </w:rPr>
        <w:t xml:space="preserve"> test</w:t>
      </w:r>
      <w:r w:rsidR="00480143" w:rsidRPr="007C1B32">
        <w:rPr>
          <w:bCs/>
          <w:iCs/>
        </w:rPr>
        <w:t>ing</w:t>
      </w:r>
      <w:r w:rsidR="001F4E03" w:rsidRPr="007C1B32">
        <w:rPr>
          <w:bCs/>
          <w:iCs/>
        </w:rPr>
        <w:t xml:space="preserve"> </w:t>
      </w:r>
      <w:r w:rsidR="00B9628F" w:rsidRPr="007C1B32">
        <w:rPr>
          <w:bCs/>
          <w:iCs/>
        </w:rPr>
        <w:t>their water and indoor air as part of the EI</w:t>
      </w:r>
      <w:r w:rsidR="0080297A" w:rsidRPr="007C1B32">
        <w:rPr>
          <w:bCs/>
          <w:iCs/>
        </w:rPr>
        <w:t xml:space="preserve"> and all p</w:t>
      </w:r>
      <w:r w:rsidR="001A1A8C" w:rsidRPr="007C1B32">
        <w:rPr>
          <w:bCs/>
          <w:iCs/>
        </w:rPr>
        <w:t>articipants will sign a consent form</w:t>
      </w:r>
      <w:r w:rsidR="0080297A" w:rsidRPr="007C1B32">
        <w:rPr>
          <w:bCs/>
          <w:iCs/>
        </w:rPr>
        <w:t xml:space="preserve"> (Attachment 3)</w:t>
      </w:r>
      <w:r w:rsidR="00A9527D" w:rsidRPr="007C1B32">
        <w:rPr>
          <w:bCs/>
          <w:iCs/>
        </w:rPr>
        <w:t xml:space="preserve"> to confirm </w:t>
      </w:r>
      <w:r w:rsidR="00995464" w:rsidRPr="007C1B32">
        <w:rPr>
          <w:bCs/>
          <w:iCs/>
        </w:rPr>
        <w:t>participation</w:t>
      </w:r>
      <w:r w:rsidR="0080297A" w:rsidRPr="007C1B32">
        <w:rPr>
          <w:bCs/>
          <w:iCs/>
        </w:rPr>
        <w:t>.</w:t>
      </w:r>
      <w:r w:rsidR="001A1A8C">
        <w:rPr>
          <w:bCs/>
          <w:iCs/>
        </w:rPr>
        <w:t xml:space="preserve"> </w:t>
      </w:r>
      <w:r>
        <w:rPr>
          <w:bCs/>
          <w:iCs/>
        </w:rPr>
        <w:t xml:space="preserve">Participation is completely voluntary; participants can stop participating in the EI at any time.  </w:t>
      </w:r>
    </w:p>
    <w:p w14:paraId="30C601CA" w14:textId="118A1F60" w:rsidR="00624D6A" w:rsidRPr="00B86A20" w:rsidDel="0036112F" w:rsidRDefault="004E402B" w:rsidP="00624D6A">
      <w:pPr>
        <w:tabs>
          <w:tab w:val="left" w:pos="1545"/>
        </w:tabs>
        <w:spacing w:before="240" w:after="200" w:line="360" w:lineRule="auto"/>
      </w:pPr>
      <w:r>
        <w:lastRenderedPageBreak/>
        <w:t xml:space="preserve">To facilitate contact with participants, consent, </w:t>
      </w:r>
      <w:r w:rsidR="00613CA4">
        <w:t xml:space="preserve">and </w:t>
      </w:r>
      <w:r>
        <w:t>to provide them with results, c</w:t>
      </w:r>
      <w:r w:rsidR="00624D6A" w:rsidDel="0036112F">
        <w:t>ollecting identifying information is necessary</w:t>
      </w:r>
      <w:r>
        <w:t>.</w:t>
      </w:r>
      <w:r w:rsidR="00624D6A" w:rsidDel="0036112F">
        <w:t xml:space="preserve"> </w:t>
      </w:r>
      <w:r w:rsidR="00624D6A" w:rsidDel="0036112F">
        <w:rPr>
          <w:bCs/>
          <w:iCs/>
        </w:rPr>
        <w:t xml:space="preserve">ATSDR will ask participants questions about their </w:t>
      </w:r>
      <w:r w:rsidR="00624D6A">
        <w:rPr>
          <w:bCs/>
          <w:iCs/>
        </w:rPr>
        <w:t>household water use, including wh</w:t>
      </w:r>
      <w:r w:rsidR="007431D6">
        <w:rPr>
          <w:bCs/>
          <w:iCs/>
        </w:rPr>
        <w:t>e</w:t>
      </w:r>
      <w:r w:rsidR="00624D6A">
        <w:rPr>
          <w:bCs/>
          <w:iCs/>
        </w:rPr>
        <w:t>ther they use supplied bulk water</w:t>
      </w:r>
      <w:r w:rsidR="00624D6A" w:rsidDel="0036112F">
        <w:t xml:space="preserve">. </w:t>
      </w:r>
      <w:r w:rsidR="00624D6A" w:rsidDel="0036112F">
        <w:rPr>
          <w:bCs/>
        </w:rPr>
        <w:t xml:space="preserve">Only questions needed to determine the extent of exposure in a particular situation will be asked. The questions are intended to estimate how long and how frequently participants may have contact with </w:t>
      </w:r>
      <w:r w:rsidR="00624D6A">
        <w:rPr>
          <w:bCs/>
        </w:rPr>
        <w:t>water</w:t>
      </w:r>
      <w:r w:rsidR="00624D6A" w:rsidDel="0036112F">
        <w:rPr>
          <w:bCs/>
        </w:rPr>
        <w:t xml:space="preserve">.  </w:t>
      </w:r>
    </w:p>
    <w:p w14:paraId="78F8CC12" w14:textId="4D4DFCAE" w:rsidR="00864D72" w:rsidRPr="009B0F1A" w:rsidRDefault="00864D72" w:rsidP="00864D72">
      <w:pPr>
        <w:tabs>
          <w:tab w:val="left" w:pos="1545"/>
        </w:tabs>
        <w:spacing w:before="240" w:after="200" w:line="360" w:lineRule="auto"/>
        <w:rPr>
          <w:rStyle w:val="Strong"/>
          <w:b w:val="0"/>
        </w:rPr>
      </w:pPr>
      <w:r w:rsidRPr="009B0F1A">
        <w:rPr>
          <w:rStyle w:val="Strong"/>
          <w:b w:val="0"/>
        </w:rPr>
        <w:t>The information</w:t>
      </w:r>
      <w:r>
        <w:rPr>
          <w:rStyle w:val="Strong"/>
          <w:b w:val="0"/>
        </w:rPr>
        <w:t xml:space="preserve"> collected for the EI will be used to evaluate whether water being used by participants (well water and/or bulk water) may contain contaminants resulting from natural gas drilling activities in the Dimock</w:t>
      </w:r>
      <w:r w:rsidR="000D3EE2">
        <w:rPr>
          <w:rStyle w:val="Strong"/>
          <w:b w:val="0"/>
        </w:rPr>
        <w:t xml:space="preserve"> </w:t>
      </w:r>
      <w:r>
        <w:rPr>
          <w:rStyle w:val="Strong"/>
          <w:b w:val="0"/>
        </w:rPr>
        <w:t>area. In addition, it will evaluate levels of radon in indoor air. Participants will be notified of their individual results (Attachment 6) and an EI report</w:t>
      </w:r>
      <w:r w:rsidR="00B05A62">
        <w:rPr>
          <w:rStyle w:val="Strong"/>
          <w:b w:val="0"/>
        </w:rPr>
        <w:t xml:space="preserve"> (sample in Attachment 7)</w:t>
      </w:r>
      <w:r>
        <w:rPr>
          <w:rStyle w:val="Strong"/>
          <w:b w:val="0"/>
        </w:rPr>
        <w:t xml:space="preserve"> will be prepared that will present the</w:t>
      </w:r>
      <w:r w:rsidR="000B48FD">
        <w:rPr>
          <w:rStyle w:val="Strong"/>
          <w:b w:val="0"/>
        </w:rPr>
        <w:t xml:space="preserve"> findings</w:t>
      </w:r>
      <w:r>
        <w:rPr>
          <w:rStyle w:val="Strong"/>
          <w:b w:val="0"/>
        </w:rPr>
        <w:t xml:space="preserve"> of the investigation.</w:t>
      </w:r>
    </w:p>
    <w:p w14:paraId="60166E72" w14:textId="76D52E6D" w:rsidR="00D607C6" w:rsidDel="0036112F" w:rsidRDefault="00864D72" w:rsidP="001B1D3C">
      <w:pPr>
        <w:tabs>
          <w:tab w:val="left" w:pos="1545"/>
        </w:tabs>
        <w:spacing w:before="240" w:after="200" w:line="360" w:lineRule="auto"/>
      </w:pPr>
      <w: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 xml:space="preserve">inherently </w:t>
      </w:r>
      <w:r w:rsidRPr="000B44D6">
        <w:rPr>
          <w:i/>
        </w:rPr>
        <w:t>person- or location-specific.</w:t>
      </w:r>
      <w:r w:rsidR="00A81079">
        <w:rPr>
          <w:i/>
        </w:rPr>
        <w:t xml:space="preserve"> </w:t>
      </w:r>
      <w:r w:rsidR="000A0957" w:rsidRPr="00DA6BBB">
        <w:t xml:space="preserve">Responses in published reports are presented in aggregate form and no individuals are identified </w:t>
      </w:r>
      <w:r w:rsidR="0007764C" w:rsidRPr="00DA6BBB">
        <w:t>by name.</w:t>
      </w:r>
    </w:p>
    <w:p w14:paraId="36A1D503" w14:textId="47C3E200" w:rsidR="001E683D" w:rsidRPr="00266092" w:rsidRDefault="001E683D" w:rsidP="00180FB8">
      <w:pPr>
        <w:pStyle w:val="Heading2"/>
        <w:spacing w:before="240" w:after="200" w:line="360" w:lineRule="auto"/>
      </w:pPr>
      <w:bookmarkStart w:id="83" w:name="_Toc305155371"/>
      <w:bookmarkStart w:id="84" w:name="_Toc306341901"/>
      <w:bookmarkStart w:id="85" w:name="_Toc306344154"/>
      <w:bookmarkStart w:id="86" w:name="_Toc306344795"/>
      <w:bookmarkStart w:id="87" w:name="_Toc306345036"/>
      <w:bookmarkStart w:id="88" w:name="_Toc311445505"/>
      <w:bookmarkStart w:id="89" w:name="_Toc483922852"/>
      <w:r w:rsidRPr="00266092">
        <w:t>A.11</w:t>
      </w:r>
      <w:r w:rsidR="006E0743">
        <w:t>.</w:t>
      </w:r>
      <w:r w:rsidRPr="00266092">
        <w:t xml:space="preserve"> </w:t>
      </w:r>
      <w:r w:rsidR="0037198B" w:rsidRPr="0037198B">
        <w:t>Justification for Sensitive Questions</w:t>
      </w:r>
      <w:bookmarkEnd w:id="83"/>
      <w:bookmarkEnd w:id="84"/>
      <w:bookmarkEnd w:id="85"/>
      <w:bookmarkEnd w:id="86"/>
      <w:bookmarkEnd w:id="87"/>
      <w:bookmarkEnd w:id="88"/>
      <w:bookmarkEnd w:id="89"/>
    </w:p>
    <w:p w14:paraId="50D51303" w14:textId="77777777" w:rsidR="009E75BB" w:rsidRDefault="00DB19B8" w:rsidP="001F4E03">
      <w:pPr>
        <w:tabs>
          <w:tab w:val="left" w:pos="1545"/>
        </w:tabs>
        <w:spacing w:before="240" w:after="200" w:line="360" w:lineRule="auto"/>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w:t>
      </w:r>
    </w:p>
    <w:p w14:paraId="44CB9A77" w14:textId="41CCA7E2" w:rsidR="00A6396B" w:rsidRDefault="00DB19B8" w:rsidP="001F4E03">
      <w:pPr>
        <w:tabs>
          <w:tab w:val="left" w:pos="1545"/>
        </w:tabs>
        <w:spacing w:before="240" w:after="200" w:line="360" w:lineRule="auto"/>
      </w:pPr>
      <w:r>
        <w:t xml:space="preserve">The </w:t>
      </w:r>
      <w:r w:rsidR="001F4E03">
        <w:t>Dimock</w:t>
      </w:r>
      <w:r>
        <w:t xml:space="preserve"> EI is a nonresearch activity and human subjects review by an Institutional Review Board (IRB) is not required. The EI was reviewed by the ATSDR Human Subjects C</w:t>
      </w:r>
      <w:r w:rsidR="006D234C">
        <w:t>ontact</w:t>
      </w:r>
      <w:r>
        <w:t xml:space="preserve"> (Attachment </w:t>
      </w:r>
      <w:r w:rsidR="00B868F0">
        <w:t>8</w:t>
      </w:r>
      <w:r>
        <w:t xml:space="preserve">). </w:t>
      </w:r>
      <w:r w:rsidR="00967E84">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p>
    <w:p w14:paraId="3E07BDD9" w14:textId="77777777" w:rsidR="00392B58" w:rsidRDefault="00A6396B" w:rsidP="00180FB8">
      <w:pPr>
        <w:tabs>
          <w:tab w:val="left" w:pos="1545"/>
        </w:tabs>
        <w:spacing w:before="240" w:after="200" w:line="360" w:lineRule="auto"/>
      </w:pPr>
      <w:r>
        <w:t>Social se</w:t>
      </w:r>
      <w:r w:rsidR="00646835">
        <w:t xml:space="preserve">curity numbers are not needed nor will </w:t>
      </w:r>
      <w:r w:rsidR="00E31C99">
        <w:t xml:space="preserve">they </w:t>
      </w:r>
      <w:r w:rsidR="00646835">
        <w:t>be</w:t>
      </w:r>
      <w:r>
        <w:t xml:space="preserve"> requested.</w:t>
      </w:r>
    </w:p>
    <w:p w14:paraId="4A0B0F2A" w14:textId="2D4280D9" w:rsidR="00651981" w:rsidRPr="00392B58" w:rsidRDefault="00651981" w:rsidP="00180FB8">
      <w:pPr>
        <w:pStyle w:val="Heading2"/>
        <w:spacing w:before="240" w:after="200" w:line="360" w:lineRule="auto"/>
      </w:pPr>
      <w:bookmarkStart w:id="90" w:name="_Toc306344155"/>
      <w:bookmarkStart w:id="91" w:name="_Toc306344796"/>
      <w:bookmarkStart w:id="92" w:name="_Toc306345037"/>
      <w:bookmarkStart w:id="93" w:name="_Toc311445506"/>
      <w:bookmarkStart w:id="94" w:name="_Toc483922853"/>
      <w:r w:rsidRPr="00A527F9">
        <w:lastRenderedPageBreak/>
        <w:t>A.12</w:t>
      </w:r>
      <w:r w:rsidR="002A0056">
        <w:t>.</w:t>
      </w:r>
      <w:r w:rsidRPr="00A527F9">
        <w:t xml:space="preserve"> Estimates of Annualized Burden Hours and Costs</w:t>
      </w:r>
      <w:bookmarkEnd w:id="90"/>
      <w:bookmarkEnd w:id="91"/>
      <w:bookmarkEnd w:id="92"/>
      <w:bookmarkEnd w:id="93"/>
      <w:bookmarkEnd w:id="94"/>
    </w:p>
    <w:p w14:paraId="12F6163D" w14:textId="5A549DBB" w:rsidR="006653AB" w:rsidRDefault="006653AB" w:rsidP="00180FB8">
      <w:pPr>
        <w:tabs>
          <w:tab w:val="center" w:pos="4680"/>
          <w:tab w:val="left" w:pos="7710"/>
        </w:tabs>
        <w:spacing w:before="240" w:after="200" w:line="360" w:lineRule="auto"/>
      </w:pPr>
      <w:bookmarkStart w:id="95" w:name="_Toc306344156"/>
      <w:bookmarkStart w:id="96" w:name="_Toc306344797"/>
      <w:bookmarkStart w:id="97" w:name="_Toc306345038"/>
      <w:bookmarkStart w:id="98" w:name="_Toc311445507"/>
      <w:r w:rsidRPr="002B07CD">
        <w:rPr>
          <w:bCs/>
        </w:rPr>
        <w:t xml:space="preserve">The </w:t>
      </w:r>
      <w:r w:rsidR="00A838D2" w:rsidRPr="002B07CD">
        <w:rPr>
          <w:bCs/>
        </w:rPr>
        <w:t xml:space="preserve">estimate for burden hours </w:t>
      </w:r>
      <w:r w:rsidR="00540BD7" w:rsidRPr="002B07CD">
        <w:rPr>
          <w:bCs/>
        </w:rPr>
        <w:t>for the</w:t>
      </w:r>
      <w:r w:rsidR="005748D7" w:rsidRPr="002B07CD">
        <w:rPr>
          <w:bCs/>
        </w:rPr>
        <w:t xml:space="preserve"> </w:t>
      </w:r>
      <w:r w:rsidR="001F4E03" w:rsidRPr="002B07CD">
        <w:rPr>
          <w:bCs/>
        </w:rPr>
        <w:t>Dimock</w:t>
      </w:r>
      <w:r w:rsidR="00540BD7" w:rsidRPr="002B07CD">
        <w:rPr>
          <w:bCs/>
        </w:rPr>
        <w:t xml:space="preserve"> EI </w:t>
      </w:r>
      <w:r w:rsidR="00A838D2" w:rsidRPr="002B07CD">
        <w:rPr>
          <w:bCs/>
        </w:rPr>
        <w:t xml:space="preserve">is based on similar </w:t>
      </w:r>
      <w:r w:rsidR="00540BD7" w:rsidRPr="002B07CD">
        <w:rPr>
          <w:bCs/>
        </w:rPr>
        <w:t>EIs that the EI te</w:t>
      </w:r>
      <w:r w:rsidR="006E49F8" w:rsidRPr="002B07CD">
        <w:rPr>
          <w:bCs/>
        </w:rPr>
        <w:t xml:space="preserve">am has conducted in the past. </w:t>
      </w:r>
      <w:r w:rsidR="00540BD7" w:rsidRPr="002B07CD">
        <w:rPr>
          <w:bCs/>
        </w:rPr>
        <w:t xml:space="preserve">The </w:t>
      </w:r>
      <w:r w:rsidR="00C12F2D" w:rsidRPr="002B07CD">
        <w:rPr>
          <w:bCs/>
        </w:rPr>
        <w:t xml:space="preserve">maximum </w:t>
      </w:r>
      <w:r w:rsidRPr="002B07CD">
        <w:rPr>
          <w:bCs/>
        </w:rPr>
        <w:t>time burde</w:t>
      </w:r>
      <w:r w:rsidR="00C12F2D" w:rsidRPr="002B07CD">
        <w:rPr>
          <w:bCs/>
        </w:rPr>
        <w:t>n per respondent is estimated a</w:t>
      </w:r>
      <w:r w:rsidR="00512C17" w:rsidRPr="002B07CD">
        <w:rPr>
          <w:bCs/>
        </w:rPr>
        <w:t xml:space="preserve">s </w:t>
      </w:r>
      <w:r w:rsidR="007E42C0">
        <w:rPr>
          <w:bCs/>
        </w:rPr>
        <w:t xml:space="preserve">one </w:t>
      </w:r>
      <w:r w:rsidR="00512C17" w:rsidRPr="002B07CD">
        <w:rPr>
          <w:bCs/>
        </w:rPr>
        <w:t>hour</w:t>
      </w:r>
      <w:r w:rsidRPr="002B07CD">
        <w:rPr>
          <w:bCs/>
        </w:rPr>
        <w:t xml:space="preserve"> </w:t>
      </w:r>
      <w:r w:rsidR="00A0231A" w:rsidRPr="002B07CD">
        <w:rPr>
          <w:bCs/>
        </w:rPr>
        <w:t xml:space="preserve">and thirty minutes </w:t>
      </w:r>
      <w:r w:rsidR="003A72CE" w:rsidRPr="002B07CD">
        <w:rPr>
          <w:bCs/>
        </w:rPr>
        <w:t>to cover</w:t>
      </w:r>
      <w:r w:rsidR="00760D2F" w:rsidRPr="002B07CD">
        <w:rPr>
          <w:bCs/>
        </w:rPr>
        <w:t xml:space="preserve"> all activities</w:t>
      </w:r>
      <w:r w:rsidR="00627750" w:rsidRPr="002B07CD">
        <w:rPr>
          <w:bCs/>
        </w:rPr>
        <w:t xml:space="preserve"> including administration of the </w:t>
      </w:r>
      <w:r w:rsidR="002D566F" w:rsidRPr="002B07CD">
        <w:rPr>
          <w:bCs/>
        </w:rPr>
        <w:t>questionnaire during the site visit (20 minutes)</w:t>
      </w:r>
      <w:r w:rsidR="00627750" w:rsidRPr="002B07CD">
        <w:rPr>
          <w:bCs/>
        </w:rPr>
        <w:t xml:space="preserve"> and conducting the water sampling and setting the radon test kits </w:t>
      </w:r>
      <w:r w:rsidR="0033495E" w:rsidRPr="002B07CD">
        <w:rPr>
          <w:bCs/>
        </w:rPr>
        <w:t xml:space="preserve">on the testing date </w:t>
      </w:r>
      <w:r w:rsidR="00A0231A" w:rsidRPr="002B07CD">
        <w:rPr>
          <w:bCs/>
        </w:rPr>
        <w:t>(</w:t>
      </w:r>
      <w:r w:rsidR="0011363B" w:rsidRPr="002B07CD">
        <w:rPr>
          <w:bCs/>
        </w:rPr>
        <w:t xml:space="preserve">maximum </w:t>
      </w:r>
      <w:r w:rsidR="00A0231A" w:rsidRPr="002B07CD">
        <w:rPr>
          <w:bCs/>
        </w:rPr>
        <w:t>7</w:t>
      </w:r>
      <w:r w:rsidR="00627750" w:rsidRPr="002B07CD">
        <w:rPr>
          <w:bCs/>
        </w:rPr>
        <w:t>0 minutes).</w:t>
      </w:r>
      <w:r w:rsidR="005511E1" w:rsidRPr="002B07CD">
        <w:rPr>
          <w:bCs/>
        </w:rPr>
        <w:t xml:space="preserve"> A typical questionnaire</w:t>
      </w:r>
      <w:r w:rsidRPr="002B07CD">
        <w:rPr>
          <w:bCs/>
        </w:rPr>
        <w:t xml:space="preserve"> may include up to 20 general questions taking less than 30 seconds each to respond and </w:t>
      </w:r>
      <w:r w:rsidR="00540BD7" w:rsidRPr="002B07CD">
        <w:rPr>
          <w:bCs/>
        </w:rPr>
        <w:t>1</w:t>
      </w:r>
      <w:r w:rsidRPr="002B07CD">
        <w:rPr>
          <w:bCs/>
        </w:rPr>
        <w:t xml:space="preserve">0 more in-depth exposure specific questions requiring less than one minute each. </w:t>
      </w:r>
      <w:r w:rsidRPr="002B07CD">
        <w:t xml:space="preserve">The total estimated burden hours are </w:t>
      </w:r>
      <w:r w:rsidR="00A36141" w:rsidRPr="002B07CD">
        <w:t xml:space="preserve">maximum of </w:t>
      </w:r>
      <w:r w:rsidR="00561D7D" w:rsidRPr="002B07CD">
        <w:t>30</w:t>
      </w:r>
      <w:r w:rsidR="00701440" w:rsidRPr="002B07CD">
        <w:t xml:space="preserve"> </w:t>
      </w:r>
      <w:r w:rsidR="0021198B" w:rsidRPr="002B07CD">
        <w:t>based on up to 20 residences being included</w:t>
      </w:r>
      <w:r w:rsidR="00701440" w:rsidRPr="002B07CD">
        <w:t xml:space="preserve"> in the EI</w:t>
      </w:r>
      <w:r w:rsidRPr="002B07CD">
        <w:t>.</w:t>
      </w:r>
    </w:p>
    <w:p w14:paraId="05BFE706" w14:textId="77777777" w:rsidR="006653AB" w:rsidRPr="00935939" w:rsidRDefault="006653AB" w:rsidP="006653AB">
      <w:pPr>
        <w:tabs>
          <w:tab w:val="left" w:pos="1545"/>
        </w:tabs>
        <w:rPr>
          <w:b/>
        </w:rPr>
      </w:pPr>
    </w:p>
    <w:p w14:paraId="2E0E81E2" w14:textId="77777777" w:rsidR="006653AB" w:rsidRPr="00A5763A" w:rsidRDefault="006653AB" w:rsidP="006653AB">
      <w:pPr>
        <w:tabs>
          <w:tab w:val="left" w:pos="1545"/>
        </w:tabs>
        <w:rPr>
          <w:u w:val="single"/>
        </w:rPr>
      </w:pPr>
      <w:r w:rsidRPr="00A5763A">
        <w:rPr>
          <w:u w:val="single"/>
        </w:rPr>
        <w:t>Estimated Annualized Burden Hours</w:t>
      </w:r>
    </w:p>
    <w:p w14:paraId="7D99977C" w14:textId="77777777" w:rsidR="006653AB" w:rsidRPr="00A5763A"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3"/>
        <w:gridCol w:w="1534"/>
        <w:gridCol w:w="1533"/>
        <w:gridCol w:w="1534"/>
        <w:gridCol w:w="1534"/>
      </w:tblGrid>
      <w:tr w:rsidR="004C1A39" w:rsidRPr="00A5763A" w14:paraId="346F2D10" w14:textId="77777777" w:rsidTr="005511E1">
        <w:trPr>
          <w:trHeight w:val="719"/>
        </w:trPr>
        <w:tc>
          <w:tcPr>
            <w:tcW w:w="1818" w:type="dxa"/>
            <w:shd w:val="clear" w:color="auto" w:fill="auto"/>
          </w:tcPr>
          <w:p w14:paraId="08556ED4" w14:textId="77777777" w:rsidR="00311E38" w:rsidRPr="00041F9D" w:rsidRDefault="00311E38" w:rsidP="00041F9D">
            <w:pPr>
              <w:tabs>
                <w:tab w:val="left" w:pos="1545"/>
              </w:tabs>
              <w:jc w:val="center"/>
            </w:pPr>
            <w:r w:rsidRPr="00041F9D">
              <w:t>Type of Respondents</w:t>
            </w:r>
          </w:p>
        </w:tc>
        <w:tc>
          <w:tcPr>
            <w:tcW w:w="1623" w:type="dxa"/>
            <w:shd w:val="clear" w:color="auto" w:fill="auto"/>
          </w:tcPr>
          <w:p w14:paraId="50897B61" w14:textId="77777777" w:rsidR="00311E38" w:rsidRPr="00041F9D" w:rsidRDefault="004C1A39" w:rsidP="00041F9D">
            <w:pPr>
              <w:tabs>
                <w:tab w:val="left" w:pos="1545"/>
              </w:tabs>
              <w:jc w:val="center"/>
            </w:pPr>
            <w:r>
              <w:t>Name of Form</w:t>
            </w:r>
          </w:p>
        </w:tc>
        <w:tc>
          <w:tcPr>
            <w:tcW w:w="1534" w:type="dxa"/>
            <w:shd w:val="clear" w:color="auto" w:fill="auto"/>
          </w:tcPr>
          <w:p w14:paraId="454F1334" w14:textId="77777777" w:rsidR="00311E38" w:rsidRPr="00041F9D" w:rsidRDefault="004C1A39" w:rsidP="00041F9D">
            <w:pPr>
              <w:widowControl w:val="0"/>
              <w:tabs>
                <w:tab w:val="left" w:pos="1545"/>
              </w:tabs>
              <w:autoSpaceDE w:val="0"/>
              <w:autoSpaceDN w:val="0"/>
              <w:adjustRightInd w:val="0"/>
              <w:jc w:val="center"/>
            </w:pPr>
            <w:r w:rsidRPr="005674AF">
              <w:t>No. of Respondents</w:t>
            </w:r>
          </w:p>
        </w:tc>
        <w:tc>
          <w:tcPr>
            <w:tcW w:w="1533" w:type="dxa"/>
            <w:shd w:val="clear" w:color="auto" w:fill="auto"/>
          </w:tcPr>
          <w:p w14:paraId="05A07900" w14:textId="77777777" w:rsidR="00311E38" w:rsidRPr="00041F9D" w:rsidRDefault="004C1A39" w:rsidP="00041F9D">
            <w:pPr>
              <w:widowControl w:val="0"/>
              <w:tabs>
                <w:tab w:val="left" w:pos="1545"/>
              </w:tabs>
              <w:autoSpaceDE w:val="0"/>
              <w:autoSpaceDN w:val="0"/>
              <w:adjustRightInd w:val="0"/>
              <w:jc w:val="center"/>
            </w:pPr>
            <w:r w:rsidRPr="005674AF">
              <w:t>No. of Responses per Respondent</w:t>
            </w:r>
          </w:p>
        </w:tc>
        <w:tc>
          <w:tcPr>
            <w:tcW w:w="1534" w:type="dxa"/>
            <w:shd w:val="clear" w:color="auto" w:fill="auto"/>
          </w:tcPr>
          <w:p w14:paraId="784EB6EF" w14:textId="77777777" w:rsidR="00311E38" w:rsidRDefault="004C1A39" w:rsidP="00041F9D">
            <w:pPr>
              <w:widowControl w:val="0"/>
              <w:tabs>
                <w:tab w:val="left" w:pos="1545"/>
              </w:tabs>
              <w:autoSpaceDE w:val="0"/>
              <w:autoSpaceDN w:val="0"/>
              <w:adjustRightInd w:val="0"/>
              <w:jc w:val="center"/>
            </w:pPr>
            <w:r w:rsidRPr="005674AF">
              <w:t xml:space="preserve">Average Burden per Response </w:t>
            </w:r>
          </w:p>
          <w:p w14:paraId="7ECCE907" w14:textId="77777777" w:rsidR="00311E38" w:rsidRPr="00041F9D" w:rsidRDefault="004C1A39" w:rsidP="00041F9D">
            <w:pPr>
              <w:widowControl w:val="0"/>
              <w:tabs>
                <w:tab w:val="left" w:pos="1545"/>
              </w:tabs>
              <w:autoSpaceDE w:val="0"/>
              <w:autoSpaceDN w:val="0"/>
              <w:adjustRightInd w:val="0"/>
              <w:jc w:val="center"/>
            </w:pPr>
            <w:r w:rsidRPr="005674AF">
              <w:t>(in hours)</w:t>
            </w:r>
          </w:p>
        </w:tc>
        <w:tc>
          <w:tcPr>
            <w:tcW w:w="1534" w:type="dxa"/>
          </w:tcPr>
          <w:p w14:paraId="1614BBA4" w14:textId="77777777" w:rsidR="00311E38" w:rsidRPr="00041F9D" w:rsidRDefault="004C1A39" w:rsidP="00041F9D">
            <w:pPr>
              <w:widowControl w:val="0"/>
              <w:tabs>
                <w:tab w:val="left" w:pos="1545"/>
              </w:tabs>
              <w:autoSpaceDE w:val="0"/>
              <w:autoSpaceDN w:val="0"/>
              <w:adjustRightInd w:val="0"/>
              <w:jc w:val="center"/>
            </w:pPr>
            <w:r w:rsidRPr="005674AF">
              <w:t>Total Burden (In Hours)</w:t>
            </w:r>
          </w:p>
        </w:tc>
      </w:tr>
      <w:tr w:rsidR="009825BE" w:rsidRPr="00A5763A" w14:paraId="0E64DFDC" w14:textId="77777777" w:rsidTr="005511E1">
        <w:trPr>
          <w:trHeight w:val="584"/>
        </w:trPr>
        <w:tc>
          <w:tcPr>
            <w:tcW w:w="1818" w:type="dxa"/>
            <w:shd w:val="clear" w:color="auto" w:fill="auto"/>
            <w:vAlign w:val="center"/>
          </w:tcPr>
          <w:p w14:paraId="28209847" w14:textId="42E5D5B7" w:rsidR="009825BE" w:rsidRPr="00041F9D" w:rsidRDefault="009825BE" w:rsidP="001F4E03">
            <w:pPr>
              <w:widowControl w:val="0"/>
              <w:tabs>
                <w:tab w:val="left" w:pos="1545"/>
              </w:tabs>
              <w:autoSpaceDE w:val="0"/>
              <w:autoSpaceDN w:val="0"/>
              <w:adjustRightInd w:val="0"/>
              <w:jc w:val="center"/>
            </w:pPr>
            <w:r w:rsidRPr="00041F9D">
              <w:t xml:space="preserve">EI </w:t>
            </w:r>
            <w:r>
              <w:t>P</w:t>
            </w:r>
            <w:r w:rsidRPr="00041F9D">
              <w:t>articipants</w:t>
            </w:r>
            <w:r>
              <w:t xml:space="preserve"> </w:t>
            </w:r>
          </w:p>
        </w:tc>
        <w:tc>
          <w:tcPr>
            <w:tcW w:w="1623" w:type="dxa"/>
            <w:shd w:val="clear" w:color="auto" w:fill="auto"/>
            <w:vAlign w:val="center"/>
          </w:tcPr>
          <w:p w14:paraId="057EB0FE" w14:textId="77CA2425" w:rsidR="009825BE" w:rsidRPr="00041F9D" w:rsidRDefault="00904BB8" w:rsidP="001F4E03">
            <w:pPr>
              <w:widowControl w:val="0"/>
              <w:tabs>
                <w:tab w:val="left" w:pos="1545"/>
              </w:tabs>
              <w:autoSpaceDE w:val="0"/>
              <w:autoSpaceDN w:val="0"/>
              <w:adjustRightInd w:val="0"/>
              <w:jc w:val="center"/>
            </w:pPr>
            <w:r w:rsidRPr="00904BB8">
              <w:t>Questionnaire for the Dimock Water Exposure Investigation</w:t>
            </w:r>
          </w:p>
        </w:tc>
        <w:tc>
          <w:tcPr>
            <w:tcW w:w="1534" w:type="dxa"/>
            <w:shd w:val="clear" w:color="auto" w:fill="auto"/>
            <w:vAlign w:val="center"/>
          </w:tcPr>
          <w:p w14:paraId="6858A18A" w14:textId="5F1CA163" w:rsidR="009825BE" w:rsidRPr="00041F9D" w:rsidRDefault="0021198B" w:rsidP="001F4E03">
            <w:pPr>
              <w:widowControl w:val="0"/>
              <w:tabs>
                <w:tab w:val="left" w:pos="1545"/>
              </w:tabs>
              <w:autoSpaceDE w:val="0"/>
              <w:autoSpaceDN w:val="0"/>
              <w:adjustRightInd w:val="0"/>
              <w:jc w:val="center"/>
            </w:pPr>
            <w:r>
              <w:t>20</w:t>
            </w:r>
          </w:p>
        </w:tc>
        <w:tc>
          <w:tcPr>
            <w:tcW w:w="1533" w:type="dxa"/>
            <w:shd w:val="clear" w:color="auto" w:fill="auto"/>
            <w:vAlign w:val="center"/>
          </w:tcPr>
          <w:p w14:paraId="2B3A1DDA" w14:textId="6F4889B6" w:rsidR="009825BE" w:rsidRPr="00041F9D" w:rsidRDefault="001F4E03" w:rsidP="006523AC">
            <w:pPr>
              <w:widowControl w:val="0"/>
              <w:tabs>
                <w:tab w:val="left" w:pos="1545"/>
              </w:tabs>
              <w:autoSpaceDE w:val="0"/>
              <w:autoSpaceDN w:val="0"/>
              <w:adjustRightInd w:val="0"/>
              <w:jc w:val="center"/>
            </w:pPr>
            <w:r>
              <w:t>1</w:t>
            </w:r>
          </w:p>
        </w:tc>
        <w:tc>
          <w:tcPr>
            <w:tcW w:w="1534" w:type="dxa"/>
            <w:shd w:val="clear" w:color="auto" w:fill="auto"/>
            <w:vAlign w:val="center"/>
          </w:tcPr>
          <w:p w14:paraId="6F97EB31" w14:textId="34FDE50F" w:rsidR="009825BE" w:rsidRPr="00041F9D" w:rsidRDefault="00A0231A" w:rsidP="00A35D5E">
            <w:pPr>
              <w:widowControl w:val="0"/>
              <w:tabs>
                <w:tab w:val="left" w:pos="1545"/>
              </w:tabs>
              <w:autoSpaceDE w:val="0"/>
              <w:autoSpaceDN w:val="0"/>
              <w:adjustRightInd w:val="0"/>
              <w:jc w:val="center"/>
            </w:pPr>
            <w:r>
              <w:t>1.</w:t>
            </w:r>
            <w:r w:rsidR="00295A03">
              <w:t>5</w:t>
            </w:r>
            <w:bookmarkStart w:id="99" w:name="_GoBack"/>
            <w:bookmarkEnd w:id="99"/>
            <w:r w:rsidR="00862C91">
              <w:t xml:space="preserve"> </w:t>
            </w:r>
          </w:p>
        </w:tc>
        <w:tc>
          <w:tcPr>
            <w:tcW w:w="1534" w:type="dxa"/>
            <w:vAlign w:val="center"/>
          </w:tcPr>
          <w:p w14:paraId="32269D14" w14:textId="62038E10" w:rsidR="009825BE" w:rsidRPr="00041F9D" w:rsidRDefault="00A0231A" w:rsidP="00AB4064">
            <w:pPr>
              <w:widowControl w:val="0"/>
              <w:tabs>
                <w:tab w:val="left" w:pos="1545"/>
              </w:tabs>
              <w:autoSpaceDE w:val="0"/>
              <w:autoSpaceDN w:val="0"/>
              <w:adjustRightInd w:val="0"/>
              <w:jc w:val="center"/>
            </w:pPr>
            <w:r>
              <w:t>30</w:t>
            </w:r>
          </w:p>
        </w:tc>
      </w:tr>
      <w:tr w:rsidR="00C126EA" w:rsidRPr="00A5763A" w14:paraId="7954B382" w14:textId="77777777" w:rsidTr="005511E1">
        <w:trPr>
          <w:trHeight w:val="584"/>
        </w:trPr>
        <w:tc>
          <w:tcPr>
            <w:tcW w:w="1818" w:type="dxa"/>
            <w:shd w:val="clear" w:color="auto" w:fill="auto"/>
            <w:vAlign w:val="center"/>
          </w:tcPr>
          <w:p w14:paraId="6C017B04" w14:textId="41778ABF" w:rsidR="00C126EA" w:rsidRDefault="00C126EA" w:rsidP="00041F9D">
            <w:pPr>
              <w:widowControl w:val="0"/>
              <w:tabs>
                <w:tab w:val="left" w:pos="1545"/>
              </w:tabs>
              <w:autoSpaceDE w:val="0"/>
              <w:autoSpaceDN w:val="0"/>
              <w:adjustRightInd w:val="0"/>
              <w:jc w:val="center"/>
            </w:pPr>
            <w:r>
              <w:t>Total</w:t>
            </w:r>
          </w:p>
        </w:tc>
        <w:tc>
          <w:tcPr>
            <w:tcW w:w="1623" w:type="dxa"/>
            <w:shd w:val="clear" w:color="auto" w:fill="auto"/>
            <w:vAlign w:val="center"/>
          </w:tcPr>
          <w:p w14:paraId="0FD93CD2" w14:textId="77777777" w:rsidR="00C126EA" w:rsidRDefault="00C126EA" w:rsidP="005511E1">
            <w:pPr>
              <w:widowControl w:val="0"/>
              <w:tabs>
                <w:tab w:val="left" w:pos="1545"/>
              </w:tabs>
              <w:autoSpaceDE w:val="0"/>
              <w:autoSpaceDN w:val="0"/>
              <w:adjustRightInd w:val="0"/>
              <w:jc w:val="center"/>
            </w:pPr>
          </w:p>
        </w:tc>
        <w:tc>
          <w:tcPr>
            <w:tcW w:w="1534" w:type="dxa"/>
            <w:shd w:val="clear" w:color="auto" w:fill="auto"/>
            <w:vAlign w:val="center"/>
          </w:tcPr>
          <w:p w14:paraId="1BFF06C1" w14:textId="77777777" w:rsidR="00C126EA" w:rsidRDefault="00C126EA" w:rsidP="006523AC">
            <w:pPr>
              <w:widowControl w:val="0"/>
              <w:tabs>
                <w:tab w:val="left" w:pos="1545"/>
              </w:tabs>
              <w:autoSpaceDE w:val="0"/>
              <w:autoSpaceDN w:val="0"/>
              <w:adjustRightInd w:val="0"/>
              <w:jc w:val="center"/>
            </w:pPr>
          </w:p>
        </w:tc>
        <w:tc>
          <w:tcPr>
            <w:tcW w:w="1533" w:type="dxa"/>
            <w:shd w:val="clear" w:color="auto" w:fill="auto"/>
            <w:vAlign w:val="center"/>
          </w:tcPr>
          <w:p w14:paraId="21B2D203" w14:textId="77777777" w:rsidR="00C126EA" w:rsidRDefault="00C126EA" w:rsidP="006523AC">
            <w:pPr>
              <w:widowControl w:val="0"/>
              <w:tabs>
                <w:tab w:val="left" w:pos="1545"/>
              </w:tabs>
              <w:autoSpaceDE w:val="0"/>
              <w:autoSpaceDN w:val="0"/>
              <w:adjustRightInd w:val="0"/>
              <w:jc w:val="center"/>
            </w:pPr>
          </w:p>
        </w:tc>
        <w:tc>
          <w:tcPr>
            <w:tcW w:w="1534" w:type="dxa"/>
            <w:shd w:val="clear" w:color="auto" w:fill="auto"/>
            <w:vAlign w:val="center"/>
          </w:tcPr>
          <w:p w14:paraId="642F83E5" w14:textId="77777777" w:rsidR="00C126EA" w:rsidRDefault="00C126EA" w:rsidP="006523AC">
            <w:pPr>
              <w:widowControl w:val="0"/>
              <w:tabs>
                <w:tab w:val="left" w:pos="1545"/>
              </w:tabs>
              <w:autoSpaceDE w:val="0"/>
              <w:autoSpaceDN w:val="0"/>
              <w:adjustRightInd w:val="0"/>
              <w:jc w:val="center"/>
            </w:pPr>
          </w:p>
        </w:tc>
        <w:tc>
          <w:tcPr>
            <w:tcW w:w="1534" w:type="dxa"/>
            <w:vAlign w:val="center"/>
          </w:tcPr>
          <w:p w14:paraId="0DE3DAFC" w14:textId="13DE2C11" w:rsidR="00C126EA" w:rsidRDefault="00A0231A" w:rsidP="00A0231A">
            <w:pPr>
              <w:widowControl w:val="0"/>
              <w:tabs>
                <w:tab w:val="left" w:pos="1545"/>
              </w:tabs>
              <w:autoSpaceDE w:val="0"/>
              <w:autoSpaceDN w:val="0"/>
              <w:adjustRightInd w:val="0"/>
            </w:pPr>
            <w:r>
              <w:t xml:space="preserve">         30</w:t>
            </w:r>
          </w:p>
        </w:tc>
      </w:tr>
    </w:tbl>
    <w:p w14:paraId="4EECBB5C" w14:textId="77777777" w:rsidR="00F4473C" w:rsidRPr="00CA1072" w:rsidRDefault="00F4473C" w:rsidP="007F446A">
      <w:pPr>
        <w:pStyle w:val="Heading2"/>
        <w:rPr>
          <w:rFonts w:ascii="Times New Roman" w:hAnsi="Times New Roman" w:cs="Times New Roman"/>
          <w:color w:val="4F81BD"/>
          <w:sz w:val="24"/>
        </w:rPr>
      </w:pPr>
      <w:bookmarkStart w:id="100" w:name="_Toc306344157"/>
      <w:bookmarkStart w:id="101" w:name="_Toc306344798"/>
      <w:bookmarkStart w:id="102" w:name="_Toc306345039"/>
      <w:bookmarkStart w:id="103" w:name="_Toc311445508"/>
      <w:bookmarkEnd w:id="95"/>
      <w:bookmarkEnd w:id="96"/>
      <w:bookmarkEnd w:id="97"/>
      <w:bookmarkEnd w:id="98"/>
    </w:p>
    <w:p w14:paraId="6ADC9A5A" w14:textId="305E1B22" w:rsidR="006653AB" w:rsidRPr="0094069A" w:rsidRDefault="006653AB" w:rsidP="00B721F2">
      <w:r w:rsidRPr="00B721F2">
        <w:rPr>
          <w:u w:val="single"/>
        </w:rPr>
        <w:t>Annualized Cost to Respondents</w:t>
      </w:r>
    </w:p>
    <w:p w14:paraId="2C1A580C" w14:textId="77777777" w:rsidR="006653AB" w:rsidRDefault="006653AB" w:rsidP="006653AB">
      <w:pPr>
        <w:tabs>
          <w:tab w:val="center" w:pos="4680"/>
          <w:tab w:val="left" w:pos="7710"/>
        </w:tabs>
        <w:rPr>
          <w:b/>
        </w:rPr>
      </w:pPr>
    </w:p>
    <w:p w14:paraId="09B086D3" w14:textId="07C308DA" w:rsidR="006653AB" w:rsidRDefault="006653AB" w:rsidP="00D94910">
      <w:pPr>
        <w:tabs>
          <w:tab w:val="center" w:pos="4680"/>
          <w:tab w:val="left" w:pos="7710"/>
        </w:tabs>
        <w:spacing w:line="276" w:lineRule="auto"/>
        <w:rPr>
          <w:color w:val="FF0000"/>
        </w:rPr>
      </w:pPr>
      <w:r>
        <w:t>Using a rate of $</w:t>
      </w:r>
      <w:r w:rsidR="005D7E81">
        <w:t>23</w:t>
      </w:r>
      <w:r w:rsidR="00D55D6E">
        <w:t>.</w:t>
      </w:r>
      <w:r w:rsidR="00701440">
        <w:t>86</w:t>
      </w:r>
      <w:r>
        <w:rPr>
          <w:color w:val="000000"/>
        </w:rPr>
        <w:t>/hr</w:t>
      </w:r>
      <w:r w:rsidR="00761F94">
        <w:rPr>
          <w:color w:val="000000"/>
        </w:rPr>
        <w:t>.</w:t>
      </w:r>
      <w:r>
        <w:rPr>
          <w:color w:val="000000"/>
        </w:rPr>
        <w:t>,</w:t>
      </w:r>
      <w:r>
        <w:t xml:space="preserve"> the annualized cost to respondents for the hour burdens for the collection of information is $</w:t>
      </w:r>
      <w:r w:rsidR="00BA4189">
        <w:t>716</w:t>
      </w:r>
      <w:r>
        <w:t>. The hourly wage rate is based on the U.S. Department of Labor, Bureau of Labor Statistics’ most current statistics [</w:t>
      </w:r>
      <w:r w:rsidR="00A43880">
        <w:t xml:space="preserve">May </w:t>
      </w:r>
      <w:r w:rsidR="005D7E81">
        <w:t>201</w:t>
      </w:r>
      <w:r w:rsidR="00701440">
        <w:t>6</w:t>
      </w:r>
      <w:r w:rsidR="005D7E81">
        <w:t xml:space="preserve"> </w:t>
      </w:r>
      <w:r>
        <w:t>National Occupational Employment and Wage Estimates United States,</w:t>
      </w:r>
      <w:r w:rsidR="00701440">
        <w:t xml:space="preserve"> </w:t>
      </w:r>
      <w:r w:rsidR="005D7E81" w:rsidRPr="005D7E81">
        <w:t>http://www.bls.gov/oes/current/oes_nat.htm#00-0000</w:t>
      </w:r>
      <w:r>
        <w:t>].</w:t>
      </w:r>
    </w:p>
    <w:p w14:paraId="5431048C" w14:textId="77777777" w:rsidR="006653AB" w:rsidRDefault="006653AB" w:rsidP="006653AB">
      <w:pPr>
        <w:tabs>
          <w:tab w:val="center" w:pos="4680"/>
          <w:tab w:val="left" w:pos="7710"/>
        </w:tabs>
        <w:rPr>
          <w:color w:val="FF0000"/>
        </w:rPr>
      </w:pPr>
    </w:p>
    <w:p w14:paraId="77885C07" w14:textId="77777777"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14:paraId="453F6B55" w14:textId="77777777"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855"/>
        <w:gridCol w:w="1881"/>
        <w:gridCol w:w="1853"/>
        <w:gridCol w:w="1881"/>
      </w:tblGrid>
      <w:tr w:rsidR="006653AB" w:rsidRPr="00A5763A" w14:paraId="60D9A753" w14:textId="77777777" w:rsidTr="006653AB">
        <w:tc>
          <w:tcPr>
            <w:tcW w:w="1915" w:type="dxa"/>
            <w:shd w:val="clear" w:color="auto" w:fill="auto"/>
          </w:tcPr>
          <w:p w14:paraId="2D058036" w14:textId="77777777" w:rsidR="00311E38" w:rsidRDefault="00311E38" w:rsidP="00041F9D">
            <w:pPr>
              <w:tabs>
                <w:tab w:val="center" w:pos="4680"/>
                <w:tab w:val="left" w:pos="7710"/>
              </w:tabs>
              <w:jc w:val="center"/>
            </w:pPr>
            <w:r w:rsidRPr="00041F9D">
              <w:t>Type of Respondent</w:t>
            </w:r>
          </w:p>
        </w:tc>
        <w:tc>
          <w:tcPr>
            <w:tcW w:w="1915" w:type="dxa"/>
            <w:shd w:val="clear" w:color="auto" w:fill="auto"/>
          </w:tcPr>
          <w:p w14:paraId="47145369" w14:textId="77777777" w:rsidR="00311E38" w:rsidRPr="00041F9D" w:rsidRDefault="00311E38" w:rsidP="00041F9D">
            <w:pPr>
              <w:widowControl w:val="0"/>
              <w:tabs>
                <w:tab w:val="left" w:pos="1545"/>
              </w:tabs>
              <w:autoSpaceDE w:val="0"/>
              <w:autoSpaceDN w:val="0"/>
              <w:adjustRightInd w:val="0"/>
              <w:jc w:val="center"/>
            </w:pPr>
            <w:r w:rsidRPr="00041F9D">
              <w:t>Total Burden Hours</w:t>
            </w:r>
          </w:p>
        </w:tc>
        <w:tc>
          <w:tcPr>
            <w:tcW w:w="1915" w:type="dxa"/>
            <w:shd w:val="clear" w:color="auto" w:fill="auto"/>
          </w:tcPr>
          <w:p w14:paraId="71D0BB08" w14:textId="77777777" w:rsidR="00311E38" w:rsidRDefault="00311E38" w:rsidP="00041F9D">
            <w:pPr>
              <w:tabs>
                <w:tab w:val="center" w:pos="4680"/>
                <w:tab w:val="left" w:pos="7710"/>
              </w:tabs>
              <w:jc w:val="center"/>
            </w:pPr>
            <w:r w:rsidRPr="00041F9D">
              <w:t>No. Responses per Respondent</w:t>
            </w:r>
          </w:p>
        </w:tc>
        <w:tc>
          <w:tcPr>
            <w:tcW w:w="1915" w:type="dxa"/>
            <w:shd w:val="clear" w:color="auto" w:fill="auto"/>
          </w:tcPr>
          <w:p w14:paraId="6FA42494" w14:textId="77777777" w:rsidR="00311E38" w:rsidRDefault="00311E38" w:rsidP="00041F9D">
            <w:pPr>
              <w:tabs>
                <w:tab w:val="center" w:pos="4680"/>
                <w:tab w:val="left" w:pos="7710"/>
              </w:tabs>
              <w:jc w:val="center"/>
            </w:pPr>
            <w:r w:rsidRPr="00041F9D">
              <w:t>Hourly Wage Rate</w:t>
            </w:r>
          </w:p>
        </w:tc>
        <w:tc>
          <w:tcPr>
            <w:tcW w:w="1916" w:type="dxa"/>
            <w:shd w:val="clear" w:color="auto" w:fill="auto"/>
          </w:tcPr>
          <w:p w14:paraId="071C3994" w14:textId="77777777" w:rsidR="00311E38" w:rsidRDefault="00311E38" w:rsidP="00041F9D">
            <w:pPr>
              <w:tabs>
                <w:tab w:val="center" w:pos="4680"/>
                <w:tab w:val="left" w:pos="7710"/>
              </w:tabs>
              <w:jc w:val="center"/>
            </w:pPr>
            <w:r w:rsidRPr="00041F9D">
              <w:t>Total Respondent Costs</w:t>
            </w:r>
          </w:p>
        </w:tc>
      </w:tr>
      <w:tr w:rsidR="006653AB" w:rsidRPr="00A5763A" w14:paraId="7FD63783" w14:textId="77777777" w:rsidTr="006653AB">
        <w:tc>
          <w:tcPr>
            <w:tcW w:w="1915" w:type="dxa"/>
            <w:shd w:val="clear" w:color="auto" w:fill="auto"/>
          </w:tcPr>
          <w:p w14:paraId="18F4FCB6" w14:textId="77777777" w:rsidR="00311E38" w:rsidRPr="00041F9D" w:rsidRDefault="00311E38" w:rsidP="00041F9D">
            <w:pPr>
              <w:widowControl w:val="0"/>
              <w:tabs>
                <w:tab w:val="center" w:pos="4680"/>
                <w:tab w:val="left" w:pos="7710"/>
              </w:tabs>
              <w:autoSpaceDE w:val="0"/>
              <w:autoSpaceDN w:val="0"/>
              <w:adjustRightInd w:val="0"/>
              <w:jc w:val="center"/>
            </w:pPr>
            <w:r w:rsidRPr="00041F9D">
              <w:lastRenderedPageBreak/>
              <w:t>EI participants</w:t>
            </w:r>
          </w:p>
        </w:tc>
        <w:tc>
          <w:tcPr>
            <w:tcW w:w="1915" w:type="dxa"/>
            <w:shd w:val="clear" w:color="auto" w:fill="auto"/>
          </w:tcPr>
          <w:p w14:paraId="098F98A1" w14:textId="75A13751" w:rsidR="00311E38" w:rsidRPr="00041F9D" w:rsidRDefault="00023640" w:rsidP="00E54EF6">
            <w:pPr>
              <w:widowControl w:val="0"/>
              <w:tabs>
                <w:tab w:val="center" w:pos="4680"/>
                <w:tab w:val="left" w:pos="7710"/>
              </w:tabs>
              <w:autoSpaceDE w:val="0"/>
              <w:autoSpaceDN w:val="0"/>
              <w:adjustRightInd w:val="0"/>
              <w:jc w:val="center"/>
            </w:pPr>
            <w:r>
              <w:t>30</w:t>
            </w:r>
          </w:p>
        </w:tc>
        <w:tc>
          <w:tcPr>
            <w:tcW w:w="1915" w:type="dxa"/>
            <w:shd w:val="clear" w:color="auto" w:fill="auto"/>
          </w:tcPr>
          <w:p w14:paraId="64DF090A" w14:textId="77777777" w:rsidR="006653AB" w:rsidRPr="00041F9D" w:rsidRDefault="00311E38" w:rsidP="006523AC">
            <w:pPr>
              <w:widowControl w:val="0"/>
              <w:tabs>
                <w:tab w:val="center" w:pos="4680"/>
                <w:tab w:val="left" w:pos="7710"/>
              </w:tabs>
              <w:autoSpaceDE w:val="0"/>
              <w:autoSpaceDN w:val="0"/>
              <w:adjustRightInd w:val="0"/>
              <w:jc w:val="center"/>
            </w:pPr>
            <w:r w:rsidRPr="00041F9D">
              <w:t>1</w:t>
            </w:r>
          </w:p>
        </w:tc>
        <w:tc>
          <w:tcPr>
            <w:tcW w:w="1915" w:type="dxa"/>
            <w:shd w:val="clear" w:color="auto" w:fill="auto"/>
          </w:tcPr>
          <w:p w14:paraId="5B6AB972" w14:textId="7AC30264" w:rsidR="00311E38" w:rsidRPr="00041F9D" w:rsidRDefault="00311E38" w:rsidP="00701440">
            <w:pPr>
              <w:widowControl w:val="0"/>
              <w:tabs>
                <w:tab w:val="center" w:pos="4680"/>
                <w:tab w:val="left" w:pos="7710"/>
              </w:tabs>
              <w:autoSpaceDE w:val="0"/>
              <w:autoSpaceDN w:val="0"/>
              <w:adjustRightInd w:val="0"/>
              <w:jc w:val="right"/>
            </w:pPr>
            <w:r w:rsidRPr="00041F9D">
              <w:t>$</w:t>
            </w:r>
            <w:r w:rsidR="005D7E81">
              <w:t>23.</w:t>
            </w:r>
            <w:r w:rsidR="00701440">
              <w:t>86</w:t>
            </w:r>
          </w:p>
        </w:tc>
        <w:tc>
          <w:tcPr>
            <w:tcW w:w="1916" w:type="dxa"/>
            <w:shd w:val="clear" w:color="auto" w:fill="auto"/>
          </w:tcPr>
          <w:p w14:paraId="28592B13" w14:textId="091DE92D" w:rsidR="00311E38" w:rsidRPr="00041F9D" w:rsidRDefault="00311E38" w:rsidP="00023640">
            <w:pPr>
              <w:widowControl w:val="0"/>
              <w:tabs>
                <w:tab w:val="center" w:pos="4680"/>
                <w:tab w:val="left" w:pos="7710"/>
              </w:tabs>
              <w:autoSpaceDE w:val="0"/>
              <w:autoSpaceDN w:val="0"/>
              <w:adjustRightInd w:val="0"/>
              <w:jc w:val="right"/>
            </w:pPr>
            <w:r w:rsidRPr="00041F9D">
              <w:t>$</w:t>
            </w:r>
            <w:r w:rsidR="00023640">
              <w:t>716</w:t>
            </w:r>
          </w:p>
        </w:tc>
      </w:tr>
    </w:tbl>
    <w:p w14:paraId="581CA4F5" w14:textId="77777777" w:rsidR="00311E38" w:rsidRDefault="00311E38" w:rsidP="00041F9D">
      <w:pPr>
        <w:tabs>
          <w:tab w:val="center" w:pos="4680"/>
          <w:tab w:val="left" w:pos="7710"/>
        </w:tabs>
        <w:jc w:val="center"/>
        <w:rPr>
          <w:b/>
        </w:rPr>
      </w:pPr>
    </w:p>
    <w:p w14:paraId="5DF13B52" w14:textId="77777777" w:rsidR="00261215" w:rsidRDefault="00B60A40" w:rsidP="00B60A40">
      <w:pPr>
        <w:pStyle w:val="Heading2"/>
      </w:pPr>
      <w:bookmarkStart w:id="104" w:name="_Toc483922854"/>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04"/>
    </w:p>
    <w:p w14:paraId="0A7D9D59" w14:textId="77777777" w:rsidR="00DD0E31" w:rsidRPr="000128D8" w:rsidRDefault="00DD0E31" w:rsidP="006653AB">
      <w:pPr>
        <w:tabs>
          <w:tab w:val="center" w:pos="4680"/>
          <w:tab w:val="left" w:pos="7710"/>
        </w:tabs>
      </w:pPr>
    </w:p>
    <w:p w14:paraId="100A09AB" w14:textId="77777777"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00"/>
    <w:bookmarkEnd w:id="101"/>
    <w:bookmarkEnd w:id="102"/>
    <w:bookmarkEnd w:id="103"/>
    <w:p w14:paraId="6C21B0A5" w14:textId="77777777" w:rsidR="00AB0F01" w:rsidRPr="00A527F9" w:rsidRDefault="00AB0F01" w:rsidP="002F40AB">
      <w:pPr>
        <w:autoSpaceDE w:val="0"/>
        <w:autoSpaceDN w:val="0"/>
        <w:adjustRightInd w:val="0"/>
        <w:rPr>
          <w:color w:val="000000" w:themeColor="text1"/>
        </w:rPr>
      </w:pPr>
    </w:p>
    <w:p w14:paraId="6382ADBD" w14:textId="77777777" w:rsidR="006653AB" w:rsidRDefault="00B60A40" w:rsidP="00B60A40">
      <w:pPr>
        <w:pStyle w:val="Heading2"/>
      </w:pPr>
      <w:bookmarkStart w:id="105" w:name="_Toc483922855"/>
      <w:bookmarkStart w:id="106" w:name="_Toc306344159"/>
      <w:bookmarkStart w:id="107" w:name="_Toc306344800"/>
      <w:bookmarkStart w:id="108" w:name="_Toc306345041"/>
      <w:bookmarkStart w:id="109" w:name="_Toc311445510"/>
      <w:r>
        <w:t>A.14</w:t>
      </w:r>
      <w:r w:rsidR="006653AB">
        <w:t>. Annualized Cost to the Government</w:t>
      </w:r>
      <w:bookmarkEnd w:id="105"/>
    </w:p>
    <w:p w14:paraId="275018FB" w14:textId="77777777" w:rsidR="006653AB" w:rsidRDefault="006653AB" w:rsidP="006653AB">
      <w:pPr>
        <w:tabs>
          <w:tab w:val="center" w:pos="4680"/>
          <w:tab w:val="left" w:pos="7710"/>
        </w:tabs>
        <w:rPr>
          <w:b/>
        </w:rPr>
      </w:pPr>
    </w:p>
    <w:p w14:paraId="46DB2F8C" w14:textId="77777777"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14:paraId="61BBE9F2" w14:textId="77777777" w:rsidR="00540BD7" w:rsidRPr="006523AC" w:rsidRDefault="00540BD7" w:rsidP="006653AB">
      <w:pPr>
        <w:tabs>
          <w:tab w:val="center" w:pos="4680"/>
          <w:tab w:val="left" w:pos="7710"/>
        </w:tabs>
      </w:pPr>
    </w:p>
    <w:tbl>
      <w:tblPr>
        <w:tblStyle w:val="TableGrid1"/>
        <w:tblW w:w="9567" w:type="dxa"/>
        <w:tblInd w:w="9" w:type="dxa"/>
        <w:tblLayout w:type="fixed"/>
        <w:tblLook w:val="04A0" w:firstRow="1" w:lastRow="0" w:firstColumn="1" w:lastColumn="0" w:noHBand="0" w:noVBand="1"/>
      </w:tblPr>
      <w:tblGrid>
        <w:gridCol w:w="5409"/>
        <w:gridCol w:w="1386"/>
        <w:gridCol w:w="1386"/>
        <w:gridCol w:w="1386"/>
      </w:tblGrid>
      <w:tr w:rsidR="00540BD7" w:rsidRPr="006523AC" w14:paraId="42D7FD19" w14:textId="77777777" w:rsidTr="009624C6">
        <w:trPr>
          <w:trHeight w:val="593"/>
        </w:trPr>
        <w:tc>
          <w:tcPr>
            <w:tcW w:w="5409" w:type="dxa"/>
            <w:tcBorders>
              <w:bottom w:val="single" w:sz="4" w:space="0" w:color="auto"/>
            </w:tcBorders>
            <w:shd w:val="clear" w:color="auto" w:fill="D9D9D9" w:themeFill="background1" w:themeFillShade="D9"/>
            <w:vAlign w:val="center"/>
          </w:tcPr>
          <w:p w14:paraId="010ACBD3" w14:textId="77777777" w:rsidR="00540BD7" w:rsidRPr="005747B8" w:rsidRDefault="00540BD7" w:rsidP="00540BD7">
            <w:pPr>
              <w:rPr>
                <w:rFonts w:ascii="Times New Roman" w:hAnsi="Times New Roman" w:cs="Times New Roman"/>
                <w:b/>
              </w:rPr>
            </w:pPr>
            <w:r w:rsidRPr="005747B8">
              <w:rPr>
                <w:rFonts w:ascii="Times New Roman" w:hAnsi="Times New Roman" w:cs="Times New Roman"/>
                <w:b/>
              </w:rPr>
              <w:t xml:space="preserve">Staff (FTE) </w:t>
            </w:r>
          </w:p>
        </w:tc>
        <w:tc>
          <w:tcPr>
            <w:tcW w:w="1386" w:type="dxa"/>
            <w:tcBorders>
              <w:bottom w:val="single" w:sz="4" w:space="0" w:color="auto"/>
            </w:tcBorders>
            <w:shd w:val="clear" w:color="auto" w:fill="D9D9D9" w:themeFill="background1" w:themeFillShade="D9"/>
            <w:vAlign w:val="center"/>
          </w:tcPr>
          <w:p w14:paraId="163A0824" w14:textId="77777777" w:rsidR="00540BD7" w:rsidRPr="005747B8" w:rsidRDefault="00540BD7" w:rsidP="00B76161">
            <w:pPr>
              <w:jc w:val="center"/>
              <w:rPr>
                <w:rFonts w:ascii="Times New Roman" w:hAnsi="Times New Roman" w:cs="Times New Roman"/>
              </w:rPr>
            </w:pPr>
            <w:r w:rsidRPr="005747B8">
              <w:rPr>
                <w:rFonts w:ascii="Times New Roman" w:hAnsi="Times New Roman" w:cs="Times New Roman"/>
              </w:rPr>
              <w:t>Average Hours per Collection</w:t>
            </w:r>
          </w:p>
        </w:tc>
        <w:tc>
          <w:tcPr>
            <w:tcW w:w="1386" w:type="dxa"/>
            <w:tcBorders>
              <w:bottom w:val="single" w:sz="4" w:space="0" w:color="auto"/>
            </w:tcBorders>
            <w:shd w:val="clear" w:color="auto" w:fill="D9D9D9" w:themeFill="background1" w:themeFillShade="D9"/>
            <w:vAlign w:val="center"/>
          </w:tcPr>
          <w:p w14:paraId="4B57002E" w14:textId="77777777" w:rsidR="00540BD7" w:rsidRPr="005747B8" w:rsidRDefault="00540BD7" w:rsidP="00B76161">
            <w:pPr>
              <w:jc w:val="center"/>
              <w:rPr>
                <w:rFonts w:ascii="Times New Roman" w:hAnsi="Times New Roman" w:cs="Times New Roman"/>
              </w:rPr>
            </w:pPr>
            <w:r w:rsidRPr="005747B8">
              <w:rPr>
                <w:rFonts w:ascii="Times New Roman" w:hAnsi="Times New Roman" w:cs="Times New Roman"/>
              </w:rPr>
              <w:t>Average Hourly Rate</w:t>
            </w:r>
          </w:p>
        </w:tc>
        <w:tc>
          <w:tcPr>
            <w:tcW w:w="1386" w:type="dxa"/>
            <w:tcBorders>
              <w:bottom w:val="single" w:sz="4" w:space="0" w:color="auto"/>
            </w:tcBorders>
            <w:shd w:val="clear" w:color="auto" w:fill="D9D9D9" w:themeFill="background1" w:themeFillShade="D9"/>
            <w:vAlign w:val="center"/>
          </w:tcPr>
          <w:p w14:paraId="63AEC567" w14:textId="77777777" w:rsidR="00540BD7" w:rsidRPr="006523AC" w:rsidRDefault="00540BD7" w:rsidP="00B76161">
            <w:pPr>
              <w:jc w:val="center"/>
            </w:pPr>
            <w:r w:rsidRPr="006523AC">
              <w:t>Average Cost</w:t>
            </w:r>
          </w:p>
        </w:tc>
      </w:tr>
      <w:tr w:rsidR="00540BD7" w:rsidRPr="006523AC" w14:paraId="3CA1D762" w14:textId="77777777" w:rsidTr="009624C6">
        <w:tc>
          <w:tcPr>
            <w:tcW w:w="5409" w:type="dxa"/>
            <w:tcBorders>
              <w:top w:val="single" w:sz="4" w:space="0" w:color="auto"/>
            </w:tcBorders>
          </w:tcPr>
          <w:p w14:paraId="73158B82" w14:textId="753E8889" w:rsidR="00540BD7" w:rsidRPr="005747B8" w:rsidRDefault="00540BD7" w:rsidP="000220F0">
            <w:pPr>
              <w:rPr>
                <w:rFonts w:ascii="Times New Roman" w:hAnsi="Times New Roman" w:cs="Times New Roman"/>
              </w:rPr>
            </w:pPr>
            <w:r w:rsidRPr="005747B8">
              <w:rPr>
                <w:rFonts w:ascii="Times New Roman" w:hAnsi="Times New Roman" w:cs="Times New Roman"/>
              </w:rPr>
              <w:t xml:space="preserve"> </w:t>
            </w:r>
            <w:r w:rsidR="005E42AC" w:rsidRPr="005747B8">
              <w:rPr>
                <w:rFonts w:ascii="Times New Roman" w:hAnsi="Times New Roman" w:cs="Times New Roman"/>
              </w:rPr>
              <w:t xml:space="preserve">Regional </w:t>
            </w:r>
            <w:r w:rsidR="000220F0" w:rsidRPr="005747B8">
              <w:rPr>
                <w:rFonts w:ascii="Times New Roman" w:hAnsi="Times New Roman" w:cs="Times New Roman"/>
              </w:rPr>
              <w:t>Director</w:t>
            </w:r>
            <w:r w:rsidR="005E42AC" w:rsidRPr="005747B8">
              <w:rPr>
                <w:rFonts w:ascii="Times New Roman" w:hAnsi="Times New Roman" w:cs="Times New Roman"/>
              </w:rPr>
              <w:t xml:space="preserve"> (</w:t>
            </w:r>
            <w:r w:rsidR="001F4E03" w:rsidRPr="005747B8">
              <w:rPr>
                <w:rFonts w:ascii="Times New Roman" w:hAnsi="Times New Roman" w:cs="Times New Roman"/>
              </w:rPr>
              <w:t>GS-1</w:t>
            </w:r>
            <w:r w:rsidR="000220F0" w:rsidRPr="005747B8">
              <w:rPr>
                <w:rFonts w:ascii="Times New Roman" w:hAnsi="Times New Roman" w:cs="Times New Roman"/>
              </w:rPr>
              <w:t>4</w:t>
            </w:r>
            <w:r w:rsidR="001F4E03" w:rsidRPr="005747B8">
              <w:rPr>
                <w:rFonts w:ascii="Times New Roman" w:hAnsi="Times New Roman" w:cs="Times New Roman"/>
              </w:rPr>
              <w:t>)</w:t>
            </w:r>
          </w:p>
        </w:tc>
        <w:tc>
          <w:tcPr>
            <w:tcW w:w="1386" w:type="dxa"/>
            <w:tcBorders>
              <w:top w:val="single" w:sz="4" w:space="0" w:color="auto"/>
            </w:tcBorders>
          </w:tcPr>
          <w:p w14:paraId="1C95FBDB" w14:textId="590212B3" w:rsidR="00311E38" w:rsidRPr="005747B8" w:rsidRDefault="000220F0" w:rsidP="00041F9D">
            <w:pPr>
              <w:jc w:val="right"/>
              <w:rPr>
                <w:rFonts w:ascii="Times New Roman" w:hAnsi="Times New Roman" w:cs="Times New Roman"/>
              </w:rPr>
            </w:pPr>
            <w:r w:rsidRPr="005747B8">
              <w:rPr>
                <w:rFonts w:ascii="Times New Roman" w:hAnsi="Times New Roman" w:cs="Times New Roman"/>
              </w:rPr>
              <w:t>1</w:t>
            </w:r>
            <w:r w:rsidR="001F4E03" w:rsidRPr="005747B8">
              <w:rPr>
                <w:rFonts w:ascii="Times New Roman" w:hAnsi="Times New Roman" w:cs="Times New Roman"/>
              </w:rPr>
              <w:t>00</w:t>
            </w:r>
          </w:p>
        </w:tc>
        <w:tc>
          <w:tcPr>
            <w:tcW w:w="1386" w:type="dxa"/>
            <w:tcBorders>
              <w:top w:val="single" w:sz="4" w:space="0" w:color="auto"/>
            </w:tcBorders>
          </w:tcPr>
          <w:p w14:paraId="40EBBD53" w14:textId="5F912B0A" w:rsidR="00311E38" w:rsidRPr="005747B8" w:rsidRDefault="005E42AC" w:rsidP="00CD2AF0">
            <w:pPr>
              <w:jc w:val="right"/>
              <w:rPr>
                <w:rFonts w:ascii="Times New Roman" w:hAnsi="Times New Roman" w:cs="Times New Roman"/>
              </w:rPr>
            </w:pPr>
            <w:r w:rsidRPr="005747B8">
              <w:rPr>
                <w:rFonts w:ascii="Times New Roman" w:hAnsi="Times New Roman" w:cs="Times New Roman"/>
              </w:rPr>
              <w:t>$</w:t>
            </w:r>
            <w:r w:rsidR="00CD2AF0" w:rsidRPr="005747B8">
              <w:rPr>
                <w:rFonts w:ascii="Times New Roman" w:hAnsi="Times New Roman" w:cs="Times New Roman"/>
              </w:rPr>
              <w:t>50.00</w:t>
            </w:r>
          </w:p>
        </w:tc>
        <w:tc>
          <w:tcPr>
            <w:tcW w:w="1386" w:type="dxa"/>
            <w:tcBorders>
              <w:top w:val="single" w:sz="4" w:space="0" w:color="auto"/>
            </w:tcBorders>
          </w:tcPr>
          <w:p w14:paraId="2ECAFEE8" w14:textId="550E1D9D" w:rsidR="00311E38" w:rsidRPr="003273B2" w:rsidRDefault="009A0F23" w:rsidP="00CD2AF0">
            <w:pPr>
              <w:jc w:val="right"/>
              <w:rPr>
                <w:rFonts w:ascii="Times New Roman" w:hAnsi="Times New Roman" w:cs="Times New Roman"/>
              </w:rPr>
            </w:pPr>
            <w:r w:rsidRPr="003273B2">
              <w:rPr>
                <w:rFonts w:ascii="Times New Roman" w:hAnsi="Times New Roman" w:cs="Times New Roman"/>
              </w:rPr>
              <w:t>$</w:t>
            </w:r>
            <w:r w:rsidR="00CD2AF0" w:rsidRPr="003273B2">
              <w:rPr>
                <w:rFonts w:ascii="Times New Roman" w:hAnsi="Times New Roman" w:cs="Times New Roman"/>
              </w:rPr>
              <w:t>5,000</w:t>
            </w:r>
          </w:p>
        </w:tc>
      </w:tr>
      <w:tr w:rsidR="000220F0" w:rsidRPr="006523AC" w14:paraId="52D4F2A9" w14:textId="77777777" w:rsidTr="009624C6">
        <w:tc>
          <w:tcPr>
            <w:tcW w:w="5409" w:type="dxa"/>
          </w:tcPr>
          <w:p w14:paraId="68FF169F" w14:textId="16B15DF2" w:rsidR="000220F0" w:rsidRPr="003273B2" w:rsidRDefault="000220F0" w:rsidP="000220F0">
            <w:pPr>
              <w:rPr>
                <w:rFonts w:ascii="Times New Roman" w:hAnsi="Times New Roman" w:cs="Times New Roman"/>
              </w:rPr>
            </w:pPr>
            <w:r w:rsidRPr="003273B2">
              <w:rPr>
                <w:rFonts w:ascii="Times New Roman" w:hAnsi="Times New Roman" w:cs="Times New Roman"/>
              </w:rPr>
              <w:t xml:space="preserve"> Regional Representative Health Scientist (GS-13)</w:t>
            </w:r>
          </w:p>
        </w:tc>
        <w:tc>
          <w:tcPr>
            <w:tcW w:w="1386" w:type="dxa"/>
          </w:tcPr>
          <w:p w14:paraId="1D13C813" w14:textId="343357CE" w:rsidR="000220F0" w:rsidRPr="003273B2" w:rsidRDefault="00043D51" w:rsidP="005E42AC">
            <w:pPr>
              <w:jc w:val="right"/>
              <w:rPr>
                <w:rFonts w:ascii="Times New Roman" w:hAnsi="Times New Roman" w:cs="Times New Roman"/>
              </w:rPr>
            </w:pPr>
            <w:r>
              <w:rPr>
                <w:rFonts w:ascii="Times New Roman" w:hAnsi="Times New Roman" w:cs="Times New Roman"/>
              </w:rPr>
              <w:t>4</w:t>
            </w:r>
            <w:r w:rsidR="000220F0" w:rsidRPr="003273B2">
              <w:rPr>
                <w:rFonts w:ascii="Times New Roman" w:hAnsi="Times New Roman" w:cs="Times New Roman"/>
              </w:rPr>
              <w:t>00</w:t>
            </w:r>
          </w:p>
        </w:tc>
        <w:tc>
          <w:tcPr>
            <w:tcW w:w="1386" w:type="dxa"/>
          </w:tcPr>
          <w:p w14:paraId="1AEF537A" w14:textId="607ACF9F" w:rsidR="000220F0" w:rsidRPr="003273B2" w:rsidRDefault="000220F0" w:rsidP="00CD2AF0">
            <w:pPr>
              <w:jc w:val="right"/>
              <w:rPr>
                <w:rFonts w:ascii="Times New Roman" w:hAnsi="Times New Roman" w:cs="Times New Roman"/>
              </w:rPr>
            </w:pPr>
            <w:r w:rsidRPr="003273B2">
              <w:rPr>
                <w:rFonts w:ascii="Times New Roman" w:hAnsi="Times New Roman" w:cs="Times New Roman"/>
              </w:rPr>
              <w:t>$</w:t>
            </w:r>
            <w:r w:rsidR="00CD2AF0" w:rsidRPr="003273B2">
              <w:rPr>
                <w:rFonts w:ascii="Times New Roman" w:hAnsi="Times New Roman" w:cs="Times New Roman"/>
              </w:rPr>
              <w:t>45.00</w:t>
            </w:r>
          </w:p>
        </w:tc>
        <w:tc>
          <w:tcPr>
            <w:tcW w:w="1386" w:type="dxa"/>
          </w:tcPr>
          <w:p w14:paraId="6A62293D" w14:textId="41BAFE5A" w:rsidR="000220F0" w:rsidRPr="003273B2" w:rsidRDefault="000220F0" w:rsidP="00043D51">
            <w:pPr>
              <w:jc w:val="right"/>
              <w:rPr>
                <w:rFonts w:ascii="Times New Roman" w:hAnsi="Times New Roman" w:cs="Times New Roman"/>
              </w:rPr>
            </w:pPr>
            <w:r w:rsidRPr="003273B2">
              <w:rPr>
                <w:rFonts w:ascii="Times New Roman" w:hAnsi="Times New Roman" w:cs="Times New Roman"/>
              </w:rPr>
              <w:t>$</w:t>
            </w:r>
            <w:r w:rsidR="00CD2AF0" w:rsidRPr="003273B2">
              <w:rPr>
                <w:rFonts w:ascii="Times New Roman" w:hAnsi="Times New Roman" w:cs="Times New Roman"/>
              </w:rPr>
              <w:t>1</w:t>
            </w:r>
            <w:r w:rsidR="00043D51">
              <w:rPr>
                <w:rFonts w:ascii="Times New Roman" w:hAnsi="Times New Roman" w:cs="Times New Roman"/>
              </w:rPr>
              <w:t>8</w:t>
            </w:r>
            <w:r w:rsidR="00CD2AF0" w:rsidRPr="003273B2">
              <w:rPr>
                <w:rFonts w:ascii="Times New Roman" w:hAnsi="Times New Roman" w:cs="Times New Roman"/>
              </w:rPr>
              <w:t>,000</w:t>
            </w:r>
          </w:p>
        </w:tc>
      </w:tr>
      <w:tr w:rsidR="005E42AC" w:rsidRPr="006523AC" w14:paraId="3AEC7B9C" w14:textId="77777777" w:rsidTr="009624C6">
        <w:tc>
          <w:tcPr>
            <w:tcW w:w="5409" w:type="dxa"/>
          </w:tcPr>
          <w:p w14:paraId="27D0A0EC" w14:textId="4577151C" w:rsidR="005E42AC" w:rsidRPr="003273B2" w:rsidRDefault="005E42AC" w:rsidP="005E42AC">
            <w:pPr>
              <w:rPr>
                <w:rFonts w:ascii="Times New Roman" w:hAnsi="Times New Roman" w:cs="Times New Roman"/>
              </w:rPr>
            </w:pPr>
            <w:r w:rsidRPr="003273B2">
              <w:rPr>
                <w:rFonts w:ascii="Times New Roman" w:hAnsi="Times New Roman" w:cs="Times New Roman"/>
              </w:rPr>
              <w:t xml:space="preserve"> Headquarters Health Scientist (GS-13)</w:t>
            </w:r>
          </w:p>
        </w:tc>
        <w:tc>
          <w:tcPr>
            <w:tcW w:w="1386" w:type="dxa"/>
          </w:tcPr>
          <w:p w14:paraId="09BA3ACE" w14:textId="0594DF0D" w:rsidR="005E42AC" w:rsidRPr="003273B2" w:rsidRDefault="00043D51" w:rsidP="005E42AC">
            <w:pPr>
              <w:jc w:val="right"/>
              <w:rPr>
                <w:rFonts w:ascii="Times New Roman" w:eastAsia="SimSun" w:hAnsi="Times New Roman" w:cs="Times New Roman"/>
                <w:lang w:eastAsia="zh-CN"/>
              </w:rPr>
            </w:pPr>
            <w:r>
              <w:rPr>
                <w:rFonts w:ascii="Times New Roman" w:hAnsi="Times New Roman" w:cs="Times New Roman"/>
              </w:rPr>
              <w:t>4</w:t>
            </w:r>
            <w:r w:rsidR="005E42AC" w:rsidRPr="003273B2">
              <w:rPr>
                <w:rFonts w:ascii="Times New Roman" w:hAnsi="Times New Roman" w:cs="Times New Roman"/>
              </w:rPr>
              <w:t>00</w:t>
            </w:r>
          </w:p>
        </w:tc>
        <w:tc>
          <w:tcPr>
            <w:tcW w:w="1386" w:type="dxa"/>
          </w:tcPr>
          <w:p w14:paraId="486EA5BC" w14:textId="4638FC0C" w:rsidR="005E42AC" w:rsidRPr="003273B2" w:rsidRDefault="005E42AC" w:rsidP="00CD2AF0">
            <w:pPr>
              <w:jc w:val="right"/>
              <w:rPr>
                <w:rFonts w:ascii="Times New Roman" w:eastAsia="SimSun" w:hAnsi="Times New Roman" w:cs="Times New Roman"/>
                <w:lang w:eastAsia="zh-CN"/>
              </w:rPr>
            </w:pPr>
            <w:r w:rsidRPr="003273B2">
              <w:rPr>
                <w:rFonts w:ascii="Times New Roman" w:hAnsi="Times New Roman" w:cs="Times New Roman"/>
              </w:rPr>
              <w:t>$</w:t>
            </w:r>
            <w:r w:rsidR="00CD2AF0" w:rsidRPr="003273B2">
              <w:rPr>
                <w:rFonts w:ascii="Times New Roman" w:hAnsi="Times New Roman" w:cs="Times New Roman"/>
              </w:rPr>
              <w:t>45.00</w:t>
            </w:r>
          </w:p>
        </w:tc>
        <w:tc>
          <w:tcPr>
            <w:tcW w:w="1386" w:type="dxa"/>
          </w:tcPr>
          <w:p w14:paraId="57D90047" w14:textId="490C4A21" w:rsidR="005E42AC" w:rsidRPr="003273B2" w:rsidRDefault="005E42AC" w:rsidP="00043D51">
            <w:pPr>
              <w:jc w:val="right"/>
              <w:rPr>
                <w:rFonts w:ascii="Times New Roman" w:hAnsi="Times New Roman" w:cs="Times New Roman"/>
              </w:rPr>
            </w:pPr>
            <w:r w:rsidRPr="003273B2">
              <w:rPr>
                <w:rFonts w:ascii="Times New Roman" w:hAnsi="Times New Roman" w:cs="Times New Roman"/>
              </w:rPr>
              <w:t>$</w:t>
            </w:r>
            <w:r w:rsidR="00043D51">
              <w:rPr>
                <w:rFonts w:ascii="Times New Roman" w:hAnsi="Times New Roman" w:cs="Times New Roman"/>
              </w:rPr>
              <w:t>18,000</w:t>
            </w:r>
          </w:p>
        </w:tc>
      </w:tr>
      <w:tr w:rsidR="005E42AC" w:rsidRPr="006523AC" w14:paraId="46EFF201" w14:textId="77777777" w:rsidTr="009624C6">
        <w:trPr>
          <w:trHeight w:val="332"/>
        </w:trPr>
        <w:tc>
          <w:tcPr>
            <w:tcW w:w="8181" w:type="dxa"/>
            <w:gridSpan w:val="3"/>
            <w:vAlign w:val="center"/>
          </w:tcPr>
          <w:p w14:paraId="633F12C9" w14:textId="77777777" w:rsidR="005E42AC" w:rsidRPr="003273B2" w:rsidRDefault="005E42AC" w:rsidP="005E42AC">
            <w:pPr>
              <w:jc w:val="right"/>
              <w:rPr>
                <w:rFonts w:ascii="Times New Roman" w:hAnsi="Times New Roman" w:cs="Times New Roman"/>
              </w:rPr>
            </w:pPr>
            <w:r w:rsidRPr="003273B2">
              <w:rPr>
                <w:rFonts w:ascii="Times New Roman" w:hAnsi="Times New Roman" w:cs="Times New Roman"/>
              </w:rPr>
              <w:t>Estimated Total Personnel Cost of Exposure Investigation</w:t>
            </w:r>
          </w:p>
        </w:tc>
        <w:tc>
          <w:tcPr>
            <w:tcW w:w="1386" w:type="dxa"/>
            <w:vAlign w:val="center"/>
          </w:tcPr>
          <w:p w14:paraId="05C08D0D" w14:textId="36F3BC5D" w:rsidR="005E42AC" w:rsidRPr="003273B2" w:rsidRDefault="005E42AC" w:rsidP="00043D51">
            <w:pPr>
              <w:jc w:val="right"/>
              <w:rPr>
                <w:rFonts w:ascii="Times New Roman" w:hAnsi="Times New Roman" w:cs="Times New Roman"/>
              </w:rPr>
            </w:pPr>
            <w:r w:rsidRPr="003273B2">
              <w:rPr>
                <w:rFonts w:ascii="Times New Roman" w:hAnsi="Times New Roman" w:cs="Times New Roman"/>
              </w:rPr>
              <w:t>$</w:t>
            </w:r>
            <w:r w:rsidR="00043D51">
              <w:rPr>
                <w:rFonts w:ascii="Times New Roman" w:hAnsi="Times New Roman" w:cs="Times New Roman"/>
              </w:rPr>
              <w:t>41,000</w:t>
            </w:r>
          </w:p>
        </w:tc>
      </w:tr>
    </w:tbl>
    <w:p w14:paraId="7E23F8BC" w14:textId="77777777" w:rsidR="00540BD7" w:rsidRPr="005D7203" w:rsidRDefault="00540BD7" w:rsidP="006653AB">
      <w:pPr>
        <w:tabs>
          <w:tab w:val="center" w:pos="4680"/>
          <w:tab w:val="left" w:pos="7710"/>
        </w:tabs>
      </w:pPr>
    </w:p>
    <w:p w14:paraId="450A4579" w14:textId="77777777" w:rsidR="006653AB" w:rsidRPr="005D7203" w:rsidRDefault="006653AB" w:rsidP="006653AB">
      <w:pPr>
        <w:tabs>
          <w:tab w:val="center" w:pos="4680"/>
          <w:tab w:val="left" w:pos="7710"/>
        </w:tabs>
        <w:rPr>
          <w:b/>
        </w:rPr>
      </w:pPr>
      <w:r w:rsidRPr="005D7203">
        <w:rPr>
          <w:b/>
        </w:rPr>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59"/>
        <w:gridCol w:w="3876"/>
        <w:gridCol w:w="2889"/>
        <w:gridCol w:w="1416"/>
      </w:tblGrid>
      <w:tr w:rsidR="00B76161" w:rsidRPr="005D7203" w14:paraId="5544A4BC" w14:textId="77777777" w:rsidTr="005E42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4" w:type="dxa"/>
            <w:gridSpan w:val="3"/>
            <w:tcBorders>
              <w:bottom w:val="single" w:sz="8" w:space="0" w:color="000000" w:themeColor="text1"/>
            </w:tcBorders>
            <w:shd w:val="clear" w:color="auto" w:fill="D9D9D9" w:themeFill="background1" w:themeFillShade="D9"/>
          </w:tcPr>
          <w:p w14:paraId="3618127E" w14:textId="77777777" w:rsidR="00311E38" w:rsidRPr="00631517" w:rsidRDefault="006B32E4" w:rsidP="00041F9D">
            <w:pPr>
              <w:tabs>
                <w:tab w:val="left" w:pos="1545"/>
              </w:tabs>
              <w:jc w:val="both"/>
              <w:rPr>
                <w:rFonts w:eastAsia="SimSun"/>
                <w:b w:val="0"/>
                <w:bCs w:val="0"/>
                <w:lang w:eastAsia="zh-CN"/>
              </w:rPr>
            </w:pPr>
            <w:r w:rsidRPr="00844EC5">
              <w:t>Non-Personnel</w:t>
            </w:r>
          </w:p>
        </w:tc>
        <w:tc>
          <w:tcPr>
            <w:tcW w:w="1416" w:type="dxa"/>
            <w:shd w:val="clear" w:color="auto" w:fill="D9D9D9" w:themeFill="background1" w:themeFillShade="D9"/>
          </w:tcPr>
          <w:p w14:paraId="548A35F4" w14:textId="77777777" w:rsidR="00311E38" w:rsidRPr="00A10D50" w:rsidRDefault="006B32E4" w:rsidP="00041F9D">
            <w:pPr>
              <w:tabs>
                <w:tab w:val="left" w:pos="1545"/>
              </w:tabs>
              <w:jc w:val="center"/>
              <w:cnfStyle w:val="100000000000" w:firstRow="1" w:lastRow="0" w:firstColumn="0" w:lastColumn="0" w:oddVBand="0" w:evenVBand="0" w:oddHBand="0" w:evenHBand="0" w:firstRowFirstColumn="0" w:firstRowLastColumn="0" w:lastRowFirstColumn="0" w:lastRowLastColumn="0"/>
              <w:rPr>
                <w:b w:val="0"/>
                <w:bCs w:val="0"/>
              </w:rPr>
            </w:pPr>
            <w:r w:rsidRPr="00A10D50">
              <w:t>Cost</w:t>
            </w:r>
          </w:p>
        </w:tc>
      </w:tr>
      <w:tr w:rsidR="00B76161" w:rsidRPr="005D7203" w14:paraId="18097AC2" w14:textId="77777777" w:rsidTr="00745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4" w:type="dxa"/>
            <w:gridSpan w:val="3"/>
          </w:tcPr>
          <w:p w14:paraId="4570AAFF" w14:textId="7EBCE3AF" w:rsidR="00B76161" w:rsidRPr="00631517" w:rsidRDefault="00D51080" w:rsidP="006653AB">
            <w:pPr>
              <w:tabs>
                <w:tab w:val="left" w:pos="1545"/>
              </w:tabs>
              <w:rPr>
                <w:b w:val="0"/>
              </w:rPr>
            </w:pPr>
            <w:r>
              <w:t>ATSDR Regional Personnel</w:t>
            </w:r>
          </w:p>
        </w:tc>
        <w:tc>
          <w:tcPr>
            <w:tcW w:w="1416" w:type="dxa"/>
          </w:tcPr>
          <w:p w14:paraId="0E5CC54B" w14:textId="77777777" w:rsidR="00B76161" w:rsidRPr="00631517" w:rsidRDefault="00B76161" w:rsidP="006653AB">
            <w:pPr>
              <w:tabs>
                <w:tab w:val="left" w:pos="1545"/>
              </w:tabs>
              <w:cnfStyle w:val="000000100000" w:firstRow="0" w:lastRow="0" w:firstColumn="0" w:lastColumn="0" w:oddVBand="0" w:evenVBand="0" w:oddHBand="1" w:evenHBand="0" w:firstRowFirstColumn="0" w:firstRowLastColumn="0" w:lastRowFirstColumn="0" w:lastRowLastColumn="0"/>
            </w:pPr>
          </w:p>
        </w:tc>
      </w:tr>
      <w:tr w:rsidR="00DB2E14" w:rsidRPr="005D7203" w14:paraId="380AF693" w14:textId="77777777" w:rsidTr="0074585D">
        <w:tc>
          <w:tcPr>
            <w:cnfStyle w:val="001000000000" w:firstRow="0" w:lastRow="0" w:firstColumn="1" w:lastColumn="0" w:oddVBand="0" w:evenVBand="0" w:oddHBand="0" w:evenHBand="0" w:firstRowFirstColumn="0" w:firstRowLastColumn="0" w:lastRowFirstColumn="0" w:lastRowLastColumn="0"/>
            <w:tcW w:w="1159" w:type="dxa"/>
            <w:tcBorders>
              <w:right w:val="nil"/>
            </w:tcBorders>
          </w:tcPr>
          <w:p w14:paraId="71049AF9" w14:textId="77777777" w:rsidR="00DB2E14" w:rsidRPr="00631517" w:rsidRDefault="00DB2E14" w:rsidP="006653AB">
            <w:pPr>
              <w:tabs>
                <w:tab w:val="left" w:pos="1545"/>
              </w:tabs>
              <w:rPr>
                <w:b w:val="0"/>
              </w:rPr>
            </w:pPr>
          </w:p>
        </w:tc>
        <w:tc>
          <w:tcPr>
            <w:tcW w:w="6765" w:type="dxa"/>
            <w:gridSpan w:val="2"/>
            <w:tcBorders>
              <w:left w:val="nil"/>
            </w:tcBorders>
          </w:tcPr>
          <w:p w14:paraId="58BA34F2" w14:textId="1B58AFFA" w:rsidR="00DB2E14" w:rsidRPr="00631517" w:rsidRDefault="00D51080" w:rsidP="00D51080">
            <w:pPr>
              <w:tabs>
                <w:tab w:val="left" w:pos="1545"/>
              </w:tabs>
              <w:jc w:val="center"/>
              <w:cnfStyle w:val="000000000000" w:firstRow="0" w:lastRow="0" w:firstColumn="0" w:lastColumn="0" w:oddVBand="0" w:evenVBand="0" w:oddHBand="0" w:evenHBand="0" w:firstRowFirstColumn="0" w:firstRowLastColumn="0" w:lastRowFirstColumn="0" w:lastRowLastColumn="0"/>
            </w:pPr>
            <w:r>
              <w:t>Travel</w:t>
            </w:r>
          </w:p>
        </w:tc>
        <w:tc>
          <w:tcPr>
            <w:tcW w:w="1416" w:type="dxa"/>
          </w:tcPr>
          <w:p w14:paraId="7A8E16BB" w14:textId="2214CE9A" w:rsidR="00311E38" w:rsidRPr="00844EC5" w:rsidRDefault="00DB2E14" w:rsidP="00363B76">
            <w:pPr>
              <w:tabs>
                <w:tab w:val="left" w:pos="1545"/>
              </w:tabs>
              <w:jc w:val="right"/>
              <w:cnfStyle w:val="000000000000" w:firstRow="0" w:lastRow="0" w:firstColumn="0" w:lastColumn="0" w:oddVBand="0" w:evenVBand="0" w:oddHBand="0" w:evenHBand="0" w:firstRowFirstColumn="0" w:firstRowLastColumn="0" w:lastRowFirstColumn="0" w:lastRowLastColumn="0"/>
            </w:pPr>
            <w:r w:rsidRPr="00844EC5">
              <w:t>$</w:t>
            </w:r>
            <w:r w:rsidR="00363B76">
              <w:t>5</w:t>
            </w:r>
            <w:r w:rsidR="007463C7">
              <w:t>,</w:t>
            </w:r>
            <w:r w:rsidR="00E74D8F">
              <w:t>000</w:t>
            </w:r>
            <w:r w:rsidRPr="00844EC5">
              <w:t>.</w:t>
            </w:r>
            <w:r w:rsidR="0007281C" w:rsidRPr="00844EC5">
              <w:t>00</w:t>
            </w:r>
          </w:p>
        </w:tc>
      </w:tr>
      <w:tr w:rsidR="005E42AC" w:rsidRPr="005D7203" w14:paraId="181E96CB" w14:textId="77777777" w:rsidTr="00745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gridSpan w:val="2"/>
            <w:tcBorders>
              <w:right w:val="nil"/>
            </w:tcBorders>
          </w:tcPr>
          <w:p w14:paraId="7155DC5E" w14:textId="68EBE251" w:rsidR="005E42AC" w:rsidRPr="007463C7" w:rsidRDefault="005E42AC" w:rsidP="00DB5631">
            <w:pPr>
              <w:widowControl w:val="0"/>
              <w:tabs>
                <w:tab w:val="left" w:pos="1545"/>
              </w:tabs>
              <w:autoSpaceDE w:val="0"/>
              <w:autoSpaceDN w:val="0"/>
              <w:adjustRightInd w:val="0"/>
            </w:pPr>
            <w:r w:rsidRPr="007463C7">
              <w:t>Contractor (ERG) costs</w:t>
            </w:r>
            <w:r w:rsidR="00E74D8F" w:rsidRPr="007463C7">
              <w:t xml:space="preserve"> (labor and travel)</w:t>
            </w:r>
          </w:p>
        </w:tc>
        <w:tc>
          <w:tcPr>
            <w:tcW w:w="2889" w:type="dxa"/>
            <w:tcBorders>
              <w:left w:val="nil"/>
            </w:tcBorders>
          </w:tcPr>
          <w:p w14:paraId="05F3E4AF" w14:textId="77777777" w:rsidR="005E42AC" w:rsidRPr="00631517" w:rsidRDefault="005E42AC"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1416" w:type="dxa"/>
          </w:tcPr>
          <w:p w14:paraId="7898C731" w14:textId="77777777" w:rsidR="005E42AC" w:rsidRPr="00844EC5" w:rsidRDefault="005E42AC" w:rsidP="00041F9D">
            <w:pPr>
              <w:tabs>
                <w:tab w:val="left" w:pos="1545"/>
              </w:tabs>
              <w:jc w:val="right"/>
              <w:cnfStyle w:val="000000100000" w:firstRow="0" w:lastRow="0" w:firstColumn="0" w:lastColumn="0" w:oddVBand="0" w:evenVBand="0" w:oddHBand="1" w:evenHBand="0" w:firstRowFirstColumn="0" w:firstRowLastColumn="0" w:lastRowFirstColumn="0" w:lastRowLastColumn="0"/>
            </w:pPr>
          </w:p>
        </w:tc>
      </w:tr>
      <w:tr w:rsidR="00E74D8F" w:rsidRPr="005D7203" w14:paraId="7A8FD533" w14:textId="77777777" w:rsidTr="0074585D">
        <w:tc>
          <w:tcPr>
            <w:cnfStyle w:val="001000000000" w:firstRow="0" w:lastRow="0" w:firstColumn="1" w:lastColumn="0" w:oddVBand="0" w:evenVBand="0" w:oddHBand="0" w:evenHBand="0" w:firstRowFirstColumn="0" w:firstRowLastColumn="0" w:lastRowFirstColumn="0" w:lastRowLastColumn="0"/>
            <w:tcW w:w="5035" w:type="dxa"/>
            <w:gridSpan w:val="2"/>
            <w:tcBorders>
              <w:right w:val="nil"/>
            </w:tcBorders>
          </w:tcPr>
          <w:p w14:paraId="44961543" w14:textId="6084E4BA" w:rsidR="00E74D8F" w:rsidRPr="007463C7" w:rsidRDefault="00E74D8F" w:rsidP="00E74D8F">
            <w:pPr>
              <w:widowControl w:val="0"/>
              <w:tabs>
                <w:tab w:val="left" w:pos="1545"/>
              </w:tabs>
              <w:autoSpaceDE w:val="0"/>
              <w:autoSpaceDN w:val="0"/>
              <w:adjustRightInd w:val="0"/>
              <w:jc w:val="right"/>
              <w:rPr>
                <w:b w:val="0"/>
              </w:rPr>
            </w:pPr>
            <w:r w:rsidRPr="007463C7">
              <w:rPr>
                <w:b w:val="0"/>
              </w:rPr>
              <w:t xml:space="preserve"> Labor</w:t>
            </w:r>
          </w:p>
        </w:tc>
        <w:tc>
          <w:tcPr>
            <w:tcW w:w="2889" w:type="dxa"/>
            <w:tcBorders>
              <w:left w:val="nil"/>
            </w:tcBorders>
          </w:tcPr>
          <w:p w14:paraId="4CBA76A4" w14:textId="77777777" w:rsidR="00E74D8F" w:rsidRPr="00631517" w:rsidRDefault="00E74D8F"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1416" w:type="dxa"/>
          </w:tcPr>
          <w:p w14:paraId="28666079" w14:textId="0689F57E" w:rsidR="00E74D8F" w:rsidRPr="00844EC5" w:rsidRDefault="00E74D8F"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r>
              <w:t>$32,350.00</w:t>
            </w:r>
          </w:p>
        </w:tc>
      </w:tr>
      <w:tr w:rsidR="00E74D8F" w:rsidRPr="005D7203" w14:paraId="289B1517" w14:textId="77777777" w:rsidTr="00745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gridSpan w:val="2"/>
            <w:tcBorders>
              <w:right w:val="nil"/>
            </w:tcBorders>
          </w:tcPr>
          <w:p w14:paraId="25FB7F6D" w14:textId="65479773" w:rsidR="00E74D8F" w:rsidRPr="007463C7" w:rsidRDefault="00E74D8F" w:rsidP="00E74D8F">
            <w:pPr>
              <w:widowControl w:val="0"/>
              <w:tabs>
                <w:tab w:val="left" w:pos="1545"/>
              </w:tabs>
              <w:autoSpaceDE w:val="0"/>
              <w:autoSpaceDN w:val="0"/>
              <w:adjustRightInd w:val="0"/>
              <w:jc w:val="right"/>
              <w:rPr>
                <w:b w:val="0"/>
              </w:rPr>
            </w:pPr>
            <w:r w:rsidRPr="007463C7">
              <w:rPr>
                <w:b w:val="0"/>
              </w:rPr>
              <w:t>Travel</w:t>
            </w:r>
          </w:p>
        </w:tc>
        <w:tc>
          <w:tcPr>
            <w:tcW w:w="2889" w:type="dxa"/>
            <w:tcBorders>
              <w:left w:val="nil"/>
            </w:tcBorders>
          </w:tcPr>
          <w:p w14:paraId="3C544B65" w14:textId="77777777" w:rsidR="00E74D8F" w:rsidRPr="00631517" w:rsidRDefault="00E74D8F"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1416" w:type="dxa"/>
          </w:tcPr>
          <w:p w14:paraId="08DD3085" w14:textId="759B86A9" w:rsidR="00E74D8F" w:rsidRPr="00844EC5" w:rsidRDefault="00E74D8F" w:rsidP="00041F9D">
            <w:pPr>
              <w:tabs>
                <w:tab w:val="left" w:pos="1545"/>
              </w:tabs>
              <w:jc w:val="right"/>
              <w:cnfStyle w:val="000000100000" w:firstRow="0" w:lastRow="0" w:firstColumn="0" w:lastColumn="0" w:oddVBand="0" w:evenVBand="0" w:oddHBand="1" w:evenHBand="0" w:firstRowFirstColumn="0" w:firstRowLastColumn="0" w:lastRowFirstColumn="0" w:lastRowLastColumn="0"/>
            </w:pPr>
            <w:r>
              <w:t>$9,250.00</w:t>
            </w:r>
          </w:p>
        </w:tc>
      </w:tr>
      <w:tr w:rsidR="00DB2E14" w:rsidRPr="005D7203" w14:paraId="04BD1EE5" w14:textId="77777777" w:rsidTr="0074585D">
        <w:tc>
          <w:tcPr>
            <w:cnfStyle w:val="001000000000" w:firstRow="0" w:lastRow="0" w:firstColumn="1" w:lastColumn="0" w:oddVBand="0" w:evenVBand="0" w:oddHBand="0" w:evenHBand="0" w:firstRowFirstColumn="0" w:firstRowLastColumn="0" w:lastRowFirstColumn="0" w:lastRowLastColumn="0"/>
            <w:tcW w:w="5035" w:type="dxa"/>
            <w:gridSpan w:val="2"/>
            <w:tcBorders>
              <w:right w:val="nil"/>
            </w:tcBorders>
          </w:tcPr>
          <w:p w14:paraId="17A23BF3" w14:textId="424BE8E1" w:rsidR="00DB2E14" w:rsidRPr="00631517" w:rsidRDefault="006B32E4" w:rsidP="00DB5631">
            <w:pPr>
              <w:widowControl w:val="0"/>
              <w:tabs>
                <w:tab w:val="left" w:pos="1545"/>
              </w:tabs>
              <w:autoSpaceDE w:val="0"/>
              <w:autoSpaceDN w:val="0"/>
              <w:adjustRightInd w:val="0"/>
              <w:rPr>
                <w:b w:val="0"/>
              </w:rPr>
            </w:pPr>
            <w:r w:rsidRPr="00844EC5">
              <w:t>Laboratory costs</w:t>
            </w:r>
            <w:r w:rsidR="00E74D8F">
              <w:t xml:space="preserve"> (</w:t>
            </w:r>
            <w:r w:rsidR="007463C7">
              <w:t xml:space="preserve">samples from </w:t>
            </w:r>
            <w:r w:rsidR="00E74D8F">
              <w:t>20 locations)</w:t>
            </w:r>
          </w:p>
        </w:tc>
        <w:tc>
          <w:tcPr>
            <w:tcW w:w="2889" w:type="dxa"/>
            <w:tcBorders>
              <w:left w:val="nil"/>
            </w:tcBorders>
          </w:tcPr>
          <w:p w14:paraId="45E284E3" w14:textId="77777777" w:rsidR="00DB2E14" w:rsidRPr="00631517"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1416" w:type="dxa"/>
          </w:tcPr>
          <w:p w14:paraId="1E10C75E" w14:textId="1FAB8FFB" w:rsidR="00311E38" w:rsidRPr="00844EC5" w:rsidRDefault="0074585D"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r>
              <w:t>$94,500.00</w:t>
            </w:r>
          </w:p>
        </w:tc>
      </w:tr>
      <w:tr w:rsidR="00B76161" w:rsidRPr="005D7203" w14:paraId="3233E013" w14:textId="77777777" w:rsidTr="005E4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4" w:type="dxa"/>
            <w:gridSpan w:val="3"/>
          </w:tcPr>
          <w:p w14:paraId="7F075B4F" w14:textId="77777777" w:rsidR="00311E38" w:rsidRPr="00631517" w:rsidRDefault="00A10D50" w:rsidP="00041F9D">
            <w:pPr>
              <w:tabs>
                <w:tab w:val="left" w:pos="1545"/>
              </w:tabs>
              <w:jc w:val="right"/>
              <w:rPr>
                <w:b w:val="0"/>
                <w:bCs w:val="0"/>
              </w:rPr>
            </w:pPr>
            <w:r w:rsidRPr="00844EC5">
              <w:t xml:space="preserve">Estimated Total </w:t>
            </w:r>
            <w:r w:rsidRPr="00631517">
              <w:t>Non-p</w:t>
            </w:r>
            <w:r w:rsidRPr="00844EC5">
              <w:t>ersonnel Cost of Exposure Investigation</w:t>
            </w:r>
          </w:p>
        </w:tc>
        <w:tc>
          <w:tcPr>
            <w:tcW w:w="1416" w:type="dxa"/>
          </w:tcPr>
          <w:p w14:paraId="5846E108" w14:textId="2BE00CCB" w:rsidR="00311E38" w:rsidRPr="00631517" w:rsidRDefault="00311E38" w:rsidP="00363B76">
            <w:pPr>
              <w:tabs>
                <w:tab w:val="left" w:pos="1545"/>
              </w:tabs>
              <w:jc w:val="right"/>
              <w:cnfStyle w:val="000000100000" w:firstRow="0" w:lastRow="0" w:firstColumn="0" w:lastColumn="0" w:oddVBand="0" w:evenVBand="0" w:oddHBand="1" w:evenHBand="0" w:firstRowFirstColumn="0" w:firstRowLastColumn="0" w:lastRowFirstColumn="0" w:lastRowLastColumn="0"/>
            </w:pPr>
            <w:r w:rsidRPr="00631517">
              <w:t>$</w:t>
            </w:r>
            <w:r w:rsidR="007463C7">
              <w:t>1</w:t>
            </w:r>
            <w:r w:rsidR="00363B76">
              <w:t>41</w:t>
            </w:r>
            <w:r w:rsidR="007463C7">
              <w:t>,100</w:t>
            </w:r>
            <w:r w:rsidRPr="00631517">
              <w:t>.00</w:t>
            </w:r>
          </w:p>
        </w:tc>
      </w:tr>
      <w:tr w:rsidR="00B76161" w:rsidRPr="005D7203" w14:paraId="5A0FC0C1" w14:textId="77777777" w:rsidTr="005E42AC">
        <w:tc>
          <w:tcPr>
            <w:cnfStyle w:val="001000000000" w:firstRow="0" w:lastRow="0" w:firstColumn="1" w:lastColumn="0" w:oddVBand="0" w:evenVBand="0" w:oddHBand="0" w:evenHBand="0" w:firstRowFirstColumn="0" w:firstRowLastColumn="0" w:lastRowFirstColumn="0" w:lastRowLastColumn="0"/>
            <w:tcW w:w="7924" w:type="dxa"/>
            <w:gridSpan w:val="3"/>
          </w:tcPr>
          <w:p w14:paraId="0B280F86" w14:textId="3E44B78D" w:rsidR="00311E38" w:rsidRPr="00631517" w:rsidRDefault="00A10D50" w:rsidP="00041F9D">
            <w:pPr>
              <w:tabs>
                <w:tab w:val="left" w:pos="1545"/>
              </w:tabs>
              <w:jc w:val="right"/>
              <w:rPr>
                <w:b w:val="0"/>
                <w:bCs w:val="0"/>
              </w:rPr>
            </w:pPr>
            <w:r w:rsidRPr="00631517">
              <w:t>Total EI Cost</w:t>
            </w:r>
            <w:r w:rsidR="00B76161" w:rsidRPr="00631517">
              <w:t xml:space="preserve"> (</w:t>
            </w:r>
            <w:r w:rsidR="007463C7">
              <w:t xml:space="preserve">ATSDR </w:t>
            </w:r>
            <w:r w:rsidR="00B76161" w:rsidRPr="00631517">
              <w:t>Personnel + Non-</w:t>
            </w:r>
            <w:r w:rsidRPr="00631517">
              <w:t>p</w:t>
            </w:r>
            <w:r w:rsidR="00B76161" w:rsidRPr="00631517">
              <w:t>ersonnel costs)</w:t>
            </w:r>
          </w:p>
        </w:tc>
        <w:tc>
          <w:tcPr>
            <w:tcW w:w="1416" w:type="dxa"/>
          </w:tcPr>
          <w:p w14:paraId="1AE83A42" w14:textId="36184694" w:rsidR="00311E38" w:rsidRPr="00844EC5" w:rsidRDefault="00311E38" w:rsidP="00363B76">
            <w:pPr>
              <w:tabs>
                <w:tab w:val="left" w:pos="1545"/>
              </w:tabs>
              <w:jc w:val="right"/>
              <w:cnfStyle w:val="000000000000" w:firstRow="0" w:lastRow="0" w:firstColumn="0" w:lastColumn="0" w:oddVBand="0" w:evenVBand="0" w:oddHBand="0" w:evenHBand="0" w:firstRowFirstColumn="0" w:firstRowLastColumn="0" w:lastRowFirstColumn="0" w:lastRowLastColumn="0"/>
            </w:pPr>
            <w:r w:rsidRPr="00631517">
              <w:t>$</w:t>
            </w:r>
            <w:r w:rsidR="007463C7">
              <w:t>1</w:t>
            </w:r>
            <w:r w:rsidR="00363B76">
              <w:t>82</w:t>
            </w:r>
            <w:r w:rsidR="007463C7">
              <w:t>,100</w:t>
            </w:r>
            <w:r w:rsidRPr="00844EC5">
              <w:t>.00</w:t>
            </w:r>
          </w:p>
        </w:tc>
      </w:tr>
    </w:tbl>
    <w:p w14:paraId="29629098" w14:textId="7038AD44" w:rsidR="006653AB" w:rsidRPr="005D7203" w:rsidRDefault="006653AB" w:rsidP="006653AB">
      <w:pPr>
        <w:tabs>
          <w:tab w:val="left" w:pos="1545"/>
        </w:tabs>
      </w:pPr>
    </w:p>
    <w:p w14:paraId="4551E0F3" w14:textId="3463CB9C" w:rsidR="0007281C" w:rsidRDefault="0007281C" w:rsidP="006653AB">
      <w:pPr>
        <w:tabs>
          <w:tab w:val="left" w:pos="1545"/>
        </w:tabs>
      </w:pPr>
      <w:r>
        <w:t xml:space="preserve">The travel costs </w:t>
      </w:r>
      <w:r w:rsidR="00D51080">
        <w:t xml:space="preserve">for ATSDR personnel </w:t>
      </w:r>
      <w:r>
        <w:t>include the following:</w:t>
      </w:r>
    </w:p>
    <w:p w14:paraId="3F8E030B" w14:textId="77777777" w:rsidR="00043D51" w:rsidRDefault="00043D51" w:rsidP="00B86A20">
      <w:pPr>
        <w:pStyle w:val="ListParagraph"/>
        <w:numPr>
          <w:ilvl w:val="0"/>
          <w:numId w:val="3"/>
        </w:numPr>
        <w:tabs>
          <w:tab w:val="left" w:pos="1545"/>
        </w:tabs>
        <w:spacing w:line="276" w:lineRule="auto"/>
      </w:pPr>
      <w:r>
        <w:t>Travel to the site from Philadelphia (2 persons) for three days for the site visit</w:t>
      </w:r>
    </w:p>
    <w:p w14:paraId="712F99EC" w14:textId="46178CDF" w:rsidR="0007281C" w:rsidRDefault="0007281C" w:rsidP="00B86A20">
      <w:pPr>
        <w:pStyle w:val="ListParagraph"/>
        <w:numPr>
          <w:ilvl w:val="0"/>
          <w:numId w:val="3"/>
        </w:numPr>
        <w:tabs>
          <w:tab w:val="left" w:pos="1545"/>
        </w:tabs>
        <w:spacing w:line="276" w:lineRule="auto"/>
      </w:pPr>
      <w:r>
        <w:t xml:space="preserve">Travel to the site from </w:t>
      </w:r>
      <w:r w:rsidR="005E42AC">
        <w:t xml:space="preserve">Philadelphia  (2 persons) for one week for the testing </w:t>
      </w:r>
    </w:p>
    <w:p w14:paraId="53604D73" w14:textId="08F49A58" w:rsidR="004B35BF" w:rsidRDefault="004B35BF" w:rsidP="00B86A20">
      <w:pPr>
        <w:pStyle w:val="ListParagraph"/>
        <w:numPr>
          <w:ilvl w:val="0"/>
          <w:numId w:val="3"/>
        </w:numPr>
        <w:tabs>
          <w:tab w:val="left" w:pos="1545"/>
        </w:tabs>
        <w:spacing w:line="276" w:lineRule="auto"/>
      </w:pPr>
      <w:r>
        <w:t>T</w:t>
      </w:r>
      <w:r w:rsidR="00486D6F">
        <w:t xml:space="preserve">ravel to the site from </w:t>
      </w:r>
      <w:r w:rsidR="005E42AC">
        <w:t>Philadelphia</w:t>
      </w:r>
      <w:r w:rsidR="00486D6F">
        <w:t xml:space="preserve"> </w:t>
      </w:r>
      <w:r>
        <w:t xml:space="preserve"> </w:t>
      </w:r>
      <w:r w:rsidR="00486D6F">
        <w:t>(</w:t>
      </w:r>
      <w:r w:rsidR="004A79F0">
        <w:t>2</w:t>
      </w:r>
      <w:r w:rsidR="00486D6F">
        <w:t xml:space="preserve"> person</w:t>
      </w:r>
      <w:r w:rsidR="005E42AC">
        <w:t>s</w:t>
      </w:r>
      <w:r>
        <w:t xml:space="preserve">) </w:t>
      </w:r>
      <w:r w:rsidR="00E74D8F">
        <w:t xml:space="preserve">for two days </w:t>
      </w:r>
      <w:r w:rsidR="004A79F0">
        <w:t>to provide the results to the community</w:t>
      </w:r>
    </w:p>
    <w:p w14:paraId="3088045A" w14:textId="77777777" w:rsidR="00935939" w:rsidRPr="008E0304" w:rsidRDefault="00935939" w:rsidP="006653AB">
      <w:pPr>
        <w:tabs>
          <w:tab w:val="left" w:pos="1545"/>
        </w:tabs>
      </w:pPr>
    </w:p>
    <w:p w14:paraId="6D1BC6C9" w14:textId="77777777" w:rsidR="006653AB" w:rsidRPr="00041F9D" w:rsidRDefault="00B04CF8" w:rsidP="007F446A">
      <w:pPr>
        <w:pStyle w:val="Heading2"/>
      </w:pPr>
      <w:bookmarkStart w:id="110" w:name="_Toc483922856"/>
      <w:bookmarkStart w:id="111" w:name="_Toc306344160"/>
      <w:bookmarkStart w:id="112" w:name="_Toc306344801"/>
      <w:bookmarkStart w:id="113" w:name="_Toc306345042"/>
      <w:bookmarkStart w:id="114" w:name="_Toc311445513"/>
      <w:bookmarkEnd w:id="106"/>
      <w:bookmarkEnd w:id="107"/>
      <w:bookmarkEnd w:id="108"/>
      <w:bookmarkEnd w:id="109"/>
      <w:r w:rsidRPr="00041F9D">
        <w:t>A.</w:t>
      </w:r>
      <w:r w:rsidR="006653AB" w:rsidRPr="00041F9D">
        <w:t>1</w:t>
      </w:r>
      <w:r w:rsidR="00B60A40" w:rsidRPr="00041F9D">
        <w:t>5</w:t>
      </w:r>
      <w:r w:rsidR="006653AB" w:rsidRPr="00041F9D">
        <w:t>. Explanation for Program Changes or Adjustments</w:t>
      </w:r>
      <w:bookmarkEnd w:id="110"/>
    </w:p>
    <w:p w14:paraId="5DA601E8" w14:textId="77777777" w:rsidR="006653AB" w:rsidRPr="003B5990" w:rsidRDefault="006653AB" w:rsidP="006653AB">
      <w:pPr>
        <w:tabs>
          <w:tab w:val="left" w:pos="1545"/>
        </w:tabs>
        <w:rPr>
          <w:b/>
          <w:u w:val="single"/>
        </w:rPr>
      </w:pPr>
    </w:p>
    <w:p w14:paraId="44A408E8" w14:textId="77777777" w:rsidR="006653AB" w:rsidRPr="00041F9D" w:rsidRDefault="00311E38" w:rsidP="006653AB">
      <w:pPr>
        <w:tabs>
          <w:tab w:val="left" w:pos="1545"/>
        </w:tabs>
      </w:pPr>
      <w:r w:rsidRPr="00041F9D">
        <w:rPr>
          <w:rFonts w:eastAsia="Calibri"/>
        </w:rPr>
        <w:t>This is a new data collection.</w:t>
      </w:r>
    </w:p>
    <w:p w14:paraId="63F68E23" w14:textId="77777777" w:rsidR="006653AB" w:rsidRPr="003B5990" w:rsidRDefault="006653AB" w:rsidP="006653AB">
      <w:pPr>
        <w:tabs>
          <w:tab w:val="left" w:pos="1545"/>
        </w:tabs>
        <w:rPr>
          <w:u w:val="single"/>
        </w:rPr>
      </w:pPr>
    </w:p>
    <w:p w14:paraId="04B7B71A" w14:textId="77777777" w:rsidR="006653AB" w:rsidRPr="003B5990" w:rsidRDefault="00B04CF8">
      <w:pPr>
        <w:pStyle w:val="Heading2"/>
      </w:pPr>
      <w:bookmarkStart w:id="115" w:name="_Toc483922857"/>
      <w:r w:rsidRPr="003B5990">
        <w:lastRenderedPageBreak/>
        <w:t>A.</w:t>
      </w:r>
      <w:r w:rsidR="006653AB" w:rsidRPr="003B5990">
        <w:t>1</w:t>
      </w:r>
      <w:r w:rsidR="00B60A40">
        <w:t>6</w:t>
      </w:r>
      <w:r w:rsidR="006653AB" w:rsidRPr="003B5990">
        <w:t>. Plans for Tabulation and Publication and Project Time Schedule</w:t>
      </w:r>
      <w:bookmarkEnd w:id="115"/>
    </w:p>
    <w:p w14:paraId="16F80084" w14:textId="77777777" w:rsidR="005676F3" w:rsidRPr="007F446A" w:rsidRDefault="005676F3" w:rsidP="00935939">
      <w:pPr>
        <w:tabs>
          <w:tab w:val="left" w:pos="1545"/>
        </w:tabs>
      </w:pPr>
    </w:p>
    <w:p w14:paraId="433897E7" w14:textId="067CAD6F" w:rsidR="00935939" w:rsidRPr="00844EC5" w:rsidRDefault="00D74CE6" w:rsidP="00844EC5">
      <w:r w:rsidRPr="00B721F2">
        <w:rPr>
          <w:u w:val="single"/>
        </w:rPr>
        <w:t>Project Time Schedule</w:t>
      </w:r>
    </w:p>
    <w:p w14:paraId="6D284B7D" w14:textId="77777777" w:rsidR="00935939" w:rsidRDefault="00935939" w:rsidP="00935939">
      <w:pPr>
        <w:tabs>
          <w:tab w:val="left" w:pos="1545"/>
        </w:tabs>
        <w:rPr>
          <w:b/>
        </w:rPr>
      </w:pPr>
    </w:p>
    <w:p w14:paraId="3DE4DAB2" w14:textId="581403EC"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 xml:space="preserve">for the </w:t>
      </w:r>
      <w:r w:rsidR="009624C6">
        <w:t>Dimock</w:t>
      </w:r>
      <w:r>
        <w:t xml:space="preserve"> EI is as follows:</w:t>
      </w:r>
      <w:r w:rsidR="00F04621" w:rsidRPr="007F446A">
        <w:t xml:space="preserve"> </w:t>
      </w:r>
    </w:p>
    <w:p w14:paraId="0FA6A1E1" w14:textId="77777777" w:rsidR="00F04621" w:rsidRDefault="00935939" w:rsidP="00935939">
      <w:pPr>
        <w:tabs>
          <w:tab w:val="left" w:pos="1545"/>
        </w:tabs>
        <w:rPr>
          <w:b/>
        </w:rPr>
      </w:pPr>
      <w:r>
        <w:rPr>
          <w:b/>
        </w:rPr>
        <w:t xml:space="preserve"> </w:t>
      </w:r>
    </w:p>
    <w:p w14:paraId="069CE598" w14:textId="77777777" w:rsidR="00482FD3" w:rsidRDefault="00482FD3" w:rsidP="00935939">
      <w:pPr>
        <w:tabs>
          <w:tab w:val="left" w:pos="1545"/>
        </w:tabs>
        <w:rPr>
          <w:b/>
        </w:rPr>
      </w:pPr>
    </w:p>
    <w:p w14:paraId="4C20BC2E" w14:textId="77777777" w:rsidR="00935939" w:rsidRDefault="00935939" w:rsidP="00935939">
      <w:pPr>
        <w:tabs>
          <w:tab w:val="left" w:pos="1545"/>
        </w:tabs>
        <w:rPr>
          <w:b/>
        </w:rPr>
      </w:pPr>
      <w:r>
        <w:rPr>
          <w:b/>
        </w:rPr>
        <w:t>Activity                                                                                 Time Schedule</w:t>
      </w:r>
    </w:p>
    <w:p w14:paraId="1EE000E3" w14:textId="77777777" w:rsidR="00935939" w:rsidRDefault="00935939" w:rsidP="00935939">
      <w:pPr>
        <w:tabs>
          <w:tab w:val="left" w:pos="1545"/>
        </w:tabs>
        <w:rPr>
          <w:b/>
        </w:rPr>
      </w:pPr>
    </w:p>
    <w:p w14:paraId="128EC595" w14:textId="78DB72A7" w:rsidR="00935939" w:rsidRDefault="00935939" w:rsidP="002202D1">
      <w:pPr>
        <w:tabs>
          <w:tab w:val="left" w:pos="1545"/>
        </w:tabs>
        <w:jc w:val="both"/>
      </w:pPr>
      <w:r>
        <w:t>Start of data collection</w:t>
      </w:r>
      <w:r w:rsidR="00486D6F">
        <w:t xml:space="preserve"> and </w:t>
      </w:r>
      <w:r w:rsidR="00472B8E">
        <w:t>f</w:t>
      </w:r>
      <w:r w:rsidR="00486D6F">
        <w:t xml:space="preserve">ield </w:t>
      </w:r>
      <w:r w:rsidR="00472B8E">
        <w:t>w</w:t>
      </w:r>
      <w:r w:rsidR="00B16729">
        <w:t>ork</w:t>
      </w:r>
      <w:r w:rsidR="00594EE2">
        <w:t xml:space="preserve">   </w:t>
      </w:r>
      <w:r w:rsidR="00472B8E">
        <w:t>..</w:t>
      </w:r>
      <w:r w:rsidR="0011317C">
        <w:t>...</w:t>
      </w:r>
      <w:r w:rsidR="00651D96">
        <w:t>…</w:t>
      </w:r>
      <w:r w:rsidR="00B16729">
        <w:t>……………..</w:t>
      </w:r>
      <w:r w:rsidR="002202D1">
        <w:t>……</w:t>
      </w:r>
      <w:r w:rsidR="009624C6">
        <w:t>2</w:t>
      </w:r>
      <w:r w:rsidR="002712D8">
        <w:t xml:space="preserve"> </w:t>
      </w:r>
      <w:r w:rsidR="00AB00BC">
        <w:t>week</w:t>
      </w:r>
      <w:r w:rsidR="009624C6">
        <w:t>s</w:t>
      </w:r>
      <w:r>
        <w:t xml:space="preserve"> after OMB approval</w:t>
      </w:r>
    </w:p>
    <w:p w14:paraId="0A3E92B0" w14:textId="7B0200CF" w:rsidR="00935939" w:rsidRDefault="00661279" w:rsidP="002202D1">
      <w:pPr>
        <w:tabs>
          <w:tab w:val="left" w:pos="1545"/>
        </w:tabs>
        <w:jc w:val="both"/>
      </w:pPr>
      <w:r>
        <w:t>Data and laboratory a</w:t>
      </w:r>
      <w:r w:rsidR="00935939">
        <w:t>nalysis………………………………....</w:t>
      </w:r>
      <w:r w:rsidR="00D37004">
        <w:t>..</w:t>
      </w:r>
      <w:r w:rsidR="002202D1">
        <w:t>...</w:t>
      </w:r>
      <w:r w:rsidR="00430FC6">
        <w:t xml:space="preserve"> </w:t>
      </w:r>
      <w:r w:rsidR="00D044CA">
        <w:t>1-2</w:t>
      </w:r>
      <w:r w:rsidR="00935939">
        <w:t xml:space="preserve"> months after OMB approval</w:t>
      </w:r>
    </w:p>
    <w:p w14:paraId="1D8E2E33" w14:textId="14BCB97F" w:rsidR="00935939" w:rsidRDefault="00935939" w:rsidP="002202D1">
      <w:pPr>
        <w:tabs>
          <w:tab w:val="left" w:pos="1545"/>
        </w:tabs>
        <w:jc w:val="both"/>
      </w:pPr>
      <w:r>
        <w:t>Respond to participants ……………………………</w:t>
      </w:r>
      <w:r w:rsidR="0011317C">
        <w:t>.</w:t>
      </w:r>
      <w:r>
        <w:t>…....</w:t>
      </w:r>
      <w:r w:rsidR="002712D8">
        <w:t>.....</w:t>
      </w:r>
      <w:r w:rsidR="0011317C">
        <w:t>.....</w:t>
      </w:r>
      <w:r w:rsidR="002202D1">
        <w:t>..</w:t>
      </w:r>
      <w:r w:rsidR="00CD2AF0">
        <w:t>3</w:t>
      </w:r>
      <w:r>
        <w:t xml:space="preserve"> months after OMB approval</w:t>
      </w:r>
    </w:p>
    <w:p w14:paraId="728F2035" w14:textId="68E8D7D4" w:rsidR="00935939" w:rsidRDefault="00935939" w:rsidP="002202D1">
      <w:pPr>
        <w:tabs>
          <w:tab w:val="left" w:pos="1545"/>
        </w:tabs>
        <w:jc w:val="both"/>
      </w:pPr>
      <w:r>
        <w:t xml:space="preserve">Written </w:t>
      </w:r>
      <w:r w:rsidR="00472B8E">
        <w:t>r</w:t>
      </w:r>
      <w:r>
        <w:t>eport……………………………………</w:t>
      </w:r>
      <w:r w:rsidR="00472B8E">
        <w:t>.</w:t>
      </w:r>
      <w:r>
        <w:t>…......</w:t>
      </w:r>
      <w:r w:rsidR="00D37004">
        <w:t>.....</w:t>
      </w:r>
      <w:r w:rsidR="0011317C">
        <w:t>..</w:t>
      </w:r>
      <w:r w:rsidR="00B16729">
        <w:t>..</w:t>
      </w:r>
      <w:r w:rsidR="002202D1">
        <w:t>..</w:t>
      </w:r>
      <w:r w:rsidR="0011317C">
        <w:t>..</w:t>
      </w:r>
      <w:r w:rsidR="00482FD3">
        <w:t xml:space="preserve">TBD - </w:t>
      </w:r>
      <w:r w:rsidR="00651D96">
        <w:t>based on clearance process</w:t>
      </w:r>
    </w:p>
    <w:p w14:paraId="77D38E9B" w14:textId="77777777" w:rsidR="006653AB" w:rsidRDefault="006653AB" w:rsidP="006653AB">
      <w:pPr>
        <w:tabs>
          <w:tab w:val="left" w:pos="1545"/>
        </w:tabs>
      </w:pPr>
    </w:p>
    <w:p w14:paraId="0A12CC2B" w14:textId="0F4B0FF0" w:rsidR="00DB4BB8" w:rsidRDefault="00DB4BB8" w:rsidP="00D94910">
      <w:pPr>
        <w:tabs>
          <w:tab w:val="left" w:pos="1545"/>
        </w:tabs>
        <w:spacing w:line="276" w:lineRule="auto"/>
      </w:pPr>
      <w:r>
        <w:t xml:space="preserve">Response letters to the participants will be sent </w:t>
      </w:r>
      <w:r w:rsidR="009624C6">
        <w:t>to all participants</w:t>
      </w:r>
      <w:r w:rsidR="00FD3B2F">
        <w:t xml:space="preserve"> </w:t>
      </w:r>
      <w:r w:rsidR="00AA5E22">
        <w:t>(</w:t>
      </w:r>
      <w:r w:rsidR="00FD3B2F">
        <w:t xml:space="preserve">Samples are provided in </w:t>
      </w:r>
      <w:r w:rsidR="00AA5E22">
        <w:t xml:space="preserve">Attachment </w:t>
      </w:r>
      <w:r w:rsidR="00FD3B2F">
        <w:t>6</w:t>
      </w:r>
      <w:r>
        <w:t>).</w:t>
      </w:r>
      <w:r w:rsidR="00AA5E22">
        <w:t xml:space="preserve"> An example of a prior Exposure Investigation report is provided as Attachment </w:t>
      </w:r>
      <w:r w:rsidR="00FD3B2F">
        <w:t>7</w:t>
      </w:r>
      <w:r w:rsidR="00AA5E22">
        <w:t>.</w:t>
      </w:r>
    </w:p>
    <w:p w14:paraId="0E2F4AD7" w14:textId="77777777" w:rsidR="006653AB" w:rsidRDefault="00B04CF8" w:rsidP="007F446A">
      <w:pPr>
        <w:pStyle w:val="Heading2"/>
      </w:pPr>
      <w:bookmarkStart w:id="116" w:name="_Toc483922858"/>
      <w:r>
        <w:t>A.</w:t>
      </w:r>
      <w:r w:rsidR="006653AB">
        <w:t>1</w:t>
      </w:r>
      <w:r w:rsidR="00B60A40">
        <w:t>7</w:t>
      </w:r>
      <w:r w:rsidR="006653AB">
        <w:t>. Reason(s) Display of OMB Expiration Date is Inappropriate</w:t>
      </w:r>
      <w:bookmarkEnd w:id="116"/>
    </w:p>
    <w:p w14:paraId="4756DCF1" w14:textId="77777777" w:rsidR="006653AB" w:rsidRDefault="006653AB" w:rsidP="006653AB">
      <w:pPr>
        <w:tabs>
          <w:tab w:val="left" w:pos="1545"/>
        </w:tabs>
        <w:rPr>
          <w:b/>
        </w:rPr>
      </w:pPr>
    </w:p>
    <w:p w14:paraId="6A66E449" w14:textId="77777777" w:rsidR="006653AB" w:rsidRDefault="006653AB" w:rsidP="006653AB">
      <w:pPr>
        <w:tabs>
          <w:tab w:val="left" w:pos="1545"/>
        </w:tabs>
      </w:pPr>
      <w:r>
        <w:t>We are not requesting an exemption.</w:t>
      </w:r>
    </w:p>
    <w:p w14:paraId="0850C374" w14:textId="77777777" w:rsidR="006653AB" w:rsidRDefault="006653AB" w:rsidP="006653AB">
      <w:pPr>
        <w:tabs>
          <w:tab w:val="left" w:pos="1545"/>
        </w:tabs>
      </w:pPr>
    </w:p>
    <w:p w14:paraId="1D66E114" w14:textId="77777777" w:rsidR="006653AB" w:rsidRDefault="00B04CF8" w:rsidP="007F446A">
      <w:pPr>
        <w:pStyle w:val="Heading2"/>
      </w:pPr>
      <w:bookmarkStart w:id="117" w:name="_Toc483922859"/>
      <w:r>
        <w:t>A.</w:t>
      </w:r>
      <w:r w:rsidR="006653AB">
        <w:t>1</w:t>
      </w:r>
      <w:r w:rsidR="00B60A40">
        <w:t>8</w:t>
      </w:r>
      <w:r w:rsidR="006653AB">
        <w:t>. Exceptions to Certification for Paperwork Reduction Act Submissions</w:t>
      </w:r>
      <w:bookmarkEnd w:id="117"/>
    </w:p>
    <w:p w14:paraId="0ED58EFD" w14:textId="77777777" w:rsidR="006653AB" w:rsidRDefault="006653AB" w:rsidP="006653AB">
      <w:pPr>
        <w:tabs>
          <w:tab w:val="left" w:pos="1545"/>
        </w:tabs>
        <w:rPr>
          <w:b/>
        </w:rPr>
      </w:pPr>
    </w:p>
    <w:p w14:paraId="31DB47C5" w14:textId="77777777" w:rsidR="006653AB" w:rsidRDefault="006653AB" w:rsidP="006653AB">
      <w:pPr>
        <w:tabs>
          <w:tab w:val="left" w:pos="1545"/>
        </w:tabs>
      </w:pPr>
      <w:r>
        <w:rPr>
          <w:b/>
        </w:rPr>
        <w:t xml:space="preserve"> </w:t>
      </w:r>
      <w:r>
        <w:t>There are no exceptions to certification for Paperwork Reduction Act.</w:t>
      </w:r>
    </w:p>
    <w:bookmarkEnd w:id="111"/>
    <w:bookmarkEnd w:id="112"/>
    <w:bookmarkEnd w:id="113"/>
    <w:bookmarkEnd w:id="114"/>
    <w:p w14:paraId="445D0B76" w14:textId="77777777" w:rsidR="00AA78D1" w:rsidRDefault="00AA78D1" w:rsidP="002F40AB">
      <w:pPr>
        <w:rPr>
          <w:rFonts w:eastAsia="SimSun"/>
          <w:b/>
          <w:bCs/>
          <w:lang w:eastAsia="zh-CN"/>
        </w:rPr>
      </w:pPr>
    </w:p>
    <w:sectPr w:rsidR="00AA78D1" w:rsidSect="0067720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5A95C" w14:textId="77777777" w:rsidR="00A831A2" w:rsidRDefault="00A831A2">
      <w:r>
        <w:separator/>
      </w:r>
    </w:p>
  </w:endnote>
  <w:endnote w:type="continuationSeparator" w:id="0">
    <w:p w14:paraId="01B6BDCF" w14:textId="77777777" w:rsidR="00A831A2" w:rsidRDefault="00A8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4AA3" w14:textId="77777777" w:rsidR="00A831A2" w:rsidRDefault="00A831A2"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2277" w14:textId="77777777" w:rsidR="00A831A2" w:rsidRDefault="00A83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6B87D" w14:textId="77777777" w:rsidR="00A831A2" w:rsidRDefault="00A831A2"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9EA">
      <w:rPr>
        <w:rStyle w:val="PageNumber"/>
        <w:noProof/>
      </w:rPr>
      <w:t>17</w:t>
    </w:r>
    <w:r>
      <w:rPr>
        <w:rStyle w:val="PageNumber"/>
      </w:rPr>
      <w:fldChar w:fldCharType="end"/>
    </w:r>
  </w:p>
  <w:p w14:paraId="2FA06708" w14:textId="77777777" w:rsidR="00A831A2" w:rsidRDefault="00A83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43340" w14:textId="77777777" w:rsidR="00A831A2" w:rsidRDefault="00A831A2">
      <w:r>
        <w:separator/>
      </w:r>
    </w:p>
  </w:footnote>
  <w:footnote w:type="continuationSeparator" w:id="0">
    <w:p w14:paraId="6B7474F8" w14:textId="77777777" w:rsidR="00A831A2" w:rsidRDefault="00A83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B64C6A5" w14:textId="67E93C07" w:rsidR="00A831A2" w:rsidRDefault="00A831A2" w:rsidP="0067720C">
        <w:pPr>
          <w:pStyle w:val="Header"/>
          <w:jc w:val="center"/>
          <w:rPr>
            <w:rFonts w:asciiTheme="majorHAnsi" w:eastAsiaTheme="majorEastAsia" w:hAnsiTheme="majorHAnsi" w:cstheme="majorBidi"/>
            <w:sz w:val="32"/>
            <w:szCs w:val="32"/>
          </w:rPr>
        </w:pPr>
        <w:r>
          <w:rPr>
            <w:sz w:val="20"/>
            <w:szCs w:val="20"/>
          </w:rPr>
          <w:t>Attachment 1. Drinking Water Exposure Investigation in Dimock, PA:  Supporting Statement A</w:t>
        </w:r>
      </w:p>
    </w:sdtContent>
  </w:sdt>
  <w:p w14:paraId="24257B1D" w14:textId="77777777" w:rsidR="00A831A2" w:rsidRDefault="00A831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BA0"/>
    <w:multiLevelType w:val="hybridMultilevel"/>
    <w:tmpl w:val="B054F88E"/>
    <w:lvl w:ilvl="0" w:tplc="0E74E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5DD5"/>
    <w:multiLevelType w:val="hybridMultilevel"/>
    <w:tmpl w:val="F9B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82FFE"/>
    <w:multiLevelType w:val="hybridMultilevel"/>
    <w:tmpl w:val="9DB6F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31678"/>
    <w:multiLevelType w:val="hybridMultilevel"/>
    <w:tmpl w:val="3972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24135"/>
    <w:multiLevelType w:val="hybridMultilevel"/>
    <w:tmpl w:val="843A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817DC"/>
    <w:multiLevelType w:val="hybridMultilevel"/>
    <w:tmpl w:val="C1F8D4D2"/>
    <w:lvl w:ilvl="0" w:tplc="F42831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789C"/>
    <w:multiLevelType w:val="hybridMultilevel"/>
    <w:tmpl w:val="919A5C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CD2EFD"/>
    <w:multiLevelType w:val="hybridMultilevel"/>
    <w:tmpl w:val="F4D8C4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3512B4"/>
    <w:multiLevelType w:val="hybridMultilevel"/>
    <w:tmpl w:val="7B66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77FB4"/>
    <w:multiLevelType w:val="hybridMultilevel"/>
    <w:tmpl w:val="4370A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37B2E"/>
    <w:multiLevelType w:val="hybridMultilevel"/>
    <w:tmpl w:val="E9F04E10"/>
    <w:lvl w:ilvl="0" w:tplc="7C66DD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C436F"/>
    <w:multiLevelType w:val="hybridMultilevel"/>
    <w:tmpl w:val="66007A02"/>
    <w:lvl w:ilvl="0" w:tplc="0409000F">
      <w:start w:val="1"/>
      <w:numFmt w:val="decimal"/>
      <w:lvlText w:val="%1."/>
      <w:lvlJc w:val="left"/>
      <w:pPr>
        <w:ind w:left="720" w:hanging="360"/>
      </w:pPr>
      <w:rPr>
        <w:rFonts w:hint="default"/>
      </w:rPr>
    </w:lvl>
    <w:lvl w:ilvl="1" w:tplc="630C50A0">
      <w:start w:val="1"/>
      <w:numFmt w:val="upperLetter"/>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B25104"/>
    <w:multiLevelType w:val="hybridMultilevel"/>
    <w:tmpl w:val="B5DE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A71B5"/>
    <w:multiLevelType w:val="hybridMultilevel"/>
    <w:tmpl w:val="1BC0FA7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6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4191B"/>
    <w:multiLevelType w:val="hybridMultilevel"/>
    <w:tmpl w:val="33B068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CD6FCA"/>
    <w:multiLevelType w:val="hybridMultilevel"/>
    <w:tmpl w:val="B9C64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518B6"/>
    <w:multiLevelType w:val="hybridMultilevel"/>
    <w:tmpl w:val="DFAA377C"/>
    <w:lvl w:ilvl="0" w:tplc="0E74E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FE4BFA"/>
    <w:multiLevelType w:val="hybridMultilevel"/>
    <w:tmpl w:val="434E729C"/>
    <w:lvl w:ilvl="0" w:tplc="0409000F">
      <w:start w:val="1"/>
      <w:numFmt w:val="decimal"/>
      <w:lvlText w:val="%1."/>
      <w:lvlJc w:val="left"/>
      <w:pPr>
        <w:ind w:left="720" w:hanging="360"/>
      </w:pPr>
    </w:lvl>
    <w:lvl w:ilvl="1" w:tplc="5AA84C1E">
      <w:start w:val="1"/>
      <w:numFmt w:val="decimal"/>
      <w:lvlText w:val="(%2)"/>
      <w:lvlJc w:val="left"/>
      <w:pPr>
        <w:ind w:left="1440" w:hanging="36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8"/>
  </w:num>
  <w:num w:numId="4">
    <w:abstractNumId w:val="12"/>
  </w:num>
  <w:num w:numId="5">
    <w:abstractNumId w:val="11"/>
  </w:num>
  <w:num w:numId="6">
    <w:abstractNumId w:val="15"/>
  </w:num>
  <w:num w:numId="7">
    <w:abstractNumId w:val="5"/>
  </w:num>
  <w:num w:numId="8">
    <w:abstractNumId w:val="2"/>
  </w:num>
  <w:num w:numId="9">
    <w:abstractNumId w:val="10"/>
  </w:num>
  <w:num w:numId="10">
    <w:abstractNumId w:val="8"/>
  </w:num>
  <w:num w:numId="11">
    <w:abstractNumId w:val="17"/>
  </w:num>
  <w:num w:numId="12">
    <w:abstractNumId w:val="7"/>
  </w:num>
  <w:num w:numId="13">
    <w:abstractNumId w:val="1"/>
  </w:num>
  <w:num w:numId="14">
    <w:abstractNumId w:val="14"/>
  </w:num>
  <w:num w:numId="15">
    <w:abstractNumId w:val="13"/>
  </w:num>
  <w:num w:numId="16">
    <w:abstractNumId w:val="4"/>
  </w:num>
  <w:num w:numId="17">
    <w:abstractNumId w:val="0"/>
  </w:num>
  <w:num w:numId="18">
    <w:abstractNumId w:val="19"/>
  </w:num>
  <w:num w:numId="19">
    <w:abstractNumId w:val="3"/>
  </w:num>
  <w:num w:numId="20">
    <w:abstractNumId w:val="16"/>
  </w:num>
  <w:num w:numId="21">
    <w:abstractNumId w:val="6"/>
  </w:num>
  <w:num w:numId="2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000D1"/>
    <w:rsid w:val="00000592"/>
    <w:rsid w:val="00000D99"/>
    <w:rsid w:val="000010F4"/>
    <w:rsid w:val="00001F47"/>
    <w:rsid w:val="00002E14"/>
    <w:rsid w:val="0000420B"/>
    <w:rsid w:val="00005117"/>
    <w:rsid w:val="000074F7"/>
    <w:rsid w:val="00007A64"/>
    <w:rsid w:val="00010E39"/>
    <w:rsid w:val="00010F99"/>
    <w:rsid w:val="000124B5"/>
    <w:rsid w:val="00012804"/>
    <w:rsid w:val="000128D8"/>
    <w:rsid w:val="00012C7C"/>
    <w:rsid w:val="00015984"/>
    <w:rsid w:val="00016C0E"/>
    <w:rsid w:val="00016E47"/>
    <w:rsid w:val="000220F0"/>
    <w:rsid w:val="00022806"/>
    <w:rsid w:val="00023640"/>
    <w:rsid w:val="000244F3"/>
    <w:rsid w:val="000258E4"/>
    <w:rsid w:val="00025B51"/>
    <w:rsid w:val="0002723A"/>
    <w:rsid w:val="000275B0"/>
    <w:rsid w:val="00027A5E"/>
    <w:rsid w:val="00030EFC"/>
    <w:rsid w:val="00031570"/>
    <w:rsid w:val="000323A4"/>
    <w:rsid w:val="0003287E"/>
    <w:rsid w:val="00032922"/>
    <w:rsid w:val="00032FB0"/>
    <w:rsid w:val="000401DC"/>
    <w:rsid w:val="00040280"/>
    <w:rsid w:val="0004143B"/>
    <w:rsid w:val="00041524"/>
    <w:rsid w:val="00041D2A"/>
    <w:rsid w:val="00041F9D"/>
    <w:rsid w:val="000433E5"/>
    <w:rsid w:val="00043D51"/>
    <w:rsid w:val="000472D0"/>
    <w:rsid w:val="00047508"/>
    <w:rsid w:val="00047884"/>
    <w:rsid w:val="00047F9C"/>
    <w:rsid w:val="00050D0E"/>
    <w:rsid w:val="000526A9"/>
    <w:rsid w:val="00052A85"/>
    <w:rsid w:val="00053166"/>
    <w:rsid w:val="00055819"/>
    <w:rsid w:val="0005797C"/>
    <w:rsid w:val="00060533"/>
    <w:rsid w:val="00061479"/>
    <w:rsid w:val="00061FA1"/>
    <w:rsid w:val="00062A3F"/>
    <w:rsid w:val="00062B5A"/>
    <w:rsid w:val="00062BC0"/>
    <w:rsid w:val="000635E9"/>
    <w:rsid w:val="000646CA"/>
    <w:rsid w:val="000649C1"/>
    <w:rsid w:val="00065156"/>
    <w:rsid w:val="000663F9"/>
    <w:rsid w:val="000664AD"/>
    <w:rsid w:val="000670FA"/>
    <w:rsid w:val="00067EB5"/>
    <w:rsid w:val="00067EF1"/>
    <w:rsid w:val="00071C89"/>
    <w:rsid w:val="00072511"/>
    <w:rsid w:val="0007281C"/>
    <w:rsid w:val="00073047"/>
    <w:rsid w:val="00074222"/>
    <w:rsid w:val="0007579F"/>
    <w:rsid w:val="00076416"/>
    <w:rsid w:val="000773C4"/>
    <w:rsid w:val="0007764C"/>
    <w:rsid w:val="000804D3"/>
    <w:rsid w:val="0008085E"/>
    <w:rsid w:val="00080DBF"/>
    <w:rsid w:val="00081A58"/>
    <w:rsid w:val="00082B8D"/>
    <w:rsid w:val="000833BD"/>
    <w:rsid w:val="00083406"/>
    <w:rsid w:val="0008428C"/>
    <w:rsid w:val="000848A3"/>
    <w:rsid w:val="00085240"/>
    <w:rsid w:val="00087084"/>
    <w:rsid w:val="0008749C"/>
    <w:rsid w:val="00087551"/>
    <w:rsid w:val="0008756C"/>
    <w:rsid w:val="00090754"/>
    <w:rsid w:val="00090CCA"/>
    <w:rsid w:val="00091F11"/>
    <w:rsid w:val="000930B2"/>
    <w:rsid w:val="000939DD"/>
    <w:rsid w:val="00093EAB"/>
    <w:rsid w:val="00094F19"/>
    <w:rsid w:val="00096B34"/>
    <w:rsid w:val="00096C93"/>
    <w:rsid w:val="00097D89"/>
    <w:rsid w:val="000A0957"/>
    <w:rsid w:val="000A0B3D"/>
    <w:rsid w:val="000A15C9"/>
    <w:rsid w:val="000A1EAB"/>
    <w:rsid w:val="000A2598"/>
    <w:rsid w:val="000A2E46"/>
    <w:rsid w:val="000A32C4"/>
    <w:rsid w:val="000A3873"/>
    <w:rsid w:val="000A4715"/>
    <w:rsid w:val="000A49BD"/>
    <w:rsid w:val="000A5592"/>
    <w:rsid w:val="000A5668"/>
    <w:rsid w:val="000A65A5"/>
    <w:rsid w:val="000A65B7"/>
    <w:rsid w:val="000A6D11"/>
    <w:rsid w:val="000A7CAB"/>
    <w:rsid w:val="000B093C"/>
    <w:rsid w:val="000B0BC3"/>
    <w:rsid w:val="000B1254"/>
    <w:rsid w:val="000B1712"/>
    <w:rsid w:val="000B23EF"/>
    <w:rsid w:val="000B283E"/>
    <w:rsid w:val="000B3CA2"/>
    <w:rsid w:val="000B44D6"/>
    <w:rsid w:val="000B48FD"/>
    <w:rsid w:val="000B4D9B"/>
    <w:rsid w:val="000B5420"/>
    <w:rsid w:val="000B5F9F"/>
    <w:rsid w:val="000B62E7"/>
    <w:rsid w:val="000B6474"/>
    <w:rsid w:val="000B6F4A"/>
    <w:rsid w:val="000B7365"/>
    <w:rsid w:val="000B76DC"/>
    <w:rsid w:val="000B7F02"/>
    <w:rsid w:val="000C2177"/>
    <w:rsid w:val="000C41E6"/>
    <w:rsid w:val="000C5B26"/>
    <w:rsid w:val="000C63C7"/>
    <w:rsid w:val="000C641F"/>
    <w:rsid w:val="000C7349"/>
    <w:rsid w:val="000D0F5D"/>
    <w:rsid w:val="000D26C5"/>
    <w:rsid w:val="000D3EE2"/>
    <w:rsid w:val="000D43FA"/>
    <w:rsid w:val="000D455D"/>
    <w:rsid w:val="000D478C"/>
    <w:rsid w:val="000D4D09"/>
    <w:rsid w:val="000D4FEF"/>
    <w:rsid w:val="000D6641"/>
    <w:rsid w:val="000D67EE"/>
    <w:rsid w:val="000D7F8B"/>
    <w:rsid w:val="000E17DC"/>
    <w:rsid w:val="000E23A8"/>
    <w:rsid w:val="000E3FFF"/>
    <w:rsid w:val="000E4314"/>
    <w:rsid w:val="000E59A2"/>
    <w:rsid w:val="000E68C0"/>
    <w:rsid w:val="000E6B17"/>
    <w:rsid w:val="000E6BBC"/>
    <w:rsid w:val="000E7793"/>
    <w:rsid w:val="000F2D9B"/>
    <w:rsid w:val="000F3C1B"/>
    <w:rsid w:val="000F4354"/>
    <w:rsid w:val="000F4CCE"/>
    <w:rsid w:val="000F5AD6"/>
    <w:rsid w:val="000F704F"/>
    <w:rsid w:val="0010521B"/>
    <w:rsid w:val="00105540"/>
    <w:rsid w:val="001056C9"/>
    <w:rsid w:val="00106CD3"/>
    <w:rsid w:val="001071F9"/>
    <w:rsid w:val="001075DE"/>
    <w:rsid w:val="00107B7A"/>
    <w:rsid w:val="001100C0"/>
    <w:rsid w:val="00110107"/>
    <w:rsid w:val="00110292"/>
    <w:rsid w:val="00110D66"/>
    <w:rsid w:val="001112E3"/>
    <w:rsid w:val="001116DC"/>
    <w:rsid w:val="00111AEA"/>
    <w:rsid w:val="00112AB8"/>
    <w:rsid w:val="0011317C"/>
    <w:rsid w:val="0011363B"/>
    <w:rsid w:val="001142C7"/>
    <w:rsid w:val="00114D3E"/>
    <w:rsid w:val="00115158"/>
    <w:rsid w:val="0011558C"/>
    <w:rsid w:val="00120226"/>
    <w:rsid w:val="001210BD"/>
    <w:rsid w:val="00122D9D"/>
    <w:rsid w:val="00123448"/>
    <w:rsid w:val="00126421"/>
    <w:rsid w:val="00127E39"/>
    <w:rsid w:val="0013063D"/>
    <w:rsid w:val="00130BFB"/>
    <w:rsid w:val="00132A7C"/>
    <w:rsid w:val="001337F5"/>
    <w:rsid w:val="00133C79"/>
    <w:rsid w:val="001349FC"/>
    <w:rsid w:val="00134A2C"/>
    <w:rsid w:val="00134F7C"/>
    <w:rsid w:val="001352D8"/>
    <w:rsid w:val="00136BB4"/>
    <w:rsid w:val="00137B93"/>
    <w:rsid w:val="00140991"/>
    <w:rsid w:val="00142A17"/>
    <w:rsid w:val="00143131"/>
    <w:rsid w:val="00143AB2"/>
    <w:rsid w:val="00145016"/>
    <w:rsid w:val="001458B0"/>
    <w:rsid w:val="00146B56"/>
    <w:rsid w:val="00147410"/>
    <w:rsid w:val="00147926"/>
    <w:rsid w:val="001509BD"/>
    <w:rsid w:val="001513C4"/>
    <w:rsid w:val="00153B8B"/>
    <w:rsid w:val="00154C0F"/>
    <w:rsid w:val="00156659"/>
    <w:rsid w:val="0015682F"/>
    <w:rsid w:val="00156A60"/>
    <w:rsid w:val="00156C1D"/>
    <w:rsid w:val="00156E28"/>
    <w:rsid w:val="001608A1"/>
    <w:rsid w:val="00160EFB"/>
    <w:rsid w:val="00161D0A"/>
    <w:rsid w:val="00162D9E"/>
    <w:rsid w:val="0016335B"/>
    <w:rsid w:val="001635A6"/>
    <w:rsid w:val="001635FD"/>
    <w:rsid w:val="00164F2C"/>
    <w:rsid w:val="00165C58"/>
    <w:rsid w:val="00165D9D"/>
    <w:rsid w:val="00166980"/>
    <w:rsid w:val="00167843"/>
    <w:rsid w:val="00167F85"/>
    <w:rsid w:val="001716E3"/>
    <w:rsid w:val="001717DF"/>
    <w:rsid w:val="00171EE8"/>
    <w:rsid w:val="00172B0F"/>
    <w:rsid w:val="00173CF8"/>
    <w:rsid w:val="00174115"/>
    <w:rsid w:val="00175106"/>
    <w:rsid w:val="00175336"/>
    <w:rsid w:val="00180564"/>
    <w:rsid w:val="00180B4A"/>
    <w:rsid w:val="00180FB8"/>
    <w:rsid w:val="0018100B"/>
    <w:rsid w:val="001828C9"/>
    <w:rsid w:val="001833B6"/>
    <w:rsid w:val="001834A3"/>
    <w:rsid w:val="00186982"/>
    <w:rsid w:val="00187F73"/>
    <w:rsid w:val="00190128"/>
    <w:rsid w:val="00190465"/>
    <w:rsid w:val="00191562"/>
    <w:rsid w:val="00191BD4"/>
    <w:rsid w:val="00192F70"/>
    <w:rsid w:val="00195192"/>
    <w:rsid w:val="001977A4"/>
    <w:rsid w:val="001A02F8"/>
    <w:rsid w:val="001A1A8C"/>
    <w:rsid w:val="001A48A4"/>
    <w:rsid w:val="001A6554"/>
    <w:rsid w:val="001A7EA9"/>
    <w:rsid w:val="001B1D3C"/>
    <w:rsid w:val="001B2106"/>
    <w:rsid w:val="001B2F0F"/>
    <w:rsid w:val="001B330F"/>
    <w:rsid w:val="001B392D"/>
    <w:rsid w:val="001B42E6"/>
    <w:rsid w:val="001B6C41"/>
    <w:rsid w:val="001B71A2"/>
    <w:rsid w:val="001B740B"/>
    <w:rsid w:val="001C01C8"/>
    <w:rsid w:val="001C1DB0"/>
    <w:rsid w:val="001C226F"/>
    <w:rsid w:val="001C498F"/>
    <w:rsid w:val="001C579A"/>
    <w:rsid w:val="001C5B78"/>
    <w:rsid w:val="001C6298"/>
    <w:rsid w:val="001C7136"/>
    <w:rsid w:val="001D0AD0"/>
    <w:rsid w:val="001D0EAE"/>
    <w:rsid w:val="001D4FF9"/>
    <w:rsid w:val="001D558F"/>
    <w:rsid w:val="001D63B6"/>
    <w:rsid w:val="001D6A64"/>
    <w:rsid w:val="001D7273"/>
    <w:rsid w:val="001D789D"/>
    <w:rsid w:val="001E0E17"/>
    <w:rsid w:val="001E18A6"/>
    <w:rsid w:val="001E1C8D"/>
    <w:rsid w:val="001E2294"/>
    <w:rsid w:val="001E32B5"/>
    <w:rsid w:val="001E5083"/>
    <w:rsid w:val="001E683D"/>
    <w:rsid w:val="001E6AFE"/>
    <w:rsid w:val="001E6C16"/>
    <w:rsid w:val="001E7EE8"/>
    <w:rsid w:val="001F0DE9"/>
    <w:rsid w:val="001F0F12"/>
    <w:rsid w:val="001F4DC1"/>
    <w:rsid w:val="001F4E03"/>
    <w:rsid w:val="001F671F"/>
    <w:rsid w:val="00200069"/>
    <w:rsid w:val="00201F22"/>
    <w:rsid w:val="002025B5"/>
    <w:rsid w:val="00210F73"/>
    <w:rsid w:val="0021137C"/>
    <w:rsid w:val="0021198B"/>
    <w:rsid w:val="0021237B"/>
    <w:rsid w:val="002133F2"/>
    <w:rsid w:val="00214A74"/>
    <w:rsid w:val="002154E3"/>
    <w:rsid w:val="00215E9D"/>
    <w:rsid w:val="00216CF8"/>
    <w:rsid w:val="00216DEF"/>
    <w:rsid w:val="002176BD"/>
    <w:rsid w:val="002202D1"/>
    <w:rsid w:val="00221518"/>
    <w:rsid w:val="00221B76"/>
    <w:rsid w:val="00224F03"/>
    <w:rsid w:val="00225396"/>
    <w:rsid w:val="00225E57"/>
    <w:rsid w:val="00226069"/>
    <w:rsid w:val="00226789"/>
    <w:rsid w:val="00226F12"/>
    <w:rsid w:val="00227352"/>
    <w:rsid w:val="002275A3"/>
    <w:rsid w:val="002276C7"/>
    <w:rsid w:val="00233EDA"/>
    <w:rsid w:val="00235605"/>
    <w:rsid w:val="00235E02"/>
    <w:rsid w:val="002369A5"/>
    <w:rsid w:val="00236A25"/>
    <w:rsid w:val="00237DCC"/>
    <w:rsid w:val="00240CF0"/>
    <w:rsid w:val="002415A9"/>
    <w:rsid w:val="00241C5C"/>
    <w:rsid w:val="002428A9"/>
    <w:rsid w:val="00242ACE"/>
    <w:rsid w:val="00244270"/>
    <w:rsid w:val="00244EBB"/>
    <w:rsid w:val="00244F9A"/>
    <w:rsid w:val="00245495"/>
    <w:rsid w:val="00246A18"/>
    <w:rsid w:val="00246A47"/>
    <w:rsid w:val="00246B5A"/>
    <w:rsid w:val="002473AB"/>
    <w:rsid w:val="00250919"/>
    <w:rsid w:val="00250E9A"/>
    <w:rsid w:val="002515D0"/>
    <w:rsid w:val="002538AC"/>
    <w:rsid w:val="00255CE9"/>
    <w:rsid w:val="002569E1"/>
    <w:rsid w:val="00257044"/>
    <w:rsid w:val="002570B0"/>
    <w:rsid w:val="00257CCF"/>
    <w:rsid w:val="00260446"/>
    <w:rsid w:val="00261215"/>
    <w:rsid w:val="002640DF"/>
    <w:rsid w:val="00266092"/>
    <w:rsid w:val="002669CF"/>
    <w:rsid w:val="00266A3F"/>
    <w:rsid w:val="00270902"/>
    <w:rsid w:val="00270CDE"/>
    <w:rsid w:val="002712D8"/>
    <w:rsid w:val="00273680"/>
    <w:rsid w:val="002741FD"/>
    <w:rsid w:val="00275F48"/>
    <w:rsid w:val="0027662B"/>
    <w:rsid w:val="002766A0"/>
    <w:rsid w:val="00276FD7"/>
    <w:rsid w:val="00277628"/>
    <w:rsid w:val="00280F3F"/>
    <w:rsid w:val="002812FB"/>
    <w:rsid w:val="002818F3"/>
    <w:rsid w:val="002835A1"/>
    <w:rsid w:val="0028483B"/>
    <w:rsid w:val="00284F9D"/>
    <w:rsid w:val="0029119D"/>
    <w:rsid w:val="0029205A"/>
    <w:rsid w:val="002930BD"/>
    <w:rsid w:val="00293159"/>
    <w:rsid w:val="00293340"/>
    <w:rsid w:val="00295101"/>
    <w:rsid w:val="0029554B"/>
    <w:rsid w:val="002955F5"/>
    <w:rsid w:val="00295A03"/>
    <w:rsid w:val="00297C51"/>
    <w:rsid w:val="002A0056"/>
    <w:rsid w:val="002A04F0"/>
    <w:rsid w:val="002A435F"/>
    <w:rsid w:val="002A43BA"/>
    <w:rsid w:val="002A516A"/>
    <w:rsid w:val="002A57E4"/>
    <w:rsid w:val="002A676A"/>
    <w:rsid w:val="002A7372"/>
    <w:rsid w:val="002A779C"/>
    <w:rsid w:val="002B07CD"/>
    <w:rsid w:val="002B1573"/>
    <w:rsid w:val="002B198F"/>
    <w:rsid w:val="002B2744"/>
    <w:rsid w:val="002B3F38"/>
    <w:rsid w:val="002B4079"/>
    <w:rsid w:val="002B651B"/>
    <w:rsid w:val="002B775D"/>
    <w:rsid w:val="002C0499"/>
    <w:rsid w:val="002C0563"/>
    <w:rsid w:val="002C180F"/>
    <w:rsid w:val="002C2492"/>
    <w:rsid w:val="002C249D"/>
    <w:rsid w:val="002C33E8"/>
    <w:rsid w:val="002C5903"/>
    <w:rsid w:val="002C6403"/>
    <w:rsid w:val="002C7DD8"/>
    <w:rsid w:val="002D0805"/>
    <w:rsid w:val="002D1635"/>
    <w:rsid w:val="002D18BD"/>
    <w:rsid w:val="002D21A8"/>
    <w:rsid w:val="002D4337"/>
    <w:rsid w:val="002D48E0"/>
    <w:rsid w:val="002D4CEF"/>
    <w:rsid w:val="002D566F"/>
    <w:rsid w:val="002D6888"/>
    <w:rsid w:val="002D6CB4"/>
    <w:rsid w:val="002D78FB"/>
    <w:rsid w:val="002E0CB9"/>
    <w:rsid w:val="002E2057"/>
    <w:rsid w:val="002E24AE"/>
    <w:rsid w:val="002E2A9E"/>
    <w:rsid w:val="002E57EE"/>
    <w:rsid w:val="002E67E2"/>
    <w:rsid w:val="002F0422"/>
    <w:rsid w:val="002F1CBF"/>
    <w:rsid w:val="002F269E"/>
    <w:rsid w:val="002F38FD"/>
    <w:rsid w:val="002F3BAA"/>
    <w:rsid w:val="002F40AB"/>
    <w:rsid w:val="002F5B1D"/>
    <w:rsid w:val="002F6358"/>
    <w:rsid w:val="002F6507"/>
    <w:rsid w:val="002F7273"/>
    <w:rsid w:val="00303B3C"/>
    <w:rsid w:val="003047A0"/>
    <w:rsid w:val="0030631D"/>
    <w:rsid w:val="00306AA5"/>
    <w:rsid w:val="00307746"/>
    <w:rsid w:val="003108EF"/>
    <w:rsid w:val="00310FB9"/>
    <w:rsid w:val="00311281"/>
    <w:rsid w:val="00311E38"/>
    <w:rsid w:val="00312462"/>
    <w:rsid w:val="00312B53"/>
    <w:rsid w:val="00312D79"/>
    <w:rsid w:val="00313614"/>
    <w:rsid w:val="0031417C"/>
    <w:rsid w:val="00314B98"/>
    <w:rsid w:val="003155AC"/>
    <w:rsid w:val="00315F9A"/>
    <w:rsid w:val="003169D4"/>
    <w:rsid w:val="00316DF8"/>
    <w:rsid w:val="003175E2"/>
    <w:rsid w:val="00317784"/>
    <w:rsid w:val="00320114"/>
    <w:rsid w:val="00320DE3"/>
    <w:rsid w:val="00322A7D"/>
    <w:rsid w:val="00322A9F"/>
    <w:rsid w:val="00324120"/>
    <w:rsid w:val="003273B2"/>
    <w:rsid w:val="00330E89"/>
    <w:rsid w:val="003327B3"/>
    <w:rsid w:val="0033495E"/>
    <w:rsid w:val="00336BB1"/>
    <w:rsid w:val="003376AD"/>
    <w:rsid w:val="00340194"/>
    <w:rsid w:val="00340F43"/>
    <w:rsid w:val="003436A2"/>
    <w:rsid w:val="00344150"/>
    <w:rsid w:val="003453F4"/>
    <w:rsid w:val="00347865"/>
    <w:rsid w:val="003522FE"/>
    <w:rsid w:val="0035250C"/>
    <w:rsid w:val="003530FB"/>
    <w:rsid w:val="0035552F"/>
    <w:rsid w:val="00356195"/>
    <w:rsid w:val="0035718C"/>
    <w:rsid w:val="00357B6C"/>
    <w:rsid w:val="00360D53"/>
    <w:rsid w:val="0036112F"/>
    <w:rsid w:val="00362654"/>
    <w:rsid w:val="00362A15"/>
    <w:rsid w:val="00362B96"/>
    <w:rsid w:val="00363B76"/>
    <w:rsid w:val="00363D95"/>
    <w:rsid w:val="003649A9"/>
    <w:rsid w:val="00365505"/>
    <w:rsid w:val="00365AC6"/>
    <w:rsid w:val="00370214"/>
    <w:rsid w:val="00370423"/>
    <w:rsid w:val="00370D12"/>
    <w:rsid w:val="00370EFD"/>
    <w:rsid w:val="0037198B"/>
    <w:rsid w:val="00372087"/>
    <w:rsid w:val="00372214"/>
    <w:rsid w:val="00372FBE"/>
    <w:rsid w:val="003732FE"/>
    <w:rsid w:val="00374EBD"/>
    <w:rsid w:val="00375D68"/>
    <w:rsid w:val="0037652E"/>
    <w:rsid w:val="00380EA1"/>
    <w:rsid w:val="003817BF"/>
    <w:rsid w:val="003821C4"/>
    <w:rsid w:val="0038222D"/>
    <w:rsid w:val="003838E1"/>
    <w:rsid w:val="00384A59"/>
    <w:rsid w:val="003858FE"/>
    <w:rsid w:val="0039052A"/>
    <w:rsid w:val="00392B58"/>
    <w:rsid w:val="003934D6"/>
    <w:rsid w:val="00393781"/>
    <w:rsid w:val="00394595"/>
    <w:rsid w:val="0039614F"/>
    <w:rsid w:val="003961A9"/>
    <w:rsid w:val="0039667D"/>
    <w:rsid w:val="0039668D"/>
    <w:rsid w:val="00396DB3"/>
    <w:rsid w:val="0039749A"/>
    <w:rsid w:val="003A17EB"/>
    <w:rsid w:val="003A1F30"/>
    <w:rsid w:val="003A313C"/>
    <w:rsid w:val="003A3443"/>
    <w:rsid w:val="003A34E7"/>
    <w:rsid w:val="003A3C5F"/>
    <w:rsid w:val="003A4223"/>
    <w:rsid w:val="003A448A"/>
    <w:rsid w:val="003A5B61"/>
    <w:rsid w:val="003A5BCE"/>
    <w:rsid w:val="003A6410"/>
    <w:rsid w:val="003A72CE"/>
    <w:rsid w:val="003B0656"/>
    <w:rsid w:val="003B09D0"/>
    <w:rsid w:val="003B2430"/>
    <w:rsid w:val="003B3B72"/>
    <w:rsid w:val="003B574E"/>
    <w:rsid w:val="003B5990"/>
    <w:rsid w:val="003B5997"/>
    <w:rsid w:val="003B6233"/>
    <w:rsid w:val="003C02F1"/>
    <w:rsid w:val="003C0390"/>
    <w:rsid w:val="003C1D15"/>
    <w:rsid w:val="003C221E"/>
    <w:rsid w:val="003C2859"/>
    <w:rsid w:val="003C2B64"/>
    <w:rsid w:val="003C4AD3"/>
    <w:rsid w:val="003C4B87"/>
    <w:rsid w:val="003C54D2"/>
    <w:rsid w:val="003C6471"/>
    <w:rsid w:val="003C6E41"/>
    <w:rsid w:val="003D08A0"/>
    <w:rsid w:val="003D22FC"/>
    <w:rsid w:val="003D25F3"/>
    <w:rsid w:val="003D5009"/>
    <w:rsid w:val="003D5701"/>
    <w:rsid w:val="003D589A"/>
    <w:rsid w:val="003D6F20"/>
    <w:rsid w:val="003D773E"/>
    <w:rsid w:val="003E010E"/>
    <w:rsid w:val="003E1120"/>
    <w:rsid w:val="003E2FB3"/>
    <w:rsid w:val="003E3EEB"/>
    <w:rsid w:val="003E4C15"/>
    <w:rsid w:val="003E4C67"/>
    <w:rsid w:val="003F09CC"/>
    <w:rsid w:val="003F3B2E"/>
    <w:rsid w:val="003F3C32"/>
    <w:rsid w:val="003F5A07"/>
    <w:rsid w:val="003F7A03"/>
    <w:rsid w:val="003F7B04"/>
    <w:rsid w:val="0040058C"/>
    <w:rsid w:val="00400C3D"/>
    <w:rsid w:val="004014F8"/>
    <w:rsid w:val="004021A7"/>
    <w:rsid w:val="004025FF"/>
    <w:rsid w:val="00403254"/>
    <w:rsid w:val="00403BAE"/>
    <w:rsid w:val="00405576"/>
    <w:rsid w:val="004058DD"/>
    <w:rsid w:val="00405E33"/>
    <w:rsid w:val="004064CA"/>
    <w:rsid w:val="00407049"/>
    <w:rsid w:val="00412949"/>
    <w:rsid w:val="0041541A"/>
    <w:rsid w:val="00415CEC"/>
    <w:rsid w:val="00416587"/>
    <w:rsid w:val="00416780"/>
    <w:rsid w:val="00416D17"/>
    <w:rsid w:val="004172EC"/>
    <w:rsid w:val="004204E1"/>
    <w:rsid w:val="0042229C"/>
    <w:rsid w:val="0042232C"/>
    <w:rsid w:val="00423A15"/>
    <w:rsid w:val="00423AC5"/>
    <w:rsid w:val="00424699"/>
    <w:rsid w:val="00424FA1"/>
    <w:rsid w:val="00425269"/>
    <w:rsid w:val="0042536F"/>
    <w:rsid w:val="0042698E"/>
    <w:rsid w:val="004276E7"/>
    <w:rsid w:val="004306B4"/>
    <w:rsid w:val="00430CBD"/>
    <w:rsid w:val="00430EBD"/>
    <w:rsid w:val="00430FC6"/>
    <w:rsid w:val="004311D8"/>
    <w:rsid w:val="0043298B"/>
    <w:rsid w:val="004338EC"/>
    <w:rsid w:val="00434A70"/>
    <w:rsid w:val="00435BAC"/>
    <w:rsid w:val="0043660F"/>
    <w:rsid w:val="00436698"/>
    <w:rsid w:val="004366DF"/>
    <w:rsid w:val="00436D45"/>
    <w:rsid w:val="004377C5"/>
    <w:rsid w:val="004413CB"/>
    <w:rsid w:val="00442BA2"/>
    <w:rsid w:val="00442DF3"/>
    <w:rsid w:val="00443311"/>
    <w:rsid w:val="0044565F"/>
    <w:rsid w:val="00447597"/>
    <w:rsid w:val="0044774C"/>
    <w:rsid w:val="004505C1"/>
    <w:rsid w:val="0045064D"/>
    <w:rsid w:val="00451B0D"/>
    <w:rsid w:val="0045668E"/>
    <w:rsid w:val="00456C59"/>
    <w:rsid w:val="00456CA8"/>
    <w:rsid w:val="00461481"/>
    <w:rsid w:val="0046219A"/>
    <w:rsid w:val="004628E1"/>
    <w:rsid w:val="00463437"/>
    <w:rsid w:val="004651C7"/>
    <w:rsid w:val="00465A92"/>
    <w:rsid w:val="0047002D"/>
    <w:rsid w:val="00470BAA"/>
    <w:rsid w:val="0047160F"/>
    <w:rsid w:val="00471684"/>
    <w:rsid w:val="00472B8E"/>
    <w:rsid w:val="00472E96"/>
    <w:rsid w:val="00476293"/>
    <w:rsid w:val="00477197"/>
    <w:rsid w:val="00480143"/>
    <w:rsid w:val="0048047A"/>
    <w:rsid w:val="00481480"/>
    <w:rsid w:val="00482FD3"/>
    <w:rsid w:val="004856EE"/>
    <w:rsid w:val="00486659"/>
    <w:rsid w:val="00486AB5"/>
    <w:rsid w:val="00486D6F"/>
    <w:rsid w:val="004873AB"/>
    <w:rsid w:val="0049129C"/>
    <w:rsid w:val="0049131E"/>
    <w:rsid w:val="004914CA"/>
    <w:rsid w:val="004916CD"/>
    <w:rsid w:val="00491741"/>
    <w:rsid w:val="00491959"/>
    <w:rsid w:val="00491A63"/>
    <w:rsid w:val="00493735"/>
    <w:rsid w:val="00495623"/>
    <w:rsid w:val="004959AF"/>
    <w:rsid w:val="004A0218"/>
    <w:rsid w:val="004A074D"/>
    <w:rsid w:val="004A1E3D"/>
    <w:rsid w:val="004A2373"/>
    <w:rsid w:val="004A25E1"/>
    <w:rsid w:val="004A36EC"/>
    <w:rsid w:val="004A41B1"/>
    <w:rsid w:val="004A587D"/>
    <w:rsid w:val="004A6A69"/>
    <w:rsid w:val="004A79F0"/>
    <w:rsid w:val="004B07BE"/>
    <w:rsid w:val="004B18EA"/>
    <w:rsid w:val="004B1EEE"/>
    <w:rsid w:val="004B3540"/>
    <w:rsid w:val="004B35BF"/>
    <w:rsid w:val="004B6110"/>
    <w:rsid w:val="004B69D7"/>
    <w:rsid w:val="004B7A2F"/>
    <w:rsid w:val="004C00CE"/>
    <w:rsid w:val="004C0352"/>
    <w:rsid w:val="004C06B5"/>
    <w:rsid w:val="004C1A39"/>
    <w:rsid w:val="004C1DF9"/>
    <w:rsid w:val="004C1E1A"/>
    <w:rsid w:val="004C25B6"/>
    <w:rsid w:val="004C2FE7"/>
    <w:rsid w:val="004C560B"/>
    <w:rsid w:val="004C5ED9"/>
    <w:rsid w:val="004C6650"/>
    <w:rsid w:val="004C7309"/>
    <w:rsid w:val="004C7391"/>
    <w:rsid w:val="004C7B15"/>
    <w:rsid w:val="004D0F5A"/>
    <w:rsid w:val="004D1612"/>
    <w:rsid w:val="004D2FCD"/>
    <w:rsid w:val="004D4123"/>
    <w:rsid w:val="004D458D"/>
    <w:rsid w:val="004D46CB"/>
    <w:rsid w:val="004D54A5"/>
    <w:rsid w:val="004D5914"/>
    <w:rsid w:val="004D6401"/>
    <w:rsid w:val="004D72D2"/>
    <w:rsid w:val="004D735B"/>
    <w:rsid w:val="004D778E"/>
    <w:rsid w:val="004D7DFC"/>
    <w:rsid w:val="004E050A"/>
    <w:rsid w:val="004E1968"/>
    <w:rsid w:val="004E1D00"/>
    <w:rsid w:val="004E224F"/>
    <w:rsid w:val="004E22E0"/>
    <w:rsid w:val="004E3383"/>
    <w:rsid w:val="004E3FE0"/>
    <w:rsid w:val="004E402B"/>
    <w:rsid w:val="004E4A2A"/>
    <w:rsid w:val="004E6F39"/>
    <w:rsid w:val="004E71B9"/>
    <w:rsid w:val="004F0058"/>
    <w:rsid w:val="004F005E"/>
    <w:rsid w:val="004F0854"/>
    <w:rsid w:val="004F0D7A"/>
    <w:rsid w:val="004F1A80"/>
    <w:rsid w:val="004F2C7C"/>
    <w:rsid w:val="004F32F0"/>
    <w:rsid w:val="004F43DE"/>
    <w:rsid w:val="004F4FDE"/>
    <w:rsid w:val="004F5338"/>
    <w:rsid w:val="004F54A8"/>
    <w:rsid w:val="0050045B"/>
    <w:rsid w:val="00500461"/>
    <w:rsid w:val="00501067"/>
    <w:rsid w:val="00502EA3"/>
    <w:rsid w:val="00503D9A"/>
    <w:rsid w:val="00504E3B"/>
    <w:rsid w:val="0050563D"/>
    <w:rsid w:val="00506F10"/>
    <w:rsid w:val="00510653"/>
    <w:rsid w:val="00510CDA"/>
    <w:rsid w:val="005114F7"/>
    <w:rsid w:val="005124EC"/>
    <w:rsid w:val="0051256B"/>
    <w:rsid w:val="00512C17"/>
    <w:rsid w:val="005141ED"/>
    <w:rsid w:val="00515B99"/>
    <w:rsid w:val="0051601C"/>
    <w:rsid w:val="005167C6"/>
    <w:rsid w:val="00517048"/>
    <w:rsid w:val="005203CB"/>
    <w:rsid w:val="005220C3"/>
    <w:rsid w:val="005229C8"/>
    <w:rsid w:val="00523D3E"/>
    <w:rsid w:val="00523DDE"/>
    <w:rsid w:val="00524678"/>
    <w:rsid w:val="005246DD"/>
    <w:rsid w:val="005249EE"/>
    <w:rsid w:val="005258E1"/>
    <w:rsid w:val="00525D5A"/>
    <w:rsid w:val="00530524"/>
    <w:rsid w:val="005322EC"/>
    <w:rsid w:val="00533CE9"/>
    <w:rsid w:val="00533F1F"/>
    <w:rsid w:val="0053404A"/>
    <w:rsid w:val="005348BC"/>
    <w:rsid w:val="00534CE6"/>
    <w:rsid w:val="00535D03"/>
    <w:rsid w:val="00536DFA"/>
    <w:rsid w:val="005376FC"/>
    <w:rsid w:val="00537907"/>
    <w:rsid w:val="005403F3"/>
    <w:rsid w:val="00540948"/>
    <w:rsid w:val="005409A9"/>
    <w:rsid w:val="00540BD7"/>
    <w:rsid w:val="00543EE8"/>
    <w:rsid w:val="00544321"/>
    <w:rsid w:val="00544956"/>
    <w:rsid w:val="005452C7"/>
    <w:rsid w:val="00546017"/>
    <w:rsid w:val="005460C4"/>
    <w:rsid w:val="00550A98"/>
    <w:rsid w:val="00550CE9"/>
    <w:rsid w:val="005511E1"/>
    <w:rsid w:val="00551AB0"/>
    <w:rsid w:val="00551B93"/>
    <w:rsid w:val="00551BA1"/>
    <w:rsid w:val="00551BCA"/>
    <w:rsid w:val="00552A78"/>
    <w:rsid w:val="0055302A"/>
    <w:rsid w:val="00556503"/>
    <w:rsid w:val="005569F0"/>
    <w:rsid w:val="00556C24"/>
    <w:rsid w:val="005570EF"/>
    <w:rsid w:val="00557FCB"/>
    <w:rsid w:val="00560A26"/>
    <w:rsid w:val="005610D0"/>
    <w:rsid w:val="00561D7D"/>
    <w:rsid w:val="00562ECD"/>
    <w:rsid w:val="00562EF3"/>
    <w:rsid w:val="005632D5"/>
    <w:rsid w:val="00563588"/>
    <w:rsid w:val="005674AF"/>
    <w:rsid w:val="005676F3"/>
    <w:rsid w:val="00567F99"/>
    <w:rsid w:val="00570135"/>
    <w:rsid w:val="00571985"/>
    <w:rsid w:val="00573A1B"/>
    <w:rsid w:val="005747B8"/>
    <w:rsid w:val="005748D7"/>
    <w:rsid w:val="00575460"/>
    <w:rsid w:val="00576A27"/>
    <w:rsid w:val="00577A8A"/>
    <w:rsid w:val="00577BBE"/>
    <w:rsid w:val="00577C55"/>
    <w:rsid w:val="005804B0"/>
    <w:rsid w:val="0058073B"/>
    <w:rsid w:val="00581926"/>
    <w:rsid w:val="00582665"/>
    <w:rsid w:val="00582965"/>
    <w:rsid w:val="00582C91"/>
    <w:rsid w:val="00583F53"/>
    <w:rsid w:val="00584A53"/>
    <w:rsid w:val="005856AA"/>
    <w:rsid w:val="00585FC5"/>
    <w:rsid w:val="00587809"/>
    <w:rsid w:val="00587C1B"/>
    <w:rsid w:val="00590499"/>
    <w:rsid w:val="00590EB2"/>
    <w:rsid w:val="00593FB1"/>
    <w:rsid w:val="005940F4"/>
    <w:rsid w:val="00594EE2"/>
    <w:rsid w:val="005956B8"/>
    <w:rsid w:val="0059593E"/>
    <w:rsid w:val="00595B5E"/>
    <w:rsid w:val="00596E4A"/>
    <w:rsid w:val="00597B47"/>
    <w:rsid w:val="005A26B8"/>
    <w:rsid w:val="005A3CDE"/>
    <w:rsid w:val="005A53DC"/>
    <w:rsid w:val="005A5509"/>
    <w:rsid w:val="005A57CC"/>
    <w:rsid w:val="005A58B9"/>
    <w:rsid w:val="005A65F9"/>
    <w:rsid w:val="005A68D5"/>
    <w:rsid w:val="005A6C86"/>
    <w:rsid w:val="005A6DDF"/>
    <w:rsid w:val="005B0CA9"/>
    <w:rsid w:val="005B17A7"/>
    <w:rsid w:val="005B1CE6"/>
    <w:rsid w:val="005B1DE2"/>
    <w:rsid w:val="005B43F9"/>
    <w:rsid w:val="005B45F4"/>
    <w:rsid w:val="005B4870"/>
    <w:rsid w:val="005B4ECC"/>
    <w:rsid w:val="005B5BC2"/>
    <w:rsid w:val="005B6B9A"/>
    <w:rsid w:val="005B722C"/>
    <w:rsid w:val="005B769E"/>
    <w:rsid w:val="005B7A60"/>
    <w:rsid w:val="005C00F6"/>
    <w:rsid w:val="005C0816"/>
    <w:rsid w:val="005C18BF"/>
    <w:rsid w:val="005C1CDE"/>
    <w:rsid w:val="005C27F5"/>
    <w:rsid w:val="005C2A91"/>
    <w:rsid w:val="005C3ADD"/>
    <w:rsid w:val="005C41A5"/>
    <w:rsid w:val="005C59F6"/>
    <w:rsid w:val="005C5A41"/>
    <w:rsid w:val="005C5AF0"/>
    <w:rsid w:val="005C69CF"/>
    <w:rsid w:val="005D207D"/>
    <w:rsid w:val="005D27AB"/>
    <w:rsid w:val="005D3D80"/>
    <w:rsid w:val="005D3F9C"/>
    <w:rsid w:val="005D4B8D"/>
    <w:rsid w:val="005D5663"/>
    <w:rsid w:val="005D662F"/>
    <w:rsid w:val="005D6724"/>
    <w:rsid w:val="005D7203"/>
    <w:rsid w:val="005D7AF7"/>
    <w:rsid w:val="005D7E81"/>
    <w:rsid w:val="005E1887"/>
    <w:rsid w:val="005E1D66"/>
    <w:rsid w:val="005E39EA"/>
    <w:rsid w:val="005E42AC"/>
    <w:rsid w:val="005E447E"/>
    <w:rsid w:val="005E5529"/>
    <w:rsid w:val="005E5A71"/>
    <w:rsid w:val="005E629B"/>
    <w:rsid w:val="005E6AED"/>
    <w:rsid w:val="005E6F59"/>
    <w:rsid w:val="005E7D5C"/>
    <w:rsid w:val="005F1B39"/>
    <w:rsid w:val="005F38BB"/>
    <w:rsid w:val="005F5787"/>
    <w:rsid w:val="005F578E"/>
    <w:rsid w:val="005F7A53"/>
    <w:rsid w:val="006008B4"/>
    <w:rsid w:val="00602106"/>
    <w:rsid w:val="00604326"/>
    <w:rsid w:val="0060553B"/>
    <w:rsid w:val="00605FEE"/>
    <w:rsid w:val="006100EA"/>
    <w:rsid w:val="006124CC"/>
    <w:rsid w:val="006135CD"/>
    <w:rsid w:val="00613CA4"/>
    <w:rsid w:val="00613CB6"/>
    <w:rsid w:val="00615AC9"/>
    <w:rsid w:val="00615C29"/>
    <w:rsid w:val="00615C38"/>
    <w:rsid w:val="00617385"/>
    <w:rsid w:val="0061771E"/>
    <w:rsid w:val="00617FA2"/>
    <w:rsid w:val="006201FF"/>
    <w:rsid w:val="006204B6"/>
    <w:rsid w:val="00620FD9"/>
    <w:rsid w:val="00621375"/>
    <w:rsid w:val="00622E0D"/>
    <w:rsid w:val="0062452D"/>
    <w:rsid w:val="00624B68"/>
    <w:rsid w:val="00624D6A"/>
    <w:rsid w:val="0062514C"/>
    <w:rsid w:val="00625E0A"/>
    <w:rsid w:val="006262E9"/>
    <w:rsid w:val="0062653B"/>
    <w:rsid w:val="006270A4"/>
    <w:rsid w:val="00627750"/>
    <w:rsid w:val="006300F0"/>
    <w:rsid w:val="00631517"/>
    <w:rsid w:val="00631525"/>
    <w:rsid w:val="00631651"/>
    <w:rsid w:val="00631889"/>
    <w:rsid w:val="00632F57"/>
    <w:rsid w:val="00633134"/>
    <w:rsid w:val="0063375F"/>
    <w:rsid w:val="006352DF"/>
    <w:rsid w:val="00642AAC"/>
    <w:rsid w:val="00646241"/>
    <w:rsid w:val="00646835"/>
    <w:rsid w:val="00646A93"/>
    <w:rsid w:val="00647428"/>
    <w:rsid w:val="00650B53"/>
    <w:rsid w:val="006510CF"/>
    <w:rsid w:val="00651981"/>
    <w:rsid w:val="00651D96"/>
    <w:rsid w:val="006523AC"/>
    <w:rsid w:val="006525AA"/>
    <w:rsid w:val="00656B10"/>
    <w:rsid w:val="00660F0C"/>
    <w:rsid w:val="00661279"/>
    <w:rsid w:val="006626EC"/>
    <w:rsid w:val="00663053"/>
    <w:rsid w:val="00663811"/>
    <w:rsid w:val="006653AB"/>
    <w:rsid w:val="00665A27"/>
    <w:rsid w:val="006660AE"/>
    <w:rsid w:val="006668A4"/>
    <w:rsid w:val="00672FE7"/>
    <w:rsid w:val="006739D2"/>
    <w:rsid w:val="00673AD7"/>
    <w:rsid w:val="006761DF"/>
    <w:rsid w:val="0067720C"/>
    <w:rsid w:val="00680197"/>
    <w:rsid w:val="00681797"/>
    <w:rsid w:val="0068197A"/>
    <w:rsid w:val="00681AD2"/>
    <w:rsid w:val="0068233D"/>
    <w:rsid w:val="00683212"/>
    <w:rsid w:val="006832DE"/>
    <w:rsid w:val="00683A23"/>
    <w:rsid w:val="00684BCD"/>
    <w:rsid w:val="006856D7"/>
    <w:rsid w:val="00685C2D"/>
    <w:rsid w:val="006862DD"/>
    <w:rsid w:val="0068708B"/>
    <w:rsid w:val="006871DE"/>
    <w:rsid w:val="00690212"/>
    <w:rsid w:val="0069091B"/>
    <w:rsid w:val="00691B3B"/>
    <w:rsid w:val="00692540"/>
    <w:rsid w:val="006925F9"/>
    <w:rsid w:val="0069306C"/>
    <w:rsid w:val="006935DC"/>
    <w:rsid w:val="0069429B"/>
    <w:rsid w:val="00694686"/>
    <w:rsid w:val="0069469D"/>
    <w:rsid w:val="006966C0"/>
    <w:rsid w:val="006970F2"/>
    <w:rsid w:val="006979AD"/>
    <w:rsid w:val="00697B11"/>
    <w:rsid w:val="006A0032"/>
    <w:rsid w:val="006A187C"/>
    <w:rsid w:val="006A1D0A"/>
    <w:rsid w:val="006A2AA7"/>
    <w:rsid w:val="006A2E93"/>
    <w:rsid w:val="006A3F75"/>
    <w:rsid w:val="006A4220"/>
    <w:rsid w:val="006A44C0"/>
    <w:rsid w:val="006A4EDB"/>
    <w:rsid w:val="006A7661"/>
    <w:rsid w:val="006B044B"/>
    <w:rsid w:val="006B07C5"/>
    <w:rsid w:val="006B0EEC"/>
    <w:rsid w:val="006B0F4C"/>
    <w:rsid w:val="006B1518"/>
    <w:rsid w:val="006B2C20"/>
    <w:rsid w:val="006B32E4"/>
    <w:rsid w:val="006B3691"/>
    <w:rsid w:val="006B4164"/>
    <w:rsid w:val="006B486D"/>
    <w:rsid w:val="006B48A8"/>
    <w:rsid w:val="006B4A7B"/>
    <w:rsid w:val="006B5F7B"/>
    <w:rsid w:val="006B749A"/>
    <w:rsid w:val="006C1B8A"/>
    <w:rsid w:val="006C45FD"/>
    <w:rsid w:val="006C5515"/>
    <w:rsid w:val="006C5E99"/>
    <w:rsid w:val="006C6DFE"/>
    <w:rsid w:val="006C71E8"/>
    <w:rsid w:val="006C7264"/>
    <w:rsid w:val="006C7542"/>
    <w:rsid w:val="006D1176"/>
    <w:rsid w:val="006D19A3"/>
    <w:rsid w:val="006D2146"/>
    <w:rsid w:val="006D234C"/>
    <w:rsid w:val="006D3381"/>
    <w:rsid w:val="006D34D6"/>
    <w:rsid w:val="006D38F8"/>
    <w:rsid w:val="006D3C64"/>
    <w:rsid w:val="006D5E84"/>
    <w:rsid w:val="006D5FE1"/>
    <w:rsid w:val="006D6063"/>
    <w:rsid w:val="006D7085"/>
    <w:rsid w:val="006D784F"/>
    <w:rsid w:val="006D78E2"/>
    <w:rsid w:val="006D7CB6"/>
    <w:rsid w:val="006E0743"/>
    <w:rsid w:val="006E0815"/>
    <w:rsid w:val="006E2387"/>
    <w:rsid w:val="006E2673"/>
    <w:rsid w:val="006E3226"/>
    <w:rsid w:val="006E3A77"/>
    <w:rsid w:val="006E3E43"/>
    <w:rsid w:val="006E49F8"/>
    <w:rsid w:val="006E4A36"/>
    <w:rsid w:val="006E6841"/>
    <w:rsid w:val="006E6CFE"/>
    <w:rsid w:val="006F0135"/>
    <w:rsid w:val="006F0C29"/>
    <w:rsid w:val="006F0D45"/>
    <w:rsid w:val="006F0F03"/>
    <w:rsid w:val="006F15B9"/>
    <w:rsid w:val="006F1740"/>
    <w:rsid w:val="006F1ACD"/>
    <w:rsid w:val="006F4BE8"/>
    <w:rsid w:val="006F614B"/>
    <w:rsid w:val="006F6333"/>
    <w:rsid w:val="006F66A3"/>
    <w:rsid w:val="006F78CE"/>
    <w:rsid w:val="006F7AFF"/>
    <w:rsid w:val="006F7F98"/>
    <w:rsid w:val="0070071C"/>
    <w:rsid w:val="00701440"/>
    <w:rsid w:val="00701769"/>
    <w:rsid w:val="00701BE8"/>
    <w:rsid w:val="00702BDA"/>
    <w:rsid w:val="00703450"/>
    <w:rsid w:val="007038B4"/>
    <w:rsid w:val="007049CD"/>
    <w:rsid w:val="00705106"/>
    <w:rsid w:val="0070579F"/>
    <w:rsid w:val="00705BBA"/>
    <w:rsid w:val="00706228"/>
    <w:rsid w:val="0070634B"/>
    <w:rsid w:val="00706D3E"/>
    <w:rsid w:val="00710A76"/>
    <w:rsid w:val="00710C8A"/>
    <w:rsid w:val="00710CFC"/>
    <w:rsid w:val="0071113A"/>
    <w:rsid w:val="00712A9A"/>
    <w:rsid w:val="0071388D"/>
    <w:rsid w:val="00713A02"/>
    <w:rsid w:val="00713DDE"/>
    <w:rsid w:val="00714C71"/>
    <w:rsid w:val="00715651"/>
    <w:rsid w:val="00715EFC"/>
    <w:rsid w:val="00716010"/>
    <w:rsid w:val="00716202"/>
    <w:rsid w:val="007174AA"/>
    <w:rsid w:val="007210F0"/>
    <w:rsid w:val="00722B19"/>
    <w:rsid w:val="00723DD6"/>
    <w:rsid w:val="0072412B"/>
    <w:rsid w:val="00725D08"/>
    <w:rsid w:val="00725DCD"/>
    <w:rsid w:val="00726FEB"/>
    <w:rsid w:val="0072708F"/>
    <w:rsid w:val="00730D5D"/>
    <w:rsid w:val="00730E49"/>
    <w:rsid w:val="0073556E"/>
    <w:rsid w:val="0073591C"/>
    <w:rsid w:val="00736050"/>
    <w:rsid w:val="00736F73"/>
    <w:rsid w:val="00737C4B"/>
    <w:rsid w:val="00741687"/>
    <w:rsid w:val="00741AAF"/>
    <w:rsid w:val="00742C09"/>
    <w:rsid w:val="007431D6"/>
    <w:rsid w:val="0074585D"/>
    <w:rsid w:val="00746165"/>
    <w:rsid w:val="007463C7"/>
    <w:rsid w:val="007464B5"/>
    <w:rsid w:val="00747B23"/>
    <w:rsid w:val="00747C8D"/>
    <w:rsid w:val="00751DA9"/>
    <w:rsid w:val="007521E8"/>
    <w:rsid w:val="00752445"/>
    <w:rsid w:val="007530C8"/>
    <w:rsid w:val="0075380A"/>
    <w:rsid w:val="00754324"/>
    <w:rsid w:val="007561E0"/>
    <w:rsid w:val="00756787"/>
    <w:rsid w:val="007603E8"/>
    <w:rsid w:val="00760D2F"/>
    <w:rsid w:val="00761F94"/>
    <w:rsid w:val="007626DF"/>
    <w:rsid w:val="007637AE"/>
    <w:rsid w:val="00763E7C"/>
    <w:rsid w:val="007644D8"/>
    <w:rsid w:val="0076515F"/>
    <w:rsid w:val="0076649B"/>
    <w:rsid w:val="0076675A"/>
    <w:rsid w:val="007668BA"/>
    <w:rsid w:val="00767580"/>
    <w:rsid w:val="00770826"/>
    <w:rsid w:val="00770A10"/>
    <w:rsid w:val="00770FC0"/>
    <w:rsid w:val="007715C9"/>
    <w:rsid w:val="007724FA"/>
    <w:rsid w:val="00773444"/>
    <w:rsid w:val="00773C8D"/>
    <w:rsid w:val="00775279"/>
    <w:rsid w:val="007770D8"/>
    <w:rsid w:val="007802AA"/>
    <w:rsid w:val="00783A0A"/>
    <w:rsid w:val="0078598D"/>
    <w:rsid w:val="00786093"/>
    <w:rsid w:val="00786B3F"/>
    <w:rsid w:val="00787683"/>
    <w:rsid w:val="00787FAC"/>
    <w:rsid w:val="00791540"/>
    <w:rsid w:val="00793F4F"/>
    <w:rsid w:val="0079581E"/>
    <w:rsid w:val="007A224E"/>
    <w:rsid w:val="007A429D"/>
    <w:rsid w:val="007A454F"/>
    <w:rsid w:val="007A6909"/>
    <w:rsid w:val="007B0ED5"/>
    <w:rsid w:val="007B12CE"/>
    <w:rsid w:val="007B1F9E"/>
    <w:rsid w:val="007B2881"/>
    <w:rsid w:val="007B3239"/>
    <w:rsid w:val="007B3CDB"/>
    <w:rsid w:val="007B4BE9"/>
    <w:rsid w:val="007B5494"/>
    <w:rsid w:val="007B5A13"/>
    <w:rsid w:val="007B5E65"/>
    <w:rsid w:val="007B7EBA"/>
    <w:rsid w:val="007B7F3D"/>
    <w:rsid w:val="007C0CB8"/>
    <w:rsid w:val="007C1B32"/>
    <w:rsid w:val="007C1E6A"/>
    <w:rsid w:val="007C23DA"/>
    <w:rsid w:val="007C3132"/>
    <w:rsid w:val="007C43B8"/>
    <w:rsid w:val="007C6A1A"/>
    <w:rsid w:val="007C6B61"/>
    <w:rsid w:val="007C7FBC"/>
    <w:rsid w:val="007D17D3"/>
    <w:rsid w:val="007D1A50"/>
    <w:rsid w:val="007D31CC"/>
    <w:rsid w:val="007D3384"/>
    <w:rsid w:val="007D3DBD"/>
    <w:rsid w:val="007D6BC6"/>
    <w:rsid w:val="007E0CE7"/>
    <w:rsid w:val="007E0E75"/>
    <w:rsid w:val="007E282F"/>
    <w:rsid w:val="007E42C0"/>
    <w:rsid w:val="007E4325"/>
    <w:rsid w:val="007E4B2D"/>
    <w:rsid w:val="007E5790"/>
    <w:rsid w:val="007E5D9A"/>
    <w:rsid w:val="007E79B5"/>
    <w:rsid w:val="007F0FDF"/>
    <w:rsid w:val="007F21F1"/>
    <w:rsid w:val="007F299C"/>
    <w:rsid w:val="007F29E5"/>
    <w:rsid w:val="007F2DBD"/>
    <w:rsid w:val="007F446A"/>
    <w:rsid w:val="007F5291"/>
    <w:rsid w:val="007F5CC7"/>
    <w:rsid w:val="007F6ADC"/>
    <w:rsid w:val="007F6C49"/>
    <w:rsid w:val="007F6C6E"/>
    <w:rsid w:val="007F6E03"/>
    <w:rsid w:val="007F782D"/>
    <w:rsid w:val="007F7C8B"/>
    <w:rsid w:val="00800B8E"/>
    <w:rsid w:val="008024C8"/>
    <w:rsid w:val="008026B5"/>
    <w:rsid w:val="0080297A"/>
    <w:rsid w:val="00803711"/>
    <w:rsid w:val="00803EDE"/>
    <w:rsid w:val="0080540F"/>
    <w:rsid w:val="00805F0B"/>
    <w:rsid w:val="00807721"/>
    <w:rsid w:val="008103C4"/>
    <w:rsid w:val="00811ADE"/>
    <w:rsid w:val="00812B06"/>
    <w:rsid w:val="00812F00"/>
    <w:rsid w:val="00813FA3"/>
    <w:rsid w:val="00815BB8"/>
    <w:rsid w:val="00816B91"/>
    <w:rsid w:val="008171A9"/>
    <w:rsid w:val="00820320"/>
    <w:rsid w:val="00821907"/>
    <w:rsid w:val="00827296"/>
    <w:rsid w:val="00827DB6"/>
    <w:rsid w:val="00830317"/>
    <w:rsid w:val="00830538"/>
    <w:rsid w:val="00831792"/>
    <w:rsid w:val="00831830"/>
    <w:rsid w:val="00831D46"/>
    <w:rsid w:val="008327AD"/>
    <w:rsid w:val="008333D2"/>
    <w:rsid w:val="008337BA"/>
    <w:rsid w:val="008343E7"/>
    <w:rsid w:val="00835B5F"/>
    <w:rsid w:val="00837498"/>
    <w:rsid w:val="00840018"/>
    <w:rsid w:val="00840708"/>
    <w:rsid w:val="00841619"/>
    <w:rsid w:val="00842AB9"/>
    <w:rsid w:val="00843880"/>
    <w:rsid w:val="00843A8A"/>
    <w:rsid w:val="00843D31"/>
    <w:rsid w:val="00844EC5"/>
    <w:rsid w:val="008450DB"/>
    <w:rsid w:val="00845F32"/>
    <w:rsid w:val="00846CC9"/>
    <w:rsid w:val="00847060"/>
    <w:rsid w:val="00847198"/>
    <w:rsid w:val="008474D8"/>
    <w:rsid w:val="008508F9"/>
    <w:rsid w:val="00851094"/>
    <w:rsid w:val="00851CD5"/>
    <w:rsid w:val="00851CE8"/>
    <w:rsid w:val="0085216B"/>
    <w:rsid w:val="00852993"/>
    <w:rsid w:val="00852FFD"/>
    <w:rsid w:val="00853DC2"/>
    <w:rsid w:val="008544D1"/>
    <w:rsid w:val="0085451D"/>
    <w:rsid w:val="008553BA"/>
    <w:rsid w:val="00855412"/>
    <w:rsid w:val="008557A0"/>
    <w:rsid w:val="00862C91"/>
    <w:rsid w:val="00863529"/>
    <w:rsid w:val="00864D72"/>
    <w:rsid w:val="00865D04"/>
    <w:rsid w:val="00867883"/>
    <w:rsid w:val="00867C46"/>
    <w:rsid w:val="008700C1"/>
    <w:rsid w:val="0087175C"/>
    <w:rsid w:val="00872077"/>
    <w:rsid w:val="0087240A"/>
    <w:rsid w:val="008727C6"/>
    <w:rsid w:val="00874CBF"/>
    <w:rsid w:val="00876788"/>
    <w:rsid w:val="00876CA0"/>
    <w:rsid w:val="00877A1D"/>
    <w:rsid w:val="00877C2D"/>
    <w:rsid w:val="00877FA2"/>
    <w:rsid w:val="00880A8E"/>
    <w:rsid w:val="00880E89"/>
    <w:rsid w:val="00881217"/>
    <w:rsid w:val="0088149D"/>
    <w:rsid w:val="0088195A"/>
    <w:rsid w:val="0088235A"/>
    <w:rsid w:val="008823BC"/>
    <w:rsid w:val="00882546"/>
    <w:rsid w:val="00882841"/>
    <w:rsid w:val="0088333C"/>
    <w:rsid w:val="00883F9C"/>
    <w:rsid w:val="0088449B"/>
    <w:rsid w:val="00885069"/>
    <w:rsid w:val="00885BD4"/>
    <w:rsid w:val="00885FF4"/>
    <w:rsid w:val="008924F6"/>
    <w:rsid w:val="00894DE5"/>
    <w:rsid w:val="00895514"/>
    <w:rsid w:val="00895579"/>
    <w:rsid w:val="00895946"/>
    <w:rsid w:val="00896148"/>
    <w:rsid w:val="0089707D"/>
    <w:rsid w:val="008972B9"/>
    <w:rsid w:val="008A19C2"/>
    <w:rsid w:val="008A2D3D"/>
    <w:rsid w:val="008A3B55"/>
    <w:rsid w:val="008A3CCD"/>
    <w:rsid w:val="008A3DE4"/>
    <w:rsid w:val="008A5672"/>
    <w:rsid w:val="008A6840"/>
    <w:rsid w:val="008A6E5B"/>
    <w:rsid w:val="008B0522"/>
    <w:rsid w:val="008B1566"/>
    <w:rsid w:val="008B21E9"/>
    <w:rsid w:val="008B2769"/>
    <w:rsid w:val="008B3931"/>
    <w:rsid w:val="008B3B33"/>
    <w:rsid w:val="008B4719"/>
    <w:rsid w:val="008B4C9C"/>
    <w:rsid w:val="008B61EF"/>
    <w:rsid w:val="008B7D44"/>
    <w:rsid w:val="008C1377"/>
    <w:rsid w:val="008C1B55"/>
    <w:rsid w:val="008C2779"/>
    <w:rsid w:val="008C2C02"/>
    <w:rsid w:val="008C45E6"/>
    <w:rsid w:val="008D1BFD"/>
    <w:rsid w:val="008D37FC"/>
    <w:rsid w:val="008D41EA"/>
    <w:rsid w:val="008D4A27"/>
    <w:rsid w:val="008D66DB"/>
    <w:rsid w:val="008D6CD5"/>
    <w:rsid w:val="008D7155"/>
    <w:rsid w:val="008D78F1"/>
    <w:rsid w:val="008E0BAF"/>
    <w:rsid w:val="008E2E05"/>
    <w:rsid w:val="008E396C"/>
    <w:rsid w:val="008E4769"/>
    <w:rsid w:val="008E4AFD"/>
    <w:rsid w:val="008E5673"/>
    <w:rsid w:val="008E59DE"/>
    <w:rsid w:val="008E5E79"/>
    <w:rsid w:val="008E654C"/>
    <w:rsid w:val="008E7880"/>
    <w:rsid w:val="008F0BD8"/>
    <w:rsid w:val="008F1A73"/>
    <w:rsid w:val="008F387E"/>
    <w:rsid w:val="008F5B3E"/>
    <w:rsid w:val="008F5CF3"/>
    <w:rsid w:val="008F60D1"/>
    <w:rsid w:val="008F6968"/>
    <w:rsid w:val="008F6F3B"/>
    <w:rsid w:val="008F7BAF"/>
    <w:rsid w:val="0090017A"/>
    <w:rsid w:val="0090143B"/>
    <w:rsid w:val="009040C8"/>
    <w:rsid w:val="00904B63"/>
    <w:rsid w:val="00904BB8"/>
    <w:rsid w:val="00905D07"/>
    <w:rsid w:val="00905D49"/>
    <w:rsid w:val="00907FAA"/>
    <w:rsid w:val="009103DC"/>
    <w:rsid w:val="0091056C"/>
    <w:rsid w:val="00910C88"/>
    <w:rsid w:val="00910E12"/>
    <w:rsid w:val="009111B5"/>
    <w:rsid w:val="009111F2"/>
    <w:rsid w:val="00911550"/>
    <w:rsid w:val="00911CE2"/>
    <w:rsid w:val="00912517"/>
    <w:rsid w:val="009125FC"/>
    <w:rsid w:val="009151DE"/>
    <w:rsid w:val="00916A55"/>
    <w:rsid w:val="00916F0E"/>
    <w:rsid w:val="009175DC"/>
    <w:rsid w:val="00920E25"/>
    <w:rsid w:val="00921AC6"/>
    <w:rsid w:val="009221B6"/>
    <w:rsid w:val="00923C7F"/>
    <w:rsid w:val="009241BC"/>
    <w:rsid w:val="00925E99"/>
    <w:rsid w:val="00926230"/>
    <w:rsid w:val="00926D65"/>
    <w:rsid w:val="00931ABC"/>
    <w:rsid w:val="00931F60"/>
    <w:rsid w:val="0093242E"/>
    <w:rsid w:val="00933B75"/>
    <w:rsid w:val="00934902"/>
    <w:rsid w:val="009354DC"/>
    <w:rsid w:val="00935939"/>
    <w:rsid w:val="00937B45"/>
    <w:rsid w:val="0094069A"/>
    <w:rsid w:val="009406CD"/>
    <w:rsid w:val="00941043"/>
    <w:rsid w:val="009439CE"/>
    <w:rsid w:val="00943E1D"/>
    <w:rsid w:val="00944D45"/>
    <w:rsid w:val="0095012F"/>
    <w:rsid w:val="0095152D"/>
    <w:rsid w:val="009527A2"/>
    <w:rsid w:val="00952838"/>
    <w:rsid w:val="009536FF"/>
    <w:rsid w:val="00954D8D"/>
    <w:rsid w:val="00956AE1"/>
    <w:rsid w:val="00960373"/>
    <w:rsid w:val="00960A32"/>
    <w:rsid w:val="009624C6"/>
    <w:rsid w:val="009632E5"/>
    <w:rsid w:val="00964CEA"/>
    <w:rsid w:val="0096642B"/>
    <w:rsid w:val="00967C70"/>
    <w:rsid w:val="00967E84"/>
    <w:rsid w:val="00970149"/>
    <w:rsid w:val="009704E2"/>
    <w:rsid w:val="00972A83"/>
    <w:rsid w:val="00975A0E"/>
    <w:rsid w:val="00975DCA"/>
    <w:rsid w:val="00976456"/>
    <w:rsid w:val="00976B21"/>
    <w:rsid w:val="00980401"/>
    <w:rsid w:val="009804CC"/>
    <w:rsid w:val="00980CBE"/>
    <w:rsid w:val="00980EA3"/>
    <w:rsid w:val="009825BE"/>
    <w:rsid w:val="00982769"/>
    <w:rsid w:val="009857E0"/>
    <w:rsid w:val="00986435"/>
    <w:rsid w:val="009876B9"/>
    <w:rsid w:val="00987923"/>
    <w:rsid w:val="009901D9"/>
    <w:rsid w:val="00990C98"/>
    <w:rsid w:val="00990E56"/>
    <w:rsid w:val="009918DD"/>
    <w:rsid w:val="00992266"/>
    <w:rsid w:val="00992380"/>
    <w:rsid w:val="00995464"/>
    <w:rsid w:val="00996090"/>
    <w:rsid w:val="00997496"/>
    <w:rsid w:val="009A0F23"/>
    <w:rsid w:val="009A39DE"/>
    <w:rsid w:val="009A5B2F"/>
    <w:rsid w:val="009A6B06"/>
    <w:rsid w:val="009A6D70"/>
    <w:rsid w:val="009A6F5F"/>
    <w:rsid w:val="009A78C3"/>
    <w:rsid w:val="009B0450"/>
    <w:rsid w:val="009B086A"/>
    <w:rsid w:val="009B0CD9"/>
    <w:rsid w:val="009B0F1A"/>
    <w:rsid w:val="009B12B7"/>
    <w:rsid w:val="009B1E31"/>
    <w:rsid w:val="009B2DB3"/>
    <w:rsid w:val="009B2E1F"/>
    <w:rsid w:val="009B4768"/>
    <w:rsid w:val="009B5A69"/>
    <w:rsid w:val="009B5B95"/>
    <w:rsid w:val="009B760F"/>
    <w:rsid w:val="009C017E"/>
    <w:rsid w:val="009C0A6E"/>
    <w:rsid w:val="009C0F41"/>
    <w:rsid w:val="009C1D28"/>
    <w:rsid w:val="009C2297"/>
    <w:rsid w:val="009C3EAD"/>
    <w:rsid w:val="009C6278"/>
    <w:rsid w:val="009C63A2"/>
    <w:rsid w:val="009C647D"/>
    <w:rsid w:val="009C7EC5"/>
    <w:rsid w:val="009D0082"/>
    <w:rsid w:val="009D067F"/>
    <w:rsid w:val="009D0A49"/>
    <w:rsid w:val="009D2B96"/>
    <w:rsid w:val="009D32A5"/>
    <w:rsid w:val="009D47CC"/>
    <w:rsid w:val="009D525A"/>
    <w:rsid w:val="009D5C4B"/>
    <w:rsid w:val="009D7F7A"/>
    <w:rsid w:val="009E398E"/>
    <w:rsid w:val="009E3EFD"/>
    <w:rsid w:val="009E5282"/>
    <w:rsid w:val="009E6C75"/>
    <w:rsid w:val="009E6DA5"/>
    <w:rsid w:val="009E6EFE"/>
    <w:rsid w:val="009E75BB"/>
    <w:rsid w:val="009E75BD"/>
    <w:rsid w:val="009E767A"/>
    <w:rsid w:val="009E7AC5"/>
    <w:rsid w:val="009E7E5D"/>
    <w:rsid w:val="009F01AC"/>
    <w:rsid w:val="009F0840"/>
    <w:rsid w:val="009F0C31"/>
    <w:rsid w:val="009F3DD8"/>
    <w:rsid w:val="009F4056"/>
    <w:rsid w:val="009F79A3"/>
    <w:rsid w:val="009F7E1B"/>
    <w:rsid w:val="00A019FE"/>
    <w:rsid w:val="00A0231A"/>
    <w:rsid w:val="00A0377F"/>
    <w:rsid w:val="00A039B0"/>
    <w:rsid w:val="00A04208"/>
    <w:rsid w:val="00A043F4"/>
    <w:rsid w:val="00A05675"/>
    <w:rsid w:val="00A058F0"/>
    <w:rsid w:val="00A075F5"/>
    <w:rsid w:val="00A077EB"/>
    <w:rsid w:val="00A10D1E"/>
    <w:rsid w:val="00A10D50"/>
    <w:rsid w:val="00A11980"/>
    <w:rsid w:val="00A11A30"/>
    <w:rsid w:val="00A122DF"/>
    <w:rsid w:val="00A124FB"/>
    <w:rsid w:val="00A12A64"/>
    <w:rsid w:val="00A131AA"/>
    <w:rsid w:val="00A178BC"/>
    <w:rsid w:val="00A21BF9"/>
    <w:rsid w:val="00A222B8"/>
    <w:rsid w:val="00A2458F"/>
    <w:rsid w:val="00A259D9"/>
    <w:rsid w:val="00A25A2E"/>
    <w:rsid w:val="00A25F24"/>
    <w:rsid w:val="00A26CFD"/>
    <w:rsid w:val="00A32523"/>
    <w:rsid w:val="00A328B0"/>
    <w:rsid w:val="00A345B9"/>
    <w:rsid w:val="00A3479A"/>
    <w:rsid w:val="00A34E95"/>
    <w:rsid w:val="00A35D5E"/>
    <w:rsid w:val="00A36141"/>
    <w:rsid w:val="00A40160"/>
    <w:rsid w:val="00A42972"/>
    <w:rsid w:val="00A43880"/>
    <w:rsid w:val="00A438DA"/>
    <w:rsid w:val="00A441FB"/>
    <w:rsid w:val="00A448B8"/>
    <w:rsid w:val="00A46ADB"/>
    <w:rsid w:val="00A471FA"/>
    <w:rsid w:val="00A472F6"/>
    <w:rsid w:val="00A50A42"/>
    <w:rsid w:val="00A51C6D"/>
    <w:rsid w:val="00A51DF2"/>
    <w:rsid w:val="00A527F9"/>
    <w:rsid w:val="00A52D1C"/>
    <w:rsid w:val="00A53295"/>
    <w:rsid w:val="00A5763A"/>
    <w:rsid w:val="00A61184"/>
    <w:rsid w:val="00A61500"/>
    <w:rsid w:val="00A62536"/>
    <w:rsid w:val="00A626AF"/>
    <w:rsid w:val="00A6396B"/>
    <w:rsid w:val="00A66DAE"/>
    <w:rsid w:val="00A66DFC"/>
    <w:rsid w:val="00A67E98"/>
    <w:rsid w:val="00A67F95"/>
    <w:rsid w:val="00A702BF"/>
    <w:rsid w:val="00A71E6C"/>
    <w:rsid w:val="00A735BD"/>
    <w:rsid w:val="00A738C5"/>
    <w:rsid w:val="00A74BB6"/>
    <w:rsid w:val="00A7532B"/>
    <w:rsid w:val="00A76333"/>
    <w:rsid w:val="00A76DE8"/>
    <w:rsid w:val="00A777F5"/>
    <w:rsid w:val="00A77BB1"/>
    <w:rsid w:val="00A81079"/>
    <w:rsid w:val="00A821CE"/>
    <w:rsid w:val="00A826AE"/>
    <w:rsid w:val="00A831A2"/>
    <w:rsid w:val="00A838D2"/>
    <w:rsid w:val="00A83B80"/>
    <w:rsid w:val="00A8571E"/>
    <w:rsid w:val="00A869A3"/>
    <w:rsid w:val="00A870CD"/>
    <w:rsid w:val="00A87855"/>
    <w:rsid w:val="00A87A23"/>
    <w:rsid w:val="00A87C6C"/>
    <w:rsid w:val="00A906EE"/>
    <w:rsid w:val="00A91055"/>
    <w:rsid w:val="00A9158C"/>
    <w:rsid w:val="00A9376A"/>
    <w:rsid w:val="00A93EE6"/>
    <w:rsid w:val="00A9527D"/>
    <w:rsid w:val="00A96A4D"/>
    <w:rsid w:val="00AA0385"/>
    <w:rsid w:val="00AA0731"/>
    <w:rsid w:val="00AA09E4"/>
    <w:rsid w:val="00AA1E39"/>
    <w:rsid w:val="00AA2F70"/>
    <w:rsid w:val="00AA4D16"/>
    <w:rsid w:val="00AA5444"/>
    <w:rsid w:val="00AA5797"/>
    <w:rsid w:val="00AA5E22"/>
    <w:rsid w:val="00AA5E35"/>
    <w:rsid w:val="00AA6588"/>
    <w:rsid w:val="00AA6674"/>
    <w:rsid w:val="00AA75C6"/>
    <w:rsid w:val="00AA78D1"/>
    <w:rsid w:val="00AB00BC"/>
    <w:rsid w:val="00AB03D8"/>
    <w:rsid w:val="00AB0F01"/>
    <w:rsid w:val="00AB2507"/>
    <w:rsid w:val="00AB25C6"/>
    <w:rsid w:val="00AB2C60"/>
    <w:rsid w:val="00AB317D"/>
    <w:rsid w:val="00AB36D9"/>
    <w:rsid w:val="00AB3A64"/>
    <w:rsid w:val="00AB4064"/>
    <w:rsid w:val="00AB4F00"/>
    <w:rsid w:val="00AB6D82"/>
    <w:rsid w:val="00AB6F2A"/>
    <w:rsid w:val="00AB7942"/>
    <w:rsid w:val="00AC2CDD"/>
    <w:rsid w:val="00AC2F6F"/>
    <w:rsid w:val="00AC314B"/>
    <w:rsid w:val="00AC31AF"/>
    <w:rsid w:val="00AC4F7D"/>
    <w:rsid w:val="00AC5805"/>
    <w:rsid w:val="00AC610E"/>
    <w:rsid w:val="00AC6600"/>
    <w:rsid w:val="00AC7886"/>
    <w:rsid w:val="00AC7EF1"/>
    <w:rsid w:val="00AD0389"/>
    <w:rsid w:val="00AD061E"/>
    <w:rsid w:val="00AD148E"/>
    <w:rsid w:val="00AD2511"/>
    <w:rsid w:val="00AD43A1"/>
    <w:rsid w:val="00AD4576"/>
    <w:rsid w:val="00AD50C5"/>
    <w:rsid w:val="00AD602D"/>
    <w:rsid w:val="00AD6606"/>
    <w:rsid w:val="00AD72ED"/>
    <w:rsid w:val="00AD7F09"/>
    <w:rsid w:val="00AE0E6A"/>
    <w:rsid w:val="00AE1610"/>
    <w:rsid w:val="00AE17D0"/>
    <w:rsid w:val="00AE3CF2"/>
    <w:rsid w:val="00AE4E8C"/>
    <w:rsid w:val="00AE502B"/>
    <w:rsid w:val="00AE6E3D"/>
    <w:rsid w:val="00AE74B5"/>
    <w:rsid w:val="00AF26E9"/>
    <w:rsid w:val="00AF2E12"/>
    <w:rsid w:val="00AF51DD"/>
    <w:rsid w:val="00AF6E17"/>
    <w:rsid w:val="00AF7D67"/>
    <w:rsid w:val="00B008C1"/>
    <w:rsid w:val="00B00D95"/>
    <w:rsid w:val="00B00DC0"/>
    <w:rsid w:val="00B01F7C"/>
    <w:rsid w:val="00B03230"/>
    <w:rsid w:val="00B0412E"/>
    <w:rsid w:val="00B04CF8"/>
    <w:rsid w:val="00B0589F"/>
    <w:rsid w:val="00B05A62"/>
    <w:rsid w:val="00B05A66"/>
    <w:rsid w:val="00B063C5"/>
    <w:rsid w:val="00B066AB"/>
    <w:rsid w:val="00B066C8"/>
    <w:rsid w:val="00B15611"/>
    <w:rsid w:val="00B15881"/>
    <w:rsid w:val="00B15930"/>
    <w:rsid w:val="00B16729"/>
    <w:rsid w:val="00B1685E"/>
    <w:rsid w:val="00B21773"/>
    <w:rsid w:val="00B21995"/>
    <w:rsid w:val="00B21F21"/>
    <w:rsid w:val="00B23ABA"/>
    <w:rsid w:val="00B25CED"/>
    <w:rsid w:val="00B27846"/>
    <w:rsid w:val="00B27C47"/>
    <w:rsid w:val="00B321C7"/>
    <w:rsid w:val="00B3460A"/>
    <w:rsid w:val="00B34A61"/>
    <w:rsid w:val="00B358DB"/>
    <w:rsid w:val="00B36AF6"/>
    <w:rsid w:val="00B36E38"/>
    <w:rsid w:val="00B36FA1"/>
    <w:rsid w:val="00B37B9C"/>
    <w:rsid w:val="00B4086F"/>
    <w:rsid w:val="00B40A7A"/>
    <w:rsid w:val="00B4500F"/>
    <w:rsid w:val="00B47FC8"/>
    <w:rsid w:val="00B50008"/>
    <w:rsid w:val="00B50E36"/>
    <w:rsid w:val="00B516B5"/>
    <w:rsid w:val="00B521F3"/>
    <w:rsid w:val="00B546AA"/>
    <w:rsid w:val="00B54903"/>
    <w:rsid w:val="00B56027"/>
    <w:rsid w:val="00B57704"/>
    <w:rsid w:val="00B609EE"/>
    <w:rsid w:val="00B60A40"/>
    <w:rsid w:val="00B61DF3"/>
    <w:rsid w:val="00B636CE"/>
    <w:rsid w:val="00B664C7"/>
    <w:rsid w:val="00B66C54"/>
    <w:rsid w:val="00B67B1E"/>
    <w:rsid w:val="00B7021C"/>
    <w:rsid w:val="00B71004"/>
    <w:rsid w:val="00B713EF"/>
    <w:rsid w:val="00B721F2"/>
    <w:rsid w:val="00B72286"/>
    <w:rsid w:val="00B722DF"/>
    <w:rsid w:val="00B75065"/>
    <w:rsid w:val="00B753E2"/>
    <w:rsid w:val="00B7549D"/>
    <w:rsid w:val="00B75B14"/>
    <w:rsid w:val="00B76161"/>
    <w:rsid w:val="00B7646F"/>
    <w:rsid w:val="00B779B9"/>
    <w:rsid w:val="00B80AFD"/>
    <w:rsid w:val="00B8156A"/>
    <w:rsid w:val="00B847C9"/>
    <w:rsid w:val="00B8494C"/>
    <w:rsid w:val="00B86136"/>
    <w:rsid w:val="00B86366"/>
    <w:rsid w:val="00B864A4"/>
    <w:rsid w:val="00B868F0"/>
    <w:rsid w:val="00B86A20"/>
    <w:rsid w:val="00B86A7D"/>
    <w:rsid w:val="00B91009"/>
    <w:rsid w:val="00B914D1"/>
    <w:rsid w:val="00B921DF"/>
    <w:rsid w:val="00B926E6"/>
    <w:rsid w:val="00B937FF"/>
    <w:rsid w:val="00B959DB"/>
    <w:rsid w:val="00B9628F"/>
    <w:rsid w:val="00B9643C"/>
    <w:rsid w:val="00B96D7C"/>
    <w:rsid w:val="00B97B56"/>
    <w:rsid w:val="00BA194D"/>
    <w:rsid w:val="00BA2DB3"/>
    <w:rsid w:val="00BA4189"/>
    <w:rsid w:val="00BA47CA"/>
    <w:rsid w:val="00BA4EE3"/>
    <w:rsid w:val="00BA56FB"/>
    <w:rsid w:val="00BA5875"/>
    <w:rsid w:val="00BA620E"/>
    <w:rsid w:val="00BA66BB"/>
    <w:rsid w:val="00BA6BD0"/>
    <w:rsid w:val="00BA6C1E"/>
    <w:rsid w:val="00BA6CC3"/>
    <w:rsid w:val="00BA6D28"/>
    <w:rsid w:val="00BA7E87"/>
    <w:rsid w:val="00BB0BBB"/>
    <w:rsid w:val="00BB15B3"/>
    <w:rsid w:val="00BB19DC"/>
    <w:rsid w:val="00BB1C88"/>
    <w:rsid w:val="00BB1FB0"/>
    <w:rsid w:val="00BB25EB"/>
    <w:rsid w:val="00BB3C96"/>
    <w:rsid w:val="00BB47AB"/>
    <w:rsid w:val="00BB59A0"/>
    <w:rsid w:val="00BB6422"/>
    <w:rsid w:val="00BB7046"/>
    <w:rsid w:val="00BC1606"/>
    <w:rsid w:val="00BC20CD"/>
    <w:rsid w:val="00BC290E"/>
    <w:rsid w:val="00BC5479"/>
    <w:rsid w:val="00BC58F2"/>
    <w:rsid w:val="00BC6B74"/>
    <w:rsid w:val="00BD055A"/>
    <w:rsid w:val="00BD1727"/>
    <w:rsid w:val="00BD3371"/>
    <w:rsid w:val="00BD459D"/>
    <w:rsid w:val="00BD56EA"/>
    <w:rsid w:val="00BD6895"/>
    <w:rsid w:val="00BD6BA6"/>
    <w:rsid w:val="00BD7C7E"/>
    <w:rsid w:val="00BD7CA4"/>
    <w:rsid w:val="00BE03A0"/>
    <w:rsid w:val="00BE089B"/>
    <w:rsid w:val="00BE1787"/>
    <w:rsid w:val="00BE1DEC"/>
    <w:rsid w:val="00BE2C82"/>
    <w:rsid w:val="00BE2D24"/>
    <w:rsid w:val="00BE4476"/>
    <w:rsid w:val="00BE5F98"/>
    <w:rsid w:val="00BF017A"/>
    <w:rsid w:val="00BF0E68"/>
    <w:rsid w:val="00BF15FC"/>
    <w:rsid w:val="00BF7A67"/>
    <w:rsid w:val="00C01198"/>
    <w:rsid w:val="00C031A7"/>
    <w:rsid w:val="00C03ADA"/>
    <w:rsid w:val="00C03AE2"/>
    <w:rsid w:val="00C03FBC"/>
    <w:rsid w:val="00C04F17"/>
    <w:rsid w:val="00C06A2E"/>
    <w:rsid w:val="00C06F8D"/>
    <w:rsid w:val="00C07301"/>
    <w:rsid w:val="00C07A79"/>
    <w:rsid w:val="00C07BF4"/>
    <w:rsid w:val="00C100BE"/>
    <w:rsid w:val="00C10348"/>
    <w:rsid w:val="00C126EA"/>
    <w:rsid w:val="00C12F2D"/>
    <w:rsid w:val="00C13133"/>
    <w:rsid w:val="00C14506"/>
    <w:rsid w:val="00C14B8B"/>
    <w:rsid w:val="00C15C5B"/>
    <w:rsid w:val="00C172FA"/>
    <w:rsid w:val="00C17B04"/>
    <w:rsid w:val="00C310E9"/>
    <w:rsid w:val="00C31271"/>
    <w:rsid w:val="00C31758"/>
    <w:rsid w:val="00C320C2"/>
    <w:rsid w:val="00C32384"/>
    <w:rsid w:val="00C34854"/>
    <w:rsid w:val="00C348B2"/>
    <w:rsid w:val="00C3534C"/>
    <w:rsid w:val="00C3649B"/>
    <w:rsid w:val="00C41301"/>
    <w:rsid w:val="00C41444"/>
    <w:rsid w:val="00C416F7"/>
    <w:rsid w:val="00C4182D"/>
    <w:rsid w:val="00C439D4"/>
    <w:rsid w:val="00C43E2B"/>
    <w:rsid w:val="00C442F8"/>
    <w:rsid w:val="00C501D8"/>
    <w:rsid w:val="00C50DFD"/>
    <w:rsid w:val="00C5118C"/>
    <w:rsid w:val="00C520DE"/>
    <w:rsid w:val="00C5343B"/>
    <w:rsid w:val="00C53688"/>
    <w:rsid w:val="00C53D8E"/>
    <w:rsid w:val="00C54F1F"/>
    <w:rsid w:val="00C56944"/>
    <w:rsid w:val="00C610E2"/>
    <w:rsid w:val="00C623F5"/>
    <w:rsid w:val="00C666E7"/>
    <w:rsid w:val="00C70199"/>
    <w:rsid w:val="00C71975"/>
    <w:rsid w:val="00C7213D"/>
    <w:rsid w:val="00C73A89"/>
    <w:rsid w:val="00C7476C"/>
    <w:rsid w:val="00C748C7"/>
    <w:rsid w:val="00C75A6B"/>
    <w:rsid w:val="00C80CD8"/>
    <w:rsid w:val="00C80D1B"/>
    <w:rsid w:val="00C81483"/>
    <w:rsid w:val="00C81831"/>
    <w:rsid w:val="00C84428"/>
    <w:rsid w:val="00C844C8"/>
    <w:rsid w:val="00C8586F"/>
    <w:rsid w:val="00C86505"/>
    <w:rsid w:val="00C865E7"/>
    <w:rsid w:val="00C86F57"/>
    <w:rsid w:val="00C87EE0"/>
    <w:rsid w:val="00C901EF"/>
    <w:rsid w:val="00C912A3"/>
    <w:rsid w:val="00C91A37"/>
    <w:rsid w:val="00C9386D"/>
    <w:rsid w:val="00C9573A"/>
    <w:rsid w:val="00C95965"/>
    <w:rsid w:val="00C95BD4"/>
    <w:rsid w:val="00C96CF6"/>
    <w:rsid w:val="00C96EF2"/>
    <w:rsid w:val="00C971F6"/>
    <w:rsid w:val="00C97949"/>
    <w:rsid w:val="00CA0F1B"/>
    <w:rsid w:val="00CA1072"/>
    <w:rsid w:val="00CA18B5"/>
    <w:rsid w:val="00CA3BDA"/>
    <w:rsid w:val="00CA43EE"/>
    <w:rsid w:val="00CA485A"/>
    <w:rsid w:val="00CA5F04"/>
    <w:rsid w:val="00CB030D"/>
    <w:rsid w:val="00CB0C74"/>
    <w:rsid w:val="00CB3A8C"/>
    <w:rsid w:val="00CB46B3"/>
    <w:rsid w:val="00CB566E"/>
    <w:rsid w:val="00CB584F"/>
    <w:rsid w:val="00CB5B30"/>
    <w:rsid w:val="00CB782F"/>
    <w:rsid w:val="00CC027D"/>
    <w:rsid w:val="00CC065A"/>
    <w:rsid w:val="00CC1289"/>
    <w:rsid w:val="00CC1786"/>
    <w:rsid w:val="00CC2A52"/>
    <w:rsid w:val="00CC2DE4"/>
    <w:rsid w:val="00CC30C9"/>
    <w:rsid w:val="00CC368C"/>
    <w:rsid w:val="00CC386F"/>
    <w:rsid w:val="00CC456D"/>
    <w:rsid w:val="00CC4EF9"/>
    <w:rsid w:val="00CC5F52"/>
    <w:rsid w:val="00CC6546"/>
    <w:rsid w:val="00CC67DE"/>
    <w:rsid w:val="00CC797F"/>
    <w:rsid w:val="00CC7A58"/>
    <w:rsid w:val="00CD176C"/>
    <w:rsid w:val="00CD2AF0"/>
    <w:rsid w:val="00CD2E55"/>
    <w:rsid w:val="00CD49F0"/>
    <w:rsid w:val="00CD53D0"/>
    <w:rsid w:val="00CD6AC5"/>
    <w:rsid w:val="00CD77A4"/>
    <w:rsid w:val="00CE0166"/>
    <w:rsid w:val="00CE0451"/>
    <w:rsid w:val="00CE0820"/>
    <w:rsid w:val="00CE0CFF"/>
    <w:rsid w:val="00CE0E49"/>
    <w:rsid w:val="00CE1F6F"/>
    <w:rsid w:val="00CE433C"/>
    <w:rsid w:val="00CE4438"/>
    <w:rsid w:val="00CE6A57"/>
    <w:rsid w:val="00CE7A92"/>
    <w:rsid w:val="00CE7B22"/>
    <w:rsid w:val="00CF0F14"/>
    <w:rsid w:val="00CF1C35"/>
    <w:rsid w:val="00CF1CB9"/>
    <w:rsid w:val="00CF2B4B"/>
    <w:rsid w:val="00CF45D1"/>
    <w:rsid w:val="00CF46BE"/>
    <w:rsid w:val="00CF4F4B"/>
    <w:rsid w:val="00CF5300"/>
    <w:rsid w:val="00CF5D2A"/>
    <w:rsid w:val="00D006FC"/>
    <w:rsid w:val="00D0117C"/>
    <w:rsid w:val="00D01D7E"/>
    <w:rsid w:val="00D038EA"/>
    <w:rsid w:val="00D03F33"/>
    <w:rsid w:val="00D044CA"/>
    <w:rsid w:val="00D04DF8"/>
    <w:rsid w:val="00D05E7E"/>
    <w:rsid w:val="00D1094B"/>
    <w:rsid w:val="00D11AF1"/>
    <w:rsid w:val="00D128A3"/>
    <w:rsid w:val="00D142FF"/>
    <w:rsid w:val="00D15E81"/>
    <w:rsid w:val="00D15F51"/>
    <w:rsid w:val="00D169FF"/>
    <w:rsid w:val="00D172E1"/>
    <w:rsid w:val="00D177E1"/>
    <w:rsid w:val="00D17C39"/>
    <w:rsid w:val="00D20679"/>
    <w:rsid w:val="00D206BB"/>
    <w:rsid w:val="00D20A6C"/>
    <w:rsid w:val="00D22108"/>
    <w:rsid w:val="00D247BC"/>
    <w:rsid w:val="00D24DCC"/>
    <w:rsid w:val="00D251B9"/>
    <w:rsid w:val="00D2646E"/>
    <w:rsid w:val="00D26615"/>
    <w:rsid w:val="00D27307"/>
    <w:rsid w:val="00D304A9"/>
    <w:rsid w:val="00D31890"/>
    <w:rsid w:val="00D336A9"/>
    <w:rsid w:val="00D34806"/>
    <w:rsid w:val="00D34EA7"/>
    <w:rsid w:val="00D35C82"/>
    <w:rsid w:val="00D37004"/>
    <w:rsid w:val="00D37683"/>
    <w:rsid w:val="00D40E37"/>
    <w:rsid w:val="00D40EF1"/>
    <w:rsid w:val="00D45467"/>
    <w:rsid w:val="00D45D67"/>
    <w:rsid w:val="00D46986"/>
    <w:rsid w:val="00D46DAE"/>
    <w:rsid w:val="00D47211"/>
    <w:rsid w:val="00D47BB3"/>
    <w:rsid w:val="00D51080"/>
    <w:rsid w:val="00D51404"/>
    <w:rsid w:val="00D51804"/>
    <w:rsid w:val="00D522A4"/>
    <w:rsid w:val="00D52887"/>
    <w:rsid w:val="00D531DA"/>
    <w:rsid w:val="00D540BE"/>
    <w:rsid w:val="00D54ECC"/>
    <w:rsid w:val="00D550A1"/>
    <w:rsid w:val="00D55988"/>
    <w:rsid w:val="00D55B9B"/>
    <w:rsid w:val="00D55D6E"/>
    <w:rsid w:val="00D56C4C"/>
    <w:rsid w:val="00D5729F"/>
    <w:rsid w:val="00D607C6"/>
    <w:rsid w:val="00D62296"/>
    <w:rsid w:val="00D6270F"/>
    <w:rsid w:val="00D63163"/>
    <w:rsid w:val="00D636F1"/>
    <w:rsid w:val="00D7097B"/>
    <w:rsid w:val="00D71EA8"/>
    <w:rsid w:val="00D72648"/>
    <w:rsid w:val="00D72820"/>
    <w:rsid w:val="00D73B85"/>
    <w:rsid w:val="00D745C1"/>
    <w:rsid w:val="00D74CE6"/>
    <w:rsid w:val="00D77446"/>
    <w:rsid w:val="00D774A7"/>
    <w:rsid w:val="00D80635"/>
    <w:rsid w:val="00D81A57"/>
    <w:rsid w:val="00D82BA0"/>
    <w:rsid w:val="00D83377"/>
    <w:rsid w:val="00D84227"/>
    <w:rsid w:val="00D851A6"/>
    <w:rsid w:val="00D87295"/>
    <w:rsid w:val="00D87BB2"/>
    <w:rsid w:val="00D87F8E"/>
    <w:rsid w:val="00D90A6B"/>
    <w:rsid w:val="00D917D9"/>
    <w:rsid w:val="00D92073"/>
    <w:rsid w:val="00D920BE"/>
    <w:rsid w:val="00D922D9"/>
    <w:rsid w:val="00D927EE"/>
    <w:rsid w:val="00D92D58"/>
    <w:rsid w:val="00D94491"/>
    <w:rsid w:val="00D94910"/>
    <w:rsid w:val="00D94BF1"/>
    <w:rsid w:val="00D962F5"/>
    <w:rsid w:val="00D96573"/>
    <w:rsid w:val="00D96ED3"/>
    <w:rsid w:val="00D9710C"/>
    <w:rsid w:val="00D974AC"/>
    <w:rsid w:val="00DA1093"/>
    <w:rsid w:val="00DA1B5A"/>
    <w:rsid w:val="00DA1D41"/>
    <w:rsid w:val="00DA1F51"/>
    <w:rsid w:val="00DA2728"/>
    <w:rsid w:val="00DA4BF8"/>
    <w:rsid w:val="00DA60CB"/>
    <w:rsid w:val="00DB10B4"/>
    <w:rsid w:val="00DB19B8"/>
    <w:rsid w:val="00DB2E14"/>
    <w:rsid w:val="00DB3894"/>
    <w:rsid w:val="00DB38E0"/>
    <w:rsid w:val="00DB40FC"/>
    <w:rsid w:val="00DB4436"/>
    <w:rsid w:val="00DB4BB8"/>
    <w:rsid w:val="00DB4F73"/>
    <w:rsid w:val="00DB5631"/>
    <w:rsid w:val="00DB586A"/>
    <w:rsid w:val="00DB5EEF"/>
    <w:rsid w:val="00DB673C"/>
    <w:rsid w:val="00DC0480"/>
    <w:rsid w:val="00DC07F5"/>
    <w:rsid w:val="00DC0E41"/>
    <w:rsid w:val="00DC12D4"/>
    <w:rsid w:val="00DC16A7"/>
    <w:rsid w:val="00DC3A20"/>
    <w:rsid w:val="00DC3FDF"/>
    <w:rsid w:val="00DC44A1"/>
    <w:rsid w:val="00DC47E0"/>
    <w:rsid w:val="00DC4CCD"/>
    <w:rsid w:val="00DC53BD"/>
    <w:rsid w:val="00DD0E31"/>
    <w:rsid w:val="00DD1125"/>
    <w:rsid w:val="00DD27DB"/>
    <w:rsid w:val="00DD36FF"/>
    <w:rsid w:val="00DD42CA"/>
    <w:rsid w:val="00DD4D45"/>
    <w:rsid w:val="00DD5453"/>
    <w:rsid w:val="00DD7416"/>
    <w:rsid w:val="00DD7B33"/>
    <w:rsid w:val="00DD7FC3"/>
    <w:rsid w:val="00DE0214"/>
    <w:rsid w:val="00DE1C93"/>
    <w:rsid w:val="00DE1D97"/>
    <w:rsid w:val="00DE30C6"/>
    <w:rsid w:val="00DE3B20"/>
    <w:rsid w:val="00DE611E"/>
    <w:rsid w:val="00DF0145"/>
    <w:rsid w:val="00DF2618"/>
    <w:rsid w:val="00DF2D91"/>
    <w:rsid w:val="00DF322A"/>
    <w:rsid w:val="00DF3DF4"/>
    <w:rsid w:val="00DF4F52"/>
    <w:rsid w:val="00DF6716"/>
    <w:rsid w:val="00DF7BBB"/>
    <w:rsid w:val="00DF7DAC"/>
    <w:rsid w:val="00E00171"/>
    <w:rsid w:val="00E00752"/>
    <w:rsid w:val="00E03572"/>
    <w:rsid w:val="00E04144"/>
    <w:rsid w:val="00E04772"/>
    <w:rsid w:val="00E04D6D"/>
    <w:rsid w:val="00E0614B"/>
    <w:rsid w:val="00E07DFE"/>
    <w:rsid w:val="00E07E1D"/>
    <w:rsid w:val="00E110E9"/>
    <w:rsid w:val="00E12B50"/>
    <w:rsid w:val="00E15186"/>
    <w:rsid w:val="00E15C46"/>
    <w:rsid w:val="00E2469A"/>
    <w:rsid w:val="00E253D6"/>
    <w:rsid w:val="00E26172"/>
    <w:rsid w:val="00E27F1D"/>
    <w:rsid w:val="00E30B4C"/>
    <w:rsid w:val="00E31C99"/>
    <w:rsid w:val="00E34DE4"/>
    <w:rsid w:val="00E35756"/>
    <w:rsid w:val="00E357F9"/>
    <w:rsid w:val="00E35AE8"/>
    <w:rsid w:val="00E41768"/>
    <w:rsid w:val="00E43C62"/>
    <w:rsid w:val="00E43DA9"/>
    <w:rsid w:val="00E44B79"/>
    <w:rsid w:val="00E45433"/>
    <w:rsid w:val="00E46AA2"/>
    <w:rsid w:val="00E46FD6"/>
    <w:rsid w:val="00E47144"/>
    <w:rsid w:val="00E50DBF"/>
    <w:rsid w:val="00E5153C"/>
    <w:rsid w:val="00E517AC"/>
    <w:rsid w:val="00E5432B"/>
    <w:rsid w:val="00E54A59"/>
    <w:rsid w:val="00E54EF6"/>
    <w:rsid w:val="00E5693F"/>
    <w:rsid w:val="00E56DDD"/>
    <w:rsid w:val="00E60F77"/>
    <w:rsid w:val="00E6213F"/>
    <w:rsid w:val="00E62F08"/>
    <w:rsid w:val="00E630B8"/>
    <w:rsid w:val="00E6343A"/>
    <w:rsid w:val="00E66FE4"/>
    <w:rsid w:val="00E67508"/>
    <w:rsid w:val="00E71BF8"/>
    <w:rsid w:val="00E734E7"/>
    <w:rsid w:val="00E74D8F"/>
    <w:rsid w:val="00E74E9B"/>
    <w:rsid w:val="00E75D1B"/>
    <w:rsid w:val="00E7687D"/>
    <w:rsid w:val="00E769DD"/>
    <w:rsid w:val="00E805B0"/>
    <w:rsid w:val="00E80AB1"/>
    <w:rsid w:val="00E80BBE"/>
    <w:rsid w:val="00E81B5F"/>
    <w:rsid w:val="00E821B6"/>
    <w:rsid w:val="00E82C8B"/>
    <w:rsid w:val="00E85365"/>
    <w:rsid w:val="00E85EC3"/>
    <w:rsid w:val="00E8609B"/>
    <w:rsid w:val="00E86660"/>
    <w:rsid w:val="00E87403"/>
    <w:rsid w:val="00E94BFC"/>
    <w:rsid w:val="00E94D8F"/>
    <w:rsid w:val="00E94FFE"/>
    <w:rsid w:val="00E9522E"/>
    <w:rsid w:val="00E956A6"/>
    <w:rsid w:val="00E95C0A"/>
    <w:rsid w:val="00E979AC"/>
    <w:rsid w:val="00E97D2A"/>
    <w:rsid w:val="00E97FDA"/>
    <w:rsid w:val="00EA033E"/>
    <w:rsid w:val="00EA0926"/>
    <w:rsid w:val="00EA3580"/>
    <w:rsid w:val="00EB0711"/>
    <w:rsid w:val="00EB0830"/>
    <w:rsid w:val="00EB2078"/>
    <w:rsid w:val="00EB2BAC"/>
    <w:rsid w:val="00EB2D9F"/>
    <w:rsid w:val="00EB3FB3"/>
    <w:rsid w:val="00EB5291"/>
    <w:rsid w:val="00EB5387"/>
    <w:rsid w:val="00EB75E1"/>
    <w:rsid w:val="00EC07F3"/>
    <w:rsid w:val="00EC07FF"/>
    <w:rsid w:val="00EC15EB"/>
    <w:rsid w:val="00EC182F"/>
    <w:rsid w:val="00EC1DF0"/>
    <w:rsid w:val="00EC2226"/>
    <w:rsid w:val="00EC2C5C"/>
    <w:rsid w:val="00EC3A9E"/>
    <w:rsid w:val="00EC3C9C"/>
    <w:rsid w:val="00EC3EB6"/>
    <w:rsid w:val="00EC4AE2"/>
    <w:rsid w:val="00EC5352"/>
    <w:rsid w:val="00ED0227"/>
    <w:rsid w:val="00ED09D9"/>
    <w:rsid w:val="00ED0DC6"/>
    <w:rsid w:val="00ED13DD"/>
    <w:rsid w:val="00ED1878"/>
    <w:rsid w:val="00ED28C8"/>
    <w:rsid w:val="00ED33A0"/>
    <w:rsid w:val="00ED360E"/>
    <w:rsid w:val="00ED3B34"/>
    <w:rsid w:val="00ED3EB4"/>
    <w:rsid w:val="00ED471C"/>
    <w:rsid w:val="00ED49AE"/>
    <w:rsid w:val="00ED53E6"/>
    <w:rsid w:val="00ED7048"/>
    <w:rsid w:val="00EE0C4C"/>
    <w:rsid w:val="00EE0E7A"/>
    <w:rsid w:val="00EE4AB8"/>
    <w:rsid w:val="00EE4EF2"/>
    <w:rsid w:val="00EE6F4D"/>
    <w:rsid w:val="00EE7C07"/>
    <w:rsid w:val="00EF170D"/>
    <w:rsid w:val="00EF17A8"/>
    <w:rsid w:val="00EF1853"/>
    <w:rsid w:val="00EF2746"/>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11419"/>
    <w:rsid w:val="00F1146A"/>
    <w:rsid w:val="00F1207D"/>
    <w:rsid w:val="00F130AB"/>
    <w:rsid w:val="00F14206"/>
    <w:rsid w:val="00F1433C"/>
    <w:rsid w:val="00F15391"/>
    <w:rsid w:val="00F15CE8"/>
    <w:rsid w:val="00F15D6A"/>
    <w:rsid w:val="00F16B0B"/>
    <w:rsid w:val="00F22376"/>
    <w:rsid w:val="00F30854"/>
    <w:rsid w:val="00F30BAA"/>
    <w:rsid w:val="00F31650"/>
    <w:rsid w:val="00F31C3D"/>
    <w:rsid w:val="00F32D0F"/>
    <w:rsid w:val="00F33515"/>
    <w:rsid w:val="00F34064"/>
    <w:rsid w:val="00F35C9F"/>
    <w:rsid w:val="00F36192"/>
    <w:rsid w:val="00F36518"/>
    <w:rsid w:val="00F36CD2"/>
    <w:rsid w:val="00F37060"/>
    <w:rsid w:val="00F3707E"/>
    <w:rsid w:val="00F3741B"/>
    <w:rsid w:val="00F37A9E"/>
    <w:rsid w:val="00F37CFE"/>
    <w:rsid w:val="00F37D85"/>
    <w:rsid w:val="00F40DCD"/>
    <w:rsid w:val="00F41025"/>
    <w:rsid w:val="00F41417"/>
    <w:rsid w:val="00F41522"/>
    <w:rsid w:val="00F437C1"/>
    <w:rsid w:val="00F43C73"/>
    <w:rsid w:val="00F4464F"/>
    <w:rsid w:val="00F4473C"/>
    <w:rsid w:val="00F452E2"/>
    <w:rsid w:val="00F45E38"/>
    <w:rsid w:val="00F47097"/>
    <w:rsid w:val="00F479E8"/>
    <w:rsid w:val="00F50F94"/>
    <w:rsid w:val="00F52E21"/>
    <w:rsid w:val="00F53B2E"/>
    <w:rsid w:val="00F545F1"/>
    <w:rsid w:val="00F57D39"/>
    <w:rsid w:val="00F57ED0"/>
    <w:rsid w:val="00F6341F"/>
    <w:rsid w:val="00F639B2"/>
    <w:rsid w:val="00F645BB"/>
    <w:rsid w:val="00F64C6F"/>
    <w:rsid w:val="00F669DD"/>
    <w:rsid w:val="00F67B43"/>
    <w:rsid w:val="00F67D09"/>
    <w:rsid w:val="00F67DDA"/>
    <w:rsid w:val="00F7064D"/>
    <w:rsid w:val="00F72405"/>
    <w:rsid w:val="00F748B7"/>
    <w:rsid w:val="00F74BFF"/>
    <w:rsid w:val="00F74C6E"/>
    <w:rsid w:val="00F750DD"/>
    <w:rsid w:val="00F75151"/>
    <w:rsid w:val="00F7530C"/>
    <w:rsid w:val="00F758F5"/>
    <w:rsid w:val="00F77028"/>
    <w:rsid w:val="00F805D6"/>
    <w:rsid w:val="00F83594"/>
    <w:rsid w:val="00F84ECE"/>
    <w:rsid w:val="00F851A3"/>
    <w:rsid w:val="00F85551"/>
    <w:rsid w:val="00F8620C"/>
    <w:rsid w:val="00F86530"/>
    <w:rsid w:val="00F86E85"/>
    <w:rsid w:val="00F87CEC"/>
    <w:rsid w:val="00F91B28"/>
    <w:rsid w:val="00F91CE0"/>
    <w:rsid w:val="00F92405"/>
    <w:rsid w:val="00F93C84"/>
    <w:rsid w:val="00F94E25"/>
    <w:rsid w:val="00F95037"/>
    <w:rsid w:val="00F95ABC"/>
    <w:rsid w:val="00F9674A"/>
    <w:rsid w:val="00F97BDE"/>
    <w:rsid w:val="00FA0259"/>
    <w:rsid w:val="00FA40E0"/>
    <w:rsid w:val="00FA53F4"/>
    <w:rsid w:val="00FA6F5D"/>
    <w:rsid w:val="00FB3366"/>
    <w:rsid w:val="00FB4322"/>
    <w:rsid w:val="00FB4601"/>
    <w:rsid w:val="00FB53EE"/>
    <w:rsid w:val="00FB6641"/>
    <w:rsid w:val="00FC0600"/>
    <w:rsid w:val="00FC0A68"/>
    <w:rsid w:val="00FC104B"/>
    <w:rsid w:val="00FC1DAF"/>
    <w:rsid w:val="00FC2019"/>
    <w:rsid w:val="00FC34BA"/>
    <w:rsid w:val="00FC3F0F"/>
    <w:rsid w:val="00FC427F"/>
    <w:rsid w:val="00FC7134"/>
    <w:rsid w:val="00FC7452"/>
    <w:rsid w:val="00FC797B"/>
    <w:rsid w:val="00FC7FDA"/>
    <w:rsid w:val="00FD077B"/>
    <w:rsid w:val="00FD1B98"/>
    <w:rsid w:val="00FD2B98"/>
    <w:rsid w:val="00FD30E6"/>
    <w:rsid w:val="00FD3B2F"/>
    <w:rsid w:val="00FD4450"/>
    <w:rsid w:val="00FD45B8"/>
    <w:rsid w:val="00FD70FF"/>
    <w:rsid w:val="00FD74D2"/>
    <w:rsid w:val="00FE00D0"/>
    <w:rsid w:val="00FE0884"/>
    <w:rsid w:val="00FE102E"/>
    <w:rsid w:val="00FE1266"/>
    <w:rsid w:val="00FE1E14"/>
    <w:rsid w:val="00FE2EAC"/>
    <w:rsid w:val="00FE3862"/>
    <w:rsid w:val="00FE425E"/>
    <w:rsid w:val="00FE494B"/>
    <w:rsid w:val="00FF2670"/>
    <w:rsid w:val="00FF5398"/>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2A74F64D"/>
  <w15:docId w15:val="{FB7243A9-A03A-437D-B58B-891AB8B2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rsid w:val="008E2E05"/>
    <w:rPr>
      <w:rFonts w:eastAsia="SimSun"/>
      <w:sz w:val="20"/>
      <w:szCs w:val="20"/>
    </w:rPr>
  </w:style>
  <w:style w:type="character" w:customStyle="1" w:styleId="CommentTextChar">
    <w:name w:val="Comment Text Char"/>
    <w:basedOn w:val="DefaultParagraphFont"/>
    <w:link w:val="CommentText"/>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2"/>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4">
    <w:name w:val="s4"/>
    <w:basedOn w:val="Normal"/>
    <w:rsid w:val="001B740B"/>
    <w:pPr>
      <w:spacing w:before="100" w:beforeAutospacing="1" w:after="100" w:afterAutospacing="1"/>
    </w:pPr>
    <w:rPr>
      <w:rFonts w:eastAsiaTheme="minorHAnsi"/>
    </w:rPr>
  </w:style>
  <w:style w:type="character" w:customStyle="1" w:styleId="bumpedfont15">
    <w:name w:val="bumpedfont15"/>
    <w:basedOn w:val="DefaultParagraphFont"/>
    <w:rsid w:val="001B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14220139">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297">
      <w:bodyDiv w:val="1"/>
      <w:marLeft w:val="0"/>
      <w:marRight w:val="0"/>
      <w:marTop w:val="0"/>
      <w:marBottom w:val="0"/>
      <w:divBdr>
        <w:top w:val="none" w:sz="0" w:space="0" w:color="auto"/>
        <w:left w:val="none" w:sz="0" w:space="0" w:color="auto"/>
        <w:bottom w:val="none" w:sz="0" w:space="0" w:color="auto"/>
        <w:right w:val="none" w:sz="0" w:space="0" w:color="auto"/>
      </w:divBdr>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3294-FC88-40DC-9439-514045EB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17</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Attachment 1. Drinking Water Exposure Investigation in Dimock, PA:  Supporting Statement A</vt:lpstr>
    </vt:vector>
  </TitlesOfParts>
  <Company>Centers for Disease Control and Prevention</Company>
  <LinksUpToDate>false</LinksUpToDate>
  <CharactersWithSpaces>28657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Drinking Water Exposure Investigation in Dimock, PA:  Supporting Statement A</dc:title>
  <dc:subject/>
  <dc:creator>CDC User</dc:creator>
  <cp:keywords/>
  <dc:description/>
  <cp:lastModifiedBy>Vempaty, Padmaja (ATSDR/OADS)</cp:lastModifiedBy>
  <cp:revision>52</cp:revision>
  <cp:lastPrinted>2017-06-07T12:49:00Z</cp:lastPrinted>
  <dcterms:created xsi:type="dcterms:W3CDTF">2017-06-05T14:34:00Z</dcterms:created>
  <dcterms:modified xsi:type="dcterms:W3CDTF">2017-06-07T17:17:00Z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-2094620970</vt:i4>
  </property>
</Properties>
</file>