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C89F0" w14:textId="77777777" w:rsidR="00240B32" w:rsidRDefault="00240B32" w:rsidP="006C098D">
      <w:pPr>
        <w:spacing w:after="0" w:line="240" w:lineRule="auto"/>
        <w:jc w:val="center"/>
        <w:rPr>
          <w:rFonts w:ascii="Times New Roman" w:hAnsi="Times New Roman" w:cs="Times New Roman"/>
        </w:rPr>
      </w:pPr>
    </w:p>
    <w:p w14:paraId="38B48F95" w14:textId="77777777" w:rsidR="006C098D" w:rsidRPr="00436890" w:rsidRDefault="006C098D" w:rsidP="00BE3702">
      <w:pPr>
        <w:spacing w:after="0" w:line="240" w:lineRule="auto"/>
        <w:jc w:val="center"/>
        <w:rPr>
          <w:rFonts w:ascii="Times New Roman" w:hAnsi="Times New Roman" w:cs="Times New Roman"/>
        </w:rPr>
      </w:pPr>
      <w:r w:rsidRPr="00436890">
        <w:rPr>
          <w:rFonts w:ascii="Times New Roman" w:hAnsi="Times New Roman" w:cs="Times New Roman"/>
        </w:rPr>
        <w:t>SUPPORTING STATEMENT</w:t>
      </w:r>
      <w:r w:rsidR="00AF4DBD">
        <w:rPr>
          <w:rFonts w:ascii="Times New Roman" w:hAnsi="Times New Roman" w:cs="Times New Roman"/>
        </w:rPr>
        <w:t>: PART A</w:t>
      </w:r>
    </w:p>
    <w:p w14:paraId="01F52757" w14:textId="77777777" w:rsidR="006C098D" w:rsidRPr="00436890" w:rsidRDefault="006C098D" w:rsidP="00B2037A">
      <w:pPr>
        <w:spacing w:after="0" w:line="240" w:lineRule="auto"/>
        <w:jc w:val="center"/>
        <w:rPr>
          <w:rFonts w:ascii="Times New Roman" w:hAnsi="Times New Roman" w:cs="Times New Roman"/>
        </w:rPr>
      </w:pPr>
    </w:p>
    <w:p w14:paraId="34F2F0C6" w14:textId="77777777" w:rsidR="001E04C2" w:rsidRPr="007D38E6" w:rsidRDefault="007D38E6" w:rsidP="006C098D">
      <w:pPr>
        <w:spacing w:after="0" w:line="240" w:lineRule="auto"/>
        <w:jc w:val="center"/>
        <w:rPr>
          <w:rFonts w:ascii="Times New Roman" w:hAnsi="Times New Roman" w:cs="Times New Roman"/>
          <w:b/>
        </w:rPr>
      </w:pPr>
      <w:r w:rsidRPr="007D38E6">
        <w:rPr>
          <w:rFonts w:ascii="Times New Roman" w:hAnsi="Times New Roman" w:cs="Times New Roman"/>
          <w:b/>
        </w:rPr>
        <w:t>OMB# 0920-0941</w:t>
      </w:r>
    </w:p>
    <w:p w14:paraId="670BB04D" w14:textId="77777777" w:rsidR="006C098D" w:rsidRPr="00436890" w:rsidRDefault="006C098D" w:rsidP="006C098D">
      <w:pPr>
        <w:spacing w:after="0" w:line="240" w:lineRule="auto"/>
        <w:rPr>
          <w:rFonts w:ascii="Times New Roman" w:hAnsi="Times New Roman" w:cs="Times New Roman"/>
        </w:rPr>
      </w:pPr>
    </w:p>
    <w:p w14:paraId="467758AF" w14:textId="77777777" w:rsidR="007D38E6" w:rsidRPr="00436890" w:rsidRDefault="00C26C47" w:rsidP="006C098D">
      <w:pPr>
        <w:spacing w:after="0" w:line="240" w:lineRule="auto"/>
        <w:jc w:val="center"/>
        <w:rPr>
          <w:rFonts w:ascii="Times New Roman" w:hAnsi="Times New Roman" w:cs="Times New Roman"/>
        </w:rPr>
      </w:pPr>
      <w:r>
        <w:rPr>
          <w:rFonts w:ascii="Times New Roman" w:hAnsi="Times New Roman" w:cs="Times New Roman"/>
        </w:rPr>
        <w:t>December 9</w:t>
      </w:r>
      <w:r w:rsidR="00AF4DBD">
        <w:rPr>
          <w:rFonts w:ascii="Times New Roman" w:hAnsi="Times New Roman" w:cs="Times New Roman"/>
        </w:rPr>
        <w:t>, 2015</w:t>
      </w:r>
    </w:p>
    <w:p w14:paraId="6B91FBD3" w14:textId="77777777" w:rsidR="00986EBB" w:rsidRDefault="00986EBB" w:rsidP="006C098D">
      <w:pPr>
        <w:suppressLineNumbers/>
        <w:spacing w:after="0" w:line="240" w:lineRule="auto"/>
        <w:jc w:val="center"/>
        <w:rPr>
          <w:rFonts w:ascii="Times New Roman" w:hAnsi="Times New Roman" w:cs="Times New Roman"/>
          <w:b/>
        </w:rPr>
      </w:pPr>
    </w:p>
    <w:p w14:paraId="5A76CE14" w14:textId="77777777" w:rsidR="006C098D" w:rsidRPr="00436890" w:rsidRDefault="006C098D" w:rsidP="006C098D">
      <w:pPr>
        <w:suppressLineNumbers/>
        <w:spacing w:after="0" w:line="240" w:lineRule="auto"/>
        <w:jc w:val="center"/>
        <w:rPr>
          <w:rFonts w:ascii="Times New Roman" w:hAnsi="Times New Roman" w:cs="Times New Roman"/>
          <w:b/>
          <w:i/>
        </w:rPr>
      </w:pPr>
      <w:r w:rsidRPr="00097BF4">
        <w:rPr>
          <w:rFonts w:ascii="Times New Roman" w:hAnsi="Times New Roman" w:cs="Times New Roman"/>
          <w:b/>
        </w:rPr>
        <w:t xml:space="preserve">Evaluation of </w:t>
      </w:r>
      <w:r w:rsidRPr="00097BF4">
        <w:rPr>
          <w:rFonts w:ascii="Times New Roman" w:hAnsi="Times New Roman" w:cs="Times New Roman"/>
          <w:b/>
          <w:i/>
        </w:rPr>
        <w:t>Dating Matters: Strategies to Promote Healthy Teen Relationships</w:t>
      </w:r>
    </w:p>
    <w:p w14:paraId="1ACCBBFF" w14:textId="77777777" w:rsidR="006C098D" w:rsidRPr="00436890" w:rsidRDefault="006C098D" w:rsidP="006C098D">
      <w:pPr>
        <w:spacing w:after="0" w:line="240" w:lineRule="auto"/>
        <w:jc w:val="center"/>
        <w:rPr>
          <w:rFonts w:ascii="Times New Roman" w:hAnsi="Times New Roman" w:cs="Times New Roman"/>
        </w:rPr>
      </w:pPr>
    </w:p>
    <w:p w14:paraId="3B54DA3D" w14:textId="77777777" w:rsidR="006C098D" w:rsidRPr="00436890" w:rsidRDefault="006C098D" w:rsidP="006C098D">
      <w:pPr>
        <w:spacing w:after="0" w:line="240" w:lineRule="auto"/>
        <w:jc w:val="center"/>
        <w:rPr>
          <w:rFonts w:ascii="Times New Roman" w:hAnsi="Times New Roman" w:cs="Times New Roman"/>
        </w:rPr>
      </w:pPr>
    </w:p>
    <w:p w14:paraId="41451D44" w14:textId="77777777" w:rsidR="006C098D" w:rsidRPr="002C4F22" w:rsidRDefault="006C098D" w:rsidP="006C098D">
      <w:pPr>
        <w:autoSpaceDE w:val="0"/>
        <w:autoSpaceDN w:val="0"/>
        <w:adjustRightInd w:val="0"/>
        <w:spacing w:after="0" w:line="240" w:lineRule="auto"/>
        <w:jc w:val="center"/>
        <w:rPr>
          <w:rFonts w:ascii="Times New Roman" w:hAnsi="Times New Roman" w:cs="Times New Roman"/>
          <w:b/>
          <w:bCs/>
          <w:u w:val="single"/>
        </w:rPr>
      </w:pPr>
      <w:r w:rsidRPr="00081BA7">
        <w:rPr>
          <w:rFonts w:ascii="Times New Roman" w:hAnsi="Times New Roman" w:cs="Times New Roman"/>
          <w:b/>
          <w:bCs/>
        </w:rPr>
        <w:t>Point of Contact</w:t>
      </w:r>
      <w:r w:rsidRPr="002C4F22">
        <w:rPr>
          <w:rFonts w:ascii="Times New Roman" w:hAnsi="Times New Roman" w:cs="Times New Roman"/>
          <w:b/>
          <w:bCs/>
          <w:u w:val="single"/>
        </w:rPr>
        <w:t xml:space="preserve"> </w:t>
      </w:r>
    </w:p>
    <w:p w14:paraId="1380A202" w14:textId="77777777" w:rsidR="006C098D" w:rsidRDefault="00986EBB" w:rsidP="006C098D">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Sarah DeGue</w:t>
      </w:r>
      <w:r w:rsidR="006C098D" w:rsidRPr="00E958D8">
        <w:rPr>
          <w:rFonts w:ascii="Times New Roman" w:hAnsi="Times New Roman" w:cs="Times New Roman"/>
          <w:b/>
          <w:bCs/>
        </w:rPr>
        <w:t>, PhD (</w:t>
      </w:r>
      <w:r w:rsidR="006C098D">
        <w:rPr>
          <w:rFonts w:ascii="Times New Roman" w:hAnsi="Times New Roman" w:cs="Times New Roman"/>
          <w:b/>
          <w:bCs/>
        </w:rPr>
        <w:t>Project Lead)</w:t>
      </w:r>
    </w:p>
    <w:p w14:paraId="48D3D435" w14:textId="77777777" w:rsidR="00240B32" w:rsidRPr="00240B32" w:rsidRDefault="00240B32" w:rsidP="00240B32">
      <w:pPr>
        <w:pStyle w:val="E-mailSignature"/>
        <w:jc w:val="center"/>
        <w:rPr>
          <w:noProof/>
          <w:sz w:val="22"/>
          <w:szCs w:val="22"/>
        </w:rPr>
      </w:pPr>
      <w:r w:rsidRPr="00240B32">
        <w:rPr>
          <w:noProof/>
          <w:sz w:val="22"/>
          <w:szCs w:val="22"/>
        </w:rPr>
        <w:t>Centers for Disease Control and Prevention</w:t>
      </w:r>
    </w:p>
    <w:p w14:paraId="0180D8EA" w14:textId="77777777" w:rsidR="00240B32" w:rsidRPr="00240B32" w:rsidRDefault="00240B32" w:rsidP="00240B32">
      <w:pPr>
        <w:pStyle w:val="E-mailSignature"/>
        <w:jc w:val="center"/>
        <w:rPr>
          <w:noProof/>
          <w:sz w:val="22"/>
          <w:szCs w:val="22"/>
        </w:rPr>
      </w:pPr>
      <w:r w:rsidRPr="00240B32">
        <w:rPr>
          <w:noProof/>
          <w:sz w:val="22"/>
          <w:szCs w:val="22"/>
        </w:rPr>
        <w:t>National Center for Injury Prevention and Control</w:t>
      </w:r>
    </w:p>
    <w:p w14:paraId="470E2C73" w14:textId="77777777" w:rsidR="00240B32" w:rsidRPr="00240B32" w:rsidRDefault="00240B32" w:rsidP="00240B32">
      <w:pPr>
        <w:pStyle w:val="E-mailSignature"/>
        <w:jc w:val="center"/>
        <w:rPr>
          <w:noProof/>
          <w:sz w:val="22"/>
          <w:szCs w:val="22"/>
        </w:rPr>
      </w:pPr>
      <w:r w:rsidRPr="00240B32">
        <w:rPr>
          <w:noProof/>
          <w:sz w:val="22"/>
          <w:szCs w:val="22"/>
        </w:rPr>
        <w:t>4770 Buford Highway NE  MS F-64</w:t>
      </w:r>
    </w:p>
    <w:p w14:paraId="05CC0E66" w14:textId="77777777" w:rsidR="00240B32" w:rsidRPr="00240B32" w:rsidRDefault="00240B32" w:rsidP="00240B32">
      <w:pPr>
        <w:pStyle w:val="E-mailSignature"/>
        <w:jc w:val="center"/>
        <w:rPr>
          <w:noProof/>
          <w:sz w:val="22"/>
          <w:szCs w:val="22"/>
        </w:rPr>
      </w:pPr>
      <w:r w:rsidRPr="00240B32">
        <w:rPr>
          <w:noProof/>
          <w:sz w:val="22"/>
          <w:szCs w:val="22"/>
        </w:rPr>
        <w:t>Atlanta, GA 30341-3724</w:t>
      </w:r>
    </w:p>
    <w:p w14:paraId="00511D19" w14:textId="77777777" w:rsidR="00240B32" w:rsidRPr="00682E5A" w:rsidRDefault="00240B32" w:rsidP="00240B32">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
          <w:bCs/>
        </w:rPr>
        <w:t xml:space="preserve">Phone: </w:t>
      </w:r>
      <w:r>
        <w:rPr>
          <w:rFonts w:ascii="Times New Roman" w:hAnsi="Times New Roman" w:cs="Times New Roman"/>
          <w:bCs/>
        </w:rPr>
        <w:t>770-488-3</w:t>
      </w:r>
      <w:r w:rsidR="00986EBB">
        <w:rPr>
          <w:rFonts w:ascii="Times New Roman" w:hAnsi="Times New Roman" w:cs="Times New Roman"/>
          <w:bCs/>
        </w:rPr>
        <w:t>89</w:t>
      </w:r>
      <w:r>
        <w:rPr>
          <w:rFonts w:ascii="Times New Roman" w:hAnsi="Times New Roman" w:cs="Times New Roman"/>
          <w:bCs/>
        </w:rPr>
        <w:t>9</w:t>
      </w:r>
    </w:p>
    <w:p w14:paraId="42D60AD8" w14:textId="77777777" w:rsidR="00B0372F" w:rsidRDefault="00240B32" w:rsidP="006C098D">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
          <w:bCs/>
        </w:rPr>
        <w:t xml:space="preserve">Email: </w:t>
      </w:r>
      <w:hyperlink r:id="rId8" w:history="1">
        <w:r w:rsidR="00986EBB" w:rsidRPr="00DD26E8">
          <w:rPr>
            <w:rStyle w:val="Hyperlink"/>
            <w:rFonts w:ascii="Times New Roman" w:hAnsi="Times New Roman" w:cs="Times New Roman"/>
            <w:bCs/>
          </w:rPr>
          <w:t>sdegue@cdc.gov</w:t>
        </w:r>
      </w:hyperlink>
    </w:p>
    <w:p w14:paraId="286AD43E" w14:textId="77777777" w:rsidR="006C098D" w:rsidRPr="00436890" w:rsidRDefault="006C098D" w:rsidP="006C098D">
      <w:pPr>
        <w:autoSpaceDE w:val="0"/>
        <w:autoSpaceDN w:val="0"/>
        <w:adjustRightInd w:val="0"/>
        <w:spacing w:after="0" w:line="240" w:lineRule="auto"/>
        <w:jc w:val="center"/>
        <w:rPr>
          <w:rFonts w:ascii="Times New Roman" w:hAnsi="Times New Roman" w:cs="Times New Roman"/>
          <w:bCs/>
        </w:rPr>
      </w:pPr>
    </w:p>
    <w:p w14:paraId="255D133C" w14:textId="77777777" w:rsidR="006C098D" w:rsidRPr="00436890" w:rsidRDefault="006C098D" w:rsidP="006C098D">
      <w:pPr>
        <w:spacing w:after="0" w:line="240" w:lineRule="auto"/>
        <w:rPr>
          <w:rFonts w:ascii="Times New Roman" w:hAnsi="Times New Roman" w:cs="Times New Roman"/>
          <w:b/>
          <w:bCs/>
        </w:rPr>
      </w:pPr>
      <w:r w:rsidRPr="00436890">
        <w:rPr>
          <w:rFonts w:ascii="Times New Roman" w:hAnsi="Times New Roman" w:cs="Times New Roman"/>
          <w:b/>
          <w:bCs/>
        </w:rPr>
        <w:br w:type="page"/>
      </w:r>
    </w:p>
    <w:p w14:paraId="7EB7ADEC" w14:textId="77777777" w:rsidR="00240B32" w:rsidRPr="00240B32" w:rsidRDefault="00240B32" w:rsidP="00240B32">
      <w:pPr>
        <w:spacing w:after="0" w:line="240" w:lineRule="auto"/>
        <w:ind w:firstLine="720"/>
        <w:jc w:val="center"/>
        <w:rPr>
          <w:rFonts w:ascii="Times New Roman" w:hAnsi="Times New Roman" w:cs="Times New Roman"/>
          <w:b/>
          <w:bCs/>
          <w:noProof/>
        </w:rPr>
      </w:pPr>
      <w:bookmarkStart w:id="0" w:name="_Toc12183265"/>
      <w:r w:rsidRPr="00240B32">
        <w:rPr>
          <w:rFonts w:ascii="Times New Roman" w:hAnsi="Times New Roman" w:cs="Times New Roman"/>
          <w:b/>
          <w:bCs/>
        </w:rPr>
        <w:lastRenderedPageBreak/>
        <w:t>CONTE</w:t>
      </w:r>
      <w:r w:rsidRPr="00240B32">
        <w:rPr>
          <w:rFonts w:ascii="Times New Roman" w:hAnsi="Times New Roman" w:cs="Times New Roman"/>
          <w:b/>
          <w:bCs/>
          <w:noProof/>
        </w:rPr>
        <w:t>NTS</w:t>
      </w:r>
    </w:p>
    <w:p w14:paraId="679841B9" w14:textId="77777777" w:rsidR="00240B32" w:rsidRPr="00240B32" w:rsidRDefault="00C26C47" w:rsidP="00240B32">
      <w:pPr>
        <w:pStyle w:val="T0-ChapPgHd"/>
        <w:spacing w:line="240" w:lineRule="auto"/>
        <w:jc w:val="left"/>
        <w:rPr>
          <w:noProof/>
          <w:sz w:val="22"/>
          <w:szCs w:val="22"/>
        </w:rPr>
      </w:pPr>
      <w:r>
        <w:rPr>
          <w:noProof/>
          <w:sz w:val="22"/>
          <w:szCs w:val="22"/>
        </w:rPr>
        <w:t>Section</w:t>
      </w:r>
      <w:r>
        <w:rPr>
          <w:noProof/>
          <w:sz w:val="22"/>
          <w:szCs w:val="22"/>
        </w:rPr>
        <w:tab/>
      </w:r>
      <w:r w:rsidR="00240B32" w:rsidRPr="00240B32">
        <w:rPr>
          <w:noProof/>
          <w:sz w:val="22"/>
          <w:szCs w:val="22"/>
        </w:rPr>
        <w:t>Page</w:t>
      </w:r>
    </w:p>
    <w:p w14:paraId="571E544F" w14:textId="77777777" w:rsidR="00240B32" w:rsidRPr="00240B32" w:rsidRDefault="00240B32" w:rsidP="00240B32">
      <w:pPr>
        <w:pStyle w:val="T0-ChapPgHd"/>
        <w:spacing w:line="240" w:lineRule="auto"/>
        <w:jc w:val="left"/>
        <w:rPr>
          <w:noProof/>
          <w:sz w:val="22"/>
          <w:szCs w:val="22"/>
        </w:rPr>
      </w:pPr>
    </w:p>
    <w:p w14:paraId="41954F70" w14:textId="77777777" w:rsidR="00240B32" w:rsidRPr="00240B32" w:rsidRDefault="00240B32" w:rsidP="00240B32">
      <w:pPr>
        <w:pStyle w:val="TOC1"/>
        <w:rPr>
          <w:noProof/>
          <w:sz w:val="22"/>
          <w:szCs w:val="22"/>
        </w:rPr>
      </w:pPr>
      <w:r w:rsidRPr="00240B32">
        <w:rPr>
          <w:noProof/>
          <w:sz w:val="22"/>
          <w:szCs w:val="22"/>
        </w:rPr>
        <w:t>A.</w:t>
      </w:r>
      <w:r w:rsidRPr="00240B32">
        <w:rPr>
          <w:noProof/>
          <w:sz w:val="22"/>
          <w:szCs w:val="22"/>
        </w:rPr>
        <w:tab/>
        <w:t>Justification</w:t>
      </w:r>
      <w:r w:rsidRPr="00240B32">
        <w:rPr>
          <w:noProof/>
          <w:sz w:val="22"/>
          <w:szCs w:val="22"/>
        </w:rPr>
        <w:tab/>
      </w:r>
      <w:r w:rsidRPr="00240B32">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sidR="00C26C47">
        <w:rPr>
          <w:noProof/>
          <w:sz w:val="22"/>
          <w:szCs w:val="22"/>
        </w:rPr>
        <w:tab/>
      </w:r>
      <w:r w:rsidR="00C26C47">
        <w:rPr>
          <w:noProof/>
          <w:sz w:val="22"/>
          <w:szCs w:val="22"/>
        </w:rPr>
        <w:tab/>
      </w:r>
      <w:r w:rsidR="00895E19">
        <w:rPr>
          <w:noProof/>
          <w:sz w:val="22"/>
          <w:szCs w:val="22"/>
        </w:rPr>
        <w:t>3</w:t>
      </w:r>
    </w:p>
    <w:p w14:paraId="18155561" w14:textId="77777777" w:rsidR="00240B32" w:rsidRPr="00240B32" w:rsidRDefault="00240B32" w:rsidP="00240B32">
      <w:pPr>
        <w:pStyle w:val="TOC1"/>
        <w:rPr>
          <w:noProof/>
          <w:sz w:val="22"/>
          <w:szCs w:val="22"/>
        </w:rPr>
      </w:pPr>
    </w:p>
    <w:p w14:paraId="05792DFA" w14:textId="77777777" w:rsidR="00240B32" w:rsidRPr="00240B32" w:rsidRDefault="00240B32" w:rsidP="0005633F">
      <w:pPr>
        <w:pStyle w:val="TOC2"/>
        <w:rPr>
          <w:noProof/>
        </w:rPr>
      </w:pPr>
      <w:r w:rsidRPr="00240B32">
        <w:rPr>
          <w:noProof/>
        </w:rPr>
        <w:t>A.1.</w:t>
      </w:r>
      <w:r w:rsidRPr="00240B32">
        <w:rPr>
          <w:noProof/>
        </w:rPr>
        <w:tab/>
        <w:t>Circumstances Making the Collection of Information Necessary</w:t>
      </w:r>
      <w:r w:rsidRPr="00240B32">
        <w:rPr>
          <w:noProof/>
        </w:rPr>
        <w:tab/>
      </w:r>
      <w:r>
        <w:rPr>
          <w:noProof/>
        </w:rPr>
        <w:tab/>
      </w:r>
      <w:r w:rsidR="00C26C47">
        <w:rPr>
          <w:noProof/>
        </w:rPr>
        <w:tab/>
      </w:r>
      <w:r w:rsidR="00C26C47">
        <w:rPr>
          <w:noProof/>
        </w:rPr>
        <w:tab/>
      </w:r>
      <w:r w:rsidR="00895E19">
        <w:rPr>
          <w:noProof/>
        </w:rPr>
        <w:t>3</w:t>
      </w:r>
    </w:p>
    <w:p w14:paraId="14E58B17" w14:textId="77777777" w:rsidR="00240B32" w:rsidRPr="00240B32" w:rsidRDefault="00240B32" w:rsidP="0005633F">
      <w:pPr>
        <w:pStyle w:val="TOC2"/>
        <w:rPr>
          <w:noProof/>
        </w:rPr>
      </w:pPr>
      <w:r w:rsidRPr="00240B32">
        <w:rPr>
          <w:noProof/>
        </w:rPr>
        <w:t>A.2.</w:t>
      </w:r>
      <w:r w:rsidRPr="00240B32">
        <w:rPr>
          <w:noProof/>
        </w:rPr>
        <w:tab/>
        <w:t>Purpose and Use of Information Collection</w:t>
      </w:r>
      <w:r w:rsidRPr="00240B32">
        <w:rPr>
          <w:noProof/>
        </w:rPr>
        <w:tab/>
      </w:r>
      <w:r w:rsidRPr="00240B32">
        <w:rPr>
          <w:noProof/>
        </w:rPr>
        <w:tab/>
      </w:r>
      <w:r>
        <w:rPr>
          <w:noProof/>
        </w:rPr>
        <w:tab/>
      </w:r>
      <w:r>
        <w:rPr>
          <w:noProof/>
        </w:rPr>
        <w:tab/>
      </w:r>
      <w:r w:rsidR="00C26C47">
        <w:rPr>
          <w:noProof/>
        </w:rPr>
        <w:tab/>
      </w:r>
      <w:r w:rsidR="00C26C47">
        <w:rPr>
          <w:noProof/>
        </w:rPr>
        <w:tab/>
      </w:r>
      <w:r w:rsidR="00895E19">
        <w:rPr>
          <w:noProof/>
        </w:rPr>
        <w:t>4</w:t>
      </w:r>
    </w:p>
    <w:p w14:paraId="4515BED5" w14:textId="77777777" w:rsidR="00240B32" w:rsidRPr="00240B32" w:rsidRDefault="00240B32" w:rsidP="0005633F">
      <w:pPr>
        <w:pStyle w:val="TOC2"/>
        <w:rPr>
          <w:noProof/>
        </w:rPr>
      </w:pPr>
      <w:r w:rsidRPr="00240B32">
        <w:rPr>
          <w:noProof/>
        </w:rPr>
        <w:t>A.3.</w:t>
      </w:r>
      <w:r w:rsidRPr="00240B32">
        <w:rPr>
          <w:noProof/>
        </w:rPr>
        <w:tab/>
        <w:t>Use of Improved Information Technology and Burden Reduction</w:t>
      </w:r>
      <w:r w:rsidRPr="00240B32">
        <w:rPr>
          <w:noProof/>
        </w:rPr>
        <w:tab/>
      </w:r>
      <w:r>
        <w:rPr>
          <w:noProof/>
        </w:rPr>
        <w:tab/>
      </w:r>
      <w:r w:rsidR="00C26C47">
        <w:rPr>
          <w:noProof/>
        </w:rPr>
        <w:tab/>
      </w:r>
      <w:r w:rsidR="00C26C47">
        <w:rPr>
          <w:noProof/>
        </w:rPr>
        <w:tab/>
      </w:r>
      <w:r w:rsidR="00895E19">
        <w:rPr>
          <w:noProof/>
        </w:rPr>
        <w:t>5</w:t>
      </w:r>
    </w:p>
    <w:p w14:paraId="6E46C42C" w14:textId="77777777" w:rsidR="00240B32" w:rsidRPr="00240B32" w:rsidRDefault="00240B32" w:rsidP="0005633F">
      <w:pPr>
        <w:pStyle w:val="TOC2"/>
        <w:rPr>
          <w:noProof/>
        </w:rPr>
      </w:pPr>
      <w:r w:rsidRPr="00240B32">
        <w:rPr>
          <w:noProof/>
        </w:rPr>
        <w:t>A.4.</w:t>
      </w:r>
      <w:r w:rsidRPr="00240B32">
        <w:rPr>
          <w:noProof/>
        </w:rPr>
        <w:tab/>
        <w:t>Efforts to Identify Duplication and Use of Similar Information</w:t>
      </w:r>
      <w:r w:rsidRPr="00240B32">
        <w:rPr>
          <w:noProof/>
        </w:rPr>
        <w:tab/>
      </w:r>
      <w:r w:rsidRPr="00240B32">
        <w:rPr>
          <w:noProof/>
        </w:rPr>
        <w:tab/>
      </w:r>
      <w:r w:rsidR="00C26C47">
        <w:rPr>
          <w:noProof/>
        </w:rPr>
        <w:tab/>
      </w:r>
      <w:r w:rsidR="00C26C47">
        <w:rPr>
          <w:noProof/>
        </w:rPr>
        <w:tab/>
      </w:r>
      <w:r w:rsidR="00895E19">
        <w:rPr>
          <w:noProof/>
        </w:rPr>
        <w:t>5</w:t>
      </w:r>
    </w:p>
    <w:p w14:paraId="2BE0C12C" w14:textId="77777777" w:rsidR="00240B32" w:rsidRPr="00240B32" w:rsidRDefault="00240B32" w:rsidP="0005633F">
      <w:pPr>
        <w:pStyle w:val="TOC2"/>
        <w:rPr>
          <w:noProof/>
        </w:rPr>
      </w:pPr>
      <w:r w:rsidRPr="00240B32">
        <w:rPr>
          <w:noProof/>
        </w:rPr>
        <w:t>A.5.</w:t>
      </w:r>
      <w:r w:rsidRPr="00240B32">
        <w:rPr>
          <w:noProof/>
        </w:rPr>
        <w:tab/>
        <w:t>Impact on Small Businesses or Other Small Entities</w:t>
      </w:r>
      <w:r w:rsidRPr="00240B32">
        <w:rPr>
          <w:noProof/>
        </w:rPr>
        <w:tab/>
      </w:r>
      <w:r w:rsidRPr="00240B32">
        <w:rPr>
          <w:noProof/>
        </w:rPr>
        <w:tab/>
      </w:r>
      <w:r>
        <w:rPr>
          <w:noProof/>
        </w:rPr>
        <w:tab/>
      </w:r>
      <w:r w:rsidR="00C26C47">
        <w:rPr>
          <w:noProof/>
        </w:rPr>
        <w:tab/>
      </w:r>
      <w:r w:rsidR="00C26C47">
        <w:rPr>
          <w:noProof/>
        </w:rPr>
        <w:tab/>
      </w:r>
      <w:r w:rsidR="00895E19">
        <w:rPr>
          <w:noProof/>
        </w:rPr>
        <w:t>5</w:t>
      </w:r>
    </w:p>
    <w:p w14:paraId="685F921E" w14:textId="77777777" w:rsidR="00240B32" w:rsidRPr="00240B32" w:rsidRDefault="00240B32" w:rsidP="0005633F">
      <w:pPr>
        <w:pStyle w:val="TOC2"/>
        <w:rPr>
          <w:noProof/>
        </w:rPr>
      </w:pPr>
      <w:r w:rsidRPr="00240B32">
        <w:rPr>
          <w:noProof/>
        </w:rPr>
        <w:t>A.6.</w:t>
      </w:r>
      <w:r w:rsidRPr="00240B32">
        <w:rPr>
          <w:noProof/>
        </w:rPr>
        <w:tab/>
        <w:t>Consequences of Collecting the Information Less Frequently</w:t>
      </w:r>
      <w:r w:rsidRPr="00240B32">
        <w:rPr>
          <w:noProof/>
        </w:rPr>
        <w:tab/>
      </w:r>
      <w:r w:rsidRPr="00240B32">
        <w:rPr>
          <w:noProof/>
        </w:rPr>
        <w:tab/>
      </w:r>
      <w:r w:rsidR="00C26C47">
        <w:rPr>
          <w:noProof/>
        </w:rPr>
        <w:tab/>
      </w:r>
      <w:r w:rsidR="00C26C47">
        <w:rPr>
          <w:noProof/>
        </w:rPr>
        <w:tab/>
      </w:r>
      <w:r w:rsidR="00895E19">
        <w:rPr>
          <w:noProof/>
        </w:rPr>
        <w:t>5</w:t>
      </w:r>
    </w:p>
    <w:p w14:paraId="357580A3" w14:textId="77777777" w:rsidR="00240B32" w:rsidRPr="00240B32" w:rsidRDefault="00240B32" w:rsidP="0005633F">
      <w:pPr>
        <w:pStyle w:val="TOC2"/>
        <w:rPr>
          <w:noProof/>
        </w:rPr>
      </w:pPr>
      <w:r w:rsidRPr="00240B32">
        <w:rPr>
          <w:noProof/>
        </w:rPr>
        <w:t>A.7.</w:t>
      </w:r>
      <w:r w:rsidRPr="00240B32">
        <w:rPr>
          <w:noProof/>
        </w:rPr>
        <w:tab/>
        <w:t>Special Circumstances Relating to the G</w:t>
      </w:r>
      <w:r w:rsidR="00895E19">
        <w:rPr>
          <w:noProof/>
        </w:rPr>
        <w:t>uidelines of 5 CFR 1320.5(d)2</w:t>
      </w:r>
      <w:r w:rsidR="00895E19">
        <w:rPr>
          <w:noProof/>
        </w:rPr>
        <w:tab/>
      </w:r>
      <w:r w:rsidR="00C26C47">
        <w:rPr>
          <w:noProof/>
        </w:rPr>
        <w:tab/>
      </w:r>
      <w:r w:rsidR="00C26C47">
        <w:rPr>
          <w:noProof/>
        </w:rPr>
        <w:tab/>
      </w:r>
      <w:r w:rsidR="00895E19">
        <w:rPr>
          <w:noProof/>
        </w:rPr>
        <w:t>5</w:t>
      </w:r>
    </w:p>
    <w:p w14:paraId="77D4AABA" w14:textId="77777777" w:rsidR="00240B32" w:rsidRDefault="00240B32" w:rsidP="0005633F">
      <w:pPr>
        <w:pStyle w:val="TOC2"/>
        <w:rPr>
          <w:noProof/>
        </w:rPr>
      </w:pPr>
      <w:r w:rsidRPr="00240B32">
        <w:rPr>
          <w:noProof/>
        </w:rPr>
        <w:t>A.8.</w:t>
      </w:r>
      <w:r w:rsidRPr="00240B32">
        <w:rPr>
          <w:noProof/>
        </w:rPr>
        <w:tab/>
        <w:t xml:space="preserve">Comments in Response to the Federal Register Notice and </w:t>
      </w:r>
      <w:r>
        <w:rPr>
          <w:noProof/>
        </w:rPr>
        <w:t>Efforts to</w:t>
      </w:r>
    </w:p>
    <w:p w14:paraId="34A6A6A5" w14:textId="77777777" w:rsidR="00240B32" w:rsidRPr="00240B32" w:rsidRDefault="00240B32" w:rsidP="00C26C47">
      <w:pPr>
        <w:pStyle w:val="TOC2"/>
        <w:ind w:firstLine="720"/>
        <w:rPr>
          <w:noProof/>
        </w:rPr>
      </w:pPr>
      <w:r w:rsidRPr="00240B32">
        <w:rPr>
          <w:noProof/>
        </w:rPr>
        <w:t>Consult Outside the Agency</w:t>
      </w:r>
      <w:r w:rsidRPr="00240B32">
        <w:rPr>
          <w:noProof/>
        </w:rPr>
        <w:tab/>
      </w:r>
      <w:r w:rsidRPr="00240B32">
        <w:rPr>
          <w:noProof/>
        </w:rPr>
        <w:tab/>
      </w:r>
      <w:r>
        <w:rPr>
          <w:noProof/>
        </w:rPr>
        <w:tab/>
      </w:r>
      <w:r>
        <w:rPr>
          <w:noProof/>
        </w:rPr>
        <w:tab/>
      </w:r>
      <w:r>
        <w:rPr>
          <w:noProof/>
        </w:rPr>
        <w:tab/>
      </w:r>
      <w:r>
        <w:rPr>
          <w:noProof/>
        </w:rPr>
        <w:tab/>
      </w:r>
      <w:r w:rsidR="00C26C47">
        <w:rPr>
          <w:noProof/>
        </w:rPr>
        <w:tab/>
      </w:r>
      <w:r w:rsidR="00C26C47">
        <w:rPr>
          <w:noProof/>
        </w:rPr>
        <w:tab/>
      </w:r>
      <w:r w:rsidR="00895E19">
        <w:rPr>
          <w:noProof/>
        </w:rPr>
        <w:t>5</w:t>
      </w:r>
    </w:p>
    <w:p w14:paraId="7853D231" w14:textId="77777777" w:rsidR="00240B32" w:rsidRPr="00240B32" w:rsidRDefault="00240B32" w:rsidP="0005633F">
      <w:pPr>
        <w:pStyle w:val="TOC2"/>
        <w:rPr>
          <w:noProof/>
        </w:rPr>
      </w:pPr>
      <w:r w:rsidRPr="00240B32">
        <w:rPr>
          <w:noProof/>
        </w:rPr>
        <w:t>A.9.</w:t>
      </w:r>
      <w:r w:rsidRPr="00240B32">
        <w:rPr>
          <w:noProof/>
        </w:rPr>
        <w:tab/>
        <w:t>Explanation of Any Payment or Gift to Respondents</w:t>
      </w:r>
      <w:r w:rsidRPr="00240B32">
        <w:rPr>
          <w:noProof/>
        </w:rPr>
        <w:tab/>
      </w:r>
      <w:r w:rsidRPr="00240B32">
        <w:rPr>
          <w:noProof/>
        </w:rPr>
        <w:tab/>
      </w:r>
      <w:r>
        <w:rPr>
          <w:noProof/>
        </w:rPr>
        <w:tab/>
      </w:r>
      <w:r w:rsidR="00C26C47">
        <w:rPr>
          <w:noProof/>
        </w:rPr>
        <w:tab/>
      </w:r>
      <w:r w:rsidR="00C26C47">
        <w:rPr>
          <w:noProof/>
        </w:rPr>
        <w:tab/>
      </w:r>
      <w:r w:rsidR="00895E19">
        <w:rPr>
          <w:noProof/>
        </w:rPr>
        <w:t>7</w:t>
      </w:r>
    </w:p>
    <w:p w14:paraId="42B3A23A" w14:textId="77777777" w:rsidR="0016057B" w:rsidRPr="00922191" w:rsidRDefault="00240B32" w:rsidP="0005633F">
      <w:pPr>
        <w:pStyle w:val="TOC2"/>
        <w:rPr>
          <w:noProof/>
        </w:rPr>
      </w:pPr>
      <w:r w:rsidRPr="00240B32">
        <w:rPr>
          <w:noProof/>
        </w:rPr>
        <w:t>A.10.</w:t>
      </w:r>
      <w:r w:rsidRPr="00240B32">
        <w:rPr>
          <w:noProof/>
        </w:rPr>
        <w:tab/>
      </w:r>
      <w:r w:rsidR="00F66891" w:rsidRPr="00F66891">
        <w:rPr>
          <w:noProof/>
        </w:rPr>
        <w:t xml:space="preserve">Protection of the  </w:t>
      </w:r>
      <w:r w:rsidR="00AF4DBD" w:rsidRPr="00922191">
        <w:rPr>
          <w:noProof/>
        </w:rPr>
        <w:t xml:space="preserve">Privacy  and Confidentiality of Information Provided  </w:t>
      </w:r>
    </w:p>
    <w:p w14:paraId="006371CD" w14:textId="77777777" w:rsidR="00240B32" w:rsidRPr="00240B32" w:rsidRDefault="00AF4DBD" w:rsidP="00C26C47">
      <w:pPr>
        <w:pStyle w:val="TOC2"/>
        <w:ind w:firstLine="720"/>
        <w:rPr>
          <w:noProof/>
        </w:rPr>
      </w:pPr>
      <w:r w:rsidRPr="00922191">
        <w:rPr>
          <w:noProof/>
        </w:rPr>
        <w:t>by  Respondents</w:t>
      </w:r>
      <w:r w:rsidR="00240B32">
        <w:rPr>
          <w:noProof/>
        </w:rPr>
        <w:tab/>
      </w:r>
      <w:r w:rsidR="00895E19">
        <w:rPr>
          <w:noProof/>
        </w:rPr>
        <w:tab/>
      </w:r>
      <w:r w:rsidR="0016057B">
        <w:rPr>
          <w:noProof/>
        </w:rPr>
        <w:tab/>
      </w:r>
      <w:r w:rsidR="0016057B">
        <w:rPr>
          <w:noProof/>
        </w:rPr>
        <w:tab/>
      </w:r>
      <w:r w:rsidR="0016057B">
        <w:rPr>
          <w:noProof/>
        </w:rPr>
        <w:tab/>
      </w:r>
      <w:r w:rsidR="0016057B">
        <w:rPr>
          <w:noProof/>
        </w:rPr>
        <w:tab/>
      </w:r>
      <w:r w:rsidR="0016057B">
        <w:rPr>
          <w:noProof/>
        </w:rPr>
        <w:tab/>
      </w:r>
      <w:r w:rsidR="00C26C47">
        <w:rPr>
          <w:noProof/>
        </w:rPr>
        <w:tab/>
      </w:r>
      <w:r w:rsidR="00C26C47">
        <w:rPr>
          <w:noProof/>
        </w:rPr>
        <w:tab/>
      </w:r>
      <w:r w:rsidR="00895E19">
        <w:rPr>
          <w:noProof/>
        </w:rPr>
        <w:t>7</w:t>
      </w:r>
    </w:p>
    <w:p w14:paraId="02117A14" w14:textId="77777777" w:rsidR="000630BD" w:rsidRDefault="00240B32" w:rsidP="0005633F">
      <w:pPr>
        <w:pStyle w:val="TOC2"/>
        <w:rPr>
          <w:noProof/>
        </w:rPr>
      </w:pPr>
      <w:r w:rsidRPr="00240B32">
        <w:rPr>
          <w:noProof/>
        </w:rPr>
        <w:t>A.11.</w:t>
      </w:r>
      <w:r w:rsidRPr="00240B32">
        <w:rPr>
          <w:noProof/>
        </w:rPr>
        <w:tab/>
      </w:r>
      <w:r w:rsidR="005B4A5C" w:rsidRPr="005B4A5C">
        <w:rPr>
          <w:noProof/>
        </w:rPr>
        <w:t>Instit</w:t>
      </w:r>
      <w:r w:rsidR="000630BD">
        <w:rPr>
          <w:noProof/>
        </w:rPr>
        <w:t xml:space="preserve">utional Review Board (IRB) and </w:t>
      </w:r>
      <w:r w:rsidR="005B4A5C" w:rsidRPr="005B4A5C">
        <w:rPr>
          <w:noProof/>
        </w:rPr>
        <w:t xml:space="preserve">Justification for Sensitive </w:t>
      </w:r>
    </w:p>
    <w:p w14:paraId="7384F202" w14:textId="77777777" w:rsidR="00240B32" w:rsidRPr="00240B32" w:rsidRDefault="005B4A5C" w:rsidP="00C26C47">
      <w:pPr>
        <w:pStyle w:val="TOC2"/>
        <w:ind w:firstLine="720"/>
        <w:rPr>
          <w:noProof/>
        </w:rPr>
      </w:pPr>
      <w:r w:rsidRPr="005B4A5C">
        <w:rPr>
          <w:noProof/>
        </w:rPr>
        <w:t>Questions</w:t>
      </w:r>
      <w:r w:rsidRPr="005B4A5C" w:rsidDel="005B4A5C">
        <w:rPr>
          <w:noProof/>
        </w:rPr>
        <w:t xml:space="preserve"> </w:t>
      </w:r>
      <w:r w:rsidR="00240B32">
        <w:rPr>
          <w:noProof/>
        </w:rPr>
        <w:tab/>
      </w:r>
      <w:r w:rsidR="00895E19">
        <w:rPr>
          <w:noProof/>
        </w:rPr>
        <w:tab/>
      </w:r>
      <w:r w:rsidR="000630BD">
        <w:rPr>
          <w:noProof/>
        </w:rPr>
        <w:tab/>
      </w:r>
      <w:r w:rsidR="000630BD">
        <w:rPr>
          <w:noProof/>
        </w:rPr>
        <w:tab/>
      </w:r>
      <w:r w:rsidR="000630BD">
        <w:rPr>
          <w:noProof/>
        </w:rPr>
        <w:tab/>
      </w:r>
      <w:r w:rsidR="000630BD">
        <w:rPr>
          <w:noProof/>
        </w:rPr>
        <w:tab/>
      </w:r>
      <w:r w:rsidR="000630BD">
        <w:rPr>
          <w:noProof/>
        </w:rPr>
        <w:tab/>
      </w:r>
      <w:r w:rsidR="000630BD">
        <w:rPr>
          <w:noProof/>
        </w:rPr>
        <w:tab/>
      </w:r>
      <w:r w:rsidR="00C26C47">
        <w:rPr>
          <w:noProof/>
        </w:rPr>
        <w:tab/>
      </w:r>
      <w:r w:rsidR="00C26C47">
        <w:rPr>
          <w:noProof/>
        </w:rPr>
        <w:tab/>
      </w:r>
      <w:r w:rsidR="00895E19">
        <w:rPr>
          <w:noProof/>
        </w:rPr>
        <w:t>8</w:t>
      </w:r>
    </w:p>
    <w:p w14:paraId="4E452D67" w14:textId="77777777" w:rsidR="00240B32" w:rsidRPr="00240B32" w:rsidRDefault="00240B32" w:rsidP="0005633F">
      <w:pPr>
        <w:pStyle w:val="TOC2"/>
        <w:rPr>
          <w:noProof/>
        </w:rPr>
      </w:pPr>
      <w:r w:rsidRPr="00240B32">
        <w:rPr>
          <w:noProof/>
        </w:rPr>
        <w:t>A.12.</w:t>
      </w:r>
      <w:r w:rsidRPr="00240B32">
        <w:rPr>
          <w:noProof/>
        </w:rPr>
        <w:tab/>
        <w:t>Estimates of Annualized Burden Hours and Costs</w:t>
      </w:r>
      <w:r w:rsidRPr="00240B32">
        <w:rPr>
          <w:noProof/>
        </w:rPr>
        <w:tab/>
      </w:r>
      <w:r w:rsidRPr="00240B32">
        <w:rPr>
          <w:noProof/>
        </w:rPr>
        <w:tab/>
      </w:r>
      <w:r>
        <w:rPr>
          <w:noProof/>
        </w:rPr>
        <w:tab/>
      </w:r>
      <w:r w:rsidR="00C26C47">
        <w:rPr>
          <w:noProof/>
        </w:rPr>
        <w:tab/>
      </w:r>
      <w:r w:rsidR="00C26C47">
        <w:rPr>
          <w:noProof/>
        </w:rPr>
        <w:tab/>
      </w:r>
      <w:r w:rsidR="00895E19">
        <w:rPr>
          <w:noProof/>
        </w:rPr>
        <w:t>9</w:t>
      </w:r>
    </w:p>
    <w:p w14:paraId="4EEB979E" w14:textId="77777777" w:rsidR="000630BD" w:rsidRDefault="00240B32" w:rsidP="00081BA7">
      <w:pPr>
        <w:pStyle w:val="TOC2"/>
        <w:rPr>
          <w:noProof/>
        </w:rPr>
      </w:pPr>
      <w:r w:rsidRPr="00240B32">
        <w:rPr>
          <w:noProof/>
        </w:rPr>
        <w:t>A.13.</w:t>
      </w:r>
      <w:r w:rsidRPr="00240B32">
        <w:rPr>
          <w:noProof/>
        </w:rPr>
        <w:tab/>
        <w:t>Estimates of Other Total An</w:t>
      </w:r>
      <w:r>
        <w:rPr>
          <w:noProof/>
        </w:rPr>
        <w:t>nual Cost Burden to Respondents</w:t>
      </w:r>
      <w:r w:rsidR="00922191">
        <w:rPr>
          <w:noProof/>
        </w:rPr>
        <w:t xml:space="preserve"> </w:t>
      </w:r>
      <w:r w:rsidRPr="00240B32">
        <w:rPr>
          <w:noProof/>
        </w:rPr>
        <w:t xml:space="preserve">or </w:t>
      </w:r>
    </w:p>
    <w:p w14:paraId="3F246203" w14:textId="77777777" w:rsidR="00240B32" w:rsidRPr="00240B32" w:rsidRDefault="00240B32" w:rsidP="00C26C47">
      <w:pPr>
        <w:pStyle w:val="TOC2"/>
        <w:ind w:firstLine="720"/>
        <w:rPr>
          <w:noProof/>
        </w:rPr>
      </w:pPr>
      <w:r w:rsidRPr="00240B32">
        <w:rPr>
          <w:noProof/>
        </w:rPr>
        <w:t>Record Keepers</w:t>
      </w:r>
      <w:r w:rsidRPr="00240B32">
        <w:rPr>
          <w:noProof/>
        </w:rPr>
        <w:tab/>
      </w:r>
      <w:r w:rsidR="00895E19">
        <w:rPr>
          <w:noProof/>
        </w:rPr>
        <w:tab/>
      </w:r>
      <w:r w:rsidR="000630BD">
        <w:rPr>
          <w:noProof/>
        </w:rPr>
        <w:tab/>
      </w:r>
      <w:r w:rsidR="000630BD">
        <w:rPr>
          <w:noProof/>
        </w:rPr>
        <w:tab/>
      </w:r>
      <w:r w:rsidR="000630BD">
        <w:rPr>
          <w:noProof/>
        </w:rPr>
        <w:tab/>
      </w:r>
      <w:r w:rsidR="000630BD">
        <w:rPr>
          <w:noProof/>
        </w:rPr>
        <w:tab/>
      </w:r>
      <w:r w:rsidR="000630BD">
        <w:rPr>
          <w:noProof/>
        </w:rPr>
        <w:tab/>
      </w:r>
      <w:r w:rsidR="000630BD">
        <w:rPr>
          <w:noProof/>
        </w:rPr>
        <w:tab/>
      </w:r>
      <w:r w:rsidR="00C26C47">
        <w:rPr>
          <w:noProof/>
        </w:rPr>
        <w:tab/>
      </w:r>
      <w:r w:rsidR="00C26C47">
        <w:rPr>
          <w:noProof/>
        </w:rPr>
        <w:tab/>
      </w:r>
      <w:r w:rsidR="00895E19">
        <w:rPr>
          <w:noProof/>
        </w:rPr>
        <w:t>9</w:t>
      </w:r>
    </w:p>
    <w:p w14:paraId="71D0F038" w14:textId="77777777" w:rsidR="00240B32" w:rsidRPr="00240B32" w:rsidRDefault="00240B32" w:rsidP="0005633F">
      <w:pPr>
        <w:pStyle w:val="TOC2"/>
        <w:rPr>
          <w:noProof/>
        </w:rPr>
      </w:pPr>
      <w:r w:rsidRPr="00240B32">
        <w:rPr>
          <w:noProof/>
        </w:rPr>
        <w:t>A.14.</w:t>
      </w:r>
      <w:r w:rsidRPr="00240B32">
        <w:rPr>
          <w:noProof/>
        </w:rPr>
        <w:tab/>
        <w:t>Annualized Cost to the Government</w:t>
      </w:r>
      <w:r w:rsidRPr="00240B32">
        <w:rPr>
          <w:noProof/>
        </w:rPr>
        <w:tab/>
      </w:r>
      <w:r w:rsidRPr="00240B32">
        <w:rPr>
          <w:noProof/>
        </w:rPr>
        <w:tab/>
      </w:r>
      <w:r>
        <w:rPr>
          <w:noProof/>
        </w:rPr>
        <w:tab/>
      </w:r>
      <w:r>
        <w:rPr>
          <w:noProof/>
        </w:rPr>
        <w:tab/>
      </w:r>
      <w:r>
        <w:rPr>
          <w:noProof/>
        </w:rPr>
        <w:tab/>
      </w:r>
      <w:r w:rsidR="00C26C47">
        <w:rPr>
          <w:noProof/>
        </w:rPr>
        <w:tab/>
      </w:r>
      <w:r w:rsidR="00C26C47">
        <w:rPr>
          <w:noProof/>
        </w:rPr>
        <w:tab/>
      </w:r>
      <w:r w:rsidR="00895E19">
        <w:rPr>
          <w:noProof/>
        </w:rPr>
        <w:t>10</w:t>
      </w:r>
    </w:p>
    <w:p w14:paraId="779C7A18" w14:textId="77777777" w:rsidR="00240B32" w:rsidRPr="00240B32" w:rsidRDefault="00240B32" w:rsidP="0005633F">
      <w:pPr>
        <w:pStyle w:val="TOC2"/>
        <w:rPr>
          <w:noProof/>
        </w:rPr>
      </w:pPr>
      <w:r w:rsidRPr="00240B32">
        <w:rPr>
          <w:noProof/>
        </w:rPr>
        <w:t>A.15.</w:t>
      </w:r>
      <w:r w:rsidRPr="00240B32">
        <w:rPr>
          <w:noProof/>
        </w:rPr>
        <w:tab/>
        <w:t>Explanation for Program Changes or Adjustments</w:t>
      </w:r>
      <w:r w:rsidRPr="00240B32">
        <w:rPr>
          <w:noProof/>
        </w:rPr>
        <w:tab/>
      </w:r>
      <w:r w:rsidRPr="00240B32">
        <w:rPr>
          <w:noProof/>
        </w:rPr>
        <w:tab/>
      </w:r>
      <w:r>
        <w:rPr>
          <w:noProof/>
        </w:rPr>
        <w:tab/>
      </w:r>
      <w:r w:rsidR="00C26C47">
        <w:rPr>
          <w:noProof/>
        </w:rPr>
        <w:tab/>
      </w:r>
      <w:r w:rsidR="00C26C47">
        <w:rPr>
          <w:noProof/>
        </w:rPr>
        <w:tab/>
      </w:r>
      <w:r w:rsidR="00895E19">
        <w:rPr>
          <w:noProof/>
        </w:rPr>
        <w:t>10</w:t>
      </w:r>
    </w:p>
    <w:p w14:paraId="4904DE55" w14:textId="77777777" w:rsidR="00240B32" w:rsidRPr="00240B32" w:rsidRDefault="00240B32" w:rsidP="0005633F">
      <w:pPr>
        <w:pStyle w:val="TOC2"/>
        <w:rPr>
          <w:noProof/>
        </w:rPr>
      </w:pPr>
      <w:r w:rsidRPr="00240B32">
        <w:rPr>
          <w:noProof/>
        </w:rPr>
        <w:t>A.16.</w:t>
      </w:r>
      <w:r w:rsidRPr="00240B32">
        <w:rPr>
          <w:noProof/>
        </w:rPr>
        <w:tab/>
        <w:t>Plans for Tabulation and Publication and Project Time Schedule</w:t>
      </w:r>
      <w:r w:rsidRPr="00240B32">
        <w:rPr>
          <w:noProof/>
        </w:rPr>
        <w:tab/>
      </w:r>
      <w:r>
        <w:rPr>
          <w:noProof/>
        </w:rPr>
        <w:tab/>
      </w:r>
      <w:r w:rsidR="00C26C47">
        <w:rPr>
          <w:noProof/>
        </w:rPr>
        <w:tab/>
      </w:r>
      <w:r w:rsidR="00C26C47">
        <w:rPr>
          <w:noProof/>
        </w:rPr>
        <w:tab/>
      </w:r>
      <w:r w:rsidR="00895E19">
        <w:rPr>
          <w:noProof/>
        </w:rPr>
        <w:t>10</w:t>
      </w:r>
    </w:p>
    <w:p w14:paraId="5AD24735" w14:textId="77777777" w:rsidR="00240B32" w:rsidRPr="00240B32" w:rsidRDefault="00240B32" w:rsidP="0005633F">
      <w:pPr>
        <w:pStyle w:val="TOC2"/>
        <w:rPr>
          <w:noProof/>
        </w:rPr>
      </w:pPr>
      <w:r w:rsidRPr="00240B32">
        <w:rPr>
          <w:noProof/>
        </w:rPr>
        <w:t>A.17.</w:t>
      </w:r>
      <w:r w:rsidRPr="00240B32">
        <w:rPr>
          <w:noProof/>
        </w:rPr>
        <w:tab/>
        <w:t>Reason(s) Display of OMB Expiration Date is Inappropriate</w:t>
      </w:r>
      <w:r w:rsidRPr="00240B32">
        <w:rPr>
          <w:noProof/>
        </w:rPr>
        <w:tab/>
      </w:r>
      <w:r w:rsidRPr="00240B32">
        <w:rPr>
          <w:noProof/>
        </w:rPr>
        <w:tab/>
      </w:r>
      <w:r w:rsidR="00C26C47">
        <w:rPr>
          <w:noProof/>
        </w:rPr>
        <w:tab/>
      </w:r>
      <w:r w:rsidR="00C26C47">
        <w:rPr>
          <w:noProof/>
        </w:rPr>
        <w:tab/>
      </w:r>
      <w:r w:rsidR="00895E19">
        <w:rPr>
          <w:noProof/>
        </w:rPr>
        <w:t>11</w:t>
      </w:r>
    </w:p>
    <w:p w14:paraId="50029E69" w14:textId="77777777" w:rsidR="00240B32" w:rsidRPr="00240B32" w:rsidRDefault="00240B32" w:rsidP="0005633F">
      <w:pPr>
        <w:pStyle w:val="TOC2"/>
        <w:rPr>
          <w:noProof/>
        </w:rPr>
      </w:pPr>
      <w:r w:rsidRPr="00240B32">
        <w:rPr>
          <w:noProof/>
        </w:rPr>
        <w:t>A.18.</w:t>
      </w:r>
      <w:r w:rsidRPr="00240B32">
        <w:rPr>
          <w:noProof/>
        </w:rPr>
        <w:tab/>
        <w:t>Exceptions to Certification for Paperwo</w:t>
      </w:r>
      <w:r w:rsidR="00895E19">
        <w:rPr>
          <w:noProof/>
        </w:rPr>
        <w:t>rk Reducation Act Submissions</w:t>
      </w:r>
      <w:r w:rsidR="00895E19">
        <w:rPr>
          <w:noProof/>
        </w:rPr>
        <w:tab/>
      </w:r>
      <w:r w:rsidR="00C26C47">
        <w:rPr>
          <w:noProof/>
        </w:rPr>
        <w:tab/>
      </w:r>
      <w:r w:rsidR="00C26C47">
        <w:rPr>
          <w:noProof/>
        </w:rPr>
        <w:tab/>
      </w:r>
      <w:r w:rsidR="00895E19">
        <w:rPr>
          <w:noProof/>
        </w:rPr>
        <w:t>11</w:t>
      </w:r>
    </w:p>
    <w:p w14:paraId="0F83FA0A" w14:textId="77777777" w:rsidR="00240B32" w:rsidRPr="00240B32" w:rsidRDefault="00240B32" w:rsidP="00240B32">
      <w:pPr>
        <w:pStyle w:val="TOC1"/>
        <w:rPr>
          <w:noProof/>
          <w:sz w:val="22"/>
          <w:szCs w:val="22"/>
        </w:rPr>
      </w:pPr>
    </w:p>
    <w:p w14:paraId="551C0795" w14:textId="77777777" w:rsidR="00240B32" w:rsidRPr="00240B32" w:rsidRDefault="00240B32" w:rsidP="00240B32">
      <w:pPr>
        <w:pStyle w:val="TOC5"/>
        <w:spacing w:after="0" w:line="240" w:lineRule="auto"/>
        <w:ind w:left="0"/>
        <w:rPr>
          <w:rFonts w:ascii="Times New Roman" w:hAnsi="Times New Roman" w:cs="Times New Roman"/>
          <w:noProof/>
        </w:rPr>
      </w:pPr>
    </w:p>
    <w:bookmarkEnd w:id="0"/>
    <w:p w14:paraId="2F5BB094" w14:textId="77777777" w:rsidR="006C098D" w:rsidRPr="00436890" w:rsidRDefault="006C098D" w:rsidP="006C098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sz w:val="22"/>
          <w:szCs w:val="22"/>
        </w:rPr>
      </w:pPr>
      <w:r w:rsidRPr="00436890">
        <w:rPr>
          <w:b/>
          <w:bCs/>
          <w:sz w:val="22"/>
          <w:szCs w:val="22"/>
        </w:rPr>
        <w:t>LIST OF ATTACHMENTS</w:t>
      </w:r>
    </w:p>
    <w:p w14:paraId="6B91E23F" w14:textId="77777777" w:rsidR="006C098D"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1440"/>
        <w:rPr>
          <w:rFonts w:ascii="Times New Roman" w:hAnsi="Times New Roman" w:cs="Times New Roman"/>
        </w:rPr>
      </w:pPr>
    </w:p>
    <w:tbl>
      <w:tblPr>
        <w:tblW w:w="5000" w:type="pct"/>
        <w:tblLook w:val="04A0" w:firstRow="1" w:lastRow="0" w:firstColumn="1" w:lastColumn="0" w:noHBand="0" w:noVBand="1"/>
      </w:tblPr>
      <w:tblGrid>
        <w:gridCol w:w="2203"/>
        <w:gridCol w:w="7157"/>
      </w:tblGrid>
      <w:tr w:rsidR="00D57051" w:rsidRPr="00D57051" w14:paraId="2646BFB6" w14:textId="77777777" w:rsidTr="00240B32">
        <w:trPr>
          <w:trHeight w:val="300"/>
        </w:trPr>
        <w:tc>
          <w:tcPr>
            <w:tcW w:w="1177" w:type="pct"/>
            <w:tcBorders>
              <w:top w:val="nil"/>
              <w:left w:val="nil"/>
              <w:bottom w:val="nil"/>
              <w:right w:val="nil"/>
            </w:tcBorders>
            <w:shd w:val="clear" w:color="auto" w:fill="auto"/>
            <w:noWrap/>
            <w:vAlign w:val="bottom"/>
            <w:hideMark/>
          </w:tcPr>
          <w:p w14:paraId="56A18BD6" w14:textId="77777777"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A:</w:t>
            </w:r>
          </w:p>
        </w:tc>
        <w:tc>
          <w:tcPr>
            <w:tcW w:w="3823" w:type="pct"/>
            <w:tcBorders>
              <w:top w:val="nil"/>
              <w:left w:val="nil"/>
              <w:bottom w:val="nil"/>
              <w:right w:val="nil"/>
            </w:tcBorders>
            <w:shd w:val="clear" w:color="auto" w:fill="auto"/>
            <w:noWrap/>
            <w:vAlign w:val="bottom"/>
            <w:hideMark/>
          </w:tcPr>
          <w:p w14:paraId="0E7E81D0" w14:textId="77777777"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Public Health Service Act: Sections 301 (42 U.S.C. 241)</w:t>
            </w:r>
          </w:p>
        </w:tc>
      </w:tr>
      <w:tr w:rsidR="00D57051" w:rsidRPr="00D57051" w14:paraId="6E5011BB" w14:textId="77777777" w:rsidTr="00240B32">
        <w:trPr>
          <w:trHeight w:val="300"/>
        </w:trPr>
        <w:tc>
          <w:tcPr>
            <w:tcW w:w="1177" w:type="pct"/>
            <w:tcBorders>
              <w:top w:val="nil"/>
              <w:left w:val="nil"/>
              <w:bottom w:val="nil"/>
              <w:right w:val="nil"/>
            </w:tcBorders>
            <w:shd w:val="clear" w:color="auto" w:fill="auto"/>
            <w:noWrap/>
            <w:vAlign w:val="bottom"/>
            <w:hideMark/>
          </w:tcPr>
          <w:p w14:paraId="033576F9" w14:textId="77777777" w:rsidR="002747C8"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B:</w:t>
            </w:r>
          </w:p>
        </w:tc>
        <w:tc>
          <w:tcPr>
            <w:tcW w:w="3823" w:type="pct"/>
            <w:tcBorders>
              <w:top w:val="nil"/>
              <w:left w:val="nil"/>
              <w:bottom w:val="nil"/>
              <w:right w:val="nil"/>
            </w:tcBorders>
            <w:shd w:val="clear" w:color="auto" w:fill="auto"/>
            <w:noWrap/>
            <w:vAlign w:val="bottom"/>
            <w:hideMark/>
          </w:tcPr>
          <w:p w14:paraId="3521D75E" w14:textId="77777777" w:rsidR="002747C8" w:rsidRPr="003A19B7" w:rsidRDefault="005009BD" w:rsidP="00240B32">
            <w:pPr>
              <w:spacing w:after="0" w:line="240" w:lineRule="auto"/>
              <w:rPr>
                <w:rFonts w:ascii="Times New Roman" w:eastAsia="Times New Roman" w:hAnsi="Times New Roman" w:cs="Times New Roman"/>
                <w:color w:val="000000"/>
              </w:rPr>
            </w:pPr>
            <w:r w:rsidRPr="00240B32">
              <w:rPr>
                <w:rFonts w:ascii="Times New Roman" w:eastAsia="Times New Roman" w:hAnsi="Times New Roman" w:cs="Times New Roman"/>
                <w:color w:val="000000"/>
              </w:rPr>
              <w:t>Published</w:t>
            </w:r>
            <w:r>
              <w:rPr>
                <w:rFonts w:ascii="Times New Roman" w:eastAsia="Times New Roman" w:hAnsi="Times New Roman" w:cs="Times New Roman"/>
                <w:color w:val="000000"/>
              </w:rPr>
              <w:t xml:space="preserve"> 60-Day </w:t>
            </w:r>
            <w:r w:rsidR="00D57051" w:rsidRPr="003A19B7">
              <w:rPr>
                <w:rFonts w:ascii="Times New Roman" w:eastAsia="Times New Roman" w:hAnsi="Times New Roman" w:cs="Times New Roman"/>
                <w:color w:val="000000"/>
              </w:rPr>
              <w:t>Federal Register Notice</w:t>
            </w:r>
          </w:p>
        </w:tc>
      </w:tr>
      <w:tr w:rsidR="0047731A" w:rsidRPr="00D57051" w14:paraId="58222918" w14:textId="77777777" w:rsidTr="00240B32">
        <w:trPr>
          <w:trHeight w:val="300"/>
        </w:trPr>
        <w:tc>
          <w:tcPr>
            <w:tcW w:w="1177" w:type="pct"/>
            <w:tcBorders>
              <w:top w:val="nil"/>
              <w:left w:val="nil"/>
              <w:bottom w:val="nil"/>
              <w:right w:val="nil"/>
            </w:tcBorders>
            <w:shd w:val="clear" w:color="auto" w:fill="auto"/>
            <w:noWrap/>
            <w:vAlign w:val="bottom"/>
          </w:tcPr>
          <w:p w14:paraId="10C528F3" w14:textId="77777777" w:rsidR="0047731A" w:rsidRPr="003A19B7" w:rsidRDefault="0047731A"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w:t>
            </w:r>
            <w:r w:rsidR="00C26C47">
              <w:rPr>
                <w:rFonts w:ascii="Times New Roman" w:eastAsia="Times New Roman" w:hAnsi="Times New Roman" w:cs="Times New Roman"/>
                <w:b/>
                <w:color w:val="000000"/>
              </w:rPr>
              <w:t xml:space="preserve">t B </w:t>
            </w:r>
            <w:r>
              <w:rPr>
                <w:rFonts w:ascii="Times New Roman" w:eastAsia="Times New Roman" w:hAnsi="Times New Roman" w:cs="Times New Roman"/>
                <w:b/>
                <w:color w:val="000000"/>
              </w:rPr>
              <w:t>1-2:</w:t>
            </w:r>
          </w:p>
        </w:tc>
        <w:tc>
          <w:tcPr>
            <w:tcW w:w="3823" w:type="pct"/>
            <w:tcBorders>
              <w:top w:val="nil"/>
              <w:left w:val="nil"/>
              <w:bottom w:val="nil"/>
              <w:right w:val="nil"/>
            </w:tcBorders>
            <w:shd w:val="clear" w:color="auto" w:fill="auto"/>
            <w:noWrap/>
            <w:vAlign w:val="bottom"/>
          </w:tcPr>
          <w:p w14:paraId="76C0A90C" w14:textId="77777777" w:rsidR="0047731A" w:rsidRPr="0047731A" w:rsidRDefault="0047731A" w:rsidP="0047731A">
            <w:pPr>
              <w:spacing w:after="0" w:line="240" w:lineRule="auto"/>
              <w:rPr>
                <w:rFonts w:ascii="Times New Roman" w:eastAsia="Times New Roman" w:hAnsi="Times New Roman" w:cs="Times New Roman"/>
                <w:color w:val="000000"/>
              </w:rPr>
            </w:pPr>
            <w:r w:rsidRPr="00081BA7">
              <w:rPr>
                <w:rFonts w:ascii="Times New Roman" w:eastAsia="Times New Roman" w:hAnsi="Times New Roman" w:cs="Times New Roman"/>
                <w:color w:val="000000"/>
              </w:rPr>
              <w:t>Public comment</w:t>
            </w:r>
          </w:p>
        </w:tc>
      </w:tr>
      <w:tr w:rsidR="00D57051" w:rsidRPr="00D57051" w14:paraId="471E2048" w14:textId="77777777" w:rsidTr="00240B32">
        <w:trPr>
          <w:trHeight w:val="300"/>
        </w:trPr>
        <w:tc>
          <w:tcPr>
            <w:tcW w:w="1177" w:type="pct"/>
            <w:tcBorders>
              <w:top w:val="nil"/>
              <w:left w:val="nil"/>
              <w:bottom w:val="nil"/>
              <w:right w:val="nil"/>
            </w:tcBorders>
            <w:shd w:val="clear" w:color="auto" w:fill="auto"/>
            <w:noWrap/>
            <w:vAlign w:val="bottom"/>
            <w:hideMark/>
          </w:tcPr>
          <w:p w14:paraId="318F61C0" w14:textId="77777777"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C:</w:t>
            </w:r>
          </w:p>
        </w:tc>
        <w:tc>
          <w:tcPr>
            <w:tcW w:w="3823" w:type="pct"/>
            <w:tcBorders>
              <w:top w:val="nil"/>
              <w:left w:val="nil"/>
              <w:bottom w:val="nil"/>
              <w:right w:val="nil"/>
            </w:tcBorders>
            <w:shd w:val="clear" w:color="auto" w:fill="auto"/>
            <w:noWrap/>
            <w:vAlign w:val="bottom"/>
            <w:hideMark/>
          </w:tcPr>
          <w:p w14:paraId="64A5C908" w14:textId="188AF9C8" w:rsidR="00D57051" w:rsidRPr="003A19B7" w:rsidRDefault="005079F5"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IRB Approval</w:t>
            </w:r>
          </w:p>
        </w:tc>
      </w:tr>
      <w:tr w:rsidR="00D57051" w:rsidRPr="00D57051" w14:paraId="4BE293AB" w14:textId="77777777" w:rsidTr="00240B32">
        <w:trPr>
          <w:trHeight w:val="300"/>
        </w:trPr>
        <w:tc>
          <w:tcPr>
            <w:tcW w:w="1177" w:type="pct"/>
            <w:tcBorders>
              <w:top w:val="nil"/>
              <w:left w:val="nil"/>
              <w:bottom w:val="nil"/>
              <w:right w:val="nil"/>
            </w:tcBorders>
            <w:shd w:val="clear" w:color="auto" w:fill="auto"/>
            <w:noWrap/>
            <w:vAlign w:val="bottom"/>
            <w:hideMark/>
          </w:tcPr>
          <w:p w14:paraId="69C944F8" w14:textId="77777777" w:rsidR="00D57051" w:rsidRPr="003A19B7" w:rsidRDefault="00895E19" w:rsidP="00D5705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Attachment D</w:t>
            </w:r>
            <w:r w:rsidR="00240B32">
              <w:rPr>
                <w:rFonts w:ascii="Times New Roman" w:eastAsia="Times New Roman" w:hAnsi="Times New Roman" w:cs="Times New Roman"/>
                <w:b/>
                <w:color w:val="000000"/>
              </w:rPr>
              <w:t>:</w:t>
            </w:r>
          </w:p>
        </w:tc>
        <w:tc>
          <w:tcPr>
            <w:tcW w:w="3823" w:type="pct"/>
            <w:tcBorders>
              <w:top w:val="nil"/>
              <w:left w:val="nil"/>
              <w:bottom w:val="nil"/>
              <w:right w:val="nil"/>
            </w:tcBorders>
            <w:shd w:val="clear" w:color="auto" w:fill="auto"/>
            <w:noWrap/>
            <w:vAlign w:val="bottom"/>
            <w:hideMark/>
          </w:tcPr>
          <w:p w14:paraId="6967BDA0" w14:textId="77777777" w:rsidR="00D57051" w:rsidRPr="003A19B7" w:rsidRDefault="00D57051" w:rsidP="008263BC">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Outcome Survey Follow-</w:t>
            </w:r>
            <w:r w:rsidR="008263BC">
              <w:rPr>
                <w:rFonts w:ascii="Times New Roman" w:eastAsia="Times New Roman" w:hAnsi="Times New Roman" w:cs="Times New Roman"/>
                <w:color w:val="000000"/>
              </w:rPr>
              <w:t>U</w:t>
            </w:r>
            <w:r w:rsidRPr="003A19B7">
              <w:rPr>
                <w:rFonts w:ascii="Times New Roman" w:eastAsia="Times New Roman" w:hAnsi="Times New Roman" w:cs="Times New Roman"/>
                <w:color w:val="000000"/>
              </w:rPr>
              <w:t>p</w:t>
            </w:r>
          </w:p>
        </w:tc>
      </w:tr>
      <w:tr w:rsidR="00634406" w:rsidRPr="00D57051" w14:paraId="3E2291DD" w14:textId="77777777" w:rsidTr="00240B32">
        <w:trPr>
          <w:trHeight w:val="300"/>
        </w:trPr>
        <w:tc>
          <w:tcPr>
            <w:tcW w:w="1177" w:type="pct"/>
            <w:tcBorders>
              <w:top w:val="nil"/>
              <w:left w:val="nil"/>
              <w:bottom w:val="nil"/>
              <w:right w:val="nil"/>
            </w:tcBorders>
            <w:shd w:val="clear" w:color="auto" w:fill="auto"/>
            <w:noWrap/>
            <w:vAlign w:val="bottom"/>
          </w:tcPr>
          <w:p w14:paraId="4E47DA37" w14:textId="77777777" w:rsidR="00634406" w:rsidRPr="00634406" w:rsidRDefault="00895E19" w:rsidP="00634406">
            <w:pPr>
              <w:spacing w:after="0" w:line="240" w:lineRule="auto"/>
              <w:rPr>
                <w:rFonts w:ascii="Times New Roman" w:eastAsia="Times New Roman" w:hAnsi="Times New Roman" w:cs="Times New Roman"/>
                <w:b/>
                <w:color w:val="000000"/>
              </w:rPr>
            </w:pPr>
            <w:r>
              <w:rPr>
                <w:rFonts w:ascii="Times New Roman" w:hAnsi="Times New Roman" w:cs="Times New Roman"/>
                <w:b/>
                <w:color w:val="000000"/>
              </w:rPr>
              <w:t>Attachment E</w:t>
            </w:r>
            <w:r w:rsidR="00634406" w:rsidRPr="00634406">
              <w:rPr>
                <w:rFonts w:ascii="Times New Roman" w:hAnsi="Times New Roman" w:cs="Times New Roman"/>
                <w:b/>
                <w:color w:val="000000"/>
              </w:rPr>
              <w:t>:</w:t>
            </w:r>
          </w:p>
        </w:tc>
        <w:tc>
          <w:tcPr>
            <w:tcW w:w="3823" w:type="pct"/>
            <w:tcBorders>
              <w:top w:val="nil"/>
              <w:left w:val="nil"/>
              <w:bottom w:val="nil"/>
              <w:right w:val="nil"/>
            </w:tcBorders>
            <w:shd w:val="clear" w:color="auto" w:fill="auto"/>
            <w:noWrap/>
            <w:vAlign w:val="bottom"/>
          </w:tcPr>
          <w:p w14:paraId="358B5AAE" w14:textId="77777777" w:rsidR="00634406" w:rsidRPr="00634406" w:rsidRDefault="00634406" w:rsidP="003E5D59">
            <w:pPr>
              <w:spacing w:after="0" w:line="240" w:lineRule="auto"/>
              <w:rPr>
                <w:rFonts w:ascii="Times New Roman" w:eastAsia="Times New Roman" w:hAnsi="Times New Roman" w:cs="Times New Roman"/>
                <w:color w:val="000000"/>
              </w:rPr>
            </w:pPr>
            <w:r w:rsidRPr="00634406">
              <w:rPr>
                <w:rFonts w:ascii="Times New Roman" w:hAnsi="Times New Roman" w:cs="Times New Roman"/>
                <w:color w:val="000000"/>
              </w:rPr>
              <w:t xml:space="preserve">Screen shots of web-based </w:t>
            </w:r>
            <w:r w:rsidR="003E5D59">
              <w:rPr>
                <w:rFonts w:ascii="Times New Roman" w:hAnsi="Times New Roman" w:cs="Times New Roman"/>
                <w:color w:val="000000"/>
              </w:rPr>
              <w:t>student outcome survey</w:t>
            </w:r>
            <w:r w:rsidRPr="00634406">
              <w:rPr>
                <w:rFonts w:ascii="Times New Roman" w:hAnsi="Times New Roman" w:cs="Times New Roman"/>
                <w:color w:val="000000"/>
              </w:rPr>
              <w:t xml:space="preserve"> follow-up</w:t>
            </w:r>
          </w:p>
        </w:tc>
      </w:tr>
      <w:tr w:rsidR="00E662BD" w:rsidRPr="00D57051" w14:paraId="085C5B2C" w14:textId="77777777" w:rsidTr="00240B32">
        <w:trPr>
          <w:trHeight w:val="300"/>
        </w:trPr>
        <w:tc>
          <w:tcPr>
            <w:tcW w:w="1177" w:type="pct"/>
            <w:tcBorders>
              <w:top w:val="nil"/>
              <w:left w:val="nil"/>
              <w:bottom w:val="nil"/>
              <w:right w:val="nil"/>
            </w:tcBorders>
            <w:shd w:val="clear" w:color="auto" w:fill="auto"/>
            <w:noWrap/>
            <w:vAlign w:val="bottom"/>
          </w:tcPr>
          <w:p w14:paraId="4F429E28" w14:textId="77777777" w:rsidR="00E662BD" w:rsidRPr="003A19B7" w:rsidRDefault="006D4FCF" w:rsidP="00D5705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Attachment F</w:t>
            </w:r>
            <w:r w:rsidR="00C26C47">
              <w:rPr>
                <w:rFonts w:ascii="Times New Roman" w:eastAsia="Times New Roman" w:hAnsi="Times New Roman" w:cs="Times New Roman"/>
                <w:b/>
                <w:color w:val="000000"/>
              </w:rPr>
              <w:t xml:space="preserve"> </w:t>
            </w:r>
            <w:r w:rsidR="00B50821">
              <w:rPr>
                <w:rFonts w:ascii="Times New Roman" w:eastAsia="Times New Roman" w:hAnsi="Times New Roman" w:cs="Times New Roman"/>
                <w:b/>
                <w:color w:val="000000"/>
              </w:rPr>
              <w:t>1-8</w:t>
            </w:r>
            <w:r w:rsidR="00E662BD" w:rsidRPr="003A19B7">
              <w:rPr>
                <w:rFonts w:ascii="Times New Roman" w:eastAsia="Times New Roman" w:hAnsi="Times New Roman" w:cs="Times New Roman"/>
                <w:b/>
                <w:color w:val="000000"/>
              </w:rPr>
              <w:t>:</w:t>
            </w:r>
          </w:p>
        </w:tc>
        <w:tc>
          <w:tcPr>
            <w:tcW w:w="3823" w:type="pct"/>
            <w:tcBorders>
              <w:top w:val="nil"/>
              <w:left w:val="nil"/>
              <w:bottom w:val="nil"/>
              <w:right w:val="nil"/>
            </w:tcBorders>
            <w:shd w:val="clear" w:color="auto" w:fill="auto"/>
            <w:noWrap/>
            <w:vAlign w:val="bottom"/>
          </w:tcPr>
          <w:p w14:paraId="49BA3A53" w14:textId="77777777" w:rsidR="00E662BD" w:rsidRPr="003A19B7" w:rsidRDefault="00E662BD" w:rsidP="00AC1A7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Participant Assent</w:t>
            </w:r>
            <w:r w:rsidR="00B50821">
              <w:rPr>
                <w:rFonts w:ascii="Times New Roman" w:eastAsia="Times New Roman" w:hAnsi="Times New Roman" w:cs="Times New Roman"/>
                <w:color w:val="000000"/>
              </w:rPr>
              <w:t>/Consent</w:t>
            </w:r>
            <w:r>
              <w:rPr>
                <w:rFonts w:ascii="Times New Roman" w:eastAsia="Times New Roman" w:hAnsi="Times New Roman" w:cs="Times New Roman"/>
                <w:color w:val="000000"/>
              </w:rPr>
              <w:t xml:space="preserve"> Form</w:t>
            </w:r>
          </w:p>
        </w:tc>
      </w:tr>
      <w:tr w:rsidR="00F97503" w:rsidRPr="006D4FCF" w14:paraId="3DEC0555" w14:textId="77777777" w:rsidTr="00240B32">
        <w:trPr>
          <w:trHeight w:val="300"/>
        </w:trPr>
        <w:tc>
          <w:tcPr>
            <w:tcW w:w="1177" w:type="pct"/>
            <w:tcBorders>
              <w:top w:val="nil"/>
              <w:left w:val="nil"/>
              <w:bottom w:val="nil"/>
              <w:right w:val="nil"/>
            </w:tcBorders>
            <w:shd w:val="clear" w:color="auto" w:fill="auto"/>
            <w:noWrap/>
            <w:vAlign w:val="bottom"/>
          </w:tcPr>
          <w:p w14:paraId="5A22525E" w14:textId="77777777" w:rsidR="00F97503" w:rsidRPr="006D4FCF" w:rsidRDefault="006D4FCF" w:rsidP="00D57051">
            <w:pPr>
              <w:spacing w:after="0" w:line="240" w:lineRule="auto"/>
              <w:rPr>
                <w:rFonts w:ascii="Times New Roman" w:eastAsia="Times New Roman" w:hAnsi="Times New Roman" w:cs="Times New Roman"/>
                <w:b/>
                <w:color w:val="000000"/>
              </w:rPr>
            </w:pPr>
            <w:r w:rsidRPr="006D4FCF">
              <w:rPr>
                <w:rFonts w:ascii="Times New Roman" w:eastAsia="Times New Roman" w:hAnsi="Times New Roman" w:cs="Times New Roman"/>
                <w:b/>
                <w:color w:val="000000"/>
              </w:rPr>
              <w:t>Attachment G</w:t>
            </w:r>
            <w:r w:rsidR="00F97503" w:rsidRPr="006D4FCF">
              <w:rPr>
                <w:rFonts w:ascii="Times New Roman" w:eastAsia="Times New Roman" w:hAnsi="Times New Roman" w:cs="Times New Roman"/>
                <w:b/>
                <w:color w:val="000000"/>
              </w:rPr>
              <w:t>:</w:t>
            </w:r>
          </w:p>
        </w:tc>
        <w:tc>
          <w:tcPr>
            <w:tcW w:w="3823" w:type="pct"/>
            <w:tcBorders>
              <w:top w:val="nil"/>
              <w:left w:val="nil"/>
              <w:bottom w:val="nil"/>
              <w:right w:val="nil"/>
            </w:tcBorders>
            <w:shd w:val="clear" w:color="auto" w:fill="auto"/>
            <w:noWrap/>
            <w:vAlign w:val="bottom"/>
          </w:tcPr>
          <w:p w14:paraId="71BEC081" w14:textId="77777777" w:rsidR="00F97503" w:rsidRPr="006D4FCF" w:rsidRDefault="0017643D" w:rsidP="00D57051">
            <w:pPr>
              <w:spacing w:after="0" w:line="240" w:lineRule="auto"/>
              <w:rPr>
                <w:rFonts w:ascii="Times New Roman" w:eastAsia="Times New Roman" w:hAnsi="Times New Roman" w:cs="Times New Roman"/>
                <w:color w:val="000000"/>
              </w:rPr>
            </w:pPr>
            <w:r w:rsidRPr="006D4FCF">
              <w:rPr>
                <w:rFonts w:ascii="Times New Roman" w:eastAsia="Times New Roman" w:hAnsi="Times New Roman" w:cs="Times New Roman"/>
                <w:color w:val="000000"/>
              </w:rPr>
              <w:t>Parent of Student Program Participant Consent Form</w:t>
            </w:r>
          </w:p>
        </w:tc>
      </w:tr>
      <w:tr w:rsidR="00B50821" w:rsidRPr="00D57051" w14:paraId="5EEE8C3E" w14:textId="77777777" w:rsidTr="00240B32">
        <w:trPr>
          <w:trHeight w:val="300"/>
        </w:trPr>
        <w:tc>
          <w:tcPr>
            <w:tcW w:w="1177" w:type="pct"/>
            <w:tcBorders>
              <w:top w:val="nil"/>
              <w:left w:val="nil"/>
              <w:bottom w:val="nil"/>
              <w:right w:val="nil"/>
            </w:tcBorders>
            <w:shd w:val="clear" w:color="auto" w:fill="auto"/>
            <w:noWrap/>
            <w:vAlign w:val="bottom"/>
          </w:tcPr>
          <w:p w14:paraId="22955A15" w14:textId="05296E44" w:rsidR="00B50821" w:rsidRPr="006D4FCF" w:rsidRDefault="00FC7865" w:rsidP="00D5705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Attachment H</w:t>
            </w:r>
            <w:r w:rsidRPr="006D4FCF">
              <w:rPr>
                <w:rFonts w:ascii="Times New Roman" w:eastAsia="Times New Roman" w:hAnsi="Times New Roman" w:cs="Times New Roman"/>
                <w:b/>
                <w:color w:val="000000"/>
              </w:rPr>
              <w:t>:</w:t>
            </w:r>
          </w:p>
        </w:tc>
        <w:tc>
          <w:tcPr>
            <w:tcW w:w="3823" w:type="pct"/>
            <w:tcBorders>
              <w:top w:val="nil"/>
              <w:left w:val="nil"/>
              <w:bottom w:val="nil"/>
              <w:right w:val="nil"/>
            </w:tcBorders>
            <w:shd w:val="clear" w:color="auto" w:fill="auto"/>
            <w:noWrap/>
            <w:vAlign w:val="bottom"/>
          </w:tcPr>
          <w:p w14:paraId="56ADA70D" w14:textId="0A6AC229" w:rsidR="00B50821" w:rsidRPr="003A19B7" w:rsidRDefault="00FC7865" w:rsidP="00D57051">
            <w:pPr>
              <w:spacing w:after="0" w:line="240" w:lineRule="auto"/>
              <w:rPr>
                <w:rFonts w:ascii="Times New Roman" w:eastAsia="Times New Roman" w:hAnsi="Times New Roman" w:cs="Times New Roman"/>
                <w:color w:val="000000"/>
              </w:rPr>
            </w:pPr>
            <w:r w:rsidRPr="004D1903">
              <w:rPr>
                <w:rFonts w:ascii="Times New Roman" w:eastAsia="Times New Roman" w:hAnsi="Times New Roman" w:cs="Times New Roman"/>
              </w:rPr>
              <w:t>Privacy Impact Assessment (PIA)</w:t>
            </w:r>
          </w:p>
        </w:tc>
      </w:tr>
    </w:tbl>
    <w:p w14:paraId="0086FD4B" w14:textId="77777777" w:rsidR="006C098D" w:rsidRPr="00436890" w:rsidRDefault="006C098D" w:rsidP="006C098D">
      <w:pPr>
        <w:spacing w:after="0" w:line="240" w:lineRule="auto"/>
        <w:rPr>
          <w:rFonts w:ascii="Times New Roman" w:hAnsi="Times New Roman" w:cs="Times New Roman"/>
        </w:rPr>
      </w:pPr>
    </w:p>
    <w:p w14:paraId="55AFE6C2" w14:textId="77777777" w:rsidR="00B302DC" w:rsidRDefault="00B302DC">
      <w:pPr>
        <w:rPr>
          <w:rFonts w:ascii="Times New Roman" w:hAnsi="Times New Roman" w:cs="Times New Roman"/>
          <w:b/>
          <w:bCs/>
        </w:rPr>
      </w:pPr>
      <w:r>
        <w:rPr>
          <w:rFonts w:ascii="Times New Roman" w:hAnsi="Times New Roman" w:cs="Times New Roman"/>
          <w:b/>
          <w:bCs/>
        </w:rPr>
        <w:br w:type="page"/>
      </w:r>
    </w:p>
    <w:p w14:paraId="58348960" w14:textId="77777777" w:rsidR="00BB3F0B" w:rsidRDefault="00BB3F0B" w:rsidP="00BB3F0B">
      <w:pPr>
        <w:autoSpaceDE w:val="0"/>
        <w:autoSpaceDN w:val="0"/>
        <w:adjustRightInd w:val="0"/>
        <w:spacing w:after="0" w:line="240" w:lineRule="auto"/>
        <w:rPr>
          <w:rFonts w:ascii="Times New Roman" w:hAnsi="Times New Roman" w:cs="Times New Roman"/>
          <w:b/>
          <w:bCs/>
        </w:rPr>
      </w:pPr>
    </w:p>
    <w:p w14:paraId="72871890" w14:textId="77777777" w:rsidR="00BB3F0B" w:rsidRDefault="00C26C47" w:rsidP="00C26C4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Summary Table</w:t>
      </w:r>
    </w:p>
    <w:p w14:paraId="43C653B5" w14:textId="77777777" w:rsidR="00C26C47" w:rsidRDefault="00C26C47" w:rsidP="006C098D">
      <w:pPr>
        <w:autoSpaceDE w:val="0"/>
        <w:autoSpaceDN w:val="0"/>
        <w:adjustRightInd w:val="0"/>
        <w:spacing w:after="0" w:line="240" w:lineRule="auto"/>
        <w:rPr>
          <w:rFonts w:ascii="Times New Roman" w:hAnsi="Times New Roman" w:cs="Times New Roman"/>
          <w:b/>
          <w:bCs/>
        </w:rPr>
      </w:pPr>
      <w:bookmarkStart w:id="1" w:name="_Toc12183267"/>
      <w:bookmarkStart w:id="2" w:name="_Toc14160661"/>
    </w:p>
    <w:p w14:paraId="2A862949" w14:textId="77777777" w:rsidR="00C26C47" w:rsidRDefault="00C26C47" w:rsidP="006C098D">
      <w:pPr>
        <w:autoSpaceDE w:val="0"/>
        <w:autoSpaceDN w:val="0"/>
        <w:adjustRightInd w:val="0"/>
        <w:spacing w:after="0" w:line="240" w:lineRule="auto"/>
        <w:rPr>
          <w:rFonts w:ascii="Times New Roman" w:hAnsi="Times New Roman" w:cs="Times New Roman"/>
          <w:b/>
          <w:bCs/>
        </w:rPr>
      </w:pPr>
      <w:r>
        <w:rPr>
          <w:noProof/>
        </w:rPr>
        <mc:AlternateContent>
          <mc:Choice Requires="wps">
            <w:drawing>
              <wp:inline distT="0" distB="0" distL="0" distR="0" wp14:anchorId="7248E71C" wp14:editId="71D70FE2">
                <wp:extent cx="5943600" cy="4537625"/>
                <wp:effectExtent l="0" t="0" r="19050"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37625"/>
                        </a:xfrm>
                        <a:prstGeom prst="rect">
                          <a:avLst/>
                        </a:prstGeom>
                        <a:solidFill>
                          <a:srgbClr val="FFFFFF"/>
                        </a:solidFill>
                        <a:ln w="9525">
                          <a:solidFill>
                            <a:srgbClr val="000000"/>
                          </a:solidFill>
                          <a:miter lim="800000"/>
                          <a:headEnd/>
                          <a:tailEnd/>
                        </a:ln>
                      </wps:spPr>
                      <wps:txbx>
                        <w:txbxContent>
                          <w:p w14:paraId="42287B77" w14:textId="77777777" w:rsidR="005E29A4" w:rsidRDefault="005E29A4" w:rsidP="00C26C47">
                            <w:pPr>
                              <w:pStyle w:val="ListParagraph"/>
                              <w:numPr>
                                <w:ilvl w:val="0"/>
                                <w:numId w:val="14"/>
                              </w:numPr>
                              <w:rPr>
                                <w:rFonts w:ascii="Times New Roman" w:hAnsi="Times New Roman" w:cs="Times New Roman"/>
                              </w:rPr>
                            </w:pPr>
                            <w:r w:rsidRPr="00BE3702">
                              <w:rPr>
                                <w:rFonts w:ascii="Times New Roman" w:hAnsi="Times New Roman" w:cs="Times New Roman"/>
                                <w:u w:val="single"/>
                              </w:rPr>
                              <w:t>Goal of the study</w:t>
                            </w:r>
                            <w:r w:rsidRPr="00BE3702">
                              <w:rPr>
                                <w:rFonts w:ascii="Times New Roman" w:hAnsi="Times New Roman" w:cs="Times New Roman"/>
                              </w:rPr>
                              <w:t xml:space="preserve">: The primary goal of the current proposal is to continue longitudinal follow-up for CDC’s teen dating violence (TDV) prevention initiative, </w:t>
                            </w:r>
                            <w:r w:rsidRPr="00BE3702">
                              <w:rPr>
                                <w:rFonts w:ascii="Times New Roman" w:hAnsi="Times New Roman" w:cs="Times New Roman"/>
                                <w:i/>
                              </w:rPr>
                              <w:t xml:space="preserve">Dating Matters®: Strategies to Promote Healthy Teen Relationships. </w:t>
                            </w:r>
                            <w:r w:rsidRPr="000265BE">
                              <w:rPr>
                                <w:rFonts w:ascii="Times New Roman" w:hAnsi="Times New Roman" w:cs="Times New Roman"/>
                              </w:rPr>
                              <w:t>This initiative</w:t>
                            </w:r>
                            <w:r w:rsidRPr="00BE3702">
                              <w:rPr>
                                <w:rFonts w:ascii="Times New Roman" w:hAnsi="Times New Roman" w:cs="Times New Roman"/>
                              </w:rPr>
                              <w:t xml:space="preserve"> tests </w:t>
                            </w:r>
                            <w:r>
                              <w:rPr>
                                <w:rFonts w:ascii="Times New Roman" w:hAnsi="Times New Roman" w:cs="Times New Roman"/>
                              </w:rPr>
                              <w:t xml:space="preserve">the effectiveness of </w:t>
                            </w:r>
                            <w:r w:rsidRPr="00BE3702">
                              <w:rPr>
                                <w:rFonts w:ascii="Times New Roman" w:hAnsi="Times New Roman" w:cs="Times New Roman"/>
                              </w:rPr>
                              <w:t xml:space="preserve">a comprehensive approach to prevent TDV among youth in high-risk urban communities. In order to address gaps in effective prevention programming for youth in urban communities with high crime and economic disadvantage, who may be at highest risk for TDV perpetration and victimization, </w:t>
                            </w:r>
                            <w:r w:rsidRPr="00BE3702">
                              <w:rPr>
                                <w:rFonts w:ascii="Times New Roman" w:hAnsi="Times New Roman" w:cs="Times New Roman"/>
                                <w:i/>
                              </w:rPr>
                              <w:t>Dating Matters®</w:t>
                            </w:r>
                            <w:r w:rsidRPr="00BE3702">
                              <w:rPr>
                                <w:rFonts w:ascii="Times New Roman" w:hAnsi="Times New Roman" w:cs="Times New Roman"/>
                              </w:rPr>
                              <w:t xml:space="preserve"> focuses on middle school youth with universal primary prevention strategies aimed at building a foundation of healthy relationship skills before dating. </w:t>
                            </w:r>
                          </w:p>
                          <w:p w14:paraId="26155A40" w14:textId="77777777" w:rsidR="005E29A4" w:rsidRPr="00C43EA7" w:rsidRDefault="005E29A4" w:rsidP="00C26C47">
                            <w:pPr>
                              <w:pStyle w:val="ListParagraph"/>
                              <w:ind w:left="360"/>
                              <w:rPr>
                                <w:rFonts w:ascii="Times New Roman" w:hAnsi="Times New Roman" w:cs="Times New Roman"/>
                              </w:rPr>
                            </w:pPr>
                          </w:p>
                          <w:p w14:paraId="1C3410CF" w14:textId="77777777" w:rsidR="005E29A4" w:rsidRPr="00BB3F0B" w:rsidRDefault="005E29A4" w:rsidP="00C26C47">
                            <w:pPr>
                              <w:pStyle w:val="ListParagraph"/>
                              <w:numPr>
                                <w:ilvl w:val="0"/>
                                <w:numId w:val="14"/>
                              </w:numPr>
                              <w:rPr>
                                <w:rFonts w:ascii="Times New Roman" w:hAnsi="Times New Roman" w:cs="Times New Roman"/>
                              </w:rPr>
                            </w:pPr>
                            <w:r w:rsidRPr="00CD32EA">
                              <w:rPr>
                                <w:rFonts w:ascii="Times New Roman" w:hAnsi="Times New Roman" w:cs="Times New Roman"/>
                                <w:u w:val="single"/>
                              </w:rPr>
                              <w:t>Intended use of the resulting data</w:t>
                            </w:r>
                            <w:r>
                              <w:rPr>
                                <w:rFonts w:ascii="Times New Roman" w:hAnsi="Times New Roman" w:cs="Times New Roman"/>
                              </w:rPr>
                              <w:t>: T</w:t>
                            </w:r>
                            <w:r w:rsidRPr="00BB3F0B">
                              <w:rPr>
                                <w:rFonts w:ascii="Times New Roman" w:hAnsi="Times New Roman" w:cs="Times New Roman"/>
                              </w:rPr>
                              <w:t xml:space="preserve">o determine </w:t>
                            </w:r>
                            <w:r>
                              <w:rPr>
                                <w:rFonts w:ascii="Times New Roman" w:hAnsi="Times New Roman" w:cs="Times New Roman"/>
                              </w:rPr>
                              <w:t xml:space="preserve">both short- and long-term </w:t>
                            </w:r>
                            <w:r w:rsidRPr="00BB3F0B">
                              <w:rPr>
                                <w:rFonts w:ascii="Times New Roman" w:hAnsi="Times New Roman" w:cs="Times New Roman"/>
                              </w:rPr>
                              <w:t>effectiveness</w:t>
                            </w:r>
                            <w:r>
                              <w:rPr>
                                <w:rFonts w:ascii="Times New Roman" w:hAnsi="Times New Roman" w:cs="Times New Roman"/>
                              </w:rPr>
                              <w:t xml:space="preserve"> of </w:t>
                            </w:r>
                            <w:r w:rsidRPr="000265BE">
                              <w:rPr>
                                <w:rFonts w:ascii="Times New Roman" w:hAnsi="Times New Roman" w:cs="Times New Roman"/>
                              </w:rPr>
                              <w:t>Dating Matters®</w:t>
                            </w:r>
                            <w:r w:rsidRPr="00BB3F0B">
                              <w:rPr>
                                <w:rFonts w:ascii="Times New Roman" w:hAnsi="Times New Roman" w:cs="Times New Roman"/>
                              </w:rPr>
                              <w:t>.</w:t>
                            </w:r>
                            <w:r>
                              <w:rPr>
                                <w:rFonts w:ascii="Times New Roman" w:hAnsi="Times New Roman" w:cs="Times New Roman"/>
                              </w:rPr>
                              <w:t xml:space="preserve"> </w:t>
                            </w:r>
                            <w:r w:rsidRPr="000265BE">
                              <w:rPr>
                                <w:rFonts w:ascii="Times New Roman" w:hAnsi="Times New Roman" w:cs="Times New Roman"/>
                              </w:rPr>
                              <w:t>The data collection involved in this revision request will allow the evaluation of the long-term impacts of Dating Matters® as the students in the study age and move on to high school, a developmental stage in which students become more engaged in more intimate dating relationships.</w:t>
                            </w:r>
                          </w:p>
                          <w:p w14:paraId="14759A96" w14:textId="77777777" w:rsidR="005E29A4" w:rsidRPr="00BB3F0B" w:rsidRDefault="005E29A4" w:rsidP="00C26C47">
                            <w:pPr>
                              <w:pStyle w:val="ListParagraph"/>
                              <w:ind w:left="360"/>
                              <w:rPr>
                                <w:rFonts w:ascii="Times New Roman" w:hAnsi="Times New Roman" w:cs="Times New Roman"/>
                              </w:rPr>
                            </w:pPr>
                          </w:p>
                          <w:p w14:paraId="7EB8279B" w14:textId="77777777" w:rsidR="005E29A4" w:rsidRPr="00BB3F0B" w:rsidRDefault="005E29A4" w:rsidP="00C26C47">
                            <w:pPr>
                              <w:pStyle w:val="ListParagraph"/>
                              <w:numPr>
                                <w:ilvl w:val="0"/>
                                <w:numId w:val="14"/>
                              </w:numPr>
                              <w:rPr>
                                <w:rFonts w:ascii="Times New Roman" w:hAnsi="Times New Roman" w:cs="Times New Roman"/>
                              </w:rPr>
                            </w:pPr>
                            <w:r w:rsidRPr="00CD32EA">
                              <w:rPr>
                                <w:rFonts w:ascii="Times New Roman" w:hAnsi="Times New Roman" w:cs="Times New Roman"/>
                                <w:u w:val="single"/>
                              </w:rPr>
                              <w:t>Methods to be used to collect</w:t>
                            </w:r>
                            <w:r w:rsidRPr="000265BE">
                              <w:rPr>
                                <w:rFonts w:ascii="Times New Roman" w:hAnsi="Times New Roman" w:cs="Times New Roman"/>
                                <w:u w:val="single"/>
                              </w:rPr>
                              <w:t>:</w:t>
                            </w:r>
                            <w:r w:rsidRPr="004F71D9">
                              <w:rPr>
                                <w:rFonts w:ascii="Times New Roman" w:hAnsi="Times New Roman" w:cs="Times New Roman"/>
                              </w:rPr>
                              <w:t xml:space="preserve"> Cluster randomized controlled trial in which 46 schools in four funded communities were randomized to either Dating Matters® or standard practice</w:t>
                            </w:r>
                            <w:r>
                              <w:rPr>
                                <w:rFonts w:ascii="Times New Roman" w:hAnsi="Times New Roman" w:cs="Times New Roman"/>
                              </w:rPr>
                              <w:t>.</w:t>
                            </w:r>
                            <w:r w:rsidRPr="004F71D9">
                              <w:rPr>
                                <w:rFonts w:ascii="Times New Roman" w:hAnsi="Times New Roman" w:cs="Times New Roman"/>
                              </w:rPr>
                              <w:t xml:space="preserve"> </w:t>
                            </w:r>
                          </w:p>
                          <w:p w14:paraId="79D47192" w14:textId="77777777" w:rsidR="005E29A4" w:rsidRPr="004F71D9" w:rsidRDefault="005E29A4" w:rsidP="00C26C47">
                            <w:pPr>
                              <w:pStyle w:val="ListParagraph"/>
                              <w:ind w:left="360"/>
                              <w:rPr>
                                <w:rFonts w:ascii="Times New Roman" w:hAnsi="Times New Roman" w:cs="Times New Roman"/>
                              </w:rPr>
                            </w:pPr>
                          </w:p>
                          <w:p w14:paraId="6615EF70" w14:textId="77777777" w:rsidR="005E29A4" w:rsidRPr="00BB3F0B" w:rsidRDefault="005E29A4" w:rsidP="00C26C47">
                            <w:pPr>
                              <w:pStyle w:val="ListParagraph"/>
                              <w:numPr>
                                <w:ilvl w:val="0"/>
                                <w:numId w:val="14"/>
                              </w:numPr>
                              <w:rPr>
                                <w:rFonts w:ascii="Times New Roman" w:hAnsi="Times New Roman" w:cs="Times New Roman"/>
                              </w:rPr>
                            </w:pPr>
                            <w:r w:rsidRPr="00CD32EA">
                              <w:rPr>
                                <w:rFonts w:ascii="Times New Roman" w:hAnsi="Times New Roman" w:cs="Times New Roman"/>
                                <w:u w:val="single"/>
                              </w:rPr>
                              <w:t>The subpopulation to be studied</w:t>
                            </w:r>
                            <w:r w:rsidRPr="000265BE">
                              <w:rPr>
                                <w:rFonts w:ascii="Times New Roman" w:hAnsi="Times New Roman" w:cs="Times New Roman"/>
                                <w:u w:val="single"/>
                              </w:rPr>
                              <w:t>:</w:t>
                            </w:r>
                            <w:r>
                              <w:rPr>
                                <w:rFonts w:ascii="Times New Roman" w:hAnsi="Times New Roman" w:cs="Times New Roman"/>
                              </w:rPr>
                              <w:t xml:space="preserve"> High school-aged youth from four </w:t>
                            </w:r>
                            <w:r w:rsidRPr="00791EFE">
                              <w:rPr>
                                <w:rFonts w:ascii="Times New Roman" w:hAnsi="Times New Roman" w:cs="Times New Roman"/>
                              </w:rPr>
                              <w:t>high-risk, urban communities</w:t>
                            </w:r>
                            <w:r>
                              <w:rPr>
                                <w:rFonts w:ascii="Times New Roman" w:hAnsi="Times New Roman" w:cs="Times New Roman"/>
                              </w:rPr>
                              <w:t xml:space="preserve"> - Alameda County, California; Baltimore, Maryland; Broward County, Florida; and, Chicago, Illinois.</w:t>
                            </w:r>
                          </w:p>
                          <w:p w14:paraId="728F9033" w14:textId="77777777" w:rsidR="005E29A4" w:rsidRPr="00BB3F0B" w:rsidRDefault="005E29A4" w:rsidP="00C26C47">
                            <w:pPr>
                              <w:pStyle w:val="ListParagraph"/>
                              <w:ind w:left="360"/>
                              <w:rPr>
                                <w:rFonts w:ascii="Times New Roman" w:hAnsi="Times New Roman" w:cs="Times New Roman"/>
                              </w:rPr>
                            </w:pPr>
                          </w:p>
                          <w:p w14:paraId="089BDFAE" w14:textId="77777777" w:rsidR="005E29A4" w:rsidRPr="005F1191" w:rsidRDefault="005E29A4" w:rsidP="00C26C47">
                            <w:pPr>
                              <w:pStyle w:val="ListParagraph"/>
                              <w:numPr>
                                <w:ilvl w:val="0"/>
                                <w:numId w:val="14"/>
                              </w:numPr>
                              <w:rPr>
                                <w:rFonts w:ascii="Times New Roman" w:hAnsi="Times New Roman" w:cs="Times New Roman"/>
                              </w:rPr>
                            </w:pPr>
                            <w:r w:rsidRPr="00CD32EA">
                              <w:rPr>
                                <w:rFonts w:ascii="Times New Roman" w:hAnsi="Times New Roman" w:cs="Times New Roman"/>
                                <w:u w:val="single"/>
                              </w:rPr>
                              <w:t>How data will be analyzed</w:t>
                            </w:r>
                            <w:r w:rsidRPr="00BB3F0B">
                              <w:rPr>
                                <w:rFonts w:ascii="Times New Roman" w:hAnsi="Times New Roman" w:cs="Times New Roman"/>
                              </w:rPr>
                              <w:t>: Hierarchical modeling accounting for nested data.</w:t>
                            </w:r>
                          </w:p>
                        </w:txbxContent>
                      </wps:txbx>
                      <wps:bodyPr rot="0" vert="horz" wrap="square" lIns="91440" tIns="45720" rIns="91440" bIns="45720" anchor="t" anchorCtr="0">
                        <a:noAutofit/>
                      </wps:bodyPr>
                    </wps:wsp>
                  </a:graphicData>
                </a:graphic>
              </wp:inline>
            </w:drawing>
          </mc:Choice>
          <mc:Fallback>
            <w:pict>
              <v:shapetype w14:anchorId="7248E71C" id="_x0000_t202" coordsize="21600,21600" o:spt="202" path="m,l,21600r21600,l21600,xe">
                <v:stroke joinstyle="miter"/>
                <v:path gradientshapeok="t" o:connecttype="rect"/>
              </v:shapetype>
              <v:shape id="Text Box 2" o:spid="_x0000_s1026" type="#_x0000_t202" style="width:468pt;height:3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">
                <v:textbox>
                  <w:txbxContent>
                    <w:p w14:paraId="42287B77" w14:textId="77777777" w:rsidR="005E29A4" w:rsidRDefault="005E29A4" w:rsidP="00C26C47">
                      <w:pPr>
                        <w:pStyle w:val="ListParagraph"/>
                        <w:numPr>
                          <w:ilvl w:val="0"/>
                          <w:numId w:val="14"/>
                        </w:numPr>
                        <w:rPr>
                          <w:rFonts w:ascii="Times New Roman" w:hAnsi="Times New Roman" w:cs="Times New Roman"/>
                        </w:rPr>
                      </w:pPr>
                      <w:r w:rsidRPr="00BE3702">
                        <w:rPr>
                          <w:rFonts w:ascii="Times New Roman" w:hAnsi="Times New Roman" w:cs="Times New Roman"/>
                          <w:u w:val="single"/>
                        </w:rPr>
                        <w:t>Goal of the study</w:t>
                      </w:r>
                      <w:r w:rsidRPr="00BE3702">
                        <w:rPr>
                          <w:rFonts w:ascii="Times New Roman" w:hAnsi="Times New Roman" w:cs="Times New Roman"/>
                        </w:rPr>
                        <w:t xml:space="preserve">: The primary goal of the current proposal is to continue longitudinal follow-up for CDC’s teen dating violence (TDV) prevention initiative, </w:t>
                      </w:r>
                      <w:r w:rsidRPr="00BE3702">
                        <w:rPr>
                          <w:rFonts w:ascii="Times New Roman" w:hAnsi="Times New Roman" w:cs="Times New Roman"/>
                          <w:i/>
                        </w:rPr>
                        <w:t xml:space="preserve">Dating Matters®: Strategies to Promote Healthy Teen Relationships. </w:t>
                      </w:r>
                      <w:r w:rsidRPr="000265BE">
                        <w:rPr>
                          <w:rFonts w:ascii="Times New Roman" w:hAnsi="Times New Roman" w:cs="Times New Roman"/>
                        </w:rPr>
                        <w:t>This initiative</w:t>
                      </w:r>
                      <w:r w:rsidRPr="00BE3702">
                        <w:rPr>
                          <w:rFonts w:ascii="Times New Roman" w:hAnsi="Times New Roman" w:cs="Times New Roman"/>
                        </w:rPr>
                        <w:t xml:space="preserve"> tests </w:t>
                      </w:r>
                      <w:r>
                        <w:rPr>
                          <w:rFonts w:ascii="Times New Roman" w:hAnsi="Times New Roman" w:cs="Times New Roman"/>
                        </w:rPr>
                        <w:t xml:space="preserve">the effectiveness of </w:t>
                      </w:r>
                      <w:r w:rsidRPr="00BE3702">
                        <w:rPr>
                          <w:rFonts w:ascii="Times New Roman" w:hAnsi="Times New Roman" w:cs="Times New Roman"/>
                        </w:rPr>
                        <w:t xml:space="preserve">a comprehensive approach to prevent TDV among youth in high-risk urban communities. In order to address gaps in effective prevention programming for youth in urban communities with high crime and economic disadvantage, who may be at highest risk for TDV perpetration and victimization, </w:t>
                      </w:r>
                      <w:r w:rsidRPr="00BE3702">
                        <w:rPr>
                          <w:rFonts w:ascii="Times New Roman" w:hAnsi="Times New Roman" w:cs="Times New Roman"/>
                          <w:i/>
                        </w:rPr>
                        <w:t>Dating Matters®</w:t>
                      </w:r>
                      <w:r w:rsidRPr="00BE3702">
                        <w:rPr>
                          <w:rFonts w:ascii="Times New Roman" w:hAnsi="Times New Roman" w:cs="Times New Roman"/>
                        </w:rPr>
                        <w:t xml:space="preserve"> focuses on middle school youth with universal primary prevention strategies aimed at building a foundation of healthy relationship skills before dating. </w:t>
                      </w:r>
                    </w:p>
                    <w:p w14:paraId="26155A40" w14:textId="77777777" w:rsidR="005E29A4" w:rsidRPr="00C43EA7" w:rsidRDefault="005E29A4" w:rsidP="00C26C47">
                      <w:pPr>
                        <w:pStyle w:val="ListParagraph"/>
                        <w:ind w:left="360"/>
                        <w:rPr>
                          <w:rFonts w:ascii="Times New Roman" w:hAnsi="Times New Roman" w:cs="Times New Roman"/>
                        </w:rPr>
                      </w:pPr>
                    </w:p>
                    <w:p w14:paraId="1C3410CF" w14:textId="77777777" w:rsidR="005E29A4" w:rsidRPr="00BB3F0B" w:rsidRDefault="005E29A4" w:rsidP="00C26C47">
                      <w:pPr>
                        <w:pStyle w:val="ListParagraph"/>
                        <w:numPr>
                          <w:ilvl w:val="0"/>
                          <w:numId w:val="14"/>
                        </w:numPr>
                        <w:rPr>
                          <w:rFonts w:ascii="Times New Roman" w:hAnsi="Times New Roman" w:cs="Times New Roman"/>
                        </w:rPr>
                      </w:pPr>
                      <w:r w:rsidRPr="00CD32EA">
                        <w:rPr>
                          <w:rFonts w:ascii="Times New Roman" w:hAnsi="Times New Roman" w:cs="Times New Roman"/>
                          <w:u w:val="single"/>
                        </w:rPr>
                        <w:t>Intended use of the resulting data</w:t>
                      </w:r>
                      <w:r>
                        <w:rPr>
                          <w:rFonts w:ascii="Times New Roman" w:hAnsi="Times New Roman" w:cs="Times New Roman"/>
                        </w:rPr>
                        <w:t>: T</w:t>
                      </w:r>
                      <w:r w:rsidRPr="00BB3F0B">
                        <w:rPr>
                          <w:rFonts w:ascii="Times New Roman" w:hAnsi="Times New Roman" w:cs="Times New Roman"/>
                        </w:rPr>
                        <w:t xml:space="preserve">o determine </w:t>
                      </w:r>
                      <w:r>
                        <w:rPr>
                          <w:rFonts w:ascii="Times New Roman" w:hAnsi="Times New Roman" w:cs="Times New Roman"/>
                        </w:rPr>
                        <w:t xml:space="preserve">both short- and long-term </w:t>
                      </w:r>
                      <w:r w:rsidRPr="00BB3F0B">
                        <w:rPr>
                          <w:rFonts w:ascii="Times New Roman" w:hAnsi="Times New Roman" w:cs="Times New Roman"/>
                        </w:rPr>
                        <w:t>effectiveness</w:t>
                      </w:r>
                      <w:r>
                        <w:rPr>
                          <w:rFonts w:ascii="Times New Roman" w:hAnsi="Times New Roman" w:cs="Times New Roman"/>
                        </w:rPr>
                        <w:t xml:space="preserve"> of </w:t>
                      </w:r>
                      <w:r w:rsidRPr="000265BE">
                        <w:rPr>
                          <w:rFonts w:ascii="Times New Roman" w:hAnsi="Times New Roman" w:cs="Times New Roman"/>
                        </w:rPr>
                        <w:t>Dating Matters®</w:t>
                      </w:r>
                      <w:r w:rsidRPr="00BB3F0B">
                        <w:rPr>
                          <w:rFonts w:ascii="Times New Roman" w:hAnsi="Times New Roman" w:cs="Times New Roman"/>
                        </w:rPr>
                        <w:t>.</w:t>
                      </w:r>
                      <w:r>
                        <w:rPr>
                          <w:rFonts w:ascii="Times New Roman" w:hAnsi="Times New Roman" w:cs="Times New Roman"/>
                        </w:rPr>
                        <w:t xml:space="preserve"> </w:t>
                      </w:r>
                      <w:r w:rsidRPr="000265BE">
                        <w:rPr>
                          <w:rFonts w:ascii="Times New Roman" w:hAnsi="Times New Roman" w:cs="Times New Roman"/>
                        </w:rPr>
                        <w:t>The data collection involved in this revision request will allow the evaluation of the long-term impacts of Dating Matters® as the students in the study age and move on to high school, a developmental stage in which students become more engaged in more intimate dating relationships.</w:t>
                      </w:r>
                    </w:p>
                    <w:p w14:paraId="14759A96" w14:textId="77777777" w:rsidR="005E29A4" w:rsidRPr="00BB3F0B" w:rsidRDefault="005E29A4" w:rsidP="00C26C47">
                      <w:pPr>
                        <w:pStyle w:val="ListParagraph"/>
                        <w:ind w:left="360"/>
                        <w:rPr>
                          <w:rFonts w:ascii="Times New Roman" w:hAnsi="Times New Roman" w:cs="Times New Roman"/>
                        </w:rPr>
                      </w:pPr>
                    </w:p>
                    <w:p w14:paraId="7EB8279B" w14:textId="77777777" w:rsidR="005E29A4" w:rsidRPr="00BB3F0B" w:rsidRDefault="005E29A4" w:rsidP="00C26C47">
                      <w:pPr>
                        <w:pStyle w:val="ListParagraph"/>
                        <w:numPr>
                          <w:ilvl w:val="0"/>
                          <w:numId w:val="14"/>
                        </w:numPr>
                        <w:rPr>
                          <w:rFonts w:ascii="Times New Roman" w:hAnsi="Times New Roman" w:cs="Times New Roman"/>
                        </w:rPr>
                      </w:pPr>
                      <w:r w:rsidRPr="00CD32EA">
                        <w:rPr>
                          <w:rFonts w:ascii="Times New Roman" w:hAnsi="Times New Roman" w:cs="Times New Roman"/>
                          <w:u w:val="single"/>
                        </w:rPr>
                        <w:t>Methods to be used to collect</w:t>
                      </w:r>
                      <w:r w:rsidRPr="000265BE">
                        <w:rPr>
                          <w:rFonts w:ascii="Times New Roman" w:hAnsi="Times New Roman" w:cs="Times New Roman"/>
                          <w:u w:val="single"/>
                        </w:rPr>
                        <w:t>:</w:t>
                      </w:r>
                      <w:r w:rsidRPr="004F71D9">
                        <w:rPr>
                          <w:rFonts w:ascii="Times New Roman" w:hAnsi="Times New Roman" w:cs="Times New Roman"/>
                        </w:rPr>
                        <w:t xml:space="preserve"> Cluster randomized controlled trial in which 46 schools in four funded communities were randomized to either Dating Matters® or standard practice</w:t>
                      </w:r>
                      <w:r>
                        <w:rPr>
                          <w:rFonts w:ascii="Times New Roman" w:hAnsi="Times New Roman" w:cs="Times New Roman"/>
                        </w:rPr>
                        <w:t>.</w:t>
                      </w:r>
                      <w:r w:rsidRPr="004F71D9">
                        <w:rPr>
                          <w:rFonts w:ascii="Times New Roman" w:hAnsi="Times New Roman" w:cs="Times New Roman"/>
                        </w:rPr>
                        <w:t xml:space="preserve"> </w:t>
                      </w:r>
                    </w:p>
                    <w:p w14:paraId="79D47192" w14:textId="77777777" w:rsidR="005E29A4" w:rsidRPr="004F71D9" w:rsidRDefault="005E29A4" w:rsidP="00C26C47">
                      <w:pPr>
                        <w:pStyle w:val="ListParagraph"/>
                        <w:ind w:left="360"/>
                        <w:rPr>
                          <w:rFonts w:ascii="Times New Roman" w:hAnsi="Times New Roman" w:cs="Times New Roman"/>
                        </w:rPr>
                      </w:pPr>
                    </w:p>
                    <w:p w14:paraId="6615EF70" w14:textId="77777777" w:rsidR="005E29A4" w:rsidRPr="00BB3F0B" w:rsidRDefault="005E29A4" w:rsidP="00C26C47">
                      <w:pPr>
                        <w:pStyle w:val="ListParagraph"/>
                        <w:numPr>
                          <w:ilvl w:val="0"/>
                          <w:numId w:val="14"/>
                        </w:numPr>
                        <w:rPr>
                          <w:rFonts w:ascii="Times New Roman" w:hAnsi="Times New Roman" w:cs="Times New Roman"/>
                        </w:rPr>
                      </w:pPr>
                      <w:r w:rsidRPr="00CD32EA">
                        <w:rPr>
                          <w:rFonts w:ascii="Times New Roman" w:hAnsi="Times New Roman" w:cs="Times New Roman"/>
                          <w:u w:val="single"/>
                        </w:rPr>
                        <w:t>The subpopulation to be studied</w:t>
                      </w:r>
                      <w:r w:rsidRPr="000265BE">
                        <w:rPr>
                          <w:rFonts w:ascii="Times New Roman" w:hAnsi="Times New Roman" w:cs="Times New Roman"/>
                          <w:u w:val="single"/>
                        </w:rPr>
                        <w:t>:</w:t>
                      </w:r>
                      <w:r>
                        <w:rPr>
                          <w:rFonts w:ascii="Times New Roman" w:hAnsi="Times New Roman" w:cs="Times New Roman"/>
                        </w:rPr>
                        <w:t xml:space="preserve"> High school-aged youth from four </w:t>
                      </w:r>
                      <w:r w:rsidRPr="00791EFE">
                        <w:rPr>
                          <w:rFonts w:ascii="Times New Roman" w:hAnsi="Times New Roman" w:cs="Times New Roman"/>
                        </w:rPr>
                        <w:t>high-risk, urban communities</w:t>
                      </w:r>
                      <w:r>
                        <w:rPr>
                          <w:rFonts w:ascii="Times New Roman" w:hAnsi="Times New Roman" w:cs="Times New Roman"/>
                        </w:rPr>
                        <w:t xml:space="preserve"> - Alameda County, California; Baltimore, Maryland; Broward County, Florida; and, Chicago, Illinois.</w:t>
                      </w:r>
                    </w:p>
                    <w:p w14:paraId="728F9033" w14:textId="77777777" w:rsidR="005E29A4" w:rsidRPr="00BB3F0B" w:rsidRDefault="005E29A4" w:rsidP="00C26C47">
                      <w:pPr>
                        <w:pStyle w:val="ListParagraph"/>
                        <w:ind w:left="360"/>
                        <w:rPr>
                          <w:rFonts w:ascii="Times New Roman" w:hAnsi="Times New Roman" w:cs="Times New Roman"/>
                        </w:rPr>
                      </w:pPr>
                    </w:p>
                    <w:p w14:paraId="089BDFAE" w14:textId="77777777" w:rsidR="005E29A4" w:rsidRPr="005F1191" w:rsidRDefault="005E29A4" w:rsidP="00C26C47">
                      <w:pPr>
                        <w:pStyle w:val="ListParagraph"/>
                        <w:numPr>
                          <w:ilvl w:val="0"/>
                          <w:numId w:val="14"/>
                        </w:numPr>
                        <w:rPr>
                          <w:rFonts w:ascii="Times New Roman" w:hAnsi="Times New Roman" w:cs="Times New Roman"/>
                        </w:rPr>
                      </w:pPr>
                      <w:r w:rsidRPr="00CD32EA">
                        <w:rPr>
                          <w:rFonts w:ascii="Times New Roman" w:hAnsi="Times New Roman" w:cs="Times New Roman"/>
                          <w:u w:val="single"/>
                        </w:rPr>
                        <w:t>How data will be analyzed</w:t>
                      </w:r>
                      <w:r w:rsidRPr="00BB3F0B">
                        <w:rPr>
                          <w:rFonts w:ascii="Times New Roman" w:hAnsi="Times New Roman" w:cs="Times New Roman"/>
                        </w:rPr>
                        <w:t>: Hierarchical modeling accounting for nested data.</w:t>
                      </w:r>
                    </w:p>
                  </w:txbxContent>
                </v:textbox>
                <w10:anchorlock/>
              </v:shape>
            </w:pict>
          </mc:Fallback>
        </mc:AlternateContent>
      </w:r>
    </w:p>
    <w:p w14:paraId="77EAA9E3" w14:textId="77777777" w:rsidR="00C26C47" w:rsidRDefault="00C26C47" w:rsidP="006C098D">
      <w:pPr>
        <w:autoSpaceDE w:val="0"/>
        <w:autoSpaceDN w:val="0"/>
        <w:adjustRightInd w:val="0"/>
        <w:spacing w:after="0" w:line="240" w:lineRule="auto"/>
        <w:rPr>
          <w:rFonts w:ascii="Times New Roman" w:hAnsi="Times New Roman" w:cs="Times New Roman"/>
          <w:b/>
          <w:bCs/>
        </w:rPr>
      </w:pPr>
    </w:p>
    <w:p w14:paraId="0084578A" w14:textId="77777777" w:rsidR="006C098D" w:rsidRPr="00436890" w:rsidRDefault="006C098D" w:rsidP="006C098D">
      <w:pPr>
        <w:autoSpaceDE w:val="0"/>
        <w:autoSpaceDN w:val="0"/>
        <w:adjustRightInd w:val="0"/>
        <w:spacing w:after="0" w:line="240" w:lineRule="auto"/>
        <w:rPr>
          <w:rFonts w:ascii="Times New Roman" w:hAnsi="Times New Roman" w:cs="Times New Roman"/>
          <w:b/>
          <w:bCs/>
        </w:rPr>
      </w:pPr>
      <w:r w:rsidRPr="00436890">
        <w:rPr>
          <w:rFonts w:ascii="Times New Roman" w:hAnsi="Times New Roman" w:cs="Times New Roman"/>
          <w:b/>
          <w:bCs/>
        </w:rPr>
        <w:t>A. Justification</w:t>
      </w:r>
    </w:p>
    <w:p w14:paraId="701EF62A" w14:textId="77777777" w:rsidR="006C098D" w:rsidRPr="00436890" w:rsidRDefault="006C098D" w:rsidP="006C098D">
      <w:pPr>
        <w:pStyle w:val="Heading2"/>
        <w:widowControl/>
        <w:autoSpaceDE/>
        <w:autoSpaceDN/>
        <w:adjustRightInd/>
        <w:rPr>
          <w:rFonts w:ascii="Times New Roman" w:hAnsi="Times New Roman" w:cs="Times New Roman"/>
          <w:sz w:val="22"/>
          <w:szCs w:val="22"/>
        </w:rPr>
      </w:pPr>
    </w:p>
    <w:p w14:paraId="6ED68977" w14:textId="77777777" w:rsidR="006C098D" w:rsidRPr="00436890" w:rsidRDefault="006C098D" w:rsidP="006C098D">
      <w:pPr>
        <w:pStyle w:val="Heading2"/>
        <w:widowControl/>
        <w:autoSpaceDE/>
        <w:autoSpaceDN/>
        <w:adjustRightInd/>
        <w:rPr>
          <w:rFonts w:ascii="Times New Roman" w:hAnsi="Times New Roman" w:cs="Times New Roman"/>
          <w:sz w:val="22"/>
          <w:szCs w:val="22"/>
        </w:rPr>
      </w:pPr>
      <w:r w:rsidRPr="00436890">
        <w:rPr>
          <w:rFonts w:ascii="Times New Roman" w:hAnsi="Times New Roman" w:cs="Times New Roman"/>
          <w:sz w:val="22"/>
          <w:szCs w:val="22"/>
        </w:rPr>
        <w:t>A.1. Circumstances Making the Collection of Information Necessary</w:t>
      </w:r>
      <w:bookmarkEnd w:id="1"/>
      <w:bookmarkEnd w:id="2"/>
    </w:p>
    <w:p w14:paraId="3764884D" w14:textId="77777777" w:rsidR="006C098D" w:rsidRDefault="006C098D" w:rsidP="006C098D">
      <w:pPr>
        <w:pStyle w:val="BodyText"/>
        <w:jc w:val="both"/>
        <w:rPr>
          <w:sz w:val="22"/>
          <w:szCs w:val="22"/>
        </w:rPr>
      </w:pPr>
    </w:p>
    <w:p w14:paraId="26CDC55F" w14:textId="77777777" w:rsidR="00792BAE" w:rsidRDefault="00792BAE" w:rsidP="000965F5">
      <w:pPr>
        <w:autoSpaceDE w:val="0"/>
        <w:autoSpaceDN w:val="0"/>
        <w:adjustRightInd w:val="0"/>
        <w:spacing w:after="0" w:line="240" w:lineRule="auto"/>
        <w:rPr>
          <w:rFonts w:ascii="Times New Roman" w:hAnsi="Times New Roman" w:cs="Times New Roman"/>
        </w:rPr>
      </w:pPr>
      <w:r w:rsidRPr="00792BAE">
        <w:rPr>
          <w:rFonts w:ascii="Times New Roman" w:hAnsi="Times New Roman" w:cs="Times New Roman"/>
        </w:rPr>
        <w:t xml:space="preserve">This is a revision request </w:t>
      </w:r>
      <w:r w:rsidR="00C26C47">
        <w:rPr>
          <w:rFonts w:ascii="Times New Roman" w:hAnsi="Times New Roman" w:cs="Times New Roman"/>
        </w:rPr>
        <w:t xml:space="preserve">for 3 years, </w:t>
      </w:r>
      <w:r w:rsidRPr="00792BAE">
        <w:rPr>
          <w:rFonts w:ascii="Times New Roman" w:hAnsi="Times New Roman" w:cs="Times New Roman"/>
        </w:rPr>
        <w:t>for the currently approved “</w:t>
      </w:r>
      <w:r w:rsidRPr="00436890">
        <w:rPr>
          <w:rFonts w:ascii="Times New Roman" w:hAnsi="Times New Roman" w:cs="Times New Roman"/>
        </w:rPr>
        <w:t xml:space="preserve">Evaluation of </w:t>
      </w:r>
      <w:r w:rsidRPr="00436890">
        <w:rPr>
          <w:rFonts w:ascii="Times New Roman" w:hAnsi="Times New Roman" w:cs="Times New Roman"/>
          <w:i/>
        </w:rPr>
        <w:t>Dating Matters</w:t>
      </w:r>
      <w:r>
        <w:rPr>
          <w:rFonts w:ascii="Times New Roman" w:hAnsi="Times New Roman" w:cs="Times New Roman"/>
          <w:i/>
        </w:rPr>
        <w:t>®</w:t>
      </w:r>
      <w:r w:rsidRPr="00436890">
        <w:rPr>
          <w:rFonts w:ascii="Times New Roman" w:hAnsi="Times New Roman" w:cs="Times New Roman"/>
          <w:i/>
        </w:rPr>
        <w:t>: Strategies to Promote Healthy Teen Relationships</w:t>
      </w:r>
      <w:r>
        <w:rPr>
          <w:rFonts w:ascii="Times New Roman" w:hAnsi="Times New Roman" w:cs="Times New Roman"/>
        </w:rPr>
        <w:t>”, OMB# 0920-0941, expiration date 5/30/2016</w:t>
      </w:r>
      <w:r w:rsidR="00C26C47">
        <w:rPr>
          <w:rFonts w:ascii="Times New Roman" w:hAnsi="Times New Roman" w:cs="Times New Roman"/>
        </w:rPr>
        <w:t>.</w:t>
      </w:r>
      <w:r>
        <w:rPr>
          <w:rFonts w:ascii="Times New Roman" w:hAnsi="Times New Roman" w:cs="Times New Roman"/>
        </w:rPr>
        <w:t xml:space="preserve"> </w:t>
      </w:r>
    </w:p>
    <w:p w14:paraId="3F19875B" w14:textId="77777777" w:rsidR="00C26C47" w:rsidRDefault="00C26C47" w:rsidP="000965F5">
      <w:pPr>
        <w:autoSpaceDE w:val="0"/>
        <w:autoSpaceDN w:val="0"/>
        <w:adjustRightInd w:val="0"/>
        <w:spacing w:after="0" w:line="240" w:lineRule="auto"/>
        <w:rPr>
          <w:rFonts w:ascii="Times New Roman" w:hAnsi="Times New Roman" w:cs="Times New Roman"/>
        </w:rPr>
      </w:pPr>
    </w:p>
    <w:p w14:paraId="516A9097" w14:textId="77777777" w:rsidR="00C26C47" w:rsidRDefault="00C26C47" w:rsidP="000965F5">
      <w:pPr>
        <w:autoSpaceDE w:val="0"/>
        <w:autoSpaceDN w:val="0"/>
        <w:adjustRightInd w:val="0"/>
        <w:spacing w:after="0" w:line="240" w:lineRule="auto"/>
        <w:rPr>
          <w:rFonts w:ascii="Times New Roman" w:hAnsi="Times New Roman" w:cs="Times New Roman"/>
        </w:rPr>
      </w:pPr>
      <w:r>
        <w:rPr>
          <w:rFonts w:ascii="Times New Roman" w:hAnsi="Times New Roman" w:cs="Times New Roman"/>
        </w:rPr>
        <w:t>Background</w:t>
      </w:r>
    </w:p>
    <w:p w14:paraId="0039C53B" w14:textId="77777777" w:rsidR="00C26C47" w:rsidRDefault="00C26C47" w:rsidP="000965F5">
      <w:pPr>
        <w:autoSpaceDE w:val="0"/>
        <w:autoSpaceDN w:val="0"/>
        <w:adjustRightInd w:val="0"/>
        <w:spacing w:after="0" w:line="240" w:lineRule="auto"/>
        <w:rPr>
          <w:rFonts w:ascii="Times New Roman" w:hAnsi="Times New Roman" w:cs="Times New Roman"/>
        </w:rPr>
      </w:pPr>
    </w:p>
    <w:p w14:paraId="435009C7" w14:textId="77777777" w:rsidR="00C26C47" w:rsidRPr="00436890" w:rsidRDefault="000965F5" w:rsidP="00C26C47">
      <w:pPr>
        <w:widowControl w:val="0"/>
        <w:spacing w:after="0" w:line="240" w:lineRule="auto"/>
        <w:rPr>
          <w:rFonts w:ascii="Times New Roman" w:hAnsi="Times New Roman" w:cs="Times New Roman"/>
        </w:rPr>
      </w:pPr>
      <w:r w:rsidRPr="00436890">
        <w:rPr>
          <w:rFonts w:ascii="Times New Roman" w:hAnsi="Times New Roman" w:cs="Times New Roman"/>
        </w:rPr>
        <w:t>The Centers for Disease Control and Prevention (CDC) is seeking</w:t>
      </w:r>
      <w:r w:rsidR="00005433">
        <w:rPr>
          <w:rFonts w:ascii="Times New Roman" w:hAnsi="Times New Roman" w:cs="Times New Roman"/>
        </w:rPr>
        <w:t xml:space="preserve"> </w:t>
      </w:r>
      <w:r w:rsidR="005943FE">
        <w:rPr>
          <w:rFonts w:ascii="Times New Roman" w:hAnsi="Times New Roman" w:cs="Times New Roman"/>
        </w:rPr>
        <w:t xml:space="preserve">a </w:t>
      </w:r>
      <w:r w:rsidR="0078566E" w:rsidRPr="00792BAE">
        <w:rPr>
          <w:rFonts w:ascii="Times New Roman" w:hAnsi="Times New Roman" w:cs="Times New Roman"/>
        </w:rPr>
        <w:t>revision</w:t>
      </w:r>
      <w:r w:rsidR="005943FE" w:rsidRPr="00792BAE">
        <w:rPr>
          <w:rFonts w:ascii="Times New Roman" w:hAnsi="Times New Roman" w:cs="Times New Roman"/>
        </w:rPr>
        <w:t xml:space="preserve"> </w:t>
      </w:r>
      <w:r w:rsidR="00005433">
        <w:rPr>
          <w:rFonts w:ascii="Times New Roman" w:hAnsi="Times New Roman" w:cs="Times New Roman"/>
        </w:rPr>
        <w:t xml:space="preserve">request </w:t>
      </w:r>
      <w:r w:rsidR="008A101A">
        <w:rPr>
          <w:rFonts w:ascii="Times New Roman" w:hAnsi="Times New Roman" w:cs="Times New Roman"/>
        </w:rPr>
        <w:t xml:space="preserve">that will enable </w:t>
      </w:r>
      <w:r w:rsidR="008A101A" w:rsidRPr="000B45E4">
        <w:rPr>
          <w:rFonts w:ascii="Times New Roman" w:hAnsi="Times New Roman" w:cs="Times New Roman"/>
        </w:rPr>
        <w:t>continued</w:t>
      </w:r>
      <w:r w:rsidR="008A101A">
        <w:rPr>
          <w:rFonts w:ascii="Times New Roman" w:hAnsi="Times New Roman" w:cs="Times New Roman"/>
        </w:rPr>
        <w:t xml:space="preserve"> longitudinal follow-up </w:t>
      </w:r>
      <w:r w:rsidR="00BF3DC4">
        <w:rPr>
          <w:rFonts w:ascii="Times New Roman" w:hAnsi="Times New Roman" w:cs="Times New Roman"/>
        </w:rPr>
        <w:t>for</w:t>
      </w:r>
      <w:r w:rsidR="008A101A">
        <w:rPr>
          <w:rFonts w:ascii="Times New Roman" w:hAnsi="Times New Roman" w:cs="Times New Roman"/>
        </w:rPr>
        <w:t xml:space="preserve"> </w:t>
      </w:r>
      <w:r w:rsidR="008A101A" w:rsidRPr="000300D2">
        <w:rPr>
          <w:rFonts w:ascii="Times New Roman" w:hAnsi="Times New Roman" w:cs="Times New Roman"/>
        </w:rPr>
        <w:t xml:space="preserve">CDC’s teen dating violence </w:t>
      </w:r>
      <w:r w:rsidR="009C673F" w:rsidRPr="000300D2">
        <w:rPr>
          <w:rFonts w:ascii="Times New Roman" w:hAnsi="Times New Roman" w:cs="Times New Roman"/>
        </w:rPr>
        <w:t xml:space="preserve">(TDV) </w:t>
      </w:r>
      <w:r w:rsidR="008A101A" w:rsidRPr="000300D2">
        <w:rPr>
          <w:rFonts w:ascii="Times New Roman" w:hAnsi="Times New Roman" w:cs="Times New Roman"/>
        </w:rPr>
        <w:t>pre</w:t>
      </w:r>
      <w:r w:rsidR="008A101A">
        <w:rPr>
          <w:rFonts w:ascii="Times New Roman" w:hAnsi="Times New Roman" w:cs="Times New Roman"/>
        </w:rPr>
        <w:t>vention</w:t>
      </w:r>
      <w:r w:rsidR="009C673F">
        <w:rPr>
          <w:rFonts w:ascii="Times New Roman" w:hAnsi="Times New Roman" w:cs="Times New Roman"/>
        </w:rPr>
        <w:t xml:space="preserve"> </w:t>
      </w:r>
      <w:r w:rsidR="008A101A">
        <w:rPr>
          <w:rFonts w:ascii="Times New Roman" w:hAnsi="Times New Roman" w:cs="Times New Roman"/>
        </w:rPr>
        <w:t xml:space="preserve">initiative, </w:t>
      </w:r>
      <w:r w:rsidR="008A101A" w:rsidRPr="00436890">
        <w:rPr>
          <w:rFonts w:ascii="Times New Roman" w:hAnsi="Times New Roman" w:cs="Times New Roman"/>
          <w:i/>
        </w:rPr>
        <w:t>Dating Matters</w:t>
      </w:r>
      <w:r w:rsidR="008A101A">
        <w:rPr>
          <w:rFonts w:ascii="Times New Roman" w:hAnsi="Times New Roman" w:cs="Times New Roman"/>
          <w:i/>
        </w:rPr>
        <w:t>®</w:t>
      </w:r>
      <w:r w:rsidR="008A101A" w:rsidRPr="00436890">
        <w:rPr>
          <w:rFonts w:ascii="Times New Roman" w:hAnsi="Times New Roman" w:cs="Times New Roman"/>
          <w:i/>
        </w:rPr>
        <w:t>: Strategies to Promote Healthy Teen Relationships</w:t>
      </w:r>
      <w:r w:rsidR="008A101A">
        <w:rPr>
          <w:rFonts w:ascii="Times New Roman" w:hAnsi="Times New Roman" w:cs="Times New Roman"/>
          <w:i/>
        </w:rPr>
        <w:t xml:space="preserve">.  </w:t>
      </w:r>
      <w:r w:rsidR="008A101A">
        <w:rPr>
          <w:rFonts w:ascii="Times New Roman" w:hAnsi="Times New Roman" w:cs="Times New Roman"/>
        </w:rPr>
        <w:t xml:space="preserve">The initial evaluation of this </w:t>
      </w:r>
      <w:r w:rsidR="00C26C47">
        <w:rPr>
          <w:rFonts w:ascii="Times New Roman" w:hAnsi="Times New Roman" w:cs="Times New Roman"/>
        </w:rPr>
        <w:t>project</w:t>
      </w:r>
      <w:r w:rsidR="00215A08">
        <w:rPr>
          <w:rFonts w:ascii="Times New Roman" w:hAnsi="Times New Roman" w:cs="Times New Roman"/>
        </w:rPr>
        <w:t>, a cluster randomized controlled trial (RCT)</w:t>
      </w:r>
      <w:r w:rsidR="009C673F">
        <w:rPr>
          <w:rFonts w:ascii="Times New Roman" w:hAnsi="Times New Roman" w:cs="Times New Roman"/>
        </w:rPr>
        <w:t>,</w:t>
      </w:r>
      <w:r w:rsidR="008A101A">
        <w:rPr>
          <w:rFonts w:ascii="Times New Roman" w:hAnsi="Times New Roman" w:cs="Times New Roman"/>
        </w:rPr>
        <w:t xml:space="preserve"> </w:t>
      </w:r>
      <w:r w:rsidR="009C673F">
        <w:rPr>
          <w:rFonts w:ascii="Times New Roman" w:hAnsi="Times New Roman" w:cs="Times New Roman"/>
        </w:rPr>
        <w:t>is covered under the current OMB-approved</w:t>
      </w:r>
      <w:r>
        <w:rPr>
          <w:rFonts w:ascii="Times New Roman" w:hAnsi="Times New Roman" w:cs="Times New Roman"/>
        </w:rPr>
        <w:t xml:space="preserve"> Information Collection Request </w:t>
      </w:r>
      <w:r w:rsidRPr="00436890">
        <w:rPr>
          <w:rFonts w:ascii="Times New Roman" w:hAnsi="Times New Roman" w:cs="Times New Roman"/>
        </w:rPr>
        <w:t xml:space="preserve">entitled, “Evaluation of </w:t>
      </w:r>
      <w:r w:rsidRPr="00436890">
        <w:rPr>
          <w:rFonts w:ascii="Times New Roman" w:hAnsi="Times New Roman" w:cs="Times New Roman"/>
          <w:i/>
        </w:rPr>
        <w:t>Dating Matters</w:t>
      </w:r>
      <w:r w:rsidR="000C279B">
        <w:rPr>
          <w:rFonts w:ascii="Times New Roman" w:hAnsi="Times New Roman" w:cs="Times New Roman"/>
          <w:i/>
        </w:rPr>
        <w:t>®</w:t>
      </w:r>
      <w:r w:rsidRPr="00436890">
        <w:rPr>
          <w:rFonts w:ascii="Times New Roman" w:hAnsi="Times New Roman" w:cs="Times New Roman"/>
          <w:i/>
        </w:rPr>
        <w:t>: Strategies to Promote Healthy Teen Relationships</w:t>
      </w:r>
      <w:r w:rsidRPr="00436890">
        <w:rPr>
          <w:rFonts w:ascii="Times New Roman" w:hAnsi="Times New Roman" w:cs="Times New Roman"/>
        </w:rPr>
        <w:t xml:space="preserve">,” </w:t>
      </w:r>
      <w:r>
        <w:rPr>
          <w:rFonts w:ascii="Times New Roman" w:hAnsi="Times New Roman" w:cs="Times New Roman"/>
        </w:rPr>
        <w:t>(OMB# 0920-0941, Expiration 5/30/201</w:t>
      </w:r>
      <w:r w:rsidR="00005433">
        <w:rPr>
          <w:rFonts w:ascii="Times New Roman" w:hAnsi="Times New Roman" w:cs="Times New Roman"/>
        </w:rPr>
        <w:t>6</w:t>
      </w:r>
      <w:r>
        <w:rPr>
          <w:rFonts w:ascii="Times New Roman" w:hAnsi="Times New Roman" w:cs="Times New Roman"/>
        </w:rPr>
        <w:t xml:space="preserve">).  </w:t>
      </w:r>
      <w:r w:rsidR="00BF3DC4">
        <w:rPr>
          <w:rFonts w:ascii="Times New Roman" w:hAnsi="Times New Roman" w:cs="Times New Roman"/>
        </w:rPr>
        <w:t xml:space="preserve">Approval of this </w:t>
      </w:r>
      <w:r w:rsidR="00C164FF">
        <w:rPr>
          <w:rFonts w:ascii="Times New Roman" w:hAnsi="Times New Roman" w:cs="Times New Roman"/>
        </w:rPr>
        <w:t>revision</w:t>
      </w:r>
      <w:r w:rsidR="004873CD">
        <w:rPr>
          <w:rFonts w:ascii="Times New Roman" w:hAnsi="Times New Roman" w:cs="Times New Roman"/>
        </w:rPr>
        <w:t xml:space="preserve"> request will allow us to continue to assess the effectiveness of the CDC-developed comprehensive approach to </w:t>
      </w:r>
      <w:r w:rsidR="000B45E4">
        <w:rPr>
          <w:rFonts w:ascii="Times New Roman" w:hAnsi="Times New Roman" w:cs="Times New Roman"/>
        </w:rPr>
        <w:t xml:space="preserve">TDV </w:t>
      </w:r>
      <w:r w:rsidR="009C673F">
        <w:rPr>
          <w:rFonts w:ascii="Times New Roman" w:hAnsi="Times New Roman" w:cs="Times New Roman"/>
        </w:rPr>
        <w:t>for longer-term follow-up</w:t>
      </w:r>
      <w:r w:rsidR="004873CD">
        <w:rPr>
          <w:rFonts w:ascii="Times New Roman" w:hAnsi="Times New Roman" w:cs="Times New Roman"/>
        </w:rPr>
        <w:t xml:space="preserve"> as the students in our sample age and their engagement in dating relationships increases</w:t>
      </w:r>
      <w:r w:rsidR="003E64E2">
        <w:rPr>
          <w:rFonts w:ascii="Times New Roman" w:hAnsi="Times New Roman" w:cs="Times New Roman"/>
        </w:rPr>
        <w:t xml:space="preserve">.  </w:t>
      </w:r>
      <w:r w:rsidR="00BF3DC4">
        <w:rPr>
          <w:rFonts w:ascii="Times New Roman" w:hAnsi="Times New Roman" w:cs="Times New Roman"/>
        </w:rPr>
        <w:t xml:space="preserve">The current evaluation of </w:t>
      </w:r>
      <w:r w:rsidRPr="000965F5">
        <w:rPr>
          <w:rFonts w:ascii="Times New Roman" w:hAnsi="Times New Roman" w:cs="Times New Roman"/>
          <w:i/>
        </w:rPr>
        <w:t>Dating Matters®</w:t>
      </w:r>
      <w:r w:rsidRPr="00436890">
        <w:rPr>
          <w:rFonts w:ascii="Times New Roman" w:hAnsi="Times New Roman" w:cs="Times New Roman"/>
        </w:rPr>
        <w:t xml:space="preserve"> </w:t>
      </w:r>
      <w:r w:rsidR="003E64E2">
        <w:rPr>
          <w:rFonts w:ascii="Times New Roman" w:hAnsi="Times New Roman" w:cs="Times New Roman"/>
        </w:rPr>
        <w:t>tests</w:t>
      </w:r>
      <w:r w:rsidRPr="00436890">
        <w:rPr>
          <w:rFonts w:ascii="Times New Roman" w:hAnsi="Times New Roman" w:cs="Times New Roman"/>
        </w:rPr>
        <w:t xml:space="preserve"> a comprehensive approach to prevent </w:t>
      </w:r>
      <w:r w:rsidR="000B45E4">
        <w:rPr>
          <w:rFonts w:ascii="Times New Roman" w:hAnsi="Times New Roman" w:cs="Times New Roman"/>
        </w:rPr>
        <w:t xml:space="preserve">TDV </w:t>
      </w:r>
      <w:r w:rsidRPr="00436890">
        <w:rPr>
          <w:rFonts w:ascii="Times New Roman" w:hAnsi="Times New Roman" w:cs="Times New Roman"/>
        </w:rPr>
        <w:lastRenderedPageBreak/>
        <w:t>among youth in high-risk urban communities.</w:t>
      </w:r>
      <w:r>
        <w:rPr>
          <w:rFonts w:ascii="Times New Roman" w:hAnsi="Times New Roman" w:cs="Times New Roman"/>
        </w:rPr>
        <w:t xml:space="preserve"> </w:t>
      </w:r>
      <w:r w:rsidR="004E6E49" w:rsidRPr="009C673F">
        <w:rPr>
          <w:rFonts w:ascii="Times New Roman" w:hAnsi="Times New Roman" w:cs="Times New Roman"/>
        </w:rPr>
        <w:t>As outlined in the cu</w:t>
      </w:r>
      <w:r w:rsidR="009C673F">
        <w:rPr>
          <w:rFonts w:ascii="Times New Roman" w:hAnsi="Times New Roman" w:cs="Times New Roman"/>
        </w:rPr>
        <w:t>rrent OMB package, “high-risk” is operationalized</w:t>
      </w:r>
      <w:r w:rsidR="004E6E49" w:rsidRPr="009C673F">
        <w:rPr>
          <w:rFonts w:ascii="Times New Roman" w:hAnsi="Times New Roman" w:cs="Times New Roman"/>
        </w:rPr>
        <w:t xml:space="preserve"> by having both above average rates of community or school crime and above average rates of school or community economic disadvantage.</w:t>
      </w:r>
      <w:r w:rsidR="004E6E49">
        <w:t xml:space="preserve"> </w:t>
      </w:r>
      <w:r>
        <w:rPr>
          <w:rFonts w:ascii="Times New Roman" w:hAnsi="Times New Roman" w:cs="Times New Roman"/>
        </w:rPr>
        <w:t>The current evaluation takes place in the following communities: Alameda County, California; Baltimore, Maryland; Broward County, Florida; and, Chicago, Illinois.</w:t>
      </w:r>
      <w:r w:rsidRPr="00436890">
        <w:rPr>
          <w:rFonts w:ascii="Times New Roman" w:hAnsi="Times New Roman" w:cs="Times New Roman"/>
        </w:rPr>
        <w:t xml:space="preserve"> </w:t>
      </w:r>
      <w:r w:rsidR="003E64E2">
        <w:rPr>
          <w:rFonts w:ascii="Times New Roman" w:hAnsi="Times New Roman" w:cs="Times New Roman"/>
        </w:rPr>
        <w:t xml:space="preserve">The </w:t>
      </w:r>
      <w:r w:rsidR="000C279B" w:rsidRPr="000965F5">
        <w:rPr>
          <w:rFonts w:ascii="Times New Roman" w:hAnsi="Times New Roman" w:cs="Times New Roman"/>
          <w:i/>
        </w:rPr>
        <w:t>Dating Matters®</w:t>
      </w:r>
      <w:r w:rsidR="000C279B" w:rsidRPr="00436890">
        <w:rPr>
          <w:rFonts w:ascii="Times New Roman" w:hAnsi="Times New Roman" w:cs="Times New Roman"/>
        </w:rPr>
        <w:t xml:space="preserve"> </w:t>
      </w:r>
      <w:r w:rsidR="003E64E2">
        <w:rPr>
          <w:rFonts w:ascii="Times New Roman" w:hAnsi="Times New Roman" w:cs="Times New Roman"/>
        </w:rPr>
        <w:t>comprehensive approach</w:t>
      </w:r>
      <w:r w:rsidR="004E6E49">
        <w:rPr>
          <w:rFonts w:ascii="Times New Roman" w:hAnsi="Times New Roman" w:cs="Times New Roman"/>
        </w:rPr>
        <w:t xml:space="preserve"> </w:t>
      </w:r>
      <w:r w:rsidRPr="00436890">
        <w:rPr>
          <w:rFonts w:ascii="Times New Roman" w:hAnsi="Times New Roman" w:cs="Times New Roman"/>
        </w:rPr>
        <w:t>consists of evidence-based or evidence</w:t>
      </w:r>
      <w:r w:rsidR="007549D6">
        <w:rPr>
          <w:rFonts w:ascii="Times New Roman" w:hAnsi="Times New Roman" w:cs="Times New Roman"/>
        </w:rPr>
        <w:t>-</w:t>
      </w:r>
      <w:r w:rsidRPr="00436890">
        <w:rPr>
          <w:rFonts w:ascii="Times New Roman" w:hAnsi="Times New Roman" w:cs="Times New Roman"/>
        </w:rPr>
        <w:t xml:space="preserve">informed prevention strategies implemented at each level of the social ecology. </w:t>
      </w:r>
      <w:r w:rsidR="00C26C47" w:rsidRPr="00C26C47">
        <w:rPr>
          <w:rFonts w:ascii="Times New Roman" w:hAnsi="Times New Roman" w:cs="Times New Roman"/>
        </w:rPr>
        <w:t>The curr</w:t>
      </w:r>
      <w:r w:rsidR="00C26C47">
        <w:rPr>
          <w:rFonts w:ascii="Times New Roman" w:hAnsi="Times New Roman" w:cs="Times New Roman"/>
        </w:rPr>
        <w:t>ent request seeks to extend the</w:t>
      </w:r>
      <w:r w:rsidR="00C26C47" w:rsidRPr="00C26C47">
        <w:rPr>
          <w:rFonts w:ascii="Times New Roman" w:hAnsi="Times New Roman" w:cs="Times New Roman"/>
        </w:rPr>
        <w:t xml:space="preserve"> existing approval through May 31, 2019 to continue collecting high school follow-up data on the remaining cohorts of middle school intervention participants.</w:t>
      </w:r>
      <w:r w:rsidR="00C26C47" w:rsidRPr="002F18BF">
        <w:rPr>
          <w:rFonts w:ascii="Times New Roman" w:hAnsi="Times New Roman" w:cs="Times New Roman"/>
          <w:b/>
        </w:rPr>
        <w:t xml:space="preserve">  </w:t>
      </w:r>
    </w:p>
    <w:p w14:paraId="7093EA9D" w14:textId="77777777" w:rsidR="000965F5" w:rsidRPr="00436890" w:rsidRDefault="000965F5" w:rsidP="000965F5">
      <w:pPr>
        <w:autoSpaceDE w:val="0"/>
        <w:autoSpaceDN w:val="0"/>
        <w:adjustRightInd w:val="0"/>
        <w:spacing w:after="0" w:line="240" w:lineRule="auto"/>
        <w:rPr>
          <w:rFonts w:ascii="Times New Roman" w:hAnsi="Times New Roman" w:cs="Times New Roman"/>
        </w:rPr>
      </w:pPr>
    </w:p>
    <w:p w14:paraId="759C70A8" w14:textId="77777777" w:rsidR="00C26C47" w:rsidRDefault="000965F5" w:rsidP="000965F5">
      <w:pPr>
        <w:widowControl w:val="0"/>
        <w:spacing w:after="0" w:line="240" w:lineRule="auto"/>
        <w:rPr>
          <w:rFonts w:ascii="Times New Roman" w:hAnsi="Times New Roman" w:cs="Times New Roman"/>
        </w:rPr>
      </w:pPr>
      <w:r w:rsidRPr="00436890">
        <w:rPr>
          <w:rFonts w:ascii="Times New Roman" w:hAnsi="Times New Roman" w:cs="Times New Roman"/>
        </w:rPr>
        <w:t xml:space="preserve">In order to address gaps in effective prevention programming for youth in urban communities with high crime and economic </w:t>
      </w:r>
      <w:r w:rsidRPr="00AC73C9">
        <w:rPr>
          <w:rFonts w:ascii="Times New Roman" w:hAnsi="Times New Roman" w:cs="Times New Roman"/>
        </w:rPr>
        <w:t xml:space="preserve">disadvantage, who may be at highest risk for </w:t>
      </w:r>
      <w:r w:rsidR="000B45E4" w:rsidRPr="00AC73C9">
        <w:rPr>
          <w:rFonts w:ascii="Times New Roman" w:hAnsi="Times New Roman" w:cs="Times New Roman"/>
        </w:rPr>
        <w:t>TDV</w:t>
      </w:r>
      <w:r w:rsidRPr="00AC73C9">
        <w:rPr>
          <w:rFonts w:ascii="Times New Roman" w:hAnsi="Times New Roman" w:cs="Times New Roman"/>
        </w:rPr>
        <w:t xml:space="preserve"> perpetration and victimization (</w:t>
      </w:r>
      <w:r w:rsidR="00925DC8" w:rsidRPr="00AC73C9">
        <w:rPr>
          <w:rFonts w:ascii="Times New Roman" w:hAnsi="Times New Roman" w:cs="Times New Roman"/>
        </w:rPr>
        <w:t>Niolon et al., 2015</w:t>
      </w:r>
      <w:r w:rsidRPr="00AC73C9">
        <w:rPr>
          <w:rFonts w:ascii="Times New Roman" w:hAnsi="Times New Roman" w:cs="Times New Roman"/>
        </w:rPr>
        <w:t>),</w:t>
      </w:r>
      <w:r w:rsidR="009C673F" w:rsidRPr="00AC73C9">
        <w:rPr>
          <w:rFonts w:ascii="Times New Roman" w:hAnsi="Times New Roman" w:cs="Times New Roman"/>
        </w:rPr>
        <w:t xml:space="preserve"> </w:t>
      </w:r>
      <w:r w:rsidRPr="00AC73C9">
        <w:rPr>
          <w:rFonts w:ascii="Times New Roman" w:hAnsi="Times New Roman" w:cs="Times New Roman"/>
          <w:i/>
        </w:rPr>
        <w:t>Dating Matters</w:t>
      </w:r>
      <w:r w:rsidR="00F75919" w:rsidRPr="00AC73C9">
        <w:rPr>
          <w:rFonts w:ascii="Times New Roman" w:hAnsi="Times New Roman" w:cs="Times New Roman"/>
          <w:i/>
        </w:rPr>
        <w:t>®</w:t>
      </w:r>
      <w:r w:rsidRPr="00AC73C9">
        <w:rPr>
          <w:rFonts w:ascii="Times New Roman" w:hAnsi="Times New Roman" w:cs="Times New Roman"/>
        </w:rPr>
        <w:t xml:space="preserve"> </w:t>
      </w:r>
      <w:r w:rsidR="009C673F" w:rsidRPr="00AC73C9">
        <w:rPr>
          <w:rFonts w:ascii="Times New Roman" w:hAnsi="Times New Roman" w:cs="Times New Roman"/>
        </w:rPr>
        <w:t xml:space="preserve">focuses </w:t>
      </w:r>
      <w:r w:rsidRPr="00AC73C9">
        <w:rPr>
          <w:rFonts w:ascii="Times New Roman" w:hAnsi="Times New Roman" w:cs="Times New Roman"/>
        </w:rPr>
        <w:t>on middle school</w:t>
      </w:r>
      <w:r w:rsidR="009C673F" w:rsidRPr="00AC73C9">
        <w:rPr>
          <w:rFonts w:ascii="Times New Roman" w:hAnsi="Times New Roman" w:cs="Times New Roman"/>
        </w:rPr>
        <w:t xml:space="preserve"> youth</w:t>
      </w:r>
      <w:r w:rsidRPr="00AC73C9">
        <w:rPr>
          <w:rFonts w:ascii="Times New Roman" w:hAnsi="Times New Roman" w:cs="Times New Roman"/>
        </w:rPr>
        <w:t xml:space="preserve"> </w:t>
      </w:r>
      <w:r w:rsidR="009C673F" w:rsidRPr="00AC73C9">
        <w:rPr>
          <w:rFonts w:ascii="Times New Roman" w:hAnsi="Times New Roman" w:cs="Times New Roman"/>
        </w:rPr>
        <w:t xml:space="preserve">with universal primary prevention strategies aimed at </w:t>
      </w:r>
      <w:r w:rsidRPr="00AC73C9">
        <w:rPr>
          <w:rFonts w:ascii="Times New Roman" w:hAnsi="Times New Roman" w:cs="Times New Roman"/>
        </w:rPr>
        <w:t>build</w:t>
      </w:r>
      <w:r w:rsidR="009C673F" w:rsidRPr="00AC73C9">
        <w:rPr>
          <w:rFonts w:ascii="Times New Roman" w:hAnsi="Times New Roman" w:cs="Times New Roman"/>
        </w:rPr>
        <w:t>ing</w:t>
      </w:r>
      <w:r w:rsidRPr="00436890">
        <w:rPr>
          <w:rFonts w:ascii="Times New Roman" w:hAnsi="Times New Roman" w:cs="Times New Roman"/>
        </w:rPr>
        <w:t xml:space="preserve"> a foundation of healthy rel</w:t>
      </w:r>
      <w:r w:rsidR="009C673F">
        <w:rPr>
          <w:rFonts w:ascii="Times New Roman" w:hAnsi="Times New Roman" w:cs="Times New Roman"/>
        </w:rPr>
        <w:t>ationship skills</w:t>
      </w:r>
      <w:r w:rsidRPr="00436890">
        <w:rPr>
          <w:rFonts w:ascii="Times New Roman" w:hAnsi="Times New Roman" w:cs="Times New Roman"/>
        </w:rPr>
        <w:t xml:space="preserve"> before dating and/or </w:t>
      </w:r>
      <w:r w:rsidR="00F75919">
        <w:rPr>
          <w:rFonts w:ascii="Times New Roman" w:hAnsi="Times New Roman" w:cs="Times New Roman"/>
        </w:rPr>
        <w:t xml:space="preserve">TDV is initiated. </w:t>
      </w:r>
      <w:r w:rsidR="00FE77E9">
        <w:rPr>
          <w:rFonts w:ascii="Times New Roman" w:hAnsi="Times New Roman" w:cs="Times New Roman"/>
        </w:rPr>
        <w:t xml:space="preserve"> The </w:t>
      </w:r>
      <w:r w:rsidR="00FE77E9" w:rsidRPr="009C673F">
        <w:rPr>
          <w:rFonts w:ascii="Times New Roman" w:hAnsi="Times New Roman" w:cs="Times New Roman"/>
          <w:i/>
        </w:rPr>
        <w:t>Dating Matters</w:t>
      </w:r>
      <w:r w:rsidR="00FE77E9" w:rsidRPr="00F75919">
        <w:rPr>
          <w:rFonts w:ascii="Times New Roman" w:hAnsi="Times New Roman" w:cs="Times New Roman"/>
          <w:i/>
        </w:rPr>
        <w:t>®</w:t>
      </w:r>
      <w:r w:rsidR="00C4012C">
        <w:rPr>
          <w:rFonts w:ascii="Times New Roman" w:hAnsi="Times New Roman" w:cs="Times New Roman"/>
        </w:rPr>
        <w:t xml:space="preserve"> comprehensive approach</w:t>
      </w:r>
      <w:r w:rsidR="00FE77E9" w:rsidRPr="00436890">
        <w:rPr>
          <w:rFonts w:ascii="Times New Roman" w:hAnsi="Times New Roman" w:cs="Times New Roman"/>
        </w:rPr>
        <w:t>, which includes implementation of prevention strategies across levels of the social ecology for youth, parents, and educators in 6</w:t>
      </w:r>
      <w:r w:rsidR="00FE77E9" w:rsidRPr="00436890">
        <w:rPr>
          <w:rFonts w:ascii="Times New Roman" w:hAnsi="Times New Roman" w:cs="Times New Roman"/>
          <w:vertAlign w:val="superscript"/>
        </w:rPr>
        <w:t>th</w:t>
      </w:r>
      <w:r w:rsidR="00FE77E9" w:rsidRPr="00436890">
        <w:rPr>
          <w:rFonts w:ascii="Times New Roman" w:hAnsi="Times New Roman" w:cs="Times New Roman"/>
        </w:rPr>
        <w:t>-8</w:t>
      </w:r>
      <w:r w:rsidR="00FE77E9" w:rsidRPr="00436890">
        <w:rPr>
          <w:rFonts w:ascii="Times New Roman" w:hAnsi="Times New Roman" w:cs="Times New Roman"/>
          <w:vertAlign w:val="superscript"/>
        </w:rPr>
        <w:t>th</w:t>
      </w:r>
      <w:r w:rsidR="00FE77E9" w:rsidRPr="00436890">
        <w:rPr>
          <w:rFonts w:ascii="Times New Roman" w:hAnsi="Times New Roman" w:cs="Times New Roman"/>
        </w:rPr>
        <w:t xml:space="preserve"> grade, in addition to policy change efforts and communications strategies</w:t>
      </w:r>
      <w:r w:rsidR="00FE77E9">
        <w:rPr>
          <w:rFonts w:ascii="Times New Roman" w:hAnsi="Times New Roman" w:cs="Times New Roman"/>
        </w:rPr>
        <w:t xml:space="preserve">, is being compared in this </w:t>
      </w:r>
      <w:r w:rsidR="00C94CC6">
        <w:rPr>
          <w:rFonts w:ascii="Times New Roman" w:hAnsi="Times New Roman" w:cs="Times New Roman"/>
        </w:rPr>
        <w:t>randomized controlled trial (</w:t>
      </w:r>
      <w:r w:rsidR="00FE77E9">
        <w:rPr>
          <w:rFonts w:ascii="Times New Roman" w:hAnsi="Times New Roman" w:cs="Times New Roman"/>
        </w:rPr>
        <w:t>RCT</w:t>
      </w:r>
      <w:r w:rsidR="00C94CC6">
        <w:rPr>
          <w:rFonts w:ascii="Times New Roman" w:hAnsi="Times New Roman" w:cs="Times New Roman"/>
        </w:rPr>
        <w:t>)</w:t>
      </w:r>
      <w:r w:rsidR="00FE77E9">
        <w:rPr>
          <w:rFonts w:ascii="Times New Roman" w:hAnsi="Times New Roman" w:cs="Times New Roman"/>
        </w:rPr>
        <w:t xml:space="preserve"> to a comparison condition in which the standard approach to teen dating violence prevention</w:t>
      </w:r>
      <w:r w:rsidR="00FE77E9" w:rsidRPr="00436890">
        <w:rPr>
          <w:rFonts w:ascii="Times New Roman" w:hAnsi="Times New Roman" w:cs="Times New Roman"/>
        </w:rPr>
        <w:t>—</w:t>
      </w:r>
      <w:r w:rsidR="00FE77E9" w:rsidRPr="00F75919">
        <w:rPr>
          <w:rFonts w:ascii="Times New Roman" w:hAnsi="Times New Roman" w:cs="Times New Roman"/>
        </w:rPr>
        <w:t>Safe Dates</w:t>
      </w:r>
      <w:r w:rsidR="00FE77E9" w:rsidRPr="00436890">
        <w:rPr>
          <w:rFonts w:ascii="Times New Roman" w:hAnsi="Times New Roman" w:cs="Times New Roman"/>
          <w:i/>
        </w:rPr>
        <w:t xml:space="preserve"> </w:t>
      </w:r>
      <w:r w:rsidR="00FE77E9" w:rsidRPr="00436890">
        <w:rPr>
          <w:rFonts w:ascii="Times New Roman" w:hAnsi="Times New Roman" w:cs="Times New Roman"/>
        </w:rPr>
        <w:t>(Foshee, Bauman, Arriaga, Helms, et al., 1998</w:t>
      </w:r>
      <w:r w:rsidR="00BE3702" w:rsidRPr="00436890">
        <w:rPr>
          <w:rFonts w:ascii="Times New Roman" w:hAnsi="Times New Roman" w:cs="Times New Roman"/>
        </w:rPr>
        <w:t>)</w:t>
      </w:r>
      <w:r w:rsidR="00BE3702">
        <w:rPr>
          <w:rFonts w:ascii="Times New Roman" w:hAnsi="Times New Roman" w:cs="Times New Roman"/>
        </w:rPr>
        <w:t xml:space="preserve"> --</w:t>
      </w:r>
      <w:r w:rsidR="00FE77E9">
        <w:rPr>
          <w:rFonts w:ascii="Times New Roman" w:hAnsi="Times New Roman" w:cs="Times New Roman"/>
        </w:rPr>
        <w:t xml:space="preserve"> is</w:t>
      </w:r>
      <w:r w:rsidR="00FE77E9" w:rsidRPr="00436890">
        <w:rPr>
          <w:rFonts w:ascii="Times New Roman" w:hAnsi="Times New Roman" w:cs="Times New Roman"/>
          <w:i/>
        </w:rPr>
        <w:t xml:space="preserve"> </w:t>
      </w:r>
      <w:r w:rsidR="00FE77E9" w:rsidRPr="00436890">
        <w:rPr>
          <w:rFonts w:ascii="Times New Roman" w:hAnsi="Times New Roman" w:cs="Times New Roman"/>
        </w:rPr>
        <w:t>implemented in 8</w:t>
      </w:r>
      <w:r w:rsidR="00FE77E9" w:rsidRPr="00436890">
        <w:rPr>
          <w:rFonts w:ascii="Times New Roman" w:hAnsi="Times New Roman" w:cs="Times New Roman"/>
          <w:vertAlign w:val="superscript"/>
        </w:rPr>
        <w:t>th</w:t>
      </w:r>
      <w:r w:rsidR="00FE77E9" w:rsidRPr="00436890">
        <w:rPr>
          <w:rFonts w:ascii="Times New Roman" w:hAnsi="Times New Roman" w:cs="Times New Roman"/>
        </w:rPr>
        <w:t xml:space="preserve"> grade</w:t>
      </w:r>
      <w:r w:rsidR="000B45E4">
        <w:rPr>
          <w:rFonts w:ascii="Times New Roman" w:hAnsi="Times New Roman" w:cs="Times New Roman"/>
        </w:rPr>
        <w:t xml:space="preserve"> alone</w:t>
      </w:r>
      <w:r w:rsidR="00FE77E9">
        <w:rPr>
          <w:rFonts w:ascii="Times New Roman" w:hAnsi="Times New Roman" w:cs="Times New Roman"/>
        </w:rPr>
        <w:t>.  P</w:t>
      </w:r>
      <w:r w:rsidRPr="00436890">
        <w:rPr>
          <w:rFonts w:ascii="Times New Roman" w:hAnsi="Times New Roman" w:cs="Times New Roman"/>
        </w:rPr>
        <w:t>rogrammatic activities</w:t>
      </w:r>
      <w:r w:rsidR="00BE3702">
        <w:rPr>
          <w:rFonts w:ascii="Times New Roman" w:hAnsi="Times New Roman" w:cs="Times New Roman"/>
        </w:rPr>
        <w:t xml:space="preserve">, covered by OMB# 0920-0941, </w:t>
      </w:r>
      <w:r w:rsidRPr="00436890">
        <w:rPr>
          <w:rFonts w:ascii="Times New Roman" w:hAnsi="Times New Roman" w:cs="Times New Roman"/>
        </w:rPr>
        <w:t xml:space="preserve">implemented </w:t>
      </w:r>
      <w:r w:rsidR="00FE77E9">
        <w:rPr>
          <w:rFonts w:ascii="Times New Roman" w:hAnsi="Times New Roman" w:cs="Times New Roman"/>
        </w:rPr>
        <w:t>as part of this</w:t>
      </w:r>
      <w:r w:rsidRPr="00436890">
        <w:rPr>
          <w:rFonts w:ascii="Times New Roman" w:hAnsi="Times New Roman" w:cs="Times New Roman"/>
        </w:rPr>
        <w:t xml:space="preserve"> </w:t>
      </w:r>
      <w:r w:rsidRPr="00F75919">
        <w:rPr>
          <w:rFonts w:ascii="Times New Roman" w:hAnsi="Times New Roman" w:cs="Times New Roman"/>
          <w:i/>
        </w:rPr>
        <w:t>Dating Matters</w:t>
      </w:r>
      <w:r w:rsidR="00F75919" w:rsidRPr="00F75919">
        <w:rPr>
          <w:rFonts w:ascii="Times New Roman" w:hAnsi="Times New Roman" w:cs="Times New Roman"/>
          <w:i/>
        </w:rPr>
        <w:t>®</w:t>
      </w:r>
      <w:r w:rsidR="000C279B">
        <w:rPr>
          <w:rFonts w:ascii="Times New Roman" w:hAnsi="Times New Roman" w:cs="Times New Roman"/>
        </w:rPr>
        <w:t xml:space="preserve"> </w:t>
      </w:r>
      <w:r w:rsidR="00FE77E9">
        <w:rPr>
          <w:rFonts w:ascii="Times New Roman" w:hAnsi="Times New Roman" w:cs="Times New Roman"/>
        </w:rPr>
        <w:t xml:space="preserve">evaluation were </w:t>
      </w:r>
      <w:r w:rsidR="000C279B">
        <w:rPr>
          <w:rFonts w:ascii="Times New Roman" w:hAnsi="Times New Roman" w:cs="Times New Roman"/>
        </w:rPr>
        <w:t xml:space="preserve">initiated in 2011 and will </w:t>
      </w:r>
      <w:r w:rsidR="00ED4563">
        <w:rPr>
          <w:rFonts w:ascii="Times New Roman" w:hAnsi="Times New Roman" w:cs="Times New Roman"/>
        </w:rPr>
        <w:t>conclude in 2016</w:t>
      </w:r>
      <w:r w:rsidR="00FE77E9">
        <w:rPr>
          <w:rFonts w:ascii="Times New Roman" w:hAnsi="Times New Roman" w:cs="Times New Roman"/>
        </w:rPr>
        <w:t>.  These activities</w:t>
      </w:r>
      <w:r w:rsidR="00ED4563">
        <w:rPr>
          <w:rFonts w:ascii="Times New Roman" w:hAnsi="Times New Roman" w:cs="Times New Roman"/>
        </w:rPr>
        <w:t xml:space="preserve"> </w:t>
      </w:r>
      <w:r w:rsidRPr="00436890">
        <w:rPr>
          <w:rFonts w:ascii="Times New Roman" w:hAnsi="Times New Roman" w:cs="Times New Roman"/>
        </w:rPr>
        <w:t xml:space="preserve">are described in Table 1. </w:t>
      </w:r>
    </w:p>
    <w:p w14:paraId="0D9AE554" w14:textId="77777777" w:rsidR="00C26C47" w:rsidRDefault="00C26C47" w:rsidP="000965F5">
      <w:pPr>
        <w:widowControl w:val="0"/>
        <w:spacing w:after="0" w:line="240" w:lineRule="auto"/>
        <w:rPr>
          <w:rFonts w:ascii="Times New Roman" w:hAnsi="Times New Roman" w:cs="Times New Roman"/>
        </w:rPr>
      </w:pPr>
    </w:p>
    <w:p w14:paraId="0A5C8A94" w14:textId="77777777" w:rsidR="000965F5" w:rsidRPr="00436890" w:rsidRDefault="00FE77E9" w:rsidP="000965F5">
      <w:pPr>
        <w:widowControl w:val="0"/>
        <w:spacing w:after="0" w:line="240" w:lineRule="auto"/>
        <w:rPr>
          <w:rFonts w:ascii="Times New Roman" w:hAnsi="Times New Roman" w:cs="Times New Roman"/>
        </w:rPr>
      </w:pPr>
      <w:r>
        <w:rPr>
          <w:rFonts w:ascii="Times New Roman" w:hAnsi="Times New Roman" w:cs="Times New Roman"/>
        </w:rPr>
        <w:t xml:space="preserve">Phase 1 collected short-term outcome data on cohorts of student participants in </w:t>
      </w:r>
      <w:r w:rsidR="00C4012C">
        <w:rPr>
          <w:rFonts w:ascii="Times New Roman" w:hAnsi="Times New Roman" w:cs="Times New Roman"/>
        </w:rPr>
        <w:t xml:space="preserve">the </w:t>
      </w:r>
      <w:r>
        <w:rPr>
          <w:rFonts w:ascii="Times New Roman" w:hAnsi="Times New Roman" w:cs="Times New Roman"/>
        </w:rPr>
        <w:t xml:space="preserve">Dating Matters® </w:t>
      </w:r>
      <w:r w:rsidR="00C4012C">
        <w:rPr>
          <w:rFonts w:ascii="Times New Roman" w:hAnsi="Times New Roman" w:cs="Times New Roman"/>
        </w:rPr>
        <w:t xml:space="preserve">evaluation </w:t>
      </w:r>
      <w:r>
        <w:rPr>
          <w:rFonts w:ascii="Times New Roman" w:hAnsi="Times New Roman" w:cs="Times New Roman"/>
        </w:rPr>
        <w:t>through the end of middle school (8</w:t>
      </w:r>
      <w:r w:rsidRPr="009C673F">
        <w:rPr>
          <w:rFonts w:ascii="Times New Roman" w:hAnsi="Times New Roman" w:cs="Times New Roman"/>
          <w:vertAlign w:val="superscript"/>
        </w:rPr>
        <w:t>th</w:t>
      </w:r>
      <w:r>
        <w:rPr>
          <w:rFonts w:ascii="Times New Roman" w:hAnsi="Times New Roman" w:cs="Times New Roman"/>
        </w:rPr>
        <w:t xml:space="preserve"> grade)</w:t>
      </w:r>
      <w:r w:rsidR="00C4012C">
        <w:rPr>
          <w:rFonts w:ascii="Times New Roman" w:hAnsi="Times New Roman" w:cs="Times New Roman"/>
        </w:rPr>
        <w:t>; this data collection</w:t>
      </w:r>
      <w:r>
        <w:rPr>
          <w:rFonts w:ascii="Times New Roman" w:hAnsi="Times New Roman" w:cs="Times New Roman"/>
        </w:rPr>
        <w:t xml:space="preserve"> will be </w:t>
      </w:r>
      <w:r w:rsidR="0040576A">
        <w:rPr>
          <w:rFonts w:ascii="Times New Roman" w:hAnsi="Times New Roman" w:cs="Times New Roman"/>
        </w:rPr>
        <w:t>completed by August</w:t>
      </w:r>
      <w:r w:rsidRPr="00B86729">
        <w:rPr>
          <w:rFonts w:ascii="Times New Roman" w:hAnsi="Times New Roman" w:cs="Times New Roman"/>
        </w:rPr>
        <w:t xml:space="preserve"> 2016.  </w:t>
      </w:r>
      <w:r w:rsidR="000B45E4" w:rsidRPr="00B86729">
        <w:rPr>
          <w:rFonts w:ascii="Times New Roman" w:hAnsi="Times New Roman" w:cs="Times New Roman"/>
        </w:rPr>
        <w:t xml:space="preserve">In </w:t>
      </w:r>
      <w:r w:rsidR="0026729F" w:rsidRPr="00B86729">
        <w:rPr>
          <w:rFonts w:ascii="Times New Roman" w:hAnsi="Times New Roman" w:cs="Times New Roman"/>
        </w:rPr>
        <w:t>2013</w:t>
      </w:r>
      <w:r w:rsidR="000B45E4">
        <w:rPr>
          <w:rFonts w:ascii="Times New Roman" w:hAnsi="Times New Roman" w:cs="Times New Roman"/>
        </w:rPr>
        <w:t>, Phase 2 of the evaluation</w:t>
      </w:r>
      <w:r w:rsidR="000965F5" w:rsidRPr="00436890">
        <w:rPr>
          <w:rFonts w:ascii="Times New Roman" w:hAnsi="Times New Roman" w:cs="Times New Roman"/>
        </w:rPr>
        <w:t xml:space="preserve"> </w:t>
      </w:r>
      <w:r w:rsidR="000B45E4">
        <w:rPr>
          <w:rFonts w:ascii="Times New Roman" w:hAnsi="Times New Roman" w:cs="Times New Roman"/>
        </w:rPr>
        <w:t xml:space="preserve">was initiated to collect additional follow-up data on student participants into high school to assess the long-term effects of Dating Matters®.  Data collection for Phase 2 is </w:t>
      </w:r>
      <w:r w:rsidR="00DC1DE7">
        <w:rPr>
          <w:rFonts w:ascii="Times New Roman" w:hAnsi="Times New Roman" w:cs="Times New Roman"/>
        </w:rPr>
        <w:t xml:space="preserve">also </w:t>
      </w:r>
      <w:r w:rsidR="000B45E4">
        <w:rPr>
          <w:rFonts w:ascii="Times New Roman" w:hAnsi="Times New Roman" w:cs="Times New Roman"/>
        </w:rPr>
        <w:t>approved under Information Collection Request</w:t>
      </w:r>
      <w:r w:rsidR="00DC1DE7">
        <w:rPr>
          <w:rFonts w:ascii="Times New Roman" w:hAnsi="Times New Roman" w:cs="Times New Roman"/>
        </w:rPr>
        <w:t xml:space="preserve"> OMB# 0920-0941 </w:t>
      </w:r>
      <w:r w:rsidR="000B45E4">
        <w:rPr>
          <w:rFonts w:ascii="Times New Roman" w:hAnsi="Times New Roman" w:cs="Times New Roman"/>
        </w:rPr>
        <w:t xml:space="preserve">through 5/20/16. </w:t>
      </w:r>
      <w:r w:rsidR="000B45E4" w:rsidRPr="002F18BF">
        <w:rPr>
          <w:rFonts w:ascii="Times New Roman" w:hAnsi="Times New Roman" w:cs="Times New Roman"/>
          <w:b/>
        </w:rPr>
        <w:t xml:space="preserve"> </w:t>
      </w:r>
      <w:r w:rsidR="000B45E4" w:rsidRPr="00C26C47">
        <w:rPr>
          <w:rFonts w:ascii="Times New Roman" w:hAnsi="Times New Roman" w:cs="Times New Roman"/>
        </w:rPr>
        <w:t>The curr</w:t>
      </w:r>
      <w:r w:rsidR="00C26C47">
        <w:rPr>
          <w:rFonts w:ascii="Times New Roman" w:hAnsi="Times New Roman" w:cs="Times New Roman"/>
        </w:rPr>
        <w:t>ent request seeks to extend the</w:t>
      </w:r>
      <w:r w:rsidR="000B45E4" w:rsidRPr="00C26C47">
        <w:rPr>
          <w:rFonts w:ascii="Times New Roman" w:hAnsi="Times New Roman" w:cs="Times New Roman"/>
        </w:rPr>
        <w:t xml:space="preserve"> existing approval</w:t>
      </w:r>
      <w:r w:rsidR="007549D6" w:rsidRPr="00C26C47">
        <w:rPr>
          <w:rFonts w:ascii="Times New Roman" w:hAnsi="Times New Roman" w:cs="Times New Roman"/>
        </w:rPr>
        <w:t xml:space="preserve"> </w:t>
      </w:r>
      <w:r w:rsidR="000B45E4" w:rsidRPr="00C26C47">
        <w:rPr>
          <w:rFonts w:ascii="Times New Roman" w:hAnsi="Times New Roman" w:cs="Times New Roman"/>
        </w:rPr>
        <w:t xml:space="preserve">through </w:t>
      </w:r>
      <w:r w:rsidR="0026729F" w:rsidRPr="00C26C47">
        <w:rPr>
          <w:rFonts w:ascii="Times New Roman" w:hAnsi="Times New Roman" w:cs="Times New Roman"/>
        </w:rPr>
        <w:t>May 31,</w:t>
      </w:r>
      <w:r w:rsidR="00B86729" w:rsidRPr="00C26C47">
        <w:rPr>
          <w:rFonts w:ascii="Times New Roman" w:hAnsi="Times New Roman" w:cs="Times New Roman"/>
        </w:rPr>
        <w:t xml:space="preserve"> </w:t>
      </w:r>
      <w:r w:rsidR="000B45E4" w:rsidRPr="00C26C47">
        <w:rPr>
          <w:rFonts w:ascii="Times New Roman" w:hAnsi="Times New Roman" w:cs="Times New Roman"/>
        </w:rPr>
        <w:t>2019 to c</w:t>
      </w:r>
      <w:r w:rsidR="007549D6" w:rsidRPr="00C26C47">
        <w:rPr>
          <w:rFonts w:ascii="Times New Roman" w:hAnsi="Times New Roman" w:cs="Times New Roman"/>
        </w:rPr>
        <w:t>ontinue</w:t>
      </w:r>
      <w:r w:rsidR="000B45E4" w:rsidRPr="00C26C47">
        <w:rPr>
          <w:rFonts w:ascii="Times New Roman" w:hAnsi="Times New Roman" w:cs="Times New Roman"/>
        </w:rPr>
        <w:t xml:space="preserve"> collect</w:t>
      </w:r>
      <w:r w:rsidR="007549D6" w:rsidRPr="00C26C47">
        <w:rPr>
          <w:rFonts w:ascii="Times New Roman" w:hAnsi="Times New Roman" w:cs="Times New Roman"/>
        </w:rPr>
        <w:t>ing</w:t>
      </w:r>
      <w:r w:rsidR="000B45E4" w:rsidRPr="00C26C47">
        <w:rPr>
          <w:rFonts w:ascii="Times New Roman" w:hAnsi="Times New Roman" w:cs="Times New Roman"/>
        </w:rPr>
        <w:t xml:space="preserve"> high school follow-up data on the remaining cohorts of middle school intervention participants.</w:t>
      </w:r>
      <w:r w:rsidR="000B45E4" w:rsidRPr="002F18BF">
        <w:rPr>
          <w:rFonts w:ascii="Times New Roman" w:hAnsi="Times New Roman" w:cs="Times New Roman"/>
          <w:b/>
        </w:rPr>
        <w:t xml:space="preserve">  </w:t>
      </w:r>
    </w:p>
    <w:p w14:paraId="1B3D190C" w14:textId="77777777" w:rsidR="000965F5" w:rsidRPr="00235565" w:rsidRDefault="000965F5" w:rsidP="000965F5">
      <w:pPr>
        <w:widowControl w:val="0"/>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702"/>
        <w:gridCol w:w="2614"/>
        <w:gridCol w:w="1372"/>
        <w:gridCol w:w="1583"/>
        <w:gridCol w:w="1374"/>
      </w:tblGrid>
      <w:tr w:rsidR="000965F5" w:rsidRPr="00235565" w14:paraId="3F6D3CBD" w14:textId="77777777" w:rsidTr="00F75919">
        <w:tc>
          <w:tcPr>
            <w:tcW w:w="5000" w:type="pct"/>
            <w:gridSpan w:val="6"/>
            <w:tcBorders>
              <w:top w:val="single" w:sz="4" w:space="0" w:color="auto"/>
              <w:left w:val="single" w:sz="4" w:space="0" w:color="auto"/>
              <w:bottom w:val="single" w:sz="4" w:space="0" w:color="auto"/>
              <w:right w:val="single" w:sz="4" w:space="0" w:color="auto"/>
            </w:tcBorders>
          </w:tcPr>
          <w:p w14:paraId="11F6AD91"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i/>
                <w:sz w:val="20"/>
                <w:szCs w:val="20"/>
              </w:rPr>
            </w:pPr>
            <w:r w:rsidRPr="00235565">
              <w:rPr>
                <w:rFonts w:ascii="Times New Roman" w:eastAsia="Calibri" w:hAnsi="Times New Roman" w:cs="Times New Roman"/>
                <w:sz w:val="20"/>
                <w:szCs w:val="20"/>
              </w:rPr>
              <w:t xml:space="preserve">Table 1. Two </w:t>
            </w:r>
            <w:r w:rsidR="000B45E4">
              <w:rPr>
                <w:rFonts w:ascii="Times New Roman" w:eastAsia="Calibri" w:hAnsi="Times New Roman" w:cs="Times New Roman"/>
                <w:sz w:val="20"/>
                <w:szCs w:val="20"/>
              </w:rPr>
              <w:t xml:space="preserve">school-based </w:t>
            </w:r>
            <w:r w:rsidRPr="00235565">
              <w:rPr>
                <w:rFonts w:ascii="Times New Roman" w:eastAsia="Calibri" w:hAnsi="Times New Roman" w:cs="Times New Roman"/>
                <w:sz w:val="20"/>
                <w:szCs w:val="20"/>
              </w:rPr>
              <w:t xml:space="preserve">prevention approaches </w:t>
            </w:r>
            <w:r w:rsidR="000B45E4">
              <w:rPr>
                <w:rFonts w:ascii="Times New Roman" w:eastAsia="Calibri" w:hAnsi="Times New Roman" w:cs="Times New Roman"/>
                <w:sz w:val="20"/>
                <w:szCs w:val="20"/>
              </w:rPr>
              <w:t xml:space="preserve">evaluated </w:t>
            </w:r>
            <w:r w:rsidRPr="00235565">
              <w:rPr>
                <w:rFonts w:ascii="Times New Roman" w:eastAsia="Calibri" w:hAnsi="Times New Roman" w:cs="Times New Roman"/>
                <w:sz w:val="20"/>
                <w:szCs w:val="20"/>
              </w:rPr>
              <w:t xml:space="preserve">in </w:t>
            </w:r>
            <w:r w:rsidRPr="00235565">
              <w:rPr>
                <w:rFonts w:ascii="Times New Roman" w:eastAsia="Calibri" w:hAnsi="Times New Roman" w:cs="Times New Roman"/>
                <w:i/>
                <w:sz w:val="20"/>
                <w:szCs w:val="20"/>
              </w:rPr>
              <w:t>Dating Matters Strategies to Promote Healthy Teen Relationships</w:t>
            </w:r>
          </w:p>
        </w:tc>
      </w:tr>
      <w:tr w:rsidR="000965F5" w:rsidRPr="00235565" w14:paraId="4906B6B1" w14:textId="77777777" w:rsidTr="00F75919">
        <w:tc>
          <w:tcPr>
            <w:tcW w:w="5000" w:type="pct"/>
            <w:gridSpan w:val="6"/>
            <w:tcBorders>
              <w:top w:val="single" w:sz="4" w:space="0" w:color="auto"/>
              <w:left w:val="single" w:sz="4" w:space="0" w:color="auto"/>
              <w:bottom w:val="nil"/>
              <w:right w:val="single" w:sz="4" w:space="0" w:color="auto"/>
            </w:tcBorders>
          </w:tcPr>
          <w:p w14:paraId="5CBFE6D1" w14:textId="77777777" w:rsidR="000965F5" w:rsidRPr="000B45E4" w:rsidRDefault="000965F5" w:rsidP="000965F5">
            <w:pPr>
              <w:widowControl w:val="0"/>
              <w:tabs>
                <w:tab w:val="left" w:pos="11322"/>
              </w:tabs>
              <w:spacing w:after="0" w:line="240" w:lineRule="auto"/>
              <w:jc w:val="center"/>
              <w:rPr>
                <w:rFonts w:ascii="Times New Roman" w:eastAsia="Calibri" w:hAnsi="Times New Roman" w:cs="Times New Roman"/>
                <w:b/>
                <w:i/>
                <w:sz w:val="20"/>
                <w:szCs w:val="20"/>
              </w:rPr>
            </w:pPr>
            <w:r w:rsidRPr="000B45E4">
              <w:rPr>
                <w:rFonts w:ascii="Times New Roman" w:eastAsia="Calibri" w:hAnsi="Times New Roman" w:cs="Times New Roman"/>
                <w:b/>
                <w:sz w:val="20"/>
                <w:szCs w:val="20"/>
              </w:rPr>
              <w:t>Standard Practice</w:t>
            </w:r>
          </w:p>
        </w:tc>
      </w:tr>
      <w:tr w:rsidR="000965F5" w:rsidRPr="00235565" w14:paraId="2B4E34A3" w14:textId="77777777" w:rsidTr="00F75919">
        <w:tc>
          <w:tcPr>
            <w:tcW w:w="354" w:type="pct"/>
            <w:tcBorders>
              <w:top w:val="nil"/>
              <w:left w:val="single" w:sz="4" w:space="0" w:color="auto"/>
              <w:bottom w:val="single" w:sz="4" w:space="0" w:color="auto"/>
              <w:right w:val="nil"/>
            </w:tcBorders>
          </w:tcPr>
          <w:p w14:paraId="219B8B2E"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Grade</w:t>
            </w:r>
          </w:p>
        </w:tc>
        <w:tc>
          <w:tcPr>
            <w:tcW w:w="929" w:type="pct"/>
            <w:tcBorders>
              <w:top w:val="nil"/>
              <w:left w:val="nil"/>
              <w:bottom w:val="single" w:sz="4" w:space="0" w:color="auto"/>
              <w:right w:val="nil"/>
            </w:tcBorders>
          </w:tcPr>
          <w:p w14:paraId="6737263F" w14:textId="77777777" w:rsidR="000965F5" w:rsidRPr="00235565" w:rsidRDefault="000965F5" w:rsidP="000965F5">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Youth/Peers</w:t>
            </w:r>
          </w:p>
        </w:tc>
        <w:tc>
          <w:tcPr>
            <w:tcW w:w="1416" w:type="pct"/>
            <w:tcBorders>
              <w:top w:val="nil"/>
              <w:left w:val="nil"/>
              <w:bottom w:val="single" w:sz="4" w:space="0" w:color="auto"/>
              <w:right w:val="nil"/>
            </w:tcBorders>
          </w:tcPr>
          <w:p w14:paraId="49C3241D" w14:textId="77777777" w:rsidR="000965F5" w:rsidRPr="00235565" w:rsidRDefault="000965F5" w:rsidP="000965F5">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Parent/Guardian</w:t>
            </w:r>
          </w:p>
        </w:tc>
        <w:tc>
          <w:tcPr>
            <w:tcW w:w="752" w:type="pct"/>
            <w:tcBorders>
              <w:top w:val="nil"/>
              <w:left w:val="nil"/>
              <w:bottom w:val="single" w:sz="4" w:space="0" w:color="auto"/>
              <w:right w:val="nil"/>
            </w:tcBorders>
          </w:tcPr>
          <w:p w14:paraId="5E4D5595" w14:textId="77777777" w:rsidR="000965F5" w:rsidRPr="00235565" w:rsidRDefault="000965F5" w:rsidP="000965F5">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Educators</w:t>
            </w:r>
          </w:p>
        </w:tc>
        <w:tc>
          <w:tcPr>
            <w:tcW w:w="796" w:type="pct"/>
            <w:tcBorders>
              <w:top w:val="nil"/>
              <w:left w:val="nil"/>
              <w:bottom w:val="single" w:sz="4" w:space="0" w:color="auto"/>
              <w:right w:val="nil"/>
            </w:tcBorders>
          </w:tcPr>
          <w:p w14:paraId="57D9284B" w14:textId="77777777" w:rsidR="000965F5" w:rsidRPr="00235565" w:rsidRDefault="000965F5" w:rsidP="000965F5">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w:t>
            </w:r>
          </w:p>
        </w:tc>
        <w:tc>
          <w:tcPr>
            <w:tcW w:w="752" w:type="pct"/>
            <w:tcBorders>
              <w:top w:val="nil"/>
              <w:left w:val="nil"/>
              <w:bottom w:val="single" w:sz="4" w:space="0" w:color="auto"/>
              <w:right w:val="single" w:sz="4" w:space="0" w:color="auto"/>
            </w:tcBorders>
          </w:tcPr>
          <w:p w14:paraId="40EBA60E" w14:textId="77777777" w:rsidR="000965F5" w:rsidRPr="00235565" w:rsidRDefault="000965F5" w:rsidP="000965F5">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Policy</w:t>
            </w:r>
          </w:p>
        </w:tc>
      </w:tr>
      <w:tr w:rsidR="000965F5" w:rsidRPr="00235565" w14:paraId="697AB3D3" w14:textId="77777777" w:rsidTr="00F75919">
        <w:tc>
          <w:tcPr>
            <w:tcW w:w="354" w:type="pct"/>
            <w:tcBorders>
              <w:top w:val="single" w:sz="4" w:space="0" w:color="auto"/>
              <w:left w:val="single" w:sz="4" w:space="0" w:color="auto"/>
              <w:bottom w:val="single" w:sz="4" w:space="0" w:color="auto"/>
              <w:right w:val="nil"/>
            </w:tcBorders>
          </w:tcPr>
          <w:p w14:paraId="72462AFA"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8</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929" w:type="pct"/>
            <w:tcBorders>
              <w:top w:val="single" w:sz="4" w:space="0" w:color="auto"/>
              <w:left w:val="nil"/>
              <w:bottom w:val="single" w:sz="4" w:space="0" w:color="auto"/>
              <w:right w:val="nil"/>
            </w:tcBorders>
          </w:tcPr>
          <w:p w14:paraId="08EBA9E4" w14:textId="77777777" w:rsidR="000965F5" w:rsidRPr="00235565" w:rsidRDefault="000965F5" w:rsidP="000965F5">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Safe Dates</w:t>
            </w:r>
          </w:p>
        </w:tc>
        <w:tc>
          <w:tcPr>
            <w:tcW w:w="1416" w:type="pct"/>
            <w:tcBorders>
              <w:top w:val="single" w:sz="4" w:space="0" w:color="auto"/>
              <w:left w:val="nil"/>
              <w:bottom w:val="single" w:sz="4" w:space="0" w:color="auto"/>
              <w:right w:val="nil"/>
            </w:tcBorders>
          </w:tcPr>
          <w:p w14:paraId="53E1470D" w14:textId="77777777" w:rsidR="000965F5" w:rsidRPr="00235565" w:rsidRDefault="000965F5" w:rsidP="000965F5">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752" w:type="pct"/>
            <w:tcBorders>
              <w:top w:val="single" w:sz="4" w:space="0" w:color="auto"/>
              <w:left w:val="nil"/>
              <w:bottom w:val="single" w:sz="4" w:space="0" w:color="auto"/>
              <w:right w:val="nil"/>
            </w:tcBorders>
          </w:tcPr>
          <w:p w14:paraId="046F928C" w14:textId="77777777" w:rsidR="000965F5" w:rsidRPr="00235565" w:rsidRDefault="000965F5" w:rsidP="000965F5">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796" w:type="pct"/>
            <w:tcBorders>
              <w:top w:val="single" w:sz="4" w:space="0" w:color="auto"/>
              <w:left w:val="nil"/>
              <w:bottom w:val="single" w:sz="4" w:space="0" w:color="auto"/>
              <w:right w:val="nil"/>
            </w:tcBorders>
          </w:tcPr>
          <w:p w14:paraId="4755A9A6" w14:textId="77777777" w:rsidR="000965F5" w:rsidRPr="00235565" w:rsidRDefault="000965F5" w:rsidP="000965F5">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752" w:type="pct"/>
            <w:tcBorders>
              <w:top w:val="single" w:sz="4" w:space="0" w:color="auto"/>
              <w:left w:val="nil"/>
              <w:bottom w:val="single" w:sz="4" w:space="0" w:color="auto"/>
              <w:right w:val="single" w:sz="4" w:space="0" w:color="auto"/>
            </w:tcBorders>
          </w:tcPr>
          <w:p w14:paraId="3C5A2643" w14:textId="77777777" w:rsidR="000965F5" w:rsidRPr="00235565" w:rsidRDefault="000965F5" w:rsidP="000965F5">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r>
      <w:tr w:rsidR="000965F5" w:rsidRPr="00235565" w14:paraId="0D158297" w14:textId="77777777" w:rsidTr="00F75919">
        <w:tc>
          <w:tcPr>
            <w:tcW w:w="5000" w:type="pct"/>
            <w:gridSpan w:val="6"/>
            <w:tcBorders>
              <w:top w:val="single" w:sz="4" w:space="0" w:color="auto"/>
              <w:left w:val="single" w:sz="4" w:space="0" w:color="auto"/>
              <w:bottom w:val="nil"/>
              <w:right w:val="single" w:sz="4" w:space="0" w:color="auto"/>
            </w:tcBorders>
          </w:tcPr>
          <w:p w14:paraId="23519D8A" w14:textId="77777777" w:rsidR="000965F5" w:rsidRPr="000B45E4" w:rsidRDefault="000B45E4" w:rsidP="000965F5">
            <w:pPr>
              <w:widowControl w:val="0"/>
              <w:tabs>
                <w:tab w:val="left" w:pos="11322"/>
              </w:tabs>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Dating Matters® </w:t>
            </w:r>
            <w:r w:rsidR="000965F5" w:rsidRPr="000B45E4">
              <w:rPr>
                <w:rFonts w:ascii="Times New Roman" w:eastAsia="Calibri" w:hAnsi="Times New Roman" w:cs="Times New Roman"/>
                <w:b/>
                <w:sz w:val="20"/>
                <w:szCs w:val="20"/>
              </w:rPr>
              <w:t>Comprehensive Approach</w:t>
            </w:r>
          </w:p>
        </w:tc>
      </w:tr>
      <w:tr w:rsidR="000965F5" w:rsidRPr="00235565" w14:paraId="2635F757" w14:textId="77777777" w:rsidTr="00F75919">
        <w:tc>
          <w:tcPr>
            <w:tcW w:w="354" w:type="pct"/>
            <w:tcBorders>
              <w:top w:val="nil"/>
              <w:left w:val="single" w:sz="4" w:space="0" w:color="auto"/>
              <w:bottom w:val="single" w:sz="4" w:space="0" w:color="auto"/>
              <w:right w:val="nil"/>
            </w:tcBorders>
          </w:tcPr>
          <w:p w14:paraId="0D3F8AF6"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Grade</w:t>
            </w:r>
          </w:p>
        </w:tc>
        <w:tc>
          <w:tcPr>
            <w:tcW w:w="929" w:type="pct"/>
            <w:tcBorders>
              <w:top w:val="nil"/>
              <w:left w:val="nil"/>
              <w:bottom w:val="single" w:sz="4" w:space="0" w:color="auto"/>
              <w:right w:val="nil"/>
            </w:tcBorders>
          </w:tcPr>
          <w:p w14:paraId="59C2CA5F" w14:textId="77777777" w:rsidR="000965F5" w:rsidRPr="00235565" w:rsidRDefault="000965F5" w:rsidP="000965F5">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Youth/Peers</w:t>
            </w:r>
          </w:p>
        </w:tc>
        <w:tc>
          <w:tcPr>
            <w:tcW w:w="1416" w:type="pct"/>
            <w:tcBorders>
              <w:top w:val="nil"/>
              <w:left w:val="nil"/>
              <w:bottom w:val="single" w:sz="4" w:space="0" w:color="auto"/>
              <w:right w:val="nil"/>
            </w:tcBorders>
          </w:tcPr>
          <w:p w14:paraId="20DA7189" w14:textId="77777777" w:rsidR="000965F5" w:rsidRPr="00235565" w:rsidRDefault="000965F5" w:rsidP="000965F5">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Parent/Guardian</w:t>
            </w:r>
          </w:p>
        </w:tc>
        <w:tc>
          <w:tcPr>
            <w:tcW w:w="752" w:type="pct"/>
            <w:tcBorders>
              <w:top w:val="nil"/>
              <w:left w:val="nil"/>
              <w:bottom w:val="single" w:sz="4" w:space="0" w:color="auto"/>
              <w:right w:val="nil"/>
            </w:tcBorders>
          </w:tcPr>
          <w:p w14:paraId="77425222" w14:textId="77777777" w:rsidR="000965F5" w:rsidRPr="00235565" w:rsidRDefault="000965F5" w:rsidP="000965F5">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Educators</w:t>
            </w:r>
          </w:p>
        </w:tc>
        <w:tc>
          <w:tcPr>
            <w:tcW w:w="796" w:type="pct"/>
            <w:tcBorders>
              <w:top w:val="nil"/>
              <w:left w:val="nil"/>
              <w:bottom w:val="single" w:sz="4" w:space="0" w:color="auto"/>
              <w:right w:val="nil"/>
            </w:tcBorders>
          </w:tcPr>
          <w:p w14:paraId="4655D97D" w14:textId="77777777" w:rsidR="000965F5" w:rsidRPr="00235565" w:rsidRDefault="000965F5" w:rsidP="000965F5">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w:t>
            </w:r>
          </w:p>
        </w:tc>
        <w:tc>
          <w:tcPr>
            <w:tcW w:w="752" w:type="pct"/>
            <w:tcBorders>
              <w:top w:val="nil"/>
              <w:left w:val="nil"/>
              <w:bottom w:val="single" w:sz="4" w:space="0" w:color="auto"/>
              <w:right w:val="single" w:sz="4" w:space="0" w:color="auto"/>
            </w:tcBorders>
          </w:tcPr>
          <w:p w14:paraId="6685630E" w14:textId="77777777" w:rsidR="000965F5" w:rsidRPr="00235565" w:rsidRDefault="000965F5" w:rsidP="000965F5">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Policy</w:t>
            </w:r>
          </w:p>
        </w:tc>
      </w:tr>
      <w:tr w:rsidR="000965F5" w:rsidRPr="00235565" w14:paraId="638F3DDD" w14:textId="77777777" w:rsidTr="00F75919">
        <w:tc>
          <w:tcPr>
            <w:tcW w:w="354" w:type="pct"/>
            <w:tcBorders>
              <w:top w:val="single" w:sz="4" w:space="0" w:color="auto"/>
              <w:left w:val="single" w:sz="4" w:space="0" w:color="auto"/>
              <w:bottom w:val="nil"/>
              <w:right w:val="nil"/>
            </w:tcBorders>
          </w:tcPr>
          <w:p w14:paraId="7F5E839E"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6</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929" w:type="pct"/>
            <w:tcBorders>
              <w:top w:val="single" w:sz="4" w:space="0" w:color="auto"/>
              <w:left w:val="nil"/>
              <w:bottom w:val="nil"/>
              <w:right w:val="nil"/>
            </w:tcBorders>
          </w:tcPr>
          <w:p w14:paraId="67EC3B62"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Student Curriculum*</w:t>
            </w:r>
          </w:p>
        </w:tc>
        <w:tc>
          <w:tcPr>
            <w:tcW w:w="1416" w:type="pct"/>
            <w:tcBorders>
              <w:top w:val="single" w:sz="4" w:space="0" w:color="auto"/>
              <w:left w:val="nil"/>
              <w:bottom w:val="nil"/>
              <w:right w:val="nil"/>
            </w:tcBorders>
          </w:tcPr>
          <w:p w14:paraId="6CAF0986"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Parent’s Matter!*</w:t>
            </w:r>
          </w:p>
        </w:tc>
        <w:tc>
          <w:tcPr>
            <w:tcW w:w="752" w:type="pct"/>
            <w:vMerge w:val="restart"/>
            <w:tcBorders>
              <w:top w:val="single" w:sz="4" w:space="0" w:color="auto"/>
              <w:left w:val="nil"/>
              <w:bottom w:val="nil"/>
              <w:right w:val="nil"/>
            </w:tcBorders>
          </w:tcPr>
          <w:p w14:paraId="120D3B3D"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Dating Matters online training</w:t>
            </w:r>
          </w:p>
        </w:tc>
        <w:tc>
          <w:tcPr>
            <w:tcW w:w="796" w:type="pct"/>
            <w:vMerge w:val="restart"/>
            <w:tcBorders>
              <w:top w:val="single" w:sz="4" w:space="0" w:color="auto"/>
              <w:left w:val="nil"/>
              <w:bottom w:val="nil"/>
              <w:right w:val="nil"/>
            </w:tcBorders>
          </w:tcPr>
          <w:p w14:paraId="20A659D2"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 Strategies*</w:t>
            </w:r>
          </w:p>
        </w:tc>
        <w:tc>
          <w:tcPr>
            <w:tcW w:w="752" w:type="pct"/>
            <w:vMerge w:val="restart"/>
            <w:tcBorders>
              <w:top w:val="single" w:sz="4" w:space="0" w:color="auto"/>
              <w:left w:val="nil"/>
              <w:bottom w:val="nil"/>
              <w:right w:val="single" w:sz="4" w:space="0" w:color="auto"/>
            </w:tcBorders>
          </w:tcPr>
          <w:p w14:paraId="28D08BC8"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Policy Enhancement or Development</w:t>
            </w:r>
          </w:p>
        </w:tc>
      </w:tr>
      <w:tr w:rsidR="000965F5" w:rsidRPr="00235565" w14:paraId="71937DDC" w14:textId="77777777" w:rsidTr="00F75919">
        <w:tc>
          <w:tcPr>
            <w:tcW w:w="354" w:type="pct"/>
            <w:tcBorders>
              <w:top w:val="nil"/>
              <w:left w:val="single" w:sz="4" w:space="0" w:color="auto"/>
              <w:bottom w:val="nil"/>
              <w:right w:val="nil"/>
            </w:tcBorders>
          </w:tcPr>
          <w:p w14:paraId="094528B2"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7</w:t>
            </w:r>
            <w:r w:rsidRPr="00235565">
              <w:rPr>
                <w:rFonts w:ascii="Times New Roman" w:eastAsia="Calibri" w:hAnsi="Times New Roman" w:cs="Times New Roman"/>
                <w:sz w:val="20"/>
                <w:szCs w:val="20"/>
                <w:vertAlign w:val="superscript"/>
              </w:rPr>
              <w:t>th</w:t>
            </w:r>
          </w:p>
        </w:tc>
        <w:tc>
          <w:tcPr>
            <w:tcW w:w="929" w:type="pct"/>
            <w:tcBorders>
              <w:top w:val="nil"/>
              <w:left w:val="nil"/>
              <w:bottom w:val="nil"/>
              <w:right w:val="nil"/>
            </w:tcBorders>
          </w:tcPr>
          <w:p w14:paraId="3D36ED3C"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Student Curriculum*</w:t>
            </w:r>
          </w:p>
        </w:tc>
        <w:tc>
          <w:tcPr>
            <w:tcW w:w="1416" w:type="pct"/>
            <w:tcBorders>
              <w:top w:val="nil"/>
              <w:left w:val="nil"/>
              <w:bottom w:val="nil"/>
              <w:right w:val="nil"/>
            </w:tcBorders>
          </w:tcPr>
          <w:p w14:paraId="7F37F5F4"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Parent Curriculum*</w:t>
            </w:r>
          </w:p>
        </w:tc>
        <w:tc>
          <w:tcPr>
            <w:tcW w:w="752" w:type="pct"/>
            <w:vMerge/>
            <w:tcBorders>
              <w:top w:val="nil"/>
              <w:left w:val="nil"/>
              <w:bottom w:val="nil"/>
              <w:right w:val="nil"/>
            </w:tcBorders>
          </w:tcPr>
          <w:p w14:paraId="20E385B5"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p>
        </w:tc>
        <w:tc>
          <w:tcPr>
            <w:tcW w:w="796" w:type="pct"/>
            <w:vMerge/>
            <w:tcBorders>
              <w:top w:val="nil"/>
              <w:left w:val="nil"/>
              <w:bottom w:val="nil"/>
              <w:right w:val="nil"/>
            </w:tcBorders>
          </w:tcPr>
          <w:p w14:paraId="538D322A"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p>
        </w:tc>
        <w:tc>
          <w:tcPr>
            <w:tcW w:w="752" w:type="pct"/>
            <w:vMerge/>
            <w:tcBorders>
              <w:top w:val="nil"/>
              <w:left w:val="nil"/>
              <w:bottom w:val="nil"/>
              <w:right w:val="single" w:sz="4" w:space="0" w:color="auto"/>
            </w:tcBorders>
          </w:tcPr>
          <w:p w14:paraId="6ACA650C"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p>
        </w:tc>
      </w:tr>
      <w:tr w:rsidR="000965F5" w:rsidRPr="00235565" w14:paraId="783A6D2F" w14:textId="77777777" w:rsidTr="00F75919">
        <w:tc>
          <w:tcPr>
            <w:tcW w:w="354" w:type="pct"/>
            <w:tcBorders>
              <w:top w:val="nil"/>
              <w:left w:val="single" w:sz="4" w:space="0" w:color="auto"/>
              <w:bottom w:val="single" w:sz="4" w:space="0" w:color="auto"/>
              <w:right w:val="nil"/>
            </w:tcBorders>
          </w:tcPr>
          <w:p w14:paraId="42504E8B"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8</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929" w:type="pct"/>
            <w:tcBorders>
              <w:top w:val="nil"/>
              <w:left w:val="nil"/>
              <w:bottom w:val="single" w:sz="4" w:space="0" w:color="auto"/>
              <w:right w:val="nil"/>
            </w:tcBorders>
          </w:tcPr>
          <w:p w14:paraId="1DE1FA72"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Safe Dates</w:t>
            </w:r>
          </w:p>
        </w:tc>
        <w:tc>
          <w:tcPr>
            <w:tcW w:w="1416" w:type="pct"/>
            <w:tcBorders>
              <w:top w:val="nil"/>
              <w:left w:val="nil"/>
              <w:bottom w:val="single" w:sz="4" w:space="0" w:color="auto"/>
              <w:right w:val="nil"/>
            </w:tcBorders>
          </w:tcPr>
          <w:p w14:paraId="0151B9FD"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Families for Safe Dates</w:t>
            </w:r>
          </w:p>
        </w:tc>
        <w:tc>
          <w:tcPr>
            <w:tcW w:w="752" w:type="pct"/>
            <w:vMerge/>
            <w:tcBorders>
              <w:top w:val="nil"/>
              <w:left w:val="nil"/>
              <w:bottom w:val="single" w:sz="4" w:space="0" w:color="auto"/>
              <w:right w:val="nil"/>
            </w:tcBorders>
          </w:tcPr>
          <w:p w14:paraId="3758D8D5"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p>
        </w:tc>
        <w:tc>
          <w:tcPr>
            <w:tcW w:w="796" w:type="pct"/>
            <w:vMerge/>
            <w:tcBorders>
              <w:top w:val="nil"/>
              <w:left w:val="nil"/>
              <w:bottom w:val="single" w:sz="4" w:space="0" w:color="auto"/>
              <w:right w:val="nil"/>
            </w:tcBorders>
          </w:tcPr>
          <w:p w14:paraId="66832684"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p>
        </w:tc>
        <w:tc>
          <w:tcPr>
            <w:tcW w:w="752" w:type="pct"/>
            <w:vMerge/>
            <w:tcBorders>
              <w:top w:val="nil"/>
              <w:left w:val="nil"/>
              <w:bottom w:val="single" w:sz="4" w:space="0" w:color="auto"/>
              <w:right w:val="single" w:sz="4" w:space="0" w:color="auto"/>
            </w:tcBorders>
          </w:tcPr>
          <w:p w14:paraId="506971AA"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p>
        </w:tc>
      </w:tr>
      <w:tr w:rsidR="000965F5" w:rsidRPr="00235565" w14:paraId="4257D7C9" w14:textId="77777777" w:rsidTr="00F75919">
        <w:tc>
          <w:tcPr>
            <w:tcW w:w="5000" w:type="pct"/>
            <w:gridSpan w:val="6"/>
            <w:tcBorders>
              <w:top w:val="single" w:sz="4" w:space="0" w:color="auto"/>
              <w:left w:val="single" w:sz="4" w:space="0" w:color="auto"/>
              <w:bottom w:val="single" w:sz="4" w:space="0" w:color="auto"/>
              <w:right w:val="single" w:sz="4" w:space="0" w:color="auto"/>
            </w:tcBorders>
          </w:tcPr>
          <w:p w14:paraId="747B8986" w14:textId="77777777" w:rsidR="000965F5" w:rsidRPr="00235565" w:rsidRDefault="000965F5" w:rsidP="000965F5">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*CDC has developed curriculum and communications strategies</w:t>
            </w:r>
          </w:p>
        </w:tc>
      </w:tr>
    </w:tbl>
    <w:p w14:paraId="3EFE0878" w14:textId="77777777" w:rsidR="005E6573" w:rsidRDefault="005E6573" w:rsidP="000965F5">
      <w:pPr>
        <w:pStyle w:val="BodyText"/>
        <w:jc w:val="left"/>
        <w:rPr>
          <w:sz w:val="22"/>
          <w:szCs w:val="22"/>
        </w:rPr>
      </w:pPr>
    </w:p>
    <w:p w14:paraId="3297C441" w14:textId="77777777" w:rsidR="000965F5" w:rsidRPr="00E87870" w:rsidRDefault="000965F5" w:rsidP="000965F5">
      <w:pPr>
        <w:pStyle w:val="BodyText"/>
        <w:jc w:val="left"/>
        <w:rPr>
          <w:b/>
          <w:sz w:val="22"/>
          <w:szCs w:val="22"/>
        </w:rPr>
      </w:pPr>
      <w:r>
        <w:rPr>
          <w:sz w:val="22"/>
          <w:szCs w:val="22"/>
        </w:rPr>
        <w:t>The evaluation utilizes a cluster randomized design in which 4</w:t>
      </w:r>
      <w:r w:rsidR="00925DC8">
        <w:rPr>
          <w:sz w:val="22"/>
          <w:szCs w:val="22"/>
        </w:rPr>
        <w:t>6</w:t>
      </w:r>
      <w:r>
        <w:rPr>
          <w:sz w:val="22"/>
          <w:szCs w:val="22"/>
        </w:rPr>
        <w:t xml:space="preserve"> schools in four funded communities </w:t>
      </w:r>
      <w:r w:rsidR="005E6573" w:rsidRPr="00B5711C">
        <w:rPr>
          <w:sz w:val="22"/>
          <w:szCs w:val="22"/>
        </w:rPr>
        <w:t>(</w:t>
      </w:r>
      <w:r w:rsidR="005E6573" w:rsidRPr="007A2502">
        <w:rPr>
          <w:sz w:val="22"/>
          <w:szCs w:val="22"/>
        </w:rPr>
        <w:t>Alameda County, California; Baltimore, Maryland; Broward County, Florida; and, Chicago, Illinois)</w:t>
      </w:r>
      <w:r w:rsidR="005E6573">
        <w:rPr>
          <w:sz w:val="22"/>
          <w:szCs w:val="22"/>
        </w:rPr>
        <w:t xml:space="preserve">, </w:t>
      </w:r>
      <w:r w:rsidR="00ED4563">
        <w:rPr>
          <w:sz w:val="22"/>
          <w:szCs w:val="22"/>
        </w:rPr>
        <w:t xml:space="preserve">were </w:t>
      </w:r>
      <w:r>
        <w:rPr>
          <w:sz w:val="22"/>
          <w:szCs w:val="22"/>
        </w:rPr>
        <w:t xml:space="preserve">randomized to either </w:t>
      </w:r>
      <w:r w:rsidRPr="00DC1DE7">
        <w:rPr>
          <w:i/>
          <w:sz w:val="22"/>
          <w:szCs w:val="22"/>
        </w:rPr>
        <w:t>Dating Matters</w:t>
      </w:r>
      <w:r w:rsidR="00ED4563">
        <w:rPr>
          <w:sz w:val="22"/>
          <w:szCs w:val="22"/>
        </w:rPr>
        <w:t>®</w:t>
      </w:r>
      <w:r>
        <w:rPr>
          <w:sz w:val="22"/>
          <w:szCs w:val="22"/>
        </w:rPr>
        <w:t xml:space="preserve"> or standard practice</w:t>
      </w:r>
      <w:r w:rsidR="00B1033E">
        <w:rPr>
          <w:sz w:val="22"/>
          <w:szCs w:val="22"/>
        </w:rPr>
        <w:t xml:space="preserve"> (see</w:t>
      </w:r>
      <w:r w:rsidR="00CC7B93">
        <w:rPr>
          <w:sz w:val="22"/>
          <w:szCs w:val="22"/>
        </w:rPr>
        <w:t xml:space="preserve"> </w:t>
      </w:r>
      <w:r w:rsidR="00CC7B93" w:rsidRPr="00DC1DE7">
        <w:rPr>
          <w:sz w:val="22"/>
          <w:szCs w:val="22"/>
        </w:rPr>
        <w:t>OMB# 0920-0941, Expiration 5/30/2016</w:t>
      </w:r>
      <w:r w:rsidR="00CC7B93">
        <w:rPr>
          <w:sz w:val="22"/>
          <w:szCs w:val="22"/>
        </w:rPr>
        <w:t xml:space="preserve"> for </w:t>
      </w:r>
      <w:r w:rsidR="00312D5D">
        <w:rPr>
          <w:sz w:val="22"/>
          <w:szCs w:val="22"/>
        </w:rPr>
        <w:t>a detailed description</w:t>
      </w:r>
      <w:r w:rsidR="00CC7B93">
        <w:rPr>
          <w:sz w:val="22"/>
          <w:szCs w:val="22"/>
        </w:rPr>
        <w:t xml:space="preserve"> of the original evaluation design</w:t>
      </w:r>
      <w:r w:rsidR="00CC7B93" w:rsidRPr="00DC1DE7">
        <w:rPr>
          <w:sz w:val="22"/>
          <w:szCs w:val="22"/>
        </w:rPr>
        <w:t>)</w:t>
      </w:r>
      <w:r w:rsidR="005E6573">
        <w:rPr>
          <w:sz w:val="22"/>
          <w:szCs w:val="22"/>
        </w:rPr>
        <w:t>, and we seek to continue evaluation activities in these four communities.</w:t>
      </w:r>
    </w:p>
    <w:p w14:paraId="0350B13B" w14:textId="77777777" w:rsidR="000965F5" w:rsidRDefault="000965F5" w:rsidP="000965F5">
      <w:pPr>
        <w:pStyle w:val="BodyText"/>
        <w:jc w:val="left"/>
        <w:rPr>
          <w:sz w:val="22"/>
          <w:szCs w:val="22"/>
        </w:rPr>
      </w:pPr>
    </w:p>
    <w:p w14:paraId="49ABE014" w14:textId="77777777" w:rsidR="005E6573" w:rsidRDefault="005E6573" w:rsidP="005E6573">
      <w:pPr>
        <w:pStyle w:val="BodyText"/>
        <w:jc w:val="left"/>
        <w:rPr>
          <w:sz w:val="22"/>
          <w:szCs w:val="22"/>
        </w:rPr>
      </w:pPr>
      <w:r w:rsidRPr="00436890">
        <w:rPr>
          <w:sz w:val="22"/>
          <w:szCs w:val="22"/>
        </w:rPr>
        <w:lastRenderedPageBreak/>
        <w:t>The data collection</w:t>
      </w:r>
      <w:r>
        <w:rPr>
          <w:sz w:val="22"/>
          <w:szCs w:val="22"/>
        </w:rPr>
        <w:t xml:space="preserve"> involved in the revision request is necessary because it will allow us to e</w:t>
      </w:r>
      <w:r w:rsidRPr="00436890">
        <w:rPr>
          <w:sz w:val="22"/>
          <w:szCs w:val="22"/>
        </w:rPr>
        <w:t>valuat</w:t>
      </w:r>
      <w:r>
        <w:rPr>
          <w:sz w:val="22"/>
          <w:szCs w:val="22"/>
        </w:rPr>
        <w:t>e the long-term impacts of</w:t>
      </w:r>
      <w:r w:rsidRPr="00436890">
        <w:rPr>
          <w:sz w:val="22"/>
          <w:szCs w:val="22"/>
        </w:rPr>
        <w:t xml:space="preserve"> </w:t>
      </w:r>
      <w:r w:rsidRPr="00F75919">
        <w:rPr>
          <w:i/>
          <w:sz w:val="22"/>
          <w:szCs w:val="22"/>
        </w:rPr>
        <w:t>Dating Matters®</w:t>
      </w:r>
      <w:r>
        <w:rPr>
          <w:sz w:val="22"/>
          <w:szCs w:val="22"/>
        </w:rPr>
        <w:t xml:space="preserve"> as the students in our study age and move on to high school, a developmental stage in which students become more engaged in more intimate dating relationships.  Therefore, we are more likely to see effects of the program on these primary outcomes during this period. </w:t>
      </w:r>
    </w:p>
    <w:p w14:paraId="61C02938" w14:textId="77777777" w:rsidR="005E6573" w:rsidRDefault="005E6573" w:rsidP="000965F5">
      <w:pPr>
        <w:pStyle w:val="BodyText"/>
        <w:jc w:val="left"/>
        <w:rPr>
          <w:sz w:val="22"/>
          <w:szCs w:val="22"/>
        </w:rPr>
      </w:pPr>
    </w:p>
    <w:p w14:paraId="23FA44E7" w14:textId="77777777" w:rsidR="000965F5" w:rsidRDefault="000965F5" w:rsidP="000965F5">
      <w:pPr>
        <w:pStyle w:val="BodyText"/>
        <w:jc w:val="left"/>
        <w:rPr>
          <w:sz w:val="22"/>
          <w:szCs w:val="22"/>
        </w:rPr>
      </w:pPr>
      <w:r>
        <w:rPr>
          <w:sz w:val="22"/>
          <w:szCs w:val="22"/>
        </w:rPr>
        <w:t>The details of</w:t>
      </w:r>
      <w:r w:rsidRPr="002D19BF">
        <w:rPr>
          <w:sz w:val="22"/>
          <w:szCs w:val="22"/>
        </w:rPr>
        <w:t xml:space="preserve"> the data collection design and sample</w:t>
      </w:r>
      <w:r>
        <w:rPr>
          <w:sz w:val="22"/>
          <w:szCs w:val="22"/>
        </w:rPr>
        <w:t xml:space="preserve"> are in </w:t>
      </w:r>
      <w:r w:rsidR="00925DC8">
        <w:rPr>
          <w:sz w:val="22"/>
          <w:szCs w:val="22"/>
        </w:rPr>
        <w:t>SSB.</w:t>
      </w:r>
      <w:r>
        <w:rPr>
          <w:sz w:val="22"/>
          <w:szCs w:val="22"/>
        </w:rPr>
        <w:t xml:space="preserve">  In summary, students </w:t>
      </w:r>
      <w:r w:rsidR="00312D5D">
        <w:rPr>
          <w:sz w:val="22"/>
          <w:szCs w:val="22"/>
        </w:rPr>
        <w:t xml:space="preserve">originally recruited </w:t>
      </w:r>
      <w:r>
        <w:rPr>
          <w:sz w:val="22"/>
          <w:szCs w:val="22"/>
        </w:rPr>
        <w:t>from</w:t>
      </w:r>
      <w:r w:rsidR="00925DC8">
        <w:rPr>
          <w:sz w:val="22"/>
          <w:szCs w:val="22"/>
        </w:rPr>
        <w:t xml:space="preserve"> 4 sites </w:t>
      </w:r>
      <w:r w:rsidR="00A84D5D">
        <w:rPr>
          <w:sz w:val="22"/>
          <w:szCs w:val="22"/>
        </w:rPr>
        <w:t xml:space="preserve">under OMB #0920-0914 </w:t>
      </w:r>
      <w:r w:rsidR="00925DC8">
        <w:rPr>
          <w:sz w:val="22"/>
          <w:szCs w:val="22"/>
        </w:rPr>
        <w:t xml:space="preserve">form the sample population. These students, recruited during the middle school years, </w:t>
      </w:r>
      <w:r w:rsidR="00312D5D">
        <w:rPr>
          <w:sz w:val="22"/>
          <w:szCs w:val="22"/>
        </w:rPr>
        <w:t>will be</w:t>
      </w:r>
      <w:r w:rsidR="00925DC8">
        <w:rPr>
          <w:sz w:val="22"/>
          <w:szCs w:val="22"/>
        </w:rPr>
        <w:t xml:space="preserve"> followed </w:t>
      </w:r>
      <w:r w:rsidR="00312D5D">
        <w:rPr>
          <w:sz w:val="22"/>
          <w:szCs w:val="22"/>
        </w:rPr>
        <w:t xml:space="preserve">under the current information collection request </w:t>
      </w:r>
      <w:r w:rsidR="00925DC8">
        <w:rPr>
          <w:sz w:val="22"/>
          <w:szCs w:val="22"/>
        </w:rPr>
        <w:t>as they</w:t>
      </w:r>
      <w:r w:rsidR="00312D5D">
        <w:rPr>
          <w:sz w:val="22"/>
          <w:szCs w:val="22"/>
        </w:rPr>
        <w:t xml:space="preserve"> continue to age and</w:t>
      </w:r>
      <w:r w:rsidR="00925DC8">
        <w:rPr>
          <w:sz w:val="22"/>
          <w:szCs w:val="22"/>
        </w:rPr>
        <w:t xml:space="preserve"> matriculate into high </w:t>
      </w:r>
      <w:r w:rsidR="00925DC8" w:rsidRPr="000C279B">
        <w:rPr>
          <w:sz w:val="22"/>
          <w:szCs w:val="22"/>
        </w:rPr>
        <w:t xml:space="preserve">school. </w:t>
      </w:r>
      <w:r w:rsidRPr="00436890">
        <w:rPr>
          <w:sz w:val="22"/>
          <w:szCs w:val="22"/>
        </w:rPr>
        <w:t>The data collection described in this proposal describes data</w:t>
      </w:r>
      <w:r>
        <w:rPr>
          <w:sz w:val="22"/>
          <w:szCs w:val="22"/>
        </w:rPr>
        <w:t xml:space="preserve"> collected by</w:t>
      </w:r>
      <w:r w:rsidR="005F1191">
        <w:rPr>
          <w:sz w:val="22"/>
          <w:szCs w:val="22"/>
        </w:rPr>
        <w:t xml:space="preserve"> the contractor. </w:t>
      </w:r>
    </w:p>
    <w:p w14:paraId="5332198C" w14:textId="77777777" w:rsidR="005F1191" w:rsidRPr="00436890" w:rsidRDefault="005F1191" w:rsidP="000965F5">
      <w:pPr>
        <w:pStyle w:val="BodyText"/>
        <w:jc w:val="left"/>
        <w:rPr>
          <w:sz w:val="22"/>
          <w:szCs w:val="22"/>
        </w:rPr>
      </w:pPr>
    </w:p>
    <w:p w14:paraId="440B0293" w14:textId="0F607F5F"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rPr>
        <w:t>Authority for CDC’s National Center for Injury Prevention and Control to collect this data is granted by Section 301 of the Public Health Service Act (42 U.S.C</w:t>
      </w:r>
      <w:r w:rsidR="000F23AC">
        <w:rPr>
          <w:rFonts w:ascii="Times New Roman" w:hAnsi="Times New Roman" w:cs="Times New Roman"/>
        </w:rPr>
        <w:t>. 301</w:t>
      </w:r>
      <w:r w:rsidRPr="00C26C47">
        <w:rPr>
          <w:rFonts w:ascii="Times New Roman" w:hAnsi="Times New Roman" w:cs="Times New Roman"/>
        </w:rPr>
        <w:t>) (Attachment A).</w:t>
      </w:r>
      <w:r w:rsidRPr="00436890">
        <w:rPr>
          <w:rFonts w:ascii="Times New Roman" w:hAnsi="Times New Roman" w:cs="Times New Roman"/>
        </w:rPr>
        <w:t xml:space="preserve"> </w:t>
      </w:r>
    </w:p>
    <w:p w14:paraId="756E9EC3" w14:textId="77777777" w:rsidR="000965F5" w:rsidRDefault="000965F5" w:rsidP="006C098D">
      <w:pPr>
        <w:pStyle w:val="BodyText"/>
        <w:jc w:val="both"/>
        <w:rPr>
          <w:sz w:val="22"/>
          <w:szCs w:val="22"/>
        </w:rPr>
      </w:pPr>
    </w:p>
    <w:p w14:paraId="2FCD851E" w14:textId="77777777" w:rsidR="00584A8D" w:rsidRPr="00584A8D" w:rsidRDefault="00584A8D" w:rsidP="006C098D">
      <w:pPr>
        <w:pStyle w:val="BodyText"/>
        <w:jc w:val="both"/>
        <w:rPr>
          <w:b/>
          <w:sz w:val="22"/>
          <w:szCs w:val="22"/>
        </w:rPr>
      </w:pPr>
      <w:r w:rsidRPr="00584A8D">
        <w:rPr>
          <w:b/>
          <w:sz w:val="22"/>
          <w:szCs w:val="22"/>
        </w:rPr>
        <w:t xml:space="preserve">A.2 </w:t>
      </w:r>
      <w:r w:rsidRPr="00584A8D">
        <w:rPr>
          <w:b/>
          <w:noProof/>
          <w:sz w:val="22"/>
          <w:szCs w:val="22"/>
        </w:rPr>
        <w:t>Purpose and Use of Information Collection</w:t>
      </w:r>
    </w:p>
    <w:p w14:paraId="7A78A77D" w14:textId="77777777" w:rsidR="000965F5" w:rsidRDefault="000965F5" w:rsidP="006C098D">
      <w:pPr>
        <w:pStyle w:val="BodyText"/>
        <w:jc w:val="both"/>
        <w:rPr>
          <w:sz w:val="22"/>
          <w:szCs w:val="22"/>
        </w:rPr>
      </w:pPr>
    </w:p>
    <w:p w14:paraId="01BE4D37" w14:textId="77777777" w:rsidR="003332C3" w:rsidRPr="00436890" w:rsidRDefault="003332C3" w:rsidP="003332C3">
      <w:pPr>
        <w:spacing w:after="0" w:line="240" w:lineRule="auto"/>
        <w:rPr>
          <w:rFonts w:ascii="Times New Roman" w:hAnsi="Times New Roman" w:cs="Times New Roman"/>
        </w:rPr>
      </w:pPr>
      <w:r w:rsidRPr="00436890">
        <w:rPr>
          <w:rFonts w:ascii="Times New Roman" w:hAnsi="Times New Roman" w:cs="Times New Roman"/>
        </w:rPr>
        <w:t xml:space="preserve">All data </w:t>
      </w:r>
      <w:r w:rsidR="00D306CF">
        <w:rPr>
          <w:rFonts w:ascii="Times New Roman" w:hAnsi="Times New Roman" w:cs="Times New Roman"/>
        </w:rPr>
        <w:t>collected as part of this request will be</w:t>
      </w:r>
      <w:r w:rsidR="00D306CF" w:rsidRPr="00436890">
        <w:rPr>
          <w:rFonts w:ascii="Times New Roman" w:hAnsi="Times New Roman" w:cs="Times New Roman"/>
        </w:rPr>
        <w:t xml:space="preserve"> </w:t>
      </w:r>
      <w:r w:rsidRPr="00436890">
        <w:rPr>
          <w:rFonts w:ascii="Times New Roman" w:hAnsi="Times New Roman" w:cs="Times New Roman"/>
        </w:rPr>
        <w:t xml:space="preserve">used in the </w:t>
      </w:r>
      <w:r w:rsidR="00D306CF">
        <w:rPr>
          <w:rFonts w:ascii="Times New Roman" w:hAnsi="Times New Roman" w:cs="Times New Roman"/>
        </w:rPr>
        <w:t xml:space="preserve">longitudinal </w:t>
      </w:r>
      <w:r w:rsidR="00ED4563">
        <w:rPr>
          <w:rFonts w:ascii="Times New Roman" w:hAnsi="Times New Roman" w:cs="Times New Roman"/>
        </w:rPr>
        <w:t xml:space="preserve">outcome </w:t>
      </w:r>
      <w:r w:rsidRPr="00436890">
        <w:rPr>
          <w:rFonts w:ascii="Times New Roman" w:hAnsi="Times New Roman" w:cs="Times New Roman"/>
        </w:rPr>
        <w:t xml:space="preserve">evaluation of the </w:t>
      </w:r>
      <w:r w:rsidRPr="00A433A6">
        <w:rPr>
          <w:rFonts w:ascii="Times New Roman" w:hAnsi="Times New Roman" w:cs="Times New Roman"/>
          <w:i/>
        </w:rPr>
        <w:t>Dating Matters</w:t>
      </w:r>
      <w:r w:rsidR="00ED4563">
        <w:rPr>
          <w:rFonts w:ascii="Times New Roman" w:hAnsi="Times New Roman" w:cs="Times New Roman"/>
          <w:i/>
        </w:rPr>
        <w:t>®</w:t>
      </w:r>
      <w:r w:rsidRPr="00436890">
        <w:rPr>
          <w:rFonts w:ascii="Times New Roman" w:hAnsi="Times New Roman" w:cs="Times New Roman"/>
        </w:rPr>
        <w:t xml:space="preserve"> initiative</w:t>
      </w:r>
      <w:r w:rsidR="00ED4563">
        <w:rPr>
          <w:rFonts w:ascii="Times New Roman" w:hAnsi="Times New Roman" w:cs="Times New Roman"/>
        </w:rPr>
        <w:t xml:space="preserve">. </w:t>
      </w:r>
      <w:r w:rsidRPr="00436890">
        <w:rPr>
          <w:rFonts w:ascii="Times New Roman" w:hAnsi="Times New Roman" w:cs="Times New Roman"/>
        </w:rPr>
        <w:t>No teen dating violence comprehensive program has been developed and implemented specifically for high risk urban communities. Further, no other data source e</w:t>
      </w:r>
      <w:r w:rsidR="00CA393C">
        <w:rPr>
          <w:rFonts w:ascii="Times New Roman" w:hAnsi="Times New Roman" w:cs="Times New Roman"/>
        </w:rPr>
        <w:t xml:space="preserve">xists to examine the effectiveness of the </w:t>
      </w:r>
      <w:r w:rsidR="00CA393C" w:rsidRPr="001543CA">
        <w:rPr>
          <w:rFonts w:ascii="Times New Roman" w:hAnsi="Times New Roman" w:cs="Times New Roman"/>
          <w:i/>
        </w:rPr>
        <w:t>Dating Matters</w:t>
      </w:r>
      <w:r w:rsidR="00CA393C">
        <w:rPr>
          <w:rFonts w:ascii="Times New Roman" w:hAnsi="Times New Roman" w:cs="Times New Roman"/>
          <w:i/>
        </w:rPr>
        <w:t>®</w:t>
      </w:r>
      <w:r w:rsidR="00CA393C" w:rsidRPr="00436890">
        <w:rPr>
          <w:rFonts w:ascii="Times New Roman" w:hAnsi="Times New Roman" w:cs="Times New Roman"/>
        </w:rPr>
        <w:t xml:space="preserve"> </w:t>
      </w:r>
      <w:r w:rsidR="00CA393C">
        <w:rPr>
          <w:rFonts w:ascii="Times New Roman" w:hAnsi="Times New Roman" w:cs="Times New Roman"/>
        </w:rPr>
        <w:t>initiative for preventing dating violence</w:t>
      </w:r>
      <w:r w:rsidRPr="00436890">
        <w:rPr>
          <w:rFonts w:ascii="Times New Roman" w:hAnsi="Times New Roman" w:cs="Times New Roman"/>
        </w:rPr>
        <w:t xml:space="preserve">. Therefore, this data collection is critical to understand the effectiveness, feasibility, and cost of </w:t>
      </w:r>
      <w:r w:rsidR="00ED4563" w:rsidRPr="001543CA">
        <w:rPr>
          <w:rFonts w:ascii="Times New Roman" w:hAnsi="Times New Roman" w:cs="Times New Roman"/>
          <w:i/>
        </w:rPr>
        <w:t>Dating Matters</w:t>
      </w:r>
      <w:r w:rsidR="00ED4563">
        <w:rPr>
          <w:rFonts w:ascii="Times New Roman" w:hAnsi="Times New Roman" w:cs="Times New Roman"/>
          <w:i/>
        </w:rPr>
        <w:t>®</w:t>
      </w:r>
      <w:r w:rsidR="00ED4563" w:rsidRPr="00436890">
        <w:rPr>
          <w:rFonts w:ascii="Times New Roman" w:hAnsi="Times New Roman" w:cs="Times New Roman"/>
        </w:rPr>
        <w:t xml:space="preserve"> </w:t>
      </w:r>
      <w:r w:rsidRPr="00436890">
        <w:rPr>
          <w:rFonts w:ascii="Times New Roman" w:hAnsi="Times New Roman" w:cs="Times New Roman"/>
        </w:rPr>
        <w:t xml:space="preserve">and to inform decisions about disseminating the program to other communities. </w:t>
      </w:r>
    </w:p>
    <w:p w14:paraId="7CA4F28C" w14:textId="77777777" w:rsidR="00584A8D" w:rsidRPr="00584A8D" w:rsidRDefault="00584A8D" w:rsidP="006C098D">
      <w:pPr>
        <w:pStyle w:val="BodyText"/>
        <w:jc w:val="both"/>
        <w:rPr>
          <w:sz w:val="22"/>
          <w:szCs w:val="22"/>
        </w:rPr>
      </w:pPr>
    </w:p>
    <w:p w14:paraId="5EF9CE36" w14:textId="77777777" w:rsidR="000965F5" w:rsidRDefault="00584A8D" w:rsidP="000965F5">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w:t>
      </w:r>
      <w:r w:rsidR="000965F5" w:rsidRPr="00436890">
        <w:rPr>
          <w:rFonts w:ascii="Times New Roman" w:hAnsi="Times New Roman" w:cs="Times New Roman"/>
          <w:b/>
        </w:rPr>
        <w:t>3. Use of Improved Information Technology and Burden Reduction</w:t>
      </w:r>
    </w:p>
    <w:p w14:paraId="3068C702" w14:textId="77777777" w:rsidR="00C26C47" w:rsidRPr="00436890" w:rsidRDefault="00C26C47" w:rsidP="000965F5">
      <w:pPr>
        <w:autoSpaceDE w:val="0"/>
        <w:autoSpaceDN w:val="0"/>
        <w:adjustRightInd w:val="0"/>
        <w:spacing w:after="0" w:line="240" w:lineRule="auto"/>
        <w:rPr>
          <w:rFonts w:ascii="Times New Roman" w:hAnsi="Times New Roman" w:cs="Times New Roman"/>
          <w:b/>
        </w:rPr>
      </w:pPr>
    </w:p>
    <w:p w14:paraId="3EA765F4" w14:textId="5B0656C3" w:rsidR="000965F5" w:rsidRPr="00436890" w:rsidRDefault="000965F5" w:rsidP="000965F5">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color w:val="000000"/>
        </w:rPr>
        <w:t xml:space="preserve">We utilize </w:t>
      </w:r>
      <w:r w:rsidR="0053799A">
        <w:rPr>
          <w:rFonts w:ascii="Times New Roman" w:hAnsi="Times New Roman" w:cs="Times New Roman"/>
          <w:color w:val="000000"/>
        </w:rPr>
        <w:t xml:space="preserve">improved information </w:t>
      </w:r>
      <w:r w:rsidRPr="00634406">
        <w:rPr>
          <w:rFonts w:ascii="Times New Roman" w:hAnsi="Times New Roman" w:cs="Times New Roman"/>
          <w:color w:val="000000"/>
        </w:rPr>
        <w:t>technology to collect and process data to reduce respondent burden and make data processing reporting more timely and efficient</w:t>
      </w:r>
      <w:r w:rsidR="0053799A">
        <w:rPr>
          <w:rFonts w:ascii="Times New Roman" w:hAnsi="Times New Roman" w:cs="Times New Roman"/>
          <w:color w:val="000000"/>
        </w:rPr>
        <w:t xml:space="preserve"> whenever possible</w:t>
      </w:r>
      <w:r w:rsidRPr="00634406">
        <w:rPr>
          <w:rFonts w:ascii="Times New Roman" w:hAnsi="Times New Roman" w:cs="Times New Roman"/>
          <w:color w:val="000000"/>
        </w:rPr>
        <w:t xml:space="preserve">. In all data collections, the numbers of questions are held to the absolute minimum required for the intended use of the data. </w:t>
      </w:r>
      <w:r w:rsidR="00584A8D" w:rsidRPr="00634406">
        <w:rPr>
          <w:rFonts w:ascii="Times New Roman" w:hAnsi="Times New Roman" w:cs="Times New Roman"/>
          <w:color w:val="000000"/>
        </w:rPr>
        <w:t>The h</w:t>
      </w:r>
      <w:r w:rsidRPr="00634406">
        <w:rPr>
          <w:rFonts w:ascii="Times New Roman" w:hAnsi="Times New Roman" w:cs="Times New Roman"/>
          <w:color w:val="000000"/>
        </w:rPr>
        <w:t>igh school follow-up surveys</w:t>
      </w:r>
      <w:r w:rsidR="00584A8D" w:rsidRPr="00634406">
        <w:rPr>
          <w:rFonts w:ascii="Times New Roman" w:hAnsi="Times New Roman" w:cs="Times New Roman"/>
          <w:color w:val="000000"/>
        </w:rPr>
        <w:t xml:space="preserve"> </w:t>
      </w:r>
      <w:r w:rsidRPr="00634406">
        <w:rPr>
          <w:rFonts w:ascii="Times New Roman" w:hAnsi="Times New Roman" w:cs="Times New Roman"/>
          <w:color w:val="000000"/>
        </w:rPr>
        <w:t xml:space="preserve">take place </w:t>
      </w:r>
      <w:r w:rsidR="00584A8D" w:rsidRPr="00634406">
        <w:rPr>
          <w:rFonts w:ascii="Times New Roman" w:hAnsi="Times New Roman" w:cs="Times New Roman"/>
          <w:color w:val="000000"/>
        </w:rPr>
        <w:t>in multiple methods including in-person in school</w:t>
      </w:r>
      <w:r w:rsidR="00634406" w:rsidRPr="00634406">
        <w:rPr>
          <w:rFonts w:ascii="Times New Roman" w:hAnsi="Times New Roman" w:cs="Times New Roman"/>
          <w:color w:val="000000"/>
        </w:rPr>
        <w:t xml:space="preserve"> online or paper and pencil format</w:t>
      </w:r>
      <w:r w:rsidR="00584A8D" w:rsidRPr="00634406">
        <w:rPr>
          <w:rFonts w:ascii="Times New Roman" w:hAnsi="Times New Roman" w:cs="Times New Roman"/>
          <w:color w:val="000000"/>
        </w:rPr>
        <w:t xml:space="preserve">, in-person at the student’s home, on the phone, or </w:t>
      </w:r>
      <w:r w:rsidRPr="00634406">
        <w:rPr>
          <w:rFonts w:ascii="Times New Roman" w:hAnsi="Times New Roman" w:cs="Times New Roman"/>
          <w:color w:val="000000"/>
        </w:rPr>
        <w:t>online using electronic survey forms</w:t>
      </w:r>
      <w:r w:rsidR="00634406" w:rsidRPr="00634406">
        <w:rPr>
          <w:rFonts w:ascii="Times New Roman" w:hAnsi="Times New Roman" w:cs="Times New Roman"/>
          <w:color w:val="000000"/>
        </w:rPr>
        <w:t xml:space="preserve">. </w:t>
      </w:r>
      <w:r w:rsidRPr="00634406">
        <w:rPr>
          <w:rFonts w:ascii="Times New Roman" w:hAnsi="Times New Roman" w:cs="Times New Roman"/>
          <w:color w:val="000000"/>
        </w:rPr>
        <w:t xml:space="preserve">Screen shots of all questions to be administered electronically are included in Attachment </w:t>
      </w:r>
      <w:r w:rsidR="00DA1C32">
        <w:rPr>
          <w:rFonts w:ascii="Times New Roman" w:hAnsi="Times New Roman" w:cs="Times New Roman"/>
          <w:color w:val="000000"/>
        </w:rPr>
        <w:t xml:space="preserve">D and </w:t>
      </w:r>
      <w:r w:rsidRPr="00634406">
        <w:rPr>
          <w:rFonts w:ascii="Times New Roman" w:hAnsi="Times New Roman" w:cs="Times New Roman"/>
          <w:color w:val="000000"/>
        </w:rPr>
        <w:t>E (</w:t>
      </w:r>
      <w:r w:rsidR="00DA1C32">
        <w:rPr>
          <w:rFonts w:ascii="Times New Roman" w:hAnsi="Times New Roman" w:cs="Times New Roman"/>
          <w:color w:val="000000"/>
        </w:rPr>
        <w:t xml:space="preserve">Survey and </w:t>
      </w:r>
      <w:r w:rsidR="00A433A6" w:rsidRPr="00634406">
        <w:rPr>
          <w:rFonts w:ascii="Times New Roman" w:hAnsi="Times New Roman" w:cs="Times New Roman"/>
          <w:color w:val="000000"/>
        </w:rPr>
        <w:t xml:space="preserve">Screen shots of web-based </w:t>
      </w:r>
      <w:r w:rsidR="00A433A6">
        <w:rPr>
          <w:rFonts w:ascii="Times New Roman" w:hAnsi="Times New Roman" w:cs="Times New Roman"/>
          <w:color w:val="000000"/>
        </w:rPr>
        <w:t>student outcome survey</w:t>
      </w:r>
      <w:r w:rsidR="00A433A6" w:rsidRPr="00634406">
        <w:rPr>
          <w:rFonts w:ascii="Times New Roman" w:hAnsi="Times New Roman" w:cs="Times New Roman"/>
          <w:color w:val="000000"/>
        </w:rPr>
        <w:t xml:space="preserve"> follow-up</w:t>
      </w:r>
      <w:r w:rsidRPr="00634406">
        <w:rPr>
          <w:rFonts w:ascii="Times New Roman" w:hAnsi="Times New Roman" w:cs="Times New Roman"/>
          <w:color w:val="000000"/>
        </w:rPr>
        <w:t>)</w:t>
      </w:r>
      <w:r w:rsidR="00634406" w:rsidRPr="00634406">
        <w:rPr>
          <w:rFonts w:ascii="Times New Roman" w:hAnsi="Times New Roman" w:cs="Times New Roman"/>
          <w:color w:val="000000"/>
        </w:rPr>
        <w:t>.</w:t>
      </w:r>
      <w:r w:rsidR="0053799A">
        <w:rPr>
          <w:rFonts w:ascii="Times New Roman" w:hAnsi="Times New Roman" w:cs="Times New Roman"/>
          <w:color w:val="000000"/>
        </w:rPr>
        <w:t xml:space="preserve"> </w:t>
      </w:r>
    </w:p>
    <w:p w14:paraId="36FF0D65" w14:textId="77777777" w:rsidR="000965F5" w:rsidRDefault="000965F5" w:rsidP="000965F5">
      <w:pPr>
        <w:autoSpaceDE w:val="0"/>
        <w:autoSpaceDN w:val="0"/>
        <w:adjustRightInd w:val="0"/>
        <w:spacing w:after="0" w:line="240" w:lineRule="auto"/>
        <w:rPr>
          <w:rFonts w:ascii="Times New Roman" w:hAnsi="Times New Roman" w:cs="Times New Roman"/>
          <w:b/>
        </w:rPr>
      </w:pPr>
    </w:p>
    <w:p w14:paraId="71B1A7AA" w14:textId="77777777" w:rsidR="000965F5" w:rsidRDefault="00CA3876" w:rsidP="000965F5">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w:t>
      </w:r>
      <w:r w:rsidR="000965F5" w:rsidRPr="00436890">
        <w:rPr>
          <w:rFonts w:ascii="Times New Roman" w:hAnsi="Times New Roman" w:cs="Times New Roman"/>
          <w:b/>
        </w:rPr>
        <w:t>4. Efforts to Identify Duplication and Use of Similar Information</w:t>
      </w:r>
    </w:p>
    <w:p w14:paraId="477A2C01" w14:textId="77777777" w:rsidR="00C26C47" w:rsidRPr="00436890" w:rsidRDefault="00C26C47" w:rsidP="000965F5">
      <w:pPr>
        <w:autoSpaceDE w:val="0"/>
        <w:autoSpaceDN w:val="0"/>
        <w:adjustRightInd w:val="0"/>
        <w:spacing w:after="0" w:line="240" w:lineRule="auto"/>
        <w:rPr>
          <w:rFonts w:ascii="Times New Roman" w:hAnsi="Times New Roman" w:cs="Times New Roman"/>
          <w:b/>
        </w:rPr>
      </w:pPr>
    </w:p>
    <w:p w14:paraId="34F6F6F5" w14:textId="77777777" w:rsidR="000965F5" w:rsidRPr="00436890" w:rsidRDefault="0028385F" w:rsidP="000965F5">
      <w:pPr>
        <w:autoSpaceDE w:val="0"/>
        <w:autoSpaceDN w:val="0"/>
        <w:adjustRightInd w:val="0"/>
        <w:spacing w:after="0" w:line="240" w:lineRule="auto"/>
        <w:rPr>
          <w:rFonts w:ascii="Times New Roman" w:hAnsi="Times New Roman" w:cs="Times New Roman"/>
        </w:rPr>
      </w:pPr>
      <w:r w:rsidRPr="001543CA">
        <w:rPr>
          <w:rFonts w:ascii="Times New Roman" w:hAnsi="Times New Roman" w:cs="Times New Roman"/>
          <w:i/>
        </w:rPr>
        <w:t>Dating Matters</w:t>
      </w:r>
      <w:r>
        <w:rPr>
          <w:rFonts w:ascii="Times New Roman" w:hAnsi="Times New Roman" w:cs="Times New Roman"/>
          <w:i/>
        </w:rPr>
        <w:t>®</w:t>
      </w:r>
      <w:r w:rsidRPr="00436890">
        <w:rPr>
          <w:rFonts w:ascii="Times New Roman" w:hAnsi="Times New Roman" w:cs="Times New Roman"/>
        </w:rPr>
        <w:t xml:space="preserve"> represents a new approach to preventing TDV</w:t>
      </w:r>
      <w:r w:rsidR="00E00FAC">
        <w:rPr>
          <w:rFonts w:ascii="Times New Roman" w:hAnsi="Times New Roman" w:cs="Times New Roman"/>
        </w:rPr>
        <w:t>.</w:t>
      </w:r>
      <w:r w:rsidRPr="00436890">
        <w:rPr>
          <w:rFonts w:ascii="Times New Roman" w:hAnsi="Times New Roman" w:cs="Times New Roman"/>
        </w:rPr>
        <w:t xml:space="preserve"> </w:t>
      </w:r>
      <w:r w:rsidR="000965F5" w:rsidRPr="00436890">
        <w:rPr>
          <w:rFonts w:ascii="Times New Roman" w:hAnsi="Times New Roman" w:cs="Times New Roman"/>
        </w:rPr>
        <w:t>No other data exists that could be used to eva</w:t>
      </w:r>
      <w:r w:rsidR="000965F5" w:rsidRPr="008E40D9">
        <w:rPr>
          <w:rFonts w:ascii="Times New Roman" w:hAnsi="Times New Roman" w:cs="Times New Roman"/>
        </w:rPr>
        <w:t xml:space="preserve">luate the </w:t>
      </w:r>
      <w:r w:rsidR="006F1E49">
        <w:rPr>
          <w:rFonts w:ascii="Times New Roman" w:hAnsi="Times New Roman" w:cs="Times New Roman"/>
        </w:rPr>
        <w:t xml:space="preserve">long-term effectiveness </w:t>
      </w:r>
      <w:r w:rsidR="000965F5" w:rsidRPr="008E40D9">
        <w:rPr>
          <w:rFonts w:ascii="Times New Roman" w:hAnsi="Times New Roman" w:cs="Times New Roman"/>
        </w:rPr>
        <w:t xml:space="preserve">of </w:t>
      </w:r>
      <w:r w:rsidR="000965F5" w:rsidRPr="00CA3876">
        <w:rPr>
          <w:rFonts w:ascii="Times New Roman" w:hAnsi="Times New Roman" w:cs="Times New Roman"/>
          <w:i/>
        </w:rPr>
        <w:t>Dating Matters</w:t>
      </w:r>
      <w:r w:rsidR="00CA3876">
        <w:rPr>
          <w:rFonts w:ascii="Times New Roman" w:hAnsi="Times New Roman" w:cs="Times New Roman"/>
        </w:rPr>
        <w:t>®</w:t>
      </w:r>
      <w:r w:rsidR="000965F5" w:rsidRPr="008E40D9">
        <w:rPr>
          <w:rFonts w:ascii="Times New Roman" w:hAnsi="Times New Roman" w:cs="Times New Roman"/>
        </w:rPr>
        <w:t xml:space="preserve">. </w:t>
      </w:r>
      <w:r w:rsidR="000965F5" w:rsidRPr="00CA3876">
        <w:rPr>
          <w:rFonts w:ascii="Times New Roman" w:hAnsi="Times New Roman"/>
          <w:i/>
        </w:rPr>
        <w:t>Dating Matters</w:t>
      </w:r>
      <w:r w:rsidR="00CA3876">
        <w:rPr>
          <w:rFonts w:ascii="Times New Roman" w:hAnsi="Times New Roman"/>
        </w:rPr>
        <w:t>®</w:t>
      </w:r>
      <w:r w:rsidR="00673681">
        <w:rPr>
          <w:rFonts w:ascii="Times New Roman" w:hAnsi="Times New Roman"/>
        </w:rPr>
        <w:t xml:space="preserve"> has never been</w:t>
      </w:r>
      <w:r w:rsidR="000965F5" w:rsidRPr="008E40D9">
        <w:rPr>
          <w:rFonts w:ascii="Times New Roman" w:hAnsi="Times New Roman"/>
        </w:rPr>
        <w:t xml:space="preserve"> implemented</w:t>
      </w:r>
      <w:r w:rsidR="00673681">
        <w:rPr>
          <w:rFonts w:ascii="Times New Roman" w:hAnsi="Times New Roman"/>
        </w:rPr>
        <w:t xml:space="preserve"> prior to</w:t>
      </w:r>
      <w:r w:rsidR="006F1E49">
        <w:rPr>
          <w:rFonts w:ascii="Times New Roman" w:hAnsi="Times New Roman"/>
        </w:rPr>
        <w:t xml:space="preserve"> the current implementation described in OMB #0920-</w:t>
      </w:r>
      <w:r w:rsidR="00E00FAC">
        <w:rPr>
          <w:rFonts w:ascii="Times New Roman" w:hAnsi="Times New Roman"/>
        </w:rPr>
        <w:t>0941</w:t>
      </w:r>
      <w:r w:rsidR="006F1E49">
        <w:rPr>
          <w:rFonts w:ascii="Times New Roman" w:hAnsi="Times New Roman"/>
        </w:rPr>
        <w:t>.</w:t>
      </w:r>
      <w:r w:rsidR="000965F5">
        <w:rPr>
          <w:rFonts w:ascii="Times New Roman" w:hAnsi="Times New Roman" w:cs="Times New Roman"/>
        </w:rPr>
        <w:t xml:space="preserve"> </w:t>
      </w:r>
      <w:r w:rsidR="00673681">
        <w:rPr>
          <w:rFonts w:ascii="Times New Roman" w:hAnsi="Times New Roman" w:cs="Times New Roman"/>
        </w:rPr>
        <w:t xml:space="preserve"> </w:t>
      </w:r>
      <w:r w:rsidR="000965F5">
        <w:rPr>
          <w:rFonts w:ascii="Times New Roman" w:hAnsi="Times New Roman" w:cs="Times New Roman"/>
        </w:rPr>
        <w:t>No publically available dat</w:t>
      </w:r>
      <w:r w:rsidR="00673681">
        <w:rPr>
          <w:rFonts w:ascii="Times New Roman" w:hAnsi="Times New Roman" w:cs="Times New Roman"/>
        </w:rPr>
        <w:t>a on teen dating violence exist</w:t>
      </w:r>
      <w:r w:rsidR="000965F5">
        <w:rPr>
          <w:rFonts w:ascii="Times New Roman" w:hAnsi="Times New Roman" w:cs="Times New Roman"/>
        </w:rPr>
        <w:t xml:space="preserve"> and</w:t>
      </w:r>
      <w:r w:rsidR="00673681">
        <w:rPr>
          <w:rFonts w:ascii="Times New Roman" w:hAnsi="Times New Roman" w:cs="Times New Roman"/>
        </w:rPr>
        <w:t>,</w:t>
      </w:r>
      <w:r w:rsidR="000965F5">
        <w:rPr>
          <w:rFonts w:ascii="Times New Roman" w:hAnsi="Times New Roman" w:cs="Times New Roman"/>
        </w:rPr>
        <w:t xml:space="preserve"> as such</w:t>
      </w:r>
      <w:r w:rsidR="00673681">
        <w:rPr>
          <w:rFonts w:ascii="Times New Roman" w:hAnsi="Times New Roman" w:cs="Times New Roman"/>
        </w:rPr>
        <w:t xml:space="preserve">, no other existing data could </w:t>
      </w:r>
      <w:r w:rsidR="000965F5" w:rsidRPr="00436890">
        <w:rPr>
          <w:rFonts w:ascii="Times New Roman" w:hAnsi="Times New Roman" w:cs="Times New Roman"/>
        </w:rPr>
        <w:t xml:space="preserve">be used to assess the variables of interest in the </w:t>
      </w:r>
      <w:r w:rsidR="00673681">
        <w:rPr>
          <w:rFonts w:ascii="Times New Roman" w:hAnsi="Times New Roman" w:cs="Times New Roman"/>
        </w:rPr>
        <w:t>original</w:t>
      </w:r>
      <w:r w:rsidR="000965F5" w:rsidRPr="00436890">
        <w:rPr>
          <w:rFonts w:ascii="Times New Roman" w:hAnsi="Times New Roman" w:cs="Times New Roman"/>
        </w:rPr>
        <w:t xml:space="preserve"> proposal</w:t>
      </w:r>
      <w:r w:rsidR="00673681">
        <w:rPr>
          <w:rFonts w:ascii="Times New Roman" w:hAnsi="Times New Roman" w:cs="Times New Roman"/>
        </w:rPr>
        <w:t xml:space="preserve"> or in this extension of that proposal to continue data collection on the existing participants through high school</w:t>
      </w:r>
      <w:r w:rsidR="000965F5" w:rsidRPr="00436890">
        <w:rPr>
          <w:rFonts w:ascii="Times New Roman" w:hAnsi="Times New Roman" w:cs="Times New Roman"/>
        </w:rPr>
        <w:t xml:space="preserve">. </w:t>
      </w:r>
      <w:r w:rsidR="00792BAE">
        <w:rPr>
          <w:rFonts w:ascii="Times New Roman" w:hAnsi="Times New Roman" w:cs="Times New Roman"/>
        </w:rPr>
        <w:t xml:space="preserve"> Members of the Dating Matters research team at CDC participate on an interagency workgroup on teen dating violence </w:t>
      </w:r>
      <w:r w:rsidR="00407BFB">
        <w:rPr>
          <w:rFonts w:ascii="Times New Roman" w:hAnsi="Times New Roman" w:cs="Times New Roman"/>
        </w:rPr>
        <w:t>prevention headed by the National Institutes of Justice and this evaluation has been discussed with that group to ensure efforts are not duplicated across agencies.  No similar work that accomplishes the same objectives is being conducted by any other federal agency.</w:t>
      </w:r>
    </w:p>
    <w:p w14:paraId="016CF19F" w14:textId="77777777" w:rsidR="000965F5" w:rsidRPr="00436890" w:rsidRDefault="000965F5" w:rsidP="000965F5">
      <w:pPr>
        <w:autoSpaceDE w:val="0"/>
        <w:autoSpaceDN w:val="0"/>
        <w:adjustRightInd w:val="0"/>
        <w:spacing w:after="0" w:line="240" w:lineRule="auto"/>
        <w:rPr>
          <w:rFonts w:ascii="Times New Roman" w:hAnsi="Times New Roman" w:cs="Times New Roman"/>
          <w:b/>
        </w:rPr>
      </w:pPr>
    </w:p>
    <w:p w14:paraId="4B7E015B" w14:textId="77777777" w:rsidR="000965F5" w:rsidRDefault="00CA3876" w:rsidP="000965F5">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w:t>
      </w:r>
      <w:r w:rsidR="000965F5" w:rsidRPr="00436890">
        <w:rPr>
          <w:rFonts w:ascii="Times New Roman" w:hAnsi="Times New Roman" w:cs="Times New Roman"/>
          <w:b/>
        </w:rPr>
        <w:t>5. Impact on Small Businesses or Other Small Entities</w:t>
      </w:r>
    </w:p>
    <w:p w14:paraId="3C06DA6D" w14:textId="77777777" w:rsidR="00C26C47" w:rsidRPr="00436890" w:rsidRDefault="00C26C47" w:rsidP="000965F5">
      <w:pPr>
        <w:autoSpaceDE w:val="0"/>
        <w:autoSpaceDN w:val="0"/>
        <w:adjustRightInd w:val="0"/>
        <w:spacing w:after="0" w:line="240" w:lineRule="auto"/>
        <w:rPr>
          <w:rFonts w:ascii="Times New Roman" w:hAnsi="Times New Roman" w:cs="Times New Roman"/>
          <w:b/>
        </w:rPr>
      </w:pPr>
    </w:p>
    <w:p w14:paraId="6DF648C8" w14:textId="77777777" w:rsidR="000965F5" w:rsidRDefault="00AB5020" w:rsidP="000965F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w:t>
      </w:r>
      <w:r w:rsidR="000965F5" w:rsidRPr="00436890">
        <w:rPr>
          <w:rFonts w:ascii="Times New Roman" w:hAnsi="Times New Roman" w:cs="Times New Roman"/>
          <w:color w:val="000000"/>
        </w:rPr>
        <w:t xml:space="preserve">here is no anticipated impact on small businesses related to this data collection. </w:t>
      </w:r>
    </w:p>
    <w:p w14:paraId="49DD0C40" w14:textId="77777777" w:rsidR="004D1903" w:rsidRPr="00436890" w:rsidRDefault="004D1903" w:rsidP="000965F5">
      <w:pPr>
        <w:autoSpaceDE w:val="0"/>
        <w:autoSpaceDN w:val="0"/>
        <w:adjustRightInd w:val="0"/>
        <w:spacing w:after="0" w:line="240" w:lineRule="auto"/>
        <w:rPr>
          <w:rFonts w:ascii="Times New Roman" w:hAnsi="Times New Roman" w:cs="Times New Roman"/>
          <w:color w:val="000000"/>
        </w:rPr>
      </w:pPr>
    </w:p>
    <w:p w14:paraId="1C5321E9" w14:textId="77777777" w:rsidR="000965F5" w:rsidRDefault="000965F5" w:rsidP="000965F5">
      <w:pPr>
        <w:autoSpaceDE w:val="0"/>
        <w:autoSpaceDN w:val="0"/>
        <w:adjustRightInd w:val="0"/>
        <w:spacing w:after="0" w:line="240" w:lineRule="auto"/>
        <w:rPr>
          <w:rFonts w:ascii="Times New Roman" w:hAnsi="Times New Roman" w:cs="Times New Roman"/>
          <w:b/>
        </w:rPr>
      </w:pPr>
    </w:p>
    <w:p w14:paraId="3C48A7DC" w14:textId="77777777" w:rsidR="000965F5" w:rsidRDefault="00CA3876" w:rsidP="000965F5">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lastRenderedPageBreak/>
        <w:t>A.</w:t>
      </w:r>
      <w:r w:rsidR="000965F5" w:rsidRPr="00436890">
        <w:rPr>
          <w:rFonts w:ascii="Times New Roman" w:hAnsi="Times New Roman" w:cs="Times New Roman"/>
          <w:b/>
        </w:rPr>
        <w:t>6. Consequences of Collecting the Information Less Frequently</w:t>
      </w:r>
    </w:p>
    <w:p w14:paraId="402BBD21" w14:textId="77777777" w:rsidR="004D1903" w:rsidRDefault="004D1903" w:rsidP="000965F5">
      <w:pPr>
        <w:autoSpaceDE w:val="0"/>
        <w:autoSpaceDN w:val="0"/>
        <w:adjustRightInd w:val="0"/>
        <w:spacing w:after="0" w:line="240" w:lineRule="auto"/>
        <w:rPr>
          <w:rFonts w:ascii="Times New Roman" w:hAnsi="Times New Roman" w:cs="Times New Roman"/>
          <w:u w:val="single"/>
        </w:rPr>
      </w:pPr>
    </w:p>
    <w:p w14:paraId="4A5C6FF3" w14:textId="77777777" w:rsidR="000965F5" w:rsidRDefault="000965F5" w:rsidP="000965F5">
      <w:pPr>
        <w:pStyle w:val="OMBbodytext"/>
        <w:spacing w:after="0"/>
        <w:rPr>
          <w:sz w:val="22"/>
          <w:szCs w:val="22"/>
        </w:rPr>
      </w:pPr>
      <w:r w:rsidRPr="00436890">
        <w:rPr>
          <w:sz w:val="22"/>
          <w:szCs w:val="22"/>
        </w:rPr>
        <w:t xml:space="preserve">The present study will provide the primary outcome data needed for local, state, and federal policy makers to assess the </w:t>
      </w:r>
      <w:r w:rsidR="00554C48">
        <w:rPr>
          <w:sz w:val="22"/>
          <w:szCs w:val="22"/>
        </w:rPr>
        <w:t xml:space="preserve">long-term </w:t>
      </w:r>
      <w:r w:rsidRPr="00436890">
        <w:rPr>
          <w:sz w:val="22"/>
          <w:szCs w:val="22"/>
        </w:rPr>
        <w:t xml:space="preserve">effectiveness of the </w:t>
      </w:r>
      <w:r w:rsidR="00254FDE" w:rsidRPr="00CA3876">
        <w:rPr>
          <w:i/>
        </w:rPr>
        <w:t>Dating Matters</w:t>
      </w:r>
      <w:r w:rsidR="00254FDE">
        <w:t xml:space="preserve">® </w:t>
      </w:r>
      <w:r w:rsidR="00371D46">
        <w:rPr>
          <w:sz w:val="22"/>
          <w:szCs w:val="22"/>
        </w:rPr>
        <w:t xml:space="preserve">initiative </w:t>
      </w:r>
      <w:r w:rsidRPr="00436890">
        <w:rPr>
          <w:sz w:val="22"/>
          <w:szCs w:val="22"/>
        </w:rPr>
        <w:t xml:space="preserve">on </w:t>
      </w:r>
      <w:r w:rsidR="00371D46">
        <w:rPr>
          <w:sz w:val="22"/>
          <w:szCs w:val="22"/>
        </w:rPr>
        <w:t>TDV</w:t>
      </w:r>
      <w:r w:rsidRPr="00436890">
        <w:rPr>
          <w:sz w:val="22"/>
          <w:szCs w:val="22"/>
        </w:rPr>
        <w:t xml:space="preserve"> perpetration and victimization among adolescents</w:t>
      </w:r>
      <w:r w:rsidRPr="008D346C">
        <w:rPr>
          <w:sz w:val="22"/>
          <w:szCs w:val="22"/>
        </w:rPr>
        <w:t xml:space="preserve">. </w:t>
      </w:r>
      <w:r w:rsidR="00254FDE">
        <w:rPr>
          <w:sz w:val="22"/>
          <w:szCs w:val="22"/>
        </w:rPr>
        <w:t>Under prior approval (</w:t>
      </w:r>
      <w:r w:rsidR="00254FDE" w:rsidRPr="008D15E4">
        <w:rPr>
          <w:sz w:val="22"/>
          <w:szCs w:val="22"/>
        </w:rPr>
        <w:t xml:space="preserve">“Evaluation of </w:t>
      </w:r>
      <w:r w:rsidR="00254FDE" w:rsidRPr="008D15E4">
        <w:rPr>
          <w:i/>
          <w:sz w:val="22"/>
          <w:szCs w:val="22"/>
        </w:rPr>
        <w:t>Dating Matters®: Strategies to Promote Healthy Teen Relationships</w:t>
      </w:r>
      <w:r w:rsidR="00254FDE" w:rsidRPr="008D15E4">
        <w:rPr>
          <w:sz w:val="22"/>
          <w:szCs w:val="22"/>
        </w:rPr>
        <w:t>,” OMB# 09-</w:t>
      </w:r>
      <w:r w:rsidR="00254FDE" w:rsidRPr="000C279B">
        <w:rPr>
          <w:sz w:val="22"/>
          <w:szCs w:val="22"/>
        </w:rPr>
        <w:t>20-0941, Expiration 5/30/201</w:t>
      </w:r>
      <w:r w:rsidR="00554C48">
        <w:rPr>
          <w:sz w:val="22"/>
          <w:szCs w:val="22"/>
        </w:rPr>
        <w:t>6</w:t>
      </w:r>
      <w:r w:rsidR="00254FDE" w:rsidRPr="000C279B">
        <w:rPr>
          <w:sz w:val="22"/>
          <w:szCs w:val="22"/>
        </w:rPr>
        <w:t>)</w:t>
      </w:r>
      <w:r w:rsidR="00254FDE">
        <w:rPr>
          <w:sz w:val="22"/>
          <w:szCs w:val="22"/>
        </w:rPr>
        <w:t xml:space="preserve"> s</w:t>
      </w:r>
      <w:r w:rsidRPr="00742A6C">
        <w:rPr>
          <w:sz w:val="22"/>
          <w:szCs w:val="22"/>
        </w:rPr>
        <w:t>tudents participate</w:t>
      </w:r>
      <w:r w:rsidR="00254FDE">
        <w:rPr>
          <w:sz w:val="22"/>
          <w:szCs w:val="22"/>
        </w:rPr>
        <w:t>d</w:t>
      </w:r>
      <w:r w:rsidRPr="00742A6C">
        <w:rPr>
          <w:sz w:val="22"/>
          <w:szCs w:val="22"/>
        </w:rPr>
        <w:t xml:space="preserve"> in surveys at the beginning and end of the school year while</w:t>
      </w:r>
      <w:r w:rsidR="00CA3876">
        <w:rPr>
          <w:sz w:val="22"/>
          <w:szCs w:val="22"/>
        </w:rPr>
        <w:t xml:space="preserve"> in middle school and once per year while in high school</w:t>
      </w:r>
      <w:r>
        <w:rPr>
          <w:sz w:val="22"/>
          <w:szCs w:val="22"/>
        </w:rPr>
        <w:t xml:space="preserve">. </w:t>
      </w:r>
      <w:r w:rsidR="00254FDE">
        <w:rPr>
          <w:sz w:val="22"/>
          <w:szCs w:val="22"/>
        </w:rPr>
        <w:t xml:space="preserve"> Under this proposal, we will continue only the high school portion and survey high school aged youth once per year. </w:t>
      </w:r>
      <w:r w:rsidRPr="00436890">
        <w:rPr>
          <w:sz w:val="22"/>
          <w:szCs w:val="22"/>
        </w:rPr>
        <w:t xml:space="preserve">Adolescence is a time of enormous growth and developmental change; thus, frequent assessment of main outcomes and hypothesized mediators are necessary in order to best capture program effects and determine causality.  Less frequent outcome evaluation data collection would not allow for adequate measurement of the relative impact of the two models of prevention on key outcomes. </w:t>
      </w:r>
    </w:p>
    <w:p w14:paraId="573F8CA0" w14:textId="77777777" w:rsidR="000965F5" w:rsidRPr="00436890" w:rsidRDefault="000965F5" w:rsidP="000965F5">
      <w:pPr>
        <w:autoSpaceDE w:val="0"/>
        <w:autoSpaceDN w:val="0"/>
        <w:adjustRightInd w:val="0"/>
        <w:spacing w:after="0" w:line="240" w:lineRule="auto"/>
        <w:rPr>
          <w:rFonts w:ascii="Times New Roman" w:hAnsi="Times New Roman" w:cs="Times New Roman"/>
          <w:b/>
        </w:rPr>
      </w:pPr>
    </w:p>
    <w:p w14:paraId="3C02BDAD" w14:textId="77777777" w:rsidR="000965F5" w:rsidRDefault="00CA3876" w:rsidP="000965F5">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w:t>
      </w:r>
      <w:r w:rsidR="000965F5" w:rsidRPr="003747E2">
        <w:rPr>
          <w:rFonts w:ascii="Times New Roman" w:hAnsi="Times New Roman" w:cs="Times New Roman"/>
          <w:b/>
        </w:rPr>
        <w:t>7. Special Circumstances Relating to the Guidelines of 5 CFR 1320.5</w:t>
      </w:r>
    </w:p>
    <w:p w14:paraId="69037892" w14:textId="77777777" w:rsidR="004D1903" w:rsidRPr="003747E2" w:rsidRDefault="004D1903" w:rsidP="000965F5">
      <w:pPr>
        <w:autoSpaceDE w:val="0"/>
        <w:autoSpaceDN w:val="0"/>
        <w:adjustRightInd w:val="0"/>
        <w:spacing w:after="0" w:line="240" w:lineRule="auto"/>
        <w:rPr>
          <w:rFonts w:ascii="Times New Roman" w:hAnsi="Times New Roman" w:cs="Times New Roman"/>
          <w:b/>
        </w:rPr>
      </w:pPr>
    </w:p>
    <w:p w14:paraId="503370BC" w14:textId="77777777" w:rsidR="000965F5" w:rsidRPr="003747E2" w:rsidRDefault="000965F5" w:rsidP="000965F5">
      <w:pPr>
        <w:spacing w:after="0"/>
        <w:rPr>
          <w:rFonts w:ascii="Times New Roman" w:hAnsi="Times New Roman" w:cs="Times New Roman"/>
        </w:rPr>
      </w:pPr>
      <w:r w:rsidRPr="003747E2">
        <w:rPr>
          <w:rFonts w:ascii="Times New Roman" w:hAnsi="Times New Roman" w:cs="Times New Roman"/>
        </w:rPr>
        <w:t>This request fully complies with the regulation 5 CFR 1320.5.</w:t>
      </w:r>
    </w:p>
    <w:p w14:paraId="6078C2CC" w14:textId="77777777" w:rsidR="000965F5" w:rsidRPr="00436890" w:rsidRDefault="000965F5" w:rsidP="000965F5">
      <w:pPr>
        <w:autoSpaceDE w:val="0"/>
        <w:autoSpaceDN w:val="0"/>
        <w:adjustRightInd w:val="0"/>
        <w:spacing w:after="0" w:line="240" w:lineRule="auto"/>
        <w:rPr>
          <w:rFonts w:ascii="Times New Roman" w:hAnsi="Times New Roman" w:cs="Times New Roman"/>
          <w:b/>
        </w:rPr>
      </w:pPr>
    </w:p>
    <w:p w14:paraId="13D5F889" w14:textId="77777777" w:rsidR="000965F5" w:rsidRPr="00436890" w:rsidRDefault="00CA3876" w:rsidP="000965F5">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w:t>
      </w:r>
      <w:r w:rsidR="000965F5" w:rsidRPr="00436890">
        <w:rPr>
          <w:rFonts w:ascii="Times New Roman" w:hAnsi="Times New Roman" w:cs="Times New Roman"/>
          <w:b/>
        </w:rPr>
        <w:t>8. Comments in Response to the Federal Register Notice and Efforts to Consult Outside the Agency</w:t>
      </w:r>
    </w:p>
    <w:p w14:paraId="12AC4CE1" w14:textId="77777777" w:rsidR="000965F5" w:rsidRPr="00436890" w:rsidRDefault="000965F5" w:rsidP="000965F5">
      <w:pPr>
        <w:spacing w:after="0" w:line="240" w:lineRule="auto"/>
        <w:rPr>
          <w:rFonts w:ascii="Times New Roman" w:hAnsi="Times New Roman" w:cs="Times New Roman"/>
        </w:rPr>
      </w:pPr>
    </w:p>
    <w:p w14:paraId="770E148C" w14:textId="77777777" w:rsidR="00362F43" w:rsidRDefault="000965F5" w:rsidP="00362F43">
      <w:pPr>
        <w:spacing w:after="0" w:line="240" w:lineRule="auto"/>
        <w:rPr>
          <w:rFonts w:ascii="Times New Roman" w:eastAsia="Times New Roman" w:hAnsi="Times New Roman" w:cs="Times New Roman"/>
        </w:rPr>
      </w:pPr>
      <w:r w:rsidRPr="000106D0">
        <w:rPr>
          <w:rFonts w:ascii="Times New Roman" w:hAnsi="Times New Roman" w:cs="Times New Roman"/>
          <w:b/>
        </w:rPr>
        <w:t>A.8.1</w:t>
      </w:r>
      <w:r w:rsidRPr="000106D0">
        <w:rPr>
          <w:rFonts w:ascii="Times New Roman" w:hAnsi="Times New Roman" w:cs="Times New Roman"/>
        </w:rPr>
        <w:t xml:space="preserve">. </w:t>
      </w:r>
      <w:r w:rsidR="00362F43" w:rsidRPr="001B74A6">
        <w:rPr>
          <w:rFonts w:ascii="Times New Roman" w:eastAsia="Times New Roman" w:hAnsi="Times New Roman" w:cs="Times New Roman"/>
          <w:b/>
        </w:rPr>
        <w:t>Federal Register Notice</w:t>
      </w:r>
      <w:r w:rsidR="00362F43" w:rsidRPr="001B74A6">
        <w:rPr>
          <w:rFonts w:ascii="Times New Roman" w:eastAsia="Times New Roman" w:hAnsi="Times New Roman" w:cs="Times New Roman"/>
        </w:rPr>
        <w:t xml:space="preserve"> </w:t>
      </w:r>
    </w:p>
    <w:p w14:paraId="45357439" w14:textId="77777777" w:rsidR="004D1903" w:rsidRPr="001B74A6" w:rsidRDefault="004D1903" w:rsidP="00362F43">
      <w:pPr>
        <w:spacing w:after="0" w:line="240" w:lineRule="auto"/>
        <w:rPr>
          <w:rFonts w:ascii="Times New Roman" w:eastAsia="Times New Roman" w:hAnsi="Times New Roman" w:cs="Times New Roman"/>
        </w:rPr>
      </w:pPr>
    </w:p>
    <w:p w14:paraId="723743A1" w14:textId="77777777" w:rsidR="003543C5" w:rsidRPr="001B74A6" w:rsidRDefault="003543C5" w:rsidP="003543C5">
      <w:pPr>
        <w:rPr>
          <w:rFonts w:ascii="Times New Roman" w:eastAsia="Times New Roman" w:hAnsi="Times New Roman" w:cs="Times New Roman"/>
        </w:rPr>
      </w:pPr>
      <w:r w:rsidRPr="001B74A6">
        <w:rPr>
          <w:rFonts w:ascii="Times New Roman" w:eastAsia="Times New Roman" w:hAnsi="Times New Roman" w:cs="Times New Roman"/>
        </w:rPr>
        <w:t xml:space="preserve">A 60-day Federal Register Notice was published in the Federal Register on September 22, 2015, vol. 80, No. 183, pp. 57185 - </w:t>
      </w:r>
      <w:r w:rsidR="00E76926" w:rsidRPr="00E76926">
        <w:rPr>
          <w:rFonts w:ascii="Times New Roman" w:eastAsia="Times New Roman" w:hAnsi="Times New Roman" w:cs="Times New Roman"/>
        </w:rPr>
        <w:t>57186 (</w:t>
      </w:r>
      <w:r w:rsidRPr="001B74A6">
        <w:rPr>
          <w:rFonts w:ascii="Times New Roman" w:eastAsia="Times New Roman" w:hAnsi="Times New Roman" w:cs="Times New Roman"/>
        </w:rPr>
        <w:t xml:space="preserve">Attachment B). CDC received </w:t>
      </w:r>
      <w:r w:rsidR="004A787A" w:rsidRPr="001B74A6">
        <w:rPr>
          <w:rFonts w:ascii="Times New Roman" w:eastAsia="Times New Roman" w:hAnsi="Times New Roman" w:cs="Times New Roman"/>
        </w:rPr>
        <w:t>two</w:t>
      </w:r>
      <w:r w:rsidRPr="001B74A6">
        <w:rPr>
          <w:rFonts w:ascii="Times New Roman" w:eastAsia="Times New Roman" w:hAnsi="Times New Roman" w:cs="Times New Roman"/>
        </w:rPr>
        <w:t xml:space="preserve"> non-subs</w:t>
      </w:r>
      <w:r w:rsidR="004A787A" w:rsidRPr="001B74A6">
        <w:rPr>
          <w:rFonts w:ascii="Times New Roman" w:eastAsia="Times New Roman" w:hAnsi="Times New Roman" w:cs="Times New Roman"/>
        </w:rPr>
        <w:t>tantive comment (Attachment B1</w:t>
      </w:r>
      <w:r w:rsidR="00E76926">
        <w:rPr>
          <w:rFonts w:ascii="Times New Roman" w:eastAsia="Times New Roman" w:hAnsi="Times New Roman" w:cs="Times New Roman"/>
        </w:rPr>
        <w:t xml:space="preserve"> &amp; 2</w:t>
      </w:r>
      <w:r w:rsidR="004A787A" w:rsidRPr="001B74A6">
        <w:rPr>
          <w:rFonts w:ascii="Times New Roman" w:eastAsia="Times New Roman" w:hAnsi="Times New Roman" w:cs="Times New Roman"/>
        </w:rPr>
        <w:t>). There w</w:t>
      </w:r>
      <w:r w:rsidR="001B74A6">
        <w:rPr>
          <w:rFonts w:ascii="Times New Roman" w:eastAsia="Times New Roman" w:hAnsi="Times New Roman" w:cs="Times New Roman"/>
        </w:rPr>
        <w:t>ere</w:t>
      </w:r>
      <w:r w:rsidR="004A787A" w:rsidRPr="001B74A6">
        <w:rPr>
          <w:rFonts w:ascii="Times New Roman" w:eastAsia="Times New Roman" w:hAnsi="Times New Roman" w:cs="Times New Roman"/>
        </w:rPr>
        <w:t xml:space="preserve"> no r</w:t>
      </w:r>
      <w:r w:rsidRPr="001B74A6">
        <w:rPr>
          <w:rFonts w:ascii="Times New Roman" w:eastAsia="Times New Roman" w:hAnsi="Times New Roman" w:cs="Times New Roman"/>
        </w:rPr>
        <w:t>eplie</w:t>
      </w:r>
      <w:r w:rsidR="00C94CC6">
        <w:rPr>
          <w:rFonts w:ascii="Times New Roman" w:eastAsia="Times New Roman" w:hAnsi="Times New Roman" w:cs="Times New Roman"/>
        </w:rPr>
        <w:t>s</w:t>
      </w:r>
      <w:r w:rsidRPr="001B74A6">
        <w:rPr>
          <w:rFonts w:ascii="Times New Roman" w:eastAsia="Times New Roman" w:hAnsi="Times New Roman" w:cs="Times New Roman"/>
        </w:rPr>
        <w:t xml:space="preserve"> with </w:t>
      </w:r>
      <w:r w:rsidR="004A787A" w:rsidRPr="001B74A6">
        <w:rPr>
          <w:rFonts w:ascii="Times New Roman" w:eastAsia="Times New Roman" w:hAnsi="Times New Roman" w:cs="Times New Roman"/>
        </w:rPr>
        <w:t>the</w:t>
      </w:r>
      <w:r w:rsidRPr="001B74A6">
        <w:rPr>
          <w:rFonts w:ascii="Times New Roman" w:eastAsia="Times New Roman" w:hAnsi="Times New Roman" w:cs="Times New Roman"/>
        </w:rPr>
        <w:t xml:space="preserve"> standard CDC response.</w:t>
      </w:r>
      <w:r w:rsidR="004A787A" w:rsidRPr="001B74A6">
        <w:rPr>
          <w:rFonts w:ascii="Times New Roman" w:eastAsia="Times New Roman" w:hAnsi="Times New Roman" w:cs="Times New Roman"/>
        </w:rPr>
        <w:t xml:space="preserve"> Contac</w:t>
      </w:r>
      <w:r w:rsidR="00C94CC6">
        <w:rPr>
          <w:rFonts w:ascii="Times New Roman" w:eastAsia="Times New Roman" w:hAnsi="Times New Roman" w:cs="Times New Roman"/>
        </w:rPr>
        <w:t>t</w:t>
      </w:r>
      <w:r w:rsidR="004A787A" w:rsidRPr="001B74A6">
        <w:rPr>
          <w:rFonts w:ascii="Times New Roman" w:eastAsia="Times New Roman" w:hAnsi="Times New Roman" w:cs="Times New Roman"/>
        </w:rPr>
        <w:t xml:space="preserve"> information wasn’</w:t>
      </w:r>
      <w:r w:rsidR="00E76926" w:rsidRPr="00E76926">
        <w:rPr>
          <w:rFonts w:ascii="Times New Roman" w:eastAsia="Times New Roman" w:hAnsi="Times New Roman" w:cs="Times New Roman"/>
        </w:rPr>
        <w:t>t provided.</w:t>
      </w:r>
    </w:p>
    <w:p w14:paraId="4D2A7298" w14:textId="77777777" w:rsidR="00362F43" w:rsidRDefault="00125B35" w:rsidP="00362F43">
      <w:pPr>
        <w:spacing w:after="0" w:line="240" w:lineRule="auto"/>
        <w:rPr>
          <w:rFonts w:ascii="Times New Roman" w:eastAsia="Times New Roman" w:hAnsi="Times New Roman" w:cs="Times New Roman"/>
        </w:rPr>
      </w:pPr>
      <w:r w:rsidRPr="00125B35">
        <w:rPr>
          <w:rFonts w:ascii="Times New Roman" w:eastAsia="Times New Roman" w:hAnsi="Times New Roman" w:cs="Times New Roman"/>
          <w:b/>
        </w:rPr>
        <w:t>A.8.2</w:t>
      </w:r>
      <w:r w:rsidR="00362F43" w:rsidRPr="005F1191">
        <w:rPr>
          <w:rFonts w:ascii="Times New Roman" w:eastAsia="Times New Roman" w:hAnsi="Times New Roman" w:cs="Times New Roman"/>
        </w:rPr>
        <w:t xml:space="preserve">. </w:t>
      </w:r>
      <w:r w:rsidR="00362F43" w:rsidRPr="005F1191">
        <w:rPr>
          <w:rFonts w:ascii="Times New Roman" w:eastAsia="Times New Roman" w:hAnsi="Times New Roman" w:cs="Times New Roman"/>
          <w:b/>
        </w:rPr>
        <w:t>Efforts to Consult Outside the Agency</w:t>
      </w:r>
      <w:r w:rsidR="00362F43" w:rsidRPr="005F1191">
        <w:rPr>
          <w:rFonts w:ascii="Times New Roman" w:eastAsia="Times New Roman" w:hAnsi="Times New Roman" w:cs="Times New Roman"/>
        </w:rPr>
        <w:t xml:space="preserve"> </w:t>
      </w:r>
    </w:p>
    <w:p w14:paraId="2EB879DD" w14:textId="77777777" w:rsidR="004D1903" w:rsidRPr="005F1191" w:rsidRDefault="004D1903" w:rsidP="00362F43">
      <w:pPr>
        <w:spacing w:after="0" w:line="240" w:lineRule="auto"/>
        <w:rPr>
          <w:rFonts w:ascii="Times New Roman" w:eastAsia="Times New Roman" w:hAnsi="Times New Roman" w:cs="Times New Roman"/>
        </w:rPr>
      </w:pPr>
    </w:p>
    <w:p w14:paraId="707B1BD7" w14:textId="77777777" w:rsidR="000965F5" w:rsidRPr="005F1191" w:rsidRDefault="000965F5" w:rsidP="00362F43">
      <w:pPr>
        <w:spacing w:after="0" w:line="240" w:lineRule="auto"/>
        <w:rPr>
          <w:rFonts w:ascii="Times New Roman" w:eastAsia="Times New Roman" w:hAnsi="Times New Roman" w:cs="Times New Roman"/>
        </w:rPr>
      </w:pPr>
      <w:r w:rsidRPr="005F1191">
        <w:rPr>
          <w:rFonts w:ascii="Times New Roman" w:eastAsia="Times New Roman" w:hAnsi="Times New Roman" w:cs="Times New Roman"/>
        </w:rPr>
        <w:t>A series of expert panels were held to inform the development, implementation, and evaluation of Dating Matters</w:t>
      </w:r>
      <w:r w:rsidR="00B948C1" w:rsidRPr="005F1191">
        <w:rPr>
          <w:rFonts w:ascii="Times New Roman" w:eastAsia="Times New Roman" w:hAnsi="Times New Roman" w:cs="Times New Roman"/>
        </w:rPr>
        <w:t>®</w:t>
      </w:r>
      <w:r w:rsidRPr="005F1191">
        <w:rPr>
          <w:rFonts w:ascii="Times New Roman" w:eastAsia="Times New Roman" w:hAnsi="Times New Roman" w:cs="Times New Roman"/>
        </w:rPr>
        <w:t>. The following outlines the panels and their participants:</w:t>
      </w:r>
    </w:p>
    <w:p w14:paraId="3DE7F327" w14:textId="77777777" w:rsidR="000965F5" w:rsidRPr="00436890" w:rsidRDefault="000965F5" w:rsidP="000965F5">
      <w:pPr>
        <w:spacing w:after="0" w:line="240" w:lineRule="auto"/>
        <w:rPr>
          <w:rFonts w:ascii="Times New Roman" w:hAnsi="Times New Roman" w:cs="Times New Roman"/>
        </w:rPr>
      </w:pPr>
    </w:p>
    <w:p w14:paraId="0667F650" w14:textId="77777777" w:rsidR="000965F5" w:rsidRPr="00436890" w:rsidRDefault="000965F5" w:rsidP="000965F5">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Panel--Communications (December 8-9, 2009)</w:t>
      </w:r>
    </w:p>
    <w:p w14:paraId="5D61180D" w14:textId="77777777" w:rsidR="000965F5" w:rsidRPr="00436890" w:rsidRDefault="000965F5" w:rsidP="000965F5">
      <w:pPr>
        <w:spacing w:after="0" w:line="240" w:lineRule="auto"/>
        <w:rPr>
          <w:rStyle w:val="Strong"/>
          <w:rFonts w:ascii="Times New Roman" w:hAnsi="Times New Roman"/>
          <w:b w:val="0"/>
        </w:rPr>
      </w:pPr>
      <w:r w:rsidRPr="00436890">
        <w:rPr>
          <w:rFonts w:ascii="Times New Roman" w:hAnsi="Times New Roman" w:cs="Times New Roman"/>
          <w:b/>
        </w:rPr>
        <w:t xml:space="preserve">Catherine Stayton, PhD, </w:t>
      </w:r>
      <w:r w:rsidRPr="00436890">
        <w:rPr>
          <w:rFonts w:ascii="Times New Roman" w:hAnsi="Times New Roman" w:cs="Times New Roman"/>
        </w:rPr>
        <w:t xml:space="preserve">Director, Injury Epidemiology Unit, </w:t>
      </w:r>
      <w:r w:rsidRPr="00436890">
        <w:rPr>
          <w:rStyle w:val="Strong"/>
          <w:rFonts w:ascii="Times New Roman" w:hAnsi="Times New Roman"/>
          <w:b w:val="0"/>
        </w:rPr>
        <w:t>NYC Dept. of Health &amp; Mental Hygiene</w:t>
      </w:r>
    </w:p>
    <w:p w14:paraId="70E4A561" w14:textId="77777777" w:rsidR="000965F5" w:rsidRPr="00436890" w:rsidRDefault="000965F5" w:rsidP="000965F5">
      <w:pPr>
        <w:pStyle w:val="NormalWeb"/>
        <w:spacing w:before="0" w:beforeAutospacing="0" w:after="0" w:afterAutospacing="0"/>
        <w:rPr>
          <w:sz w:val="22"/>
          <w:szCs w:val="22"/>
        </w:rPr>
      </w:pPr>
      <w:r w:rsidRPr="00436890">
        <w:rPr>
          <w:b/>
          <w:sz w:val="22"/>
          <w:szCs w:val="22"/>
        </w:rPr>
        <w:t xml:space="preserve">Julia Perilla, PhD, </w:t>
      </w:r>
      <w:r w:rsidRPr="00436890">
        <w:rPr>
          <w:sz w:val="22"/>
          <w:szCs w:val="22"/>
        </w:rPr>
        <w:t>Assistant Research Professor, Georgia State University</w:t>
      </w:r>
    </w:p>
    <w:p w14:paraId="0EA96158"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 xml:space="preserve">Kristin Schubert, MPH, </w:t>
      </w:r>
      <w:r w:rsidRPr="00436890">
        <w:rPr>
          <w:rFonts w:ascii="Times New Roman" w:hAnsi="Times New Roman" w:cs="Times New Roman"/>
        </w:rPr>
        <w:t>Program Officer, Robert Wood Johnson Foundation</w:t>
      </w:r>
    </w:p>
    <w:p w14:paraId="13081E0D"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 xml:space="preserve">Ivan Juzang, </w:t>
      </w:r>
      <w:r w:rsidRPr="00436890">
        <w:rPr>
          <w:rFonts w:ascii="Times New Roman" w:hAnsi="Times New Roman" w:cs="Times New Roman"/>
        </w:rPr>
        <w:t xml:space="preserve">President/Founder, MEE Productions </w:t>
      </w:r>
    </w:p>
    <w:p w14:paraId="39758B3A" w14:textId="77777777" w:rsidR="000965F5" w:rsidRPr="00436890" w:rsidRDefault="000965F5" w:rsidP="000965F5">
      <w:pPr>
        <w:pStyle w:val="PlainText"/>
        <w:spacing w:before="0" w:after="0" w:afterAutospacing="0"/>
        <w:rPr>
          <w:sz w:val="22"/>
          <w:szCs w:val="22"/>
        </w:rPr>
      </w:pPr>
      <w:r w:rsidRPr="00436890">
        <w:rPr>
          <w:b/>
          <w:sz w:val="22"/>
          <w:szCs w:val="22"/>
        </w:rPr>
        <w:t>Heathe</w:t>
      </w:r>
      <w:r>
        <w:rPr>
          <w:b/>
          <w:sz w:val="22"/>
          <w:szCs w:val="22"/>
        </w:rPr>
        <w:t>r</w:t>
      </w:r>
      <w:r w:rsidRPr="00436890">
        <w:rPr>
          <w:b/>
          <w:sz w:val="22"/>
          <w:szCs w:val="22"/>
        </w:rPr>
        <w:t xml:space="preserve"> Luz McNaughton Reyes, PhD, MPH, </w:t>
      </w:r>
      <w:r w:rsidRPr="00436890">
        <w:rPr>
          <w:sz w:val="22"/>
          <w:szCs w:val="22"/>
        </w:rPr>
        <w:t xml:space="preserve">Postdoctoral Researcher, Department of Health Behavior and Health Education, Gillings School of Global Public Health, University of North Carolina </w:t>
      </w:r>
    </w:p>
    <w:p w14:paraId="6D6AF3E1" w14:textId="77777777" w:rsidR="000965F5" w:rsidRPr="00436890" w:rsidRDefault="000965F5" w:rsidP="000965F5">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b/>
        </w:rPr>
        <w:t xml:space="preserve">Olis Simmons, </w:t>
      </w:r>
      <w:r w:rsidRPr="00436890">
        <w:rPr>
          <w:rFonts w:ascii="Times New Roman" w:hAnsi="Times New Roman" w:cs="Times New Roman"/>
        </w:rPr>
        <w:t>Executive Director</w:t>
      </w:r>
      <w:r w:rsidRPr="00436890">
        <w:rPr>
          <w:rFonts w:ascii="Times New Roman" w:hAnsi="Times New Roman" w:cs="Times New Roman"/>
          <w:color w:val="000000"/>
        </w:rPr>
        <w:t>, Youth Uprising</w:t>
      </w:r>
    </w:p>
    <w:p w14:paraId="3B1AE757" w14:textId="77777777" w:rsidR="000965F5" w:rsidRPr="00436890" w:rsidRDefault="000965F5" w:rsidP="000965F5">
      <w:pPr>
        <w:spacing w:after="0" w:line="240" w:lineRule="auto"/>
        <w:rPr>
          <w:rFonts w:ascii="Times New Roman" w:hAnsi="Times New Roman" w:cs="Times New Roman"/>
          <w:i/>
          <w:color w:val="000000"/>
        </w:rPr>
      </w:pPr>
      <w:r w:rsidRPr="00436890">
        <w:rPr>
          <w:rFonts w:ascii="Times New Roman" w:hAnsi="Times New Roman" w:cs="Times New Roman"/>
          <w:b/>
        </w:rPr>
        <w:t xml:space="preserve">Nneka Norville, </w:t>
      </w:r>
      <w:r w:rsidRPr="00436890">
        <w:rPr>
          <w:rFonts w:ascii="Times New Roman" w:hAnsi="Times New Roman" w:cs="Times New Roman"/>
        </w:rPr>
        <w:t>Senior Public Affairs Manager, BET Networks</w:t>
      </w:r>
    </w:p>
    <w:p w14:paraId="1229BDF7" w14:textId="77777777" w:rsidR="000965F5" w:rsidRPr="00436890" w:rsidRDefault="000965F5" w:rsidP="000965F5">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b/>
        </w:rPr>
        <w:t xml:space="preserve">Lisa Witter, </w:t>
      </w:r>
      <w:r w:rsidRPr="00436890">
        <w:rPr>
          <w:rFonts w:ascii="Times New Roman" w:hAnsi="Times New Roman" w:cs="Times New Roman"/>
        </w:rPr>
        <w:t>Chief Operating Officer, Fenton Communications</w:t>
      </w:r>
    </w:p>
    <w:p w14:paraId="66695989" w14:textId="77777777" w:rsidR="000965F5" w:rsidRPr="00436890" w:rsidRDefault="000965F5" w:rsidP="000965F5">
      <w:pPr>
        <w:spacing w:after="0" w:line="240" w:lineRule="auto"/>
        <w:rPr>
          <w:rFonts w:ascii="Times New Roman" w:hAnsi="Times New Roman" w:cs="Times New Roman"/>
          <w:b/>
        </w:rPr>
      </w:pPr>
    </w:p>
    <w:p w14:paraId="729CCE6F" w14:textId="77777777" w:rsidR="000965F5" w:rsidRPr="00436890" w:rsidRDefault="000965F5" w:rsidP="000965F5">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Panel--Policy (May 26-28, 2010)</w:t>
      </w:r>
    </w:p>
    <w:p w14:paraId="04A86739"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Eve Birge,</w:t>
      </w:r>
      <w:r w:rsidRPr="00436890">
        <w:rPr>
          <w:rFonts w:ascii="Times New Roman" w:hAnsi="Times New Roman" w:cs="Times New Roman"/>
        </w:rPr>
        <w:t xml:space="preserve"> Education Program Specialist, U.S. Department of Education</w:t>
      </w:r>
    </w:p>
    <w:p w14:paraId="4B8CA297"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Megan Foreman,</w:t>
      </w:r>
      <w:r w:rsidRPr="00436890">
        <w:rPr>
          <w:rFonts w:ascii="Times New Roman" w:hAnsi="Times New Roman" w:cs="Times New Roman"/>
        </w:rPr>
        <w:t xml:space="preserve"> Policy Specialist, National Conference of State Legislatures, Health Program</w:t>
      </w:r>
    </w:p>
    <w:p w14:paraId="6D464D20"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Deborah Gorman-Smith,</w:t>
      </w:r>
      <w:r w:rsidRPr="00436890">
        <w:rPr>
          <w:rFonts w:ascii="Times New Roman" w:hAnsi="Times New Roman" w:cs="Times New Roman"/>
        </w:rPr>
        <w:t xml:space="preserve"> Research Fellow, University of Chicago</w:t>
      </w:r>
    </w:p>
    <w:p w14:paraId="3D09AF66"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Cheryl Grills,</w:t>
      </w:r>
      <w:r w:rsidRPr="00436890">
        <w:rPr>
          <w:rFonts w:ascii="Times New Roman" w:hAnsi="Times New Roman" w:cs="Times New Roman"/>
        </w:rPr>
        <w:t xml:space="preserve"> Professor and Chair of Psychology, Loyola Marymount University</w:t>
      </w:r>
    </w:p>
    <w:p w14:paraId="379AAFC0"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Catherine Guerrero,</w:t>
      </w:r>
      <w:r w:rsidRPr="00436890">
        <w:rPr>
          <w:rFonts w:ascii="Times New Roman" w:hAnsi="Times New Roman" w:cs="Times New Roman"/>
        </w:rPr>
        <w:t xml:space="preserve"> Program Director, Colorado Department of Public Health and Environment</w:t>
      </w:r>
    </w:p>
    <w:p w14:paraId="44552E78"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Carrie Mulford,</w:t>
      </w:r>
      <w:r w:rsidRPr="00436890">
        <w:rPr>
          <w:rFonts w:ascii="Times New Roman" w:hAnsi="Times New Roman" w:cs="Times New Roman"/>
        </w:rPr>
        <w:t xml:space="preserve"> Social Science Analyst, National Institute of Justice</w:t>
      </w:r>
    </w:p>
    <w:p w14:paraId="12E483A5"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lastRenderedPageBreak/>
        <w:t>Heather O'Beirne Kelly,</w:t>
      </w:r>
      <w:r w:rsidRPr="00436890">
        <w:rPr>
          <w:rFonts w:ascii="Times New Roman" w:hAnsi="Times New Roman" w:cs="Times New Roman"/>
        </w:rPr>
        <w:t xml:space="preserve"> Senior Legislative &amp; Federal Affairs Officer, American Psychological Association</w:t>
      </w:r>
    </w:p>
    <w:p w14:paraId="639B0072"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 xml:space="preserve">AJ Pearlman, </w:t>
      </w:r>
      <w:r w:rsidRPr="00436890">
        <w:rPr>
          <w:rFonts w:ascii="Times New Roman" w:hAnsi="Times New Roman" w:cs="Times New Roman"/>
        </w:rPr>
        <w:t>State Policy Attorney, Break the Cycle</w:t>
      </w:r>
    </w:p>
    <w:p w14:paraId="4C6CF566"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Brad Perry,</w:t>
      </w:r>
      <w:r w:rsidRPr="00436890">
        <w:rPr>
          <w:rFonts w:ascii="Times New Roman" w:hAnsi="Times New Roman" w:cs="Times New Roman"/>
        </w:rPr>
        <w:t xml:space="preserve"> Sexual Violence Prevention Coordinator, Virginia Sexual &amp; Domestic Violence Action Alliance</w:t>
      </w:r>
    </w:p>
    <w:p w14:paraId="0B0F17AF"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Barri Rosenbluth,</w:t>
      </w:r>
      <w:r w:rsidRPr="00436890">
        <w:rPr>
          <w:rFonts w:ascii="Times New Roman" w:hAnsi="Times New Roman" w:cs="Times New Roman"/>
        </w:rPr>
        <w:t xml:space="preserve"> Expect Respect Program Director, Safe Place</w:t>
      </w:r>
    </w:p>
    <w:p w14:paraId="5D0C4EF1"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Sally Schaeffer,</w:t>
      </w:r>
      <w:r w:rsidRPr="00436890">
        <w:rPr>
          <w:rFonts w:ascii="Times New Roman" w:hAnsi="Times New Roman" w:cs="Times New Roman"/>
        </w:rPr>
        <w:t xml:space="preserve"> Senior Public Policy Advocate, Family Violence Prevention Fund</w:t>
      </w:r>
    </w:p>
    <w:p w14:paraId="3C3D607F"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David Wolfe,</w:t>
      </w:r>
      <w:r w:rsidRPr="00436890">
        <w:rPr>
          <w:rFonts w:ascii="Times New Roman" w:hAnsi="Times New Roman" w:cs="Times New Roman"/>
        </w:rPr>
        <w:t xml:space="preserve"> RBC Chair in Children's Mental Health Centre for Addiction and Mental Health</w:t>
      </w:r>
    </w:p>
    <w:p w14:paraId="19ABC606"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Caroline Ledlie,</w:t>
      </w:r>
      <w:r w:rsidRPr="00436890">
        <w:rPr>
          <w:rFonts w:ascii="Times New Roman" w:hAnsi="Times New Roman" w:cs="Times New Roman"/>
        </w:rPr>
        <w:t xml:space="preserve"> Program Officer, Centers for Disease Control Foundation</w:t>
      </w:r>
    </w:p>
    <w:p w14:paraId="6DD89E82"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Kristin Schubert,</w:t>
      </w:r>
      <w:r w:rsidRPr="00436890">
        <w:rPr>
          <w:rFonts w:ascii="Times New Roman" w:hAnsi="Times New Roman" w:cs="Times New Roman"/>
        </w:rPr>
        <w:t xml:space="preserve"> Program Officer, The Robert Wood Johnson Foundation</w:t>
      </w:r>
    </w:p>
    <w:p w14:paraId="2A45C243"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Elizabeth Zurich,</w:t>
      </w:r>
      <w:r w:rsidRPr="00436890">
        <w:rPr>
          <w:rFonts w:ascii="Times New Roman" w:hAnsi="Times New Roman" w:cs="Times New Roman"/>
        </w:rPr>
        <w:t xml:space="preserve"> Health Policy Lead, Centers for Disease Control and Prevention</w:t>
      </w:r>
    </w:p>
    <w:p w14:paraId="513A4082"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 xml:space="preserve">Kathleen Rutherford, </w:t>
      </w:r>
      <w:r w:rsidRPr="00436890">
        <w:rPr>
          <w:rFonts w:ascii="Times New Roman" w:hAnsi="Times New Roman" w:cs="Times New Roman"/>
        </w:rPr>
        <w:t>Senior Mediator, Meridian Institute</w:t>
      </w:r>
    </w:p>
    <w:p w14:paraId="42C98F99"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Mark Jacobs,</w:t>
      </w:r>
      <w:r w:rsidRPr="00436890">
        <w:rPr>
          <w:rFonts w:ascii="Times New Roman" w:hAnsi="Times New Roman" w:cs="Times New Roman"/>
        </w:rPr>
        <w:t xml:space="preserve"> Mediator, Meridian Institute</w:t>
      </w:r>
    </w:p>
    <w:p w14:paraId="4996A84A" w14:textId="77777777" w:rsidR="000965F5" w:rsidRPr="00436890" w:rsidRDefault="000965F5" w:rsidP="000965F5">
      <w:pPr>
        <w:spacing w:after="0" w:line="240" w:lineRule="auto"/>
        <w:rPr>
          <w:rFonts w:ascii="Times New Roman" w:hAnsi="Times New Roman" w:cs="Times New Roman"/>
        </w:rPr>
      </w:pPr>
    </w:p>
    <w:p w14:paraId="33C2F234" w14:textId="77777777" w:rsidR="000965F5" w:rsidRPr="00436890" w:rsidRDefault="000965F5" w:rsidP="000965F5">
      <w:pPr>
        <w:spacing w:after="0" w:line="240" w:lineRule="auto"/>
        <w:rPr>
          <w:rFonts w:ascii="Times New Roman" w:hAnsi="Times New Roman" w:cs="Times New Roman"/>
          <w:b/>
          <w:u w:val="single"/>
        </w:rPr>
      </w:pPr>
      <w:r w:rsidRPr="00436890">
        <w:rPr>
          <w:rFonts w:ascii="Times New Roman" w:hAnsi="Times New Roman" w:cs="Times New Roman"/>
          <w:b/>
          <w:u w:val="single"/>
        </w:rPr>
        <w:t>Evaluation Methodology Panel (October 13-14, 2010)</w:t>
      </w:r>
    </w:p>
    <w:p w14:paraId="58D28E21"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Laura Leviton,</w:t>
      </w:r>
      <w:r w:rsidRPr="00436890">
        <w:rPr>
          <w:rFonts w:ascii="Times New Roman" w:hAnsi="Times New Roman" w:cs="Times New Roman"/>
        </w:rPr>
        <w:t xml:space="preserve"> Robert Wood Johnson Founda</w:t>
      </w:r>
      <w:r>
        <w:rPr>
          <w:rFonts w:ascii="Times New Roman" w:hAnsi="Times New Roman" w:cs="Times New Roman"/>
        </w:rPr>
        <w:t>tion</w:t>
      </w:r>
    </w:p>
    <w:p w14:paraId="20A36EA4"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Rhonda BeLue,</w:t>
      </w:r>
      <w:r w:rsidRPr="00436890">
        <w:rPr>
          <w:rFonts w:ascii="Times New Roman" w:hAnsi="Times New Roman" w:cs="Times New Roman"/>
        </w:rPr>
        <w:t xml:space="preserve"> Penn State Methodology </w:t>
      </w:r>
      <w:r>
        <w:rPr>
          <w:rFonts w:ascii="Times New Roman" w:hAnsi="Times New Roman" w:cs="Times New Roman"/>
        </w:rPr>
        <w:t>Center</w:t>
      </w:r>
    </w:p>
    <w:p w14:paraId="38D85D93"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Michael Cleveland,</w:t>
      </w:r>
      <w:r w:rsidRPr="00436890">
        <w:rPr>
          <w:rFonts w:ascii="Times New Roman" w:hAnsi="Times New Roman" w:cs="Times New Roman"/>
        </w:rPr>
        <w:t xml:space="preserve"> Penn State Methodology </w:t>
      </w:r>
      <w:r>
        <w:rPr>
          <w:rFonts w:ascii="Times New Roman" w:hAnsi="Times New Roman" w:cs="Times New Roman"/>
        </w:rPr>
        <w:t>Center</w:t>
      </w:r>
    </w:p>
    <w:p w14:paraId="5F8A9BA1"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Pamela Orpinas,</w:t>
      </w:r>
      <w:r w:rsidRPr="00436890">
        <w:rPr>
          <w:rFonts w:ascii="Times New Roman" w:hAnsi="Times New Roman" w:cs="Times New Roman"/>
        </w:rPr>
        <w:t xml:space="preserve"> University of Georgia</w:t>
      </w:r>
    </w:p>
    <w:p w14:paraId="63815769"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Leslie Snyder,</w:t>
      </w:r>
      <w:r w:rsidRPr="00436890">
        <w:rPr>
          <w:rFonts w:ascii="Times New Roman" w:hAnsi="Times New Roman" w:cs="Times New Roman"/>
        </w:rPr>
        <w:t xml:space="preserve"> University of Connecticut</w:t>
      </w:r>
    </w:p>
    <w:p w14:paraId="740354DF"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Martie Thompson</w:t>
      </w:r>
      <w:r w:rsidRPr="00436890">
        <w:rPr>
          <w:rFonts w:ascii="Times New Roman" w:hAnsi="Times New Roman" w:cs="Times New Roman"/>
        </w:rPr>
        <w:t>, Clemso</w:t>
      </w:r>
      <w:r>
        <w:rPr>
          <w:rFonts w:ascii="Times New Roman" w:hAnsi="Times New Roman" w:cs="Times New Roman"/>
        </w:rPr>
        <w:t>n University</w:t>
      </w:r>
    </w:p>
    <w:p w14:paraId="3EDBE746"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Jacqueline Lloyd</w:t>
      </w:r>
      <w:r>
        <w:rPr>
          <w:rFonts w:ascii="Times New Roman" w:hAnsi="Times New Roman" w:cs="Times New Roman"/>
        </w:rPr>
        <w:t>, National Institute on Drug Abuse</w:t>
      </w:r>
    </w:p>
    <w:p w14:paraId="15443070" w14:textId="77777777" w:rsidR="000965F5" w:rsidRPr="00436890" w:rsidRDefault="000965F5" w:rsidP="000965F5">
      <w:pPr>
        <w:spacing w:after="0" w:line="240" w:lineRule="auto"/>
        <w:rPr>
          <w:rFonts w:ascii="Times New Roman" w:hAnsi="Times New Roman" w:cs="Times New Roman"/>
        </w:rPr>
      </w:pPr>
    </w:p>
    <w:p w14:paraId="74030184" w14:textId="77777777" w:rsidR="000965F5" w:rsidRPr="00436890" w:rsidRDefault="000965F5" w:rsidP="000965F5">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Panel—Capacity/Readiness (December 13, 2010)</w:t>
      </w:r>
    </w:p>
    <w:p w14:paraId="325E1413"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Barbara Blumenthal, PhD,</w:t>
      </w:r>
      <w:r w:rsidRPr="00436890">
        <w:rPr>
          <w:rFonts w:ascii="Times New Roman" w:hAnsi="Times New Roman" w:cs="Times New Roman"/>
        </w:rPr>
        <w:t xml:space="preserve"> Independent Consultant; Visiting Lecturer, Blumenthal Consulting, LLC</w:t>
      </w:r>
    </w:p>
    <w:p w14:paraId="5E34DEC3"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Abigail Fagan, PhD,</w:t>
      </w:r>
      <w:r w:rsidRPr="00436890">
        <w:rPr>
          <w:rFonts w:ascii="Times New Roman" w:hAnsi="Times New Roman" w:cs="Times New Roman"/>
        </w:rPr>
        <w:t xml:space="preserve"> Assistant Professor, University of South Carolina</w:t>
      </w:r>
    </w:p>
    <w:p w14:paraId="2D52D215"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Paul Flaspohler, PhD,</w:t>
      </w:r>
      <w:r w:rsidRPr="00436890">
        <w:rPr>
          <w:rFonts w:ascii="Times New Roman" w:hAnsi="Times New Roman" w:cs="Times New Roman"/>
        </w:rPr>
        <w:t xml:space="preserve"> Assistant Professor, Miami University</w:t>
      </w:r>
    </w:p>
    <w:p w14:paraId="5D52310A"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Catherine Guerrero, MPA,</w:t>
      </w:r>
      <w:r w:rsidRPr="00436890">
        <w:rPr>
          <w:rFonts w:ascii="Times New Roman" w:hAnsi="Times New Roman" w:cs="Times New Roman"/>
        </w:rPr>
        <w:t xml:space="preserve"> Rape Prevention and Education Program Manager, North Carolina Division of Public Health</w:t>
      </w:r>
    </w:p>
    <w:p w14:paraId="35303C6D"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Pamela Jumper-Thurman, PhD,</w:t>
      </w:r>
      <w:r w:rsidRPr="00436890">
        <w:rPr>
          <w:rFonts w:ascii="Times New Roman" w:hAnsi="Times New Roman" w:cs="Times New Roman"/>
        </w:rPr>
        <w:t xml:space="preserve"> Senior Research Scientist, Colorado State University</w:t>
      </w:r>
    </w:p>
    <w:p w14:paraId="168AFBBD"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Wendi Siebold,</w:t>
      </w:r>
      <w:r w:rsidRPr="00436890">
        <w:rPr>
          <w:rFonts w:ascii="Times New Roman" w:hAnsi="Times New Roman" w:cs="Times New Roman"/>
        </w:rPr>
        <w:t xml:space="preserve"> Senior Research Associate, Evaluation, Management, and Training Associates</w:t>
      </w:r>
    </w:p>
    <w:p w14:paraId="6CE848D7" w14:textId="77777777" w:rsidR="000965F5" w:rsidRPr="00436890" w:rsidRDefault="000965F5" w:rsidP="000965F5">
      <w:pPr>
        <w:spacing w:after="0" w:line="240" w:lineRule="auto"/>
        <w:rPr>
          <w:rFonts w:ascii="Times New Roman" w:hAnsi="Times New Roman" w:cs="Times New Roman"/>
          <w:u w:val="single"/>
        </w:rPr>
      </w:pPr>
    </w:p>
    <w:p w14:paraId="263F4F60" w14:textId="77777777" w:rsidR="000965F5" w:rsidRPr="00436890" w:rsidRDefault="000965F5" w:rsidP="000965F5">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Panel--Adaptation (January 10, 2011)</w:t>
      </w:r>
    </w:p>
    <w:p w14:paraId="65D4E5AC"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Barbara Ball, PhD,</w:t>
      </w:r>
      <w:r w:rsidRPr="00436890">
        <w:rPr>
          <w:rFonts w:ascii="Times New Roman" w:hAnsi="Times New Roman" w:cs="Times New Roman"/>
        </w:rPr>
        <w:t xml:space="preserve"> Program Evaluation Specialist; Start Strong Austin, Project Director SafePlace</w:t>
      </w:r>
    </w:p>
    <w:p w14:paraId="337BE27C"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Paul Flaspohler, PhD,</w:t>
      </w:r>
      <w:r w:rsidRPr="00436890">
        <w:rPr>
          <w:rFonts w:ascii="Times New Roman" w:hAnsi="Times New Roman" w:cs="Times New Roman"/>
        </w:rPr>
        <w:t xml:space="preserve"> Assistant Professor, Miami University</w:t>
      </w:r>
    </w:p>
    <w:p w14:paraId="32AC7136"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Warren Passin, MPH, MSW,</w:t>
      </w:r>
      <w:r w:rsidRPr="00436890">
        <w:rPr>
          <w:rFonts w:ascii="Times New Roman" w:hAnsi="Times New Roman" w:cs="Times New Roman"/>
        </w:rPr>
        <w:t xml:space="preserve"> Project Manager, ICF Macro </w:t>
      </w:r>
    </w:p>
    <w:p w14:paraId="1C7FE702"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Hank Tomlinson, PhD,</w:t>
      </w:r>
      <w:r w:rsidRPr="00436890">
        <w:rPr>
          <w:rFonts w:ascii="Times New Roman" w:hAnsi="Times New Roman" w:cs="Times New Roman"/>
        </w:rPr>
        <w:t xml:space="preserve"> Behavioral Scientist, Centers for Disease Control &amp; Prevention</w:t>
      </w:r>
    </w:p>
    <w:p w14:paraId="71CDE8A7" w14:textId="77777777" w:rsidR="000965F5" w:rsidRPr="00436890" w:rsidRDefault="000965F5" w:rsidP="000965F5">
      <w:pPr>
        <w:spacing w:after="0" w:line="240" w:lineRule="auto"/>
        <w:rPr>
          <w:rFonts w:ascii="Times New Roman" w:hAnsi="Times New Roman" w:cs="Times New Roman"/>
        </w:rPr>
      </w:pPr>
      <w:r w:rsidRPr="00436890">
        <w:rPr>
          <w:rFonts w:ascii="Times New Roman" w:hAnsi="Times New Roman" w:cs="Times New Roman"/>
          <w:b/>
        </w:rPr>
        <w:t>Donna-Marie Winn, PhD,</w:t>
      </w:r>
      <w:r w:rsidRPr="00436890">
        <w:rPr>
          <w:rFonts w:ascii="Times New Roman" w:hAnsi="Times New Roman" w:cs="Times New Roman"/>
        </w:rPr>
        <w:t xml:space="preserve"> Research Scientist, University of North Carolina at Chapel Hill,  FPG Child Development Center</w:t>
      </w:r>
    </w:p>
    <w:p w14:paraId="03633FF7" w14:textId="77777777" w:rsidR="000965F5" w:rsidRDefault="000965F5" w:rsidP="000965F5">
      <w:pPr>
        <w:spacing w:after="0" w:line="240" w:lineRule="auto"/>
        <w:rPr>
          <w:rFonts w:ascii="Times New Roman" w:hAnsi="Times New Roman" w:cs="Times New Roman"/>
        </w:rPr>
      </w:pPr>
    </w:p>
    <w:p w14:paraId="11998C6C" w14:textId="77777777" w:rsidR="000965F5" w:rsidRDefault="00CA3876" w:rsidP="000965F5">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w:t>
      </w:r>
      <w:r w:rsidR="000965F5" w:rsidRPr="00436890">
        <w:rPr>
          <w:rFonts w:ascii="Times New Roman" w:hAnsi="Times New Roman" w:cs="Times New Roman"/>
          <w:b/>
        </w:rPr>
        <w:t>9. Explanation of Any Payment or Gift to Respondents</w:t>
      </w:r>
    </w:p>
    <w:p w14:paraId="7627CDE0" w14:textId="77777777" w:rsidR="004D1903" w:rsidRPr="00436890" w:rsidRDefault="004D1903" w:rsidP="000965F5">
      <w:pPr>
        <w:autoSpaceDE w:val="0"/>
        <w:autoSpaceDN w:val="0"/>
        <w:adjustRightInd w:val="0"/>
        <w:spacing w:after="0" w:line="240" w:lineRule="auto"/>
        <w:rPr>
          <w:rFonts w:ascii="Times New Roman" w:hAnsi="Times New Roman" w:cs="Times New Roman"/>
          <w:b/>
        </w:rPr>
      </w:pPr>
    </w:p>
    <w:p w14:paraId="4AACCCB9" w14:textId="6D3506E7" w:rsidR="00032688" w:rsidRDefault="00032688" w:rsidP="000965F5">
      <w:pPr>
        <w:autoSpaceDE w:val="0"/>
        <w:autoSpaceDN w:val="0"/>
        <w:spacing w:after="0" w:line="240" w:lineRule="auto"/>
        <w:rPr>
          <w:rFonts w:ascii="Times New Roman" w:hAnsi="Times New Roman" w:cs="Times New Roman"/>
        </w:rPr>
      </w:pPr>
      <w:r>
        <w:rPr>
          <w:rFonts w:ascii="Times New Roman" w:hAnsi="Times New Roman" w:cs="Times New Roman"/>
        </w:rPr>
        <w:t xml:space="preserve">We propose continuing to provide small gifts to high school aged youth who participate in the follow-up survey.  </w:t>
      </w:r>
      <w:r w:rsidRPr="00CA3876">
        <w:rPr>
          <w:rFonts w:ascii="Times New Roman" w:hAnsi="Times New Roman" w:cs="Times New Roman"/>
        </w:rPr>
        <w:t>W</w:t>
      </w:r>
      <w:r w:rsidRPr="00CA3876">
        <w:rPr>
          <w:rFonts w:ascii="Times New Roman" w:hAnsi="Times New Roman" w:cs="Times New Roman"/>
          <w:color w:val="000000"/>
        </w:rPr>
        <w:t xml:space="preserve">hen youth matriculate into high school, they are no longer in the </w:t>
      </w:r>
      <w:r w:rsidRPr="00032688">
        <w:rPr>
          <w:rFonts w:ascii="Times New Roman" w:hAnsi="Times New Roman" w:cs="Times New Roman"/>
          <w:i/>
        </w:rPr>
        <w:t>Dating Matters®</w:t>
      </w:r>
      <w:r>
        <w:rPr>
          <w:rFonts w:ascii="Times New Roman" w:hAnsi="Times New Roman" w:cs="Times New Roman"/>
          <w:i/>
        </w:rPr>
        <w:t xml:space="preserve"> </w:t>
      </w:r>
      <w:r w:rsidRPr="00CA3876">
        <w:rPr>
          <w:rFonts w:ascii="Times New Roman" w:hAnsi="Times New Roman" w:cs="Times New Roman"/>
          <w:color w:val="000000"/>
        </w:rPr>
        <w:t xml:space="preserve">participating middle schools, making follow-up potentially challenging. Therefore, to maintain robust response rates and data quality, for high school youth only, </w:t>
      </w:r>
      <w:r w:rsidRPr="00CA3876">
        <w:rPr>
          <w:rFonts w:ascii="Times New Roman" w:hAnsi="Times New Roman" w:cs="Times New Roman"/>
          <w:noProof/>
          <w:u w:val="single" w:color="C0C0C0"/>
        </w:rPr>
        <w:t xml:space="preserve">we were approved by OMB </w:t>
      </w:r>
      <w:r>
        <w:rPr>
          <w:rFonts w:ascii="Times New Roman" w:hAnsi="Times New Roman" w:cs="Times New Roman"/>
          <w:noProof/>
          <w:u w:val="single" w:color="C0C0C0"/>
        </w:rPr>
        <w:t>(</w:t>
      </w:r>
      <w:r w:rsidRPr="00032688">
        <w:rPr>
          <w:rFonts w:ascii="Times New Roman" w:hAnsi="Times New Roman" w:cs="Times New Roman"/>
        </w:rPr>
        <w:t xml:space="preserve">“Evaluation of </w:t>
      </w:r>
      <w:r w:rsidRPr="00032688">
        <w:rPr>
          <w:rFonts w:ascii="Times New Roman" w:hAnsi="Times New Roman" w:cs="Times New Roman"/>
          <w:i/>
        </w:rPr>
        <w:t>Dating Matters</w:t>
      </w:r>
      <w:r w:rsidRPr="00015A8B">
        <w:rPr>
          <w:rFonts w:ascii="Times New Roman" w:hAnsi="Times New Roman" w:cs="Times New Roman"/>
          <w:i/>
        </w:rPr>
        <w:t>®: Strategies to Promote Healthy Teen Relationships</w:t>
      </w:r>
      <w:r w:rsidR="00CD1DD6">
        <w:rPr>
          <w:rFonts w:ascii="Times New Roman" w:hAnsi="Times New Roman" w:cs="Times New Roman"/>
        </w:rPr>
        <w:t>,” OMB# 09</w:t>
      </w:r>
      <w:r w:rsidRPr="00015A8B">
        <w:rPr>
          <w:rFonts w:ascii="Times New Roman" w:hAnsi="Times New Roman" w:cs="Times New Roman"/>
        </w:rPr>
        <w:t>20-0941, Expiration 5/30/</w:t>
      </w:r>
      <w:r w:rsidR="00440D85" w:rsidRPr="00015A8B">
        <w:rPr>
          <w:rFonts w:ascii="Times New Roman" w:hAnsi="Times New Roman" w:cs="Times New Roman"/>
        </w:rPr>
        <w:t>201</w:t>
      </w:r>
      <w:r w:rsidR="00440D85">
        <w:rPr>
          <w:rFonts w:ascii="Times New Roman" w:hAnsi="Times New Roman" w:cs="Times New Roman"/>
        </w:rPr>
        <w:t>6</w:t>
      </w:r>
      <w:r w:rsidRPr="00015A8B">
        <w:rPr>
          <w:rFonts w:ascii="Times New Roman" w:hAnsi="Times New Roman" w:cs="Times New Roman"/>
        </w:rPr>
        <w:t>)</w:t>
      </w:r>
      <w:r w:rsidRPr="00015A8B">
        <w:t xml:space="preserve"> </w:t>
      </w:r>
      <w:r w:rsidR="008F10D6" w:rsidRPr="00015A8B">
        <w:rPr>
          <w:rFonts w:ascii="Times New Roman" w:hAnsi="Times New Roman" w:cs="Times New Roman"/>
          <w:noProof/>
        </w:rPr>
        <w:t>to provide (a</w:t>
      </w:r>
      <w:r w:rsidRPr="00015A8B">
        <w:rPr>
          <w:rFonts w:ascii="Times New Roman" w:hAnsi="Times New Roman" w:cs="Times New Roman"/>
          <w:noProof/>
        </w:rPr>
        <w:t>nd have been providing</w:t>
      </w:r>
      <w:r w:rsidR="008F10D6" w:rsidRPr="00015A8B">
        <w:rPr>
          <w:rFonts w:ascii="Times New Roman" w:hAnsi="Times New Roman" w:cs="Times New Roman"/>
          <w:noProof/>
        </w:rPr>
        <w:t>)</w:t>
      </w:r>
      <w:r w:rsidRPr="00015A8B">
        <w:rPr>
          <w:rFonts w:ascii="Times New Roman" w:hAnsi="Times New Roman" w:cs="Times New Roman"/>
          <w:noProof/>
        </w:rPr>
        <w:t xml:space="preserve"> a nominal non-monetary gift to participants in an amount up to $15. We seek to continue this approach.  The use of this non-monetary gift is critical to maintain a high response rate of this high-risk and highly mobile sample.</w:t>
      </w:r>
      <w:r w:rsidRPr="00015A8B">
        <w:rPr>
          <w:rFonts w:ascii="Times New Roman" w:hAnsi="Times New Roman" w:cs="Times New Roman"/>
        </w:rPr>
        <w:t xml:space="preserve"> Response rates for the follow-up survey have been consistently around 70%.</w:t>
      </w:r>
      <w:r>
        <w:rPr>
          <w:rFonts w:ascii="Times New Roman" w:hAnsi="Times New Roman" w:cs="Times New Roman"/>
        </w:rPr>
        <w:t xml:space="preserve"> </w:t>
      </w:r>
    </w:p>
    <w:p w14:paraId="6236A59A" w14:textId="77777777" w:rsidR="00032688" w:rsidRDefault="00032688" w:rsidP="000965F5">
      <w:pPr>
        <w:autoSpaceDE w:val="0"/>
        <w:autoSpaceDN w:val="0"/>
        <w:spacing w:after="0" w:line="240" w:lineRule="auto"/>
        <w:rPr>
          <w:rFonts w:ascii="Times New Roman" w:hAnsi="Times New Roman" w:cs="Times New Roman"/>
        </w:rPr>
      </w:pPr>
    </w:p>
    <w:p w14:paraId="657C0153" w14:textId="77777777" w:rsidR="000965F5" w:rsidRPr="00CA3876" w:rsidRDefault="000965F5" w:rsidP="000965F5">
      <w:pPr>
        <w:autoSpaceDE w:val="0"/>
        <w:autoSpaceDN w:val="0"/>
        <w:spacing w:after="0" w:line="240" w:lineRule="auto"/>
        <w:rPr>
          <w:rFonts w:ascii="Times New Roman" w:hAnsi="Times New Roman" w:cs="Times New Roman"/>
        </w:rPr>
      </w:pPr>
      <w:r w:rsidRPr="00CA3876">
        <w:rPr>
          <w:rFonts w:ascii="Times New Roman" w:hAnsi="Times New Roman"/>
          <w:color w:val="000000"/>
        </w:rPr>
        <w:t>T</w:t>
      </w:r>
      <w:r w:rsidRPr="00CA3876">
        <w:rPr>
          <w:rFonts w:ascii="Times New Roman" w:hAnsi="Times New Roman"/>
        </w:rPr>
        <w:t>heory (Blau 1964; Homans 1961) and experience (Dillman et al. 2009) dictate the provision of nominal gifts (Foster et al. 2010) to ensure adequate</w:t>
      </w:r>
      <w:r w:rsidRPr="00742A6C">
        <w:rPr>
          <w:rFonts w:ascii="Times New Roman" w:hAnsi="Times New Roman"/>
        </w:rPr>
        <w:t xml:space="preserve"> participation in the project without coercion.</w:t>
      </w:r>
      <w:r w:rsidRPr="00742A6C">
        <w:rPr>
          <w:rFonts w:ascii="Times New Roman" w:hAnsi="Times New Roman" w:cs="Times New Roman"/>
        </w:rPr>
        <w:t> </w:t>
      </w:r>
      <w:r w:rsidRPr="00742A6C">
        <w:rPr>
          <w:rFonts w:ascii="Times New Roman" w:hAnsi="Times New Roman"/>
        </w:rPr>
        <w:t xml:space="preserve"> </w:t>
      </w:r>
      <w:r w:rsidRPr="00742A6C">
        <w:rPr>
          <w:rFonts w:ascii="Times New Roman" w:hAnsi="Times New Roman" w:cs="Times New Roman"/>
        </w:rPr>
        <w:t xml:space="preserve">Our approach to </w:t>
      </w:r>
      <w:r>
        <w:rPr>
          <w:rFonts w:ascii="Times New Roman" w:hAnsi="Times New Roman" w:cs="Times New Roman"/>
        </w:rPr>
        <w:t>gifts</w:t>
      </w:r>
      <w:r w:rsidRPr="00742A6C">
        <w:rPr>
          <w:rFonts w:ascii="Times New Roman" w:hAnsi="Times New Roman" w:cs="Times New Roman"/>
        </w:rPr>
        <w:t xml:space="preserve"> is also based on </w:t>
      </w:r>
      <w:r w:rsidR="005F1191">
        <w:rPr>
          <w:rFonts w:ascii="Times New Roman" w:hAnsi="Times New Roman" w:cs="Times New Roman"/>
        </w:rPr>
        <w:t>the contractor’s</w:t>
      </w:r>
      <w:r w:rsidRPr="00742A6C">
        <w:rPr>
          <w:rFonts w:ascii="Times New Roman" w:hAnsi="Times New Roman" w:cs="Times New Roman"/>
        </w:rPr>
        <w:t xml:space="preserve"> decades of experience in survey research and the need to balance </w:t>
      </w:r>
      <w:r w:rsidRPr="00CA3876">
        <w:rPr>
          <w:rFonts w:ascii="Times New Roman" w:hAnsi="Times New Roman" w:cs="Times New Roman"/>
        </w:rPr>
        <w:t>motivating respondents to participate without offering a coercive sum (i.e., a sum that a low-income individual w</w:t>
      </w:r>
      <w:r w:rsidR="0067286A">
        <w:rPr>
          <w:rFonts w:ascii="Times New Roman" w:hAnsi="Times New Roman" w:cs="Times New Roman"/>
        </w:rPr>
        <w:t xml:space="preserve">ould find difficult to refuse; </w:t>
      </w:r>
      <w:r w:rsidRPr="00CA3876">
        <w:rPr>
          <w:rFonts w:ascii="Times New Roman" w:hAnsi="Times New Roman" w:cs="Times New Roman"/>
        </w:rPr>
        <w:t>Dillman et al. 2009)</w:t>
      </w:r>
      <w:r w:rsidR="005F1191">
        <w:rPr>
          <w:rFonts w:ascii="Times New Roman" w:hAnsi="Times New Roman" w:cs="Times New Roman"/>
        </w:rPr>
        <w:t>.  As the evaluation contractor</w:t>
      </w:r>
      <w:r w:rsidRPr="00CA3876">
        <w:rPr>
          <w:rFonts w:ascii="Times New Roman" w:hAnsi="Times New Roman" w:cs="Times New Roman"/>
        </w:rPr>
        <w:t xml:space="preserve"> considered alternative approaches, but selected a low-cost graduated gift approach as the most effective design, based on the literature and their experience.</w:t>
      </w:r>
    </w:p>
    <w:p w14:paraId="614BBB12" w14:textId="77777777" w:rsidR="000965F5" w:rsidRPr="00436890" w:rsidRDefault="000965F5" w:rsidP="000965F5">
      <w:pPr>
        <w:autoSpaceDE w:val="0"/>
        <w:autoSpaceDN w:val="0"/>
        <w:adjustRightInd w:val="0"/>
        <w:spacing w:after="0" w:line="240" w:lineRule="auto"/>
        <w:rPr>
          <w:rFonts w:ascii="Times New Roman" w:hAnsi="Times New Roman" w:cs="Times New Roman"/>
        </w:rPr>
      </w:pPr>
    </w:p>
    <w:p w14:paraId="31548D4A" w14:textId="77777777" w:rsidR="000965F5" w:rsidRDefault="00CA3876" w:rsidP="005F1191">
      <w:pPr>
        <w:pStyle w:val="TOC2"/>
        <w:rPr>
          <w:rFonts w:ascii="Times New Roman" w:hAnsi="Times New Roman" w:cs="Times New Roman"/>
          <w:b/>
        </w:rPr>
      </w:pPr>
      <w:r w:rsidRPr="001B74A6">
        <w:rPr>
          <w:rFonts w:ascii="Times New Roman" w:hAnsi="Times New Roman" w:cs="Times New Roman"/>
          <w:b/>
        </w:rPr>
        <w:t>A.</w:t>
      </w:r>
      <w:r w:rsidR="000965F5" w:rsidRPr="005F1191">
        <w:rPr>
          <w:rFonts w:ascii="Times New Roman" w:hAnsi="Times New Roman" w:cs="Times New Roman"/>
          <w:b/>
        </w:rPr>
        <w:t xml:space="preserve">10. </w:t>
      </w:r>
      <w:r w:rsidR="00F66891" w:rsidRPr="005F1191">
        <w:rPr>
          <w:rFonts w:ascii="Times New Roman" w:hAnsi="Times New Roman" w:cs="Times New Roman"/>
          <w:b/>
        </w:rPr>
        <w:t>Protection of the  Privacy  and Confidentiality of Information Provided  by  Respondents</w:t>
      </w:r>
    </w:p>
    <w:p w14:paraId="4801EBB1" w14:textId="77777777" w:rsidR="004D1903" w:rsidRDefault="004D1903" w:rsidP="00010024">
      <w:pPr>
        <w:autoSpaceDE w:val="0"/>
        <w:autoSpaceDN w:val="0"/>
        <w:adjustRightInd w:val="0"/>
        <w:spacing w:after="0"/>
        <w:rPr>
          <w:rFonts w:ascii="Times New Roman" w:eastAsia="Times New Roman" w:hAnsi="Times New Roman" w:cs="Times New Roman"/>
        </w:rPr>
      </w:pPr>
    </w:p>
    <w:p w14:paraId="13BD0B01" w14:textId="4F18549B" w:rsidR="00010024" w:rsidRPr="004D1903" w:rsidRDefault="00010024" w:rsidP="004D1903">
      <w:pPr>
        <w:pStyle w:val="NoSpacing"/>
        <w:rPr>
          <w:rFonts w:ascii="Times New Roman" w:eastAsia="Times New Roman" w:hAnsi="Times New Roman" w:cs="Times New Roman"/>
        </w:rPr>
      </w:pPr>
      <w:r w:rsidRPr="004D1903">
        <w:rPr>
          <w:rFonts w:ascii="Times New Roman" w:eastAsia="Times New Roman" w:hAnsi="Times New Roman" w:cs="Times New Roman"/>
        </w:rPr>
        <w:t>This submission has been reviewed by the NCIPC IRB/OMB officer, who has determined that the Privacy Act does apply.  The applicable System of Records Notice (SORN) is 09-20-0160, “</w:t>
      </w:r>
      <w:r w:rsidR="009E575E">
        <w:rPr>
          <w:rFonts w:ascii="Times New Roman" w:eastAsia="Times New Roman" w:hAnsi="Times New Roman" w:cs="Times New Roman"/>
        </w:rPr>
        <w:t>23917</w:t>
      </w:r>
      <w:r w:rsidRPr="004D1903">
        <w:rPr>
          <w:rFonts w:ascii="Times New Roman" w:eastAsia="Times New Roman" w:hAnsi="Times New Roman" w:cs="Times New Roman"/>
        </w:rPr>
        <w:t>” published in the Federal Register on November 24, 1986 vol. 51, page number 42484.</w:t>
      </w:r>
      <w:r w:rsidR="004D1903" w:rsidRPr="004D1903">
        <w:rPr>
          <w:rFonts w:ascii="Times New Roman" w:eastAsia="Times New Roman" w:hAnsi="Times New Roman" w:cs="Times New Roman"/>
        </w:rPr>
        <w:t xml:space="preserve"> The Privacy Impact Assessment (PIA) is attached </w:t>
      </w:r>
      <w:r w:rsidR="00FC7865" w:rsidRPr="00E76926">
        <w:rPr>
          <w:rFonts w:ascii="Times New Roman" w:eastAsia="Times New Roman" w:hAnsi="Times New Roman" w:cs="Times New Roman"/>
        </w:rPr>
        <w:t>(</w:t>
      </w:r>
      <w:r w:rsidR="00FC7865">
        <w:rPr>
          <w:rFonts w:ascii="Times New Roman" w:eastAsia="Times New Roman" w:hAnsi="Times New Roman" w:cs="Times New Roman"/>
        </w:rPr>
        <w:t xml:space="preserve">Attachment </w:t>
      </w:r>
      <w:r w:rsidR="00D80660" w:rsidRPr="00D80660">
        <w:rPr>
          <w:rFonts w:ascii="Times New Roman" w:eastAsia="Times New Roman" w:hAnsi="Times New Roman" w:cs="Times New Roman"/>
        </w:rPr>
        <w:t>H</w:t>
      </w:r>
      <w:r w:rsidR="00FC7865" w:rsidRPr="00D80660">
        <w:rPr>
          <w:rFonts w:ascii="Times New Roman" w:eastAsia="Times New Roman" w:hAnsi="Times New Roman" w:cs="Times New Roman"/>
        </w:rPr>
        <w:t>).</w:t>
      </w:r>
    </w:p>
    <w:p w14:paraId="19949F01" w14:textId="77777777" w:rsidR="004D1903" w:rsidRPr="001B74A6" w:rsidRDefault="004D1903" w:rsidP="00010024">
      <w:pPr>
        <w:autoSpaceDE w:val="0"/>
        <w:autoSpaceDN w:val="0"/>
        <w:adjustRightInd w:val="0"/>
        <w:spacing w:after="0"/>
        <w:rPr>
          <w:rFonts w:ascii="Times New Roman" w:eastAsia="Times New Roman" w:hAnsi="Times New Roman" w:cs="Times New Roman"/>
        </w:rPr>
      </w:pPr>
    </w:p>
    <w:p w14:paraId="7EA4DD24" w14:textId="77777777" w:rsidR="00E965BE" w:rsidRDefault="000965F5" w:rsidP="000965F5">
      <w:pPr>
        <w:pStyle w:val="OMBbodytext"/>
        <w:spacing w:after="0"/>
        <w:rPr>
          <w:sz w:val="22"/>
          <w:szCs w:val="22"/>
        </w:rPr>
      </w:pPr>
      <w:r>
        <w:rPr>
          <w:sz w:val="22"/>
          <w:szCs w:val="22"/>
        </w:rPr>
        <w:t xml:space="preserve">Because all data will be linked in some way, all data </w:t>
      </w:r>
      <w:r w:rsidRPr="00436890">
        <w:rPr>
          <w:sz w:val="22"/>
          <w:szCs w:val="22"/>
        </w:rPr>
        <w:t>will be treated with the strictest security in order to protect the privacy of all p</w:t>
      </w:r>
      <w:r>
        <w:rPr>
          <w:sz w:val="22"/>
          <w:szCs w:val="22"/>
        </w:rPr>
        <w:t>articipants.  For the student outcome surveys, a</w:t>
      </w:r>
      <w:r w:rsidRPr="00436890">
        <w:rPr>
          <w:sz w:val="22"/>
          <w:szCs w:val="22"/>
        </w:rPr>
        <w:t xml:space="preserve"> Certificate of Confidentiality </w:t>
      </w:r>
      <w:r>
        <w:rPr>
          <w:sz w:val="22"/>
          <w:szCs w:val="22"/>
        </w:rPr>
        <w:t>was obtained on June 5, 2012 in order</w:t>
      </w:r>
      <w:r w:rsidRPr="00436890">
        <w:rPr>
          <w:sz w:val="22"/>
          <w:szCs w:val="22"/>
        </w:rPr>
        <w:t xml:space="preserve"> to protect the confidentiality of data from external requests/subpoena for the data.  All data collection and data management staff will </w:t>
      </w:r>
      <w:r w:rsidR="00032688">
        <w:rPr>
          <w:sz w:val="22"/>
          <w:szCs w:val="22"/>
        </w:rPr>
        <w:t xml:space="preserve">continue to </w:t>
      </w:r>
      <w:r w:rsidRPr="00436890">
        <w:rPr>
          <w:sz w:val="22"/>
          <w:szCs w:val="22"/>
        </w:rPr>
        <w:t xml:space="preserve">be well-trained in maintaining information security at all stages of the data collection and data management process.  Protocols for data collection at schools and at other data collection sites will ensure that names, birthdates, and all other personally identifiable information is kept secure during all stages of data collection.  Recruitment lists, consent forms, and all survey data will never be left unattended while data collectors are in the field, and all data will be kept in locked, secure facilities when safely delivered back to the contracting firm where data will be stored. </w:t>
      </w:r>
    </w:p>
    <w:p w14:paraId="565BE4E7" w14:textId="15C4A105" w:rsidR="000965F5" w:rsidRDefault="000965F5" w:rsidP="000965F5">
      <w:pPr>
        <w:pStyle w:val="OMBbodytext"/>
        <w:spacing w:after="0"/>
        <w:rPr>
          <w:sz w:val="22"/>
          <w:szCs w:val="22"/>
        </w:rPr>
      </w:pPr>
      <w:r w:rsidRPr="00436890">
        <w:rPr>
          <w:sz w:val="22"/>
          <w:szCs w:val="22"/>
        </w:rPr>
        <w:t xml:space="preserve"> </w:t>
      </w:r>
    </w:p>
    <w:p w14:paraId="1E694CF5" w14:textId="77777777" w:rsidR="000965F5" w:rsidRPr="00832FC2" w:rsidRDefault="006D3676" w:rsidP="000965F5">
      <w:pPr>
        <w:pStyle w:val="OMBbodytext"/>
        <w:spacing w:after="0"/>
        <w:rPr>
          <w:sz w:val="22"/>
          <w:szCs w:val="22"/>
        </w:rPr>
      </w:pPr>
      <w:r>
        <w:rPr>
          <w:sz w:val="22"/>
          <w:szCs w:val="22"/>
        </w:rPr>
        <w:t>The</w:t>
      </w:r>
      <w:r w:rsidR="000965F5" w:rsidRPr="00436890">
        <w:rPr>
          <w:sz w:val="22"/>
          <w:szCs w:val="22"/>
        </w:rPr>
        <w:t xml:space="preserve"> first time data </w:t>
      </w:r>
      <w:r w:rsidR="00852BAD">
        <w:rPr>
          <w:sz w:val="22"/>
          <w:szCs w:val="22"/>
        </w:rPr>
        <w:t>was</w:t>
      </w:r>
      <w:r w:rsidR="00852BAD" w:rsidRPr="00436890">
        <w:rPr>
          <w:sz w:val="22"/>
          <w:szCs w:val="22"/>
        </w:rPr>
        <w:t xml:space="preserve"> </w:t>
      </w:r>
      <w:r w:rsidR="000965F5" w:rsidRPr="00436890">
        <w:rPr>
          <w:sz w:val="22"/>
          <w:szCs w:val="22"/>
        </w:rPr>
        <w:t>collected, the respondent</w:t>
      </w:r>
      <w:r w:rsidR="00E91F66">
        <w:rPr>
          <w:sz w:val="22"/>
          <w:szCs w:val="22"/>
        </w:rPr>
        <w:t>s</w:t>
      </w:r>
      <w:r w:rsidR="000965F5" w:rsidRPr="00436890">
        <w:rPr>
          <w:sz w:val="22"/>
          <w:szCs w:val="22"/>
        </w:rPr>
        <w:t xml:space="preserve"> </w:t>
      </w:r>
      <w:r w:rsidR="00852BAD">
        <w:rPr>
          <w:sz w:val="22"/>
          <w:szCs w:val="22"/>
        </w:rPr>
        <w:t>gave</w:t>
      </w:r>
      <w:r w:rsidR="000965F5" w:rsidRPr="00436890">
        <w:rPr>
          <w:sz w:val="22"/>
          <w:szCs w:val="22"/>
        </w:rPr>
        <w:t xml:space="preserve"> us personally identifiable information </w:t>
      </w:r>
      <w:r w:rsidR="000965F5">
        <w:rPr>
          <w:sz w:val="22"/>
          <w:szCs w:val="22"/>
        </w:rPr>
        <w:t>in the form of full name</w:t>
      </w:r>
      <w:r w:rsidR="00E91F66">
        <w:rPr>
          <w:sz w:val="22"/>
          <w:szCs w:val="22"/>
        </w:rPr>
        <w:t>s</w:t>
      </w:r>
      <w:r w:rsidR="000965F5">
        <w:rPr>
          <w:sz w:val="22"/>
          <w:szCs w:val="22"/>
        </w:rPr>
        <w:t>. In addition, in the parent consent</w:t>
      </w:r>
      <w:r w:rsidR="00E91F66">
        <w:rPr>
          <w:sz w:val="22"/>
          <w:szCs w:val="22"/>
        </w:rPr>
        <w:t>s</w:t>
      </w:r>
      <w:r w:rsidR="000965F5">
        <w:rPr>
          <w:sz w:val="22"/>
          <w:szCs w:val="22"/>
        </w:rPr>
        <w:t xml:space="preserve"> for student participation, the parent </w:t>
      </w:r>
      <w:r w:rsidR="00852BAD">
        <w:rPr>
          <w:sz w:val="22"/>
          <w:szCs w:val="22"/>
        </w:rPr>
        <w:t>was</w:t>
      </w:r>
      <w:r w:rsidR="000965F5">
        <w:rPr>
          <w:sz w:val="22"/>
          <w:szCs w:val="22"/>
        </w:rPr>
        <w:t xml:space="preserve"> asked to provide his/her address, phone, and email. Attached to the survey will be a form to collect </w:t>
      </w:r>
      <w:r w:rsidR="00852BAD">
        <w:rPr>
          <w:sz w:val="22"/>
          <w:szCs w:val="22"/>
        </w:rPr>
        <w:t xml:space="preserve">updated </w:t>
      </w:r>
      <w:r w:rsidR="000965F5">
        <w:rPr>
          <w:sz w:val="22"/>
          <w:szCs w:val="22"/>
        </w:rPr>
        <w:t>alternative contact information for people who will know h</w:t>
      </w:r>
      <w:r w:rsidR="005F1191">
        <w:rPr>
          <w:sz w:val="22"/>
          <w:szCs w:val="22"/>
        </w:rPr>
        <w:t>ow to contact the family if the contractor</w:t>
      </w:r>
      <w:r w:rsidR="000965F5">
        <w:rPr>
          <w:sz w:val="22"/>
          <w:szCs w:val="22"/>
        </w:rPr>
        <w:t xml:space="preserve"> cannot contact them</w:t>
      </w:r>
      <w:r w:rsidR="00E91F66">
        <w:rPr>
          <w:sz w:val="22"/>
          <w:szCs w:val="22"/>
        </w:rPr>
        <w:t xml:space="preserve"> directly</w:t>
      </w:r>
      <w:r w:rsidR="000965F5">
        <w:rPr>
          <w:sz w:val="22"/>
          <w:szCs w:val="22"/>
        </w:rPr>
        <w:t xml:space="preserve"> to facilitate follow-up at later iterations of the survey.  Unique identification numbers </w:t>
      </w:r>
      <w:r w:rsidR="00852BAD">
        <w:rPr>
          <w:sz w:val="22"/>
          <w:szCs w:val="22"/>
        </w:rPr>
        <w:t>were</w:t>
      </w:r>
      <w:r w:rsidR="000965F5">
        <w:rPr>
          <w:sz w:val="22"/>
          <w:szCs w:val="22"/>
        </w:rPr>
        <w:t xml:space="preserve"> created for each consented student. The</w:t>
      </w:r>
      <w:r w:rsidR="008F10D6">
        <w:rPr>
          <w:sz w:val="22"/>
          <w:szCs w:val="22"/>
        </w:rPr>
        <w:t xml:space="preserve"> sca</w:t>
      </w:r>
      <w:r w:rsidR="000965F5" w:rsidRPr="00436890">
        <w:rPr>
          <w:sz w:val="22"/>
          <w:szCs w:val="22"/>
        </w:rPr>
        <w:t>n</w:t>
      </w:r>
      <w:r w:rsidR="008F10D6">
        <w:rPr>
          <w:sz w:val="22"/>
          <w:szCs w:val="22"/>
        </w:rPr>
        <w:t>n</w:t>
      </w:r>
      <w:r w:rsidR="000965F5" w:rsidRPr="00436890">
        <w:rPr>
          <w:sz w:val="22"/>
          <w:szCs w:val="22"/>
        </w:rPr>
        <w:t xml:space="preserve">able survey forms for each participant will be marked </w:t>
      </w:r>
      <w:r w:rsidR="000965F5">
        <w:rPr>
          <w:sz w:val="22"/>
          <w:szCs w:val="22"/>
        </w:rPr>
        <w:t>only</w:t>
      </w:r>
      <w:r w:rsidR="000965F5" w:rsidRPr="00436890">
        <w:rPr>
          <w:sz w:val="22"/>
          <w:szCs w:val="22"/>
        </w:rPr>
        <w:t xml:space="preserve"> by th</w:t>
      </w:r>
      <w:r w:rsidR="000965F5" w:rsidRPr="00832FC2">
        <w:rPr>
          <w:sz w:val="22"/>
          <w:szCs w:val="22"/>
        </w:rPr>
        <w:t>e unique identifier code</w:t>
      </w:r>
      <w:r w:rsidR="000965F5">
        <w:rPr>
          <w:sz w:val="22"/>
          <w:szCs w:val="22"/>
        </w:rPr>
        <w:t xml:space="preserve"> assigned to that individual. T</w:t>
      </w:r>
      <w:r w:rsidR="000965F5" w:rsidRPr="00832FC2">
        <w:rPr>
          <w:sz w:val="22"/>
          <w:szCs w:val="22"/>
        </w:rPr>
        <w:t xml:space="preserve">he first page </w:t>
      </w:r>
      <w:r w:rsidR="000965F5">
        <w:rPr>
          <w:sz w:val="22"/>
          <w:szCs w:val="22"/>
        </w:rPr>
        <w:t xml:space="preserve">of the survey </w:t>
      </w:r>
      <w:r w:rsidR="000965F5" w:rsidRPr="00832FC2">
        <w:rPr>
          <w:sz w:val="22"/>
          <w:szCs w:val="22"/>
        </w:rPr>
        <w:t xml:space="preserve">will contain information (on a </w:t>
      </w:r>
      <w:r w:rsidR="000965F5">
        <w:rPr>
          <w:sz w:val="22"/>
          <w:szCs w:val="22"/>
        </w:rPr>
        <w:t>removable label</w:t>
      </w:r>
      <w:r w:rsidR="000965F5" w:rsidRPr="00832FC2">
        <w:rPr>
          <w:sz w:val="22"/>
          <w:szCs w:val="22"/>
        </w:rPr>
        <w:t xml:space="preserve">) </w:t>
      </w:r>
      <w:r w:rsidR="000965F5">
        <w:rPr>
          <w:sz w:val="22"/>
          <w:szCs w:val="22"/>
        </w:rPr>
        <w:t xml:space="preserve">with the respondent’s name. </w:t>
      </w:r>
      <w:r w:rsidR="000965F5" w:rsidRPr="00832FC2">
        <w:rPr>
          <w:sz w:val="22"/>
          <w:szCs w:val="22"/>
        </w:rPr>
        <w:t xml:space="preserve">This will allow staff to distribute surveys easily in classrooms. Once the survey is handed to the correct respondent, the respondent can tear off the removable sticker containing her/his </w:t>
      </w:r>
      <w:r w:rsidR="000965F5">
        <w:rPr>
          <w:sz w:val="22"/>
          <w:szCs w:val="22"/>
        </w:rPr>
        <w:t>name</w:t>
      </w:r>
      <w:r w:rsidR="000965F5" w:rsidRPr="00832FC2">
        <w:rPr>
          <w:sz w:val="22"/>
          <w:szCs w:val="22"/>
        </w:rPr>
        <w:t xml:space="preserve">, so that from that point on, only the unique identifier code can be connected with the information provided in the survey. This process will occur at all administrations of the surveys. The ID-to-name </w:t>
      </w:r>
      <w:r w:rsidR="000965F5">
        <w:rPr>
          <w:sz w:val="22"/>
          <w:szCs w:val="22"/>
        </w:rPr>
        <w:t>crosswalk</w:t>
      </w:r>
      <w:r w:rsidR="000965F5" w:rsidRPr="00832FC2">
        <w:rPr>
          <w:sz w:val="22"/>
          <w:szCs w:val="22"/>
        </w:rPr>
        <w:t xml:space="preserve"> will only be available to a limited number of e</w:t>
      </w:r>
      <w:r w:rsidR="005F1191">
        <w:rPr>
          <w:sz w:val="22"/>
          <w:szCs w:val="22"/>
        </w:rPr>
        <w:t>valuation contractor staff (the contractor</w:t>
      </w:r>
      <w:r w:rsidR="000965F5" w:rsidRPr="00832FC2">
        <w:rPr>
          <w:sz w:val="22"/>
          <w:szCs w:val="22"/>
        </w:rPr>
        <w:t>’s p</w:t>
      </w:r>
      <w:r w:rsidR="005F1191">
        <w:rPr>
          <w:sz w:val="22"/>
          <w:szCs w:val="22"/>
        </w:rPr>
        <w:t>rincipal investigator and</w:t>
      </w:r>
      <w:r w:rsidR="000965F5" w:rsidRPr="00832FC2">
        <w:rPr>
          <w:sz w:val="22"/>
          <w:szCs w:val="22"/>
        </w:rPr>
        <w:t xml:space="preserve"> project manager). After being extracted, all identifiable school data will contain the unique identifier code in lieu of the respondent</w:t>
      </w:r>
      <w:r w:rsidR="000965F5">
        <w:rPr>
          <w:sz w:val="22"/>
          <w:szCs w:val="22"/>
        </w:rPr>
        <w:t>’</w:t>
      </w:r>
      <w:r w:rsidR="000965F5" w:rsidRPr="00832FC2">
        <w:rPr>
          <w:sz w:val="22"/>
          <w:szCs w:val="22"/>
        </w:rPr>
        <w:t xml:space="preserve">s name. </w:t>
      </w:r>
      <w:r w:rsidR="000965F5">
        <w:rPr>
          <w:sz w:val="22"/>
          <w:szCs w:val="22"/>
        </w:rPr>
        <w:t xml:space="preserve">Programming and server set-up for the online </w:t>
      </w:r>
      <w:r w:rsidR="000965F5" w:rsidRPr="00832FC2">
        <w:rPr>
          <w:sz w:val="22"/>
          <w:szCs w:val="22"/>
        </w:rPr>
        <w:t xml:space="preserve">surveys will follow strict guidance for online data security.  Personally identifiable data will be immediately encrypted upon entry, and there will be no way for anyone else to link the survey data with names or other personally identifiable data. </w:t>
      </w:r>
    </w:p>
    <w:p w14:paraId="48BA2114" w14:textId="77777777" w:rsidR="000965F5" w:rsidRPr="00832FC2" w:rsidRDefault="000965F5" w:rsidP="000965F5">
      <w:pPr>
        <w:pStyle w:val="OMBbodytext"/>
        <w:spacing w:after="0"/>
        <w:rPr>
          <w:sz w:val="22"/>
          <w:szCs w:val="22"/>
        </w:rPr>
      </w:pPr>
    </w:p>
    <w:p w14:paraId="2793E072" w14:textId="77777777" w:rsidR="000965F5" w:rsidRDefault="000965F5" w:rsidP="000965F5">
      <w:pPr>
        <w:spacing w:after="0" w:line="240" w:lineRule="auto"/>
        <w:rPr>
          <w:rFonts w:ascii="Times New Roman" w:hAnsi="Times New Roman" w:cs="Times New Roman"/>
        </w:rPr>
      </w:pPr>
      <w:r w:rsidRPr="00832FC2">
        <w:rPr>
          <w:rFonts w:ascii="Times New Roman" w:hAnsi="Times New Roman" w:cs="Times New Roman"/>
        </w:rPr>
        <w:t xml:space="preserve">Data will only be presented and analyzed in aggregate form. The Certificate of Confidentiality protects the individual participants from release of personal data, even to students’ parents who request the information.  CDC might have to give information to DHHS if they needed to evaluate the overall study, but that is not likely.  The </w:t>
      </w:r>
      <w:r w:rsidR="005F1191">
        <w:rPr>
          <w:rFonts w:ascii="Times New Roman" w:hAnsi="Times New Roman" w:cs="Times New Roman"/>
        </w:rPr>
        <w:t>only other time that CDC or the contractor</w:t>
      </w:r>
      <w:r w:rsidRPr="00832FC2">
        <w:rPr>
          <w:rFonts w:ascii="Times New Roman" w:hAnsi="Times New Roman" w:cs="Times New Roman"/>
        </w:rPr>
        <w:t xml:space="preserve"> might have to share information is </w:t>
      </w:r>
      <w:r w:rsidRPr="00832FC2">
        <w:rPr>
          <w:rFonts w:ascii="Times New Roman" w:hAnsi="Times New Roman" w:cs="Times New Roman"/>
        </w:rPr>
        <w:lastRenderedPageBreak/>
        <w:t>when researchers, who are required to protect a child through mandated reporting laws, learn from a child that he or she is being hurt by an adult or planning to hurt him/herself or someone else.</w:t>
      </w:r>
    </w:p>
    <w:p w14:paraId="6F1649A2" w14:textId="77777777" w:rsidR="000965F5" w:rsidRPr="00832FC2" w:rsidRDefault="000965F5" w:rsidP="000965F5">
      <w:pPr>
        <w:spacing w:after="0" w:line="240" w:lineRule="auto"/>
        <w:rPr>
          <w:rFonts w:ascii="Times New Roman" w:hAnsi="Times New Roman" w:cs="Times New Roman"/>
        </w:rPr>
      </w:pPr>
    </w:p>
    <w:p w14:paraId="4513ABFC" w14:textId="3328A7B2" w:rsidR="00C81F48" w:rsidRPr="00436890" w:rsidRDefault="000965F5" w:rsidP="00C81F48">
      <w:pPr>
        <w:pStyle w:val="OMBbodytext"/>
        <w:spacing w:after="0"/>
        <w:rPr>
          <w:sz w:val="22"/>
          <w:szCs w:val="22"/>
        </w:rPr>
      </w:pPr>
      <w:r w:rsidRPr="00436890">
        <w:rPr>
          <w:sz w:val="22"/>
          <w:szCs w:val="22"/>
        </w:rPr>
        <w:t>All data will be stored in encrypted databases on password secured data platforms.  As mentioned previously, survey data will be linked only with a unique identifier code and be kept in a separate database from personally identifiable data, and a third database with extremely limited personnel access</w:t>
      </w:r>
      <w:r>
        <w:rPr>
          <w:sz w:val="22"/>
          <w:szCs w:val="22"/>
        </w:rPr>
        <w:t xml:space="preserve"> (only CDC and contractor database manager will have access)</w:t>
      </w:r>
      <w:r w:rsidRPr="00436890">
        <w:rPr>
          <w:sz w:val="22"/>
          <w:szCs w:val="22"/>
        </w:rPr>
        <w:t xml:space="preserve"> will contain information linking participants with their unique identifier codes.  </w:t>
      </w:r>
      <w:r>
        <w:rPr>
          <w:sz w:val="22"/>
          <w:szCs w:val="22"/>
        </w:rPr>
        <w:t>Identified d</w:t>
      </w:r>
      <w:r w:rsidRPr="00436890">
        <w:rPr>
          <w:sz w:val="22"/>
          <w:szCs w:val="22"/>
        </w:rPr>
        <w:t>ata will initially be stored and maintained by the evaluation contractor, but will be handed over to CDC on an annual basis.</w:t>
      </w:r>
      <w:r>
        <w:rPr>
          <w:sz w:val="22"/>
          <w:szCs w:val="22"/>
        </w:rPr>
        <w:t xml:space="preserve"> Only </w:t>
      </w:r>
      <w:r w:rsidR="00B86729">
        <w:rPr>
          <w:sz w:val="22"/>
          <w:szCs w:val="22"/>
        </w:rPr>
        <w:t>Linda Johnson and Alana Vivolo</w:t>
      </w:r>
      <w:r>
        <w:rPr>
          <w:sz w:val="22"/>
          <w:szCs w:val="22"/>
        </w:rPr>
        <w:t>, CDC Data Manager</w:t>
      </w:r>
      <w:r w:rsidR="00B86729">
        <w:rPr>
          <w:sz w:val="22"/>
          <w:szCs w:val="22"/>
        </w:rPr>
        <w:t>s</w:t>
      </w:r>
      <w:r w:rsidR="00C81F48">
        <w:rPr>
          <w:sz w:val="22"/>
          <w:szCs w:val="22"/>
        </w:rPr>
        <w:t xml:space="preserve"> (or their replacements in this role should they discontinue work with this project)</w:t>
      </w:r>
      <w:r w:rsidR="00B86729">
        <w:rPr>
          <w:sz w:val="22"/>
          <w:szCs w:val="22"/>
        </w:rPr>
        <w:t>,</w:t>
      </w:r>
      <w:r>
        <w:rPr>
          <w:sz w:val="22"/>
          <w:szCs w:val="22"/>
        </w:rPr>
        <w:t xml:space="preserve"> will </w:t>
      </w:r>
      <w:r w:rsidRPr="00B86729">
        <w:rPr>
          <w:sz w:val="22"/>
          <w:szCs w:val="22"/>
        </w:rPr>
        <w:t xml:space="preserve">have access to identified data.  The same information security protocols will be followed at both facilities. The contractor will be required to destroy all data </w:t>
      </w:r>
      <w:r w:rsidR="00852BAD" w:rsidRPr="00B86729">
        <w:rPr>
          <w:sz w:val="22"/>
          <w:szCs w:val="22"/>
        </w:rPr>
        <w:t xml:space="preserve">six months after </w:t>
      </w:r>
      <w:r w:rsidRPr="00B86729">
        <w:rPr>
          <w:sz w:val="22"/>
          <w:szCs w:val="22"/>
        </w:rPr>
        <w:t>the end of their contract (</w:t>
      </w:r>
      <w:r w:rsidR="009A6D3C" w:rsidRPr="00B86729">
        <w:rPr>
          <w:sz w:val="22"/>
          <w:szCs w:val="22"/>
        </w:rPr>
        <w:t xml:space="preserve">currently </w:t>
      </w:r>
      <w:r w:rsidR="00852BAD" w:rsidRPr="00B86729">
        <w:rPr>
          <w:sz w:val="22"/>
          <w:szCs w:val="22"/>
        </w:rPr>
        <w:t>March 30</w:t>
      </w:r>
      <w:r w:rsidRPr="00B86729">
        <w:rPr>
          <w:sz w:val="22"/>
          <w:szCs w:val="22"/>
        </w:rPr>
        <w:t>, 201</w:t>
      </w:r>
      <w:r w:rsidR="00852BAD" w:rsidRPr="00B86729">
        <w:rPr>
          <w:sz w:val="22"/>
          <w:szCs w:val="22"/>
        </w:rPr>
        <w:t>9</w:t>
      </w:r>
      <w:r w:rsidR="009A6D3C" w:rsidRPr="00B86729">
        <w:rPr>
          <w:sz w:val="22"/>
          <w:szCs w:val="22"/>
        </w:rPr>
        <w:t xml:space="preserve">; </w:t>
      </w:r>
      <w:r w:rsidR="00B03DDC" w:rsidRPr="00B86729">
        <w:rPr>
          <w:sz w:val="22"/>
          <w:szCs w:val="22"/>
        </w:rPr>
        <w:t>although we expect this to change to March 30, 2020 pending approvals to collect data through May, 2019).</w:t>
      </w:r>
      <w:r w:rsidR="00B03DDC">
        <w:rPr>
          <w:sz w:val="22"/>
          <w:szCs w:val="22"/>
        </w:rPr>
        <w:t xml:space="preserve"> </w:t>
      </w:r>
      <w:r w:rsidR="001148E9">
        <w:rPr>
          <w:sz w:val="22"/>
          <w:szCs w:val="22"/>
        </w:rPr>
        <w:t xml:space="preserve">CDC will maintain </w:t>
      </w:r>
      <w:r w:rsidRPr="00436890">
        <w:rPr>
          <w:sz w:val="22"/>
          <w:szCs w:val="22"/>
        </w:rPr>
        <w:t xml:space="preserve"> the database containing personally identifiable data and the database linking participants’ identities to their unique identifier codes</w:t>
      </w:r>
      <w:r w:rsidR="001148E9">
        <w:rPr>
          <w:sz w:val="22"/>
          <w:szCs w:val="22"/>
        </w:rPr>
        <w:t xml:space="preserve">, as well as the </w:t>
      </w:r>
      <w:r w:rsidRPr="00436890">
        <w:rPr>
          <w:sz w:val="22"/>
          <w:szCs w:val="22"/>
        </w:rPr>
        <w:t>de-identified survey database will be maintained until all analysis has been completed</w:t>
      </w:r>
      <w:r w:rsidR="001148E9">
        <w:rPr>
          <w:sz w:val="22"/>
          <w:szCs w:val="22"/>
        </w:rPr>
        <w:t xml:space="preserve"> and it is decided that no furth</w:t>
      </w:r>
      <w:bookmarkStart w:id="3" w:name="_GoBack"/>
      <w:bookmarkEnd w:id="3"/>
      <w:r w:rsidR="001148E9">
        <w:rPr>
          <w:sz w:val="22"/>
          <w:szCs w:val="22"/>
        </w:rPr>
        <w:t>er follow-ups with the sample will be conducted.</w:t>
      </w:r>
      <w:r w:rsidR="00C81F48">
        <w:rPr>
          <w:sz w:val="22"/>
          <w:szCs w:val="22"/>
        </w:rPr>
        <w:t xml:space="preserve"> Current CDC IRB approval and consent forms are provided in Attachments C, F, &amp; G.</w:t>
      </w:r>
      <w:r w:rsidR="000429C9">
        <w:rPr>
          <w:sz w:val="22"/>
          <w:szCs w:val="22"/>
        </w:rPr>
        <w:t xml:space="preserve">  </w:t>
      </w:r>
      <w:r w:rsidR="000429C9" w:rsidRPr="00C46BED">
        <w:rPr>
          <w:sz w:val="22"/>
          <w:szCs w:val="22"/>
        </w:rPr>
        <w:t>Please note, that only Parental Consent Forms included in this Request for Revision are those for the Chicago High Schools.</w:t>
      </w:r>
      <w:r w:rsidR="000429C9" w:rsidRPr="00C46BED">
        <w:t xml:space="preserve"> </w:t>
      </w:r>
      <w:r w:rsidR="000429C9" w:rsidRPr="00C46BED">
        <w:rPr>
          <w:sz w:val="22"/>
          <w:szCs w:val="22"/>
        </w:rPr>
        <w:t xml:space="preserve">Parental consent forms are not included for the other three sites.  These sites have IRB approval to continue to follow the sample over time using the original consent form (approved as part of the original 0920-0941 package), as the original form gives consent for participation in a longitudinal study.  At this point, all participants have been recruited into the study, and therefore this submission covers a period where we are only following our current sample over time, but we are no longer consenting and recruiting participants.  The exception to this is the Chicago High School Form - the Chicago Public Schools RRB requires that we re-consent our sample once they reach high school, if we want continue to survey students (during the school day).      </w:t>
      </w:r>
      <w:r w:rsidR="000429C9">
        <w:rPr>
          <w:sz w:val="22"/>
          <w:szCs w:val="22"/>
        </w:rPr>
        <w:t xml:space="preserve"> </w:t>
      </w:r>
    </w:p>
    <w:p w14:paraId="1EB9BE30" w14:textId="77777777" w:rsidR="000965F5" w:rsidRPr="00436890" w:rsidRDefault="000965F5" w:rsidP="000965F5">
      <w:pPr>
        <w:pStyle w:val="OMBbodytext"/>
        <w:spacing w:after="0"/>
        <w:rPr>
          <w:sz w:val="22"/>
          <w:szCs w:val="22"/>
        </w:rPr>
      </w:pPr>
    </w:p>
    <w:p w14:paraId="56C1F088" w14:textId="77777777" w:rsidR="000965F5" w:rsidRPr="00436890" w:rsidRDefault="000965F5" w:rsidP="000965F5">
      <w:pPr>
        <w:pStyle w:val="OMBbodytext"/>
        <w:spacing w:after="0"/>
        <w:rPr>
          <w:sz w:val="22"/>
          <w:szCs w:val="22"/>
        </w:rPr>
      </w:pPr>
      <w:r w:rsidRPr="00436890">
        <w:rPr>
          <w:sz w:val="22"/>
          <w:szCs w:val="22"/>
        </w:rPr>
        <w:t xml:space="preserve">Due to the large nature of this data collection and federal expenditure to collect it, </w:t>
      </w:r>
      <w:r>
        <w:rPr>
          <w:sz w:val="22"/>
          <w:szCs w:val="22"/>
        </w:rPr>
        <w:t>restricted-</w:t>
      </w:r>
      <w:r w:rsidRPr="00436890">
        <w:rPr>
          <w:sz w:val="22"/>
          <w:szCs w:val="22"/>
        </w:rPr>
        <w:t>use datasets w</w:t>
      </w:r>
      <w:r>
        <w:rPr>
          <w:sz w:val="22"/>
          <w:szCs w:val="22"/>
        </w:rPr>
        <w:t>ill have to be created from the outcome evaluation data.  These restricted-</w:t>
      </w:r>
      <w:r w:rsidRPr="00436890">
        <w:rPr>
          <w:sz w:val="22"/>
          <w:szCs w:val="22"/>
        </w:rPr>
        <w:t>use datasets will be completely de-identified, and any demographic information or other variables with such low endorsement that might allow the identification of respondents will be removed from the dataset before publication.</w:t>
      </w:r>
      <w:r>
        <w:rPr>
          <w:sz w:val="22"/>
          <w:szCs w:val="22"/>
        </w:rPr>
        <w:t xml:space="preserve">  </w:t>
      </w:r>
    </w:p>
    <w:p w14:paraId="69357AFA" w14:textId="77777777" w:rsidR="000965F5" w:rsidRPr="00436890" w:rsidRDefault="000965F5" w:rsidP="000965F5">
      <w:pPr>
        <w:pStyle w:val="OMBbodytext"/>
        <w:spacing w:after="0"/>
        <w:rPr>
          <w:sz w:val="22"/>
          <w:szCs w:val="22"/>
        </w:rPr>
      </w:pPr>
    </w:p>
    <w:p w14:paraId="43BBC666" w14:textId="77777777" w:rsidR="000965F5" w:rsidRDefault="000965F5" w:rsidP="000965F5">
      <w:pPr>
        <w:pStyle w:val="OMBbodytext"/>
        <w:spacing w:after="0"/>
        <w:rPr>
          <w:sz w:val="22"/>
          <w:szCs w:val="22"/>
        </w:rPr>
      </w:pPr>
      <w:r w:rsidRPr="00436890">
        <w:rPr>
          <w:sz w:val="22"/>
          <w:szCs w:val="22"/>
        </w:rPr>
        <w:t>All publication of this data will be in aggregate form.  No respondent would ever be able to be identified from the information provided to the public at the aggregate level.</w:t>
      </w:r>
    </w:p>
    <w:p w14:paraId="15B72161" w14:textId="77777777" w:rsidR="000965F5" w:rsidRPr="00436890" w:rsidRDefault="000965F5" w:rsidP="000965F5">
      <w:pPr>
        <w:pStyle w:val="OMBbodytext"/>
        <w:spacing w:after="0"/>
        <w:rPr>
          <w:b/>
          <w:i/>
          <w:sz w:val="22"/>
          <w:szCs w:val="22"/>
        </w:rPr>
      </w:pPr>
    </w:p>
    <w:p w14:paraId="2D88566A" w14:textId="77777777" w:rsidR="00125B35" w:rsidRDefault="00125B35" w:rsidP="006C098D">
      <w:pPr>
        <w:autoSpaceDE w:val="0"/>
        <w:autoSpaceDN w:val="0"/>
        <w:adjustRightInd w:val="0"/>
        <w:spacing w:after="0" w:line="240" w:lineRule="auto"/>
        <w:rPr>
          <w:rFonts w:ascii="Times New Roman" w:hAnsi="Times New Roman" w:cs="Times New Roman"/>
          <w:b/>
        </w:rPr>
      </w:pPr>
    </w:p>
    <w:p w14:paraId="6267E19E" w14:textId="77777777" w:rsidR="006C098D" w:rsidRPr="00436890" w:rsidRDefault="00607C63" w:rsidP="00125B35">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A. </w:t>
      </w:r>
      <w:r w:rsidR="006C098D" w:rsidRPr="00436890">
        <w:rPr>
          <w:rFonts w:ascii="Times New Roman" w:hAnsi="Times New Roman" w:cs="Times New Roman"/>
          <w:b/>
        </w:rPr>
        <w:t xml:space="preserve">11. </w:t>
      </w:r>
      <w:r w:rsidR="00125B35" w:rsidRPr="00125B35">
        <w:rPr>
          <w:rFonts w:ascii="Times New Roman" w:hAnsi="Times New Roman" w:cs="Times New Roman"/>
          <w:b/>
        </w:rPr>
        <w:t>Institutional Review Board (IRB) and Justification for Sensitive Questions</w:t>
      </w:r>
      <w:r w:rsidR="00125B35" w:rsidRPr="00125B35" w:rsidDel="00125B35">
        <w:rPr>
          <w:rFonts w:ascii="Times New Roman" w:hAnsi="Times New Roman" w:cs="Times New Roman"/>
          <w:b/>
        </w:rPr>
        <w:t xml:space="preserve"> </w:t>
      </w:r>
    </w:p>
    <w:p w14:paraId="464764AE" w14:textId="77777777" w:rsidR="00772C31" w:rsidRDefault="00772C31" w:rsidP="001B74A6">
      <w:pPr>
        <w:spacing w:after="0"/>
        <w:rPr>
          <w:rFonts w:ascii="Times New Roman" w:hAnsi="Times New Roman" w:cs="Times New Roman"/>
        </w:rPr>
      </w:pPr>
    </w:p>
    <w:p w14:paraId="3BEE51D6" w14:textId="77777777" w:rsidR="00F53B53" w:rsidRDefault="00F53B53" w:rsidP="001B74A6">
      <w:pPr>
        <w:spacing w:after="0"/>
        <w:rPr>
          <w:rFonts w:ascii="Times New Roman" w:hAnsi="Times New Roman" w:cs="Times New Roman"/>
          <w:b/>
        </w:rPr>
      </w:pPr>
      <w:r w:rsidRPr="001B74A6">
        <w:rPr>
          <w:rFonts w:ascii="Times New Roman" w:hAnsi="Times New Roman" w:cs="Times New Roman"/>
          <w:b/>
        </w:rPr>
        <w:t>A.11.1 IRB Approval</w:t>
      </w:r>
    </w:p>
    <w:p w14:paraId="5EF9EC58" w14:textId="77777777" w:rsidR="00DA2A45" w:rsidRPr="001B74A6" w:rsidRDefault="00DA2A45" w:rsidP="001B74A6">
      <w:pPr>
        <w:spacing w:after="0"/>
        <w:rPr>
          <w:rFonts w:ascii="Times New Roman" w:hAnsi="Times New Roman" w:cs="Times New Roman"/>
          <w:b/>
        </w:rPr>
      </w:pPr>
    </w:p>
    <w:p w14:paraId="40C6446D" w14:textId="112DA23C" w:rsidR="00F53B53" w:rsidRPr="001B74A6" w:rsidRDefault="00F53B53" w:rsidP="001B74A6">
      <w:pPr>
        <w:spacing w:after="240"/>
        <w:rPr>
          <w:rFonts w:ascii="Times New Roman" w:eastAsia="Times New Roman" w:hAnsi="Times New Roman" w:cs="Times New Roman"/>
        </w:rPr>
      </w:pPr>
      <w:r w:rsidRPr="001B74A6">
        <w:rPr>
          <w:rFonts w:ascii="Times New Roman" w:eastAsia="Times New Roman" w:hAnsi="Times New Roman" w:cs="Times New Roman"/>
        </w:rPr>
        <w:t xml:space="preserve">The study protocol has been reviewed and approved by </w:t>
      </w:r>
      <w:r w:rsidR="002A4242">
        <w:rPr>
          <w:rFonts w:ascii="Times New Roman" w:eastAsia="Times New Roman" w:hAnsi="Times New Roman" w:cs="Times New Roman"/>
        </w:rPr>
        <w:t>CDC</w:t>
      </w:r>
      <w:r w:rsidR="00E965BE">
        <w:rPr>
          <w:rFonts w:ascii="Times New Roman" w:eastAsia="Times New Roman" w:hAnsi="Times New Roman" w:cs="Times New Roman"/>
        </w:rPr>
        <w:t xml:space="preserve"> IRB. A</w:t>
      </w:r>
      <w:r w:rsidRPr="001B74A6">
        <w:rPr>
          <w:rFonts w:ascii="Times New Roman" w:eastAsia="Times New Roman" w:hAnsi="Times New Roman" w:cs="Times New Roman"/>
        </w:rPr>
        <w:t>pproval letter</w:t>
      </w:r>
      <w:r w:rsidR="002A4242">
        <w:rPr>
          <w:rFonts w:ascii="Times New Roman" w:eastAsia="Times New Roman" w:hAnsi="Times New Roman" w:cs="Times New Roman"/>
        </w:rPr>
        <w:t xml:space="preserve"> </w:t>
      </w:r>
      <w:r w:rsidR="00E965BE">
        <w:rPr>
          <w:rFonts w:ascii="Times New Roman" w:eastAsia="Times New Roman" w:hAnsi="Times New Roman" w:cs="Times New Roman"/>
        </w:rPr>
        <w:t xml:space="preserve">is attached </w:t>
      </w:r>
      <w:r w:rsidR="001B74A6" w:rsidRPr="00E965BE">
        <w:rPr>
          <w:rFonts w:ascii="Times New Roman" w:eastAsia="Times New Roman" w:hAnsi="Times New Roman" w:cs="Times New Roman"/>
        </w:rPr>
        <w:t>(</w:t>
      </w:r>
      <w:r w:rsidR="00E965BE" w:rsidRPr="00E965BE">
        <w:rPr>
          <w:rFonts w:ascii="Times New Roman" w:eastAsia="Times New Roman" w:hAnsi="Times New Roman" w:cs="Times New Roman"/>
        </w:rPr>
        <w:t>Attachment C</w:t>
      </w:r>
      <w:r w:rsidR="002A4242" w:rsidRPr="00E965BE">
        <w:rPr>
          <w:rFonts w:ascii="Times New Roman" w:eastAsia="Times New Roman" w:hAnsi="Times New Roman" w:cs="Times New Roman"/>
        </w:rPr>
        <w:t>)</w:t>
      </w:r>
      <w:r w:rsidRPr="00E965BE">
        <w:rPr>
          <w:rFonts w:ascii="Times New Roman" w:eastAsia="Times New Roman" w:hAnsi="Times New Roman" w:cs="Times New Roman"/>
        </w:rPr>
        <w:t>.</w:t>
      </w:r>
    </w:p>
    <w:p w14:paraId="113BE098" w14:textId="77777777" w:rsidR="00772C31" w:rsidRDefault="00772C31" w:rsidP="00772C31">
      <w:pPr>
        <w:spacing w:after="0"/>
        <w:rPr>
          <w:rFonts w:ascii="Times New Roman" w:hAnsi="Times New Roman" w:cs="Times New Roman"/>
          <w:b/>
        </w:rPr>
      </w:pPr>
      <w:r w:rsidRPr="00772C31">
        <w:rPr>
          <w:rFonts w:ascii="Times New Roman" w:hAnsi="Times New Roman" w:cs="Times New Roman"/>
          <w:b/>
        </w:rPr>
        <w:t>A.11.</w:t>
      </w:r>
      <w:r>
        <w:rPr>
          <w:rFonts w:ascii="Times New Roman" w:hAnsi="Times New Roman" w:cs="Times New Roman"/>
          <w:b/>
        </w:rPr>
        <w:t>2</w:t>
      </w:r>
      <w:r w:rsidRPr="001B74A6">
        <w:rPr>
          <w:b/>
          <w:bCs/>
        </w:rPr>
        <w:t xml:space="preserve"> </w:t>
      </w:r>
      <w:r w:rsidRPr="00125B35">
        <w:rPr>
          <w:rFonts w:ascii="Times New Roman" w:hAnsi="Times New Roman" w:cs="Times New Roman"/>
          <w:b/>
        </w:rPr>
        <w:t>Justification for Sensitive Questions</w:t>
      </w:r>
    </w:p>
    <w:p w14:paraId="34ECDFF5" w14:textId="77777777" w:rsidR="00DA2A45" w:rsidRPr="00C4585A" w:rsidRDefault="00DA2A45" w:rsidP="00772C31">
      <w:pPr>
        <w:spacing w:after="0"/>
        <w:rPr>
          <w:b/>
          <w:bCs/>
        </w:rPr>
      </w:pPr>
    </w:p>
    <w:p w14:paraId="4123D646" w14:textId="77777777" w:rsidR="006C098D" w:rsidRPr="00436890" w:rsidRDefault="00607C63" w:rsidP="006C09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The student survey </w:t>
      </w:r>
      <w:r w:rsidR="006C098D">
        <w:rPr>
          <w:rFonts w:ascii="Times New Roman" w:hAnsi="Times New Roman" w:cs="Times New Roman"/>
        </w:rPr>
        <w:t xml:space="preserve">data </w:t>
      </w:r>
      <w:r w:rsidR="00101C5D">
        <w:rPr>
          <w:rFonts w:ascii="Times New Roman" w:hAnsi="Times New Roman" w:cs="Times New Roman"/>
        </w:rPr>
        <w:t>to be collected in this proposal include</w:t>
      </w:r>
      <w:r>
        <w:rPr>
          <w:rFonts w:ascii="Times New Roman" w:hAnsi="Times New Roman" w:cs="Times New Roman"/>
        </w:rPr>
        <w:t>s</w:t>
      </w:r>
      <w:r w:rsidR="006C098D" w:rsidRPr="00436890">
        <w:rPr>
          <w:rFonts w:ascii="Times New Roman" w:hAnsi="Times New Roman" w:cs="Times New Roman"/>
        </w:rPr>
        <w:t xml:space="preserve"> sensitive questions.  The primary out</w:t>
      </w:r>
      <w:r w:rsidR="003847A9">
        <w:rPr>
          <w:rFonts w:ascii="Times New Roman" w:hAnsi="Times New Roman" w:cs="Times New Roman"/>
        </w:rPr>
        <w:t xml:space="preserve">come on which we expect </w:t>
      </w:r>
      <w:r w:rsidR="006D3676" w:rsidRPr="00032688">
        <w:rPr>
          <w:rFonts w:ascii="Times New Roman" w:hAnsi="Times New Roman" w:cs="Times New Roman"/>
          <w:i/>
        </w:rPr>
        <w:t>Dating Matters®</w:t>
      </w:r>
      <w:r w:rsidR="006D3676">
        <w:rPr>
          <w:rFonts w:ascii="Times New Roman" w:hAnsi="Times New Roman" w:cs="Times New Roman"/>
          <w:i/>
        </w:rPr>
        <w:t xml:space="preserve"> </w:t>
      </w:r>
      <w:r w:rsidR="006C098D" w:rsidRPr="00436890">
        <w:rPr>
          <w:rFonts w:ascii="Times New Roman" w:hAnsi="Times New Roman" w:cs="Times New Roman"/>
        </w:rPr>
        <w:t xml:space="preserve">to have an impact, perpetration and victimization of dating violence behaviors, is a sensitive topic, and in order to measure impact on dating violence, we must ask students directly about their perpetration and victimization of dating violence.  In addition, many of the other empirically supported risk factors that we expect may change as a result of exposure to the two </w:t>
      </w:r>
      <w:r w:rsidR="006C098D" w:rsidRPr="00436890">
        <w:rPr>
          <w:rFonts w:ascii="Times New Roman" w:hAnsi="Times New Roman" w:cs="Times New Roman"/>
        </w:rPr>
        <w:lastRenderedPageBreak/>
        <w:t>models of prevention (e.g., substance use, risky sexual behaviors, attitudes toward dating violence, engagement in delinquent behaviors</w:t>
      </w:r>
      <w:r w:rsidR="006C098D">
        <w:rPr>
          <w:rFonts w:ascii="Times New Roman" w:hAnsi="Times New Roman" w:cs="Times New Roman"/>
        </w:rPr>
        <w:t>, school disciplinary problems</w:t>
      </w:r>
      <w:r w:rsidR="006C098D" w:rsidRPr="00436890">
        <w:rPr>
          <w:rFonts w:ascii="Times New Roman" w:hAnsi="Times New Roman" w:cs="Times New Roman"/>
        </w:rPr>
        <w:t xml:space="preserve">) are also sensitive topics, and in order to measure program impact, we must ask questions directly about these topics.  </w:t>
      </w:r>
      <w:r w:rsidR="007301EE">
        <w:rPr>
          <w:rFonts w:ascii="Times New Roman" w:hAnsi="Times New Roman" w:cs="Times New Roman"/>
        </w:rPr>
        <w:t xml:space="preserve">The consent forms </w:t>
      </w:r>
      <w:r w:rsidR="006C098D" w:rsidRPr="00436890">
        <w:rPr>
          <w:rFonts w:ascii="Times New Roman" w:hAnsi="Times New Roman" w:cs="Times New Roman"/>
        </w:rPr>
        <w:t>disclose to parents and students that some of the</w:t>
      </w:r>
      <w:r w:rsidR="007301EE">
        <w:rPr>
          <w:rFonts w:ascii="Times New Roman" w:hAnsi="Times New Roman" w:cs="Times New Roman"/>
        </w:rPr>
        <w:t xml:space="preserve"> survey</w:t>
      </w:r>
      <w:r w:rsidR="006C098D" w:rsidRPr="00436890">
        <w:rPr>
          <w:rFonts w:ascii="Times New Roman" w:hAnsi="Times New Roman" w:cs="Times New Roman"/>
        </w:rPr>
        <w:t xml:space="preserve"> questions may be sensitive in nature and that they do not have to answer any questions that they do not want to answer.  We </w:t>
      </w:r>
      <w:r w:rsidR="007301EE">
        <w:rPr>
          <w:rFonts w:ascii="Times New Roman" w:hAnsi="Times New Roman" w:cs="Times New Roman"/>
        </w:rPr>
        <w:t>obtained</w:t>
      </w:r>
      <w:r w:rsidR="006C098D" w:rsidRPr="00436890">
        <w:rPr>
          <w:rFonts w:ascii="Times New Roman" w:hAnsi="Times New Roman" w:cs="Times New Roman"/>
        </w:rPr>
        <w:t xml:space="preserve"> a Certificate of Confidentiality that will further insure the privacy and security of the respondents’ answers to such questions.  </w:t>
      </w:r>
      <w:r w:rsidR="007301EE">
        <w:rPr>
          <w:rFonts w:ascii="Times New Roman" w:hAnsi="Times New Roman" w:cs="Times New Roman"/>
        </w:rPr>
        <w:t>School counselors or other staff</w:t>
      </w:r>
      <w:r w:rsidR="007301EE" w:rsidRPr="00436890">
        <w:rPr>
          <w:rFonts w:ascii="Times New Roman" w:hAnsi="Times New Roman" w:cs="Times New Roman"/>
        </w:rPr>
        <w:t xml:space="preserve"> </w:t>
      </w:r>
      <w:r w:rsidR="006C098D" w:rsidRPr="00436890">
        <w:rPr>
          <w:rFonts w:ascii="Times New Roman" w:hAnsi="Times New Roman" w:cs="Times New Roman"/>
        </w:rPr>
        <w:t xml:space="preserve">will be available during data collections to assist any respondents who feel upset or disturbed by any of the questions.  We cannot evaluate the impact of the comprehensive </w:t>
      </w:r>
      <w:r w:rsidR="006D3676" w:rsidRPr="00032688">
        <w:rPr>
          <w:rFonts w:ascii="Times New Roman" w:hAnsi="Times New Roman" w:cs="Times New Roman"/>
          <w:i/>
        </w:rPr>
        <w:t>Dating Matters®</w:t>
      </w:r>
      <w:r w:rsidR="006D3676">
        <w:rPr>
          <w:rFonts w:ascii="Times New Roman" w:hAnsi="Times New Roman" w:cs="Times New Roman"/>
          <w:i/>
        </w:rPr>
        <w:t xml:space="preserve"> </w:t>
      </w:r>
      <w:r w:rsidR="006C098D" w:rsidRPr="00436890">
        <w:rPr>
          <w:rFonts w:ascii="Times New Roman" w:hAnsi="Times New Roman" w:cs="Times New Roman"/>
        </w:rPr>
        <w:t xml:space="preserve">approach on </w:t>
      </w:r>
      <w:r w:rsidR="00530D58">
        <w:rPr>
          <w:rFonts w:ascii="Times New Roman" w:hAnsi="Times New Roman" w:cs="Times New Roman"/>
        </w:rPr>
        <w:t>TDV</w:t>
      </w:r>
      <w:r w:rsidR="006C098D" w:rsidRPr="00436890">
        <w:rPr>
          <w:rFonts w:ascii="Times New Roman" w:hAnsi="Times New Roman" w:cs="Times New Roman"/>
        </w:rPr>
        <w:t xml:space="preserve"> without asking sensitive questions about dating violence and other related behaviors.</w:t>
      </w:r>
    </w:p>
    <w:p w14:paraId="16E017F8" w14:textId="77777777" w:rsidR="006C098D" w:rsidRPr="00436890" w:rsidRDefault="006C098D" w:rsidP="006C098D">
      <w:pPr>
        <w:autoSpaceDE w:val="0"/>
        <w:autoSpaceDN w:val="0"/>
        <w:adjustRightInd w:val="0"/>
        <w:spacing w:after="0" w:line="240" w:lineRule="auto"/>
        <w:rPr>
          <w:rFonts w:ascii="Times New Roman" w:hAnsi="Times New Roman" w:cs="Times New Roman"/>
        </w:rPr>
      </w:pPr>
    </w:p>
    <w:p w14:paraId="2E044515" w14:textId="77777777" w:rsidR="006C098D" w:rsidRDefault="00607C63"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w:t>
      </w:r>
      <w:r w:rsidR="006C098D">
        <w:rPr>
          <w:rFonts w:ascii="Times New Roman" w:hAnsi="Times New Roman" w:cs="Times New Roman"/>
          <w:b/>
        </w:rPr>
        <w:t>1</w:t>
      </w:r>
      <w:r w:rsidR="006C098D" w:rsidRPr="00A11C27">
        <w:rPr>
          <w:rFonts w:ascii="Times New Roman" w:hAnsi="Times New Roman" w:cs="Times New Roman"/>
          <w:b/>
        </w:rPr>
        <w:t>2. Estimates of Annualized Burden Hours and Costs</w:t>
      </w:r>
    </w:p>
    <w:p w14:paraId="123025D3" w14:textId="77777777" w:rsidR="00952002" w:rsidRDefault="00952002" w:rsidP="006C098D">
      <w:pPr>
        <w:autoSpaceDE w:val="0"/>
        <w:autoSpaceDN w:val="0"/>
        <w:adjustRightInd w:val="0"/>
        <w:spacing w:after="0" w:line="240" w:lineRule="auto"/>
        <w:rPr>
          <w:rFonts w:ascii="Times New Roman" w:hAnsi="Times New Roman" w:cs="Times New Roman"/>
          <w:b/>
        </w:rPr>
      </w:pPr>
    </w:p>
    <w:p w14:paraId="74DB151C" w14:textId="77777777" w:rsidR="006C098D" w:rsidRPr="0020061D" w:rsidRDefault="006C098D" w:rsidP="006C09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Burden estimates were derived based on the number and nature of the questions, the administration methods (e.g., using scantrons, open-ended questions) and the age of the respondents. The number of respondents was based on the sampling plan and power analysis for the main hypotheses.</w:t>
      </w:r>
    </w:p>
    <w:p w14:paraId="13C5D540" w14:textId="77777777" w:rsidR="006C098D" w:rsidRPr="00A11C27" w:rsidRDefault="006C098D" w:rsidP="006C098D">
      <w:pPr>
        <w:autoSpaceDE w:val="0"/>
        <w:autoSpaceDN w:val="0"/>
        <w:adjustRightInd w:val="0"/>
        <w:spacing w:after="0" w:line="240" w:lineRule="auto"/>
        <w:rPr>
          <w:rFonts w:ascii="Times New Roman" w:hAnsi="Times New Roman" w:cs="Times New Roman"/>
          <w:b/>
        </w:rPr>
      </w:pPr>
    </w:p>
    <w:p w14:paraId="2792B851" w14:textId="77777777" w:rsidR="006C098D" w:rsidRDefault="006C098D" w:rsidP="006C098D">
      <w:pPr>
        <w:pStyle w:val="Heading2"/>
        <w:widowControl/>
        <w:autoSpaceDE/>
        <w:autoSpaceDN/>
        <w:adjustRightInd/>
        <w:rPr>
          <w:rFonts w:ascii="Times New Roman" w:hAnsi="Times New Roman" w:cs="Times New Roman"/>
          <w:sz w:val="22"/>
          <w:szCs w:val="22"/>
        </w:rPr>
      </w:pPr>
      <w:bookmarkStart w:id="4" w:name="_Toc14160668"/>
      <w:bookmarkStart w:id="5" w:name="_Toc12183279"/>
      <w:r w:rsidRPr="00A11C27">
        <w:rPr>
          <w:rFonts w:ascii="Times New Roman" w:hAnsi="Times New Roman" w:cs="Times New Roman"/>
          <w:sz w:val="22"/>
          <w:szCs w:val="22"/>
        </w:rPr>
        <w:t xml:space="preserve">A.12.A. </w:t>
      </w:r>
      <w:r w:rsidR="00D8780F" w:rsidRPr="00D8780F">
        <w:rPr>
          <w:rFonts w:ascii="Times New Roman" w:hAnsi="Times New Roman" w:cs="Times New Roman"/>
          <w:sz w:val="22"/>
          <w:szCs w:val="22"/>
        </w:rPr>
        <w:t>Estimated Annualized Burden Hours</w:t>
      </w:r>
      <w:bookmarkEnd w:id="4"/>
      <w:r w:rsidRPr="00A11C27">
        <w:rPr>
          <w:rFonts w:ascii="Times New Roman" w:hAnsi="Times New Roman" w:cs="Times New Roman"/>
          <w:sz w:val="22"/>
          <w:szCs w:val="22"/>
        </w:rPr>
        <w:t xml:space="preserve"> </w:t>
      </w:r>
      <w:bookmarkEnd w:id="5"/>
    </w:p>
    <w:p w14:paraId="36A92899" w14:textId="77777777" w:rsidR="006F27BA" w:rsidRDefault="006F27BA" w:rsidP="006F27BA">
      <w:pPr>
        <w:spacing w:after="0"/>
        <w:rPr>
          <w:rFonts w:ascii="Times New Roman" w:hAnsi="Times New Roman" w:cs="Times New Roman"/>
        </w:rPr>
      </w:pPr>
    </w:p>
    <w:p w14:paraId="42B5BA84" w14:textId="77777777" w:rsidR="00D8780F" w:rsidRDefault="00D8780F" w:rsidP="006F27BA">
      <w:pPr>
        <w:spacing w:after="0"/>
        <w:rPr>
          <w:rFonts w:ascii="Times New Roman" w:eastAsia="Times New Roman" w:hAnsi="Times New Roman" w:cs="Times New Roman"/>
          <w:color w:val="000000"/>
        </w:rPr>
      </w:pPr>
      <w:r w:rsidRPr="00C32A24">
        <w:rPr>
          <w:rFonts w:ascii="Times New Roman" w:hAnsi="Times New Roman" w:cs="Times New Roman"/>
        </w:rPr>
        <w:t>The respondent burden has been estimated based on the number of respondents enrolled or otherwise involved in a given data collection effort (see sampling frames in SSB), the number of times each of these respondents needed to be contacted, and the estimated amount of time (expressed in hours or fractions thereof) required for a respondent to provide the requested information.  This calculation of the total amount of time required of the respondents is then multiplied by an estimated hourly wage for the respondent population affected by the particular data collection ins</w:t>
      </w:r>
      <w:r>
        <w:rPr>
          <w:rFonts w:ascii="Times New Roman" w:hAnsi="Times New Roman" w:cs="Times New Roman"/>
        </w:rPr>
        <w:t>trument/ processes.  The product</w:t>
      </w:r>
      <w:r w:rsidRPr="00C32A24">
        <w:rPr>
          <w:rFonts w:ascii="Times New Roman" w:hAnsi="Times New Roman" w:cs="Times New Roman"/>
        </w:rPr>
        <w:t xml:space="preserve"> of the total amount of time require and the applicable estimated hourly cost to each respondent yields an estimate of the total respondent cost across multiple data collection instruments/processes and the </w:t>
      </w:r>
      <w:r>
        <w:rPr>
          <w:rFonts w:ascii="Times New Roman" w:hAnsi="Times New Roman" w:cs="Times New Roman"/>
        </w:rPr>
        <w:t>three</w:t>
      </w:r>
      <w:r w:rsidRPr="00C32A24">
        <w:rPr>
          <w:rFonts w:ascii="Times New Roman" w:hAnsi="Times New Roman" w:cs="Times New Roman"/>
        </w:rPr>
        <w:t xml:space="preserve"> year data collection period of the </w:t>
      </w:r>
      <w:r w:rsidRPr="00BE2A85">
        <w:rPr>
          <w:rFonts w:ascii="Times New Roman" w:hAnsi="Times New Roman" w:cs="Times New Roman"/>
        </w:rPr>
        <w:t xml:space="preserve">project. The total estimated burden for this request is </w:t>
      </w:r>
      <w:r>
        <w:rPr>
          <w:rFonts w:ascii="Times New Roman" w:hAnsi="Times New Roman" w:cs="Times New Roman"/>
          <w:b/>
        </w:rPr>
        <w:t>3,299</w:t>
      </w:r>
      <w:r w:rsidRPr="00BE2A85">
        <w:rPr>
          <w:rFonts w:ascii="Times New Roman" w:hAnsi="Times New Roman" w:cs="Times New Roman"/>
        </w:rPr>
        <w:t xml:space="preserve"> </w:t>
      </w:r>
      <w:r w:rsidRPr="00BE2A85">
        <w:rPr>
          <w:rFonts w:ascii="Times New Roman" w:eastAsia="Times New Roman" w:hAnsi="Times New Roman" w:cs="Times New Roman"/>
          <w:color w:val="000000"/>
        </w:rPr>
        <w:t xml:space="preserve">hours per year </w:t>
      </w:r>
      <w:r w:rsidRPr="00BE2A85">
        <w:rPr>
          <w:rFonts w:ascii="Times New Roman" w:hAnsi="Times New Roman" w:cs="Times New Roman"/>
        </w:rPr>
        <w:t>(Table A.12)</w:t>
      </w:r>
      <w:r w:rsidRPr="00BE2A85">
        <w:rPr>
          <w:rFonts w:ascii="Times New Roman" w:eastAsia="Times New Roman" w:hAnsi="Times New Roman" w:cs="Times New Roman"/>
          <w:color w:val="000000"/>
        </w:rPr>
        <w:t xml:space="preserve">.  </w:t>
      </w:r>
    </w:p>
    <w:p w14:paraId="24D17F4F" w14:textId="77777777" w:rsidR="00952002" w:rsidRDefault="00952002" w:rsidP="001B74A6"/>
    <w:p w14:paraId="1E96884D" w14:textId="77777777" w:rsidR="006C098D" w:rsidRDefault="006C098D" w:rsidP="006C098D">
      <w:pPr>
        <w:rPr>
          <w:rFonts w:ascii="Times New Roman" w:hAnsi="Times New Roman" w:cs="Times New Roman"/>
          <w:b/>
        </w:rPr>
      </w:pPr>
      <w:r w:rsidRPr="007F7714">
        <w:rPr>
          <w:rFonts w:ascii="Times New Roman" w:hAnsi="Times New Roman" w:cs="Times New Roman"/>
          <w:b/>
        </w:rPr>
        <w:t>Table A.12- Estimate of Annual Burden Hours.</w:t>
      </w:r>
      <w:r w:rsidR="0017030B">
        <w:rPr>
          <w:rStyle w:val="FootnoteReference"/>
          <w:rFonts w:ascii="Times New Roman" w:hAnsi="Times New Roman" w:cs="Times New Roman"/>
          <w:b/>
        </w:rPr>
        <w:footnoteReference w:id="2"/>
      </w:r>
    </w:p>
    <w:tbl>
      <w:tblPr>
        <w:tblW w:w="87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937"/>
        <w:gridCol w:w="1417"/>
        <w:gridCol w:w="1440"/>
        <w:gridCol w:w="1103"/>
        <w:gridCol w:w="1440"/>
      </w:tblGrid>
      <w:tr w:rsidR="00D8780F" w:rsidRPr="00D8780F" w14:paraId="76EFB128" w14:textId="77777777" w:rsidTr="00952002">
        <w:trPr>
          <w:trHeight w:val="1365"/>
        </w:trPr>
        <w:tc>
          <w:tcPr>
            <w:tcW w:w="1408" w:type="dxa"/>
            <w:shd w:val="clear" w:color="auto" w:fill="auto"/>
            <w:vAlign w:val="bottom"/>
            <w:hideMark/>
          </w:tcPr>
          <w:p w14:paraId="0FF7AD8B" w14:textId="77777777" w:rsidR="00715B43" w:rsidRPr="001B74A6" w:rsidRDefault="00715B43" w:rsidP="00FF0A10">
            <w:pPr>
              <w:spacing w:after="0" w:line="240" w:lineRule="auto"/>
              <w:jc w:val="center"/>
              <w:rPr>
                <w:rFonts w:ascii="Times New Roman" w:eastAsia="Times New Roman" w:hAnsi="Times New Roman" w:cs="Times New Roman"/>
                <w:b/>
                <w:bCs/>
              </w:rPr>
            </w:pPr>
            <w:r w:rsidRPr="001B74A6">
              <w:rPr>
                <w:rFonts w:ascii="Times New Roman" w:eastAsia="Times New Roman" w:hAnsi="Times New Roman" w:cs="Times New Roman"/>
                <w:b/>
                <w:bCs/>
              </w:rPr>
              <w:t>Type of Respondent</w:t>
            </w:r>
          </w:p>
        </w:tc>
        <w:tc>
          <w:tcPr>
            <w:tcW w:w="1937" w:type="dxa"/>
            <w:shd w:val="clear" w:color="auto" w:fill="auto"/>
            <w:vAlign w:val="bottom"/>
            <w:hideMark/>
          </w:tcPr>
          <w:p w14:paraId="2BC9707C" w14:textId="77777777" w:rsidR="00715B43" w:rsidRPr="001B74A6" w:rsidRDefault="00715B43" w:rsidP="00FF0A10">
            <w:pPr>
              <w:spacing w:after="0" w:line="240" w:lineRule="auto"/>
              <w:jc w:val="center"/>
              <w:rPr>
                <w:rFonts w:ascii="Times New Roman" w:eastAsia="Times New Roman" w:hAnsi="Times New Roman" w:cs="Times New Roman"/>
                <w:b/>
                <w:bCs/>
              </w:rPr>
            </w:pPr>
            <w:r w:rsidRPr="001B74A6">
              <w:rPr>
                <w:rFonts w:ascii="Times New Roman" w:eastAsia="Times New Roman" w:hAnsi="Times New Roman" w:cs="Times New Roman"/>
                <w:b/>
                <w:bCs/>
              </w:rPr>
              <w:t>Form Name</w:t>
            </w:r>
          </w:p>
        </w:tc>
        <w:tc>
          <w:tcPr>
            <w:tcW w:w="1417" w:type="dxa"/>
            <w:shd w:val="clear" w:color="auto" w:fill="auto"/>
            <w:vAlign w:val="bottom"/>
            <w:hideMark/>
          </w:tcPr>
          <w:p w14:paraId="69ED075B" w14:textId="77777777" w:rsidR="00715B43" w:rsidRPr="001B74A6" w:rsidRDefault="00715B43" w:rsidP="006F211E">
            <w:pPr>
              <w:spacing w:after="0" w:line="240" w:lineRule="auto"/>
              <w:jc w:val="right"/>
              <w:rPr>
                <w:rFonts w:ascii="Times New Roman" w:eastAsia="Times New Roman" w:hAnsi="Times New Roman" w:cs="Times New Roman"/>
                <w:b/>
                <w:bCs/>
              </w:rPr>
            </w:pPr>
            <w:r w:rsidRPr="001B74A6">
              <w:rPr>
                <w:rFonts w:ascii="Times New Roman" w:eastAsia="Times New Roman" w:hAnsi="Times New Roman" w:cs="Times New Roman"/>
                <w:b/>
                <w:bCs/>
              </w:rPr>
              <w:t>Number of Respondents</w:t>
            </w:r>
          </w:p>
        </w:tc>
        <w:tc>
          <w:tcPr>
            <w:tcW w:w="1440" w:type="dxa"/>
            <w:shd w:val="clear" w:color="auto" w:fill="auto"/>
            <w:vAlign w:val="bottom"/>
            <w:hideMark/>
          </w:tcPr>
          <w:p w14:paraId="454024BF" w14:textId="77777777" w:rsidR="00715B43" w:rsidRPr="001B74A6" w:rsidRDefault="00715B43" w:rsidP="006F211E">
            <w:pPr>
              <w:spacing w:after="0" w:line="240" w:lineRule="auto"/>
              <w:jc w:val="right"/>
              <w:rPr>
                <w:rFonts w:ascii="Times New Roman" w:eastAsia="Times New Roman" w:hAnsi="Times New Roman" w:cs="Times New Roman"/>
                <w:b/>
                <w:bCs/>
              </w:rPr>
            </w:pPr>
            <w:r w:rsidRPr="001B74A6">
              <w:rPr>
                <w:rFonts w:ascii="Times New Roman" w:eastAsia="Times New Roman" w:hAnsi="Times New Roman" w:cs="Times New Roman"/>
                <w:b/>
                <w:bCs/>
              </w:rPr>
              <w:t>Number of Responses per Respondent</w:t>
            </w:r>
          </w:p>
        </w:tc>
        <w:tc>
          <w:tcPr>
            <w:tcW w:w="1103" w:type="dxa"/>
            <w:shd w:val="clear" w:color="auto" w:fill="auto"/>
            <w:vAlign w:val="bottom"/>
            <w:hideMark/>
          </w:tcPr>
          <w:p w14:paraId="48CE8270" w14:textId="77777777" w:rsidR="00715B43" w:rsidRPr="001B74A6" w:rsidRDefault="00715B43" w:rsidP="006F211E">
            <w:pPr>
              <w:spacing w:after="0" w:line="240" w:lineRule="auto"/>
              <w:jc w:val="right"/>
              <w:rPr>
                <w:rFonts w:ascii="Times New Roman" w:eastAsia="Times New Roman" w:hAnsi="Times New Roman" w:cs="Times New Roman"/>
                <w:b/>
                <w:bCs/>
              </w:rPr>
            </w:pPr>
            <w:r w:rsidRPr="001B74A6">
              <w:rPr>
                <w:rFonts w:ascii="Times New Roman" w:eastAsia="Times New Roman" w:hAnsi="Times New Roman" w:cs="Times New Roman"/>
                <w:b/>
                <w:bCs/>
              </w:rPr>
              <w:t>Average Burden per Response (Hours)</w:t>
            </w:r>
          </w:p>
        </w:tc>
        <w:tc>
          <w:tcPr>
            <w:tcW w:w="1440" w:type="dxa"/>
            <w:shd w:val="clear" w:color="auto" w:fill="auto"/>
            <w:vAlign w:val="bottom"/>
            <w:hideMark/>
          </w:tcPr>
          <w:p w14:paraId="356ECE5E" w14:textId="77777777" w:rsidR="00715B43" w:rsidRPr="001B74A6" w:rsidRDefault="00715B43" w:rsidP="006F211E">
            <w:pPr>
              <w:spacing w:after="0" w:line="240" w:lineRule="auto"/>
              <w:jc w:val="right"/>
              <w:rPr>
                <w:rFonts w:ascii="Times New Roman" w:eastAsia="Times New Roman" w:hAnsi="Times New Roman" w:cs="Times New Roman"/>
                <w:b/>
                <w:bCs/>
              </w:rPr>
            </w:pPr>
            <w:r w:rsidRPr="001B74A6">
              <w:rPr>
                <w:rFonts w:ascii="Times New Roman" w:eastAsia="Times New Roman" w:hAnsi="Times New Roman" w:cs="Times New Roman"/>
                <w:b/>
                <w:bCs/>
              </w:rPr>
              <w:t>Total Burden (Hours)</w:t>
            </w:r>
          </w:p>
        </w:tc>
      </w:tr>
      <w:tr w:rsidR="00D8780F" w:rsidRPr="00D8780F" w14:paraId="0877FF4D" w14:textId="77777777" w:rsidTr="00952002">
        <w:trPr>
          <w:trHeight w:val="566"/>
        </w:trPr>
        <w:tc>
          <w:tcPr>
            <w:tcW w:w="1408" w:type="dxa"/>
            <w:shd w:val="clear" w:color="auto" w:fill="auto"/>
            <w:vAlign w:val="bottom"/>
            <w:hideMark/>
          </w:tcPr>
          <w:p w14:paraId="646C3088" w14:textId="77777777" w:rsidR="00715B43" w:rsidRPr="001B74A6" w:rsidRDefault="00715B43" w:rsidP="00FF0A10">
            <w:pPr>
              <w:spacing w:after="0" w:line="240" w:lineRule="auto"/>
              <w:jc w:val="center"/>
              <w:rPr>
                <w:rFonts w:ascii="Times New Roman" w:eastAsia="Times New Roman" w:hAnsi="Times New Roman" w:cs="Times New Roman"/>
              </w:rPr>
            </w:pPr>
            <w:r w:rsidRPr="001B74A6">
              <w:rPr>
                <w:rFonts w:ascii="Times New Roman" w:eastAsia="Times New Roman" w:hAnsi="Times New Roman" w:cs="Times New Roman"/>
              </w:rPr>
              <w:t>Student Program Participant</w:t>
            </w:r>
          </w:p>
        </w:tc>
        <w:tc>
          <w:tcPr>
            <w:tcW w:w="1937" w:type="dxa"/>
            <w:shd w:val="clear" w:color="auto" w:fill="auto"/>
            <w:vAlign w:val="bottom"/>
            <w:hideMark/>
          </w:tcPr>
          <w:p w14:paraId="258ECBEA" w14:textId="13ED35BF" w:rsidR="00715B43" w:rsidRPr="001B74A6" w:rsidRDefault="00715B43" w:rsidP="00D8780F">
            <w:pPr>
              <w:spacing w:after="0" w:line="240" w:lineRule="auto"/>
              <w:rPr>
                <w:rFonts w:ascii="Times New Roman" w:eastAsia="Times New Roman" w:hAnsi="Times New Roman" w:cs="Times New Roman"/>
              </w:rPr>
            </w:pPr>
            <w:r w:rsidRPr="001B74A6">
              <w:rPr>
                <w:rFonts w:ascii="Times New Roman" w:eastAsia="Times New Roman" w:hAnsi="Times New Roman" w:cs="Times New Roman"/>
              </w:rPr>
              <w:t>Student Outco</w:t>
            </w:r>
            <w:r w:rsidR="00952002">
              <w:rPr>
                <w:rFonts w:ascii="Times New Roman" w:eastAsia="Times New Roman" w:hAnsi="Times New Roman" w:cs="Times New Roman"/>
              </w:rPr>
              <w:t>me Survey Follow-up – Att.</w:t>
            </w:r>
            <w:r w:rsidRPr="001B74A6">
              <w:rPr>
                <w:rFonts w:ascii="Times New Roman" w:eastAsia="Times New Roman" w:hAnsi="Times New Roman" w:cs="Times New Roman"/>
              </w:rPr>
              <w:t xml:space="preserve"> </w:t>
            </w:r>
            <w:r w:rsidR="00D8780F">
              <w:rPr>
                <w:rFonts w:ascii="Times New Roman" w:eastAsia="Times New Roman" w:hAnsi="Times New Roman" w:cs="Times New Roman"/>
              </w:rPr>
              <w:t>D</w:t>
            </w:r>
          </w:p>
        </w:tc>
        <w:tc>
          <w:tcPr>
            <w:tcW w:w="1417" w:type="dxa"/>
            <w:shd w:val="clear" w:color="auto" w:fill="auto"/>
            <w:noWrap/>
            <w:vAlign w:val="bottom"/>
            <w:hideMark/>
          </w:tcPr>
          <w:p w14:paraId="7231A92B" w14:textId="3B27B17F" w:rsidR="00715B43" w:rsidRPr="001B74A6" w:rsidRDefault="00BE2A85" w:rsidP="000B38A9">
            <w:pPr>
              <w:spacing w:after="0" w:line="240" w:lineRule="auto"/>
              <w:jc w:val="right"/>
              <w:rPr>
                <w:rFonts w:ascii="Times New Roman" w:eastAsia="Times New Roman" w:hAnsi="Times New Roman" w:cs="Times New Roman"/>
              </w:rPr>
            </w:pPr>
            <w:r w:rsidRPr="001B74A6">
              <w:rPr>
                <w:rFonts w:ascii="Times New Roman" w:eastAsia="Times New Roman" w:hAnsi="Times New Roman" w:cs="Times New Roman"/>
              </w:rPr>
              <w:t>4399</w:t>
            </w:r>
          </w:p>
        </w:tc>
        <w:tc>
          <w:tcPr>
            <w:tcW w:w="1440" w:type="dxa"/>
            <w:shd w:val="clear" w:color="auto" w:fill="auto"/>
            <w:noWrap/>
            <w:vAlign w:val="bottom"/>
            <w:hideMark/>
          </w:tcPr>
          <w:p w14:paraId="7633DCAA" w14:textId="77777777" w:rsidR="00715B43" w:rsidRPr="001B74A6" w:rsidRDefault="00715B43" w:rsidP="006F211E">
            <w:pPr>
              <w:spacing w:after="0" w:line="240" w:lineRule="auto"/>
              <w:jc w:val="right"/>
              <w:rPr>
                <w:rFonts w:ascii="Times New Roman" w:eastAsia="Times New Roman" w:hAnsi="Times New Roman" w:cs="Times New Roman"/>
              </w:rPr>
            </w:pPr>
            <w:r w:rsidRPr="001B74A6">
              <w:rPr>
                <w:rFonts w:ascii="Times New Roman" w:eastAsia="Times New Roman" w:hAnsi="Times New Roman" w:cs="Times New Roman"/>
              </w:rPr>
              <w:t>1</w:t>
            </w:r>
          </w:p>
        </w:tc>
        <w:tc>
          <w:tcPr>
            <w:tcW w:w="1103" w:type="dxa"/>
            <w:shd w:val="clear" w:color="auto" w:fill="auto"/>
            <w:noWrap/>
            <w:vAlign w:val="bottom"/>
            <w:hideMark/>
          </w:tcPr>
          <w:p w14:paraId="3EA56450" w14:textId="7E0A1540" w:rsidR="00715B43" w:rsidRPr="001B74A6" w:rsidRDefault="00CD19E4" w:rsidP="00CD19E4">
            <w:pPr>
              <w:spacing w:after="0" w:line="240" w:lineRule="auto"/>
              <w:jc w:val="right"/>
              <w:rPr>
                <w:rFonts w:ascii="Times New Roman" w:hAnsi="Times New Roman" w:cs="Times New Roman"/>
              </w:rPr>
            </w:pPr>
            <w:r>
              <w:rPr>
                <w:rFonts w:ascii="Times New Roman" w:eastAsia="Times New Roman" w:hAnsi="Times New Roman" w:cs="Times New Roman"/>
              </w:rPr>
              <w:t>.75</w:t>
            </w:r>
          </w:p>
        </w:tc>
        <w:tc>
          <w:tcPr>
            <w:tcW w:w="1440" w:type="dxa"/>
            <w:shd w:val="clear" w:color="auto" w:fill="auto"/>
            <w:noWrap/>
            <w:vAlign w:val="bottom"/>
            <w:hideMark/>
          </w:tcPr>
          <w:p w14:paraId="6A0622F5" w14:textId="5E93129C" w:rsidR="00715B43" w:rsidRPr="001B74A6" w:rsidRDefault="00BE2A85" w:rsidP="000B38A9">
            <w:pPr>
              <w:spacing w:after="0" w:line="240" w:lineRule="auto"/>
              <w:jc w:val="right"/>
              <w:rPr>
                <w:rFonts w:ascii="Times New Roman" w:hAnsi="Times New Roman" w:cs="Times New Roman"/>
              </w:rPr>
            </w:pPr>
            <w:r w:rsidRPr="001B74A6">
              <w:rPr>
                <w:rFonts w:ascii="Times New Roman" w:eastAsia="Times New Roman" w:hAnsi="Times New Roman" w:cs="Times New Roman"/>
              </w:rPr>
              <w:t>3299</w:t>
            </w:r>
          </w:p>
        </w:tc>
      </w:tr>
      <w:tr w:rsidR="00D8780F" w:rsidRPr="00D8780F" w14:paraId="2A382FDF" w14:textId="77777777" w:rsidTr="00952002">
        <w:trPr>
          <w:trHeight w:val="566"/>
        </w:trPr>
        <w:tc>
          <w:tcPr>
            <w:tcW w:w="1408" w:type="dxa"/>
            <w:shd w:val="clear" w:color="auto" w:fill="auto"/>
            <w:vAlign w:val="bottom"/>
          </w:tcPr>
          <w:p w14:paraId="7E89EED5" w14:textId="77777777" w:rsidR="00D21586" w:rsidRPr="001B74A6" w:rsidRDefault="00D21586" w:rsidP="00D21586">
            <w:pPr>
              <w:spacing w:after="0" w:line="240" w:lineRule="auto"/>
              <w:jc w:val="center"/>
              <w:rPr>
                <w:rFonts w:ascii="Times New Roman" w:eastAsia="Times New Roman" w:hAnsi="Times New Roman" w:cs="Times New Roman"/>
              </w:rPr>
            </w:pPr>
            <w:r w:rsidRPr="001B74A6">
              <w:rPr>
                <w:rFonts w:ascii="Times New Roman" w:hAnsi="Times New Roman" w:cs="Times New Roman"/>
              </w:rPr>
              <w:t>Total</w:t>
            </w:r>
          </w:p>
        </w:tc>
        <w:tc>
          <w:tcPr>
            <w:tcW w:w="1937" w:type="dxa"/>
            <w:shd w:val="clear" w:color="auto" w:fill="auto"/>
            <w:vAlign w:val="bottom"/>
          </w:tcPr>
          <w:p w14:paraId="0C9C549F" w14:textId="77777777" w:rsidR="00D21586" w:rsidRPr="001B74A6" w:rsidRDefault="00D21586" w:rsidP="00D21586">
            <w:pPr>
              <w:spacing w:after="0" w:line="240" w:lineRule="auto"/>
              <w:rPr>
                <w:rFonts w:ascii="Times New Roman" w:eastAsia="Times New Roman" w:hAnsi="Times New Roman" w:cs="Times New Roman"/>
              </w:rPr>
            </w:pPr>
          </w:p>
        </w:tc>
        <w:tc>
          <w:tcPr>
            <w:tcW w:w="1417" w:type="dxa"/>
            <w:shd w:val="clear" w:color="auto" w:fill="auto"/>
            <w:noWrap/>
            <w:vAlign w:val="bottom"/>
          </w:tcPr>
          <w:p w14:paraId="64671952" w14:textId="77777777" w:rsidR="00D21586" w:rsidRPr="001B74A6" w:rsidRDefault="00D21586" w:rsidP="00D21586">
            <w:pPr>
              <w:spacing w:after="0" w:line="240" w:lineRule="auto"/>
              <w:jc w:val="right"/>
              <w:rPr>
                <w:rFonts w:ascii="Times New Roman" w:eastAsia="Times New Roman" w:hAnsi="Times New Roman" w:cs="Times New Roman"/>
              </w:rPr>
            </w:pPr>
          </w:p>
        </w:tc>
        <w:tc>
          <w:tcPr>
            <w:tcW w:w="1440" w:type="dxa"/>
            <w:shd w:val="clear" w:color="auto" w:fill="auto"/>
            <w:noWrap/>
            <w:vAlign w:val="bottom"/>
          </w:tcPr>
          <w:p w14:paraId="62435C84" w14:textId="77777777" w:rsidR="00D21586" w:rsidRPr="001B74A6" w:rsidRDefault="00D21586" w:rsidP="00D21586">
            <w:pPr>
              <w:spacing w:after="0" w:line="240" w:lineRule="auto"/>
              <w:jc w:val="right"/>
              <w:rPr>
                <w:rFonts w:ascii="Times New Roman" w:eastAsia="Times New Roman" w:hAnsi="Times New Roman" w:cs="Times New Roman"/>
              </w:rPr>
            </w:pPr>
          </w:p>
        </w:tc>
        <w:tc>
          <w:tcPr>
            <w:tcW w:w="1103" w:type="dxa"/>
            <w:shd w:val="clear" w:color="auto" w:fill="auto"/>
            <w:noWrap/>
          </w:tcPr>
          <w:p w14:paraId="4D412C36" w14:textId="77777777" w:rsidR="00D21586" w:rsidRPr="001B74A6" w:rsidRDefault="00D21586" w:rsidP="00D21586">
            <w:pPr>
              <w:spacing w:after="0" w:line="240" w:lineRule="auto"/>
              <w:jc w:val="right"/>
              <w:rPr>
                <w:rFonts w:ascii="Times New Roman" w:eastAsia="Times New Roman" w:hAnsi="Times New Roman" w:cs="Times New Roman"/>
              </w:rPr>
            </w:pPr>
          </w:p>
        </w:tc>
        <w:tc>
          <w:tcPr>
            <w:tcW w:w="1440" w:type="dxa"/>
            <w:shd w:val="clear" w:color="auto" w:fill="auto"/>
            <w:noWrap/>
          </w:tcPr>
          <w:p w14:paraId="584A01E9" w14:textId="20011537" w:rsidR="00D21586" w:rsidRPr="001B74A6" w:rsidRDefault="00D21586" w:rsidP="000B38A9">
            <w:pPr>
              <w:spacing w:after="0" w:line="240" w:lineRule="auto"/>
              <w:jc w:val="right"/>
              <w:rPr>
                <w:rFonts w:ascii="Times New Roman" w:eastAsia="Times New Roman" w:hAnsi="Times New Roman" w:cs="Times New Roman"/>
              </w:rPr>
            </w:pPr>
            <w:r w:rsidRPr="001B74A6">
              <w:rPr>
                <w:rFonts w:ascii="Times New Roman" w:eastAsia="Times New Roman" w:hAnsi="Times New Roman" w:cs="Times New Roman"/>
              </w:rPr>
              <w:t>3299</w:t>
            </w:r>
          </w:p>
        </w:tc>
      </w:tr>
    </w:tbl>
    <w:p w14:paraId="48914AE3" w14:textId="77777777" w:rsidR="00530D58" w:rsidRDefault="00530D58" w:rsidP="006C098D">
      <w:pPr>
        <w:rPr>
          <w:rFonts w:ascii="Times New Roman" w:hAnsi="Times New Roman" w:cs="Times New Roman"/>
        </w:rPr>
      </w:pPr>
    </w:p>
    <w:p w14:paraId="24858F8A" w14:textId="77777777" w:rsidR="00952002" w:rsidRDefault="00952002" w:rsidP="006C098D">
      <w:pPr>
        <w:rPr>
          <w:rFonts w:ascii="Times New Roman" w:hAnsi="Times New Roman" w:cs="Times New Roman"/>
        </w:rPr>
      </w:pPr>
    </w:p>
    <w:p w14:paraId="08F2CE3F" w14:textId="77777777" w:rsidR="0072099B" w:rsidRDefault="00C47EC9" w:rsidP="006C098D">
      <w:pPr>
        <w:rPr>
          <w:rFonts w:ascii="Times New Roman" w:hAnsi="Times New Roman" w:cs="Times New Roman"/>
        </w:rPr>
      </w:pPr>
      <w:r w:rsidRPr="00BE2A85">
        <w:rPr>
          <w:rFonts w:ascii="Times New Roman" w:hAnsi="Times New Roman" w:cs="Times New Roman"/>
        </w:rPr>
        <w:t xml:space="preserve">The hourly wage used to calculate the respondent costs are based on professions of comparable experience using the Department of Labor wage tables (www.dol.gov). Total Respondent Cost for this evaluation is </w:t>
      </w:r>
      <w:r w:rsidR="00BE2A85" w:rsidRPr="00BE2A85">
        <w:rPr>
          <w:rFonts w:ascii="Times New Roman" w:hAnsi="Times New Roman" w:cs="Times New Roman"/>
          <w:b/>
          <w:color w:val="000000"/>
        </w:rPr>
        <w:t>$23,917.75</w:t>
      </w:r>
      <w:r w:rsidRPr="00BE2A85">
        <w:rPr>
          <w:rFonts w:ascii="Times New Roman" w:hAnsi="Times New Roman" w:cs="Times New Roman"/>
        </w:rPr>
        <w:t xml:space="preserve"> per year </w:t>
      </w:r>
      <w:r w:rsidRPr="00BE2A85">
        <w:rPr>
          <w:rFonts w:ascii="Times New Roman" w:eastAsia="Times New Roman" w:hAnsi="Times New Roman" w:cs="Times New Roman"/>
          <w:color w:val="000000"/>
        </w:rPr>
        <w:t>(Table A.12.B.)</w:t>
      </w:r>
      <w:r w:rsidRPr="00BE2A85">
        <w:rPr>
          <w:rFonts w:ascii="Times New Roman" w:hAnsi="Times New Roman" w:cs="Times New Roman"/>
        </w:rPr>
        <w:t>.</w:t>
      </w:r>
    </w:p>
    <w:p w14:paraId="32E06AF0" w14:textId="77777777" w:rsidR="00952002" w:rsidRDefault="00952002" w:rsidP="006C098D">
      <w:pPr>
        <w:spacing w:after="0" w:line="240" w:lineRule="auto"/>
        <w:rPr>
          <w:rFonts w:ascii="Times New Roman" w:hAnsi="Times New Roman" w:cs="Times New Roman"/>
          <w:b/>
          <w:bCs/>
        </w:rPr>
      </w:pPr>
    </w:p>
    <w:p w14:paraId="533C6703" w14:textId="77777777" w:rsidR="00D772E7" w:rsidRDefault="00D772E7" w:rsidP="006C098D">
      <w:pPr>
        <w:spacing w:after="0" w:line="240" w:lineRule="auto"/>
        <w:rPr>
          <w:rFonts w:ascii="Times New Roman" w:hAnsi="Times New Roman" w:cs="Times New Roman"/>
          <w:b/>
          <w:bCs/>
        </w:rPr>
      </w:pPr>
    </w:p>
    <w:p w14:paraId="65DEE9F4" w14:textId="77777777" w:rsidR="006C098D" w:rsidRDefault="006C098D" w:rsidP="006C098D">
      <w:pPr>
        <w:spacing w:after="0" w:line="240" w:lineRule="auto"/>
        <w:rPr>
          <w:rFonts w:ascii="Times New Roman" w:hAnsi="Times New Roman" w:cs="Times New Roman"/>
          <w:b/>
          <w:bCs/>
        </w:rPr>
      </w:pPr>
      <w:r w:rsidRPr="00BE2A85">
        <w:rPr>
          <w:rFonts w:ascii="Times New Roman" w:hAnsi="Times New Roman" w:cs="Times New Roman"/>
          <w:b/>
          <w:bCs/>
        </w:rPr>
        <w:t>A.12.B. Estimated Annualized Burden Cost</w:t>
      </w:r>
    </w:p>
    <w:p w14:paraId="5C27D496" w14:textId="77777777" w:rsidR="00952002" w:rsidRPr="00BE2A85" w:rsidRDefault="00952002" w:rsidP="006C098D">
      <w:pPr>
        <w:spacing w:after="0" w:line="240" w:lineRule="auto"/>
        <w:rPr>
          <w:rFonts w:ascii="Times New Roman" w:hAnsi="Times New Roman" w:cs="Times New Roman"/>
          <w:b/>
          <w:bCs/>
        </w:rPr>
      </w:pPr>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4"/>
        <w:gridCol w:w="1254"/>
        <w:gridCol w:w="6"/>
        <w:gridCol w:w="1457"/>
        <w:gridCol w:w="15"/>
        <w:gridCol w:w="58"/>
        <w:gridCol w:w="1346"/>
        <w:gridCol w:w="1084"/>
        <w:gridCol w:w="41"/>
        <w:gridCol w:w="47"/>
        <w:gridCol w:w="1172"/>
        <w:gridCol w:w="900"/>
        <w:gridCol w:w="1350"/>
      </w:tblGrid>
      <w:tr w:rsidR="00952002" w:rsidRPr="00952002" w14:paraId="605CDFF8" w14:textId="77777777" w:rsidTr="00952002">
        <w:trPr>
          <w:trHeight w:val="970"/>
        </w:trPr>
        <w:tc>
          <w:tcPr>
            <w:tcW w:w="1440" w:type="dxa"/>
            <w:gridSpan w:val="2"/>
            <w:shd w:val="clear" w:color="auto" w:fill="auto"/>
            <w:vAlign w:val="bottom"/>
            <w:hideMark/>
          </w:tcPr>
          <w:p w14:paraId="33C20FC8" w14:textId="77777777" w:rsidR="00715B43" w:rsidRPr="00952002" w:rsidRDefault="00715B43" w:rsidP="00FF0A10">
            <w:pPr>
              <w:spacing w:after="0" w:line="240" w:lineRule="auto"/>
              <w:jc w:val="center"/>
              <w:rPr>
                <w:rFonts w:ascii="Times New Roman" w:eastAsia="Times New Roman" w:hAnsi="Times New Roman" w:cs="Times New Roman"/>
                <w:b/>
              </w:rPr>
            </w:pPr>
            <w:r w:rsidRPr="00952002">
              <w:rPr>
                <w:rFonts w:ascii="Times New Roman" w:eastAsia="Times New Roman" w:hAnsi="Times New Roman" w:cs="Times New Roman"/>
                <w:b/>
              </w:rPr>
              <w:t>Type of Respondent</w:t>
            </w:r>
          </w:p>
        </w:tc>
        <w:tc>
          <w:tcPr>
            <w:tcW w:w="1254" w:type="dxa"/>
            <w:shd w:val="clear" w:color="auto" w:fill="auto"/>
            <w:vAlign w:val="bottom"/>
            <w:hideMark/>
          </w:tcPr>
          <w:p w14:paraId="36E432D7" w14:textId="77777777" w:rsidR="00715B43" w:rsidRPr="00952002" w:rsidRDefault="00715B43" w:rsidP="00FF0A10">
            <w:pPr>
              <w:spacing w:after="0" w:line="240" w:lineRule="auto"/>
              <w:jc w:val="center"/>
              <w:rPr>
                <w:rFonts w:ascii="Times New Roman" w:eastAsia="Times New Roman" w:hAnsi="Times New Roman" w:cs="Times New Roman"/>
                <w:b/>
              </w:rPr>
            </w:pPr>
            <w:r w:rsidRPr="00952002">
              <w:rPr>
                <w:rFonts w:ascii="Times New Roman" w:eastAsia="Times New Roman" w:hAnsi="Times New Roman" w:cs="Times New Roman"/>
                <w:b/>
              </w:rPr>
              <w:t>Form Name</w:t>
            </w:r>
          </w:p>
        </w:tc>
        <w:tc>
          <w:tcPr>
            <w:tcW w:w="1478" w:type="dxa"/>
            <w:gridSpan w:val="3"/>
            <w:shd w:val="clear" w:color="auto" w:fill="auto"/>
            <w:vAlign w:val="bottom"/>
            <w:hideMark/>
          </w:tcPr>
          <w:p w14:paraId="6B7F2B02" w14:textId="77777777" w:rsidR="00715B43" w:rsidRPr="00952002" w:rsidRDefault="00715B43" w:rsidP="00952002">
            <w:pPr>
              <w:spacing w:after="0" w:line="240" w:lineRule="auto"/>
              <w:jc w:val="center"/>
              <w:rPr>
                <w:rFonts w:ascii="Times New Roman" w:eastAsia="Times New Roman" w:hAnsi="Times New Roman" w:cs="Times New Roman"/>
                <w:b/>
              </w:rPr>
            </w:pPr>
            <w:r w:rsidRPr="00952002">
              <w:rPr>
                <w:rFonts w:ascii="Times New Roman" w:eastAsia="Times New Roman" w:hAnsi="Times New Roman" w:cs="Times New Roman"/>
                <w:b/>
              </w:rPr>
              <w:t>Number of Respondents</w:t>
            </w:r>
          </w:p>
        </w:tc>
        <w:tc>
          <w:tcPr>
            <w:tcW w:w="1404" w:type="dxa"/>
            <w:gridSpan w:val="2"/>
            <w:shd w:val="clear" w:color="auto" w:fill="auto"/>
            <w:vAlign w:val="bottom"/>
            <w:hideMark/>
          </w:tcPr>
          <w:p w14:paraId="08A1E1D1" w14:textId="77777777" w:rsidR="00715B43" w:rsidRPr="00952002" w:rsidRDefault="00715B43" w:rsidP="00FF0A10">
            <w:pPr>
              <w:spacing w:after="0" w:line="240" w:lineRule="auto"/>
              <w:jc w:val="center"/>
              <w:rPr>
                <w:rFonts w:ascii="Times New Roman" w:eastAsia="Times New Roman" w:hAnsi="Times New Roman" w:cs="Times New Roman"/>
                <w:b/>
              </w:rPr>
            </w:pPr>
            <w:r w:rsidRPr="00952002">
              <w:rPr>
                <w:rFonts w:ascii="Times New Roman" w:eastAsia="Times New Roman" w:hAnsi="Times New Roman" w:cs="Times New Roman"/>
                <w:b/>
              </w:rPr>
              <w:t>Number of Responses per Respondent</w:t>
            </w:r>
          </w:p>
        </w:tc>
        <w:tc>
          <w:tcPr>
            <w:tcW w:w="1125" w:type="dxa"/>
            <w:gridSpan w:val="2"/>
            <w:shd w:val="clear" w:color="auto" w:fill="auto"/>
            <w:vAlign w:val="bottom"/>
            <w:hideMark/>
          </w:tcPr>
          <w:p w14:paraId="4560CC97" w14:textId="77777777" w:rsidR="00715B43" w:rsidRPr="00952002" w:rsidRDefault="00715B43" w:rsidP="00952002">
            <w:pPr>
              <w:spacing w:after="0" w:line="240" w:lineRule="auto"/>
              <w:jc w:val="center"/>
              <w:rPr>
                <w:rFonts w:ascii="Times New Roman" w:eastAsia="Times New Roman" w:hAnsi="Times New Roman" w:cs="Times New Roman"/>
                <w:b/>
              </w:rPr>
            </w:pPr>
            <w:r w:rsidRPr="00952002">
              <w:rPr>
                <w:rFonts w:ascii="Times New Roman" w:eastAsia="Times New Roman" w:hAnsi="Times New Roman" w:cs="Times New Roman"/>
                <w:b/>
              </w:rPr>
              <w:t>Average Burden per Response (Hours)</w:t>
            </w:r>
          </w:p>
        </w:tc>
        <w:tc>
          <w:tcPr>
            <w:tcW w:w="1219" w:type="dxa"/>
            <w:gridSpan w:val="2"/>
            <w:shd w:val="clear" w:color="auto" w:fill="auto"/>
            <w:vAlign w:val="bottom"/>
            <w:hideMark/>
          </w:tcPr>
          <w:p w14:paraId="2D95A981" w14:textId="77777777" w:rsidR="00715B43" w:rsidRPr="00952002" w:rsidRDefault="00715B43" w:rsidP="00FF0A10">
            <w:pPr>
              <w:spacing w:after="0" w:line="240" w:lineRule="auto"/>
              <w:jc w:val="center"/>
              <w:rPr>
                <w:rFonts w:ascii="Times New Roman" w:eastAsia="Times New Roman" w:hAnsi="Times New Roman" w:cs="Times New Roman"/>
                <w:b/>
              </w:rPr>
            </w:pPr>
            <w:r w:rsidRPr="00952002">
              <w:rPr>
                <w:rFonts w:ascii="Times New Roman" w:eastAsia="Times New Roman" w:hAnsi="Times New Roman" w:cs="Times New Roman"/>
                <w:b/>
              </w:rPr>
              <w:t>Total Burden (Hours)</w:t>
            </w:r>
          </w:p>
        </w:tc>
        <w:tc>
          <w:tcPr>
            <w:tcW w:w="900" w:type="dxa"/>
            <w:shd w:val="clear" w:color="auto" w:fill="auto"/>
            <w:vAlign w:val="center"/>
            <w:hideMark/>
          </w:tcPr>
          <w:p w14:paraId="61947BE0" w14:textId="77777777" w:rsidR="00715B43" w:rsidRPr="00952002" w:rsidRDefault="00715B43" w:rsidP="00FF0A10">
            <w:pPr>
              <w:spacing w:after="0" w:line="240" w:lineRule="auto"/>
              <w:jc w:val="center"/>
              <w:rPr>
                <w:rFonts w:ascii="Times New Roman" w:eastAsia="Times New Roman" w:hAnsi="Times New Roman" w:cs="Times New Roman"/>
                <w:b/>
              </w:rPr>
            </w:pPr>
            <w:r w:rsidRPr="00952002">
              <w:rPr>
                <w:rFonts w:ascii="Times New Roman" w:eastAsia="Times New Roman" w:hAnsi="Times New Roman" w:cs="Times New Roman"/>
                <w:b/>
              </w:rPr>
              <w:t>Hourly Wage Rate</w:t>
            </w:r>
          </w:p>
        </w:tc>
        <w:tc>
          <w:tcPr>
            <w:tcW w:w="1350" w:type="dxa"/>
            <w:shd w:val="clear" w:color="auto" w:fill="auto"/>
            <w:vAlign w:val="center"/>
            <w:hideMark/>
          </w:tcPr>
          <w:p w14:paraId="18611B31" w14:textId="77777777" w:rsidR="00715B43" w:rsidRPr="00952002" w:rsidRDefault="00715B43" w:rsidP="00FF0A10">
            <w:pPr>
              <w:spacing w:after="0" w:line="240" w:lineRule="auto"/>
              <w:jc w:val="center"/>
              <w:rPr>
                <w:rFonts w:ascii="Times New Roman" w:eastAsia="Times New Roman" w:hAnsi="Times New Roman" w:cs="Times New Roman"/>
                <w:b/>
              </w:rPr>
            </w:pPr>
            <w:r w:rsidRPr="00952002">
              <w:rPr>
                <w:rFonts w:ascii="Times New Roman" w:eastAsia="Times New Roman" w:hAnsi="Times New Roman" w:cs="Times New Roman"/>
                <w:b/>
              </w:rPr>
              <w:t>Total Respondent Cost</w:t>
            </w:r>
          </w:p>
        </w:tc>
      </w:tr>
      <w:tr w:rsidR="00952002" w:rsidRPr="00952002" w14:paraId="6E3D9CD7" w14:textId="77777777" w:rsidTr="00952002">
        <w:trPr>
          <w:trHeight w:val="385"/>
        </w:trPr>
        <w:tc>
          <w:tcPr>
            <w:tcW w:w="1426" w:type="dxa"/>
            <w:shd w:val="clear" w:color="auto" w:fill="auto"/>
            <w:vAlign w:val="bottom"/>
            <w:hideMark/>
          </w:tcPr>
          <w:p w14:paraId="66091DA2" w14:textId="77777777" w:rsidR="00A012E9" w:rsidRPr="00952002" w:rsidRDefault="00A012E9" w:rsidP="00FF0A10">
            <w:pPr>
              <w:spacing w:after="0" w:line="240" w:lineRule="auto"/>
              <w:jc w:val="center"/>
              <w:rPr>
                <w:rFonts w:ascii="Times New Roman" w:eastAsia="Times New Roman" w:hAnsi="Times New Roman" w:cs="Times New Roman"/>
              </w:rPr>
            </w:pPr>
            <w:r w:rsidRPr="00952002">
              <w:rPr>
                <w:rFonts w:ascii="Times New Roman" w:eastAsia="Times New Roman" w:hAnsi="Times New Roman" w:cs="Times New Roman"/>
              </w:rPr>
              <w:t>Student Program Participant</w:t>
            </w:r>
          </w:p>
        </w:tc>
        <w:tc>
          <w:tcPr>
            <w:tcW w:w="1268" w:type="dxa"/>
            <w:gridSpan w:val="2"/>
            <w:shd w:val="clear" w:color="auto" w:fill="auto"/>
            <w:vAlign w:val="bottom"/>
            <w:hideMark/>
          </w:tcPr>
          <w:p w14:paraId="06C2C950" w14:textId="03CE2D4B" w:rsidR="00A012E9" w:rsidRPr="00952002" w:rsidRDefault="00A012E9" w:rsidP="00952002">
            <w:pPr>
              <w:spacing w:after="0" w:line="240" w:lineRule="auto"/>
              <w:jc w:val="center"/>
              <w:rPr>
                <w:rFonts w:ascii="Times New Roman" w:eastAsia="Times New Roman" w:hAnsi="Times New Roman" w:cs="Times New Roman"/>
              </w:rPr>
            </w:pPr>
            <w:r w:rsidRPr="00952002">
              <w:rPr>
                <w:rFonts w:ascii="Times New Roman" w:eastAsia="Times New Roman" w:hAnsi="Times New Roman" w:cs="Times New Roman"/>
              </w:rPr>
              <w:t>Student Outco</w:t>
            </w:r>
            <w:r w:rsidR="00952002">
              <w:rPr>
                <w:rFonts w:ascii="Times New Roman" w:eastAsia="Times New Roman" w:hAnsi="Times New Roman" w:cs="Times New Roman"/>
              </w:rPr>
              <w:t>me Survey Follow-up – Att.</w:t>
            </w:r>
            <w:r w:rsidRPr="00952002">
              <w:rPr>
                <w:rFonts w:ascii="Times New Roman" w:eastAsia="Times New Roman" w:hAnsi="Times New Roman" w:cs="Times New Roman"/>
              </w:rPr>
              <w:t xml:space="preserve"> </w:t>
            </w:r>
            <w:r w:rsidR="00724C3D" w:rsidRPr="00952002">
              <w:rPr>
                <w:rFonts w:ascii="Times New Roman" w:eastAsia="Times New Roman" w:hAnsi="Times New Roman" w:cs="Times New Roman"/>
              </w:rPr>
              <w:t xml:space="preserve">D. </w:t>
            </w:r>
          </w:p>
        </w:tc>
        <w:tc>
          <w:tcPr>
            <w:tcW w:w="1463" w:type="dxa"/>
            <w:gridSpan w:val="2"/>
            <w:shd w:val="clear" w:color="auto" w:fill="auto"/>
            <w:noWrap/>
            <w:vAlign w:val="center"/>
            <w:hideMark/>
          </w:tcPr>
          <w:p w14:paraId="79B1C665" w14:textId="6497A26A" w:rsidR="00A012E9" w:rsidRPr="00952002" w:rsidRDefault="00BE2A85" w:rsidP="00BA0A15">
            <w:pPr>
              <w:spacing w:after="0" w:line="240" w:lineRule="auto"/>
              <w:jc w:val="center"/>
              <w:rPr>
                <w:rFonts w:ascii="Times New Roman" w:eastAsia="Times New Roman" w:hAnsi="Times New Roman" w:cs="Times New Roman"/>
              </w:rPr>
            </w:pPr>
            <w:r w:rsidRPr="00952002">
              <w:rPr>
                <w:rFonts w:ascii="Times New Roman" w:eastAsia="Times New Roman" w:hAnsi="Times New Roman" w:cs="Times New Roman"/>
              </w:rPr>
              <w:t>4399</w:t>
            </w:r>
          </w:p>
        </w:tc>
        <w:tc>
          <w:tcPr>
            <w:tcW w:w="1419" w:type="dxa"/>
            <w:gridSpan w:val="3"/>
            <w:shd w:val="clear" w:color="auto" w:fill="auto"/>
            <w:noWrap/>
            <w:vAlign w:val="center"/>
            <w:hideMark/>
          </w:tcPr>
          <w:p w14:paraId="341503B5" w14:textId="77777777" w:rsidR="00A012E9" w:rsidRPr="00952002" w:rsidRDefault="00A012E9" w:rsidP="00BA0A15">
            <w:pPr>
              <w:spacing w:after="0" w:line="240" w:lineRule="auto"/>
              <w:jc w:val="center"/>
              <w:rPr>
                <w:rFonts w:ascii="Times New Roman" w:eastAsia="Times New Roman" w:hAnsi="Times New Roman" w:cs="Times New Roman"/>
              </w:rPr>
            </w:pPr>
            <w:r w:rsidRPr="00952002">
              <w:rPr>
                <w:rFonts w:ascii="Times New Roman" w:eastAsia="Times New Roman" w:hAnsi="Times New Roman" w:cs="Times New Roman"/>
              </w:rPr>
              <w:t>1</w:t>
            </w:r>
          </w:p>
        </w:tc>
        <w:tc>
          <w:tcPr>
            <w:tcW w:w="1172" w:type="dxa"/>
            <w:gridSpan w:val="3"/>
            <w:shd w:val="clear" w:color="auto" w:fill="auto"/>
            <w:noWrap/>
            <w:vAlign w:val="center"/>
            <w:hideMark/>
          </w:tcPr>
          <w:p w14:paraId="253C09B4" w14:textId="06D80674" w:rsidR="00A012E9" w:rsidRPr="00952002" w:rsidRDefault="00CD19E4" w:rsidP="00BE2A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w:t>
            </w:r>
          </w:p>
        </w:tc>
        <w:tc>
          <w:tcPr>
            <w:tcW w:w="1172" w:type="dxa"/>
            <w:shd w:val="clear" w:color="auto" w:fill="auto"/>
            <w:noWrap/>
            <w:vAlign w:val="center"/>
            <w:hideMark/>
          </w:tcPr>
          <w:p w14:paraId="0B4CF4CB" w14:textId="287C3B14" w:rsidR="00A012E9" w:rsidRPr="00952002" w:rsidRDefault="00BE2A85" w:rsidP="00BA0A15">
            <w:pPr>
              <w:spacing w:after="0" w:line="240" w:lineRule="auto"/>
              <w:jc w:val="center"/>
              <w:rPr>
                <w:rFonts w:ascii="Times New Roman" w:eastAsia="Times New Roman" w:hAnsi="Times New Roman" w:cs="Times New Roman"/>
              </w:rPr>
            </w:pPr>
            <w:r w:rsidRPr="00952002">
              <w:rPr>
                <w:rFonts w:ascii="Times New Roman" w:eastAsia="Times New Roman" w:hAnsi="Times New Roman" w:cs="Times New Roman"/>
              </w:rPr>
              <w:t>3299</w:t>
            </w:r>
          </w:p>
        </w:tc>
        <w:tc>
          <w:tcPr>
            <w:tcW w:w="900" w:type="dxa"/>
            <w:shd w:val="clear" w:color="auto" w:fill="auto"/>
            <w:vAlign w:val="center"/>
            <w:hideMark/>
          </w:tcPr>
          <w:p w14:paraId="2257BE47" w14:textId="77777777" w:rsidR="00A012E9" w:rsidRPr="00952002" w:rsidRDefault="00A012E9" w:rsidP="00BA0A15">
            <w:pPr>
              <w:spacing w:after="0" w:line="240" w:lineRule="auto"/>
              <w:jc w:val="center"/>
              <w:rPr>
                <w:rFonts w:ascii="Times New Roman" w:eastAsia="Times New Roman" w:hAnsi="Times New Roman" w:cs="Times New Roman"/>
              </w:rPr>
            </w:pPr>
            <w:r w:rsidRPr="00952002">
              <w:rPr>
                <w:rFonts w:ascii="Times New Roman" w:eastAsia="Times New Roman" w:hAnsi="Times New Roman" w:cs="Times New Roman"/>
              </w:rPr>
              <w:t>$7.25</w:t>
            </w:r>
          </w:p>
        </w:tc>
        <w:tc>
          <w:tcPr>
            <w:tcW w:w="1350" w:type="dxa"/>
            <w:shd w:val="clear" w:color="auto" w:fill="auto"/>
            <w:noWrap/>
            <w:vAlign w:val="center"/>
          </w:tcPr>
          <w:p w14:paraId="1B2B7BEB" w14:textId="77777777" w:rsidR="00A012E9" w:rsidRPr="00952002" w:rsidRDefault="00B76B1F" w:rsidP="00952002">
            <w:pPr>
              <w:spacing w:after="0" w:line="240" w:lineRule="auto"/>
              <w:jc w:val="center"/>
              <w:rPr>
                <w:rFonts w:ascii="Times New Roman" w:eastAsia="Times New Roman" w:hAnsi="Times New Roman" w:cs="Times New Roman"/>
              </w:rPr>
            </w:pPr>
            <w:r w:rsidRPr="00952002">
              <w:rPr>
                <w:rFonts w:ascii="Times New Roman" w:eastAsia="Times New Roman" w:hAnsi="Times New Roman" w:cs="Times New Roman"/>
              </w:rPr>
              <w:t>$</w:t>
            </w:r>
            <w:r w:rsidR="00BE2A85" w:rsidRPr="00952002">
              <w:rPr>
                <w:rFonts w:ascii="Times New Roman" w:eastAsia="Times New Roman" w:hAnsi="Times New Roman" w:cs="Times New Roman"/>
              </w:rPr>
              <w:t>23,917.75</w:t>
            </w:r>
          </w:p>
        </w:tc>
      </w:tr>
      <w:tr w:rsidR="00952002" w:rsidRPr="001B74A6" w14:paraId="2BBBA9DB" w14:textId="77777777" w:rsidTr="00952002">
        <w:trPr>
          <w:trHeight w:val="566"/>
        </w:trPr>
        <w:tc>
          <w:tcPr>
            <w:tcW w:w="1440" w:type="dxa"/>
            <w:gridSpan w:val="2"/>
            <w:tcBorders>
              <w:right w:val="nil"/>
            </w:tcBorders>
            <w:shd w:val="clear" w:color="auto" w:fill="auto"/>
            <w:vAlign w:val="bottom"/>
          </w:tcPr>
          <w:p w14:paraId="53BC1E8D" w14:textId="77777777" w:rsidR="00952002" w:rsidRPr="001B74A6" w:rsidRDefault="00952002" w:rsidP="00CD1DD6">
            <w:pPr>
              <w:spacing w:after="0" w:line="240" w:lineRule="auto"/>
              <w:jc w:val="center"/>
              <w:rPr>
                <w:rFonts w:ascii="Times New Roman" w:eastAsia="Times New Roman" w:hAnsi="Times New Roman" w:cs="Times New Roman"/>
              </w:rPr>
            </w:pPr>
            <w:r w:rsidRPr="001B74A6">
              <w:rPr>
                <w:rFonts w:ascii="Times New Roman" w:hAnsi="Times New Roman" w:cs="Times New Roman"/>
              </w:rPr>
              <w:t>Total</w:t>
            </w:r>
          </w:p>
        </w:tc>
        <w:tc>
          <w:tcPr>
            <w:tcW w:w="1260" w:type="dxa"/>
            <w:gridSpan w:val="2"/>
            <w:tcBorders>
              <w:top w:val="nil"/>
              <w:left w:val="nil"/>
              <w:bottom w:val="single" w:sz="4" w:space="0" w:color="auto"/>
              <w:right w:val="nil"/>
            </w:tcBorders>
            <w:shd w:val="clear" w:color="auto" w:fill="auto"/>
            <w:vAlign w:val="bottom"/>
          </w:tcPr>
          <w:p w14:paraId="72ECDDFD" w14:textId="77777777" w:rsidR="00952002" w:rsidRPr="001B74A6" w:rsidRDefault="00952002" w:rsidP="00CD1DD6">
            <w:pPr>
              <w:spacing w:after="0" w:line="240" w:lineRule="auto"/>
              <w:rPr>
                <w:rFonts w:ascii="Times New Roman" w:eastAsia="Times New Roman" w:hAnsi="Times New Roman" w:cs="Times New Roman"/>
              </w:rPr>
            </w:pPr>
          </w:p>
        </w:tc>
        <w:tc>
          <w:tcPr>
            <w:tcW w:w="1530" w:type="dxa"/>
            <w:gridSpan w:val="3"/>
            <w:tcBorders>
              <w:top w:val="nil"/>
              <w:left w:val="nil"/>
              <w:bottom w:val="single" w:sz="4" w:space="0" w:color="auto"/>
              <w:right w:val="nil"/>
            </w:tcBorders>
            <w:shd w:val="clear" w:color="auto" w:fill="auto"/>
            <w:noWrap/>
            <w:vAlign w:val="bottom"/>
          </w:tcPr>
          <w:p w14:paraId="040D19CA" w14:textId="77777777" w:rsidR="00952002" w:rsidRPr="001B74A6" w:rsidRDefault="00952002" w:rsidP="00CD1DD6">
            <w:pPr>
              <w:spacing w:after="0" w:line="240" w:lineRule="auto"/>
              <w:jc w:val="right"/>
              <w:rPr>
                <w:rFonts w:ascii="Times New Roman" w:eastAsia="Times New Roman" w:hAnsi="Times New Roman" w:cs="Times New Roman"/>
              </w:rPr>
            </w:pPr>
          </w:p>
        </w:tc>
        <w:tc>
          <w:tcPr>
            <w:tcW w:w="2430" w:type="dxa"/>
            <w:gridSpan w:val="2"/>
            <w:tcBorders>
              <w:top w:val="nil"/>
              <w:left w:val="nil"/>
              <w:bottom w:val="single" w:sz="4" w:space="0" w:color="auto"/>
              <w:right w:val="nil"/>
            </w:tcBorders>
            <w:shd w:val="clear" w:color="auto" w:fill="auto"/>
            <w:noWrap/>
            <w:vAlign w:val="bottom"/>
          </w:tcPr>
          <w:p w14:paraId="05A31CFF" w14:textId="77777777" w:rsidR="00952002" w:rsidRPr="001B74A6" w:rsidRDefault="00952002" w:rsidP="00CD1DD6">
            <w:pPr>
              <w:spacing w:after="0" w:line="240" w:lineRule="auto"/>
              <w:jc w:val="right"/>
              <w:rPr>
                <w:rFonts w:ascii="Times New Roman" w:eastAsia="Times New Roman" w:hAnsi="Times New Roman" w:cs="Times New Roman"/>
              </w:rPr>
            </w:pPr>
          </w:p>
        </w:tc>
        <w:tc>
          <w:tcPr>
            <w:tcW w:w="1260" w:type="dxa"/>
            <w:gridSpan w:val="3"/>
            <w:tcBorders>
              <w:top w:val="nil"/>
              <w:left w:val="nil"/>
              <w:bottom w:val="single" w:sz="4" w:space="0" w:color="auto"/>
              <w:right w:val="nil"/>
            </w:tcBorders>
            <w:shd w:val="clear" w:color="auto" w:fill="auto"/>
            <w:noWrap/>
          </w:tcPr>
          <w:p w14:paraId="5D9C2878" w14:textId="77777777" w:rsidR="00952002" w:rsidRPr="001B74A6" w:rsidRDefault="00952002" w:rsidP="00CD1DD6">
            <w:pPr>
              <w:spacing w:after="0" w:line="240" w:lineRule="auto"/>
              <w:jc w:val="right"/>
              <w:rPr>
                <w:rFonts w:ascii="Times New Roman" w:eastAsia="Times New Roman" w:hAnsi="Times New Roman" w:cs="Times New Roman"/>
              </w:rPr>
            </w:pPr>
          </w:p>
        </w:tc>
        <w:tc>
          <w:tcPr>
            <w:tcW w:w="2250" w:type="dxa"/>
            <w:gridSpan w:val="2"/>
            <w:tcBorders>
              <w:left w:val="nil"/>
            </w:tcBorders>
            <w:shd w:val="clear" w:color="auto" w:fill="auto"/>
            <w:noWrap/>
          </w:tcPr>
          <w:p w14:paraId="4AC96886" w14:textId="381F3E98" w:rsidR="00952002" w:rsidRPr="001B74A6" w:rsidRDefault="00846D4D" w:rsidP="00952002">
            <w:pPr>
              <w:spacing w:after="0" w:line="240" w:lineRule="auto"/>
              <w:jc w:val="right"/>
              <w:rPr>
                <w:rFonts w:ascii="Times New Roman" w:eastAsia="Times New Roman" w:hAnsi="Times New Roman" w:cs="Times New Roman"/>
              </w:rPr>
            </w:pPr>
            <w:r w:rsidRPr="00952002">
              <w:rPr>
                <w:rFonts w:ascii="Times New Roman" w:eastAsia="Times New Roman" w:hAnsi="Times New Roman" w:cs="Times New Roman"/>
              </w:rPr>
              <w:t>$23,917.75</w:t>
            </w:r>
          </w:p>
        </w:tc>
      </w:tr>
    </w:tbl>
    <w:p w14:paraId="2C5C8D71" w14:textId="77777777" w:rsidR="00952002" w:rsidRDefault="00952002" w:rsidP="006C098D">
      <w:pPr>
        <w:autoSpaceDE w:val="0"/>
        <w:autoSpaceDN w:val="0"/>
        <w:adjustRightInd w:val="0"/>
        <w:spacing w:after="0" w:line="240" w:lineRule="auto"/>
        <w:rPr>
          <w:rFonts w:ascii="Times New Roman" w:hAnsi="Times New Roman" w:cs="Times New Roman"/>
          <w:b/>
        </w:rPr>
      </w:pPr>
    </w:p>
    <w:p w14:paraId="1FAF1908" w14:textId="77777777" w:rsidR="006C098D" w:rsidRPr="007F7714" w:rsidRDefault="00BA0A15"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w:t>
      </w:r>
      <w:r w:rsidR="006C098D" w:rsidRPr="007F7714">
        <w:rPr>
          <w:rFonts w:ascii="Times New Roman" w:hAnsi="Times New Roman" w:cs="Times New Roman"/>
          <w:b/>
        </w:rPr>
        <w:t>13. Estimates of Other Total Annual Cost Burden to Respondents and Record Keepers</w:t>
      </w:r>
    </w:p>
    <w:p w14:paraId="3B18A027" w14:textId="77777777" w:rsidR="00952002" w:rsidRDefault="00952002" w:rsidP="00952002">
      <w:pPr>
        <w:spacing w:after="0"/>
        <w:rPr>
          <w:rFonts w:ascii="Times New Roman" w:hAnsi="Times New Roman" w:cs="Times New Roman"/>
        </w:rPr>
      </w:pPr>
    </w:p>
    <w:p w14:paraId="1B600CB1" w14:textId="77777777" w:rsidR="006C098D" w:rsidRPr="000106D0" w:rsidRDefault="006C098D" w:rsidP="006C098D">
      <w:pPr>
        <w:rPr>
          <w:rFonts w:ascii="Times New Roman" w:hAnsi="Times New Roman" w:cs="Times New Roman"/>
        </w:rPr>
      </w:pPr>
      <w:r w:rsidRPr="004F67FD">
        <w:rPr>
          <w:rFonts w:ascii="Times New Roman" w:hAnsi="Times New Roman" w:cs="Times New Roman"/>
        </w:rPr>
        <w:t xml:space="preserve">Respondents will incur no capital or </w:t>
      </w:r>
      <w:r w:rsidRPr="000106D0">
        <w:rPr>
          <w:rFonts w:ascii="Times New Roman" w:hAnsi="Times New Roman" w:cs="Times New Roman"/>
        </w:rPr>
        <w:t>maintenance costs.</w:t>
      </w:r>
    </w:p>
    <w:p w14:paraId="4ED3B266" w14:textId="77777777" w:rsidR="006C098D" w:rsidRDefault="00BA0A15" w:rsidP="006C098D">
      <w:pPr>
        <w:autoSpaceDE w:val="0"/>
        <w:autoSpaceDN w:val="0"/>
        <w:adjustRightInd w:val="0"/>
        <w:spacing w:after="0" w:line="240" w:lineRule="auto"/>
        <w:rPr>
          <w:rFonts w:ascii="Times New Roman" w:hAnsi="Times New Roman" w:cs="Times New Roman"/>
          <w:b/>
        </w:rPr>
      </w:pPr>
      <w:r w:rsidRPr="000106D0">
        <w:rPr>
          <w:rFonts w:ascii="Times New Roman" w:hAnsi="Times New Roman" w:cs="Times New Roman"/>
          <w:b/>
        </w:rPr>
        <w:t>A.</w:t>
      </w:r>
      <w:r w:rsidR="006C098D" w:rsidRPr="000106D0">
        <w:rPr>
          <w:rFonts w:ascii="Times New Roman" w:hAnsi="Times New Roman" w:cs="Times New Roman"/>
          <w:b/>
        </w:rPr>
        <w:t>14. Annualized Cost to the Federal Government</w:t>
      </w:r>
    </w:p>
    <w:p w14:paraId="484241BB" w14:textId="77777777" w:rsidR="000A5F11" w:rsidRPr="000106D0" w:rsidRDefault="000A5F11" w:rsidP="006C098D">
      <w:pPr>
        <w:autoSpaceDE w:val="0"/>
        <w:autoSpaceDN w:val="0"/>
        <w:adjustRightInd w:val="0"/>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4675"/>
        <w:gridCol w:w="4675"/>
      </w:tblGrid>
      <w:tr w:rsidR="00355D49" w14:paraId="1B48897D" w14:textId="77777777" w:rsidTr="00355D49">
        <w:tc>
          <w:tcPr>
            <w:tcW w:w="4675" w:type="dxa"/>
          </w:tcPr>
          <w:p w14:paraId="42DE0748" w14:textId="2BE6FF4A" w:rsidR="00355D49" w:rsidRDefault="00355D49" w:rsidP="006C098D">
            <w:pPr>
              <w:autoSpaceDE w:val="0"/>
              <w:autoSpaceDN w:val="0"/>
              <w:adjustRightInd w:val="0"/>
              <w:rPr>
                <w:b/>
              </w:rPr>
            </w:pPr>
            <w:r>
              <w:rPr>
                <w:b/>
              </w:rPr>
              <w:t xml:space="preserve">LABOR </w:t>
            </w:r>
          </w:p>
        </w:tc>
        <w:tc>
          <w:tcPr>
            <w:tcW w:w="4675" w:type="dxa"/>
          </w:tcPr>
          <w:p w14:paraId="5ACA3B0F" w14:textId="57DC791F" w:rsidR="00355D49" w:rsidRDefault="00355D49" w:rsidP="006C098D">
            <w:pPr>
              <w:autoSpaceDE w:val="0"/>
              <w:autoSpaceDN w:val="0"/>
              <w:adjustRightInd w:val="0"/>
              <w:rPr>
                <w:b/>
              </w:rPr>
            </w:pPr>
            <w:r>
              <w:rPr>
                <w:b/>
              </w:rPr>
              <w:t>COST</w:t>
            </w:r>
          </w:p>
        </w:tc>
      </w:tr>
      <w:tr w:rsidR="00355D49" w14:paraId="0AD4B84B" w14:textId="77777777" w:rsidTr="00355D49">
        <w:tc>
          <w:tcPr>
            <w:tcW w:w="4675" w:type="dxa"/>
          </w:tcPr>
          <w:p w14:paraId="156DAFBE" w14:textId="77777777" w:rsidR="00355D49" w:rsidRPr="000106D0" w:rsidRDefault="00355D49" w:rsidP="00355D49">
            <w:pPr>
              <w:autoSpaceDE w:val="0"/>
              <w:autoSpaceDN w:val="0"/>
              <w:adjustRightInd w:val="0"/>
              <w:rPr>
                <w:b/>
              </w:rPr>
            </w:pPr>
            <w:r w:rsidRPr="000106D0">
              <w:rPr>
                <w:b/>
              </w:rPr>
              <w:t>Contract costs for evaluation</w:t>
            </w:r>
          </w:p>
          <w:p w14:paraId="48CF4E7C" w14:textId="2BFBCB7D" w:rsidR="00355D49" w:rsidRDefault="00355D49" w:rsidP="00355D49">
            <w:pPr>
              <w:autoSpaceDE w:val="0"/>
              <w:autoSpaceDN w:val="0"/>
              <w:adjustRightInd w:val="0"/>
              <w:rPr>
                <w:b/>
              </w:rPr>
            </w:pPr>
            <w:r w:rsidRPr="000106D0">
              <w:t>Outcome Evaluation:</w:t>
            </w:r>
          </w:p>
        </w:tc>
        <w:tc>
          <w:tcPr>
            <w:tcW w:w="4675" w:type="dxa"/>
          </w:tcPr>
          <w:p w14:paraId="5402CF3A" w14:textId="2771A11C" w:rsidR="00355D49" w:rsidRDefault="00355D49" w:rsidP="006C098D">
            <w:pPr>
              <w:autoSpaceDE w:val="0"/>
              <w:autoSpaceDN w:val="0"/>
              <w:adjustRightInd w:val="0"/>
              <w:rPr>
                <w:b/>
              </w:rPr>
            </w:pPr>
            <w:r w:rsidRPr="000106D0">
              <w:t>$650,000 per year</w:t>
            </w:r>
          </w:p>
        </w:tc>
      </w:tr>
      <w:tr w:rsidR="00355D49" w14:paraId="3C6279F2" w14:textId="77777777" w:rsidTr="00355D49">
        <w:tc>
          <w:tcPr>
            <w:tcW w:w="4675" w:type="dxa"/>
          </w:tcPr>
          <w:p w14:paraId="60B64244" w14:textId="77777777" w:rsidR="00355D49" w:rsidRPr="000106D0" w:rsidRDefault="00355D49" w:rsidP="00355D49">
            <w:pPr>
              <w:autoSpaceDE w:val="0"/>
              <w:autoSpaceDN w:val="0"/>
              <w:adjustRightInd w:val="0"/>
              <w:rPr>
                <w:b/>
              </w:rPr>
            </w:pPr>
            <w:r w:rsidRPr="000106D0">
              <w:rPr>
                <w:b/>
              </w:rPr>
              <w:t>Federal employee costs (OMB point of contact, PIs, and co-PIs):</w:t>
            </w:r>
          </w:p>
          <w:p w14:paraId="1DAECF05" w14:textId="40F324D0" w:rsidR="00355D49" w:rsidRDefault="00355D49" w:rsidP="008525AC">
            <w:pPr>
              <w:autoSpaceDE w:val="0"/>
              <w:autoSpaceDN w:val="0"/>
              <w:adjustRightInd w:val="0"/>
              <w:rPr>
                <w:b/>
              </w:rPr>
            </w:pPr>
            <w:r w:rsidRPr="000106D0">
              <w:t>Salaries:</w:t>
            </w:r>
            <w:r w:rsidRPr="000106D0">
              <w:rPr>
                <w:b/>
              </w:rPr>
              <w:t xml:space="preserve"> </w:t>
            </w:r>
            <w:r w:rsidR="008525AC">
              <w:t>3</w:t>
            </w:r>
            <w:r w:rsidR="008525AC" w:rsidRPr="000106D0">
              <w:t xml:space="preserve"> </w:t>
            </w:r>
            <w:r w:rsidRPr="000106D0">
              <w:t>federal employees @ $88,000/year</w:t>
            </w:r>
          </w:p>
        </w:tc>
        <w:tc>
          <w:tcPr>
            <w:tcW w:w="4675" w:type="dxa"/>
          </w:tcPr>
          <w:p w14:paraId="5648A804" w14:textId="4AD82265" w:rsidR="00355D49" w:rsidRDefault="00355D49" w:rsidP="008525AC">
            <w:pPr>
              <w:autoSpaceDE w:val="0"/>
              <w:autoSpaceDN w:val="0"/>
              <w:adjustRightInd w:val="0"/>
              <w:rPr>
                <w:b/>
              </w:rPr>
            </w:pPr>
            <w:r w:rsidRPr="000106D0">
              <w:t>$</w:t>
            </w:r>
            <w:r w:rsidR="008525AC">
              <w:t>264</w:t>
            </w:r>
            <w:r w:rsidRPr="000106D0">
              <w:t>,000 per year</w:t>
            </w:r>
          </w:p>
        </w:tc>
      </w:tr>
      <w:tr w:rsidR="00355D49" w14:paraId="5BDF986A" w14:textId="77777777" w:rsidTr="00355D49">
        <w:tc>
          <w:tcPr>
            <w:tcW w:w="4675" w:type="dxa"/>
          </w:tcPr>
          <w:p w14:paraId="28ED003F" w14:textId="50E5FC37" w:rsidR="00355D49" w:rsidRDefault="00355D49" w:rsidP="006C098D">
            <w:pPr>
              <w:autoSpaceDE w:val="0"/>
              <w:autoSpaceDN w:val="0"/>
              <w:adjustRightInd w:val="0"/>
              <w:rPr>
                <w:b/>
              </w:rPr>
            </w:pPr>
            <w:r w:rsidRPr="000106D0">
              <w:rPr>
                <w:b/>
              </w:rPr>
              <w:t>Total per year</w:t>
            </w:r>
          </w:p>
        </w:tc>
        <w:tc>
          <w:tcPr>
            <w:tcW w:w="4675" w:type="dxa"/>
          </w:tcPr>
          <w:p w14:paraId="272F47BB" w14:textId="60AC4692" w:rsidR="00355D49" w:rsidRPr="00355D49" w:rsidRDefault="00355D49" w:rsidP="008525AC">
            <w:pPr>
              <w:autoSpaceDE w:val="0"/>
              <w:autoSpaceDN w:val="0"/>
              <w:adjustRightInd w:val="0"/>
            </w:pPr>
            <w:r w:rsidRPr="00355D49">
              <w:t>$</w:t>
            </w:r>
            <w:r w:rsidR="008525AC">
              <w:t>914,000</w:t>
            </w:r>
            <w:r w:rsidRPr="00355D49">
              <w:t xml:space="preserve"> per year</w:t>
            </w:r>
          </w:p>
        </w:tc>
      </w:tr>
    </w:tbl>
    <w:p w14:paraId="2A6FD390" w14:textId="77777777" w:rsidR="006C098D" w:rsidRPr="000106D0" w:rsidRDefault="006C098D" w:rsidP="006C098D">
      <w:pPr>
        <w:autoSpaceDE w:val="0"/>
        <w:autoSpaceDN w:val="0"/>
        <w:adjustRightInd w:val="0"/>
        <w:spacing w:after="0" w:line="240" w:lineRule="auto"/>
        <w:rPr>
          <w:rFonts w:ascii="Times New Roman" w:hAnsi="Times New Roman" w:cs="Times New Roman"/>
          <w:b/>
        </w:rPr>
      </w:pPr>
    </w:p>
    <w:p w14:paraId="365E6ECE" w14:textId="77777777" w:rsidR="006C098D" w:rsidRPr="00210E4C" w:rsidRDefault="00BA0A15"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w:t>
      </w:r>
      <w:r w:rsidR="006C098D" w:rsidRPr="00436890">
        <w:rPr>
          <w:rFonts w:ascii="Times New Roman" w:hAnsi="Times New Roman" w:cs="Times New Roman"/>
          <w:b/>
        </w:rPr>
        <w:t>15. Explanation for Program Changes or Adjustments</w:t>
      </w:r>
    </w:p>
    <w:p w14:paraId="5FCDA54F" w14:textId="77777777" w:rsidR="00BA0A15" w:rsidRDefault="00BA0A15" w:rsidP="002328C1">
      <w:pPr>
        <w:spacing w:after="0" w:line="240" w:lineRule="auto"/>
        <w:rPr>
          <w:rFonts w:ascii="Times New Roman" w:hAnsi="Times New Roman" w:cs="Times New Roman"/>
        </w:rPr>
      </w:pPr>
    </w:p>
    <w:p w14:paraId="6F4BA4AF" w14:textId="4C1C2CA0" w:rsidR="0061276C" w:rsidRDefault="0061276C" w:rsidP="002328C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This revision request extends a currently OMB-approved data collection (OMB# 0920-0941) to continue data collection.  As noted above, </w:t>
      </w:r>
      <w:r w:rsidRPr="0061276C">
        <w:rPr>
          <w:rFonts w:ascii="Times New Roman" w:hAnsi="Times New Roman" w:cs="Times New Roman"/>
        </w:rPr>
        <w:t xml:space="preserve">the current request seeks to extend this existing approval through May 31, 2019 to continue collecting high school follow-up data on the remaining cohorts of middle school intervention participants.  </w:t>
      </w:r>
      <w:r>
        <w:rPr>
          <w:rFonts w:ascii="Times New Roman" w:hAnsi="Times New Roman" w:cs="Times New Roman"/>
        </w:rPr>
        <w:t>Because fewer students will be followed and only data in high school cohorts will be collected under this revision request, there is a reduction in the estimated number of participants from 10,</w:t>
      </w:r>
      <w:r w:rsidR="000B38A9">
        <w:rPr>
          <w:rFonts w:ascii="Times New Roman" w:hAnsi="Times New Roman" w:cs="Times New Roman"/>
        </w:rPr>
        <w:t>692</w:t>
      </w:r>
      <w:r>
        <w:rPr>
          <w:rFonts w:ascii="Times New Roman" w:hAnsi="Times New Roman" w:cs="Times New Roman"/>
        </w:rPr>
        <w:t xml:space="preserve"> to 4399 per year and, as such, a reduction in the</w:t>
      </w:r>
      <w:r w:rsidR="000106D0">
        <w:rPr>
          <w:rFonts w:ascii="Times New Roman" w:hAnsi="Times New Roman" w:cs="Times New Roman"/>
        </w:rPr>
        <w:t xml:space="preserve"> total burden hours and total costs.</w:t>
      </w:r>
      <w:r>
        <w:rPr>
          <w:rFonts w:ascii="Times New Roman" w:hAnsi="Times New Roman" w:cs="Times New Roman"/>
        </w:rPr>
        <w:t xml:space="preserve"> </w:t>
      </w:r>
      <w:r w:rsidR="000106D0">
        <w:rPr>
          <w:rFonts w:ascii="Times New Roman" w:hAnsi="Times New Roman" w:cs="Times New Roman"/>
        </w:rPr>
        <w:t>No changes have been made to survey instruments or any procedures included in the prior ICR.</w:t>
      </w:r>
    </w:p>
    <w:p w14:paraId="43F9B760" w14:textId="77777777" w:rsidR="0061276C" w:rsidRDefault="0061276C" w:rsidP="002328C1">
      <w:pPr>
        <w:autoSpaceDE w:val="0"/>
        <w:autoSpaceDN w:val="0"/>
        <w:adjustRightInd w:val="0"/>
        <w:spacing w:after="0" w:line="240" w:lineRule="auto"/>
        <w:rPr>
          <w:rFonts w:ascii="Times New Roman" w:hAnsi="Times New Roman" w:cs="Times New Roman"/>
          <w:b/>
        </w:rPr>
      </w:pPr>
    </w:p>
    <w:p w14:paraId="5DFCA3A2" w14:textId="77777777" w:rsidR="006C098D" w:rsidRPr="002328C1" w:rsidRDefault="00BA0A15" w:rsidP="002328C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w:t>
      </w:r>
      <w:r w:rsidR="006C098D" w:rsidRPr="002328C1">
        <w:rPr>
          <w:rFonts w:ascii="Times New Roman" w:hAnsi="Times New Roman" w:cs="Times New Roman"/>
          <w:b/>
        </w:rPr>
        <w:t>16. Plans for Tabulation and Publication and Project Time Schedule</w:t>
      </w:r>
    </w:p>
    <w:p w14:paraId="401E5BD0" w14:textId="77777777" w:rsidR="006C098D" w:rsidRPr="00436890" w:rsidRDefault="006C098D" w:rsidP="006C098D">
      <w:pPr>
        <w:spacing w:after="0" w:line="240" w:lineRule="auto"/>
        <w:rPr>
          <w:rFonts w:ascii="Times New Roman" w:hAnsi="Times New Roman" w:cs="Times New Roman"/>
          <w:b/>
        </w:rPr>
      </w:pPr>
    </w:p>
    <w:p w14:paraId="67B50BDC" w14:textId="0D3AC994" w:rsidR="006C098D" w:rsidRPr="00A3368F" w:rsidRDefault="006C098D" w:rsidP="006C098D">
      <w:pPr>
        <w:spacing w:after="0" w:line="240" w:lineRule="auto"/>
        <w:rPr>
          <w:rFonts w:ascii="Times New Roman" w:hAnsi="Times New Roman" w:cs="Times New Roman"/>
        </w:rPr>
      </w:pPr>
      <w:r w:rsidRPr="00A3368F">
        <w:rPr>
          <w:rFonts w:ascii="Times New Roman" w:hAnsi="Times New Roman" w:cs="Times New Roman"/>
        </w:rPr>
        <w:t xml:space="preserve">Tabulation and Analysis Plan </w:t>
      </w:r>
      <w:r w:rsidR="00A3368F">
        <w:rPr>
          <w:rFonts w:ascii="Times New Roman" w:hAnsi="Times New Roman" w:cs="Times New Roman"/>
        </w:rPr>
        <w:t>Outcome Evaluation</w:t>
      </w:r>
    </w:p>
    <w:p w14:paraId="138F7536" w14:textId="77777777" w:rsidR="006C098D" w:rsidRPr="00BF05F8" w:rsidRDefault="006C098D" w:rsidP="006C098D">
      <w:pPr>
        <w:spacing w:after="0" w:line="240" w:lineRule="auto"/>
        <w:rPr>
          <w:rFonts w:ascii="Times New Roman" w:hAnsi="Times New Roman" w:cs="Times New Roman"/>
        </w:rPr>
      </w:pPr>
      <w:r w:rsidRPr="00BF05F8">
        <w:rPr>
          <w:rFonts w:ascii="Times New Roman" w:hAnsi="Times New Roman" w:cs="Times New Roman"/>
        </w:rPr>
        <w:lastRenderedPageBreak/>
        <w:t xml:space="preserve">The data collection involves the evaluation of </w:t>
      </w:r>
      <w:r w:rsidR="0018370C" w:rsidRPr="00032688">
        <w:rPr>
          <w:rFonts w:ascii="Times New Roman" w:hAnsi="Times New Roman" w:cs="Times New Roman"/>
          <w:i/>
        </w:rPr>
        <w:t>Dating Matters®</w:t>
      </w:r>
      <w:r w:rsidR="0018370C">
        <w:rPr>
          <w:rFonts w:ascii="Times New Roman" w:hAnsi="Times New Roman" w:cs="Times New Roman"/>
        </w:rPr>
        <w:t>; specifically, collection of survey data from high-school aged youth until 201</w:t>
      </w:r>
      <w:r w:rsidR="000678E6">
        <w:rPr>
          <w:rFonts w:ascii="Times New Roman" w:hAnsi="Times New Roman" w:cs="Times New Roman"/>
        </w:rPr>
        <w:t>9</w:t>
      </w:r>
      <w:r w:rsidR="0018370C">
        <w:rPr>
          <w:rFonts w:ascii="Times New Roman" w:hAnsi="Times New Roman" w:cs="Times New Roman"/>
        </w:rPr>
        <w:t xml:space="preserve"> As previously noted, t</w:t>
      </w:r>
      <w:r w:rsidRPr="00BF05F8">
        <w:rPr>
          <w:rFonts w:ascii="Times New Roman" w:hAnsi="Times New Roman" w:cs="Times New Roman"/>
        </w:rPr>
        <w:t xml:space="preserve">he evaluation </w:t>
      </w:r>
      <w:r w:rsidR="0018370C">
        <w:rPr>
          <w:rFonts w:ascii="Times New Roman" w:hAnsi="Times New Roman" w:cs="Times New Roman"/>
        </w:rPr>
        <w:t xml:space="preserve">utilizes </w:t>
      </w:r>
      <w:r w:rsidRPr="00BF05F8">
        <w:rPr>
          <w:rFonts w:ascii="Times New Roman" w:hAnsi="Times New Roman" w:cs="Times New Roman"/>
        </w:rPr>
        <w:t xml:space="preserve">a cluster randomized design in which </w:t>
      </w:r>
      <w:r w:rsidR="009F516A">
        <w:rPr>
          <w:rFonts w:ascii="Times New Roman" w:hAnsi="Times New Roman" w:cs="Times New Roman"/>
        </w:rPr>
        <w:t>10</w:t>
      </w:r>
      <w:r w:rsidRPr="00BF05F8">
        <w:rPr>
          <w:rFonts w:ascii="Times New Roman" w:hAnsi="Times New Roman" w:cs="Times New Roman"/>
        </w:rPr>
        <w:t>-12</w:t>
      </w:r>
      <w:r w:rsidR="00EC60CB">
        <w:rPr>
          <w:rFonts w:ascii="Times New Roman" w:hAnsi="Times New Roman" w:cs="Times New Roman"/>
        </w:rPr>
        <w:t xml:space="preserve"> middle schools in each </w:t>
      </w:r>
      <w:r w:rsidR="00780E7A">
        <w:rPr>
          <w:rFonts w:ascii="Times New Roman" w:hAnsi="Times New Roman" w:cs="Times New Roman"/>
        </w:rPr>
        <w:t>of four cities</w:t>
      </w:r>
      <w:r w:rsidR="00EC60CB">
        <w:rPr>
          <w:rFonts w:ascii="Times New Roman" w:hAnsi="Times New Roman" w:cs="Times New Roman"/>
        </w:rPr>
        <w:t xml:space="preserve"> </w:t>
      </w:r>
      <w:r w:rsidRPr="00BF05F8">
        <w:rPr>
          <w:rFonts w:ascii="Times New Roman" w:hAnsi="Times New Roman" w:cs="Times New Roman"/>
        </w:rPr>
        <w:t xml:space="preserve">are randomized to either </w:t>
      </w:r>
      <w:r w:rsidR="0018370C" w:rsidRPr="00032688">
        <w:rPr>
          <w:rFonts w:ascii="Times New Roman" w:hAnsi="Times New Roman" w:cs="Times New Roman"/>
          <w:i/>
        </w:rPr>
        <w:t>Dating Matters®</w:t>
      </w:r>
      <w:r w:rsidR="0018370C">
        <w:rPr>
          <w:rFonts w:ascii="Times New Roman" w:hAnsi="Times New Roman" w:cs="Times New Roman"/>
          <w:i/>
        </w:rPr>
        <w:t xml:space="preserve"> </w:t>
      </w:r>
      <w:r w:rsidRPr="00BF05F8">
        <w:rPr>
          <w:rFonts w:ascii="Times New Roman" w:hAnsi="Times New Roman" w:cs="Times New Roman"/>
        </w:rPr>
        <w:t>or standard practice</w:t>
      </w:r>
      <w:r w:rsidR="0018370C">
        <w:rPr>
          <w:rFonts w:ascii="Times New Roman" w:hAnsi="Times New Roman" w:cs="Times New Roman"/>
        </w:rPr>
        <w:t xml:space="preserve">. Students are followed throughout middle school to assess short-term impact and throughout high school to assess longer-term impact. </w:t>
      </w:r>
    </w:p>
    <w:p w14:paraId="01906280" w14:textId="77777777" w:rsidR="00746E54" w:rsidRDefault="00746E54" w:rsidP="006C098D">
      <w:pPr>
        <w:spacing w:after="0" w:line="240" w:lineRule="auto"/>
        <w:rPr>
          <w:rFonts w:ascii="Times New Roman" w:hAnsi="Times New Roman" w:cs="Times New Roman"/>
          <w:u w:val="single"/>
        </w:rPr>
      </w:pPr>
    </w:p>
    <w:p w14:paraId="1B1F7FBA" w14:textId="77777777" w:rsidR="009D6EF2" w:rsidRDefault="006C098D" w:rsidP="001B4787">
      <w:pPr>
        <w:spacing w:after="0" w:line="240" w:lineRule="auto"/>
        <w:rPr>
          <w:rFonts w:ascii="Times New Roman" w:hAnsi="Times New Roman" w:cs="Times New Roman"/>
        </w:rPr>
      </w:pPr>
      <w:r w:rsidRPr="00436890">
        <w:rPr>
          <w:rFonts w:ascii="Times New Roman" w:hAnsi="Times New Roman" w:cs="Times New Roman"/>
        </w:rPr>
        <w:t xml:space="preserve">The final analysis plan will be determined once preliminary analysis of the data can indicate the most appropriate plan of action for analysis.  </w:t>
      </w:r>
      <w:r w:rsidR="00EB3E91">
        <w:rPr>
          <w:rFonts w:ascii="Times New Roman" w:hAnsi="Times New Roman" w:cs="Times New Roman"/>
        </w:rPr>
        <w:t>Intervention c</w:t>
      </w:r>
      <w:r w:rsidR="009D6EF2" w:rsidRPr="00436890">
        <w:rPr>
          <w:rFonts w:ascii="Times New Roman" w:hAnsi="Times New Roman" w:cs="Times New Roman"/>
        </w:rPr>
        <w:t xml:space="preserve">ondition (Dating Matters or standard of care) </w:t>
      </w:r>
      <w:r w:rsidR="00D045C4">
        <w:rPr>
          <w:rFonts w:ascii="Times New Roman" w:hAnsi="Times New Roman" w:cs="Times New Roman"/>
        </w:rPr>
        <w:t>was</w:t>
      </w:r>
      <w:r w:rsidR="009D6EF2" w:rsidRPr="00436890">
        <w:rPr>
          <w:rFonts w:ascii="Times New Roman" w:hAnsi="Times New Roman" w:cs="Times New Roman"/>
        </w:rPr>
        <w:t xml:space="preserve"> randomly assigned at the school level, so all four sites will contain both prevention models. </w:t>
      </w:r>
      <w:r w:rsidR="00D045C4">
        <w:rPr>
          <w:rFonts w:ascii="Times New Roman" w:hAnsi="Times New Roman" w:cs="Times New Roman"/>
        </w:rPr>
        <w:t>R</w:t>
      </w:r>
      <w:r w:rsidR="009D6EF2" w:rsidRPr="00436890">
        <w:rPr>
          <w:rFonts w:ascii="Times New Roman" w:hAnsi="Times New Roman" w:cs="Times New Roman"/>
        </w:rPr>
        <w:t>andom assignment ensure</w:t>
      </w:r>
      <w:r w:rsidR="00D045C4">
        <w:rPr>
          <w:rFonts w:ascii="Times New Roman" w:hAnsi="Times New Roman" w:cs="Times New Roman"/>
        </w:rPr>
        <w:t>d</w:t>
      </w:r>
      <w:r w:rsidR="009D6EF2" w:rsidRPr="00436890">
        <w:rPr>
          <w:rFonts w:ascii="Times New Roman" w:hAnsi="Times New Roman" w:cs="Times New Roman"/>
        </w:rPr>
        <w:t xml:space="preserve"> relatively similar groups at baseline, but any initial differences between groups will be statistically controlled.  We will analyze based on an intent-to-treat approach, but it is likely that we will also examine student data with respect to exposure to the relevant curriculum.</w:t>
      </w:r>
      <w:r w:rsidR="009D6EF2">
        <w:rPr>
          <w:rFonts w:ascii="Times New Roman" w:hAnsi="Times New Roman" w:cs="Times New Roman"/>
        </w:rPr>
        <w:t xml:space="preserve"> I</w:t>
      </w:r>
      <w:r w:rsidRPr="00436890">
        <w:rPr>
          <w:rFonts w:ascii="Times New Roman" w:hAnsi="Times New Roman" w:cs="Times New Roman"/>
        </w:rPr>
        <w:t xml:space="preserve">t is expected that analysis will include Hierarchical Linear Modeling (HLM) to test for intervention effectiveness, given that individuals are nested within schools which are nested within sites.  </w:t>
      </w:r>
      <w:r w:rsidR="000D3B3C" w:rsidRPr="000D3B3C">
        <w:rPr>
          <w:rFonts w:ascii="Times New Roman" w:hAnsi="Times New Roman" w:cs="Times New Roman"/>
        </w:rPr>
        <w:t>HLM provides a conceptual framework and a flexible set of analytic tools to analyze the special requirements of our data</w:t>
      </w:r>
      <w:r w:rsidR="00F50614">
        <w:rPr>
          <w:rFonts w:ascii="Times New Roman" w:hAnsi="Times New Roman" w:cs="Times New Roman"/>
        </w:rPr>
        <w:t xml:space="preserve"> emerging from </w:t>
      </w:r>
      <w:r w:rsidR="000D3B3C" w:rsidRPr="000D3B3C">
        <w:rPr>
          <w:rFonts w:ascii="Times New Roman" w:hAnsi="Times New Roman" w:cs="Times New Roman"/>
        </w:rPr>
        <w:t>a multi-stage sample from multiple sources (e.g., student</w:t>
      </w:r>
      <w:r w:rsidR="00F50614">
        <w:rPr>
          <w:rFonts w:ascii="Times New Roman" w:hAnsi="Times New Roman" w:cs="Times New Roman"/>
        </w:rPr>
        <w:t>s, parents, schools, etc.</w:t>
      </w:r>
      <w:r w:rsidR="000D3B3C" w:rsidRPr="000D3B3C">
        <w:rPr>
          <w:rFonts w:ascii="Times New Roman" w:hAnsi="Times New Roman" w:cs="Times New Roman"/>
        </w:rPr>
        <w:t xml:space="preserve">). Classes are nested within schools and variables will be defined at any level of this hierarchy. Nesting occurs when a unit of measurement is a subset of a larger unit and the units clustered in the larger unit might be correlated. Some of our variables will be measured at the school level (e.g., school size and location), others will be derived from the class level (e.g., grade level and treatment group), and others at the student level (e.g., survey results on behavior). </w:t>
      </w:r>
      <w:r w:rsidR="00D5142D">
        <w:rPr>
          <w:rFonts w:ascii="Times New Roman" w:hAnsi="Times New Roman" w:cs="Times New Roman"/>
        </w:rPr>
        <w:t>For example, i</w:t>
      </w:r>
      <w:r w:rsidR="000D3B3C" w:rsidRPr="000D3B3C">
        <w:rPr>
          <w:rFonts w:ascii="Times New Roman" w:hAnsi="Times New Roman" w:cs="Times New Roman"/>
        </w:rPr>
        <w:t>n our models, student data will be included on level 1 and classroom data and school data will be included on levels 2 and 3 respectively</w:t>
      </w:r>
      <w:r w:rsidR="00D5142D">
        <w:rPr>
          <w:rFonts w:ascii="Times New Roman" w:hAnsi="Times New Roman" w:cs="Times New Roman"/>
        </w:rPr>
        <w:t>, with site location included as a covariate</w:t>
      </w:r>
      <w:r w:rsidR="000D3B3C" w:rsidRPr="000D3B3C">
        <w:rPr>
          <w:rFonts w:ascii="Times New Roman" w:hAnsi="Times New Roman" w:cs="Times New Roman"/>
        </w:rPr>
        <w:t xml:space="preserve">. </w:t>
      </w:r>
      <w:r w:rsidR="009D6EF2" w:rsidRPr="001B4787">
        <w:rPr>
          <w:rFonts w:ascii="Times New Roman" w:hAnsi="Times New Roman" w:cs="Times New Roman"/>
        </w:rPr>
        <w:t xml:space="preserve">For example, for one of our tests we would use the following level-2 fixed effect equations: </w:t>
      </w:r>
      <w:r w:rsidR="009D6EF2" w:rsidRPr="001B4787">
        <w:rPr>
          <w:rFonts w:ascii="Times New Roman" w:hAnsi="Times New Roman" w:cs="Times New Roman"/>
          <w:i/>
        </w:rPr>
        <w:t>B</w:t>
      </w:r>
      <w:r w:rsidR="009D6EF2" w:rsidRPr="001B4787">
        <w:rPr>
          <w:rFonts w:ascii="Times New Roman" w:hAnsi="Times New Roman" w:cs="Times New Roman"/>
          <w:i/>
          <w:vertAlign w:val="subscript"/>
        </w:rPr>
        <w:t>0k</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00</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01</w:t>
      </w:r>
      <w:r w:rsidR="009D6EF2" w:rsidRPr="001B4787">
        <w:rPr>
          <w:rFonts w:ascii="Times New Roman" w:hAnsi="Times New Roman" w:cs="Times New Roman"/>
          <w:i/>
        </w:rPr>
        <w:t>INTERVENTION</w:t>
      </w:r>
      <w:r w:rsidR="009D6EF2" w:rsidRPr="001B4787">
        <w:rPr>
          <w:rFonts w:ascii="Times New Roman" w:hAnsi="Times New Roman" w:cs="Times New Roman"/>
          <w:i/>
          <w:vertAlign w:val="subscript"/>
        </w:rPr>
        <w:t>k</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0s</w:t>
      </w:r>
      <w:r w:rsidR="009D6EF2" w:rsidRPr="001B4787">
        <w:rPr>
          <w:rFonts w:ascii="Times New Roman" w:hAnsi="Times New Roman" w:cs="Times New Roman"/>
          <w:i/>
        </w:rPr>
        <w:t>W</w:t>
      </w:r>
      <w:r w:rsidR="009D6EF2" w:rsidRPr="001B4787">
        <w:rPr>
          <w:rFonts w:ascii="Times New Roman" w:hAnsi="Times New Roman" w:cs="Times New Roman"/>
          <w:i/>
          <w:vertAlign w:val="subscript"/>
        </w:rPr>
        <w:t>sk</w:t>
      </w:r>
      <w:r w:rsidR="009D6EF2" w:rsidRPr="001B4787">
        <w:rPr>
          <w:rFonts w:ascii="Times New Roman" w:hAnsi="Times New Roman" w:cs="Times New Roman"/>
          <w:i/>
        </w:rPr>
        <w:t xml:space="preserve"> + u</w:t>
      </w:r>
      <w:r w:rsidR="009D6EF2" w:rsidRPr="001B4787">
        <w:rPr>
          <w:rFonts w:ascii="Times New Roman" w:hAnsi="Times New Roman" w:cs="Times New Roman"/>
          <w:i/>
          <w:vertAlign w:val="subscript"/>
        </w:rPr>
        <w:t>0k</w:t>
      </w:r>
      <w:r w:rsidR="009D6EF2" w:rsidRPr="001B4787">
        <w:rPr>
          <w:rFonts w:ascii="Times New Roman" w:hAnsi="Times New Roman" w:cs="Times New Roman"/>
        </w:rPr>
        <w:t xml:space="preserve"> in which </w:t>
      </w:r>
      <w:r w:rsidR="009D6EF2" w:rsidRPr="001B4787">
        <w:rPr>
          <w:rFonts w:ascii="Times New Roman" w:hAnsi="Times New Roman" w:cs="Times New Roman"/>
          <w:i/>
        </w:rPr>
        <w:t>γ</w:t>
      </w:r>
      <w:r w:rsidR="009D6EF2" w:rsidRPr="001B4787">
        <w:rPr>
          <w:rFonts w:ascii="Times New Roman" w:hAnsi="Times New Roman" w:cs="Times New Roman"/>
          <w:i/>
          <w:vertAlign w:val="subscript"/>
        </w:rPr>
        <w:t>01</w:t>
      </w:r>
      <w:r w:rsidR="009D6EF2" w:rsidRPr="001B4787">
        <w:rPr>
          <w:rFonts w:ascii="Times New Roman" w:hAnsi="Times New Roman" w:cs="Times New Roman"/>
        </w:rPr>
        <w:t xml:space="preserve"> represents the fixed effect of the intervention at the school level on the outcome </w:t>
      </w:r>
      <w:r w:rsidR="009D6EF2" w:rsidRPr="001B4787">
        <w:rPr>
          <w:rFonts w:ascii="Times New Roman" w:hAnsi="Times New Roman" w:cs="Times New Roman"/>
          <w:i/>
        </w:rPr>
        <w:t>B</w:t>
      </w:r>
      <w:r w:rsidR="009D6EF2" w:rsidRPr="001B4787">
        <w:rPr>
          <w:rFonts w:ascii="Times New Roman" w:hAnsi="Times New Roman" w:cs="Times New Roman"/>
          <w:i/>
          <w:vertAlign w:val="subscript"/>
        </w:rPr>
        <w:t>0k</w:t>
      </w:r>
      <w:r w:rsidR="009D6EF2" w:rsidRPr="001B4787">
        <w:rPr>
          <w:rFonts w:ascii="Times New Roman" w:hAnsi="Times New Roman" w:cs="Times New Roman"/>
        </w:rPr>
        <w:t xml:space="preserve">, </w:t>
      </w:r>
      <w:r w:rsidR="009D6EF2" w:rsidRPr="001B4787">
        <w:rPr>
          <w:rFonts w:ascii="Times New Roman" w:hAnsi="Times New Roman" w:cs="Times New Roman"/>
          <w:i/>
        </w:rPr>
        <w:t>W</w:t>
      </w:r>
      <w:r w:rsidR="009D6EF2" w:rsidRPr="001B4787">
        <w:rPr>
          <w:rFonts w:ascii="Times New Roman" w:hAnsi="Times New Roman" w:cs="Times New Roman"/>
        </w:rPr>
        <w:t xml:space="preserve"> represents </w:t>
      </w:r>
      <w:r w:rsidR="009D6EF2" w:rsidRPr="001B4787">
        <w:rPr>
          <w:rFonts w:ascii="Times New Roman" w:hAnsi="Times New Roman" w:cs="Times New Roman"/>
          <w:i/>
        </w:rPr>
        <w:t>s</w:t>
      </w:r>
      <w:r w:rsidR="009D6EF2" w:rsidRPr="001B4787">
        <w:rPr>
          <w:rFonts w:ascii="Times New Roman" w:hAnsi="Times New Roman" w:cs="Times New Roman"/>
        </w:rPr>
        <w:t xml:space="preserve"> number of classroom-level confounding variables for control purposes, and </w:t>
      </w:r>
      <w:r w:rsidR="009D6EF2" w:rsidRPr="001B4787">
        <w:rPr>
          <w:rFonts w:ascii="Times New Roman" w:hAnsi="Times New Roman" w:cs="Times New Roman"/>
          <w:i/>
        </w:rPr>
        <w:t>u</w:t>
      </w:r>
      <w:r w:rsidR="009D6EF2" w:rsidRPr="001B4787">
        <w:rPr>
          <w:rFonts w:ascii="Times New Roman" w:hAnsi="Times New Roman" w:cs="Times New Roman"/>
        </w:rPr>
        <w:t xml:space="preserve"> represents the level-2 classroom random effect. Coefficient γ</w:t>
      </w:r>
      <w:r w:rsidR="009D6EF2" w:rsidRPr="001B4787">
        <w:rPr>
          <w:rFonts w:ascii="Times New Roman" w:hAnsi="Times New Roman" w:cs="Times New Roman"/>
          <w:vertAlign w:val="subscript"/>
        </w:rPr>
        <w:t xml:space="preserve">01 </w:t>
      </w:r>
      <w:r w:rsidR="009D6EF2" w:rsidRPr="001B4787">
        <w:rPr>
          <w:rFonts w:ascii="Times New Roman" w:hAnsi="Times New Roman" w:cs="Times New Roman"/>
        </w:rPr>
        <w:t>represents the amount of the difference the intervention makes relative to the control group, by different grades levels. We will also estimate the reduction of the residual classroom effect unexplained by the Intervention predictor to gauge the proportion of variation explained by and assess the impact of the Intervention.</w:t>
      </w:r>
      <w:r w:rsidR="00B03DDC" w:rsidRPr="00B03DDC">
        <w:rPr>
          <w:rFonts w:ascii="Times New Roman" w:hAnsi="Times New Roman" w:cs="Times New Roman"/>
        </w:rPr>
        <w:t xml:space="preserve"> </w:t>
      </w:r>
      <w:r w:rsidR="00B03DDC">
        <w:rPr>
          <w:rFonts w:ascii="Times New Roman" w:hAnsi="Times New Roman" w:cs="Times New Roman"/>
        </w:rPr>
        <w:t xml:space="preserve">Our primary outcome for these analyses is participant experience of teen dating violence in both the middle and high school aged years. </w:t>
      </w:r>
    </w:p>
    <w:p w14:paraId="631C9476" w14:textId="77777777" w:rsidR="007A11B7" w:rsidRPr="001B4787" w:rsidRDefault="007A11B7" w:rsidP="001B4787">
      <w:pPr>
        <w:spacing w:after="0" w:line="240" w:lineRule="auto"/>
        <w:rPr>
          <w:rFonts w:ascii="Times New Roman" w:hAnsi="Times New Roman" w:cs="Times New Roman"/>
        </w:rPr>
      </w:pPr>
    </w:p>
    <w:p w14:paraId="36C0A297" w14:textId="2DB2FE29" w:rsidR="002F19B3" w:rsidRPr="00235565" w:rsidRDefault="005666BB" w:rsidP="002F19B3">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Table A.16 </w:t>
      </w:r>
      <w:r w:rsidR="002F19B3" w:rsidRPr="00235565">
        <w:rPr>
          <w:rFonts w:ascii="Times New Roman" w:hAnsi="Times New Roman" w:cs="Times New Roman"/>
          <w:b/>
          <w:sz w:val="20"/>
          <w:szCs w:val="20"/>
        </w:rPr>
        <w:t>Time Schedule</w:t>
      </w:r>
    </w:p>
    <w:tbl>
      <w:tblPr>
        <w:tblW w:w="0" w:type="auto"/>
        <w:tblLook w:val="0000" w:firstRow="0" w:lastRow="0" w:firstColumn="0" w:lastColumn="0" w:noHBand="0" w:noVBand="0"/>
      </w:tblPr>
      <w:tblGrid>
        <w:gridCol w:w="4428"/>
        <w:gridCol w:w="4428"/>
      </w:tblGrid>
      <w:tr w:rsidR="002F19B3" w:rsidRPr="00235565" w14:paraId="3EDB4702" w14:textId="77777777" w:rsidTr="00CD1DD6">
        <w:tc>
          <w:tcPr>
            <w:tcW w:w="4428" w:type="dxa"/>
            <w:tcBorders>
              <w:top w:val="single" w:sz="4" w:space="0" w:color="auto"/>
              <w:left w:val="single" w:sz="4" w:space="0" w:color="auto"/>
              <w:bottom w:val="single" w:sz="4" w:space="0" w:color="auto"/>
              <w:right w:val="single" w:sz="4" w:space="0" w:color="auto"/>
            </w:tcBorders>
          </w:tcPr>
          <w:p w14:paraId="172A3A66" w14:textId="77777777" w:rsidR="002F19B3" w:rsidRPr="00235565" w:rsidRDefault="002F19B3" w:rsidP="00CD1DD6">
            <w:pPr>
              <w:spacing w:after="0" w:line="240" w:lineRule="auto"/>
              <w:rPr>
                <w:rFonts w:ascii="Times New Roman" w:hAnsi="Times New Roman" w:cs="Times New Roman"/>
                <w:b/>
                <w:bCs/>
                <w:sz w:val="20"/>
                <w:szCs w:val="20"/>
              </w:rPr>
            </w:pPr>
            <w:r w:rsidRPr="00235565">
              <w:rPr>
                <w:rFonts w:ascii="Times New Roman" w:hAnsi="Times New Roman" w:cs="Times New Roman"/>
                <w:b/>
                <w:bCs/>
                <w:sz w:val="20"/>
                <w:szCs w:val="20"/>
              </w:rPr>
              <w:t>Activity</w:t>
            </w:r>
          </w:p>
        </w:tc>
        <w:tc>
          <w:tcPr>
            <w:tcW w:w="4428" w:type="dxa"/>
            <w:tcBorders>
              <w:top w:val="single" w:sz="4" w:space="0" w:color="auto"/>
              <w:left w:val="single" w:sz="4" w:space="0" w:color="auto"/>
              <w:bottom w:val="single" w:sz="4" w:space="0" w:color="auto"/>
              <w:right w:val="single" w:sz="4" w:space="0" w:color="auto"/>
            </w:tcBorders>
          </w:tcPr>
          <w:p w14:paraId="4A0F0FBB" w14:textId="77777777" w:rsidR="002F19B3" w:rsidRPr="00235565" w:rsidRDefault="002F19B3" w:rsidP="00CD1DD6">
            <w:pPr>
              <w:spacing w:after="0" w:line="240" w:lineRule="auto"/>
              <w:rPr>
                <w:rFonts w:ascii="Times New Roman" w:hAnsi="Times New Roman" w:cs="Times New Roman"/>
                <w:b/>
                <w:bCs/>
                <w:sz w:val="20"/>
                <w:szCs w:val="20"/>
              </w:rPr>
            </w:pPr>
            <w:r w:rsidRPr="00235565">
              <w:rPr>
                <w:rFonts w:ascii="Times New Roman" w:hAnsi="Times New Roman" w:cs="Times New Roman"/>
                <w:b/>
                <w:bCs/>
                <w:sz w:val="20"/>
                <w:szCs w:val="20"/>
              </w:rPr>
              <w:t>Time Schedule</w:t>
            </w:r>
          </w:p>
        </w:tc>
      </w:tr>
      <w:tr w:rsidR="002F19B3" w:rsidRPr="00235565" w14:paraId="4FA32568" w14:textId="77777777" w:rsidTr="00CD1DD6">
        <w:tc>
          <w:tcPr>
            <w:tcW w:w="4428" w:type="dxa"/>
            <w:tcBorders>
              <w:top w:val="single" w:sz="4" w:space="0" w:color="auto"/>
              <w:left w:val="single" w:sz="4" w:space="0" w:color="auto"/>
              <w:bottom w:val="single" w:sz="4" w:space="0" w:color="auto"/>
              <w:right w:val="single" w:sz="4" w:space="0" w:color="auto"/>
            </w:tcBorders>
          </w:tcPr>
          <w:p w14:paraId="6ACC7769" w14:textId="4BEDAF97" w:rsidR="002F19B3" w:rsidRPr="00235565" w:rsidRDefault="002F19B3" w:rsidP="00CD1DD6">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Administer outcom</w:t>
            </w:r>
            <w:r w:rsidR="007A11B7">
              <w:rPr>
                <w:rFonts w:ascii="Times New Roman" w:hAnsi="Times New Roman" w:cs="Times New Roman"/>
                <w:bCs/>
                <w:sz w:val="20"/>
                <w:szCs w:val="20"/>
              </w:rPr>
              <w:t>e and implementation evaluation:</w:t>
            </w:r>
            <w:r w:rsidR="007A11B7" w:rsidRPr="00235565">
              <w:rPr>
                <w:rFonts w:ascii="Times New Roman" w:hAnsi="Times New Roman" w:cs="Times New Roman"/>
                <w:bCs/>
                <w:sz w:val="20"/>
                <w:szCs w:val="20"/>
              </w:rPr>
              <w:t xml:space="preserve"> Evaluation activities will continue until im</w:t>
            </w:r>
            <w:r w:rsidR="007A11B7">
              <w:rPr>
                <w:rFonts w:ascii="Times New Roman" w:hAnsi="Times New Roman" w:cs="Times New Roman"/>
                <w:bCs/>
                <w:sz w:val="20"/>
                <w:szCs w:val="20"/>
              </w:rPr>
              <w:t>plementation is complete in 2016</w:t>
            </w:r>
            <w:r w:rsidR="007A11B7" w:rsidRPr="00235565">
              <w:rPr>
                <w:rFonts w:ascii="Times New Roman" w:hAnsi="Times New Roman" w:cs="Times New Roman"/>
                <w:bCs/>
                <w:sz w:val="20"/>
                <w:szCs w:val="20"/>
              </w:rPr>
              <w:t>.</w:t>
            </w:r>
          </w:p>
        </w:tc>
        <w:tc>
          <w:tcPr>
            <w:tcW w:w="4428" w:type="dxa"/>
            <w:tcBorders>
              <w:top w:val="single" w:sz="4" w:space="0" w:color="auto"/>
              <w:left w:val="single" w:sz="4" w:space="0" w:color="auto"/>
              <w:bottom w:val="single" w:sz="4" w:space="0" w:color="auto"/>
              <w:right w:val="single" w:sz="4" w:space="0" w:color="auto"/>
            </w:tcBorders>
          </w:tcPr>
          <w:p w14:paraId="410DF600" w14:textId="60BD1D42" w:rsidR="002F19B3" w:rsidRPr="00235565" w:rsidRDefault="007A11B7" w:rsidP="002F19B3">
            <w:pPr>
              <w:spacing w:after="0" w:line="240" w:lineRule="auto"/>
              <w:rPr>
                <w:rFonts w:ascii="Times New Roman" w:hAnsi="Times New Roman" w:cs="Times New Roman"/>
                <w:bCs/>
                <w:sz w:val="20"/>
                <w:szCs w:val="20"/>
              </w:rPr>
            </w:pPr>
            <w:r w:rsidRPr="006C5128">
              <w:rPr>
                <w:rFonts w:ascii="Times New Roman" w:hAnsi="Times New Roman" w:cs="Times New Roman"/>
                <w:bCs/>
                <w:sz w:val="20"/>
                <w:szCs w:val="20"/>
              </w:rPr>
              <w:t>Ongoing, to begin immediately upon OMB approval</w:t>
            </w:r>
          </w:p>
        </w:tc>
      </w:tr>
      <w:tr w:rsidR="002F19B3" w:rsidRPr="00235565" w14:paraId="20E4863F" w14:textId="77777777" w:rsidTr="00CD1DD6">
        <w:tc>
          <w:tcPr>
            <w:tcW w:w="4428" w:type="dxa"/>
            <w:tcBorders>
              <w:top w:val="single" w:sz="4" w:space="0" w:color="auto"/>
              <w:left w:val="single" w:sz="4" w:space="0" w:color="auto"/>
              <w:bottom w:val="single" w:sz="4" w:space="0" w:color="auto"/>
              <w:right w:val="single" w:sz="4" w:space="0" w:color="auto"/>
            </w:tcBorders>
          </w:tcPr>
          <w:p w14:paraId="3311E26A" w14:textId="0B086C05" w:rsidR="002F19B3" w:rsidRDefault="007A11B7" w:rsidP="00CD1DD6">
            <w:pPr>
              <w:spacing w:after="0" w:line="240" w:lineRule="auto"/>
              <w:rPr>
                <w:rFonts w:ascii="Times New Roman" w:hAnsi="Times New Roman" w:cs="Times New Roman"/>
                <w:bCs/>
                <w:sz w:val="20"/>
                <w:szCs w:val="20"/>
              </w:rPr>
            </w:pPr>
            <w:r>
              <w:rPr>
                <w:rFonts w:ascii="Times New Roman" w:hAnsi="Times New Roman" w:cs="Times New Roman"/>
                <w:bCs/>
                <w:sz w:val="20"/>
                <w:szCs w:val="20"/>
              </w:rPr>
              <w:t>Analyze evaluation results:</w:t>
            </w:r>
          </w:p>
          <w:p w14:paraId="7FDD7173" w14:textId="5027D36D" w:rsidR="007A11B7" w:rsidRPr="00235565" w:rsidRDefault="007A11B7" w:rsidP="00CD1DD6">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Data will be analyzed annually to monitor effects with ultimate analysis (to address study hypotheses with sufficient power)</w:t>
            </w:r>
            <w:r>
              <w:rPr>
                <w:rFonts w:ascii="Times New Roman" w:hAnsi="Times New Roman" w:cs="Times New Roman"/>
                <w:bCs/>
                <w:sz w:val="20"/>
                <w:szCs w:val="20"/>
              </w:rPr>
              <w:t xml:space="preserve">; analysis will be initiated </w:t>
            </w:r>
            <w:r w:rsidRPr="00235565">
              <w:rPr>
                <w:rFonts w:ascii="Times New Roman" w:hAnsi="Times New Roman" w:cs="Times New Roman"/>
                <w:bCs/>
                <w:sz w:val="20"/>
                <w:szCs w:val="20"/>
              </w:rPr>
              <w:t>within 60 days of receiving the fourth year of evaluation data in 201</w:t>
            </w:r>
            <w:r>
              <w:rPr>
                <w:rFonts w:ascii="Times New Roman" w:hAnsi="Times New Roman" w:cs="Times New Roman"/>
                <w:bCs/>
                <w:sz w:val="20"/>
                <w:szCs w:val="20"/>
              </w:rPr>
              <w:t>6.</w:t>
            </w:r>
          </w:p>
        </w:tc>
        <w:tc>
          <w:tcPr>
            <w:tcW w:w="4428" w:type="dxa"/>
            <w:tcBorders>
              <w:top w:val="single" w:sz="4" w:space="0" w:color="auto"/>
              <w:left w:val="single" w:sz="4" w:space="0" w:color="auto"/>
              <w:bottom w:val="single" w:sz="4" w:space="0" w:color="auto"/>
              <w:right w:val="single" w:sz="4" w:space="0" w:color="auto"/>
            </w:tcBorders>
          </w:tcPr>
          <w:p w14:paraId="6D564010" w14:textId="0CB97C6F" w:rsidR="002F19B3" w:rsidRPr="00235565" w:rsidRDefault="007A11B7" w:rsidP="00CD1DD6">
            <w:pPr>
              <w:spacing w:after="0" w:line="240" w:lineRule="auto"/>
              <w:rPr>
                <w:rFonts w:ascii="Times New Roman" w:hAnsi="Times New Roman" w:cs="Times New Roman"/>
                <w:bCs/>
                <w:sz w:val="20"/>
                <w:szCs w:val="20"/>
              </w:rPr>
            </w:pPr>
            <w:r w:rsidRPr="006C5128">
              <w:rPr>
                <w:rFonts w:ascii="Times New Roman" w:hAnsi="Times New Roman" w:cs="Times New Roman"/>
                <w:bCs/>
                <w:sz w:val="20"/>
                <w:szCs w:val="20"/>
              </w:rPr>
              <w:t>Ongoing, to begin immediately upon OMB approval</w:t>
            </w:r>
          </w:p>
        </w:tc>
      </w:tr>
      <w:tr w:rsidR="002F19B3" w:rsidRPr="00235565" w14:paraId="19852DC0" w14:textId="77777777" w:rsidTr="00CD1DD6">
        <w:tc>
          <w:tcPr>
            <w:tcW w:w="4428" w:type="dxa"/>
            <w:tcBorders>
              <w:top w:val="single" w:sz="4" w:space="0" w:color="auto"/>
              <w:left w:val="single" w:sz="4" w:space="0" w:color="auto"/>
              <w:bottom w:val="single" w:sz="4" w:space="0" w:color="auto"/>
              <w:right w:val="single" w:sz="4" w:space="0" w:color="auto"/>
            </w:tcBorders>
          </w:tcPr>
          <w:p w14:paraId="547DB5B9" w14:textId="75B16C9F" w:rsidR="002F19B3" w:rsidRDefault="002F19B3" w:rsidP="00CD1DD6">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Develop products and publications based o</w:t>
            </w:r>
            <w:r w:rsidR="007A11B7">
              <w:rPr>
                <w:rFonts w:ascii="Times New Roman" w:hAnsi="Times New Roman" w:cs="Times New Roman"/>
                <w:bCs/>
                <w:sz w:val="20"/>
                <w:szCs w:val="20"/>
              </w:rPr>
              <w:t>n the results of the evaluation:</w:t>
            </w:r>
          </w:p>
          <w:p w14:paraId="79FEF008" w14:textId="32A0F79D" w:rsidR="007A11B7" w:rsidRPr="00235565" w:rsidRDefault="007A11B7" w:rsidP="00CD1DD6">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 xml:space="preserve">Within a year of receiving the complete evaluation data (with four years of data collection) it is anticipated that the main publications examining the outcome and implementation of Dating Matters will be submitted for publication. In addition to scientific publications, research-in-briefs and other </w:t>
            </w:r>
            <w:r w:rsidRPr="00235565">
              <w:rPr>
                <w:rFonts w:ascii="Times New Roman" w:hAnsi="Times New Roman" w:cs="Times New Roman"/>
                <w:bCs/>
                <w:sz w:val="20"/>
                <w:szCs w:val="20"/>
              </w:rPr>
              <w:lastRenderedPageBreak/>
              <w:t>non-technical reports of the evaluation results will be prepared and disseminated to key stakeholders.</w:t>
            </w:r>
          </w:p>
        </w:tc>
        <w:tc>
          <w:tcPr>
            <w:tcW w:w="4428" w:type="dxa"/>
            <w:tcBorders>
              <w:top w:val="single" w:sz="4" w:space="0" w:color="auto"/>
              <w:left w:val="single" w:sz="4" w:space="0" w:color="auto"/>
              <w:bottom w:val="single" w:sz="4" w:space="0" w:color="auto"/>
              <w:right w:val="single" w:sz="4" w:space="0" w:color="auto"/>
            </w:tcBorders>
          </w:tcPr>
          <w:p w14:paraId="444B583E" w14:textId="2F60C961" w:rsidR="002F19B3" w:rsidRPr="00235565" w:rsidRDefault="006C5128" w:rsidP="006C5128">
            <w:pPr>
              <w:spacing w:after="0" w:line="240" w:lineRule="auto"/>
              <w:rPr>
                <w:rFonts w:ascii="Times New Roman" w:hAnsi="Times New Roman" w:cs="Times New Roman"/>
                <w:bCs/>
                <w:sz w:val="20"/>
                <w:szCs w:val="20"/>
              </w:rPr>
            </w:pPr>
            <w:r w:rsidRPr="006C5128">
              <w:rPr>
                <w:rFonts w:ascii="Times New Roman" w:hAnsi="Times New Roman" w:cs="Times New Roman"/>
                <w:bCs/>
                <w:sz w:val="20"/>
                <w:szCs w:val="20"/>
              </w:rPr>
              <w:lastRenderedPageBreak/>
              <w:t>Beginning one year after analysis evaluation and ongoing thereafter</w:t>
            </w:r>
          </w:p>
        </w:tc>
      </w:tr>
    </w:tbl>
    <w:p w14:paraId="2273B107" w14:textId="77777777" w:rsidR="006C098D" w:rsidRDefault="006C098D" w:rsidP="006C098D">
      <w:pPr>
        <w:pStyle w:val="BodyText1"/>
        <w:spacing w:after="0" w:line="240" w:lineRule="auto"/>
        <w:ind w:firstLine="0"/>
        <w:rPr>
          <w:b/>
          <w:szCs w:val="22"/>
        </w:rPr>
      </w:pPr>
    </w:p>
    <w:p w14:paraId="3E117BE7" w14:textId="77777777" w:rsidR="00EA13AB" w:rsidRDefault="00EA13AB" w:rsidP="006C098D">
      <w:pPr>
        <w:autoSpaceDE w:val="0"/>
        <w:autoSpaceDN w:val="0"/>
        <w:adjustRightInd w:val="0"/>
        <w:spacing w:after="0" w:line="240" w:lineRule="auto"/>
        <w:rPr>
          <w:rFonts w:ascii="Times New Roman" w:hAnsi="Times New Roman" w:cs="Times New Roman"/>
          <w:b/>
        </w:rPr>
      </w:pPr>
    </w:p>
    <w:p w14:paraId="4B5B3032" w14:textId="77777777" w:rsidR="006C098D" w:rsidRDefault="00E45988"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w:t>
      </w:r>
      <w:r w:rsidR="006C098D" w:rsidRPr="00791EFE">
        <w:rPr>
          <w:rFonts w:ascii="Times New Roman" w:hAnsi="Times New Roman" w:cs="Times New Roman"/>
          <w:b/>
        </w:rPr>
        <w:t>17. Reason(s) Display of OMB Expiration Date is Inappropriate</w:t>
      </w:r>
    </w:p>
    <w:p w14:paraId="0454DDC6" w14:textId="77777777" w:rsidR="006C098D" w:rsidRPr="00791EFE" w:rsidRDefault="006C098D" w:rsidP="006C098D">
      <w:pPr>
        <w:autoSpaceDE w:val="0"/>
        <w:autoSpaceDN w:val="0"/>
        <w:adjustRightInd w:val="0"/>
        <w:spacing w:after="0" w:line="240" w:lineRule="auto"/>
        <w:rPr>
          <w:rFonts w:ascii="Times New Roman" w:hAnsi="Times New Roman" w:cs="Times New Roman"/>
        </w:rPr>
      </w:pPr>
      <w:r w:rsidRPr="00791EFE">
        <w:rPr>
          <w:rFonts w:ascii="Times New Roman" w:hAnsi="Times New Roman" w:cs="Times New Roman"/>
        </w:rPr>
        <w:t>Not applicable.</w:t>
      </w:r>
    </w:p>
    <w:p w14:paraId="46CCAA6E" w14:textId="77777777" w:rsidR="006C098D" w:rsidRPr="00791EFE" w:rsidRDefault="006C098D" w:rsidP="006C098D">
      <w:pPr>
        <w:autoSpaceDE w:val="0"/>
        <w:autoSpaceDN w:val="0"/>
        <w:adjustRightInd w:val="0"/>
        <w:spacing w:after="0" w:line="240" w:lineRule="auto"/>
        <w:rPr>
          <w:rFonts w:ascii="Times New Roman" w:hAnsi="Times New Roman" w:cs="Times New Roman"/>
        </w:rPr>
      </w:pPr>
    </w:p>
    <w:p w14:paraId="15611151" w14:textId="37BBF9D8" w:rsidR="00B7740C" w:rsidRPr="00791EFE" w:rsidRDefault="00E45988"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w:t>
      </w:r>
      <w:r w:rsidR="006C098D" w:rsidRPr="00791EFE">
        <w:rPr>
          <w:rFonts w:ascii="Times New Roman" w:hAnsi="Times New Roman" w:cs="Times New Roman"/>
          <w:b/>
        </w:rPr>
        <w:t>18. Exceptions to Certification for Paperwork Reduction Act Submissions</w:t>
      </w:r>
    </w:p>
    <w:p w14:paraId="53DEB994" w14:textId="77777777" w:rsidR="006C098D" w:rsidRDefault="006C098D" w:rsidP="006C098D">
      <w:pPr>
        <w:spacing w:after="0" w:line="240" w:lineRule="auto"/>
        <w:rPr>
          <w:rFonts w:ascii="Times New Roman" w:hAnsi="Times New Roman" w:cs="Times New Roman"/>
          <w:bCs/>
        </w:rPr>
      </w:pPr>
      <w:r w:rsidRPr="00791EFE">
        <w:rPr>
          <w:rFonts w:ascii="Times New Roman" w:hAnsi="Times New Roman" w:cs="Times New Roman"/>
          <w:bCs/>
        </w:rPr>
        <w:t>Not applicable.</w:t>
      </w:r>
    </w:p>
    <w:p w14:paraId="7EE5DC87" w14:textId="77777777" w:rsidR="00A3368F" w:rsidRPr="00791EFE" w:rsidRDefault="00A3368F" w:rsidP="006C098D">
      <w:pPr>
        <w:spacing w:after="0" w:line="240" w:lineRule="auto"/>
        <w:rPr>
          <w:rFonts w:ascii="Times New Roman" w:hAnsi="Times New Roman" w:cs="Times New Roman"/>
          <w:bCs/>
        </w:rPr>
      </w:pPr>
    </w:p>
    <w:p w14:paraId="35F94BC3" w14:textId="77777777" w:rsidR="006C098D" w:rsidRPr="00791EFE" w:rsidRDefault="006C098D" w:rsidP="006C098D">
      <w:pPr>
        <w:spacing w:after="0" w:line="240" w:lineRule="auto"/>
        <w:jc w:val="center"/>
        <w:rPr>
          <w:rFonts w:ascii="Times New Roman" w:hAnsi="Times New Roman" w:cs="Times New Roman"/>
          <w:b/>
          <w:bCs/>
        </w:rPr>
      </w:pPr>
      <w:r w:rsidRPr="004F67FD">
        <w:rPr>
          <w:rFonts w:ascii="Times New Roman" w:hAnsi="Times New Roman" w:cs="Times New Roman"/>
          <w:b/>
          <w:bCs/>
        </w:rPr>
        <w:t>References</w:t>
      </w:r>
    </w:p>
    <w:p w14:paraId="37DC3EA6" w14:textId="77777777" w:rsidR="006C098D" w:rsidRPr="008713AD" w:rsidRDefault="006C098D" w:rsidP="006C098D">
      <w:pPr>
        <w:spacing w:after="0" w:line="240" w:lineRule="auto"/>
        <w:rPr>
          <w:rFonts w:ascii="Times New Roman" w:hAnsi="Times New Roman" w:cs="Times New Roman"/>
          <w:b/>
          <w:bCs/>
        </w:rPr>
      </w:pPr>
    </w:p>
    <w:p w14:paraId="175C32BC" w14:textId="77777777" w:rsidR="006C098D" w:rsidRPr="0068195F" w:rsidRDefault="006C098D" w:rsidP="006C098D">
      <w:pPr>
        <w:spacing w:after="0" w:line="240" w:lineRule="auto"/>
        <w:ind w:left="720" w:hanging="720"/>
        <w:rPr>
          <w:rFonts w:ascii="Times New Roman" w:hAnsi="Times New Roman" w:cs="Times New Roman"/>
        </w:rPr>
      </w:pPr>
    </w:p>
    <w:p w14:paraId="47131443" w14:textId="77777777" w:rsidR="00C6359C"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Blau PM. Exchange and Power in Social Life. New York: John Wiley and Sons; 1964.</w:t>
      </w:r>
    </w:p>
    <w:p w14:paraId="19D0C8D9" w14:textId="77777777" w:rsidR="00AF5EF5" w:rsidRPr="00C5430E" w:rsidRDefault="00AF5EF5" w:rsidP="00C6359C">
      <w:pPr>
        <w:spacing w:after="0" w:line="240" w:lineRule="auto"/>
        <w:ind w:left="450" w:hanging="450"/>
        <w:rPr>
          <w:rFonts w:ascii="Times New Roman" w:hAnsi="Times New Roman" w:cs="Times New Roman"/>
          <w:noProof/>
        </w:rPr>
      </w:pPr>
    </w:p>
    <w:p w14:paraId="41FD307F" w14:textId="77777777" w:rsidR="00C6359C"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Dillman DA, Smyth JD, Christian LM. Internet, Mail and Mixed-Mode Surveys: The Tailored Design Method (3rd ed.). 3rd. ed. New Jersey: Wiley; 2009.</w:t>
      </w:r>
    </w:p>
    <w:p w14:paraId="79B5F50F" w14:textId="77777777" w:rsidR="00AF5EF5" w:rsidRPr="00C5430E" w:rsidRDefault="00AF5EF5" w:rsidP="00C6359C">
      <w:pPr>
        <w:spacing w:after="0" w:line="240" w:lineRule="auto"/>
        <w:ind w:left="450" w:hanging="450"/>
        <w:rPr>
          <w:rFonts w:ascii="Times New Roman" w:hAnsi="Times New Roman" w:cs="Times New Roman"/>
          <w:noProof/>
        </w:rPr>
      </w:pPr>
    </w:p>
    <w:p w14:paraId="293A5008" w14:textId="77777777" w:rsidR="006C098D" w:rsidRDefault="006C098D" w:rsidP="00C858B7">
      <w:pPr>
        <w:spacing w:after="0" w:line="240" w:lineRule="auto"/>
        <w:ind w:left="450" w:hanging="450"/>
        <w:rPr>
          <w:rFonts w:ascii="Times New Roman" w:hAnsi="Times New Roman" w:cs="Times New Roman"/>
        </w:rPr>
      </w:pPr>
      <w:r w:rsidRPr="00C5430E">
        <w:rPr>
          <w:rFonts w:ascii="Times New Roman" w:hAnsi="Times New Roman" w:cs="Times New Roman"/>
        </w:rPr>
        <w:t xml:space="preserve">Foshee, V. A., Bauman, K. E., Arriaga, X. B., Helms, R. W., Koch, G. G., &amp; Linder, G. F. (1998). An evaluation of Safe Dates, an adolescent violence prevention program. </w:t>
      </w:r>
      <w:r w:rsidRPr="00C5430E">
        <w:rPr>
          <w:rFonts w:ascii="Times New Roman" w:hAnsi="Times New Roman" w:cs="Times New Roman"/>
          <w:i/>
        </w:rPr>
        <w:t>American Journal of Public Health, 88</w:t>
      </w:r>
      <w:r w:rsidRPr="00C5430E">
        <w:rPr>
          <w:rFonts w:ascii="Times New Roman" w:hAnsi="Times New Roman" w:cs="Times New Roman"/>
        </w:rPr>
        <w:t xml:space="preserve">, 45-50. </w:t>
      </w:r>
    </w:p>
    <w:p w14:paraId="5487448C" w14:textId="77777777" w:rsidR="00AF5EF5" w:rsidRPr="00C5430E" w:rsidRDefault="00AF5EF5" w:rsidP="00C858B7">
      <w:pPr>
        <w:spacing w:after="0" w:line="240" w:lineRule="auto"/>
        <w:ind w:left="450" w:hanging="450"/>
        <w:rPr>
          <w:rFonts w:ascii="Times New Roman" w:hAnsi="Times New Roman" w:cs="Times New Roman"/>
        </w:rPr>
      </w:pPr>
    </w:p>
    <w:p w14:paraId="3D1CF8DB" w14:textId="77777777" w:rsidR="00C6359C"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Foster E, Frasier A, Morrison H, O’Connor K, Blumberg S. All Things Incentive:  Exploring the Best Combination of Incentive Conditions. In: American Association for Public Opinion Research,; May 14, 2010.</w:t>
      </w:r>
    </w:p>
    <w:p w14:paraId="645D91B0" w14:textId="77777777" w:rsidR="00AF5EF5" w:rsidRPr="00C5430E" w:rsidRDefault="00AF5EF5" w:rsidP="00C6359C">
      <w:pPr>
        <w:spacing w:after="0" w:line="240" w:lineRule="auto"/>
        <w:ind w:left="450" w:hanging="450"/>
        <w:rPr>
          <w:rFonts w:ascii="Times New Roman" w:hAnsi="Times New Roman" w:cs="Times New Roman"/>
          <w:noProof/>
        </w:rPr>
      </w:pPr>
    </w:p>
    <w:p w14:paraId="1B83BB02" w14:textId="77777777" w:rsidR="00C6359C"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Homans GC. Social Behavior: It’s Elementary Form. New York: Harcourt, Brace and World; 1961.</w:t>
      </w:r>
    </w:p>
    <w:p w14:paraId="74AAFD2D" w14:textId="77777777" w:rsidR="00AF5EF5" w:rsidRPr="00C5430E" w:rsidRDefault="00AF5EF5" w:rsidP="00C6359C">
      <w:pPr>
        <w:spacing w:after="0" w:line="240" w:lineRule="auto"/>
        <w:ind w:left="450" w:hanging="450"/>
        <w:rPr>
          <w:rFonts w:ascii="Times New Roman" w:hAnsi="Times New Roman" w:cs="Times New Roman"/>
          <w:noProof/>
        </w:rPr>
      </w:pPr>
    </w:p>
    <w:p w14:paraId="27AA0036" w14:textId="77777777" w:rsidR="00FD0B2E" w:rsidRPr="00FD0B2E" w:rsidRDefault="00FD0B2E" w:rsidP="00C858B7">
      <w:pPr>
        <w:spacing w:after="0" w:line="240" w:lineRule="auto"/>
        <w:ind w:left="450" w:hanging="450"/>
        <w:rPr>
          <w:rFonts w:ascii="Times New Roman" w:hAnsi="Times New Roman" w:cs="Times New Roman"/>
          <w:b/>
          <w:i/>
        </w:rPr>
      </w:pPr>
      <w:r w:rsidRPr="000106D0">
        <w:rPr>
          <w:rFonts w:ascii="Times New Roman" w:hAnsi="Times New Roman" w:cs="Times New Roman"/>
        </w:rPr>
        <w:t>Niolon, P. H</w:t>
      </w:r>
      <w:r w:rsidRPr="009F516A">
        <w:rPr>
          <w:rFonts w:ascii="Times New Roman" w:hAnsi="Times New Roman" w:cs="Times New Roman"/>
        </w:rPr>
        <w:t>.,</w:t>
      </w:r>
      <w:r w:rsidRPr="00FD0B2E">
        <w:rPr>
          <w:rFonts w:ascii="Times New Roman" w:hAnsi="Times New Roman" w:cs="Times New Roman"/>
        </w:rPr>
        <w:t xml:space="preserve"> Vivolo-Kantor, A. M., Latzman, N. E., Valle, L. A., Kuoh, H., Burton, T., Taylor, B., &amp; Tharp, A. T. (2015). Prevalence of teen dating violence and co-occurring risk factors among middle school youth in high risk urban communities. </w:t>
      </w:r>
      <w:r w:rsidRPr="00FD0B2E">
        <w:rPr>
          <w:rFonts w:ascii="Times New Roman" w:hAnsi="Times New Roman" w:cs="Times New Roman"/>
          <w:i/>
        </w:rPr>
        <w:t>Journal of Adolescent Health, published online.</w:t>
      </w:r>
    </w:p>
    <w:p w14:paraId="3FD6F235" w14:textId="77777777" w:rsidR="0067286A" w:rsidRPr="00C5430E" w:rsidRDefault="0067286A" w:rsidP="00C6359C">
      <w:pPr>
        <w:autoSpaceDE w:val="0"/>
        <w:autoSpaceDN w:val="0"/>
        <w:adjustRightInd w:val="0"/>
        <w:spacing w:after="0" w:line="240" w:lineRule="auto"/>
        <w:rPr>
          <w:rFonts w:ascii="Times New Roman" w:hAnsi="Times New Roman" w:cs="Times New Roman"/>
          <w:color w:val="000000"/>
        </w:rPr>
      </w:pPr>
    </w:p>
    <w:sectPr w:rsidR="0067286A" w:rsidRPr="00C5430E" w:rsidSect="0049504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A611E" w14:textId="77777777" w:rsidR="008D5DA6" w:rsidRDefault="008D5DA6" w:rsidP="00B36E3E">
      <w:pPr>
        <w:spacing w:after="0" w:line="240" w:lineRule="auto"/>
      </w:pPr>
      <w:r>
        <w:separator/>
      </w:r>
    </w:p>
  </w:endnote>
  <w:endnote w:type="continuationSeparator" w:id="0">
    <w:p w14:paraId="29A81CD1" w14:textId="77777777" w:rsidR="008D5DA6" w:rsidRDefault="008D5DA6" w:rsidP="00B36E3E">
      <w:pPr>
        <w:spacing w:after="0" w:line="240" w:lineRule="auto"/>
      </w:pPr>
      <w:r>
        <w:continuationSeparator/>
      </w:r>
    </w:p>
  </w:endnote>
  <w:endnote w:type="continuationNotice" w:id="1">
    <w:p w14:paraId="38EC694E" w14:textId="77777777" w:rsidR="008D5DA6" w:rsidRDefault="008D5D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5F0C6" w14:textId="77777777" w:rsidR="008D5DA6" w:rsidRDefault="008D5DA6" w:rsidP="00B36E3E">
      <w:pPr>
        <w:spacing w:after="0" w:line="240" w:lineRule="auto"/>
      </w:pPr>
      <w:r>
        <w:separator/>
      </w:r>
    </w:p>
  </w:footnote>
  <w:footnote w:type="continuationSeparator" w:id="0">
    <w:p w14:paraId="1722CCCA" w14:textId="77777777" w:rsidR="008D5DA6" w:rsidRDefault="008D5DA6" w:rsidP="00B36E3E">
      <w:pPr>
        <w:spacing w:after="0" w:line="240" w:lineRule="auto"/>
      </w:pPr>
      <w:r>
        <w:continuationSeparator/>
      </w:r>
    </w:p>
  </w:footnote>
  <w:footnote w:type="continuationNotice" w:id="1">
    <w:p w14:paraId="6C0910C0" w14:textId="77777777" w:rsidR="008D5DA6" w:rsidRDefault="008D5DA6">
      <w:pPr>
        <w:spacing w:after="0" w:line="240" w:lineRule="auto"/>
      </w:pPr>
    </w:p>
  </w:footnote>
  <w:footnote w:id="2">
    <w:p w14:paraId="753C8078" w14:textId="77777777" w:rsidR="005E29A4" w:rsidRDefault="005E29A4">
      <w:pPr>
        <w:pStyle w:val="FootnoteText"/>
      </w:pPr>
      <w:r>
        <w:rPr>
          <w:rStyle w:val="FootnoteReference"/>
        </w:rPr>
        <w:footnoteRef/>
      </w:r>
      <w:r>
        <w:t xml:space="preserve"> The column labeled Number of Respondents reflects a 70% response rate for the entire sample to be surveyed each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03610"/>
      <w:docPartObj>
        <w:docPartGallery w:val="Page Numbers (Top of Page)"/>
        <w:docPartUnique/>
      </w:docPartObj>
    </w:sdtPr>
    <w:sdtEndPr>
      <w:rPr>
        <w:sz w:val="22"/>
        <w:szCs w:val="22"/>
      </w:rPr>
    </w:sdtEndPr>
    <w:sdtContent>
      <w:p w14:paraId="35FABC05" w14:textId="77777777" w:rsidR="005E29A4" w:rsidRPr="00B36E3E" w:rsidRDefault="005E29A4">
        <w:pPr>
          <w:pStyle w:val="Header"/>
          <w:jc w:val="right"/>
          <w:rPr>
            <w:sz w:val="22"/>
            <w:szCs w:val="22"/>
          </w:rPr>
        </w:pPr>
        <w:r w:rsidRPr="00B36E3E">
          <w:rPr>
            <w:sz w:val="22"/>
            <w:szCs w:val="22"/>
          </w:rPr>
          <w:fldChar w:fldCharType="begin"/>
        </w:r>
        <w:r w:rsidRPr="00B36E3E">
          <w:rPr>
            <w:sz w:val="22"/>
            <w:szCs w:val="22"/>
          </w:rPr>
          <w:instrText xml:space="preserve"> PAGE   \* MERGEFORMAT </w:instrText>
        </w:r>
        <w:r w:rsidRPr="00B36E3E">
          <w:rPr>
            <w:sz w:val="22"/>
            <w:szCs w:val="22"/>
          </w:rPr>
          <w:fldChar w:fldCharType="separate"/>
        </w:r>
        <w:r w:rsidR="002529BF">
          <w:rPr>
            <w:noProof/>
            <w:sz w:val="22"/>
            <w:szCs w:val="22"/>
          </w:rPr>
          <w:t>10</w:t>
        </w:r>
        <w:r w:rsidRPr="00B36E3E">
          <w:rPr>
            <w:sz w:val="22"/>
            <w:szCs w:val="22"/>
          </w:rPr>
          <w:fldChar w:fldCharType="end"/>
        </w:r>
      </w:p>
    </w:sdtContent>
  </w:sdt>
  <w:p w14:paraId="6F0BD146" w14:textId="77777777" w:rsidR="005E29A4" w:rsidRDefault="005E2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F4EF4"/>
    <w:multiLevelType w:val="hybridMultilevel"/>
    <w:tmpl w:val="543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78575D"/>
    <w:multiLevelType w:val="hybridMultilevel"/>
    <w:tmpl w:val="826A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7B4271F"/>
    <w:multiLevelType w:val="hybridMultilevel"/>
    <w:tmpl w:val="2676F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403B87"/>
    <w:multiLevelType w:val="multilevel"/>
    <w:tmpl w:val="CBDAE06A"/>
    <w:lvl w:ilvl="0">
      <w:start w:val="10"/>
      <w:numFmt w:val="decimal"/>
      <w:lvlText w:val="%1"/>
      <w:lvlJc w:val="left"/>
      <w:pPr>
        <w:ind w:left="384" w:hanging="384"/>
      </w:pPr>
      <w:rPr>
        <w:rFonts w:hint="default"/>
        <w:i w:val="0"/>
      </w:rPr>
    </w:lvl>
    <w:lvl w:ilvl="1">
      <w:start w:val="1"/>
      <w:numFmt w:val="decimal"/>
      <w:lvlText w:val="%1.%2"/>
      <w:lvlJc w:val="left"/>
      <w:pPr>
        <w:ind w:left="384" w:hanging="38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3" w15:restartNumberingAfterBreak="0">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3"/>
  </w:num>
  <w:num w:numId="3">
    <w:abstractNumId w:val="6"/>
  </w:num>
  <w:num w:numId="4">
    <w:abstractNumId w:val="10"/>
  </w:num>
  <w:num w:numId="5">
    <w:abstractNumId w:val="4"/>
  </w:num>
  <w:num w:numId="6">
    <w:abstractNumId w:val="3"/>
  </w:num>
  <w:num w:numId="7">
    <w:abstractNumId w:val="7"/>
  </w:num>
  <w:num w:numId="8">
    <w:abstractNumId w:val="0"/>
  </w:num>
  <w:num w:numId="9">
    <w:abstractNumId w:val="9"/>
  </w:num>
  <w:num w:numId="10">
    <w:abstractNumId w:val="15"/>
  </w:num>
  <w:num w:numId="11">
    <w:abstractNumId w:val="2"/>
  </w:num>
  <w:num w:numId="12">
    <w:abstractNumId w:val="1"/>
  </w:num>
  <w:num w:numId="13">
    <w:abstractNumId w:val="5"/>
  </w:num>
  <w:num w:numId="14">
    <w:abstractNumId w:val="8"/>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8D"/>
    <w:rsid w:val="00001D78"/>
    <w:rsid w:val="00002DD8"/>
    <w:rsid w:val="00005433"/>
    <w:rsid w:val="00007F28"/>
    <w:rsid w:val="00010024"/>
    <w:rsid w:val="000106D0"/>
    <w:rsid w:val="000138E1"/>
    <w:rsid w:val="00013C11"/>
    <w:rsid w:val="00015A8B"/>
    <w:rsid w:val="0002039F"/>
    <w:rsid w:val="00020B85"/>
    <w:rsid w:val="00023461"/>
    <w:rsid w:val="00023FE1"/>
    <w:rsid w:val="00024569"/>
    <w:rsid w:val="000265BE"/>
    <w:rsid w:val="00026707"/>
    <w:rsid w:val="000300D2"/>
    <w:rsid w:val="00032688"/>
    <w:rsid w:val="00033A55"/>
    <w:rsid w:val="00037289"/>
    <w:rsid w:val="000419CE"/>
    <w:rsid w:val="000421E8"/>
    <w:rsid w:val="000429C9"/>
    <w:rsid w:val="0004362D"/>
    <w:rsid w:val="00044143"/>
    <w:rsid w:val="0004435B"/>
    <w:rsid w:val="00044CC2"/>
    <w:rsid w:val="00045DE5"/>
    <w:rsid w:val="00055193"/>
    <w:rsid w:val="0005633F"/>
    <w:rsid w:val="000563BD"/>
    <w:rsid w:val="000571C1"/>
    <w:rsid w:val="00057301"/>
    <w:rsid w:val="00061F0D"/>
    <w:rsid w:val="000620CD"/>
    <w:rsid w:val="000626E7"/>
    <w:rsid w:val="000630BD"/>
    <w:rsid w:val="000678E6"/>
    <w:rsid w:val="00067AC7"/>
    <w:rsid w:val="00081BA7"/>
    <w:rsid w:val="00081CAC"/>
    <w:rsid w:val="00082151"/>
    <w:rsid w:val="00084046"/>
    <w:rsid w:val="00084843"/>
    <w:rsid w:val="00086530"/>
    <w:rsid w:val="00086E6B"/>
    <w:rsid w:val="00090D4D"/>
    <w:rsid w:val="00095F5D"/>
    <w:rsid w:val="000965F5"/>
    <w:rsid w:val="000967F9"/>
    <w:rsid w:val="00097BF4"/>
    <w:rsid w:val="000A12D4"/>
    <w:rsid w:val="000A5F11"/>
    <w:rsid w:val="000A72EE"/>
    <w:rsid w:val="000B15FC"/>
    <w:rsid w:val="000B2C0F"/>
    <w:rsid w:val="000B2D45"/>
    <w:rsid w:val="000B38A9"/>
    <w:rsid w:val="000B45E4"/>
    <w:rsid w:val="000B4A75"/>
    <w:rsid w:val="000B5AA4"/>
    <w:rsid w:val="000B727F"/>
    <w:rsid w:val="000C05D1"/>
    <w:rsid w:val="000C11C2"/>
    <w:rsid w:val="000C1B6A"/>
    <w:rsid w:val="000C20E4"/>
    <w:rsid w:val="000C279B"/>
    <w:rsid w:val="000C354E"/>
    <w:rsid w:val="000C6F77"/>
    <w:rsid w:val="000D06F0"/>
    <w:rsid w:val="000D2B0A"/>
    <w:rsid w:val="000D3B3C"/>
    <w:rsid w:val="000E72B1"/>
    <w:rsid w:val="000F02E1"/>
    <w:rsid w:val="000F23AC"/>
    <w:rsid w:val="00101C5D"/>
    <w:rsid w:val="00103C92"/>
    <w:rsid w:val="00110FEE"/>
    <w:rsid w:val="00111C62"/>
    <w:rsid w:val="00112690"/>
    <w:rsid w:val="001148E9"/>
    <w:rsid w:val="0011793C"/>
    <w:rsid w:val="0012538A"/>
    <w:rsid w:val="00125B35"/>
    <w:rsid w:val="00130249"/>
    <w:rsid w:val="001331FD"/>
    <w:rsid w:val="001356A8"/>
    <w:rsid w:val="00140C86"/>
    <w:rsid w:val="00141199"/>
    <w:rsid w:val="001462AB"/>
    <w:rsid w:val="001537F8"/>
    <w:rsid w:val="0015675A"/>
    <w:rsid w:val="0016057B"/>
    <w:rsid w:val="00160BC0"/>
    <w:rsid w:val="001615AC"/>
    <w:rsid w:val="00163D33"/>
    <w:rsid w:val="00167288"/>
    <w:rsid w:val="0017030B"/>
    <w:rsid w:val="001708BE"/>
    <w:rsid w:val="00170EEE"/>
    <w:rsid w:val="001717D1"/>
    <w:rsid w:val="0017214D"/>
    <w:rsid w:val="001732E5"/>
    <w:rsid w:val="0017643D"/>
    <w:rsid w:val="00176974"/>
    <w:rsid w:val="00181695"/>
    <w:rsid w:val="0018200B"/>
    <w:rsid w:val="0018359E"/>
    <w:rsid w:val="0018370C"/>
    <w:rsid w:val="0019425B"/>
    <w:rsid w:val="001A0F20"/>
    <w:rsid w:val="001A4517"/>
    <w:rsid w:val="001A52B2"/>
    <w:rsid w:val="001B0F62"/>
    <w:rsid w:val="001B1DF0"/>
    <w:rsid w:val="001B29A1"/>
    <w:rsid w:val="001B3BF0"/>
    <w:rsid w:val="001B3EF3"/>
    <w:rsid w:val="001B4787"/>
    <w:rsid w:val="001B6A55"/>
    <w:rsid w:val="001B74A6"/>
    <w:rsid w:val="001C1579"/>
    <w:rsid w:val="001C716E"/>
    <w:rsid w:val="001D1016"/>
    <w:rsid w:val="001E04C2"/>
    <w:rsid w:val="001E340B"/>
    <w:rsid w:val="001E45EE"/>
    <w:rsid w:val="001E5AE0"/>
    <w:rsid w:val="001F136B"/>
    <w:rsid w:val="001F556B"/>
    <w:rsid w:val="00202FA7"/>
    <w:rsid w:val="00204484"/>
    <w:rsid w:val="00205BA2"/>
    <w:rsid w:val="00205E45"/>
    <w:rsid w:val="00206AAB"/>
    <w:rsid w:val="00207CDF"/>
    <w:rsid w:val="00210E4C"/>
    <w:rsid w:val="002133F9"/>
    <w:rsid w:val="00215A08"/>
    <w:rsid w:val="00216B11"/>
    <w:rsid w:val="00217940"/>
    <w:rsid w:val="00224D32"/>
    <w:rsid w:val="002328C1"/>
    <w:rsid w:val="00233FEB"/>
    <w:rsid w:val="00235DDD"/>
    <w:rsid w:val="00240B32"/>
    <w:rsid w:val="00242BC0"/>
    <w:rsid w:val="00243781"/>
    <w:rsid w:val="00246D7E"/>
    <w:rsid w:val="002502EE"/>
    <w:rsid w:val="0025147F"/>
    <w:rsid w:val="002529BF"/>
    <w:rsid w:val="00253FB8"/>
    <w:rsid w:val="00254FDE"/>
    <w:rsid w:val="00255C35"/>
    <w:rsid w:val="00257120"/>
    <w:rsid w:val="00263E6F"/>
    <w:rsid w:val="00266329"/>
    <w:rsid w:val="00267241"/>
    <w:rsid w:val="0026729F"/>
    <w:rsid w:val="002677F8"/>
    <w:rsid w:val="0027183A"/>
    <w:rsid w:val="00273F50"/>
    <w:rsid w:val="002747C8"/>
    <w:rsid w:val="00276C0B"/>
    <w:rsid w:val="0028385F"/>
    <w:rsid w:val="00286B54"/>
    <w:rsid w:val="0029107E"/>
    <w:rsid w:val="002922A0"/>
    <w:rsid w:val="00293060"/>
    <w:rsid w:val="00296DF7"/>
    <w:rsid w:val="00297664"/>
    <w:rsid w:val="00297AAE"/>
    <w:rsid w:val="002A198A"/>
    <w:rsid w:val="002A4242"/>
    <w:rsid w:val="002A5D36"/>
    <w:rsid w:val="002B224A"/>
    <w:rsid w:val="002B7205"/>
    <w:rsid w:val="002C1DB1"/>
    <w:rsid w:val="002C431D"/>
    <w:rsid w:val="002C4E88"/>
    <w:rsid w:val="002D0556"/>
    <w:rsid w:val="002D19BF"/>
    <w:rsid w:val="002D1A4E"/>
    <w:rsid w:val="002D71A8"/>
    <w:rsid w:val="002E013F"/>
    <w:rsid w:val="002E25E0"/>
    <w:rsid w:val="002E3B1C"/>
    <w:rsid w:val="002E6018"/>
    <w:rsid w:val="002F18BF"/>
    <w:rsid w:val="002F19B3"/>
    <w:rsid w:val="002F1A91"/>
    <w:rsid w:val="002F3AE7"/>
    <w:rsid w:val="002F5652"/>
    <w:rsid w:val="002F6D76"/>
    <w:rsid w:val="002F7A31"/>
    <w:rsid w:val="0030299C"/>
    <w:rsid w:val="00307954"/>
    <w:rsid w:val="00312D5D"/>
    <w:rsid w:val="0031464E"/>
    <w:rsid w:val="00316610"/>
    <w:rsid w:val="003210D0"/>
    <w:rsid w:val="00323ACE"/>
    <w:rsid w:val="00323D8D"/>
    <w:rsid w:val="00323F55"/>
    <w:rsid w:val="003332C3"/>
    <w:rsid w:val="00333609"/>
    <w:rsid w:val="00333980"/>
    <w:rsid w:val="003359B8"/>
    <w:rsid w:val="00336B9D"/>
    <w:rsid w:val="00341398"/>
    <w:rsid w:val="00343642"/>
    <w:rsid w:val="00344915"/>
    <w:rsid w:val="00346375"/>
    <w:rsid w:val="00350D08"/>
    <w:rsid w:val="003520CA"/>
    <w:rsid w:val="003543C5"/>
    <w:rsid w:val="00355D49"/>
    <w:rsid w:val="00362F43"/>
    <w:rsid w:val="00371D46"/>
    <w:rsid w:val="0037547C"/>
    <w:rsid w:val="003760A3"/>
    <w:rsid w:val="00376A28"/>
    <w:rsid w:val="003834DA"/>
    <w:rsid w:val="003847A9"/>
    <w:rsid w:val="00386444"/>
    <w:rsid w:val="00390846"/>
    <w:rsid w:val="0039750C"/>
    <w:rsid w:val="003A19B7"/>
    <w:rsid w:val="003A473B"/>
    <w:rsid w:val="003B171C"/>
    <w:rsid w:val="003B1D2D"/>
    <w:rsid w:val="003B2F3E"/>
    <w:rsid w:val="003B4304"/>
    <w:rsid w:val="003C7D27"/>
    <w:rsid w:val="003D048D"/>
    <w:rsid w:val="003D1F04"/>
    <w:rsid w:val="003D4378"/>
    <w:rsid w:val="003E251A"/>
    <w:rsid w:val="003E2BB6"/>
    <w:rsid w:val="003E3442"/>
    <w:rsid w:val="003E386F"/>
    <w:rsid w:val="003E4CF9"/>
    <w:rsid w:val="003E5713"/>
    <w:rsid w:val="003E5D59"/>
    <w:rsid w:val="003E64E2"/>
    <w:rsid w:val="003E67ED"/>
    <w:rsid w:val="003F1312"/>
    <w:rsid w:val="003F290D"/>
    <w:rsid w:val="00401F23"/>
    <w:rsid w:val="004030C4"/>
    <w:rsid w:val="0040576A"/>
    <w:rsid w:val="00407BFB"/>
    <w:rsid w:val="004136C2"/>
    <w:rsid w:val="00413C6A"/>
    <w:rsid w:val="00417366"/>
    <w:rsid w:val="0042054B"/>
    <w:rsid w:val="004277FC"/>
    <w:rsid w:val="0043082C"/>
    <w:rsid w:val="00431300"/>
    <w:rsid w:val="004323D0"/>
    <w:rsid w:val="00433EC8"/>
    <w:rsid w:val="00436849"/>
    <w:rsid w:val="00440D85"/>
    <w:rsid w:val="00447679"/>
    <w:rsid w:val="004555D3"/>
    <w:rsid w:val="00455CF2"/>
    <w:rsid w:val="00470D05"/>
    <w:rsid w:val="00476742"/>
    <w:rsid w:val="004770F5"/>
    <w:rsid w:val="0047731A"/>
    <w:rsid w:val="00477552"/>
    <w:rsid w:val="00481DB9"/>
    <w:rsid w:val="004859CE"/>
    <w:rsid w:val="004873CD"/>
    <w:rsid w:val="0048785D"/>
    <w:rsid w:val="0049145A"/>
    <w:rsid w:val="00495045"/>
    <w:rsid w:val="00497858"/>
    <w:rsid w:val="004A0A12"/>
    <w:rsid w:val="004A787A"/>
    <w:rsid w:val="004B29D4"/>
    <w:rsid w:val="004B3353"/>
    <w:rsid w:val="004B3396"/>
    <w:rsid w:val="004C272B"/>
    <w:rsid w:val="004C3179"/>
    <w:rsid w:val="004C3DA8"/>
    <w:rsid w:val="004C6763"/>
    <w:rsid w:val="004D1903"/>
    <w:rsid w:val="004D1E74"/>
    <w:rsid w:val="004E0855"/>
    <w:rsid w:val="004E13F0"/>
    <w:rsid w:val="004E470F"/>
    <w:rsid w:val="004E609E"/>
    <w:rsid w:val="004E6E49"/>
    <w:rsid w:val="004E7461"/>
    <w:rsid w:val="004F31A4"/>
    <w:rsid w:val="004F3E0A"/>
    <w:rsid w:val="004F66A5"/>
    <w:rsid w:val="004F6B8C"/>
    <w:rsid w:val="004F71D9"/>
    <w:rsid w:val="005009BD"/>
    <w:rsid w:val="00503F39"/>
    <w:rsid w:val="00504708"/>
    <w:rsid w:val="00505387"/>
    <w:rsid w:val="005078C6"/>
    <w:rsid w:val="005079F5"/>
    <w:rsid w:val="00511C69"/>
    <w:rsid w:val="00512480"/>
    <w:rsid w:val="00512E76"/>
    <w:rsid w:val="005135DF"/>
    <w:rsid w:val="005147BF"/>
    <w:rsid w:val="0052326E"/>
    <w:rsid w:val="00524E53"/>
    <w:rsid w:val="005253E5"/>
    <w:rsid w:val="00526196"/>
    <w:rsid w:val="005268AB"/>
    <w:rsid w:val="00530D58"/>
    <w:rsid w:val="00534AB2"/>
    <w:rsid w:val="0053799A"/>
    <w:rsid w:val="00537B97"/>
    <w:rsid w:val="0054013A"/>
    <w:rsid w:val="0054493E"/>
    <w:rsid w:val="0055209C"/>
    <w:rsid w:val="00554C48"/>
    <w:rsid w:val="005560CF"/>
    <w:rsid w:val="005614F6"/>
    <w:rsid w:val="005666BB"/>
    <w:rsid w:val="00566AB1"/>
    <w:rsid w:val="00570F0B"/>
    <w:rsid w:val="00571652"/>
    <w:rsid w:val="00572402"/>
    <w:rsid w:val="005777CB"/>
    <w:rsid w:val="00582C6E"/>
    <w:rsid w:val="00584A8D"/>
    <w:rsid w:val="005860EF"/>
    <w:rsid w:val="005939AE"/>
    <w:rsid w:val="005943FE"/>
    <w:rsid w:val="005A1422"/>
    <w:rsid w:val="005A2509"/>
    <w:rsid w:val="005A5AF1"/>
    <w:rsid w:val="005B2245"/>
    <w:rsid w:val="005B387F"/>
    <w:rsid w:val="005B4A5C"/>
    <w:rsid w:val="005B6F9A"/>
    <w:rsid w:val="005C4EF0"/>
    <w:rsid w:val="005C6BAE"/>
    <w:rsid w:val="005D07A4"/>
    <w:rsid w:val="005D620F"/>
    <w:rsid w:val="005D6C69"/>
    <w:rsid w:val="005E29A4"/>
    <w:rsid w:val="005E54EB"/>
    <w:rsid w:val="005E6573"/>
    <w:rsid w:val="005F0342"/>
    <w:rsid w:val="005F1191"/>
    <w:rsid w:val="0060643C"/>
    <w:rsid w:val="00607C63"/>
    <w:rsid w:val="00610069"/>
    <w:rsid w:val="0061276C"/>
    <w:rsid w:val="006128CD"/>
    <w:rsid w:val="00615971"/>
    <w:rsid w:val="00620B8D"/>
    <w:rsid w:val="00621D1F"/>
    <w:rsid w:val="00622568"/>
    <w:rsid w:val="00622BC2"/>
    <w:rsid w:val="00623D4F"/>
    <w:rsid w:val="00627FC0"/>
    <w:rsid w:val="00630174"/>
    <w:rsid w:val="00634406"/>
    <w:rsid w:val="0064580B"/>
    <w:rsid w:val="0064786C"/>
    <w:rsid w:val="00650810"/>
    <w:rsid w:val="006545FF"/>
    <w:rsid w:val="0065476E"/>
    <w:rsid w:val="0065691E"/>
    <w:rsid w:val="00657644"/>
    <w:rsid w:val="00657EC1"/>
    <w:rsid w:val="00660128"/>
    <w:rsid w:val="00661663"/>
    <w:rsid w:val="0066362D"/>
    <w:rsid w:val="00663C49"/>
    <w:rsid w:val="0066457B"/>
    <w:rsid w:val="00671979"/>
    <w:rsid w:val="0067222E"/>
    <w:rsid w:val="0067286A"/>
    <w:rsid w:val="00673681"/>
    <w:rsid w:val="0067408A"/>
    <w:rsid w:val="0067655E"/>
    <w:rsid w:val="00676785"/>
    <w:rsid w:val="0067796F"/>
    <w:rsid w:val="00680F85"/>
    <w:rsid w:val="0068195F"/>
    <w:rsid w:val="00682191"/>
    <w:rsid w:val="00691B44"/>
    <w:rsid w:val="00694199"/>
    <w:rsid w:val="0069566D"/>
    <w:rsid w:val="006A4F85"/>
    <w:rsid w:val="006B486A"/>
    <w:rsid w:val="006C098D"/>
    <w:rsid w:val="006C3A55"/>
    <w:rsid w:val="006C3B53"/>
    <w:rsid w:val="006C4A69"/>
    <w:rsid w:val="006C5128"/>
    <w:rsid w:val="006C61D3"/>
    <w:rsid w:val="006C685B"/>
    <w:rsid w:val="006C7C09"/>
    <w:rsid w:val="006D2416"/>
    <w:rsid w:val="006D2FB4"/>
    <w:rsid w:val="006D3676"/>
    <w:rsid w:val="006D4048"/>
    <w:rsid w:val="006D4FCF"/>
    <w:rsid w:val="006E2076"/>
    <w:rsid w:val="006E3AF3"/>
    <w:rsid w:val="006E79D3"/>
    <w:rsid w:val="006F041D"/>
    <w:rsid w:val="006F08F3"/>
    <w:rsid w:val="006F1474"/>
    <w:rsid w:val="006F1D7B"/>
    <w:rsid w:val="006F1E49"/>
    <w:rsid w:val="006F211E"/>
    <w:rsid w:val="006F27BA"/>
    <w:rsid w:val="006F28F4"/>
    <w:rsid w:val="006F54D2"/>
    <w:rsid w:val="006F648D"/>
    <w:rsid w:val="00701AFF"/>
    <w:rsid w:val="00706009"/>
    <w:rsid w:val="0071088F"/>
    <w:rsid w:val="007118CE"/>
    <w:rsid w:val="00715B43"/>
    <w:rsid w:val="00716E51"/>
    <w:rsid w:val="00717DAA"/>
    <w:rsid w:val="0072099B"/>
    <w:rsid w:val="00724C3D"/>
    <w:rsid w:val="00724FD3"/>
    <w:rsid w:val="00725D39"/>
    <w:rsid w:val="007263E8"/>
    <w:rsid w:val="007273EF"/>
    <w:rsid w:val="007301EE"/>
    <w:rsid w:val="00731DCA"/>
    <w:rsid w:val="00737078"/>
    <w:rsid w:val="00742A5C"/>
    <w:rsid w:val="00742A6C"/>
    <w:rsid w:val="00743441"/>
    <w:rsid w:val="00743949"/>
    <w:rsid w:val="00746E54"/>
    <w:rsid w:val="00747B35"/>
    <w:rsid w:val="0075094E"/>
    <w:rsid w:val="007549D6"/>
    <w:rsid w:val="007558C6"/>
    <w:rsid w:val="00763ABC"/>
    <w:rsid w:val="007643E9"/>
    <w:rsid w:val="00764688"/>
    <w:rsid w:val="00772C31"/>
    <w:rsid w:val="00780469"/>
    <w:rsid w:val="00780A00"/>
    <w:rsid w:val="00780E7A"/>
    <w:rsid w:val="00783515"/>
    <w:rsid w:val="0078457F"/>
    <w:rsid w:val="0078566E"/>
    <w:rsid w:val="00787878"/>
    <w:rsid w:val="00792BAE"/>
    <w:rsid w:val="00793CE6"/>
    <w:rsid w:val="007955AB"/>
    <w:rsid w:val="007A0E87"/>
    <w:rsid w:val="007A11B7"/>
    <w:rsid w:val="007A2502"/>
    <w:rsid w:val="007A2AAF"/>
    <w:rsid w:val="007A3331"/>
    <w:rsid w:val="007A3F3C"/>
    <w:rsid w:val="007A61C1"/>
    <w:rsid w:val="007A78A9"/>
    <w:rsid w:val="007B0825"/>
    <w:rsid w:val="007B38D9"/>
    <w:rsid w:val="007B4E6E"/>
    <w:rsid w:val="007C40CD"/>
    <w:rsid w:val="007D38E6"/>
    <w:rsid w:val="007D5829"/>
    <w:rsid w:val="007D709E"/>
    <w:rsid w:val="007E1DBD"/>
    <w:rsid w:val="007E4D8C"/>
    <w:rsid w:val="007E5098"/>
    <w:rsid w:val="007E6AFE"/>
    <w:rsid w:val="007F4A11"/>
    <w:rsid w:val="007F612D"/>
    <w:rsid w:val="00800711"/>
    <w:rsid w:val="00802FBF"/>
    <w:rsid w:val="0080538E"/>
    <w:rsid w:val="00816BC8"/>
    <w:rsid w:val="0082108C"/>
    <w:rsid w:val="00821212"/>
    <w:rsid w:val="00821233"/>
    <w:rsid w:val="00821E00"/>
    <w:rsid w:val="00824AF0"/>
    <w:rsid w:val="008259C3"/>
    <w:rsid w:val="008263BC"/>
    <w:rsid w:val="008304B8"/>
    <w:rsid w:val="00832FC2"/>
    <w:rsid w:val="00835939"/>
    <w:rsid w:val="00836FCA"/>
    <w:rsid w:val="0084525A"/>
    <w:rsid w:val="00846D4D"/>
    <w:rsid w:val="008525AC"/>
    <w:rsid w:val="00852BAD"/>
    <w:rsid w:val="00854624"/>
    <w:rsid w:val="00856554"/>
    <w:rsid w:val="008576ED"/>
    <w:rsid w:val="008603CC"/>
    <w:rsid w:val="008617FE"/>
    <w:rsid w:val="00865443"/>
    <w:rsid w:val="0087308F"/>
    <w:rsid w:val="00874477"/>
    <w:rsid w:val="00885554"/>
    <w:rsid w:val="00886608"/>
    <w:rsid w:val="008906CD"/>
    <w:rsid w:val="00895E19"/>
    <w:rsid w:val="00897935"/>
    <w:rsid w:val="008A101A"/>
    <w:rsid w:val="008A1160"/>
    <w:rsid w:val="008A2E16"/>
    <w:rsid w:val="008A37C3"/>
    <w:rsid w:val="008A72A5"/>
    <w:rsid w:val="008B1996"/>
    <w:rsid w:val="008B26DD"/>
    <w:rsid w:val="008B6A0E"/>
    <w:rsid w:val="008B6BD2"/>
    <w:rsid w:val="008D346C"/>
    <w:rsid w:val="008D35A4"/>
    <w:rsid w:val="008D54CD"/>
    <w:rsid w:val="008D5DA6"/>
    <w:rsid w:val="008E33A1"/>
    <w:rsid w:val="008E6E03"/>
    <w:rsid w:val="008E7CBF"/>
    <w:rsid w:val="008F10D6"/>
    <w:rsid w:val="008F1DEC"/>
    <w:rsid w:val="008F70F1"/>
    <w:rsid w:val="008F7D31"/>
    <w:rsid w:val="00905CC4"/>
    <w:rsid w:val="00906BF1"/>
    <w:rsid w:val="00910DEC"/>
    <w:rsid w:val="009121A9"/>
    <w:rsid w:val="00915525"/>
    <w:rsid w:val="00922191"/>
    <w:rsid w:val="00925DC8"/>
    <w:rsid w:val="009267CB"/>
    <w:rsid w:val="00934B86"/>
    <w:rsid w:val="009352AA"/>
    <w:rsid w:val="009404A0"/>
    <w:rsid w:val="00941BF6"/>
    <w:rsid w:val="00943DC3"/>
    <w:rsid w:val="009441EC"/>
    <w:rsid w:val="00951750"/>
    <w:rsid w:val="00952002"/>
    <w:rsid w:val="009608D1"/>
    <w:rsid w:val="0096764C"/>
    <w:rsid w:val="00971A74"/>
    <w:rsid w:val="009754A8"/>
    <w:rsid w:val="00983731"/>
    <w:rsid w:val="00986EBB"/>
    <w:rsid w:val="009929A8"/>
    <w:rsid w:val="009962DA"/>
    <w:rsid w:val="00997C99"/>
    <w:rsid w:val="009A1AFB"/>
    <w:rsid w:val="009A57AE"/>
    <w:rsid w:val="009A6D3C"/>
    <w:rsid w:val="009B0679"/>
    <w:rsid w:val="009B0964"/>
    <w:rsid w:val="009B14B9"/>
    <w:rsid w:val="009B1AAF"/>
    <w:rsid w:val="009C08F9"/>
    <w:rsid w:val="009C2666"/>
    <w:rsid w:val="009C3347"/>
    <w:rsid w:val="009C570F"/>
    <w:rsid w:val="009C673F"/>
    <w:rsid w:val="009D4FE5"/>
    <w:rsid w:val="009D65AF"/>
    <w:rsid w:val="009D6EF2"/>
    <w:rsid w:val="009E3F35"/>
    <w:rsid w:val="009E575E"/>
    <w:rsid w:val="009F3324"/>
    <w:rsid w:val="009F516A"/>
    <w:rsid w:val="009F636A"/>
    <w:rsid w:val="00A012E9"/>
    <w:rsid w:val="00A01B4C"/>
    <w:rsid w:val="00A15A34"/>
    <w:rsid w:val="00A17BC2"/>
    <w:rsid w:val="00A17D52"/>
    <w:rsid w:val="00A17D66"/>
    <w:rsid w:val="00A2330D"/>
    <w:rsid w:val="00A239A7"/>
    <w:rsid w:val="00A24451"/>
    <w:rsid w:val="00A24E42"/>
    <w:rsid w:val="00A32287"/>
    <w:rsid w:val="00A3368F"/>
    <w:rsid w:val="00A402A7"/>
    <w:rsid w:val="00A40831"/>
    <w:rsid w:val="00A414F4"/>
    <w:rsid w:val="00A415EF"/>
    <w:rsid w:val="00A4175B"/>
    <w:rsid w:val="00A41B0F"/>
    <w:rsid w:val="00A433A6"/>
    <w:rsid w:val="00A468AA"/>
    <w:rsid w:val="00A47322"/>
    <w:rsid w:val="00A5190E"/>
    <w:rsid w:val="00A52AD9"/>
    <w:rsid w:val="00A54113"/>
    <w:rsid w:val="00A56739"/>
    <w:rsid w:val="00A56DDE"/>
    <w:rsid w:val="00A61576"/>
    <w:rsid w:val="00A62E72"/>
    <w:rsid w:val="00A6427E"/>
    <w:rsid w:val="00A71312"/>
    <w:rsid w:val="00A71AED"/>
    <w:rsid w:val="00A73FBC"/>
    <w:rsid w:val="00A767D1"/>
    <w:rsid w:val="00A8128D"/>
    <w:rsid w:val="00A84D5D"/>
    <w:rsid w:val="00A84D89"/>
    <w:rsid w:val="00A95730"/>
    <w:rsid w:val="00A96D97"/>
    <w:rsid w:val="00AA0FE4"/>
    <w:rsid w:val="00AA2808"/>
    <w:rsid w:val="00AA5042"/>
    <w:rsid w:val="00AA58CF"/>
    <w:rsid w:val="00AA5A40"/>
    <w:rsid w:val="00AA739B"/>
    <w:rsid w:val="00AA7B6A"/>
    <w:rsid w:val="00AB149F"/>
    <w:rsid w:val="00AB1B1C"/>
    <w:rsid w:val="00AB2340"/>
    <w:rsid w:val="00AB5020"/>
    <w:rsid w:val="00AC0ECD"/>
    <w:rsid w:val="00AC1A77"/>
    <w:rsid w:val="00AC2BDD"/>
    <w:rsid w:val="00AC7394"/>
    <w:rsid w:val="00AC73C9"/>
    <w:rsid w:val="00AD39D8"/>
    <w:rsid w:val="00AD4568"/>
    <w:rsid w:val="00AE2A1B"/>
    <w:rsid w:val="00AF20E6"/>
    <w:rsid w:val="00AF4DBD"/>
    <w:rsid w:val="00AF5EF5"/>
    <w:rsid w:val="00AF6D07"/>
    <w:rsid w:val="00B0372F"/>
    <w:rsid w:val="00B03DDC"/>
    <w:rsid w:val="00B068A6"/>
    <w:rsid w:val="00B1033E"/>
    <w:rsid w:val="00B140C5"/>
    <w:rsid w:val="00B17BA6"/>
    <w:rsid w:val="00B2037A"/>
    <w:rsid w:val="00B2219D"/>
    <w:rsid w:val="00B302DC"/>
    <w:rsid w:val="00B307C4"/>
    <w:rsid w:val="00B31F3A"/>
    <w:rsid w:val="00B33C45"/>
    <w:rsid w:val="00B34C0B"/>
    <w:rsid w:val="00B359D5"/>
    <w:rsid w:val="00B36E3E"/>
    <w:rsid w:val="00B44577"/>
    <w:rsid w:val="00B44962"/>
    <w:rsid w:val="00B4527F"/>
    <w:rsid w:val="00B46EB6"/>
    <w:rsid w:val="00B50821"/>
    <w:rsid w:val="00B52894"/>
    <w:rsid w:val="00B553A0"/>
    <w:rsid w:val="00B5711C"/>
    <w:rsid w:val="00B57B7B"/>
    <w:rsid w:val="00B71032"/>
    <w:rsid w:val="00B71191"/>
    <w:rsid w:val="00B71E0C"/>
    <w:rsid w:val="00B7234F"/>
    <w:rsid w:val="00B72DC1"/>
    <w:rsid w:val="00B75F74"/>
    <w:rsid w:val="00B761E8"/>
    <w:rsid w:val="00B76B1F"/>
    <w:rsid w:val="00B7740C"/>
    <w:rsid w:val="00B80927"/>
    <w:rsid w:val="00B80E80"/>
    <w:rsid w:val="00B83CEA"/>
    <w:rsid w:val="00B86729"/>
    <w:rsid w:val="00B87759"/>
    <w:rsid w:val="00B90DA2"/>
    <w:rsid w:val="00B911F9"/>
    <w:rsid w:val="00B94738"/>
    <w:rsid w:val="00B948C1"/>
    <w:rsid w:val="00B955D8"/>
    <w:rsid w:val="00B95709"/>
    <w:rsid w:val="00B969D8"/>
    <w:rsid w:val="00B96DB7"/>
    <w:rsid w:val="00B96DCA"/>
    <w:rsid w:val="00BA0A15"/>
    <w:rsid w:val="00BA1AB1"/>
    <w:rsid w:val="00BA25E1"/>
    <w:rsid w:val="00BA2E40"/>
    <w:rsid w:val="00BA320D"/>
    <w:rsid w:val="00BA57F7"/>
    <w:rsid w:val="00BB328A"/>
    <w:rsid w:val="00BB3F0B"/>
    <w:rsid w:val="00BC1B61"/>
    <w:rsid w:val="00BD41F4"/>
    <w:rsid w:val="00BD57B9"/>
    <w:rsid w:val="00BD6C72"/>
    <w:rsid w:val="00BE2A85"/>
    <w:rsid w:val="00BE3702"/>
    <w:rsid w:val="00BE4ED7"/>
    <w:rsid w:val="00BF3DC4"/>
    <w:rsid w:val="00BF4F4B"/>
    <w:rsid w:val="00BF6BFC"/>
    <w:rsid w:val="00C003CD"/>
    <w:rsid w:val="00C0230E"/>
    <w:rsid w:val="00C04DD8"/>
    <w:rsid w:val="00C05704"/>
    <w:rsid w:val="00C06F0A"/>
    <w:rsid w:val="00C13545"/>
    <w:rsid w:val="00C13C3E"/>
    <w:rsid w:val="00C164FF"/>
    <w:rsid w:val="00C26C47"/>
    <w:rsid w:val="00C271D0"/>
    <w:rsid w:val="00C32A24"/>
    <w:rsid w:val="00C4012C"/>
    <w:rsid w:val="00C41313"/>
    <w:rsid w:val="00C4300A"/>
    <w:rsid w:val="00C43EA7"/>
    <w:rsid w:val="00C44198"/>
    <w:rsid w:val="00C46B84"/>
    <w:rsid w:val="00C46BED"/>
    <w:rsid w:val="00C47EC9"/>
    <w:rsid w:val="00C5430E"/>
    <w:rsid w:val="00C6120C"/>
    <w:rsid w:val="00C6359C"/>
    <w:rsid w:val="00C64DF0"/>
    <w:rsid w:val="00C652F0"/>
    <w:rsid w:val="00C66772"/>
    <w:rsid w:val="00C70DE6"/>
    <w:rsid w:val="00C7158B"/>
    <w:rsid w:val="00C73E66"/>
    <w:rsid w:val="00C77BE9"/>
    <w:rsid w:val="00C80AC8"/>
    <w:rsid w:val="00C8101E"/>
    <w:rsid w:val="00C81F48"/>
    <w:rsid w:val="00C82480"/>
    <w:rsid w:val="00C848DE"/>
    <w:rsid w:val="00C85141"/>
    <w:rsid w:val="00C858B7"/>
    <w:rsid w:val="00C910DC"/>
    <w:rsid w:val="00C94CC6"/>
    <w:rsid w:val="00C95562"/>
    <w:rsid w:val="00C95DC2"/>
    <w:rsid w:val="00C96A4F"/>
    <w:rsid w:val="00CA3876"/>
    <w:rsid w:val="00CA393C"/>
    <w:rsid w:val="00CA47A8"/>
    <w:rsid w:val="00CA5940"/>
    <w:rsid w:val="00CA6098"/>
    <w:rsid w:val="00CA718A"/>
    <w:rsid w:val="00CB019A"/>
    <w:rsid w:val="00CB2637"/>
    <w:rsid w:val="00CB5860"/>
    <w:rsid w:val="00CC1FAF"/>
    <w:rsid w:val="00CC3B94"/>
    <w:rsid w:val="00CC4D30"/>
    <w:rsid w:val="00CC7B93"/>
    <w:rsid w:val="00CD19E4"/>
    <w:rsid w:val="00CD1DD6"/>
    <w:rsid w:val="00CD32EA"/>
    <w:rsid w:val="00CD3446"/>
    <w:rsid w:val="00CD37C2"/>
    <w:rsid w:val="00CD3892"/>
    <w:rsid w:val="00CE3762"/>
    <w:rsid w:val="00CF245F"/>
    <w:rsid w:val="00CF75A6"/>
    <w:rsid w:val="00D00F75"/>
    <w:rsid w:val="00D045C4"/>
    <w:rsid w:val="00D047F8"/>
    <w:rsid w:val="00D0719A"/>
    <w:rsid w:val="00D21586"/>
    <w:rsid w:val="00D23CFD"/>
    <w:rsid w:val="00D25D26"/>
    <w:rsid w:val="00D306CF"/>
    <w:rsid w:val="00D337CD"/>
    <w:rsid w:val="00D35F1B"/>
    <w:rsid w:val="00D37F22"/>
    <w:rsid w:val="00D41020"/>
    <w:rsid w:val="00D43AEB"/>
    <w:rsid w:val="00D47A25"/>
    <w:rsid w:val="00D5142D"/>
    <w:rsid w:val="00D534B0"/>
    <w:rsid w:val="00D57051"/>
    <w:rsid w:val="00D60B1B"/>
    <w:rsid w:val="00D60B8B"/>
    <w:rsid w:val="00D65BAE"/>
    <w:rsid w:val="00D666C0"/>
    <w:rsid w:val="00D70A78"/>
    <w:rsid w:val="00D751B5"/>
    <w:rsid w:val="00D76677"/>
    <w:rsid w:val="00D7670D"/>
    <w:rsid w:val="00D772E7"/>
    <w:rsid w:val="00D777EA"/>
    <w:rsid w:val="00D80660"/>
    <w:rsid w:val="00D81F66"/>
    <w:rsid w:val="00D8780F"/>
    <w:rsid w:val="00D87D7F"/>
    <w:rsid w:val="00D93ADD"/>
    <w:rsid w:val="00D952B1"/>
    <w:rsid w:val="00D956BD"/>
    <w:rsid w:val="00DA017A"/>
    <w:rsid w:val="00DA0351"/>
    <w:rsid w:val="00DA1C32"/>
    <w:rsid w:val="00DA25B3"/>
    <w:rsid w:val="00DA2A45"/>
    <w:rsid w:val="00DB0930"/>
    <w:rsid w:val="00DB5513"/>
    <w:rsid w:val="00DB6764"/>
    <w:rsid w:val="00DC1DE7"/>
    <w:rsid w:val="00DC3032"/>
    <w:rsid w:val="00DC4C1B"/>
    <w:rsid w:val="00DC59CF"/>
    <w:rsid w:val="00DD4416"/>
    <w:rsid w:val="00DD5EB9"/>
    <w:rsid w:val="00DD6434"/>
    <w:rsid w:val="00DD7A6A"/>
    <w:rsid w:val="00DE3530"/>
    <w:rsid w:val="00DE5D99"/>
    <w:rsid w:val="00DF016F"/>
    <w:rsid w:val="00DF3C94"/>
    <w:rsid w:val="00DF480E"/>
    <w:rsid w:val="00E00FAC"/>
    <w:rsid w:val="00E015FF"/>
    <w:rsid w:val="00E02C3C"/>
    <w:rsid w:val="00E15CDE"/>
    <w:rsid w:val="00E25C98"/>
    <w:rsid w:val="00E27390"/>
    <w:rsid w:val="00E34C84"/>
    <w:rsid w:val="00E413DC"/>
    <w:rsid w:val="00E45935"/>
    <w:rsid w:val="00E45988"/>
    <w:rsid w:val="00E468B3"/>
    <w:rsid w:val="00E47613"/>
    <w:rsid w:val="00E47F59"/>
    <w:rsid w:val="00E5244D"/>
    <w:rsid w:val="00E5429E"/>
    <w:rsid w:val="00E54A32"/>
    <w:rsid w:val="00E56815"/>
    <w:rsid w:val="00E6335D"/>
    <w:rsid w:val="00E662BD"/>
    <w:rsid w:val="00E70C8A"/>
    <w:rsid w:val="00E7521E"/>
    <w:rsid w:val="00E76926"/>
    <w:rsid w:val="00E7775B"/>
    <w:rsid w:val="00E77E7E"/>
    <w:rsid w:val="00E87870"/>
    <w:rsid w:val="00E91F66"/>
    <w:rsid w:val="00E965BE"/>
    <w:rsid w:val="00EA13AB"/>
    <w:rsid w:val="00EA39AE"/>
    <w:rsid w:val="00EA5AA1"/>
    <w:rsid w:val="00EB3E91"/>
    <w:rsid w:val="00EB4AFF"/>
    <w:rsid w:val="00EC0EC7"/>
    <w:rsid w:val="00EC38BA"/>
    <w:rsid w:val="00EC60CB"/>
    <w:rsid w:val="00ED20A6"/>
    <w:rsid w:val="00ED4563"/>
    <w:rsid w:val="00ED56B9"/>
    <w:rsid w:val="00ED5B30"/>
    <w:rsid w:val="00ED6AA6"/>
    <w:rsid w:val="00EE3A10"/>
    <w:rsid w:val="00EE7129"/>
    <w:rsid w:val="00EF4B35"/>
    <w:rsid w:val="00F001D2"/>
    <w:rsid w:val="00F02068"/>
    <w:rsid w:val="00F04DE8"/>
    <w:rsid w:val="00F10DE8"/>
    <w:rsid w:val="00F15CFB"/>
    <w:rsid w:val="00F179AD"/>
    <w:rsid w:val="00F229AA"/>
    <w:rsid w:val="00F346F9"/>
    <w:rsid w:val="00F37E80"/>
    <w:rsid w:val="00F400EB"/>
    <w:rsid w:val="00F4205B"/>
    <w:rsid w:val="00F458A9"/>
    <w:rsid w:val="00F458BB"/>
    <w:rsid w:val="00F46E15"/>
    <w:rsid w:val="00F50614"/>
    <w:rsid w:val="00F53B53"/>
    <w:rsid w:val="00F547EE"/>
    <w:rsid w:val="00F66891"/>
    <w:rsid w:val="00F71461"/>
    <w:rsid w:val="00F7208B"/>
    <w:rsid w:val="00F75919"/>
    <w:rsid w:val="00F80F83"/>
    <w:rsid w:val="00F823D5"/>
    <w:rsid w:val="00F826B2"/>
    <w:rsid w:val="00F97503"/>
    <w:rsid w:val="00FA12B0"/>
    <w:rsid w:val="00FA1786"/>
    <w:rsid w:val="00FA1896"/>
    <w:rsid w:val="00FA1D9F"/>
    <w:rsid w:val="00FA4C1B"/>
    <w:rsid w:val="00FA798C"/>
    <w:rsid w:val="00FA7D42"/>
    <w:rsid w:val="00FB01B0"/>
    <w:rsid w:val="00FB08C7"/>
    <w:rsid w:val="00FB41AA"/>
    <w:rsid w:val="00FB42D6"/>
    <w:rsid w:val="00FB7468"/>
    <w:rsid w:val="00FC0951"/>
    <w:rsid w:val="00FC4016"/>
    <w:rsid w:val="00FC7865"/>
    <w:rsid w:val="00FC7A35"/>
    <w:rsid w:val="00FD0B2E"/>
    <w:rsid w:val="00FD4949"/>
    <w:rsid w:val="00FD5345"/>
    <w:rsid w:val="00FD6CB9"/>
    <w:rsid w:val="00FD7FBF"/>
    <w:rsid w:val="00FE04C8"/>
    <w:rsid w:val="00FE703D"/>
    <w:rsid w:val="00FE77E9"/>
    <w:rsid w:val="00FF0A10"/>
    <w:rsid w:val="00FF2BB1"/>
    <w:rsid w:val="00FF3DCF"/>
    <w:rsid w:val="00FF5010"/>
    <w:rsid w:val="00FF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43D1"/>
  <w15:docId w15:val="{070DD2C7-C1CB-4BE8-8E18-CF601A72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82C"/>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semiHidden/>
    <w:unhideWhenUsed/>
    <w:rsid w:val="006C098D"/>
    <w:rPr>
      <w:sz w:val="16"/>
      <w:szCs w:val="16"/>
    </w:rPr>
  </w:style>
  <w:style w:type="paragraph" w:styleId="CommentText">
    <w:name w:val="annotation text"/>
    <w:basedOn w:val="Normal"/>
    <w:link w:val="CommentTextChar"/>
    <w:unhideWhenUsed/>
    <w:rsid w:val="006C098D"/>
    <w:pPr>
      <w:spacing w:line="240" w:lineRule="auto"/>
    </w:pPr>
    <w:rPr>
      <w:sz w:val="20"/>
      <w:szCs w:val="20"/>
    </w:rPr>
  </w:style>
  <w:style w:type="character" w:customStyle="1" w:styleId="CommentTextChar">
    <w:name w:val="Comment Text Char"/>
    <w:basedOn w:val="DefaultParagraphFont"/>
    <w:link w:val="CommentText"/>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rsid w:val="006C098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098D"/>
    <w:pPr>
      <w:spacing w:after="0" w:line="240" w:lineRule="auto"/>
    </w:pPr>
  </w:style>
  <w:style w:type="paragraph" w:customStyle="1" w:styleId="Default">
    <w:name w:val="Default"/>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 w:type="paragraph" w:styleId="FootnoteText">
    <w:name w:val="footnote text"/>
    <w:basedOn w:val="Normal"/>
    <w:link w:val="FootnoteTextChar"/>
    <w:uiPriority w:val="99"/>
    <w:semiHidden/>
    <w:unhideWhenUsed/>
    <w:rsid w:val="00170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30B"/>
    <w:rPr>
      <w:sz w:val="20"/>
      <w:szCs w:val="20"/>
    </w:rPr>
  </w:style>
  <w:style w:type="character" w:styleId="FootnoteReference">
    <w:name w:val="footnote reference"/>
    <w:basedOn w:val="DefaultParagraphFont"/>
    <w:uiPriority w:val="99"/>
    <w:semiHidden/>
    <w:unhideWhenUsed/>
    <w:rsid w:val="0017030B"/>
    <w:rPr>
      <w:vertAlign w:val="superscript"/>
    </w:rPr>
  </w:style>
  <w:style w:type="paragraph" w:styleId="E-mailSignature">
    <w:name w:val="E-mail Signature"/>
    <w:basedOn w:val="Normal"/>
    <w:link w:val="E-mailSignatureChar"/>
    <w:rsid w:val="00240B3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240B32"/>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05633F"/>
    <w:pPr>
      <w:spacing w:after="0" w:line="240" w:lineRule="auto"/>
    </w:pPr>
  </w:style>
  <w:style w:type="paragraph" w:styleId="TOC5">
    <w:name w:val="toc 5"/>
    <w:basedOn w:val="Normal"/>
    <w:next w:val="Normal"/>
    <w:autoRedefine/>
    <w:uiPriority w:val="39"/>
    <w:semiHidden/>
    <w:unhideWhenUsed/>
    <w:rsid w:val="00240B32"/>
    <w:pPr>
      <w:spacing w:after="100"/>
      <w:ind w:left="880"/>
    </w:pPr>
  </w:style>
  <w:style w:type="paragraph" w:customStyle="1" w:styleId="C2-CtrSglSp">
    <w:name w:val="C2-Ctr Sgl Sp"/>
    <w:rsid w:val="00240B32"/>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240B32"/>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BodyText3">
    <w:name w:val="Body Text 3"/>
    <w:basedOn w:val="Normal"/>
    <w:link w:val="BodyText3Char"/>
    <w:uiPriority w:val="99"/>
    <w:semiHidden/>
    <w:unhideWhenUsed/>
    <w:rsid w:val="00F53B53"/>
    <w:pPr>
      <w:spacing w:after="120"/>
    </w:pPr>
    <w:rPr>
      <w:sz w:val="16"/>
      <w:szCs w:val="16"/>
    </w:rPr>
  </w:style>
  <w:style w:type="character" w:customStyle="1" w:styleId="BodyText3Char">
    <w:name w:val="Body Text 3 Char"/>
    <w:basedOn w:val="DefaultParagraphFont"/>
    <w:link w:val="BodyText3"/>
    <w:uiPriority w:val="99"/>
    <w:semiHidden/>
    <w:rsid w:val="00F53B53"/>
    <w:rPr>
      <w:sz w:val="16"/>
      <w:szCs w:val="16"/>
    </w:rPr>
  </w:style>
  <w:style w:type="character" w:styleId="FollowedHyperlink">
    <w:name w:val="FollowedHyperlink"/>
    <w:basedOn w:val="DefaultParagraphFont"/>
    <w:uiPriority w:val="99"/>
    <w:semiHidden/>
    <w:unhideWhenUsed/>
    <w:rsid w:val="002A4242"/>
    <w:rPr>
      <w:color w:val="800080" w:themeColor="followedHyperlink"/>
      <w:u w:val="single"/>
    </w:rPr>
  </w:style>
  <w:style w:type="paragraph" w:styleId="NoSpacing">
    <w:name w:val="No Spacing"/>
    <w:uiPriority w:val="1"/>
    <w:qFormat/>
    <w:rsid w:val="004D19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727">
      <w:bodyDiv w:val="1"/>
      <w:marLeft w:val="0"/>
      <w:marRight w:val="0"/>
      <w:marTop w:val="0"/>
      <w:marBottom w:val="0"/>
      <w:divBdr>
        <w:top w:val="none" w:sz="0" w:space="0" w:color="auto"/>
        <w:left w:val="none" w:sz="0" w:space="0" w:color="auto"/>
        <w:bottom w:val="none" w:sz="0" w:space="0" w:color="auto"/>
        <w:right w:val="none" w:sz="0" w:space="0" w:color="auto"/>
      </w:divBdr>
    </w:div>
    <w:div w:id="286282435">
      <w:bodyDiv w:val="1"/>
      <w:marLeft w:val="0"/>
      <w:marRight w:val="0"/>
      <w:marTop w:val="0"/>
      <w:marBottom w:val="0"/>
      <w:divBdr>
        <w:top w:val="none" w:sz="0" w:space="0" w:color="auto"/>
        <w:left w:val="none" w:sz="0" w:space="0" w:color="auto"/>
        <w:bottom w:val="none" w:sz="0" w:space="0" w:color="auto"/>
        <w:right w:val="none" w:sz="0" w:space="0" w:color="auto"/>
      </w:divBdr>
    </w:div>
    <w:div w:id="311757728">
      <w:bodyDiv w:val="1"/>
      <w:marLeft w:val="0"/>
      <w:marRight w:val="0"/>
      <w:marTop w:val="0"/>
      <w:marBottom w:val="0"/>
      <w:divBdr>
        <w:top w:val="none" w:sz="0" w:space="0" w:color="auto"/>
        <w:left w:val="none" w:sz="0" w:space="0" w:color="auto"/>
        <w:bottom w:val="none" w:sz="0" w:space="0" w:color="auto"/>
        <w:right w:val="none" w:sz="0" w:space="0" w:color="auto"/>
      </w:divBdr>
    </w:div>
    <w:div w:id="404764542">
      <w:bodyDiv w:val="1"/>
      <w:marLeft w:val="0"/>
      <w:marRight w:val="0"/>
      <w:marTop w:val="0"/>
      <w:marBottom w:val="0"/>
      <w:divBdr>
        <w:top w:val="none" w:sz="0" w:space="0" w:color="auto"/>
        <w:left w:val="none" w:sz="0" w:space="0" w:color="auto"/>
        <w:bottom w:val="none" w:sz="0" w:space="0" w:color="auto"/>
        <w:right w:val="none" w:sz="0" w:space="0" w:color="auto"/>
      </w:divBdr>
    </w:div>
    <w:div w:id="493105360">
      <w:bodyDiv w:val="1"/>
      <w:marLeft w:val="0"/>
      <w:marRight w:val="0"/>
      <w:marTop w:val="0"/>
      <w:marBottom w:val="0"/>
      <w:divBdr>
        <w:top w:val="none" w:sz="0" w:space="0" w:color="auto"/>
        <w:left w:val="none" w:sz="0" w:space="0" w:color="auto"/>
        <w:bottom w:val="none" w:sz="0" w:space="0" w:color="auto"/>
        <w:right w:val="none" w:sz="0" w:space="0" w:color="auto"/>
      </w:divBdr>
    </w:div>
    <w:div w:id="496312801">
      <w:bodyDiv w:val="1"/>
      <w:marLeft w:val="0"/>
      <w:marRight w:val="0"/>
      <w:marTop w:val="0"/>
      <w:marBottom w:val="0"/>
      <w:divBdr>
        <w:top w:val="none" w:sz="0" w:space="0" w:color="auto"/>
        <w:left w:val="none" w:sz="0" w:space="0" w:color="auto"/>
        <w:bottom w:val="none" w:sz="0" w:space="0" w:color="auto"/>
        <w:right w:val="none" w:sz="0" w:space="0" w:color="auto"/>
      </w:divBdr>
    </w:div>
    <w:div w:id="513689914">
      <w:bodyDiv w:val="1"/>
      <w:marLeft w:val="0"/>
      <w:marRight w:val="0"/>
      <w:marTop w:val="0"/>
      <w:marBottom w:val="0"/>
      <w:divBdr>
        <w:top w:val="none" w:sz="0" w:space="0" w:color="auto"/>
        <w:left w:val="none" w:sz="0" w:space="0" w:color="auto"/>
        <w:bottom w:val="none" w:sz="0" w:space="0" w:color="auto"/>
        <w:right w:val="none" w:sz="0" w:space="0" w:color="auto"/>
      </w:divBdr>
    </w:div>
    <w:div w:id="517044245">
      <w:bodyDiv w:val="1"/>
      <w:marLeft w:val="0"/>
      <w:marRight w:val="0"/>
      <w:marTop w:val="0"/>
      <w:marBottom w:val="0"/>
      <w:divBdr>
        <w:top w:val="none" w:sz="0" w:space="0" w:color="auto"/>
        <w:left w:val="none" w:sz="0" w:space="0" w:color="auto"/>
        <w:bottom w:val="none" w:sz="0" w:space="0" w:color="auto"/>
        <w:right w:val="none" w:sz="0" w:space="0" w:color="auto"/>
      </w:divBdr>
    </w:div>
    <w:div w:id="525603234">
      <w:bodyDiv w:val="1"/>
      <w:marLeft w:val="0"/>
      <w:marRight w:val="0"/>
      <w:marTop w:val="0"/>
      <w:marBottom w:val="0"/>
      <w:divBdr>
        <w:top w:val="none" w:sz="0" w:space="0" w:color="auto"/>
        <w:left w:val="none" w:sz="0" w:space="0" w:color="auto"/>
        <w:bottom w:val="none" w:sz="0" w:space="0" w:color="auto"/>
        <w:right w:val="none" w:sz="0" w:space="0" w:color="auto"/>
      </w:divBdr>
    </w:div>
    <w:div w:id="565652880">
      <w:bodyDiv w:val="1"/>
      <w:marLeft w:val="0"/>
      <w:marRight w:val="0"/>
      <w:marTop w:val="0"/>
      <w:marBottom w:val="0"/>
      <w:divBdr>
        <w:top w:val="none" w:sz="0" w:space="0" w:color="auto"/>
        <w:left w:val="none" w:sz="0" w:space="0" w:color="auto"/>
        <w:bottom w:val="none" w:sz="0" w:space="0" w:color="auto"/>
        <w:right w:val="none" w:sz="0" w:space="0" w:color="auto"/>
      </w:divBdr>
    </w:div>
    <w:div w:id="617948702">
      <w:bodyDiv w:val="1"/>
      <w:marLeft w:val="0"/>
      <w:marRight w:val="0"/>
      <w:marTop w:val="0"/>
      <w:marBottom w:val="0"/>
      <w:divBdr>
        <w:top w:val="none" w:sz="0" w:space="0" w:color="auto"/>
        <w:left w:val="none" w:sz="0" w:space="0" w:color="auto"/>
        <w:bottom w:val="none" w:sz="0" w:space="0" w:color="auto"/>
        <w:right w:val="none" w:sz="0" w:space="0" w:color="auto"/>
      </w:divBdr>
    </w:div>
    <w:div w:id="792865292">
      <w:bodyDiv w:val="1"/>
      <w:marLeft w:val="0"/>
      <w:marRight w:val="0"/>
      <w:marTop w:val="0"/>
      <w:marBottom w:val="0"/>
      <w:divBdr>
        <w:top w:val="none" w:sz="0" w:space="0" w:color="auto"/>
        <w:left w:val="none" w:sz="0" w:space="0" w:color="auto"/>
        <w:bottom w:val="none" w:sz="0" w:space="0" w:color="auto"/>
        <w:right w:val="none" w:sz="0" w:space="0" w:color="auto"/>
      </w:divBdr>
    </w:div>
    <w:div w:id="827984092">
      <w:bodyDiv w:val="1"/>
      <w:marLeft w:val="0"/>
      <w:marRight w:val="0"/>
      <w:marTop w:val="0"/>
      <w:marBottom w:val="0"/>
      <w:divBdr>
        <w:top w:val="none" w:sz="0" w:space="0" w:color="auto"/>
        <w:left w:val="none" w:sz="0" w:space="0" w:color="auto"/>
        <w:bottom w:val="none" w:sz="0" w:space="0" w:color="auto"/>
        <w:right w:val="none" w:sz="0" w:space="0" w:color="auto"/>
      </w:divBdr>
    </w:div>
    <w:div w:id="882252690">
      <w:bodyDiv w:val="1"/>
      <w:marLeft w:val="0"/>
      <w:marRight w:val="0"/>
      <w:marTop w:val="0"/>
      <w:marBottom w:val="0"/>
      <w:divBdr>
        <w:top w:val="none" w:sz="0" w:space="0" w:color="auto"/>
        <w:left w:val="none" w:sz="0" w:space="0" w:color="auto"/>
        <w:bottom w:val="none" w:sz="0" w:space="0" w:color="auto"/>
        <w:right w:val="none" w:sz="0" w:space="0" w:color="auto"/>
      </w:divBdr>
    </w:div>
    <w:div w:id="950211766">
      <w:bodyDiv w:val="1"/>
      <w:marLeft w:val="0"/>
      <w:marRight w:val="0"/>
      <w:marTop w:val="0"/>
      <w:marBottom w:val="0"/>
      <w:divBdr>
        <w:top w:val="none" w:sz="0" w:space="0" w:color="auto"/>
        <w:left w:val="none" w:sz="0" w:space="0" w:color="auto"/>
        <w:bottom w:val="none" w:sz="0" w:space="0" w:color="auto"/>
        <w:right w:val="none" w:sz="0" w:space="0" w:color="auto"/>
      </w:divBdr>
    </w:div>
    <w:div w:id="966933498">
      <w:bodyDiv w:val="1"/>
      <w:marLeft w:val="0"/>
      <w:marRight w:val="0"/>
      <w:marTop w:val="0"/>
      <w:marBottom w:val="0"/>
      <w:divBdr>
        <w:top w:val="none" w:sz="0" w:space="0" w:color="auto"/>
        <w:left w:val="none" w:sz="0" w:space="0" w:color="auto"/>
        <w:bottom w:val="none" w:sz="0" w:space="0" w:color="auto"/>
        <w:right w:val="none" w:sz="0" w:space="0" w:color="auto"/>
      </w:divBdr>
    </w:div>
    <w:div w:id="978730854">
      <w:bodyDiv w:val="1"/>
      <w:marLeft w:val="0"/>
      <w:marRight w:val="0"/>
      <w:marTop w:val="0"/>
      <w:marBottom w:val="0"/>
      <w:divBdr>
        <w:top w:val="none" w:sz="0" w:space="0" w:color="auto"/>
        <w:left w:val="none" w:sz="0" w:space="0" w:color="auto"/>
        <w:bottom w:val="none" w:sz="0" w:space="0" w:color="auto"/>
        <w:right w:val="none" w:sz="0" w:space="0" w:color="auto"/>
      </w:divBdr>
    </w:div>
    <w:div w:id="1112357992">
      <w:bodyDiv w:val="1"/>
      <w:marLeft w:val="0"/>
      <w:marRight w:val="0"/>
      <w:marTop w:val="0"/>
      <w:marBottom w:val="0"/>
      <w:divBdr>
        <w:top w:val="none" w:sz="0" w:space="0" w:color="auto"/>
        <w:left w:val="none" w:sz="0" w:space="0" w:color="auto"/>
        <w:bottom w:val="none" w:sz="0" w:space="0" w:color="auto"/>
        <w:right w:val="none" w:sz="0" w:space="0" w:color="auto"/>
      </w:divBdr>
    </w:div>
    <w:div w:id="1142385142">
      <w:bodyDiv w:val="1"/>
      <w:marLeft w:val="0"/>
      <w:marRight w:val="0"/>
      <w:marTop w:val="0"/>
      <w:marBottom w:val="0"/>
      <w:divBdr>
        <w:top w:val="none" w:sz="0" w:space="0" w:color="auto"/>
        <w:left w:val="none" w:sz="0" w:space="0" w:color="auto"/>
        <w:bottom w:val="none" w:sz="0" w:space="0" w:color="auto"/>
        <w:right w:val="none" w:sz="0" w:space="0" w:color="auto"/>
      </w:divBdr>
    </w:div>
    <w:div w:id="1161190143">
      <w:bodyDiv w:val="1"/>
      <w:marLeft w:val="0"/>
      <w:marRight w:val="0"/>
      <w:marTop w:val="0"/>
      <w:marBottom w:val="0"/>
      <w:divBdr>
        <w:top w:val="none" w:sz="0" w:space="0" w:color="auto"/>
        <w:left w:val="none" w:sz="0" w:space="0" w:color="auto"/>
        <w:bottom w:val="none" w:sz="0" w:space="0" w:color="auto"/>
        <w:right w:val="none" w:sz="0" w:space="0" w:color="auto"/>
      </w:divBdr>
    </w:div>
    <w:div w:id="1221359498">
      <w:bodyDiv w:val="1"/>
      <w:marLeft w:val="0"/>
      <w:marRight w:val="0"/>
      <w:marTop w:val="0"/>
      <w:marBottom w:val="0"/>
      <w:divBdr>
        <w:top w:val="none" w:sz="0" w:space="0" w:color="auto"/>
        <w:left w:val="none" w:sz="0" w:space="0" w:color="auto"/>
        <w:bottom w:val="none" w:sz="0" w:space="0" w:color="auto"/>
        <w:right w:val="none" w:sz="0" w:space="0" w:color="auto"/>
      </w:divBdr>
    </w:div>
    <w:div w:id="1265184625">
      <w:bodyDiv w:val="1"/>
      <w:marLeft w:val="0"/>
      <w:marRight w:val="0"/>
      <w:marTop w:val="0"/>
      <w:marBottom w:val="0"/>
      <w:divBdr>
        <w:top w:val="none" w:sz="0" w:space="0" w:color="auto"/>
        <w:left w:val="none" w:sz="0" w:space="0" w:color="auto"/>
        <w:bottom w:val="none" w:sz="0" w:space="0" w:color="auto"/>
        <w:right w:val="none" w:sz="0" w:space="0" w:color="auto"/>
      </w:divBdr>
    </w:div>
    <w:div w:id="1333726126">
      <w:bodyDiv w:val="1"/>
      <w:marLeft w:val="0"/>
      <w:marRight w:val="0"/>
      <w:marTop w:val="0"/>
      <w:marBottom w:val="0"/>
      <w:divBdr>
        <w:top w:val="none" w:sz="0" w:space="0" w:color="auto"/>
        <w:left w:val="none" w:sz="0" w:space="0" w:color="auto"/>
        <w:bottom w:val="none" w:sz="0" w:space="0" w:color="auto"/>
        <w:right w:val="none" w:sz="0" w:space="0" w:color="auto"/>
      </w:divBdr>
    </w:div>
    <w:div w:id="1369717430">
      <w:bodyDiv w:val="1"/>
      <w:marLeft w:val="0"/>
      <w:marRight w:val="0"/>
      <w:marTop w:val="0"/>
      <w:marBottom w:val="0"/>
      <w:divBdr>
        <w:top w:val="none" w:sz="0" w:space="0" w:color="auto"/>
        <w:left w:val="none" w:sz="0" w:space="0" w:color="auto"/>
        <w:bottom w:val="none" w:sz="0" w:space="0" w:color="auto"/>
        <w:right w:val="none" w:sz="0" w:space="0" w:color="auto"/>
      </w:divBdr>
    </w:div>
    <w:div w:id="1603684842">
      <w:bodyDiv w:val="1"/>
      <w:marLeft w:val="0"/>
      <w:marRight w:val="0"/>
      <w:marTop w:val="0"/>
      <w:marBottom w:val="0"/>
      <w:divBdr>
        <w:top w:val="none" w:sz="0" w:space="0" w:color="auto"/>
        <w:left w:val="none" w:sz="0" w:space="0" w:color="auto"/>
        <w:bottom w:val="none" w:sz="0" w:space="0" w:color="auto"/>
        <w:right w:val="none" w:sz="0" w:space="0" w:color="auto"/>
      </w:divBdr>
    </w:div>
    <w:div w:id="1661274371">
      <w:bodyDiv w:val="1"/>
      <w:marLeft w:val="0"/>
      <w:marRight w:val="0"/>
      <w:marTop w:val="0"/>
      <w:marBottom w:val="0"/>
      <w:divBdr>
        <w:top w:val="none" w:sz="0" w:space="0" w:color="auto"/>
        <w:left w:val="none" w:sz="0" w:space="0" w:color="auto"/>
        <w:bottom w:val="none" w:sz="0" w:space="0" w:color="auto"/>
        <w:right w:val="none" w:sz="0" w:space="0" w:color="auto"/>
      </w:divBdr>
    </w:div>
    <w:div w:id="1745756886">
      <w:bodyDiv w:val="1"/>
      <w:marLeft w:val="0"/>
      <w:marRight w:val="0"/>
      <w:marTop w:val="0"/>
      <w:marBottom w:val="0"/>
      <w:divBdr>
        <w:top w:val="none" w:sz="0" w:space="0" w:color="auto"/>
        <w:left w:val="none" w:sz="0" w:space="0" w:color="auto"/>
        <w:bottom w:val="none" w:sz="0" w:space="0" w:color="auto"/>
        <w:right w:val="none" w:sz="0" w:space="0" w:color="auto"/>
      </w:divBdr>
    </w:div>
    <w:div w:id="1871147180">
      <w:bodyDiv w:val="1"/>
      <w:marLeft w:val="0"/>
      <w:marRight w:val="0"/>
      <w:marTop w:val="0"/>
      <w:marBottom w:val="0"/>
      <w:divBdr>
        <w:top w:val="none" w:sz="0" w:space="0" w:color="auto"/>
        <w:left w:val="none" w:sz="0" w:space="0" w:color="auto"/>
        <w:bottom w:val="none" w:sz="0" w:space="0" w:color="auto"/>
        <w:right w:val="none" w:sz="0" w:space="0" w:color="auto"/>
      </w:divBdr>
    </w:div>
    <w:div w:id="1904639738">
      <w:bodyDiv w:val="1"/>
      <w:marLeft w:val="0"/>
      <w:marRight w:val="0"/>
      <w:marTop w:val="0"/>
      <w:marBottom w:val="0"/>
      <w:divBdr>
        <w:top w:val="none" w:sz="0" w:space="0" w:color="auto"/>
        <w:left w:val="none" w:sz="0" w:space="0" w:color="auto"/>
        <w:bottom w:val="none" w:sz="0" w:space="0" w:color="auto"/>
        <w:right w:val="none" w:sz="0" w:space="0" w:color="auto"/>
      </w:divBdr>
    </w:div>
    <w:div w:id="1978338151">
      <w:bodyDiv w:val="1"/>
      <w:marLeft w:val="0"/>
      <w:marRight w:val="0"/>
      <w:marTop w:val="0"/>
      <w:marBottom w:val="0"/>
      <w:divBdr>
        <w:top w:val="none" w:sz="0" w:space="0" w:color="auto"/>
        <w:left w:val="none" w:sz="0" w:space="0" w:color="auto"/>
        <w:bottom w:val="none" w:sz="0" w:space="0" w:color="auto"/>
        <w:right w:val="none" w:sz="0" w:space="0" w:color="auto"/>
      </w:divBdr>
    </w:div>
    <w:div w:id="2017268135">
      <w:bodyDiv w:val="1"/>
      <w:marLeft w:val="0"/>
      <w:marRight w:val="0"/>
      <w:marTop w:val="0"/>
      <w:marBottom w:val="0"/>
      <w:divBdr>
        <w:top w:val="none" w:sz="0" w:space="0" w:color="auto"/>
        <w:left w:val="none" w:sz="0" w:space="0" w:color="auto"/>
        <w:bottom w:val="none" w:sz="0" w:space="0" w:color="auto"/>
        <w:right w:val="none" w:sz="0" w:space="0" w:color="auto"/>
      </w:divBdr>
    </w:div>
    <w:div w:id="20394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egue@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67E44-53FC-454C-B10D-3148B389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5241</Words>
  <Characters>29880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hci3</dc:creator>
  <cp:lastModifiedBy>Zirger, Jeffrey (CDC/OD/OADS)</cp:lastModifiedBy>
  <cp:revision>2</cp:revision>
  <cp:lastPrinted>2015-08-20T19:56:00Z</cp:lastPrinted>
  <dcterms:created xsi:type="dcterms:W3CDTF">2016-06-07T19:55:00Z</dcterms:created>
  <dcterms:modified xsi:type="dcterms:W3CDTF">2016-06-07T19:55:00Z</dcterms:modified>
</cp:coreProperties>
</file>