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8C77F" w14:textId="77777777" w:rsidR="0058336C" w:rsidRPr="00615566" w:rsidRDefault="0058336C"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615566">
        <w:rPr>
          <w:rFonts w:ascii="Arial" w:hAnsi="Arial" w:cs="Arial"/>
          <w:b/>
          <w:sz w:val="24"/>
          <w:szCs w:val="24"/>
          <w:lang w:val="en-CA"/>
        </w:rPr>
        <w:t>Supporting Statement A</w:t>
      </w:r>
    </w:p>
    <w:p w14:paraId="290A4508" w14:textId="77777777" w:rsidR="00D31A5B" w:rsidRDefault="00D31A5B"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lang w:val="en-CA"/>
        </w:rPr>
      </w:pPr>
      <w:r w:rsidRPr="00D31A5B">
        <w:rPr>
          <w:rFonts w:ascii="Arial" w:hAnsi="Arial" w:cs="Arial"/>
          <w:sz w:val="24"/>
          <w:szCs w:val="24"/>
          <w:lang w:val="en-CA"/>
        </w:rPr>
        <w:t>Instrument(s) for Navigation Improvement Survey(s)</w:t>
      </w:r>
    </w:p>
    <w:p w14:paraId="0A06FAFB"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615566">
        <w:rPr>
          <w:rFonts w:ascii="Arial" w:hAnsi="Arial" w:cs="Arial"/>
          <w:b/>
          <w:bCs/>
          <w:sz w:val="24"/>
          <w:szCs w:val="24"/>
        </w:rPr>
        <w:t xml:space="preserve">OMB Control Number </w:t>
      </w:r>
      <w:r w:rsidR="009778D6" w:rsidRPr="00615566">
        <w:rPr>
          <w:rFonts w:ascii="Arial" w:hAnsi="Arial" w:cs="Arial"/>
          <w:b/>
          <w:bCs/>
          <w:sz w:val="24"/>
          <w:szCs w:val="24"/>
        </w:rPr>
        <w:t>XXXX-XX</w:t>
      </w:r>
      <w:r w:rsidR="002B5A98">
        <w:rPr>
          <w:rFonts w:ascii="Arial" w:hAnsi="Arial" w:cs="Arial"/>
          <w:b/>
          <w:bCs/>
          <w:sz w:val="24"/>
          <w:szCs w:val="24"/>
        </w:rPr>
        <w:t>X</w:t>
      </w:r>
      <w:r w:rsidR="009778D6" w:rsidRPr="00615566">
        <w:rPr>
          <w:rFonts w:ascii="Arial" w:hAnsi="Arial" w:cs="Arial"/>
          <w:b/>
          <w:bCs/>
          <w:sz w:val="24"/>
          <w:szCs w:val="24"/>
        </w:rPr>
        <w:t>X</w:t>
      </w:r>
    </w:p>
    <w:p w14:paraId="48D73611" w14:textId="77777777" w:rsidR="007B16A1" w:rsidRPr="00615566" w:rsidRDefault="007B16A1" w:rsidP="006051D3">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i/>
          <w:sz w:val="24"/>
          <w:szCs w:val="24"/>
          <w:highlight w:val="yellow"/>
        </w:rPr>
      </w:pPr>
    </w:p>
    <w:p w14:paraId="0341FD93"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bCs/>
          <w:sz w:val="24"/>
          <w:szCs w:val="24"/>
        </w:rPr>
        <w:t>Justification</w:t>
      </w:r>
    </w:p>
    <w:p w14:paraId="15A9AA40" w14:textId="77777777" w:rsidR="006051D3" w:rsidRPr="00A537A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1.</w:t>
      </w:r>
      <w:r w:rsidRPr="00615566">
        <w:rPr>
          <w:rFonts w:ascii="Arial" w:hAnsi="Arial" w:cs="Arial"/>
          <w:b/>
          <w:sz w:val="24"/>
          <w:szCs w:val="24"/>
        </w:rPr>
        <w:tab/>
        <w:t>Explain the circumstances that make the collection of information necessary.  Identify any legal or administrative requirements that necessitate the collection.</w:t>
      </w:r>
      <w:r w:rsidR="00A537A0">
        <w:rPr>
          <w:rFonts w:ascii="Arial" w:hAnsi="Arial" w:cs="Arial"/>
          <w:b/>
          <w:sz w:val="24"/>
          <w:szCs w:val="24"/>
        </w:rPr>
        <w:t xml:space="preserve"> </w:t>
      </w:r>
      <w:r w:rsidR="00D71F6C">
        <w:rPr>
          <w:rFonts w:ascii="Arial" w:hAnsi="Arial" w:cs="Arial"/>
          <w:b/>
          <w:sz w:val="24"/>
          <w:szCs w:val="24"/>
        </w:rPr>
        <w:t>(draft complete)</w:t>
      </w:r>
    </w:p>
    <w:p w14:paraId="28F5156C" w14:textId="77777777" w:rsidR="00FE4FD2" w:rsidRPr="00615566" w:rsidRDefault="00FE4FD2"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5D43953E" w14:textId="77777777" w:rsidR="00FE4FD2" w:rsidRPr="00615566" w:rsidRDefault="00FE4FD2" w:rsidP="00721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sz w:val="24"/>
          <w:szCs w:val="24"/>
        </w:rPr>
        <w:t xml:space="preserve">Information from the questionnaire items for the collection of planning data is needed: 1) to formulate and evaluate alternative water resources development plans in accordance with the </w:t>
      </w:r>
      <w:r w:rsidRPr="00615566">
        <w:rPr>
          <w:rFonts w:ascii="Arial" w:hAnsi="Arial" w:cs="Arial"/>
          <w:i/>
          <w:sz w:val="24"/>
          <w:szCs w:val="24"/>
        </w:rPr>
        <w:t>Principles and Guidelines for Water Related Land Resources Implementation Studies</w:t>
      </w:r>
      <w:r w:rsidRPr="00615566">
        <w:rPr>
          <w:rFonts w:ascii="Arial" w:hAnsi="Arial" w:cs="Arial"/>
          <w:sz w:val="24"/>
          <w:szCs w:val="24"/>
        </w:rPr>
        <w:t>, promulgated by the U.S. Water Resources Council</w:t>
      </w:r>
      <w:r w:rsidR="00694924">
        <w:rPr>
          <w:rFonts w:ascii="Arial" w:hAnsi="Arial" w:cs="Arial"/>
          <w:sz w:val="24"/>
          <w:szCs w:val="24"/>
        </w:rPr>
        <w:t>, 19</w:t>
      </w:r>
      <w:r w:rsidR="00DA06DC">
        <w:rPr>
          <w:rFonts w:ascii="Arial" w:hAnsi="Arial" w:cs="Arial"/>
          <w:sz w:val="24"/>
          <w:szCs w:val="24"/>
        </w:rPr>
        <w:t>8</w:t>
      </w:r>
      <w:r w:rsidR="00694924">
        <w:rPr>
          <w:rFonts w:ascii="Arial" w:hAnsi="Arial" w:cs="Arial"/>
          <w:sz w:val="24"/>
          <w:szCs w:val="24"/>
        </w:rPr>
        <w:t xml:space="preserve">3, which specifically </w:t>
      </w:r>
      <w:r w:rsidR="006F7556">
        <w:rPr>
          <w:rFonts w:ascii="Arial" w:hAnsi="Arial" w:cs="Arial"/>
          <w:sz w:val="24"/>
          <w:szCs w:val="24"/>
        </w:rPr>
        <w:t xml:space="preserve">identifies </w:t>
      </w:r>
      <w:r w:rsidR="00694924">
        <w:rPr>
          <w:rFonts w:ascii="Arial" w:hAnsi="Arial" w:cs="Arial"/>
          <w:sz w:val="24"/>
          <w:szCs w:val="24"/>
        </w:rPr>
        <w:t xml:space="preserve">interviews </w:t>
      </w:r>
      <w:r w:rsidR="00624D81">
        <w:rPr>
          <w:rFonts w:ascii="Arial" w:hAnsi="Arial" w:cs="Arial"/>
          <w:sz w:val="24"/>
          <w:szCs w:val="24"/>
        </w:rPr>
        <w:t>with shippers, carriers and port officials as well as commodity consultants and experts</w:t>
      </w:r>
      <w:r w:rsidR="0072181C">
        <w:rPr>
          <w:rFonts w:ascii="Arial" w:hAnsi="Arial" w:cs="Arial"/>
          <w:sz w:val="24"/>
          <w:szCs w:val="24"/>
        </w:rPr>
        <w:t xml:space="preserve"> to; identify commodity types, study area, commodity flow, estimate transportation cost and forecast waterway use.  </w:t>
      </w:r>
      <w:r w:rsidR="00637695" w:rsidRPr="00615566">
        <w:rPr>
          <w:rFonts w:ascii="Arial" w:hAnsi="Arial" w:cs="Arial"/>
          <w:sz w:val="24"/>
          <w:szCs w:val="24"/>
        </w:rPr>
        <w:t xml:space="preserve">In the Corps of Engineers Engineering Regulation 1105-2-100, </w:t>
      </w:r>
      <w:r w:rsidR="00637695" w:rsidRPr="00615566">
        <w:rPr>
          <w:rFonts w:ascii="Arial" w:hAnsi="Arial" w:cs="Arial"/>
          <w:i/>
          <w:sz w:val="24"/>
          <w:szCs w:val="24"/>
        </w:rPr>
        <w:t>Planning Guidance Notebook</w:t>
      </w:r>
      <w:r w:rsidR="00606469" w:rsidRPr="00615566">
        <w:rPr>
          <w:rFonts w:ascii="Arial" w:hAnsi="Arial" w:cs="Arial"/>
          <w:i/>
          <w:sz w:val="24"/>
          <w:szCs w:val="24"/>
        </w:rPr>
        <w:t xml:space="preserve"> (April, 2000</w:t>
      </w:r>
      <w:r w:rsidR="00762B87">
        <w:rPr>
          <w:rFonts w:ascii="Arial" w:hAnsi="Arial" w:cs="Arial"/>
          <w:i/>
          <w:sz w:val="24"/>
          <w:szCs w:val="24"/>
        </w:rPr>
        <w:t>, available at</w:t>
      </w:r>
      <w:r w:rsidR="00637695" w:rsidRPr="00615566">
        <w:rPr>
          <w:rFonts w:ascii="Arial" w:hAnsi="Arial" w:cs="Arial"/>
          <w:i/>
          <w:sz w:val="24"/>
          <w:szCs w:val="24"/>
        </w:rPr>
        <w:t xml:space="preserve"> </w:t>
      </w:r>
      <w:hyperlink r:id="rId8" w:history="1">
        <w:r w:rsidR="00762B87" w:rsidRPr="003B7B85">
          <w:rPr>
            <w:rStyle w:val="Hyperlink"/>
            <w:rFonts w:ascii="Arial" w:hAnsi="Arial" w:cs="Arial"/>
            <w:i/>
            <w:sz w:val="24"/>
            <w:szCs w:val="24"/>
          </w:rPr>
          <w:t>http://www.publications.usace.army.mil/Portals/76/Publications/EngineerRegulations/ER_1105-2-100.pdf</w:t>
        </w:r>
      </w:hyperlink>
      <w:r w:rsidR="00762B87">
        <w:rPr>
          <w:rFonts w:ascii="Arial" w:hAnsi="Arial" w:cs="Arial"/>
          <w:i/>
          <w:sz w:val="24"/>
          <w:szCs w:val="24"/>
        </w:rPr>
        <w:t xml:space="preserve">) </w:t>
      </w:r>
      <w:r w:rsidR="0072181C">
        <w:rPr>
          <w:rFonts w:ascii="Arial" w:hAnsi="Arial" w:cs="Arial"/>
          <w:sz w:val="24"/>
          <w:szCs w:val="24"/>
        </w:rPr>
        <w:t xml:space="preserve">benefits are defined as transportation cost reduction benefits, including shift of mode and shift of origin-destination and new movement benefits. </w:t>
      </w:r>
      <w:r w:rsidR="00425B06">
        <w:rPr>
          <w:rFonts w:ascii="Arial" w:hAnsi="Arial" w:cs="Arial"/>
          <w:sz w:val="24"/>
          <w:szCs w:val="24"/>
        </w:rPr>
        <w:t xml:space="preserve"> Failure to gather this information would result in Corps studies </w:t>
      </w:r>
      <w:r w:rsidR="00F96D7C">
        <w:rPr>
          <w:rFonts w:ascii="Arial" w:hAnsi="Arial" w:cs="Arial"/>
          <w:sz w:val="24"/>
          <w:szCs w:val="24"/>
        </w:rPr>
        <w:t>relying on incomplete or dated information regarding the cost and use of the navigation systems and the impacts of proposed capital improvements.</w:t>
      </w:r>
    </w:p>
    <w:p w14:paraId="04C15088" w14:textId="77777777" w:rsidR="006051D3" w:rsidRPr="00615566" w:rsidRDefault="006051D3" w:rsidP="0058336C">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4"/>
          <w:szCs w:val="24"/>
          <w:highlight w:val="yellow"/>
        </w:rPr>
      </w:pPr>
    </w:p>
    <w:p w14:paraId="073B1F31" w14:textId="77777777" w:rsidR="006051D3" w:rsidRPr="00615566" w:rsidRDefault="006051D3"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highlight w:val="yellow"/>
        </w:rPr>
      </w:pPr>
      <w:r w:rsidRPr="00615566">
        <w:rPr>
          <w:rFonts w:ascii="Arial" w:hAnsi="Arial" w:cs="Arial"/>
          <w:b/>
          <w:sz w:val="24"/>
          <w:szCs w:val="24"/>
        </w:rPr>
        <w:t>2.</w:t>
      </w:r>
      <w:r w:rsidRPr="00615566">
        <w:rPr>
          <w:rFonts w:ascii="Arial" w:hAnsi="Arial" w:cs="Arial"/>
          <w:b/>
          <w:sz w:val="24"/>
          <w:szCs w:val="24"/>
        </w:rPr>
        <w:tab/>
        <w:t xml:space="preserve">Indicate how, by whom, and for what purpose the information is to be used.  </w:t>
      </w:r>
    </w:p>
    <w:p w14:paraId="02284D9B" w14:textId="77777777" w:rsidR="002F14B3" w:rsidRPr="00A537A0" w:rsidRDefault="002F14B3" w:rsidP="00002F4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B050"/>
          <w:sz w:val="24"/>
          <w:szCs w:val="24"/>
        </w:rPr>
      </w:pPr>
    </w:p>
    <w:p w14:paraId="5F35ECA1" w14:textId="77777777" w:rsidR="00987C38" w:rsidRPr="00B57CE2" w:rsidRDefault="007A643B" w:rsidP="00987C38">
      <w:pPr>
        <w:rPr>
          <w:rFonts w:ascii="Arial" w:hAnsi="Arial" w:cs="Arial"/>
          <w:sz w:val="24"/>
          <w:szCs w:val="24"/>
        </w:rPr>
      </w:pPr>
      <w:r w:rsidRPr="00615566">
        <w:rPr>
          <w:rFonts w:ascii="Arial" w:hAnsi="Arial" w:cs="Arial"/>
          <w:sz w:val="24"/>
          <w:szCs w:val="24"/>
        </w:rPr>
        <w:t xml:space="preserve">The Army Corps of Engineers </w:t>
      </w:r>
      <w:r w:rsidR="001A49C4">
        <w:rPr>
          <w:rFonts w:ascii="Arial" w:hAnsi="Arial" w:cs="Arial"/>
          <w:sz w:val="24"/>
          <w:szCs w:val="24"/>
        </w:rPr>
        <w:t xml:space="preserve">operates and maintains much of the nation’s </w:t>
      </w:r>
      <w:r w:rsidR="002A074D">
        <w:rPr>
          <w:rFonts w:ascii="Arial" w:hAnsi="Arial" w:cs="Arial"/>
          <w:sz w:val="24"/>
          <w:szCs w:val="24"/>
        </w:rPr>
        <w:t xml:space="preserve">inland </w:t>
      </w:r>
      <w:r w:rsidR="001A49C4">
        <w:rPr>
          <w:rFonts w:ascii="Arial" w:hAnsi="Arial" w:cs="Arial"/>
          <w:sz w:val="24"/>
          <w:szCs w:val="24"/>
        </w:rPr>
        <w:t xml:space="preserve">navigation infrastructure of locks, dams and channels.  </w:t>
      </w:r>
      <w:r w:rsidR="002A074D">
        <w:rPr>
          <w:rFonts w:ascii="Arial" w:hAnsi="Arial" w:cs="Arial"/>
          <w:sz w:val="24"/>
          <w:szCs w:val="24"/>
        </w:rPr>
        <w:t>Inland n</w:t>
      </w:r>
      <w:r w:rsidR="00353303">
        <w:rPr>
          <w:rFonts w:ascii="Arial" w:hAnsi="Arial" w:cs="Arial"/>
          <w:sz w:val="24"/>
          <w:szCs w:val="24"/>
        </w:rPr>
        <w:t xml:space="preserve">avigation improvement studies conducted by the Corps </w:t>
      </w:r>
      <w:r w:rsidR="00566B36">
        <w:rPr>
          <w:rFonts w:ascii="Arial" w:hAnsi="Arial" w:cs="Arial"/>
          <w:sz w:val="24"/>
          <w:szCs w:val="24"/>
        </w:rPr>
        <w:t xml:space="preserve">typically </w:t>
      </w:r>
      <w:r w:rsidR="00353303">
        <w:rPr>
          <w:rFonts w:ascii="Arial" w:hAnsi="Arial" w:cs="Arial"/>
          <w:sz w:val="24"/>
          <w:szCs w:val="24"/>
        </w:rPr>
        <w:t>use s</w:t>
      </w:r>
      <w:r w:rsidR="001A49C4">
        <w:rPr>
          <w:rFonts w:ascii="Arial" w:hAnsi="Arial" w:cs="Arial"/>
          <w:sz w:val="24"/>
          <w:szCs w:val="24"/>
        </w:rPr>
        <w:t xml:space="preserve">urveys of </w:t>
      </w:r>
      <w:r w:rsidR="00353303">
        <w:rPr>
          <w:rFonts w:ascii="Arial" w:hAnsi="Arial" w:cs="Arial"/>
          <w:sz w:val="24"/>
          <w:szCs w:val="24"/>
        </w:rPr>
        <w:t>shippers, carriers</w:t>
      </w:r>
      <w:r w:rsidR="005B1D12">
        <w:rPr>
          <w:rFonts w:ascii="Arial" w:hAnsi="Arial" w:cs="Arial"/>
          <w:sz w:val="24"/>
          <w:szCs w:val="24"/>
        </w:rPr>
        <w:t xml:space="preserve"> </w:t>
      </w:r>
      <w:r w:rsidR="00353303">
        <w:rPr>
          <w:rFonts w:ascii="Arial" w:hAnsi="Arial" w:cs="Arial"/>
          <w:sz w:val="24"/>
          <w:szCs w:val="24"/>
        </w:rPr>
        <w:t xml:space="preserve">and others </w:t>
      </w:r>
      <w:r w:rsidR="006541BA">
        <w:rPr>
          <w:rFonts w:ascii="Arial" w:hAnsi="Arial" w:cs="Arial"/>
          <w:sz w:val="24"/>
          <w:szCs w:val="24"/>
        </w:rPr>
        <w:t xml:space="preserve">to </w:t>
      </w:r>
      <w:r w:rsidR="00353303">
        <w:rPr>
          <w:rFonts w:ascii="Arial" w:hAnsi="Arial" w:cs="Arial"/>
          <w:sz w:val="24"/>
          <w:szCs w:val="24"/>
        </w:rPr>
        <w:t xml:space="preserve">estimate </w:t>
      </w:r>
      <w:r w:rsidR="006541BA">
        <w:rPr>
          <w:rFonts w:ascii="Arial" w:hAnsi="Arial" w:cs="Arial"/>
          <w:sz w:val="24"/>
          <w:szCs w:val="24"/>
        </w:rPr>
        <w:t xml:space="preserve">the impacts </w:t>
      </w:r>
      <w:r w:rsidR="005B1D12">
        <w:rPr>
          <w:rFonts w:ascii="Arial" w:hAnsi="Arial" w:cs="Arial"/>
          <w:sz w:val="24"/>
          <w:szCs w:val="24"/>
        </w:rPr>
        <w:t>on waterway traffi</w:t>
      </w:r>
      <w:r w:rsidR="00B37C9D">
        <w:rPr>
          <w:rFonts w:ascii="Arial" w:hAnsi="Arial" w:cs="Arial"/>
          <w:sz w:val="24"/>
          <w:szCs w:val="24"/>
        </w:rPr>
        <w:t>c of alternative capital and operations and maintenance</w:t>
      </w:r>
      <w:r w:rsidR="005B1D12">
        <w:rPr>
          <w:rFonts w:ascii="Arial" w:hAnsi="Arial" w:cs="Arial"/>
          <w:sz w:val="24"/>
          <w:szCs w:val="24"/>
        </w:rPr>
        <w:t xml:space="preserve"> investment strategies.</w:t>
      </w:r>
      <w:r w:rsidR="006541BA">
        <w:rPr>
          <w:rFonts w:ascii="Arial" w:hAnsi="Arial" w:cs="Arial"/>
          <w:sz w:val="24"/>
          <w:szCs w:val="24"/>
        </w:rPr>
        <w:t xml:space="preserve">  T</w:t>
      </w:r>
      <w:r w:rsidR="005B1D12">
        <w:rPr>
          <w:rFonts w:ascii="Arial" w:hAnsi="Arial" w:cs="Arial"/>
          <w:sz w:val="24"/>
          <w:szCs w:val="24"/>
        </w:rPr>
        <w:t xml:space="preserve">he data are used </w:t>
      </w:r>
      <w:r w:rsidR="00EC0301">
        <w:rPr>
          <w:rFonts w:ascii="Arial" w:hAnsi="Arial" w:cs="Arial"/>
          <w:sz w:val="24"/>
          <w:szCs w:val="24"/>
        </w:rPr>
        <w:t xml:space="preserve">to </w:t>
      </w:r>
      <w:r w:rsidR="005B1D12">
        <w:rPr>
          <w:rFonts w:ascii="Arial" w:hAnsi="Arial" w:cs="Arial"/>
          <w:sz w:val="24"/>
          <w:szCs w:val="24"/>
        </w:rPr>
        <w:t>estimat</w:t>
      </w:r>
      <w:r w:rsidR="00EC0301">
        <w:rPr>
          <w:rFonts w:ascii="Arial" w:hAnsi="Arial" w:cs="Arial"/>
          <w:sz w:val="24"/>
          <w:szCs w:val="24"/>
        </w:rPr>
        <w:t>e</w:t>
      </w:r>
      <w:r w:rsidR="005B1D12">
        <w:rPr>
          <w:rFonts w:ascii="Arial" w:hAnsi="Arial" w:cs="Arial"/>
          <w:sz w:val="24"/>
          <w:szCs w:val="24"/>
        </w:rPr>
        <w:t xml:space="preserve">, among other things, alternative mode cost, shipper response to changes in </w:t>
      </w:r>
      <w:r w:rsidR="00EC0301">
        <w:rPr>
          <w:rFonts w:ascii="Arial" w:hAnsi="Arial" w:cs="Arial"/>
          <w:sz w:val="24"/>
          <w:szCs w:val="24"/>
        </w:rPr>
        <w:t xml:space="preserve">waterway transportation </w:t>
      </w:r>
      <w:r w:rsidR="005B1D12">
        <w:rPr>
          <w:rFonts w:ascii="Arial" w:hAnsi="Arial" w:cs="Arial"/>
          <w:sz w:val="24"/>
          <w:szCs w:val="24"/>
        </w:rPr>
        <w:t>cost and reliability</w:t>
      </w:r>
      <w:r w:rsidR="00EC0301">
        <w:rPr>
          <w:rFonts w:ascii="Arial" w:hAnsi="Arial" w:cs="Arial"/>
          <w:sz w:val="24"/>
          <w:szCs w:val="24"/>
        </w:rPr>
        <w:t xml:space="preserve">. </w:t>
      </w:r>
      <w:r w:rsidR="00987C38">
        <w:rPr>
          <w:rFonts w:ascii="Arial" w:hAnsi="Arial" w:cs="Arial"/>
          <w:sz w:val="24"/>
          <w:szCs w:val="24"/>
        </w:rPr>
        <w:t xml:space="preserve"> </w:t>
      </w:r>
      <w:r w:rsidR="00987C38" w:rsidRPr="00B57CE2">
        <w:rPr>
          <w:rFonts w:ascii="Arial" w:hAnsi="Arial" w:cs="Arial"/>
          <w:sz w:val="24"/>
          <w:szCs w:val="24"/>
        </w:rPr>
        <w:t>This information is used in planning studies for plan formulation and evaluation</w:t>
      </w:r>
      <w:r w:rsidR="00566B36" w:rsidRPr="00566B36">
        <w:rPr>
          <w:rFonts w:ascii="Arial" w:hAnsi="Arial" w:cs="Arial"/>
          <w:sz w:val="24"/>
          <w:szCs w:val="24"/>
        </w:rPr>
        <w:t xml:space="preserve"> </w:t>
      </w:r>
      <w:r w:rsidR="00566B36">
        <w:rPr>
          <w:rFonts w:ascii="Arial" w:hAnsi="Arial" w:cs="Arial"/>
          <w:sz w:val="24"/>
          <w:szCs w:val="24"/>
        </w:rPr>
        <w:t>of the projected benefits associated with various plans.</w:t>
      </w:r>
      <w:r w:rsidR="00987C38" w:rsidRPr="00B57CE2">
        <w:rPr>
          <w:rFonts w:ascii="Arial" w:hAnsi="Arial" w:cs="Arial"/>
          <w:sz w:val="24"/>
          <w:szCs w:val="24"/>
        </w:rPr>
        <w:t xml:space="preserve"> </w:t>
      </w:r>
      <w:r w:rsidR="00E520F5">
        <w:rPr>
          <w:rFonts w:ascii="Arial" w:hAnsi="Arial" w:cs="Arial"/>
          <w:sz w:val="24"/>
          <w:szCs w:val="24"/>
        </w:rPr>
        <w:t xml:space="preserve"> The survey type (in per</w:t>
      </w:r>
      <w:r w:rsidR="00B37C9D">
        <w:rPr>
          <w:rFonts w:ascii="Arial" w:hAnsi="Arial" w:cs="Arial"/>
          <w:sz w:val="24"/>
          <w:szCs w:val="24"/>
        </w:rPr>
        <w:t>son, phone, mail, electronic etc</w:t>
      </w:r>
      <w:r w:rsidR="00E520F5">
        <w:rPr>
          <w:rFonts w:ascii="Arial" w:hAnsi="Arial" w:cs="Arial"/>
          <w:sz w:val="24"/>
          <w:szCs w:val="24"/>
        </w:rPr>
        <w:t xml:space="preserve">) will be determined on a case by case basis based on the needs of that particular collection.  The survey instrument type will dictate how the survey is administered, returned, and how the appropriate disclosures are provided.  </w:t>
      </w:r>
    </w:p>
    <w:p w14:paraId="32C3B49C" w14:textId="77777777" w:rsidR="0026199A" w:rsidRDefault="00987C38" w:rsidP="006541BA">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 </w:t>
      </w:r>
    </w:p>
    <w:p w14:paraId="18F4802B" w14:textId="77777777" w:rsidR="00987C38" w:rsidRPr="00B57CE2" w:rsidRDefault="0026199A" w:rsidP="00987C38">
      <w:pPr>
        <w:rPr>
          <w:rFonts w:ascii="Arial" w:hAnsi="Arial" w:cs="Arial"/>
          <w:sz w:val="24"/>
          <w:szCs w:val="24"/>
        </w:rPr>
      </w:pPr>
      <w:bookmarkStart w:id="0" w:name="OLE_LINK1"/>
      <w:bookmarkStart w:id="1" w:name="OLE_LINK2"/>
      <w:r>
        <w:rPr>
          <w:rFonts w:ascii="Arial" w:hAnsi="Arial" w:cs="Arial"/>
          <w:sz w:val="24"/>
          <w:szCs w:val="24"/>
        </w:rPr>
        <w:t xml:space="preserve">The Army Corps of Engineers </w:t>
      </w:r>
      <w:bookmarkEnd w:id="0"/>
      <w:bookmarkEnd w:id="1"/>
      <w:r w:rsidR="00566B36">
        <w:rPr>
          <w:rFonts w:ascii="Arial" w:hAnsi="Arial" w:cs="Arial"/>
          <w:sz w:val="24"/>
          <w:szCs w:val="24"/>
        </w:rPr>
        <w:t xml:space="preserve">also </w:t>
      </w:r>
      <w:r>
        <w:rPr>
          <w:rFonts w:ascii="Arial" w:hAnsi="Arial" w:cs="Arial"/>
          <w:sz w:val="24"/>
          <w:szCs w:val="24"/>
        </w:rPr>
        <w:t>maintains and improves navigation channels at the nation’s major ports.  Coastal navigation improvement studies use survey information to estimate changes in vessel operations, vessel sizes and total transportation cost resulting from alternative capital improvement plans.</w:t>
      </w:r>
      <w:r w:rsidR="00987C38">
        <w:rPr>
          <w:rFonts w:ascii="Arial" w:hAnsi="Arial" w:cs="Arial"/>
          <w:sz w:val="24"/>
          <w:szCs w:val="24"/>
        </w:rPr>
        <w:t xml:space="preserve"> </w:t>
      </w:r>
      <w:r w:rsidR="00987C38" w:rsidRPr="00B57CE2">
        <w:rPr>
          <w:rFonts w:ascii="Arial" w:hAnsi="Arial" w:cs="Arial"/>
          <w:sz w:val="24"/>
          <w:szCs w:val="24"/>
        </w:rPr>
        <w:t xml:space="preserve">This information is used in planning studies for plan formulation and evaluation of </w:t>
      </w:r>
      <w:r w:rsidR="00566B36">
        <w:rPr>
          <w:rFonts w:ascii="Arial" w:hAnsi="Arial" w:cs="Arial"/>
          <w:sz w:val="24"/>
          <w:szCs w:val="24"/>
        </w:rPr>
        <w:t>the projected benefits associated with various plans.</w:t>
      </w:r>
    </w:p>
    <w:p w14:paraId="76E5ADA3" w14:textId="77777777" w:rsidR="0026199A" w:rsidRDefault="0026199A" w:rsidP="006541BA">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4433302" w14:textId="77777777" w:rsidR="00987C38" w:rsidRPr="00B57CE2" w:rsidRDefault="00930042" w:rsidP="00987C38">
      <w:pPr>
        <w:rPr>
          <w:rFonts w:ascii="Arial" w:hAnsi="Arial" w:cs="Arial"/>
          <w:sz w:val="24"/>
          <w:szCs w:val="24"/>
        </w:rPr>
      </w:pPr>
      <w:r>
        <w:rPr>
          <w:rFonts w:ascii="Arial" w:hAnsi="Arial" w:cs="Arial"/>
          <w:sz w:val="24"/>
          <w:szCs w:val="24"/>
        </w:rPr>
        <w:lastRenderedPageBreak/>
        <w:t xml:space="preserve">The Army Corps of Engineers also provides harbor improvement for commercial fishing fleets. </w:t>
      </w:r>
      <w:r w:rsidR="00EC0301">
        <w:rPr>
          <w:rFonts w:ascii="Arial" w:hAnsi="Arial" w:cs="Arial"/>
          <w:sz w:val="24"/>
          <w:szCs w:val="24"/>
        </w:rPr>
        <w:t xml:space="preserve">Surveys of fishing fleets are used to estimate </w:t>
      </w:r>
      <w:r w:rsidR="005B1D12">
        <w:rPr>
          <w:rFonts w:ascii="Arial" w:hAnsi="Arial" w:cs="Arial"/>
          <w:sz w:val="24"/>
          <w:szCs w:val="24"/>
        </w:rPr>
        <w:t>fish capture cost</w:t>
      </w:r>
      <w:r>
        <w:rPr>
          <w:rFonts w:ascii="Arial" w:hAnsi="Arial" w:cs="Arial"/>
          <w:sz w:val="24"/>
          <w:szCs w:val="24"/>
        </w:rPr>
        <w:t xml:space="preserve">, fishing practices, </w:t>
      </w:r>
      <w:r w:rsidR="00F750D8">
        <w:rPr>
          <w:rFonts w:ascii="Arial" w:hAnsi="Arial" w:cs="Arial"/>
          <w:sz w:val="24"/>
          <w:szCs w:val="24"/>
        </w:rPr>
        <w:t>and damages</w:t>
      </w:r>
      <w:r>
        <w:rPr>
          <w:rFonts w:ascii="Arial" w:hAnsi="Arial" w:cs="Arial"/>
          <w:sz w:val="24"/>
          <w:szCs w:val="24"/>
        </w:rPr>
        <w:t xml:space="preserve"> to vessels, docks and other infrastructure</w:t>
      </w:r>
      <w:r w:rsidR="00F9089E">
        <w:rPr>
          <w:rFonts w:ascii="Arial" w:hAnsi="Arial" w:cs="Arial"/>
          <w:sz w:val="24"/>
          <w:szCs w:val="24"/>
        </w:rPr>
        <w:t>.  Survey information is use</w:t>
      </w:r>
      <w:r w:rsidR="00B37C9D">
        <w:rPr>
          <w:rFonts w:ascii="Arial" w:hAnsi="Arial" w:cs="Arial"/>
          <w:sz w:val="24"/>
          <w:szCs w:val="24"/>
        </w:rPr>
        <w:t>d</w:t>
      </w:r>
      <w:r w:rsidR="00F9089E">
        <w:rPr>
          <w:rFonts w:ascii="Arial" w:hAnsi="Arial" w:cs="Arial"/>
          <w:sz w:val="24"/>
          <w:szCs w:val="24"/>
        </w:rPr>
        <w:t xml:space="preserve"> to estimate changes to these cost</w:t>
      </w:r>
      <w:r w:rsidR="00EC0301">
        <w:rPr>
          <w:rFonts w:ascii="Arial" w:hAnsi="Arial" w:cs="Arial"/>
          <w:sz w:val="24"/>
          <w:szCs w:val="24"/>
        </w:rPr>
        <w:t xml:space="preserve"> resulting from alternative capital improvements</w:t>
      </w:r>
      <w:r w:rsidR="005B1D12">
        <w:rPr>
          <w:rFonts w:ascii="Arial" w:hAnsi="Arial" w:cs="Arial"/>
          <w:sz w:val="24"/>
          <w:szCs w:val="24"/>
        </w:rPr>
        <w:t xml:space="preserve">. </w:t>
      </w:r>
      <w:r w:rsidR="00987C38" w:rsidRPr="00B57CE2">
        <w:rPr>
          <w:rFonts w:ascii="Arial" w:hAnsi="Arial" w:cs="Arial"/>
          <w:sz w:val="24"/>
          <w:szCs w:val="24"/>
        </w:rPr>
        <w:t>This information is used in planning studies for plan formulation and evaluation of national economic development impacts of each plan.</w:t>
      </w:r>
    </w:p>
    <w:p w14:paraId="0108CA0B" w14:textId="77777777" w:rsidR="00EC0301" w:rsidRDefault="00EC0301" w:rsidP="006541BA">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493BB434" w14:textId="77777777" w:rsidR="00F6096A" w:rsidRPr="00D23AED" w:rsidRDefault="00DC5CA1" w:rsidP="00D23AED">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The following describes the type of information to be col</w:t>
      </w:r>
      <w:r w:rsidR="00D23AED">
        <w:rPr>
          <w:rFonts w:ascii="Arial" w:hAnsi="Arial" w:cs="Arial"/>
          <w:sz w:val="24"/>
          <w:szCs w:val="24"/>
        </w:rPr>
        <w:t>lected</w:t>
      </w:r>
      <w:r>
        <w:rPr>
          <w:rFonts w:ascii="Arial" w:hAnsi="Arial" w:cs="Arial"/>
          <w:sz w:val="24"/>
          <w:szCs w:val="24"/>
        </w:rPr>
        <w:t>:</w:t>
      </w:r>
    </w:p>
    <w:p w14:paraId="127D0F2E" w14:textId="77777777" w:rsidR="00EB2120" w:rsidRPr="00615566" w:rsidRDefault="00EB2120" w:rsidP="00112F80">
      <w:pPr>
        <w:widowControl/>
        <w:tabs>
          <w:tab w:val="left" w:pos="-1080"/>
          <w:tab w:val="left" w:pos="-720"/>
          <w:tab w:val="left" w:pos="9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u w:val="single"/>
        </w:rPr>
      </w:pPr>
    </w:p>
    <w:p w14:paraId="62BBFFF2" w14:textId="77777777" w:rsidR="00910580" w:rsidRPr="00D23AED" w:rsidRDefault="00910580" w:rsidP="00D23AED">
      <w:pPr>
        <w:rPr>
          <w:rFonts w:ascii="Arial" w:hAnsi="Arial" w:cs="Arial"/>
          <w:sz w:val="24"/>
          <w:szCs w:val="24"/>
        </w:rPr>
      </w:pPr>
      <w:r w:rsidRPr="00D23AED">
        <w:rPr>
          <w:rFonts w:ascii="Arial" w:hAnsi="Arial" w:cs="Arial"/>
          <w:sz w:val="24"/>
          <w:szCs w:val="24"/>
        </w:rPr>
        <w:t>Carrier</w:t>
      </w:r>
      <w:r w:rsidR="00566B36">
        <w:rPr>
          <w:rFonts w:ascii="Arial" w:hAnsi="Arial" w:cs="Arial"/>
          <w:sz w:val="24"/>
          <w:szCs w:val="24"/>
        </w:rPr>
        <w:t>s are surveyed</w:t>
      </w:r>
      <w:bookmarkStart w:id="2" w:name="OLE_LINK9"/>
      <w:bookmarkStart w:id="3" w:name="OLE_LINK10"/>
      <w:r w:rsidR="00057B8D">
        <w:rPr>
          <w:rFonts w:ascii="Arial" w:hAnsi="Arial" w:cs="Arial"/>
          <w:sz w:val="24"/>
          <w:szCs w:val="24"/>
        </w:rPr>
        <w:t xml:space="preserve"> </w:t>
      </w:r>
      <w:r w:rsidRPr="00D23AED">
        <w:rPr>
          <w:rFonts w:ascii="Arial" w:hAnsi="Arial" w:cs="Arial"/>
          <w:sz w:val="24"/>
          <w:szCs w:val="24"/>
        </w:rPr>
        <w:t xml:space="preserve">in anticipation of and/or during a lock outage.  </w:t>
      </w:r>
      <w:r w:rsidR="00D23AED">
        <w:rPr>
          <w:rFonts w:ascii="Arial" w:hAnsi="Arial" w:cs="Arial"/>
          <w:sz w:val="24"/>
          <w:szCs w:val="24"/>
        </w:rPr>
        <w:t xml:space="preserve">This includes </w:t>
      </w:r>
      <w:r w:rsidRPr="00D23AED">
        <w:rPr>
          <w:rFonts w:ascii="Arial" w:hAnsi="Arial" w:cs="Arial"/>
          <w:sz w:val="24"/>
          <w:szCs w:val="24"/>
        </w:rPr>
        <w:t>inquires about permanent change</w:t>
      </w:r>
      <w:r w:rsidR="00EB2120" w:rsidRPr="00D23AED">
        <w:rPr>
          <w:rFonts w:ascii="Arial" w:hAnsi="Arial" w:cs="Arial"/>
          <w:sz w:val="24"/>
          <w:szCs w:val="24"/>
        </w:rPr>
        <w:t>s in operations as a result of an</w:t>
      </w:r>
      <w:r w:rsidRPr="00D23AED">
        <w:rPr>
          <w:rFonts w:ascii="Arial" w:hAnsi="Arial" w:cs="Arial"/>
          <w:sz w:val="24"/>
          <w:szCs w:val="24"/>
        </w:rPr>
        <w:t xml:space="preserve"> outage.</w:t>
      </w:r>
      <w:r w:rsidR="00EB2120" w:rsidRPr="00D23AED">
        <w:rPr>
          <w:rFonts w:ascii="Arial" w:hAnsi="Arial" w:cs="Arial"/>
          <w:sz w:val="24"/>
          <w:szCs w:val="24"/>
        </w:rPr>
        <w:t xml:space="preserve">  This information is used to estimate national economic development impacts caused by lock closures.</w:t>
      </w:r>
    </w:p>
    <w:bookmarkEnd w:id="2"/>
    <w:bookmarkEnd w:id="3"/>
    <w:p w14:paraId="6156D582" w14:textId="77777777" w:rsidR="00910580" w:rsidRDefault="00910580" w:rsidP="00910580">
      <w:pPr>
        <w:pStyle w:val="ListParagraph"/>
        <w:rPr>
          <w:rFonts w:ascii="Arial" w:hAnsi="Arial" w:cs="Arial"/>
          <w:sz w:val="24"/>
          <w:szCs w:val="24"/>
        </w:rPr>
      </w:pPr>
    </w:p>
    <w:p w14:paraId="5B49B9F6" w14:textId="77777777" w:rsidR="00910580" w:rsidRPr="00B57CE2" w:rsidRDefault="00057B8D" w:rsidP="00B57CE2">
      <w:pPr>
        <w:rPr>
          <w:rFonts w:ascii="Arial" w:hAnsi="Arial" w:cs="Arial"/>
          <w:sz w:val="24"/>
          <w:szCs w:val="24"/>
        </w:rPr>
      </w:pPr>
      <w:r w:rsidRPr="00B57CE2">
        <w:rPr>
          <w:rFonts w:ascii="Arial" w:hAnsi="Arial" w:cs="Arial"/>
          <w:sz w:val="24"/>
          <w:szCs w:val="24"/>
        </w:rPr>
        <w:t>Carriers are</w:t>
      </w:r>
      <w:r w:rsidR="00566B36">
        <w:rPr>
          <w:rFonts w:ascii="Arial" w:hAnsi="Arial" w:cs="Arial"/>
          <w:sz w:val="24"/>
          <w:szCs w:val="24"/>
        </w:rPr>
        <w:t xml:space="preserve"> also questioned</w:t>
      </w:r>
      <w:r>
        <w:rPr>
          <w:rFonts w:ascii="Arial" w:hAnsi="Arial" w:cs="Arial"/>
          <w:sz w:val="24"/>
          <w:szCs w:val="24"/>
        </w:rPr>
        <w:t xml:space="preserve"> </w:t>
      </w:r>
      <w:r w:rsidR="00910580" w:rsidRPr="00B57CE2">
        <w:rPr>
          <w:rFonts w:ascii="Arial" w:hAnsi="Arial" w:cs="Arial"/>
          <w:sz w:val="24"/>
          <w:szCs w:val="24"/>
        </w:rPr>
        <w:t xml:space="preserve">to profile each company as to their size of operation and most frequent origin, destination commodity movements.  </w:t>
      </w:r>
      <w:r w:rsidR="00B57CE2">
        <w:rPr>
          <w:rFonts w:ascii="Arial" w:hAnsi="Arial" w:cs="Arial"/>
          <w:sz w:val="24"/>
          <w:szCs w:val="24"/>
        </w:rPr>
        <w:t xml:space="preserve">Questions concerning </w:t>
      </w:r>
      <w:r w:rsidR="0008270D" w:rsidRPr="00B57CE2">
        <w:rPr>
          <w:rFonts w:ascii="Arial" w:hAnsi="Arial" w:cs="Arial"/>
          <w:sz w:val="24"/>
          <w:szCs w:val="24"/>
        </w:rPr>
        <w:t xml:space="preserve">shipment </w:t>
      </w:r>
      <w:r w:rsidR="00910580" w:rsidRPr="00B57CE2">
        <w:rPr>
          <w:rFonts w:ascii="Arial" w:hAnsi="Arial" w:cs="Arial"/>
          <w:sz w:val="24"/>
          <w:szCs w:val="24"/>
        </w:rPr>
        <w:t xml:space="preserve">size </w:t>
      </w:r>
      <w:r w:rsidR="0008270D" w:rsidRPr="00B57CE2">
        <w:rPr>
          <w:rFonts w:ascii="Arial" w:hAnsi="Arial" w:cs="Arial"/>
          <w:sz w:val="24"/>
          <w:szCs w:val="24"/>
        </w:rPr>
        <w:t xml:space="preserve">and </w:t>
      </w:r>
      <w:r w:rsidR="00910580" w:rsidRPr="00B57CE2">
        <w:rPr>
          <w:rFonts w:ascii="Arial" w:hAnsi="Arial" w:cs="Arial"/>
          <w:sz w:val="24"/>
          <w:szCs w:val="24"/>
        </w:rPr>
        <w:t>rate data</w:t>
      </w:r>
      <w:r w:rsidR="00B57CE2">
        <w:rPr>
          <w:rFonts w:ascii="Arial" w:hAnsi="Arial" w:cs="Arial"/>
          <w:sz w:val="24"/>
          <w:szCs w:val="24"/>
        </w:rPr>
        <w:t xml:space="preserve">, </w:t>
      </w:r>
      <w:r w:rsidR="00B57CE2" w:rsidRPr="00B57CE2">
        <w:rPr>
          <w:rFonts w:ascii="Arial" w:hAnsi="Arial" w:cs="Arial"/>
          <w:sz w:val="24"/>
          <w:szCs w:val="24"/>
        </w:rPr>
        <w:t>capacity utilization rates for barges and tows as well as operational data such as backhauls and operating costs</w:t>
      </w:r>
      <w:r w:rsidR="00B57CE2">
        <w:rPr>
          <w:rFonts w:ascii="Arial" w:hAnsi="Arial" w:cs="Arial"/>
          <w:sz w:val="24"/>
          <w:szCs w:val="24"/>
        </w:rPr>
        <w:t xml:space="preserve"> are used </w:t>
      </w:r>
      <w:r w:rsidR="00F83EAF">
        <w:rPr>
          <w:rFonts w:ascii="Arial" w:hAnsi="Arial" w:cs="Arial"/>
          <w:sz w:val="24"/>
          <w:szCs w:val="24"/>
        </w:rPr>
        <w:t xml:space="preserve">in </w:t>
      </w:r>
      <w:r w:rsidR="00B57CE2">
        <w:rPr>
          <w:rFonts w:ascii="Arial" w:hAnsi="Arial" w:cs="Arial"/>
          <w:sz w:val="24"/>
          <w:szCs w:val="24"/>
        </w:rPr>
        <w:t>comparison to alternative mode cost</w:t>
      </w:r>
      <w:r w:rsidR="00F83EAF">
        <w:rPr>
          <w:rFonts w:ascii="Arial" w:hAnsi="Arial" w:cs="Arial"/>
          <w:sz w:val="24"/>
          <w:szCs w:val="24"/>
        </w:rPr>
        <w:t xml:space="preserve"> to estimate benefits of alternative investment plans</w:t>
      </w:r>
      <w:r w:rsidR="00910580" w:rsidRPr="00B57CE2">
        <w:rPr>
          <w:rFonts w:ascii="Arial" w:hAnsi="Arial" w:cs="Arial"/>
          <w:sz w:val="24"/>
          <w:szCs w:val="24"/>
        </w:rPr>
        <w:t xml:space="preserve">.  </w:t>
      </w:r>
    </w:p>
    <w:p w14:paraId="366FF520" w14:textId="77777777" w:rsidR="0038402B" w:rsidRDefault="0038402B" w:rsidP="0038402B">
      <w:pPr>
        <w:rPr>
          <w:rFonts w:ascii="Arial" w:hAnsi="Arial" w:cs="Arial"/>
          <w:sz w:val="24"/>
          <w:szCs w:val="24"/>
        </w:rPr>
      </w:pPr>
    </w:p>
    <w:p w14:paraId="001B8F8A" w14:textId="77777777" w:rsidR="0038402B" w:rsidRDefault="00910580" w:rsidP="0038402B">
      <w:pPr>
        <w:rPr>
          <w:rFonts w:ascii="Arial" w:hAnsi="Arial" w:cs="Arial"/>
          <w:sz w:val="24"/>
          <w:szCs w:val="24"/>
        </w:rPr>
      </w:pPr>
      <w:r w:rsidRPr="0038402B">
        <w:rPr>
          <w:rFonts w:ascii="Arial" w:hAnsi="Arial" w:cs="Arial"/>
          <w:sz w:val="24"/>
          <w:szCs w:val="24"/>
        </w:rPr>
        <w:t>Shipper</w:t>
      </w:r>
      <w:r w:rsidR="0038402B">
        <w:rPr>
          <w:rFonts w:ascii="Arial" w:hAnsi="Arial" w:cs="Arial"/>
          <w:sz w:val="24"/>
          <w:szCs w:val="24"/>
        </w:rPr>
        <w:t>s are surveyed</w:t>
      </w:r>
      <w:r w:rsidR="0008270D" w:rsidRPr="0038402B">
        <w:rPr>
          <w:rFonts w:ascii="Arial" w:hAnsi="Arial" w:cs="Arial"/>
          <w:sz w:val="24"/>
          <w:szCs w:val="24"/>
        </w:rPr>
        <w:t xml:space="preserve"> </w:t>
      </w:r>
      <w:r w:rsidR="0038402B">
        <w:rPr>
          <w:rFonts w:ascii="Arial" w:hAnsi="Arial" w:cs="Arial"/>
          <w:sz w:val="24"/>
          <w:szCs w:val="24"/>
        </w:rPr>
        <w:t>regarding</w:t>
      </w:r>
      <w:r w:rsidRPr="0038402B">
        <w:rPr>
          <w:rFonts w:ascii="Arial" w:hAnsi="Arial" w:cs="Arial"/>
          <w:sz w:val="24"/>
          <w:szCs w:val="24"/>
        </w:rPr>
        <w:t xml:space="preserve"> commodities shipped and received at a dock, the annual size of the shipments, origins and destinations as well as mode of shipment.   </w:t>
      </w:r>
    </w:p>
    <w:p w14:paraId="3C5E5C7A" w14:textId="77777777" w:rsidR="0038402B" w:rsidRDefault="0038402B" w:rsidP="0038402B">
      <w:pPr>
        <w:rPr>
          <w:rFonts w:ascii="Arial" w:hAnsi="Arial" w:cs="Arial"/>
          <w:sz w:val="24"/>
          <w:szCs w:val="24"/>
        </w:rPr>
      </w:pPr>
      <w:r>
        <w:rPr>
          <w:rFonts w:ascii="Arial" w:hAnsi="Arial" w:cs="Arial"/>
          <w:sz w:val="24"/>
          <w:szCs w:val="24"/>
        </w:rPr>
        <w:t>Also sought is information on land side shipper facilities, the commodities shipped or received at each facility and the destination f</w:t>
      </w:r>
      <w:r w:rsidR="00E80371">
        <w:rPr>
          <w:rFonts w:ascii="Arial" w:hAnsi="Arial" w:cs="Arial"/>
          <w:sz w:val="24"/>
          <w:szCs w:val="24"/>
        </w:rPr>
        <w:t xml:space="preserve">or each commodity.   This information is used </w:t>
      </w:r>
      <w:r>
        <w:rPr>
          <w:rFonts w:ascii="Arial" w:hAnsi="Arial" w:cs="Arial"/>
          <w:sz w:val="24"/>
          <w:szCs w:val="24"/>
        </w:rPr>
        <w:t xml:space="preserve">to develop an industry profile of shipper waterside facilities and there operations.  </w:t>
      </w:r>
    </w:p>
    <w:p w14:paraId="0B0E88C5" w14:textId="77777777" w:rsidR="0038402B" w:rsidRDefault="0038402B" w:rsidP="0038402B">
      <w:pPr>
        <w:rPr>
          <w:rFonts w:ascii="Arial" w:hAnsi="Arial" w:cs="Arial"/>
          <w:sz w:val="24"/>
          <w:szCs w:val="24"/>
        </w:rPr>
      </w:pPr>
    </w:p>
    <w:p w14:paraId="47A1A444" w14:textId="77777777" w:rsidR="00910580" w:rsidRPr="00E80371" w:rsidRDefault="00BC5787" w:rsidP="00E80371">
      <w:pPr>
        <w:rPr>
          <w:rFonts w:ascii="Arial" w:hAnsi="Arial" w:cs="Arial"/>
          <w:sz w:val="24"/>
          <w:szCs w:val="24"/>
        </w:rPr>
      </w:pPr>
      <w:r>
        <w:rPr>
          <w:rFonts w:ascii="Arial" w:hAnsi="Arial" w:cs="Arial"/>
          <w:sz w:val="24"/>
          <w:szCs w:val="24"/>
        </w:rPr>
        <w:t xml:space="preserve">Surveys of shippers are also </w:t>
      </w:r>
      <w:r w:rsidR="00910580" w:rsidRPr="00E80371">
        <w:rPr>
          <w:rFonts w:ascii="Arial" w:hAnsi="Arial" w:cs="Arial"/>
          <w:sz w:val="24"/>
          <w:szCs w:val="24"/>
        </w:rPr>
        <w:t>used to estimate shipper response to changes in changes in transportation system attributes.  The</w:t>
      </w:r>
      <w:r>
        <w:rPr>
          <w:rFonts w:ascii="Arial" w:hAnsi="Arial" w:cs="Arial"/>
          <w:sz w:val="24"/>
          <w:szCs w:val="24"/>
        </w:rPr>
        <w:t xml:space="preserve">se questions </w:t>
      </w:r>
      <w:r w:rsidR="00910580" w:rsidRPr="00E80371">
        <w:rPr>
          <w:rFonts w:ascii="Arial" w:hAnsi="Arial" w:cs="Arial"/>
          <w:sz w:val="24"/>
          <w:szCs w:val="24"/>
        </w:rPr>
        <w:t xml:space="preserve">focus on the shipper’s last shipment and requests information regarding the attributes of that shipment such as commodity, size, mode(s), shipping time and rates.  </w:t>
      </w:r>
      <w:r>
        <w:rPr>
          <w:rFonts w:ascii="Arial" w:hAnsi="Arial" w:cs="Arial"/>
          <w:sz w:val="24"/>
          <w:szCs w:val="24"/>
        </w:rPr>
        <w:t xml:space="preserve">Questions </w:t>
      </w:r>
      <w:r w:rsidR="00910580" w:rsidRPr="00E80371">
        <w:rPr>
          <w:rFonts w:ascii="Arial" w:hAnsi="Arial" w:cs="Arial"/>
          <w:sz w:val="24"/>
          <w:szCs w:val="24"/>
        </w:rPr>
        <w:t xml:space="preserve">then ask the respondent to consider how that shipment would have changed under a variety of attribute changes such as the mode not being available, changes </w:t>
      </w:r>
      <w:r>
        <w:rPr>
          <w:rFonts w:ascii="Arial" w:hAnsi="Arial" w:cs="Arial"/>
          <w:sz w:val="24"/>
          <w:szCs w:val="24"/>
        </w:rPr>
        <w:t xml:space="preserve">to the cost and travel time.  Questions also seek </w:t>
      </w:r>
      <w:r w:rsidR="00910580" w:rsidRPr="00E80371">
        <w:rPr>
          <w:rFonts w:ascii="Arial" w:hAnsi="Arial" w:cs="Arial"/>
          <w:sz w:val="24"/>
          <w:szCs w:val="24"/>
        </w:rPr>
        <w:t>the characteristic of the shipping firm and the</w:t>
      </w:r>
      <w:r>
        <w:rPr>
          <w:rFonts w:ascii="Arial" w:hAnsi="Arial" w:cs="Arial"/>
          <w:sz w:val="24"/>
          <w:szCs w:val="24"/>
        </w:rPr>
        <w:t xml:space="preserve"> operator’s </w:t>
      </w:r>
      <w:r w:rsidR="00910580" w:rsidRPr="00E80371">
        <w:rPr>
          <w:rFonts w:ascii="Arial" w:hAnsi="Arial" w:cs="Arial"/>
          <w:sz w:val="24"/>
          <w:szCs w:val="24"/>
        </w:rPr>
        <w:t>perception of the most important attributes influencing the shipping decision</w:t>
      </w:r>
      <w:bookmarkStart w:id="4" w:name="OLE_LINK7"/>
      <w:bookmarkStart w:id="5" w:name="OLE_LINK8"/>
      <w:r>
        <w:rPr>
          <w:rFonts w:ascii="Arial" w:hAnsi="Arial" w:cs="Arial"/>
          <w:sz w:val="24"/>
          <w:szCs w:val="24"/>
        </w:rPr>
        <w:t>.</w:t>
      </w:r>
      <w:r w:rsidR="00C64826" w:rsidRPr="00E80371">
        <w:rPr>
          <w:rFonts w:ascii="Arial" w:hAnsi="Arial" w:cs="Arial"/>
          <w:sz w:val="24"/>
          <w:szCs w:val="24"/>
        </w:rPr>
        <w:t xml:space="preserve"> It is designed in part to estimate shipper response (</w:t>
      </w:r>
      <w:r w:rsidR="00A5171E" w:rsidRPr="00E80371">
        <w:rPr>
          <w:rFonts w:ascii="Arial" w:hAnsi="Arial" w:cs="Arial"/>
          <w:sz w:val="24"/>
          <w:szCs w:val="24"/>
        </w:rPr>
        <w:t>elasticity of demand) to changes to inland w</w:t>
      </w:r>
      <w:r w:rsidR="00C64826" w:rsidRPr="00E80371">
        <w:rPr>
          <w:rFonts w:ascii="Arial" w:hAnsi="Arial" w:cs="Arial"/>
          <w:sz w:val="24"/>
          <w:szCs w:val="24"/>
        </w:rPr>
        <w:t>aterway cost, transit times and reliability.</w:t>
      </w:r>
      <w:r w:rsidRPr="00BC5787">
        <w:rPr>
          <w:rFonts w:ascii="Arial" w:hAnsi="Arial" w:cs="Arial"/>
          <w:sz w:val="24"/>
          <w:szCs w:val="24"/>
        </w:rPr>
        <w:t xml:space="preserve"> </w:t>
      </w:r>
    </w:p>
    <w:bookmarkEnd w:id="4"/>
    <w:bookmarkEnd w:id="5"/>
    <w:p w14:paraId="1F278F1C" w14:textId="77777777" w:rsidR="00910580" w:rsidRPr="00D957C2" w:rsidRDefault="00910580" w:rsidP="00910580">
      <w:pPr>
        <w:rPr>
          <w:rFonts w:ascii="Arial" w:hAnsi="Arial" w:cs="Arial"/>
          <w:sz w:val="24"/>
          <w:szCs w:val="24"/>
        </w:rPr>
      </w:pPr>
    </w:p>
    <w:p w14:paraId="4BA9E6CF" w14:textId="77777777" w:rsidR="00960B3E" w:rsidRPr="00CE12E7" w:rsidRDefault="00CE12E7" w:rsidP="00CE12E7">
      <w:pPr>
        <w:rPr>
          <w:rFonts w:ascii="Arial" w:hAnsi="Arial" w:cs="Arial"/>
          <w:sz w:val="24"/>
          <w:szCs w:val="24"/>
        </w:rPr>
      </w:pPr>
      <w:r>
        <w:rPr>
          <w:rFonts w:ascii="Arial" w:hAnsi="Arial" w:cs="Arial"/>
          <w:sz w:val="24"/>
          <w:szCs w:val="24"/>
        </w:rPr>
        <w:t xml:space="preserve">Some survey questions are designed for specific events, such as a lock closure.  </w:t>
      </w:r>
      <w:r w:rsidR="00960B3E" w:rsidRPr="00CE12E7">
        <w:rPr>
          <w:rFonts w:ascii="Arial" w:hAnsi="Arial" w:cs="Arial"/>
          <w:sz w:val="24"/>
          <w:szCs w:val="24"/>
        </w:rPr>
        <w:t>Th</w:t>
      </w:r>
      <w:r>
        <w:rPr>
          <w:rFonts w:ascii="Arial" w:hAnsi="Arial" w:cs="Arial"/>
          <w:sz w:val="24"/>
          <w:szCs w:val="24"/>
        </w:rPr>
        <w:t>ese questions seek information on</w:t>
      </w:r>
      <w:r w:rsidR="000E45BC">
        <w:rPr>
          <w:rFonts w:ascii="Arial" w:hAnsi="Arial" w:cs="Arial"/>
          <w:sz w:val="24"/>
          <w:szCs w:val="24"/>
        </w:rPr>
        <w:t xml:space="preserve"> impacts to </w:t>
      </w:r>
      <w:r w:rsidR="00960B3E" w:rsidRPr="00CE12E7">
        <w:rPr>
          <w:rFonts w:ascii="Arial" w:hAnsi="Arial" w:cs="Arial"/>
          <w:sz w:val="24"/>
          <w:szCs w:val="24"/>
        </w:rPr>
        <w:t>waterway users operations</w:t>
      </w:r>
      <w:r w:rsidR="000E45BC">
        <w:rPr>
          <w:rFonts w:ascii="Arial" w:hAnsi="Arial" w:cs="Arial"/>
          <w:sz w:val="24"/>
          <w:szCs w:val="24"/>
        </w:rPr>
        <w:t xml:space="preserve"> due t</w:t>
      </w:r>
      <w:r>
        <w:rPr>
          <w:rFonts w:ascii="Arial" w:hAnsi="Arial" w:cs="Arial"/>
          <w:sz w:val="24"/>
          <w:szCs w:val="24"/>
        </w:rPr>
        <w:t>o lock closures, either scheduled or</w:t>
      </w:r>
      <w:r w:rsidR="00960B3E" w:rsidRPr="00CE12E7">
        <w:rPr>
          <w:rFonts w:ascii="Arial" w:hAnsi="Arial" w:cs="Arial"/>
          <w:sz w:val="24"/>
          <w:szCs w:val="24"/>
        </w:rPr>
        <w:t xml:space="preserve"> unscheduled</w:t>
      </w:r>
      <w:r>
        <w:rPr>
          <w:rFonts w:ascii="Arial" w:hAnsi="Arial" w:cs="Arial"/>
          <w:sz w:val="24"/>
          <w:szCs w:val="24"/>
        </w:rPr>
        <w:t>.  Questions are designed to gather information on both short and long term responses (</w:t>
      </w:r>
      <w:r w:rsidR="00960B3E" w:rsidRPr="00CE12E7">
        <w:rPr>
          <w:rFonts w:ascii="Arial" w:hAnsi="Arial" w:cs="Arial"/>
          <w:sz w:val="24"/>
          <w:szCs w:val="24"/>
        </w:rPr>
        <w:t>permanent changes in operations</w:t>
      </w:r>
      <w:r>
        <w:rPr>
          <w:rFonts w:ascii="Arial" w:hAnsi="Arial" w:cs="Arial"/>
          <w:sz w:val="24"/>
          <w:szCs w:val="24"/>
        </w:rPr>
        <w:t>)</w:t>
      </w:r>
      <w:r w:rsidR="00960B3E" w:rsidRPr="00CE12E7">
        <w:rPr>
          <w:rFonts w:ascii="Arial" w:hAnsi="Arial" w:cs="Arial"/>
          <w:sz w:val="24"/>
          <w:szCs w:val="24"/>
        </w:rPr>
        <w:t>.</w:t>
      </w:r>
      <w:r w:rsidR="000E45BC">
        <w:rPr>
          <w:rFonts w:ascii="Arial" w:hAnsi="Arial" w:cs="Arial"/>
          <w:sz w:val="24"/>
          <w:szCs w:val="24"/>
        </w:rPr>
        <w:t xml:space="preserve">  This information help the Corps estimate impacts expected from future outages.</w:t>
      </w:r>
      <w:r w:rsidR="00960B3E" w:rsidRPr="00CE12E7">
        <w:rPr>
          <w:rFonts w:ascii="Arial" w:hAnsi="Arial" w:cs="Arial"/>
          <w:sz w:val="24"/>
          <w:szCs w:val="24"/>
        </w:rPr>
        <w:t xml:space="preserve">  </w:t>
      </w:r>
    </w:p>
    <w:p w14:paraId="50087189" w14:textId="77777777" w:rsidR="00910580" w:rsidRDefault="00910580" w:rsidP="00611B77">
      <w:pPr>
        <w:pStyle w:val="ListParagraph"/>
        <w:rPr>
          <w:rFonts w:ascii="Arial" w:hAnsi="Arial" w:cs="Arial"/>
          <w:sz w:val="24"/>
          <w:szCs w:val="24"/>
        </w:rPr>
      </w:pPr>
    </w:p>
    <w:p w14:paraId="6EF8628B" w14:textId="77777777" w:rsidR="002F4388" w:rsidRPr="00EF4B9F" w:rsidRDefault="00EF4B9F" w:rsidP="00EF4B9F">
      <w:pPr>
        <w:rPr>
          <w:rFonts w:ascii="Arial" w:hAnsi="Arial" w:cs="Arial"/>
          <w:sz w:val="24"/>
          <w:szCs w:val="24"/>
        </w:rPr>
      </w:pPr>
      <w:r>
        <w:rPr>
          <w:rFonts w:ascii="Arial" w:hAnsi="Arial" w:cs="Arial"/>
          <w:sz w:val="24"/>
          <w:szCs w:val="24"/>
        </w:rPr>
        <w:t>Survey questions directed at companies providing liner service at coastal ports</w:t>
      </w:r>
      <w:r w:rsidR="00B90ABF">
        <w:rPr>
          <w:rFonts w:ascii="Arial" w:hAnsi="Arial" w:cs="Arial"/>
          <w:sz w:val="24"/>
          <w:szCs w:val="24"/>
        </w:rPr>
        <w:t xml:space="preserve"> s</w:t>
      </w:r>
      <w:r w:rsidR="002F4388" w:rsidRPr="00EF4B9F">
        <w:rPr>
          <w:rFonts w:ascii="Arial" w:hAnsi="Arial" w:cs="Arial"/>
          <w:sz w:val="24"/>
          <w:szCs w:val="24"/>
        </w:rPr>
        <w:t xml:space="preserve">eek information regarding the operational capacity of companies offering liner service.  Their annual tonnage carried, ports serviced and user opinions on the adequacy of port </w:t>
      </w:r>
      <w:r w:rsidR="002F4388" w:rsidRPr="00EF4B9F">
        <w:rPr>
          <w:rFonts w:ascii="Arial" w:hAnsi="Arial" w:cs="Arial"/>
          <w:sz w:val="24"/>
          <w:szCs w:val="24"/>
        </w:rPr>
        <w:lastRenderedPageBreak/>
        <w:t xml:space="preserve">capacity related to the channel and how their operations may change with added capacity. </w:t>
      </w:r>
      <w:bookmarkStart w:id="6" w:name="OLE_LINK11"/>
      <w:bookmarkStart w:id="7" w:name="OLE_LINK12"/>
      <w:r w:rsidR="002F4388" w:rsidRPr="00EF4B9F">
        <w:rPr>
          <w:rFonts w:ascii="Arial" w:hAnsi="Arial" w:cs="Arial"/>
          <w:sz w:val="24"/>
          <w:szCs w:val="24"/>
        </w:rPr>
        <w:t>This information is used in coastal port planning studies for plan formulation and evaluation of national economic development impacts of each plan.</w:t>
      </w:r>
    </w:p>
    <w:bookmarkEnd w:id="6"/>
    <w:bookmarkEnd w:id="7"/>
    <w:p w14:paraId="49E95D2A" w14:textId="77777777" w:rsidR="002F4388" w:rsidRPr="002F4388" w:rsidRDefault="002F4388" w:rsidP="002F4388">
      <w:pPr>
        <w:rPr>
          <w:rFonts w:ascii="Arial" w:hAnsi="Arial" w:cs="Arial"/>
          <w:sz w:val="24"/>
          <w:szCs w:val="24"/>
        </w:rPr>
      </w:pPr>
    </w:p>
    <w:p w14:paraId="18A7F90A" w14:textId="77777777" w:rsidR="00910580" w:rsidRPr="00F733F6" w:rsidRDefault="00F733F6" w:rsidP="00F733F6">
      <w:pPr>
        <w:tabs>
          <w:tab w:val="left" w:pos="990"/>
        </w:tabs>
        <w:rPr>
          <w:rFonts w:ascii="Arial" w:hAnsi="Arial" w:cs="Arial"/>
          <w:sz w:val="24"/>
          <w:szCs w:val="24"/>
        </w:rPr>
      </w:pPr>
      <w:r>
        <w:rPr>
          <w:rFonts w:ascii="Arial" w:hAnsi="Arial" w:cs="Arial"/>
          <w:sz w:val="24"/>
          <w:szCs w:val="24"/>
        </w:rPr>
        <w:t>Surveys of c</w:t>
      </w:r>
      <w:r w:rsidRPr="00F733F6">
        <w:rPr>
          <w:rFonts w:ascii="Arial" w:hAnsi="Arial" w:cs="Arial"/>
          <w:sz w:val="24"/>
          <w:szCs w:val="24"/>
        </w:rPr>
        <w:t xml:space="preserve">ommercial </w:t>
      </w:r>
      <w:r>
        <w:rPr>
          <w:rFonts w:ascii="Arial" w:hAnsi="Arial" w:cs="Arial"/>
          <w:sz w:val="24"/>
          <w:szCs w:val="24"/>
        </w:rPr>
        <w:t>fi</w:t>
      </w:r>
      <w:r w:rsidRPr="00F733F6">
        <w:rPr>
          <w:rFonts w:ascii="Arial" w:hAnsi="Arial" w:cs="Arial"/>
          <w:sz w:val="24"/>
          <w:szCs w:val="24"/>
        </w:rPr>
        <w:t xml:space="preserve">shing </w:t>
      </w:r>
      <w:r>
        <w:rPr>
          <w:rFonts w:ascii="Arial" w:hAnsi="Arial" w:cs="Arial"/>
          <w:sz w:val="24"/>
          <w:szCs w:val="24"/>
        </w:rPr>
        <w:t xml:space="preserve">operators </w:t>
      </w:r>
      <w:r w:rsidRPr="00F733F6">
        <w:rPr>
          <w:rFonts w:ascii="Arial" w:hAnsi="Arial" w:cs="Arial"/>
          <w:sz w:val="24"/>
          <w:szCs w:val="24"/>
        </w:rPr>
        <w:t>seek</w:t>
      </w:r>
      <w:r w:rsidR="00AD1CCB" w:rsidRPr="00F733F6">
        <w:rPr>
          <w:rFonts w:ascii="Arial" w:hAnsi="Arial" w:cs="Arial"/>
          <w:sz w:val="24"/>
          <w:szCs w:val="24"/>
        </w:rPr>
        <w:t xml:space="preserve"> information on vessels capacity, operations; fisheries participated in, cost of operations</w:t>
      </w:r>
      <w:r>
        <w:rPr>
          <w:rFonts w:ascii="Arial" w:hAnsi="Arial" w:cs="Arial"/>
          <w:sz w:val="24"/>
          <w:szCs w:val="24"/>
        </w:rPr>
        <w:t xml:space="preserve">, vessel restriction of existing channel capacities, </w:t>
      </w:r>
      <w:r w:rsidR="00AD1CCB" w:rsidRPr="00F733F6">
        <w:rPr>
          <w:rFonts w:ascii="Arial" w:hAnsi="Arial" w:cs="Arial"/>
          <w:sz w:val="24"/>
          <w:szCs w:val="24"/>
        </w:rPr>
        <w:t>nd method of crew compensation.  This information is used to estimate fish harvesting cost and changes to fish harvesting cost attrib</w:t>
      </w:r>
      <w:r w:rsidR="003D73D9" w:rsidRPr="00F733F6">
        <w:rPr>
          <w:rFonts w:ascii="Arial" w:hAnsi="Arial" w:cs="Arial"/>
          <w:sz w:val="24"/>
          <w:szCs w:val="24"/>
        </w:rPr>
        <w:t xml:space="preserve">utable to harbor improvements. </w:t>
      </w:r>
    </w:p>
    <w:p w14:paraId="7F09B3DE" w14:textId="77777777" w:rsidR="003D73D9" w:rsidRPr="003D73D9" w:rsidRDefault="003D73D9" w:rsidP="003D73D9">
      <w:pPr>
        <w:pStyle w:val="ListParagraph"/>
        <w:rPr>
          <w:rFonts w:ascii="Arial" w:hAnsi="Arial" w:cs="Arial"/>
          <w:sz w:val="24"/>
          <w:szCs w:val="24"/>
        </w:rPr>
      </w:pPr>
    </w:p>
    <w:p w14:paraId="3246578A" w14:textId="77777777" w:rsidR="00A57439" w:rsidRDefault="006051D3" w:rsidP="007A643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b/>
          <w:sz w:val="24"/>
          <w:szCs w:val="24"/>
        </w:rPr>
        <w:t>3.</w:t>
      </w:r>
      <w:r w:rsidRPr="00615566">
        <w:rPr>
          <w:rFonts w:ascii="Arial"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bookmarkStart w:id="8" w:name="OLE_LINK5"/>
      <w:bookmarkStart w:id="9" w:name="OLE_LINK6"/>
      <w:r w:rsidRPr="00615566">
        <w:rPr>
          <w:rFonts w:ascii="Arial" w:hAnsi="Arial" w:cs="Arial"/>
          <w:b/>
          <w:sz w:val="24"/>
          <w:szCs w:val="24"/>
        </w:rPr>
        <w:t xml:space="preserve">GPEA </w:t>
      </w:r>
      <w:bookmarkEnd w:id="8"/>
      <w:bookmarkEnd w:id="9"/>
      <w:r w:rsidRPr="00615566">
        <w:rPr>
          <w:rFonts w:ascii="Arial" w:hAnsi="Arial" w:cs="Arial"/>
          <w:b/>
          <w:sz w:val="24"/>
          <w:szCs w:val="24"/>
        </w:rPr>
        <w:t>requirements.</w:t>
      </w:r>
    </w:p>
    <w:p w14:paraId="4F9927C4" w14:textId="77777777" w:rsidR="00DA6D4A" w:rsidRDefault="00DA6D4A" w:rsidP="007A643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B050"/>
          <w:sz w:val="24"/>
          <w:szCs w:val="24"/>
        </w:rPr>
      </w:pPr>
    </w:p>
    <w:p w14:paraId="419773DA" w14:textId="77777777" w:rsidR="00DA6D4A" w:rsidRDefault="00000D34" w:rsidP="00DA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000D34">
        <w:rPr>
          <w:rFonts w:ascii="Arial" w:hAnsi="Arial" w:cs="Arial"/>
          <w:sz w:val="24"/>
          <w:szCs w:val="24"/>
        </w:rPr>
        <w:t>Survey data collection will primarily be through in person interviews.</w:t>
      </w:r>
      <w:r w:rsidR="008662F9" w:rsidRPr="008662F9">
        <w:rPr>
          <w:rFonts w:ascii="Arial" w:hAnsi="Arial" w:cs="Arial"/>
          <w:sz w:val="24"/>
          <w:szCs w:val="24"/>
        </w:rPr>
        <w:t xml:space="preserve"> </w:t>
      </w:r>
      <w:r w:rsidR="008662F9">
        <w:rPr>
          <w:rFonts w:ascii="Arial" w:hAnsi="Arial" w:cs="Arial"/>
          <w:sz w:val="24"/>
          <w:szCs w:val="24"/>
        </w:rPr>
        <w:t>Due to the nature of the surveys and the respondent pool, the surveys are often not suited for electronic submittal.  However, electronic surveys will be used whenever deemed appropriate.  It is anticipated that 1/3 of the surveys will be conducted electronically (325 annually). In addition, s</w:t>
      </w:r>
      <w:r w:rsidRPr="00000D34">
        <w:rPr>
          <w:rFonts w:ascii="Arial" w:hAnsi="Arial" w:cs="Arial"/>
          <w:sz w:val="24"/>
          <w:szCs w:val="24"/>
        </w:rPr>
        <w:t>urvey administrators will be encouraged to use laptop computers or tablets to minimize data recording and for better quality control and assurance.</w:t>
      </w:r>
      <w:r w:rsidR="00057B8D">
        <w:rPr>
          <w:rFonts w:ascii="Arial" w:hAnsi="Arial" w:cs="Arial"/>
          <w:sz w:val="24"/>
          <w:szCs w:val="24"/>
        </w:rPr>
        <w:t xml:space="preserve">  </w:t>
      </w:r>
      <w:r w:rsidRPr="00000D34">
        <w:rPr>
          <w:rFonts w:ascii="Arial" w:hAnsi="Arial" w:cs="Arial"/>
          <w:sz w:val="24"/>
          <w:szCs w:val="24"/>
        </w:rPr>
        <w:t>Survey administrators may combine these methods to ensure needed response rates.</w:t>
      </w:r>
      <w:r w:rsidR="00DA6D4A">
        <w:rPr>
          <w:rFonts w:ascii="Arial" w:hAnsi="Arial" w:cs="Arial"/>
          <w:sz w:val="24"/>
          <w:szCs w:val="24"/>
        </w:rPr>
        <w:t xml:space="preserve"> </w:t>
      </w:r>
      <w:r w:rsidR="00762B87">
        <w:rPr>
          <w:rFonts w:ascii="Arial" w:hAnsi="Arial" w:cs="Arial"/>
          <w:sz w:val="24"/>
          <w:szCs w:val="24"/>
        </w:rPr>
        <w:t xml:space="preserve"> </w:t>
      </w:r>
    </w:p>
    <w:p w14:paraId="6A445061" w14:textId="77777777" w:rsidR="00DA6D4A" w:rsidRDefault="00DA6D4A" w:rsidP="00DA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59CC7F70" w14:textId="77777777" w:rsidR="00BD0E64" w:rsidRPr="00615566" w:rsidRDefault="00BD0E64"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highlight w:val="yellow"/>
        </w:rPr>
      </w:pPr>
    </w:p>
    <w:p w14:paraId="1541E29A" w14:textId="77777777" w:rsidR="006051D3" w:rsidRPr="00A537A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DE10D9">
        <w:rPr>
          <w:rFonts w:ascii="Arial" w:hAnsi="Arial" w:cs="Arial"/>
          <w:b/>
          <w:sz w:val="24"/>
          <w:szCs w:val="24"/>
        </w:rPr>
        <w:t>4.</w:t>
      </w:r>
      <w:r w:rsidRPr="00DE10D9">
        <w:rPr>
          <w:rFonts w:ascii="Arial" w:hAnsi="Arial" w:cs="Arial"/>
          <w:b/>
          <w:sz w:val="24"/>
          <w:szCs w:val="24"/>
        </w:rPr>
        <w:tab/>
        <w:t>Describe efforts to identify duplication.  Show specifically why any similar information already available cannot be used or modified for use for the purposes described in Item 2 above.</w:t>
      </w:r>
      <w:r w:rsidR="00A537A0">
        <w:rPr>
          <w:rFonts w:ascii="Arial" w:hAnsi="Arial" w:cs="Arial"/>
          <w:b/>
          <w:sz w:val="24"/>
          <w:szCs w:val="24"/>
        </w:rPr>
        <w:t xml:space="preserve"> </w:t>
      </w:r>
    </w:p>
    <w:p w14:paraId="1B9EEB8A" w14:textId="77777777" w:rsidR="00CE70E1" w:rsidRPr="00DE10D9" w:rsidRDefault="00CE70E1"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ABECC73" w14:textId="77777777" w:rsidR="00152AF8" w:rsidRPr="00DE10D9" w:rsidRDefault="00C752D3" w:rsidP="00C75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DE10D9">
        <w:rPr>
          <w:rFonts w:ascii="Arial" w:hAnsi="Arial" w:cs="Arial"/>
          <w:sz w:val="24"/>
          <w:szCs w:val="24"/>
        </w:rPr>
        <w:t xml:space="preserve">This effort does not duplicate any other survey being done by Federal agencies. </w:t>
      </w:r>
      <w:r w:rsidR="00815DA3">
        <w:rPr>
          <w:rFonts w:ascii="Arial" w:hAnsi="Arial" w:cs="Arial"/>
          <w:sz w:val="24"/>
          <w:szCs w:val="24"/>
        </w:rPr>
        <w:t xml:space="preserve">No other Federal agency </w:t>
      </w:r>
      <w:r w:rsidR="005317CD">
        <w:rPr>
          <w:rFonts w:ascii="Arial" w:hAnsi="Arial" w:cs="Arial"/>
          <w:sz w:val="24"/>
          <w:szCs w:val="24"/>
        </w:rPr>
        <w:t xml:space="preserve">systematically </w:t>
      </w:r>
      <w:r w:rsidR="00815DA3">
        <w:rPr>
          <w:rFonts w:ascii="Arial" w:hAnsi="Arial" w:cs="Arial"/>
          <w:sz w:val="24"/>
          <w:szCs w:val="24"/>
        </w:rPr>
        <w:t xml:space="preserve">collects information </w:t>
      </w:r>
      <w:r w:rsidR="005317CD">
        <w:rPr>
          <w:rFonts w:ascii="Arial" w:hAnsi="Arial" w:cs="Arial"/>
          <w:sz w:val="24"/>
          <w:szCs w:val="24"/>
        </w:rPr>
        <w:t xml:space="preserve">for the purpose </w:t>
      </w:r>
      <w:r w:rsidR="00E02253">
        <w:rPr>
          <w:rFonts w:ascii="Arial" w:hAnsi="Arial" w:cs="Arial"/>
          <w:sz w:val="24"/>
          <w:szCs w:val="24"/>
        </w:rPr>
        <w:t>of estimating real resource cost of water transportation and commercial fishing.  This data is often proprietary data only shared with the Corps under assurances of confidentiality.  No other source</w:t>
      </w:r>
      <w:r w:rsidR="00566B36">
        <w:rPr>
          <w:rFonts w:ascii="Arial" w:hAnsi="Arial" w:cs="Arial"/>
          <w:sz w:val="24"/>
          <w:szCs w:val="24"/>
        </w:rPr>
        <w:t>s</w:t>
      </w:r>
      <w:r w:rsidR="00E02253">
        <w:rPr>
          <w:rFonts w:ascii="Arial" w:hAnsi="Arial" w:cs="Arial"/>
          <w:sz w:val="24"/>
          <w:szCs w:val="24"/>
        </w:rPr>
        <w:t xml:space="preserve"> for this data exist.</w:t>
      </w:r>
      <w:r w:rsidR="00736BBE">
        <w:rPr>
          <w:rFonts w:ascii="Arial" w:hAnsi="Arial" w:cs="Arial"/>
          <w:sz w:val="24"/>
          <w:szCs w:val="24"/>
        </w:rPr>
        <w:t xml:space="preserve"> </w:t>
      </w:r>
    </w:p>
    <w:p w14:paraId="44B61DE9" w14:textId="77777777" w:rsidR="00152AF8" w:rsidRPr="00615566" w:rsidRDefault="00152AF8" w:rsidP="009C4932">
      <w:pPr>
        <w:pStyle w:val="BodyText"/>
        <w:ind w:left="360" w:right="-360"/>
        <w:rPr>
          <w:sz w:val="24"/>
          <w:szCs w:val="24"/>
          <w:highlight w:val="yellow"/>
        </w:rPr>
      </w:pPr>
    </w:p>
    <w:p w14:paraId="19A64E16" w14:textId="77777777" w:rsidR="006051D3" w:rsidRPr="00175CB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5.</w:t>
      </w:r>
      <w:r w:rsidRPr="00615566">
        <w:rPr>
          <w:rFonts w:ascii="Arial" w:hAnsi="Arial" w:cs="Arial"/>
          <w:b/>
          <w:sz w:val="24"/>
          <w:szCs w:val="24"/>
        </w:rPr>
        <w:tab/>
        <w:t>If the collection of information impacts small businesses or other small entities, describe any methods used to minimize burden.</w:t>
      </w:r>
      <w:r w:rsidR="00175CB0">
        <w:rPr>
          <w:rFonts w:ascii="Arial" w:hAnsi="Arial" w:cs="Arial"/>
          <w:b/>
          <w:sz w:val="24"/>
          <w:szCs w:val="24"/>
        </w:rPr>
        <w:t xml:space="preserve"> </w:t>
      </w:r>
    </w:p>
    <w:p w14:paraId="1C0E5EB0"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6E533E5B" w14:textId="77777777" w:rsidR="00DA6D4A" w:rsidRDefault="00DA6D4A" w:rsidP="00DA6D4A">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ED1526">
        <w:rPr>
          <w:rFonts w:ascii="Arial" w:hAnsi="Arial"/>
          <w:sz w:val="24"/>
        </w:rPr>
        <w:t xml:space="preserve">Some of the surveys, especially those at smaller or shallow draft harbors may require the interviewing of small businesses such as commercial fishermen or charter boat captains.  When appropriate, the burden on such establishments is alleviated by such actions as: 1) pre-survey contacts to determine the most advantageous time such surveys can be conducted; 2) provision of pre-survey materials to inform the entities what information will be needed to expedite the survey process; </w:t>
      </w:r>
      <w:r w:rsidR="00571791">
        <w:rPr>
          <w:rFonts w:ascii="Arial" w:hAnsi="Arial"/>
          <w:sz w:val="24"/>
        </w:rPr>
        <w:t xml:space="preserve">3) pre-population of </w:t>
      </w:r>
      <w:r w:rsidR="004E6E59">
        <w:rPr>
          <w:rFonts w:ascii="Arial" w:hAnsi="Arial"/>
          <w:sz w:val="24"/>
        </w:rPr>
        <w:t xml:space="preserve">publicly available </w:t>
      </w:r>
      <w:r w:rsidR="00571791">
        <w:rPr>
          <w:rFonts w:ascii="Arial" w:hAnsi="Arial"/>
          <w:sz w:val="24"/>
        </w:rPr>
        <w:t xml:space="preserve">business profile </w:t>
      </w:r>
      <w:r w:rsidR="004E6E59">
        <w:rPr>
          <w:rFonts w:ascii="Arial" w:hAnsi="Arial"/>
          <w:sz w:val="24"/>
        </w:rPr>
        <w:t xml:space="preserve">information </w:t>
      </w:r>
      <w:r w:rsidR="00571791">
        <w:rPr>
          <w:rFonts w:ascii="Arial" w:hAnsi="Arial"/>
          <w:sz w:val="24"/>
        </w:rPr>
        <w:t xml:space="preserve">questions; </w:t>
      </w:r>
      <w:r w:rsidRPr="00ED1526">
        <w:rPr>
          <w:rFonts w:ascii="Arial" w:hAnsi="Arial"/>
          <w:sz w:val="24"/>
        </w:rPr>
        <w:t xml:space="preserve">and </w:t>
      </w:r>
      <w:r w:rsidR="00571791">
        <w:rPr>
          <w:rFonts w:ascii="Arial" w:hAnsi="Arial"/>
          <w:sz w:val="24"/>
        </w:rPr>
        <w:t>4</w:t>
      </w:r>
      <w:r w:rsidRPr="00ED1526">
        <w:rPr>
          <w:rFonts w:ascii="Arial" w:hAnsi="Arial"/>
          <w:sz w:val="24"/>
        </w:rPr>
        <w:t xml:space="preserve">) assistance from </w:t>
      </w:r>
      <w:r w:rsidRPr="00ED1526">
        <w:rPr>
          <w:rFonts w:ascii="Arial" w:hAnsi="Arial"/>
          <w:sz w:val="24"/>
        </w:rPr>
        <w:lastRenderedPageBreak/>
        <w:t xml:space="preserve">experienced and trained staff to complete necessary questionnaires. The information being collected in these surveys </w:t>
      </w:r>
      <w:r w:rsidR="006012BD">
        <w:rPr>
          <w:rFonts w:ascii="Arial" w:hAnsi="Arial"/>
          <w:sz w:val="24"/>
        </w:rPr>
        <w:t>is, for the most part, readily available to the respondent from their participation in i</w:t>
      </w:r>
      <w:r w:rsidRPr="00ED1526">
        <w:rPr>
          <w:rFonts w:ascii="Arial" w:hAnsi="Arial"/>
          <w:sz w:val="24"/>
        </w:rPr>
        <w:t>nsurance</w:t>
      </w:r>
      <w:r w:rsidR="000336D7">
        <w:rPr>
          <w:rFonts w:ascii="Arial" w:hAnsi="Arial"/>
          <w:sz w:val="24"/>
        </w:rPr>
        <w:t xml:space="preserve"> claims</w:t>
      </w:r>
      <w:r w:rsidRPr="00ED1526">
        <w:rPr>
          <w:rFonts w:ascii="Arial" w:hAnsi="Arial"/>
          <w:sz w:val="24"/>
        </w:rPr>
        <w:t>, and tax purposes.</w:t>
      </w:r>
    </w:p>
    <w:p w14:paraId="0A8C20A6" w14:textId="77777777" w:rsidR="00F547D6" w:rsidRDefault="00F547D6"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CCD2FE2" w14:textId="77777777" w:rsidR="00DE10D9" w:rsidRPr="00615566" w:rsidRDefault="00DE10D9"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26B2D80E" w14:textId="77777777" w:rsidR="006051D3" w:rsidRPr="00175CB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6.</w:t>
      </w:r>
      <w:r w:rsidRPr="00615566">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r w:rsidR="00175CB0">
        <w:rPr>
          <w:rFonts w:ascii="Arial" w:hAnsi="Arial" w:cs="Arial"/>
          <w:b/>
          <w:sz w:val="24"/>
          <w:szCs w:val="24"/>
        </w:rPr>
        <w:t xml:space="preserve"> </w:t>
      </w:r>
    </w:p>
    <w:p w14:paraId="36175A97"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38FB33F7" w14:textId="77777777" w:rsidR="00C752D3" w:rsidRDefault="006C5D68" w:rsidP="00C752D3">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315B77">
        <w:rPr>
          <w:rFonts w:ascii="Arial" w:hAnsi="Arial"/>
          <w:sz w:val="24"/>
        </w:rPr>
        <w:t xml:space="preserve">If the needed information could not be collected for these occasions, the feasibility </w:t>
      </w:r>
      <w:r w:rsidR="00057B8D" w:rsidRPr="00315B77">
        <w:rPr>
          <w:rFonts w:ascii="Arial" w:hAnsi="Arial"/>
          <w:sz w:val="24"/>
        </w:rPr>
        <w:t>of nationally</w:t>
      </w:r>
      <w:r w:rsidR="00566B36">
        <w:rPr>
          <w:rFonts w:ascii="Arial" w:hAnsi="Arial"/>
          <w:sz w:val="24"/>
        </w:rPr>
        <w:t xml:space="preserve"> critical navigation </w:t>
      </w:r>
      <w:r w:rsidRPr="00315B77">
        <w:rPr>
          <w:rFonts w:ascii="Arial" w:hAnsi="Arial"/>
          <w:sz w:val="24"/>
        </w:rPr>
        <w:t>projects or their effectiveness could not be determined with data gathered directly from users of harbors or inland navigation facilities.  As a result, data from previously conducted Corps studies would likely be used.  However, this data could be outdated, or specific to another location that differs significantly from the current study.  As a result, there is a high chance that not conducting the collection would result the usage of inaccurate or inappropriate data that could lead to incorrectly identifying project benefits associated with navigation projects and thus incorrectly identifying the best alternative for navigation projects that frequently have costs in excess of $100 million</w:t>
      </w:r>
      <w:r w:rsidR="00E2776F">
        <w:rPr>
          <w:rFonts w:ascii="Arial" w:hAnsi="Arial"/>
          <w:sz w:val="24"/>
        </w:rPr>
        <w:t>.</w:t>
      </w:r>
    </w:p>
    <w:p w14:paraId="18054DCB" w14:textId="77777777" w:rsidR="008D57CC" w:rsidRPr="00615566" w:rsidRDefault="008D57CC" w:rsidP="00C752D3">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1E862E07"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7.</w:t>
      </w:r>
      <w:r w:rsidRPr="00615566">
        <w:rPr>
          <w:rFonts w:ascii="Arial" w:hAnsi="Arial" w:cs="Arial"/>
          <w:b/>
          <w:sz w:val="24"/>
          <w:szCs w:val="24"/>
        </w:rPr>
        <w:tab/>
        <w:t>Explain any special circumstances that would cause an information collection to be conducted in a manner:</w:t>
      </w:r>
    </w:p>
    <w:p w14:paraId="1CA08EBF"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a.</w:t>
      </w:r>
      <w:r w:rsidRPr="00615566">
        <w:rPr>
          <w:rFonts w:ascii="Arial" w:hAnsi="Arial" w:cs="Arial"/>
          <w:b/>
          <w:sz w:val="24"/>
          <w:szCs w:val="24"/>
        </w:rPr>
        <w:tab/>
        <w:t>requiring respondents to report information to the agency more often than quarterly;</w:t>
      </w:r>
    </w:p>
    <w:p w14:paraId="569104CF" w14:textId="77777777" w:rsidR="006051D3"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b.</w:t>
      </w:r>
      <w:r w:rsidRPr="00615566">
        <w:rPr>
          <w:rFonts w:ascii="Arial" w:hAnsi="Arial" w:cs="Arial"/>
          <w:b/>
          <w:sz w:val="24"/>
          <w:szCs w:val="24"/>
        </w:rPr>
        <w:tab/>
        <w:t>requiring respondents to prepare a written response to a collection of information in fewer than 30 days after receipt of it;</w:t>
      </w:r>
    </w:p>
    <w:p w14:paraId="147267B9"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c.</w:t>
      </w:r>
      <w:r w:rsidRPr="00615566">
        <w:rPr>
          <w:rFonts w:ascii="Arial" w:hAnsi="Arial" w:cs="Arial"/>
          <w:b/>
          <w:sz w:val="24"/>
          <w:szCs w:val="24"/>
        </w:rPr>
        <w:tab/>
        <w:t>requiring respondents to submit more than an original and two copies of any document;</w:t>
      </w:r>
    </w:p>
    <w:p w14:paraId="0401D49D"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d.</w:t>
      </w:r>
      <w:r w:rsidRPr="00615566">
        <w:rPr>
          <w:rFonts w:ascii="Arial" w:hAnsi="Arial" w:cs="Arial"/>
          <w:b/>
          <w:sz w:val="24"/>
          <w:szCs w:val="24"/>
        </w:rPr>
        <w:tab/>
        <w:t>requiring respondents to retain records, other than health, medical, government contract, grant-in-aid, or tax records, for more than three years;</w:t>
      </w:r>
    </w:p>
    <w:p w14:paraId="55464B8C"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e.</w:t>
      </w:r>
      <w:r w:rsidRPr="00615566">
        <w:rPr>
          <w:rFonts w:ascii="Arial" w:hAnsi="Arial" w:cs="Arial"/>
          <w:b/>
          <w:sz w:val="24"/>
          <w:szCs w:val="24"/>
        </w:rPr>
        <w:tab/>
        <w:t>in connection with a statistical survey that is not designed to produce valid and reliable results that can be generalized to the universe of study;</w:t>
      </w:r>
    </w:p>
    <w:p w14:paraId="04CD22C3"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f.</w:t>
      </w:r>
      <w:r w:rsidRPr="00615566">
        <w:rPr>
          <w:rFonts w:ascii="Arial" w:hAnsi="Arial" w:cs="Arial"/>
          <w:b/>
          <w:sz w:val="24"/>
          <w:szCs w:val="24"/>
        </w:rPr>
        <w:tab/>
        <w:t>requiring the use of a statistical data classification that has not been reviewed and approved by OMB;</w:t>
      </w:r>
    </w:p>
    <w:p w14:paraId="4CBB51B4"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g.</w:t>
      </w:r>
      <w:r w:rsidRPr="00615566">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93A4F71" w14:textId="77777777" w:rsidR="006051D3" w:rsidRPr="00175CB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color w:val="00B050"/>
          <w:sz w:val="24"/>
          <w:szCs w:val="24"/>
        </w:rPr>
      </w:pPr>
      <w:r w:rsidRPr="00615566">
        <w:rPr>
          <w:rFonts w:ascii="Arial" w:hAnsi="Arial" w:cs="Arial"/>
          <w:b/>
          <w:sz w:val="24"/>
          <w:szCs w:val="24"/>
        </w:rPr>
        <w:tab/>
      </w:r>
      <w:r w:rsidR="002415B0">
        <w:rPr>
          <w:rFonts w:ascii="Arial" w:hAnsi="Arial" w:cs="Arial"/>
          <w:b/>
          <w:sz w:val="24"/>
          <w:szCs w:val="24"/>
        </w:rPr>
        <w:t>h.</w:t>
      </w:r>
      <w:r w:rsidRPr="00615566">
        <w:rPr>
          <w:rFonts w:ascii="Arial" w:hAnsi="Arial" w:cs="Arial"/>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r w:rsidR="00175CB0">
        <w:rPr>
          <w:rFonts w:ascii="Arial" w:hAnsi="Arial" w:cs="Arial"/>
          <w:b/>
          <w:sz w:val="24"/>
          <w:szCs w:val="24"/>
        </w:rPr>
        <w:t xml:space="preserve"> </w:t>
      </w:r>
    </w:p>
    <w:p w14:paraId="5D066EDA"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5AD78200" w14:textId="77777777" w:rsidR="001E53DD" w:rsidRDefault="001E53DD" w:rsidP="001E53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315B77">
        <w:rPr>
          <w:rFonts w:ascii="Arial" w:hAnsi="Arial" w:cs="Arial"/>
          <w:sz w:val="24"/>
          <w:szCs w:val="24"/>
        </w:rPr>
        <w:lastRenderedPageBreak/>
        <w:t>This request contains no special circumstances with respect to 5 CFR 1320.5 (2)</w:t>
      </w:r>
      <w:r w:rsidR="005D649D">
        <w:rPr>
          <w:rFonts w:ascii="Arial" w:hAnsi="Arial" w:cs="Arial"/>
          <w:sz w:val="24"/>
          <w:szCs w:val="24"/>
        </w:rPr>
        <w:t xml:space="preserve">. </w:t>
      </w:r>
      <w:r w:rsidR="006A6230">
        <w:rPr>
          <w:rFonts w:ascii="Arial" w:hAnsi="Arial" w:cs="Arial"/>
          <w:sz w:val="24"/>
          <w:szCs w:val="24"/>
        </w:rPr>
        <w:t xml:space="preserve">At times we will ask respondent to respond within 30-days, but there is no requirement to do so.  </w:t>
      </w:r>
      <w:r w:rsidRPr="00315B77">
        <w:rPr>
          <w:rFonts w:ascii="Arial" w:hAnsi="Arial" w:cs="Arial"/>
          <w:sz w:val="24"/>
          <w:szCs w:val="24"/>
        </w:rPr>
        <w:t xml:space="preserve">On these types of surveys, respondents normally will respond rather quickly if they intend to respond at all. </w:t>
      </w:r>
      <w:r w:rsidR="005D649D">
        <w:rPr>
          <w:rFonts w:ascii="Arial" w:hAnsi="Arial" w:cs="Arial"/>
          <w:sz w:val="24"/>
          <w:szCs w:val="24"/>
        </w:rPr>
        <w:t xml:space="preserve"> </w:t>
      </w:r>
      <w:r w:rsidRPr="00315B77">
        <w:rPr>
          <w:rFonts w:ascii="Arial" w:hAnsi="Arial" w:cs="Arial"/>
          <w:sz w:val="24"/>
          <w:szCs w:val="24"/>
        </w:rPr>
        <w:t>These are voluntary surveys and respondents are not obligated to respond.</w:t>
      </w:r>
      <w:r w:rsidRPr="00DE10D9">
        <w:rPr>
          <w:rFonts w:ascii="Arial" w:hAnsi="Arial" w:cs="Arial"/>
          <w:sz w:val="24"/>
          <w:szCs w:val="24"/>
        </w:rPr>
        <w:t xml:space="preserve"> </w:t>
      </w:r>
    </w:p>
    <w:p w14:paraId="18A32DEB" w14:textId="77777777" w:rsidR="006D6CD8" w:rsidRPr="00DE10D9" w:rsidRDefault="006D6CD8" w:rsidP="001E53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14:paraId="472543C6" w14:textId="77777777" w:rsidR="006051D3" w:rsidRPr="00175CB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8.</w:t>
      </w:r>
      <w:r w:rsidRPr="00615566">
        <w:rPr>
          <w:rFonts w:ascii="Arial" w:hAnsi="Arial" w:cs="Arial"/>
          <w:b/>
          <w:sz w:val="24"/>
          <w:szCs w:val="24"/>
        </w:rPr>
        <w:tab/>
        <w:t xml:space="preserve">If applicable, provide a copy and identify the date and page number of publication in the </w:t>
      </w:r>
      <w:r w:rsidRPr="00DE10D9">
        <w:rPr>
          <w:rFonts w:ascii="Arial" w:hAnsi="Arial" w:cs="Arial"/>
          <w:b/>
          <w:i/>
          <w:sz w:val="24"/>
          <w:szCs w:val="24"/>
        </w:rPr>
        <w:t>Federal Register</w:t>
      </w:r>
      <w:r w:rsidRPr="00615566">
        <w:rPr>
          <w:rFonts w:ascii="Arial" w:hAnsi="Arial" w:cs="Arial"/>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175CB0">
        <w:rPr>
          <w:rFonts w:ascii="Arial" w:hAnsi="Arial" w:cs="Arial"/>
          <w:b/>
          <w:sz w:val="24"/>
          <w:szCs w:val="24"/>
        </w:rPr>
        <w:t xml:space="preserve"> </w:t>
      </w:r>
    </w:p>
    <w:p w14:paraId="7BA5CDA1" w14:textId="77777777" w:rsidR="006051D3"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22CE9D5D" w14:textId="77777777" w:rsidR="00DE10D9" w:rsidRDefault="00D31A5B"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D31A5B">
        <w:rPr>
          <w:rFonts w:ascii="Arial" w:hAnsi="Arial" w:cs="Arial"/>
          <w:sz w:val="24"/>
          <w:szCs w:val="24"/>
        </w:rPr>
        <w:t xml:space="preserve">A </w:t>
      </w:r>
      <w:r w:rsidR="0081573F">
        <w:rPr>
          <w:rFonts w:ascii="Arial" w:hAnsi="Arial" w:cs="Arial"/>
          <w:sz w:val="24"/>
          <w:szCs w:val="24"/>
        </w:rPr>
        <w:t xml:space="preserve">60 Day </w:t>
      </w:r>
      <w:r w:rsidRPr="00D31A5B">
        <w:rPr>
          <w:rFonts w:ascii="Arial" w:hAnsi="Arial" w:cs="Arial"/>
          <w:sz w:val="24"/>
          <w:szCs w:val="24"/>
        </w:rPr>
        <w:t>public notice was published in the Federal Register on July 21, 2015 (</w:t>
      </w:r>
      <w:r w:rsidRPr="00D31A5B">
        <w:rPr>
          <w:rStyle w:val="volume"/>
          <w:rFonts w:ascii="Arial" w:hAnsi="Arial" w:cs="Arial"/>
          <w:sz w:val="24"/>
          <w:szCs w:val="24"/>
        </w:rPr>
        <w:t>80</w:t>
      </w:r>
      <w:r w:rsidRPr="00D31A5B">
        <w:rPr>
          <w:rFonts w:ascii="Arial" w:hAnsi="Arial" w:cs="Arial"/>
          <w:sz w:val="24"/>
          <w:szCs w:val="24"/>
        </w:rPr>
        <w:t xml:space="preserve"> FR </w:t>
      </w:r>
      <w:r w:rsidRPr="00D31A5B">
        <w:rPr>
          <w:rStyle w:val="page"/>
          <w:rFonts w:ascii="Arial" w:hAnsi="Arial" w:cs="Arial"/>
          <w:sz w:val="24"/>
          <w:szCs w:val="24"/>
        </w:rPr>
        <w:t>43068)</w:t>
      </w:r>
      <w:r w:rsidRPr="00D31A5B">
        <w:rPr>
          <w:rFonts w:ascii="Arial" w:hAnsi="Arial" w:cs="Arial"/>
          <w:sz w:val="24"/>
          <w:szCs w:val="24"/>
        </w:rPr>
        <w:t xml:space="preserve">.  No comments were received.  </w:t>
      </w:r>
    </w:p>
    <w:p w14:paraId="6B77C6A2" w14:textId="77777777" w:rsidR="006D79A4" w:rsidRDefault="006D79A4"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D0C2A7D" w14:textId="77777777" w:rsidR="00762B87" w:rsidRDefault="0081573F" w:rsidP="00815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D31A5B">
        <w:rPr>
          <w:rFonts w:ascii="Arial" w:hAnsi="Arial" w:cs="Arial"/>
          <w:sz w:val="24"/>
          <w:szCs w:val="24"/>
        </w:rPr>
        <w:t xml:space="preserve">A </w:t>
      </w:r>
      <w:r>
        <w:rPr>
          <w:rFonts w:ascii="Arial" w:hAnsi="Arial" w:cs="Arial"/>
          <w:sz w:val="24"/>
          <w:szCs w:val="24"/>
        </w:rPr>
        <w:t xml:space="preserve">30 Day </w:t>
      </w:r>
      <w:r w:rsidRPr="00D31A5B">
        <w:rPr>
          <w:rFonts w:ascii="Arial" w:hAnsi="Arial" w:cs="Arial"/>
          <w:sz w:val="24"/>
          <w:szCs w:val="24"/>
        </w:rPr>
        <w:t xml:space="preserve">public notice was published in the Federal Register on </w:t>
      </w:r>
      <w:r>
        <w:rPr>
          <w:rFonts w:ascii="Arial" w:hAnsi="Arial" w:cs="Arial"/>
          <w:sz w:val="24"/>
          <w:szCs w:val="24"/>
        </w:rPr>
        <w:t>December 7</w:t>
      </w:r>
      <w:r w:rsidRPr="00D31A5B">
        <w:rPr>
          <w:rFonts w:ascii="Arial" w:hAnsi="Arial" w:cs="Arial"/>
          <w:sz w:val="24"/>
          <w:szCs w:val="24"/>
        </w:rPr>
        <w:t>, 2015 (</w:t>
      </w:r>
      <w:r w:rsidRPr="00D31A5B">
        <w:rPr>
          <w:rStyle w:val="volume"/>
          <w:rFonts w:ascii="Arial" w:hAnsi="Arial" w:cs="Arial"/>
          <w:sz w:val="24"/>
          <w:szCs w:val="24"/>
        </w:rPr>
        <w:t>80</w:t>
      </w:r>
      <w:r w:rsidRPr="00D31A5B">
        <w:rPr>
          <w:rFonts w:ascii="Arial" w:hAnsi="Arial" w:cs="Arial"/>
          <w:sz w:val="24"/>
          <w:szCs w:val="24"/>
        </w:rPr>
        <w:t xml:space="preserve"> FR </w:t>
      </w:r>
      <w:r>
        <w:rPr>
          <w:rStyle w:val="page"/>
          <w:rFonts w:ascii="Arial" w:hAnsi="Arial" w:cs="Arial"/>
          <w:sz w:val="24"/>
          <w:szCs w:val="24"/>
        </w:rPr>
        <w:t>76001</w:t>
      </w:r>
      <w:r w:rsidRPr="00D31A5B">
        <w:rPr>
          <w:rStyle w:val="page"/>
          <w:rFonts w:ascii="Arial" w:hAnsi="Arial" w:cs="Arial"/>
          <w:sz w:val="24"/>
          <w:szCs w:val="24"/>
        </w:rPr>
        <w:t>)</w:t>
      </w:r>
      <w:r w:rsidRPr="00D31A5B">
        <w:rPr>
          <w:rFonts w:ascii="Arial" w:hAnsi="Arial" w:cs="Arial"/>
          <w:sz w:val="24"/>
          <w:szCs w:val="24"/>
        </w:rPr>
        <w:t xml:space="preserve">.  </w:t>
      </w:r>
      <w:r w:rsidR="00762B87">
        <w:rPr>
          <w:rFonts w:ascii="Arial" w:hAnsi="Arial" w:cs="Arial"/>
          <w:sz w:val="24"/>
          <w:szCs w:val="24"/>
        </w:rPr>
        <w:t>No comments were received.</w:t>
      </w:r>
    </w:p>
    <w:p w14:paraId="06C6DE25" w14:textId="77777777" w:rsidR="00762B87" w:rsidRDefault="00762B87" w:rsidP="00815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644F81A" w14:textId="77777777" w:rsidR="00762B87" w:rsidRDefault="00762B87" w:rsidP="008157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In addition, a number of outside sources were consulted in preparation of this package.  These sources are summarized in Part B of the supporting statement.  </w:t>
      </w:r>
    </w:p>
    <w:p w14:paraId="6EEEBBEF" w14:textId="77777777" w:rsidR="006D79A4" w:rsidRPr="006D79A4" w:rsidRDefault="006D79A4"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4"/>
          <w:szCs w:val="24"/>
        </w:rPr>
      </w:pPr>
    </w:p>
    <w:p w14:paraId="57ACAC65" w14:textId="77777777" w:rsidR="00002F4B" w:rsidRPr="00615566" w:rsidRDefault="00002F4B"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14:paraId="165E802D" w14:textId="77777777" w:rsidR="006051D3" w:rsidRPr="00175CB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9.</w:t>
      </w:r>
      <w:r w:rsidRPr="00615566">
        <w:rPr>
          <w:rFonts w:ascii="Arial" w:hAnsi="Arial" w:cs="Arial"/>
          <w:b/>
          <w:sz w:val="24"/>
          <w:szCs w:val="24"/>
        </w:rPr>
        <w:tab/>
        <w:t>Explain any decision to provide any payment or gift to respondents, other than remuneration of contractors or grantees.</w:t>
      </w:r>
      <w:r w:rsidR="00175CB0">
        <w:rPr>
          <w:rFonts w:ascii="Arial" w:hAnsi="Arial" w:cs="Arial"/>
          <w:b/>
          <w:sz w:val="24"/>
          <w:szCs w:val="24"/>
        </w:rPr>
        <w:t xml:space="preserve"> </w:t>
      </w:r>
    </w:p>
    <w:p w14:paraId="4267FDE3"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A83C881" w14:textId="77777777" w:rsidR="00C752D3" w:rsidRPr="00615566" w:rsidRDefault="00C752D3" w:rsidP="00C752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Incentives, remuneration, and gifts are generally deemed inappropriate as part of plans for information collections conducted within the scope of </w:t>
      </w:r>
      <w:r w:rsidR="00413D47" w:rsidRPr="00615566">
        <w:rPr>
          <w:rFonts w:ascii="Arial" w:hAnsi="Arial" w:cs="Arial"/>
          <w:sz w:val="24"/>
          <w:szCs w:val="24"/>
        </w:rPr>
        <w:t>USACE sponsored s</w:t>
      </w:r>
      <w:r w:rsidRPr="00615566">
        <w:rPr>
          <w:rFonts w:ascii="Arial" w:hAnsi="Arial" w:cs="Arial"/>
          <w:sz w:val="24"/>
          <w:szCs w:val="24"/>
        </w:rPr>
        <w:t>urveys.</w:t>
      </w:r>
      <w:r w:rsidR="00413D47" w:rsidRPr="00615566">
        <w:rPr>
          <w:rFonts w:ascii="Arial" w:hAnsi="Arial" w:cs="Arial"/>
          <w:sz w:val="24"/>
          <w:szCs w:val="24"/>
        </w:rPr>
        <w:t xml:space="preserve">  No gifts or payments will be made to any survey respondents.</w:t>
      </w:r>
      <w:r w:rsidRPr="00615566">
        <w:rPr>
          <w:rFonts w:ascii="Arial" w:hAnsi="Arial" w:cs="Arial"/>
          <w:sz w:val="24"/>
          <w:szCs w:val="24"/>
        </w:rPr>
        <w:t xml:space="preserve">  </w:t>
      </w:r>
    </w:p>
    <w:p w14:paraId="1CAFCAF1" w14:textId="77777777" w:rsidR="00BF00DE" w:rsidRPr="00615566" w:rsidRDefault="00BF00DE"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14:paraId="1F093D5E" w14:textId="77777777" w:rsidR="006051D3" w:rsidRPr="00175CB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10.</w:t>
      </w:r>
      <w:r w:rsidR="005317CD">
        <w:rPr>
          <w:rFonts w:ascii="Arial" w:hAnsi="Arial" w:cs="Arial"/>
          <w:b/>
          <w:sz w:val="24"/>
          <w:szCs w:val="24"/>
        </w:rPr>
        <w:t xml:space="preserve"> </w:t>
      </w:r>
      <w:r w:rsidR="00E7706B">
        <w:rPr>
          <w:rFonts w:ascii="Arial" w:hAnsi="Arial" w:cs="Arial"/>
          <w:b/>
          <w:sz w:val="24"/>
          <w:szCs w:val="24"/>
        </w:rPr>
        <w:t xml:space="preserve"> </w:t>
      </w:r>
      <w:r w:rsidRPr="00615566">
        <w:rPr>
          <w:rFonts w:ascii="Arial" w:hAnsi="Arial" w:cs="Arial"/>
          <w:b/>
          <w:sz w:val="24"/>
          <w:szCs w:val="24"/>
        </w:rPr>
        <w:t xml:space="preserve">Describe any assurance of confidentiality </w:t>
      </w:r>
      <w:r w:rsidR="005317CD">
        <w:rPr>
          <w:rFonts w:ascii="Arial" w:hAnsi="Arial" w:cs="Arial"/>
          <w:b/>
          <w:sz w:val="24"/>
          <w:szCs w:val="24"/>
        </w:rPr>
        <w:t xml:space="preserve">provided to respondents and the </w:t>
      </w:r>
      <w:r w:rsidRPr="00615566">
        <w:rPr>
          <w:rFonts w:ascii="Arial" w:hAnsi="Arial" w:cs="Arial"/>
          <w:b/>
          <w:sz w:val="24"/>
          <w:szCs w:val="24"/>
        </w:rPr>
        <w:t>basis for th</w:t>
      </w:r>
      <w:r w:rsidR="005317CD">
        <w:rPr>
          <w:rFonts w:ascii="Arial" w:hAnsi="Arial" w:cs="Arial"/>
          <w:b/>
          <w:sz w:val="24"/>
          <w:szCs w:val="24"/>
        </w:rPr>
        <w:t>at</w:t>
      </w:r>
      <w:r w:rsidRPr="00615566">
        <w:rPr>
          <w:rFonts w:ascii="Arial" w:hAnsi="Arial" w:cs="Arial"/>
          <w:b/>
          <w:sz w:val="24"/>
          <w:szCs w:val="24"/>
        </w:rPr>
        <w:t xml:space="preserve"> assurance in statute, regulation, or agency policy.</w:t>
      </w:r>
      <w:r w:rsidR="00175CB0">
        <w:rPr>
          <w:rFonts w:ascii="Arial" w:hAnsi="Arial" w:cs="Arial"/>
          <w:b/>
          <w:sz w:val="24"/>
          <w:szCs w:val="24"/>
        </w:rPr>
        <w:t xml:space="preserve"> </w:t>
      </w:r>
    </w:p>
    <w:p w14:paraId="4084135E" w14:textId="77777777" w:rsidR="00947050" w:rsidRPr="00615566" w:rsidRDefault="0094705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14:paraId="03415CF8" w14:textId="09C9148C" w:rsidR="00123361" w:rsidRDefault="00B528A9" w:rsidP="00123361">
      <w:pPr>
        <w:pStyle w:val="CommentText"/>
        <w:rPr>
          <w:sz w:val="22"/>
        </w:rPr>
      </w:pPr>
      <w:r w:rsidRPr="002409AA">
        <w:rPr>
          <w:rFonts w:ascii="Arial" w:hAnsi="Arial" w:cs="Arial"/>
          <w:sz w:val="24"/>
          <w:szCs w:val="24"/>
        </w:rPr>
        <w:t xml:space="preserve">The Corps of Engineers Civil Works Program does not have the statutory authority to protect confidentiality or to exempt a survey from a request under the Freedom of Information Act. </w:t>
      </w:r>
      <w:r w:rsidRPr="002409AA">
        <w:rPr>
          <w:rFonts w:ascii="Arial" w:hAnsi="Arial" w:cs="Arial"/>
          <w:color w:val="000000"/>
          <w:sz w:val="24"/>
          <w:szCs w:val="24"/>
        </w:rPr>
        <w:t xml:space="preserve">However, respondents will be told that their answers will be used only for statistical purposes. They will also be told that any reports prepared from this study will summarize findings across samples so that responses will not be associated with any specific individuals. Respondents will be informed further that the Corps will not provide information that identifies respondents, except as required by law. Personally identifying information (telephone numbers, e-mail addresses, and postal addresses) is typically stripped from data files before the files are made available to other parties. Therefore, the administration of surveys conducted under this program is essentially anonymous. </w:t>
      </w:r>
      <w:r w:rsidR="00EE316D">
        <w:rPr>
          <w:rFonts w:ascii="Arial" w:hAnsi="Arial" w:cs="Arial"/>
          <w:color w:val="000000"/>
          <w:sz w:val="24"/>
          <w:szCs w:val="24"/>
        </w:rPr>
        <w:t xml:space="preserve"> The collection will not require a PIA or SORN.  </w:t>
      </w:r>
    </w:p>
    <w:p w14:paraId="41F2AFA0" w14:textId="77777777" w:rsidR="00954767" w:rsidRDefault="00954767" w:rsidP="00123361">
      <w:pPr>
        <w:pStyle w:val="CommentText"/>
        <w:rPr>
          <w:sz w:val="22"/>
        </w:rPr>
      </w:pPr>
    </w:p>
    <w:p w14:paraId="63B8139D" w14:textId="77777777" w:rsidR="00954767" w:rsidRDefault="00954767" w:rsidP="00954767">
      <w:pPr>
        <w:pStyle w:val="CommentText"/>
        <w:rPr>
          <w:sz w:val="22"/>
        </w:rPr>
      </w:pPr>
      <w:r>
        <w:rPr>
          <w:rFonts w:ascii="Arial" w:hAnsi="Arial" w:cs="Arial"/>
          <w:color w:val="000000"/>
          <w:sz w:val="24"/>
          <w:szCs w:val="24"/>
        </w:rPr>
        <w:t>A statement will be included at the beginning of</w:t>
      </w:r>
      <w:bookmarkStart w:id="10" w:name="_GoBack"/>
      <w:bookmarkEnd w:id="10"/>
      <w:r>
        <w:rPr>
          <w:rFonts w:ascii="Arial" w:hAnsi="Arial" w:cs="Arial"/>
          <w:color w:val="000000"/>
          <w:sz w:val="24"/>
          <w:szCs w:val="24"/>
        </w:rPr>
        <w:t xml:space="preserve"> each collection instrument defining PII and indicating that this information should not be provided.  In addition, the individual questions that may lead to a respondent providing PII will also have a note reminding the respondent not to </w:t>
      </w:r>
      <w:r w:rsidRPr="00BF30A8">
        <w:rPr>
          <w:rFonts w:ascii="Arial" w:hAnsi="Arial" w:cs="Arial"/>
          <w:color w:val="000000"/>
          <w:sz w:val="24"/>
          <w:szCs w:val="24"/>
        </w:rPr>
        <w:t xml:space="preserve">include this information.  </w:t>
      </w:r>
      <w:r w:rsidRPr="00BF30A8">
        <w:rPr>
          <w:rFonts w:ascii="Arial" w:hAnsi="Arial" w:cs="Arial"/>
          <w:sz w:val="24"/>
          <w:szCs w:val="24"/>
        </w:rPr>
        <w:t>A note will also be included at the beginning of the survey outlining Exemption #4 of the FOIA and that the information provided by respondents is protected by this exemption.</w:t>
      </w:r>
      <w:r w:rsidRPr="00BF30A8">
        <w:rPr>
          <w:sz w:val="22"/>
        </w:rPr>
        <w:t xml:space="preserve">  </w:t>
      </w:r>
    </w:p>
    <w:p w14:paraId="6F9226B5" w14:textId="77777777" w:rsidR="00954767" w:rsidRDefault="00954767" w:rsidP="00123361">
      <w:pPr>
        <w:pStyle w:val="CommentText"/>
      </w:pPr>
    </w:p>
    <w:p w14:paraId="4B20EEB8" w14:textId="77777777" w:rsidR="00BE6647" w:rsidRPr="00615566" w:rsidRDefault="00BE6647" w:rsidP="00002F4B">
      <w:pPr>
        <w:widowControl/>
        <w:rPr>
          <w:rFonts w:ascii="Arial" w:hAnsi="Arial" w:cs="Arial"/>
          <w:sz w:val="24"/>
          <w:szCs w:val="24"/>
          <w:highlight w:val="yellow"/>
        </w:rPr>
      </w:pPr>
    </w:p>
    <w:p w14:paraId="4972E155" w14:textId="77777777" w:rsidR="006051D3" w:rsidRPr="00175CB0"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11.</w:t>
      </w:r>
      <w:r w:rsidR="008F49DA">
        <w:rPr>
          <w:rFonts w:ascii="Arial" w:hAnsi="Arial" w:cs="Arial"/>
          <w:b/>
          <w:sz w:val="24"/>
          <w:szCs w:val="24"/>
        </w:rPr>
        <w:t xml:space="preserve"> </w:t>
      </w:r>
      <w:r w:rsidRPr="0061556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175CB0">
        <w:rPr>
          <w:rFonts w:ascii="Arial" w:hAnsi="Arial" w:cs="Arial"/>
          <w:b/>
          <w:sz w:val="24"/>
          <w:szCs w:val="24"/>
        </w:rPr>
        <w:t xml:space="preserve"> </w:t>
      </w:r>
    </w:p>
    <w:p w14:paraId="573B6793" w14:textId="77777777" w:rsidR="00337262" w:rsidRPr="00615566" w:rsidRDefault="00337262" w:rsidP="00D10405">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D01493F" w14:textId="77777777" w:rsidR="00B67D3C" w:rsidRPr="00615566" w:rsidRDefault="00B67D3C" w:rsidP="00B67D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The questions used </w:t>
      </w:r>
      <w:r w:rsidR="008F49DA">
        <w:rPr>
          <w:rFonts w:ascii="Arial" w:hAnsi="Arial" w:cs="Arial"/>
          <w:sz w:val="24"/>
          <w:szCs w:val="24"/>
        </w:rPr>
        <w:t>i</w:t>
      </w:r>
      <w:r w:rsidRPr="00615566">
        <w:rPr>
          <w:rFonts w:ascii="Arial" w:hAnsi="Arial" w:cs="Arial"/>
          <w:sz w:val="24"/>
          <w:szCs w:val="24"/>
        </w:rPr>
        <w:t>n these surveys will not be of a sensitive nature</w:t>
      </w:r>
      <w:r w:rsidR="00175CB0">
        <w:rPr>
          <w:rFonts w:ascii="Arial" w:hAnsi="Arial" w:cs="Arial"/>
          <w:sz w:val="24"/>
          <w:szCs w:val="24"/>
        </w:rPr>
        <w:t xml:space="preserve"> commonly considered private</w:t>
      </w:r>
      <w:r w:rsidRPr="00615566">
        <w:rPr>
          <w:rFonts w:ascii="Arial" w:hAnsi="Arial" w:cs="Arial"/>
          <w:sz w:val="24"/>
          <w:szCs w:val="24"/>
        </w:rPr>
        <w:t>.</w:t>
      </w:r>
    </w:p>
    <w:p w14:paraId="5563BD5E" w14:textId="77777777" w:rsidR="00337262" w:rsidRPr="00615566" w:rsidRDefault="00337262"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6E64A3ED"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12.</w:t>
      </w:r>
      <w:r w:rsidRPr="00615566">
        <w:rPr>
          <w:rFonts w:ascii="Arial" w:hAnsi="Arial" w:cs="Arial"/>
          <w:b/>
          <w:sz w:val="24"/>
          <w:szCs w:val="24"/>
        </w:rPr>
        <w:tab/>
        <w:t>Provide estimates of the hour burden of the collection of information.  The statement should:</w:t>
      </w:r>
    </w:p>
    <w:p w14:paraId="25F1A0B4"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1AED88E"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If this request for approval covers more than one form, provide separate hour burden estimates for each form and aggregate the hour burdens.</w:t>
      </w:r>
    </w:p>
    <w:p w14:paraId="6BB69E25"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57DDD41F" w14:textId="77777777" w:rsidR="00D33717" w:rsidRDefault="00D33717"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B050"/>
          <w:sz w:val="24"/>
          <w:szCs w:val="24"/>
        </w:rPr>
      </w:pPr>
    </w:p>
    <w:p w14:paraId="741F8BA4" w14:textId="77777777" w:rsidR="00D33717" w:rsidRPr="00145144" w:rsidRDefault="00D33717"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Based on historical frequency and expected planning activity for navigation studies, including research the annual burden is estimated by respondent group.  We estimate the total dollar value of the annual burden hours for collection of this information to be $</w:t>
      </w:r>
      <w:r w:rsidR="008752C0">
        <w:rPr>
          <w:rFonts w:ascii="Arial" w:hAnsi="Arial" w:cs="Arial"/>
          <w:sz w:val="24"/>
          <w:szCs w:val="24"/>
        </w:rPr>
        <w:t>36,1</w:t>
      </w:r>
      <w:r w:rsidR="007752DB">
        <w:rPr>
          <w:rFonts w:ascii="Arial" w:hAnsi="Arial" w:cs="Arial"/>
          <w:sz w:val="24"/>
          <w:szCs w:val="24"/>
        </w:rPr>
        <w:t>00</w:t>
      </w:r>
      <w:r>
        <w:rPr>
          <w:rFonts w:ascii="Arial" w:hAnsi="Arial" w:cs="Arial"/>
          <w:sz w:val="24"/>
          <w:szCs w:val="24"/>
        </w:rPr>
        <w:t>.   By respondent group this included $</w:t>
      </w:r>
      <w:r w:rsidR="008752C0">
        <w:rPr>
          <w:rFonts w:ascii="Arial" w:hAnsi="Arial" w:cs="Arial"/>
          <w:sz w:val="24"/>
          <w:szCs w:val="24"/>
        </w:rPr>
        <w:t>18,5</w:t>
      </w:r>
      <w:r w:rsidR="007752DB">
        <w:rPr>
          <w:rFonts w:ascii="Arial" w:hAnsi="Arial" w:cs="Arial"/>
          <w:sz w:val="24"/>
          <w:szCs w:val="24"/>
        </w:rPr>
        <w:t xml:space="preserve">00 </w:t>
      </w:r>
      <w:r>
        <w:rPr>
          <w:rFonts w:ascii="Arial" w:hAnsi="Arial" w:cs="Arial"/>
          <w:sz w:val="24"/>
          <w:szCs w:val="24"/>
        </w:rPr>
        <w:t>for shippers, $</w:t>
      </w:r>
      <w:r w:rsidR="007752DB">
        <w:rPr>
          <w:rFonts w:ascii="Arial" w:hAnsi="Arial" w:cs="Arial"/>
          <w:sz w:val="24"/>
          <w:szCs w:val="24"/>
        </w:rPr>
        <w:t xml:space="preserve"> 8,300 </w:t>
      </w:r>
      <w:r>
        <w:rPr>
          <w:rFonts w:ascii="Arial" w:hAnsi="Arial" w:cs="Arial"/>
          <w:sz w:val="24"/>
          <w:szCs w:val="24"/>
        </w:rPr>
        <w:t>for carriers, $</w:t>
      </w:r>
      <w:r w:rsidR="007752DB">
        <w:rPr>
          <w:rFonts w:ascii="Arial" w:hAnsi="Arial" w:cs="Arial"/>
          <w:sz w:val="24"/>
          <w:szCs w:val="24"/>
        </w:rPr>
        <w:t xml:space="preserve">1,900 </w:t>
      </w:r>
      <w:r>
        <w:rPr>
          <w:rFonts w:ascii="Arial" w:hAnsi="Arial" w:cs="Arial"/>
          <w:sz w:val="24"/>
          <w:szCs w:val="24"/>
        </w:rPr>
        <w:t>for liner services and $</w:t>
      </w:r>
      <w:r w:rsidR="00A473E7">
        <w:rPr>
          <w:rFonts w:ascii="Arial" w:hAnsi="Arial" w:cs="Arial"/>
          <w:sz w:val="24"/>
          <w:szCs w:val="24"/>
        </w:rPr>
        <w:t xml:space="preserve">7,400 </w:t>
      </w:r>
      <w:r>
        <w:rPr>
          <w:rFonts w:ascii="Arial" w:hAnsi="Arial" w:cs="Arial"/>
          <w:sz w:val="24"/>
          <w:szCs w:val="24"/>
        </w:rPr>
        <w:t>for commercial fishers</w:t>
      </w:r>
      <w:r w:rsidRPr="00145144">
        <w:rPr>
          <w:rFonts w:ascii="Arial" w:hAnsi="Arial" w:cs="Arial"/>
          <w:sz w:val="24"/>
          <w:szCs w:val="24"/>
        </w:rPr>
        <w:t>.</w:t>
      </w:r>
      <w:r w:rsidR="00145144" w:rsidRPr="00145144">
        <w:rPr>
          <w:rFonts w:ascii="Arial" w:hAnsi="Arial" w:cs="Arial"/>
          <w:sz w:val="24"/>
          <w:szCs w:val="24"/>
        </w:rPr>
        <w:t xml:space="preserve"> </w:t>
      </w:r>
      <w:r w:rsidR="00145144">
        <w:rPr>
          <w:rFonts w:ascii="Arial" w:hAnsi="Arial" w:cs="Arial"/>
          <w:sz w:val="24"/>
          <w:szCs w:val="24"/>
        </w:rPr>
        <w:t xml:space="preserve"> </w:t>
      </w:r>
      <w:r w:rsidR="00145144" w:rsidRPr="00145144">
        <w:rPr>
          <w:rFonts w:ascii="Arial" w:hAnsi="Arial" w:cs="Arial"/>
          <w:sz w:val="24"/>
          <w:szCs w:val="24"/>
        </w:rPr>
        <w:t>We arrived at this figure by multiplying the estimated burden hours by $</w:t>
      </w:r>
      <w:r w:rsidR="001D718A">
        <w:rPr>
          <w:rFonts w:ascii="Arial" w:hAnsi="Arial" w:cs="Arial"/>
          <w:sz w:val="24"/>
          <w:szCs w:val="24"/>
        </w:rPr>
        <w:t xml:space="preserve">55.21 </w:t>
      </w:r>
      <w:r w:rsidR="00145144" w:rsidRPr="00145144">
        <w:rPr>
          <w:rFonts w:ascii="Arial" w:hAnsi="Arial" w:cs="Arial"/>
          <w:sz w:val="24"/>
          <w:szCs w:val="24"/>
        </w:rPr>
        <w:t xml:space="preserve">valuation of </w:t>
      </w:r>
      <w:r w:rsidR="001D718A">
        <w:rPr>
          <w:rFonts w:ascii="Arial" w:hAnsi="Arial" w:cs="Arial"/>
          <w:sz w:val="24"/>
          <w:szCs w:val="24"/>
        </w:rPr>
        <w:t>respondent’s</w:t>
      </w:r>
      <w:r w:rsidR="00145144" w:rsidRPr="00145144">
        <w:rPr>
          <w:rFonts w:ascii="Arial" w:hAnsi="Arial" w:cs="Arial"/>
          <w:sz w:val="24"/>
          <w:szCs w:val="24"/>
        </w:rPr>
        <w:t xml:space="preserve"> time</w:t>
      </w:r>
      <w:r w:rsidR="00145144">
        <w:rPr>
          <w:rFonts w:ascii="Arial" w:hAnsi="Arial" w:cs="Arial"/>
          <w:sz w:val="24"/>
          <w:szCs w:val="24"/>
        </w:rPr>
        <w:t xml:space="preserve">.  </w:t>
      </w:r>
      <w:r w:rsidR="00145144" w:rsidRPr="00145144">
        <w:rPr>
          <w:rFonts w:ascii="Arial" w:hAnsi="Arial" w:cs="Arial"/>
          <w:sz w:val="24"/>
          <w:szCs w:val="24"/>
        </w:rPr>
        <w:t xml:space="preserve">This wage figure </w:t>
      </w:r>
      <w:r w:rsidR="001D718A">
        <w:rPr>
          <w:rFonts w:ascii="Arial" w:hAnsi="Arial" w:cs="Arial"/>
          <w:sz w:val="24"/>
          <w:szCs w:val="24"/>
        </w:rPr>
        <w:t xml:space="preserve">is for management professional and </w:t>
      </w:r>
      <w:r w:rsidR="00145144" w:rsidRPr="00145144">
        <w:rPr>
          <w:rFonts w:ascii="Arial" w:hAnsi="Arial" w:cs="Arial"/>
          <w:sz w:val="24"/>
          <w:szCs w:val="24"/>
        </w:rPr>
        <w:t xml:space="preserve">included the multiplier for benefits and </w:t>
      </w:r>
      <w:r w:rsidR="00145144" w:rsidRPr="00145144">
        <w:rPr>
          <w:rFonts w:ascii="Arial" w:hAnsi="Arial" w:cs="Arial"/>
          <w:sz w:val="24"/>
          <w:szCs w:val="24"/>
        </w:rPr>
        <w:lastRenderedPageBreak/>
        <w:t xml:space="preserve">is based on the National Compensation Survey: Occupational Wages in the United States published by the Bureau of Labor Statistics (BLS) Occupation and Wages for average full compensation for private industry, (hour costs based on </w:t>
      </w:r>
      <w:r w:rsidR="00145144" w:rsidRPr="00145144">
        <w:rPr>
          <w:rFonts w:ascii="Arial" w:hAnsi="Arial" w:cs="Arial"/>
          <w:bCs/>
          <w:sz w:val="24"/>
          <w:szCs w:val="24"/>
        </w:rPr>
        <w:t>BLS news release USDL-11-849 for Employer Costs for Employee Compensation—June 8, 2011 at:</w:t>
      </w:r>
      <w:r w:rsidR="001D718A">
        <w:rPr>
          <w:rFonts w:ascii="Arial" w:hAnsi="Arial" w:cs="Arial"/>
          <w:bCs/>
          <w:sz w:val="24"/>
          <w:szCs w:val="24"/>
        </w:rPr>
        <w:t xml:space="preserve"> </w:t>
      </w:r>
      <w:hyperlink r:id="rId9" w:history="1">
        <w:r w:rsidR="00145144" w:rsidRPr="00145144">
          <w:rPr>
            <w:rStyle w:val="Hyperlink"/>
            <w:rFonts w:ascii="Arial" w:hAnsi="Arial" w:cs="Arial"/>
            <w:sz w:val="24"/>
            <w:szCs w:val="24"/>
          </w:rPr>
          <w:t>http://www.bls.gov/news.release/ecec.htm</w:t>
        </w:r>
      </w:hyperlink>
      <w:r w:rsidR="00145144" w:rsidRPr="00145144">
        <w:rPr>
          <w:rFonts w:ascii="Arial" w:hAnsi="Arial" w:cs="Arial"/>
          <w:bCs/>
          <w:sz w:val="24"/>
          <w:szCs w:val="24"/>
        </w:rPr>
        <w:t>,  dated June 2014)</w:t>
      </w:r>
      <w:r w:rsidR="00145144" w:rsidRPr="00145144">
        <w:rPr>
          <w:rFonts w:ascii="Arial" w:hAnsi="Arial" w:cs="Arial"/>
          <w:sz w:val="24"/>
          <w:szCs w:val="24"/>
        </w:rPr>
        <w:t>.</w:t>
      </w:r>
      <w:r w:rsidR="00145144" w:rsidRPr="001D2D12">
        <w:rPr>
          <w:rFonts w:ascii="Arial" w:hAnsi="Arial" w:cs="Arial"/>
          <w:strike/>
          <w:sz w:val="24"/>
          <w:szCs w:val="24"/>
        </w:rPr>
        <w:t xml:space="preserve">  </w:t>
      </w:r>
    </w:p>
    <w:p w14:paraId="793CFF5F" w14:textId="77777777" w:rsidR="00D33717" w:rsidRPr="00D33717" w:rsidRDefault="00D33717"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41DD5D3" w14:textId="77777777" w:rsidR="00CB3088" w:rsidRPr="00CB3088" w:rsidRDefault="00CB3088" w:rsidP="00CB3088">
      <w:pPr>
        <w:widowControl/>
        <w:tabs>
          <w:tab w:val="left" w:pos="360"/>
        </w:tabs>
        <w:rPr>
          <w:rFonts w:ascii="Arial" w:hAnsi="Arial" w:cs="Arial"/>
          <w:sz w:val="24"/>
          <w:szCs w:val="24"/>
        </w:rPr>
      </w:pPr>
    </w:p>
    <w:p w14:paraId="77A0D24C" w14:textId="77777777" w:rsidR="008752C0" w:rsidRDefault="008752C0" w:rsidP="008752C0">
      <w:pPr>
        <w:widowControl/>
        <w:tabs>
          <w:tab w:val="left" w:pos="360"/>
        </w:tabs>
        <w:rPr>
          <w:rFonts w:ascii="Arial" w:hAnsi="Arial" w:cs="Arial"/>
          <w:sz w:val="24"/>
          <w:szCs w:val="24"/>
        </w:rPr>
      </w:pPr>
    </w:p>
    <w:tbl>
      <w:tblPr>
        <w:tblW w:w="9810" w:type="dxa"/>
        <w:tblInd w:w="-172" w:type="dxa"/>
        <w:tblCellMar>
          <w:left w:w="0" w:type="dxa"/>
          <w:right w:w="0" w:type="dxa"/>
        </w:tblCellMar>
        <w:tblLook w:val="04A0" w:firstRow="1" w:lastRow="0" w:firstColumn="1" w:lastColumn="0" w:noHBand="0" w:noVBand="1"/>
      </w:tblPr>
      <w:tblGrid>
        <w:gridCol w:w="2246"/>
        <w:gridCol w:w="1210"/>
        <w:gridCol w:w="1092"/>
        <w:gridCol w:w="2151"/>
        <w:gridCol w:w="1349"/>
        <w:gridCol w:w="1762"/>
      </w:tblGrid>
      <w:tr w:rsidR="008752C0" w:rsidRPr="00B11986" w14:paraId="644BA173" w14:textId="77777777">
        <w:trPr>
          <w:trHeight w:val="576"/>
        </w:trPr>
        <w:tc>
          <w:tcPr>
            <w:tcW w:w="9810" w:type="dxa"/>
            <w:gridSpan w:val="6"/>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6FB094DC" w14:textId="77777777" w:rsidR="008752C0" w:rsidRPr="00B11986" w:rsidRDefault="008752C0" w:rsidP="00110A33">
            <w:pPr>
              <w:jc w:val="center"/>
              <w:rPr>
                <w:rFonts w:ascii="Arial" w:hAnsi="Arial" w:cs="Arial"/>
                <w:b/>
                <w:bCs/>
              </w:rPr>
            </w:pPr>
            <w:r w:rsidRPr="004621B4">
              <w:rPr>
                <w:rFonts w:ascii="Arial" w:hAnsi="Arial" w:cs="Arial"/>
                <w:b/>
                <w:bCs/>
                <w:color w:val="000000"/>
                <w:sz w:val="24"/>
                <w:szCs w:val="24"/>
              </w:rPr>
              <w:t xml:space="preserve">CORPS OF ENGINEERS </w:t>
            </w:r>
            <w:r>
              <w:rPr>
                <w:rFonts w:ascii="Arial" w:hAnsi="Arial" w:cs="Arial"/>
                <w:b/>
                <w:bCs/>
                <w:color w:val="000000"/>
                <w:sz w:val="24"/>
                <w:szCs w:val="24"/>
              </w:rPr>
              <w:t>NAVIGATION</w:t>
            </w:r>
            <w:r w:rsidRPr="004621B4">
              <w:rPr>
                <w:rFonts w:ascii="Arial" w:hAnsi="Arial" w:cs="Arial"/>
                <w:b/>
                <w:bCs/>
                <w:color w:val="000000"/>
                <w:sz w:val="24"/>
                <w:szCs w:val="24"/>
              </w:rPr>
              <w:t xml:space="preserve"> SURVEYS</w:t>
            </w:r>
            <w:r w:rsidRPr="004621B4">
              <w:rPr>
                <w:rFonts w:ascii="Arial" w:hAnsi="Arial" w:cs="Arial"/>
                <w:b/>
                <w:bCs/>
                <w:color w:val="000000"/>
                <w:sz w:val="24"/>
                <w:szCs w:val="24"/>
              </w:rPr>
              <w:br/>
              <w:t xml:space="preserve">PUBLIC HOUR AND </w:t>
            </w:r>
            <w:r>
              <w:rPr>
                <w:rFonts w:ascii="Arial" w:hAnsi="Arial" w:cs="Arial"/>
                <w:b/>
                <w:bCs/>
                <w:color w:val="000000"/>
                <w:sz w:val="24"/>
                <w:szCs w:val="24"/>
              </w:rPr>
              <w:t xml:space="preserve">PUBLIC </w:t>
            </w:r>
            <w:r w:rsidRPr="004621B4">
              <w:rPr>
                <w:rFonts w:ascii="Arial" w:hAnsi="Arial" w:cs="Arial"/>
                <w:b/>
                <w:bCs/>
                <w:color w:val="000000"/>
                <w:sz w:val="24"/>
                <w:szCs w:val="24"/>
              </w:rPr>
              <w:t>COST BURDEN</w:t>
            </w:r>
          </w:p>
        </w:tc>
      </w:tr>
      <w:tr w:rsidR="008752C0" w:rsidRPr="00B11986" w14:paraId="3C7CC390" w14:textId="77777777">
        <w:trPr>
          <w:trHeight w:val="576"/>
        </w:trPr>
        <w:tc>
          <w:tcPr>
            <w:tcW w:w="0" w:type="auto"/>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447D9769" w14:textId="77777777" w:rsidR="008752C0" w:rsidRDefault="008752C0" w:rsidP="00110A33">
            <w:pPr>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212680CC" w14:textId="77777777" w:rsidR="008752C0" w:rsidRPr="00B11986" w:rsidRDefault="008752C0" w:rsidP="00110A33">
            <w:pPr>
              <w:jc w:val="center"/>
              <w:rPr>
                <w:rFonts w:ascii="Arial" w:hAnsi="Arial" w:cs="Arial"/>
                <w:b/>
                <w:bCs/>
              </w:rPr>
            </w:pPr>
            <w:r w:rsidRPr="00B11986">
              <w:rPr>
                <w:rFonts w:ascii="Arial" w:hAnsi="Arial" w:cs="Arial"/>
                <w:b/>
                <w:bCs/>
              </w:rPr>
              <w:t>Minutes/  Survey</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5D27C9EE" w14:textId="77777777" w:rsidR="008752C0" w:rsidRPr="00B11986" w:rsidRDefault="008752C0" w:rsidP="00110A33">
            <w:pPr>
              <w:jc w:val="center"/>
              <w:rPr>
                <w:rFonts w:ascii="Arial" w:hAnsi="Arial" w:cs="Arial"/>
                <w:b/>
                <w:bCs/>
              </w:rPr>
            </w:pPr>
            <w:r w:rsidRPr="00B11986">
              <w:rPr>
                <w:rFonts w:ascii="Arial" w:hAnsi="Arial" w:cs="Arial"/>
                <w:b/>
                <w:bCs/>
              </w:rPr>
              <w:t>Portion of Hour</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5A7A95A9" w14:textId="77777777" w:rsidR="008752C0" w:rsidRPr="00B11986" w:rsidRDefault="008752C0" w:rsidP="00110A33">
            <w:pPr>
              <w:jc w:val="center"/>
              <w:rPr>
                <w:rFonts w:ascii="Arial" w:hAnsi="Arial" w:cs="Arial"/>
                <w:b/>
                <w:bCs/>
              </w:rPr>
            </w:pPr>
            <w:r>
              <w:rPr>
                <w:rFonts w:ascii="Arial" w:hAnsi="Arial" w:cs="Arial"/>
                <w:b/>
                <w:bCs/>
              </w:rPr>
              <w:t xml:space="preserve">Completed </w:t>
            </w:r>
            <w:r w:rsidRPr="00B11986">
              <w:rPr>
                <w:rFonts w:ascii="Arial" w:hAnsi="Arial" w:cs="Arial"/>
                <w:b/>
                <w:bCs/>
              </w:rPr>
              <w:t>Survey</w:t>
            </w:r>
            <w:r>
              <w:rPr>
                <w:rFonts w:ascii="Arial" w:hAnsi="Arial" w:cs="Arial"/>
                <w:b/>
                <w:bCs/>
              </w:rPr>
              <w:t xml:space="preserve"> Forms per </w:t>
            </w:r>
            <w:r w:rsidRPr="00B11986">
              <w:rPr>
                <w:rFonts w:ascii="Arial" w:hAnsi="Arial" w:cs="Arial"/>
                <w:b/>
                <w:bCs/>
              </w:rPr>
              <w:t>Year</w:t>
            </w:r>
          </w:p>
        </w:tc>
        <w:tc>
          <w:tcPr>
            <w:tcW w:w="0" w:type="auto"/>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2BCC6B4F" w14:textId="77777777" w:rsidR="008752C0" w:rsidRPr="00B11986" w:rsidRDefault="008752C0" w:rsidP="00110A33">
            <w:pPr>
              <w:jc w:val="center"/>
              <w:rPr>
                <w:rFonts w:ascii="Arial" w:hAnsi="Arial" w:cs="Arial"/>
                <w:b/>
                <w:bCs/>
              </w:rPr>
            </w:pPr>
            <w:r w:rsidRPr="00B11986">
              <w:rPr>
                <w:rFonts w:ascii="Arial" w:hAnsi="Arial" w:cs="Arial"/>
                <w:b/>
                <w:bCs/>
              </w:rPr>
              <w:t>Public Burden Hours</w:t>
            </w:r>
          </w:p>
        </w:tc>
        <w:tc>
          <w:tcPr>
            <w:tcW w:w="1762"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tcPr>
          <w:p w14:paraId="5C3D734A" w14:textId="77777777" w:rsidR="008752C0" w:rsidRPr="004621B4" w:rsidRDefault="008752C0" w:rsidP="00110A33">
            <w:pPr>
              <w:widowControl/>
              <w:autoSpaceDE/>
              <w:autoSpaceDN/>
              <w:adjustRightInd/>
              <w:jc w:val="center"/>
              <w:rPr>
                <w:rFonts w:ascii="Arial" w:hAnsi="Arial" w:cs="Arial"/>
                <w:color w:val="000000"/>
                <w:sz w:val="22"/>
                <w:szCs w:val="22"/>
              </w:rPr>
            </w:pPr>
            <w:r w:rsidRPr="004621B4">
              <w:rPr>
                <w:rFonts w:ascii="Arial" w:hAnsi="Arial" w:cs="Arial"/>
                <w:color w:val="000000"/>
                <w:sz w:val="22"/>
                <w:szCs w:val="22"/>
              </w:rPr>
              <w:t>Public Burden Costs</w:t>
            </w:r>
          </w:p>
        </w:tc>
      </w:tr>
      <w:tr w:rsidR="008752C0" w14:paraId="1E0A1082" w14:textId="77777777">
        <w:trPr>
          <w:trHeight w:val="4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19673173" w14:textId="77777777" w:rsidR="008752C0" w:rsidRPr="004621B4" w:rsidRDefault="008752C0" w:rsidP="00110A33">
            <w:pPr>
              <w:widowControl/>
              <w:autoSpaceDE/>
              <w:autoSpaceDN/>
              <w:adjustRightInd/>
              <w:rPr>
                <w:rFonts w:ascii="Arial" w:hAnsi="Arial" w:cs="Arial"/>
                <w:color w:val="000000"/>
                <w:sz w:val="22"/>
                <w:szCs w:val="22"/>
              </w:rPr>
            </w:pPr>
            <w:r>
              <w:rPr>
                <w:rFonts w:ascii="Arial" w:hAnsi="Arial" w:cs="Arial"/>
                <w:sz w:val="24"/>
                <w:szCs w:val="24"/>
              </w:rPr>
              <w:t>Survey of Shipper</w:t>
            </w:r>
          </w:p>
        </w:tc>
        <w:tc>
          <w:tcPr>
            <w:tcW w:w="0" w:type="auto"/>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26E0BCDB"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40</w:t>
            </w:r>
          </w:p>
        </w:tc>
        <w:tc>
          <w:tcPr>
            <w:tcW w:w="0" w:type="auto"/>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16B9DA41"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0.67</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72F6A808"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500</w:t>
            </w:r>
          </w:p>
        </w:tc>
        <w:tc>
          <w:tcPr>
            <w:tcW w:w="0" w:type="auto"/>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7B99327D"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335</w:t>
            </w:r>
          </w:p>
        </w:tc>
        <w:tc>
          <w:tcPr>
            <w:tcW w:w="1762"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3F32E1B7" w14:textId="77777777" w:rsidR="008752C0" w:rsidRDefault="008752C0" w:rsidP="00110A33">
            <w:pPr>
              <w:jc w:val="center"/>
              <w:rPr>
                <w:rFonts w:ascii="Calibri" w:hAnsi="Calibri" w:cs="Calibri"/>
                <w:color w:val="000000"/>
                <w:sz w:val="22"/>
                <w:szCs w:val="22"/>
              </w:rPr>
            </w:pPr>
            <w:r>
              <w:rPr>
                <w:rFonts w:ascii="Calibri" w:hAnsi="Calibri" w:cs="Calibri"/>
                <w:color w:val="000000"/>
                <w:sz w:val="22"/>
                <w:szCs w:val="22"/>
              </w:rPr>
              <w:t>$        18,500</w:t>
            </w:r>
          </w:p>
        </w:tc>
      </w:tr>
      <w:tr w:rsidR="008752C0" w14:paraId="4216B1B8" w14:textId="77777777">
        <w:trPr>
          <w:trHeight w:val="6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03281BB4" w14:textId="77777777" w:rsidR="008752C0" w:rsidRPr="004621B4" w:rsidRDefault="008752C0" w:rsidP="00110A33">
            <w:pPr>
              <w:widowControl/>
              <w:autoSpaceDE/>
              <w:autoSpaceDN/>
              <w:adjustRightInd/>
              <w:rPr>
                <w:rFonts w:ascii="Arial" w:hAnsi="Arial" w:cs="Arial"/>
                <w:color w:val="000000"/>
                <w:sz w:val="22"/>
                <w:szCs w:val="22"/>
              </w:rPr>
            </w:pPr>
            <w:r>
              <w:rPr>
                <w:rFonts w:ascii="Arial" w:hAnsi="Arial" w:cs="Arial"/>
                <w:sz w:val="24"/>
                <w:szCs w:val="24"/>
              </w:rPr>
              <w:t>Survey of Carriers</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34BB7F04"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40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18047FE5"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0.67</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7FAB2A96"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225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648DB7BF"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151</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2BCF12F3" w14:textId="77777777" w:rsidR="008752C0" w:rsidRDefault="008752C0" w:rsidP="00110A33">
            <w:pPr>
              <w:jc w:val="center"/>
              <w:rPr>
                <w:rFonts w:ascii="Calibri" w:hAnsi="Calibri" w:cs="Calibri"/>
                <w:color w:val="000000"/>
                <w:sz w:val="22"/>
                <w:szCs w:val="22"/>
              </w:rPr>
            </w:pPr>
            <w:r>
              <w:rPr>
                <w:rFonts w:ascii="Calibri" w:hAnsi="Calibri" w:cs="Calibri"/>
                <w:color w:val="000000"/>
                <w:sz w:val="22"/>
                <w:szCs w:val="22"/>
              </w:rPr>
              <w:t>$        8,300</w:t>
            </w:r>
          </w:p>
        </w:tc>
      </w:tr>
      <w:tr w:rsidR="008752C0" w14:paraId="197704C0" w14:textId="77777777">
        <w:trPr>
          <w:trHeight w:val="6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7BACB795" w14:textId="77777777" w:rsidR="008752C0" w:rsidRPr="004621B4" w:rsidRDefault="008752C0" w:rsidP="00110A33">
            <w:pPr>
              <w:widowControl/>
              <w:autoSpaceDE/>
              <w:autoSpaceDN/>
              <w:adjustRightInd/>
              <w:rPr>
                <w:rFonts w:ascii="Arial" w:hAnsi="Arial" w:cs="Arial"/>
                <w:color w:val="000000"/>
                <w:sz w:val="22"/>
                <w:szCs w:val="22"/>
              </w:rPr>
            </w:pPr>
            <w:r>
              <w:rPr>
                <w:rFonts w:ascii="Arial" w:hAnsi="Arial" w:cs="Arial"/>
                <w:sz w:val="24"/>
                <w:szCs w:val="24"/>
              </w:rPr>
              <w:t>Survey of Liner Services</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2C0BC3DE"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40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5A65F57C"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0.67</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14878E16"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50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2F629505"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34</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73FBAF0A" w14:textId="77777777" w:rsidR="008752C0" w:rsidRDefault="008752C0" w:rsidP="00110A33">
            <w:pPr>
              <w:jc w:val="center"/>
              <w:rPr>
                <w:rFonts w:ascii="Calibri" w:hAnsi="Calibri" w:cs="Calibri"/>
                <w:color w:val="000000"/>
                <w:sz w:val="22"/>
                <w:szCs w:val="22"/>
              </w:rPr>
            </w:pPr>
            <w:r>
              <w:rPr>
                <w:rFonts w:ascii="Calibri" w:hAnsi="Calibri" w:cs="Calibri"/>
                <w:color w:val="000000"/>
                <w:sz w:val="22"/>
                <w:szCs w:val="22"/>
              </w:rPr>
              <w:t>$       1,900</w:t>
            </w:r>
          </w:p>
        </w:tc>
      </w:tr>
      <w:tr w:rsidR="008752C0" w14:paraId="2DA93FAB" w14:textId="77777777">
        <w:trPr>
          <w:trHeight w:val="43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05FE05CE" w14:textId="77777777" w:rsidR="008752C0" w:rsidRPr="004621B4" w:rsidRDefault="008752C0" w:rsidP="00110A33">
            <w:pPr>
              <w:widowControl/>
              <w:autoSpaceDE/>
              <w:autoSpaceDN/>
              <w:adjustRightInd/>
              <w:rPr>
                <w:rFonts w:ascii="Arial" w:hAnsi="Arial" w:cs="Arial"/>
                <w:color w:val="000000"/>
                <w:sz w:val="22"/>
                <w:szCs w:val="22"/>
              </w:rPr>
            </w:pPr>
            <w:r>
              <w:rPr>
                <w:rFonts w:ascii="Arial" w:hAnsi="Arial" w:cs="Arial"/>
                <w:sz w:val="24"/>
                <w:szCs w:val="24"/>
              </w:rPr>
              <w:t>Survey of Commercial Fishers</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7D317152"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40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6CD54D8C"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0.67</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4E0CF051"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200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616C2206" w14:textId="77777777" w:rsidR="008752C0" w:rsidRDefault="008752C0" w:rsidP="00110A33">
            <w:pPr>
              <w:jc w:val="right"/>
              <w:rPr>
                <w:rFonts w:ascii="Calibri" w:hAnsi="Calibri" w:cs="Calibri"/>
                <w:color w:val="000000"/>
                <w:sz w:val="22"/>
                <w:szCs w:val="22"/>
              </w:rPr>
            </w:pPr>
            <w:r>
              <w:rPr>
                <w:rFonts w:ascii="Calibri" w:hAnsi="Calibri" w:cs="Calibri"/>
                <w:color w:val="000000"/>
                <w:sz w:val="22"/>
                <w:szCs w:val="22"/>
              </w:rPr>
              <w:t>134</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0C622EC7" w14:textId="77777777" w:rsidR="008752C0" w:rsidRDefault="008752C0" w:rsidP="00110A33">
            <w:pPr>
              <w:jc w:val="center"/>
              <w:rPr>
                <w:rFonts w:ascii="Calibri" w:hAnsi="Calibri" w:cs="Calibri"/>
                <w:color w:val="000000"/>
                <w:sz w:val="22"/>
                <w:szCs w:val="22"/>
              </w:rPr>
            </w:pPr>
            <w:r>
              <w:rPr>
                <w:rFonts w:ascii="Calibri" w:hAnsi="Calibri" w:cs="Calibri"/>
                <w:color w:val="000000"/>
                <w:sz w:val="22"/>
                <w:szCs w:val="22"/>
              </w:rPr>
              <w:t>$        7,400</w:t>
            </w:r>
          </w:p>
        </w:tc>
      </w:tr>
      <w:tr w:rsidR="008752C0" w14:paraId="00F2FF92" w14:textId="77777777">
        <w:trPr>
          <w:trHeight w:val="290"/>
        </w:trPr>
        <w:tc>
          <w:tcPr>
            <w:tcW w:w="0" w:type="auto"/>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14:paraId="50FC3F83" w14:textId="77777777" w:rsidR="008752C0" w:rsidRPr="004621B4" w:rsidRDefault="008752C0" w:rsidP="00110A33">
            <w:pPr>
              <w:widowControl/>
              <w:autoSpaceDE/>
              <w:autoSpaceDN/>
              <w:adjustRightInd/>
              <w:rPr>
                <w:rFonts w:ascii="Arial" w:hAnsi="Arial" w:cs="Arial"/>
                <w:color w:val="000000"/>
                <w:sz w:val="22"/>
                <w:szCs w:val="22"/>
              </w:rPr>
            </w:pPr>
            <w:r w:rsidRPr="004621B4">
              <w:rPr>
                <w:rFonts w:ascii="Arial" w:hAnsi="Arial" w:cs="Arial"/>
                <w:color w:val="000000"/>
                <w:sz w:val="22"/>
                <w:szCs w:val="22"/>
              </w:rPr>
              <w:t>TOTALS</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781D6DDC" w14:textId="77777777" w:rsidR="008752C0" w:rsidRPr="004621B4" w:rsidRDefault="008752C0" w:rsidP="00110A33">
            <w:pPr>
              <w:widowControl/>
              <w:autoSpaceDE/>
              <w:autoSpaceDN/>
              <w:adjustRightInd/>
              <w:jc w:val="right"/>
              <w:rPr>
                <w:rFonts w:ascii="Arial" w:hAnsi="Arial" w:cs="Arial"/>
                <w:color w:val="000000"/>
                <w:sz w:val="22"/>
                <w:szCs w:val="22"/>
              </w:rPr>
            </w:pPr>
            <w:r>
              <w:rPr>
                <w:rFonts w:ascii="Arial" w:hAnsi="Arial" w:cs="Arial"/>
                <w:color w:val="000000"/>
                <w:sz w:val="22"/>
                <w:szCs w:val="22"/>
              </w:rPr>
              <w:t>40</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1C0C98FF" w14:textId="77777777" w:rsidR="008752C0" w:rsidRDefault="008752C0" w:rsidP="00110A33">
            <w:pPr>
              <w:jc w:val="right"/>
              <w:rPr>
                <w:rFonts w:ascii="Arial" w:hAnsi="Arial" w:cs="Arial"/>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2A561CB8" w14:textId="77777777" w:rsidR="008752C0" w:rsidRPr="00420C44" w:rsidRDefault="00997DF8" w:rsidP="00997DF8">
            <w:pPr>
              <w:jc w:val="right"/>
              <w:rPr>
                <w:rFonts w:asciiTheme="minorHAnsi" w:hAnsiTheme="minorHAnsi" w:cstheme="minorHAnsi"/>
                <w:sz w:val="22"/>
                <w:szCs w:val="22"/>
              </w:rPr>
            </w:pPr>
            <w:r>
              <w:rPr>
                <w:rFonts w:asciiTheme="minorHAnsi" w:hAnsiTheme="minorHAnsi" w:cstheme="minorHAnsi"/>
                <w:sz w:val="22"/>
                <w:szCs w:val="22"/>
              </w:rPr>
              <w:t>975</w:t>
            </w:r>
          </w:p>
        </w:tc>
        <w:tc>
          <w:tcPr>
            <w:tcW w:w="0" w:type="auto"/>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44988D85" w14:textId="77777777" w:rsidR="008752C0" w:rsidRPr="00420C44" w:rsidRDefault="008752C0" w:rsidP="00110A33">
            <w:pPr>
              <w:jc w:val="right"/>
              <w:rPr>
                <w:rFonts w:asciiTheme="minorHAnsi" w:hAnsiTheme="minorHAnsi" w:cstheme="minorHAnsi"/>
                <w:color w:val="000000"/>
                <w:sz w:val="22"/>
                <w:szCs w:val="22"/>
              </w:rPr>
            </w:pPr>
            <w:r>
              <w:rPr>
                <w:rFonts w:asciiTheme="minorHAnsi" w:hAnsiTheme="minorHAnsi" w:cstheme="minorHAnsi"/>
                <w:color w:val="000000"/>
                <w:sz w:val="22"/>
                <w:szCs w:val="22"/>
              </w:rPr>
              <w:t>653</w:t>
            </w:r>
          </w:p>
        </w:tc>
        <w:tc>
          <w:tcPr>
            <w:tcW w:w="1762"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tcPr>
          <w:p w14:paraId="2B79F684" w14:textId="77777777" w:rsidR="008752C0" w:rsidRPr="00420C44" w:rsidRDefault="008752C0" w:rsidP="00110A33">
            <w:pPr>
              <w:jc w:val="center"/>
              <w:rPr>
                <w:rFonts w:asciiTheme="minorHAnsi" w:hAnsiTheme="minorHAnsi" w:cstheme="minorHAnsi"/>
                <w:color w:val="000000"/>
                <w:sz w:val="22"/>
                <w:szCs w:val="22"/>
              </w:rPr>
            </w:pPr>
            <w:r>
              <w:rPr>
                <w:rFonts w:ascii="Calibri" w:hAnsi="Calibri" w:cs="Calibri"/>
                <w:color w:val="000000"/>
                <w:sz w:val="22"/>
                <w:szCs w:val="22"/>
              </w:rPr>
              <w:t>$       36,100</w:t>
            </w:r>
          </w:p>
        </w:tc>
      </w:tr>
    </w:tbl>
    <w:p w14:paraId="054340CF" w14:textId="77777777" w:rsidR="008752C0" w:rsidRPr="00CB3088" w:rsidRDefault="008752C0" w:rsidP="008752C0">
      <w:pPr>
        <w:widowControl/>
        <w:tabs>
          <w:tab w:val="left" w:pos="360"/>
        </w:tabs>
        <w:rPr>
          <w:rFonts w:ascii="Arial" w:hAnsi="Arial" w:cs="Arial"/>
          <w:sz w:val="24"/>
          <w:szCs w:val="24"/>
        </w:rPr>
      </w:pPr>
    </w:p>
    <w:p w14:paraId="001A0498" w14:textId="77777777" w:rsidR="00BF00DE" w:rsidRPr="00615566" w:rsidRDefault="00BF00DE" w:rsidP="00D10405">
      <w:pPr>
        <w:widowControl/>
        <w:rPr>
          <w:rFonts w:ascii="Arial" w:hAnsi="Arial" w:cs="Arial"/>
          <w:sz w:val="24"/>
          <w:szCs w:val="24"/>
          <w:highlight w:val="yellow"/>
        </w:rPr>
      </w:pPr>
    </w:p>
    <w:p w14:paraId="012EED75" w14:textId="77777777" w:rsidR="00940DFD" w:rsidRDefault="00940DFD"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0058587C" w14:textId="77777777" w:rsidR="00E452DF" w:rsidRPr="00E03433"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13.</w:t>
      </w:r>
      <w:r w:rsidRPr="00615566">
        <w:rPr>
          <w:rFonts w:ascii="Arial" w:hAnsi="Arial" w:cs="Arial"/>
          <w:b/>
          <w:sz w:val="24"/>
          <w:szCs w:val="24"/>
        </w:rPr>
        <w:tab/>
        <w:t>Provide an estimate of the total annual non-hour cost burden to respondents or record</w:t>
      </w:r>
      <w:r w:rsidR="009E5958">
        <w:rPr>
          <w:rFonts w:ascii="Arial" w:hAnsi="Arial" w:cs="Arial"/>
          <w:b/>
          <w:sz w:val="24"/>
          <w:szCs w:val="24"/>
        </w:rPr>
        <w:t xml:space="preserve"> </w:t>
      </w:r>
      <w:r w:rsidRPr="00615566">
        <w:rPr>
          <w:rFonts w:ascii="Arial" w:hAnsi="Arial" w:cs="Arial"/>
          <w:b/>
          <w:sz w:val="24"/>
          <w:szCs w:val="24"/>
        </w:rPr>
        <w:t>keepers resulting from the collection of information.  (Do not include the cost of any hour burden already reflected in item 12.)</w:t>
      </w:r>
      <w:r w:rsidR="00E03433">
        <w:rPr>
          <w:rFonts w:ascii="Arial" w:hAnsi="Arial" w:cs="Arial"/>
          <w:b/>
          <w:sz w:val="24"/>
          <w:szCs w:val="24"/>
        </w:rPr>
        <w:t xml:space="preserve"> </w:t>
      </w:r>
    </w:p>
    <w:p w14:paraId="58473531" w14:textId="77777777" w:rsidR="009E5958" w:rsidRPr="00615566" w:rsidRDefault="009E5958"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3ED06D69" w14:textId="77777777" w:rsidR="006D3C41" w:rsidRPr="009E5958" w:rsidRDefault="006D3C41" w:rsidP="00F52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E5958">
        <w:rPr>
          <w:rFonts w:ascii="Arial" w:hAnsi="Arial" w:cs="Arial"/>
          <w:sz w:val="24"/>
          <w:szCs w:val="24"/>
        </w:rPr>
        <w:t xml:space="preserve">This data collection effort requires no additional record keeping or time commitment on the part of the population </w:t>
      </w:r>
      <w:r w:rsidR="00F5403C" w:rsidRPr="009E5958">
        <w:rPr>
          <w:rFonts w:ascii="Arial" w:hAnsi="Arial" w:cs="Arial"/>
          <w:sz w:val="24"/>
          <w:szCs w:val="24"/>
        </w:rPr>
        <w:t>being surveyed then what is required in the estimated time to complete the questionnaires.</w:t>
      </w:r>
    </w:p>
    <w:p w14:paraId="5D023C2B" w14:textId="77777777" w:rsidR="00B11A17" w:rsidRPr="00615566" w:rsidRDefault="00B11A17" w:rsidP="00B11A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14:paraId="39CB3475" w14:textId="77777777" w:rsidR="00B11A17" w:rsidRPr="00E03433"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14.</w:t>
      </w:r>
      <w:r w:rsidRPr="00615566">
        <w:rPr>
          <w:rFonts w:ascii="Arial" w:hAnsi="Arial" w:cs="Arial"/>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3A8497D" w14:textId="77777777" w:rsidR="00B11A17" w:rsidRPr="00B37C9D" w:rsidRDefault="00B11A17" w:rsidP="00B11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14:paraId="2A182A36" w14:textId="77777777" w:rsidR="00057B8D" w:rsidRPr="00B37C9D" w:rsidRDefault="00B11A17" w:rsidP="00B9519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B37C9D">
        <w:rPr>
          <w:rFonts w:ascii="Arial" w:hAnsi="Arial" w:cs="Arial"/>
          <w:sz w:val="24"/>
          <w:szCs w:val="24"/>
        </w:rPr>
        <w:lastRenderedPageBreak/>
        <w:t>Each survey or collection will be developed and designed on a case-by-case basis</w:t>
      </w:r>
      <w:r w:rsidR="00B37C9D" w:rsidRPr="00B37C9D">
        <w:rPr>
          <w:rFonts w:ascii="Arial" w:hAnsi="Arial" w:cs="Arial"/>
          <w:sz w:val="24"/>
          <w:szCs w:val="24"/>
        </w:rPr>
        <w:t xml:space="preserve"> using one or more of the four approved questionnaires depending on the populat</w:t>
      </w:r>
      <w:r w:rsidR="00B37C9D">
        <w:rPr>
          <w:rFonts w:ascii="Arial" w:hAnsi="Arial" w:cs="Arial"/>
          <w:sz w:val="24"/>
          <w:szCs w:val="24"/>
        </w:rPr>
        <w:t xml:space="preserve">ions involved.  </w:t>
      </w:r>
      <w:r w:rsidRPr="00B37C9D">
        <w:rPr>
          <w:rFonts w:ascii="Arial" w:hAnsi="Arial" w:cs="Arial"/>
          <w:sz w:val="24"/>
          <w:szCs w:val="24"/>
        </w:rPr>
        <w:t xml:space="preserve">The program staff will determine if it is more efficient and cost effective to develop, distribute, collect, and analyze these surveys in-house or to turn to private or other non-government entities to provide that service.  </w:t>
      </w:r>
      <w:r w:rsidR="00F65E74" w:rsidRPr="00B37C9D">
        <w:rPr>
          <w:rFonts w:ascii="Arial" w:hAnsi="Arial" w:cs="Arial"/>
          <w:sz w:val="24"/>
          <w:szCs w:val="24"/>
        </w:rPr>
        <w:t>Based on historical cost of conducting these types of surveys, it is estimated that to design the survey instrument, execute the survey and analyze the results each effort will cost between $</w:t>
      </w:r>
      <w:r w:rsidR="00057B8D" w:rsidRPr="00B37C9D">
        <w:rPr>
          <w:rFonts w:ascii="Arial" w:hAnsi="Arial" w:cs="Arial"/>
          <w:sz w:val="24"/>
          <w:szCs w:val="24"/>
        </w:rPr>
        <w:t>4</w:t>
      </w:r>
      <w:r w:rsidR="00F65E74" w:rsidRPr="00B37C9D">
        <w:rPr>
          <w:rFonts w:ascii="Arial" w:hAnsi="Arial" w:cs="Arial"/>
          <w:sz w:val="24"/>
          <w:szCs w:val="24"/>
        </w:rPr>
        <w:t>0,000 and $1</w:t>
      </w:r>
      <w:r w:rsidR="00057B8D" w:rsidRPr="00B37C9D">
        <w:rPr>
          <w:rFonts w:ascii="Arial" w:hAnsi="Arial" w:cs="Arial"/>
          <w:sz w:val="24"/>
          <w:szCs w:val="24"/>
        </w:rPr>
        <w:t>25</w:t>
      </w:r>
      <w:r w:rsidR="00F65E74" w:rsidRPr="00B37C9D">
        <w:rPr>
          <w:rFonts w:ascii="Arial" w:hAnsi="Arial" w:cs="Arial"/>
          <w:sz w:val="24"/>
          <w:szCs w:val="24"/>
        </w:rPr>
        <w:t>,000 depending on the size and type of survey conducted</w:t>
      </w:r>
      <w:r w:rsidRPr="00B37C9D">
        <w:rPr>
          <w:rFonts w:ascii="Arial" w:hAnsi="Arial" w:cs="Arial"/>
          <w:sz w:val="24"/>
          <w:szCs w:val="24"/>
        </w:rPr>
        <w:t xml:space="preserve">. Thus, </w:t>
      </w:r>
      <w:r w:rsidR="001D25F9" w:rsidRPr="00B37C9D">
        <w:rPr>
          <w:rFonts w:ascii="Arial" w:hAnsi="Arial" w:cs="Arial"/>
          <w:sz w:val="24"/>
          <w:szCs w:val="24"/>
        </w:rPr>
        <w:t xml:space="preserve">including materials and travel, </w:t>
      </w:r>
      <w:r w:rsidRPr="00B37C9D">
        <w:rPr>
          <w:rFonts w:ascii="Arial" w:hAnsi="Arial" w:cs="Arial"/>
          <w:sz w:val="24"/>
          <w:szCs w:val="24"/>
        </w:rPr>
        <w:t xml:space="preserve">the estimated </w:t>
      </w:r>
      <w:r w:rsidR="00057B8D" w:rsidRPr="00B37C9D">
        <w:rPr>
          <w:rFonts w:ascii="Arial" w:hAnsi="Arial" w:cs="Arial"/>
          <w:sz w:val="24"/>
          <w:szCs w:val="24"/>
        </w:rPr>
        <w:t xml:space="preserve">maximum </w:t>
      </w:r>
      <w:r w:rsidRPr="00B37C9D">
        <w:rPr>
          <w:rFonts w:ascii="Arial" w:hAnsi="Arial" w:cs="Arial"/>
          <w:sz w:val="24"/>
          <w:szCs w:val="24"/>
        </w:rPr>
        <w:t xml:space="preserve">annual cost to the Federal government is </w:t>
      </w:r>
      <w:r w:rsidR="00F65E74" w:rsidRPr="00B37C9D">
        <w:rPr>
          <w:rFonts w:ascii="Arial" w:hAnsi="Arial" w:cs="Arial"/>
          <w:sz w:val="24"/>
          <w:szCs w:val="24"/>
        </w:rPr>
        <w:t xml:space="preserve">estimated </w:t>
      </w:r>
      <w:r w:rsidR="00057B8D" w:rsidRPr="00B37C9D">
        <w:rPr>
          <w:rFonts w:ascii="Arial" w:hAnsi="Arial" w:cs="Arial"/>
          <w:sz w:val="24"/>
          <w:szCs w:val="24"/>
        </w:rPr>
        <w:t>at $</w:t>
      </w:r>
      <w:r w:rsidR="00057B8D" w:rsidRPr="00B37C9D">
        <w:rPr>
          <w:rFonts w:ascii="Arial" w:hAnsi="Arial" w:cs="Arial"/>
          <w:color w:val="000000"/>
          <w:sz w:val="24"/>
          <w:szCs w:val="24"/>
        </w:rPr>
        <w:t>861,500</w:t>
      </w:r>
      <w:r w:rsidR="00F65E74" w:rsidRPr="00B37C9D">
        <w:rPr>
          <w:rFonts w:ascii="Arial" w:hAnsi="Arial" w:cs="Arial"/>
          <w:color w:val="000000"/>
          <w:sz w:val="24"/>
          <w:szCs w:val="24"/>
        </w:rPr>
        <w:t xml:space="preserve"> per year</w:t>
      </w:r>
      <w:r w:rsidR="008624B7" w:rsidRPr="00B37C9D">
        <w:rPr>
          <w:rFonts w:ascii="Arial" w:hAnsi="Arial" w:cs="Arial"/>
          <w:sz w:val="24"/>
          <w:szCs w:val="24"/>
        </w:rPr>
        <w:t>.</w:t>
      </w:r>
    </w:p>
    <w:p w14:paraId="7C181F5F" w14:textId="77777777" w:rsidR="00B95193" w:rsidRDefault="00B95193" w:rsidP="00B9519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447883D6" w14:textId="77777777" w:rsidR="00B95193" w:rsidRDefault="00B95193" w:rsidP="00B9519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5E667A30" w14:textId="77777777" w:rsidR="00B95193" w:rsidRDefault="00B95193" w:rsidP="00B9519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4"/>
          <w:szCs w:val="24"/>
        </w:rPr>
      </w:pPr>
    </w:p>
    <w:tbl>
      <w:tblPr>
        <w:tblW w:w="9120" w:type="dxa"/>
        <w:tblInd w:w="98" w:type="dxa"/>
        <w:tblLook w:val="04A0" w:firstRow="1" w:lastRow="0" w:firstColumn="1" w:lastColumn="0" w:noHBand="0" w:noVBand="1"/>
      </w:tblPr>
      <w:tblGrid>
        <w:gridCol w:w="1997"/>
        <w:gridCol w:w="1754"/>
        <w:gridCol w:w="1367"/>
        <w:gridCol w:w="1357"/>
        <w:gridCol w:w="1250"/>
        <w:gridCol w:w="1395"/>
      </w:tblGrid>
      <w:tr w:rsidR="00057B8D" w:rsidRPr="00057B8D" w14:paraId="3A15C11C" w14:textId="77777777">
        <w:trPr>
          <w:trHeight w:val="360"/>
        </w:trPr>
        <w:tc>
          <w:tcPr>
            <w:tcW w:w="9120" w:type="dxa"/>
            <w:gridSpan w:val="6"/>
            <w:tcBorders>
              <w:top w:val="single" w:sz="8" w:space="0" w:color="auto"/>
              <w:left w:val="single" w:sz="8" w:space="0" w:color="auto"/>
              <w:bottom w:val="nil"/>
              <w:right w:val="single" w:sz="8" w:space="0" w:color="000000"/>
            </w:tcBorders>
            <w:shd w:val="clear" w:color="auto" w:fill="auto"/>
            <w:vAlign w:val="bottom"/>
          </w:tcPr>
          <w:p w14:paraId="1C6A6E4A" w14:textId="77777777" w:rsidR="00057B8D" w:rsidRPr="00057B8D" w:rsidRDefault="00057B8D" w:rsidP="00057B8D">
            <w:pPr>
              <w:widowControl/>
              <w:autoSpaceDE/>
              <w:autoSpaceDN/>
              <w:adjustRightInd/>
              <w:jc w:val="center"/>
              <w:rPr>
                <w:rFonts w:ascii="Arial" w:hAnsi="Arial" w:cs="Arial"/>
                <w:b/>
                <w:bCs/>
                <w:color w:val="000000"/>
                <w:sz w:val="28"/>
                <w:szCs w:val="28"/>
              </w:rPr>
            </w:pPr>
            <w:r w:rsidRPr="00057B8D">
              <w:rPr>
                <w:rFonts w:ascii="Arial" w:hAnsi="Arial" w:cs="Arial"/>
                <w:b/>
                <w:bCs/>
                <w:color w:val="000000"/>
                <w:sz w:val="28"/>
                <w:szCs w:val="28"/>
              </w:rPr>
              <w:t>Survey Administration Costs to the Government</w:t>
            </w:r>
          </w:p>
        </w:tc>
      </w:tr>
      <w:tr w:rsidR="00057B8D" w:rsidRPr="00057B8D" w14:paraId="1F50A404" w14:textId="77777777">
        <w:trPr>
          <w:trHeight w:val="375"/>
        </w:trPr>
        <w:tc>
          <w:tcPr>
            <w:tcW w:w="9120" w:type="dxa"/>
            <w:gridSpan w:val="6"/>
            <w:tcBorders>
              <w:top w:val="nil"/>
              <w:left w:val="single" w:sz="8" w:space="0" w:color="auto"/>
              <w:bottom w:val="single" w:sz="8" w:space="0" w:color="auto"/>
              <w:right w:val="single" w:sz="8" w:space="0" w:color="000000"/>
            </w:tcBorders>
            <w:shd w:val="clear" w:color="auto" w:fill="auto"/>
            <w:vAlign w:val="bottom"/>
          </w:tcPr>
          <w:p w14:paraId="6F9E19CC" w14:textId="77777777" w:rsidR="00057B8D" w:rsidRPr="00057B8D" w:rsidRDefault="00057B8D" w:rsidP="00057B8D">
            <w:pPr>
              <w:widowControl/>
              <w:autoSpaceDE/>
              <w:autoSpaceDN/>
              <w:adjustRightInd/>
              <w:jc w:val="center"/>
              <w:rPr>
                <w:rFonts w:ascii="Arial" w:hAnsi="Arial" w:cs="Arial"/>
                <w:b/>
                <w:bCs/>
                <w:color w:val="000000"/>
                <w:sz w:val="28"/>
                <w:szCs w:val="28"/>
              </w:rPr>
            </w:pPr>
            <w:r w:rsidRPr="00057B8D">
              <w:rPr>
                <w:rFonts w:ascii="Arial" w:hAnsi="Arial" w:cs="Arial"/>
                <w:b/>
                <w:bCs/>
                <w:color w:val="000000"/>
                <w:sz w:val="28"/>
                <w:szCs w:val="28"/>
              </w:rPr>
              <w:t>Navigation</w:t>
            </w:r>
            <w:r w:rsidR="00B95193">
              <w:rPr>
                <w:rFonts w:ascii="Arial" w:hAnsi="Arial" w:cs="Arial"/>
                <w:b/>
                <w:bCs/>
                <w:color w:val="000000"/>
                <w:sz w:val="28"/>
                <w:szCs w:val="28"/>
              </w:rPr>
              <w:t xml:space="preserve"> Related Suveys</w:t>
            </w:r>
          </w:p>
        </w:tc>
      </w:tr>
      <w:tr w:rsidR="00057B8D" w:rsidRPr="00057B8D" w14:paraId="45612107" w14:textId="77777777">
        <w:trPr>
          <w:trHeight w:val="1050"/>
        </w:trPr>
        <w:tc>
          <w:tcPr>
            <w:tcW w:w="2178" w:type="dxa"/>
            <w:tcBorders>
              <w:top w:val="nil"/>
              <w:left w:val="single" w:sz="8" w:space="0" w:color="auto"/>
              <w:bottom w:val="single" w:sz="8" w:space="0" w:color="auto"/>
              <w:right w:val="single" w:sz="8" w:space="0" w:color="auto"/>
            </w:tcBorders>
            <w:shd w:val="clear" w:color="auto" w:fill="auto"/>
            <w:vAlign w:val="bottom"/>
          </w:tcPr>
          <w:p w14:paraId="73B0FF7F" w14:textId="77777777" w:rsidR="00057B8D" w:rsidRPr="00057B8D" w:rsidRDefault="00057B8D" w:rsidP="00057B8D">
            <w:pPr>
              <w:widowControl/>
              <w:autoSpaceDE/>
              <w:autoSpaceDN/>
              <w:adjustRightInd/>
              <w:rPr>
                <w:rFonts w:ascii="Arial" w:hAnsi="Arial" w:cs="Arial"/>
                <w:color w:val="000000"/>
                <w:sz w:val="16"/>
                <w:szCs w:val="16"/>
              </w:rPr>
            </w:pPr>
            <w:r w:rsidRPr="00057B8D">
              <w:rPr>
                <w:rFonts w:ascii="Arial" w:hAnsi="Arial" w:cs="Arial"/>
                <w:color w:val="000000"/>
                <w:sz w:val="16"/>
                <w:szCs w:val="16"/>
              </w:rPr>
              <w:t> </w:t>
            </w:r>
          </w:p>
        </w:tc>
        <w:tc>
          <w:tcPr>
            <w:tcW w:w="1965" w:type="dxa"/>
            <w:tcBorders>
              <w:top w:val="nil"/>
              <w:left w:val="nil"/>
              <w:bottom w:val="single" w:sz="8" w:space="0" w:color="auto"/>
              <w:right w:val="single" w:sz="8" w:space="0" w:color="auto"/>
            </w:tcBorders>
            <w:shd w:val="clear" w:color="auto" w:fill="auto"/>
            <w:vAlign w:val="bottom"/>
          </w:tcPr>
          <w:p w14:paraId="6846A75E" w14:textId="77777777" w:rsidR="00057B8D" w:rsidRPr="00057B8D" w:rsidRDefault="00057B8D" w:rsidP="00821D90">
            <w:pPr>
              <w:widowControl/>
              <w:autoSpaceDE/>
              <w:autoSpaceDN/>
              <w:adjustRightInd/>
              <w:jc w:val="center"/>
              <w:rPr>
                <w:rFonts w:ascii="Arial" w:hAnsi="Arial" w:cs="Arial"/>
                <w:b/>
                <w:bCs/>
                <w:color w:val="000000"/>
                <w:sz w:val="18"/>
                <w:szCs w:val="18"/>
              </w:rPr>
            </w:pPr>
            <w:r w:rsidRPr="00057B8D">
              <w:rPr>
                <w:rFonts w:ascii="Arial" w:hAnsi="Arial" w:cs="Arial"/>
                <w:b/>
                <w:bCs/>
                <w:color w:val="000000"/>
                <w:sz w:val="18"/>
                <w:szCs w:val="18"/>
              </w:rPr>
              <w:t>Maximum S</w:t>
            </w:r>
            <w:r w:rsidR="00821D90">
              <w:rPr>
                <w:rFonts w:ascii="Arial" w:hAnsi="Arial" w:cs="Arial"/>
                <w:b/>
                <w:bCs/>
                <w:color w:val="000000"/>
                <w:sz w:val="18"/>
                <w:szCs w:val="18"/>
              </w:rPr>
              <w:t>urveys</w:t>
            </w:r>
            <w:r w:rsidRPr="00057B8D">
              <w:rPr>
                <w:rFonts w:ascii="Arial" w:hAnsi="Arial" w:cs="Arial"/>
                <w:b/>
                <w:bCs/>
                <w:color w:val="000000"/>
                <w:sz w:val="18"/>
                <w:szCs w:val="18"/>
              </w:rPr>
              <w:t xml:space="preserve"> per year</w:t>
            </w:r>
          </w:p>
        </w:tc>
        <w:tc>
          <w:tcPr>
            <w:tcW w:w="1367" w:type="dxa"/>
            <w:tcBorders>
              <w:top w:val="nil"/>
              <w:left w:val="nil"/>
              <w:bottom w:val="single" w:sz="8" w:space="0" w:color="auto"/>
              <w:right w:val="single" w:sz="8" w:space="0" w:color="auto"/>
            </w:tcBorders>
            <w:shd w:val="clear" w:color="auto" w:fill="auto"/>
            <w:vAlign w:val="bottom"/>
          </w:tcPr>
          <w:p w14:paraId="798FA147" w14:textId="77777777" w:rsidR="00057B8D" w:rsidRPr="00057B8D" w:rsidRDefault="00057B8D" w:rsidP="00057B8D">
            <w:pPr>
              <w:widowControl/>
              <w:autoSpaceDE/>
              <w:autoSpaceDN/>
              <w:adjustRightInd/>
              <w:jc w:val="center"/>
              <w:rPr>
                <w:rFonts w:ascii="Arial" w:hAnsi="Arial" w:cs="Arial"/>
                <w:b/>
                <w:bCs/>
                <w:color w:val="000000"/>
              </w:rPr>
            </w:pPr>
            <w:r w:rsidRPr="00057B8D">
              <w:rPr>
                <w:rFonts w:ascii="Arial" w:hAnsi="Arial" w:cs="Arial"/>
                <w:b/>
                <w:bCs/>
                <w:color w:val="000000"/>
              </w:rPr>
              <w:t>Labor Costs</w:t>
            </w:r>
          </w:p>
        </w:tc>
        <w:tc>
          <w:tcPr>
            <w:tcW w:w="1357" w:type="dxa"/>
            <w:tcBorders>
              <w:top w:val="nil"/>
              <w:left w:val="nil"/>
              <w:bottom w:val="single" w:sz="8" w:space="0" w:color="auto"/>
              <w:right w:val="single" w:sz="8" w:space="0" w:color="auto"/>
            </w:tcBorders>
            <w:shd w:val="clear" w:color="auto" w:fill="auto"/>
            <w:vAlign w:val="bottom"/>
          </w:tcPr>
          <w:p w14:paraId="162B22B9" w14:textId="77777777" w:rsidR="00057B8D" w:rsidRPr="00057B8D" w:rsidRDefault="00057B8D" w:rsidP="00057B8D">
            <w:pPr>
              <w:widowControl/>
              <w:autoSpaceDE/>
              <w:autoSpaceDN/>
              <w:adjustRightInd/>
              <w:jc w:val="center"/>
              <w:rPr>
                <w:rFonts w:ascii="Arial" w:hAnsi="Arial" w:cs="Arial"/>
                <w:b/>
                <w:bCs/>
                <w:color w:val="000000"/>
              </w:rPr>
            </w:pPr>
            <w:r w:rsidRPr="00057B8D">
              <w:rPr>
                <w:rFonts w:ascii="Arial" w:hAnsi="Arial" w:cs="Arial"/>
                <w:b/>
                <w:bCs/>
                <w:color w:val="000000"/>
              </w:rPr>
              <w:t>Travel Costs</w:t>
            </w:r>
          </w:p>
        </w:tc>
        <w:tc>
          <w:tcPr>
            <w:tcW w:w="1054" w:type="dxa"/>
            <w:tcBorders>
              <w:top w:val="nil"/>
              <w:left w:val="nil"/>
              <w:bottom w:val="single" w:sz="8" w:space="0" w:color="auto"/>
              <w:right w:val="single" w:sz="8" w:space="0" w:color="auto"/>
            </w:tcBorders>
            <w:shd w:val="clear" w:color="auto" w:fill="auto"/>
            <w:vAlign w:val="bottom"/>
          </w:tcPr>
          <w:p w14:paraId="0FDFC57D" w14:textId="77777777" w:rsidR="00057B8D" w:rsidRPr="00057B8D" w:rsidRDefault="00057B8D" w:rsidP="00057B8D">
            <w:pPr>
              <w:widowControl/>
              <w:autoSpaceDE/>
              <w:autoSpaceDN/>
              <w:adjustRightInd/>
              <w:jc w:val="center"/>
              <w:rPr>
                <w:rFonts w:ascii="Arial" w:hAnsi="Arial" w:cs="Arial"/>
                <w:b/>
                <w:bCs/>
                <w:color w:val="000000"/>
              </w:rPr>
            </w:pPr>
            <w:r w:rsidRPr="00057B8D">
              <w:rPr>
                <w:rFonts w:ascii="Arial" w:hAnsi="Arial" w:cs="Arial"/>
                <w:b/>
                <w:bCs/>
                <w:color w:val="000000"/>
              </w:rPr>
              <w:t>Equipment &amp; Materials</w:t>
            </w:r>
          </w:p>
        </w:tc>
        <w:tc>
          <w:tcPr>
            <w:tcW w:w="1199" w:type="dxa"/>
            <w:tcBorders>
              <w:top w:val="nil"/>
              <w:left w:val="nil"/>
              <w:bottom w:val="single" w:sz="8" w:space="0" w:color="auto"/>
              <w:right w:val="single" w:sz="8" w:space="0" w:color="auto"/>
            </w:tcBorders>
            <w:shd w:val="clear" w:color="auto" w:fill="auto"/>
            <w:vAlign w:val="bottom"/>
          </w:tcPr>
          <w:p w14:paraId="16A7FB51" w14:textId="77777777" w:rsidR="00057B8D" w:rsidRPr="00057B8D" w:rsidRDefault="00057B8D" w:rsidP="00057B8D">
            <w:pPr>
              <w:widowControl/>
              <w:autoSpaceDE/>
              <w:autoSpaceDN/>
              <w:adjustRightInd/>
              <w:jc w:val="center"/>
              <w:rPr>
                <w:rFonts w:ascii="Arial" w:hAnsi="Arial" w:cs="Arial"/>
                <w:b/>
                <w:bCs/>
                <w:color w:val="000000"/>
              </w:rPr>
            </w:pPr>
            <w:r w:rsidRPr="00057B8D">
              <w:rPr>
                <w:rFonts w:ascii="Arial" w:hAnsi="Arial" w:cs="Arial"/>
                <w:b/>
                <w:bCs/>
                <w:color w:val="000000"/>
              </w:rPr>
              <w:t>Cost to Government</w:t>
            </w:r>
          </w:p>
        </w:tc>
      </w:tr>
      <w:tr w:rsidR="00057B8D" w:rsidRPr="00057B8D" w14:paraId="12627886" w14:textId="77777777">
        <w:trPr>
          <w:trHeight w:val="315"/>
        </w:trPr>
        <w:tc>
          <w:tcPr>
            <w:tcW w:w="2178" w:type="dxa"/>
            <w:tcBorders>
              <w:top w:val="nil"/>
              <w:left w:val="single" w:sz="8" w:space="0" w:color="auto"/>
              <w:bottom w:val="single" w:sz="8" w:space="0" w:color="auto"/>
              <w:right w:val="single" w:sz="8" w:space="0" w:color="auto"/>
            </w:tcBorders>
            <w:shd w:val="clear" w:color="auto" w:fill="auto"/>
            <w:vAlign w:val="bottom"/>
          </w:tcPr>
          <w:p w14:paraId="3A3CD1C6" w14:textId="77777777" w:rsidR="00057B8D" w:rsidRPr="00057B8D" w:rsidRDefault="00057B8D" w:rsidP="00057B8D">
            <w:pPr>
              <w:widowControl/>
              <w:autoSpaceDE/>
              <w:autoSpaceDN/>
              <w:adjustRightInd/>
              <w:rPr>
                <w:rFonts w:ascii="Arial" w:hAnsi="Arial" w:cs="Arial"/>
                <w:color w:val="000000"/>
                <w:sz w:val="22"/>
                <w:szCs w:val="22"/>
              </w:rPr>
            </w:pPr>
            <w:r w:rsidRPr="00057B8D">
              <w:rPr>
                <w:rFonts w:ascii="Arial" w:hAnsi="Arial" w:cs="Arial"/>
                <w:color w:val="000000"/>
                <w:sz w:val="22"/>
                <w:szCs w:val="22"/>
              </w:rPr>
              <w:t>Commercial Fishing</w:t>
            </w:r>
          </w:p>
        </w:tc>
        <w:tc>
          <w:tcPr>
            <w:tcW w:w="1965" w:type="dxa"/>
            <w:tcBorders>
              <w:top w:val="nil"/>
              <w:left w:val="nil"/>
              <w:bottom w:val="single" w:sz="8" w:space="0" w:color="auto"/>
              <w:right w:val="single" w:sz="8" w:space="0" w:color="auto"/>
            </w:tcBorders>
            <w:shd w:val="clear" w:color="auto" w:fill="auto"/>
            <w:vAlign w:val="bottom"/>
          </w:tcPr>
          <w:p w14:paraId="4A4876AA" w14:textId="77777777" w:rsidR="00057B8D" w:rsidRPr="00057B8D" w:rsidRDefault="00057B8D" w:rsidP="00057B8D">
            <w:pPr>
              <w:widowControl/>
              <w:autoSpaceDE/>
              <w:autoSpaceDN/>
              <w:adjustRightInd/>
              <w:jc w:val="right"/>
              <w:rPr>
                <w:rFonts w:ascii="Arial" w:hAnsi="Arial" w:cs="Arial"/>
                <w:color w:val="000000"/>
                <w:sz w:val="22"/>
                <w:szCs w:val="22"/>
              </w:rPr>
            </w:pPr>
            <w:r w:rsidRPr="00057B8D">
              <w:rPr>
                <w:rFonts w:ascii="Arial" w:hAnsi="Arial" w:cs="Arial"/>
                <w:color w:val="000000"/>
                <w:sz w:val="22"/>
                <w:szCs w:val="22"/>
              </w:rPr>
              <w:t>2</w:t>
            </w:r>
          </w:p>
        </w:tc>
        <w:tc>
          <w:tcPr>
            <w:tcW w:w="1367" w:type="dxa"/>
            <w:tcBorders>
              <w:top w:val="nil"/>
              <w:left w:val="nil"/>
              <w:bottom w:val="single" w:sz="8" w:space="0" w:color="auto"/>
              <w:right w:val="single" w:sz="8" w:space="0" w:color="auto"/>
            </w:tcBorders>
            <w:shd w:val="clear" w:color="auto" w:fill="auto"/>
            <w:noWrap/>
            <w:vAlign w:val="bottom"/>
          </w:tcPr>
          <w:p w14:paraId="58FD3A83"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$80,000 </w:t>
            </w:r>
          </w:p>
        </w:tc>
        <w:tc>
          <w:tcPr>
            <w:tcW w:w="1357" w:type="dxa"/>
            <w:tcBorders>
              <w:top w:val="nil"/>
              <w:left w:val="nil"/>
              <w:bottom w:val="single" w:sz="8" w:space="0" w:color="auto"/>
              <w:right w:val="single" w:sz="8" w:space="0" w:color="auto"/>
            </w:tcBorders>
            <w:shd w:val="clear" w:color="auto" w:fill="auto"/>
            <w:noWrap/>
            <w:vAlign w:val="bottom"/>
          </w:tcPr>
          <w:p w14:paraId="05BA9CDE"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$5,000 </w:t>
            </w:r>
          </w:p>
        </w:tc>
        <w:tc>
          <w:tcPr>
            <w:tcW w:w="1054" w:type="dxa"/>
            <w:tcBorders>
              <w:top w:val="nil"/>
              <w:left w:val="nil"/>
              <w:bottom w:val="single" w:sz="8" w:space="0" w:color="auto"/>
              <w:right w:val="single" w:sz="8" w:space="0" w:color="auto"/>
            </w:tcBorders>
            <w:shd w:val="clear" w:color="auto" w:fill="auto"/>
            <w:noWrap/>
            <w:vAlign w:val="bottom"/>
          </w:tcPr>
          <w:p w14:paraId="6320ABFD"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$2,000 </w:t>
            </w:r>
          </w:p>
        </w:tc>
        <w:tc>
          <w:tcPr>
            <w:tcW w:w="1199" w:type="dxa"/>
            <w:tcBorders>
              <w:top w:val="nil"/>
              <w:left w:val="nil"/>
              <w:bottom w:val="single" w:sz="8" w:space="0" w:color="auto"/>
              <w:right w:val="single" w:sz="8" w:space="0" w:color="auto"/>
            </w:tcBorders>
            <w:shd w:val="clear" w:color="auto" w:fill="auto"/>
            <w:noWrap/>
            <w:vAlign w:val="bottom"/>
          </w:tcPr>
          <w:p w14:paraId="777303B7"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$87,000 </w:t>
            </w:r>
          </w:p>
        </w:tc>
      </w:tr>
      <w:tr w:rsidR="00057B8D" w:rsidRPr="00057B8D" w14:paraId="6A7E26BA" w14:textId="77777777">
        <w:trPr>
          <w:trHeight w:val="315"/>
        </w:trPr>
        <w:tc>
          <w:tcPr>
            <w:tcW w:w="2178" w:type="dxa"/>
            <w:tcBorders>
              <w:top w:val="nil"/>
              <w:left w:val="single" w:sz="8" w:space="0" w:color="auto"/>
              <w:bottom w:val="single" w:sz="8" w:space="0" w:color="auto"/>
              <w:right w:val="single" w:sz="8" w:space="0" w:color="auto"/>
            </w:tcBorders>
            <w:shd w:val="clear" w:color="auto" w:fill="auto"/>
            <w:vAlign w:val="bottom"/>
          </w:tcPr>
          <w:p w14:paraId="66B655AA" w14:textId="77777777" w:rsidR="00057B8D" w:rsidRPr="00057B8D" w:rsidRDefault="00057B8D" w:rsidP="00057B8D">
            <w:pPr>
              <w:widowControl/>
              <w:autoSpaceDE/>
              <w:autoSpaceDN/>
              <w:adjustRightInd/>
              <w:rPr>
                <w:rFonts w:ascii="Arial" w:hAnsi="Arial" w:cs="Arial"/>
                <w:color w:val="000000"/>
                <w:sz w:val="22"/>
                <w:szCs w:val="22"/>
              </w:rPr>
            </w:pPr>
            <w:r w:rsidRPr="00057B8D">
              <w:rPr>
                <w:rFonts w:ascii="Arial" w:hAnsi="Arial" w:cs="Arial"/>
                <w:color w:val="000000"/>
                <w:sz w:val="22"/>
                <w:szCs w:val="22"/>
              </w:rPr>
              <w:t>Shipper Surveys</w:t>
            </w:r>
          </w:p>
        </w:tc>
        <w:tc>
          <w:tcPr>
            <w:tcW w:w="1965" w:type="dxa"/>
            <w:tcBorders>
              <w:top w:val="nil"/>
              <w:left w:val="nil"/>
              <w:bottom w:val="single" w:sz="8" w:space="0" w:color="auto"/>
              <w:right w:val="single" w:sz="8" w:space="0" w:color="auto"/>
            </w:tcBorders>
            <w:shd w:val="clear" w:color="auto" w:fill="auto"/>
            <w:vAlign w:val="bottom"/>
          </w:tcPr>
          <w:p w14:paraId="7C01424E" w14:textId="77777777" w:rsidR="00057B8D" w:rsidRPr="00057B8D" w:rsidRDefault="00057B8D" w:rsidP="00057B8D">
            <w:pPr>
              <w:widowControl/>
              <w:autoSpaceDE/>
              <w:autoSpaceDN/>
              <w:adjustRightInd/>
              <w:jc w:val="right"/>
              <w:rPr>
                <w:rFonts w:ascii="Arial" w:hAnsi="Arial" w:cs="Arial"/>
                <w:color w:val="000000"/>
                <w:sz w:val="22"/>
                <w:szCs w:val="22"/>
              </w:rPr>
            </w:pPr>
            <w:r w:rsidRPr="00057B8D">
              <w:rPr>
                <w:rFonts w:ascii="Arial" w:hAnsi="Arial" w:cs="Arial"/>
                <w:color w:val="000000"/>
                <w:sz w:val="22"/>
                <w:szCs w:val="22"/>
              </w:rPr>
              <w:t>3</w:t>
            </w:r>
          </w:p>
        </w:tc>
        <w:tc>
          <w:tcPr>
            <w:tcW w:w="1367" w:type="dxa"/>
            <w:tcBorders>
              <w:top w:val="nil"/>
              <w:left w:val="nil"/>
              <w:bottom w:val="single" w:sz="8" w:space="0" w:color="auto"/>
              <w:right w:val="single" w:sz="8" w:space="0" w:color="auto"/>
            </w:tcBorders>
            <w:shd w:val="clear" w:color="auto" w:fill="auto"/>
            <w:noWrap/>
            <w:vAlign w:val="bottom"/>
          </w:tcPr>
          <w:p w14:paraId="5759AB96"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$375,000 </w:t>
            </w:r>
          </w:p>
        </w:tc>
        <w:tc>
          <w:tcPr>
            <w:tcW w:w="1357" w:type="dxa"/>
            <w:tcBorders>
              <w:top w:val="nil"/>
              <w:left w:val="nil"/>
              <w:bottom w:val="single" w:sz="8" w:space="0" w:color="auto"/>
              <w:right w:val="single" w:sz="8" w:space="0" w:color="auto"/>
            </w:tcBorders>
            <w:shd w:val="clear" w:color="auto" w:fill="auto"/>
            <w:noWrap/>
            <w:vAlign w:val="bottom"/>
          </w:tcPr>
          <w:p w14:paraId="26188012"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$7,500 </w:t>
            </w:r>
          </w:p>
        </w:tc>
        <w:tc>
          <w:tcPr>
            <w:tcW w:w="1054" w:type="dxa"/>
            <w:tcBorders>
              <w:top w:val="nil"/>
              <w:left w:val="nil"/>
              <w:bottom w:val="single" w:sz="8" w:space="0" w:color="auto"/>
              <w:right w:val="single" w:sz="8" w:space="0" w:color="auto"/>
            </w:tcBorders>
            <w:shd w:val="clear" w:color="auto" w:fill="auto"/>
            <w:noWrap/>
            <w:vAlign w:val="bottom"/>
          </w:tcPr>
          <w:p w14:paraId="14F5FF91"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$3,000 </w:t>
            </w:r>
          </w:p>
        </w:tc>
        <w:tc>
          <w:tcPr>
            <w:tcW w:w="1199" w:type="dxa"/>
            <w:tcBorders>
              <w:top w:val="nil"/>
              <w:left w:val="nil"/>
              <w:bottom w:val="single" w:sz="8" w:space="0" w:color="auto"/>
              <w:right w:val="single" w:sz="8" w:space="0" w:color="auto"/>
            </w:tcBorders>
            <w:shd w:val="clear" w:color="auto" w:fill="auto"/>
            <w:noWrap/>
            <w:vAlign w:val="bottom"/>
          </w:tcPr>
          <w:p w14:paraId="3C5A2D07"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$385,500 </w:t>
            </w:r>
          </w:p>
        </w:tc>
      </w:tr>
      <w:tr w:rsidR="00057B8D" w:rsidRPr="00057B8D" w14:paraId="77B562BE" w14:textId="77777777">
        <w:trPr>
          <w:trHeight w:val="315"/>
        </w:trPr>
        <w:tc>
          <w:tcPr>
            <w:tcW w:w="2178" w:type="dxa"/>
            <w:tcBorders>
              <w:top w:val="nil"/>
              <w:left w:val="single" w:sz="8" w:space="0" w:color="auto"/>
              <w:bottom w:val="single" w:sz="8" w:space="0" w:color="auto"/>
              <w:right w:val="single" w:sz="8" w:space="0" w:color="auto"/>
            </w:tcBorders>
            <w:shd w:val="clear" w:color="auto" w:fill="auto"/>
            <w:vAlign w:val="bottom"/>
          </w:tcPr>
          <w:p w14:paraId="04A0AED3" w14:textId="77777777" w:rsidR="00057B8D" w:rsidRPr="00057B8D" w:rsidRDefault="00057B8D" w:rsidP="00057B8D">
            <w:pPr>
              <w:widowControl/>
              <w:autoSpaceDE/>
              <w:autoSpaceDN/>
              <w:adjustRightInd/>
              <w:rPr>
                <w:rFonts w:ascii="Arial" w:hAnsi="Arial" w:cs="Arial"/>
                <w:color w:val="000000"/>
                <w:sz w:val="22"/>
                <w:szCs w:val="22"/>
              </w:rPr>
            </w:pPr>
            <w:r w:rsidRPr="00057B8D">
              <w:rPr>
                <w:rFonts w:ascii="Arial" w:hAnsi="Arial" w:cs="Arial"/>
                <w:color w:val="000000"/>
                <w:sz w:val="22"/>
                <w:szCs w:val="22"/>
              </w:rPr>
              <w:t>Carrier Surveys</w:t>
            </w:r>
          </w:p>
        </w:tc>
        <w:tc>
          <w:tcPr>
            <w:tcW w:w="1965" w:type="dxa"/>
            <w:tcBorders>
              <w:top w:val="nil"/>
              <w:left w:val="nil"/>
              <w:bottom w:val="single" w:sz="8" w:space="0" w:color="auto"/>
              <w:right w:val="single" w:sz="8" w:space="0" w:color="auto"/>
            </w:tcBorders>
            <w:shd w:val="clear" w:color="auto" w:fill="auto"/>
            <w:vAlign w:val="bottom"/>
          </w:tcPr>
          <w:p w14:paraId="235F94CB" w14:textId="77777777" w:rsidR="00057B8D" w:rsidRPr="00057B8D" w:rsidRDefault="00057B8D" w:rsidP="00057B8D">
            <w:pPr>
              <w:widowControl/>
              <w:autoSpaceDE/>
              <w:autoSpaceDN/>
              <w:adjustRightInd/>
              <w:jc w:val="right"/>
              <w:rPr>
                <w:rFonts w:ascii="Arial" w:hAnsi="Arial" w:cs="Arial"/>
                <w:color w:val="000000"/>
                <w:sz w:val="22"/>
                <w:szCs w:val="22"/>
              </w:rPr>
            </w:pPr>
            <w:r w:rsidRPr="00057B8D">
              <w:rPr>
                <w:rFonts w:ascii="Arial" w:hAnsi="Arial" w:cs="Arial"/>
                <w:color w:val="000000"/>
                <w:sz w:val="22"/>
                <w:szCs w:val="22"/>
              </w:rPr>
              <w:t>3</w:t>
            </w:r>
          </w:p>
        </w:tc>
        <w:tc>
          <w:tcPr>
            <w:tcW w:w="1367" w:type="dxa"/>
            <w:tcBorders>
              <w:top w:val="nil"/>
              <w:left w:val="nil"/>
              <w:bottom w:val="single" w:sz="8" w:space="0" w:color="auto"/>
              <w:right w:val="single" w:sz="8" w:space="0" w:color="auto"/>
            </w:tcBorders>
            <w:shd w:val="clear" w:color="auto" w:fill="auto"/>
            <w:noWrap/>
            <w:vAlign w:val="bottom"/>
          </w:tcPr>
          <w:p w14:paraId="24DBF5CE"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$300,000 </w:t>
            </w:r>
          </w:p>
        </w:tc>
        <w:tc>
          <w:tcPr>
            <w:tcW w:w="1357" w:type="dxa"/>
            <w:tcBorders>
              <w:top w:val="nil"/>
              <w:left w:val="nil"/>
              <w:bottom w:val="single" w:sz="8" w:space="0" w:color="auto"/>
              <w:right w:val="single" w:sz="8" w:space="0" w:color="auto"/>
            </w:tcBorders>
            <w:shd w:val="clear" w:color="auto" w:fill="auto"/>
            <w:noWrap/>
            <w:vAlign w:val="bottom"/>
          </w:tcPr>
          <w:p w14:paraId="2571B34F"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$7,500 </w:t>
            </w:r>
          </w:p>
        </w:tc>
        <w:tc>
          <w:tcPr>
            <w:tcW w:w="1054" w:type="dxa"/>
            <w:tcBorders>
              <w:top w:val="nil"/>
              <w:left w:val="nil"/>
              <w:bottom w:val="single" w:sz="8" w:space="0" w:color="auto"/>
              <w:right w:val="single" w:sz="8" w:space="0" w:color="auto"/>
            </w:tcBorders>
            <w:shd w:val="clear" w:color="auto" w:fill="auto"/>
            <w:noWrap/>
            <w:vAlign w:val="bottom"/>
          </w:tcPr>
          <w:p w14:paraId="15F89E84"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$3,000 </w:t>
            </w:r>
          </w:p>
        </w:tc>
        <w:tc>
          <w:tcPr>
            <w:tcW w:w="1199" w:type="dxa"/>
            <w:tcBorders>
              <w:top w:val="nil"/>
              <w:left w:val="nil"/>
              <w:bottom w:val="single" w:sz="8" w:space="0" w:color="auto"/>
              <w:right w:val="single" w:sz="8" w:space="0" w:color="auto"/>
            </w:tcBorders>
            <w:shd w:val="clear" w:color="auto" w:fill="auto"/>
            <w:noWrap/>
            <w:vAlign w:val="bottom"/>
          </w:tcPr>
          <w:p w14:paraId="7DE5E5FF"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$310,500 </w:t>
            </w:r>
          </w:p>
        </w:tc>
      </w:tr>
      <w:tr w:rsidR="00057B8D" w:rsidRPr="00057B8D" w14:paraId="54AE1F55" w14:textId="77777777">
        <w:trPr>
          <w:trHeight w:val="315"/>
        </w:trPr>
        <w:tc>
          <w:tcPr>
            <w:tcW w:w="2178" w:type="dxa"/>
            <w:tcBorders>
              <w:top w:val="nil"/>
              <w:left w:val="single" w:sz="8" w:space="0" w:color="auto"/>
              <w:bottom w:val="single" w:sz="8" w:space="0" w:color="auto"/>
              <w:right w:val="single" w:sz="8" w:space="0" w:color="auto"/>
            </w:tcBorders>
            <w:shd w:val="clear" w:color="auto" w:fill="auto"/>
            <w:vAlign w:val="bottom"/>
          </w:tcPr>
          <w:p w14:paraId="0499FDA6" w14:textId="77777777" w:rsidR="00057B8D" w:rsidRPr="00057B8D" w:rsidRDefault="00057B8D" w:rsidP="00057B8D">
            <w:pPr>
              <w:widowControl/>
              <w:autoSpaceDE/>
              <w:autoSpaceDN/>
              <w:adjustRightInd/>
              <w:rPr>
                <w:rFonts w:ascii="Arial" w:hAnsi="Arial" w:cs="Arial"/>
                <w:color w:val="000000"/>
                <w:sz w:val="22"/>
                <w:szCs w:val="22"/>
              </w:rPr>
            </w:pPr>
            <w:r w:rsidRPr="00057B8D">
              <w:rPr>
                <w:rFonts w:ascii="Arial" w:hAnsi="Arial" w:cs="Arial"/>
                <w:color w:val="000000"/>
                <w:sz w:val="22"/>
                <w:szCs w:val="22"/>
              </w:rPr>
              <w:t>Liner Service Surveys</w:t>
            </w:r>
          </w:p>
        </w:tc>
        <w:tc>
          <w:tcPr>
            <w:tcW w:w="1965" w:type="dxa"/>
            <w:tcBorders>
              <w:top w:val="nil"/>
              <w:left w:val="nil"/>
              <w:bottom w:val="single" w:sz="8" w:space="0" w:color="auto"/>
              <w:right w:val="single" w:sz="8" w:space="0" w:color="auto"/>
            </w:tcBorders>
            <w:shd w:val="clear" w:color="auto" w:fill="auto"/>
            <w:vAlign w:val="bottom"/>
          </w:tcPr>
          <w:p w14:paraId="22A48F11" w14:textId="77777777" w:rsidR="00057B8D" w:rsidRPr="00057B8D" w:rsidRDefault="00057B8D" w:rsidP="00057B8D">
            <w:pPr>
              <w:widowControl/>
              <w:autoSpaceDE/>
              <w:autoSpaceDN/>
              <w:adjustRightInd/>
              <w:jc w:val="right"/>
              <w:rPr>
                <w:rFonts w:ascii="Arial" w:hAnsi="Arial" w:cs="Arial"/>
                <w:color w:val="000000"/>
                <w:sz w:val="22"/>
                <w:szCs w:val="22"/>
              </w:rPr>
            </w:pPr>
            <w:r w:rsidRPr="00057B8D">
              <w:rPr>
                <w:rFonts w:ascii="Arial" w:hAnsi="Arial" w:cs="Arial"/>
                <w:color w:val="000000"/>
                <w:sz w:val="22"/>
                <w:szCs w:val="22"/>
              </w:rPr>
              <w:t>1</w:t>
            </w:r>
          </w:p>
        </w:tc>
        <w:tc>
          <w:tcPr>
            <w:tcW w:w="1367" w:type="dxa"/>
            <w:tcBorders>
              <w:top w:val="nil"/>
              <w:left w:val="nil"/>
              <w:bottom w:val="single" w:sz="8" w:space="0" w:color="auto"/>
              <w:right w:val="single" w:sz="8" w:space="0" w:color="auto"/>
            </w:tcBorders>
            <w:shd w:val="clear" w:color="auto" w:fill="auto"/>
            <w:noWrap/>
            <w:vAlign w:val="bottom"/>
          </w:tcPr>
          <w:p w14:paraId="1E1136C6"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$75,000 </w:t>
            </w:r>
          </w:p>
        </w:tc>
        <w:tc>
          <w:tcPr>
            <w:tcW w:w="1357" w:type="dxa"/>
            <w:tcBorders>
              <w:top w:val="nil"/>
              <w:left w:val="nil"/>
              <w:bottom w:val="single" w:sz="8" w:space="0" w:color="auto"/>
              <w:right w:val="single" w:sz="8" w:space="0" w:color="auto"/>
            </w:tcBorders>
            <w:shd w:val="clear" w:color="auto" w:fill="auto"/>
            <w:noWrap/>
            <w:vAlign w:val="bottom"/>
          </w:tcPr>
          <w:p w14:paraId="156F1B3B"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$2,500 </w:t>
            </w:r>
          </w:p>
        </w:tc>
        <w:tc>
          <w:tcPr>
            <w:tcW w:w="1054" w:type="dxa"/>
            <w:tcBorders>
              <w:top w:val="nil"/>
              <w:left w:val="nil"/>
              <w:bottom w:val="single" w:sz="8" w:space="0" w:color="auto"/>
              <w:right w:val="single" w:sz="8" w:space="0" w:color="auto"/>
            </w:tcBorders>
            <w:shd w:val="clear" w:color="auto" w:fill="auto"/>
            <w:noWrap/>
            <w:vAlign w:val="bottom"/>
          </w:tcPr>
          <w:p w14:paraId="62745CFB"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$1,000 </w:t>
            </w:r>
          </w:p>
        </w:tc>
        <w:tc>
          <w:tcPr>
            <w:tcW w:w="1199" w:type="dxa"/>
            <w:tcBorders>
              <w:top w:val="nil"/>
              <w:left w:val="nil"/>
              <w:bottom w:val="single" w:sz="8" w:space="0" w:color="auto"/>
              <w:right w:val="single" w:sz="8" w:space="0" w:color="auto"/>
            </w:tcBorders>
            <w:shd w:val="clear" w:color="auto" w:fill="auto"/>
            <w:noWrap/>
            <w:vAlign w:val="bottom"/>
          </w:tcPr>
          <w:p w14:paraId="251FEC04"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$78,500 </w:t>
            </w:r>
          </w:p>
        </w:tc>
      </w:tr>
      <w:tr w:rsidR="00057B8D" w:rsidRPr="00057B8D" w14:paraId="4493A324" w14:textId="77777777">
        <w:trPr>
          <w:trHeight w:val="300"/>
        </w:trPr>
        <w:tc>
          <w:tcPr>
            <w:tcW w:w="2178" w:type="dxa"/>
            <w:vMerge w:val="restart"/>
            <w:tcBorders>
              <w:top w:val="nil"/>
              <w:left w:val="single" w:sz="8" w:space="0" w:color="auto"/>
              <w:bottom w:val="single" w:sz="8" w:space="0" w:color="000000"/>
              <w:right w:val="single" w:sz="8" w:space="0" w:color="auto"/>
            </w:tcBorders>
            <w:shd w:val="clear" w:color="auto" w:fill="auto"/>
            <w:vAlign w:val="bottom"/>
          </w:tcPr>
          <w:p w14:paraId="36F4DD77" w14:textId="77777777" w:rsidR="00057B8D" w:rsidRPr="00057B8D" w:rsidRDefault="00057B8D" w:rsidP="00057B8D">
            <w:pPr>
              <w:widowControl/>
              <w:autoSpaceDE/>
              <w:autoSpaceDN/>
              <w:adjustRightInd/>
              <w:rPr>
                <w:rFonts w:ascii="Arial" w:hAnsi="Arial" w:cs="Arial"/>
                <w:color w:val="000000"/>
                <w:sz w:val="22"/>
                <w:szCs w:val="22"/>
              </w:rPr>
            </w:pPr>
            <w:r w:rsidRPr="00057B8D">
              <w:rPr>
                <w:rFonts w:ascii="Arial" w:hAnsi="Arial" w:cs="Arial"/>
                <w:color w:val="000000"/>
                <w:sz w:val="22"/>
                <w:szCs w:val="22"/>
              </w:rPr>
              <w:t>TOTALS</w:t>
            </w:r>
          </w:p>
        </w:tc>
        <w:tc>
          <w:tcPr>
            <w:tcW w:w="1965" w:type="dxa"/>
            <w:tcBorders>
              <w:top w:val="nil"/>
              <w:left w:val="nil"/>
              <w:bottom w:val="nil"/>
              <w:right w:val="single" w:sz="8" w:space="0" w:color="auto"/>
            </w:tcBorders>
            <w:shd w:val="clear" w:color="auto" w:fill="auto"/>
            <w:vAlign w:val="bottom"/>
          </w:tcPr>
          <w:p w14:paraId="6AE0F30C" w14:textId="77777777" w:rsidR="00057B8D" w:rsidRPr="00057B8D" w:rsidRDefault="00057B8D" w:rsidP="00057B8D">
            <w:pPr>
              <w:widowControl/>
              <w:autoSpaceDE/>
              <w:autoSpaceDN/>
              <w:adjustRightInd/>
              <w:rPr>
                <w:rFonts w:ascii="Arial" w:hAnsi="Arial" w:cs="Arial"/>
                <w:color w:val="000000"/>
                <w:sz w:val="22"/>
                <w:szCs w:val="22"/>
              </w:rPr>
            </w:pPr>
            <w:r w:rsidRPr="00057B8D">
              <w:rPr>
                <w:rFonts w:ascii="Arial" w:hAnsi="Arial" w:cs="Arial"/>
                <w:color w:val="000000"/>
                <w:sz w:val="22"/>
                <w:szCs w:val="22"/>
              </w:rPr>
              <w:t> </w:t>
            </w:r>
          </w:p>
        </w:tc>
        <w:tc>
          <w:tcPr>
            <w:tcW w:w="1367" w:type="dxa"/>
            <w:vMerge w:val="restart"/>
            <w:tcBorders>
              <w:top w:val="nil"/>
              <w:left w:val="single" w:sz="8" w:space="0" w:color="auto"/>
              <w:bottom w:val="single" w:sz="8" w:space="0" w:color="000000"/>
              <w:right w:val="single" w:sz="8" w:space="0" w:color="auto"/>
            </w:tcBorders>
            <w:shd w:val="clear" w:color="auto" w:fill="auto"/>
            <w:noWrap/>
            <w:vAlign w:val="bottom"/>
          </w:tcPr>
          <w:p w14:paraId="52D904E0"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$830,000 </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bottom"/>
          </w:tcPr>
          <w:p w14:paraId="6A9CE668"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$22,500 </w:t>
            </w:r>
          </w:p>
        </w:tc>
        <w:tc>
          <w:tcPr>
            <w:tcW w:w="1054" w:type="dxa"/>
            <w:vMerge w:val="restart"/>
            <w:tcBorders>
              <w:top w:val="nil"/>
              <w:left w:val="single" w:sz="8" w:space="0" w:color="auto"/>
              <w:bottom w:val="single" w:sz="8" w:space="0" w:color="000000"/>
              <w:right w:val="single" w:sz="8" w:space="0" w:color="auto"/>
            </w:tcBorders>
            <w:shd w:val="clear" w:color="auto" w:fill="auto"/>
            <w:noWrap/>
            <w:vAlign w:val="bottom"/>
          </w:tcPr>
          <w:p w14:paraId="2040063D"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$9,000 </w:t>
            </w:r>
          </w:p>
        </w:tc>
        <w:tc>
          <w:tcPr>
            <w:tcW w:w="1199" w:type="dxa"/>
            <w:vMerge w:val="restart"/>
            <w:tcBorders>
              <w:top w:val="nil"/>
              <w:left w:val="single" w:sz="8" w:space="0" w:color="auto"/>
              <w:bottom w:val="single" w:sz="8" w:space="0" w:color="000000"/>
              <w:right w:val="single" w:sz="8" w:space="0" w:color="auto"/>
            </w:tcBorders>
            <w:shd w:val="clear" w:color="auto" w:fill="auto"/>
            <w:noWrap/>
            <w:vAlign w:val="bottom"/>
          </w:tcPr>
          <w:p w14:paraId="533C1F8F" w14:textId="77777777" w:rsidR="00057B8D" w:rsidRPr="00057B8D" w:rsidRDefault="00057B8D" w:rsidP="00057B8D">
            <w:pPr>
              <w:widowControl/>
              <w:autoSpaceDE/>
              <w:autoSpaceDN/>
              <w:adjustRightInd/>
              <w:jc w:val="right"/>
              <w:rPr>
                <w:rFonts w:ascii="Arial" w:hAnsi="Arial" w:cs="Arial"/>
                <w:color w:val="000000"/>
              </w:rPr>
            </w:pPr>
            <w:r w:rsidRPr="00057B8D">
              <w:rPr>
                <w:rFonts w:ascii="Arial" w:hAnsi="Arial" w:cs="Arial"/>
                <w:color w:val="000000"/>
              </w:rPr>
              <w:t xml:space="preserve">$861,500 </w:t>
            </w:r>
          </w:p>
        </w:tc>
      </w:tr>
      <w:tr w:rsidR="00057B8D" w:rsidRPr="00057B8D" w14:paraId="7593F080" w14:textId="77777777">
        <w:trPr>
          <w:trHeight w:val="315"/>
        </w:trPr>
        <w:tc>
          <w:tcPr>
            <w:tcW w:w="2178" w:type="dxa"/>
            <w:vMerge/>
            <w:tcBorders>
              <w:top w:val="nil"/>
              <w:left w:val="single" w:sz="8" w:space="0" w:color="auto"/>
              <w:bottom w:val="single" w:sz="8" w:space="0" w:color="000000"/>
              <w:right w:val="single" w:sz="8" w:space="0" w:color="auto"/>
            </w:tcBorders>
            <w:vAlign w:val="center"/>
          </w:tcPr>
          <w:p w14:paraId="6EE66F05" w14:textId="77777777" w:rsidR="00057B8D" w:rsidRPr="00057B8D" w:rsidRDefault="00057B8D" w:rsidP="00057B8D">
            <w:pPr>
              <w:widowControl/>
              <w:autoSpaceDE/>
              <w:autoSpaceDN/>
              <w:adjustRightInd/>
              <w:rPr>
                <w:rFonts w:ascii="Arial" w:hAnsi="Arial" w:cs="Arial"/>
                <w:color w:val="000000"/>
                <w:sz w:val="22"/>
                <w:szCs w:val="22"/>
              </w:rPr>
            </w:pPr>
          </w:p>
        </w:tc>
        <w:tc>
          <w:tcPr>
            <w:tcW w:w="1965" w:type="dxa"/>
            <w:tcBorders>
              <w:top w:val="nil"/>
              <w:left w:val="nil"/>
              <w:bottom w:val="single" w:sz="8" w:space="0" w:color="auto"/>
              <w:right w:val="single" w:sz="8" w:space="0" w:color="auto"/>
            </w:tcBorders>
            <w:shd w:val="clear" w:color="auto" w:fill="auto"/>
            <w:vAlign w:val="bottom"/>
          </w:tcPr>
          <w:p w14:paraId="193E15F2" w14:textId="77777777" w:rsidR="00057B8D" w:rsidRPr="00057B8D" w:rsidRDefault="00057B8D" w:rsidP="00057B8D">
            <w:pPr>
              <w:widowControl/>
              <w:autoSpaceDE/>
              <w:autoSpaceDN/>
              <w:adjustRightInd/>
              <w:rPr>
                <w:rFonts w:ascii="Arial" w:hAnsi="Arial" w:cs="Arial"/>
                <w:color w:val="000000"/>
                <w:sz w:val="22"/>
                <w:szCs w:val="22"/>
              </w:rPr>
            </w:pPr>
            <w:r w:rsidRPr="00057B8D">
              <w:rPr>
                <w:rFonts w:ascii="Arial" w:hAnsi="Arial" w:cs="Arial"/>
                <w:color w:val="000000"/>
                <w:sz w:val="22"/>
                <w:szCs w:val="22"/>
              </w:rPr>
              <w:t> </w:t>
            </w:r>
          </w:p>
        </w:tc>
        <w:tc>
          <w:tcPr>
            <w:tcW w:w="1367" w:type="dxa"/>
            <w:vMerge/>
            <w:tcBorders>
              <w:top w:val="nil"/>
              <w:left w:val="single" w:sz="8" w:space="0" w:color="auto"/>
              <w:bottom w:val="single" w:sz="8" w:space="0" w:color="000000"/>
              <w:right w:val="single" w:sz="8" w:space="0" w:color="auto"/>
            </w:tcBorders>
            <w:vAlign w:val="center"/>
          </w:tcPr>
          <w:p w14:paraId="7DDC9397" w14:textId="77777777" w:rsidR="00057B8D" w:rsidRPr="00057B8D" w:rsidRDefault="00057B8D" w:rsidP="00057B8D">
            <w:pPr>
              <w:widowControl/>
              <w:autoSpaceDE/>
              <w:autoSpaceDN/>
              <w:adjustRightInd/>
              <w:rPr>
                <w:rFonts w:ascii="Arial" w:hAnsi="Arial" w:cs="Arial"/>
                <w:color w:val="000000"/>
              </w:rPr>
            </w:pPr>
          </w:p>
        </w:tc>
        <w:tc>
          <w:tcPr>
            <w:tcW w:w="1357" w:type="dxa"/>
            <w:vMerge/>
            <w:tcBorders>
              <w:top w:val="nil"/>
              <w:left w:val="single" w:sz="8" w:space="0" w:color="auto"/>
              <w:bottom w:val="single" w:sz="8" w:space="0" w:color="000000"/>
              <w:right w:val="single" w:sz="8" w:space="0" w:color="auto"/>
            </w:tcBorders>
            <w:vAlign w:val="center"/>
          </w:tcPr>
          <w:p w14:paraId="12170E48" w14:textId="77777777" w:rsidR="00057B8D" w:rsidRPr="00057B8D" w:rsidRDefault="00057B8D" w:rsidP="00057B8D">
            <w:pPr>
              <w:widowControl/>
              <w:autoSpaceDE/>
              <w:autoSpaceDN/>
              <w:adjustRightInd/>
              <w:rPr>
                <w:rFonts w:ascii="Arial" w:hAnsi="Arial" w:cs="Arial"/>
                <w:color w:val="000000"/>
              </w:rPr>
            </w:pPr>
          </w:p>
        </w:tc>
        <w:tc>
          <w:tcPr>
            <w:tcW w:w="1054" w:type="dxa"/>
            <w:vMerge/>
            <w:tcBorders>
              <w:top w:val="nil"/>
              <w:left w:val="single" w:sz="8" w:space="0" w:color="auto"/>
              <w:bottom w:val="single" w:sz="8" w:space="0" w:color="000000"/>
              <w:right w:val="single" w:sz="8" w:space="0" w:color="auto"/>
            </w:tcBorders>
            <w:vAlign w:val="center"/>
          </w:tcPr>
          <w:p w14:paraId="198B8E8A" w14:textId="77777777" w:rsidR="00057B8D" w:rsidRPr="00057B8D" w:rsidRDefault="00057B8D" w:rsidP="00057B8D">
            <w:pPr>
              <w:widowControl/>
              <w:autoSpaceDE/>
              <w:autoSpaceDN/>
              <w:adjustRightInd/>
              <w:rPr>
                <w:rFonts w:ascii="Arial" w:hAnsi="Arial" w:cs="Arial"/>
                <w:color w:val="000000"/>
              </w:rPr>
            </w:pPr>
          </w:p>
        </w:tc>
        <w:tc>
          <w:tcPr>
            <w:tcW w:w="1199" w:type="dxa"/>
            <w:vMerge/>
            <w:tcBorders>
              <w:top w:val="nil"/>
              <w:left w:val="single" w:sz="8" w:space="0" w:color="auto"/>
              <w:bottom w:val="single" w:sz="8" w:space="0" w:color="000000"/>
              <w:right w:val="single" w:sz="8" w:space="0" w:color="auto"/>
            </w:tcBorders>
            <w:vAlign w:val="center"/>
          </w:tcPr>
          <w:p w14:paraId="19E80852" w14:textId="77777777" w:rsidR="00057B8D" w:rsidRPr="00057B8D" w:rsidRDefault="00057B8D" w:rsidP="00057B8D">
            <w:pPr>
              <w:widowControl/>
              <w:autoSpaceDE/>
              <w:autoSpaceDN/>
              <w:adjustRightInd/>
              <w:rPr>
                <w:rFonts w:ascii="Arial" w:hAnsi="Arial" w:cs="Arial"/>
                <w:color w:val="000000"/>
              </w:rPr>
            </w:pPr>
          </w:p>
        </w:tc>
      </w:tr>
    </w:tbl>
    <w:p w14:paraId="477E5FFA" w14:textId="77777777" w:rsidR="00057B8D" w:rsidRDefault="00057B8D"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sectPr w:rsidR="00057B8D">
          <w:footerReference w:type="even" r:id="rId10"/>
          <w:footerReference w:type="default" r:id="rId11"/>
          <w:pgSz w:w="12240" w:h="15840" w:code="1"/>
          <w:pgMar w:top="1440" w:right="1440" w:bottom="1440" w:left="1440" w:header="1440" w:footer="1440" w:gutter="0"/>
          <w:cols w:space="720"/>
          <w:docGrid w:linePitch="272"/>
        </w:sectPr>
      </w:pPr>
    </w:p>
    <w:p w14:paraId="5634CEDD" w14:textId="77777777" w:rsidR="00E452DF" w:rsidRDefault="008B64EF" w:rsidP="00CB3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B050"/>
          <w:sz w:val="24"/>
          <w:szCs w:val="24"/>
        </w:rPr>
      </w:pPr>
      <w:r w:rsidRPr="00615566">
        <w:rPr>
          <w:rFonts w:ascii="Arial" w:hAnsi="Arial" w:cs="Arial"/>
          <w:b/>
          <w:sz w:val="24"/>
          <w:szCs w:val="24"/>
        </w:rPr>
        <w:lastRenderedPageBreak/>
        <w:t>1</w:t>
      </w:r>
      <w:r w:rsidR="00E452DF" w:rsidRPr="00615566">
        <w:rPr>
          <w:rFonts w:ascii="Arial" w:hAnsi="Arial" w:cs="Arial"/>
          <w:b/>
          <w:sz w:val="24"/>
          <w:szCs w:val="24"/>
        </w:rPr>
        <w:t>5.</w:t>
      </w:r>
      <w:r w:rsidR="00E452DF" w:rsidRPr="00615566">
        <w:rPr>
          <w:rFonts w:ascii="Arial" w:hAnsi="Arial" w:cs="Arial"/>
          <w:b/>
          <w:sz w:val="24"/>
          <w:szCs w:val="24"/>
        </w:rPr>
        <w:tab/>
        <w:t>Explain the reasons for any program changes or adjustments in hour or cost burden.</w:t>
      </w:r>
      <w:r w:rsidR="00E03433">
        <w:rPr>
          <w:rFonts w:ascii="Arial" w:hAnsi="Arial" w:cs="Arial"/>
          <w:b/>
          <w:sz w:val="24"/>
          <w:szCs w:val="24"/>
        </w:rPr>
        <w:t xml:space="preserve"> </w:t>
      </w:r>
    </w:p>
    <w:p w14:paraId="42F0D458" w14:textId="77777777" w:rsidR="00721D29" w:rsidRPr="00E03433" w:rsidRDefault="00721D29" w:rsidP="00CB30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B050"/>
          <w:sz w:val="24"/>
          <w:szCs w:val="24"/>
        </w:rPr>
      </w:pPr>
    </w:p>
    <w:p w14:paraId="2C0F0890" w14:textId="77777777" w:rsidR="00721D29" w:rsidRDefault="00721D29" w:rsidP="00721D29">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2409AA">
        <w:rPr>
          <w:rFonts w:ascii="Arial" w:hAnsi="Arial" w:cs="Arial"/>
          <w:sz w:val="24"/>
          <w:szCs w:val="24"/>
        </w:rPr>
        <w:t>No programmatic changes have occurred that would require a major change in the annual burden hours.  The number of required burden hours for navigation surveys has not increased.</w:t>
      </w:r>
      <w:r w:rsidRPr="00615566">
        <w:rPr>
          <w:rFonts w:ascii="Arial" w:hAnsi="Arial" w:cs="Arial"/>
          <w:sz w:val="24"/>
          <w:szCs w:val="24"/>
        </w:rPr>
        <w:t xml:space="preserve">  </w:t>
      </w:r>
    </w:p>
    <w:p w14:paraId="57C858EC" w14:textId="77777777" w:rsidR="002D2171" w:rsidRDefault="002D2171" w:rsidP="002D2171">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3C08430E" w14:textId="77777777" w:rsidR="00E452DF" w:rsidRPr="00E03433"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16.</w:t>
      </w:r>
      <w:r w:rsidRPr="00615566">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014A74"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091F9DD" w14:textId="77777777" w:rsidR="008B64EF" w:rsidRPr="00615566" w:rsidRDefault="00C92D1B" w:rsidP="008B64E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Most of the data collection efforts will generally not be published, but</w:t>
      </w:r>
      <w:r w:rsidR="00F61551">
        <w:rPr>
          <w:rFonts w:ascii="Arial" w:hAnsi="Arial" w:cs="Arial"/>
          <w:sz w:val="24"/>
          <w:szCs w:val="24"/>
        </w:rPr>
        <w:t xml:space="preserve"> will be summarized and used to support planning study economic analys</w:t>
      </w:r>
      <w:r w:rsidR="00566B36">
        <w:rPr>
          <w:rFonts w:ascii="Arial" w:hAnsi="Arial" w:cs="Arial"/>
          <w:sz w:val="24"/>
          <w:szCs w:val="24"/>
        </w:rPr>
        <w:t>es</w:t>
      </w:r>
      <w:r w:rsidR="00F61551">
        <w:rPr>
          <w:rFonts w:ascii="Arial" w:hAnsi="Arial" w:cs="Arial"/>
          <w:sz w:val="24"/>
          <w:szCs w:val="24"/>
        </w:rPr>
        <w:t xml:space="preserve">.  This summary information will be presented in the Corps reports evaluating capital improvement opportunities.  </w:t>
      </w:r>
      <w:r w:rsidR="0049685F">
        <w:rPr>
          <w:rFonts w:ascii="Arial" w:hAnsi="Arial" w:cs="Arial"/>
          <w:sz w:val="24"/>
          <w:szCs w:val="24"/>
        </w:rPr>
        <w:t xml:space="preserve"> </w:t>
      </w:r>
      <w:r w:rsidR="008B64EF" w:rsidRPr="00615566">
        <w:rPr>
          <w:rFonts w:ascii="Arial" w:hAnsi="Arial" w:cs="Arial"/>
          <w:sz w:val="24"/>
          <w:szCs w:val="24"/>
        </w:rPr>
        <w:t xml:space="preserve">Each information collection </w:t>
      </w:r>
      <w:r w:rsidR="0054480D">
        <w:rPr>
          <w:rFonts w:ascii="Arial" w:hAnsi="Arial" w:cs="Arial"/>
          <w:sz w:val="24"/>
          <w:szCs w:val="24"/>
        </w:rPr>
        <w:t>survey c</w:t>
      </w:r>
      <w:r w:rsidR="008B64EF" w:rsidRPr="00615566">
        <w:rPr>
          <w:rFonts w:ascii="Arial" w:hAnsi="Arial" w:cs="Arial"/>
          <w:sz w:val="24"/>
          <w:szCs w:val="24"/>
        </w:rPr>
        <w:t xml:space="preserve">onsidered under </w:t>
      </w:r>
      <w:r w:rsidRPr="00615566">
        <w:rPr>
          <w:rFonts w:ascii="Arial" w:hAnsi="Arial" w:cs="Arial"/>
          <w:sz w:val="24"/>
          <w:szCs w:val="24"/>
        </w:rPr>
        <w:t xml:space="preserve">this </w:t>
      </w:r>
      <w:r w:rsidR="0049685F" w:rsidRPr="00615566">
        <w:rPr>
          <w:rFonts w:ascii="Arial" w:hAnsi="Arial" w:cs="Arial"/>
          <w:sz w:val="24"/>
          <w:szCs w:val="24"/>
        </w:rPr>
        <w:t>clearance</w:t>
      </w:r>
      <w:r w:rsidR="008B64EF" w:rsidRPr="00615566">
        <w:rPr>
          <w:rFonts w:ascii="Arial" w:hAnsi="Arial" w:cs="Arial"/>
          <w:sz w:val="24"/>
          <w:szCs w:val="24"/>
        </w:rPr>
        <w:t xml:space="preserve"> will describe how the data will be</w:t>
      </w:r>
      <w:r w:rsidRPr="00615566">
        <w:rPr>
          <w:rFonts w:ascii="Arial" w:hAnsi="Arial" w:cs="Arial"/>
          <w:sz w:val="24"/>
          <w:szCs w:val="24"/>
        </w:rPr>
        <w:t xml:space="preserve"> analyzed and</w:t>
      </w:r>
      <w:r w:rsidR="008B64EF" w:rsidRPr="00615566">
        <w:rPr>
          <w:rFonts w:ascii="Arial" w:hAnsi="Arial" w:cs="Arial"/>
          <w:sz w:val="24"/>
          <w:szCs w:val="24"/>
        </w:rPr>
        <w:t xml:space="preserve"> used.  Each information collection </w:t>
      </w:r>
      <w:r w:rsidR="0054480D">
        <w:rPr>
          <w:rFonts w:ascii="Arial" w:hAnsi="Arial" w:cs="Arial"/>
          <w:sz w:val="24"/>
          <w:szCs w:val="24"/>
        </w:rPr>
        <w:t xml:space="preserve">survey </w:t>
      </w:r>
      <w:r w:rsidR="008B64EF" w:rsidRPr="00615566">
        <w:rPr>
          <w:rFonts w:ascii="Arial" w:hAnsi="Arial" w:cs="Arial"/>
          <w:sz w:val="24"/>
          <w:szCs w:val="24"/>
        </w:rPr>
        <w:t xml:space="preserve">will provide </w:t>
      </w:r>
      <w:r w:rsidR="00CF5787">
        <w:rPr>
          <w:rFonts w:ascii="Arial" w:hAnsi="Arial" w:cs="Arial"/>
          <w:sz w:val="24"/>
          <w:szCs w:val="24"/>
        </w:rPr>
        <w:t xml:space="preserve">OMB with information on </w:t>
      </w:r>
      <w:r w:rsidR="00CF5787" w:rsidRPr="00615566">
        <w:rPr>
          <w:rFonts w:ascii="Arial" w:hAnsi="Arial" w:cs="Arial"/>
          <w:sz w:val="24"/>
          <w:szCs w:val="24"/>
        </w:rPr>
        <w:t xml:space="preserve">the specific tabulation methods used to </w:t>
      </w:r>
      <w:r w:rsidR="00CF5787">
        <w:rPr>
          <w:rFonts w:ascii="Arial" w:hAnsi="Arial" w:cs="Arial"/>
          <w:sz w:val="24"/>
          <w:szCs w:val="24"/>
        </w:rPr>
        <w:t xml:space="preserve">collect and </w:t>
      </w:r>
      <w:r w:rsidR="00CF5787" w:rsidRPr="00615566">
        <w:rPr>
          <w:rFonts w:ascii="Arial" w:hAnsi="Arial" w:cs="Arial"/>
          <w:sz w:val="24"/>
          <w:szCs w:val="24"/>
        </w:rPr>
        <w:t>analyze</w:t>
      </w:r>
      <w:r w:rsidR="00CF5787">
        <w:rPr>
          <w:rFonts w:ascii="Arial" w:hAnsi="Arial" w:cs="Arial"/>
          <w:sz w:val="24"/>
          <w:szCs w:val="24"/>
        </w:rPr>
        <w:t xml:space="preserve"> the data</w:t>
      </w:r>
      <w:r w:rsidR="008B64EF" w:rsidRPr="00615566">
        <w:rPr>
          <w:rFonts w:ascii="Arial" w:hAnsi="Arial" w:cs="Arial"/>
          <w:sz w:val="24"/>
          <w:szCs w:val="24"/>
        </w:rPr>
        <w:t xml:space="preserve">. </w:t>
      </w:r>
    </w:p>
    <w:p w14:paraId="5B2B7630" w14:textId="77777777" w:rsidR="008B64EF" w:rsidRPr="00615566" w:rsidRDefault="008B64EF" w:rsidP="008B64E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2D6206A6" w14:textId="77777777" w:rsidR="008A2B5C" w:rsidRDefault="008B64EF" w:rsidP="00F6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M</w:t>
      </w:r>
      <w:r w:rsidR="001933E7" w:rsidRPr="00615566">
        <w:rPr>
          <w:rFonts w:ascii="Arial" w:hAnsi="Arial" w:cs="Arial"/>
          <w:sz w:val="24"/>
          <w:szCs w:val="24"/>
        </w:rPr>
        <w:t>ost analyses of surveys conducted under th</w:t>
      </w:r>
      <w:r w:rsidR="00585FD8" w:rsidRPr="00615566">
        <w:rPr>
          <w:rFonts w:ascii="Arial" w:hAnsi="Arial" w:cs="Arial"/>
          <w:sz w:val="24"/>
          <w:szCs w:val="24"/>
        </w:rPr>
        <w:t>is</w:t>
      </w:r>
      <w:r w:rsidR="001933E7" w:rsidRPr="00615566">
        <w:rPr>
          <w:rFonts w:ascii="Arial" w:hAnsi="Arial" w:cs="Arial"/>
          <w:sz w:val="24"/>
          <w:szCs w:val="24"/>
        </w:rPr>
        <w:t xml:space="preserve"> program </w:t>
      </w:r>
      <w:r w:rsidR="00155D55" w:rsidRPr="00615566">
        <w:rPr>
          <w:rFonts w:ascii="Arial" w:hAnsi="Arial" w:cs="Arial"/>
          <w:sz w:val="24"/>
          <w:szCs w:val="24"/>
        </w:rPr>
        <w:t xml:space="preserve">will </w:t>
      </w:r>
      <w:r w:rsidR="00585FD8" w:rsidRPr="00615566">
        <w:rPr>
          <w:rFonts w:ascii="Arial" w:hAnsi="Arial" w:cs="Arial"/>
          <w:sz w:val="24"/>
          <w:szCs w:val="24"/>
        </w:rPr>
        <w:t>involve</w:t>
      </w:r>
      <w:r w:rsidR="001933E7" w:rsidRPr="00615566">
        <w:rPr>
          <w:rFonts w:ascii="Arial" w:hAnsi="Arial" w:cs="Arial"/>
          <w:sz w:val="24"/>
          <w:szCs w:val="24"/>
        </w:rPr>
        <w:t xml:space="preserve"> </w:t>
      </w:r>
      <w:r w:rsidR="00BE7E48" w:rsidRPr="00615566">
        <w:rPr>
          <w:rFonts w:ascii="Arial" w:hAnsi="Arial" w:cs="Arial"/>
          <w:sz w:val="24"/>
          <w:szCs w:val="24"/>
        </w:rPr>
        <w:t xml:space="preserve">simple </w:t>
      </w:r>
      <w:r w:rsidR="001933E7" w:rsidRPr="00615566">
        <w:rPr>
          <w:rFonts w:ascii="Arial" w:hAnsi="Arial" w:cs="Arial"/>
          <w:sz w:val="24"/>
          <w:szCs w:val="24"/>
        </w:rPr>
        <w:t>tabulations</w:t>
      </w:r>
      <w:r w:rsidRPr="00615566">
        <w:rPr>
          <w:rFonts w:ascii="Arial" w:hAnsi="Arial" w:cs="Arial"/>
          <w:sz w:val="24"/>
          <w:szCs w:val="24"/>
        </w:rPr>
        <w:t xml:space="preserve"> to address concrete management and planning issues</w:t>
      </w:r>
      <w:r w:rsidR="001933E7" w:rsidRPr="00615566">
        <w:rPr>
          <w:rFonts w:ascii="Arial" w:hAnsi="Arial" w:cs="Arial"/>
          <w:sz w:val="24"/>
          <w:szCs w:val="24"/>
        </w:rPr>
        <w:t>. These include response frequencies</w:t>
      </w:r>
      <w:r w:rsidR="00585FD8" w:rsidRPr="00615566">
        <w:rPr>
          <w:rFonts w:ascii="Arial" w:hAnsi="Arial" w:cs="Arial"/>
          <w:sz w:val="24"/>
          <w:szCs w:val="24"/>
        </w:rPr>
        <w:t xml:space="preserve">, means, standard deviations, confidence intervals, </w:t>
      </w:r>
      <w:r w:rsidR="001933E7" w:rsidRPr="00615566">
        <w:rPr>
          <w:rFonts w:ascii="Arial" w:hAnsi="Arial" w:cs="Arial"/>
          <w:sz w:val="24"/>
          <w:szCs w:val="24"/>
        </w:rPr>
        <w:t xml:space="preserve">and </w:t>
      </w:r>
      <w:r w:rsidR="00585FD8" w:rsidRPr="00615566">
        <w:rPr>
          <w:rFonts w:ascii="Arial" w:hAnsi="Arial" w:cs="Arial"/>
          <w:sz w:val="24"/>
          <w:szCs w:val="24"/>
        </w:rPr>
        <w:t>breakdowns</w:t>
      </w:r>
      <w:r w:rsidR="005D551E" w:rsidRPr="00615566">
        <w:rPr>
          <w:rFonts w:ascii="Arial" w:hAnsi="Arial" w:cs="Arial"/>
          <w:sz w:val="24"/>
          <w:szCs w:val="24"/>
        </w:rPr>
        <w:t xml:space="preserve"> of these</w:t>
      </w:r>
      <w:r w:rsidR="001933E7" w:rsidRPr="00615566">
        <w:rPr>
          <w:rFonts w:ascii="Arial" w:hAnsi="Arial" w:cs="Arial"/>
          <w:sz w:val="24"/>
          <w:szCs w:val="24"/>
        </w:rPr>
        <w:t xml:space="preserve"> by important </w:t>
      </w:r>
      <w:r w:rsidR="00BE7E48" w:rsidRPr="00615566">
        <w:rPr>
          <w:rFonts w:ascii="Arial" w:hAnsi="Arial" w:cs="Arial"/>
          <w:sz w:val="24"/>
          <w:szCs w:val="24"/>
        </w:rPr>
        <w:t xml:space="preserve">sub-groups of </w:t>
      </w:r>
      <w:r w:rsidR="001933E7" w:rsidRPr="00615566">
        <w:rPr>
          <w:rFonts w:ascii="Arial" w:hAnsi="Arial" w:cs="Arial"/>
          <w:sz w:val="24"/>
          <w:szCs w:val="24"/>
        </w:rPr>
        <w:t>respondent</w:t>
      </w:r>
      <w:r w:rsidR="00BE7E48" w:rsidRPr="00615566">
        <w:rPr>
          <w:rFonts w:ascii="Arial" w:hAnsi="Arial" w:cs="Arial"/>
          <w:sz w:val="24"/>
          <w:szCs w:val="24"/>
        </w:rPr>
        <w:t>s</w:t>
      </w:r>
      <w:r w:rsidR="0049685F">
        <w:rPr>
          <w:rFonts w:ascii="Arial" w:hAnsi="Arial" w:cs="Arial"/>
          <w:sz w:val="24"/>
          <w:szCs w:val="24"/>
        </w:rPr>
        <w:t>. It is expected that regression analysis will be used to model the results for future application.</w:t>
      </w:r>
      <w:r w:rsidR="00F61551">
        <w:rPr>
          <w:rFonts w:ascii="Arial" w:hAnsi="Arial" w:cs="Arial"/>
          <w:sz w:val="24"/>
          <w:szCs w:val="24"/>
        </w:rPr>
        <w:t xml:space="preserve">  Shipper response estimates are made using econometric techniques that mix reveal preference and stated preference methods.</w:t>
      </w:r>
    </w:p>
    <w:p w14:paraId="24A5E7C5" w14:textId="77777777" w:rsidR="00F61551" w:rsidRPr="00615566" w:rsidRDefault="00F61551"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BB945C3" w14:textId="77777777" w:rsidR="00E452DF" w:rsidRPr="00E03433"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color w:val="00B050"/>
          <w:sz w:val="24"/>
          <w:szCs w:val="24"/>
        </w:rPr>
      </w:pPr>
      <w:r w:rsidRPr="00615566">
        <w:rPr>
          <w:rFonts w:ascii="Arial" w:hAnsi="Arial" w:cs="Arial"/>
          <w:b/>
          <w:sz w:val="24"/>
          <w:szCs w:val="24"/>
        </w:rPr>
        <w:t>17.</w:t>
      </w:r>
      <w:r w:rsidR="0049685F">
        <w:rPr>
          <w:rFonts w:ascii="Arial" w:hAnsi="Arial" w:cs="Arial"/>
          <w:b/>
          <w:sz w:val="24"/>
          <w:szCs w:val="24"/>
        </w:rPr>
        <w:t xml:space="preserve"> </w:t>
      </w:r>
      <w:r w:rsidRPr="00615566">
        <w:rPr>
          <w:rFonts w:ascii="Arial" w:hAnsi="Arial" w:cs="Arial"/>
          <w:b/>
          <w:sz w:val="24"/>
          <w:szCs w:val="24"/>
        </w:rPr>
        <w:tab/>
        <w:t>If seeking approval to not display the expiration date for OMB approval of the information collection, explain the reasons that display would be inappropriate.</w:t>
      </w:r>
    </w:p>
    <w:p w14:paraId="5DB61178" w14:textId="77777777" w:rsidR="00183C5A" w:rsidRPr="00615566" w:rsidRDefault="00183C5A"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CC91B4F" w14:textId="77777777" w:rsidR="00385B75" w:rsidRPr="00615566" w:rsidRDefault="00385B75" w:rsidP="00385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We will display </w:t>
      </w:r>
      <w:r w:rsidR="00C92D1B" w:rsidRPr="00615566">
        <w:rPr>
          <w:rFonts w:ascii="Arial" w:hAnsi="Arial" w:cs="Arial"/>
          <w:sz w:val="24"/>
          <w:szCs w:val="24"/>
        </w:rPr>
        <w:t xml:space="preserve">the OMB approval number and </w:t>
      </w:r>
      <w:r w:rsidRPr="00615566">
        <w:rPr>
          <w:rFonts w:ascii="Arial" w:hAnsi="Arial" w:cs="Arial"/>
          <w:sz w:val="24"/>
          <w:szCs w:val="24"/>
        </w:rPr>
        <w:t>expiration date on the information collection instruments.</w:t>
      </w:r>
    </w:p>
    <w:p w14:paraId="3A298310" w14:textId="77777777" w:rsidR="00385B75" w:rsidRPr="00615566" w:rsidRDefault="00385B75" w:rsidP="00385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14:paraId="6595BCB9" w14:textId="77777777" w:rsidR="00C840AA" w:rsidRPr="00E03433" w:rsidRDefault="00E452DF"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B050"/>
          <w:sz w:val="24"/>
          <w:szCs w:val="24"/>
        </w:rPr>
      </w:pPr>
      <w:r w:rsidRPr="00615566">
        <w:rPr>
          <w:rFonts w:ascii="Arial" w:hAnsi="Arial" w:cs="Arial"/>
          <w:b/>
          <w:sz w:val="24"/>
          <w:szCs w:val="24"/>
        </w:rPr>
        <w:t>18.</w:t>
      </w:r>
      <w:r w:rsidRPr="00615566">
        <w:rPr>
          <w:rFonts w:ascii="Arial" w:hAnsi="Arial" w:cs="Arial"/>
          <w:b/>
          <w:sz w:val="24"/>
          <w:szCs w:val="24"/>
        </w:rPr>
        <w:tab/>
      </w:r>
      <w:r w:rsidR="0049685F">
        <w:rPr>
          <w:rFonts w:ascii="Arial" w:hAnsi="Arial" w:cs="Arial"/>
          <w:b/>
          <w:sz w:val="24"/>
          <w:szCs w:val="24"/>
        </w:rPr>
        <w:tab/>
      </w:r>
      <w:r w:rsidRPr="00615566">
        <w:rPr>
          <w:rFonts w:ascii="Arial" w:hAnsi="Arial" w:cs="Arial"/>
          <w:b/>
          <w:sz w:val="24"/>
          <w:szCs w:val="24"/>
        </w:rPr>
        <w:t>Explain each exception to the topics of the certification statement identified in "Certification for Paperwork Reduction Act Submissions."</w:t>
      </w:r>
      <w:r w:rsidR="00E03433">
        <w:rPr>
          <w:rFonts w:ascii="Arial" w:hAnsi="Arial" w:cs="Arial"/>
          <w:b/>
          <w:sz w:val="24"/>
          <w:szCs w:val="24"/>
        </w:rPr>
        <w:t xml:space="preserve"> </w:t>
      </w:r>
    </w:p>
    <w:p w14:paraId="3C760316" w14:textId="77777777" w:rsidR="00C840AA" w:rsidRPr="00615566" w:rsidRDefault="00C840AA"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166142D4" w14:textId="77777777" w:rsidR="00C840AA" w:rsidRPr="00615566" w:rsidRDefault="00C840AA"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sz w:val="24"/>
          <w:szCs w:val="24"/>
        </w:rPr>
        <w:t>No administrative exemptions are required for this survey package.</w:t>
      </w:r>
    </w:p>
    <w:p w14:paraId="2C4D7EB5" w14:textId="77777777" w:rsidR="00F167C5" w:rsidRPr="003831B0" w:rsidRDefault="00F167C5"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402A85E" w14:textId="77777777" w:rsidR="00F91D6D" w:rsidRPr="003831B0" w:rsidRDefault="00F91D6D" w:rsidP="00C868A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sectPr w:rsidR="00F91D6D" w:rsidRPr="003831B0" w:rsidSect="00E17CFA">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92A2F" w14:textId="77777777" w:rsidR="00257DB3" w:rsidRDefault="00257DB3">
      <w:r>
        <w:separator/>
      </w:r>
    </w:p>
  </w:endnote>
  <w:endnote w:type="continuationSeparator" w:id="0">
    <w:p w14:paraId="4D2BA055" w14:textId="77777777" w:rsidR="00257DB3" w:rsidRDefault="0025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801 Rm BT">
    <w:altName w:val="Dutch 80 1 Roman"/>
    <w:panose1 w:val="00000000000000000000"/>
    <w:charset w:val="00"/>
    <w:family w:val="roma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A4F2C" w14:textId="77777777" w:rsidR="00110A33" w:rsidRDefault="00110A33" w:rsidP="00F83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EC359B" w14:textId="77777777" w:rsidR="00110A33" w:rsidRDefault="00110A33" w:rsidP="006F1A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6E50E" w14:textId="77777777" w:rsidR="00110A33" w:rsidRDefault="00110A33" w:rsidP="00F83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845">
      <w:rPr>
        <w:rStyle w:val="PageNumber"/>
        <w:noProof/>
      </w:rPr>
      <w:t>6</w:t>
    </w:r>
    <w:r>
      <w:rPr>
        <w:rStyle w:val="PageNumber"/>
      </w:rPr>
      <w:fldChar w:fldCharType="end"/>
    </w:r>
  </w:p>
  <w:p w14:paraId="533DF924" w14:textId="77777777" w:rsidR="00110A33" w:rsidRDefault="00110A33" w:rsidP="006F1A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1BEA8" w14:textId="77777777" w:rsidR="00257DB3" w:rsidRDefault="00257DB3">
      <w:r>
        <w:separator/>
      </w:r>
    </w:p>
  </w:footnote>
  <w:footnote w:type="continuationSeparator" w:id="0">
    <w:p w14:paraId="6C5A1C30" w14:textId="77777777" w:rsidR="00257DB3" w:rsidRDefault="00257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77"/>
        </w:tabs>
        <w:ind w:left="777" w:hanging="432"/>
      </w:pPr>
      <w:rPr>
        <w:rFonts w:ascii="Arial" w:hAnsi="Arial"/>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15:restartNumberingAfterBreak="0">
    <w:nsid w:val="053751B4"/>
    <w:multiLevelType w:val="hybridMultilevel"/>
    <w:tmpl w:val="80442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D4194"/>
    <w:multiLevelType w:val="hybridMultilevel"/>
    <w:tmpl w:val="0D76B8D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0B9C033A"/>
    <w:multiLevelType w:val="hybridMultilevel"/>
    <w:tmpl w:val="E92E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F3E16"/>
    <w:multiLevelType w:val="hybridMultilevel"/>
    <w:tmpl w:val="128873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2CB20B3"/>
    <w:multiLevelType w:val="hybridMultilevel"/>
    <w:tmpl w:val="74E4C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8F4BAE"/>
    <w:multiLevelType w:val="hybridMultilevel"/>
    <w:tmpl w:val="2E12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65397"/>
    <w:multiLevelType w:val="hybridMultilevel"/>
    <w:tmpl w:val="34A89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C8056E"/>
    <w:multiLevelType w:val="hybridMultilevel"/>
    <w:tmpl w:val="EBBA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B6B44"/>
    <w:multiLevelType w:val="hybridMultilevel"/>
    <w:tmpl w:val="D742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5086D"/>
    <w:multiLevelType w:val="hybridMultilevel"/>
    <w:tmpl w:val="9FD2B5C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CB55FC1"/>
    <w:multiLevelType w:val="hybridMultilevel"/>
    <w:tmpl w:val="5002EAD6"/>
    <w:lvl w:ilvl="0" w:tplc="FC1E9B90">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1F065F"/>
    <w:multiLevelType w:val="hybridMultilevel"/>
    <w:tmpl w:val="2D4AEB38"/>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71A31"/>
    <w:multiLevelType w:val="hybridMultilevel"/>
    <w:tmpl w:val="046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81ED3"/>
    <w:multiLevelType w:val="hybridMultilevel"/>
    <w:tmpl w:val="FC90DF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AD5C00"/>
    <w:multiLevelType w:val="hybridMultilevel"/>
    <w:tmpl w:val="45622D14"/>
    <w:lvl w:ilvl="0" w:tplc="FFB67E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AF4E63"/>
    <w:multiLevelType w:val="hybridMultilevel"/>
    <w:tmpl w:val="012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D2151"/>
    <w:multiLevelType w:val="hybridMultilevel"/>
    <w:tmpl w:val="A68CC3D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47D0411C"/>
    <w:multiLevelType w:val="hybridMultilevel"/>
    <w:tmpl w:val="FEB2BB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9B24BB"/>
    <w:multiLevelType w:val="hybridMultilevel"/>
    <w:tmpl w:val="C252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C1FA9"/>
    <w:multiLevelType w:val="hybridMultilevel"/>
    <w:tmpl w:val="A77E16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5926B0"/>
    <w:multiLevelType w:val="hybridMultilevel"/>
    <w:tmpl w:val="C7128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094655F"/>
    <w:multiLevelType w:val="multilevel"/>
    <w:tmpl w:val="34A89C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007640"/>
    <w:multiLevelType w:val="hybridMultilevel"/>
    <w:tmpl w:val="6B7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A68DB"/>
    <w:multiLevelType w:val="hybridMultilevel"/>
    <w:tmpl w:val="AD763BC2"/>
    <w:lvl w:ilvl="0" w:tplc="AA82A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BF2092"/>
    <w:multiLevelType w:val="hybridMultilevel"/>
    <w:tmpl w:val="6B589FCE"/>
    <w:lvl w:ilvl="0" w:tplc="FFFFFFFF">
      <w:start w:val="17"/>
      <w:numFmt w:val="decimal"/>
      <w:lvlText w:val="%1."/>
      <w:lvlJc w:val="left"/>
      <w:pPr>
        <w:tabs>
          <w:tab w:val="num" w:pos="1185"/>
        </w:tabs>
        <w:ind w:left="1185" w:hanging="46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27"/>
  </w:num>
  <w:num w:numId="4">
    <w:abstractNumId w:val="14"/>
  </w:num>
  <w:num w:numId="5">
    <w:abstractNumId w:val="13"/>
  </w:num>
  <w:num w:numId="6">
    <w:abstractNumId w:val="19"/>
  </w:num>
  <w:num w:numId="7">
    <w:abstractNumId w:val="17"/>
  </w:num>
  <w:num w:numId="8">
    <w:abstractNumId w:val="0"/>
    <w:lvlOverride w:ilvl="0">
      <w:startOverride w:val="157"/>
      <w:lvl w:ilvl="0">
        <w:start w:val="15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4"/>
  </w:num>
  <w:num w:numId="10">
    <w:abstractNumId w:val="25"/>
  </w:num>
  <w:num w:numId="11">
    <w:abstractNumId w:val="24"/>
  </w:num>
  <w:num w:numId="12">
    <w:abstractNumId w:val="20"/>
  </w:num>
  <w:num w:numId="13">
    <w:abstractNumId w:val="7"/>
  </w:num>
  <w:num w:numId="14">
    <w:abstractNumId w:val="21"/>
  </w:num>
  <w:num w:numId="15">
    <w:abstractNumId w:val="16"/>
  </w:num>
  <w:num w:numId="16">
    <w:abstractNumId w:val="23"/>
  </w:num>
  <w:num w:numId="17">
    <w:abstractNumId w:val="26"/>
  </w:num>
  <w:num w:numId="18">
    <w:abstractNumId w:val="3"/>
  </w:num>
  <w:num w:numId="19">
    <w:abstractNumId w:val="1"/>
  </w:num>
  <w:num w:numId="20">
    <w:abstractNumId w:val="11"/>
  </w:num>
  <w:num w:numId="21">
    <w:abstractNumId w:val="2"/>
  </w:num>
  <w:num w:numId="22">
    <w:abstractNumId w:val="6"/>
  </w:num>
  <w:num w:numId="23">
    <w:abstractNumId w:val="18"/>
  </w:num>
  <w:num w:numId="24">
    <w:abstractNumId w:val="8"/>
  </w:num>
  <w:num w:numId="25">
    <w:abstractNumId w:val="30"/>
  </w:num>
  <w:num w:numId="26">
    <w:abstractNumId w:val="28"/>
  </w:num>
  <w:num w:numId="27">
    <w:abstractNumId w:val="10"/>
  </w:num>
  <w:num w:numId="28">
    <w:abstractNumId w:val="5"/>
  </w:num>
  <w:num w:numId="29">
    <w:abstractNumId w:val="22"/>
  </w:num>
  <w:num w:numId="30">
    <w:abstractNumId w:val="1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activeWritingStyle w:appName="MSWord" w:lang="en-NZ"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44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D8"/>
    <w:rsid w:val="00000D34"/>
    <w:rsid w:val="00002F4B"/>
    <w:rsid w:val="00006532"/>
    <w:rsid w:val="00007591"/>
    <w:rsid w:val="000115F1"/>
    <w:rsid w:val="00012249"/>
    <w:rsid w:val="00012A59"/>
    <w:rsid w:val="00013E97"/>
    <w:rsid w:val="00015986"/>
    <w:rsid w:val="000167A5"/>
    <w:rsid w:val="00016ABB"/>
    <w:rsid w:val="00020E7A"/>
    <w:rsid w:val="00021DCD"/>
    <w:rsid w:val="000221A3"/>
    <w:rsid w:val="0002477E"/>
    <w:rsid w:val="00024933"/>
    <w:rsid w:val="00024ABA"/>
    <w:rsid w:val="00024CDA"/>
    <w:rsid w:val="00031A81"/>
    <w:rsid w:val="000336D7"/>
    <w:rsid w:val="00041880"/>
    <w:rsid w:val="0004197D"/>
    <w:rsid w:val="00043030"/>
    <w:rsid w:val="000441C7"/>
    <w:rsid w:val="0004441A"/>
    <w:rsid w:val="00044A62"/>
    <w:rsid w:val="00044F68"/>
    <w:rsid w:val="00053D6E"/>
    <w:rsid w:val="00053FFD"/>
    <w:rsid w:val="00054621"/>
    <w:rsid w:val="00054806"/>
    <w:rsid w:val="00057B8D"/>
    <w:rsid w:val="0006067A"/>
    <w:rsid w:val="00061B52"/>
    <w:rsid w:val="00064572"/>
    <w:rsid w:val="00064784"/>
    <w:rsid w:val="00065C02"/>
    <w:rsid w:val="00070E9C"/>
    <w:rsid w:val="000728BA"/>
    <w:rsid w:val="00073C3F"/>
    <w:rsid w:val="000768AB"/>
    <w:rsid w:val="0008270D"/>
    <w:rsid w:val="0009047E"/>
    <w:rsid w:val="00090920"/>
    <w:rsid w:val="00092302"/>
    <w:rsid w:val="0009269F"/>
    <w:rsid w:val="00092F14"/>
    <w:rsid w:val="00093421"/>
    <w:rsid w:val="000949C3"/>
    <w:rsid w:val="000A4382"/>
    <w:rsid w:val="000A5596"/>
    <w:rsid w:val="000B2815"/>
    <w:rsid w:val="000B32A2"/>
    <w:rsid w:val="000B3B0C"/>
    <w:rsid w:val="000B5B4F"/>
    <w:rsid w:val="000B5C3F"/>
    <w:rsid w:val="000C0825"/>
    <w:rsid w:val="000C4395"/>
    <w:rsid w:val="000D01B1"/>
    <w:rsid w:val="000D2C3B"/>
    <w:rsid w:val="000D79D0"/>
    <w:rsid w:val="000E1C6F"/>
    <w:rsid w:val="000E2FF9"/>
    <w:rsid w:val="000E45BC"/>
    <w:rsid w:val="000E4D95"/>
    <w:rsid w:val="000E7117"/>
    <w:rsid w:val="000F006E"/>
    <w:rsid w:val="000F5788"/>
    <w:rsid w:val="000F6084"/>
    <w:rsid w:val="000F6303"/>
    <w:rsid w:val="00103FEB"/>
    <w:rsid w:val="00103FEE"/>
    <w:rsid w:val="00104B48"/>
    <w:rsid w:val="001075C4"/>
    <w:rsid w:val="00107971"/>
    <w:rsid w:val="00110A33"/>
    <w:rsid w:val="00111A8E"/>
    <w:rsid w:val="00111EAA"/>
    <w:rsid w:val="00112F80"/>
    <w:rsid w:val="0011387C"/>
    <w:rsid w:val="001145C0"/>
    <w:rsid w:val="00115003"/>
    <w:rsid w:val="001162F0"/>
    <w:rsid w:val="00123361"/>
    <w:rsid w:val="001260F0"/>
    <w:rsid w:val="001278AE"/>
    <w:rsid w:val="00130FA8"/>
    <w:rsid w:val="001337E7"/>
    <w:rsid w:val="00135849"/>
    <w:rsid w:val="00142A6D"/>
    <w:rsid w:val="001439B3"/>
    <w:rsid w:val="00144036"/>
    <w:rsid w:val="00144F38"/>
    <w:rsid w:val="00145144"/>
    <w:rsid w:val="00150207"/>
    <w:rsid w:val="00150ED2"/>
    <w:rsid w:val="00150FCA"/>
    <w:rsid w:val="00152AF8"/>
    <w:rsid w:val="001536AF"/>
    <w:rsid w:val="00154932"/>
    <w:rsid w:val="001553E6"/>
    <w:rsid w:val="00155C2F"/>
    <w:rsid w:val="00155D55"/>
    <w:rsid w:val="00155FED"/>
    <w:rsid w:val="001604F8"/>
    <w:rsid w:val="001605AB"/>
    <w:rsid w:val="00160C15"/>
    <w:rsid w:val="00161972"/>
    <w:rsid w:val="00166475"/>
    <w:rsid w:val="00166DB3"/>
    <w:rsid w:val="00167BC8"/>
    <w:rsid w:val="00167D59"/>
    <w:rsid w:val="00170093"/>
    <w:rsid w:val="00170657"/>
    <w:rsid w:val="00170A37"/>
    <w:rsid w:val="0017440A"/>
    <w:rsid w:val="00175CB0"/>
    <w:rsid w:val="001807FF"/>
    <w:rsid w:val="00180B34"/>
    <w:rsid w:val="0018356A"/>
    <w:rsid w:val="00183C5A"/>
    <w:rsid w:val="00184D32"/>
    <w:rsid w:val="001920B4"/>
    <w:rsid w:val="00192A11"/>
    <w:rsid w:val="001933E7"/>
    <w:rsid w:val="001978FF"/>
    <w:rsid w:val="001A1B10"/>
    <w:rsid w:val="001A33F9"/>
    <w:rsid w:val="001A43C5"/>
    <w:rsid w:val="001A49C4"/>
    <w:rsid w:val="001A594E"/>
    <w:rsid w:val="001B0031"/>
    <w:rsid w:val="001C2607"/>
    <w:rsid w:val="001C5881"/>
    <w:rsid w:val="001C5C72"/>
    <w:rsid w:val="001D25F9"/>
    <w:rsid w:val="001D26E8"/>
    <w:rsid w:val="001D2B8D"/>
    <w:rsid w:val="001D2D12"/>
    <w:rsid w:val="001D5D84"/>
    <w:rsid w:val="001D718A"/>
    <w:rsid w:val="001E3B04"/>
    <w:rsid w:val="001E53DD"/>
    <w:rsid w:val="001F043E"/>
    <w:rsid w:val="001F046E"/>
    <w:rsid w:val="0020144A"/>
    <w:rsid w:val="00202DF1"/>
    <w:rsid w:val="002041D7"/>
    <w:rsid w:val="0020600A"/>
    <w:rsid w:val="002102D9"/>
    <w:rsid w:val="00217A00"/>
    <w:rsid w:val="0022384A"/>
    <w:rsid w:val="00226042"/>
    <w:rsid w:val="00227FAD"/>
    <w:rsid w:val="0023463E"/>
    <w:rsid w:val="00234DFC"/>
    <w:rsid w:val="002377DC"/>
    <w:rsid w:val="002402E2"/>
    <w:rsid w:val="002415B0"/>
    <w:rsid w:val="0024316D"/>
    <w:rsid w:val="00243458"/>
    <w:rsid w:val="00244D64"/>
    <w:rsid w:val="002451AB"/>
    <w:rsid w:val="00245463"/>
    <w:rsid w:val="00251A40"/>
    <w:rsid w:val="00253DE1"/>
    <w:rsid w:val="0025515B"/>
    <w:rsid w:val="00257DB3"/>
    <w:rsid w:val="0026199A"/>
    <w:rsid w:val="002671DD"/>
    <w:rsid w:val="00267A81"/>
    <w:rsid w:val="00273E91"/>
    <w:rsid w:val="00274B5F"/>
    <w:rsid w:val="00280F03"/>
    <w:rsid w:val="0028116C"/>
    <w:rsid w:val="002811F7"/>
    <w:rsid w:val="00281F05"/>
    <w:rsid w:val="002830AF"/>
    <w:rsid w:val="00283798"/>
    <w:rsid w:val="00284342"/>
    <w:rsid w:val="00284F39"/>
    <w:rsid w:val="002858EF"/>
    <w:rsid w:val="00286A95"/>
    <w:rsid w:val="00287B95"/>
    <w:rsid w:val="002921CC"/>
    <w:rsid w:val="00295923"/>
    <w:rsid w:val="00295FCD"/>
    <w:rsid w:val="0029600F"/>
    <w:rsid w:val="002A074D"/>
    <w:rsid w:val="002A08A5"/>
    <w:rsid w:val="002A33BE"/>
    <w:rsid w:val="002B498B"/>
    <w:rsid w:val="002B4CA9"/>
    <w:rsid w:val="002B53B4"/>
    <w:rsid w:val="002B5A98"/>
    <w:rsid w:val="002B67E5"/>
    <w:rsid w:val="002B6812"/>
    <w:rsid w:val="002C05DC"/>
    <w:rsid w:val="002C3C22"/>
    <w:rsid w:val="002C46B2"/>
    <w:rsid w:val="002C7B7B"/>
    <w:rsid w:val="002D1EC6"/>
    <w:rsid w:val="002D2171"/>
    <w:rsid w:val="002D2592"/>
    <w:rsid w:val="002D3F11"/>
    <w:rsid w:val="002D45C5"/>
    <w:rsid w:val="002D70FE"/>
    <w:rsid w:val="002E1025"/>
    <w:rsid w:val="002E37A3"/>
    <w:rsid w:val="002E477C"/>
    <w:rsid w:val="002E57D2"/>
    <w:rsid w:val="002F0D1E"/>
    <w:rsid w:val="002F14B3"/>
    <w:rsid w:val="002F181C"/>
    <w:rsid w:val="002F2A02"/>
    <w:rsid w:val="002F2E3B"/>
    <w:rsid w:val="002F4388"/>
    <w:rsid w:val="002F4D76"/>
    <w:rsid w:val="002F6586"/>
    <w:rsid w:val="002F6639"/>
    <w:rsid w:val="002F68C7"/>
    <w:rsid w:val="00302203"/>
    <w:rsid w:val="003022AC"/>
    <w:rsid w:val="00304F5A"/>
    <w:rsid w:val="00305469"/>
    <w:rsid w:val="00314C4C"/>
    <w:rsid w:val="003152A2"/>
    <w:rsid w:val="00317E38"/>
    <w:rsid w:val="00320A97"/>
    <w:rsid w:val="00320C08"/>
    <w:rsid w:val="00322263"/>
    <w:rsid w:val="00323A14"/>
    <w:rsid w:val="00324818"/>
    <w:rsid w:val="00324D4A"/>
    <w:rsid w:val="003258EA"/>
    <w:rsid w:val="00326CE2"/>
    <w:rsid w:val="003331C5"/>
    <w:rsid w:val="003335D2"/>
    <w:rsid w:val="00333CB5"/>
    <w:rsid w:val="00334D91"/>
    <w:rsid w:val="00337262"/>
    <w:rsid w:val="00341F85"/>
    <w:rsid w:val="00343A02"/>
    <w:rsid w:val="00346CB0"/>
    <w:rsid w:val="0034738F"/>
    <w:rsid w:val="00347AD6"/>
    <w:rsid w:val="00350C05"/>
    <w:rsid w:val="003515E6"/>
    <w:rsid w:val="0035198C"/>
    <w:rsid w:val="00351E9C"/>
    <w:rsid w:val="00353303"/>
    <w:rsid w:val="00357913"/>
    <w:rsid w:val="003606E9"/>
    <w:rsid w:val="00371E1D"/>
    <w:rsid w:val="0037313A"/>
    <w:rsid w:val="00374CB5"/>
    <w:rsid w:val="00376E03"/>
    <w:rsid w:val="0037766B"/>
    <w:rsid w:val="003831B0"/>
    <w:rsid w:val="00383988"/>
    <w:rsid w:val="0038402B"/>
    <w:rsid w:val="00385B75"/>
    <w:rsid w:val="003861ED"/>
    <w:rsid w:val="00386CD9"/>
    <w:rsid w:val="003949E4"/>
    <w:rsid w:val="00395538"/>
    <w:rsid w:val="00396063"/>
    <w:rsid w:val="003966B1"/>
    <w:rsid w:val="003968E8"/>
    <w:rsid w:val="003972D3"/>
    <w:rsid w:val="00397FF9"/>
    <w:rsid w:val="003A3854"/>
    <w:rsid w:val="003A5993"/>
    <w:rsid w:val="003A5BAF"/>
    <w:rsid w:val="003B3E3B"/>
    <w:rsid w:val="003B7A53"/>
    <w:rsid w:val="003C1E7C"/>
    <w:rsid w:val="003C297A"/>
    <w:rsid w:val="003C3B22"/>
    <w:rsid w:val="003C4F90"/>
    <w:rsid w:val="003C526E"/>
    <w:rsid w:val="003C62C4"/>
    <w:rsid w:val="003D054A"/>
    <w:rsid w:val="003D73D9"/>
    <w:rsid w:val="003E02B5"/>
    <w:rsid w:val="003E1299"/>
    <w:rsid w:val="003E1B9F"/>
    <w:rsid w:val="003E410D"/>
    <w:rsid w:val="003E4CB9"/>
    <w:rsid w:val="003F0F2D"/>
    <w:rsid w:val="003F5B48"/>
    <w:rsid w:val="00402B8D"/>
    <w:rsid w:val="004030E4"/>
    <w:rsid w:val="00403688"/>
    <w:rsid w:val="00404E2F"/>
    <w:rsid w:val="0040635D"/>
    <w:rsid w:val="004118BF"/>
    <w:rsid w:val="00412CED"/>
    <w:rsid w:val="00413D47"/>
    <w:rsid w:val="0041448D"/>
    <w:rsid w:val="00415119"/>
    <w:rsid w:val="00416FB1"/>
    <w:rsid w:val="00420C44"/>
    <w:rsid w:val="00421698"/>
    <w:rsid w:val="0042258A"/>
    <w:rsid w:val="00424EA4"/>
    <w:rsid w:val="00425B06"/>
    <w:rsid w:val="004345FD"/>
    <w:rsid w:val="00434BD1"/>
    <w:rsid w:val="004376D1"/>
    <w:rsid w:val="00441428"/>
    <w:rsid w:val="004434BE"/>
    <w:rsid w:val="0044440F"/>
    <w:rsid w:val="00445A32"/>
    <w:rsid w:val="004464C8"/>
    <w:rsid w:val="004541CC"/>
    <w:rsid w:val="004566ED"/>
    <w:rsid w:val="00461613"/>
    <w:rsid w:val="00461CAF"/>
    <w:rsid w:val="00461FC5"/>
    <w:rsid w:val="004621B4"/>
    <w:rsid w:val="00462291"/>
    <w:rsid w:val="00462EE8"/>
    <w:rsid w:val="00463366"/>
    <w:rsid w:val="004635A1"/>
    <w:rsid w:val="0046424F"/>
    <w:rsid w:val="004667A4"/>
    <w:rsid w:val="004672EA"/>
    <w:rsid w:val="004718CD"/>
    <w:rsid w:val="00473E20"/>
    <w:rsid w:val="00475616"/>
    <w:rsid w:val="004766EF"/>
    <w:rsid w:val="0048706C"/>
    <w:rsid w:val="00487511"/>
    <w:rsid w:val="00492527"/>
    <w:rsid w:val="00494B01"/>
    <w:rsid w:val="00495E20"/>
    <w:rsid w:val="0049685F"/>
    <w:rsid w:val="00497821"/>
    <w:rsid w:val="004A2992"/>
    <w:rsid w:val="004A3597"/>
    <w:rsid w:val="004A7701"/>
    <w:rsid w:val="004B1A3B"/>
    <w:rsid w:val="004B34C4"/>
    <w:rsid w:val="004B3ECD"/>
    <w:rsid w:val="004B5966"/>
    <w:rsid w:val="004C1A64"/>
    <w:rsid w:val="004C2D84"/>
    <w:rsid w:val="004C437D"/>
    <w:rsid w:val="004C58EA"/>
    <w:rsid w:val="004C73C4"/>
    <w:rsid w:val="004D02BC"/>
    <w:rsid w:val="004D2DC7"/>
    <w:rsid w:val="004D3020"/>
    <w:rsid w:val="004D4EE1"/>
    <w:rsid w:val="004D5879"/>
    <w:rsid w:val="004D6FFF"/>
    <w:rsid w:val="004D76F8"/>
    <w:rsid w:val="004D7AE7"/>
    <w:rsid w:val="004D7AE9"/>
    <w:rsid w:val="004D7B3B"/>
    <w:rsid w:val="004E0517"/>
    <w:rsid w:val="004E0745"/>
    <w:rsid w:val="004E5327"/>
    <w:rsid w:val="004E6E59"/>
    <w:rsid w:val="004F1338"/>
    <w:rsid w:val="004F7A68"/>
    <w:rsid w:val="005023EC"/>
    <w:rsid w:val="00503026"/>
    <w:rsid w:val="00503F96"/>
    <w:rsid w:val="00507822"/>
    <w:rsid w:val="0051153D"/>
    <w:rsid w:val="00513A9A"/>
    <w:rsid w:val="00514C8E"/>
    <w:rsid w:val="00514CD9"/>
    <w:rsid w:val="0051528B"/>
    <w:rsid w:val="00520873"/>
    <w:rsid w:val="00520FEA"/>
    <w:rsid w:val="005219DC"/>
    <w:rsid w:val="00522670"/>
    <w:rsid w:val="0052341F"/>
    <w:rsid w:val="005249D7"/>
    <w:rsid w:val="00524DB9"/>
    <w:rsid w:val="00524E2E"/>
    <w:rsid w:val="00524F5A"/>
    <w:rsid w:val="00530781"/>
    <w:rsid w:val="00530903"/>
    <w:rsid w:val="005317CD"/>
    <w:rsid w:val="00534F2B"/>
    <w:rsid w:val="00541BC4"/>
    <w:rsid w:val="005437D3"/>
    <w:rsid w:val="0054480D"/>
    <w:rsid w:val="005459C5"/>
    <w:rsid w:val="005500A1"/>
    <w:rsid w:val="00550D3A"/>
    <w:rsid w:val="0055120B"/>
    <w:rsid w:val="00551242"/>
    <w:rsid w:val="00552C6E"/>
    <w:rsid w:val="005541FB"/>
    <w:rsid w:val="0055475C"/>
    <w:rsid w:val="00556DDE"/>
    <w:rsid w:val="00563267"/>
    <w:rsid w:val="0056559E"/>
    <w:rsid w:val="005663E9"/>
    <w:rsid w:val="00566B36"/>
    <w:rsid w:val="00571791"/>
    <w:rsid w:val="00571904"/>
    <w:rsid w:val="0057273A"/>
    <w:rsid w:val="00573D1E"/>
    <w:rsid w:val="0057499A"/>
    <w:rsid w:val="00574AB1"/>
    <w:rsid w:val="0057594F"/>
    <w:rsid w:val="00580023"/>
    <w:rsid w:val="0058222D"/>
    <w:rsid w:val="005832B1"/>
    <w:rsid w:val="0058336C"/>
    <w:rsid w:val="00583FE8"/>
    <w:rsid w:val="00584349"/>
    <w:rsid w:val="0058524C"/>
    <w:rsid w:val="005859D4"/>
    <w:rsid w:val="00585EE7"/>
    <w:rsid w:val="00585FD8"/>
    <w:rsid w:val="005879EE"/>
    <w:rsid w:val="00591063"/>
    <w:rsid w:val="0059122E"/>
    <w:rsid w:val="005931AA"/>
    <w:rsid w:val="005935AD"/>
    <w:rsid w:val="00594B82"/>
    <w:rsid w:val="005951A8"/>
    <w:rsid w:val="00595577"/>
    <w:rsid w:val="005A4F29"/>
    <w:rsid w:val="005A5295"/>
    <w:rsid w:val="005A6694"/>
    <w:rsid w:val="005B1D12"/>
    <w:rsid w:val="005B253F"/>
    <w:rsid w:val="005B4403"/>
    <w:rsid w:val="005B55E7"/>
    <w:rsid w:val="005B60CF"/>
    <w:rsid w:val="005C7F1D"/>
    <w:rsid w:val="005D0EB7"/>
    <w:rsid w:val="005D28D8"/>
    <w:rsid w:val="005D4B7C"/>
    <w:rsid w:val="005D551E"/>
    <w:rsid w:val="005D5A33"/>
    <w:rsid w:val="005D649D"/>
    <w:rsid w:val="005E0B66"/>
    <w:rsid w:val="005E212E"/>
    <w:rsid w:val="005E241A"/>
    <w:rsid w:val="005E5DF0"/>
    <w:rsid w:val="005F3ED7"/>
    <w:rsid w:val="005F4525"/>
    <w:rsid w:val="005F6DD5"/>
    <w:rsid w:val="00600575"/>
    <w:rsid w:val="00600D93"/>
    <w:rsid w:val="006012BD"/>
    <w:rsid w:val="0060519C"/>
    <w:rsid w:val="006051D3"/>
    <w:rsid w:val="00605B1E"/>
    <w:rsid w:val="00606469"/>
    <w:rsid w:val="00610D69"/>
    <w:rsid w:val="00611588"/>
    <w:rsid w:val="00611966"/>
    <w:rsid w:val="00611B77"/>
    <w:rsid w:val="00613131"/>
    <w:rsid w:val="006132C0"/>
    <w:rsid w:val="00613348"/>
    <w:rsid w:val="006137F5"/>
    <w:rsid w:val="00615566"/>
    <w:rsid w:val="00623D72"/>
    <w:rsid w:val="00624127"/>
    <w:rsid w:val="00624D81"/>
    <w:rsid w:val="0062641D"/>
    <w:rsid w:val="006273D8"/>
    <w:rsid w:val="00627E58"/>
    <w:rsid w:val="00631621"/>
    <w:rsid w:val="00632412"/>
    <w:rsid w:val="0063329B"/>
    <w:rsid w:val="006336C2"/>
    <w:rsid w:val="006362A7"/>
    <w:rsid w:val="00637695"/>
    <w:rsid w:val="006438E9"/>
    <w:rsid w:val="006459B0"/>
    <w:rsid w:val="00645E6F"/>
    <w:rsid w:val="006478FA"/>
    <w:rsid w:val="00653A74"/>
    <w:rsid w:val="006541BA"/>
    <w:rsid w:val="00655CE0"/>
    <w:rsid w:val="00655D2C"/>
    <w:rsid w:val="00655DED"/>
    <w:rsid w:val="00661218"/>
    <w:rsid w:val="00661F71"/>
    <w:rsid w:val="0066364B"/>
    <w:rsid w:val="00664B7E"/>
    <w:rsid w:val="00666770"/>
    <w:rsid w:val="00670427"/>
    <w:rsid w:val="00671151"/>
    <w:rsid w:val="00674871"/>
    <w:rsid w:val="006749EE"/>
    <w:rsid w:val="00675B56"/>
    <w:rsid w:val="006841C8"/>
    <w:rsid w:val="00684CEB"/>
    <w:rsid w:val="00686B7A"/>
    <w:rsid w:val="00687D89"/>
    <w:rsid w:val="00694924"/>
    <w:rsid w:val="006957B4"/>
    <w:rsid w:val="00696621"/>
    <w:rsid w:val="006977E8"/>
    <w:rsid w:val="006A013D"/>
    <w:rsid w:val="006A360E"/>
    <w:rsid w:val="006A5602"/>
    <w:rsid w:val="006A6230"/>
    <w:rsid w:val="006A7A7D"/>
    <w:rsid w:val="006A7EE0"/>
    <w:rsid w:val="006B20B9"/>
    <w:rsid w:val="006C0B4D"/>
    <w:rsid w:val="006C403C"/>
    <w:rsid w:val="006C5D68"/>
    <w:rsid w:val="006D2E8B"/>
    <w:rsid w:val="006D3C41"/>
    <w:rsid w:val="006D47E0"/>
    <w:rsid w:val="006D47F2"/>
    <w:rsid w:val="006D6CD8"/>
    <w:rsid w:val="006D79A4"/>
    <w:rsid w:val="006D79D3"/>
    <w:rsid w:val="006E0F00"/>
    <w:rsid w:val="006E1360"/>
    <w:rsid w:val="006E168E"/>
    <w:rsid w:val="006E1E66"/>
    <w:rsid w:val="006E4145"/>
    <w:rsid w:val="006E762A"/>
    <w:rsid w:val="006F07E0"/>
    <w:rsid w:val="006F1527"/>
    <w:rsid w:val="006F1656"/>
    <w:rsid w:val="006F1A90"/>
    <w:rsid w:val="006F417A"/>
    <w:rsid w:val="006F5F3B"/>
    <w:rsid w:val="006F7556"/>
    <w:rsid w:val="00701A47"/>
    <w:rsid w:val="00704697"/>
    <w:rsid w:val="00704CEF"/>
    <w:rsid w:val="00705A82"/>
    <w:rsid w:val="00706DC8"/>
    <w:rsid w:val="007109B1"/>
    <w:rsid w:val="00713850"/>
    <w:rsid w:val="00717553"/>
    <w:rsid w:val="007210D5"/>
    <w:rsid w:val="00721100"/>
    <w:rsid w:val="0072181C"/>
    <w:rsid w:val="00721D29"/>
    <w:rsid w:val="00722642"/>
    <w:rsid w:val="0072264C"/>
    <w:rsid w:val="00722BCE"/>
    <w:rsid w:val="007248EA"/>
    <w:rsid w:val="00730722"/>
    <w:rsid w:val="00730BB7"/>
    <w:rsid w:val="00732B3D"/>
    <w:rsid w:val="007333E7"/>
    <w:rsid w:val="007364F2"/>
    <w:rsid w:val="00736BBE"/>
    <w:rsid w:val="00736D05"/>
    <w:rsid w:val="007420AF"/>
    <w:rsid w:val="00742598"/>
    <w:rsid w:val="00747845"/>
    <w:rsid w:val="00747BD8"/>
    <w:rsid w:val="00750D00"/>
    <w:rsid w:val="0075250B"/>
    <w:rsid w:val="00753E0C"/>
    <w:rsid w:val="00755B39"/>
    <w:rsid w:val="007564B9"/>
    <w:rsid w:val="00762B87"/>
    <w:rsid w:val="00763AA4"/>
    <w:rsid w:val="00764D10"/>
    <w:rsid w:val="00770118"/>
    <w:rsid w:val="007752DB"/>
    <w:rsid w:val="00775FCF"/>
    <w:rsid w:val="00776158"/>
    <w:rsid w:val="00776164"/>
    <w:rsid w:val="00776214"/>
    <w:rsid w:val="00781FA7"/>
    <w:rsid w:val="0078595A"/>
    <w:rsid w:val="007904E8"/>
    <w:rsid w:val="007964B4"/>
    <w:rsid w:val="00797918"/>
    <w:rsid w:val="007A0DE1"/>
    <w:rsid w:val="007A3265"/>
    <w:rsid w:val="007A505C"/>
    <w:rsid w:val="007A590E"/>
    <w:rsid w:val="007A643B"/>
    <w:rsid w:val="007B15B4"/>
    <w:rsid w:val="007B16A1"/>
    <w:rsid w:val="007B1F69"/>
    <w:rsid w:val="007B5130"/>
    <w:rsid w:val="007B5593"/>
    <w:rsid w:val="007B7048"/>
    <w:rsid w:val="007C0146"/>
    <w:rsid w:val="007C3D4F"/>
    <w:rsid w:val="007D0400"/>
    <w:rsid w:val="007D0F1F"/>
    <w:rsid w:val="007D2E54"/>
    <w:rsid w:val="007D61D1"/>
    <w:rsid w:val="007D7A51"/>
    <w:rsid w:val="007E062A"/>
    <w:rsid w:val="007E154C"/>
    <w:rsid w:val="007E1F0F"/>
    <w:rsid w:val="007E3E1D"/>
    <w:rsid w:val="007E66BA"/>
    <w:rsid w:val="007E782B"/>
    <w:rsid w:val="007F58DA"/>
    <w:rsid w:val="00802461"/>
    <w:rsid w:val="0080563E"/>
    <w:rsid w:val="0080620B"/>
    <w:rsid w:val="0080693E"/>
    <w:rsid w:val="00806EEF"/>
    <w:rsid w:val="00811852"/>
    <w:rsid w:val="008135D0"/>
    <w:rsid w:val="00813D85"/>
    <w:rsid w:val="00814712"/>
    <w:rsid w:val="0081488C"/>
    <w:rsid w:val="0081503A"/>
    <w:rsid w:val="0081573F"/>
    <w:rsid w:val="00815DA3"/>
    <w:rsid w:val="00821D90"/>
    <w:rsid w:val="00824C9B"/>
    <w:rsid w:val="0082572F"/>
    <w:rsid w:val="00825A79"/>
    <w:rsid w:val="00826668"/>
    <w:rsid w:val="00826FE0"/>
    <w:rsid w:val="00830462"/>
    <w:rsid w:val="00832581"/>
    <w:rsid w:val="008352D2"/>
    <w:rsid w:val="008442C5"/>
    <w:rsid w:val="0084437F"/>
    <w:rsid w:val="008466E2"/>
    <w:rsid w:val="008472A4"/>
    <w:rsid w:val="008624B7"/>
    <w:rsid w:val="00865992"/>
    <w:rsid w:val="008662F9"/>
    <w:rsid w:val="00867F3E"/>
    <w:rsid w:val="00873F36"/>
    <w:rsid w:val="008752C0"/>
    <w:rsid w:val="008762CB"/>
    <w:rsid w:val="008800E6"/>
    <w:rsid w:val="00886158"/>
    <w:rsid w:val="00886FD6"/>
    <w:rsid w:val="008915E9"/>
    <w:rsid w:val="0089254D"/>
    <w:rsid w:val="00896EB2"/>
    <w:rsid w:val="0089776E"/>
    <w:rsid w:val="008A007C"/>
    <w:rsid w:val="008A2B5C"/>
    <w:rsid w:val="008A5C7F"/>
    <w:rsid w:val="008B157A"/>
    <w:rsid w:val="008B594D"/>
    <w:rsid w:val="008B64EF"/>
    <w:rsid w:val="008C00EB"/>
    <w:rsid w:val="008C2615"/>
    <w:rsid w:val="008C726A"/>
    <w:rsid w:val="008C7AC5"/>
    <w:rsid w:val="008D2D64"/>
    <w:rsid w:val="008D3055"/>
    <w:rsid w:val="008D47BC"/>
    <w:rsid w:val="008D57CC"/>
    <w:rsid w:val="008E2D8E"/>
    <w:rsid w:val="008E57EC"/>
    <w:rsid w:val="008F07BF"/>
    <w:rsid w:val="008F1A03"/>
    <w:rsid w:val="008F36D4"/>
    <w:rsid w:val="008F49DA"/>
    <w:rsid w:val="009000C3"/>
    <w:rsid w:val="00900B7A"/>
    <w:rsid w:val="00904EF2"/>
    <w:rsid w:val="0090567E"/>
    <w:rsid w:val="00910342"/>
    <w:rsid w:val="00910580"/>
    <w:rsid w:val="00914E1D"/>
    <w:rsid w:val="009212F4"/>
    <w:rsid w:val="00927A76"/>
    <w:rsid w:val="00927BAE"/>
    <w:rsid w:val="00930042"/>
    <w:rsid w:val="009367B8"/>
    <w:rsid w:val="00937453"/>
    <w:rsid w:val="0094021A"/>
    <w:rsid w:val="00940DFD"/>
    <w:rsid w:val="009451C3"/>
    <w:rsid w:val="009466D1"/>
    <w:rsid w:val="00947050"/>
    <w:rsid w:val="00950B10"/>
    <w:rsid w:val="00954767"/>
    <w:rsid w:val="009575A5"/>
    <w:rsid w:val="00960B3E"/>
    <w:rsid w:val="00961150"/>
    <w:rsid w:val="00962BC4"/>
    <w:rsid w:val="009645E8"/>
    <w:rsid w:val="009712EE"/>
    <w:rsid w:val="009778D6"/>
    <w:rsid w:val="00980875"/>
    <w:rsid w:val="00984AC0"/>
    <w:rsid w:val="00987C38"/>
    <w:rsid w:val="00987E55"/>
    <w:rsid w:val="0099009A"/>
    <w:rsid w:val="009907CA"/>
    <w:rsid w:val="009922D7"/>
    <w:rsid w:val="009928AD"/>
    <w:rsid w:val="00992DC5"/>
    <w:rsid w:val="0099356D"/>
    <w:rsid w:val="00993629"/>
    <w:rsid w:val="009945E2"/>
    <w:rsid w:val="00997DF8"/>
    <w:rsid w:val="009A397D"/>
    <w:rsid w:val="009A4076"/>
    <w:rsid w:val="009B1F0C"/>
    <w:rsid w:val="009B2746"/>
    <w:rsid w:val="009B367F"/>
    <w:rsid w:val="009B50C6"/>
    <w:rsid w:val="009B5F26"/>
    <w:rsid w:val="009C1625"/>
    <w:rsid w:val="009C2205"/>
    <w:rsid w:val="009C2E40"/>
    <w:rsid w:val="009C36B3"/>
    <w:rsid w:val="009C4609"/>
    <w:rsid w:val="009C4932"/>
    <w:rsid w:val="009C51E4"/>
    <w:rsid w:val="009C6C0B"/>
    <w:rsid w:val="009C6F1E"/>
    <w:rsid w:val="009D711D"/>
    <w:rsid w:val="009E040B"/>
    <w:rsid w:val="009E0950"/>
    <w:rsid w:val="009E2C92"/>
    <w:rsid w:val="009E3E54"/>
    <w:rsid w:val="009E5958"/>
    <w:rsid w:val="009F0094"/>
    <w:rsid w:val="009F4D20"/>
    <w:rsid w:val="00A0133A"/>
    <w:rsid w:val="00A02399"/>
    <w:rsid w:val="00A0261E"/>
    <w:rsid w:val="00A04FDB"/>
    <w:rsid w:val="00A06608"/>
    <w:rsid w:val="00A260A5"/>
    <w:rsid w:val="00A32501"/>
    <w:rsid w:val="00A36F1E"/>
    <w:rsid w:val="00A37FCC"/>
    <w:rsid w:val="00A40E78"/>
    <w:rsid w:val="00A41F6B"/>
    <w:rsid w:val="00A45290"/>
    <w:rsid w:val="00A46B5A"/>
    <w:rsid w:val="00A473E7"/>
    <w:rsid w:val="00A5039F"/>
    <w:rsid w:val="00A5060F"/>
    <w:rsid w:val="00A50E24"/>
    <w:rsid w:val="00A50F25"/>
    <w:rsid w:val="00A5171E"/>
    <w:rsid w:val="00A537A0"/>
    <w:rsid w:val="00A54B5B"/>
    <w:rsid w:val="00A56A97"/>
    <w:rsid w:val="00A57439"/>
    <w:rsid w:val="00A60CB7"/>
    <w:rsid w:val="00A62A5D"/>
    <w:rsid w:val="00A65054"/>
    <w:rsid w:val="00A665C0"/>
    <w:rsid w:val="00A67886"/>
    <w:rsid w:val="00A71171"/>
    <w:rsid w:val="00A7388B"/>
    <w:rsid w:val="00A74E2E"/>
    <w:rsid w:val="00A764DD"/>
    <w:rsid w:val="00A767CA"/>
    <w:rsid w:val="00A768F4"/>
    <w:rsid w:val="00A81D88"/>
    <w:rsid w:val="00A83E72"/>
    <w:rsid w:val="00A848AC"/>
    <w:rsid w:val="00A85DDC"/>
    <w:rsid w:val="00A903F3"/>
    <w:rsid w:val="00A92536"/>
    <w:rsid w:val="00A926DE"/>
    <w:rsid w:val="00A93728"/>
    <w:rsid w:val="00A93B41"/>
    <w:rsid w:val="00A94686"/>
    <w:rsid w:val="00A96EAC"/>
    <w:rsid w:val="00AA049F"/>
    <w:rsid w:val="00AA2BE2"/>
    <w:rsid w:val="00AB61E3"/>
    <w:rsid w:val="00AB7559"/>
    <w:rsid w:val="00AC0412"/>
    <w:rsid w:val="00AC121F"/>
    <w:rsid w:val="00AC40EB"/>
    <w:rsid w:val="00AC51BD"/>
    <w:rsid w:val="00AD0C61"/>
    <w:rsid w:val="00AD126F"/>
    <w:rsid w:val="00AD1CCB"/>
    <w:rsid w:val="00AD5E81"/>
    <w:rsid w:val="00AD77B8"/>
    <w:rsid w:val="00AE6466"/>
    <w:rsid w:val="00AE6BD0"/>
    <w:rsid w:val="00AF3BE6"/>
    <w:rsid w:val="00B03F08"/>
    <w:rsid w:val="00B04E6C"/>
    <w:rsid w:val="00B05F93"/>
    <w:rsid w:val="00B10F3D"/>
    <w:rsid w:val="00B11986"/>
    <w:rsid w:val="00B11A17"/>
    <w:rsid w:val="00B2204A"/>
    <w:rsid w:val="00B22A0B"/>
    <w:rsid w:val="00B2662E"/>
    <w:rsid w:val="00B308E9"/>
    <w:rsid w:val="00B348E6"/>
    <w:rsid w:val="00B34F90"/>
    <w:rsid w:val="00B36D6F"/>
    <w:rsid w:val="00B37C9D"/>
    <w:rsid w:val="00B406F0"/>
    <w:rsid w:val="00B417D3"/>
    <w:rsid w:val="00B43E1C"/>
    <w:rsid w:val="00B504AE"/>
    <w:rsid w:val="00B50FA0"/>
    <w:rsid w:val="00B5148A"/>
    <w:rsid w:val="00B520AD"/>
    <w:rsid w:val="00B528A9"/>
    <w:rsid w:val="00B552B0"/>
    <w:rsid w:val="00B56575"/>
    <w:rsid w:val="00B57CE2"/>
    <w:rsid w:val="00B611AA"/>
    <w:rsid w:val="00B61311"/>
    <w:rsid w:val="00B628D6"/>
    <w:rsid w:val="00B65393"/>
    <w:rsid w:val="00B67D3C"/>
    <w:rsid w:val="00B71C54"/>
    <w:rsid w:val="00B720FE"/>
    <w:rsid w:val="00B74EEB"/>
    <w:rsid w:val="00B75D4D"/>
    <w:rsid w:val="00B8106F"/>
    <w:rsid w:val="00B85153"/>
    <w:rsid w:val="00B90ABF"/>
    <w:rsid w:val="00B92438"/>
    <w:rsid w:val="00B92EF0"/>
    <w:rsid w:val="00B93BDA"/>
    <w:rsid w:val="00B93C63"/>
    <w:rsid w:val="00B95193"/>
    <w:rsid w:val="00BA1C6B"/>
    <w:rsid w:val="00BA3B68"/>
    <w:rsid w:val="00BA3CB0"/>
    <w:rsid w:val="00BA54EB"/>
    <w:rsid w:val="00BB6D61"/>
    <w:rsid w:val="00BB7492"/>
    <w:rsid w:val="00BC5787"/>
    <w:rsid w:val="00BD0E64"/>
    <w:rsid w:val="00BD2BC9"/>
    <w:rsid w:val="00BD4FEA"/>
    <w:rsid w:val="00BD56AE"/>
    <w:rsid w:val="00BD676B"/>
    <w:rsid w:val="00BE07C2"/>
    <w:rsid w:val="00BE1BB0"/>
    <w:rsid w:val="00BE2127"/>
    <w:rsid w:val="00BE4B8E"/>
    <w:rsid w:val="00BE6647"/>
    <w:rsid w:val="00BE7601"/>
    <w:rsid w:val="00BE7E48"/>
    <w:rsid w:val="00BE7EC4"/>
    <w:rsid w:val="00BF00DE"/>
    <w:rsid w:val="00BF30A8"/>
    <w:rsid w:val="00BF4ED8"/>
    <w:rsid w:val="00C06655"/>
    <w:rsid w:val="00C068CF"/>
    <w:rsid w:val="00C06E9A"/>
    <w:rsid w:val="00C10FAF"/>
    <w:rsid w:val="00C14538"/>
    <w:rsid w:val="00C15060"/>
    <w:rsid w:val="00C26198"/>
    <w:rsid w:val="00C27542"/>
    <w:rsid w:val="00C27B06"/>
    <w:rsid w:val="00C30C26"/>
    <w:rsid w:val="00C33779"/>
    <w:rsid w:val="00C34FB7"/>
    <w:rsid w:val="00C3560E"/>
    <w:rsid w:val="00C37505"/>
    <w:rsid w:val="00C409AD"/>
    <w:rsid w:val="00C41454"/>
    <w:rsid w:val="00C450E3"/>
    <w:rsid w:val="00C47818"/>
    <w:rsid w:val="00C47EF1"/>
    <w:rsid w:val="00C51B40"/>
    <w:rsid w:val="00C5383A"/>
    <w:rsid w:val="00C5490C"/>
    <w:rsid w:val="00C55731"/>
    <w:rsid w:val="00C6246D"/>
    <w:rsid w:val="00C63F29"/>
    <w:rsid w:val="00C64826"/>
    <w:rsid w:val="00C65613"/>
    <w:rsid w:val="00C6689F"/>
    <w:rsid w:val="00C7078E"/>
    <w:rsid w:val="00C713DD"/>
    <w:rsid w:val="00C728D7"/>
    <w:rsid w:val="00C752D3"/>
    <w:rsid w:val="00C83205"/>
    <w:rsid w:val="00C840AA"/>
    <w:rsid w:val="00C842F2"/>
    <w:rsid w:val="00C85A0C"/>
    <w:rsid w:val="00C8671C"/>
    <w:rsid w:val="00C868A0"/>
    <w:rsid w:val="00C8770D"/>
    <w:rsid w:val="00C90FE8"/>
    <w:rsid w:val="00C91E4B"/>
    <w:rsid w:val="00C91EB7"/>
    <w:rsid w:val="00C92D1B"/>
    <w:rsid w:val="00C95223"/>
    <w:rsid w:val="00C96F89"/>
    <w:rsid w:val="00C97326"/>
    <w:rsid w:val="00CA5A0C"/>
    <w:rsid w:val="00CA7332"/>
    <w:rsid w:val="00CA76F3"/>
    <w:rsid w:val="00CA77EC"/>
    <w:rsid w:val="00CB3088"/>
    <w:rsid w:val="00CC721E"/>
    <w:rsid w:val="00CD0FBC"/>
    <w:rsid w:val="00CD1438"/>
    <w:rsid w:val="00CD145B"/>
    <w:rsid w:val="00CD3C0D"/>
    <w:rsid w:val="00CD42EE"/>
    <w:rsid w:val="00CD4AF2"/>
    <w:rsid w:val="00CD5D79"/>
    <w:rsid w:val="00CE12E7"/>
    <w:rsid w:val="00CE70E1"/>
    <w:rsid w:val="00CF131F"/>
    <w:rsid w:val="00CF5787"/>
    <w:rsid w:val="00D01042"/>
    <w:rsid w:val="00D022BD"/>
    <w:rsid w:val="00D03492"/>
    <w:rsid w:val="00D038B7"/>
    <w:rsid w:val="00D04993"/>
    <w:rsid w:val="00D05205"/>
    <w:rsid w:val="00D0568C"/>
    <w:rsid w:val="00D0681A"/>
    <w:rsid w:val="00D06BCA"/>
    <w:rsid w:val="00D07E27"/>
    <w:rsid w:val="00D10405"/>
    <w:rsid w:val="00D114B4"/>
    <w:rsid w:val="00D120FD"/>
    <w:rsid w:val="00D124B1"/>
    <w:rsid w:val="00D219DE"/>
    <w:rsid w:val="00D22D74"/>
    <w:rsid w:val="00D22E08"/>
    <w:rsid w:val="00D23AED"/>
    <w:rsid w:val="00D23B6C"/>
    <w:rsid w:val="00D244F8"/>
    <w:rsid w:val="00D26387"/>
    <w:rsid w:val="00D31A5B"/>
    <w:rsid w:val="00D33717"/>
    <w:rsid w:val="00D364BD"/>
    <w:rsid w:val="00D36B46"/>
    <w:rsid w:val="00D4165C"/>
    <w:rsid w:val="00D438C7"/>
    <w:rsid w:val="00D50D67"/>
    <w:rsid w:val="00D55DC3"/>
    <w:rsid w:val="00D57548"/>
    <w:rsid w:val="00D6111A"/>
    <w:rsid w:val="00D613D4"/>
    <w:rsid w:val="00D62630"/>
    <w:rsid w:val="00D644C3"/>
    <w:rsid w:val="00D7066D"/>
    <w:rsid w:val="00D71D06"/>
    <w:rsid w:val="00D71F6C"/>
    <w:rsid w:val="00D7218A"/>
    <w:rsid w:val="00D72473"/>
    <w:rsid w:val="00D724A0"/>
    <w:rsid w:val="00D7686A"/>
    <w:rsid w:val="00D81EAE"/>
    <w:rsid w:val="00D852F4"/>
    <w:rsid w:val="00D857B5"/>
    <w:rsid w:val="00D864E2"/>
    <w:rsid w:val="00D872F5"/>
    <w:rsid w:val="00D9354B"/>
    <w:rsid w:val="00D93C76"/>
    <w:rsid w:val="00DA06DC"/>
    <w:rsid w:val="00DA2093"/>
    <w:rsid w:val="00DA2750"/>
    <w:rsid w:val="00DA27C3"/>
    <w:rsid w:val="00DA3C89"/>
    <w:rsid w:val="00DA581E"/>
    <w:rsid w:val="00DA6D4A"/>
    <w:rsid w:val="00DB01C5"/>
    <w:rsid w:val="00DB3B6F"/>
    <w:rsid w:val="00DB4034"/>
    <w:rsid w:val="00DB42C7"/>
    <w:rsid w:val="00DB4B3F"/>
    <w:rsid w:val="00DB57E4"/>
    <w:rsid w:val="00DB73AA"/>
    <w:rsid w:val="00DC159A"/>
    <w:rsid w:val="00DC5CA1"/>
    <w:rsid w:val="00DC6FC5"/>
    <w:rsid w:val="00DD0BFB"/>
    <w:rsid w:val="00DD430A"/>
    <w:rsid w:val="00DE10D9"/>
    <w:rsid w:val="00DE20B8"/>
    <w:rsid w:val="00DE35FF"/>
    <w:rsid w:val="00DE3732"/>
    <w:rsid w:val="00DE7E60"/>
    <w:rsid w:val="00DF19D7"/>
    <w:rsid w:val="00DF2CD2"/>
    <w:rsid w:val="00DF40D1"/>
    <w:rsid w:val="00DF44C4"/>
    <w:rsid w:val="00DF53B1"/>
    <w:rsid w:val="00DF62FF"/>
    <w:rsid w:val="00DF6C71"/>
    <w:rsid w:val="00E0008D"/>
    <w:rsid w:val="00E02253"/>
    <w:rsid w:val="00E03433"/>
    <w:rsid w:val="00E05D1C"/>
    <w:rsid w:val="00E07804"/>
    <w:rsid w:val="00E13146"/>
    <w:rsid w:val="00E15390"/>
    <w:rsid w:val="00E15F5F"/>
    <w:rsid w:val="00E16B73"/>
    <w:rsid w:val="00E17CFA"/>
    <w:rsid w:val="00E21943"/>
    <w:rsid w:val="00E2437C"/>
    <w:rsid w:val="00E255C3"/>
    <w:rsid w:val="00E26798"/>
    <w:rsid w:val="00E2776F"/>
    <w:rsid w:val="00E31F3E"/>
    <w:rsid w:val="00E36C02"/>
    <w:rsid w:val="00E37B19"/>
    <w:rsid w:val="00E407B7"/>
    <w:rsid w:val="00E40FB3"/>
    <w:rsid w:val="00E4190D"/>
    <w:rsid w:val="00E452DF"/>
    <w:rsid w:val="00E46815"/>
    <w:rsid w:val="00E51416"/>
    <w:rsid w:val="00E520F5"/>
    <w:rsid w:val="00E5417D"/>
    <w:rsid w:val="00E57635"/>
    <w:rsid w:val="00E64CDA"/>
    <w:rsid w:val="00E6621A"/>
    <w:rsid w:val="00E67334"/>
    <w:rsid w:val="00E70E19"/>
    <w:rsid w:val="00E7453D"/>
    <w:rsid w:val="00E745A9"/>
    <w:rsid w:val="00E7706B"/>
    <w:rsid w:val="00E80371"/>
    <w:rsid w:val="00E8048D"/>
    <w:rsid w:val="00E80D25"/>
    <w:rsid w:val="00E81B1F"/>
    <w:rsid w:val="00E81B32"/>
    <w:rsid w:val="00E8549B"/>
    <w:rsid w:val="00E85676"/>
    <w:rsid w:val="00E934B9"/>
    <w:rsid w:val="00E974C0"/>
    <w:rsid w:val="00E97A87"/>
    <w:rsid w:val="00EA18B4"/>
    <w:rsid w:val="00EA2866"/>
    <w:rsid w:val="00EA2943"/>
    <w:rsid w:val="00EA53C5"/>
    <w:rsid w:val="00EB07CF"/>
    <w:rsid w:val="00EB1539"/>
    <w:rsid w:val="00EB1FBE"/>
    <w:rsid w:val="00EB2120"/>
    <w:rsid w:val="00EB67CD"/>
    <w:rsid w:val="00EC0301"/>
    <w:rsid w:val="00EC1209"/>
    <w:rsid w:val="00EC1440"/>
    <w:rsid w:val="00EC40E7"/>
    <w:rsid w:val="00ED2D61"/>
    <w:rsid w:val="00ED3825"/>
    <w:rsid w:val="00ED63D3"/>
    <w:rsid w:val="00ED65F0"/>
    <w:rsid w:val="00ED6E07"/>
    <w:rsid w:val="00ED6FAC"/>
    <w:rsid w:val="00ED7DD1"/>
    <w:rsid w:val="00EE316D"/>
    <w:rsid w:val="00EE46A3"/>
    <w:rsid w:val="00EE5427"/>
    <w:rsid w:val="00EE5C1C"/>
    <w:rsid w:val="00EF4B9F"/>
    <w:rsid w:val="00EF7A36"/>
    <w:rsid w:val="00F030F5"/>
    <w:rsid w:val="00F07EBF"/>
    <w:rsid w:val="00F108D4"/>
    <w:rsid w:val="00F12558"/>
    <w:rsid w:val="00F1406A"/>
    <w:rsid w:val="00F1480B"/>
    <w:rsid w:val="00F16240"/>
    <w:rsid w:val="00F167C5"/>
    <w:rsid w:val="00F20B4D"/>
    <w:rsid w:val="00F24906"/>
    <w:rsid w:val="00F249BE"/>
    <w:rsid w:val="00F26A87"/>
    <w:rsid w:val="00F34F8F"/>
    <w:rsid w:val="00F3521A"/>
    <w:rsid w:val="00F3785C"/>
    <w:rsid w:val="00F40370"/>
    <w:rsid w:val="00F4641D"/>
    <w:rsid w:val="00F52D04"/>
    <w:rsid w:val="00F5403C"/>
    <w:rsid w:val="00F547D6"/>
    <w:rsid w:val="00F54D80"/>
    <w:rsid w:val="00F56AED"/>
    <w:rsid w:val="00F6096A"/>
    <w:rsid w:val="00F61551"/>
    <w:rsid w:val="00F64A9A"/>
    <w:rsid w:val="00F65E74"/>
    <w:rsid w:val="00F67328"/>
    <w:rsid w:val="00F71422"/>
    <w:rsid w:val="00F72F7B"/>
    <w:rsid w:val="00F733F6"/>
    <w:rsid w:val="00F74ACF"/>
    <w:rsid w:val="00F750D8"/>
    <w:rsid w:val="00F758B8"/>
    <w:rsid w:val="00F76154"/>
    <w:rsid w:val="00F77B3B"/>
    <w:rsid w:val="00F838D7"/>
    <w:rsid w:val="00F83EAF"/>
    <w:rsid w:val="00F867A0"/>
    <w:rsid w:val="00F86C0C"/>
    <w:rsid w:val="00F90328"/>
    <w:rsid w:val="00F903BD"/>
    <w:rsid w:val="00F9089E"/>
    <w:rsid w:val="00F91D6D"/>
    <w:rsid w:val="00F91F3D"/>
    <w:rsid w:val="00F93606"/>
    <w:rsid w:val="00F93D1B"/>
    <w:rsid w:val="00F96870"/>
    <w:rsid w:val="00F96D7C"/>
    <w:rsid w:val="00FA1690"/>
    <w:rsid w:val="00FA640B"/>
    <w:rsid w:val="00FA690D"/>
    <w:rsid w:val="00FB0534"/>
    <w:rsid w:val="00FB07FB"/>
    <w:rsid w:val="00FB0CA1"/>
    <w:rsid w:val="00FB3F8A"/>
    <w:rsid w:val="00FB445C"/>
    <w:rsid w:val="00FB4ED8"/>
    <w:rsid w:val="00FB7A84"/>
    <w:rsid w:val="00FB7F75"/>
    <w:rsid w:val="00FC000B"/>
    <w:rsid w:val="00FC01EA"/>
    <w:rsid w:val="00FC1A7F"/>
    <w:rsid w:val="00FC24BE"/>
    <w:rsid w:val="00FC7915"/>
    <w:rsid w:val="00FD0065"/>
    <w:rsid w:val="00FD2265"/>
    <w:rsid w:val="00FD26E9"/>
    <w:rsid w:val="00FD6A48"/>
    <w:rsid w:val="00FE0AF0"/>
    <w:rsid w:val="00FE2F56"/>
    <w:rsid w:val="00FE4FD2"/>
    <w:rsid w:val="00FE5066"/>
    <w:rsid w:val="00FE5B0F"/>
    <w:rsid w:val="00FE6988"/>
    <w:rsid w:val="00FF297F"/>
    <w:rsid w:val="00FF5475"/>
    <w:rsid w:val="00FF6B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E39E7D"/>
  <w15:docId w15:val="{84EAD88D-3699-4D50-A959-432F79CA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21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1ED"/>
    <w:rPr>
      <w:color w:val="0000FF"/>
      <w:u w:val="single"/>
    </w:rPr>
  </w:style>
  <w:style w:type="character" w:styleId="CommentReference">
    <w:name w:val="annotation reference"/>
    <w:semiHidden/>
    <w:rsid w:val="00776214"/>
    <w:rPr>
      <w:sz w:val="16"/>
      <w:szCs w:val="16"/>
    </w:rPr>
  </w:style>
  <w:style w:type="paragraph" w:styleId="CommentText">
    <w:name w:val="annotation text"/>
    <w:basedOn w:val="Normal"/>
    <w:semiHidden/>
    <w:rsid w:val="00776214"/>
  </w:style>
  <w:style w:type="paragraph" w:styleId="CommentSubject">
    <w:name w:val="annotation subject"/>
    <w:basedOn w:val="CommentText"/>
    <w:next w:val="CommentText"/>
    <w:semiHidden/>
    <w:rsid w:val="00776214"/>
    <w:rPr>
      <w:b/>
      <w:bCs/>
    </w:rPr>
  </w:style>
  <w:style w:type="paragraph" w:styleId="BalloonText">
    <w:name w:val="Balloon Text"/>
    <w:basedOn w:val="Normal"/>
    <w:semiHidden/>
    <w:rsid w:val="00776214"/>
    <w:rPr>
      <w:rFonts w:ascii="Tahoma" w:hAnsi="Tahoma" w:cs="Tahoma"/>
      <w:sz w:val="16"/>
      <w:szCs w:val="16"/>
    </w:rPr>
  </w:style>
  <w:style w:type="paragraph" w:customStyle="1" w:styleId="CM3">
    <w:name w:val="CM3"/>
    <w:basedOn w:val="Normal"/>
    <w:next w:val="Normal"/>
    <w:rsid w:val="00574AB1"/>
    <w:pPr>
      <w:widowControl/>
      <w:spacing w:line="268" w:lineRule="atLeast"/>
    </w:pPr>
    <w:rPr>
      <w:rFonts w:ascii="Dutch 801 Rm BT" w:hAnsi="Dutch 801 Rm BT"/>
      <w:sz w:val="24"/>
      <w:szCs w:val="24"/>
    </w:rPr>
  </w:style>
  <w:style w:type="character" w:styleId="FollowedHyperlink">
    <w:name w:val="FollowedHyperlink"/>
    <w:rsid w:val="002E1025"/>
    <w:rPr>
      <w:color w:val="800080"/>
      <w:u w:val="single"/>
    </w:rPr>
  </w:style>
  <w:style w:type="paragraph" w:styleId="NormalWeb">
    <w:name w:val="Normal (Web)"/>
    <w:basedOn w:val="Normal"/>
    <w:uiPriority w:val="99"/>
    <w:rsid w:val="002F0D1E"/>
    <w:pPr>
      <w:widowControl/>
      <w:autoSpaceDE/>
      <w:autoSpaceDN/>
      <w:adjustRightInd/>
      <w:spacing w:before="100" w:beforeAutospacing="1" w:after="100" w:afterAutospacing="1"/>
    </w:pPr>
    <w:rPr>
      <w:sz w:val="24"/>
      <w:szCs w:val="24"/>
    </w:rPr>
  </w:style>
  <w:style w:type="paragraph" w:styleId="Footer">
    <w:name w:val="footer"/>
    <w:basedOn w:val="Normal"/>
    <w:rsid w:val="006F1A90"/>
    <w:pPr>
      <w:tabs>
        <w:tab w:val="center" w:pos="4320"/>
        <w:tab w:val="right" w:pos="8640"/>
      </w:tabs>
    </w:pPr>
  </w:style>
  <w:style w:type="character" w:styleId="PageNumber">
    <w:name w:val="page number"/>
    <w:basedOn w:val="DefaultParagraphFont"/>
    <w:rsid w:val="006F1A90"/>
  </w:style>
  <w:style w:type="paragraph" w:styleId="FootnoteText">
    <w:name w:val="footnote text"/>
    <w:basedOn w:val="Normal"/>
    <w:semiHidden/>
    <w:rsid w:val="00E85676"/>
  </w:style>
  <w:style w:type="character" w:styleId="FootnoteReference">
    <w:name w:val="footnote reference"/>
    <w:semiHidden/>
    <w:rsid w:val="00E85676"/>
    <w:rPr>
      <w:vertAlign w:val="superscript"/>
    </w:rPr>
  </w:style>
  <w:style w:type="paragraph" w:customStyle="1" w:styleId="Level1">
    <w:name w:val="Level 1"/>
    <w:basedOn w:val="Normal"/>
    <w:rsid w:val="00F91D6D"/>
    <w:pPr>
      <w:numPr>
        <w:numId w:val="8"/>
      </w:numPr>
      <w:autoSpaceDE/>
      <w:autoSpaceDN/>
      <w:adjustRightInd/>
      <w:ind w:left="777" w:hanging="432"/>
      <w:outlineLvl w:val="0"/>
    </w:pPr>
    <w:rPr>
      <w:rFonts w:ascii="LinePrinter" w:hAnsi="LinePrinter"/>
      <w:snapToGrid w:val="0"/>
      <w:sz w:val="24"/>
    </w:rPr>
  </w:style>
  <w:style w:type="paragraph" w:styleId="BodyText">
    <w:name w:val="Body Text"/>
    <w:aliases w:val="address"/>
    <w:basedOn w:val="Normal"/>
    <w:rsid w:val="00152AF8"/>
    <w:pPr>
      <w:widowControl/>
    </w:pPr>
    <w:rPr>
      <w:rFonts w:ascii="Arial" w:hAnsi="Arial" w:cs="Arial"/>
      <w:color w:val="000000"/>
      <w:sz w:val="22"/>
      <w:szCs w:val="22"/>
    </w:rPr>
  </w:style>
  <w:style w:type="paragraph" w:customStyle="1" w:styleId="level10">
    <w:name w:val="_level1"/>
    <w:basedOn w:val="Normal"/>
    <w:rsid w:val="004C73C4"/>
    <w:rPr>
      <w:sz w:val="24"/>
    </w:rPr>
  </w:style>
  <w:style w:type="paragraph" w:customStyle="1" w:styleId="WPHeading1">
    <w:name w:val="WP_Heading 1"/>
    <w:basedOn w:val="Normal"/>
    <w:rsid w:val="004C73C4"/>
    <w:pPr>
      <w:autoSpaceDE/>
      <w:autoSpaceDN/>
      <w:adjustRightInd/>
    </w:pPr>
    <w:rPr>
      <w:b/>
      <w:sz w:val="24"/>
    </w:rPr>
  </w:style>
  <w:style w:type="paragraph" w:customStyle="1" w:styleId="WPHeading2">
    <w:name w:val="WP_Heading 2"/>
    <w:basedOn w:val="Normal"/>
    <w:rsid w:val="004C73C4"/>
    <w:pPr>
      <w:autoSpaceDE/>
      <w:autoSpaceDN/>
      <w:adjustRightInd/>
    </w:pPr>
    <w:rPr>
      <w:i/>
      <w:sz w:val="24"/>
    </w:rPr>
  </w:style>
  <w:style w:type="paragraph" w:styleId="NoSpacing">
    <w:name w:val="No Spacing"/>
    <w:uiPriority w:val="1"/>
    <w:qFormat/>
    <w:rsid w:val="00B67D3C"/>
    <w:pPr>
      <w:widowControl w:val="0"/>
      <w:autoSpaceDE w:val="0"/>
      <w:autoSpaceDN w:val="0"/>
      <w:adjustRightInd w:val="0"/>
    </w:pPr>
  </w:style>
  <w:style w:type="paragraph" w:styleId="ListParagraph">
    <w:name w:val="List Paragraph"/>
    <w:basedOn w:val="Normal"/>
    <w:uiPriority w:val="34"/>
    <w:qFormat/>
    <w:rsid w:val="00FE4FD2"/>
    <w:pPr>
      <w:ind w:left="720"/>
      <w:contextualSpacing/>
    </w:pPr>
  </w:style>
  <w:style w:type="character" w:styleId="Emphasis">
    <w:name w:val="Emphasis"/>
    <w:basedOn w:val="DefaultParagraphFont"/>
    <w:uiPriority w:val="20"/>
    <w:qFormat/>
    <w:rsid w:val="009A397D"/>
    <w:rPr>
      <w:i/>
      <w:iCs/>
    </w:rPr>
  </w:style>
  <w:style w:type="paragraph" w:styleId="Header">
    <w:name w:val="header"/>
    <w:basedOn w:val="Normal"/>
    <w:link w:val="HeaderChar"/>
    <w:rsid w:val="00E934B9"/>
    <w:pPr>
      <w:tabs>
        <w:tab w:val="center" w:pos="4680"/>
        <w:tab w:val="right" w:pos="9360"/>
      </w:tabs>
    </w:pPr>
  </w:style>
  <w:style w:type="character" w:customStyle="1" w:styleId="HeaderChar">
    <w:name w:val="Header Char"/>
    <w:basedOn w:val="DefaultParagraphFont"/>
    <w:link w:val="Header"/>
    <w:rsid w:val="00E934B9"/>
  </w:style>
  <w:style w:type="character" w:customStyle="1" w:styleId="volume">
    <w:name w:val="volume"/>
    <w:basedOn w:val="DefaultParagraphFont"/>
    <w:rsid w:val="00D31A5B"/>
  </w:style>
  <w:style w:type="character" w:customStyle="1" w:styleId="page">
    <w:name w:val="page"/>
    <w:basedOn w:val="DefaultParagraphFont"/>
    <w:rsid w:val="00D31A5B"/>
  </w:style>
  <w:style w:type="paragraph" w:styleId="Revision">
    <w:name w:val="Revision"/>
    <w:hidden/>
    <w:uiPriority w:val="99"/>
    <w:semiHidden/>
    <w:rsid w:val="0074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888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091533944">
          <w:marLeft w:val="0"/>
          <w:marRight w:val="0"/>
          <w:marTop w:val="0"/>
          <w:marBottom w:val="0"/>
          <w:divBdr>
            <w:top w:val="none" w:sz="0" w:space="0" w:color="auto"/>
            <w:left w:val="none" w:sz="0" w:space="0" w:color="auto"/>
            <w:bottom w:val="none" w:sz="0" w:space="0" w:color="auto"/>
            <w:right w:val="none" w:sz="0" w:space="0" w:color="auto"/>
          </w:divBdr>
          <w:divsChild>
            <w:div w:id="1120029511">
              <w:marLeft w:val="0"/>
              <w:marRight w:val="0"/>
              <w:marTop w:val="0"/>
              <w:marBottom w:val="0"/>
              <w:divBdr>
                <w:top w:val="single" w:sz="2" w:space="1" w:color="CCCCCC"/>
                <w:left w:val="single" w:sz="2" w:space="1" w:color="CCCCCC"/>
                <w:bottom w:val="single" w:sz="2" w:space="1" w:color="CCCCCC"/>
                <w:right w:val="single" w:sz="2" w:space="1" w:color="CCCCCC"/>
              </w:divBdr>
              <w:divsChild>
                <w:div w:id="783616089">
                  <w:marLeft w:val="0"/>
                  <w:marRight w:val="0"/>
                  <w:marTop w:val="42"/>
                  <w:marBottom w:val="0"/>
                  <w:divBdr>
                    <w:top w:val="none" w:sz="0" w:space="0" w:color="auto"/>
                    <w:left w:val="none" w:sz="0" w:space="0" w:color="auto"/>
                    <w:bottom w:val="none" w:sz="0" w:space="0" w:color="auto"/>
                    <w:right w:val="none" w:sz="0" w:space="0" w:color="auto"/>
                  </w:divBdr>
                  <w:divsChild>
                    <w:div w:id="1732000663">
                      <w:marLeft w:val="0"/>
                      <w:marRight w:val="0"/>
                      <w:marTop w:val="0"/>
                      <w:marBottom w:val="0"/>
                      <w:divBdr>
                        <w:top w:val="none" w:sz="0" w:space="0" w:color="auto"/>
                        <w:left w:val="none" w:sz="0" w:space="0" w:color="auto"/>
                        <w:bottom w:val="none" w:sz="0" w:space="0" w:color="auto"/>
                        <w:right w:val="none" w:sz="0" w:space="0" w:color="auto"/>
                      </w:divBdr>
                      <w:divsChild>
                        <w:div w:id="1884443383">
                          <w:marLeft w:val="0"/>
                          <w:marRight w:val="0"/>
                          <w:marTop w:val="0"/>
                          <w:marBottom w:val="0"/>
                          <w:divBdr>
                            <w:top w:val="none" w:sz="0" w:space="0" w:color="auto"/>
                            <w:left w:val="none" w:sz="0" w:space="0" w:color="auto"/>
                            <w:bottom w:val="none" w:sz="0" w:space="0" w:color="auto"/>
                            <w:right w:val="none" w:sz="0" w:space="0" w:color="auto"/>
                          </w:divBdr>
                          <w:divsChild>
                            <w:div w:id="2100131134">
                              <w:marLeft w:val="0"/>
                              <w:marRight w:val="0"/>
                              <w:marTop w:val="0"/>
                              <w:marBottom w:val="0"/>
                              <w:divBdr>
                                <w:top w:val="none" w:sz="0" w:space="0" w:color="auto"/>
                                <w:left w:val="none" w:sz="0" w:space="0" w:color="auto"/>
                                <w:bottom w:val="none" w:sz="0" w:space="0" w:color="auto"/>
                                <w:right w:val="none" w:sz="0" w:space="0" w:color="auto"/>
                              </w:divBdr>
                              <w:divsChild>
                                <w:div w:id="7324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79398">
      <w:bodyDiv w:val="1"/>
      <w:marLeft w:val="150"/>
      <w:marRight w:val="30"/>
      <w:marTop w:val="150"/>
      <w:marBottom w:val="30"/>
      <w:divBdr>
        <w:top w:val="none" w:sz="0" w:space="0" w:color="auto"/>
        <w:left w:val="none" w:sz="0" w:space="0" w:color="auto"/>
        <w:bottom w:val="none" w:sz="0" w:space="0" w:color="auto"/>
        <w:right w:val="none" w:sz="0" w:space="0" w:color="auto"/>
      </w:divBdr>
      <w:divsChild>
        <w:div w:id="119694660">
          <w:marLeft w:val="0"/>
          <w:marRight w:val="0"/>
          <w:marTop w:val="0"/>
          <w:marBottom w:val="0"/>
          <w:divBdr>
            <w:top w:val="none" w:sz="0" w:space="0" w:color="auto"/>
            <w:left w:val="none" w:sz="0" w:space="0" w:color="auto"/>
            <w:bottom w:val="none" w:sz="0" w:space="0" w:color="auto"/>
            <w:right w:val="none" w:sz="0" w:space="0" w:color="auto"/>
          </w:divBdr>
        </w:div>
      </w:divsChild>
    </w:div>
    <w:div w:id="260453325">
      <w:bodyDiv w:val="1"/>
      <w:marLeft w:val="0"/>
      <w:marRight w:val="0"/>
      <w:marTop w:val="0"/>
      <w:marBottom w:val="0"/>
      <w:divBdr>
        <w:top w:val="none" w:sz="0" w:space="0" w:color="auto"/>
        <w:left w:val="none" w:sz="0" w:space="0" w:color="auto"/>
        <w:bottom w:val="none" w:sz="0" w:space="0" w:color="auto"/>
        <w:right w:val="none" w:sz="0" w:space="0" w:color="auto"/>
      </w:divBdr>
    </w:div>
    <w:div w:id="325861080">
      <w:bodyDiv w:val="1"/>
      <w:marLeft w:val="0"/>
      <w:marRight w:val="0"/>
      <w:marTop w:val="0"/>
      <w:marBottom w:val="0"/>
      <w:divBdr>
        <w:top w:val="none" w:sz="0" w:space="0" w:color="auto"/>
        <w:left w:val="none" w:sz="0" w:space="0" w:color="auto"/>
        <w:bottom w:val="none" w:sz="0" w:space="0" w:color="auto"/>
        <w:right w:val="none" w:sz="0" w:space="0" w:color="auto"/>
      </w:divBdr>
    </w:div>
    <w:div w:id="332494841">
      <w:bodyDiv w:val="1"/>
      <w:marLeft w:val="0"/>
      <w:marRight w:val="0"/>
      <w:marTop w:val="0"/>
      <w:marBottom w:val="0"/>
      <w:divBdr>
        <w:top w:val="none" w:sz="0" w:space="0" w:color="auto"/>
        <w:left w:val="none" w:sz="0" w:space="0" w:color="auto"/>
        <w:bottom w:val="none" w:sz="0" w:space="0" w:color="auto"/>
        <w:right w:val="none" w:sz="0" w:space="0" w:color="auto"/>
      </w:divBdr>
      <w:divsChild>
        <w:div w:id="794325237">
          <w:marLeft w:val="0"/>
          <w:marRight w:val="0"/>
          <w:marTop w:val="0"/>
          <w:marBottom w:val="0"/>
          <w:divBdr>
            <w:top w:val="none" w:sz="0" w:space="0" w:color="auto"/>
            <w:left w:val="none" w:sz="0" w:space="0" w:color="auto"/>
            <w:bottom w:val="none" w:sz="0" w:space="0" w:color="auto"/>
            <w:right w:val="none" w:sz="0" w:space="0" w:color="auto"/>
          </w:divBdr>
        </w:div>
      </w:divsChild>
    </w:div>
    <w:div w:id="360210525">
      <w:bodyDiv w:val="1"/>
      <w:marLeft w:val="0"/>
      <w:marRight w:val="0"/>
      <w:marTop w:val="0"/>
      <w:marBottom w:val="0"/>
      <w:divBdr>
        <w:top w:val="none" w:sz="0" w:space="0" w:color="auto"/>
        <w:left w:val="none" w:sz="0" w:space="0" w:color="auto"/>
        <w:bottom w:val="none" w:sz="0" w:space="0" w:color="auto"/>
        <w:right w:val="none" w:sz="0" w:space="0" w:color="auto"/>
      </w:divBdr>
    </w:div>
    <w:div w:id="360711150">
      <w:bodyDiv w:val="1"/>
      <w:marLeft w:val="0"/>
      <w:marRight w:val="0"/>
      <w:marTop w:val="0"/>
      <w:marBottom w:val="0"/>
      <w:divBdr>
        <w:top w:val="none" w:sz="0" w:space="0" w:color="auto"/>
        <w:left w:val="none" w:sz="0" w:space="0" w:color="auto"/>
        <w:bottom w:val="none" w:sz="0" w:space="0" w:color="auto"/>
        <w:right w:val="none" w:sz="0" w:space="0" w:color="auto"/>
      </w:divBdr>
    </w:div>
    <w:div w:id="406809513">
      <w:bodyDiv w:val="1"/>
      <w:marLeft w:val="0"/>
      <w:marRight w:val="0"/>
      <w:marTop w:val="0"/>
      <w:marBottom w:val="0"/>
      <w:divBdr>
        <w:top w:val="none" w:sz="0" w:space="0" w:color="auto"/>
        <w:left w:val="none" w:sz="0" w:space="0" w:color="auto"/>
        <w:bottom w:val="none" w:sz="0" w:space="0" w:color="auto"/>
        <w:right w:val="none" w:sz="0" w:space="0" w:color="auto"/>
      </w:divBdr>
    </w:div>
    <w:div w:id="959843523">
      <w:bodyDiv w:val="1"/>
      <w:marLeft w:val="0"/>
      <w:marRight w:val="0"/>
      <w:marTop w:val="0"/>
      <w:marBottom w:val="0"/>
      <w:divBdr>
        <w:top w:val="none" w:sz="0" w:space="0" w:color="auto"/>
        <w:left w:val="none" w:sz="0" w:space="0" w:color="auto"/>
        <w:bottom w:val="none" w:sz="0" w:space="0" w:color="auto"/>
        <w:right w:val="none" w:sz="0" w:space="0" w:color="auto"/>
      </w:divBdr>
    </w:div>
    <w:div w:id="1165585037">
      <w:bodyDiv w:val="1"/>
      <w:marLeft w:val="0"/>
      <w:marRight w:val="0"/>
      <w:marTop w:val="0"/>
      <w:marBottom w:val="0"/>
      <w:divBdr>
        <w:top w:val="none" w:sz="0" w:space="0" w:color="auto"/>
        <w:left w:val="none" w:sz="0" w:space="0" w:color="auto"/>
        <w:bottom w:val="none" w:sz="0" w:space="0" w:color="auto"/>
        <w:right w:val="none" w:sz="0" w:space="0" w:color="auto"/>
      </w:divBdr>
    </w:div>
    <w:div w:id="1271398868">
      <w:bodyDiv w:val="1"/>
      <w:marLeft w:val="0"/>
      <w:marRight w:val="0"/>
      <w:marTop w:val="0"/>
      <w:marBottom w:val="0"/>
      <w:divBdr>
        <w:top w:val="none" w:sz="0" w:space="0" w:color="auto"/>
        <w:left w:val="none" w:sz="0" w:space="0" w:color="auto"/>
        <w:bottom w:val="none" w:sz="0" w:space="0" w:color="auto"/>
        <w:right w:val="none" w:sz="0" w:space="0" w:color="auto"/>
      </w:divBdr>
    </w:div>
    <w:div w:id="1293443713">
      <w:bodyDiv w:val="1"/>
      <w:marLeft w:val="0"/>
      <w:marRight w:val="0"/>
      <w:marTop w:val="0"/>
      <w:marBottom w:val="0"/>
      <w:divBdr>
        <w:top w:val="none" w:sz="0" w:space="0" w:color="auto"/>
        <w:left w:val="none" w:sz="0" w:space="0" w:color="auto"/>
        <w:bottom w:val="none" w:sz="0" w:space="0" w:color="auto"/>
        <w:right w:val="none" w:sz="0" w:space="0" w:color="auto"/>
      </w:divBdr>
    </w:div>
    <w:div w:id="1531527793">
      <w:bodyDiv w:val="1"/>
      <w:marLeft w:val="0"/>
      <w:marRight w:val="0"/>
      <w:marTop w:val="0"/>
      <w:marBottom w:val="0"/>
      <w:divBdr>
        <w:top w:val="none" w:sz="0" w:space="0" w:color="auto"/>
        <w:left w:val="none" w:sz="0" w:space="0" w:color="auto"/>
        <w:bottom w:val="none" w:sz="0" w:space="0" w:color="auto"/>
        <w:right w:val="none" w:sz="0" w:space="0" w:color="auto"/>
      </w:divBdr>
    </w:div>
    <w:div w:id="1583560765">
      <w:bodyDiv w:val="1"/>
      <w:marLeft w:val="0"/>
      <w:marRight w:val="0"/>
      <w:marTop w:val="0"/>
      <w:marBottom w:val="0"/>
      <w:divBdr>
        <w:top w:val="none" w:sz="0" w:space="0" w:color="auto"/>
        <w:left w:val="none" w:sz="0" w:space="0" w:color="auto"/>
        <w:bottom w:val="none" w:sz="0" w:space="0" w:color="auto"/>
        <w:right w:val="none" w:sz="0" w:space="0" w:color="auto"/>
      </w:divBdr>
    </w:div>
    <w:div w:id="1890799815">
      <w:bodyDiv w:val="1"/>
      <w:marLeft w:val="0"/>
      <w:marRight w:val="0"/>
      <w:marTop w:val="0"/>
      <w:marBottom w:val="0"/>
      <w:divBdr>
        <w:top w:val="none" w:sz="0" w:space="0" w:color="auto"/>
        <w:left w:val="none" w:sz="0" w:space="0" w:color="auto"/>
        <w:bottom w:val="none" w:sz="0" w:space="0" w:color="auto"/>
        <w:right w:val="none" w:sz="0" w:space="0" w:color="auto"/>
      </w:divBdr>
    </w:div>
    <w:div w:id="1936090954">
      <w:bodyDiv w:val="1"/>
      <w:marLeft w:val="0"/>
      <w:marRight w:val="0"/>
      <w:marTop w:val="0"/>
      <w:marBottom w:val="0"/>
      <w:divBdr>
        <w:top w:val="none" w:sz="0" w:space="0" w:color="auto"/>
        <w:left w:val="none" w:sz="0" w:space="0" w:color="auto"/>
        <w:bottom w:val="none" w:sz="0" w:space="0" w:color="auto"/>
        <w:right w:val="none" w:sz="0" w:space="0" w:color="auto"/>
      </w:divBdr>
    </w:div>
    <w:div w:id="2101826374">
      <w:bodyDiv w:val="1"/>
      <w:marLeft w:val="90"/>
      <w:marRight w:val="0"/>
      <w:marTop w:val="0"/>
      <w:marBottom w:val="0"/>
      <w:divBdr>
        <w:top w:val="none" w:sz="0" w:space="0" w:color="auto"/>
        <w:left w:val="none" w:sz="0" w:space="0" w:color="auto"/>
        <w:bottom w:val="none" w:sz="0" w:space="0" w:color="auto"/>
        <w:right w:val="none" w:sz="0" w:space="0" w:color="auto"/>
      </w:divBdr>
      <w:divsChild>
        <w:div w:id="1006177834">
          <w:marLeft w:val="0"/>
          <w:marRight w:val="0"/>
          <w:marTop w:val="0"/>
          <w:marBottom w:val="0"/>
          <w:divBdr>
            <w:top w:val="none" w:sz="0" w:space="0" w:color="auto"/>
            <w:left w:val="none" w:sz="0" w:space="0" w:color="auto"/>
            <w:bottom w:val="none" w:sz="0" w:space="0" w:color="auto"/>
            <w:right w:val="none" w:sz="0" w:space="0" w:color="auto"/>
          </w:divBdr>
          <w:divsChild>
            <w:div w:id="2027442303">
              <w:marLeft w:val="0"/>
              <w:marRight w:val="0"/>
              <w:marTop w:val="0"/>
              <w:marBottom w:val="0"/>
              <w:divBdr>
                <w:top w:val="none" w:sz="0" w:space="0" w:color="auto"/>
                <w:left w:val="none" w:sz="0" w:space="0" w:color="auto"/>
                <w:bottom w:val="none" w:sz="0" w:space="0" w:color="auto"/>
                <w:right w:val="none" w:sz="0" w:space="0" w:color="auto"/>
              </w:divBdr>
              <w:divsChild>
                <w:div w:id="554119171">
                  <w:marLeft w:val="0"/>
                  <w:marRight w:val="0"/>
                  <w:marTop w:val="0"/>
                  <w:marBottom w:val="0"/>
                  <w:divBdr>
                    <w:top w:val="none" w:sz="0" w:space="0" w:color="auto"/>
                    <w:left w:val="none" w:sz="0" w:space="0" w:color="auto"/>
                    <w:bottom w:val="none" w:sz="0" w:space="0" w:color="auto"/>
                    <w:right w:val="none" w:sz="0" w:space="0" w:color="auto"/>
                  </w:divBdr>
                  <w:divsChild>
                    <w:div w:id="5875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s.usace.army.mil/Portals/76/Publications/EngineerRegulations/ER_1105-2-10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1C13-937C-473B-9C0D-4F94ED27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NPS Social Science Program</Company>
  <LinksUpToDate>false</LinksUpToDate>
  <CharactersWithSpaces>22498</CharactersWithSpaces>
  <SharedDoc>false</SharedDoc>
  <HLinks>
    <vt:vector size="18" baseType="variant">
      <vt:variant>
        <vt:i4>1900546</vt:i4>
      </vt:variant>
      <vt:variant>
        <vt:i4>32</vt:i4>
      </vt:variant>
      <vt:variant>
        <vt:i4>0</vt:i4>
      </vt:variant>
      <vt:variant>
        <vt:i4>5</vt:i4>
      </vt:variant>
      <vt:variant>
        <vt:lpwstr>http://www.bls.gov/news.release/pdf/ecec.pdf</vt:lpwstr>
      </vt:variant>
      <vt:variant>
        <vt:lpwstr/>
      </vt:variant>
      <vt:variant>
        <vt:i4>4653072</vt:i4>
      </vt:variant>
      <vt:variant>
        <vt:i4>8</vt:i4>
      </vt:variant>
      <vt:variant>
        <vt:i4>0</vt:i4>
      </vt:variant>
      <vt:variant>
        <vt:i4>5</vt:i4>
      </vt:variant>
      <vt:variant>
        <vt:lpwstr>http://en.wikipedia.org/wiki/Theory_of_planned_behavior</vt:lpwstr>
      </vt:variant>
      <vt:variant>
        <vt:lpwstr>Concepts_of_key_variables</vt:lpwstr>
      </vt:variant>
      <vt:variant>
        <vt:i4>458847</vt:i4>
      </vt:variant>
      <vt:variant>
        <vt:i4>5</vt:i4>
      </vt:variant>
      <vt:variant>
        <vt:i4>0</vt:i4>
      </vt:variant>
      <vt:variant>
        <vt:i4>5</vt:i4>
      </vt:variant>
      <vt:variant>
        <vt:lpwstr>http://en.wikipedia.org/wiki/Beliefs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Brian Forist</dc:creator>
  <cp:lastModifiedBy>Levenbach, Stuart EOP/OMB</cp:lastModifiedBy>
  <cp:revision>2</cp:revision>
  <cp:lastPrinted>2015-02-19T14:54:00Z</cp:lastPrinted>
  <dcterms:created xsi:type="dcterms:W3CDTF">2016-11-22T21:28:00Z</dcterms:created>
  <dcterms:modified xsi:type="dcterms:W3CDTF">2016-11-22T21:28:00Z</dcterms:modified>
</cp:coreProperties>
</file>