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EC6E" w14:textId="77777777"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14:paraId="5A55EC6F" w14:textId="77777777"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14:paraId="5A55EC71" w14:textId="5476A59C" w:rsidR="00D12FEB" w:rsidRPr="00642B6A" w:rsidRDefault="00642B6A" w:rsidP="00CB0776">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D23D7B">
        <w:rPr>
          <w:rFonts w:eastAsia="Times New Roman" w:cs="Times New Roman"/>
          <w:b/>
          <w:szCs w:val="24"/>
        </w:rPr>
        <w:t>3038-</w:t>
      </w:r>
      <w:r w:rsidR="00E15E4F" w:rsidRPr="00D23D7B">
        <w:rPr>
          <w:rFonts w:eastAsia="Times New Roman" w:cs="Times New Roman"/>
          <w:b/>
          <w:szCs w:val="24"/>
        </w:rPr>
        <w:t>XXXX</w:t>
      </w:r>
    </w:p>
    <w:p w14:paraId="6B515A0B" w14:textId="77777777" w:rsidR="005F3881" w:rsidRDefault="005F3881" w:rsidP="00642B6A">
      <w:pPr>
        <w:spacing w:after="240"/>
        <w:outlineLvl w:val="0"/>
        <w:rPr>
          <w:rFonts w:eastAsia="Times New Roman" w:cs="Times New Roman"/>
          <w:b/>
          <w:szCs w:val="24"/>
        </w:rPr>
      </w:pPr>
    </w:p>
    <w:p w14:paraId="5A55EC72"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5A55EC73"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 xml:space="preserve">Explain the circumstances that make the collection of information necessary.  Identify any legal or administrative requirements that necessitate the collection.  </w:t>
      </w:r>
      <w:r w:rsidRPr="00D23D7B">
        <w:rPr>
          <w:rFonts w:eastAsia="Times New Roman" w:cs="Times New Roman"/>
          <w:b/>
          <w:szCs w:val="24"/>
        </w:rPr>
        <w:t>Attach a copy of the appropriate</w:t>
      </w:r>
      <w:r w:rsidRPr="00642B6A">
        <w:rPr>
          <w:rFonts w:eastAsia="Times New Roman" w:cs="Times New Roman"/>
          <w:b/>
          <w:szCs w:val="24"/>
        </w:rPr>
        <w:t xml:space="preserve"> section of each statute and regulation mandating or authorizing the collection of information.</w:t>
      </w:r>
    </w:p>
    <w:p w14:paraId="547E0016" w14:textId="47D2A239" w:rsidR="00082089" w:rsidRDefault="00082089" w:rsidP="00082089">
      <w:pPr>
        <w:ind w:firstLine="720"/>
        <w:rPr>
          <w:rFonts w:eastAsia="PMingLiU" w:cs="Times New Roman"/>
          <w:szCs w:val="24"/>
        </w:rPr>
      </w:pPr>
      <w:r>
        <w:rPr>
          <w:rFonts w:eastAsia="PMingLiU" w:cs="Times New Roman"/>
          <w:szCs w:val="24"/>
        </w:rPr>
        <w:t>D</w:t>
      </w:r>
      <w:r w:rsidRPr="00082089">
        <w:rPr>
          <w:rFonts w:eastAsia="PMingLiU" w:cs="Times New Roman"/>
          <w:szCs w:val="24"/>
          <w:lang w:eastAsia="zh-TW"/>
        </w:rPr>
        <w:t xml:space="preserve">erivatives markets have transitioned from the manual processes to highly automated trading and trade matching systems.  Modern DCMs and DCM market participants, in particular, are characterized by a wide array of algorithmic and electronic systems for the generation, transmission, management, and execution of orders, as well as systems used to confirm transactions, communicate market data, and link markets and market participants through high-speed networks.  </w:t>
      </w:r>
      <w:r w:rsidRPr="00082089">
        <w:rPr>
          <w:rFonts w:eastAsia="PMingLiU" w:cs="Times New Roman"/>
          <w:szCs w:val="24"/>
        </w:rPr>
        <w:t>While technologies have evolved, the underlying functions of derivatives markets remain the same, as do the Commission’s responsibilities under the Commodity Exchange Act (the “CEA” or “Act”).  Through proposed Regulation AT, the Commission is taking its next steps in ensuring that its regulatory standards and industry practices properly address current and foreseeable risks arising from automated trading, and promote responsible innovation and fair competition among markets and market participants</w:t>
      </w:r>
      <w:r>
        <w:rPr>
          <w:rFonts w:eastAsia="PMingLiU" w:cs="Times New Roman"/>
          <w:szCs w:val="24"/>
        </w:rPr>
        <w:t>.</w:t>
      </w:r>
    </w:p>
    <w:p w14:paraId="00D63E69" w14:textId="77777777" w:rsidR="00082089" w:rsidRDefault="00082089" w:rsidP="00082089">
      <w:pPr>
        <w:ind w:firstLine="720"/>
        <w:rPr>
          <w:rFonts w:eastAsia="PMingLiU" w:cs="Times New Roman"/>
          <w:szCs w:val="24"/>
        </w:rPr>
      </w:pPr>
    </w:p>
    <w:p w14:paraId="09F56BFA" w14:textId="76A645F6" w:rsidR="00082089" w:rsidRPr="008D0711" w:rsidRDefault="00082089" w:rsidP="00082089">
      <w:pPr>
        <w:ind w:firstLine="720"/>
        <w:rPr>
          <w:rFonts w:eastAsia="PMingLiU" w:cs="Times New Roman"/>
          <w:lang w:val="en"/>
        </w:rPr>
      </w:pPr>
      <w:r w:rsidRPr="004049D0">
        <w:rPr>
          <w:rFonts w:eastAsia="PMingLiU" w:cs="Times New Roman"/>
          <w:szCs w:val="24"/>
        </w:rPr>
        <w:t>The proposed regulations</w:t>
      </w:r>
      <w:r>
        <w:rPr>
          <w:rFonts w:eastAsia="PMingLiU" w:cs="Times New Roman"/>
          <w:szCs w:val="24"/>
        </w:rPr>
        <w:t xml:space="preserve"> are intended to prevent and mitigate risks arising from algorithmic trading activity, increase transparency around DCMs electronic trade matching platforms and the use of self-trade prevention tools on DCMs, and foster transparency with respect to DCM programs and activities, including market maker and trading incentive programs, that have become more prominent as automated trading becomes the dominant market model.  The obligations created by the proposed rules are essential to avoid prevent </w:t>
      </w:r>
      <w:r w:rsidRPr="004049D0">
        <w:rPr>
          <w:rFonts w:eastAsia="PMingLiU" w:cs="Times New Roman"/>
          <w:lang w:val="en"/>
        </w:rPr>
        <w:t>disruptions to market inte</w:t>
      </w:r>
      <w:r w:rsidRPr="008D0711">
        <w:rPr>
          <w:rFonts w:eastAsia="PMingLiU" w:cs="Times New Roman"/>
          <w:lang w:val="en"/>
        </w:rPr>
        <w:t>grity, avoid</w:t>
      </w:r>
      <w:r w:rsidRPr="008D0711">
        <w:rPr>
          <w:rFonts w:eastAsia="PMingLiU" w:cs="Times New Roman"/>
          <w:szCs w:val="24"/>
        </w:rPr>
        <w:t xml:space="preserve"> systemic risk and promote </w:t>
      </w:r>
      <w:r w:rsidRPr="008D0711">
        <w:rPr>
          <w:rFonts w:eastAsia="PMingLiU" w:cs="Times New Roman"/>
          <w:lang w:val="en"/>
        </w:rPr>
        <w:t xml:space="preserve">responsible innovation and fair competition among boards of trade, other markets and market </w:t>
      </w:r>
      <w:r w:rsidRPr="008D0711">
        <w:rPr>
          <w:rFonts w:eastAsia="PMingLiU" w:cs="Times New Roman"/>
          <w:szCs w:val="24"/>
          <w:lang w:val="en"/>
        </w:rPr>
        <w:t xml:space="preserve">participants.  </w:t>
      </w:r>
    </w:p>
    <w:p w14:paraId="614303AF" w14:textId="77777777" w:rsidR="00082089" w:rsidRDefault="00082089" w:rsidP="004049D0">
      <w:pPr>
        <w:ind w:firstLine="720"/>
        <w:rPr>
          <w:rFonts w:eastAsia="PMingLiU" w:cs="Times New Roman"/>
          <w:szCs w:val="24"/>
        </w:rPr>
      </w:pPr>
    </w:p>
    <w:p w14:paraId="44320211" w14:textId="5D32DCA1" w:rsidR="004049D0" w:rsidRPr="004049D0" w:rsidRDefault="00BF2E68" w:rsidP="004049D0">
      <w:pPr>
        <w:ind w:firstLine="720"/>
        <w:rPr>
          <w:rFonts w:cs="Times New Roman"/>
          <w:szCs w:val="24"/>
        </w:rPr>
      </w:pPr>
      <w:r w:rsidRPr="004049D0">
        <w:rPr>
          <w:rFonts w:eastAsia="PMingLiU" w:cs="Times New Roman"/>
          <w:szCs w:val="24"/>
        </w:rPr>
        <w:t xml:space="preserve">This collection of information is necessary to implement </w:t>
      </w:r>
      <w:r w:rsidR="00082089">
        <w:rPr>
          <w:rFonts w:eastAsia="PMingLiU" w:cs="Times New Roman"/>
          <w:szCs w:val="24"/>
        </w:rPr>
        <w:t>the following</w:t>
      </w:r>
      <w:r w:rsidRPr="004049D0">
        <w:rPr>
          <w:rFonts w:eastAsia="PMingLiU" w:cs="Times New Roman"/>
          <w:szCs w:val="24"/>
        </w:rPr>
        <w:t xml:space="preserve"> provisions of </w:t>
      </w:r>
      <w:r w:rsidR="00B6544D" w:rsidRPr="004049D0">
        <w:rPr>
          <w:rFonts w:eastAsia="Times New Roman" w:cs="Times New Roman"/>
          <w:szCs w:val="24"/>
        </w:rPr>
        <w:t xml:space="preserve">the </w:t>
      </w:r>
      <w:r w:rsidR="00D56B0E" w:rsidRPr="004049D0">
        <w:rPr>
          <w:rFonts w:eastAsia="Times New Roman" w:cs="Times New Roman"/>
          <w:szCs w:val="24"/>
        </w:rPr>
        <w:t>Act</w:t>
      </w:r>
      <w:r w:rsidR="00B6544D" w:rsidRPr="004049D0">
        <w:rPr>
          <w:rFonts w:eastAsia="Times New Roman" w:cs="Times New Roman"/>
          <w:szCs w:val="24"/>
        </w:rPr>
        <w:t xml:space="preserve">.  </w:t>
      </w:r>
      <w:r w:rsidR="004049D0" w:rsidRPr="004049D0">
        <w:rPr>
          <w:rFonts w:eastAsia="PMingLiU" w:cs="Times New Roman"/>
          <w:szCs w:val="24"/>
        </w:rPr>
        <w:t>Section 3(b</w:t>
      </w:r>
      <w:proofErr w:type="gramStart"/>
      <w:r w:rsidR="004049D0" w:rsidRPr="004049D0">
        <w:rPr>
          <w:rFonts w:eastAsia="PMingLiU" w:cs="Times New Roman"/>
          <w:szCs w:val="24"/>
        </w:rPr>
        <w:t>)  provides</w:t>
      </w:r>
      <w:proofErr w:type="gramEnd"/>
      <w:r w:rsidR="004049D0" w:rsidRPr="004049D0">
        <w:rPr>
          <w:rFonts w:eastAsia="PMingLiU" w:cs="Times New Roman"/>
          <w:szCs w:val="24"/>
        </w:rPr>
        <w:t xml:space="preserve"> that it is the purpose of the Act to</w:t>
      </w:r>
      <w:r w:rsidR="004049D0" w:rsidRPr="004049D0">
        <w:rPr>
          <w:rFonts w:eastAsia="PMingLiU" w:cs="Times New Roman"/>
          <w:lang w:val="en"/>
        </w:rPr>
        <w:t xml:space="preserve"> deter and prevent price manipulation or any other disruptions to market integrity; to ensure the financial integrity of all transactions subject to this chapter and the avoidance of systemic risk; to protect all market participants from fraudulent or other abusive sales practices and misuses of customer assets; and to promote responsible innovation and fair competition among boards of trade, other markets and market </w:t>
      </w:r>
      <w:r w:rsidR="004049D0" w:rsidRPr="004049D0">
        <w:rPr>
          <w:rFonts w:eastAsia="PMingLiU" w:cs="Times New Roman"/>
          <w:szCs w:val="24"/>
          <w:lang w:val="en"/>
        </w:rPr>
        <w:t>participa</w:t>
      </w:r>
      <w:r w:rsidR="004049D0" w:rsidRPr="00D23D7B">
        <w:rPr>
          <w:rFonts w:eastAsia="PMingLiU" w:cs="Times New Roman"/>
          <w:szCs w:val="24"/>
          <w:lang w:val="en"/>
        </w:rPr>
        <w:t xml:space="preserve">nts.  </w:t>
      </w:r>
      <w:r w:rsidRPr="00D23D7B">
        <w:rPr>
          <w:rFonts w:eastAsia="PMingLiU" w:cs="Times New Roman"/>
          <w:szCs w:val="24"/>
        </w:rPr>
        <w:t xml:space="preserve">Section </w:t>
      </w:r>
      <w:proofErr w:type="gramStart"/>
      <w:r w:rsidRPr="00D23D7B">
        <w:rPr>
          <w:rFonts w:eastAsia="PMingLiU" w:cs="Times New Roman"/>
          <w:szCs w:val="24"/>
        </w:rPr>
        <w:t>8a(</w:t>
      </w:r>
      <w:proofErr w:type="gramEnd"/>
      <w:r w:rsidRPr="00D23D7B">
        <w:rPr>
          <w:rFonts w:eastAsia="PMingLiU" w:cs="Times New Roman"/>
          <w:szCs w:val="24"/>
        </w:rPr>
        <w:t xml:space="preserve">5) provides the </w:t>
      </w:r>
      <w:r w:rsidR="00B6544D" w:rsidRPr="00D23D7B">
        <w:rPr>
          <w:rFonts w:eastAsia="PMingLiU" w:cs="Times New Roman"/>
          <w:szCs w:val="24"/>
        </w:rPr>
        <w:t>Commission</w:t>
      </w:r>
      <w:r w:rsidRPr="00D23D7B">
        <w:rPr>
          <w:rFonts w:eastAsia="PMingLiU" w:cs="Times New Roman"/>
          <w:szCs w:val="24"/>
        </w:rPr>
        <w:t xml:space="preserve"> with authority to promulgate rules as reasonably necessary to effectuate any of the provisions or to accomplish</w:t>
      </w:r>
      <w:r w:rsidR="00B6544D" w:rsidRPr="00D23D7B">
        <w:rPr>
          <w:rFonts w:eastAsia="PMingLiU" w:cs="Times New Roman"/>
          <w:szCs w:val="24"/>
        </w:rPr>
        <w:t xml:space="preserve"> any of the purposes of the Act. </w:t>
      </w:r>
      <w:r w:rsidRPr="00D23D7B">
        <w:rPr>
          <w:rFonts w:eastAsia="PMingLiU" w:cs="Times New Roman"/>
          <w:szCs w:val="24"/>
        </w:rPr>
        <w:t xml:space="preserve"> </w:t>
      </w:r>
      <w:r w:rsidR="00B6544D" w:rsidRPr="00D23D7B">
        <w:rPr>
          <w:rFonts w:eastAsia="PMingLiU" w:cs="Times New Roman"/>
          <w:szCs w:val="24"/>
        </w:rPr>
        <w:t xml:space="preserve">Section </w:t>
      </w:r>
      <w:proofErr w:type="gramStart"/>
      <w:r w:rsidR="00546BED" w:rsidRPr="00D23D7B">
        <w:rPr>
          <w:rStyle w:val="st"/>
          <w:rFonts w:cs="Times New Roman"/>
          <w:color w:val="222222"/>
          <w:lang w:val="en"/>
        </w:rPr>
        <w:t>4c(</w:t>
      </w:r>
      <w:proofErr w:type="gramEnd"/>
      <w:r w:rsidR="00546BED" w:rsidRPr="00D23D7B">
        <w:rPr>
          <w:rStyle w:val="st"/>
          <w:rFonts w:cs="Times New Roman"/>
          <w:color w:val="222222"/>
          <w:lang w:val="en"/>
        </w:rPr>
        <w:t>a)(6)</w:t>
      </w:r>
      <w:r w:rsidR="00546BED" w:rsidRPr="00D23D7B">
        <w:rPr>
          <w:rFonts w:eastAsia="PMingLiU" w:cs="Times New Roman"/>
          <w:szCs w:val="24"/>
        </w:rPr>
        <w:t xml:space="preserve"> of the Act</w:t>
      </w:r>
      <w:r w:rsidR="00B6544D" w:rsidRPr="00D23D7B">
        <w:rPr>
          <w:rFonts w:eastAsia="PMingLiU" w:cs="Times New Roman"/>
          <w:szCs w:val="24"/>
        </w:rPr>
        <w:t xml:space="preserve"> provides rulemaking authority to prohibit</w:t>
      </w:r>
      <w:r w:rsidR="00D56B0E" w:rsidRPr="00D23D7B">
        <w:rPr>
          <w:rFonts w:eastAsia="PMingLiU" w:cs="Times New Roman"/>
          <w:szCs w:val="24"/>
        </w:rPr>
        <w:t xml:space="preserve"> disruptive trading practices.  </w:t>
      </w:r>
      <w:r w:rsidR="004049D0" w:rsidRPr="00D23D7B">
        <w:rPr>
          <w:rFonts w:eastAsia="PMingLiU" w:cs="Times New Roman"/>
          <w:szCs w:val="24"/>
        </w:rPr>
        <w:t xml:space="preserve">Section </w:t>
      </w:r>
      <w:proofErr w:type="gramStart"/>
      <w:r w:rsidR="00546BED" w:rsidRPr="00D23D7B">
        <w:rPr>
          <w:rFonts w:eastAsia="PMingLiU" w:cs="Times New Roman"/>
          <w:szCs w:val="24"/>
        </w:rPr>
        <w:t>1a(</w:t>
      </w:r>
      <w:proofErr w:type="gramEnd"/>
      <w:r w:rsidR="00546BED" w:rsidRPr="00D23D7B">
        <w:rPr>
          <w:rFonts w:eastAsia="PMingLiU" w:cs="Times New Roman"/>
          <w:szCs w:val="24"/>
        </w:rPr>
        <w:t>23)</w:t>
      </w:r>
      <w:r w:rsidR="004049D0" w:rsidRPr="00D23D7B">
        <w:rPr>
          <w:rFonts w:cs="Times New Roman"/>
          <w:szCs w:val="24"/>
        </w:rPr>
        <w:t xml:space="preserve"> of the Act provides that the Commission</w:t>
      </w:r>
      <w:r w:rsidR="004049D0" w:rsidRPr="00D23D7B">
        <w:rPr>
          <w:rFonts w:eastAsia="PMingLiU" w:cs="Times New Roman"/>
          <w:szCs w:val="24"/>
        </w:rPr>
        <w:t xml:space="preserve">, </w:t>
      </w:r>
      <w:r w:rsidR="004049D0" w:rsidRPr="00D23D7B">
        <w:rPr>
          <w:rFonts w:cs="Times New Roman"/>
          <w:szCs w:val="24"/>
        </w:rPr>
        <w:t xml:space="preserve">by rule or regulation, may include within, or exclude from, the term ‘floor trader’ any person in or surrounding any pit, ring, post, or other place provided </w:t>
      </w:r>
      <w:r w:rsidR="004049D0" w:rsidRPr="004049D0">
        <w:rPr>
          <w:rFonts w:cs="Times New Roman"/>
          <w:szCs w:val="24"/>
        </w:rPr>
        <w:t xml:space="preserve">by a contract market for the meeting of persons similarly </w:t>
      </w:r>
      <w:r w:rsidR="004049D0" w:rsidRPr="004049D0">
        <w:rPr>
          <w:rFonts w:cs="Times New Roman"/>
          <w:szCs w:val="24"/>
        </w:rPr>
        <w:lastRenderedPageBreak/>
        <w:t>engaged who trades solely for such person’s own account if the Commission determines that the rule or regulation will effectuate the purposes of this Act.</w:t>
      </w:r>
      <w:r w:rsidR="00A1312B">
        <w:rPr>
          <w:rFonts w:cs="Times New Roman"/>
          <w:szCs w:val="24"/>
        </w:rPr>
        <w:t xml:space="preserve">  </w:t>
      </w:r>
    </w:p>
    <w:p w14:paraId="16508440" w14:textId="621B962C" w:rsidR="00BF2E68" w:rsidRPr="008D0711" w:rsidRDefault="00BF2E68" w:rsidP="00B85063">
      <w:pPr>
        <w:rPr>
          <w:rFonts w:eastAsia="PMingLiU" w:cs="Times New Roman"/>
          <w:lang w:val="en"/>
        </w:rPr>
      </w:pPr>
    </w:p>
    <w:p w14:paraId="4F4D434C" w14:textId="38743EDB" w:rsidR="008D0711" w:rsidRPr="008D0711" w:rsidRDefault="008D0711" w:rsidP="00B85063">
      <w:pPr>
        <w:rPr>
          <w:rFonts w:eastAsia="PMingLiU" w:cs="Times New Roman"/>
          <w:lang w:val="en"/>
        </w:rPr>
      </w:pPr>
      <w:r w:rsidRPr="008D0711">
        <w:rPr>
          <w:rFonts w:eastAsia="PMingLiU" w:cs="Times New Roman"/>
          <w:lang w:val="en"/>
        </w:rPr>
        <w:tab/>
        <w:t xml:space="preserve">The proposed regulations requiring a </w:t>
      </w:r>
      <w:r w:rsidR="000A6E8A">
        <w:rPr>
          <w:rFonts w:eastAsia="PMingLiU" w:cs="Times New Roman"/>
          <w:lang w:val="en"/>
        </w:rPr>
        <w:t xml:space="preserve">new </w:t>
      </w:r>
      <w:r w:rsidRPr="008D0711">
        <w:rPr>
          <w:rFonts w:eastAsia="PMingLiU" w:cs="Times New Roman"/>
          <w:lang w:val="en"/>
        </w:rPr>
        <w:t>collection of information are as follows:</w:t>
      </w:r>
      <w:r w:rsidR="000A6E8A">
        <w:rPr>
          <w:rStyle w:val="FootnoteReference"/>
          <w:rFonts w:eastAsia="PMingLiU" w:cs="Times New Roman"/>
          <w:lang w:val="en"/>
        </w:rPr>
        <w:footnoteReference w:id="2"/>
      </w:r>
    </w:p>
    <w:p w14:paraId="0694A36A" w14:textId="77777777" w:rsidR="00CB0776" w:rsidRDefault="00CB0776" w:rsidP="000A6E8A">
      <w:pPr>
        <w:autoSpaceDE w:val="0"/>
        <w:autoSpaceDN w:val="0"/>
        <w:adjustRightInd w:val="0"/>
        <w:rPr>
          <w:rFonts w:eastAsia="PMingLiU" w:cs="Times New Roman"/>
          <w:szCs w:val="24"/>
        </w:rPr>
      </w:pPr>
    </w:p>
    <w:p w14:paraId="2DF67D3D" w14:textId="24BE8BBB" w:rsidR="000536ED" w:rsidRPr="00261D46" w:rsidRDefault="00B85063" w:rsidP="00261D46">
      <w:pPr>
        <w:autoSpaceDE w:val="0"/>
        <w:autoSpaceDN w:val="0"/>
        <w:adjustRightInd w:val="0"/>
        <w:ind w:firstLine="720"/>
      </w:pPr>
      <w:r w:rsidRPr="00B85063">
        <w:rPr>
          <w:rFonts w:eastAsia="PMingLiU"/>
          <w:bCs/>
        </w:rPr>
        <w:t>Proposed</w:t>
      </w:r>
      <w:r>
        <w:rPr>
          <w:rFonts w:eastAsia="PMingLiU"/>
          <w:b/>
          <w:bCs/>
        </w:rPr>
        <w:t xml:space="preserve"> </w:t>
      </w:r>
      <w:r w:rsidR="002E0580" w:rsidRPr="004B7B89">
        <w:rPr>
          <w:rFonts w:eastAsia="PMingLiU"/>
          <w:b/>
          <w:bCs/>
        </w:rPr>
        <w:t>§ 1.83(a)</w:t>
      </w:r>
      <w:r>
        <w:rPr>
          <w:rFonts w:eastAsia="PMingLiU"/>
          <w:b/>
          <w:bCs/>
        </w:rPr>
        <w:t xml:space="preserve"> and (b)</w:t>
      </w:r>
      <w:r w:rsidR="002E0580" w:rsidRPr="004B7B89">
        <w:rPr>
          <w:rFonts w:eastAsia="PMingLiU"/>
          <w:b/>
          <w:bCs/>
        </w:rPr>
        <w:t xml:space="preserve"> </w:t>
      </w:r>
      <w:r>
        <w:rPr>
          <w:rFonts w:eastAsia="PMingLiU"/>
          <w:bCs/>
        </w:rPr>
        <w:t xml:space="preserve">would </w:t>
      </w:r>
      <w:r w:rsidR="000536ED" w:rsidRPr="003236FA">
        <w:rPr>
          <w:bCs/>
        </w:rPr>
        <w:t xml:space="preserve">require </w:t>
      </w:r>
      <w:r w:rsidR="000536ED">
        <w:t>AT Persons</w:t>
      </w:r>
      <w:r w:rsidR="000536ED">
        <w:rPr>
          <w:rStyle w:val="FootnoteReference"/>
        </w:rPr>
        <w:footnoteReference w:id="3"/>
      </w:r>
      <w:r w:rsidR="000536ED">
        <w:t xml:space="preserve"> </w:t>
      </w:r>
      <w:r>
        <w:t xml:space="preserve">and FCMs that are clearing members for one or more AT Persons </w:t>
      </w:r>
      <w:r w:rsidR="000536ED">
        <w:t>to prepare and submit an annual report to each DCM on which</w:t>
      </w:r>
      <w:r>
        <w:t xml:space="preserve"> the AT Person</w:t>
      </w:r>
      <w:r w:rsidR="000536ED">
        <w:t xml:space="preserve"> is engaged in Algorithmic Trading.  The </w:t>
      </w:r>
      <w:r>
        <w:t xml:space="preserve">AT Person’s </w:t>
      </w:r>
      <w:r w:rsidR="000536ED">
        <w:t>report must describe the pre-trade risk controls required by</w:t>
      </w:r>
      <w:r>
        <w:t xml:space="preserve"> proposed</w:t>
      </w:r>
      <w:r w:rsidR="000536ED">
        <w:t xml:space="preserve"> </w:t>
      </w:r>
      <w:r>
        <w:rPr>
          <w:rFonts w:cs="Times New Roman"/>
        </w:rPr>
        <w:t>§</w:t>
      </w:r>
      <w:r>
        <w:t xml:space="preserve"> </w:t>
      </w:r>
      <w:r w:rsidR="000536ED">
        <w:t>1.80(a</w:t>
      </w:r>
      <w:proofErr w:type="gramStart"/>
      <w:r w:rsidR="000536ED">
        <w:t>)</w:t>
      </w:r>
      <w:r>
        <w:t>(</w:t>
      </w:r>
      <w:proofErr w:type="gramEnd"/>
      <w:r>
        <w:t>i)</w:t>
      </w:r>
      <w:r w:rsidR="000536ED">
        <w:t>, including a description of each enumerated control and a description of all parameters and specific quantitative settin</w:t>
      </w:r>
      <w:r w:rsidR="00261D46">
        <w:t xml:space="preserve">gs.  </w:t>
      </w:r>
      <w:r w:rsidR="00261D46" w:rsidRPr="004063C0">
        <w:rPr>
          <w:rFonts w:eastAsia="Calibri" w:cs="Times New Roman"/>
          <w:szCs w:val="24"/>
        </w:rPr>
        <w:t xml:space="preserve">Together with the annual report, each AT Person </w:t>
      </w:r>
      <w:r w:rsidR="00261D46">
        <w:rPr>
          <w:rFonts w:eastAsia="Calibri" w:cs="Times New Roman"/>
          <w:szCs w:val="24"/>
        </w:rPr>
        <w:t>would be required to</w:t>
      </w:r>
      <w:r w:rsidR="00261D46" w:rsidRPr="004063C0">
        <w:rPr>
          <w:rFonts w:eastAsia="Calibri" w:cs="Times New Roman"/>
          <w:szCs w:val="24"/>
        </w:rPr>
        <w:t xml:space="preserve"> submit copies of the written policies and procedures developed to comply with §§ 1.81(a) and 1.81(c).</w:t>
      </w:r>
      <w:r w:rsidR="00261D46">
        <w:rPr>
          <w:rFonts w:eastAsia="Calibri" w:cs="Times New Roman"/>
          <w:szCs w:val="24"/>
        </w:rPr>
        <w:t xml:space="preserve">  </w:t>
      </w:r>
      <w:r>
        <w:rPr>
          <w:bCs/>
        </w:rPr>
        <w:t xml:space="preserve">The clearing member FCM’s report must describe the FCM’s program for establishing and maintaining the pre-trade risk controls required by proposed </w:t>
      </w:r>
      <w:r>
        <w:rPr>
          <w:rFonts w:cs="Times New Roman"/>
          <w:bCs/>
        </w:rPr>
        <w:t>§</w:t>
      </w:r>
      <w:r>
        <w:rPr>
          <w:bCs/>
        </w:rPr>
        <w:t xml:space="preserve"> 1.82(a</w:t>
      </w:r>
      <w:proofErr w:type="gramStart"/>
      <w:r>
        <w:rPr>
          <w:bCs/>
        </w:rPr>
        <w:t>)(</w:t>
      </w:r>
      <w:proofErr w:type="gramEnd"/>
      <w:r>
        <w:rPr>
          <w:bCs/>
        </w:rPr>
        <w:t>i)</w:t>
      </w:r>
      <w:r w:rsidR="000536ED">
        <w:t xml:space="preserve">.  </w:t>
      </w:r>
    </w:p>
    <w:p w14:paraId="1831B516" w14:textId="77777777" w:rsidR="002E0580" w:rsidRDefault="002E0580" w:rsidP="0037088D">
      <w:pPr>
        <w:autoSpaceDE w:val="0"/>
        <w:autoSpaceDN w:val="0"/>
        <w:adjustRightInd w:val="0"/>
        <w:ind w:firstLine="720"/>
        <w:rPr>
          <w:rFonts w:eastAsia="Times New Roman" w:cs="Times New Roman"/>
          <w:color w:val="000000"/>
          <w:szCs w:val="24"/>
        </w:rPr>
      </w:pPr>
    </w:p>
    <w:p w14:paraId="6121B616" w14:textId="4C74D379" w:rsidR="000536ED" w:rsidRDefault="0037088D" w:rsidP="00AA2F92">
      <w:pPr>
        <w:autoSpaceDE w:val="0"/>
        <w:autoSpaceDN w:val="0"/>
        <w:adjustRightInd w:val="0"/>
        <w:ind w:firstLine="720"/>
        <w:rPr>
          <w:rFonts w:eastAsia="PMingLiU"/>
          <w:bCs/>
        </w:rPr>
      </w:pPr>
      <w:r w:rsidRPr="00AC5B6C">
        <w:rPr>
          <w:rFonts w:eastAsia="PMingLiU"/>
          <w:bCs/>
        </w:rPr>
        <w:t>Proposed</w:t>
      </w:r>
      <w:r w:rsidRPr="00AC5B6C">
        <w:rPr>
          <w:rFonts w:eastAsia="PMingLiU"/>
          <w:b/>
          <w:bCs/>
        </w:rPr>
        <w:t xml:space="preserve"> </w:t>
      </w:r>
      <w:r w:rsidR="000536ED" w:rsidRPr="00AC5B6C">
        <w:rPr>
          <w:rFonts w:eastAsia="PMingLiU" w:cs="Times New Roman"/>
          <w:b/>
        </w:rPr>
        <w:t>§ 1.83(c)</w:t>
      </w:r>
      <w:r w:rsidR="00AC5B6C" w:rsidRPr="00AC5B6C">
        <w:rPr>
          <w:rFonts w:eastAsia="PMingLiU" w:cs="Times New Roman"/>
          <w:b/>
        </w:rPr>
        <w:t xml:space="preserve"> and (d)</w:t>
      </w:r>
      <w:r w:rsidR="00AC5B6C">
        <w:rPr>
          <w:rFonts w:eastAsia="PMingLiU" w:cs="Times New Roman"/>
        </w:rPr>
        <w:t xml:space="preserve"> would require AT Persons and FCMs that are clearing members for one or more AT Persons to </w:t>
      </w:r>
      <w:r w:rsidR="000536ED" w:rsidRPr="007D0DFB">
        <w:rPr>
          <w:rFonts w:eastAsia="PMingLiU"/>
        </w:rPr>
        <w:t>keep</w:t>
      </w:r>
      <w:r w:rsidR="00AC5B6C">
        <w:rPr>
          <w:rFonts w:eastAsia="PMingLiU"/>
        </w:rPr>
        <w:t xml:space="preserve"> books and records</w:t>
      </w:r>
      <w:r w:rsidR="000536ED" w:rsidRPr="007D0DFB">
        <w:rPr>
          <w:rFonts w:eastAsia="PMingLiU"/>
        </w:rPr>
        <w:t xml:space="preserve"> </w:t>
      </w:r>
      <w:r w:rsidR="00AC5B6C">
        <w:rPr>
          <w:rFonts w:eastAsia="PMingLiU"/>
        </w:rPr>
        <w:t xml:space="preserve">and provide them </w:t>
      </w:r>
      <w:r>
        <w:rPr>
          <w:rFonts w:eastAsia="PMingLiU"/>
        </w:rPr>
        <w:t xml:space="preserve">upon request to each DCM on which </w:t>
      </w:r>
      <w:r w:rsidR="00AC5B6C">
        <w:rPr>
          <w:rFonts w:eastAsia="PMingLiU"/>
        </w:rPr>
        <w:t>the</w:t>
      </w:r>
      <w:r>
        <w:rPr>
          <w:rFonts w:eastAsia="PMingLiU"/>
        </w:rPr>
        <w:t xml:space="preserve"> AT Person engages in Algorithmic Trading</w:t>
      </w:r>
      <w:r w:rsidR="00AC5B6C">
        <w:rPr>
          <w:rFonts w:eastAsia="PMingLiU"/>
        </w:rPr>
        <w:t>.  AT Persons must keep and produce books and records</w:t>
      </w:r>
      <w:r>
        <w:rPr>
          <w:rFonts w:eastAsia="PMingLiU"/>
        </w:rPr>
        <w:t xml:space="preserve"> regarding such AT Person’s compliance </w:t>
      </w:r>
      <w:r w:rsidR="000536ED" w:rsidRPr="007D0DFB">
        <w:rPr>
          <w:rFonts w:eastAsia="PMingLiU"/>
        </w:rPr>
        <w:t xml:space="preserve">with all </w:t>
      </w:r>
      <w:r w:rsidR="000536ED" w:rsidRPr="007D0DFB">
        <w:rPr>
          <w:rFonts w:eastAsia="PMingLiU" w:cs="Times New Roman"/>
        </w:rPr>
        <w:t>§§</w:t>
      </w:r>
      <w:r w:rsidR="000536ED" w:rsidRPr="007D0DFB">
        <w:rPr>
          <w:rFonts w:eastAsia="PMingLiU"/>
        </w:rPr>
        <w:t xml:space="preserve"> 1.80 and 1.81 requirements</w:t>
      </w:r>
      <w:r>
        <w:rPr>
          <w:rFonts w:eastAsia="PMingLiU"/>
        </w:rPr>
        <w:t xml:space="preserve">.  </w:t>
      </w:r>
      <w:r w:rsidR="00AC5B6C">
        <w:rPr>
          <w:rFonts w:eastAsia="PMingLiU"/>
          <w:bCs/>
        </w:rPr>
        <w:t xml:space="preserve">FCMs must keep and provide </w:t>
      </w:r>
      <w:r>
        <w:rPr>
          <w:rFonts w:eastAsia="PMingLiU"/>
        </w:rPr>
        <w:t>books and records regarding</w:t>
      </w:r>
      <w:r w:rsidR="000536ED" w:rsidRPr="007D0DFB">
        <w:rPr>
          <w:rFonts w:eastAsia="PMingLiU"/>
        </w:rPr>
        <w:t xml:space="preserve"> compliance with all </w:t>
      </w:r>
      <w:r w:rsidR="000536ED" w:rsidRPr="007D0DFB">
        <w:rPr>
          <w:rFonts w:eastAsia="PMingLiU" w:cs="Times New Roman"/>
        </w:rPr>
        <w:t>§</w:t>
      </w:r>
      <w:r w:rsidR="000536ED" w:rsidRPr="007D0DFB">
        <w:rPr>
          <w:rFonts w:eastAsia="PMingLiU"/>
        </w:rPr>
        <w:t xml:space="preserve"> 1.82 requirements.  </w:t>
      </w:r>
    </w:p>
    <w:p w14:paraId="21C3C139" w14:textId="77777777" w:rsidR="001C1A68" w:rsidRPr="001C1A68" w:rsidRDefault="001C1A68" w:rsidP="00CD1651">
      <w:pPr>
        <w:autoSpaceDE w:val="0"/>
        <w:autoSpaceDN w:val="0"/>
        <w:adjustRightInd w:val="0"/>
        <w:rPr>
          <w:rFonts w:eastAsia="PMingLiU"/>
          <w:bCs/>
        </w:rPr>
      </w:pPr>
    </w:p>
    <w:p w14:paraId="11D14DEF" w14:textId="7A1D5C90" w:rsidR="007F00B6" w:rsidRPr="001659CE" w:rsidRDefault="00E3054F" w:rsidP="001659CE">
      <w:pPr>
        <w:autoSpaceDE w:val="0"/>
        <w:autoSpaceDN w:val="0"/>
        <w:adjustRightInd w:val="0"/>
        <w:ind w:firstLine="720"/>
        <w:rPr>
          <w:rFonts w:eastAsia="PMingLiU"/>
          <w:color w:val="000000"/>
          <w:szCs w:val="24"/>
        </w:rPr>
      </w:pPr>
      <w:r>
        <w:rPr>
          <w:rFonts w:eastAsia="PMingLiU"/>
        </w:rPr>
        <w:t>Proposed</w:t>
      </w:r>
      <w:r>
        <w:rPr>
          <w:rFonts w:eastAsia="PMingLiU" w:cs="Times New Roman"/>
        </w:rPr>
        <w:t xml:space="preserve"> </w:t>
      </w:r>
      <w:r w:rsidRPr="00AC5B6C">
        <w:rPr>
          <w:rFonts w:eastAsia="PMingLiU"/>
          <w:b/>
        </w:rPr>
        <w:t>§ 40.23</w:t>
      </w:r>
      <w:r w:rsidR="00AC5B6C">
        <w:rPr>
          <w:rFonts w:eastAsia="PMingLiU"/>
          <w:b/>
        </w:rPr>
        <w:t xml:space="preserve"> </w:t>
      </w:r>
      <w:r w:rsidR="00AC5B6C">
        <w:rPr>
          <w:rFonts w:eastAsia="PMingLiU"/>
        </w:rPr>
        <w:t>would require</w:t>
      </w:r>
      <w:r w:rsidR="007F00B6" w:rsidRPr="007F00B6">
        <w:rPr>
          <w:rFonts w:eastAsia="PMingLiU"/>
        </w:rPr>
        <w:t xml:space="preserve"> </w:t>
      </w:r>
      <w:r>
        <w:rPr>
          <w:rFonts w:eastAsia="PMingLiU" w:cs="Times New Roman"/>
        </w:rPr>
        <w:t>each</w:t>
      </w:r>
      <w:r w:rsidR="007F00B6" w:rsidRPr="007F00B6">
        <w:rPr>
          <w:rFonts w:eastAsia="PMingLiU"/>
          <w:color w:val="000000"/>
          <w:szCs w:val="24"/>
        </w:rPr>
        <w:t xml:space="preserve"> DCM </w:t>
      </w:r>
      <w:r>
        <w:rPr>
          <w:rFonts w:eastAsia="PMingLiU"/>
          <w:color w:val="000000"/>
          <w:szCs w:val="24"/>
        </w:rPr>
        <w:t>to</w:t>
      </w:r>
      <w:r w:rsidR="007F00B6" w:rsidRPr="007F00B6">
        <w:rPr>
          <w:rFonts w:eastAsia="PMingLiU"/>
          <w:color w:val="000000"/>
          <w:szCs w:val="24"/>
        </w:rPr>
        <w:t xml:space="preserve"> implement rules reasonably designed to prevent self-trading by market partic</w:t>
      </w:r>
      <w:r w:rsidR="008D0711">
        <w:rPr>
          <w:rFonts w:eastAsia="PMingLiU"/>
          <w:color w:val="000000"/>
          <w:szCs w:val="24"/>
        </w:rPr>
        <w:t>ipants, except as specified in</w:t>
      </w:r>
      <w:r w:rsidR="007F00B6" w:rsidRPr="007F00B6">
        <w:rPr>
          <w:rFonts w:eastAsia="PMingLiU"/>
          <w:color w:val="000000"/>
          <w:szCs w:val="24"/>
        </w:rPr>
        <w:t xml:space="preserve"> </w:t>
      </w:r>
      <w:r w:rsidR="007F00B6" w:rsidRPr="007F00B6">
        <w:rPr>
          <w:rFonts w:eastAsia="PMingLiU"/>
        </w:rPr>
        <w:t>§ 40.23</w:t>
      </w:r>
      <w:r w:rsidR="008D0711">
        <w:rPr>
          <w:rFonts w:eastAsia="PMingLiU"/>
        </w:rPr>
        <w:t>(b)</w:t>
      </w:r>
      <w:r w:rsidR="007F00B6" w:rsidRPr="007F00B6">
        <w:rPr>
          <w:rFonts w:eastAsia="PMingLiU"/>
          <w:color w:val="000000"/>
          <w:szCs w:val="24"/>
        </w:rPr>
        <w:t xml:space="preserve">.  </w:t>
      </w:r>
      <w:r w:rsidR="008D0711">
        <w:rPr>
          <w:rFonts w:eastAsia="PMingLiU"/>
          <w:color w:val="000000"/>
          <w:szCs w:val="24"/>
        </w:rPr>
        <w:t xml:space="preserve">Pursuant to </w:t>
      </w:r>
      <w:r w:rsidR="008D0711">
        <w:rPr>
          <w:rFonts w:eastAsia="PMingLiU" w:cs="Times New Roman"/>
          <w:color w:val="000000"/>
          <w:szCs w:val="24"/>
        </w:rPr>
        <w:t>§</w:t>
      </w:r>
      <w:r w:rsidR="008D0711">
        <w:rPr>
          <w:rFonts w:eastAsia="PMingLiU"/>
        </w:rPr>
        <w:t xml:space="preserve"> </w:t>
      </w:r>
      <w:r w:rsidR="008D0711" w:rsidRPr="00CD1651">
        <w:rPr>
          <w:rFonts w:eastAsia="PMingLiU"/>
          <w:b/>
        </w:rPr>
        <w:t>40.23(c)</w:t>
      </w:r>
      <w:r w:rsidR="008D0711">
        <w:rPr>
          <w:rFonts w:eastAsia="PMingLiU"/>
        </w:rPr>
        <w:t xml:space="preserve">, </w:t>
      </w:r>
      <w:r w:rsidR="007F00B6" w:rsidRPr="007F00B6">
        <w:rPr>
          <w:rFonts w:eastAsia="PMingLiU"/>
          <w:color w:val="000000"/>
          <w:szCs w:val="24"/>
        </w:rPr>
        <w:t xml:space="preserve">market participants </w:t>
      </w:r>
      <w:r w:rsidR="008D0711">
        <w:rPr>
          <w:rFonts w:eastAsia="PMingLiU"/>
          <w:color w:val="000000"/>
          <w:szCs w:val="24"/>
        </w:rPr>
        <w:t>must</w:t>
      </w:r>
      <w:r w:rsidR="007F00B6" w:rsidRPr="007F00B6">
        <w:rPr>
          <w:rFonts w:eastAsia="PMingLiU"/>
          <w:color w:val="000000"/>
          <w:szCs w:val="24"/>
        </w:rPr>
        <w:t xml:space="preserve"> request approval from the DCM that self-</w:t>
      </w:r>
      <w:r w:rsidR="007F00B6" w:rsidRPr="007F00B6">
        <w:rPr>
          <w:rFonts w:eastAsia="PMingLiU"/>
          <w:szCs w:val="24"/>
        </w:rPr>
        <w:t>trade</w:t>
      </w:r>
      <w:r w:rsidR="007F00B6" w:rsidRPr="007F00B6">
        <w:rPr>
          <w:rFonts w:eastAsia="PMingLiU"/>
          <w:color w:val="000000"/>
          <w:szCs w:val="24"/>
        </w:rPr>
        <w:t xml:space="preserve"> prevention tools not be applied with respect to specific accounts under common beneficial ownership or control, on the basis that they meet the criteria of </w:t>
      </w:r>
      <w:r w:rsidR="008D0711" w:rsidRPr="007F00B6">
        <w:rPr>
          <w:rFonts w:eastAsia="PMingLiU"/>
        </w:rPr>
        <w:t>§ 40.23</w:t>
      </w:r>
      <w:r w:rsidR="008D0711">
        <w:rPr>
          <w:rFonts w:eastAsia="PMingLiU"/>
        </w:rPr>
        <w:t>(b)</w:t>
      </w:r>
      <w:r w:rsidR="008D0711" w:rsidRPr="007F00B6">
        <w:rPr>
          <w:rFonts w:eastAsia="PMingLiU"/>
          <w:color w:val="000000"/>
          <w:szCs w:val="24"/>
        </w:rPr>
        <w:t xml:space="preserve">.  </w:t>
      </w:r>
    </w:p>
    <w:p w14:paraId="45AF3330" w14:textId="77777777" w:rsidR="002E0580" w:rsidRDefault="002E0580" w:rsidP="00D945B5">
      <w:pPr>
        <w:autoSpaceDE w:val="0"/>
        <w:autoSpaceDN w:val="0"/>
        <w:adjustRightInd w:val="0"/>
        <w:jc w:val="both"/>
        <w:rPr>
          <w:rFonts w:eastAsia="PMingLiU"/>
        </w:rPr>
      </w:pPr>
    </w:p>
    <w:p w14:paraId="667319C8" w14:textId="7A1E2B97" w:rsidR="00E3054F" w:rsidRPr="007F00B6" w:rsidRDefault="00E3054F" w:rsidP="00E3054F">
      <w:pPr>
        <w:autoSpaceDE w:val="0"/>
        <w:autoSpaceDN w:val="0"/>
        <w:adjustRightInd w:val="0"/>
        <w:ind w:firstLine="720"/>
        <w:rPr>
          <w:rFonts w:eastAsia="PMingLiU"/>
        </w:rPr>
      </w:pPr>
      <w:r w:rsidRPr="007F00B6">
        <w:rPr>
          <w:rFonts w:eastAsia="PMingLiU"/>
        </w:rPr>
        <w:t xml:space="preserve">Proposed </w:t>
      </w:r>
      <w:r w:rsidRPr="00AC5B6C">
        <w:rPr>
          <w:rFonts w:eastAsia="PMingLiU"/>
          <w:b/>
        </w:rPr>
        <w:t>§ 40.23(d)</w:t>
      </w:r>
      <w:r w:rsidRPr="007F00B6">
        <w:rPr>
          <w:rFonts w:eastAsia="PMingLiU"/>
        </w:rPr>
        <w:t xml:space="preserve"> </w:t>
      </w:r>
      <w:r w:rsidR="00350A8E">
        <w:rPr>
          <w:rFonts w:eastAsia="PMingLiU"/>
        </w:rPr>
        <w:t xml:space="preserve">would </w:t>
      </w:r>
      <w:r w:rsidRPr="007F00B6">
        <w:rPr>
          <w:rFonts w:eastAsia="PMingLiU"/>
        </w:rPr>
        <w:t xml:space="preserve">require that </w:t>
      </w:r>
      <w:r w:rsidRPr="007F00B6">
        <w:rPr>
          <w:rFonts w:eastAsia="PMingLiU" w:cs="Times New Roman"/>
          <w:szCs w:val="24"/>
        </w:rPr>
        <w:t xml:space="preserve">for each product and expiration month traded on a DCM in the previous quarter, the DCM must prominently display on its website the following information: (i) the percentage of trades in such product including all expiration months that represent self-trading approved (pursuant to </w:t>
      </w:r>
      <w:r w:rsidRPr="007F00B6">
        <w:rPr>
          <w:rFonts w:eastAsia="PMingLiU"/>
        </w:rPr>
        <w:t>§ 40.23</w:t>
      </w:r>
      <w:r w:rsidR="00E015E1">
        <w:rPr>
          <w:rFonts w:eastAsia="PMingLiU"/>
        </w:rPr>
        <w:t>(c)</w:t>
      </w:r>
      <w:r w:rsidRPr="007F00B6">
        <w:rPr>
          <w:rFonts w:eastAsia="PMingLiU" w:cs="Times New Roman"/>
          <w:szCs w:val="24"/>
        </w:rPr>
        <w:t xml:space="preserve">) by the DCM, expressed as a </w:t>
      </w:r>
      <w:r w:rsidRPr="007F00B6">
        <w:rPr>
          <w:rFonts w:eastAsia="PMingLiU"/>
          <w:color w:val="000000"/>
          <w:szCs w:val="24"/>
        </w:rPr>
        <w:t>percentage</w:t>
      </w:r>
      <w:r w:rsidRPr="007F00B6">
        <w:rPr>
          <w:rFonts w:eastAsia="PMingLiU" w:cs="Times New Roman"/>
          <w:szCs w:val="24"/>
        </w:rPr>
        <w:t xml:space="preserve"> of all trades in such product and expiration month; (ii) the percentage of volume of trading in such product including all expiration months that represents self-trading approv</w:t>
      </w:r>
      <w:r w:rsidR="00E015E1">
        <w:rPr>
          <w:rFonts w:eastAsia="PMingLiU" w:cs="Times New Roman"/>
          <w:szCs w:val="24"/>
        </w:rPr>
        <w:t xml:space="preserve">ed (pursuant to </w:t>
      </w:r>
      <w:r w:rsidRPr="007F00B6">
        <w:rPr>
          <w:rFonts w:eastAsia="PMingLiU"/>
        </w:rPr>
        <w:t>§ 40.23</w:t>
      </w:r>
      <w:r w:rsidR="00E015E1">
        <w:rPr>
          <w:rFonts w:eastAsia="PMingLiU"/>
        </w:rPr>
        <w:t>(c)</w:t>
      </w:r>
      <w:r w:rsidRPr="007F00B6">
        <w:rPr>
          <w:rFonts w:eastAsia="PMingLiU" w:cs="Times New Roman"/>
          <w:szCs w:val="24"/>
        </w:rPr>
        <w:t xml:space="preserve">) by the DCM, expressed as a percentage of all volume in such product and expiration month; and (iii) the ratio of orders in such product and expiration month whose matching was prevented by the self-trade prevention tools described in paragraph (a) of </w:t>
      </w:r>
      <w:r w:rsidRPr="007F00B6">
        <w:rPr>
          <w:rFonts w:eastAsia="PMingLiU"/>
        </w:rPr>
        <w:t>§ 40.23</w:t>
      </w:r>
      <w:r w:rsidRPr="007F00B6">
        <w:rPr>
          <w:rFonts w:eastAsia="PMingLiU" w:cs="Times New Roman"/>
          <w:szCs w:val="24"/>
        </w:rPr>
        <w:t xml:space="preserve">, expressed as a ratio of all trades in such product and expiration month. </w:t>
      </w:r>
    </w:p>
    <w:p w14:paraId="5F219060" w14:textId="2E128815" w:rsidR="002E0580" w:rsidRPr="00CD1651" w:rsidRDefault="008D0711" w:rsidP="00D945B5">
      <w:pPr>
        <w:autoSpaceDE w:val="0"/>
        <w:autoSpaceDN w:val="0"/>
        <w:adjustRightInd w:val="0"/>
        <w:jc w:val="both"/>
        <w:rPr>
          <w:rFonts w:eastAsia="PMingLiU"/>
        </w:rPr>
      </w:pPr>
      <w:r>
        <w:rPr>
          <w:rFonts w:eastAsia="PMingLiU"/>
        </w:rPr>
        <w:lastRenderedPageBreak/>
        <w:t xml:space="preserve"> </w:t>
      </w:r>
    </w:p>
    <w:p w14:paraId="5A55EC7B" w14:textId="77777777" w:rsidR="00C032F4" w:rsidRPr="00B86819" w:rsidRDefault="00C032F4" w:rsidP="00642B6A">
      <w:pPr>
        <w:autoSpaceDE w:val="0"/>
        <w:autoSpaceDN w:val="0"/>
        <w:adjustRightInd w:val="0"/>
        <w:rPr>
          <w:rFonts w:eastAsia="Times New Roman" w:cs="Times New Roman"/>
          <w:color w:val="000000"/>
          <w:szCs w:val="24"/>
        </w:rPr>
      </w:pPr>
    </w:p>
    <w:p w14:paraId="2E3946A3" w14:textId="7C16544A" w:rsidR="002E0580" w:rsidRPr="00CD1651" w:rsidRDefault="00642B6A" w:rsidP="00CD1651">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w:t>
      </w:r>
      <w:r w:rsidR="002E0580">
        <w:rPr>
          <w:rFonts w:eastAsia="Times New Roman" w:cs="Times New Roman"/>
          <w:b/>
          <w:szCs w:val="24"/>
        </w:rPr>
        <w:t>ved from the current collection.</w:t>
      </w:r>
    </w:p>
    <w:p w14:paraId="017E8AA5" w14:textId="4A72B860" w:rsidR="00757795" w:rsidRDefault="002E0580" w:rsidP="00E60439">
      <w:pPr>
        <w:ind w:firstLine="720"/>
        <w:rPr>
          <w:rFonts w:eastAsia="PMingLiU"/>
        </w:rPr>
      </w:pPr>
      <w:proofErr w:type="gramStart"/>
      <w:r w:rsidRPr="004B7B89">
        <w:rPr>
          <w:rFonts w:eastAsia="PMingLiU"/>
          <w:b/>
          <w:bCs/>
        </w:rPr>
        <w:t>§ 1.83(a) and (b)</w:t>
      </w:r>
      <w:r w:rsidR="00F56608">
        <w:rPr>
          <w:rFonts w:eastAsia="PMingLiU"/>
          <w:b/>
          <w:bCs/>
        </w:rPr>
        <w:t>.</w:t>
      </w:r>
      <w:proofErr w:type="gramEnd"/>
      <w:r w:rsidR="00F56608">
        <w:rPr>
          <w:rFonts w:eastAsia="PMingLiU"/>
          <w:b/>
          <w:bCs/>
        </w:rPr>
        <w:t xml:space="preserve">  </w:t>
      </w:r>
      <w:r w:rsidR="000536ED">
        <w:t>DCMs would use th</w:t>
      </w:r>
      <w:r w:rsidR="0087450C">
        <w:t>is data</w:t>
      </w:r>
      <w:r w:rsidR="000536ED">
        <w:t xml:space="preserve"> as part o</w:t>
      </w:r>
      <w:r w:rsidR="0087450C">
        <w:t xml:space="preserve">f </w:t>
      </w:r>
      <w:r w:rsidR="00757795">
        <w:t>a</w:t>
      </w:r>
      <w:r w:rsidR="0087450C">
        <w:t xml:space="preserve"> compliance review program</w:t>
      </w:r>
      <w:r w:rsidR="000536ED">
        <w:t xml:space="preserve"> required to be established pursuant to proposed </w:t>
      </w:r>
      <w:r w:rsidR="000536ED">
        <w:rPr>
          <w:rFonts w:cs="Times New Roman"/>
        </w:rPr>
        <w:t>§</w:t>
      </w:r>
      <w:r w:rsidR="000536ED">
        <w:t xml:space="preserve"> 40.22.  </w:t>
      </w:r>
      <w:r w:rsidR="00AA2F92" w:rsidRPr="00AA2F92">
        <w:rPr>
          <w:rFonts w:eastAsia="PMingLiU"/>
        </w:rPr>
        <w:t xml:space="preserve">The </w:t>
      </w:r>
      <w:r w:rsidR="00AA2F92" w:rsidRPr="00AA2F92">
        <w:rPr>
          <w:rFonts w:eastAsia="PMingLiU" w:cs="Times New Roman"/>
        </w:rPr>
        <w:t>§</w:t>
      </w:r>
      <w:r w:rsidR="00AA2F92" w:rsidRPr="00AA2F92">
        <w:rPr>
          <w:rFonts w:eastAsia="PMingLiU"/>
        </w:rPr>
        <w:t xml:space="preserve"> 1.83</w:t>
      </w:r>
      <w:r w:rsidR="0087450C">
        <w:rPr>
          <w:rFonts w:eastAsia="PMingLiU"/>
        </w:rPr>
        <w:t xml:space="preserve"> reports </w:t>
      </w:r>
      <w:r w:rsidR="00AA2F92" w:rsidRPr="00AA2F92">
        <w:rPr>
          <w:rFonts w:eastAsia="PMingLiU"/>
        </w:rPr>
        <w:t xml:space="preserve">will enable </w:t>
      </w:r>
      <w:r w:rsidR="0087450C">
        <w:rPr>
          <w:rFonts w:eastAsia="PMingLiU"/>
        </w:rPr>
        <w:t>each DCM</w:t>
      </w:r>
      <w:r w:rsidR="00AA2F92" w:rsidRPr="00AA2F92">
        <w:rPr>
          <w:rFonts w:eastAsia="PMingLiU"/>
        </w:rPr>
        <w:t xml:space="preserve"> to have a clearer understanding of the pre-trade risk controls of all AT Persons that are engaged in Algorithmic Trading on </w:t>
      </w:r>
      <w:r w:rsidR="0087450C">
        <w:rPr>
          <w:rFonts w:eastAsia="PMingLiU"/>
        </w:rPr>
        <w:t>its market and</w:t>
      </w:r>
      <w:r w:rsidR="00A1312B">
        <w:rPr>
          <w:rFonts w:eastAsia="PMingLiU"/>
        </w:rPr>
        <w:t xml:space="preserve"> the</w:t>
      </w:r>
      <w:r w:rsidR="0087450C">
        <w:rPr>
          <w:rFonts w:eastAsia="PMingLiU"/>
        </w:rPr>
        <w:t xml:space="preserve"> pre-trade risk control programs of clearing member FCMs</w:t>
      </w:r>
      <w:r w:rsidR="00AA2F92" w:rsidRPr="00AA2F92">
        <w:rPr>
          <w:rFonts w:eastAsia="PMingLiU"/>
        </w:rPr>
        <w:t>.  Furthermore, because AT Persons will have great flexibility in how they implement their pre-trade risk control</w:t>
      </w:r>
      <w:r w:rsidR="0087450C">
        <w:rPr>
          <w:rFonts w:eastAsia="PMingLiU"/>
        </w:rPr>
        <w:t>s pursuant to §§ 1.80(a</w:t>
      </w:r>
      <w:proofErr w:type="gramStart"/>
      <w:r w:rsidR="0087450C">
        <w:rPr>
          <w:rFonts w:eastAsia="PMingLiU"/>
        </w:rPr>
        <w:t>)(</w:t>
      </w:r>
      <w:proofErr w:type="gramEnd"/>
      <w:r w:rsidR="0087450C">
        <w:rPr>
          <w:rFonts w:eastAsia="PMingLiU"/>
        </w:rPr>
        <w:t xml:space="preserve">i), </w:t>
      </w:r>
      <w:r w:rsidR="00AA2F92" w:rsidRPr="00AA2F92">
        <w:rPr>
          <w:rFonts w:eastAsia="PMingLiU"/>
        </w:rPr>
        <w:t xml:space="preserve">the </w:t>
      </w:r>
      <w:r w:rsidR="0087450C">
        <w:rPr>
          <w:rFonts w:eastAsia="PMingLiU"/>
        </w:rPr>
        <w:t xml:space="preserve">compliance reports </w:t>
      </w:r>
      <w:r w:rsidR="00AA2F92" w:rsidRPr="00AA2F92">
        <w:rPr>
          <w:rFonts w:eastAsia="PMingLiU"/>
        </w:rPr>
        <w:t xml:space="preserve">will help ensure that controls are reasonably designed and calibrated. </w:t>
      </w:r>
      <w:r w:rsidR="00E60439">
        <w:rPr>
          <w:rFonts w:eastAsia="PMingLiU"/>
        </w:rPr>
        <w:t xml:space="preserve"> Since each AT Person and clearing member FCM will only have information as to its own pre-trade risk controls and overall risk control program, feedback from an objective third party, DCMs, will provide those market participants with a better understanding of whether their pre-trade risk controls (as to AT Persons) and pre-trade risk control programs (as to clearing member FCMs) are consistent with industry practice.</w:t>
      </w:r>
    </w:p>
    <w:p w14:paraId="76160061" w14:textId="77777777" w:rsidR="002E0580" w:rsidRDefault="002E0580" w:rsidP="00AA2F92">
      <w:pPr>
        <w:autoSpaceDE w:val="0"/>
        <w:autoSpaceDN w:val="0"/>
        <w:adjustRightInd w:val="0"/>
        <w:jc w:val="both"/>
        <w:rPr>
          <w:rFonts w:eastAsia="Times New Roman" w:cs="Times New Roman"/>
          <w:color w:val="000000"/>
          <w:szCs w:val="24"/>
        </w:rPr>
      </w:pPr>
    </w:p>
    <w:p w14:paraId="13365E7B" w14:textId="6A5384D8" w:rsidR="001C1A68" w:rsidRDefault="002E0580" w:rsidP="001C1A68">
      <w:pPr>
        <w:autoSpaceDE w:val="0"/>
        <w:autoSpaceDN w:val="0"/>
        <w:adjustRightInd w:val="0"/>
        <w:ind w:firstLine="720"/>
        <w:rPr>
          <w:rFonts w:eastAsia="PMingLiU"/>
        </w:rPr>
      </w:pPr>
      <w:r w:rsidRPr="004B7B89">
        <w:rPr>
          <w:rFonts w:eastAsia="PMingLiU"/>
          <w:b/>
          <w:bCs/>
        </w:rPr>
        <w:t>§ 1.83(c) and (d)</w:t>
      </w:r>
      <w:r>
        <w:rPr>
          <w:rFonts w:eastAsia="PMingLiU"/>
          <w:bCs/>
        </w:rPr>
        <w:t>.</w:t>
      </w:r>
      <w:r w:rsidR="0037088D">
        <w:rPr>
          <w:rFonts w:eastAsia="PMingLiU"/>
          <w:bCs/>
        </w:rPr>
        <w:t xml:space="preserve">  </w:t>
      </w:r>
      <w:r w:rsidR="0037088D">
        <w:rPr>
          <w:rFonts w:eastAsia="PMingLiU"/>
        </w:rPr>
        <w:t>DCM</w:t>
      </w:r>
      <w:r w:rsidR="0087450C">
        <w:rPr>
          <w:rFonts w:eastAsia="PMingLiU"/>
        </w:rPr>
        <w:t>s</w:t>
      </w:r>
      <w:r w:rsidR="0037088D">
        <w:rPr>
          <w:rFonts w:eastAsia="PMingLiU"/>
        </w:rPr>
        <w:t xml:space="preserve"> would use</w:t>
      </w:r>
      <w:r w:rsidR="0087450C">
        <w:rPr>
          <w:rFonts w:eastAsia="PMingLiU"/>
        </w:rPr>
        <w:t xml:space="preserve"> this data</w:t>
      </w:r>
      <w:r w:rsidR="0037088D">
        <w:rPr>
          <w:rFonts w:eastAsia="PMingLiU"/>
        </w:rPr>
        <w:t xml:space="preserve"> to comply with proposed </w:t>
      </w:r>
      <w:r w:rsidR="0037088D">
        <w:rPr>
          <w:rFonts w:eastAsia="PMingLiU" w:cs="Times New Roman"/>
        </w:rPr>
        <w:t xml:space="preserve">§ </w:t>
      </w:r>
      <w:r w:rsidR="0037088D">
        <w:rPr>
          <w:rFonts w:eastAsia="PMingLiU"/>
        </w:rPr>
        <w:t>40.22(e)</w:t>
      </w:r>
      <w:r w:rsidR="0087450C">
        <w:rPr>
          <w:rFonts w:eastAsia="PMingLiU"/>
        </w:rPr>
        <w:t xml:space="preserve">.  Proposed </w:t>
      </w:r>
      <w:r w:rsidR="0087450C">
        <w:rPr>
          <w:rFonts w:eastAsia="PMingLiU" w:cs="Times New Roman"/>
        </w:rPr>
        <w:t>§</w:t>
      </w:r>
      <w:r w:rsidR="0087450C">
        <w:rPr>
          <w:rFonts w:eastAsia="PMingLiU"/>
        </w:rPr>
        <w:t xml:space="preserve"> 40.22(e) </w:t>
      </w:r>
      <w:r w:rsidR="001C1A68">
        <w:rPr>
          <w:rFonts w:eastAsia="PMingLiU"/>
        </w:rPr>
        <w:t>would require</w:t>
      </w:r>
      <w:r w:rsidR="0037088D">
        <w:rPr>
          <w:rFonts w:eastAsia="PMingLiU"/>
        </w:rPr>
        <w:t xml:space="preserve"> DCMs to review and evaluate </w:t>
      </w:r>
      <w:r w:rsidR="001C1A68">
        <w:rPr>
          <w:rFonts w:eastAsia="PMingLiU"/>
        </w:rPr>
        <w:t xml:space="preserve">the books and records that AP Persons and clearing member FCMs keep regarding compliance with </w:t>
      </w:r>
      <w:r w:rsidR="001C1A68">
        <w:rPr>
          <w:rFonts w:eastAsia="PMingLiU" w:cs="Times New Roman"/>
        </w:rPr>
        <w:t>§§</w:t>
      </w:r>
      <w:r w:rsidR="001C1A68">
        <w:rPr>
          <w:rFonts w:eastAsia="PMingLiU"/>
        </w:rPr>
        <w:t xml:space="preserve"> 1.80 and 1.81, or </w:t>
      </w:r>
      <w:r w:rsidR="001C1A68">
        <w:rPr>
          <w:rFonts w:eastAsia="PMingLiU" w:cs="Times New Roman"/>
        </w:rPr>
        <w:t>§</w:t>
      </w:r>
      <w:r w:rsidR="001C1A68">
        <w:rPr>
          <w:rFonts w:eastAsia="PMingLiU"/>
        </w:rPr>
        <w:t xml:space="preserve"> 1.82, respectively.  </w:t>
      </w:r>
      <w:r w:rsidR="0037088D">
        <w:rPr>
          <w:rFonts w:eastAsia="PMingLiU"/>
        </w:rPr>
        <w:t xml:space="preserve">The retention of such </w:t>
      </w:r>
      <w:r w:rsidR="001C1A68">
        <w:rPr>
          <w:rFonts w:eastAsia="PMingLiU"/>
        </w:rPr>
        <w:t xml:space="preserve">books and </w:t>
      </w:r>
      <w:r w:rsidR="00F56608">
        <w:rPr>
          <w:rFonts w:eastAsia="PMingLiU"/>
        </w:rPr>
        <w:t>records</w:t>
      </w:r>
      <w:r w:rsidR="001C1A68">
        <w:rPr>
          <w:rFonts w:eastAsia="PMingLiU"/>
        </w:rPr>
        <w:t xml:space="preserve"> </w:t>
      </w:r>
      <w:r w:rsidR="00AA2F92">
        <w:rPr>
          <w:rFonts w:eastAsia="PMingLiU"/>
        </w:rPr>
        <w:t xml:space="preserve">will enable DCMs to have a clearer understanding of the procedures implemented by all AT Persons </w:t>
      </w:r>
      <w:r w:rsidR="001C1A68">
        <w:rPr>
          <w:rFonts w:eastAsia="PMingLiU"/>
        </w:rPr>
        <w:t>and clearing member FCMs to address the risks of automated trading.</w:t>
      </w:r>
      <w:r w:rsidR="00E60439">
        <w:rPr>
          <w:rFonts w:eastAsia="PMingLiU"/>
        </w:rPr>
        <w:t xml:space="preserve">  Feedback from an objective third party, DCMs, will provide market participants with a better understanding of whether such procedures are consistent with industry practice.</w:t>
      </w:r>
    </w:p>
    <w:p w14:paraId="25F579EB" w14:textId="77777777" w:rsidR="002E0580" w:rsidRDefault="002E0580" w:rsidP="00E3054F">
      <w:pPr>
        <w:autoSpaceDE w:val="0"/>
        <w:autoSpaceDN w:val="0"/>
        <w:adjustRightInd w:val="0"/>
        <w:rPr>
          <w:rFonts w:eastAsia="PMingLiU" w:cs="Times New Roman"/>
          <w:szCs w:val="24"/>
        </w:rPr>
      </w:pPr>
    </w:p>
    <w:p w14:paraId="6E5EC909" w14:textId="705C48F9" w:rsidR="00E3054F" w:rsidRPr="00E3054F" w:rsidRDefault="002E0580" w:rsidP="00E3054F">
      <w:pPr>
        <w:autoSpaceDE w:val="0"/>
        <w:autoSpaceDN w:val="0"/>
        <w:adjustRightInd w:val="0"/>
        <w:ind w:firstLine="720"/>
        <w:rPr>
          <w:rFonts w:eastAsia="PMingLiU"/>
          <w:color w:val="000000"/>
          <w:szCs w:val="24"/>
        </w:rPr>
      </w:pPr>
      <w:r w:rsidRPr="004B7B89">
        <w:rPr>
          <w:rFonts w:eastAsia="PMingLiU" w:cs="Times New Roman"/>
          <w:b/>
          <w:szCs w:val="24"/>
        </w:rPr>
        <w:t xml:space="preserve">§ </w:t>
      </w:r>
      <w:r w:rsidRPr="004B7B89">
        <w:rPr>
          <w:rFonts w:eastAsia="PMingLiU"/>
          <w:b/>
        </w:rPr>
        <w:t>40.23(c)</w:t>
      </w:r>
      <w:r>
        <w:rPr>
          <w:rFonts w:eastAsia="PMingLiU"/>
        </w:rPr>
        <w:t>.</w:t>
      </w:r>
      <w:r w:rsidR="00E3054F">
        <w:rPr>
          <w:rFonts w:eastAsia="PMingLiU"/>
        </w:rPr>
        <w:t xml:space="preserve">  </w:t>
      </w:r>
      <w:r w:rsidR="006D0819">
        <w:rPr>
          <w:rFonts w:eastAsia="PMingLiU" w:cs="Times New Roman"/>
          <w:szCs w:val="24"/>
        </w:rPr>
        <w:t xml:space="preserve">DCMs would use market participants’ self-trade </w:t>
      </w:r>
      <w:r w:rsidR="006D0819">
        <w:rPr>
          <w:rFonts w:eastAsia="PMingLiU"/>
          <w:color w:val="000000"/>
          <w:szCs w:val="24"/>
        </w:rPr>
        <w:t>approval requests to</w:t>
      </w:r>
      <w:r w:rsidR="00E3054F">
        <w:rPr>
          <w:rFonts w:eastAsia="PMingLiU"/>
          <w:color w:val="000000"/>
          <w:szCs w:val="24"/>
        </w:rPr>
        <w:t xml:space="preserve"> ensure that self-trading </w:t>
      </w:r>
      <w:r w:rsidR="006D0819">
        <w:rPr>
          <w:rFonts w:eastAsia="PMingLiU"/>
          <w:color w:val="000000"/>
          <w:szCs w:val="24"/>
        </w:rPr>
        <w:t>approved</w:t>
      </w:r>
      <w:r w:rsidR="00E3054F">
        <w:rPr>
          <w:rFonts w:eastAsia="PMingLiU"/>
          <w:color w:val="000000"/>
          <w:szCs w:val="24"/>
        </w:rPr>
        <w:t xml:space="preserve"> by DCMs meets the criteria set forth in </w:t>
      </w:r>
      <w:r w:rsidR="00E3054F" w:rsidRPr="007F00B6">
        <w:rPr>
          <w:rFonts w:eastAsia="PMingLiU"/>
        </w:rPr>
        <w:t>§ 40.23(b)</w:t>
      </w:r>
      <w:r w:rsidR="00E3054F">
        <w:rPr>
          <w:rFonts w:eastAsia="PMingLiU"/>
        </w:rPr>
        <w:t xml:space="preserve">.  </w:t>
      </w:r>
    </w:p>
    <w:p w14:paraId="45535B7A" w14:textId="77777777" w:rsidR="00E3054F" w:rsidRDefault="00E3054F" w:rsidP="002E0580">
      <w:pPr>
        <w:autoSpaceDE w:val="0"/>
        <w:autoSpaceDN w:val="0"/>
        <w:adjustRightInd w:val="0"/>
        <w:jc w:val="both"/>
        <w:rPr>
          <w:rFonts w:eastAsia="PMingLiU"/>
        </w:rPr>
      </w:pPr>
    </w:p>
    <w:p w14:paraId="0B76165F" w14:textId="4FBD7785" w:rsidR="00E3054F" w:rsidRDefault="002E0580" w:rsidP="00110B3D">
      <w:pPr>
        <w:autoSpaceDE w:val="0"/>
        <w:autoSpaceDN w:val="0"/>
        <w:adjustRightInd w:val="0"/>
        <w:ind w:firstLine="720"/>
        <w:rPr>
          <w:rFonts w:eastAsia="PMingLiU"/>
        </w:rPr>
      </w:pPr>
      <w:proofErr w:type="gramStart"/>
      <w:r w:rsidRPr="004B7B89">
        <w:rPr>
          <w:rFonts w:eastAsia="PMingLiU"/>
          <w:b/>
        </w:rPr>
        <w:t>§ 40.23(d)</w:t>
      </w:r>
      <w:r>
        <w:rPr>
          <w:rFonts w:eastAsia="PMingLiU"/>
        </w:rPr>
        <w:t>.</w:t>
      </w:r>
      <w:proofErr w:type="gramEnd"/>
      <w:r w:rsidR="00E3054F">
        <w:rPr>
          <w:rFonts w:eastAsia="PMingLiU"/>
        </w:rPr>
        <w:t xml:space="preserve">  </w:t>
      </w:r>
      <w:r w:rsidR="006D0819">
        <w:rPr>
          <w:rFonts w:eastAsia="PMingLiU"/>
        </w:rPr>
        <w:t>This data disclosed by DCMs to the Commission and market participants would be used to understand t</w:t>
      </w:r>
      <w:r w:rsidR="00207ED0">
        <w:rPr>
          <w:rFonts w:eastAsia="PMingLiU"/>
        </w:rPr>
        <w:t xml:space="preserve">he levels of DCM-approved and DCM-prevented self-trading that is occurring on each DCM.  </w:t>
      </w:r>
      <w:r w:rsidR="006D0819">
        <w:rPr>
          <w:rFonts w:eastAsia="PMingLiU"/>
        </w:rPr>
        <w:t xml:space="preserve"> </w:t>
      </w:r>
    </w:p>
    <w:p w14:paraId="75984FA8" w14:textId="77777777" w:rsidR="002E0580" w:rsidRDefault="002E0580" w:rsidP="002E0580">
      <w:pPr>
        <w:autoSpaceDE w:val="0"/>
        <w:autoSpaceDN w:val="0"/>
        <w:adjustRightInd w:val="0"/>
        <w:jc w:val="both"/>
        <w:rPr>
          <w:rFonts w:eastAsia="PMingLiU"/>
        </w:rPr>
      </w:pPr>
    </w:p>
    <w:p w14:paraId="6C621312" w14:textId="77777777" w:rsidR="000822F9" w:rsidRPr="00B86819" w:rsidRDefault="000822F9" w:rsidP="001577B2">
      <w:pPr>
        <w:rPr>
          <w:rFonts w:eastAsia="Times New Roman" w:cs="Times New Roman"/>
          <w:color w:val="000000"/>
          <w:szCs w:val="24"/>
        </w:rPr>
      </w:pPr>
    </w:p>
    <w:p w14:paraId="5A55EC81"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76BD57E3" w14:textId="055C1F76" w:rsidR="00AD2AF1" w:rsidRDefault="00836741" w:rsidP="00D945B5">
      <w:pPr>
        <w:tabs>
          <w:tab w:val="left" w:pos="-720"/>
          <w:tab w:val="left" w:pos="0"/>
        </w:tabs>
        <w:spacing w:after="240"/>
        <w:jc w:val="both"/>
        <w:rPr>
          <w:rFonts w:eastAsia="Times New Roman" w:cs="Times New Roman"/>
          <w:szCs w:val="24"/>
        </w:rPr>
      </w:pPr>
      <w:r>
        <w:rPr>
          <w:rFonts w:eastAsia="Times New Roman" w:cs="Times New Roman"/>
          <w:szCs w:val="24"/>
        </w:rPr>
        <w:tab/>
        <w:t>The collection</w:t>
      </w:r>
      <w:r w:rsidR="00A051AF">
        <w:rPr>
          <w:rFonts w:eastAsia="Times New Roman" w:cs="Times New Roman"/>
          <w:szCs w:val="24"/>
        </w:rPr>
        <w:t>s</w:t>
      </w:r>
      <w:r w:rsidR="00642B6A" w:rsidRPr="00642B6A">
        <w:rPr>
          <w:rFonts w:eastAsia="Times New Roman" w:cs="Times New Roman"/>
          <w:szCs w:val="24"/>
        </w:rPr>
        <w:t xml:space="preserve"> of information </w:t>
      </w:r>
      <w:r w:rsidR="00A051AF">
        <w:rPr>
          <w:rFonts w:eastAsia="Times New Roman" w:cs="Times New Roman"/>
          <w:szCs w:val="24"/>
        </w:rPr>
        <w:t xml:space="preserve">described above </w:t>
      </w:r>
      <w:r w:rsidR="00642B6A" w:rsidRPr="00642B6A">
        <w:rPr>
          <w:rFonts w:eastAsia="Times New Roman" w:cs="Times New Roman"/>
          <w:szCs w:val="24"/>
        </w:rPr>
        <w:t xml:space="preserve">may be reported electronically.  </w:t>
      </w:r>
    </w:p>
    <w:p w14:paraId="2A89D925" w14:textId="77777777" w:rsidR="00CB0776" w:rsidRPr="00642B6A" w:rsidRDefault="00CB0776" w:rsidP="00D945B5">
      <w:pPr>
        <w:tabs>
          <w:tab w:val="left" w:pos="-720"/>
          <w:tab w:val="left" w:pos="0"/>
        </w:tabs>
        <w:spacing w:after="240"/>
        <w:jc w:val="both"/>
        <w:rPr>
          <w:rFonts w:eastAsia="Times New Roman" w:cs="Times New Roman"/>
          <w:szCs w:val="24"/>
        </w:rPr>
      </w:pPr>
    </w:p>
    <w:p w14:paraId="5A55EC83"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42F7F850" w14:textId="796B1798" w:rsidR="00AA0863" w:rsidRDefault="00642B6A" w:rsidP="00A051AF">
      <w:pPr>
        <w:tabs>
          <w:tab w:val="left" w:pos="-720"/>
        </w:tabs>
        <w:spacing w:after="240"/>
        <w:rPr>
          <w:rFonts w:eastAsia="Times New Roman" w:cs="Times New Roman"/>
          <w:szCs w:val="24"/>
        </w:rPr>
      </w:pPr>
      <w:r w:rsidRPr="00642B6A">
        <w:rPr>
          <w:rFonts w:eastAsia="Times New Roman" w:cs="Times New Roman"/>
          <w:szCs w:val="24"/>
        </w:rPr>
        <w:tab/>
      </w:r>
      <w:r w:rsidR="00207ED0">
        <w:rPr>
          <w:rFonts w:eastAsia="Times New Roman" w:cs="Times New Roman"/>
          <w:szCs w:val="24"/>
        </w:rPr>
        <w:t xml:space="preserve">Proposed </w:t>
      </w:r>
      <w:r w:rsidR="00207ED0" w:rsidRPr="00994CC8">
        <w:rPr>
          <w:rFonts w:eastAsia="Times New Roman" w:cs="Times New Roman"/>
          <w:b/>
          <w:szCs w:val="24"/>
        </w:rPr>
        <w:t>§</w:t>
      </w:r>
      <w:r w:rsidR="00207ED0">
        <w:rPr>
          <w:rFonts w:eastAsia="Times New Roman" w:cs="Times New Roman"/>
          <w:b/>
          <w:szCs w:val="24"/>
        </w:rPr>
        <w:t>§</w:t>
      </w:r>
      <w:r w:rsidR="00207ED0" w:rsidRPr="00994CC8">
        <w:rPr>
          <w:rFonts w:eastAsia="Times New Roman" w:cs="Times New Roman"/>
          <w:b/>
          <w:szCs w:val="24"/>
        </w:rPr>
        <w:t xml:space="preserve"> </w:t>
      </w:r>
      <w:r w:rsidR="00207ED0" w:rsidRPr="00994CC8">
        <w:rPr>
          <w:b/>
          <w:bCs/>
        </w:rPr>
        <w:t>1.83</w:t>
      </w:r>
      <w:r w:rsidR="00B65A0A">
        <w:rPr>
          <w:b/>
          <w:bCs/>
        </w:rPr>
        <w:t xml:space="preserve"> </w:t>
      </w:r>
      <w:r w:rsidR="00207ED0">
        <w:rPr>
          <w:b/>
        </w:rPr>
        <w:t xml:space="preserve">and </w:t>
      </w:r>
      <w:r w:rsidR="00CD1651">
        <w:rPr>
          <w:b/>
        </w:rPr>
        <w:t xml:space="preserve">40.23 </w:t>
      </w:r>
      <w:r w:rsidR="00207ED0">
        <w:rPr>
          <w:rFonts w:eastAsia="Times New Roman" w:cs="Times New Roman"/>
          <w:szCs w:val="24"/>
        </w:rPr>
        <w:t xml:space="preserve">are entirely new regulations.  </w:t>
      </w:r>
      <w:r w:rsidR="00554929">
        <w:rPr>
          <w:rFonts w:eastAsia="Times New Roman" w:cs="Times New Roman"/>
          <w:szCs w:val="24"/>
        </w:rPr>
        <w:t>Therefore, t</w:t>
      </w:r>
      <w:r w:rsidR="00554929" w:rsidRPr="00554929">
        <w:rPr>
          <w:rFonts w:eastAsia="Times New Roman" w:cs="Times New Roman"/>
          <w:szCs w:val="24"/>
        </w:rPr>
        <w:t>he required information is not already collected by the Commission for any other purpose, collected by any other agency, or available for public disclosure through any other source.</w:t>
      </w:r>
      <w:r w:rsidR="003B5288" w:rsidRPr="00B20669">
        <w:rPr>
          <w:rFonts w:eastAsia="PMingLiU"/>
          <w:lang w:eastAsia="zh-TW"/>
        </w:rPr>
        <w:t xml:space="preserve"> </w:t>
      </w:r>
    </w:p>
    <w:p w14:paraId="1B136689" w14:textId="77777777" w:rsidR="00CD1651" w:rsidRPr="00642B6A" w:rsidRDefault="00CD1651" w:rsidP="00A051AF">
      <w:pPr>
        <w:tabs>
          <w:tab w:val="left" w:pos="-720"/>
        </w:tabs>
        <w:spacing w:after="240"/>
        <w:rPr>
          <w:rFonts w:eastAsia="Times New Roman" w:cs="Times New Roman"/>
          <w:szCs w:val="24"/>
        </w:rPr>
      </w:pPr>
    </w:p>
    <w:p w14:paraId="5A55EC8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14:paraId="0CE6D07E" w14:textId="77777777" w:rsidR="0061100E" w:rsidRDefault="004D1B4F" w:rsidP="00527327">
      <w:pPr>
        <w:tabs>
          <w:tab w:val="left" w:pos="-720"/>
        </w:tabs>
        <w:spacing w:after="240"/>
        <w:rPr>
          <w:rFonts w:eastAsia="Times New Roman" w:cs="Times New Roman"/>
          <w:szCs w:val="24"/>
        </w:rPr>
      </w:pPr>
      <w:r>
        <w:rPr>
          <w:rFonts w:eastAsia="Times New Roman" w:cs="Times New Roman"/>
          <w:szCs w:val="24"/>
        </w:rPr>
        <w:tab/>
      </w:r>
      <w:r w:rsidR="00653546">
        <w:rPr>
          <w:rFonts w:eastAsia="Times New Roman" w:cs="Times New Roman"/>
          <w:szCs w:val="24"/>
        </w:rPr>
        <w:t xml:space="preserve">The Commission does not believe that this collection of information will have a significant economic impact on a substantial number of small entities.  As stated in the NPRM, the Commission estimates that there will be at most 420 AT Persons.  </w:t>
      </w:r>
    </w:p>
    <w:p w14:paraId="3FF813D9" w14:textId="0A217BAA" w:rsidR="0061100E" w:rsidRDefault="0061100E" w:rsidP="00527327">
      <w:pPr>
        <w:tabs>
          <w:tab w:val="left" w:pos="-720"/>
        </w:tabs>
        <w:spacing w:after="240"/>
        <w:rPr>
          <w:rFonts w:eastAsia="Times New Roman" w:cs="Times New Roman"/>
          <w:szCs w:val="24"/>
        </w:rPr>
      </w:pPr>
      <w:r>
        <w:rPr>
          <w:rFonts w:eastAsia="Times New Roman" w:cs="Times New Roman"/>
          <w:szCs w:val="24"/>
        </w:rPr>
        <w:tab/>
      </w:r>
      <w:r w:rsidRPr="0061100E">
        <w:rPr>
          <w:rFonts w:eastAsia="Times New Roman" w:cs="Times New Roman"/>
          <w:szCs w:val="24"/>
        </w:rPr>
        <w:t xml:space="preserve">The small entities to which the information collection may apply are those floor brokers, floor traders (as defined in § 1.3(x)(3) of the proposed rulemaking), commodity trading advisors (CTAs) and introducing brokers (IBs) that engage in Algorithmic Trading, as defined in the proposed rulemaking, and fall within the definition of a “small entity” under the Regulatory Flexibility Act (RFA).  The Commission estimates that no floor brokers will be “small entities” for purposes of the RFA, and that a maximum of 100 proprietary firms engaged in Algorithmic Trading will be considered “floor traders” under § 1.3(x)(3) of the proposed rulemaking. </w:t>
      </w:r>
      <w:r w:rsidR="00937D70">
        <w:rPr>
          <w:rFonts w:eastAsia="Times New Roman" w:cs="Times New Roman"/>
          <w:szCs w:val="24"/>
        </w:rPr>
        <w:t xml:space="preserve"> </w:t>
      </w:r>
      <w:r w:rsidRPr="0061100E">
        <w:rPr>
          <w:rFonts w:eastAsia="Times New Roman" w:cs="Times New Roman"/>
          <w:szCs w:val="24"/>
        </w:rPr>
        <w:t xml:space="preserve">The Commission estimates that the information collection will apply to no more than a total of 320 CTAs and </w:t>
      </w:r>
      <w:proofErr w:type="gramStart"/>
      <w:r w:rsidRPr="0061100E">
        <w:rPr>
          <w:rFonts w:eastAsia="Times New Roman" w:cs="Times New Roman"/>
          <w:szCs w:val="24"/>
        </w:rPr>
        <w:t>IBs,</w:t>
      </w:r>
      <w:proofErr w:type="gramEnd"/>
      <w:r w:rsidRPr="0061100E">
        <w:rPr>
          <w:rFonts w:eastAsia="Times New Roman" w:cs="Times New Roman"/>
          <w:szCs w:val="24"/>
        </w:rPr>
        <w:t xml:space="preserve"> and likely significantly less than 320. </w:t>
      </w:r>
      <w:r w:rsidR="00937D70">
        <w:rPr>
          <w:rFonts w:eastAsia="Times New Roman" w:cs="Times New Roman"/>
          <w:szCs w:val="24"/>
        </w:rPr>
        <w:t xml:space="preserve"> </w:t>
      </w:r>
      <w:r w:rsidRPr="0061100E">
        <w:rPr>
          <w:rFonts w:eastAsia="Times New Roman" w:cs="Times New Roman"/>
          <w:szCs w:val="24"/>
        </w:rPr>
        <w:t>Based on the numbers described above, the Commission does not believe that a substantial number of small entities will be impacted by the information collection.</w:t>
      </w:r>
    </w:p>
    <w:p w14:paraId="2E04CDE4" w14:textId="70904B20" w:rsidR="00BD7D8C" w:rsidRPr="0061100E" w:rsidRDefault="0061100E" w:rsidP="00527327">
      <w:pPr>
        <w:tabs>
          <w:tab w:val="left" w:pos="-720"/>
        </w:tabs>
        <w:spacing w:after="240"/>
        <w:rPr>
          <w:rFonts w:eastAsia="Times New Roman" w:cs="Times New Roman"/>
          <w:szCs w:val="24"/>
        </w:rPr>
      </w:pPr>
      <w:r>
        <w:rPr>
          <w:rFonts w:eastAsia="Times New Roman" w:cs="Times New Roman"/>
          <w:szCs w:val="24"/>
        </w:rPr>
        <w:tab/>
      </w:r>
      <w:r w:rsidR="00653546">
        <w:rPr>
          <w:rFonts w:eastAsia="Times New Roman" w:cs="Times New Roman"/>
          <w:szCs w:val="24"/>
        </w:rPr>
        <w:t>Further, t</w:t>
      </w:r>
      <w:r w:rsidR="00653546">
        <w:rPr>
          <w:rFonts w:eastAsia="PMingLiU"/>
          <w:szCs w:val="28"/>
          <w:lang w:eastAsia="zh-TW"/>
        </w:rPr>
        <w:t xml:space="preserve">he </w:t>
      </w:r>
      <w:r w:rsidR="00653546">
        <w:rPr>
          <w:rFonts w:eastAsia="PMingLiU"/>
          <w:bCs/>
        </w:rPr>
        <w:t>definition of AT Person is limited to entities that conduct Algorithmic Trading.  The Commission believes that entities with such capabilities are</w:t>
      </w:r>
      <w:r>
        <w:rPr>
          <w:rFonts w:eastAsia="PMingLiU"/>
          <w:bCs/>
        </w:rPr>
        <w:t xml:space="preserve"> generally not small entities.  </w:t>
      </w:r>
      <w:r w:rsidR="004D1B4F">
        <w:rPr>
          <w:rFonts w:eastAsia="Times New Roman" w:cs="Times New Roman"/>
          <w:szCs w:val="24"/>
        </w:rPr>
        <w:t xml:space="preserve">The Commission has minimized any burden to small business or other small entities by </w:t>
      </w:r>
      <w:r w:rsidR="00E015E1" w:rsidRPr="00E015E1">
        <w:rPr>
          <w:rFonts w:eastAsia="PMingLiU"/>
          <w:szCs w:val="28"/>
          <w:lang w:eastAsia="zh-TW"/>
        </w:rPr>
        <w:t>propos</w:t>
      </w:r>
      <w:r w:rsidR="00E015E1">
        <w:rPr>
          <w:rFonts w:eastAsia="PMingLiU"/>
          <w:szCs w:val="28"/>
          <w:lang w:eastAsia="zh-TW"/>
        </w:rPr>
        <w:t>ing</w:t>
      </w:r>
      <w:r w:rsidR="00E015E1" w:rsidRPr="00E015E1">
        <w:rPr>
          <w:rFonts w:eastAsia="PMingLiU"/>
          <w:szCs w:val="28"/>
          <w:lang w:eastAsia="zh-TW"/>
        </w:rPr>
        <w:t xml:space="preserve"> regulations</w:t>
      </w:r>
      <w:r w:rsidR="00E015E1">
        <w:rPr>
          <w:rFonts w:eastAsia="PMingLiU"/>
          <w:szCs w:val="28"/>
          <w:lang w:eastAsia="zh-TW"/>
        </w:rPr>
        <w:t xml:space="preserve"> that</w:t>
      </w:r>
      <w:r w:rsidR="00E015E1" w:rsidRPr="00E015E1">
        <w:rPr>
          <w:rFonts w:eastAsia="PMingLiU"/>
          <w:szCs w:val="28"/>
          <w:lang w:eastAsia="zh-TW"/>
        </w:rPr>
        <w:t xml:space="preserve"> represent an appropriate balancing of </w:t>
      </w:r>
      <w:r w:rsidR="004F3AFA">
        <w:rPr>
          <w:rFonts w:eastAsia="PMingLiU"/>
          <w:szCs w:val="28"/>
          <w:lang w:eastAsia="zh-TW"/>
        </w:rPr>
        <w:t xml:space="preserve">its goal of </w:t>
      </w:r>
      <w:r w:rsidR="00527327">
        <w:rPr>
          <w:rFonts w:eastAsia="PMingLiU"/>
          <w:szCs w:val="28"/>
          <w:lang w:eastAsia="zh-TW"/>
        </w:rPr>
        <w:t xml:space="preserve">increased </w:t>
      </w:r>
      <w:r w:rsidR="00E015E1" w:rsidRPr="00E015E1">
        <w:rPr>
          <w:rFonts w:eastAsia="PMingLiU"/>
          <w:szCs w:val="28"/>
          <w:lang w:eastAsia="zh-TW"/>
        </w:rPr>
        <w:t>transparency and risk reduction against</w:t>
      </w:r>
      <w:r w:rsidR="00E015E1">
        <w:rPr>
          <w:rFonts w:eastAsia="PMingLiU"/>
          <w:szCs w:val="28"/>
          <w:lang w:eastAsia="zh-TW"/>
        </w:rPr>
        <w:t xml:space="preserve"> the burden placed on </w:t>
      </w:r>
      <w:r w:rsidR="0081737B">
        <w:rPr>
          <w:rFonts w:eastAsia="PMingLiU"/>
          <w:szCs w:val="28"/>
          <w:lang w:eastAsia="zh-TW"/>
        </w:rPr>
        <w:t>such entities.</w:t>
      </w:r>
      <w:r w:rsidR="00E015E1">
        <w:rPr>
          <w:rFonts w:eastAsia="PMingLiU"/>
          <w:szCs w:val="28"/>
          <w:lang w:eastAsia="zh-TW"/>
        </w:rPr>
        <w:t xml:space="preserve">  </w:t>
      </w:r>
      <w:r w:rsidR="004D1B4F">
        <w:rPr>
          <w:rFonts w:eastAsia="PMingLiU"/>
          <w:bCs/>
        </w:rPr>
        <w:t xml:space="preserve">The NPRM asks specific questions on the issue of how the proposed regulations </w:t>
      </w:r>
      <w:r w:rsidR="00653546">
        <w:rPr>
          <w:rFonts w:eastAsia="PMingLiU"/>
          <w:bCs/>
        </w:rPr>
        <w:t>may</w:t>
      </w:r>
      <w:r w:rsidR="004D1B4F">
        <w:rPr>
          <w:rFonts w:eastAsia="PMingLiU"/>
          <w:bCs/>
        </w:rPr>
        <w:t xml:space="preserve"> affect small entities, in particular, whether sole proprietorships would be considered AT Persons and </w:t>
      </w:r>
      <w:r w:rsidR="00BD7D8C">
        <w:rPr>
          <w:rFonts w:eastAsia="PMingLiU"/>
          <w:bCs/>
        </w:rPr>
        <w:t>whether Regulation AT requirements should vary depending on the size, sophistication or other attributes of the AT Person.</w:t>
      </w:r>
    </w:p>
    <w:p w14:paraId="5A55EC8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36FEBD9D" w14:textId="5D2E87D6" w:rsidR="00A8233C" w:rsidRPr="004F3AFA" w:rsidRDefault="00A8233C" w:rsidP="002A7308">
      <w:pPr>
        <w:autoSpaceDE w:val="0"/>
        <w:autoSpaceDN w:val="0"/>
        <w:adjustRightInd w:val="0"/>
        <w:spacing w:after="120"/>
        <w:ind w:firstLine="720"/>
        <w:rPr>
          <w:rFonts w:cs="Times New Roman"/>
          <w:szCs w:val="24"/>
        </w:rPr>
      </w:pPr>
      <w:r w:rsidRPr="004F3AFA">
        <w:rPr>
          <w:rFonts w:eastAsia="PMingLiU"/>
          <w:bCs/>
        </w:rPr>
        <w:t>The proposed regulations provide for the following frequency of collection:</w:t>
      </w:r>
      <w:r w:rsidR="002A7308" w:rsidRPr="004F3AFA">
        <w:rPr>
          <w:rFonts w:eastAsia="PMingLiU"/>
          <w:bCs/>
        </w:rPr>
        <w:t xml:space="preserve"> </w:t>
      </w:r>
      <w:r w:rsidR="00703B41" w:rsidRPr="004F3AFA">
        <w:rPr>
          <w:bCs/>
        </w:rPr>
        <w:t>§ 1.83(a) and (b)</w:t>
      </w:r>
      <w:r w:rsidR="002A7308" w:rsidRPr="004F3AFA">
        <w:rPr>
          <w:bCs/>
        </w:rPr>
        <w:t xml:space="preserve"> (a</w:t>
      </w:r>
      <w:r w:rsidR="002A7308" w:rsidRPr="004F3AFA">
        <w:rPr>
          <w:rFonts w:cs="Times New Roman"/>
          <w:szCs w:val="24"/>
        </w:rPr>
        <w:t>nnual reports);</w:t>
      </w:r>
      <w:r w:rsidR="00703B41" w:rsidRPr="004F3AFA">
        <w:rPr>
          <w:rFonts w:cs="Times New Roman"/>
          <w:szCs w:val="24"/>
        </w:rPr>
        <w:t xml:space="preserve"> </w:t>
      </w:r>
      <w:r w:rsidR="00703B41" w:rsidRPr="004F3AFA">
        <w:rPr>
          <w:bCs/>
        </w:rPr>
        <w:t>§ 1.83(c) and (d)</w:t>
      </w:r>
      <w:r w:rsidR="002A7308" w:rsidRPr="004F3AFA">
        <w:rPr>
          <w:bCs/>
        </w:rPr>
        <w:t xml:space="preserve"> (retention of books and records, </w:t>
      </w:r>
      <w:r w:rsidR="00703B41" w:rsidRPr="004F3AFA">
        <w:rPr>
          <w:bCs/>
        </w:rPr>
        <w:t>intermittent collection</w:t>
      </w:r>
      <w:r w:rsidR="002A7308" w:rsidRPr="004F3AFA">
        <w:rPr>
          <w:bCs/>
        </w:rPr>
        <w:t>);</w:t>
      </w:r>
      <w:r w:rsidR="002A7308" w:rsidRPr="004F3AFA">
        <w:rPr>
          <w:rFonts w:eastAsia="PMingLiU"/>
          <w:bCs/>
        </w:rPr>
        <w:t xml:space="preserve"> </w:t>
      </w:r>
      <w:r w:rsidR="00703B41" w:rsidRPr="004F3AFA">
        <w:rPr>
          <w:rFonts w:cs="Times New Roman"/>
          <w:szCs w:val="24"/>
        </w:rPr>
        <w:t xml:space="preserve">§ </w:t>
      </w:r>
      <w:r w:rsidR="00703B41" w:rsidRPr="004F3AFA">
        <w:t>40.23(c)</w:t>
      </w:r>
      <w:r w:rsidR="002A7308" w:rsidRPr="004F3AFA">
        <w:t xml:space="preserve"> (intermittent s</w:t>
      </w:r>
      <w:r w:rsidR="00F62536" w:rsidRPr="004F3AFA">
        <w:t>elf-trade approval requests</w:t>
      </w:r>
      <w:r w:rsidR="002A7308" w:rsidRPr="004F3AFA">
        <w:t>);</w:t>
      </w:r>
      <w:r w:rsidR="002A7308" w:rsidRPr="004F3AFA">
        <w:rPr>
          <w:rFonts w:eastAsia="PMingLiU"/>
          <w:bCs/>
        </w:rPr>
        <w:t xml:space="preserve"> </w:t>
      </w:r>
      <w:r w:rsidR="00703B41" w:rsidRPr="004F3AFA">
        <w:t>§ 40.23(d)</w:t>
      </w:r>
      <w:r w:rsidR="002A7308" w:rsidRPr="004F3AFA">
        <w:t xml:space="preserve"> (quarterly updating of self-trade </w:t>
      </w:r>
      <w:r w:rsidR="00DB5503">
        <w:rPr>
          <w:rFonts w:cs="Times New Roman"/>
          <w:szCs w:val="24"/>
        </w:rPr>
        <w:t>data</w:t>
      </w:r>
      <w:r w:rsidR="00CD1651">
        <w:rPr>
          <w:rFonts w:cs="Times New Roman"/>
          <w:szCs w:val="24"/>
        </w:rPr>
        <w:t>).</w:t>
      </w:r>
    </w:p>
    <w:p w14:paraId="10A8FD92" w14:textId="76937670" w:rsidR="00B743C4" w:rsidRDefault="00A8233C" w:rsidP="00B743C4">
      <w:pPr>
        <w:autoSpaceDE w:val="0"/>
        <w:autoSpaceDN w:val="0"/>
        <w:adjustRightInd w:val="0"/>
        <w:spacing w:after="120"/>
        <w:ind w:firstLine="720"/>
        <w:rPr>
          <w:rFonts w:eastAsia="PMingLiU" w:cs="Times New Roman"/>
          <w:szCs w:val="24"/>
          <w:lang w:val="en"/>
        </w:rPr>
      </w:pPr>
      <w:r w:rsidRPr="00A8233C">
        <w:t xml:space="preserve">The </w:t>
      </w:r>
      <w:r>
        <w:t xml:space="preserve">proposed frequency of collection requirements reflect the Commission’s balancing of </w:t>
      </w:r>
      <w:r w:rsidR="004F3AFA">
        <w:t xml:space="preserve">its goal </w:t>
      </w:r>
      <w:r>
        <w:t xml:space="preserve">increased </w:t>
      </w:r>
      <w:r w:rsidRPr="00A8233C">
        <w:rPr>
          <w:szCs w:val="28"/>
          <w:lang w:eastAsia="zh-TW"/>
        </w:rPr>
        <w:t xml:space="preserve">transparency and risk reduction against the burden placed on </w:t>
      </w:r>
      <w:r>
        <w:rPr>
          <w:szCs w:val="28"/>
          <w:lang w:eastAsia="zh-TW"/>
        </w:rPr>
        <w:t xml:space="preserve">the </w:t>
      </w:r>
      <w:r w:rsidR="004F3AFA">
        <w:rPr>
          <w:szCs w:val="28"/>
          <w:lang w:eastAsia="zh-TW"/>
        </w:rPr>
        <w:t>affected</w:t>
      </w:r>
      <w:r w:rsidR="00937D70">
        <w:rPr>
          <w:szCs w:val="28"/>
          <w:lang w:eastAsia="zh-TW"/>
        </w:rPr>
        <w:t xml:space="preserve"> entities</w:t>
      </w:r>
      <w:r w:rsidRPr="00A8233C">
        <w:rPr>
          <w:szCs w:val="28"/>
          <w:lang w:eastAsia="zh-TW"/>
        </w:rPr>
        <w:t>.</w:t>
      </w:r>
      <w:r w:rsidR="004F3AFA">
        <w:rPr>
          <w:szCs w:val="28"/>
          <w:lang w:eastAsia="zh-TW"/>
        </w:rPr>
        <w:t xml:space="preserve">  </w:t>
      </w:r>
      <w:r>
        <w:rPr>
          <w:rFonts w:cs="Times New Roman"/>
          <w:szCs w:val="28"/>
          <w:lang w:eastAsia="zh-TW"/>
        </w:rPr>
        <w:t xml:space="preserve">The Commission believes that </w:t>
      </w:r>
      <w:r w:rsidR="004F3AFA">
        <w:rPr>
          <w:rFonts w:cs="Times New Roman"/>
          <w:szCs w:val="28"/>
          <w:lang w:eastAsia="zh-TW"/>
        </w:rPr>
        <w:t>the requirements</w:t>
      </w:r>
      <w:r>
        <w:rPr>
          <w:szCs w:val="28"/>
          <w:lang w:eastAsia="zh-TW"/>
        </w:rPr>
        <w:t xml:space="preserve"> reflect the minimum reporting and disclosure that is necessary to </w:t>
      </w:r>
      <w:r w:rsidR="004F3AFA">
        <w:rPr>
          <w:szCs w:val="28"/>
          <w:lang w:eastAsia="zh-TW"/>
        </w:rPr>
        <w:t>achieve</w:t>
      </w:r>
      <w:r>
        <w:rPr>
          <w:szCs w:val="28"/>
          <w:lang w:eastAsia="zh-TW"/>
        </w:rPr>
        <w:t xml:space="preserve"> the Commission’s objectives</w:t>
      </w:r>
      <w:r w:rsidR="004F3AFA">
        <w:rPr>
          <w:szCs w:val="28"/>
          <w:lang w:eastAsia="zh-TW"/>
        </w:rPr>
        <w:t xml:space="preserve"> of</w:t>
      </w:r>
      <w:r w:rsidR="004F3AFA" w:rsidRPr="004F3AFA">
        <w:rPr>
          <w:rFonts w:eastAsia="PMingLiU" w:cs="Times New Roman"/>
          <w:szCs w:val="24"/>
        </w:rPr>
        <w:t xml:space="preserve"> </w:t>
      </w:r>
      <w:r w:rsidR="004F3AFA">
        <w:rPr>
          <w:rFonts w:eastAsia="PMingLiU" w:cs="Times New Roman"/>
          <w:szCs w:val="24"/>
        </w:rPr>
        <w:t xml:space="preserve">preventing </w:t>
      </w:r>
      <w:r w:rsidR="004F3AFA" w:rsidRPr="004049D0">
        <w:rPr>
          <w:rFonts w:eastAsia="PMingLiU" w:cs="Times New Roman"/>
          <w:lang w:val="en"/>
        </w:rPr>
        <w:t>disruptions to market inte</w:t>
      </w:r>
      <w:r w:rsidR="004F3AFA" w:rsidRPr="008D0711">
        <w:rPr>
          <w:rFonts w:eastAsia="PMingLiU" w:cs="Times New Roman"/>
          <w:lang w:val="en"/>
        </w:rPr>
        <w:t>grity, avoid</w:t>
      </w:r>
      <w:r w:rsidR="004F3AFA">
        <w:rPr>
          <w:rFonts w:eastAsia="PMingLiU" w:cs="Times New Roman"/>
          <w:lang w:val="en"/>
        </w:rPr>
        <w:t>ing</w:t>
      </w:r>
      <w:r w:rsidR="004F3AFA" w:rsidRPr="008D0711">
        <w:rPr>
          <w:rFonts w:eastAsia="PMingLiU" w:cs="Times New Roman"/>
          <w:szCs w:val="24"/>
        </w:rPr>
        <w:t xml:space="preserve"> </w:t>
      </w:r>
      <w:r w:rsidR="004F3AFA">
        <w:rPr>
          <w:rFonts w:eastAsia="PMingLiU" w:cs="Times New Roman"/>
          <w:szCs w:val="24"/>
        </w:rPr>
        <w:t>systemic risk and promoting</w:t>
      </w:r>
      <w:r w:rsidR="004F3AFA" w:rsidRPr="008D0711">
        <w:rPr>
          <w:rFonts w:eastAsia="PMingLiU" w:cs="Times New Roman"/>
          <w:szCs w:val="24"/>
        </w:rPr>
        <w:t xml:space="preserve"> </w:t>
      </w:r>
      <w:r w:rsidR="004F3AFA" w:rsidRPr="008D0711">
        <w:rPr>
          <w:rFonts w:eastAsia="PMingLiU" w:cs="Times New Roman"/>
          <w:lang w:val="en"/>
        </w:rPr>
        <w:t xml:space="preserve">responsible innovation and fair competition among boards of trade, other markets and market </w:t>
      </w:r>
      <w:r w:rsidR="004F3AFA" w:rsidRPr="008D0711">
        <w:rPr>
          <w:rFonts w:eastAsia="PMingLiU" w:cs="Times New Roman"/>
          <w:szCs w:val="24"/>
          <w:lang w:val="en"/>
        </w:rPr>
        <w:t xml:space="preserve">participants.  </w:t>
      </w:r>
      <w:r w:rsidR="00B743C4">
        <w:rPr>
          <w:rFonts w:eastAsia="PMingLiU" w:cs="Times New Roman"/>
          <w:szCs w:val="24"/>
          <w:lang w:val="en"/>
        </w:rPr>
        <w:t xml:space="preserve">In order to achieve such objectives </w:t>
      </w:r>
      <w:proofErr w:type="gramStart"/>
      <w:r w:rsidR="00B743C4">
        <w:rPr>
          <w:rFonts w:eastAsia="PMingLiU" w:cs="Times New Roman"/>
          <w:szCs w:val="24"/>
          <w:lang w:val="en"/>
        </w:rPr>
        <w:t>in  an</w:t>
      </w:r>
      <w:proofErr w:type="gramEnd"/>
      <w:r w:rsidR="00B743C4">
        <w:rPr>
          <w:rFonts w:eastAsia="PMingLiU" w:cs="Times New Roman"/>
          <w:szCs w:val="24"/>
          <w:lang w:val="en"/>
        </w:rPr>
        <w:t xml:space="preserve"> environment where </w:t>
      </w:r>
      <w:r w:rsidR="00B743C4">
        <w:rPr>
          <w:rFonts w:eastAsia="PMingLiU" w:cs="Times New Roman"/>
          <w:szCs w:val="24"/>
        </w:rPr>
        <w:t>d</w:t>
      </w:r>
      <w:r w:rsidR="00B743C4" w:rsidRPr="00082089">
        <w:rPr>
          <w:rFonts w:eastAsia="PMingLiU" w:cs="Times New Roman"/>
          <w:szCs w:val="24"/>
          <w:lang w:eastAsia="zh-TW"/>
        </w:rPr>
        <w:t>erivatives markets have transitioned from the manual processes to highly automated trading and trade</w:t>
      </w:r>
      <w:r w:rsidR="00B743C4">
        <w:rPr>
          <w:rFonts w:eastAsia="PMingLiU" w:cs="Times New Roman"/>
          <w:szCs w:val="24"/>
          <w:lang w:eastAsia="zh-TW"/>
        </w:rPr>
        <w:t xml:space="preserve"> matching systems, the Commission must have new rules addressing </w:t>
      </w:r>
      <w:r w:rsidR="00CD1651">
        <w:rPr>
          <w:rFonts w:eastAsia="PMingLiU" w:cs="Times New Roman"/>
          <w:szCs w:val="24"/>
          <w:lang w:eastAsia="zh-TW"/>
        </w:rPr>
        <w:t xml:space="preserve">the risks of </w:t>
      </w:r>
      <w:r w:rsidR="00B743C4">
        <w:rPr>
          <w:rFonts w:eastAsia="PMingLiU" w:cs="Times New Roman"/>
          <w:szCs w:val="24"/>
          <w:lang w:eastAsia="zh-TW"/>
        </w:rPr>
        <w:t>automated trading.</w:t>
      </w:r>
      <w:r w:rsidR="00B743C4" w:rsidRPr="00082089">
        <w:rPr>
          <w:rFonts w:eastAsia="PMingLiU" w:cs="Times New Roman"/>
          <w:szCs w:val="24"/>
          <w:lang w:eastAsia="zh-TW"/>
        </w:rPr>
        <w:t xml:space="preserve">  </w:t>
      </w:r>
    </w:p>
    <w:p w14:paraId="5A55EC8B" w14:textId="77777777" w:rsidR="00642B6A" w:rsidRPr="00642B6A" w:rsidRDefault="00642B6A" w:rsidP="00642B6A">
      <w:pPr>
        <w:ind w:firstLine="720"/>
        <w:rPr>
          <w:rFonts w:eastAsia="Times New Roman" w:cs="Times New Roman"/>
          <w:color w:val="000000"/>
          <w:szCs w:val="24"/>
        </w:rPr>
      </w:pPr>
    </w:p>
    <w:p w14:paraId="5A55EC8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5A55EC8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14:paraId="66AF14F9" w14:textId="3F99BAFF" w:rsidR="005E0ED0" w:rsidRPr="00A668B2" w:rsidRDefault="00642B6A" w:rsidP="00CD1651">
      <w:pPr>
        <w:tabs>
          <w:tab w:val="left" w:pos="-720"/>
        </w:tabs>
        <w:spacing w:after="240"/>
        <w:rPr>
          <w:bCs/>
        </w:rPr>
      </w:pPr>
      <w:r w:rsidRPr="00642B6A">
        <w:rPr>
          <w:rFonts w:eastAsia="Times New Roman" w:cs="Times New Roman"/>
          <w:szCs w:val="24"/>
        </w:rPr>
        <w:tab/>
      </w:r>
      <w:r w:rsidR="00596192">
        <w:rPr>
          <w:rFonts w:eastAsia="Times New Roman" w:cs="Times New Roman"/>
          <w:szCs w:val="24"/>
        </w:rPr>
        <w:t xml:space="preserve">The proposed </w:t>
      </w:r>
      <w:r w:rsidR="00CD1651">
        <w:rPr>
          <w:rFonts w:eastAsia="Times New Roman" w:cs="Times New Roman"/>
          <w:szCs w:val="24"/>
        </w:rPr>
        <w:t xml:space="preserve">regulations do not requires respondents to report information to the agency more often than quarterly.  </w:t>
      </w:r>
    </w:p>
    <w:p w14:paraId="5A55EC8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5A55EC90"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5A55EC92" w14:textId="77777777" w:rsidR="00642B6A" w:rsidRPr="00642B6A" w:rsidRDefault="00747BF5" w:rsidP="005E0ED0">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5A55EC9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5A55EC94" w14:textId="32A2AA51" w:rsidR="00642B6A" w:rsidRPr="00642B6A" w:rsidRDefault="00835C6F" w:rsidP="00835C6F">
      <w:pPr>
        <w:tabs>
          <w:tab w:val="left" w:pos="-720"/>
          <w:tab w:val="left" w:pos="0"/>
          <w:tab w:val="left" w:pos="720"/>
        </w:tabs>
        <w:spacing w:after="240"/>
        <w:ind w:firstLine="720"/>
        <w:rPr>
          <w:rFonts w:eastAsia="Times New Roman" w:cs="Times New Roman"/>
          <w:szCs w:val="24"/>
        </w:rPr>
      </w:pPr>
      <w:r>
        <w:t>For enforcement purposes, Commission Regulation 1.31 requires that all books and records required to be kept by the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14:paraId="5A55EC95"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5A55EC96" w14:textId="77777777" w:rsidR="00642B6A" w:rsidRDefault="00642B6A" w:rsidP="00D945B5">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p>
    <w:p w14:paraId="5A55EC97"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5A55EC98"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5A55EC99" w14:textId="77777777"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14:paraId="5A55EC9A"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5A55EC9B"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5A55EC9C" w14:textId="77777777" w:rsidR="00642B6A" w:rsidRPr="00C9497A" w:rsidRDefault="00642B6A" w:rsidP="005E0ED0">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14:paraId="5A55EC9D"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A55EC9E" w14:textId="77777777" w:rsidR="00653547" w:rsidRDefault="00B86819"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14:paraId="40C53FDB" w14:textId="77777777" w:rsidR="00183707" w:rsidRPr="00642B6A" w:rsidRDefault="00183707"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p>
    <w:p w14:paraId="5A55EC9F"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2D063B1C" w14:textId="1BDAC67A" w:rsidR="00CB0776" w:rsidRDefault="0027708A" w:rsidP="005E0ED0">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14:paraId="5A55ECA1"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3FAA1761" w14:textId="32C2A6CF" w:rsidR="00183707" w:rsidRPr="00642B6A" w:rsidRDefault="00642B6A" w:rsidP="00CB0776">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5A55ECA3" w14:textId="77777777" w:rsidR="00D945B5" w:rsidRDefault="00D945B5" w:rsidP="00642B6A">
      <w:pPr>
        <w:tabs>
          <w:tab w:val="left" w:pos="-720"/>
        </w:tabs>
        <w:spacing w:after="240"/>
        <w:rPr>
          <w:rFonts w:eastAsia="Times New Roman" w:cs="Times New Roman"/>
          <w:b/>
          <w:szCs w:val="24"/>
        </w:rPr>
      </w:pPr>
    </w:p>
    <w:p w14:paraId="5A55ECA4"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55ECA5" w14:textId="77777777" w:rsidR="00642B6A" w:rsidRDefault="00642B6A" w:rsidP="005E0ED0">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7B4FBB87" w14:textId="77777777" w:rsidR="00183707" w:rsidRDefault="00183707" w:rsidP="005E0ED0">
      <w:pPr>
        <w:tabs>
          <w:tab w:val="left" w:pos="-720"/>
        </w:tabs>
        <w:suppressAutoHyphens/>
        <w:ind w:firstLine="720"/>
        <w:rPr>
          <w:rFonts w:eastAsia="Times New Roman" w:cs="Times New Roman"/>
          <w:szCs w:val="24"/>
        </w:rPr>
      </w:pPr>
    </w:p>
    <w:p w14:paraId="5A55ECA6" w14:textId="77777777" w:rsidR="0027708A" w:rsidRPr="00642B6A" w:rsidRDefault="0027708A" w:rsidP="00642B6A">
      <w:pPr>
        <w:tabs>
          <w:tab w:val="left" w:pos="-720"/>
        </w:tabs>
        <w:suppressAutoHyphens/>
        <w:ind w:firstLine="720"/>
        <w:rPr>
          <w:rFonts w:eastAsia="Times New Roman" w:cs="Times New Roman"/>
          <w:szCs w:val="24"/>
        </w:rPr>
      </w:pPr>
    </w:p>
    <w:p w14:paraId="5A55ECA7"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A55ECA8"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55ECA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A55ECAA"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5A55ECAB" w14:textId="65C48D3D" w:rsidR="00642B6A" w:rsidRDefault="00642B6A" w:rsidP="00FE503D">
      <w:pPr>
        <w:ind w:firstLine="720"/>
        <w:jc w:val="both"/>
      </w:pPr>
      <w:r w:rsidRPr="00642B6A">
        <w:rPr>
          <w:rFonts w:eastAsia="Times New Roman" w:cs="Times New Roman"/>
          <w:color w:val="000000"/>
          <w:szCs w:val="24"/>
        </w:rPr>
        <w:t>See Attachment A.</w:t>
      </w:r>
      <w:r w:rsidR="00B328FB" w:rsidRPr="00B328FB">
        <w:t xml:space="preserve"> </w:t>
      </w:r>
    </w:p>
    <w:p w14:paraId="3CDA1B56" w14:textId="77777777" w:rsidR="00183707" w:rsidRPr="00642B6A" w:rsidRDefault="00183707" w:rsidP="00FE503D">
      <w:pPr>
        <w:ind w:firstLine="720"/>
        <w:jc w:val="both"/>
        <w:rPr>
          <w:rFonts w:eastAsia="Times New Roman" w:cs="Times New Roman"/>
          <w:color w:val="000000"/>
          <w:szCs w:val="24"/>
        </w:rPr>
      </w:pPr>
    </w:p>
    <w:p w14:paraId="5A55ECAC" w14:textId="77777777" w:rsidR="00642B6A" w:rsidRPr="00642B6A" w:rsidRDefault="00642B6A" w:rsidP="00642B6A">
      <w:pPr>
        <w:ind w:firstLine="720"/>
        <w:rPr>
          <w:rFonts w:eastAsia="Times New Roman" w:cs="Times New Roman"/>
          <w:color w:val="000000"/>
          <w:szCs w:val="24"/>
        </w:rPr>
      </w:pPr>
    </w:p>
    <w:p w14:paraId="5A55ECAD"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14:paraId="5A55ECAE"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55ECA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A55ECB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14:paraId="07A78D93" w14:textId="5EDEE3F6" w:rsidR="00CD1651" w:rsidRDefault="00CD1651" w:rsidP="00385AAF">
      <w:pPr>
        <w:ind w:firstLine="720"/>
      </w:pPr>
      <w:r>
        <w:t xml:space="preserve">See Attachment A for total annual costs burden. </w:t>
      </w:r>
    </w:p>
    <w:p w14:paraId="7DC54F68" w14:textId="77777777" w:rsidR="00CD1651" w:rsidRDefault="00CD1651" w:rsidP="00385AAF">
      <w:pPr>
        <w:ind w:firstLine="720"/>
      </w:pPr>
    </w:p>
    <w:p w14:paraId="48265424" w14:textId="586E41B3" w:rsidR="00740573" w:rsidRDefault="00740573" w:rsidP="00385AAF">
      <w:pPr>
        <w:ind w:firstLine="720"/>
      </w:pPr>
      <w:r>
        <w:t xml:space="preserve">The Commission anticipates that some AT Persons and clearing member FCMs may incur certain start-up costs in connection with </w:t>
      </w:r>
      <w:r>
        <w:rPr>
          <w:rFonts w:cs="Times New Roman"/>
        </w:rPr>
        <w:t>§</w:t>
      </w:r>
      <w:r>
        <w:t xml:space="preserve"> 1.83(c) and (d).  However, the Commission believes that AT Persons and clearing member FCMs </w:t>
      </w:r>
      <w:r w:rsidR="00B743C4">
        <w:t xml:space="preserve">largely </w:t>
      </w:r>
      <w:r>
        <w:t xml:space="preserve">already implement the risk controls, testing standards and other measures that would be required pursuant to </w:t>
      </w:r>
      <w:r>
        <w:rPr>
          <w:rFonts w:cs="Times New Roman"/>
        </w:rPr>
        <w:t>§§</w:t>
      </w:r>
      <w:r>
        <w:t xml:space="preserve"> 1.80, 1.81 and 1.82.  Retention of records relating to such measures is prudent business practice and the Commission anticipates that many AT Persons and clearing member FCMs already maintain some form of these records in the ordinary course of their business.  Accordingly, the Commission believes that AT Persons and clearing member FCMs will adapt their current infrastructure to accommodate new </w:t>
      </w:r>
      <w:r w:rsidR="00DC1C63">
        <w:t xml:space="preserve">CFTC </w:t>
      </w:r>
      <w:r>
        <w:t xml:space="preserve">rules relating to recordkeeping, and AT Persons and clearing member FCMs will not have substantial expenditures related to new recordkeeping technology or re-programming existing recordkeeping technology.  The Commission expects that additional expenditure related to </w:t>
      </w:r>
      <w:r>
        <w:rPr>
          <w:rFonts w:cs="Times New Roman"/>
        </w:rPr>
        <w:t>§§ 1.83(c) and</w:t>
      </w:r>
      <w:r>
        <w:t xml:space="preserve"> (d) recordkeeping requirements would be limited to the drafting and maintenance of recordkeeping policies and procedures by in-house counsel and programmer burden hours associated with recordkeeping technology improvements, as well as annual costs in ensuring that recordkeeping policies and procedures and related technology comply with DCM rules.  </w:t>
      </w:r>
    </w:p>
    <w:p w14:paraId="4D72512B" w14:textId="77777777" w:rsidR="00740573" w:rsidRDefault="00740573" w:rsidP="00385AAF">
      <w:pPr>
        <w:ind w:firstLine="720"/>
      </w:pPr>
    </w:p>
    <w:p w14:paraId="298EF244" w14:textId="77777777" w:rsidR="00907CFB" w:rsidRPr="00596192" w:rsidRDefault="00907CFB" w:rsidP="00907CFB">
      <w:pPr>
        <w:ind w:firstLine="720"/>
        <w:rPr>
          <w:rFonts w:eastAsia="PMingLiU" w:cs="Times New Roman"/>
          <w:szCs w:val="24"/>
        </w:rPr>
      </w:pPr>
      <w:r w:rsidRPr="00596192">
        <w:rPr>
          <w:rFonts w:eastAsia="PMingLiU" w:cs="Times New Roman"/>
          <w:szCs w:val="24"/>
        </w:rPr>
        <w:t>The Commission estimates that rules pursuant to proposed § 1.83(c) requiring AT Persons to keep and provide books and records relating to §§ 1.80 and 1.81 compliance will result in initial costs of 60 hours of burden per AT Person, and 25,200</w:t>
      </w:r>
      <w:r>
        <w:rPr>
          <w:rFonts w:eastAsia="PMingLiU" w:cs="Times New Roman"/>
          <w:szCs w:val="24"/>
        </w:rPr>
        <w:t xml:space="preserve"> burden hours in total.  </w:t>
      </w:r>
      <w:r w:rsidRPr="00596192">
        <w:rPr>
          <w:rFonts w:eastAsia="PMingLiU" w:cs="Times New Roman"/>
          <w:szCs w:val="24"/>
        </w:rPr>
        <w:t>The Commission estimates that</w:t>
      </w:r>
      <w:r>
        <w:rPr>
          <w:rFonts w:eastAsia="PMingLiU" w:cs="Times New Roman"/>
          <w:szCs w:val="24"/>
        </w:rPr>
        <w:t xml:space="preserve"> </w:t>
      </w:r>
      <w:r w:rsidRPr="00596192">
        <w:rPr>
          <w:rFonts w:eastAsia="PMingLiU" w:cs="Times New Roman"/>
          <w:szCs w:val="24"/>
        </w:rPr>
        <w:t>an AT Person will incur a cost of $5,130 to draft and update recordkeeping policies and procedures and make technology improvements to recordkeeping infrastructure.  This cost is broken down as follows: 1 Compliance Attorney,</w:t>
      </w:r>
      <w:r>
        <w:rPr>
          <w:rStyle w:val="FootnoteReference"/>
          <w:rFonts w:eastAsia="PMingLiU" w:cs="Times New Roman"/>
          <w:szCs w:val="24"/>
        </w:rPr>
        <w:footnoteReference w:id="4"/>
      </w:r>
      <w:r w:rsidRPr="00596192">
        <w:rPr>
          <w:rFonts w:eastAsia="PMingLiU" w:cs="Times New Roman"/>
          <w:szCs w:val="24"/>
        </w:rPr>
        <w:t xml:space="preserve"> working for 30 hours (30 x $96 = $2,880); and 1 Developer, working for 30 hours (30 x $75 = $2,250).  The 420 AT Persons would therefore incur a total initial cost of $2,154,600 (420 x $5,130). </w:t>
      </w:r>
    </w:p>
    <w:p w14:paraId="6BF0E4F4" w14:textId="77777777" w:rsidR="00907CFB" w:rsidRDefault="00907CFB" w:rsidP="00907CFB"/>
    <w:p w14:paraId="6D2E157D" w14:textId="26BB076B" w:rsidR="002332EC" w:rsidRPr="00907CFB" w:rsidRDefault="00907CFB" w:rsidP="00907CFB">
      <w:pPr>
        <w:ind w:firstLine="720"/>
        <w:rPr>
          <w:rFonts w:eastAsia="PMingLiU" w:cs="Times New Roman"/>
          <w:szCs w:val="24"/>
        </w:rPr>
      </w:pPr>
      <w:r w:rsidRPr="00596192">
        <w:rPr>
          <w:rFonts w:eastAsia="PMingLiU" w:cs="Times New Roman"/>
          <w:szCs w:val="24"/>
        </w:rPr>
        <w:t xml:space="preserve">The Commission estimates that rules pursuant to proposed § 1.83(d) requiring clearing member FCMs to keep and provide books and records relating to § 1.82 compliance will result in initial costs of 60 hours of burden per clearing member FCM, and 3,420 burden hours in total.  </w:t>
      </w:r>
      <w:r>
        <w:rPr>
          <w:rFonts w:eastAsia="PMingLiU" w:cs="Times New Roman"/>
          <w:szCs w:val="24"/>
        </w:rPr>
        <w:t xml:space="preserve">The Commission estimates that </w:t>
      </w:r>
      <w:r w:rsidRPr="00596192">
        <w:rPr>
          <w:rFonts w:eastAsia="PMingLiU" w:cs="Times New Roman"/>
          <w:szCs w:val="24"/>
        </w:rPr>
        <w:t>a clearing member FCM will incur a cost of $5,130 to draft and update recordkeeping policies and procedures and make technology improvements to recordkeeping infrastructure.  This cost is broken down as follows: 1 Compliance Attorney, working for 30 hours (30 x $96 = $2,880); and 1 Developer, working for 30 hours (30 x $75 = $2,250).  The 57 clearing member FCMs would therefore incur a total initial cost of $292,410 (57 x $</w:t>
      </w:r>
      <w:r>
        <w:rPr>
          <w:rFonts w:eastAsia="PMingLiU" w:cs="Times New Roman"/>
          <w:szCs w:val="24"/>
        </w:rPr>
        <w:t>5,130).</w:t>
      </w:r>
    </w:p>
    <w:p w14:paraId="4833A498" w14:textId="77777777" w:rsidR="002332EC" w:rsidRDefault="002332EC" w:rsidP="00DB544B">
      <w:pPr>
        <w:ind w:firstLine="720"/>
      </w:pPr>
    </w:p>
    <w:p w14:paraId="5A55ECB1" w14:textId="18CEB7EA" w:rsidR="00642B6A" w:rsidRDefault="00740573" w:rsidP="005E0ED0">
      <w:pPr>
        <w:ind w:firstLine="720"/>
        <w:rPr>
          <w:rFonts w:eastAsia="Times New Roman" w:cs="Times New Roman"/>
          <w:color w:val="000000"/>
          <w:szCs w:val="24"/>
        </w:rPr>
      </w:pPr>
      <w:r>
        <w:t>For the remaining proposed collection requirements, it is</w:t>
      </w:r>
      <w:r w:rsidR="009B1E93" w:rsidRPr="009B1E93">
        <w:rPr>
          <w:rFonts w:eastAsia="Times New Roman" w:cs="Times New Roman"/>
          <w:color w:val="000000"/>
          <w:szCs w:val="24"/>
        </w:rPr>
        <w:t xml:space="preserve"> expected that </w:t>
      </w:r>
      <w:r w:rsidR="005E0ED0">
        <w:rPr>
          <w:rFonts w:eastAsia="Times New Roman" w:cs="Times New Roman"/>
          <w:color w:val="000000"/>
          <w:szCs w:val="24"/>
        </w:rPr>
        <w:t xml:space="preserve">entities </w:t>
      </w:r>
      <w:r w:rsidR="00C032F4">
        <w:rPr>
          <w:rFonts w:eastAsia="Times New Roman" w:cs="Times New Roman"/>
          <w:color w:val="000000"/>
          <w:szCs w:val="24"/>
        </w:rPr>
        <w:t>will utilize existing</w:t>
      </w:r>
      <w:r w:rsidR="009B1E93" w:rsidRPr="009B1E93">
        <w:rPr>
          <w:rFonts w:eastAsia="Times New Roman" w:cs="Times New Roman"/>
          <w:color w:val="000000"/>
          <w:szCs w:val="24"/>
        </w:rPr>
        <w:t xml:space="preserve"> software, information technology and systems</w:t>
      </w:r>
      <w:r w:rsidR="005E0ED0">
        <w:rPr>
          <w:rFonts w:eastAsia="Times New Roman" w:cs="Times New Roman"/>
          <w:color w:val="000000"/>
          <w:szCs w:val="24"/>
        </w:rPr>
        <w:t xml:space="preserve"> with respect to Regulation AT’s collection of information requirements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w:t>
      </w:r>
      <w:r w:rsidR="009B1E93" w:rsidRPr="009B1E93">
        <w:rPr>
          <w:rFonts w:eastAsia="Times New Roman" w:cs="Times New Roman"/>
          <w:color w:val="000000"/>
          <w:szCs w:val="24"/>
        </w:rPr>
        <w:t xml:space="preserve">to report the information required by the regulations to the Commission.   </w:t>
      </w:r>
    </w:p>
    <w:p w14:paraId="406B55DF" w14:textId="77777777" w:rsidR="005E0ED0" w:rsidRDefault="005E0ED0" w:rsidP="00FE503D">
      <w:pPr>
        <w:ind w:firstLine="720"/>
        <w:jc w:val="both"/>
        <w:rPr>
          <w:rFonts w:eastAsia="Times New Roman" w:cs="Times New Roman"/>
          <w:color w:val="000000"/>
          <w:szCs w:val="24"/>
        </w:rPr>
      </w:pPr>
    </w:p>
    <w:p w14:paraId="5A55ECB2" w14:textId="77777777" w:rsidR="00637711" w:rsidRPr="00642B6A" w:rsidRDefault="00637711" w:rsidP="00642B6A">
      <w:pPr>
        <w:ind w:firstLine="720"/>
        <w:rPr>
          <w:rFonts w:eastAsia="Times New Roman" w:cs="Times New Roman"/>
          <w:color w:val="000000"/>
          <w:szCs w:val="24"/>
        </w:rPr>
      </w:pPr>
    </w:p>
    <w:p w14:paraId="5A55ECB3"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16577E4C" w14:textId="1D54A75F" w:rsidR="00183707" w:rsidRPr="00642B6A" w:rsidRDefault="00642B6A" w:rsidP="005E0ED0">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5A55ECB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1B6CBF0F" w14:textId="31C62062" w:rsidR="00385AAF" w:rsidRPr="00CB0776" w:rsidRDefault="005E0ED0" w:rsidP="00FE503D">
      <w:pPr>
        <w:tabs>
          <w:tab w:val="left" w:pos="-720"/>
        </w:tabs>
        <w:spacing w:after="240"/>
        <w:jc w:val="both"/>
        <w:rPr>
          <w:rFonts w:eastAsia="PMingLiU" w:cs="Times New Roman"/>
          <w:szCs w:val="24"/>
          <w:lang w:val="en"/>
        </w:rPr>
      </w:pPr>
      <w:r>
        <w:rPr>
          <w:rFonts w:eastAsia="Times New Roman" w:cs="Times New Roman"/>
          <w:szCs w:val="24"/>
        </w:rPr>
        <w:tab/>
      </w:r>
      <w:r w:rsidR="00385AAF">
        <w:rPr>
          <w:rFonts w:eastAsia="Times New Roman" w:cs="Times New Roman"/>
          <w:szCs w:val="24"/>
        </w:rPr>
        <w:t xml:space="preserve">The collections are necessary </w:t>
      </w:r>
      <w:r w:rsidR="00385AAF">
        <w:rPr>
          <w:rFonts w:eastAsia="PMingLiU" w:cs="Times New Roman"/>
          <w:szCs w:val="24"/>
        </w:rPr>
        <w:t xml:space="preserve">to avoid prevent </w:t>
      </w:r>
      <w:r w:rsidR="00385AAF" w:rsidRPr="004049D0">
        <w:rPr>
          <w:rFonts w:eastAsia="PMingLiU" w:cs="Times New Roman"/>
          <w:lang w:val="en"/>
        </w:rPr>
        <w:t>disruptions to market inte</w:t>
      </w:r>
      <w:r w:rsidR="00385AAF" w:rsidRPr="008D0711">
        <w:rPr>
          <w:rFonts w:eastAsia="PMingLiU" w:cs="Times New Roman"/>
          <w:lang w:val="en"/>
        </w:rPr>
        <w:t>grity, avoid</w:t>
      </w:r>
      <w:r w:rsidR="00385AAF" w:rsidRPr="008D0711">
        <w:rPr>
          <w:rFonts w:eastAsia="PMingLiU" w:cs="Times New Roman"/>
          <w:szCs w:val="24"/>
        </w:rPr>
        <w:t xml:space="preserve"> systemic risk and promote </w:t>
      </w:r>
      <w:r w:rsidR="00385AAF" w:rsidRPr="008D0711">
        <w:rPr>
          <w:rFonts w:eastAsia="PMingLiU" w:cs="Times New Roman"/>
          <w:lang w:val="en"/>
        </w:rPr>
        <w:t xml:space="preserve">responsible innovation and fair competition among boards of trade, other markets and market </w:t>
      </w:r>
      <w:r w:rsidR="00385AAF" w:rsidRPr="008D0711">
        <w:rPr>
          <w:rFonts w:eastAsia="PMingLiU" w:cs="Times New Roman"/>
          <w:szCs w:val="24"/>
          <w:lang w:val="en"/>
        </w:rPr>
        <w:t xml:space="preserve">participants.  </w:t>
      </w:r>
    </w:p>
    <w:p w14:paraId="5A55ECB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2D0BEE7B" w14:textId="4D57175A"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w:t>
      </w:r>
      <w:r w:rsidRPr="00642B6A">
        <w:rPr>
          <w:rFonts w:eastAsia="Times New Roman" w:cs="Times New Roman"/>
          <w:szCs w:val="24"/>
        </w:rPr>
        <w:t>oes not apply.</w:t>
      </w:r>
    </w:p>
    <w:p w14:paraId="5A55ECB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3DC8BAB4" w14:textId="5CFA2AB0" w:rsidR="00183707"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does not</w:t>
      </w:r>
      <w:r w:rsidRPr="00642B6A">
        <w:rPr>
          <w:rFonts w:eastAsia="Times New Roman" w:cs="Times New Roman"/>
          <w:szCs w:val="24"/>
        </w:rPr>
        <w:t xml:space="preserve"> apply.</w:t>
      </w:r>
    </w:p>
    <w:p w14:paraId="5A55ECBB"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5A55ED68" w14:textId="5EE054BC" w:rsidR="00585718" w:rsidRDefault="00642B6A" w:rsidP="00CB0776">
      <w:pPr>
        <w:tabs>
          <w:tab w:val="left" w:pos="-720"/>
        </w:tabs>
        <w:spacing w:after="240"/>
        <w:rPr>
          <w:rFonts w:eastAsia="Times New Roman" w:cs="Times New Roman"/>
          <w:szCs w:val="24"/>
        </w:rPr>
      </w:pPr>
      <w:r w:rsidRPr="00642B6A">
        <w:rPr>
          <w:rFonts w:eastAsia="Times New Roman" w:cs="Times New Roman"/>
          <w:szCs w:val="24"/>
        </w:rPr>
        <w:tab/>
      </w:r>
      <w:r w:rsidR="00FE503D">
        <w:rPr>
          <w:rFonts w:eastAsia="Times New Roman" w:cs="Times New Roman"/>
          <w:szCs w:val="24"/>
        </w:rPr>
        <w:t>This question do</w:t>
      </w:r>
      <w:r w:rsidRPr="00642B6A">
        <w:rPr>
          <w:rFonts w:eastAsia="Times New Roman" w:cs="Times New Roman"/>
          <w:szCs w:val="24"/>
        </w:rPr>
        <w:t>es not apply.</w:t>
      </w:r>
    </w:p>
    <w:p w14:paraId="31DCA9D5" w14:textId="2D7F6B7E" w:rsidR="00354E95" w:rsidRDefault="00354E95" w:rsidP="00CB0776">
      <w:pPr>
        <w:tabs>
          <w:tab w:val="left" w:pos="-720"/>
        </w:tabs>
        <w:spacing w:after="240"/>
        <w:rPr>
          <w:rFonts w:eastAsia="Times New Roman" w:cs="Times New Roman"/>
          <w:szCs w:val="24"/>
        </w:rPr>
      </w:pPr>
    </w:p>
    <w:p w14:paraId="1F7ECA9B" w14:textId="77777777" w:rsidR="00354E95" w:rsidRDefault="00354E95">
      <w:pPr>
        <w:spacing w:after="200" w:line="276" w:lineRule="auto"/>
        <w:rPr>
          <w:rFonts w:eastAsia="Times New Roman" w:cs="Times New Roman"/>
          <w:szCs w:val="24"/>
        </w:rPr>
      </w:pPr>
      <w:r>
        <w:rPr>
          <w:rFonts w:eastAsia="Times New Roman" w:cs="Times New Roman"/>
          <w:szCs w:val="24"/>
        </w:rPr>
        <w:br w:type="page"/>
      </w:r>
    </w:p>
    <w:p w14:paraId="5E9248C3" w14:textId="77777777" w:rsidR="00354E95" w:rsidRPr="00354E95" w:rsidRDefault="00354E95" w:rsidP="00354E95">
      <w:pPr>
        <w:tabs>
          <w:tab w:val="left" w:pos="-720"/>
        </w:tabs>
        <w:spacing w:after="240"/>
        <w:jc w:val="center"/>
        <w:rPr>
          <w:rFonts w:eastAsia="Times New Roman" w:cs="Times New Roman"/>
          <w:b/>
          <w:szCs w:val="24"/>
        </w:rPr>
      </w:pPr>
      <w:r w:rsidRPr="00354E95">
        <w:rPr>
          <w:rFonts w:eastAsia="Times New Roman" w:cs="Times New Roman"/>
          <w:b/>
          <w:szCs w:val="24"/>
        </w:rPr>
        <w:t>Attachment A</w:t>
      </w:r>
    </w:p>
    <w:p w14:paraId="2CFE52E2" w14:textId="77777777" w:rsidR="00354E95" w:rsidRPr="00354E95" w:rsidRDefault="00354E95" w:rsidP="00354E95">
      <w:pPr>
        <w:jc w:val="center"/>
        <w:rPr>
          <w:rFonts w:eastAsia="Times New Roman" w:cs="Times New Roman"/>
          <w:b/>
          <w:szCs w:val="24"/>
        </w:rPr>
      </w:pPr>
    </w:p>
    <w:p w14:paraId="33BE6D1D" w14:textId="77777777" w:rsidR="00354E95" w:rsidRPr="00354E95" w:rsidRDefault="00354E95" w:rsidP="00354E95">
      <w:pPr>
        <w:jc w:val="center"/>
        <w:rPr>
          <w:rFonts w:eastAsia="Times New Roman" w:cs="Times New Roman"/>
          <w:b/>
          <w:szCs w:val="24"/>
        </w:rPr>
      </w:pPr>
      <w:r w:rsidRPr="00354E95">
        <w:rPr>
          <w:rFonts w:eastAsia="Times New Roman" w:cs="Times New Roman"/>
          <w:b/>
          <w:szCs w:val="24"/>
        </w:rPr>
        <w:t>OMB Control Number 3038-XXXX Regulation Automated Trading</w:t>
      </w:r>
    </w:p>
    <w:p w14:paraId="2B6CB02D" w14:textId="77777777" w:rsidR="00354E95" w:rsidRPr="00354E95" w:rsidRDefault="00354E95" w:rsidP="00354E95">
      <w:pPr>
        <w:jc w:val="center"/>
        <w:rPr>
          <w:rFonts w:eastAsia="Times New Roman" w:cs="Times New Roman"/>
          <w:szCs w:val="24"/>
        </w:rPr>
      </w:pPr>
    </w:p>
    <w:p w14:paraId="03AF827F" w14:textId="77777777" w:rsidR="00354E95" w:rsidRPr="00354E95" w:rsidRDefault="00354E95" w:rsidP="00354E95">
      <w:pPr>
        <w:jc w:val="center"/>
        <w:rPr>
          <w:rFonts w:eastAsia="Times New Roman" w:cs="Times New Roman"/>
          <w:szCs w:val="24"/>
        </w:rPr>
      </w:pPr>
      <w:r w:rsidRPr="00354E95">
        <w:rPr>
          <w:rFonts w:eastAsia="Times New Roman" w:cs="Times New Roman"/>
          <w:szCs w:val="24"/>
        </w:rPr>
        <w:t xml:space="preserve">Third Party Reporting or Third Party Recordkeeping Burden </w:t>
      </w:r>
    </w:p>
    <w:p w14:paraId="7F2DF4EF" w14:textId="77777777" w:rsidR="00354E95" w:rsidRPr="00354E95" w:rsidRDefault="00354E95" w:rsidP="00354E95">
      <w:pPr>
        <w:jc w:val="center"/>
        <w:rPr>
          <w:rFonts w:eastAsia="Times New Roman" w:cs="Times New Roman"/>
          <w:szCs w:val="24"/>
        </w:rPr>
      </w:pPr>
    </w:p>
    <w:tbl>
      <w:tblPr>
        <w:tblW w:w="5921"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9"/>
        <w:gridCol w:w="1173"/>
        <w:gridCol w:w="1173"/>
        <w:gridCol w:w="1170"/>
        <w:gridCol w:w="1170"/>
        <w:gridCol w:w="991"/>
        <w:gridCol w:w="1170"/>
        <w:gridCol w:w="1082"/>
        <w:gridCol w:w="894"/>
        <w:gridCol w:w="1168"/>
      </w:tblGrid>
      <w:tr w:rsidR="00354E95" w:rsidRPr="00354E95" w:rsidDel="009C6DB4" w14:paraId="752952D5" w14:textId="77777777" w:rsidTr="00EB4564">
        <w:trPr>
          <w:trHeight w:val="1427"/>
        </w:trPr>
        <w:tc>
          <w:tcPr>
            <w:tcW w:w="595" w:type="pct"/>
          </w:tcPr>
          <w:p w14:paraId="211A7AE0"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1.</w:t>
            </w:r>
          </w:p>
          <w:p w14:paraId="0FE89535"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Regulation(s)</w:t>
            </w:r>
          </w:p>
        </w:tc>
        <w:tc>
          <w:tcPr>
            <w:tcW w:w="517" w:type="pct"/>
          </w:tcPr>
          <w:p w14:paraId="68B0BDB6"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2.</w:t>
            </w:r>
          </w:p>
          <w:p w14:paraId="5F6AD671"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 xml:space="preserve">Estimated Number of Respondents </w:t>
            </w:r>
          </w:p>
          <w:p w14:paraId="20B19966"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p>
        </w:tc>
        <w:tc>
          <w:tcPr>
            <w:tcW w:w="517" w:type="pct"/>
          </w:tcPr>
          <w:p w14:paraId="5856AA8E"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3.</w:t>
            </w:r>
          </w:p>
          <w:p w14:paraId="0FD9F4E3"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Estimated Number of Reports</w:t>
            </w:r>
          </w:p>
          <w:p w14:paraId="37946023"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by Each Respondent</w:t>
            </w:r>
          </w:p>
        </w:tc>
        <w:tc>
          <w:tcPr>
            <w:tcW w:w="516" w:type="pct"/>
          </w:tcPr>
          <w:p w14:paraId="5238F6FB"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4.</w:t>
            </w:r>
          </w:p>
          <w:p w14:paraId="6E67D3F9"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Estimated Average Number of Burden Hours per Response</w:t>
            </w:r>
          </w:p>
        </w:tc>
        <w:tc>
          <w:tcPr>
            <w:tcW w:w="516" w:type="pct"/>
          </w:tcPr>
          <w:p w14:paraId="203BDAAA"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5.</w:t>
            </w:r>
          </w:p>
          <w:p w14:paraId="3340721E"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Annual  Number of Burden Hours per Respondent</w:t>
            </w:r>
          </w:p>
          <w:p w14:paraId="4A66B1E1"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(3 x 4)</w:t>
            </w:r>
          </w:p>
        </w:tc>
        <w:tc>
          <w:tcPr>
            <w:tcW w:w="437" w:type="pct"/>
          </w:tcPr>
          <w:p w14:paraId="60C2DB6E"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 xml:space="preserve">6. </w:t>
            </w:r>
          </w:p>
          <w:p w14:paraId="2E68EADF"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Estimated Average Burden Hour Cost</w:t>
            </w:r>
          </w:p>
          <w:p w14:paraId="0A0733AC"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p>
        </w:tc>
        <w:tc>
          <w:tcPr>
            <w:tcW w:w="516" w:type="pct"/>
          </w:tcPr>
          <w:p w14:paraId="51560BF9"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7.</w:t>
            </w:r>
          </w:p>
          <w:p w14:paraId="6D163C07"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Total Average Hour Burden Cost Per Respondent</w:t>
            </w:r>
          </w:p>
          <w:p w14:paraId="0909B9F4"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(5 x 6)</w:t>
            </w:r>
          </w:p>
        </w:tc>
        <w:tc>
          <w:tcPr>
            <w:tcW w:w="477" w:type="pct"/>
          </w:tcPr>
          <w:p w14:paraId="552F7E36"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8.</w:t>
            </w:r>
          </w:p>
          <w:p w14:paraId="1A09BCC7"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Total Annual</w:t>
            </w:r>
          </w:p>
          <w:p w14:paraId="029BEBFF"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Responses</w:t>
            </w:r>
          </w:p>
          <w:p w14:paraId="32B956FA"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(2 x 3)</w:t>
            </w:r>
          </w:p>
        </w:tc>
        <w:tc>
          <w:tcPr>
            <w:tcW w:w="394" w:type="pct"/>
          </w:tcPr>
          <w:p w14:paraId="0B4A774A"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9.</w:t>
            </w:r>
          </w:p>
          <w:p w14:paraId="42CEFA6B"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Total Annual  Number of Burden Hours</w:t>
            </w:r>
          </w:p>
          <w:p w14:paraId="1969BEFA"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(2 x 5)</w:t>
            </w:r>
          </w:p>
        </w:tc>
        <w:tc>
          <w:tcPr>
            <w:tcW w:w="515" w:type="pct"/>
          </w:tcPr>
          <w:p w14:paraId="08D04A13"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10.</w:t>
            </w:r>
          </w:p>
          <w:p w14:paraId="39B678CB" w14:textId="77777777" w:rsidR="00354E95" w:rsidRPr="00354E95"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Total Annual Burden Hour Cost of All Responses</w:t>
            </w:r>
          </w:p>
          <w:p w14:paraId="2844DEF0" w14:textId="77777777" w:rsidR="00354E95" w:rsidRPr="00354E95" w:rsidDel="009C6DB4" w:rsidRDefault="00354E95" w:rsidP="00354E95">
            <w:pPr>
              <w:tabs>
                <w:tab w:val="left" w:pos="-720"/>
                <w:tab w:val="left" w:pos="0"/>
              </w:tabs>
              <w:suppressAutoHyphens/>
              <w:jc w:val="center"/>
              <w:rPr>
                <w:rFonts w:ascii="Arial" w:eastAsia="Times New Roman" w:hAnsi="Arial" w:cs="Times New Roman"/>
                <w:b/>
                <w:sz w:val="16"/>
                <w:szCs w:val="16"/>
              </w:rPr>
            </w:pPr>
            <w:r w:rsidRPr="00354E95">
              <w:rPr>
                <w:rFonts w:ascii="Arial" w:eastAsia="Times New Roman" w:hAnsi="Arial" w:cs="Times New Roman"/>
                <w:b/>
                <w:sz w:val="16"/>
                <w:szCs w:val="16"/>
              </w:rPr>
              <w:t>(2 x 7)</w:t>
            </w:r>
          </w:p>
        </w:tc>
      </w:tr>
      <w:tr w:rsidR="00354E95" w:rsidRPr="00354E95" w14:paraId="658EBC98" w14:textId="77777777" w:rsidTr="00EB4564">
        <w:trPr>
          <w:trHeight w:val="1222"/>
        </w:trPr>
        <w:tc>
          <w:tcPr>
            <w:tcW w:w="595" w:type="pct"/>
          </w:tcPr>
          <w:p w14:paraId="4D5BB7AE"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 xml:space="preserve">1.83(a) – </w:t>
            </w:r>
            <w:r w:rsidRPr="00354E95">
              <w:rPr>
                <w:rFonts w:ascii="Arial" w:eastAsia="Times New Roman" w:hAnsi="Arial" w:cs="Arial"/>
                <w:sz w:val="16"/>
                <w:szCs w:val="16"/>
              </w:rPr>
              <w:t>Compliance Reports to DCM</w:t>
            </w:r>
          </w:p>
        </w:tc>
        <w:tc>
          <w:tcPr>
            <w:tcW w:w="517" w:type="pct"/>
          </w:tcPr>
          <w:p w14:paraId="52A26341"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420 AT Persons</w:t>
            </w:r>
          </w:p>
        </w:tc>
        <w:tc>
          <w:tcPr>
            <w:tcW w:w="517" w:type="pct"/>
          </w:tcPr>
          <w:p w14:paraId="3AC694AC"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w:t>
            </w:r>
          </w:p>
        </w:tc>
        <w:tc>
          <w:tcPr>
            <w:tcW w:w="516" w:type="pct"/>
          </w:tcPr>
          <w:p w14:paraId="6F425F1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60</w:t>
            </w:r>
          </w:p>
        </w:tc>
        <w:tc>
          <w:tcPr>
            <w:tcW w:w="516" w:type="pct"/>
          </w:tcPr>
          <w:p w14:paraId="60465EE0"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60</w:t>
            </w:r>
          </w:p>
        </w:tc>
        <w:tc>
          <w:tcPr>
            <w:tcW w:w="437" w:type="pct"/>
          </w:tcPr>
          <w:p w14:paraId="06B2A4B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$70.66</w:t>
            </w:r>
            <w:r w:rsidRPr="00354E95">
              <w:rPr>
                <w:rFonts w:ascii="Arial" w:eastAsia="Times New Roman" w:hAnsi="Arial" w:cs="Arial"/>
                <w:b/>
                <w:sz w:val="16"/>
                <w:szCs w:val="16"/>
                <w:vertAlign w:val="superscript"/>
              </w:rPr>
              <w:footnoteReference w:id="5"/>
            </w:r>
          </w:p>
        </w:tc>
        <w:tc>
          <w:tcPr>
            <w:tcW w:w="516" w:type="pct"/>
          </w:tcPr>
          <w:p w14:paraId="0E651B08" w14:textId="77777777" w:rsidR="00354E95" w:rsidRPr="00354E95" w:rsidRDefault="00354E95" w:rsidP="00354E95">
            <w:pPr>
              <w:jc w:val="center"/>
              <w:rPr>
                <w:rFonts w:ascii="Arial" w:eastAsia="Calibri" w:hAnsi="Arial" w:cs="Arial"/>
                <w:sz w:val="16"/>
                <w:szCs w:val="16"/>
              </w:rPr>
            </w:pPr>
            <w:r w:rsidRPr="00354E95">
              <w:rPr>
                <w:rFonts w:ascii="Arial" w:eastAsia="Calibri" w:hAnsi="Arial" w:cs="Arial"/>
                <w:b/>
                <w:sz w:val="16"/>
                <w:szCs w:val="16"/>
              </w:rPr>
              <w:t>$4,240</w:t>
            </w:r>
          </w:p>
        </w:tc>
        <w:tc>
          <w:tcPr>
            <w:tcW w:w="477" w:type="pct"/>
          </w:tcPr>
          <w:p w14:paraId="57CAB7A1"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420</w:t>
            </w:r>
          </w:p>
        </w:tc>
        <w:tc>
          <w:tcPr>
            <w:tcW w:w="394" w:type="pct"/>
          </w:tcPr>
          <w:p w14:paraId="16F37E65"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25,200</w:t>
            </w:r>
          </w:p>
        </w:tc>
        <w:tc>
          <w:tcPr>
            <w:tcW w:w="515" w:type="pct"/>
          </w:tcPr>
          <w:p w14:paraId="1644B98B"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$1,780,800</w:t>
            </w:r>
          </w:p>
        </w:tc>
      </w:tr>
      <w:tr w:rsidR="00354E95" w:rsidRPr="00354E95" w14:paraId="242137C1" w14:textId="77777777" w:rsidTr="00EB4564">
        <w:trPr>
          <w:trHeight w:val="1222"/>
        </w:trPr>
        <w:tc>
          <w:tcPr>
            <w:tcW w:w="595" w:type="pct"/>
          </w:tcPr>
          <w:p w14:paraId="2FE60EC7"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 xml:space="preserve">1.83(b) – </w:t>
            </w:r>
            <w:r w:rsidRPr="00354E95">
              <w:rPr>
                <w:rFonts w:ascii="Arial" w:eastAsia="Times New Roman" w:hAnsi="Arial" w:cs="Arial"/>
                <w:sz w:val="16"/>
                <w:szCs w:val="16"/>
              </w:rPr>
              <w:t>Compliance Reports to DCM</w:t>
            </w:r>
          </w:p>
        </w:tc>
        <w:tc>
          <w:tcPr>
            <w:tcW w:w="517" w:type="pct"/>
          </w:tcPr>
          <w:p w14:paraId="27D1AFE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57 clearing member FCMs</w:t>
            </w:r>
          </w:p>
        </w:tc>
        <w:tc>
          <w:tcPr>
            <w:tcW w:w="517" w:type="pct"/>
          </w:tcPr>
          <w:p w14:paraId="3256E37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w:t>
            </w:r>
          </w:p>
        </w:tc>
        <w:tc>
          <w:tcPr>
            <w:tcW w:w="516" w:type="pct"/>
          </w:tcPr>
          <w:p w14:paraId="4A60902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110</w:t>
            </w:r>
          </w:p>
        </w:tc>
        <w:tc>
          <w:tcPr>
            <w:tcW w:w="516" w:type="pct"/>
          </w:tcPr>
          <w:p w14:paraId="758674F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110</w:t>
            </w:r>
          </w:p>
        </w:tc>
        <w:tc>
          <w:tcPr>
            <w:tcW w:w="437" w:type="pct"/>
          </w:tcPr>
          <w:p w14:paraId="42430BCA"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$64.45</w:t>
            </w:r>
            <w:r w:rsidRPr="00354E95">
              <w:rPr>
                <w:rFonts w:ascii="Arial" w:eastAsia="Times New Roman" w:hAnsi="Arial" w:cs="Arial"/>
                <w:b/>
                <w:sz w:val="16"/>
                <w:szCs w:val="16"/>
                <w:vertAlign w:val="superscript"/>
              </w:rPr>
              <w:footnoteReference w:id="6"/>
            </w:r>
          </w:p>
        </w:tc>
        <w:tc>
          <w:tcPr>
            <w:tcW w:w="516" w:type="pct"/>
          </w:tcPr>
          <w:p w14:paraId="21282438"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$7,090</w:t>
            </w:r>
          </w:p>
        </w:tc>
        <w:tc>
          <w:tcPr>
            <w:tcW w:w="477" w:type="pct"/>
          </w:tcPr>
          <w:p w14:paraId="1C023809"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57</w:t>
            </w:r>
          </w:p>
        </w:tc>
        <w:tc>
          <w:tcPr>
            <w:tcW w:w="394" w:type="pct"/>
          </w:tcPr>
          <w:p w14:paraId="1C2C73E2"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6,270</w:t>
            </w:r>
          </w:p>
        </w:tc>
        <w:tc>
          <w:tcPr>
            <w:tcW w:w="515" w:type="pct"/>
          </w:tcPr>
          <w:p w14:paraId="70666AEF"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$404,130</w:t>
            </w:r>
          </w:p>
        </w:tc>
      </w:tr>
      <w:tr w:rsidR="00354E95" w:rsidRPr="00354E95" w14:paraId="198E3551" w14:textId="77777777" w:rsidTr="00EB4564">
        <w:trPr>
          <w:trHeight w:val="1222"/>
        </w:trPr>
        <w:tc>
          <w:tcPr>
            <w:tcW w:w="595" w:type="pct"/>
          </w:tcPr>
          <w:p w14:paraId="2964B45E"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 xml:space="preserve">1.83(c) – </w:t>
            </w:r>
            <w:r w:rsidRPr="00354E95">
              <w:rPr>
                <w:rFonts w:ascii="Arial" w:eastAsia="Times New Roman" w:hAnsi="Arial" w:cs="Arial"/>
                <w:sz w:val="16"/>
                <w:szCs w:val="16"/>
              </w:rPr>
              <w:t>DCM Recordkeeping rules</w:t>
            </w:r>
            <w:r w:rsidRPr="00354E95">
              <w:rPr>
                <w:rFonts w:ascii="Arial" w:eastAsia="Times New Roman" w:hAnsi="Arial" w:cs="Arial"/>
                <w:b/>
                <w:sz w:val="16"/>
                <w:szCs w:val="16"/>
              </w:rPr>
              <w:t xml:space="preserve"> </w:t>
            </w:r>
          </w:p>
        </w:tc>
        <w:tc>
          <w:tcPr>
            <w:tcW w:w="517" w:type="pct"/>
          </w:tcPr>
          <w:p w14:paraId="1768380B"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420 AT Persons</w:t>
            </w:r>
          </w:p>
        </w:tc>
        <w:tc>
          <w:tcPr>
            <w:tcW w:w="517" w:type="pct"/>
          </w:tcPr>
          <w:p w14:paraId="143AB2D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w:t>
            </w:r>
          </w:p>
          <w:p w14:paraId="2AEAFE4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sz w:val="16"/>
                <w:szCs w:val="16"/>
              </w:rPr>
              <w:t>(ongoing requirement)</w:t>
            </w:r>
          </w:p>
        </w:tc>
        <w:tc>
          <w:tcPr>
            <w:tcW w:w="516" w:type="pct"/>
          </w:tcPr>
          <w:p w14:paraId="142AABEA"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30</w:t>
            </w:r>
          </w:p>
        </w:tc>
        <w:tc>
          <w:tcPr>
            <w:tcW w:w="516" w:type="pct"/>
          </w:tcPr>
          <w:p w14:paraId="4411DE9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30</w:t>
            </w:r>
          </w:p>
        </w:tc>
        <w:tc>
          <w:tcPr>
            <w:tcW w:w="437" w:type="pct"/>
          </w:tcPr>
          <w:p w14:paraId="7C96061F"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$89</w:t>
            </w:r>
            <w:r w:rsidRPr="00354E95">
              <w:rPr>
                <w:rFonts w:ascii="Arial" w:eastAsia="Times New Roman" w:hAnsi="Arial" w:cs="Arial"/>
                <w:b/>
                <w:sz w:val="16"/>
                <w:szCs w:val="16"/>
                <w:vertAlign w:val="superscript"/>
              </w:rPr>
              <w:footnoteReference w:id="7"/>
            </w:r>
          </w:p>
        </w:tc>
        <w:tc>
          <w:tcPr>
            <w:tcW w:w="516" w:type="pct"/>
          </w:tcPr>
          <w:p w14:paraId="2275D258"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$2,670</w:t>
            </w:r>
          </w:p>
        </w:tc>
        <w:tc>
          <w:tcPr>
            <w:tcW w:w="477" w:type="pct"/>
          </w:tcPr>
          <w:p w14:paraId="1D132FD8"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420</w:t>
            </w:r>
          </w:p>
        </w:tc>
        <w:tc>
          <w:tcPr>
            <w:tcW w:w="394" w:type="pct"/>
          </w:tcPr>
          <w:p w14:paraId="041F3BF4"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12,600</w:t>
            </w:r>
          </w:p>
        </w:tc>
        <w:tc>
          <w:tcPr>
            <w:tcW w:w="515" w:type="pct"/>
          </w:tcPr>
          <w:p w14:paraId="3D4BA1E2"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$1,121,400</w:t>
            </w:r>
          </w:p>
        </w:tc>
      </w:tr>
      <w:tr w:rsidR="00354E95" w:rsidRPr="00354E95" w14:paraId="7C7EC44B" w14:textId="77777777" w:rsidTr="00EB4564">
        <w:trPr>
          <w:trHeight w:val="1222"/>
        </w:trPr>
        <w:tc>
          <w:tcPr>
            <w:tcW w:w="595" w:type="pct"/>
          </w:tcPr>
          <w:p w14:paraId="7FA0329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 xml:space="preserve">1.83(d) </w:t>
            </w:r>
            <w:r w:rsidRPr="00354E95">
              <w:rPr>
                <w:rFonts w:ascii="Arial" w:eastAsia="Times New Roman" w:hAnsi="Arial" w:cs="Arial"/>
                <w:sz w:val="16"/>
                <w:szCs w:val="16"/>
              </w:rPr>
              <w:t>– DCM recordkeeping rules</w:t>
            </w:r>
          </w:p>
        </w:tc>
        <w:tc>
          <w:tcPr>
            <w:tcW w:w="517" w:type="pct"/>
          </w:tcPr>
          <w:p w14:paraId="3FC11C8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57 clearing member FCMs</w:t>
            </w:r>
          </w:p>
        </w:tc>
        <w:tc>
          <w:tcPr>
            <w:tcW w:w="517" w:type="pct"/>
          </w:tcPr>
          <w:p w14:paraId="6E711D78"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w:t>
            </w:r>
          </w:p>
          <w:p w14:paraId="0484730B"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sz w:val="16"/>
                <w:szCs w:val="16"/>
              </w:rPr>
              <w:t>(ongoing requirement)</w:t>
            </w:r>
          </w:p>
        </w:tc>
        <w:tc>
          <w:tcPr>
            <w:tcW w:w="516" w:type="pct"/>
          </w:tcPr>
          <w:p w14:paraId="683E1694"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30</w:t>
            </w:r>
          </w:p>
        </w:tc>
        <w:tc>
          <w:tcPr>
            <w:tcW w:w="516" w:type="pct"/>
          </w:tcPr>
          <w:p w14:paraId="30F524B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30</w:t>
            </w:r>
          </w:p>
        </w:tc>
        <w:tc>
          <w:tcPr>
            <w:tcW w:w="437" w:type="pct"/>
          </w:tcPr>
          <w:p w14:paraId="478DC74F"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$89</w:t>
            </w:r>
            <w:r w:rsidRPr="00354E95">
              <w:rPr>
                <w:rFonts w:ascii="Arial" w:eastAsia="Times New Roman" w:hAnsi="Arial" w:cs="Arial"/>
                <w:b/>
                <w:sz w:val="16"/>
                <w:szCs w:val="16"/>
                <w:vertAlign w:val="superscript"/>
              </w:rPr>
              <w:footnoteReference w:id="8"/>
            </w:r>
          </w:p>
        </w:tc>
        <w:tc>
          <w:tcPr>
            <w:tcW w:w="516" w:type="pct"/>
          </w:tcPr>
          <w:p w14:paraId="25240B33"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$2,670</w:t>
            </w:r>
          </w:p>
        </w:tc>
        <w:tc>
          <w:tcPr>
            <w:tcW w:w="477" w:type="pct"/>
          </w:tcPr>
          <w:p w14:paraId="72CE73C6"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57</w:t>
            </w:r>
          </w:p>
        </w:tc>
        <w:tc>
          <w:tcPr>
            <w:tcW w:w="394" w:type="pct"/>
          </w:tcPr>
          <w:p w14:paraId="753C615F"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1,710</w:t>
            </w:r>
          </w:p>
        </w:tc>
        <w:tc>
          <w:tcPr>
            <w:tcW w:w="515" w:type="pct"/>
          </w:tcPr>
          <w:p w14:paraId="28706FD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$152,190</w:t>
            </w:r>
          </w:p>
        </w:tc>
      </w:tr>
      <w:tr w:rsidR="00354E95" w:rsidRPr="00354E95" w14:paraId="2FF9DFC7" w14:textId="77777777" w:rsidTr="00EB4564">
        <w:trPr>
          <w:trHeight w:val="1222"/>
        </w:trPr>
        <w:tc>
          <w:tcPr>
            <w:tcW w:w="595" w:type="pct"/>
          </w:tcPr>
          <w:p w14:paraId="263D7ED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highlight w:val="yellow"/>
              </w:rPr>
            </w:pPr>
            <w:r w:rsidRPr="00354E95">
              <w:rPr>
                <w:rFonts w:ascii="Arial" w:eastAsia="Times New Roman" w:hAnsi="Arial" w:cs="Arial"/>
                <w:b/>
                <w:sz w:val="16"/>
                <w:szCs w:val="16"/>
              </w:rPr>
              <w:t>40.23(c)</w:t>
            </w:r>
            <w:r w:rsidRPr="00354E95">
              <w:rPr>
                <w:rFonts w:ascii="Arial" w:eastAsia="Times New Roman" w:hAnsi="Arial" w:cs="Arial"/>
                <w:sz w:val="16"/>
                <w:szCs w:val="16"/>
              </w:rPr>
              <w:t xml:space="preserve"> – Market Participant Submit Approval Requests</w:t>
            </w:r>
          </w:p>
        </w:tc>
        <w:tc>
          <w:tcPr>
            <w:tcW w:w="517" w:type="pct"/>
          </w:tcPr>
          <w:p w14:paraId="2038A374"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420 market participants</w:t>
            </w:r>
          </w:p>
        </w:tc>
        <w:tc>
          <w:tcPr>
            <w:tcW w:w="517" w:type="pct"/>
          </w:tcPr>
          <w:p w14:paraId="37E35156"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w:t>
            </w:r>
          </w:p>
          <w:p w14:paraId="26B432E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sz w:val="16"/>
                <w:szCs w:val="16"/>
              </w:rPr>
              <w:t>(intermittent)</w:t>
            </w:r>
          </w:p>
        </w:tc>
        <w:tc>
          <w:tcPr>
            <w:tcW w:w="516" w:type="pct"/>
          </w:tcPr>
          <w:p w14:paraId="6A126A0A"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60</w:t>
            </w:r>
          </w:p>
        </w:tc>
        <w:tc>
          <w:tcPr>
            <w:tcW w:w="516" w:type="pct"/>
          </w:tcPr>
          <w:p w14:paraId="5F7AE775"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60</w:t>
            </w:r>
          </w:p>
        </w:tc>
        <w:tc>
          <w:tcPr>
            <w:tcW w:w="437" w:type="pct"/>
          </w:tcPr>
          <w:p w14:paraId="090E6DF1"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$63.50</w:t>
            </w:r>
            <w:r w:rsidRPr="00354E95">
              <w:rPr>
                <w:rFonts w:ascii="Arial" w:eastAsia="Times New Roman" w:hAnsi="Arial" w:cs="Arial"/>
                <w:b/>
                <w:sz w:val="16"/>
                <w:szCs w:val="16"/>
                <w:vertAlign w:val="superscript"/>
              </w:rPr>
              <w:footnoteReference w:id="9"/>
            </w:r>
          </w:p>
        </w:tc>
        <w:tc>
          <w:tcPr>
            <w:tcW w:w="516" w:type="pct"/>
          </w:tcPr>
          <w:p w14:paraId="099C6263"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$3,810</w:t>
            </w:r>
          </w:p>
        </w:tc>
        <w:tc>
          <w:tcPr>
            <w:tcW w:w="477" w:type="pct"/>
          </w:tcPr>
          <w:p w14:paraId="4F772D68"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420</w:t>
            </w:r>
          </w:p>
        </w:tc>
        <w:tc>
          <w:tcPr>
            <w:tcW w:w="394" w:type="pct"/>
          </w:tcPr>
          <w:p w14:paraId="2A15C686"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25,200</w:t>
            </w:r>
          </w:p>
        </w:tc>
        <w:tc>
          <w:tcPr>
            <w:tcW w:w="515" w:type="pct"/>
          </w:tcPr>
          <w:p w14:paraId="206DD10F"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$1,600,200</w:t>
            </w:r>
          </w:p>
        </w:tc>
      </w:tr>
      <w:tr w:rsidR="00354E95" w:rsidRPr="00354E95" w14:paraId="4346D4F8" w14:textId="77777777" w:rsidTr="00EB4564">
        <w:trPr>
          <w:trHeight w:val="1222"/>
        </w:trPr>
        <w:tc>
          <w:tcPr>
            <w:tcW w:w="595" w:type="pct"/>
          </w:tcPr>
          <w:p w14:paraId="200A9908"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 xml:space="preserve">40.23(d) </w:t>
            </w:r>
            <w:r w:rsidRPr="00354E95">
              <w:rPr>
                <w:rFonts w:ascii="Arial" w:eastAsia="Times New Roman" w:hAnsi="Arial" w:cs="Arial"/>
                <w:sz w:val="16"/>
                <w:szCs w:val="16"/>
              </w:rPr>
              <w:t>– DCM Publication of Self-Trade Data</w:t>
            </w:r>
          </w:p>
        </w:tc>
        <w:tc>
          <w:tcPr>
            <w:tcW w:w="517" w:type="pct"/>
          </w:tcPr>
          <w:p w14:paraId="519D832C"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15 DCMs</w:t>
            </w:r>
          </w:p>
        </w:tc>
        <w:tc>
          <w:tcPr>
            <w:tcW w:w="517" w:type="pct"/>
          </w:tcPr>
          <w:p w14:paraId="22BE22D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w:t>
            </w:r>
          </w:p>
        </w:tc>
        <w:tc>
          <w:tcPr>
            <w:tcW w:w="516" w:type="pct"/>
          </w:tcPr>
          <w:p w14:paraId="734ACB72"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25</w:t>
            </w:r>
          </w:p>
        </w:tc>
        <w:tc>
          <w:tcPr>
            <w:tcW w:w="516" w:type="pct"/>
          </w:tcPr>
          <w:p w14:paraId="176BC99B"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100</w:t>
            </w:r>
          </w:p>
        </w:tc>
        <w:tc>
          <w:tcPr>
            <w:tcW w:w="437" w:type="pct"/>
          </w:tcPr>
          <w:p w14:paraId="1D21F615"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$66.50</w:t>
            </w:r>
          </w:p>
        </w:tc>
        <w:tc>
          <w:tcPr>
            <w:tcW w:w="516" w:type="pct"/>
          </w:tcPr>
          <w:p w14:paraId="3AEA5500"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$6,650</w:t>
            </w:r>
            <w:r w:rsidRPr="00354E95">
              <w:rPr>
                <w:rFonts w:ascii="Arial" w:eastAsia="Calibri" w:hAnsi="Arial" w:cs="Arial"/>
                <w:b/>
                <w:sz w:val="16"/>
                <w:szCs w:val="16"/>
                <w:vertAlign w:val="superscript"/>
              </w:rPr>
              <w:footnoteReference w:id="10"/>
            </w:r>
          </w:p>
        </w:tc>
        <w:tc>
          <w:tcPr>
            <w:tcW w:w="477" w:type="pct"/>
          </w:tcPr>
          <w:p w14:paraId="4ACBC4E1"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60</w:t>
            </w:r>
          </w:p>
        </w:tc>
        <w:tc>
          <w:tcPr>
            <w:tcW w:w="394" w:type="pct"/>
          </w:tcPr>
          <w:p w14:paraId="064CCA74"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1,500</w:t>
            </w:r>
          </w:p>
        </w:tc>
        <w:tc>
          <w:tcPr>
            <w:tcW w:w="515" w:type="pct"/>
          </w:tcPr>
          <w:p w14:paraId="4AFF6808"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$99,750</w:t>
            </w:r>
          </w:p>
        </w:tc>
      </w:tr>
      <w:tr w:rsidR="00354E95" w:rsidRPr="00354E95" w14:paraId="332DE397" w14:textId="77777777" w:rsidTr="00EB4564">
        <w:trPr>
          <w:trHeight w:val="1222"/>
        </w:trPr>
        <w:tc>
          <w:tcPr>
            <w:tcW w:w="595" w:type="pct"/>
          </w:tcPr>
          <w:p w14:paraId="0F6514A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Totals of above</w:t>
            </w:r>
          </w:p>
        </w:tc>
        <w:tc>
          <w:tcPr>
            <w:tcW w:w="517" w:type="pct"/>
          </w:tcPr>
          <w:p w14:paraId="33D6D783"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492</w:t>
            </w:r>
          </w:p>
        </w:tc>
        <w:tc>
          <w:tcPr>
            <w:tcW w:w="517" w:type="pct"/>
          </w:tcPr>
          <w:p w14:paraId="54168BF0"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9</w:t>
            </w:r>
          </w:p>
        </w:tc>
        <w:tc>
          <w:tcPr>
            <w:tcW w:w="516" w:type="pct"/>
          </w:tcPr>
          <w:p w14:paraId="00035DBE"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315</w:t>
            </w:r>
          </w:p>
        </w:tc>
        <w:tc>
          <w:tcPr>
            <w:tcW w:w="516" w:type="pct"/>
          </w:tcPr>
          <w:p w14:paraId="1C2FF68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390</w:t>
            </w:r>
          </w:p>
        </w:tc>
        <w:tc>
          <w:tcPr>
            <w:tcW w:w="437" w:type="pct"/>
          </w:tcPr>
          <w:p w14:paraId="77123F5C"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$443.11</w:t>
            </w:r>
          </w:p>
        </w:tc>
        <w:tc>
          <w:tcPr>
            <w:tcW w:w="516" w:type="pct"/>
          </w:tcPr>
          <w:p w14:paraId="1215A6AC"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$27,130</w:t>
            </w:r>
          </w:p>
        </w:tc>
        <w:tc>
          <w:tcPr>
            <w:tcW w:w="477" w:type="pct"/>
          </w:tcPr>
          <w:p w14:paraId="63A7C21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1,434</w:t>
            </w:r>
          </w:p>
        </w:tc>
        <w:tc>
          <w:tcPr>
            <w:tcW w:w="394" w:type="pct"/>
          </w:tcPr>
          <w:p w14:paraId="35CEC421"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72,480</w:t>
            </w:r>
          </w:p>
        </w:tc>
        <w:tc>
          <w:tcPr>
            <w:tcW w:w="515" w:type="pct"/>
          </w:tcPr>
          <w:p w14:paraId="5846E78D"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$5,158,470</w:t>
            </w:r>
          </w:p>
        </w:tc>
      </w:tr>
      <w:tr w:rsidR="00354E95" w:rsidRPr="00354E95" w14:paraId="512BE796" w14:textId="77777777" w:rsidTr="00EB4564">
        <w:trPr>
          <w:trHeight w:val="1222"/>
        </w:trPr>
        <w:tc>
          <w:tcPr>
            <w:tcW w:w="595" w:type="pct"/>
          </w:tcPr>
          <w:p w14:paraId="0280E9C2"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Averages of above, where applicable</w:t>
            </w:r>
          </w:p>
        </w:tc>
        <w:tc>
          <w:tcPr>
            <w:tcW w:w="517" w:type="pct"/>
          </w:tcPr>
          <w:p w14:paraId="2694590C"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N/A</w:t>
            </w:r>
          </w:p>
        </w:tc>
        <w:tc>
          <w:tcPr>
            <w:tcW w:w="517" w:type="pct"/>
          </w:tcPr>
          <w:p w14:paraId="2428E33A"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1.5</w:t>
            </w:r>
          </w:p>
        </w:tc>
        <w:tc>
          <w:tcPr>
            <w:tcW w:w="516" w:type="pct"/>
          </w:tcPr>
          <w:p w14:paraId="4FA1E596"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52.5</w:t>
            </w:r>
          </w:p>
        </w:tc>
        <w:tc>
          <w:tcPr>
            <w:tcW w:w="516" w:type="pct"/>
          </w:tcPr>
          <w:p w14:paraId="10F18A34"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N/A</w:t>
            </w:r>
          </w:p>
        </w:tc>
        <w:tc>
          <w:tcPr>
            <w:tcW w:w="437" w:type="pct"/>
          </w:tcPr>
          <w:p w14:paraId="1D4FB726"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$73.85</w:t>
            </w:r>
          </w:p>
        </w:tc>
        <w:tc>
          <w:tcPr>
            <w:tcW w:w="516" w:type="pct"/>
          </w:tcPr>
          <w:p w14:paraId="1631E082" w14:textId="77777777" w:rsidR="00354E95" w:rsidRPr="00354E95" w:rsidRDefault="00354E95" w:rsidP="00354E95">
            <w:pPr>
              <w:jc w:val="center"/>
              <w:rPr>
                <w:rFonts w:ascii="Arial" w:eastAsia="Calibri" w:hAnsi="Arial" w:cs="Arial"/>
                <w:b/>
                <w:sz w:val="16"/>
                <w:szCs w:val="16"/>
              </w:rPr>
            </w:pPr>
            <w:r w:rsidRPr="00354E95">
              <w:rPr>
                <w:rFonts w:ascii="Arial" w:eastAsia="Calibri" w:hAnsi="Arial" w:cs="Arial"/>
                <w:b/>
                <w:sz w:val="16"/>
                <w:szCs w:val="16"/>
              </w:rPr>
              <w:t>$4,521.6</w:t>
            </w:r>
          </w:p>
        </w:tc>
        <w:tc>
          <w:tcPr>
            <w:tcW w:w="477" w:type="pct"/>
          </w:tcPr>
          <w:p w14:paraId="127E9B71"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N/A</w:t>
            </w:r>
          </w:p>
        </w:tc>
        <w:tc>
          <w:tcPr>
            <w:tcW w:w="394" w:type="pct"/>
          </w:tcPr>
          <w:p w14:paraId="1E1E0B14"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N/A</w:t>
            </w:r>
          </w:p>
        </w:tc>
        <w:tc>
          <w:tcPr>
            <w:tcW w:w="515" w:type="pct"/>
          </w:tcPr>
          <w:p w14:paraId="019BCD9E" w14:textId="77777777" w:rsidR="00354E95" w:rsidRPr="00354E95" w:rsidRDefault="00354E95" w:rsidP="00354E95">
            <w:pPr>
              <w:tabs>
                <w:tab w:val="left" w:pos="-720"/>
                <w:tab w:val="left" w:pos="0"/>
              </w:tabs>
              <w:suppressAutoHyphens/>
              <w:jc w:val="center"/>
              <w:rPr>
                <w:rFonts w:ascii="Arial" w:eastAsia="Times New Roman" w:hAnsi="Arial" w:cs="Arial"/>
                <w:b/>
                <w:sz w:val="16"/>
                <w:szCs w:val="16"/>
              </w:rPr>
            </w:pPr>
            <w:r w:rsidRPr="00354E95">
              <w:rPr>
                <w:rFonts w:ascii="Arial" w:eastAsia="Times New Roman" w:hAnsi="Arial" w:cs="Arial"/>
                <w:b/>
                <w:sz w:val="16"/>
                <w:szCs w:val="16"/>
              </w:rPr>
              <w:t>N/A</w:t>
            </w:r>
          </w:p>
        </w:tc>
      </w:tr>
    </w:tbl>
    <w:p w14:paraId="1C604062" w14:textId="77777777" w:rsidR="00354E95" w:rsidRPr="00354E95" w:rsidRDefault="00354E95" w:rsidP="00354E95">
      <w:pPr>
        <w:jc w:val="center"/>
        <w:rPr>
          <w:rFonts w:eastAsia="Times New Roman" w:cs="Times New Roman"/>
          <w:szCs w:val="24"/>
        </w:rPr>
      </w:pPr>
    </w:p>
    <w:p w14:paraId="3392BB35" w14:textId="77777777" w:rsidR="00354E95" w:rsidRPr="00354E95" w:rsidRDefault="00354E95" w:rsidP="00354E95">
      <w:pPr>
        <w:spacing w:after="200" w:line="276" w:lineRule="auto"/>
        <w:rPr>
          <w:rFonts w:eastAsia="Calibri" w:cs="Times New Roman"/>
        </w:rPr>
      </w:pPr>
    </w:p>
    <w:p w14:paraId="1F249E4C" w14:textId="77777777" w:rsidR="00354E95" w:rsidRPr="00354E95" w:rsidRDefault="00354E95" w:rsidP="00354E95">
      <w:pPr>
        <w:spacing w:line="480" w:lineRule="auto"/>
        <w:ind w:firstLine="720"/>
        <w:rPr>
          <w:rFonts w:eastAsia="Calibri" w:cs="Times New Roman"/>
          <w:szCs w:val="24"/>
        </w:rPr>
      </w:pPr>
      <w:r w:rsidRPr="00354E95">
        <w:rPr>
          <w:rFonts w:eastAsia="Calibri" w:cs="Times New Roman"/>
          <w:szCs w:val="24"/>
        </w:rPr>
        <w:t>The following professions and hourly wages are referenced in the tables above.</w:t>
      </w:r>
      <w:r w:rsidRPr="00354E95">
        <w:rPr>
          <w:rFonts w:eastAsia="Calibri" w:cs="Times New Roman"/>
          <w:szCs w:val="24"/>
          <w:vertAlign w:val="superscript"/>
        </w:rPr>
        <w:footnoteReference w:id="11"/>
      </w:r>
      <w:r w:rsidRPr="00354E95">
        <w:rPr>
          <w:rFonts w:eastAsia="Calibri" w:cs="Times New Roman"/>
          <w:szCs w:val="24"/>
        </w:rPr>
        <w:t xml:space="preserve">  </w:t>
      </w:r>
    </w:p>
    <w:tbl>
      <w:tblPr>
        <w:tblStyle w:val="TableGrid"/>
        <w:tblW w:w="0" w:type="auto"/>
        <w:tblLayout w:type="fixed"/>
        <w:tblLook w:val="04A0" w:firstRow="1" w:lastRow="0" w:firstColumn="1" w:lastColumn="0" w:noHBand="0" w:noVBand="1"/>
      </w:tblPr>
      <w:tblGrid>
        <w:gridCol w:w="3168"/>
        <w:gridCol w:w="3060"/>
        <w:gridCol w:w="1890"/>
        <w:gridCol w:w="1415"/>
      </w:tblGrid>
      <w:tr w:rsidR="00354E95" w:rsidRPr="00354E95" w14:paraId="5322E6EF" w14:textId="77777777" w:rsidTr="00EB4564">
        <w:trPr>
          <w:trHeight w:val="1034"/>
        </w:trPr>
        <w:tc>
          <w:tcPr>
            <w:tcW w:w="3168" w:type="dxa"/>
          </w:tcPr>
          <w:p w14:paraId="5AD98C5F" w14:textId="77777777" w:rsidR="00354E95" w:rsidRPr="00354E95" w:rsidRDefault="00354E95" w:rsidP="00354E95">
            <w:pPr>
              <w:rPr>
                <w:rFonts w:ascii="Arial" w:hAnsi="Arial" w:cs="Arial"/>
                <w:b/>
                <w:sz w:val="16"/>
                <w:szCs w:val="16"/>
              </w:rPr>
            </w:pPr>
            <w:r w:rsidRPr="00354E95">
              <w:rPr>
                <w:rFonts w:ascii="Arial" w:hAnsi="Arial" w:cs="Arial"/>
                <w:b/>
                <w:sz w:val="16"/>
                <w:szCs w:val="16"/>
              </w:rPr>
              <w:t>2013 SIFMA Report Profession and Code</w:t>
            </w:r>
          </w:p>
        </w:tc>
        <w:tc>
          <w:tcPr>
            <w:tcW w:w="3060" w:type="dxa"/>
          </w:tcPr>
          <w:p w14:paraId="66EAEC48" w14:textId="77777777" w:rsidR="00354E95" w:rsidRPr="00354E95" w:rsidRDefault="00354E95" w:rsidP="00354E95">
            <w:pPr>
              <w:rPr>
                <w:rFonts w:ascii="Arial" w:hAnsi="Arial" w:cs="Arial"/>
                <w:b/>
                <w:sz w:val="16"/>
                <w:szCs w:val="16"/>
              </w:rPr>
            </w:pPr>
            <w:r w:rsidRPr="00354E95">
              <w:rPr>
                <w:rFonts w:ascii="Arial" w:hAnsi="Arial" w:cs="Arial"/>
                <w:b/>
                <w:sz w:val="16"/>
                <w:szCs w:val="16"/>
              </w:rPr>
              <w:t>Description of Role in Related Matters</w:t>
            </w:r>
          </w:p>
        </w:tc>
        <w:tc>
          <w:tcPr>
            <w:tcW w:w="1890" w:type="dxa"/>
          </w:tcPr>
          <w:p w14:paraId="5D7762D7" w14:textId="77777777" w:rsidR="00354E95" w:rsidRPr="00354E95" w:rsidRDefault="00354E95" w:rsidP="00354E95">
            <w:pPr>
              <w:rPr>
                <w:rFonts w:ascii="Arial" w:hAnsi="Arial" w:cs="Arial"/>
                <w:b/>
                <w:sz w:val="16"/>
                <w:szCs w:val="16"/>
              </w:rPr>
            </w:pPr>
            <w:r w:rsidRPr="00354E95">
              <w:rPr>
                <w:rFonts w:ascii="Arial" w:hAnsi="Arial" w:cs="Arial"/>
                <w:b/>
                <w:sz w:val="16"/>
                <w:szCs w:val="16"/>
              </w:rPr>
              <w:t>Total mean 2012 compensation with bonus- 2013 SIFMA Report</w:t>
            </w:r>
          </w:p>
        </w:tc>
        <w:tc>
          <w:tcPr>
            <w:tcW w:w="1415" w:type="dxa"/>
          </w:tcPr>
          <w:p w14:paraId="4817C665" w14:textId="77777777" w:rsidR="00354E95" w:rsidRPr="00354E95" w:rsidRDefault="00354E95" w:rsidP="00354E95">
            <w:pPr>
              <w:rPr>
                <w:rFonts w:ascii="Arial" w:hAnsi="Arial" w:cs="Arial"/>
                <w:b/>
                <w:sz w:val="16"/>
                <w:szCs w:val="16"/>
              </w:rPr>
            </w:pPr>
            <w:r w:rsidRPr="00354E95">
              <w:rPr>
                <w:rFonts w:ascii="Arial" w:hAnsi="Arial" w:cs="Arial"/>
                <w:b/>
                <w:sz w:val="16"/>
                <w:szCs w:val="16"/>
              </w:rPr>
              <w:t>Hourly wage rate (rounded)</w:t>
            </w:r>
            <w:r w:rsidRPr="00354E95">
              <w:rPr>
                <w:rFonts w:ascii="Arial" w:hAnsi="Arial" w:cs="Arial"/>
                <w:b/>
                <w:sz w:val="16"/>
                <w:szCs w:val="16"/>
                <w:vertAlign w:val="superscript"/>
              </w:rPr>
              <w:footnoteReference w:id="12"/>
            </w:r>
            <w:r w:rsidRPr="00354E95">
              <w:rPr>
                <w:rFonts w:ascii="Arial" w:hAnsi="Arial" w:cs="Arial"/>
                <w:b/>
                <w:sz w:val="16"/>
                <w:szCs w:val="16"/>
              </w:rPr>
              <w:t xml:space="preserve"> </w:t>
            </w:r>
          </w:p>
        </w:tc>
      </w:tr>
      <w:tr w:rsidR="00354E95" w:rsidRPr="00354E95" w14:paraId="4474D34B" w14:textId="77777777" w:rsidTr="00EB4564">
        <w:trPr>
          <w:trHeight w:val="572"/>
        </w:trPr>
        <w:tc>
          <w:tcPr>
            <w:tcW w:w="3168" w:type="dxa"/>
          </w:tcPr>
          <w:p w14:paraId="7D023B48" w14:textId="77777777" w:rsidR="00354E95" w:rsidRPr="00354E95" w:rsidRDefault="00354E95" w:rsidP="00354E95">
            <w:pPr>
              <w:rPr>
                <w:rFonts w:ascii="Arial" w:hAnsi="Arial" w:cs="Arial"/>
                <w:b/>
                <w:sz w:val="16"/>
                <w:szCs w:val="16"/>
              </w:rPr>
            </w:pPr>
            <w:r w:rsidRPr="00354E95">
              <w:rPr>
                <w:rFonts w:ascii="Arial" w:hAnsi="Arial" w:cs="Arial"/>
                <w:b/>
                <w:sz w:val="16"/>
                <w:szCs w:val="16"/>
              </w:rPr>
              <w:t>Project Manager (1030)</w:t>
            </w:r>
          </w:p>
        </w:tc>
        <w:tc>
          <w:tcPr>
            <w:tcW w:w="3060" w:type="dxa"/>
          </w:tcPr>
          <w:p w14:paraId="59A93EE7" w14:textId="77777777" w:rsidR="00354E95" w:rsidRPr="00354E95" w:rsidRDefault="00354E95" w:rsidP="00354E95">
            <w:pPr>
              <w:rPr>
                <w:rFonts w:ascii="Arial" w:hAnsi="Arial" w:cs="Arial"/>
                <w:b/>
                <w:sz w:val="16"/>
                <w:szCs w:val="16"/>
              </w:rPr>
            </w:pPr>
            <w:r w:rsidRPr="00354E95">
              <w:rPr>
                <w:rFonts w:ascii="Arial" w:hAnsi="Arial" w:cs="Arial"/>
                <w:b/>
                <w:sz w:val="16"/>
                <w:szCs w:val="16"/>
              </w:rPr>
              <w:t>Project Manager</w:t>
            </w:r>
          </w:p>
        </w:tc>
        <w:tc>
          <w:tcPr>
            <w:tcW w:w="1890" w:type="dxa"/>
          </w:tcPr>
          <w:p w14:paraId="4CDF0699" w14:textId="77777777" w:rsidR="00354E95" w:rsidRPr="00354E95" w:rsidRDefault="00354E95" w:rsidP="00354E95">
            <w:pPr>
              <w:rPr>
                <w:rFonts w:ascii="Arial" w:hAnsi="Arial" w:cs="Arial"/>
                <w:b/>
                <w:sz w:val="16"/>
                <w:szCs w:val="16"/>
              </w:rPr>
            </w:pPr>
            <w:r w:rsidRPr="00354E95">
              <w:rPr>
                <w:rFonts w:ascii="Arial" w:hAnsi="Arial" w:cs="Arial"/>
                <w:b/>
                <w:sz w:val="16"/>
                <w:szCs w:val="16"/>
              </w:rPr>
              <w:t>$97,138</w:t>
            </w:r>
            <w:r w:rsidRPr="00354E95">
              <w:rPr>
                <w:rFonts w:ascii="Arial" w:hAnsi="Arial" w:cs="Arial"/>
                <w:b/>
                <w:sz w:val="16"/>
                <w:szCs w:val="16"/>
                <w:vertAlign w:val="superscript"/>
              </w:rPr>
              <w:footnoteReference w:id="13"/>
            </w:r>
          </w:p>
        </w:tc>
        <w:tc>
          <w:tcPr>
            <w:tcW w:w="1415" w:type="dxa"/>
          </w:tcPr>
          <w:p w14:paraId="230CFDE4" w14:textId="77777777" w:rsidR="00354E95" w:rsidRPr="00354E95" w:rsidRDefault="00354E95" w:rsidP="00354E95">
            <w:pPr>
              <w:rPr>
                <w:rFonts w:ascii="Arial" w:hAnsi="Arial" w:cs="Arial"/>
                <w:b/>
                <w:sz w:val="16"/>
                <w:szCs w:val="16"/>
              </w:rPr>
            </w:pPr>
            <w:r w:rsidRPr="00354E95">
              <w:rPr>
                <w:rFonts w:ascii="Arial" w:hAnsi="Arial" w:cs="Arial"/>
                <w:b/>
                <w:sz w:val="16"/>
                <w:szCs w:val="16"/>
              </w:rPr>
              <w:t>$70</w:t>
            </w:r>
          </w:p>
        </w:tc>
      </w:tr>
      <w:tr w:rsidR="00354E95" w:rsidRPr="00354E95" w14:paraId="04C39140" w14:textId="77777777" w:rsidTr="00EB4564">
        <w:trPr>
          <w:trHeight w:val="554"/>
        </w:trPr>
        <w:tc>
          <w:tcPr>
            <w:tcW w:w="3168" w:type="dxa"/>
          </w:tcPr>
          <w:p w14:paraId="50DAB851" w14:textId="77777777" w:rsidR="00354E95" w:rsidRPr="00354E95" w:rsidRDefault="00354E95" w:rsidP="00354E95">
            <w:pPr>
              <w:rPr>
                <w:rFonts w:ascii="Arial" w:hAnsi="Arial" w:cs="Arial"/>
                <w:b/>
                <w:sz w:val="16"/>
                <w:szCs w:val="16"/>
              </w:rPr>
            </w:pPr>
            <w:r w:rsidRPr="00354E95">
              <w:rPr>
                <w:rFonts w:ascii="Arial" w:hAnsi="Arial" w:cs="Arial"/>
                <w:b/>
                <w:sz w:val="16"/>
                <w:szCs w:val="16"/>
              </w:rPr>
              <w:t>Business Analyst (Intermediate) (602)</w:t>
            </w:r>
          </w:p>
        </w:tc>
        <w:tc>
          <w:tcPr>
            <w:tcW w:w="3060" w:type="dxa"/>
          </w:tcPr>
          <w:p w14:paraId="71DDCD9F" w14:textId="77777777" w:rsidR="00354E95" w:rsidRPr="00354E95" w:rsidRDefault="00354E95" w:rsidP="00354E95">
            <w:pPr>
              <w:rPr>
                <w:rFonts w:ascii="Arial" w:hAnsi="Arial" w:cs="Arial"/>
                <w:b/>
                <w:sz w:val="16"/>
                <w:szCs w:val="16"/>
              </w:rPr>
            </w:pPr>
            <w:r w:rsidRPr="00354E95">
              <w:rPr>
                <w:rFonts w:ascii="Arial" w:hAnsi="Arial" w:cs="Arial"/>
                <w:b/>
                <w:sz w:val="16"/>
                <w:szCs w:val="16"/>
              </w:rPr>
              <w:t>Business Analyst</w:t>
            </w:r>
          </w:p>
        </w:tc>
        <w:tc>
          <w:tcPr>
            <w:tcW w:w="1890" w:type="dxa"/>
          </w:tcPr>
          <w:p w14:paraId="65263090" w14:textId="77777777" w:rsidR="00354E95" w:rsidRPr="00354E95" w:rsidRDefault="00354E95" w:rsidP="00354E95">
            <w:pPr>
              <w:rPr>
                <w:rFonts w:ascii="Arial" w:hAnsi="Arial" w:cs="Arial"/>
                <w:b/>
                <w:sz w:val="16"/>
                <w:szCs w:val="16"/>
              </w:rPr>
            </w:pPr>
            <w:r w:rsidRPr="00354E95">
              <w:rPr>
                <w:rFonts w:ascii="Arial" w:hAnsi="Arial" w:cs="Arial"/>
                <w:b/>
                <w:sz w:val="16"/>
                <w:szCs w:val="16"/>
              </w:rPr>
              <w:t>$72,650</w:t>
            </w:r>
            <w:r w:rsidRPr="00354E95">
              <w:rPr>
                <w:rFonts w:ascii="Arial" w:hAnsi="Arial" w:cs="Arial"/>
                <w:b/>
                <w:sz w:val="16"/>
                <w:szCs w:val="16"/>
                <w:vertAlign w:val="superscript"/>
              </w:rPr>
              <w:footnoteReference w:id="14"/>
            </w:r>
          </w:p>
        </w:tc>
        <w:tc>
          <w:tcPr>
            <w:tcW w:w="1415" w:type="dxa"/>
          </w:tcPr>
          <w:p w14:paraId="0522026C" w14:textId="77777777" w:rsidR="00354E95" w:rsidRPr="00354E95" w:rsidRDefault="00354E95" w:rsidP="00354E95">
            <w:pPr>
              <w:rPr>
                <w:rFonts w:ascii="Arial" w:hAnsi="Arial" w:cs="Arial"/>
                <w:b/>
                <w:sz w:val="16"/>
                <w:szCs w:val="16"/>
              </w:rPr>
            </w:pPr>
            <w:r w:rsidRPr="00354E95">
              <w:rPr>
                <w:rFonts w:ascii="Arial" w:hAnsi="Arial" w:cs="Arial"/>
                <w:b/>
                <w:sz w:val="16"/>
                <w:szCs w:val="16"/>
              </w:rPr>
              <w:t>$52</w:t>
            </w:r>
          </w:p>
        </w:tc>
      </w:tr>
      <w:tr w:rsidR="00354E95" w:rsidRPr="00354E95" w14:paraId="621FB4F6" w14:textId="77777777" w:rsidTr="00EB4564">
        <w:trPr>
          <w:trHeight w:val="572"/>
        </w:trPr>
        <w:tc>
          <w:tcPr>
            <w:tcW w:w="3168" w:type="dxa"/>
          </w:tcPr>
          <w:p w14:paraId="5DA7F793" w14:textId="77777777" w:rsidR="00354E95" w:rsidRPr="00354E95" w:rsidRDefault="00354E95" w:rsidP="00354E95">
            <w:pPr>
              <w:rPr>
                <w:rFonts w:ascii="Arial" w:hAnsi="Arial" w:cs="Arial"/>
                <w:b/>
                <w:sz w:val="16"/>
                <w:szCs w:val="16"/>
              </w:rPr>
            </w:pPr>
            <w:r w:rsidRPr="00354E95">
              <w:rPr>
                <w:rFonts w:ascii="Arial" w:hAnsi="Arial" w:cs="Arial"/>
                <w:b/>
                <w:sz w:val="16"/>
                <w:szCs w:val="16"/>
              </w:rPr>
              <w:t>Business Analyst (Intermediate) (602)</w:t>
            </w:r>
          </w:p>
        </w:tc>
        <w:tc>
          <w:tcPr>
            <w:tcW w:w="3060" w:type="dxa"/>
          </w:tcPr>
          <w:p w14:paraId="0FD1AC81" w14:textId="77777777" w:rsidR="00354E95" w:rsidRPr="00354E95" w:rsidRDefault="00354E95" w:rsidP="00354E95">
            <w:pPr>
              <w:rPr>
                <w:rFonts w:ascii="Arial" w:hAnsi="Arial" w:cs="Arial"/>
                <w:b/>
                <w:sz w:val="16"/>
                <w:szCs w:val="16"/>
              </w:rPr>
            </w:pPr>
            <w:r w:rsidRPr="00354E95">
              <w:rPr>
                <w:rFonts w:ascii="Arial" w:hAnsi="Arial" w:cs="Arial"/>
                <w:b/>
                <w:sz w:val="16"/>
                <w:szCs w:val="16"/>
              </w:rPr>
              <w:t>Tester</w:t>
            </w:r>
          </w:p>
        </w:tc>
        <w:tc>
          <w:tcPr>
            <w:tcW w:w="1890" w:type="dxa"/>
          </w:tcPr>
          <w:p w14:paraId="79D38C21" w14:textId="77777777" w:rsidR="00354E95" w:rsidRPr="00354E95" w:rsidRDefault="00354E95" w:rsidP="00354E95">
            <w:pPr>
              <w:rPr>
                <w:rFonts w:ascii="Arial" w:hAnsi="Arial" w:cs="Arial"/>
                <w:b/>
                <w:sz w:val="16"/>
                <w:szCs w:val="16"/>
              </w:rPr>
            </w:pPr>
            <w:r w:rsidRPr="00354E95">
              <w:rPr>
                <w:rFonts w:ascii="Arial" w:hAnsi="Arial" w:cs="Arial"/>
                <w:b/>
                <w:sz w:val="16"/>
                <w:szCs w:val="16"/>
              </w:rPr>
              <w:t>$72,650</w:t>
            </w:r>
            <w:r w:rsidRPr="00354E95">
              <w:rPr>
                <w:rFonts w:ascii="Arial" w:hAnsi="Arial" w:cs="Arial"/>
                <w:b/>
                <w:sz w:val="16"/>
                <w:szCs w:val="16"/>
                <w:vertAlign w:val="superscript"/>
              </w:rPr>
              <w:footnoteReference w:id="15"/>
            </w:r>
          </w:p>
        </w:tc>
        <w:tc>
          <w:tcPr>
            <w:tcW w:w="1415" w:type="dxa"/>
          </w:tcPr>
          <w:p w14:paraId="43B3C1D4" w14:textId="77777777" w:rsidR="00354E95" w:rsidRPr="00354E95" w:rsidRDefault="00354E95" w:rsidP="00354E95">
            <w:pPr>
              <w:rPr>
                <w:rFonts w:ascii="Arial" w:hAnsi="Arial" w:cs="Arial"/>
                <w:b/>
                <w:sz w:val="16"/>
                <w:szCs w:val="16"/>
              </w:rPr>
            </w:pPr>
            <w:r w:rsidRPr="00354E95">
              <w:rPr>
                <w:rFonts w:ascii="Arial" w:hAnsi="Arial" w:cs="Arial"/>
                <w:b/>
                <w:sz w:val="16"/>
                <w:szCs w:val="16"/>
              </w:rPr>
              <w:t>$52</w:t>
            </w:r>
          </w:p>
        </w:tc>
      </w:tr>
      <w:tr w:rsidR="00354E95" w:rsidRPr="00354E95" w14:paraId="36121140" w14:textId="77777777" w:rsidTr="00EB4564">
        <w:trPr>
          <w:trHeight w:val="572"/>
        </w:trPr>
        <w:tc>
          <w:tcPr>
            <w:tcW w:w="3168" w:type="dxa"/>
          </w:tcPr>
          <w:p w14:paraId="756E1E20" w14:textId="77777777" w:rsidR="00354E95" w:rsidRPr="00354E95" w:rsidRDefault="00354E95" w:rsidP="00354E95">
            <w:pPr>
              <w:rPr>
                <w:rFonts w:ascii="Arial" w:hAnsi="Arial" w:cs="Arial"/>
                <w:b/>
                <w:sz w:val="16"/>
                <w:szCs w:val="16"/>
              </w:rPr>
            </w:pPr>
            <w:r w:rsidRPr="00354E95">
              <w:rPr>
                <w:rFonts w:ascii="Arial" w:hAnsi="Arial" w:cs="Arial"/>
                <w:b/>
                <w:sz w:val="16"/>
                <w:szCs w:val="16"/>
              </w:rPr>
              <w:t>Programmer Analyst (Senior) (1607)</w:t>
            </w:r>
          </w:p>
        </w:tc>
        <w:tc>
          <w:tcPr>
            <w:tcW w:w="3060" w:type="dxa"/>
          </w:tcPr>
          <w:p w14:paraId="1C86ACE2" w14:textId="77777777" w:rsidR="00354E95" w:rsidRPr="00354E95" w:rsidRDefault="00354E95" w:rsidP="00354E95">
            <w:pPr>
              <w:rPr>
                <w:rFonts w:ascii="Arial" w:hAnsi="Arial" w:cs="Arial"/>
                <w:b/>
                <w:sz w:val="16"/>
                <w:szCs w:val="16"/>
              </w:rPr>
            </w:pPr>
            <w:r w:rsidRPr="00354E95">
              <w:rPr>
                <w:rFonts w:ascii="Arial" w:hAnsi="Arial" w:cs="Arial"/>
                <w:b/>
                <w:sz w:val="16"/>
                <w:szCs w:val="16"/>
              </w:rPr>
              <w:t>Developer</w:t>
            </w:r>
          </w:p>
        </w:tc>
        <w:tc>
          <w:tcPr>
            <w:tcW w:w="1890" w:type="dxa"/>
          </w:tcPr>
          <w:p w14:paraId="75A32C4C" w14:textId="77777777" w:rsidR="00354E95" w:rsidRPr="00354E95" w:rsidRDefault="00354E95" w:rsidP="00354E95">
            <w:pPr>
              <w:rPr>
                <w:rFonts w:ascii="Arial" w:hAnsi="Arial" w:cs="Arial"/>
                <w:b/>
                <w:sz w:val="16"/>
                <w:szCs w:val="16"/>
              </w:rPr>
            </w:pPr>
            <w:r w:rsidRPr="00354E95">
              <w:rPr>
                <w:rFonts w:ascii="Arial" w:hAnsi="Arial" w:cs="Arial"/>
                <w:b/>
                <w:sz w:val="16"/>
                <w:szCs w:val="16"/>
              </w:rPr>
              <w:t>$103,851</w:t>
            </w:r>
            <w:r w:rsidRPr="00354E95">
              <w:rPr>
                <w:rFonts w:ascii="Arial" w:hAnsi="Arial" w:cs="Arial"/>
                <w:b/>
                <w:sz w:val="16"/>
                <w:szCs w:val="16"/>
                <w:vertAlign w:val="superscript"/>
              </w:rPr>
              <w:footnoteReference w:id="16"/>
            </w:r>
          </w:p>
        </w:tc>
        <w:tc>
          <w:tcPr>
            <w:tcW w:w="1415" w:type="dxa"/>
          </w:tcPr>
          <w:p w14:paraId="0FE7436B" w14:textId="77777777" w:rsidR="00354E95" w:rsidRPr="00354E95" w:rsidRDefault="00354E95" w:rsidP="00354E95">
            <w:pPr>
              <w:rPr>
                <w:rFonts w:ascii="Arial" w:hAnsi="Arial" w:cs="Arial"/>
                <w:b/>
                <w:sz w:val="16"/>
                <w:szCs w:val="16"/>
              </w:rPr>
            </w:pPr>
            <w:r w:rsidRPr="00354E95">
              <w:rPr>
                <w:rFonts w:ascii="Arial" w:hAnsi="Arial" w:cs="Arial"/>
                <w:b/>
                <w:sz w:val="16"/>
                <w:szCs w:val="16"/>
              </w:rPr>
              <w:t>$75</w:t>
            </w:r>
          </w:p>
        </w:tc>
      </w:tr>
      <w:tr w:rsidR="00354E95" w:rsidRPr="00354E95" w14:paraId="74E252E8" w14:textId="77777777" w:rsidTr="00EB4564">
        <w:trPr>
          <w:trHeight w:val="554"/>
        </w:trPr>
        <w:tc>
          <w:tcPr>
            <w:tcW w:w="3168" w:type="dxa"/>
          </w:tcPr>
          <w:p w14:paraId="6E2C929F" w14:textId="77777777" w:rsidR="00354E95" w:rsidRPr="00354E95" w:rsidRDefault="00354E95" w:rsidP="00354E95">
            <w:pPr>
              <w:rPr>
                <w:rFonts w:ascii="Arial" w:hAnsi="Arial" w:cs="Arial"/>
                <w:b/>
                <w:sz w:val="16"/>
                <w:szCs w:val="16"/>
              </w:rPr>
            </w:pPr>
            <w:r w:rsidRPr="00354E95">
              <w:rPr>
                <w:rFonts w:ascii="Arial" w:hAnsi="Arial" w:cs="Arial"/>
                <w:b/>
                <w:sz w:val="16"/>
                <w:szCs w:val="16"/>
              </w:rPr>
              <w:t>Compliance Examiner (Senior) (409)</w:t>
            </w:r>
          </w:p>
        </w:tc>
        <w:tc>
          <w:tcPr>
            <w:tcW w:w="3060" w:type="dxa"/>
          </w:tcPr>
          <w:p w14:paraId="3F01DDD1" w14:textId="77777777" w:rsidR="00354E95" w:rsidRPr="00354E95" w:rsidRDefault="00354E95" w:rsidP="00354E95">
            <w:pPr>
              <w:rPr>
                <w:rFonts w:ascii="Arial" w:hAnsi="Arial" w:cs="Arial"/>
                <w:b/>
                <w:sz w:val="16"/>
                <w:szCs w:val="16"/>
              </w:rPr>
            </w:pPr>
            <w:r w:rsidRPr="00354E95">
              <w:rPr>
                <w:rFonts w:ascii="Arial" w:hAnsi="Arial" w:cs="Arial"/>
                <w:b/>
                <w:sz w:val="16"/>
                <w:szCs w:val="16"/>
              </w:rPr>
              <w:t>Senior Compliance Examiner</w:t>
            </w:r>
          </w:p>
        </w:tc>
        <w:tc>
          <w:tcPr>
            <w:tcW w:w="1890" w:type="dxa"/>
          </w:tcPr>
          <w:p w14:paraId="45A75EBC" w14:textId="77777777" w:rsidR="00354E95" w:rsidRPr="00354E95" w:rsidRDefault="00354E95" w:rsidP="00354E95">
            <w:pPr>
              <w:rPr>
                <w:rFonts w:ascii="Arial" w:hAnsi="Arial" w:cs="Arial"/>
                <w:b/>
                <w:sz w:val="16"/>
                <w:szCs w:val="16"/>
              </w:rPr>
            </w:pPr>
            <w:r w:rsidRPr="00354E95">
              <w:rPr>
                <w:rFonts w:ascii="Arial" w:hAnsi="Arial" w:cs="Arial"/>
                <w:b/>
                <w:sz w:val="16"/>
                <w:szCs w:val="16"/>
              </w:rPr>
              <w:t>$79,992</w:t>
            </w:r>
            <w:r w:rsidRPr="00354E95">
              <w:rPr>
                <w:rFonts w:ascii="Arial" w:hAnsi="Arial" w:cs="Arial"/>
                <w:b/>
                <w:sz w:val="16"/>
                <w:szCs w:val="16"/>
                <w:vertAlign w:val="superscript"/>
              </w:rPr>
              <w:footnoteReference w:id="17"/>
            </w:r>
          </w:p>
        </w:tc>
        <w:tc>
          <w:tcPr>
            <w:tcW w:w="1415" w:type="dxa"/>
          </w:tcPr>
          <w:p w14:paraId="40EA3AE6" w14:textId="77777777" w:rsidR="00354E95" w:rsidRPr="00354E95" w:rsidRDefault="00354E95" w:rsidP="00354E95">
            <w:pPr>
              <w:rPr>
                <w:rFonts w:ascii="Arial" w:hAnsi="Arial" w:cs="Arial"/>
                <w:b/>
                <w:sz w:val="16"/>
                <w:szCs w:val="16"/>
              </w:rPr>
            </w:pPr>
            <w:r w:rsidRPr="00354E95">
              <w:rPr>
                <w:rFonts w:ascii="Arial" w:hAnsi="Arial" w:cs="Arial"/>
                <w:b/>
                <w:sz w:val="16"/>
                <w:szCs w:val="16"/>
              </w:rPr>
              <w:t>$58</w:t>
            </w:r>
          </w:p>
        </w:tc>
      </w:tr>
      <w:tr w:rsidR="00354E95" w:rsidRPr="00354E95" w14:paraId="6D9659DD" w14:textId="77777777" w:rsidTr="00EB4564">
        <w:trPr>
          <w:trHeight w:val="572"/>
        </w:trPr>
        <w:tc>
          <w:tcPr>
            <w:tcW w:w="3168" w:type="dxa"/>
          </w:tcPr>
          <w:p w14:paraId="299387D1" w14:textId="77777777" w:rsidR="00354E95" w:rsidRPr="00354E95" w:rsidRDefault="00354E95" w:rsidP="00354E95">
            <w:pPr>
              <w:rPr>
                <w:rFonts w:ascii="Arial" w:hAnsi="Arial" w:cs="Arial"/>
                <w:b/>
                <w:sz w:val="16"/>
                <w:szCs w:val="16"/>
              </w:rPr>
            </w:pPr>
            <w:r w:rsidRPr="00354E95">
              <w:rPr>
                <w:rFonts w:ascii="Arial" w:hAnsi="Arial" w:cs="Arial"/>
                <w:b/>
                <w:sz w:val="16"/>
                <w:szCs w:val="16"/>
              </w:rPr>
              <w:t>Compliance Specialist (Senior)</w:t>
            </w:r>
          </w:p>
          <w:p w14:paraId="1BCE2862" w14:textId="77777777" w:rsidR="00354E95" w:rsidRPr="00354E95" w:rsidRDefault="00354E95" w:rsidP="00354E95">
            <w:pPr>
              <w:rPr>
                <w:rFonts w:ascii="Arial" w:hAnsi="Arial" w:cs="Arial"/>
                <w:b/>
                <w:sz w:val="16"/>
                <w:szCs w:val="16"/>
              </w:rPr>
            </w:pPr>
            <w:r w:rsidRPr="00354E95">
              <w:rPr>
                <w:rFonts w:ascii="Arial" w:hAnsi="Arial" w:cs="Arial"/>
                <w:b/>
                <w:sz w:val="16"/>
                <w:szCs w:val="16"/>
              </w:rPr>
              <w:t>(406)</w:t>
            </w:r>
          </w:p>
        </w:tc>
        <w:tc>
          <w:tcPr>
            <w:tcW w:w="3060" w:type="dxa"/>
          </w:tcPr>
          <w:p w14:paraId="4EEFE7B4" w14:textId="77777777" w:rsidR="00354E95" w:rsidRPr="00354E95" w:rsidRDefault="00354E95" w:rsidP="00354E95">
            <w:pPr>
              <w:rPr>
                <w:rFonts w:ascii="Arial" w:hAnsi="Arial" w:cs="Arial"/>
                <w:b/>
                <w:sz w:val="16"/>
                <w:szCs w:val="16"/>
              </w:rPr>
            </w:pPr>
            <w:r w:rsidRPr="00354E95">
              <w:rPr>
                <w:rFonts w:ascii="Arial" w:hAnsi="Arial" w:cs="Arial"/>
                <w:b/>
                <w:sz w:val="16"/>
                <w:szCs w:val="16"/>
              </w:rPr>
              <w:t>Senior Compliance Specialist</w:t>
            </w:r>
          </w:p>
        </w:tc>
        <w:tc>
          <w:tcPr>
            <w:tcW w:w="1890" w:type="dxa"/>
          </w:tcPr>
          <w:p w14:paraId="6498D5C1" w14:textId="77777777" w:rsidR="00354E95" w:rsidRPr="00354E95" w:rsidRDefault="00354E95" w:rsidP="00354E95">
            <w:pPr>
              <w:rPr>
                <w:rFonts w:ascii="Arial" w:hAnsi="Arial" w:cs="Arial"/>
                <w:b/>
                <w:sz w:val="16"/>
                <w:szCs w:val="16"/>
              </w:rPr>
            </w:pPr>
            <w:r w:rsidRPr="00354E95">
              <w:rPr>
                <w:rFonts w:ascii="Arial" w:hAnsi="Arial" w:cs="Arial"/>
                <w:b/>
                <w:sz w:val="16"/>
                <w:szCs w:val="16"/>
              </w:rPr>
              <w:t>$78,250</w:t>
            </w:r>
            <w:r w:rsidRPr="00354E95">
              <w:rPr>
                <w:rFonts w:ascii="Arial" w:hAnsi="Arial" w:cs="Arial"/>
                <w:b/>
                <w:sz w:val="16"/>
                <w:szCs w:val="16"/>
                <w:vertAlign w:val="superscript"/>
              </w:rPr>
              <w:footnoteReference w:id="18"/>
            </w:r>
          </w:p>
        </w:tc>
        <w:tc>
          <w:tcPr>
            <w:tcW w:w="1415" w:type="dxa"/>
          </w:tcPr>
          <w:p w14:paraId="564D467F" w14:textId="77777777" w:rsidR="00354E95" w:rsidRPr="00354E95" w:rsidRDefault="00354E95" w:rsidP="00354E95">
            <w:pPr>
              <w:rPr>
                <w:rFonts w:ascii="Arial" w:hAnsi="Arial" w:cs="Arial"/>
                <w:b/>
                <w:sz w:val="16"/>
                <w:szCs w:val="16"/>
              </w:rPr>
            </w:pPr>
            <w:r w:rsidRPr="00354E95">
              <w:rPr>
                <w:rFonts w:ascii="Arial" w:hAnsi="Arial" w:cs="Arial"/>
                <w:b/>
                <w:sz w:val="16"/>
                <w:szCs w:val="16"/>
              </w:rPr>
              <w:t>$57</w:t>
            </w:r>
          </w:p>
        </w:tc>
      </w:tr>
      <w:tr w:rsidR="00354E95" w:rsidRPr="00354E95" w14:paraId="657EB781" w14:textId="77777777" w:rsidTr="00EB4564">
        <w:trPr>
          <w:trHeight w:val="572"/>
        </w:trPr>
        <w:tc>
          <w:tcPr>
            <w:tcW w:w="3168" w:type="dxa"/>
          </w:tcPr>
          <w:p w14:paraId="3C026A6C" w14:textId="77777777" w:rsidR="00354E95" w:rsidRPr="00354E95" w:rsidRDefault="00354E95" w:rsidP="00354E95">
            <w:pPr>
              <w:rPr>
                <w:rFonts w:ascii="Arial" w:hAnsi="Arial" w:cs="Arial"/>
                <w:b/>
                <w:sz w:val="16"/>
                <w:szCs w:val="16"/>
              </w:rPr>
            </w:pPr>
            <w:r w:rsidRPr="00354E95">
              <w:rPr>
                <w:rFonts w:ascii="Arial" w:hAnsi="Arial" w:cs="Arial"/>
                <w:b/>
                <w:sz w:val="16"/>
                <w:szCs w:val="16"/>
              </w:rPr>
              <w:t>Chief Compliance Officer (Mutual Funds/ Investment Advisory Services) (413)</w:t>
            </w:r>
          </w:p>
        </w:tc>
        <w:tc>
          <w:tcPr>
            <w:tcW w:w="3060" w:type="dxa"/>
          </w:tcPr>
          <w:p w14:paraId="43B983E1" w14:textId="77777777" w:rsidR="00354E95" w:rsidRPr="00354E95" w:rsidRDefault="00354E95" w:rsidP="00354E95">
            <w:pPr>
              <w:rPr>
                <w:rFonts w:ascii="Arial" w:hAnsi="Arial" w:cs="Arial"/>
                <w:b/>
                <w:sz w:val="16"/>
                <w:szCs w:val="16"/>
              </w:rPr>
            </w:pPr>
            <w:r w:rsidRPr="00354E95">
              <w:rPr>
                <w:rFonts w:ascii="Arial" w:hAnsi="Arial" w:cs="Arial"/>
                <w:b/>
                <w:sz w:val="16"/>
                <w:szCs w:val="16"/>
              </w:rPr>
              <w:t>Chief Compliance Officer</w:t>
            </w:r>
          </w:p>
        </w:tc>
        <w:tc>
          <w:tcPr>
            <w:tcW w:w="1890" w:type="dxa"/>
          </w:tcPr>
          <w:p w14:paraId="3F0535FD" w14:textId="77777777" w:rsidR="00354E95" w:rsidRPr="00354E95" w:rsidRDefault="00354E95" w:rsidP="00354E95">
            <w:pPr>
              <w:rPr>
                <w:rFonts w:ascii="Arial" w:hAnsi="Arial" w:cs="Arial"/>
                <w:b/>
                <w:sz w:val="16"/>
                <w:szCs w:val="16"/>
              </w:rPr>
            </w:pPr>
            <w:r w:rsidRPr="00354E95">
              <w:rPr>
                <w:rFonts w:ascii="Arial" w:hAnsi="Arial" w:cs="Arial"/>
                <w:b/>
                <w:sz w:val="16"/>
                <w:szCs w:val="16"/>
              </w:rPr>
              <w:t>$192,367</w:t>
            </w:r>
            <w:r w:rsidRPr="00354E95">
              <w:rPr>
                <w:rFonts w:ascii="Arial" w:hAnsi="Arial" w:cs="Arial"/>
                <w:b/>
                <w:sz w:val="16"/>
                <w:szCs w:val="16"/>
                <w:vertAlign w:val="superscript"/>
              </w:rPr>
              <w:footnoteReference w:id="19"/>
            </w:r>
          </w:p>
        </w:tc>
        <w:tc>
          <w:tcPr>
            <w:tcW w:w="1415" w:type="dxa"/>
          </w:tcPr>
          <w:p w14:paraId="45F5104A" w14:textId="77777777" w:rsidR="00354E95" w:rsidRPr="00354E95" w:rsidRDefault="00354E95" w:rsidP="00354E95">
            <w:pPr>
              <w:rPr>
                <w:rFonts w:ascii="Arial" w:hAnsi="Arial" w:cs="Arial"/>
                <w:b/>
                <w:sz w:val="16"/>
                <w:szCs w:val="16"/>
              </w:rPr>
            </w:pPr>
            <w:r w:rsidRPr="00354E95">
              <w:rPr>
                <w:rFonts w:ascii="Arial" w:hAnsi="Arial" w:cs="Arial"/>
                <w:b/>
                <w:sz w:val="16"/>
                <w:szCs w:val="16"/>
              </w:rPr>
              <w:t>$139</w:t>
            </w:r>
          </w:p>
        </w:tc>
      </w:tr>
      <w:tr w:rsidR="00354E95" w:rsidRPr="00354E95" w14:paraId="16D816C9" w14:textId="77777777" w:rsidTr="00EB4564">
        <w:trPr>
          <w:trHeight w:val="572"/>
        </w:trPr>
        <w:tc>
          <w:tcPr>
            <w:tcW w:w="3168" w:type="dxa"/>
          </w:tcPr>
          <w:p w14:paraId="4952BAC9" w14:textId="77777777" w:rsidR="00354E95" w:rsidRPr="00354E95" w:rsidRDefault="00354E95" w:rsidP="00354E95">
            <w:pPr>
              <w:rPr>
                <w:rFonts w:ascii="Arial" w:hAnsi="Arial" w:cs="Arial"/>
                <w:b/>
                <w:sz w:val="16"/>
                <w:szCs w:val="16"/>
              </w:rPr>
            </w:pPr>
            <w:r w:rsidRPr="00354E95">
              <w:rPr>
                <w:rFonts w:ascii="Arial" w:hAnsi="Arial" w:cs="Arial"/>
                <w:b/>
                <w:sz w:val="16"/>
                <w:szCs w:val="16"/>
              </w:rPr>
              <w:t>Compliance Attorney (1103)</w:t>
            </w:r>
          </w:p>
        </w:tc>
        <w:tc>
          <w:tcPr>
            <w:tcW w:w="3060" w:type="dxa"/>
          </w:tcPr>
          <w:p w14:paraId="05D49294" w14:textId="77777777" w:rsidR="00354E95" w:rsidRPr="00354E95" w:rsidRDefault="00354E95" w:rsidP="00354E95">
            <w:pPr>
              <w:rPr>
                <w:rFonts w:ascii="Arial" w:hAnsi="Arial" w:cs="Arial"/>
                <w:b/>
                <w:sz w:val="16"/>
                <w:szCs w:val="16"/>
              </w:rPr>
            </w:pPr>
            <w:r w:rsidRPr="00354E95">
              <w:rPr>
                <w:rFonts w:ascii="Arial" w:hAnsi="Arial" w:cs="Arial"/>
                <w:b/>
                <w:sz w:val="16"/>
                <w:szCs w:val="16"/>
              </w:rPr>
              <w:t>Compliance Attorney</w:t>
            </w:r>
          </w:p>
        </w:tc>
        <w:tc>
          <w:tcPr>
            <w:tcW w:w="1890" w:type="dxa"/>
          </w:tcPr>
          <w:p w14:paraId="4707FE46" w14:textId="77777777" w:rsidR="00354E95" w:rsidRPr="00354E95" w:rsidRDefault="00354E95" w:rsidP="00354E95">
            <w:pPr>
              <w:rPr>
                <w:rFonts w:ascii="Arial" w:hAnsi="Arial" w:cs="Arial"/>
                <w:b/>
                <w:sz w:val="16"/>
                <w:szCs w:val="16"/>
              </w:rPr>
            </w:pPr>
            <w:r w:rsidRPr="00354E95">
              <w:rPr>
                <w:rFonts w:ascii="Arial" w:hAnsi="Arial" w:cs="Arial"/>
                <w:b/>
                <w:sz w:val="16"/>
                <w:szCs w:val="16"/>
              </w:rPr>
              <w:t>$133,059</w:t>
            </w:r>
            <w:r w:rsidRPr="00354E95">
              <w:rPr>
                <w:rFonts w:ascii="Arial" w:hAnsi="Arial" w:cs="Arial"/>
                <w:b/>
                <w:sz w:val="16"/>
                <w:szCs w:val="16"/>
                <w:vertAlign w:val="superscript"/>
              </w:rPr>
              <w:footnoteReference w:id="20"/>
            </w:r>
          </w:p>
        </w:tc>
        <w:tc>
          <w:tcPr>
            <w:tcW w:w="1415" w:type="dxa"/>
          </w:tcPr>
          <w:p w14:paraId="18B29A59" w14:textId="77777777" w:rsidR="00354E95" w:rsidRPr="00354E95" w:rsidRDefault="00354E95" w:rsidP="00354E95">
            <w:pPr>
              <w:rPr>
                <w:rFonts w:ascii="Arial" w:hAnsi="Arial" w:cs="Arial"/>
                <w:b/>
                <w:sz w:val="16"/>
                <w:szCs w:val="16"/>
              </w:rPr>
            </w:pPr>
            <w:r w:rsidRPr="00354E95">
              <w:rPr>
                <w:rFonts w:ascii="Arial" w:hAnsi="Arial" w:cs="Arial"/>
                <w:b/>
                <w:sz w:val="16"/>
                <w:szCs w:val="16"/>
              </w:rPr>
              <w:t>$96</w:t>
            </w:r>
          </w:p>
        </w:tc>
      </w:tr>
    </w:tbl>
    <w:p w14:paraId="4D50BD6A" w14:textId="36F992BA" w:rsidR="00354E95" w:rsidRPr="00854AE1" w:rsidRDefault="00354E95" w:rsidP="00CB0776">
      <w:pPr>
        <w:tabs>
          <w:tab w:val="left" w:pos="-720"/>
        </w:tabs>
        <w:spacing w:after="240"/>
        <w:rPr>
          <w:rFonts w:eastAsia="Times New Roman" w:cs="Times New Roman"/>
          <w:szCs w:val="24"/>
        </w:rPr>
      </w:pPr>
    </w:p>
    <w:sectPr w:rsidR="00354E95" w:rsidRPr="00854AE1" w:rsidSect="00A1312B">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C9D9" w14:textId="77777777" w:rsidR="00444A8C" w:rsidRDefault="00444A8C" w:rsidP="009C6DB4">
      <w:r>
        <w:separator/>
      </w:r>
    </w:p>
  </w:endnote>
  <w:endnote w:type="continuationSeparator" w:id="0">
    <w:p w14:paraId="4CB9E028" w14:textId="77777777" w:rsidR="00444A8C" w:rsidRDefault="00444A8C" w:rsidP="009C6DB4">
      <w:r>
        <w:continuationSeparator/>
      </w:r>
    </w:p>
  </w:endnote>
  <w:endnote w:type="continuationNotice" w:id="1">
    <w:p w14:paraId="55B90D1F" w14:textId="77777777" w:rsidR="00523488" w:rsidRDefault="0052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60245"/>
      <w:docPartObj>
        <w:docPartGallery w:val="Page Numbers (Bottom of Page)"/>
        <w:docPartUnique/>
      </w:docPartObj>
    </w:sdtPr>
    <w:sdtEndPr>
      <w:rPr>
        <w:noProof/>
      </w:rPr>
    </w:sdtEndPr>
    <w:sdtContent>
      <w:p w14:paraId="553D1698" w14:textId="329C02CB" w:rsidR="00A1312B" w:rsidRDefault="00A1312B">
        <w:pPr>
          <w:pStyle w:val="Footer"/>
          <w:jc w:val="center"/>
        </w:pPr>
        <w:r>
          <w:fldChar w:fldCharType="begin"/>
        </w:r>
        <w:r>
          <w:instrText xml:space="preserve"> PAGE   \* MERGEFORMAT </w:instrText>
        </w:r>
        <w:r>
          <w:fldChar w:fldCharType="separate"/>
        </w:r>
        <w:r w:rsidR="00D36137">
          <w:rPr>
            <w:noProof/>
          </w:rPr>
          <w:t>1</w:t>
        </w:r>
        <w:r>
          <w:rPr>
            <w:noProof/>
          </w:rPr>
          <w:fldChar w:fldCharType="end"/>
        </w:r>
      </w:p>
    </w:sdtContent>
  </w:sdt>
  <w:p w14:paraId="792EB3B1" w14:textId="77777777" w:rsidR="00444A8C" w:rsidRDefault="00444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326C0" w14:textId="77777777" w:rsidR="00444A8C" w:rsidRDefault="00444A8C" w:rsidP="009C6DB4">
      <w:r>
        <w:separator/>
      </w:r>
    </w:p>
  </w:footnote>
  <w:footnote w:type="continuationSeparator" w:id="0">
    <w:p w14:paraId="25C5A6D5" w14:textId="77777777" w:rsidR="00444A8C" w:rsidRDefault="00444A8C" w:rsidP="009C6DB4">
      <w:r>
        <w:continuationSeparator/>
      </w:r>
    </w:p>
  </w:footnote>
  <w:footnote w:type="continuationNotice" w:id="1">
    <w:p w14:paraId="0C572866" w14:textId="77777777" w:rsidR="00523488" w:rsidRDefault="00523488"/>
  </w:footnote>
  <w:footnote w:id="2">
    <w:p w14:paraId="263DE491" w14:textId="3DF5375D" w:rsidR="000A6E8A" w:rsidRPr="000A6E8A" w:rsidRDefault="000A6E8A" w:rsidP="000A6E8A">
      <w:pPr>
        <w:rPr>
          <w:rFonts w:eastAsia="PMingLiU" w:cs="Times New Roman"/>
          <w:sz w:val="20"/>
          <w:szCs w:val="20"/>
        </w:rPr>
      </w:pPr>
      <w:r w:rsidRPr="000A6E8A">
        <w:rPr>
          <w:rStyle w:val="FootnoteReference"/>
          <w:rFonts w:cs="Times New Roman"/>
          <w:sz w:val="20"/>
          <w:szCs w:val="20"/>
        </w:rPr>
        <w:footnoteRef/>
      </w:r>
      <w:r w:rsidRPr="000A6E8A">
        <w:rPr>
          <w:rFonts w:cs="Times New Roman"/>
          <w:sz w:val="20"/>
          <w:szCs w:val="20"/>
        </w:rPr>
        <w:t xml:space="preserve"> Please see </w:t>
      </w:r>
      <w:r w:rsidR="00786A28">
        <w:rPr>
          <w:rFonts w:cs="Times New Roman"/>
          <w:sz w:val="20"/>
          <w:szCs w:val="20"/>
        </w:rPr>
        <w:t>separate OMB submission and supporting statements</w:t>
      </w:r>
      <w:r w:rsidRPr="000A6E8A">
        <w:rPr>
          <w:rFonts w:cs="Times New Roman"/>
          <w:sz w:val="20"/>
          <w:szCs w:val="20"/>
        </w:rPr>
        <w:t xml:space="preserve"> amending existing information collection 3038-0023 with respect to</w:t>
      </w:r>
      <w:r>
        <w:rPr>
          <w:rFonts w:cs="Times New Roman"/>
          <w:sz w:val="20"/>
          <w:szCs w:val="20"/>
        </w:rPr>
        <w:t xml:space="preserve"> proposed</w:t>
      </w:r>
      <w:r w:rsidRPr="000A6E8A">
        <w:rPr>
          <w:rFonts w:cs="Times New Roman"/>
          <w:sz w:val="20"/>
          <w:szCs w:val="20"/>
        </w:rPr>
        <w:t xml:space="preserve"> </w:t>
      </w:r>
      <w:r w:rsidRPr="000A6E8A">
        <w:rPr>
          <w:rFonts w:eastAsia="PMingLiU" w:cs="Times New Roman"/>
          <w:bCs/>
          <w:sz w:val="20"/>
          <w:szCs w:val="20"/>
        </w:rPr>
        <w:t xml:space="preserve">§ 1.3(x)(3), information collection </w:t>
      </w:r>
      <w:r w:rsidRPr="000A6E8A">
        <w:rPr>
          <w:rFonts w:cs="Times New Roman"/>
          <w:sz w:val="20"/>
          <w:szCs w:val="20"/>
        </w:rPr>
        <w:t>3038-0052 with respect to</w:t>
      </w:r>
      <w:r w:rsidRPr="000A6E8A">
        <w:rPr>
          <w:rFonts w:eastAsia="PMingLiU" w:cs="Times New Roman"/>
          <w:sz w:val="20"/>
          <w:szCs w:val="20"/>
        </w:rPr>
        <w:t xml:space="preserve"> </w:t>
      </w:r>
      <w:r>
        <w:rPr>
          <w:rFonts w:eastAsia="PMingLiU" w:cs="Times New Roman"/>
          <w:sz w:val="20"/>
          <w:szCs w:val="20"/>
        </w:rPr>
        <w:t xml:space="preserve">proposed </w:t>
      </w:r>
      <w:r w:rsidRPr="000A6E8A">
        <w:rPr>
          <w:rFonts w:eastAsia="PMingLiU" w:cs="Times New Roman"/>
          <w:sz w:val="20"/>
          <w:szCs w:val="20"/>
        </w:rPr>
        <w:t xml:space="preserve">§§ 38.401(a) and 38.401(c) and 40.26; and information collection 3038-0093 with respect to </w:t>
      </w:r>
      <w:r>
        <w:rPr>
          <w:rFonts w:eastAsia="PMingLiU" w:cs="Times New Roman"/>
          <w:sz w:val="20"/>
          <w:szCs w:val="20"/>
        </w:rPr>
        <w:t xml:space="preserve">proposed </w:t>
      </w:r>
      <w:r w:rsidRPr="000A6E8A">
        <w:rPr>
          <w:rFonts w:eastAsia="PMingLiU" w:cs="Times New Roman"/>
          <w:sz w:val="20"/>
          <w:szCs w:val="20"/>
        </w:rPr>
        <w:t>§</w:t>
      </w:r>
      <w:r w:rsidRPr="000A6E8A">
        <w:rPr>
          <w:rFonts w:eastAsia="PMingLiU" w:cs="Times New Roman"/>
          <w:sz w:val="20"/>
          <w:szCs w:val="20"/>
          <w:lang w:eastAsia="zh-TW"/>
        </w:rPr>
        <w:t xml:space="preserve"> 40.25.</w:t>
      </w:r>
    </w:p>
    <w:p w14:paraId="5E9C2EB3" w14:textId="47DA8C1C" w:rsidR="000A6E8A" w:rsidRDefault="000A6E8A">
      <w:pPr>
        <w:pStyle w:val="FootnoteText"/>
      </w:pPr>
    </w:p>
  </w:footnote>
  <w:footnote w:id="3">
    <w:p w14:paraId="3575369B" w14:textId="50045479" w:rsidR="00444A8C" w:rsidRDefault="00444A8C">
      <w:pPr>
        <w:pStyle w:val="FootnoteText"/>
      </w:pPr>
      <w:r>
        <w:rPr>
          <w:rStyle w:val="FootnoteReference"/>
        </w:rPr>
        <w:footnoteRef/>
      </w:r>
      <w:r>
        <w:t xml:space="preserve"> Regulation AT defines “AT Persons” as </w:t>
      </w:r>
      <w:r w:rsidRPr="00FF22D3">
        <w:t xml:space="preserve">any person registered </w:t>
      </w:r>
      <w:r>
        <w:t xml:space="preserve">or required to be registered </w:t>
      </w:r>
      <w:r w:rsidRPr="00FF22D3">
        <w:t xml:space="preserve">as a: (i) </w:t>
      </w:r>
      <w:r>
        <w:t>FCM</w:t>
      </w:r>
      <w:r w:rsidRPr="00FF22D3">
        <w:t xml:space="preserve">, floor broker, swap dealer, major swap participant, commodity pool operator, commodity trading advisor, or introducing broker that engages in </w:t>
      </w:r>
      <w:r>
        <w:t>“</w:t>
      </w:r>
      <w:r w:rsidRPr="00FF22D3">
        <w:t>Algorithmic Trading</w:t>
      </w:r>
      <w:r>
        <w:t>” (as defined in Regulation AT)</w:t>
      </w:r>
      <w:r w:rsidRPr="00FF22D3">
        <w:t xml:space="preserve"> on or subject to the rules of a </w:t>
      </w:r>
      <w:r>
        <w:t>DCM</w:t>
      </w:r>
      <w:r w:rsidRPr="00FF22D3">
        <w:t xml:space="preserve">; or (ii) floor trader as defined in </w:t>
      </w:r>
      <w:r>
        <w:t xml:space="preserve">proposed </w:t>
      </w:r>
      <w:r>
        <w:rPr>
          <w:rFonts w:cs="Times New Roman"/>
        </w:rPr>
        <w:t>§</w:t>
      </w:r>
      <w:r>
        <w:t xml:space="preserve"> 1.3(x</w:t>
      </w:r>
      <w:proofErr w:type="gramStart"/>
      <w:r>
        <w:t>)(</w:t>
      </w:r>
      <w:proofErr w:type="gramEnd"/>
      <w:r>
        <w:t>3)</w:t>
      </w:r>
      <w:r w:rsidRPr="00FF22D3">
        <w:t>.</w:t>
      </w:r>
    </w:p>
  </w:footnote>
  <w:footnote w:id="4">
    <w:p w14:paraId="0C0E23E8" w14:textId="77777777" w:rsidR="00907CFB" w:rsidRDefault="00907CFB" w:rsidP="00907CFB">
      <w:pPr>
        <w:pStyle w:val="FootnoteText"/>
      </w:pPr>
      <w:r>
        <w:rPr>
          <w:rStyle w:val="FootnoteReference"/>
        </w:rPr>
        <w:footnoteRef/>
      </w:r>
      <w:r>
        <w:t xml:space="preserve"> See Attachment A for list of professions and hourly wages, based on the SIFMA Report on Management &amp; Professional Earnings in the Securities Industry 2013. </w:t>
      </w:r>
    </w:p>
  </w:footnote>
  <w:footnote w:id="5">
    <w:p w14:paraId="680CA7B6"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1 Senior Compliance Specialist, working for 50 hours (50 x $57 = $2,850) and 1 Chief Compliance Officer, working for 10 hours (10 x $139 = $1,390). </w:t>
      </w:r>
    </w:p>
  </w:footnote>
  <w:footnote w:id="6">
    <w:p w14:paraId="488AE867"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1 Senior Compliance Specialist, working for 100 hours (100 x $57 = $5,700); and 1 Chief Compliance Officer, working for 10 hours (10 x $139 = $1,390).</w:t>
      </w:r>
    </w:p>
  </w:footnote>
  <w:footnote w:id="7">
    <w:p w14:paraId="140297DB"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1 Compliance Attorney, working for 20 hours (20 x $96 = $1,920); and 1 Developer, working for 10 hours (10 x $75 = $750).</w:t>
      </w:r>
    </w:p>
  </w:footnote>
  <w:footnote w:id="8">
    <w:p w14:paraId="42885745"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1 Compliance Attorney, working for 20 hours (20 x $96 = $1,920); and 1 Developer, working for 10 hours (10 x $75 = $750).   </w:t>
      </w:r>
    </w:p>
  </w:footnote>
  <w:footnote w:id="9">
    <w:p w14:paraId="0388BA14" w14:textId="77777777" w:rsidR="00354E95" w:rsidRPr="00873EF5" w:rsidRDefault="00354E95" w:rsidP="00354E95">
      <w:pPr>
        <w:pStyle w:val="FootnoteText"/>
        <w:rPr>
          <w:rFonts w:ascii="Arial" w:hAnsi="Arial" w:cs="Arial"/>
          <w:sz w:val="16"/>
          <w:szCs w:val="16"/>
        </w:rPr>
      </w:pPr>
      <w:r w:rsidRPr="00873EF5">
        <w:rPr>
          <w:rStyle w:val="FootnoteReference"/>
          <w:rFonts w:ascii="Arial" w:hAnsi="Arial" w:cs="Arial"/>
        </w:rPr>
        <w:footnoteRef/>
      </w:r>
      <w:r w:rsidRPr="00873EF5">
        <w:rPr>
          <w:rFonts w:ascii="Arial" w:hAnsi="Arial" w:cs="Arial"/>
          <w:sz w:val="16"/>
          <w:szCs w:val="16"/>
        </w:rPr>
        <w:t xml:space="preserve"> 1 Business Analyst, working for 30 hours (30 x $52 per hour = $1,560); and 1 Developer, working for 30 hours (30 x $75 per hour = $2,250).</w:t>
      </w:r>
    </w:p>
  </w:footnote>
  <w:footnote w:id="10">
    <w:p w14:paraId="2F5733BC" w14:textId="77777777" w:rsidR="00354E95" w:rsidRPr="004F4A31" w:rsidRDefault="00354E95" w:rsidP="00354E95">
      <w:pPr>
        <w:pStyle w:val="FootnoteText"/>
        <w:rPr>
          <w:rFonts w:ascii="Arial" w:hAnsi="Arial" w:cs="Arial"/>
          <w:sz w:val="16"/>
          <w:szCs w:val="16"/>
        </w:rPr>
      </w:pPr>
      <w:r w:rsidRPr="004F4A31">
        <w:rPr>
          <w:rStyle w:val="FootnoteReference"/>
          <w:rFonts w:ascii="Arial" w:hAnsi="Arial" w:cs="Arial"/>
        </w:rPr>
        <w:footnoteRef/>
      </w:r>
      <w:r w:rsidRPr="004F4A31">
        <w:rPr>
          <w:rFonts w:ascii="Arial" w:hAnsi="Arial" w:cs="Arial"/>
          <w:sz w:val="16"/>
          <w:szCs w:val="16"/>
        </w:rPr>
        <w:t xml:space="preserve"> 1 Senior Compliance Examiner, working for 50 hours (50 x $58 per hour = $2,900); and 1 Developer, working for 50 hours (50 x $75 per hour =$3,750).</w:t>
      </w:r>
    </w:p>
  </w:footnote>
  <w:footnote w:id="11">
    <w:p w14:paraId="3F687C0D"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The hourly wage rates are based on salaries and bonuses across different professions that are listed in the SIFMA Report on Management &amp; Professional Earnings in the Securities Industry 2013, modified to account for an 1800-hour work-year and multiplied by 1.3 to account for overhead and other benefits.  The SIFMA Report on Management &amp; Professional Earnings in the Securities Industry 2013 is available at http://www.sifma.org/research/item.aspx?id=8589940603.</w:t>
      </w:r>
    </w:p>
  </w:footnote>
  <w:footnote w:id="12">
    <w:p w14:paraId="266BE6E0"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The hourly wage rate represents the total mean 2012 compensation with bonus divided by 1800 hours and multiplied by 1.3 to account for overhead and other benefits.</w:t>
      </w:r>
    </w:p>
  </w:footnote>
  <w:footnote w:id="13">
    <w:p w14:paraId="1484E549"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w:t>
      </w:r>
      <w:r w:rsidRPr="001A3125">
        <w:rPr>
          <w:rFonts w:ascii="Arial" w:hAnsi="Arial" w:cs="Arial"/>
          <w:sz w:val="16"/>
          <w:szCs w:val="16"/>
          <w:u w:val="single"/>
        </w:rPr>
        <w:t>See</w:t>
      </w:r>
      <w:r w:rsidRPr="001A3125">
        <w:rPr>
          <w:rFonts w:ascii="Arial" w:hAnsi="Arial" w:cs="Arial"/>
          <w:sz w:val="16"/>
          <w:szCs w:val="16"/>
        </w:rPr>
        <w:t xml:space="preserve"> 2013 SIFMA </w:t>
      </w:r>
      <w:proofErr w:type="gramStart"/>
      <w:r w:rsidRPr="001A3125">
        <w:rPr>
          <w:rFonts w:ascii="Arial" w:hAnsi="Arial" w:cs="Arial"/>
          <w:sz w:val="16"/>
          <w:szCs w:val="16"/>
        </w:rPr>
        <w:t>Report,</w:t>
      </w:r>
      <w:proofErr w:type="gramEnd"/>
      <w:r w:rsidRPr="001A3125">
        <w:rPr>
          <w:rFonts w:ascii="Arial" w:hAnsi="Arial" w:cs="Arial"/>
          <w:sz w:val="16"/>
          <w:szCs w:val="16"/>
        </w:rPr>
        <w:t xml:space="preserve"> </w:t>
      </w:r>
      <w:r w:rsidRPr="001A3125">
        <w:rPr>
          <w:rFonts w:ascii="Arial" w:hAnsi="Arial" w:cs="Arial"/>
          <w:sz w:val="16"/>
          <w:szCs w:val="16"/>
          <w:u w:val="single"/>
        </w:rPr>
        <w:t>supra</w:t>
      </w:r>
      <w:r w:rsidRPr="001A3125">
        <w:rPr>
          <w:rFonts w:ascii="Arial" w:hAnsi="Arial" w:cs="Arial"/>
          <w:sz w:val="16"/>
          <w:szCs w:val="16"/>
        </w:rPr>
        <w:t xml:space="preserve"> note 566, at 273.</w:t>
      </w:r>
    </w:p>
  </w:footnote>
  <w:footnote w:id="14">
    <w:p w14:paraId="495CE70E"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w:t>
      </w:r>
      <w:r w:rsidRPr="001A3125">
        <w:rPr>
          <w:rFonts w:ascii="Arial" w:hAnsi="Arial" w:cs="Arial"/>
          <w:sz w:val="16"/>
          <w:szCs w:val="16"/>
          <w:u w:val="single"/>
        </w:rPr>
        <w:t>See</w:t>
      </w:r>
      <w:r w:rsidRPr="001A3125">
        <w:rPr>
          <w:rFonts w:ascii="Arial" w:hAnsi="Arial" w:cs="Arial"/>
          <w:sz w:val="16"/>
          <w:szCs w:val="16"/>
        </w:rPr>
        <w:t xml:space="preserve"> </w:t>
      </w:r>
      <w:r w:rsidRPr="001A3125">
        <w:rPr>
          <w:rFonts w:ascii="Arial" w:hAnsi="Arial" w:cs="Arial"/>
          <w:sz w:val="16"/>
          <w:szCs w:val="16"/>
          <w:u w:val="single"/>
        </w:rPr>
        <w:t>Id</w:t>
      </w:r>
      <w:r w:rsidRPr="001A3125">
        <w:rPr>
          <w:rFonts w:ascii="Arial" w:hAnsi="Arial" w:cs="Arial"/>
          <w:sz w:val="16"/>
          <w:szCs w:val="16"/>
        </w:rPr>
        <w:t>.at 136.</w:t>
      </w:r>
    </w:p>
  </w:footnote>
  <w:footnote w:id="15">
    <w:p w14:paraId="0C18CD25"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w:t>
      </w:r>
      <w:r w:rsidRPr="001A3125">
        <w:rPr>
          <w:rFonts w:ascii="Arial" w:hAnsi="Arial" w:cs="Arial"/>
          <w:sz w:val="16"/>
          <w:szCs w:val="16"/>
          <w:u w:val="single"/>
        </w:rPr>
        <w:t>Id</w:t>
      </w:r>
      <w:r w:rsidRPr="001A3125">
        <w:rPr>
          <w:rFonts w:ascii="Arial" w:hAnsi="Arial" w:cs="Arial"/>
          <w:sz w:val="16"/>
          <w:szCs w:val="16"/>
        </w:rPr>
        <w:t>.</w:t>
      </w:r>
    </w:p>
  </w:footnote>
  <w:footnote w:id="16">
    <w:p w14:paraId="2E82BBBD"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w:t>
      </w:r>
      <w:r w:rsidRPr="001A3125">
        <w:rPr>
          <w:rFonts w:ascii="Arial" w:hAnsi="Arial" w:cs="Arial"/>
          <w:sz w:val="16"/>
          <w:szCs w:val="16"/>
          <w:u w:val="single"/>
        </w:rPr>
        <w:t>See</w:t>
      </w:r>
      <w:r w:rsidRPr="001A3125">
        <w:rPr>
          <w:rFonts w:ascii="Arial" w:hAnsi="Arial" w:cs="Arial"/>
          <w:sz w:val="16"/>
          <w:szCs w:val="16"/>
        </w:rPr>
        <w:t xml:space="preserve"> </w:t>
      </w:r>
      <w:r w:rsidRPr="001A3125">
        <w:rPr>
          <w:rFonts w:ascii="Arial" w:hAnsi="Arial" w:cs="Arial"/>
          <w:sz w:val="16"/>
          <w:szCs w:val="16"/>
          <w:u w:val="single"/>
        </w:rPr>
        <w:t>Id</w:t>
      </w:r>
      <w:r w:rsidRPr="001A3125">
        <w:rPr>
          <w:rFonts w:ascii="Arial" w:hAnsi="Arial" w:cs="Arial"/>
          <w:sz w:val="16"/>
          <w:szCs w:val="16"/>
        </w:rPr>
        <w:t>.at 395.</w:t>
      </w:r>
    </w:p>
  </w:footnote>
  <w:footnote w:id="17">
    <w:p w14:paraId="68691D72"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w:t>
      </w:r>
      <w:r w:rsidRPr="001A3125">
        <w:rPr>
          <w:rFonts w:ascii="Arial" w:hAnsi="Arial" w:cs="Arial"/>
          <w:sz w:val="16"/>
          <w:szCs w:val="16"/>
          <w:u w:val="single"/>
        </w:rPr>
        <w:t>See</w:t>
      </w:r>
      <w:r w:rsidRPr="001A3125">
        <w:rPr>
          <w:rFonts w:ascii="Arial" w:hAnsi="Arial" w:cs="Arial"/>
          <w:sz w:val="16"/>
          <w:szCs w:val="16"/>
        </w:rPr>
        <w:t xml:space="preserve"> </w:t>
      </w:r>
      <w:r w:rsidRPr="001A3125">
        <w:rPr>
          <w:rFonts w:ascii="Arial" w:hAnsi="Arial" w:cs="Arial"/>
          <w:sz w:val="16"/>
          <w:szCs w:val="16"/>
          <w:u w:val="single"/>
        </w:rPr>
        <w:t>Id</w:t>
      </w:r>
      <w:r w:rsidRPr="001A3125">
        <w:rPr>
          <w:rFonts w:ascii="Arial" w:hAnsi="Arial" w:cs="Arial"/>
          <w:sz w:val="16"/>
          <w:szCs w:val="16"/>
        </w:rPr>
        <w:t>.at 113.</w:t>
      </w:r>
    </w:p>
  </w:footnote>
  <w:footnote w:id="18">
    <w:p w14:paraId="239B8BD0"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w:t>
      </w:r>
      <w:r w:rsidRPr="001A3125">
        <w:rPr>
          <w:rFonts w:ascii="Arial" w:hAnsi="Arial" w:cs="Arial"/>
          <w:sz w:val="16"/>
          <w:szCs w:val="16"/>
          <w:u w:val="single"/>
        </w:rPr>
        <w:t>See</w:t>
      </w:r>
      <w:r w:rsidRPr="001A3125">
        <w:rPr>
          <w:rFonts w:ascii="Arial" w:hAnsi="Arial" w:cs="Arial"/>
          <w:sz w:val="16"/>
          <w:szCs w:val="16"/>
        </w:rPr>
        <w:t xml:space="preserve"> </w:t>
      </w:r>
      <w:r w:rsidRPr="001A3125">
        <w:rPr>
          <w:rFonts w:ascii="Arial" w:hAnsi="Arial" w:cs="Arial"/>
          <w:sz w:val="16"/>
          <w:szCs w:val="16"/>
          <w:u w:val="single"/>
        </w:rPr>
        <w:t>Id</w:t>
      </w:r>
      <w:r w:rsidRPr="001A3125">
        <w:rPr>
          <w:rFonts w:ascii="Arial" w:hAnsi="Arial" w:cs="Arial"/>
          <w:sz w:val="16"/>
          <w:szCs w:val="16"/>
        </w:rPr>
        <w:t>. at 104.</w:t>
      </w:r>
    </w:p>
  </w:footnote>
  <w:footnote w:id="19">
    <w:p w14:paraId="214F6589" w14:textId="77777777" w:rsidR="00354E95" w:rsidRPr="001A3125" w:rsidRDefault="00354E95" w:rsidP="00354E95">
      <w:pPr>
        <w:pStyle w:val="FootnoteText"/>
        <w:rPr>
          <w:rFonts w:ascii="Arial" w:hAnsi="Arial" w:cs="Arial"/>
          <w:sz w:val="16"/>
          <w:szCs w:val="16"/>
        </w:rPr>
      </w:pPr>
      <w:r w:rsidRPr="001A3125">
        <w:rPr>
          <w:rStyle w:val="FootnoteReference"/>
          <w:rFonts w:ascii="Arial" w:hAnsi="Arial" w:cs="Arial"/>
        </w:rPr>
        <w:footnoteRef/>
      </w:r>
      <w:r w:rsidRPr="001A3125">
        <w:rPr>
          <w:rFonts w:ascii="Arial" w:hAnsi="Arial" w:cs="Arial"/>
          <w:sz w:val="16"/>
          <w:szCs w:val="16"/>
        </w:rPr>
        <w:t xml:space="preserve"> </w:t>
      </w:r>
      <w:r w:rsidRPr="001A3125">
        <w:rPr>
          <w:rFonts w:ascii="Arial" w:hAnsi="Arial" w:cs="Arial"/>
          <w:sz w:val="16"/>
          <w:szCs w:val="16"/>
          <w:u w:val="single"/>
        </w:rPr>
        <w:t>See</w:t>
      </w:r>
      <w:r w:rsidRPr="001A3125">
        <w:rPr>
          <w:rFonts w:ascii="Arial" w:hAnsi="Arial" w:cs="Arial"/>
          <w:sz w:val="16"/>
          <w:szCs w:val="16"/>
        </w:rPr>
        <w:t xml:space="preserve"> </w:t>
      </w:r>
      <w:r w:rsidRPr="001A3125">
        <w:rPr>
          <w:rFonts w:ascii="Arial" w:hAnsi="Arial" w:cs="Arial"/>
          <w:sz w:val="16"/>
          <w:szCs w:val="16"/>
          <w:u w:val="single"/>
        </w:rPr>
        <w:t>Id</w:t>
      </w:r>
      <w:r w:rsidRPr="001A3125">
        <w:rPr>
          <w:rFonts w:ascii="Arial" w:hAnsi="Arial" w:cs="Arial"/>
          <w:sz w:val="16"/>
          <w:szCs w:val="16"/>
        </w:rPr>
        <w:t>. at 119.</w:t>
      </w:r>
    </w:p>
  </w:footnote>
  <w:footnote w:id="20">
    <w:p w14:paraId="7DF6EA5E" w14:textId="77777777" w:rsidR="00354E95" w:rsidRPr="00046E65" w:rsidRDefault="00354E95" w:rsidP="00354E95">
      <w:pPr>
        <w:pStyle w:val="FootnoteText"/>
        <w:rPr>
          <w:rFonts w:cs="Times New Roman"/>
          <w:sz w:val="22"/>
          <w:szCs w:val="22"/>
        </w:rPr>
      </w:pPr>
      <w:r w:rsidRPr="001A3125">
        <w:rPr>
          <w:rStyle w:val="FootnoteReference"/>
          <w:rFonts w:ascii="Arial" w:hAnsi="Arial" w:cs="Arial"/>
        </w:rPr>
        <w:footnoteRef/>
      </w:r>
      <w:r w:rsidRPr="001A3125">
        <w:rPr>
          <w:rFonts w:ascii="Arial" w:hAnsi="Arial" w:cs="Arial"/>
          <w:sz w:val="16"/>
          <w:szCs w:val="16"/>
        </w:rPr>
        <w:t xml:space="preserve"> </w:t>
      </w:r>
      <w:r w:rsidRPr="001A3125">
        <w:rPr>
          <w:rFonts w:ascii="Arial" w:hAnsi="Arial" w:cs="Arial"/>
          <w:sz w:val="16"/>
          <w:szCs w:val="16"/>
          <w:u w:val="single"/>
        </w:rPr>
        <w:t>See</w:t>
      </w:r>
      <w:r w:rsidRPr="001A3125">
        <w:rPr>
          <w:rFonts w:ascii="Arial" w:hAnsi="Arial" w:cs="Arial"/>
          <w:sz w:val="16"/>
          <w:szCs w:val="16"/>
        </w:rPr>
        <w:t xml:space="preserve"> </w:t>
      </w:r>
      <w:r w:rsidRPr="001A3125">
        <w:rPr>
          <w:rFonts w:ascii="Arial" w:hAnsi="Arial" w:cs="Arial"/>
          <w:sz w:val="16"/>
          <w:szCs w:val="16"/>
          <w:u w:val="single"/>
        </w:rPr>
        <w:t>Id</w:t>
      </w:r>
      <w:r w:rsidRPr="001A3125">
        <w:rPr>
          <w:rFonts w:ascii="Arial" w:hAnsi="Arial" w:cs="Arial"/>
          <w:sz w:val="16"/>
          <w:szCs w:val="16"/>
        </w:rPr>
        <w:t>. at 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6C9A5" w14:textId="6AEC3B76" w:rsidR="00A1312B" w:rsidRPr="00A1312B" w:rsidRDefault="00A1312B">
    <w:pPr>
      <w:pStyle w:val="Header"/>
      <w:rPr>
        <w:b/>
      </w:rPr>
    </w:pPr>
    <w:r>
      <w:rPr>
        <w:b/>
      </w:rPr>
      <w:t>CONFIDENTIAL – ATTORNEY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134EA"/>
    <w:rsid w:val="000536ED"/>
    <w:rsid w:val="000576BF"/>
    <w:rsid w:val="000669B9"/>
    <w:rsid w:val="00072761"/>
    <w:rsid w:val="000803D6"/>
    <w:rsid w:val="00082089"/>
    <w:rsid w:val="000822F9"/>
    <w:rsid w:val="000835FF"/>
    <w:rsid w:val="00083F72"/>
    <w:rsid w:val="000A6E8A"/>
    <w:rsid w:val="000C3307"/>
    <w:rsid w:val="000E0987"/>
    <w:rsid w:val="00102259"/>
    <w:rsid w:val="00110B3D"/>
    <w:rsid w:val="00116FC7"/>
    <w:rsid w:val="0012080B"/>
    <w:rsid w:val="001577B2"/>
    <w:rsid w:val="001659CE"/>
    <w:rsid w:val="00170AA9"/>
    <w:rsid w:val="00176391"/>
    <w:rsid w:val="00180982"/>
    <w:rsid w:val="00183707"/>
    <w:rsid w:val="0018632D"/>
    <w:rsid w:val="001C1A68"/>
    <w:rsid w:val="001C524C"/>
    <w:rsid w:val="00200207"/>
    <w:rsid w:val="00207ED0"/>
    <w:rsid w:val="00212560"/>
    <w:rsid w:val="00214994"/>
    <w:rsid w:val="002332EC"/>
    <w:rsid w:val="00233D65"/>
    <w:rsid w:val="00243435"/>
    <w:rsid w:val="0025084E"/>
    <w:rsid w:val="002600FA"/>
    <w:rsid w:val="00260C07"/>
    <w:rsid w:val="00261D46"/>
    <w:rsid w:val="0027708A"/>
    <w:rsid w:val="002879E8"/>
    <w:rsid w:val="002A4D66"/>
    <w:rsid w:val="002A7308"/>
    <w:rsid w:val="002C7E70"/>
    <w:rsid w:val="002D0489"/>
    <w:rsid w:val="002E0580"/>
    <w:rsid w:val="002E05BD"/>
    <w:rsid w:val="002F1E80"/>
    <w:rsid w:val="00307E70"/>
    <w:rsid w:val="00330DF8"/>
    <w:rsid w:val="00350A8E"/>
    <w:rsid w:val="00354E95"/>
    <w:rsid w:val="00356A31"/>
    <w:rsid w:val="003607A6"/>
    <w:rsid w:val="003677B4"/>
    <w:rsid w:val="0037088D"/>
    <w:rsid w:val="0037312F"/>
    <w:rsid w:val="0037421B"/>
    <w:rsid w:val="003755F4"/>
    <w:rsid w:val="00385AAF"/>
    <w:rsid w:val="0038772F"/>
    <w:rsid w:val="003969BE"/>
    <w:rsid w:val="003B2459"/>
    <w:rsid w:val="003B5288"/>
    <w:rsid w:val="003B5FAA"/>
    <w:rsid w:val="004049D0"/>
    <w:rsid w:val="00425685"/>
    <w:rsid w:val="00443D7B"/>
    <w:rsid w:val="00444A8C"/>
    <w:rsid w:val="0044799F"/>
    <w:rsid w:val="004514E2"/>
    <w:rsid w:val="004529E9"/>
    <w:rsid w:val="004649D6"/>
    <w:rsid w:val="00476AB6"/>
    <w:rsid w:val="00480A28"/>
    <w:rsid w:val="004917AF"/>
    <w:rsid w:val="004A5F11"/>
    <w:rsid w:val="004B07F1"/>
    <w:rsid w:val="004B7B89"/>
    <w:rsid w:val="004C2276"/>
    <w:rsid w:val="004D1B4F"/>
    <w:rsid w:val="004D3A5F"/>
    <w:rsid w:val="004D4BEA"/>
    <w:rsid w:val="004E43F0"/>
    <w:rsid w:val="004F3AFA"/>
    <w:rsid w:val="004F4C42"/>
    <w:rsid w:val="004F7967"/>
    <w:rsid w:val="00523488"/>
    <w:rsid w:val="00525395"/>
    <w:rsid w:val="00527327"/>
    <w:rsid w:val="00546BED"/>
    <w:rsid w:val="005503C6"/>
    <w:rsid w:val="00554929"/>
    <w:rsid w:val="00555376"/>
    <w:rsid w:val="00557EF2"/>
    <w:rsid w:val="00577F1F"/>
    <w:rsid w:val="00585718"/>
    <w:rsid w:val="00596192"/>
    <w:rsid w:val="005B7F59"/>
    <w:rsid w:val="005D34A0"/>
    <w:rsid w:val="005E0284"/>
    <w:rsid w:val="005E0ED0"/>
    <w:rsid w:val="005E41B2"/>
    <w:rsid w:val="005E4E5C"/>
    <w:rsid w:val="005F3881"/>
    <w:rsid w:val="00607D38"/>
    <w:rsid w:val="0061100E"/>
    <w:rsid w:val="006243BC"/>
    <w:rsid w:val="0063622E"/>
    <w:rsid w:val="00637711"/>
    <w:rsid w:val="00640784"/>
    <w:rsid w:val="00642B6A"/>
    <w:rsid w:val="00653546"/>
    <w:rsid w:val="00653547"/>
    <w:rsid w:val="00667CD6"/>
    <w:rsid w:val="00697065"/>
    <w:rsid w:val="006A19C0"/>
    <w:rsid w:val="006B2A40"/>
    <w:rsid w:val="006D0819"/>
    <w:rsid w:val="007029A9"/>
    <w:rsid w:val="00703B41"/>
    <w:rsid w:val="00707AB0"/>
    <w:rsid w:val="00710C2F"/>
    <w:rsid w:val="00715F21"/>
    <w:rsid w:val="00731300"/>
    <w:rsid w:val="00740573"/>
    <w:rsid w:val="0074122B"/>
    <w:rsid w:val="00747BF5"/>
    <w:rsid w:val="00751B4D"/>
    <w:rsid w:val="00755826"/>
    <w:rsid w:val="00757795"/>
    <w:rsid w:val="0076443A"/>
    <w:rsid w:val="007713DE"/>
    <w:rsid w:val="007724B6"/>
    <w:rsid w:val="00772B9C"/>
    <w:rsid w:val="00776970"/>
    <w:rsid w:val="0078471A"/>
    <w:rsid w:val="00786A28"/>
    <w:rsid w:val="00793975"/>
    <w:rsid w:val="00796BCB"/>
    <w:rsid w:val="0079756B"/>
    <w:rsid w:val="007B1735"/>
    <w:rsid w:val="007B7CE3"/>
    <w:rsid w:val="007C1FC8"/>
    <w:rsid w:val="007C5B3F"/>
    <w:rsid w:val="007D0DFB"/>
    <w:rsid w:val="007D22E3"/>
    <w:rsid w:val="007E10D4"/>
    <w:rsid w:val="007F00B6"/>
    <w:rsid w:val="007F27F5"/>
    <w:rsid w:val="007F3179"/>
    <w:rsid w:val="0081737B"/>
    <w:rsid w:val="00835C6F"/>
    <w:rsid w:val="00836741"/>
    <w:rsid w:val="008435FA"/>
    <w:rsid w:val="00843603"/>
    <w:rsid w:val="00852DF4"/>
    <w:rsid w:val="00854AE1"/>
    <w:rsid w:val="0087450C"/>
    <w:rsid w:val="0088013C"/>
    <w:rsid w:val="00882745"/>
    <w:rsid w:val="008C3501"/>
    <w:rsid w:val="008D0156"/>
    <w:rsid w:val="008D0711"/>
    <w:rsid w:val="008F2F98"/>
    <w:rsid w:val="008F6D4A"/>
    <w:rsid w:val="00902356"/>
    <w:rsid w:val="00907CFB"/>
    <w:rsid w:val="009138D7"/>
    <w:rsid w:val="009309EC"/>
    <w:rsid w:val="009357CC"/>
    <w:rsid w:val="00937D70"/>
    <w:rsid w:val="00963975"/>
    <w:rsid w:val="00994CC8"/>
    <w:rsid w:val="0099690D"/>
    <w:rsid w:val="00996B14"/>
    <w:rsid w:val="009B1E93"/>
    <w:rsid w:val="009B2F52"/>
    <w:rsid w:val="009B7516"/>
    <w:rsid w:val="009C6DB4"/>
    <w:rsid w:val="009D00FB"/>
    <w:rsid w:val="009E7E00"/>
    <w:rsid w:val="00A051AF"/>
    <w:rsid w:val="00A1312B"/>
    <w:rsid w:val="00A257E3"/>
    <w:rsid w:val="00A34FBC"/>
    <w:rsid w:val="00A54471"/>
    <w:rsid w:val="00A60859"/>
    <w:rsid w:val="00A668B2"/>
    <w:rsid w:val="00A708B1"/>
    <w:rsid w:val="00A8233C"/>
    <w:rsid w:val="00A9272D"/>
    <w:rsid w:val="00AA0863"/>
    <w:rsid w:val="00AA2F92"/>
    <w:rsid w:val="00AB0E26"/>
    <w:rsid w:val="00AC2529"/>
    <w:rsid w:val="00AC59BE"/>
    <w:rsid w:val="00AC5B6C"/>
    <w:rsid w:val="00AD0B9F"/>
    <w:rsid w:val="00AD2AF1"/>
    <w:rsid w:val="00B1090B"/>
    <w:rsid w:val="00B1574B"/>
    <w:rsid w:val="00B20669"/>
    <w:rsid w:val="00B328FB"/>
    <w:rsid w:val="00B33652"/>
    <w:rsid w:val="00B6544D"/>
    <w:rsid w:val="00B65A0A"/>
    <w:rsid w:val="00B6776C"/>
    <w:rsid w:val="00B73821"/>
    <w:rsid w:val="00B740CF"/>
    <w:rsid w:val="00B743C4"/>
    <w:rsid w:val="00B74CE1"/>
    <w:rsid w:val="00B85063"/>
    <w:rsid w:val="00B86819"/>
    <w:rsid w:val="00B91704"/>
    <w:rsid w:val="00B9549F"/>
    <w:rsid w:val="00B978AF"/>
    <w:rsid w:val="00BA0A82"/>
    <w:rsid w:val="00BC71A3"/>
    <w:rsid w:val="00BD7D8C"/>
    <w:rsid w:val="00BE3923"/>
    <w:rsid w:val="00BE6AC8"/>
    <w:rsid w:val="00BF2E68"/>
    <w:rsid w:val="00C032F4"/>
    <w:rsid w:val="00C03FBF"/>
    <w:rsid w:val="00C173E1"/>
    <w:rsid w:val="00C2000F"/>
    <w:rsid w:val="00C23A3C"/>
    <w:rsid w:val="00C857A2"/>
    <w:rsid w:val="00C91CB5"/>
    <w:rsid w:val="00C9497A"/>
    <w:rsid w:val="00CB0776"/>
    <w:rsid w:val="00CD1651"/>
    <w:rsid w:val="00CF1C34"/>
    <w:rsid w:val="00CF4195"/>
    <w:rsid w:val="00D128BF"/>
    <w:rsid w:val="00D12FEB"/>
    <w:rsid w:val="00D14EFB"/>
    <w:rsid w:val="00D23D7B"/>
    <w:rsid w:val="00D24E31"/>
    <w:rsid w:val="00D25BD2"/>
    <w:rsid w:val="00D27AE8"/>
    <w:rsid w:val="00D36137"/>
    <w:rsid w:val="00D37F72"/>
    <w:rsid w:val="00D46920"/>
    <w:rsid w:val="00D56B0E"/>
    <w:rsid w:val="00D945B5"/>
    <w:rsid w:val="00DB00E1"/>
    <w:rsid w:val="00DB1AD1"/>
    <w:rsid w:val="00DB544B"/>
    <w:rsid w:val="00DB5503"/>
    <w:rsid w:val="00DB5682"/>
    <w:rsid w:val="00DB7297"/>
    <w:rsid w:val="00DC1C63"/>
    <w:rsid w:val="00DD36CC"/>
    <w:rsid w:val="00DD51EE"/>
    <w:rsid w:val="00E015E1"/>
    <w:rsid w:val="00E07B0D"/>
    <w:rsid w:val="00E1358B"/>
    <w:rsid w:val="00E15E4F"/>
    <w:rsid w:val="00E3054F"/>
    <w:rsid w:val="00E446C6"/>
    <w:rsid w:val="00E60439"/>
    <w:rsid w:val="00E60FE3"/>
    <w:rsid w:val="00E73A61"/>
    <w:rsid w:val="00E8648F"/>
    <w:rsid w:val="00E87F36"/>
    <w:rsid w:val="00E87F90"/>
    <w:rsid w:val="00EB0FA7"/>
    <w:rsid w:val="00EB1831"/>
    <w:rsid w:val="00EC238C"/>
    <w:rsid w:val="00F02CC0"/>
    <w:rsid w:val="00F21958"/>
    <w:rsid w:val="00F21A24"/>
    <w:rsid w:val="00F378A6"/>
    <w:rsid w:val="00F4707F"/>
    <w:rsid w:val="00F56608"/>
    <w:rsid w:val="00F568E5"/>
    <w:rsid w:val="00F62536"/>
    <w:rsid w:val="00FA7B73"/>
    <w:rsid w:val="00FB0145"/>
    <w:rsid w:val="00FB0379"/>
    <w:rsid w:val="00FB68D6"/>
    <w:rsid w:val="00FC54D4"/>
    <w:rsid w:val="00FD6D7D"/>
    <w:rsid w:val="00FE1133"/>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5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F89E720E0344DA53C3DBC19A6BE9D" ma:contentTypeVersion="6" ma:contentTypeDescription="Create a new document." ma:contentTypeScope="" ma:versionID="ea24db2484fb5f3eecb2d6cc5050e142">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7a5a4fd4-f5d3-4585-93b4-36b0ff5880a8">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48077-D7F4-4198-9FDB-828B9667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6AC032-9FBE-4E8B-8E3F-F9BA85F78F8C}">
  <ds:schemaRefs>
    <ds:schemaRef ds:uri="http://schemas.microsoft.com/sharepoint/v3/contenttype/forms"/>
  </ds:schemaRefs>
</ds:datastoreItem>
</file>

<file path=customXml/itemProps3.xml><?xml version="1.0" encoding="utf-8"?>
<ds:datastoreItem xmlns:ds="http://schemas.openxmlformats.org/officeDocument/2006/customXml" ds:itemID="{7EE4BBAC-0383-4C23-A4CF-F941855AE4BB}">
  <ds:schemaRefs>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1D2C41F-7866-415A-8E8B-00B7D3CB789C}">
  <ds:schemaRefs>
    <ds:schemaRef ds:uri="http://schemas.microsoft.com/office/2006/metadata/customXsn"/>
  </ds:schemaRefs>
</ds:datastoreItem>
</file>

<file path=customXml/itemProps5.xml><?xml version="1.0" encoding="utf-8"?>
<ds:datastoreItem xmlns:ds="http://schemas.openxmlformats.org/officeDocument/2006/customXml" ds:itemID="{CEBCFD39-2A4E-45A8-8A52-CB447C3413B8}">
  <ds:schemaRefs>
    <ds:schemaRef ds:uri="office.server.policy"/>
  </ds:schemaRefs>
</ds:datastoreItem>
</file>

<file path=customXml/itemProps6.xml><?xml version="1.0" encoding="utf-8"?>
<ds:datastoreItem xmlns:ds="http://schemas.openxmlformats.org/officeDocument/2006/customXml" ds:itemID="{D8D6FAD7-EB8E-4AD0-9725-431A6152AF10}">
  <ds:schemaRefs>
    <ds:schemaRef ds:uri="http://schemas.microsoft.com/sharepoint/events"/>
  </ds:schemaRefs>
</ds:datastoreItem>
</file>

<file path=customXml/itemProps7.xml><?xml version="1.0" encoding="utf-8"?>
<ds:datastoreItem xmlns:ds="http://schemas.openxmlformats.org/officeDocument/2006/customXml" ds:itemID="{B3C86FEC-83AA-42D9-A2FE-11CB5BDDC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4134</Words>
  <Characters>23565</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27644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VHill</cp:lastModifiedBy>
  <cp:revision>2</cp:revision>
  <cp:lastPrinted>2015-12-01T21:28:00Z</cp:lastPrinted>
  <dcterms:created xsi:type="dcterms:W3CDTF">2015-12-01T21:31:00Z</dcterms:created>
  <dcterms:modified xsi:type="dcterms:W3CDTF">2015-12-01T21:31:00Z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