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3C" w:rsidRDefault="006E043C">
      <w:pPr>
        <w:rPr>
          <w:b/>
          <w:sz w:val="24"/>
          <w:szCs w:val="24"/>
        </w:rPr>
      </w:pPr>
      <w:r>
        <w:rPr>
          <w:b/>
          <w:sz w:val="24"/>
          <w:szCs w:val="24"/>
        </w:rPr>
        <w:t>B.  COLLECTIONS OF INFORMATION EMPLOYING STATISTICAL METHODS</w:t>
      </w:r>
    </w:p>
    <w:p w:rsidR="006E043C" w:rsidRDefault="006E043C">
      <w:pPr>
        <w:pStyle w:val="Heading2"/>
        <w:rPr>
          <w:rFonts w:ascii="Times New Roman" w:hAnsi="Times New Roman" w:cs="Times New Roman"/>
        </w:rPr>
      </w:pPr>
    </w:p>
    <w:p w:rsidR="006E043C" w:rsidRDefault="006E043C">
      <w:pPr>
        <w:pStyle w:val="Heading2"/>
        <w:ind w:left="0" w:firstLine="0"/>
        <w:rPr>
          <w:rFonts w:ascii="Times New Roman" w:hAnsi="Times New Roman" w:cs="Times New Roman"/>
        </w:rPr>
      </w:pPr>
      <w:r>
        <w:rPr>
          <w:rFonts w:ascii="Times New Roman" w:hAnsi="Times New Roman" w:cs="Times New Roman"/>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6E043C" w:rsidRDefault="006E043C">
      <w:pPr>
        <w:rPr>
          <w:sz w:val="24"/>
        </w:rPr>
      </w:pPr>
    </w:p>
    <w:p w:rsidR="006E043C" w:rsidRDefault="006E043C" w:rsidP="00BC096E">
      <w:pPr>
        <w:rPr>
          <w:sz w:val="24"/>
        </w:rPr>
      </w:pPr>
      <w:r w:rsidRPr="00537B81">
        <w:rPr>
          <w:sz w:val="24"/>
          <w:szCs w:val="24"/>
        </w:rPr>
        <w:t>The current survey pool stratifications represent mutually-exclusive and exhaustive categories for each line of business</w:t>
      </w:r>
      <w:r>
        <w:rPr>
          <w:sz w:val="24"/>
          <w:szCs w:val="24"/>
        </w:rPr>
        <w:t>,</w:t>
      </w:r>
      <w:r w:rsidRPr="00537B81">
        <w:rPr>
          <w:sz w:val="24"/>
          <w:szCs w:val="24"/>
        </w:rPr>
        <w:t xml:space="preserve"> based upon the level/degree of experience a respondent </w:t>
      </w:r>
      <w:r>
        <w:rPr>
          <w:sz w:val="24"/>
          <w:szCs w:val="24"/>
        </w:rPr>
        <w:t xml:space="preserve">has with a particular benefit. </w:t>
      </w:r>
      <w:r w:rsidRPr="00537B81">
        <w:rPr>
          <w:sz w:val="24"/>
          <w:szCs w:val="24"/>
        </w:rPr>
        <w:t xml:space="preserve">This stratification method was chosen because the level/degree of experience with a benefit or line of business can influence their level of satisfaction with their experience.  </w:t>
      </w:r>
      <w:r>
        <w:rPr>
          <w:sz w:val="24"/>
          <w:szCs w:val="24"/>
        </w:rPr>
        <w:t xml:space="preserve">The number and types of questions answered will vary slightly based on the experiences of the targeted population (e.g., </w:t>
      </w:r>
      <w:r w:rsidR="00B44B63">
        <w:rPr>
          <w:sz w:val="24"/>
          <w:szCs w:val="24"/>
        </w:rPr>
        <w:t>whether or not the respondent recently submitted an application</w:t>
      </w:r>
      <w:r>
        <w:rPr>
          <w:sz w:val="24"/>
          <w:szCs w:val="24"/>
        </w:rPr>
        <w:t xml:space="preserve">).  </w:t>
      </w:r>
      <w:r>
        <w:rPr>
          <w:sz w:val="24"/>
        </w:rPr>
        <w:t>The tables for the lines of business describe the universe of respondents for the survey, and the sampling plan that will be employed to achieve a representative sample for the survey</w:t>
      </w:r>
      <w:r w:rsidRPr="0048514F">
        <w:rPr>
          <w:sz w:val="24"/>
        </w:rPr>
        <w:t xml:space="preserve">. Each table displays the sampling frame, the expected response rates and the </w:t>
      </w:r>
      <w:r w:rsidR="00847C0F" w:rsidRPr="0048514F">
        <w:rPr>
          <w:sz w:val="24"/>
        </w:rPr>
        <w:t>actual response rate from FY2014</w:t>
      </w:r>
      <w:r w:rsidR="00AB1B6C">
        <w:rPr>
          <w:sz w:val="24"/>
        </w:rPr>
        <w:t xml:space="preserve"> and FY2015</w:t>
      </w:r>
      <w:r w:rsidRPr="0048514F">
        <w:rPr>
          <w:sz w:val="24"/>
        </w:rPr>
        <w:t>.</w:t>
      </w:r>
    </w:p>
    <w:p w:rsidR="006E043C" w:rsidRDefault="006E043C" w:rsidP="002C5101">
      <w:pPr>
        <w:rPr>
          <w:sz w:val="24"/>
        </w:rPr>
      </w:pPr>
    </w:p>
    <w:p w:rsidR="006E043C" w:rsidRPr="00537B81" w:rsidRDefault="006E043C">
      <w:pPr>
        <w:rPr>
          <w:sz w:val="24"/>
          <w:szCs w:val="24"/>
        </w:rPr>
      </w:pPr>
      <w:r>
        <w:rPr>
          <w:sz w:val="24"/>
          <w:u w:val="single"/>
        </w:rPr>
        <w:t xml:space="preserve">1) Compensation </w:t>
      </w:r>
      <w:r w:rsidR="009D5AB4">
        <w:rPr>
          <w:sz w:val="24"/>
          <w:u w:val="single"/>
        </w:rPr>
        <w:t>Access</w:t>
      </w:r>
    </w:p>
    <w:p w:rsidR="006E043C" w:rsidRDefault="006E043C" w:rsidP="006D4385">
      <w:pPr>
        <w:rPr>
          <w:sz w:val="24"/>
          <w:szCs w:val="24"/>
        </w:rPr>
      </w:pPr>
      <w:r w:rsidRPr="00E45789">
        <w:rPr>
          <w:sz w:val="24"/>
          <w:szCs w:val="24"/>
        </w:rPr>
        <w:t>The targeted population for the Compensation</w:t>
      </w:r>
      <w:r w:rsidR="004F58D2">
        <w:rPr>
          <w:sz w:val="24"/>
          <w:szCs w:val="24"/>
        </w:rPr>
        <w:t xml:space="preserve"> </w:t>
      </w:r>
      <w:r w:rsidR="009D5AB4">
        <w:rPr>
          <w:sz w:val="24"/>
          <w:szCs w:val="24"/>
        </w:rPr>
        <w:t>Access</w:t>
      </w:r>
      <w:r w:rsidR="009D5AB4" w:rsidRPr="00E45789">
        <w:rPr>
          <w:sz w:val="24"/>
          <w:szCs w:val="24"/>
        </w:rPr>
        <w:t xml:space="preserve"> </w:t>
      </w:r>
      <w:r w:rsidRPr="00E45789">
        <w:rPr>
          <w:sz w:val="24"/>
          <w:szCs w:val="24"/>
        </w:rPr>
        <w:t xml:space="preserve">questionnaire </w:t>
      </w:r>
      <w:r w:rsidR="001314E2">
        <w:rPr>
          <w:sz w:val="24"/>
          <w:szCs w:val="24"/>
        </w:rPr>
        <w:t>continuous</w:t>
      </w:r>
      <w:r w:rsidR="001314E2" w:rsidRPr="00E45789">
        <w:rPr>
          <w:sz w:val="24"/>
          <w:szCs w:val="24"/>
        </w:rPr>
        <w:t xml:space="preserve"> study</w:t>
      </w:r>
      <w:r w:rsidRPr="00E45789">
        <w:rPr>
          <w:sz w:val="24"/>
          <w:szCs w:val="24"/>
        </w:rPr>
        <w:t xml:space="preserve"> will include individuals who have received a decision on a compensation benefit claim within 30 days prior to the fielding period (includes those who were found eligible on a new or subsequent claim and those who have been denied and are appealing the decision).</w:t>
      </w:r>
      <w:r>
        <w:rPr>
          <w:sz w:val="24"/>
          <w:szCs w:val="24"/>
        </w:rPr>
        <w:t xml:space="preserve">   </w:t>
      </w:r>
    </w:p>
    <w:p w:rsidR="006E043C" w:rsidRPr="00B15F9B" w:rsidRDefault="006E043C" w:rsidP="002C5101">
      <w:pPr>
        <w:rPr>
          <w:sz w:val="24"/>
          <w:szCs w:val="24"/>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681"/>
        <w:gridCol w:w="2216"/>
        <w:gridCol w:w="1573"/>
        <w:gridCol w:w="1627"/>
      </w:tblGrid>
      <w:tr w:rsidR="000B550D" w:rsidTr="00BA1188">
        <w:trPr>
          <w:cantSplit/>
          <w:trHeight w:val="432"/>
          <w:jc w:val="center"/>
        </w:trPr>
        <w:tc>
          <w:tcPr>
            <w:tcW w:w="8634" w:type="dxa"/>
            <w:gridSpan w:val="5"/>
            <w:shd w:val="clear" w:color="auto" w:fill="D9D9D9"/>
          </w:tcPr>
          <w:p w:rsidR="000B550D" w:rsidRDefault="000B550D" w:rsidP="000B550D">
            <w:pPr>
              <w:jc w:val="center"/>
              <w:rPr>
                <w:rFonts w:ascii="Times New Roman Bold" w:hAnsi="Times New Roman Bold"/>
                <w:b/>
              </w:rPr>
            </w:pPr>
            <w:r>
              <w:rPr>
                <w:rFonts w:ascii="Times New Roman Bold" w:hAnsi="Times New Roman Bold"/>
                <w:b/>
              </w:rPr>
              <w:t>TABLE 1:</w:t>
            </w:r>
          </w:p>
          <w:p w:rsidR="000B550D" w:rsidRDefault="000B550D" w:rsidP="000B550D">
            <w:pPr>
              <w:jc w:val="center"/>
              <w:rPr>
                <w:rFonts w:ascii="Times New Roman Bold" w:hAnsi="Times New Roman Bold"/>
                <w:b/>
              </w:rPr>
            </w:pPr>
            <w:r w:rsidRPr="00AD40C3">
              <w:rPr>
                <w:rFonts w:ascii="Times New Roman Bold" w:hAnsi="Times New Roman Bold"/>
                <w:b/>
              </w:rPr>
              <w:t>EXPECTED RESPONSE</w:t>
            </w:r>
            <w:r>
              <w:rPr>
                <w:rFonts w:ascii="Times New Roman Bold" w:hAnsi="Times New Roman Bold"/>
                <w:b/>
              </w:rPr>
              <w:t xml:space="preserve"> </w:t>
            </w:r>
            <w:r w:rsidRPr="00AD40C3">
              <w:rPr>
                <w:rFonts w:ascii="Times New Roman Bold" w:hAnsi="Times New Roman Bold"/>
                <w:b/>
              </w:rPr>
              <w:t>RATE</w:t>
            </w:r>
            <w:r>
              <w:rPr>
                <w:rFonts w:ascii="Times New Roman Bold" w:hAnsi="Times New Roman Bold"/>
                <w:b/>
              </w:rPr>
              <w:t>, COMPLETED SURVEYS EXPECTED,</w:t>
            </w:r>
          </w:p>
          <w:p w:rsidR="000B550D" w:rsidRPr="00AD40C3" w:rsidRDefault="000B550D" w:rsidP="000B550D">
            <w:pPr>
              <w:jc w:val="center"/>
              <w:rPr>
                <w:rFonts w:ascii="Times New Roman Bold" w:hAnsi="Times New Roman Bold"/>
                <w:b/>
              </w:rPr>
            </w:pPr>
            <w:r w:rsidRPr="00AD40C3">
              <w:rPr>
                <w:rFonts w:ascii="Times New Roman Bold" w:hAnsi="Times New Roman Bold"/>
                <w:b/>
              </w:rPr>
              <w:t>AND SURVEY YIELD</w:t>
            </w:r>
          </w:p>
          <w:p w:rsidR="000B550D" w:rsidRDefault="000B550D" w:rsidP="000B550D">
            <w:pPr>
              <w:jc w:val="center"/>
              <w:rPr>
                <w:rFonts w:ascii="Times New Roman Bold" w:hAnsi="Times New Roman Bold"/>
                <w:b/>
              </w:rPr>
            </w:pPr>
          </w:p>
        </w:tc>
      </w:tr>
      <w:tr w:rsidR="00B86976" w:rsidTr="00BA1188">
        <w:trPr>
          <w:cantSplit/>
          <w:trHeight w:val="432"/>
          <w:jc w:val="center"/>
        </w:trPr>
        <w:tc>
          <w:tcPr>
            <w:tcW w:w="1537" w:type="dxa"/>
            <w:vAlign w:val="center"/>
          </w:tcPr>
          <w:p w:rsidR="00B86976" w:rsidRDefault="00B86976" w:rsidP="00C723AC">
            <w:pPr>
              <w:jc w:val="center"/>
              <w:rPr>
                <w:b/>
              </w:rPr>
            </w:pPr>
            <w:r>
              <w:rPr>
                <w:b/>
              </w:rPr>
              <w:t>Number of Claimants</w:t>
            </w:r>
          </w:p>
        </w:tc>
        <w:tc>
          <w:tcPr>
            <w:tcW w:w="1681" w:type="dxa"/>
            <w:vAlign w:val="center"/>
          </w:tcPr>
          <w:p w:rsidR="00B86976" w:rsidRDefault="00B86976" w:rsidP="00C723AC">
            <w:pPr>
              <w:jc w:val="center"/>
              <w:rPr>
                <w:b/>
              </w:rPr>
            </w:pPr>
            <w:r>
              <w:rPr>
                <w:b/>
              </w:rPr>
              <w:t>Expected Response Rate</w:t>
            </w:r>
          </w:p>
        </w:tc>
        <w:tc>
          <w:tcPr>
            <w:tcW w:w="2216" w:type="dxa"/>
            <w:vAlign w:val="center"/>
          </w:tcPr>
          <w:p w:rsidR="00B86976" w:rsidRDefault="00B86976" w:rsidP="00C723AC">
            <w:pPr>
              <w:jc w:val="center"/>
              <w:rPr>
                <w:b/>
              </w:rPr>
            </w:pPr>
            <w:r>
              <w:rPr>
                <w:b/>
              </w:rPr>
              <w:t>Completed Surveys Expected</w:t>
            </w:r>
          </w:p>
        </w:tc>
        <w:tc>
          <w:tcPr>
            <w:tcW w:w="1573" w:type="dxa"/>
          </w:tcPr>
          <w:p w:rsidR="00B86976" w:rsidRDefault="003354DD" w:rsidP="006A2040">
            <w:pPr>
              <w:jc w:val="center"/>
              <w:rPr>
                <w:b/>
              </w:rPr>
            </w:pPr>
            <w:r>
              <w:rPr>
                <w:b/>
              </w:rPr>
              <w:t>FY2014 Response</w:t>
            </w:r>
            <w:r w:rsidR="006A2040">
              <w:rPr>
                <w:b/>
              </w:rPr>
              <w:t xml:space="preserve"> R</w:t>
            </w:r>
            <w:r>
              <w:rPr>
                <w:b/>
              </w:rPr>
              <w:t>ate</w:t>
            </w:r>
          </w:p>
        </w:tc>
        <w:tc>
          <w:tcPr>
            <w:tcW w:w="1627" w:type="dxa"/>
            <w:vAlign w:val="center"/>
          </w:tcPr>
          <w:p w:rsidR="00B86976" w:rsidDel="00847C0F" w:rsidRDefault="00B86976" w:rsidP="00AB1B6C">
            <w:pPr>
              <w:jc w:val="center"/>
              <w:rPr>
                <w:b/>
              </w:rPr>
            </w:pPr>
            <w:r>
              <w:rPr>
                <w:b/>
              </w:rPr>
              <w:t>FY2015 Response Rate</w:t>
            </w:r>
          </w:p>
        </w:tc>
      </w:tr>
      <w:tr w:rsidR="00B86976" w:rsidRPr="00AD40C3" w:rsidTr="00BA1188">
        <w:trPr>
          <w:cantSplit/>
          <w:trHeight w:val="432"/>
          <w:jc w:val="center"/>
        </w:trPr>
        <w:tc>
          <w:tcPr>
            <w:tcW w:w="1537" w:type="dxa"/>
            <w:vAlign w:val="center"/>
          </w:tcPr>
          <w:p w:rsidR="00B86976" w:rsidRPr="00AD40C3" w:rsidRDefault="00B86976" w:rsidP="006A2040">
            <w:pPr>
              <w:jc w:val="center"/>
            </w:pPr>
            <w:r>
              <w:t>160</w:t>
            </w:r>
            <w:r w:rsidRPr="00AD40C3">
              <w:t>,000</w:t>
            </w:r>
          </w:p>
        </w:tc>
        <w:tc>
          <w:tcPr>
            <w:tcW w:w="1681" w:type="dxa"/>
            <w:vAlign w:val="center"/>
          </w:tcPr>
          <w:p w:rsidR="00B86976" w:rsidRPr="00AD40C3" w:rsidRDefault="00B86976" w:rsidP="006A2040">
            <w:pPr>
              <w:jc w:val="center"/>
            </w:pPr>
            <w:r w:rsidRPr="00AD40C3">
              <w:t>30%</w:t>
            </w:r>
          </w:p>
        </w:tc>
        <w:tc>
          <w:tcPr>
            <w:tcW w:w="2216" w:type="dxa"/>
            <w:vAlign w:val="center"/>
          </w:tcPr>
          <w:p w:rsidR="00B86976" w:rsidRPr="00AD40C3" w:rsidRDefault="00B86976" w:rsidP="006A2040">
            <w:pPr>
              <w:jc w:val="center"/>
            </w:pPr>
            <w:r>
              <w:t>48</w:t>
            </w:r>
            <w:r w:rsidRPr="00AD40C3">
              <w:t>,000</w:t>
            </w:r>
          </w:p>
        </w:tc>
        <w:tc>
          <w:tcPr>
            <w:tcW w:w="1573" w:type="dxa"/>
            <w:vAlign w:val="center"/>
          </w:tcPr>
          <w:p w:rsidR="00B86976" w:rsidRDefault="003354DD" w:rsidP="006A2040">
            <w:pPr>
              <w:jc w:val="center"/>
            </w:pPr>
            <w:r>
              <w:t>19.41%</w:t>
            </w:r>
          </w:p>
        </w:tc>
        <w:tc>
          <w:tcPr>
            <w:tcW w:w="1627" w:type="dxa"/>
            <w:vAlign w:val="center"/>
          </w:tcPr>
          <w:p w:rsidR="00B86976" w:rsidDel="00847C0F" w:rsidRDefault="00B86976" w:rsidP="006A2040">
            <w:pPr>
              <w:jc w:val="center"/>
            </w:pPr>
            <w:r>
              <w:t>21.96%</w:t>
            </w:r>
          </w:p>
        </w:tc>
      </w:tr>
    </w:tbl>
    <w:p w:rsidR="006E043C" w:rsidRPr="00AD40C3" w:rsidRDefault="006E043C" w:rsidP="002D387F">
      <w:pPr>
        <w:rPr>
          <w:sz w:val="24"/>
          <w:szCs w:val="24"/>
        </w:rPr>
      </w:pPr>
    </w:p>
    <w:p w:rsidR="006E043C" w:rsidRPr="00AD40C3" w:rsidRDefault="006E043C" w:rsidP="002C5101">
      <w:pPr>
        <w:rPr>
          <w:sz w:val="24"/>
          <w:u w:val="single"/>
        </w:rPr>
      </w:pPr>
      <w:r w:rsidRPr="00AD40C3">
        <w:rPr>
          <w:sz w:val="24"/>
          <w:u w:val="single"/>
        </w:rPr>
        <w:t>2) Compensation Servicing</w:t>
      </w:r>
    </w:p>
    <w:p w:rsidR="006E043C" w:rsidRDefault="006E043C" w:rsidP="002C5101">
      <w:pPr>
        <w:rPr>
          <w:sz w:val="24"/>
          <w:szCs w:val="24"/>
        </w:rPr>
      </w:pPr>
      <w:r w:rsidRPr="00AD40C3">
        <w:rPr>
          <w:sz w:val="24"/>
          <w:szCs w:val="24"/>
        </w:rPr>
        <w:t xml:space="preserve">The targeted population for the Compensation Servicing questionnaire </w:t>
      </w:r>
      <w:r w:rsidR="00627CEF">
        <w:rPr>
          <w:sz w:val="24"/>
          <w:szCs w:val="24"/>
        </w:rPr>
        <w:t>continuous</w:t>
      </w:r>
      <w:r w:rsidR="00627CEF" w:rsidRPr="00AD40C3">
        <w:rPr>
          <w:sz w:val="24"/>
          <w:szCs w:val="24"/>
        </w:rPr>
        <w:t xml:space="preserve"> study</w:t>
      </w:r>
      <w:r w:rsidRPr="00AD40C3">
        <w:rPr>
          <w:sz w:val="24"/>
          <w:szCs w:val="24"/>
        </w:rPr>
        <w:t xml:space="preserve"> will include </w:t>
      </w:r>
      <w:r w:rsidRPr="00BA1188">
        <w:rPr>
          <w:sz w:val="24"/>
          <w:szCs w:val="24"/>
        </w:rPr>
        <w:t>individuals who received a decision or are receiving benefit payments.</w:t>
      </w:r>
      <w:r w:rsidRPr="00AD40C3">
        <w:rPr>
          <w:sz w:val="24"/>
          <w:szCs w:val="24"/>
        </w:rPr>
        <w:t xml:space="preserve">  </w:t>
      </w:r>
    </w:p>
    <w:p w:rsidR="00BA1188" w:rsidRPr="00AD40C3" w:rsidRDefault="00BA1188" w:rsidP="002C5101">
      <w:pPr>
        <w:rPr>
          <w:sz w:val="24"/>
          <w:szCs w:val="24"/>
        </w:rPr>
      </w:pPr>
    </w:p>
    <w:tbl>
      <w:tblPr>
        <w:tblW w:w="8220" w:type="dxa"/>
        <w:tblInd w:w="93" w:type="dxa"/>
        <w:tblLook w:val="04A0" w:firstRow="1" w:lastRow="0" w:firstColumn="1" w:lastColumn="0" w:noHBand="0" w:noVBand="1"/>
      </w:tblPr>
      <w:tblGrid>
        <w:gridCol w:w="1094"/>
        <w:gridCol w:w="1593"/>
        <w:gridCol w:w="1810"/>
        <w:gridCol w:w="1976"/>
        <w:gridCol w:w="1747"/>
      </w:tblGrid>
      <w:tr w:rsidR="006A2040" w:rsidRPr="006A2040" w:rsidTr="006A2040">
        <w:trPr>
          <w:cantSplit/>
          <w:trHeight w:val="300"/>
        </w:trPr>
        <w:tc>
          <w:tcPr>
            <w:tcW w:w="8220" w:type="dxa"/>
            <w:gridSpan w:val="5"/>
            <w:tcBorders>
              <w:top w:val="single" w:sz="8" w:space="0" w:color="auto"/>
              <w:left w:val="single" w:sz="8" w:space="0" w:color="auto"/>
              <w:bottom w:val="nil"/>
              <w:right w:val="single" w:sz="8" w:space="0" w:color="000000"/>
            </w:tcBorders>
            <w:shd w:val="clear" w:color="000000" w:fill="D9D9D9"/>
            <w:vAlign w:val="center"/>
            <w:hideMark/>
          </w:tcPr>
          <w:p w:rsidR="006A2040" w:rsidRDefault="006A2040" w:rsidP="006A2040">
            <w:pPr>
              <w:jc w:val="center"/>
              <w:rPr>
                <w:b/>
                <w:bCs/>
                <w:color w:val="000000"/>
              </w:rPr>
            </w:pPr>
            <w:r w:rsidRPr="006A2040">
              <w:rPr>
                <w:b/>
                <w:bCs/>
                <w:color w:val="000000"/>
              </w:rPr>
              <w:t>TABLE 2:</w:t>
            </w:r>
          </w:p>
          <w:p w:rsidR="006A2040" w:rsidRDefault="006A2040" w:rsidP="006A2040">
            <w:pPr>
              <w:jc w:val="center"/>
              <w:rPr>
                <w:b/>
                <w:bCs/>
                <w:color w:val="000000"/>
              </w:rPr>
            </w:pPr>
            <w:r>
              <w:rPr>
                <w:b/>
                <w:bCs/>
                <w:color w:val="000000"/>
              </w:rPr>
              <w:t>EXPECTED RESPONSE RATE, COMPLETED SURVEYS EXPECTED,</w:t>
            </w:r>
          </w:p>
          <w:p w:rsidR="006A2040" w:rsidRPr="006A2040" w:rsidRDefault="006A2040" w:rsidP="006A2040">
            <w:pPr>
              <w:jc w:val="center"/>
              <w:rPr>
                <w:b/>
                <w:bCs/>
                <w:color w:val="000000"/>
              </w:rPr>
            </w:pPr>
            <w:r>
              <w:rPr>
                <w:b/>
                <w:bCs/>
                <w:color w:val="000000"/>
              </w:rPr>
              <w:t>AND SURVEY YIELD</w:t>
            </w:r>
          </w:p>
        </w:tc>
      </w:tr>
      <w:tr w:rsidR="006A2040" w:rsidRPr="006A2040" w:rsidTr="00BA1188">
        <w:trPr>
          <w:trHeight w:val="80"/>
        </w:trPr>
        <w:tc>
          <w:tcPr>
            <w:tcW w:w="8220" w:type="dxa"/>
            <w:gridSpan w:val="5"/>
            <w:tcBorders>
              <w:top w:val="nil"/>
              <w:left w:val="single" w:sz="8" w:space="0" w:color="auto"/>
              <w:bottom w:val="single" w:sz="8" w:space="0" w:color="auto"/>
              <w:right w:val="single" w:sz="8" w:space="0" w:color="000000"/>
            </w:tcBorders>
            <w:shd w:val="clear" w:color="000000" w:fill="D9D9D9"/>
            <w:vAlign w:val="center"/>
            <w:hideMark/>
          </w:tcPr>
          <w:p w:rsidR="006A2040" w:rsidRPr="006A2040" w:rsidRDefault="006A2040" w:rsidP="00BA1188">
            <w:pPr>
              <w:rPr>
                <w:b/>
                <w:bCs/>
                <w:color w:val="000000"/>
              </w:rPr>
            </w:pPr>
          </w:p>
        </w:tc>
      </w:tr>
      <w:tr w:rsidR="006A2040" w:rsidRPr="006A2040" w:rsidTr="00BA1188">
        <w:trPr>
          <w:cantSplit/>
          <w:trHeight w:val="300"/>
        </w:trPr>
        <w:tc>
          <w:tcPr>
            <w:tcW w:w="1094" w:type="dxa"/>
            <w:vMerge w:val="restart"/>
            <w:tcBorders>
              <w:top w:val="nil"/>
              <w:left w:val="single" w:sz="8" w:space="0" w:color="auto"/>
              <w:bottom w:val="single" w:sz="8" w:space="0" w:color="000000"/>
              <w:right w:val="single" w:sz="8" w:space="0" w:color="auto"/>
            </w:tcBorders>
            <w:shd w:val="clear" w:color="auto" w:fill="auto"/>
            <w:vAlign w:val="center"/>
            <w:hideMark/>
          </w:tcPr>
          <w:p w:rsidR="006A2040" w:rsidRPr="006A2040" w:rsidRDefault="006A2040" w:rsidP="006A2040">
            <w:pPr>
              <w:jc w:val="center"/>
              <w:rPr>
                <w:b/>
                <w:bCs/>
                <w:color w:val="000000"/>
              </w:rPr>
            </w:pPr>
            <w:r w:rsidRPr="006A2040">
              <w:rPr>
                <w:b/>
                <w:bCs/>
                <w:color w:val="000000"/>
              </w:rPr>
              <w:t>Number of Claimants</w:t>
            </w:r>
          </w:p>
        </w:tc>
        <w:tc>
          <w:tcPr>
            <w:tcW w:w="1593" w:type="dxa"/>
            <w:vMerge w:val="restart"/>
            <w:tcBorders>
              <w:top w:val="nil"/>
              <w:left w:val="single" w:sz="8" w:space="0" w:color="auto"/>
              <w:bottom w:val="single" w:sz="8" w:space="0" w:color="000000"/>
              <w:right w:val="single" w:sz="8" w:space="0" w:color="auto"/>
            </w:tcBorders>
            <w:shd w:val="clear" w:color="auto" w:fill="auto"/>
            <w:vAlign w:val="center"/>
            <w:hideMark/>
          </w:tcPr>
          <w:p w:rsidR="006A2040" w:rsidRPr="006A2040" w:rsidRDefault="006A2040" w:rsidP="006A2040">
            <w:pPr>
              <w:jc w:val="center"/>
              <w:rPr>
                <w:b/>
                <w:bCs/>
                <w:color w:val="000000"/>
              </w:rPr>
            </w:pPr>
            <w:r w:rsidRPr="006A2040">
              <w:rPr>
                <w:b/>
                <w:bCs/>
                <w:color w:val="000000"/>
              </w:rPr>
              <w:t>Expected Response Rate</w:t>
            </w:r>
          </w:p>
        </w:tc>
        <w:tc>
          <w:tcPr>
            <w:tcW w:w="1810" w:type="dxa"/>
            <w:vMerge w:val="restart"/>
            <w:tcBorders>
              <w:top w:val="nil"/>
              <w:left w:val="single" w:sz="8" w:space="0" w:color="auto"/>
              <w:bottom w:val="single" w:sz="8" w:space="0" w:color="000000"/>
              <w:right w:val="single" w:sz="8" w:space="0" w:color="auto"/>
            </w:tcBorders>
            <w:shd w:val="clear" w:color="auto" w:fill="auto"/>
            <w:vAlign w:val="center"/>
            <w:hideMark/>
          </w:tcPr>
          <w:p w:rsidR="006A2040" w:rsidRPr="006A2040" w:rsidRDefault="006A2040" w:rsidP="006A2040">
            <w:pPr>
              <w:jc w:val="center"/>
              <w:rPr>
                <w:b/>
                <w:bCs/>
                <w:color w:val="000000"/>
              </w:rPr>
            </w:pPr>
            <w:r w:rsidRPr="006A2040">
              <w:rPr>
                <w:b/>
                <w:bCs/>
                <w:color w:val="000000"/>
              </w:rPr>
              <w:t>Completed Surveys Expected</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rsidR="006A2040" w:rsidRPr="006A2040" w:rsidRDefault="006A2040" w:rsidP="006A2040">
            <w:pPr>
              <w:jc w:val="center"/>
              <w:rPr>
                <w:b/>
                <w:bCs/>
                <w:color w:val="000000"/>
              </w:rPr>
            </w:pPr>
            <w:r w:rsidRPr="006A2040">
              <w:rPr>
                <w:b/>
                <w:bCs/>
                <w:color w:val="000000"/>
              </w:rPr>
              <w:t xml:space="preserve">FY2014 </w:t>
            </w:r>
            <w:r w:rsidRPr="006A2040">
              <w:rPr>
                <w:b/>
                <w:bCs/>
                <w:color w:val="000000"/>
              </w:rPr>
              <w:br/>
              <w:t>Response Rate</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rsidR="006A2040" w:rsidRPr="006A2040" w:rsidRDefault="006A2040" w:rsidP="006A2040">
            <w:pPr>
              <w:jc w:val="center"/>
              <w:rPr>
                <w:b/>
                <w:bCs/>
                <w:color w:val="000000"/>
              </w:rPr>
            </w:pPr>
            <w:r w:rsidRPr="006A2040">
              <w:rPr>
                <w:b/>
                <w:bCs/>
                <w:color w:val="000000"/>
              </w:rPr>
              <w:t>FY2015</w:t>
            </w:r>
            <w:r w:rsidRPr="006A2040">
              <w:rPr>
                <w:b/>
                <w:bCs/>
                <w:color w:val="000000"/>
              </w:rPr>
              <w:br/>
              <w:t>Response Rate</w:t>
            </w:r>
          </w:p>
        </w:tc>
      </w:tr>
      <w:tr w:rsidR="006A2040" w:rsidRPr="006A2040" w:rsidTr="00BA1188">
        <w:trPr>
          <w:trHeight w:val="315"/>
        </w:trPr>
        <w:tc>
          <w:tcPr>
            <w:tcW w:w="1094" w:type="dxa"/>
            <w:vMerge/>
            <w:tcBorders>
              <w:top w:val="nil"/>
              <w:left w:val="single" w:sz="8" w:space="0" w:color="auto"/>
              <w:bottom w:val="single" w:sz="8" w:space="0" w:color="000000"/>
              <w:right w:val="single" w:sz="8" w:space="0" w:color="auto"/>
            </w:tcBorders>
            <w:vAlign w:val="center"/>
            <w:hideMark/>
          </w:tcPr>
          <w:p w:rsidR="006A2040" w:rsidRPr="006A2040" w:rsidRDefault="006A2040" w:rsidP="006A2040">
            <w:pPr>
              <w:rPr>
                <w:b/>
                <w:bCs/>
                <w:color w:val="000000"/>
              </w:rPr>
            </w:pPr>
          </w:p>
        </w:tc>
        <w:tc>
          <w:tcPr>
            <w:tcW w:w="1593" w:type="dxa"/>
            <w:vMerge/>
            <w:tcBorders>
              <w:top w:val="nil"/>
              <w:left w:val="single" w:sz="8" w:space="0" w:color="auto"/>
              <w:bottom w:val="single" w:sz="8" w:space="0" w:color="000000"/>
              <w:right w:val="single" w:sz="8" w:space="0" w:color="auto"/>
            </w:tcBorders>
            <w:vAlign w:val="center"/>
            <w:hideMark/>
          </w:tcPr>
          <w:p w:rsidR="006A2040" w:rsidRPr="006A2040" w:rsidRDefault="006A2040" w:rsidP="006A2040">
            <w:pPr>
              <w:rPr>
                <w:b/>
                <w:bCs/>
                <w:color w:val="000000"/>
              </w:rPr>
            </w:pPr>
          </w:p>
        </w:tc>
        <w:tc>
          <w:tcPr>
            <w:tcW w:w="1810" w:type="dxa"/>
            <w:vMerge/>
            <w:tcBorders>
              <w:top w:val="nil"/>
              <w:left w:val="single" w:sz="8" w:space="0" w:color="auto"/>
              <w:bottom w:val="single" w:sz="8" w:space="0" w:color="000000"/>
              <w:right w:val="single" w:sz="8" w:space="0" w:color="auto"/>
            </w:tcBorders>
            <w:vAlign w:val="center"/>
            <w:hideMark/>
          </w:tcPr>
          <w:p w:rsidR="006A2040" w:rsidRPr="006A2040" w:rsidRDefault="006A2040" w:rsidP="006A2040">
            <w:pPr>
              <w:rPr>
                <w:b/>
                <w:bCs/>
                <w:color w:val="000000"/>
              </w:rPr>
            </w:pPr>
          </w:p>
        </w:tc>
        <w:tc>
          <w:tcPr>
            <w:tcW w:w="1976" w:type="dxa"/>
            <w:vMerge/>
            <w:tcBorders>
              <w:top w:val="nil"/>
              <w:left w:val="single" w:sz="8" w:space="0" w:color="auto"/>
              <w:bottom w:val="single" w:sz="8" w:space="0" w:color="000000"/>
              <w:right w:val="single" w:sz="8" w:space="0" w:color="auto"/>
            </w:tcBorders>
            <w:vAlign w:val="center"/>
            <w:hideMark/>
          </w:tcPr>
          <w:p w:rsidR="006A2040" w:rsidRPr="006A2040" w:rsidRDefault="006A2040" w:rsidP="006A2040">
            <w:pPr>
              <w:rPr>
                <w:b/>
                <w:bCs/>
                <w:color w:val="000000"/>
              </w:rPr>
            </w:pPr>
          </w:p>
        </w:tc>
        <w:tc>
          <w:tcPr>
            <w:tcW w:w="1747" w:type="dxa"/>
            <w:vMerge/>
            <w:tcBorders>
              <w:top w:val="nil"/>
              <w:left w:val="single" w:sz="8" w:space="0" w:color="auto"/>
              <w:bottom w:val="single" w:sz="8" w:space="0" w:color="000000"/>
              <w:right w:val="single" w:sz="8" w:space="0" w:color="auto"/>
            </w:tcBorders>
            <w:vAlign w:val="center"/>
            <w:hideMark/>
          </w:tcPr>
          <w:p w:rsidR="006A2040" w:rsidRPr="006A2040" w:rsidRDefault="006A2040" w:rsidP="006A2040">
            <w:pPr>
              <w:rPr>
                <w:b/>
                <w:bCs/>
                <w:color w:val="000000"/>
              </w:rPr>
            </w:pPr>
          </w:p>
        </w:tc>
      </w:tr>
      <w:tr w:rsidR="006A2040" w:rsidRPr="006A2040" w:rsidTr="00BA1188">
        <w:trPr>
          <w:cantSplit/>
          <w:trHeight w:val="315"/>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A2040" w:rsidRPr="006A2040" w:rsidRDefault="006A2040" w:rsidP="006A2040">
            <w:pPr>
              <w:jc w:val="center"/>
              <w:rPr>
                <w:color w:val="000000"/>
              </w:rPr>
            </w:pPr>
            <w:r w:rsidRPr="006A2040">
              <w:rPr>
                <w:color w:val="000000"/>
              </w:rPr>
              <w:t>60,000</w:t>
            </w:r>
          </w:p>
        </w:tc>
        <w:tc>
          <w:tcPr>
            <w:tcW w:w="1593" w:type="dxa"/>
            <w:tcBorders>
              <w:top w:val="nil"/>
              <w:left w:val="nil"/>
              <w:bottom w:val="single" w:sz="8" w:space="0" w:color="auto"/>
              <w:right w:val="single" w:sz="8" w:space="0" w:color="auto"/>
            </w:tcBorders>
            <w:shd w:val="clear" w:color="auto" w:fill="auto"/>
            <w:vAlign w:val="center"/>
            <w:hideMark/>
          </w:tcPr>
          <w:p w:rsidR="006A2040" w:rsidRPr="006A2040" w:rsidRDefault="006A2040" w:rsidP="006A2040">
            <w:pPr>
              <w:jc w:val="center"/>
              <w:rPr>
                <w:color w:val="000000"/>
              </w:rPr>
            </w:pPr>
            <w:r w:rsidRPr="006A2040">
              <w:rPr>
                <w:color w:val="000000"/>
              </w:rPr>
              <w:t>30%</w:t>
            </w:r>
          </w:p>
        </w:tc>
        <w:tc>
          <w:tcPr>
            <w:tcW w:w="1810" w:type="dxa"/>
            <w:tcBorders>
              <w:top w:val="nil"/>
              <w:left w:val="nil"/>
              <w:bottom w:val="single" w:sz="8" w:space="0" w:color="auto"/>
              <w:right w:val="single" w:sz="8" w:space="0" w:color="auto"/>
            </w:tcBorders>
            <w:shd w:val="clear" w:color="auto" w:fill="auto"/>
            <w:vAlign w:val="center"/>
            <w:hideMark/>
          </w:tcPr>
          <w:p w:rsidR="006A2040" w:rsidRPr="006A2040" w:rsidRDefault="00311CB1" w:rsidP="006A2040">
            <w:pPr>
              <w:jc w:val="center"/>
              <w:rPr>
                <w:color w:val="000000"/>
              </w:rPr>
            </w:pPr>
            <w:r>
              <w:rPr>
                <w:color w:val="000000"/>
              </w:rPr>
              <w:t>18,000</w:t>
            </w:r>
            <w:r w:rsidR="006A2040" w:rsidRPr="006A2040">
              <w:rPr>
                <w:color w:val="000000"/>
              </w:rPr>
              <w:t> </w:t>
            </w:r>
          </w:p>
        </w:tc>
        <w:tc>
          <w:tcPr>
            <w:tcW w:w="1976" w:type="dxa"/>
            <w:tcBorders>
              <w:top w:val="nil"/>
              <w:left w:val="nil"/>
              <w:bottom w:val="single" w:sz="8" w:space="0" w:color="auto"/>
              <w:right w:val="single" w:sz="8" w:space="0" w:color="auto"/>
            </w:tcBorders>
            <w:shd w:val="clear" w:color="auto" w:fill="auto"/>
            <w:vAlign w:val="center"/>
            <w:hideMark/>
          </w:tcPr>
          <w:p w:rsidR="006A2040" w:rsidRPr="006A2040" w:rsidRDefault="006A2040" w:rsidP="006A2040">
            <w:pPr>
              <w:jc w:val="center"/>
              <w:rPr>
                <w:color w:val="000000"/>
              </w:rPr>
            </w:pPr>
            <w:r w:rsidRPr="006A2040">
              <w:rPr>
                <w:color w:val="000000"/>
              </w:rPr>
              <w:t>21.39%</w:t>
            </w:r>
          </w:p>
        </w:tc>
        <w:tc>
          <w:tcPr>
            <w:tcW w:w="1747" w:type="dxa"/>
            <w:tcBorders>
              <w:top w:val="nil"/>
              <w:left w:val="nil"/>
              <w:bottom w:val="single" w:sz="8" w:space="0" w:color="auto"/>
              <w:right w:val="single" w:sz="8" w:space="0" w:color="auto"/>
            </w:tcBorders>
            <w:shd w:val="clear" w:color="auto" w:fill="auto"/>
            <w:vAlign w:val="center"/>
            <w:hideMark/>
          </w:tcPr>
          <w:p w:rsidR="006A2040" w:rsidRPr="006A2040" w:rsidRDefault="006A2040" w:rsidP="006A2040">
            <w:pPr>
              <w:jc w:val="center"/>
              <w:rPr>
                <w:color w:val="000000"/>
              </w:rPr>
            </w:pPr>
            <w:r w:rsidRPr="006A2040">
              <w:rPr>
                <w:color w:val="000000"/>
              </w:rPr>
              <w:t>25.03%</w:t>
            </w:r>
          </w:p>
        </w:tc>
      </w:tr>
    </w:tbl>
    <w:p w:rsidR="006E043C" w:rsidRPr="00AD40C3" w:rsidRDefault="006E043C" w:rsidP="006D4385">
      <w:pPr>
        <w:rPr>
          <w:sz w:val="24"/>
          <w:u w:val="single"/>
        </w:rPr>
      </w:pPr>
    </w:p>
    <w:p w:rsidR="006E043C" w:rsidRPr="00AD40C3" w:rsidRDefault="006E043C" w:rsidP="006D4385">
      <w:pPr>
        <w:rPr>
          <w:sz w:val="24"/>
          <w:u w:val="single"/>
        </w:rPr>
      </w:pPr>
      <w:r w:rsidRPr="00AD40C3">
        <w:rPr>
          <w:sz w:val="24"/>
          <w:u w:val="single"/>
        </w:rPr>
        <w:br w:type="page"/>
      </w:r>
      <w:r w:rsidRPr="00AD40C3">
        <w:rPr>
          <w:sz w:val="24"/>
          <w:u w:val="single"/>
        </w:rPr>
        <w:lastRenderedPageBreak/>
        <w:t xml:space="preserve">3)  Pension </w:t>
      </w:r>
      <w:r w:rsidR="009D5AB4">
        <w:rPr>
          <w:sz w:val="24"/>
          <w:u w:val="single"/>
        </w:rPr>
        <w:t>Access</w:t>
      </w:r>
      <w:r w:rsidR="003354DD">
        <w:rPr>
          <w:sz w:val="24"/>
          <w:u w:val="single"/>
        </w:rPr>
        <w:t xml:space="preserve"> </w:t>
      </w:r>
    </w:p>
    <w:p w:rsidR="006E043C" w:rsidRPr="00AD40C3" w:rsidRDefault="006E043C" w:rsidP="00E45789">
      <w:pPr>
        <w:rPr>
          <w:sz w:val="24"/>
          <w:szCs w:val="24"/>
        </w:rPr>
      </w:pPr>
      <w:r w:rsidRPr="00AD40C3">
        <w:rPr>
          <w:sz w:val="24"/>
          <w:szCs w:val="24"/>
        </w:rPr>
        <w:t>The targeted population for the Pension</w:t>
      </w:r>
      <w:r w:rsidR="006424C3">
        <w:rPr>
          <w:sz w:val="24"/>
          <w:szCs w:val="24"/>
        </w:rPr>
        <w:t xml:space="preserve"> </w:t>
      </w:r>
      <w:r w:rsidR="009D5AB4">
        <w:rPr>
          <w:sz w:val="24"/>
          <w:szCs w:val="24"/>
        </w:rPr>
        <w:t>Access</w:t>
      </w:r>
      <w:r w:rsidR="009D5AB4" w:rsidRPr="00AD40C3">
        <w:rPr>
          <w:sz w:val="24"/>
          <w:szCs w:val="24"/>
        </w:rPr>
        <w:t xml:space="preserve"> </w:t>
      </w:r>
      <w:r w:rsidR="001314E2">
        <w:rPr>
          <w:sz w:val="24"/>
          <w:szCs w:val="24"/>
        </w:rPr>
        <w:t>continuous</w:t>
      </w:r>
      <w:r w:rsidR="001314E2" w:rsidRPr="00AD40C3">
        <w:rPr>
          <w:sz w:val="24"/>
          <w:szCs w:val="24"/>
        </w:rPr>
        <w:t xml:space="preserve"> study</w:t>
      </w:r>
      <w:r w:rsidRPr="00AD40C3">
        <w:rPr>
          <w:sz w:val="24"/>
          <w:szCs w:val="24"/>
        </w:rPr>
        <w:t xml:space="preserve"> will include individuals who have received a decision on a pension benefit claim within 30 days prior to the fielding period.   </w:t>
      </w:r>
    </w:p>
    <w:p w:rsidR="006E043C" w:rsidRDefault="006E043C" w:rsidP="00AB2948">
      <w:pPr>
        <w:rPr>
          <w:sz w:val="24"/>
        </w:rPr>
      </w:pPr>
    </w:p>
    <w:tbl>
      <w:tblPr>
        <w:tblW w:w="8220" w:type="dxa"/>
        <w:tblInd w:w="93" w:type="dxa"/>
        <w:tblLook w:val="04A0" w:firstRow="1" w:lastRow="0" w:firstColumn="1" w:lastColumn="0" w:noHBand="0" w:noVBand="1"/>
      </w:tblPr>
      <w:tblGrid>
        <w:gridCol w:w="1094"/>
        <w:gridCol w:w="1593"/>
        <w:gridCol w:w="1810"/>
        <w:gridCol w:w="1976"/>
        <w:gridCol w:w="1747"/>
      </w:tblGrid>
      <w:tr w:rsidR="00564F86" w:rsidRPr="00564F86" w:rsidTr="00564F86">
        <w:trPr>
          <w:cantSplit/>
          <w:trHeight w:val="990"/>
        </w:trPr>
        <w:tc>
          <w:tcPr>
            <w:tcW w:w="8220" w:type="dxa"/>
            <w:gridSpan w:val="5"/>
            <w:tcBorders>
              <w:top w:val="single" w:sz="8" w:space="0" w:color="auto"/>
              <w:left w:val="single" w:sz="8" w:space="0" w:color="auto"/>
              <w:bottom w:val="nil"/>
              <w:right w:val="single" w:sz="8" w:space="0" w:color="000000"/>
            </w:tcBorders>
            <w:shd w:val="clear" w:color="000000" w:fill="D9D9D9"/>
            <w:vAlign w:val="center"/>
            <w:hideMark/>
          </w:tcPr>
          <w:p w:rsidR="00564F86" w:rsidRPr="00564F86" w:rsidRDefault="00564F86" w:rsidP="00564F86">
            <w:pPr>
              <w:jc w:val="center"/>
              <w:rPr>
                <w:b/>
                <w:bCs/>
                <w:color w:val="000000"/>
              </w:rPr>
            </w:pPr>
            <w:r w:rsidRPr="00564F86">
              <w:rPr>
                <w:b/>
                <w:bCs/>
                <w:color w:val="000000"/>
              </w:rPr>
              <w:t xml:space="preserve">TABLE 3: </w:t>
            </w:r>
            <w:r w:rsidRPr="00564F86">
              <w:rPr>
                <w:b/>
                <w:bCs/>
                <w:color w:val="000000"/>
              </w:rPr>
              <w:br/>
              <w:t xml:space="preserve">EXPECTED RESPONSE RATE, COMPLETED SURVEYS EXPECTED, </w:t>
            </w:r>
            <w:r w:rsidRPr="00564F86">
              <w:rPr>
                <w:b/>
                <w:bCs/>
                <w:color w:val="000000"/>
              </w:rPr>
              <w:br/>
              <w:t>AND SURVEY YIELD</w:t>
            </w:r>
          </w:p>
        </w:tc>
      </w:tr>
      <w:tr w:rsidR="00564F86" w:rsidRPr="00564F86" w:rsidTr="00564F86">
        <w:trPr>
          <w:cantSplit/>
          <w:trHeight w:val="51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Number of Claimants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Expected Response Rate</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Completed Surveys Expected</w:t>
            </w:r>
          </w:p>
        </w:tc>
        <w:tc>
          <w:tcPr>
            <w:tcW w:w="2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FY2014</w:t>
            </w:r>
            <w:r w:rsidRPr="00564F86">
              <w:rPr>
                <w:b/>
                <w:bCs/>
                <w:color w:val="000000"/>
              </w:rPr>
              <w:br/>
              <w:t>Response Rate</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FY2015</w:t>
            </w:r>
            <w:r w:rsidRPr="00564F86">
              <w:rPr>
                <w:b/>
                <w:bCs/>
                <w:color w:val="000000"/>
              </w:rPr>
              <w:br/>
              <w:t>Response Rate</w:t>
            </w:r>
          </w:p>
        </w:tc>
      </w:tr>
      <w:tr w:rsidR="00564F86" w:rsidRPr="00564F86" w:rsidTr="00564F86">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r>
      <w:tr w:rsidR="00564F86" w:rsidRPr="00564F86" w:rsidTr="00564F86">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10,000</w:t>
            </w:r>
          </w:p>
        </w:tc>
        <w:tc>
          <w:tcPr>
            <w:tcW w:w="16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30%</w:t>
            </w:r>
          </w:p>
        </w:tc>
        <w:tc>
          <w:tcPr>
            <w:tcW w:w="1840" w:type="dxa"/>
            <w:tcBorders>
              <w:top w:val="nil"/>
              <w:left w:val="nil"/>
              <w:bottom w:val="single" w:sz="8" w:space="0" w:color="auto"/>
              <w:right w:val="single" w:sz="8" w:space="0" w:color="auto"/>
            </w:tcBorders>
            <w:shd w:val="clear" w:color="auto" w:fill="auto"/>
            <w:vAlign w:val="center"/>
            <w:hideMark/>
          </w:tcPr>
          <w:p w:rsidR="00564F86" w:rsidRPr="00564F86" w:rsidRDefault="00311CB1" w:rsidP="00564F86">
            <w:pPr>
              <w:jc w:val="center"/>
              <w:rPr>
                <w:color w:val="000000"/>
              </w:rPr>
            </w:pPr>
            <w:r>
              <w:rPr>
                <w:color w:val="000000"/>
              </w:rPr>
              <w:t>3,000</w:t>
            </w:r>
          </w:p>
        </w:tc>
        <w:tc>
          <w:tcPr>
            <w:tcW w:w="20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24.15%</w:t>
            </w:r>
          </w:p>
        </w:tc>
        <w:tc>
          <w:tcPr>
            <w:tcW w:w="178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26.31%</w:t>
            </w:r>
          </w:p>
        </w:tc>
      </w:tr>
    </w:tbl>
    <w:p w:rsidR="00564F86" w:rsidRDefault="00564F86" w:rsidP="00AB2948">
      <w:pPr>
        <w:rPr>
          <w:sz w:val="24"/>
        </w:rPr>
      </w:pPr>
    </w:p>
    <w:p w:rsidR="006E043C" w:rsidRPr="00AD40C3" w:rsidRDefault="006E043C" w:rsidP="00AB2948">
      <w:pPr>
        <w:rPr>
          <w:sz w:val="24"/>
          <w:u w:val="single"/>
        </w:rPr>
      </w:pPr>
      <w:r w:rsidRPr="00AD40C3">
        <w:rPr>
          <w:sz w:val="24"/>
          <w:u w:val="single"/>
        </w:rPr>
        <w:t>4)  Pension Servicing</w:t>
      </w:r>
    </w:p>
    <w:p w:rsidR="006E043C" w:rsidRPr="00AD40C3" w:rsidRDefault="006E043C" w:rsidP="00E45789">
      <w:pPr>
        <w:rPr>
          <w:sz w:val="24"/>
          <w:szCs w:val="24"/>
        </w:rPr>
      </w:pPr>
      <w:r w:rsidRPr="00AD40C3">
        <w:rPr>
          <w:sz w:val="24"/>
          <w:szCs w:val="24"/>
        </w:rPr>
        <w:t xml:space="preserve">The targeted population for the Pension Servicing </w:t>
      </w:r>
      <w:r w:rsidR="00627CEF">
        <w:rPr>
          <w:sz w:val="24"/>
          <w:szCs w:val="24"/>
        </w:rPr>
        <w:t>continuous</w:t>
      </w:r>
      <w:r w:rsidR="00627CEF" w:rsidRPr="00AD40C3">
        <w:rPr>
          <w:sz w:val="24"/>
          <w:szCs w:val="24"/>
        </w:rPr>
        <w:t xml:space="preserve"> study</w:t>
      </w:r>
      <w:r w:rsidRPr="00AD40C3">
        <w:rPr>
          <w:sz w:val="24"/>
          <w:szCs w:val="24"/>
        </w:rPr>
        <w:t xml:space="preserve"> will include individuals who have</w:t>
      </w:r>
      <w:r w:rsidR="007A2AAF">
        <w:rPr>
          <w:sz w:val="24"/>
          <w:szCs w:val="24"/>
        </w:rPr>
        <w:t xml:space="preserve"> established and completed a claim in the previous fiscal year</w:t>
      </w:r>
      <w:r w:rsidRPr="00AD40C3">
        <w:rPr>
          <w:sz w:val="24"/>
          <w:szCs w:val="24"/>
        </w:rPr>
        <w:t>.</w:t>
      </w:r>
    </w:p>
    <w:p w:rsidR="00564F86" w:rsidRPr="00AD40C3" w:rsidRDefault="006E043C" w:rsidP="00AB2948">
      <w:pPr>
        <w:rPr>
          <w:sz w:val="24"/>
        </w:rPr>
      </w:pPr>
      <w:r w:rsidRPr="00AD40C3" w:rsidDel="00647671">
        <w:rPr>
          <w:sz w:val="24"/>
          <w:szCs w:val="24"/>
        </w:rPr>
        <w:t xml:space="preserve"> </w:t>
      </w:r>
    </w:p>
    <w:tbl>
      <w:tblPr>
        <w:tblW w:w="8220" w:type="dxa"/>
        <w:tblInd w:w="93" w:type="dxa"/>
        <w:tblLook w:val="04A0" w:firstRow="1" w:lastRow="0" w:firstColumn="1" w:lastColumn="0" w:noHBand="0" w:noVBand="1"/>
      </w:tblPr>
      <w:tblGrid>
        <w:gridCol w:w="1094"/>
        <w:gridCol w:w="1593"/>
        <w:gridCol w:w="1810"/>
        <w:gridCol w:w="1976"/>
        <w:gridCol w:w="1747"/>
      </w:tblGrid>
      <w:tr w:rsidR="00564F86" w:rsidRPr="00564F86" w:rsidTr="00564F86">
        <w:trPr>
          <w:cantSplit/>
          <w:trHeight w:val="990"/>
        </w:trPr>
        <w:tc>
          <w:tcPr>
            <w:tcW w:w="8220" w:type="dxa"/>
            <w:gridSpan w:val="5"/>
            <w:tcBorders>
              <w:top w:val="single" w:sz="8" w:space="0" w:color="auto"/>
              <w:left w:val="single" w:sz="8" w:space="0" w:color="auto"/>
              <w:bottom w:val="nil"/>
              <w:right w:val="single" w:sz="8" w:space="0" w:color="000000"/>
            </w:tcBorders>
            <w:shd w:val="clear" w:color="000000" w:fill="D9D9D9"/>
            <w:vAlign w:val="center"/>
            <w:hideMark/>
          </w:tcPr>
          <w:p w:rsidR="00564F86" w:rsidRPr="00564F86" w:rsidRDefault="00564F86" w:rsidP="00564F86">
            <w:pPr>
              <w:jc w:val="center"/>
              <w:rPr>
                <w:b/>
                <w:bCs/>
                <w:color w:val="000000"/>
              </w:rPr>
            </w:pPr>
            <w:r w:rsidRPr="00564F86">
              <w:rPr>
                <w:b/>
                <w:bCs/>
                <w:color w:val="000000"/>
              </w:rPr>
              <w:t xml:space="preserve">TABLE 4: </w:t>
            </w:r>
            <w:r w:rsidRPr="00564F86">
              <w:rPr>
                <w:b/>
                <w:bCs/>
                <w:color w:val="000000"/>
              </w:rPr>
              <w:br/>
              <w:t xml:space="preserve">EXPECTED RESPONSE RATE, COMPLETED SURVEYS EXPECTED, </w:t>
            </w:r>
            <w:r w:rsidRPr="00564F86">
              <w:rPr>
                <w:b/>
                <w:bCs/>
                <w:color w:val="000000"/>
              </w:rPr>
              <w:br/>
              <w:t>AND SURVEY YIELD</w:t>
            </w:r>
          </w:p>
        </w:tc>
      </w:tr>
      <w:tr w:rsidR="00564F86" w:rsidRPr="00564F86" w:rsidTr="00564F86">
        <w:trPr>
          <w:cantSplit/>
          <w:trHeight w:val="51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Number of Claimants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Expected Response Rate</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Completed Surveys Expected</w:t>
            </w:r>
          </w:p>
        </w:tc>
        <w:tc>
          <w:tcPr>
            <w:tcW w:w="2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FY2014</w:t>
            </w:r>
            <w:r w:rsidRPr="00564F86">
              <w:rPr>
                <w:b/>
                <w:bCs/>
                <w:color w:val="000000"/>
              </w:rPr>
              <w:br/>
              <w:t>Response Rate</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FY2015</w:t>
            </w:r>
            <w:r w:rsidRPr="00564F86">
              <w:rPr>
                <w:b/>
                <w:bCs/>
                <w:color w:val="000000"/>
              </w:rPr>
              <w:br/>
              <w:t>Response Rate</w:t>
            </w:r>
          </w:p>
        </w:tc>
      </w:tr>
      <w:tr w:rsidR="00564F86" w:rsidRPr="00564F86" w:rsidTr="00564F86">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r>
      <w:tr w:rsidR="00564F86" w:rsidRPr="00564F86" w:rsidTr="00564F86">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10,000</w:t>
            </w:r>
          </w:p>
        </w:tc>
        <w:tc>
          <w:tcPr>
            <w:tcW w:w="16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30%</w:t>
            </w:r>
          </w:p>
        </w:tc>
        <w:tc>
          <w:tcPr>
            <w:tcW w:w="1840" w:type="dxa"/>
            <w:tcBorders>
              <w:top w:val="nil"/>
              <w:left w:val="nil"/>
              <w:bottom w:val="single" w:sz="8" w:space="0" w:color="auto"/>
              <w:right w:val="single" w:sz="8" w:space="0" w:color="auto"/>
            </w:tcBorders>
            <w:shd w:val="clear" w:color="auto" w:fill="auto"/>
            <w:vAlign w:val="center"/>
            <w:hideMark/>
          </w:tcPr>
          <w:p w:rsidR="00564F86" w:rsidRPr="00564F86" w:rsidRDefault="00311CB1" w:rsidP="00564F86">
            <w:pPr>
              <w:jc w:val="center"/>
              <w:rPr>
                <w:color w:val="000000"/>
              </w:rPr>
            </w:pPr>
            <w:r>
              <w:rPr>
                <w:color w:val="000000"/>
              </w:rPr>
              <w:t>3,000</w:t>
            </w:r>
          </w:p>
        </w:tc>
        <w:tc>
          <w:tcPr>
            <w:tcW w:w="20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21.05%</w:t>
            </w:r>
          </w:p>
        </w:tc>
        <w:tc>
          <w:tcPr>
            <w:tcW w:w="178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18.49%</w:t>
            </w:r>
          </w:p>
        </w:tc>
      </w:tr>
    </w:tbl>
    <w:p w:rsidR="006E043C" w:rsidRPr="00AD40C3" w:rsidRDefault="006E043C" w:rsidP="004C12B1">
      <w:pPr>
        <w:rPr>
          <w:sz w:val="24"/>
          <w:szCs w:val="24"/>
        </w:rPr>
      </w:pPr>
    </w:p>
    <w:p w:rsidR="006E043C" w:rsidRPr="00AD40C3" w:rsidRDefault="006E043C" w:rsidP="00845282">
      <w:pPr>
        <w:rPr>
          <w:sz w:val="24"/>
          <w:u w:val="single"/>
        </w:rPr>
      </w:pPr>
      <w:r w:rsidRPr="00AD40C3">
        <w:rPr>
          <w:sz w:val="24"/>
          <w:u w:val="single"/>
        </w:rPr>
        <w:t xml:space="preserve">5) Education </w:t>
      </w:r>
      <w:r w:rsidR="009D5AB4">
        <w:rPr>
          <w:sz w:val="24"/>
          <w:u w:val="single"/>
        </w:rPr>
        <w:t>Access</w:t>
      </w:r>
    </w:p>
    <w:p w:rsidR="006E043C" w:rsidRPr="00AD40C3" w:rsidRDefault="006E043C" w:rsidP="00E45789">
      <w:pPr>
        <w:rPr>
          <w:sz w:val="24"/>
          <w:szCs w:val="24"/>
        </w:rPr>
      </w:pPr>
      <w:r w:rsidRPr="00AD40C3">
        <w:rPr>
          <w:sz w:val="24"/>
          <w:szCs w:val="24"/>
        </w:rPr>
        <w:t>The targeted population for the Education</w:t>
      </w:r>
      <w:r w:rsidR="004F58D2">
        <w:rPr>
          <w:sz w:val="24"/>
          <w:szCs w:val="24"/>
        </w:rPr>
        <w:t xml:space="preserve"> </w:t>
      </w:r>
      <w:r w:rsidR="009D5AB4">
        <w:rPr>
          <w:sz w:val="24"/>
          <w:szCs w:val="24"/>
        </w:rPr>
        <w:t>Access</w:t>
      </w:r>
      <w:r w:rsidR="009D5AB4" w:rsidRPr="00AD40C3">
        <w:rPr>
          <w:sz w:val="24"/>
          <w:szCs w:val="24"/>
        </w:rPr>
        <w:t xml:space="preserve"> </w:t>
      </w:r>
      <w:r w:rsidR="00627CEF">
        <w:rPr>
          <w:sz w:val="24"/>
          <w:szCs w:val="24"/>
        </w:rPr>
        <w:t xml:space="preserve"> continuous </w:t>
      </w:r>
      <w:r w:rsidRPr="00AD40C3">
        <w:rPr>
          <w:sz w:val="24"/>
          <w:szCs w:val="24"/>
        </w:rPr>
        <w:t xml:space="preserve">study will include individuals who have received a decision on their education benefit application within 90 days (i.e., the original end-product has been cleared within the past 90 days) prior to the fielding period. </w:t>
      </w:r>
    </w:p>
    <w:p w:rsidR="006E043C" w:rsidRDefault="006E043C" w:rsidP="00845282">
      <w:pPr>
        <w:rPr>
          <w:sz w:val="24"/>
        </w:rPr>
      </w:pPr>
    </w:p>
    <w:tbl>
      <w:tblPr>
        <w:tblW w:w="8220" w:type="dxa"/>
        <w:tblInd w:w="93" w:type="dxa"/>
        <w:tblLook w:val="04A0" w:firstRow="1" w:lastRow="0" w:firstColumn="1" w:lastColumn="0" w:noHBand="0" w:noVBand="1"/>
      </w:tblPr>
      <w:tblGrid>
        <w:gridCol w:w="1094"/>
        <w:gridCol w:w="1593"/>
        <w:gridCol w:w="1810"/>
        <w:gridCol w:w="1976"/>
        <w:gridCol w:w="1747"/>
      </w:tblGrid>
      <w:tr w:rsidR="00564F86" w:rsidRPr="00564F86" w:rsidTr="00564F86">
        <w:trPr>
          <w:cantSplit/>
          <w:trHeight w:val="990"/>
        </w:trPr>
        <w:tc>
          <w:tcPr>
            <w:tcW w:w="8220" w:type="dxa"/>
            <w:gridSpan w:val="5"/>
            <w:tcBorders>
              <w:top w:val="single" w:sz="8" w:space="0" w:color="auto"/>
              <w:left w:val="single" w:sz="8" w:space="0" w:color="auto"/>
              <w:bottom w:val="nil"/>
              <w:right w:val="single" w:sz="8" w:space="0" w:color="000000"/>
            </w:tcBorders>
            <w:shd w:val="clear" w:color="000000" w:fill="D9D9D9"/>
            <w:vAlign w:val="center"/>
            <w:hideMark/>
          </w:tcPr>
          <w:p w:rsidR="00564F86" w:rsidRPr="00564F86" w:rsidRDefault="00564F86" w:rsidP="00564F86">
            <w:pPr>
              <w:jc w:val="center"/>
              <w:rPr>
                <w:b/>
                <w:bCs/>
                <w:color w:val="000000"/>
              </w:rPr>
            </w:pPr>
            <w:r w:rsidRPr="00564F86">
              <w:rPr>
                <w:b/>
                <w:bCs/>
                <w:color w:val="000000"/>
              </w:rPr>
              <w:t xml:space="preserve">TABLE 5: </w:t>
            </w:r>
            <w:r w:rsidRPr="00564F86">
              <w:rPr>
                <w:b/>
                <w:bCs/>
                <w:color w:val="000000"/>
              </w:rPr>
              <w:br/>
              <w:t xml:space="preserve">EXPECTED RESPONSE RATE, COMPLETED SURVEYS EXPECTED, </w:t>
            </w:r>
            <w:r w:rsidRPr="00564F86">
              <w:rPr>
                <w:b/>
                <w:bCs/>
                <w:color w:val="000000"/>
              </w:rPr>
              <w:br/>
              <w:t>AND SURVEY YIELD</w:t>
            </w:r>
          </w:p>
        </w:tc>
      </w:tr>
      <w:tr w:rsidR="00564F86" w:rsidRPr="00564F86" w:rsidTr="00564F86">
        <w:trPr>
          <w:cantSplit/>
          <w:trHeight w:val="51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Number of Claimants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Expected Response Rate</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Completed Surveys Expected</w:t>
            </w:r>
          </w:p>
        </w:tc>
        <w:tc>
          <w:tcPr>
            <w:tcW w:w="2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FY2014</w:t>
            </w:r>
            <w:r w:rsidRPr="00564F86">
              <w:rPr>
                <w:b/>
                <w:bCs/>
                <w:color w:val="000000"/>
              </w:rPr>
              <w:br/>
              <w:t>Response Rate</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FY2015</w:t>
            </w:r>
            <w:r w:rsidRPr="00564F86">
              <w:rPr>
                <w:b/>
                <w:bCs/>
                <w:color w:val="000000"/>
              </w:rPr>
              <w:br/>
              <w:t>Response Rate</w:t>
            </w:r>
          </w:p>
        </w:tc>
      </w:tr>
      <w:tr w:rsidR="00564F86" w:rsidRPr="00564F86" w:rsidTr="00564F86">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r>
      <w:tr w:rsidR="00564F86" w:rsidRPr="00564F86" w:rsidTr="00564F86">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16,000</w:t>
            </w:r>
          </w:p>
        </w:tc>
        <w:tc>
          <w:tcPr>
            <w:tcW w:w="16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30%</w:t>
            </w:r>
          </w:p>
        </w:tc>
        <w:tc>
          <w:tcPr>
            <w:tcW w:w="1840" w:type="dxa"/>
            <w:tcBorders>
              <w:top w:val="nil"/>
              <w:left w:val="nil"/>
              <w:bottom w:val="single" w:sz="8" w:space="0" w:color="auto"/>
              <w:right w:val="single" w:sz="8" w:space="0" w:color="auto"/>
            </w:tcBorders>
            <w:shd w:val="clear" w:color="auto" w:fill="auto"/>
            <w:vAlign w:val="center"/>
            <w:hideMark/>
          </w:tcPr>
          <w:p w:rsidR="00564F86" w:rsidRPr="00564F86" w:rsidRDefault="00311CB1" w:rsidP="00564F86">
            <w:pPr>
              <w:jc w:val="center"/>
              <w:rPr>
                <w:color w:val="000000"/>
              </w:rPr>
            </w:pPr>
            <w:r>
              <w:rPr>
                <w:color w:val="000000"/>
              </w:rPr>
              <w:t>4,800</w:t>
            </w:r>
          </w:p>
        </w:tc>
        <w:tc>
          <w:tcPr>
            <w:tcW w:w="20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6.23%</w:t>
            </w:r>
          </w:p>
        </w:tc>
        <w:tc>
          <w:tcPr>
            <w:tcW w:w="178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4.91%</w:t>
            </w:r>
          </w:p>
        </w:tc>
      </w:tr>
    </w:tbl>
    <w:p w:rsidR="00564F86" w:rsidRDefault="00564F86" w:rsidP="00845282">
      <w:pPr>
        <w:rPr>
          <w:sz w:val="24"/>
        </w:rPr>
      </w:pPr>
    </w:p>
    <w:p w:rsidR="00564F86" w:rsidRPr="00AD40C3" w:rsidRDefault="00564F86" w:rsidP="00845282">
      <w:pPr>
        <w:rPr>
          <w:sz w:val="24"/>
        </w:rPr>
      </w:pPr>
    </w:p>
    <w:p w:rsidR="006E043C" w:rsidRPr="00AD40C3" w:rsidRDefault="006E043C" w:rsidP="004C12B1">
      <w:pPr>
        <w:rPr>
          <w:sz w:val="24"/>
          <w:u w:val="single"/>
        </w:rPr>
      </w:pPr>
    </w:p>
    <w:p w:rsidR="006E043C" w:rsidRPr="00AD40C3" w:rsidRDefault="006E043C" w:rsidP="004C12B1">
      <w:pPr>
        <w:rPr>
          <w:sz w:val="24"/>
          <w:u w:val="single"/>
        </w:rPr>
      </w:pPr>
      <w:r w:rsidRPr="00AD40C3">
        <w:rPr>
          <w:sz w:val="24"/>
          <w:u w:val="single"/>
        </w:rPr>
        <w:br w:type="page"/>
      </w:r>
      <w:r w:rsidRPr="00AD40C3">
        <w:rPr>
          <w:sz w:val="24"/>
          <w:u w:val="single"/>
        </w:rPr>
        <w:lastRenderedPageBreak/>
        <w:t>6) Education Servicing</w:t>
      </w:r>
    </w:p>
    <w:p w:rsidR="006E043C" w:rsidRPr="00AD40C3" w:rsidRDefault="006E043C" w:rsidP="00E45789">
      <w:pPr>
        <w:rPr>
          <w:sz w:val="24"/>
          <w:szCs w:val="24"/>
        </w:rPr>
      </w:pPr>
      <w:r w:rsidRPr="00AD40C3">
        <w:rPr>
          <w:sz w:val="24"/>
          <w:szCs w:val="24"/>
        </w:rPr>
        <w:t xml:space="preserve">The targeted population for the Education Servicing </w:t>
      </w:r>
      <w:r w:rsidR="00627CEF">
        <w:rPr>
          <w:sz w:val="24"/>
          <w:szCs w:val="24"/>
        </w:rPr>
        <w:t>continuous</w:t>
      </w:r>
      <w:r w:rsidR="00627CEF" w:rsidRPr="00AD40C3">
        <w:rPr>
          <w:sz w:val="24"/>
          <w:szCs w:val="24"/>
        </w:rPr>
        <w:t xml:space="preserve"> study</w:t>
      </w:r>
      <w:r w:rsidRPr="00AD40C3">
        <w:rPr>
          <w:sz w:val="24"/>
          <w:szCs w:val="24"/>
        </w:rPr>
        <w:t xml:space="preserve"> will include beneficiaries who </w:t>
      </w:r>
      <w:r w:rsidR="00BE544C">
        <w:rPr>
          <w:sz w:val="24"/>
          <w:szCs w:val="24"/>
        </w:rPr>
        <w:t xml:space="preserve">are currently receiving benefits. For Chapter 33, </w:t>
      </w:r>
      <w:r w:rsidRPr="00AD40C3">
        <w:rPr>
          <w:sz w:val="24"/>
          <w:szCs w:val="24"/>
        </w:rPr>
        <w:t xml:space="preserve">at least 2 </w:t>
      </w:r>
      <w:r w:rsidR="004F58D2">
        <w:rPr>
          <w:sz w:val="24"/>
          <w:szCs w:val="24"/>
        </w:rPr>
        <w:t>payments have been issued for “tuition” in t</w:t>
      </w:r>
      <w:r w:rsidR="00BE544C">
        <w:rPr>
          <w:sz w:val="24"/>
          <w:szCs w:val="24"/>
        </w:rPr>
        <w:t>he past 9 months. For</w:t>
      </w:r>
      <w:r w:rsidR="004F58D2">
        <w:rPr>
          <w:sz w:val="24"/>
          <w:szCs w:val="24"/>
        </w:rPr>
        <w:t xml:space="preserve"> Chapter 30, Chapter 1606, and Chapter 1607</w:t>
      </w:r>
      <w:r w:rsidR="00BE544C">
        <w:rPr>
          <w:sz w:val="24"/>
          <w:szCs w:val="24"/>
        </w:rPr>
        <w:t xml:space="preserve">, </w:t>
      </w:r>
      <w:r w:rsidR="004F58D2">
        <w:rPr>
          <w:sz w:val="24"/>
          <w:szCs w:val="24"/>
        </w:rPr>
        <w:t xml:space="preserve">claimants that have received 5 monthly payments out of the past 9 months. </w:t>
      </w:r>
    </w:p>
    <w:p w:rsidR="006E043C" w:rsidRPr="00AD40C3" w:rsidRDefault="006E043C" w:rsidP="00845282">
      <w:pPr>
        <w:rPr>
          <w:sz w:val="24"/>
        </w:rPr>
      </w:pPr>
    </w:p>
    <w:tbl>
      <w:tblPr>
        <w:tblW w:w="8220" w:type="dxa"/>
        <w:tblInd w:w="93" w:type="dxa"/>
        <w:tblLook w:val="04A0" w:firstRow="1" w:lastRow="0" w:firstColumn="1" w:lastColumn="0" w:noHBand="0" w:noVBand="1"/>
      </w:tblPr>
      <w:tblGrid>
        <w:gridCol w:w="1094"/>
        <w:gridCol w:w="1593"/>
        <w:gridCol w:w="1810"/>
        <w:gridCol w:w="1976"/>
        <w:gridCol w:w="1747"/>
      </w:tblGrid>
      <w:tr w:rsidR="00564F86" w:rsidRPr="00564F86" w:rsidTr="00564F86">
        <w:trPr>
          <w:cantSplit/>
          <w:trHeight w:val="990"/>
        </w:trPr>
        <w:tc>
          <w:tcPr>
            <w:tcW w:w="8220" w:type="dxa"/>
            <w:gridSpan w:val="5"/>
            <w:tcBorders>
              <w:top w:val="single" w:sz="8" w:space="0" w:color="auto"/>
              <w:left w:val="single" w:sz="8" w:space="0" w:color="auto"/>
              <w:bottom w:val="nil"/>
              <w:right w:val="single" w:sz="8" w:space="0" w:color="000000"/>
            </w:tcBorders>
            <w:shd w:val="clear" w:color="000000" w:fill="D9D9D9"/>
            <w:vAlign w:val="center"/>
            <w:hideMark/>
          </w:tcPr>
          <w:p w:rsidR="00564F86" w:rsidRPr="00564F86" w:rsidRDefault="00564F86" w:rsidP="00564F86">
            <w:pPr>
              <w:jc w:val="center"/>
              <w:rPr>
                <w:b/>
                <w:bCs/>
                <w:color w:val="000000"/>
              </w:rPr>
            </w:pPr>
            <w:r w:rsidRPr="00564F86">
              <w:rPr>
                <w:b/>
                <w:bCs/>
                <w:color w:val="000000"/>
              </w:rPr>
              <w:t xml:space="preserve">TABLE 6: </w:t>
            </w:r>
            <w:r w:rsidRPr="00564F86">
              <w:rPr>
                <w:b/>
                <w:bCs/>
                <w:color w:val="000000"/>
              </w:rPr>
              <w:br/>
              <w:t xml:space="preserve">EXPECTED RESPONSE RATE, COMPLETED SURVEYS EXPECTED, </w:t>
            </w:r>
            <w:r w:rsidRPr="00564F86">
              <w:rPr>
                <w:b/>
                <w:bCs/>
                <w:color w:val="000000"/>
              </w:rPr>
              <w:br/>
              <w:t>AND SURVEY YIELD</w:t>
            </w:r>
          </w:p>
        </w:tc>
      </w:tr>
      <w:tr w:rsidR="00564F86" w:rsidRPr="00564F86" w:rsidTr="00564F86">
        <w:trPr>
          <w:cantSplit/>
          <w:trHeight w:val="51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Number of Claimants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Expected Response Rate</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Completed Surveys Expected</w:t>
            </w:r>
          </w:p>
        </w:tc>
        <w:tc>
          <w:tcPr>
            <w:tcW w:w="2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FY2014</w:t>
            </w:r>
            <w:r w:rsidRPr="00564F86">
              <w:rPr>
                <w:b/>
                <w:bCs/>
                <w:color w:val="000000"/>
              </w:rPr>
              <w:br/>
              <w:t>Response Rate</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FY2015</w:t>
            </w:r>
            <w:r w:rsidRPr="00564F86">
              <w:rPr>
                <w:b/>
                <w:bCs/>
                <w:color w:val="000000"/>
              </w:rPr>
              <w:br/>
              <w:t>Response Rate</w:t>
            </w:r>
          </w:p>
        </w:tc>
      </w:tr>
      <w:tr w:rsidR="00564F86" w:rsidRPr="00564F86" w:rsidTr="00564F86">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r>
      <w:tr w:rsidR="00564F86" w:rsidRPr="00564F86" w:rsidTr="00564F86">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10,000</w:t>
            </w:r>
          </w:p>
        </w:tc>
        <w:tc>
          <w:tcPr>
            <w:tcW w:w="16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30%</w:t>
            </w:r>
          </w:p>
        </w:tc>
        <w:tc>
          <w:tcPr>
            <w:tcW w:w="1840" w:type="dxa"/>
            <w:tcBorders>
              <w:top w:val="nil"/>
              <w:left w:val="nil"/>
              <w:bottom w:val="single" w:sz="8" w:space="0" w:color="auto"/>
              <w:right w:val="single" w:sz="8" w:space="0" w:color="auto"/>
            </w:tcBorders>
            <w:shd w:val="clear" w:color="auto" w:fill="auto"/>
            <w:vAlign w:val="center"/>
            <w:hideMark/>
          </w:tcPr>
          <w:p w:rsidR="00564F86" w:rsidRPr="00564F86" w:rsidRDefault="00311CB1" w:rsidP="00564F86">
            <w:pPr>
              <w:jc w:val="center"/>
              <w:rPr>
                <w:color w:val="000000"/>
              </w:rPr>
            </w:pPr>
            <w:r>
              <w:rPr>
                <w:color w:val="000000"/>
              </w:rPr>
              <w:t>3,000</w:t>
            </w:r>
          </w:p>
        </w:tc>
        <w:tc>
          <w:tcPr>
            <w:tcW w:w="20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8.48%</w:t>
            </w:r>
          </w:p>
        </w:tc>
        <w:tc>
          <w:tcPr>
            <w:tcW w:w="178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5.86%</w:t>
            </w:r>
          </w:p>
        </w:tc>
      </w:tr>
    </w:tbl>
    <w:p w:rsidR="006E043C" w:rsidRPr="00AD40C3" w:rsidRDefault="006E043C">
      <w:pPr>
        <w:rPr>
          <w:sz w:val="24"/>
          <w:szCs w:val="24"/>
        </w:rPr>
      </w:pPr>
    </w:p>
    <w:p w:rsidR="006E043C" w:rsidRPr="00AD40C3" w:rsidRDefault="006E043C">
      <w:pPr>
        <w:rPr>
          <w:sz w:val="24"/>
          <w:u w:val="single"/>
        </w:rPr>
      </w:pPr>
      <w:r w:rsidRPr="00AD40C3">
        <w:rPr>
          <w:sz w:val="24"/>
          <w:u w:val="single"/>
        </w:rPr>
        <w:t xml:space="preserve">7) Loan Guaranty </w:t>
      </w:r>
      <w:r w:rsidR="009D5AB4">
        <w:rPr>
          <w:sz w:val="24"/>
          <w:u w:val="single"/>
        </w:rPr>
        <w:t>Access</w:t>
      </w:r>
    </w:p>
    <w:p w:rsidR="006E043C" w:rsidRPr="00AD40C3" w:rsidRDefault="006E043C" w:rsidP="00E45789">
      <w:pPr>
        <w:rPr>
          <w:sz w:val="24"/>
          <w:szCs w:val="24"/>
        </w:rPr>
      </w:pPr>
      <w:r w:rsidRPr="00AD40C3">
        <w:rPr>
          <w:sz w:val="24"/>
          <w:szCs w:val="24"/>
        </w:rPr>
        <w:t xml:space="preserve">The targeted population for the Loan Guaranty </w:t>
      </w:r>
      <w:r w:rsidR="009D5AB4">
        <w:rPr>
          <w:sz w:val="24"/>
          <w:szCs w:val="24"/>
        </w:rPr>
        <w:t>Access</w:t>
      </w:r>
      <w:r w:rsidR="009D5AB4" w:rsidRPr="00AD40C3">
        <w:rPr>
          <w:sz w:val="24"/>
          <w:szCs w:val="24"/>
        </w:rPr>
        <w:t xml:space="preserve"> </w:t>
      </w:r>
      <w:r w:rsidR="00627CEF">
        <w:rPr>
          <w:sz w:val="24"/>
          <w:szCs w:val="24"/>
        </w:rPr>
        <w:t xml:space="preserve">continuous </w:t>
      </w:r>
      <w:r w:rsidRPr="00AD40C3">
        <w:rPr>
          <w:sz w:val="24"/>
          <w:szCs w:val="24"/>
        </w:rPr>
        <w:t xml:space="preserve">study will include individuals who closed a VA home loan in </w:t>
      </w:r>
      <w:proofErr w:type="gramStart"/>
      <w:r w:rsidRPr="00AD40C3">
        <w:rPr>
          <w:sz w:val="24"/>
          <w:szCs w:val="24"/>
        </w:rPr>
        <w:t xml:space="preserve">the </w:t>
      </w:r>
      <w:r w:rsidR="001670AC">
        <w:rPr>
          <w:sz w:val="24"/>
          <w:szCs w:val="24"/>
        </w:rPr>
        <w:t xml:space="preserve"> </w:t>
      </w:r>
      <w:r w:rsidR="00BE544C">
        <w:rPr>
          <w:sz w:val="24"/>
          <w:szCs w:val="24"/>
        </w:rPr>
        <w:t>90</w:t>
      </w:r>
      <w:proofErr w:type="gramEnd"/>
      <w:r w:rsidR="00BE544C">
        <w:rPr>
          <w:sz w:val="24"/>
          <w:szCs w:val="24"/>
        </w:rPr>
        <w:t xml:space="preserve"> </w:t>
      </w:r>
      <w:r w:rsidRPr="00AD40C3">
        <w:rPr>
          <w:sz w:val="24"/>
          <w:szCs w:val="24"/>
        </w:rPr>
        <w:t xml:space="preserve">days prior to the fielding period. The sample will be stratified as follows:  (1) those </w:t>
      </w:r>
      <w:proofErr w:type="gramStart"/>
      <w:r w:rsidRPr="00AD40C3">
        <w:rPr>
          <w:sz w:val="24"/>
          <w:szCs w:val="24"/>
        </w:rPr>
        <w:t>who</w:t>
      </w:r>
      <w:proofErr w:type="gramEnd"/>
      <w:r w:rsidRPr="00AD40C3">
        <w:rPr>
          <w:sz w:val="24"/>
          <w:szCs w:val="24"/>
        </w:rPr>
        <w:t xml:space="preserve"> closed on purchase loans, (2) those who received loans for interest rate reductions, and (3) those who obtained cash out or other refinancing.</w:t>
      </w:r>
    </w:p>
    <w:p w:rsidR="006E043C" w:rsidRDefault="006E043C" w:rsidP="00845282">
      <w:pPr>
        <w:rPr>
          <w:sz w:val="24"/>
        </w:rPr>
      </w:pPr>
    </w:p>
    <w:tbl>
      <w:tblPr>
        <w:tblW w:w="8220" w:type="dxa"/>
        <w:tblInd w:w="93" w:type="dxa"/>
        <w:tblLook w:val="04A0" w:firstRow="1" w:lastRow="0" w:firstColumn="1" w:lastColumn="0" w:noHBand="0" w:noVBand="1"/>
      </w:tblPr>
      <w:tblGrid>
        <w:gridCol w:w="1094"/>
        <w:gridCol w:w="1593"/>
        <w:gridCol w:w="1810"/>
        <w:gridCol w:w="1976"/>
        <w:gridCol w:w="1747"/>
      </w:tblGrid>
      <w:tr w:rsidR="00564F86" w:rsidRPr="00564F86" w:rsidTr="00564F86">
        <w:trPr>
          <w:cantSplit/>
          <w:trHeight w:val="990"/>
        </w:trPr>
        <w:tc>
          <w:tcPr>
            <w:tcW w:w="8220" w:type="dxa"/>
            <w:gridSpan w:val="5"/>
            <w:tcBorders>
              <w:top w:val="single" w:sz="8" w:space="0" w:color="auto"/>
              <w:left w:val="single" w:sz="8" w:space="0" w:color="auto"/>
              <w:bottom w:val="nil"/>
              <w:right w:val="single" w:sz="8" w:space="0" w:color="000000"/>
            </w:tcBorders>
            <w:shd w:val="clear" w:color="000000" w:fill="D9D9D9"/>
            <w:vAlign w:val="center"/>
            <w:hideMark/>
          </w:tcPr>
          <w:p w:rsidR="00564F86" w:rsidRPr="00564F86" w:rsidRDefault="00564F86" w:rsidP="00564F86">
            <w:pPr>
              <w:jc w:val="center"/>
              <w:rPr>
                <w:b/>
                <w:bCs/>
                <w:color w:val="000000"/>
              </w:rPr>
            </w:pPr>
            <w:r w:rsidRPr="00564F86">
              <w:rPr>
                <w:b/>
                <w:bCs/>
                <w:color w:val="000000"/>
              </w:rPr>
              <w:t xml:space="preserve">TABLE 7: </w:t>
            </w:r>
            <w:r w:rsidRPr="00564F86">
              <w:rPr>
                <w:b/>
                <w:bCs/>
                <w:color w:val="000000"/>
              </w:rPr>
              <w:br/>
              <w:t xml:space="preserve">EXPECTED RESPONSE RATE, COMPLETED SURVEYS EXPECTED, </w:t>
            </w:r>
            <w:r w:rsidRPr="00564F86">
              <w:rPr>
                <w:b/>
                <w:bCs/>
                <w:color w:val="000000"/>
              </w:rPr>
              <w:br/>
              <w:t>AND SURVEY YIELD</w:t>
            </w:r>
          </w:p>
        </w:tc>
      </w:tr>
      <w:tr w:rsidR="00564F86" w:rsidRPr="00564F86" w:rsidTr="00564F86">
        <w:trPr>
          <w:cantSplit/>
          <w:trHeight w:val="51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Number of Claimants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Expected Response Rate</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Completed Surveys Expected</w:t>
            </w:r>
          </w:p>
        </w:tc>
        <w:tc>
          <w:tcPr>
            <w:tcW w:w="2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FY2014</w:t>
            </w:r>
            <w:r w:rsidRPr="00564F86">
              <w:rPr>
                <w:b/>
                <w:bCs/>
                <w:color w:val="000000"/>
              </w:rPr>
              <w:br/>
              <w:t>Response Rate</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FY2015</w:t>
            </w:r>
            <w:r w:rsidRPr="00564F86">
              <w:rPr>
                <w:b/>
                <w:bCs/>
                <w:color w:val="000000"/>
              </w:rPr>
              <w:br/>
              <w:t>Response Rate</w:t>
            </w:r>
          </w:p>
        </w:tc>
      </w:tr>
      <w:tr w:rsidR="00564F86" w:rsidRPr="00564F86" w:rsidTr="00564F86">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r>
      <w:tr w:rsidR="00564F86" w:rsidRPr="00564F86" w:rsidTr="00564F86">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40,000</w:t>
            </w:r>
          </w:p>
        </w:tc>
        <w:tc>
          <w:tcPr>
            <w:tcW w:w="16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30%</w:t>
            </w:r>
          </w:p>
        </w:tc>
        <w:tc>
          <w:tcPr>
            <w:tcW w:w="1840" w:type="dxa"/>
            <w:tcBorders>
              <w:top w:val="nil"/>
              <w:left w:val="nil"/>
              <w:bottom w:val="single" w:sz="8" w:space="0" w:color="auto"/>
              <w:right w:val="single" w:sz="8" w:space="0" w:color="auto"/>
            </w:tcBorders>
            <w:shd w:val="clear" w:color="auto" w:fill="auto"/>
            <w:vAlign w:val="center"/>
            <w:hideMark/>
          </w:tcPr>
          <w:p w:rsidR="00564F86" w:rsidRPr="00564F86" w:rsidRDefault="00311CB1" w:rsidP="00564F86">
            <w:pPr>
              <w:jc w:val="center"/>
              <w:rPr>
                <w:color w:val="000000"/>
              </w:rPr>
            </w:pPr>
            <w:r>
              <w:rPr>
                <w:color w:val="000000"/>
              </w:rPr>
              <w:t>12,000</w:t>
            </w:r>
          </w:p>
        </w:tc>
        <w:tc>
          <w:tcPr>
            <w:tcW w:w="20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6.46%</w:t>
            </w:r>
          </w:p>
        </w:tc>
        <w:tc>
          <w:tcPr>
            <w:tcW w:w="178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9.69%</w:t>
            </w:r>
          </w:p>
        </w:tc>
      </w:tr>
    </w:tbl>
    <w:p w:rsidR="006E043C" w:rsidRPr="00AD40C3" w:rsidRDefault="006E043C" w:rsidP="00845282">
      <w:pPr>
        <w:rPr>
          <w:sz w:val="24"/>
          <w:u w:val="single"/>
        </w:rPr>
      </w:pPr>
    </w:p>
    <w:p w:rsidR="006E043C" w:rsidRPr="00AD40C3" w:rsidRDefault="006E043C" w:rsidP="00845282">
      <w:pPr>
        <w:rPr>
          <w:sz w:val="24"/>
          <w:u w:val="single"/>
        </w:rPr>
      </w:pPr>
      <w:r w:rsidRPr="00AD40C3">
        <w:rPr>
          <w:sz w:val="24"/>
          <w:u w:val="single"/>
        </w:rPr>
        <w:t>8) Specially Adapted Housing Servicing</w:t>
      </w:r>
    </w:p>
    <w:p w:rsidR="006E043C" w:rsidRPr="00AD40C3" w:rsidRDefault="006E043C" w:rsidP="00E45789">
      <w:pPr>
        <w:rPr>
          <w:sz w:val="24"/>
          <w:u w:val="single"/>
        </w:rPr>
      </w:pPr>
      <w:r w:rsidRPr="00AD40C3">
        <w:rPr>
          <w:sz w:val="24"/>
          <w:szCs w:val="24"/>
        </w:rPr>
        <w:t xml:space="preserve">The targeted population for the Specially Adapted Housing Servicing </w:t>
      </w:r>
      <w:r w:rsidR="00627CEF">
        <w:rPr>
          <w:sz w:val="24"/>
          <w:szCs w:val="24"/>
        </w:rPr>
        <w:t>continuous</w:t>
      </w:r>
      <w:r w:rsidR="00627CEF" w:rsidRPr="00AD40C3">
        <w:rPr>
          <w:sz w:val="24"/>
          <w:szCs w:val="24"/>
        </w:rPr>
        <w:t xml:space="preserve"> study</w:t>
      </w:r>
      <w:r w:rsidRPr="00AD40C3">
        <w:rPr>
          <w:sz w:val="24"/>
          <w:szCs w:val="24"/>
        </w:rPr>
        <w:t xml:space="preserve"> will include individuals who are eligible for a specially adapted housing grant and in the past 12 months have:  (1) received an approval on their grant and are currently somewhere in post-approval, (2) have had all their funds dispersed and final accounting is not yet complete, and (3) have had all of their funds dispersed and final accounting is complete.</w:t>
      </w:r>
      <w:r w:rsidR="00EE7EBC">
        <w:rPr>
          <w:sz w:val="24"/>
          <w:szCs w:val="24"/>
        </w:rPr>
        <w:t xml:space="preserve"> This survey was not </w:t>
      </w:r>
      <w:bookmarkStart w:id="0" w:name="_GoBack"/>
      <w:bookmarkEnd w:id="0"/>
      <w:r w:rsidR="00EE7EBC">
        <w:rPr>
          <w:sz w:val="24"/>
          <w:szCs w:val="24"/>
        </w:rPr>
        <w:t xml:space="preserve">fielding during FY15 due to changes to the benefit program. </w:t>
      </w:r>
    </w:p>
    <w:p w:rsidR="006E043C" w:rsidRDefault="006E043C" w:rsidP="00845282">
      <w:pPr>
        <w:rPr>
          <w:sz w:val="24"/>
          <w:szCs w:val="24"/>
        </w:rPr>
      </w:pPr>
    </w:p>
    <w:tbl>
      <w:tblPr>
        <w:tblW w:w="8220" w:type="dxa"/>
        <w:tblInd w:w="93" w:type="dxa"/>
        <w:tblLook w:val="04A0" w:firstRow="1" w:lastRow="0" w:firstColumn="1" w:lastColumn="0" w:noHBand="0" w:noVBand="1"/>
      </w:tblPr>
      <w:tblGrid>
        <w:gridCol w:w="1094"/>
        <w:gridCol w:w="1593"/>
        <w:gridCol w:w="1810"/>
        <w:gridCol w:w="1976"/>
        <w:gridCol w:w="1747"/>
      </w:tblGrid>
      <w:tr w:rsidR="00564F86" w:rsidRPr="00564F86" w:rsidTr="00564F86">
        <w:trPr>
          <w:cantSplit/>
          <w:trHeight w:val="990"/>
        </w:trPr>
        <w:tc>
          <w:tcPr>
            <w:tcW w:w="8220" w:type="dxa"/>
            <w:gridSpan w:val="5"/>
            <w:tcBorders>
              <w:top w:val="single" w:sz="8" w:space="0" w:color="auto"/>
              <w:left w:val="single" w:sz="8" w:space="0" w:color="auto"/>
              <w:bottom w:val="nil"/>
              <w:right w:val="single" w:sz="8" w:space="0" w:color="000000"/>
            </w:tcBorders>
            <w:shd w:val="clear" w:color="000000" w:fill="D9D9D9"/>
            <w:vAlign w:val="center"/>
            <w:hideMark/>
          </w:tcPr>
          <w:p w:rsidR="00564F86" w:rsidRPr="00564F86" w:rsidRDefault="00564F86" w:rsidP="00564F86">
            <w:pPr>
              <w:jc w:val="center"/>
              <w:rPr>
                <w:b/>
                <w:bCs/>
                <w:color w:val="000000"/>
              </w:rPr>
            </w:pPr>
            <w:r w:rsidRPr="00564F86">
              <w:rPr>
                <w:b/>
                <w:bCs/>
                <w:color w:val="000000"/>
              </w:rPr>
              <w:t xml:space="preserve">TABLE 8: </w:t>
            </w:r>
            <w:r w:rsidRPr="00564F86">
              <w:rPr>
                <w:b/>
                <w:bCs/>
                <w:color w:val="000000"/>
              </w:rPr>
              <w:br/>
              <w:t xml:space="preserve">EXPECTED RESPONSE RATE, COMPLETED SURVEYS EXPECTED, </w:t>
            </w:r>
            <w:r w:rsidRPr="00564F86">
              <w:rPr>
                <w:b/>
                <w:bCs/>
                <w:color w:val="000000"/>
              </w:rPr>
              <w:br/>
              <w:t>AND SURVEY YIELD</w:t>
            </w:r>
          </w:p>
        </w:tc>
      </w:tr>
      <w:tr w:rsidR="00564F86" w:rsidRPr="00564F86" w:rsidTr="00564F86">
        <w:trPr>
          <w:cantSplit/>
          <w:trHeight w:val="51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Number of Claimants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Expected Response Rate</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Completed Surveys Expected</w:t>
            </w:r>
          </w:p>
        </w:tc>
        <w:tc>
          <w:tcPr>
            <w:tcW w:w="2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FY2014</w:t>
            </w:r>
            <w:r w:rsidRPr="00564F86">
              <w:rPr>
                <w:b/>
                <w:bCs/>
                <w:color w:val="000000"/>
              </w:rPr>
              <w:br/>
              <w:t>Response Rate</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4F86" w:rsidRPr="00564F86" w:rsidRDefault="00564F86" w:rsidP="00564F86">
            <w:pPr>
              <w:jc w:val="center"/>
              <w:rPr>
                <w:b/>
                <w:bCs/>
                <w:color w:val="000000"/>
              </w:rPr>
            </w:pPr>
            <w:r w:rsidRPr="00564F86">
              <w:rPr>
                <w:b/>
                <w:bCs/>
                <w:color w:val="000000"/>
              </w:rPr>
              <w:t>FY2015</w:t>
            </w:r>
            <w:r w:rsidRPr="00564F86">
              <w:rPr>
                <w:b/>
                <w:bCs/>
                <w:color w:val="000000"/>
              </w:rPr>
              <w:br/>
              <w:t>Response Rate</w:t>
            </w:r>
          </w:p>
        </w:tc>
      </w:tr>
      <w:tr w:rsidR="00564F86" w:rsidRPr="00564F86" w:rsidTr="00564F86">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564F86" w:rsidRPr="00564F86" w:rsidRDefault="00564F86" w:rsidP="00564F86">
            <w:pPr>
              <w:rPr>
                <w:b/>
                <w:bCs/>
                <w:color w:val="000000"/>
              </w:rPr>
            </w:pPr>
          </w:p>
        </w:tc>
      </w:tr>
      <w:tr w:rsidR="00564F86" w:rsidRPr="00564F86" w:rsidTr="00564F86">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5,000</w:t>
            </w:r>
          </w:p>
        </w:tc>
        <w:tc>
          <w:tcPr>
            <w:tcW w:w="16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30%</w:t>
            </w:r>
          </w:p>
        </w:tc>
        <w:tc>
          <w:tcPr>
            <w:tcW w:w="1840" w:type="dxa"/>
            <w:tcBorders>
              <w:top w:val="nil"/>
              <w:left w:val="nil"/>
              <w:bottom w:val="single" w:sz="8" w:space="0" w:color="auto"/>
              <w:right w:val="single" w:sz="8" w:space="0" w:color="auto"/>
            </w:tcBorders>
            <w:shd w:val="clear" w:color="auto" w:fill="auto"/>
            <w:vAlign w:val="center"/>
            <w:hideMark/>
          </w:tcPr>
          <w:p w:rsidR="00564F86" w:rsidRPr="00564F86" w:rsidRDefault="00311CB1" w:rsidP="00564F86">
            <w:pPr>
              <w:jc w:val="center"/>
              <w:rPr>
                <w:color w:val="000000"/>
              </w:rPr>
            </w:pPr>
            <w:r>
              <w:rPr>
                <w:color w:val="000000"/>
              </w:rPr>
              <w:t>1,500</w:t>
            </w:r>
          </w:p>
        </w:tc>
        <w:tc>
          <w:tcPr>
            <w:tcW w:w="202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8.06%</w:t>
            </w:r>
          </w:p>
        </w:tc>
        <w:tc>
          <w:tcPr>
            <w:tcW w:w="1780" w:type="dxa"/>
            <w:tcBorders>
              <w:top w:val="nil"/>
              <w:left w:val="nil"/>
              <w:bottom w:val="single" w:sz="8" w:space="0" w:color="auto"/>
              <w:right w:val="single" w:sz="8" w:space="0" w:color="auto"/>
            </w:tcBorders>
            <w:shd w:val="clear" w:color="auto" w:fill="auto"/>
            <w:vAlign w:val="center"/>
            <w:hideMark/>
          </w:tcPr>
          <w:p w:rsidR="00564F86" w:rsidRPr="00564F86" w:rsidRDefault="00564F86" w:rsidP="00564F86">
            <w:pPr>
              <w:jc w:val="center"/>
              <w:rPr>
                <w:color w:val="000000"/>
              </w:rPr>
            </w:pPr>
            <w:r w:rsidRPr="00564F86">
              <w:rPr>
                <w:color w:val="000000"/>
              </w:rPr>
              <w:t>-</w:t>
            </w:r>
          </w:p>
        </w:tc>
      </w:tr>
    </w:tbl>
    <w:p w:rsidR="006E043C" w:rsidRPr="00AD40C3" w:rsidRDefault="006E043C" w:rsidP="004C12B1">
      <w:pPr>
        <w:rPr>
          <w:sz w:val="24"/>
          <w:u w:val="single"/>
        </w:rPr>
      </w:pPr>
      <w:r w:rsidRPr="00AD40C3">
        <w:rPr>
          <w:sz w:val="24"/>
          <w:u w:val="single"/>
        </w:rPr>
        <w:br w:type="page"/>
      </w:r>
      <w:r w:rsidRPr="00AD40C3">
        <w:rPr>
          <w:sz w:val="24"/>
          <w:u w:val="single"/>
        </w:rPr>
        <w:lastRenderedPageBreak/>
        <w:t xml:space="preserve">9) Vocational Rehabilitation and Employment </w:t>
      </w:r>
      <w:r w:rsidR="009D5AB4">
        <w:rPr>
          <w:sz w:val="24"/>
          <w:u w:val="single"/>
        </w:rPr>
        <w:t>Access</w:t>
      </w:r>
    </w:p>
    <w:p w:rsidR="006E043C" w:rsidRPr="00AD40C3" w:rsidRDefault="006E043C" w:rsidP="00E45789">
      <w:pPr>
        <w:rPr>
          <w:sz w:val="24"/>
          <w:szCs w:val="24"/>
        </w:rPr>
      </w:pPr>
      <w:r w:rsidRPr="00AD40C3">
        <w:rPr>
          <w:sz w:val="24"/>
          <w:szCs w:val="24"/>
        </w:rPr>
        <w:t>The targeted population for the Vocational Rehabilitation and Employment (VR&amp;E)</w:t>
      </w:r>
      <w:r w:rsidR="009D5AB4">
        <w:rPr>
          <w:sz w:val="24"/>
          <w:szCs w:val="24"/>
        </w:rPr>
        <w:t xml:space="preserve">Access </w:t>
      </w:r>
      <w:r w:rsidR="00627CEF">
        <w:rPr>
          <w:sz w:val="24"/>
          <w:szCs w:val="24"/>
        </w:rPr>
        <w:t>continuous</w:t>
      </w:r>
      <w:r w:rsidR="00627CEF" w:rsidRPr="00AD40C3">
        <w:rPr>
          <w:sz w:val="24"/>
          <w:szCs w:val="24"/>
        </w:rPr>
        <w:t xml:space="preserve"> study</w:t>
      </w:r>
      <w:r w:rsidRPr="00AD40C3">
        <w:rPr>
          <w:sz w:val="24"/>
          <w:szCs w:val="24"/>
        </w:rPr>
        <w:t xml:space="preserve"> will include individuals who </w:t>
      </w:r>
      <w:r w:rsidR="009B4E5F">
        <w:rPr>
          <w:sz w:val="24"/>
          <w:szCs w:val="24"/>
        </w:rPr>
        <w:t xml:space="preserve">applied within </w:t>
      </w:r>
      <w:r w:rsidR="00160D04">
        <w:rPr>
          <w:sz w:val="24"/>
          <w:szCs w:val="24"/>
        </w:rPr>
        <w:t xml:space="preserve">the last 12 months, entered Evaluation and Planning and </w:t>
      </w:r>
      <w:r w:rsidR="009D7D75">
        <w:rPr>
          <w:sz w:val="24"/>
          <w:szCs w:val="24"/>
        </w:rPr>
        <w:t xml:space="preserve">(1) </w:t>
      </w:r>
      <w:r w:rsidR="00160D04">
        <w:rPr>
          <w:sz w:val="24"/>
          <w:szCs w:val="24"/>
        </w:rPr>
        <w:t>entered any of the following case statuses: Extended Eval</w:t>
      </w:r>
      <w:r w:rsidR="00F0602D">
        <w:rPr>
          <w:sz w:val="24"/>
          <w:szCs w:val="24"/>
        </w:rPr>
        <w:t>uation</w:t>
      </w:r>
      <w:r w:rsidR="00160D04">
        <w:rPr>
          <w:sz w:val="24"/>
          <w:szCs w:val="24"/>
        </w:rPr>
        <w:t>, IL, RTE,</w:t>
      </w:r>
      <w:r w:rsidR="009D7D75">
        <w:rPr>
          <w:sz w:val="24"/>
          <w:szCs w:val="24"/>
        </w:rPr>
        <w:t xml:space="preserve"> or JRS (e</w:t>
      </w:r>
      <w:r w:rsidR="00160D04">
        <w:rPr>
          <w:sz w:val="24"/>
          <w:szCs w:val="24"/>
        </w:rPr>
        <w:t>xcludes re</w:t>
      </w:r>
      <w:r w:rsidR="009D7D75">
        <w:rPr>
          <w:sz w:val="24"/>
          <w:szCs w:val="24"/>
        </w:rPr>
        <w:t>-</w:t>
      </w:r>
      <w:r w:rsidR="00160D04">
        <w:rPr>
          <w:sz w:val="24"/>
          <w:szCs w:val="24"/>
        </w:rPr>
        <w:t>applicants</w:t>
      </w:r>
      <w:r w:rsidR="009D7D75">
        <w:rPr>
          <w:sz w:val="24"/>
          <w:szCs w:val="24"/>
        </w:rPr>
        <w:t xml:space="preserve">), (2) were found not entitled. </w:t>
      </w:r>
      <w:r w:rsidR="00160D04">
        <w:rPr>
          <w:sz w:val="24"/>
          <w:szCs w:val="24"/>
        </w:rPr>
        <w:t xml:space="preserve"> </w:t>
      </w:r>
    </w:p>
    <w:p w:rsidR="006E043C" w:rsidRDefault="006E043C" w:rsidP="00845282">
      <w:pPr>
        <w:rPr>
          <w:sz w:val="24"/>
        </w:rPr>
      </w:pPr>
    </w:p>
    <w:tbl>
      <w:tblPr>
        <w:tblW w:w="8220" w:type="dxa"/>
        <w:tblInd w:w="93" w:type="dxa"/>
        <w:tblLook w:val="04A0" w:firstRow="1" w:lastRow="0" w:firstColumn="1" w:lastColumn="0" w:noHBand="0" w:noVBand="1"/>
      </w:tblPr>
      <w:tblGrid>
        <w:gridCol w:w="1094"/>
        <w:gridCol w:w="1593"/>
        <w:gridCol w:w="1810"/>
        <w:gridCol w:w="1976"/>
        <w:gridCol w:w="1747"/>
      </w:tblGrid>
      <w:tr w:rsidR="00E0653B" w:rsidRPr="00E0653B" w:rsidTr="00E0653B">
        <w:trPr>
          <w:cantSplit/>
          <w:trHeight w:val="990"/>
        </w:trPr>
        <w:tc>
          <w:tcPr>
            <w:tcW w:w="8220" w:type="dxa"/>
            <w:gridSpan w:val="5"/>
            <w:tcBorders>
              <w:top w:val="single" w:sz="8" w:space="0" w:color="auto"/>
              <w:left w:val="single" w:sz="8" w:space="0" w:color="auto"/>
              <w:bottom w:val="nil"/>
              <w:right w:val="single" w:sz="8" w:space="0" w:color="000000"/>
            </w:tcBorders>
            <w:shd w:val="clear" w:color="000000" w:fill="D9D9D9"/>
            <w:vAlign w:val="center"/>
            <w:hideMark/>
          </w:tcPr>
          <w:p w:rsidR="00E0653B" w:rsidRPr="00E0653B" w:rsidRDefault="00E0653B" w:rsidP="00E0653B">
            <w:pPr>
              <w:jc w:val="center"/>
              <w:rPr>
                <w:b/>
                <w:bCs/>
                <w:color w:val="000000"/>
              </w:rPr>
            </w:pPr>
            <w:r w:rsidRPr="00E0653B">
              <w:rPr>
                <w:b/>
                <w:bCs/>
                <w:color w:val="000000"/>
              </w:rPr>
              <w:t xml:space="preserve">TABLE 9: </w:t>
            </w:r>
            <w:r w:rsidRPr="00E0653B">
              <w:rPr>
                <w:b/>
                <w:bCs/>
                <w:color w:val="000000"/>
              </w:rPr>
              <w:br/>
              <w:t xml:space="preserve">EXPECTED RESPONSE RATE, COMPLETED SURVEYS EXPECTED, </w:t>
            </w:r>
            <w:r w:rsidRPr="00E0653B">
              <w:rPr>
                <w:b/>
                <w:bCs/>
                <w:color w:val="000000"/>
              </w:rPr>
              <w:br/>
              <w:t>AND SURVEY YIELD</w:t>
            </w:r>
          </w:p>
        </w:tc>
      </w:tr>
      <w:tr w:rsidR="00E0653B" w:rsidRPr="00E0653B" w:rsidTr="00E0653B">
        <w:trPr>
          <w:cantSplit/>
          <w:trHeight w:val="51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53B" w:rsidRPr="00E0653B" w:rsidRDefault="00E0653B" w:rsidP="00E0653B">
            <w:pPr>
              <w:jc w:val="center"/>
              <w:rPr>
                <w:b/>
                <w:bCs/>
                <w:color w:val="000000"/>
              </w:rPr>
            </w:pPr>
            <w:r w:rsidRPr="00E0653B">
              <w:rPr>
                <w:b/>
                <w:bCs/>
                <w:color w:val="000000"/>
              </w:rPr>
              <w:t>Number of Claimants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53B" w:rsidRPr="00E0653B" w:rsidRDefault="00E0653B" w:rsidP="00E0653B">
            <w:pPr>
              <w:jc w:val="center"/>
              <w:rPr>
                <w:b/>
                <w:bCs/>
                <w:color w:val="000000"/>
              </w:rPr>
            </w:pPr>
            <w:r w:rsidRPr="00E0653B">
              <w:rPr>
                <w:b/>
                <w:bCs/>
                <w:color w:val="000000"/>
              </w:rPr>
              <w:t>Expected Response Rate</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53B" w:rsidRPr="00E0653B" w:rsidRDefault="00E0653B" w:rsidP="00E0653B">
            <w:pPr>
              <w:jc w:val="center"/>
              <w:rPr>
                <w:b/>
                <w:bCs/>
                <w:color w:val="000000"/>
              </w:rPr>
            </w:pPr>
            <w:r w:rsidRPr="00E0653B">
              <w:rPr>
                <w:b/>
                <w:bCs/>
                <w:color w:val="000000"/>
              </w:rPr>
              <w:t>Completed Surveys Expected</w:t>
            </w:r>
          </w:p>
        </w:tc>
        <w:tc>
          <w:tcPr>
            <w:tcW w:w="2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53B" w:rsidRPr="00E0653B" w:rsidRDefault="00E0653B" w:rsidP="00E0653B">
            <w:pPr>
              <w:jc w:val="center"/>
              <w:rPr>
                <w:b/>
                <w:bCs/>
                <w:color w:val="000000"/>
              </w:rPr>
            </w:pPr>
            <w:r w:rsidRPr="00E0653B">
              <w:rPr>
                <w:b/>
                <w:bCs/>
                <w:color w:val="000000"/>
              </w:rPr>
              <w:t>FY2014</w:t>
            </w:r>
            <w:r w:rsidRPr="00E0653B">
              <w:rPr>
                <w:b/>
                <w:bCs/>
                <w:color w:val="000000"/>
              </w:rPr>
              <w:br/>
              <w:t>Response Rate</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53B" w:rsidRPr="00E0653B" w:rsidRDefault="00E0653B" w:rsidP="00E0653B">
            <w:pPr>
              <w:jc w:val="center"/>
              <w:rPr>
                <w:b/>
                <w:bCs/>
                <w:color w:val="000000"/>
              </w:rPr>
            </w:pPr>
            <w:r w:rsidRPr="00E0653B">
              <w:rPr>
                <w:b/>
                <w:bCs/>
                <w:color w:val="000000"/>
              </w:rPr>
              <w:t>FY2015</w:t>
            </w:r>
            <w:r w:rsidRPr="00E0653B">
              <w:rPr>
                <w:b/>
                <w:bCs/>
                <w:color w:val="000000"/>
              </w:rPr>
              <w:br/>
              <w:t>Response Rate</w:t>
            </w:r>
          </w:p>
        </w:tc>
      </w:tr>
      <w:tr w:rsidR="00E0653B" w:rsidRPr="00E0653B" w:rsidTr="00E0653B">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E0653B" w:rsidRPr="00E0653B" w:rsidRDefault="00E0653B" w:rsidP="00E0653B">
            <w:pPr>
              <w:rPr>
                <w:b/>
                <w:bCs/>
                <w:color w:val="00000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E0653B" w:rsidRPr="00E0653B" w:rsidRDefault="00E0653B" w:rsidP="00E0653B">
            <w:pPr>
              <w:rPr>
                <w:b/>
                <w:bCs/>
                <w:color w:val="000000"/>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E0653B" w:rsidRPr="00E0653B" w:rsidRDefault="00E0653B" w:rsidP="00E0653B">
            <w:pPr>
              <w:rPr>
                <w:b/>
                <w:bCs/>
                <w:color w:val="000000"/>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rsidR="00E0653B" w:rsidRPr="00E0653B" w:rsidRDefault="00E0653B" w:rsidP="00E0653B">
            <w:pPr>
              <w:rPr>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E0653B" w:rsidRPr="00E0653B" w:rsidRDefault="00E0653B" w:rsidP="00E0653B">
            <w:pPr>
              <w:rPr>
                <w:b/>
                <w:bCs/>
                <w:color w:val="000000"/>
              </w:rPr>
            </w:pPr>
          </w:p>
        </w:tc>
      </w:tr>
      <w:tr w:rsidR="00E0653B" w:rsidRPr="00E0653B" w:rsidTr="00E0653B">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0653B" w:rsidRPr="00E0653B" w:rsidRDefault="00E0653B" w:rsidP="00E0653B">
            <w:pPr>
              <w:jc w:val="center"/>
              <w:rPr>
                <w:color w:val="000000"/>
              </w:rPr>
            </w:pPr>
            <w:r w:rsidRPr="00E0653B">
              <w:rPr>
                <w:color w:val="000000"/>
              </w:rPr>
              <w:t>14,000</w:t>
            </w:r>
          </w:p>
        </w:tc>
        <w:tc>
          <w:tcPr>
            <w:tcW w:w="1620" w:type="dxa"/>
            <w:tcBorders>
              <w:top w:val="nil"/>
              <w:left w:val="nil"/>
              <w:bottom w:val="single" w:sz="8" w:space="0" w:color="auto"/>
              <w:right w:val="single" w:sz="8" w:space="0" w:color="auto"/>
            </w:tcBorders>
            <w:shd w:val="clear" w:color="auto" w:fill="auto"/>
            <w:vAlign w:val="center"/>
            <w:hideMark/>
          </w:tcPr>
          <w:p w:rsidR="00E0653B" w:rsidRPr="00E0653B" w:rsidRDefault="00E0653B" w:rsidP="00E0653B">
            <w:pPr>
              <w:jc w:val="center"/>
              <w:rPr>
                <w:color w:val="000000"/>
              </w:rPr>
            </w:pPr>
            <w:r w:rsidRPr="00E0653B">
              <w:rPr>
                <w:color w:val="000000"/>
              </w:rPr>
              <w:t>30%</w:t>
            </w:r>
          </w:p>
        </w:tc>
        <w:tc>
          <w:tcPr>
            <w:tcW w:w="1840" w:type="dxa"/>
            <w:tcBorders>
              <w:top w:val="nil"/>
              <w:left w:val="nil"/>
              <w:bottom w:val="single" w:sz="8" w:space="0" w:color="auto"/>
              <w:right w:val="single" w:sz="8" w:space="0" w:color="auto"/>
            </w:tcBorders>
            <w:shd w:val="clear" w:color="auto" w:fill="auto"/>
            <w:vAlign w:val="center"/>
            <w:hideMark/>
          </w:tcPr>
          <w:p w:rsidR="00E0653B" w:rsidRPr="00E0653B" w:rsidRDefault="00311CB1" w:rsidP="00E0653B">
            <w:pPr>
              <w:jc w:val="center"/>
              <w:rPr>
                <w:color w:val="000000"/>
              </w:rPr>
            </w:pPr>
            <w:r>
              <w:rPr>
                <w:color w:val="000000"/>
              </w:rPr>
              <w:t>4,200</w:t>
            </w:r>
          </w:p>
        </w:tc>
        <w:tc>
          <w:tcPr>
            <w:tcW w:w="2020" w:type="dxa"/>
            <w:tcBorders>
              <w:top w:val="nil"/>
              <w:left w:val="nil"/>
              <w:bottom w:val="single" w:sz="8" w:space="0" w:color="auto"/>
              <w:right w:val="single" w:sz="8" w:space="0" w:color="auto"/>
            </w:tcBorders>
            <w:shd w:val="clear" w:color="auto" w:fill="auto"/>
            <w:vAlign w:val="center"/>
            <w:hideMark/>
          </w:tcPr>
          <w:p w:rsidR="00E0653B" w:rsidRPr="00E0653B" w:rsidRDefault="00E0653B" w:rsidP="00E0653B">
            <w:pPr>
              <w:jc w:val="center"/>
              <w:rPr>
                <w:color w:val="000000"/>
              </w:rPr>
            </w:pPr>
            <w:r w:rsidRPr="00E0653B">
              <w:rPr>
                <w:color w:val="000000"/>
              </w:rPr>
              <w:t>11.89%</w:t>
            </w:r>
          </w:p>
        </w:tc>
        <w:tc>
          <w:tcPr>
            <w:tcW w:w="1780" w:type="dxa"/>
            <w:tcBorders>
              <w:top w:val="nil"/>
              <w:left w:val="nil"/>
              <w:bottom w:val="single" w:sz="8" w:space="0" w:color="auto"/>
              <w:right w:val="single" w:sz="8" w:space="0" w:color="auto"/>
            </w:tcBorders>
            <w:shd w:val="clear" w:color="auto" w:fill="auto"/>
            <w:vAlign w:val="center"/>
            <w:hideMark/>
          </w:tcPr>
          <w:p w:rsidR="00E0653B" w:rsidRPr="00E0653B" w:rsidRDefault="00E0653B" w:rsidP="00E0653B">
            <w:pPr>
              <w:jc w:val="center"/>
              <w:rPr>
                <w:color w:val="000000"/>
              </w:rPr>
            </w:pPr>
            <w:r w:rsidRPr="00E0653B">
              <w:rPr>
                <w:color w:val="000000"/>
              </w:rPr>
              <w:t>9.62%</w:t>
            </w:r>
          </w:p>
        </w:tc>
      </w:tr>
    </w:tbl>
    <w:p w:rsidR="00E0653B" w:rsidRPr="00AD40C3" w:rsidRDefault="00E0653B" w:rsidP="00845282">
      <w:pPr>
        <w:rPr>
          <w:sz w:val="24"/>
        </w:rPr>
      </w:pPr>
    </w:p>
    <w:p w:rsidR="006E043C" w:rsidRPr="00AD40C3" w:rsidRDefault="006E043C" w:rsidP="006D4385">
      <w:pPr>
        <w:rPr>
          <w:sz w:val="24"/>
          <w:u w:val="single"/>
        </w:rPr>
      </w:pPr>
      <w:r w:rsidRPr="00AD40C3">
        <w:rPr>
          <w:sz w:val="24"/>
          <w:u w:val="single"/>
        </w:rPr>
        <w:t>10) Vocational Rehabilitation and Employment Servicing</w:t>
      </w:r>
    </w:p>
    <w:p w:rsidR="006E043C" w:rsidRDefault="006E043C" w:rsidP="004C12B1">
      <w:pPr>
        <w:rPr>
          <w:sz w:val="24"/>
          <w:szCs w:val="24"/>
        </w:rPr>
      </w:pPr>
      <w:r w:rsidRPr="00AD40C3">
        <w:rPr>
          <w:sz w:val="24"/>
          <w:szCs w:val="24"/>
        </w:rPr>
        <w:t xml:space="preserve">The targeted population for the VR&amp;E Servicing </w:t>
      </w:r>
      <w:r w:rsidR="00627CEF">
        <w:rPr>
          <w:sz w:val="24"/>
          <w:szCs w:val="24"/>
        </w:rPr>
        <w:t xml:space="preserve">continuous </w:t>
      </w:r>
      <w:r w:rsidRPr="00AD40C3">
        <w:rPr>
          <w:sz w:val="24"/>
          <w:szCs w:val="24"/>
        </w:rPr>
        <w:t>study will include individuals who</w:t>
      </w:r>
      <w:r w:rsidR="009D7D75">
        <w:rPr>
          <w:sz w:val="24"/>
          <w:szCs w:val="24"/>
        </w:rPr>
        <w:t xml:space="preserve"> in the last 30 days were in a plan of services for more than 60 days and all rehabs and MRGs during that time (excludes interrupted)</w:t>
      </w:r>
      <w:r w:rsidRPr="00AD40C3">
        <w:rPr>
          <w:sz w:val="24"/>
          <w:szCs w:val="24"/>
        </w:rPr>
        <w:t xml:space="preserve">. </w:t>
      </w:r>
    </w:p>
    <w:p w:rsidR="00BA1188" w:rsidRDefault="00BA1188" w:rsidP="004C12B1">
      <w:pPr>
        <w:rPr>
          <w:sz w:val="24"/>
          <w:szCs w:val="24"/>
        </w:rPr>
      </w:pPr>
    </w:p>
    <w:tbl>
      <w:tblPr>
        <w:tblW w:w="8220" w:type="dxa"/>
        <w:tblInd w:w="93" w:type="dxa"/>
        <w:tblLook w:val="04A0" w:firstRow="1" w:lastRow="0" w:firstColumn="1" w:lastColumn="0" w:noHBand="0" w:noVBand="1"/>
      </w:tblPr>
      <w:tblGrid>
        <w:gridCol w:w="1094"/>
        <w:gridCol w:w="1593"/>
        <w:gridCol w:w="1810"/>
        <w:gridCol w:w="1976"/>
        <w:gridCol w:w="1747"/>
      </w:tblGrid>
      <w:tr w:rsidR="00E0653B" w:rsidRPr="00E0653B" w:rsidTr="00E0653B">
        <w:trPr>
          <w:cantSplit/>
          <w:trHeight w:val="990"/>
        </w:trPr>
        <w:tc>
          <w:tcPr>
            <w:tcW w:w="8220" w:type="dxa"/>
            <w:gridSpan w:val="5"/>
            <w:tcBorders>
              <w:top w:val="single" w:sz="8" w:space="0" w:color="auto"/>
              <w:left w:val="single" w:sz="8" w:space="0" w:color="auto"/>
              <w:bottom w:val="nil"/>
              <w:right w:val="single" w:sz="8" w:space="0" w:color="000000"/>
            </w:tcBorders>
            <w:shd w:val="clear" w:color="000000" w:fill="D9D9D9"/>
            <w:vAlign w:val="center"/>
            <w:hideMark/>
          </w:tcPr>
          <w:p w:rsidR="00E0653B" w:rsidRPr="00E0653B" w:rsidRDefault="00E0653B" w:rsidP="00E0653B">
            <w:pPr>
              <w:jc w:val="center"/>
              <w:rPr>
                <w:b/>
                <w:bCs/>
                <w:color w:val="000000"/>
              </w:rPr>
            </w:pPr>
            <w:r w:rsidRPr="00E0653B">
              <w:rPr>
                <w:b/>
                <w:bCs/>
                <w:color w:val="000000"/>
              </w:rPr>
              <w:t xml:space="preserve">TABLE 10: </w:t>
            </w:r>
            <w:r w:rsidRPr="00E0653B">
              <w:rPr>
                <w:b/>
                <w:bCs/>
                <w:color w:val="000000"/>
              </w:rPr>
              <w:br/>
              <w:t xml:space="preserve">EXPECTED RESPONSE RATE, COMPLETED SURVEYS EXPECTED, </w:t>
            </w:r>
            <w:r w:rsidRPr="00E0653B">
              <w:rPr>
                <w:b/>
                <w:bCs/>
                <w:color w:val="000000"/>
              </w:rPr>
              <w:br/>
              <w:t>AND SURVEY YIELD</w:t>
            </w:r>
          </w:p>
        </w:tc>
      </w:tr>
      <w:tr w:rsidR="00E0653B" w:rsidRPr="00E0653B" w:rsidTr="00E0653B">
        <w:trPr>
          <w:cantSplit/>
          <w:trHeight w:val="51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53B" w:rsidRPr="00E0653B" w:rsidRDefault="00E0653B" w:rsidP="00E0653B">
            <w:pPr>
              <w:jc w:val="center"/>
              <w:rPr>
                <w:b/>
                <w:bCs/>
                <w:color w:val="000000"/>
              </w:rPr>
            </w:pPr>
            <w:r w:rsidRPr="00E0653B">
              <w:rPr>
                <w:b/>
                <w:bCs/>
                <w:color w:val="000000"/>
              </w:rPr>
              <w:t>Number of Claimants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53B" w:rsidRPr="00E0653B" w:rsidRDefault="00E0653B" w:rsidP="00E0653B">
            <w:pPr>
              <w:jc w:val="center"/>
              <w:rPr>
                <w:b/>
                <w:bCs/>
                <w:color w:val="000000"/>
              </w:rPr>
            </w:pPr>
            <w:r w:rsidRPr="00E0653B">
              <w:rPr>
                <w:b/>
                <w:bCs/>
                <w:color w:val="000000"/>
              </w:rPr>
              <w:t>Expected Response Rate</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53B" w:rsidRPr="00E0653B" w:rsidRDefault="00E0653B" w:rsidP="00E0653B">
            <w:pPr>
              <w:jc w:val="center"/>
              <w:rPr>
                <w:b/>
                <w:bCs/>
                <w:color w:val="000000"/>
              </w:rPr>
            </w:pPr>
            <w:r w:rsidRPr="00E0653B">
              <w:rPr>
                <w:b/>
                <w:bCs/>
                <w:color w:val="000000"/>
              </w:rPr>
              <w:t>Completed Surveys Expected</w:t>
            </w:r>
          </w:p>
        </w:tc>
        <w:tc>
          <w:tcPr>
            <w:tcW w:w="2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53B" w:rsidRPr="00E0653B" w:rsidRDefault="00E0653B" w:rsidP="00E0653B">
            <w:pPr>
              <w:jc w:val="center"/>
              <w:rPr>
                <w:b/>
                <w:bCs/>
                <w:color w:val="000000"/>
              </w:rPr>
            </w:pPr>
            <w:r w:rsidRPr="00E0653B">
              <w:rPr>
                <w:b/>
                <w:bCs/>
                <w:color w:val="000000"/>
              </w:rPr>
              <w:t>FY2014</w:t>
            </w:r>
            <w:r w:rsidRPr="00E0653B">
              <w:rPr>
                <w:b/>
                <w:bCs/>
                <w:color w:val="000000"/>
              </w:rPr>
              <w:br/>
              <w:t>Response Rate</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53B" w:rsidRPr="00E0653B" w:rsidRDefault="00E0653B" w:rsidP="00E0653B">
            <w:pPr>
              <w:jc w:val="center"/>
              <w:rPr>
                <w:b/>
                <w:bCs/>
                <w:color w:val="000000"/>
              </w:rPr>
            </w:pPr>
            <w:r w:rsidRPr="00E0653B">
              <w:rPr>
                <w:b/>
                <w:bCs/>
                <w:color w:val="000000"/>
              </w:rPr>
              <w:t>FY2015</w:t>
            </w:r>
            <w:r w:rsidRPr="00E0653B">
              <w:rPr>
                <w:b/>
                <w:bCs/>
                <w:color w:val="000000"/>
              </w:rPr>
              <w:br/>
              <w:t>Response Rate</w:t>
            </w:r>
          </w:p>
        </w:tc>
      </w:tr>
      <w:tr w:rsidR="00E0653B" w:rsidRPr="00E0653B" w:rsidTr="00E0653B">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E0653B" w:rsidRPr="00E0653B" w:rsidRDefault="00E0653B" w:rsidP="00E0653B">
            <w:pPr>
              <w:rPr>
                <w:b/>
                <w:bCs/>
                <w:color w:val="00000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E0653B" w:rsidRPr="00E0653B" w:rsidRDefault="00E0653B" w:rsidP="00E0653B">
            <w:pPr>
              <w:rPr>
                <w:b/>
                <w:bCs/>
                <w:color w:val="000000"/>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E0653B" w:rsidRPr="00E0653B" w:rsidRDefault="00E0653B" w:rsidP="00E0653B">
            <w:pPr>
              <w:rPr>
                <w:b/>
                <w:bCs/>
                <w:color w:val="000000"/>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rsidR="00E0653B" w:rsidRPr="00E0653B" w:rsidRDefault="00E0653B" w:rsidP="00E0653B">
            <w:pPr>
              <w:rPr>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E0653B" w:rsidRPr="00E0653B" w:rsidRDefault="00E0653B" w:rsidP="00E0653B">
            <w:pPr>
              <w:rPr>
                <w:b/>
                <w:bCs/>
                <w:color w:val="000000"/>
              </w:rPr>
            </w:pPr>
          </w:p>
        </w:tc>
      </w:tr>
      <w:tr w:rsidR="00E0653B" w:rsidRPr="00E0653B" w:rsidTr="00E0653B">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0653B" w:rsidRPr="00E0653B" w:rsidRDefault="00E0653B" w:rsidP="00E0653B">
            <w:pPr>
              <w:jc w:val="center"/>
              <w:rPr>
                <w:color w:val="000000"/>
              </w:rPr>
            </w:pPr>
            <w:r w:rsidRPr="00E0653B">
              <w:rPr>
                <w:color w:val="000000"/>
              </w:rPr>
              <w:t>60,000</w:t>
            </w:r>
          </w:p>
        </w:tc>
        <w:tc>
          <w:tcPr>
            <w:tcW w:w="1620" w:type="dxa"/>
            <w:tcBorders>
              <w:top w:val="nil"/>
              <w:left w:val="nil"/>
              <w:bottom w:val="single" w:sz="8" w:space="0" w:color="auto"/>
              <w:right w:val="single" w:sz="8" w:space="0" w:color="auto"/>
            </w:tcBorders>
            <w:shd w:val="clear" w:color="auto" w:fill="auto"/>
            <w:vAlign w:val="center"/>
            <w:hideMark/>
          </w:tcPr>
          <w:p w:rsidR="00E0653B" w:rsidRPr="00E0653B" w:rsidRDefault="00E0653B" w:rsidP="00E0653B">
            <w:pPr>
              <w:jc w:val="center"/>
              <w:rPr>
                <w:color w:val="000000"/>
              </w:rPr>
            </w:pPr>
            <w:r w:rsidRPr="00E0653B">
              <w:rPr>
                <w:color w:val="000000"/>
              </w:rPr>
              <w:t>30%</w:t>
            </w:r>
          </w:p>
        </w:tc>
        <w:tc>
          <w:tcPr>
            <w:tcW w:w="1840" w:type="dxa"/>
            <w:tcBorders>
              <w:top w:val="nil"/>
              <w:left w:val="nil"/>
              <w:bottom w:val="single" w:sz="8" w:space="0" w:color="auto"/>
              <w:right w:val="single" w:sz="8" w:space="0" w:color="auto"/>
            </w:tcBorders>
            <w:shd w:val="clear" w:color="auto" w:fill="auto"/>
            <w:vAlign w:val="center"/>
            <w:hideMark/>
          </w:tcPr>
          <w:p w:rsidR="00E0653B" w:rsidRPr="00E0653B" w:rsidRDefault="00311CB1" w:rsidP="00E0653B">
            <w:pPr>
              <w:jc w:val="center"/>
              <w:rPr>
                <w:color w:val="000000"/>
              </w:rPr>
            </w:pPr>
            <w:r>
              <w:rPr>
                <w:color w:val="000000"/>
              </w:rPr>
              <w:t>18,000</w:t>
            </w:r>
          </w:p>
        </w:tc>
        <w:tc>
          <w:tcPr>
            <w:tcW w:w="2020" w:type="dxa"/>
            <w:tcBorders>
              <w:top w:val="nil"/>
              <w:left w:val="nil"/>
              <w:bottom w:val="single" w:sz="8" w:space="0" w:color="auto"/>
              <w:right w:val="single" w:sz="8" w:space="0" w:color="auto"/>
            </w:tcBorders>
            <w:shd w:val="clear" w:color="auto" w:fill="auto"/>
            <w:vAlign w:val="center"/>
            <w:hideMark/>
          </w:tcPr>
          <w:p w:rsidR="00E0653B" w:rsidRPr="00E0653B" w:rsidRDefault="00E0653B" w:rsidP="00E0653B">
            <w:pPr>
              <w:jc w:val="center"/>
              <w:rPr>
                <w:color w:val="000000"/>
              </w:rPr>
            </w:pPr>
            <w:r w:rsidRPr="00E0653B">
              <w:rPr>
                <w:color w:val="000000"/>
              </w:rPr>
              <w:t>9.35%</w:t>
            </w:r>
          </w:p>
        </w:tc>
        <w:tc>
          <w:tcPr>
            <w:tcW w:w="1780" w:type="dxa"/>
            <w:tcBorders>
              <w:top w:val="nil"/>
              <w:left w:val="nil"/>
              <w:bottom w:val="single" w:sz="8" w:space="0" w:color="auto"/>
              <w:right w:val="single" w:sz="8" w:space="0" w:color="auto"/>
            </w:tcBorders>
            <w:shd w:val="clear" w:color="auto" w:fill="auto"/>
            <w:vAlign w:val="center"/>
            <w:hideMark/>
          </w:tcPr>
          <w:p w:rsidR="00E0653B" w:rsidRPr="00E0653B" w:rsidRDefault="00E0653B" w:rsidP="00E0653B">
            <w:pPr>
              <w:jc w:val="center"/>
              <w:rPr>
                <w:color w:val="000000"/>
              </w:rPr>
            </w:pPr>
            <w:r w:rsidRPr="00E0653B">
              <w:rPr>
                <w:color w:val="000000"/>
              </w:rPr>
              <w:t>13.78%</w:t>
            </w:r>
          </w:p>
        </w:tc>
      </w:tr>
    </w:tbl>
    <w:p w:rsidR="00E0653B" w:rsidRPr="00AD40C3" w:rsidRDefault="00E0653B" w:rsidP="004C12B1">
      <w:pPr>
        <w:rPr>
          <w:sz w:val="24"/>
          <w:szCs w:val="24"/>
        </w:rPr>
      </w:pPr>
    </w:p>
    <w:p w:rsidR="006E043C" w:rsidRPr="00AD40C3" w:rsidRDefault="006E043C">
      <w:pPr>
        <w:rPr>
          <w:sz w:val="24"/>
          <w:u w:val="single"/>
        </w:rPr>
      </w:pPr>
      <w:r w:rsidRPr="00AD40C3">
        <w:rPr>
          <w:sz w:val="24"/>
          <w:u w:val="single"/>
        </w:rPr>
        <w:t>11) Vocational Rehabilitation and Employment Non-Participant Beneficiary</w:t>
      </w:r>
    </w:p>
    <w:p w:rsidR="006E043C" w:rsidRDefault="006E043C" w:rsidP="00E45789">
      <w:pPr>
        <w:rPr>
          <w:sz w:val="24"/>
          <w:szCs w:val="24"/>
        </w:rPr>
      </w:pPr>
      <w:r w:rsidRPr="00AD40C3">
        <w:rPr>
          <w:sz w:val="24"/>
          <w:szCs w:val="24"/>
        </w:rPr>
        <w:t xml:space="preserve">The targeted population for the VR&amp;E Non-Participant </w:t>
      </w:r>
      <w:r w:rsidR="00627CEF">
        <w:rPr>
          <w:sz w:val="24"/>
          <w:szCs w:val="24"/>
        </w:rPr>
        <w:t>continuous</w:t>
      </w:r>
      <w:r w:rsidR="00627CEF" w:rsidRPr="00AD40C3">
        <w:rPr>
          <w:sz w:val="24"/>
          <w:szCs w:val="24"/>
        </w:rPr>
        <w:t xml:space="preserve"> study</w:t>
      </w:r>
      <w:r w:rsidRPr="00AD40C3">
        <w:rPr>
          <w:sz w:val="24"/>
          <w:szCs w:val="24"/>
        </w:rPr>
        <w:t xml:space="preserve"> will include individuals who dropped out of the program prior to completing a rehabilitation plan. The sample will be stratified as follows: (1) applicants who never attended the initial meeting with a counselor</w:t>
      </w:r>
      <w:proofErr w:type="gramStart"/>
      <w:r w:rsidR="009D7D75">
        <w:rPr>
          <w:sz w:val="24"/>
          <w:szCs w:val="24"/>
        </w:rPr>
        <w:t xml:space="preserve">, </w:t>
      </w:r>
      <w:r w:rsidRPr="00AD40C3">
        <w:rPr>
          <w:sz w:val="24"/>
          <w:szCs w:val="24"/>
        </w:rPr>
        <w:t xml:space="preserve"> (</w:t>
      </w:r>
      <w:proofErr w:type="gramEnd"/>
      <w:r w:rsidRPr="00AD40C3">
        <w:rPr>
          <w:sz w:val="24"/>
          <w:szCs w:val="24"/>
        </w:rPr>
        <w:t xml:space="preserve">2) </w:t>
      </w:r>
      <w:r w:rsidR="009D7D75">
        <w:rPr>
          <w:sz w:val="24"/>
          <w:szCs w:val="24"/>
        </w:rPr>
        <w:t xml:space="preserve">applicants who were entitled to the program but did not pursue a plan of service, (3) </w:t>
      </w:r>
      <w:r w:rsidRPr="00AD40C3">
        <w:rPr>
          <w:sz w:val="24"/>
          <w:szCs w:val="24"/>
        </w:rPr>
        <w:t>applicants who started, but did not complete a rehabilitation plan (i.e., negative closures).</w:t>
      </w:r>
    </w:p>
    <w:p w:rsidR="00354DCD" w:rsidRDefault="00354DCD" w:rsidP="00E45789">
      <w:pPr>
        <w:rPr>
          <w:sz w:val="24"/>
          <w:szCs w:val="24"/>
        </w:rPr>
      </w:pPr>
    </w:p>
    <w:tbl>
      <w:tblPr>
        <w:tblW w:w="8220" w:type="dxa"/>
        <w:tblInd w:w="93" w:type="dxa"/>
        <w:tblLook w:val="04A0" w:firstRow="1" w:lastRow="0" w:firstColumn="1" w:lastColumn="0" w:noHBand="0" w:noVBand="1"/>
      </w:tblPr>
      <w:tblGrid>
        <w:gridCol w:w="1094"/>
        <w:gridCol w:w="1593"/>
        <w:gridCol w:w="1810"/>
        <w:gridCol w:w="1976"/>
        <w:gridCol w:w="1747"/>
      </w:tblGrid>
      <w:tr w:rsidR="00354DCD" w:rsidRPr="00354DCD" w:rsidTr="00354DCD">
        <w:trPr>
          <w:cantSplit/>
          <w:trHeight w:val="990"/>
        </w:trPr>
        <w:tc>
          <w:tcPr>
            <w:tcW w:w="8220" w:type="dxa"/>
            <w:gridSpan w:val="5"/>
            <w:tcBorders>
              <w:top w:val="single" w:sz="8" w:space="0" w:color="auto"/>
              <w:left w:val="single" w:sz="8" w:space="0" w:color="auto"/>
              <w:bottom w:val="nil"/>
              <w:right w:val="single" w:sz="8" w:space="0" w:color="000000"/>
            </w:tcBorders>
            <w:shd w:val="clear" w:color="000000" w:fill="D9D9D9"/>
            <w:vAlign w:val="center"/>
            <w:hideMark/>
          </w:tcPr>
          <w:p w:rsidR="00354DCD" w:rsidRPr="00354DCD" w:rsidRDefault="00354DCD" w:rsidP="00354DCD">
            <w:pPr>
              <w:jc w:val="center"/>
              <w:rPr>
                <w:b/>
                <w:bCs/>
                <w:color w:val="000000"/>
              </w:rPr>
            </w:pPr>
            <w:r w:rsidRPr="00354DCD">
              <w:rPr>
                <w:b/>
                <w:bCs/>
                <w:color w:val="000000"/>
              </w:rPr>
              <w:t xml:space="preserve">TABLE 11: </w:t>
            </w:r>
            <w:r w:rsidRPr="00354DCD">
              <w:rPr>
                <w:b/>
                <w:bCs/>
                <w:color w:val="000000"/>
              </w:rPr>
              <w:br/>
              <w:t xml:space="preserve">EXPECTED RESPONSE RATE, COMPLETED SURVEYS EXPECTED, </w:t>
            </w:r>
            <w:r w:rsidRPr="00354DCD">
              <w:rPr>
                <w:b/>
                <w:bCs/>
                <w:color w:val="000000"/>
              </w:rPr>
              <w:br/>
              <w:t>AND SURVEY YIELD</w:t>
            </w:r>
          </w:p>
        </w:tc>
      </w:tr>
      <w:tr w:rsidR="00354DCD" w:rsidRPr="00354DCD" w:rsidTr="00354DCD">
        <w:trPr>
          <w:cantSplit/>
          <w:trHeight w:val="51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54DCD" w:rsidRPr="00354DCD" w:rsidRDefault="00354DCD" w:rsidP="00354DCD">
            <w:pPr>
              <w:jc w:val="center"/>
              <w:rPr>
                <w:b/>
                <w:bCs/>
                <w:color w:val="000000"/>
              </w:rPr>
            </w:pPr>
            <w:r w:rsidRPr="00354DCD">
              <w:rPr>
                <w:b/>
                <w:bCs/>
                <w:color w:val="000000"/>
              </w:rPr>
              <w:t>Number of Claimants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54DCD" w:rsidRPr="00354DCD" w:rsidRDefault="00354DCD" w:rsidP="00354DCD">
            <w:pPr>
              <w:jc w:val="center"/>
              <w:rPr>
                <w:b/>
                <w:bCs/>
                <w:color w:val="000000"/>
              </w:rPr>
            </w:pPr>
            <w:r w:rsidRPr="00354DCD">
              <w:rPr>
                <w:b/>
                <w:bCs/>
                <w:color w:val="000000"/>
              </w:rPr>
              <w:t>Expected Response Rate</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54DCD" w:rsidRPr="00354DCD" w:rsidRDefault="00354DCD" w:rsidP="00354DCD">
            <w:pPr>
              <w:jc w:val="center"/>
              <w:rPr>
                <w:b/>
                <w:bCs/>
                <w:color w:val="000000"/>
              </w:rPr>
            </w:pPr>
            <w:r w:rsidRPr="00354DCD">
              <w:rPr>
                <w:b/>
                <w:bCs/>
                <w:color w:val="000000"/>
              </w:rPr>
              <w:t>Completed Surveys Expected</w:t>
            </w:r>
          </w:p>
        </w:tc>
        <w:tc>
          <w:tcPr>
            <w:tcW w:w="2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54DCD" w:rsidRPr="00354DCD" w:rsidRDefault="00354DCD" w:rsidP="00354DCD">
            <w:pPr>
              <w:jc w:val="center"/>
              <w:rPr>
                <w:b/>
                <w:bCs/>
                <w:color w:val="000000"/>
              </w:rPr>
            </w:pPr>
            <w:r w:rsidRPr="00354DCD">
              <w:rPr>
                <w:b/>
                <w:bCs/>
                <w:color w:val="000000"/>
              </w:rPr>
              <w:t>FY2014</w:t>
            </w:r>
            <w:r w:rsidRPr="00354DCD">
              <w:rPr>
                <w:b/>
                <w:bCs/>
                <w:color w:val="000000"/>
              </w:rPr>
              <w:br/>
              <w:t>Response Rate</w:t>
            </w:r>
          </w:p>
        </w:tc>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54DCD" w:rsidRPr="00354DCD" w:rsidRDefault="00354DCD" w:rsidP="00354DCD">
            <w:pPr>
              <w:jc w:val="center"/>
              <w:rPr>
                <w:b/>
                <w:bCs/>
                <w:color w:val="000000"/>
              </w:rPr>
            </w:pPr>
            <w:r w:rsidRPr="00354DCD">
              <w:rPr>
                <w:b/>
                <w:bCs/>
                <w:color w:val="000000"/>
              </w:rPr>
              <w:t>FY2015</w:t>
            </w:r>
            <w:r w:rsidRPr="00354DCD">
              <w:rPr>
                <w:b/>
                <w:bCs/>
                <w:color w:val="000000"/>
              </w:rPr>
              <w:br/>
              <w:t>Response Rate</w:t>
            </w:r>
          </w:p>
        </w:tc>
      </w:tr>
      <w:tr w:rsidR="00354DCD" w:rsidRPr="00354DCD" w:rsidTr="00354DCD">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354DCD" w:rsidRPr="00354DCD" w:rsidRDefault="00354DCD" w:rsidP="00354DCD">
            <w:pPr>
              <w:rPr>
                <w:b/>
                <w:bCs/>
                <w:color w:val="00000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354DCD" w:rsidRPr="00354DCD" w:rsidRDefault="00354DCD" w:rsidP="00354DCD">
            <w:pPr>
              <w:rPr>
                <w:b/>
                <w:bCs/>
                <w:color w:val="000000"/>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354DCD" w:rsidRPr="00354DCD" w:rsidRDefault="00354DCD" w:rsidP="00354DCD">
            <w:pPr>
              <w:rPr>
                <w:b/>
                <w:bCs/>
                <w:color w:val="000000"/>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rsidR="00354DCD" w:rsidRPr="00354DCD" w:rsidRDefault="00354DCD" w:rsidP="00354DCD">
            <w:pPr>
              <w:rPr>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354DCD" w:rsidRPr="00354DCD" w:rsidRDefault="00354DCD" w:rsidP="00354DCD">
            <w:pPr>
              <w:rPr>
                <w:b/>
                <w:bCs/>
                <w:color w:val="000000"/>
              </w:rPr>
            </w:pPr>
          </w:p>
        </w:tc>
      </w:tr>
      <w:tr w:rsidR="00354DCD" w:rsidRPr="00354DCD" w:rsidTr="00354DC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54DCD" w:rsidRPr="00354DCD" w:rsidRDefault="00354DCD" w:rsidP="00354DCD">
            <w:pPr>
              <w:jc w:val="center"/>
              <w:rPr>
                <w:color w:val="000000"/>
              </w:rPr>
            </w:pPr>
            <w:r w:rsidRPr="00354DCD">
              <w:rPr>
                <w:color w:val="000000"/>
              </w:rPr>
              <w:t>5,000</w:t>
            </w:r>
          </w:p>
        </w:tc>
        <w:tc>
          <w:tcPr>
            <w:tcW w:w="1620" w:type="dxa"/>
            <w:tcBorders>
              <w:top w:val="nil"/>
              <w:left w:val="nil"/>
              <w:bottom w:val="single" w:sz="8" w:space="0" w:color="auto"/>
              <w:right w:val="single" w:sz="8" w:space="0" w:color="auto"/>
            </w:tcBorders>
            <w:shd w:val="clear" w:color="auto" w:fill="auto"/>
            <w:vAlign w:val="center"/>
            <w:hideMark/>
          </w:tcPr>
          <w:p w:rsidR="00354DCD" w:rsidRPr="00354DCD" w:rsidRDefault="00354DCD" w:rsidP="00354DCD">
            <w:pPr>
              <w:jc w:val="center"/>
              <w:rPr>
                <w:color w:val="000000"/>
              </w:rPr>
            </w:pPr>
            <w:r w:rsidRPr="00354DCD">
              <w:rPr>
                <w:color w:val="000000"/>
              </w:rPr>
              <w:t>30%</w:t>
            </w:r>
          </w:p>
        </w:tc>
        <w:tc>
          <w:tcPr>
            <w:tcW w:w="1840" w:type="dxa"/>
            <w:tcBorders>
              <w:top w:val="nil"/>
              <w:left w:val="nil"/>
              <w:bottom w:val="single" w:sz="8" w:space="0" w:color="auto"/>
              <w:right w:val="single" w:sz="8" w:space="0" w:color="auto"/>
            </w:tcBorders>
            <w:shd w:val="clear" w:color="auto" w:fill="auto"/>
            <w:vAlign w:val="center"/>
            <w:hideMark/>
          </w:tcPr>
          <w:p w:rsidR="00354DCD" w:rsidRPr="00354DCD" w:rsidRDefault="00311CB1" w:rsidP="00354DCD">
            <w:pPr>
              <w:jc w:val="center"/>
              <w:rPr>
                <w:color w:val="000000"/>
              </w:rPr>
            </w:pPr>
            <w:r>
              <w:rPr>
                <w:color w:val="000000"/>
              </w:rPr>
              <w:t>1,500</w:t>
            </w:r>
          </w:p>
        </w:tc>
        <w:tc>
          <w:tcPr>
            <w:tcW w:w="2020" w:type="dxa"/>
            <w:tcBorders>
              <w:top w:val="nil"/>
              <w:left w:val="nil"/>
              <w:bottom w:val="single" w:sz="8" w:space="0" w:color="auto"/>
              <w:right w:val="single" w:sz="8" w:space="0" w:color="auto"/>
            </w:tcBorders>
            <w:shd w:val="clear" w:color="auto" w:fill="auto"/>
            <w:vAlign w:val="center"/>
            <w:hideMark/>
          </w:tcPr>
          <w:p w:rsidR="00354DCD" w:rsidRPr="00354DCD" w:rsidRDefault="00354DCD" w:rsidP="00354DCD">
            <w:pPr>
              <w:jc w:val="center"/>
              <w:rPr>
                <w:color w:val="000000"/>
              </w:rPr>
            </w:pPr>
            <w:r w:rsidRPr="00354DCD">
              <w:rPr>
                <w:color w:val="000000"/>
              </w:rPr>
              <w:t>5.76%</w:t>
            </w:r>
          </w:p>
        </w:tc>
        <w:tc>
          <w:tcPr>
            <w:tcW w:w="1780" w:type="dxa"/>
            <w:tcBorders>
              <w:top w:val="nil"/>
              <w:left w:val="nil"/>
              <w:bottom w:val="single" w:sz="8" w:space="0" w:color="auto"/>
              <w:right w:val="single" w:sz="8" w:space="0" w:color="auto"/>
            </w:tcBorders>
            <w:shd w:val="clear" w:color="auto" w:fill="auto"/>
            <w:vAlign w:val="center"/>
            <w:hideMark/>
          </w:tcPr>
          <w:p w:rsidR="00354DCD" w:rsidRPr="00354DCD" w:rsidRDefault="00354DCD" w:rsidP="00354DCD">
            <w:pPr>
              <w:jc w:val="center"/>
              <w:rPr>
                <w:color w:val="000000"/>
              </w:rPr>
            </w:pPr>
            <w:r w:rsidRPr="00354DCD">
              <w:rPr>
                <w:color w:val="000000"/>
              </w:rPr>
              <w:t>5.60%</w:t>
            </w:r>
          </w:p>
        </w:tc>
      </w:tr>
    </w:tbl>
    <w:p w:rsidR="00354DCD" w:rsidRPr="00AD40C3" w:rsidRDefault="00354DCD" w:rsidP="00E45789">
      <w:pPr>
        <w:rPr>
          <w:sz w:val="24"/>
          <w:szCs w:val="24"/>
        </w:rPr>
      </w:pPr>
    </w:p>
    <w:p w:rsidR="00B04035" w:rsidRDefault="00B04035">
      <w:pPr>
        <w:rPr>
          <w:b/>
          <w:sz w:val="24"/>
          <w:szCs w:val="24"/>
        </w:rPr>
      </w:pPr>
    </w:p>
    <w:p w:rsidR="006E043C" w:rsidRPr="00AD40C3" w:rsidRDefault="006E043C">
      <w:pPr>
        <w:rPr>
          <w:b/>
          <w:sz w:val="24"/>
          <w:szCs w:val="24"/>
        </w:rPr>
      </w:pPr>
      <w:r w:rsidRPr="00AD40C3">
        <w:rPr>
          <w:b/>
          <w:sz w:val="24"/>
          <w:szCs w:val="24"/>
        </w:rPr>
        <w:lastRenderedPageBreak/>
        <w:t>2.  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rsidR="006E043C" w:rsidRPr="00AD40C3" w:rsidRDefault="006E043C"/>
    <w:p w:rsidR="006E043C" w:rsidRPr="00AD40C3" w:rsidRDefault="006E043C">
      <w:pPr>
        <w:rPr>
          <w:i/>
          <w:sz w:val="24"/>
          <w:szCs w:val="24"/>
          <w:u w:val="single"/>
        </w:rPr>
      </w:pPr>
      <w:r w:rsidRPr="00AD40C3">
        <w:rPr>
          <w:i/>
          <w:sz w:val="24"/>
          <w:szCs w:val="24"/>
          <w:u w:val="single"/>
        </w:rPr>
        <w:t xml:space="preserve">Please note that all volumes outlined below for each program line are per 12-month period. </w:t>
      </w:r>
    </w:p>
    <w:p w:rsidR="006E043C" w:rsidRPr="00AD40C3" w:rsidRDefault="006E043C">
      <w:pPr>
        <w:rPr>
          <w:sz w:val="24"/>
          <w:szCs w:val="24"/>
        </w:rPr>
      </w:pPr>
    </w:p>
    <w:p w:rsidR="006E043C" w:rsidRPr="00AD40C3" w:rsidRDefault="006E043C">
      <w:pPr>
        <w:rPr>
          <w:sz w:val="24"/>
          <w:szCs w:val="24"/>
        </w:rPr>
      </w:pPr>
      <w:r w:rsidRPr="00AD40C3">
        <w:rPr>
          <w:sz w:val="24"/>
          <w:szCs w:val="24"/>
        </w:rPr>
        <w:t>The Voice of the Veteran Compensation and Pension surveys will entail stratified random sampling of 240,000 Veterans for each of the four population segments outlined in Section 1. V</w:t>
      </w:r>
      <w:r w:rsidR="00E0792C">
        <w:rPr>
          <w:sz w:val="24"/>
          <w:szCs w:val="24"/>
        </w:rPr>
        <w:t>B</w:t>
      </w:r>
      <w:r w:rsidRPr="00AD40C3">
        <w:rPr>
          <w:sz w:val="24"/>
          <w:szCs w:val="24"/>
        </w:rPr>
        <w:t>A is using a 95% confidence interval for categorical variables for all surveys.  There are no unusual procedures that will be required to draw a representative sample meeting these criteria.</w:t>
      </w:r>
    </w:p>
    <w:p w:rsidR="006E043C" w:rsidRPr="00AD40C3" w:rsidRDefault="006E043C">
      <w:pPr>
        <w:rPr>
          <w:sz w:val="24"/>
          <w:szCs w:val="24"/>
        </w:rPr>
      </w:pPr>
    </w:p>
    <w:p w:rsidR="006E043C" w:rsidRPr="00AD40C3" w:rsidRDefault="006E043C">
      <w:pPr>
        <w:rPr>
          <w:sz w:val="24"/>
          <w:szCs w:val="24"/>
        </w:rPr>
      </w:pPr>
      <w:r w:rsidRPr="00AD40C3">
        <w:rPr>
          <w:sz w:val="24"/>
          <w:szCs w:val="24"/>
        </w:rPr>
        <w:t>The Voice of the Veteran Education surveys will entail stratified random sampling of 26,000 Veterans for the each of the population segments outlined in Section 1. V</w:t>
      </w:r>
      <w:r w:rsidR="00E0792C">
        <w:rPr>
          <w:sz w:val="24"/>
          <w:szCs w:val="24"/>
        </w:rPr>
        <w:t>B</w:t>
      </w:r>
      <w:r w:rsidRPr="00AD40C3">
        <w:rPr>
          <w:sz w:val="24"/>
          <w:szCs w:val="24"/>
        </w:rPr>
        <w:t>A is using a 95% confidence interval for categorical variables for all surveys.  There are no unusual procedures that will be required to draw a representative sample meeting these criteria.</w:t>
      </w:r>
    </w:p>
    <w:p w:rsidR="006E043C" w:rsidRPr="00AD40C3" w:rsidRDefault="006E043C">
      <w:pPr>
        <w:rPr>
          <w:sz w:val="24"/>
          <w:szCs w:val="24"/>
        </w:rPr>
      </w:pPr>
    </w:p>
    <w:p w:rsidR="006E043C" w:rsidRPr="00AD40C3" w:rsidRDefault="006E043C">
      <w:pPr>
        <w:rPr>
          <w:sz w:val="24"/>
          <w:szCs w:val="24"/>
        </w:rPr>
      </w:pPr>
      <w:r w:rsidRPr="00AD40C3">
        <w:rPr>
          <w:sz w:val="24"/>
          <w:szCs w:val="24"/>
        </w:rPr>
        <w:t>The Voice of the Veteran Loan Guaranty</w:t>
      </w:r>
      <w:r w:rsidR="00BA1188">
        <w:rPr>
          <w:sz w:val="24"/>
          <w:szCs w:val="24"/>
        </w:rPr>
        <w:t xml:space="preserve"> </w:t>
      </w:r>
      <w:r w:rsidRPr="00AD40C3">
        <w:rPr>
          <w:sz w:val="24"/>
          <w:szCs w:val="24"/>
        </w:rPr>
        <w:t>survey will entail stratified random sampling of 40,000 Veterans and the Specially Adapted Housing Servicing survey will entail stratified random sampling of 5,000 Veterans for the population segment outlined in Section 1. V</w:t>
      </w:r>
      <w:r w:rsidR="00E0792C">
        <w:rPr>
          <w:sz w:val="24"/>
          <w:szCs w:val="24"/>
        </w:rPr>
        <w:t>B</w:t>
      </w:r>
      <w:r w:rsidRPr="00AD40C3">
        <w:rPr>
          <w:sz w:val="24"/>
          <w:szCs w:val="24"/>
        </w:rPr>
        <w:t>A is using a 95% confidence interval for categorical variables for all surveys.  There are no unusual procedures that will be required to draw a representative sample meeting these criteria.</w:t>
      </w:r>
    </w:p>
    <w:p w:rsidR="006E043C" w:rsidRPr="00AD40C3" w:rsidRDefault="006E043C">
      <w:pPr>
        <w:rPr>
          <w:sz w:val="24"/>
          <w:szCs w:val="24"/>
        </w:rPr>
      </w:pPr>
    </w:p>
    <w:p w:rsidR="006E043C" w:rsidRPr="00AD40C3" w:rsidRDefault="006E043C">
      <w:pPr>
        <w:rPr>
          <w:sz w:val="24"/>
          <w:szCs w:val="24"/>
        </w:rPr>
      </w:pPr>
      <w:r w:rsidRPr="00AD40C3">
        <w:rPr>
          <w:sz w:val="24"/>
          <w:szCs w:val="24"/>
        </w:rPr>
        <w:t xml:space="preserve">The Voice of the Veteran Vocational Rehabilitation and Employment </w:t>
      </w:r>
      <w:r w:rsidR="009D5AB4">
        <w:rPr>
          <w:sz w:val="24"/>
          <w:szCs w:val="24"/>
        </w:rPr>
        <w:t>Access</w:t>
      </w:r>
      <w:r w:rsidR="009D5AB4" w:rsidRPr="00AD40C3">
        <w:rPr>
          <w:sz w:val="24"/>
          <w:szCs w:val="24"/>
        </w:rPr>
        <w:t xml:space="preserve"> </w:t>
      </w:r>
      <w:r w:rsidRPr="00AD40C3">
        <w:rPr>
          <w:sz w:val="24"/>
          <w:szCs w:val="24"/>
        </w:rPr>
        <w:t xml:space="preserve">and Servicing surveys will entail stratified random sampling of </w:t>
      </w:r>
      <w:r w:rsidR="00F56471">
        <w:rPr>
          <w:sz w:val="24"/>
          <w:szCs w:val="24"/>
        </w:rPr>
        <w:t>74,000</w:t>
      </w:r>
      <w:r w:rsidRPr="00AD40C3">
        <w:rPr>
          <w:sz w:val="24"/>
          <w:szCs w:val="24"/>
        </w:rPr>
        <w:t xml:space="preserve"> Veterans for the population segment</w:t>
      </w:r>
      <w:r w:rsidR="00E0792C">
        <w:rPr>
          <w:sz w:val="24"/>
          <w:szCs w:val="24"/>
        </w:rPr>
        <w:t>s</w:t>
      </w:r>
      <w:r w:rsidRPr="00AD40C3">
        <w:rPr>
          <w:sz w:val="24"/>
          <w:szCs w:val="24"/>
        </w:rPr>
        <w:t xml:space="preserve"> outlined in Section 1. The Voice of the Veteran Vocational Rehabilitation and Employment </w:t>
      </w:r>
      <w:r w:rsidR="00F56471">
        <w:rPr>
          <w:sz w:val="24"/>
          <w:szCs w:val="24"/>
        </w:rPr>
        <w:t>Non-Participant</w:t>
      </w:r>
      <w:r w:rsidRPr="00AD40C3">
        <w:rPr>
          <w:sz w:val="24"/>
          <w:szCs w:val="24"/>
        </w:rPr>
        <w:t xml:space="preserve"> survey will entail stratified random sampling of 5,000 Veterans for the population segment outlined in Section 1. V</w:t>
      </w:r>
      <w:r w:rsidR="00E0792C">
        <w:rPr>
          <w:sz w:val="24"/>
          <w:szCs w:val="24"/>
        </w:rPr>
        <w:t>B</w:t>
      </w:r>
      <w:r w:rsidRPr="00AD40C3">
        <w:rPr>
          <w:sz w:val="24"/>
          <w:szCs w:val="24"/>
        </w:rPr>
        <w:t>A is using a 95% confidence interval for categorical variables for all surveys.  There are no unusual procedures that will be required to draw a representative sample meeting these criteria.</w:t>
      </w:r>
    </w:p>
    <w:p w:rsidR="006E043C" w:rsidRPr="00AD40C3" w:rsidRDefault="006E043C">
      <w:pPr>
        <w:rPr>
          <w:sz w:val="24"/>
          <w:szCs w:val="24"/>
        </w:rPr>
      </w:pPr>
    </w:p>
    <w:p w:rsidR="006E043C" w:rsidRPr="00AD40C3" w:rsidRDefault="006E043C">
      <w:pPr>
        <w:pStyle w:val="Heading2"/>
        <w:ind w:left="0" w:firstLine="0"/>
        <w:rPr>
          <w:rFonts w:ascii="Times New Roman" w:hAnsi="Times New Roman" w:cs="Times New Roman"/>
        </w:rPr>
      </w:pPr>
      <w:r w:rsidRPr="00AD40C3">
        <w:rPr>
          <w:rFonts w:ascii="Times New Roman" w:hAnsi="Times New Roman" w:cs="Times New Roman"/>
        </w:rPr>
        <w:br w:type="page"/>
      </w:r>
      <w:r w:rsidRPr="00AD40C3">
        <w:rPr>
          <w:rFonts w:ascii="Times New Roman" w:hAnsi="Times New Roman" w:cs="Times New Roman"/>
        </w:rPr>
        <w:lastRenderedPageBreak/>
        <w:t>3.  Describe methods used to maximize the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E043C" w:rsidRPr="00AD40C3" w:rsidRDefault="006E043C"/>
    <w:p w:rsidR="006E043C" w:rsidRPr="00AD40C3" w:rsidRDefault="006E043C">
      <w:pPr>
        <w:rPr>
          <w:sz w:val="24"/>
        </w:rPr>
      </w:pPr>
      <w:r w:rsidRPr="00AD40C3">
        <w:rPr>
          <w:sz w:val="24"/>
        </w:rPr>
        <w:t xml:space="preserve">VBA has obtained the services of a contractor to develop, administer, and analyze this set of surveys.   </w:t>
      </w:r>
    </w:p>
    <w:p w:rsidR="006E043C" w:rsidRPr="00AD40C3" w:rsidRDefault="006E043C">
      <w:pPr>
        <w:rPr>
          <w:sz w:val="24"/>
          <w:u w:val="single"/>
        </w:rPr>
      </w:pPr>
    </w:p>
    <w:p w:rsidR="006E043C" w:rsidRPr="00AD40C3" w:rsidRDefault="006E043C">
      <w:pPr>
        <w:rPr>
          <w:sz w:val="24"/>
          <w:u w:val="single"/>
        </w:rPr>
      </w:pPr>
      <w:r w:rsidRPr="00AD40C3">
        <w:rPr>
          <w:sz w:val="24"/>
          <w:u w:val="single"/>
        </w:rPr>
        <w:t>Strategies to Maximize Response Rates</w:t>
      </w:r>
    </w:p>
    <w:p w:rsidR="006E043C" w:rsidRPr="00AD40C3" w:rsidRDefault="006E043C">
      <w:pPr>
        <w:rPr>
          <w:sz w:val="24"/>
        </w:rPr>
      </w:pPr>
    </w:p>
    <w:p w:rsidR="006E043C" w:rsidRPr="00AD40C3" w:rsidRDefault="006E043C">
      <w:pPr>
        <w:rPr>
          <w:sz w:val="24"/>
        </w:rPr>
      </w:pPr>
      <w:r w:rsidRPr="00AD40C3">
        <w:rPr>
          <w:sz w:val="24"/>
        </w:rPr>
        <w:t>VBA</w:t>
      </w:r>
      <w:r w:rsidR="00BA1188">
        <w:rPr>
          <w:sz w:val="24"/>
        </w:rPr>
        <w:t xml:space="preserve"> </w:t>
      </w:r>
      <w:r w:rsidRPr="00AD40C3">
        <w:rPr>
          <w:sz w:val="24"/>
        </w:rPr>
        <w:t>employ</w:t>
      </w:r>
      <w:r w:rsidR="00046B5F">
        <w:rPr>
          <w:sz w:val="24"/>
        </w:rPr>
        <w:t>s</w:t>
      </w:r>
      <w:r w:rsidRPr="00AD40C3">
        <w:rPr>
          <w:sz w:val="24"/>
        </w:rPr>
        <w:t xml:space="preserve"> methods to minimize respondent burden and to maximize survey response rates.  This section identifies the strategies to be employed to reach these objectives.  Each strategy is outlined below.</w:t>
      </w:r>
    </w:p>
    <w:p w:rsidR="006E043C" w:rsidRPr="00AD40C3" w:rsidRDefault="006E043C">
      <w:pPr>
        <w:rPr>
          <w:sz w:val="24"/>
          <w:u w:val="single"/>
        </w:rPr>
      </w:pPr>
    </w:p>
    <w:p w:rsidR="006E043C" w:rsidRPr="00AD40C3" w:rsidRDefault="006E043C">
      <w:pPr>
        <w:numPr>
          <w:ilvl w:val="0"/>
          <w:numId w:val="3"/>
        </w:numPr>
        <w:rPr>
          <w:sz w:val="24"/>
          <w:u w:val="single"/>
        </w:rPr>
      </w:pPr>
      <w:r w:rsidRPr="00AD40C3">
        <w:rPr>
          <w:sz w:val="24"/>
          <w:u w:val="single"/>
        </w:rPr>
        <w:t>Strategy # 1 to Maximize Response Rates: Using Web Technologies for Ease of Response</w:t>
      </w:r>
    </w:p>
    <w:p w:rsidR="006E043C" w:rsidRPr="00AD40C3" w:rsidRDefault="006E043C">
      <w:pPr>
        <w:rPr>
          <w:sz w:val="24"/>
          <w:u w:val="single"/>
        </w:rPr>
      </w:pPr>
    </w:p>
    <w:p w:rsidR="006E043C" w:rsidRPr="00AD40C3" w:rsidRDefault="00051A30" w:rsidP="00F84DC4">
      <w:pPr>
        <w:rPr>
          <w:sz w:val="24"/>
        </w:rPr>
      </w:pPr>
      <w:r>
        <w:rPr>
          <w:sz w:val="24"/>
        </w:rPr>
        <w:t xml:space="preserve">For most of the Voice of the Veteran survey instruments, </w:t>
      </w:r>
      <w:r w:rsidR="006E043C" w:rsidRPr="00AD40C3">
        <w:rPr>
          <w:sz w:val="24"/>
        </w:rPr>
        <w:t>Veterans will have the option to complete the surveys on paper or via web-based form</w:t>
      </w:r>
      <w:r>
        <w:rPr>
          <w:sz w:val="24"/>
        </w:rPr>
        <w:t xml:space="preserve"> (exceptions include Pension Access, Pension Servicing, VR&amp;E Servicing, VR&amp;E Non-Participant, and SAH Servicing which are only available in mail form)</w:t>
      </w:r>
      <w:r w:rsidR="006E043C" w:rsidRPr="00AD40C3">
        <w:rPr>
          <w:sz w:val="24"/>
        </w:rPr>
        <w:t xml:space="preserve">. Respondents </w:t>
      </w:r>
      <w:r w:rsidR="00046B5F">
        <w:rPr>
          <w:sz w:val="24"/>
        </w:rPr>
        <w:t>are</w:t>
      </w:r>
      <w:r w:rsidR="006E043C" w:rsidRPr="00AD40C3">
        <w:rPr>
          <w:sz w:val="24"/>
        </w:rPr>
        <w:t xml:space="preserve"> </w:t>
      </w:r>
      <w:proofErr w:type="gramStart"/>
      <w:r w:rsidR="006E043C" w:rsidRPr="00AD40C3">
        <w:rPr>
          <w:sz w:val="24"/>
        </w:rPr>
        <w:t>only  provided</w:t>
      </w:r>
      <w:proofErr w:type="gramEnd"/>
      <w:r w:rsidR="006E043C" w:rsidRPr="00AD40C3">
        <w:rPr>
          <w:sz w:val="24"/>
        </w:rPr>
        <w:t xml:space="preserve"> access to participate in one survey during the </w:t>
      </w:r>
      <w:r w:rsidR="00B04035">
        <w:rPr>
          <w:sz w:val="24"/>
        </w:rPr>
        <w:t>continuous</w:t>
      </w:r>
      <w:r w:rsidR="00B04035" w:rsidRPr="00AD40C3">
        <w:rPr>
          <w:sz w:val="24"/>
        </w:rPr>
        <w:t xml:space="preserve"> </w:t>
      </w:r>
      <w:r w:rsidR="006E043C" w:rsidRPr="00AD40C3">
        <w:rPr>
          <w:sz w:val="24"/>
        </w:rPr>
        <w:t xml:space="preserve">study.  The sample </w:t>
      </w:r>
      <w:proofErr w:type="spellStart"/>
      <w:r w:rsidR="00046B5F">
        <w:rPr>
          <w:sz w:val="24"/>
        </w:rPr>
        <w:t>iss</w:t>
      </w:r>
      <w:proofErr w:type="spellEnd"/>
      <w:r w:rsidR="006E043C" w:rsidRPr="00AD40C3">
        <w:rPr>
          <w:sz w:val="24"/>
        </w:rPr>
        <w:t xml:space="preserve"> de-duplicated and Veterans that appear in the sample list multiple times and/or across multiple lines of business will be directed to the survey with the lowest number of possible respondents.</w:t>
      </w:r>
    </w:p>
    <w:p w:rsidR="006E043C" w:rsidRPr="00AD40C3" w:rsidRDefault="006E043C" w:rsidP="00F84DC4">
      <w:pPr>
        <w:rPr>
          <w:sz w:val="24"/>
        </w:rPr>
      </w:pPr>
    </w:p>
    <w:p w:rsidR="006E043C" w:rsidRPr="00AD40C3" w:rsidRDefault="006E043C">
      <w:pPr>
        <w:rPr>
          <w:sz w:val="24"/>
          <w:szCs w:val="24"/>
        </w:rPr>
      </w:pPr>
      <w:r w:rsidRPr="00AD40C3">
        <w:rPr>
          <w:sz w:val="24"/>
        </w:rPr>
        <w:t xml:space="preserve">The web address that the surveys </w:t>
      </w:r>
      <w:r w:rsidR="00E0792C">
        <w:rPr>
          <w:sz w:val="24"/>
        </w:rPr>
        <w:t xml:space="preserve">are </w:t>
      </w:r>
      <w:r w:rsidRPr="00AD40C3">
        <w:rPr>
          <w:sz w:val="24"/>
        </w:rPr>
        <w:t xml:space="preserve">posted on </w:t>
      </w:r>
      <w:r w:rsidR="00E0792C">
        <w:rPr>
          <w:sz w:val="24"/>
        </w:rPr>
        <w:t>is</w:t>
      </w:r>
      <w:r w:rsidRPr="00AD40C3">
        <w:rPr>
          <w:sz w:val="24"/>
        </w:rPr>
        <w:t xml:space="preserve"> included in all of the mailing notifications as indicated below.  This initial notification include</w:t>
      </w:r>
      <w:r w:rsidR="00046B5F">
        <w:rPr>
          <w:sz w:val="24"/>
        </w:rPr>
        <w:t>s</w:t>
      </w:r>
      <w:r w:rsidRPr="00AD40C3">
        <w:rPr>
          <w:sz w:val="24"/>
        </w:rPr>
        <w:t xml:space="preserve"> a </w:t>
      </w:r>
      <w:r w:rsidRPr="00AD40C3">
        <w:rPr>
          <w:sz w:val="24"/>
          <w:szCs w:val="24"/>
        </w:rPr>
        <w:t xml:space="preserve">cover letter and a URL and password.  </w:t>
      </w:r>
    </w:p>
    <w:p w:rsidR="006E043C" w:rsidRPr="00AD40C3" w:rsidRDefault="006E043C">
      <w:pPr>
        <w:ind w:left="576"/>
        <w:rPr>
          <w:sz w:val="24"/>
        </w:rPr>
      </w:pPr>
    </w:p>
    <w:p w:rsidR="006E043C" w:rsidRPr="00AD40C3" w:rsidRDefault="006E043C">
      <w:pPr>
        <w:rPr>
          <w:sz w:val="24"/>
        </w:rPr>
      </w:pPr>
      <w:r w:rsidRPr="00AD40C3">
        <w:rPr>
          <w:sz w:val="24"/>
        </w:rPr>
        <w:t xml:space="preserve">Both the paper and web-based surveys </w:t>
      </w:r>
      <w:r w:rsidR="005F4875" w:rsidRPr="00AD40C3">
        <w:rPr>
          <w:sz w:val="24"/>
        </w:rPr>
        <w:t>w</w:t>
      </w:r>
      <w:r w:rsidR="005F4875">
        <w:rPr>
          <w:sz w:val="24"/>
        </w:rPr>
        <w:t>er</w:t>
      </w:r>
      <w:r w:rsidR="005F4875" w:rsidRPr="00AD40C3">
        <w:rPr>
          <w:sz w:val="24"/>
        </w:rPr>
        <w:t>e</w:t>
      </w:r>
      <w:r w:rsidRPr="00AD40C3">
        <w:rPr>
          <w:sz w:val="24"/>
        </w:rPr>
        <w:t xml:space="preserve"> developed with the end user in mind; a user-friendly form help</w:t>
      </w:r>
      <w:r w:rsidR="00046B5F">
        <w:rPr>
          <w:sz w:val="24"/>
        </w:rPr>
        <w:t>s</w:t>
      </w:r>
      <w:r w:rsidRPr="00AD40C3">
        <w:rPr>
          <w:sz w:val="24"/>
        </w:rPr>
        <w:t xml:space="preserve"> maximize response rates. </w:t>
      </w:r>
    </w:p>
    <w:p w:rsidR="006E043C" w:rsidRPr="00AD40C3" w:rsidRDefault="006E043C">
      <w:pPr>
        <w:rPr>
          <w:sz w:val="24"/>
        </w:rPr>
      </w:pPr>
    </w:p>
    <w:p w:rsidR="006E043C" w:rsidRPr="00AD40C3" w:rsidRDefault="006E043C">
      <w:pPr>
        <w:rPr>
          <w:sz w:val="24"/>
        </w:rPr>
      </w:pPr>
      <w:r w:rsidRPr="00AD40C3">
        <w:rPr>
          <w:sz w:val="24"/>
        </w:rPr>
        <w:t xml:space="preserve">The online survey </w:t>
      </w:r>
      <w:r w:rsidR="005F4875" w:rsidRPr="00AD40C3">
        <w:rPr>
          <w:sz w:val="24"/>
        </w:rPr>
        <w:t>technology incorporates</w:t>
      </w:r>
      <w:r w:rsidRPr="00AD40C3">
        <w:rPr>
          <w:sz w:val="24"/>
        </w:rPr>
        <w:t xml:space="preserve"> several features to maximize response rates and respondent usability.  These include a password system, which prevents any one person from completing more than one survey and allows respondents to begin the survey then come back at a later point to finish it.  </w:t>
      </w:r>
    </w:p>
    <w:p w:rsidR="006E043C" w:rsidRPr="00AD40C3" w:rsidRDefault="006E043C">
      <w:pPr>
        <w:rPr>
          <w:sz w:val="24"/>
        </w:rPr>
      </w:pPr>
    </w:p>
    <w:p w:rsidR="006E043C" w:rsidRPr="00AD40C3" w:rsidRDefault="006E043C">
      <w:pPr>
        <w:numPr>
          <w:ilvl w:val="0"/>
          <w:numId w:val="3"/>
        </w:numPr>
        <w:rPr>
          <w:sz w:val="24"/>
          <w:szCs w:val="24"/>
          <w:u w:val="single"/>
        </w:rPr>
      </w:pPr>
      <w:r w:rsidRPr="00AD40C3">
        <w:rPr>
          <w:sz w:val="24"/>
          <w:u w:val="single"/>
        </w:rPr>
        <w:t xml:space="preserve">Strategy # 2 to Maximize Response Rates: </w:t>
      </w:r>
      <w:r w:rsidRPr="00AD40C3">
        <w:rPr>
          <w:sz w:val="24"/>
          <w:szCs w:val="24"/>
          <w:u w:val="single"/>
        </w:rPr>
        <w:t xml:space="preserve">Using Advance and Follow-Up Mailing to Publicize the Surveys and Encourage Response </w:t>
      </w:r>
    </w:p>
    <w:p w:rsidR="006E043C" w:rsidRPr="00AD40C3" w:rsidRDefault="006E043C">
      <w:pPr>
        <w:rPr>
          <w:sz w:val="24"/>
          <w:szCs w:val="24"/>
          <w:u w:val="single"/>
        </w:rPr>
      </w:pPr>
    </w:p>
    <w:p w:rsidR="006E043C" w:rsidRPr="00AD40C3" w:rsidRDefault="006E043C">
      <w:pPr>
        <w:rPr>
          <w:sz w:val="24"/>
        </w:rPr>
      </w:pPr>
      <w:r w:rsidRPr="00AD40C3">
        <w:rPr>
          <w:sz w:val="24"/>
        </w:rPr>
        <w:t xml:space="preserve">VBA will use a 2-step survey and follow-up process to administer the surveys (see Table 13 below).  An increase in the overall response rate is the major advantage of using this process.  The use of a </w:t>
      </w:r>
      <w:r w:rsidR="00763489">
        <w:rPr>
          <w:sz w:val="24"/>
        </w:rPr>
        <w:t>post-card</w:t>
      </w:r>
      <w:r w:rsidR="00BA1188">
        <w:rPr>
          <w:sz w:val="24"/>
        </w:rPr>
        <w:t xml:space="preserve"> </w:t>
      </w:r>
      <w:r w:rsidRPr="00AD40C3">
        <w:rPr>
          <w:sz w:val="24"/>
        </w:rPr>
        <w:t>follow-up tends to increase the response rate by between 15 and 18 percentage points</w:t>
      </w:r>
      <w:r w:rsidR="00422789">
        <w:rPr>
          <w:sz w:val="24"/>
        </w:rPr>
        <w:t>. The order of the mailings was changed based on the current response rates to the mailed survey packet</w:t>
      </w:r>
      <w:r w:rsidRPr="00AD40C3">
        <w:rPr>
          <w:sz w:val="24"/>
        </w:rPr>
        <w:t xml:space="preserve">.  </w:t>
      </w:r>
    </w:p>
    <w:p w:rsidR="006E043C" w:rsidRPr="00AD40C3" w:rsidRDefault="006E043C">
      <w:pPr>
        <w:rPr>
          <w:sz w:val="24"/>
          <w:u w:val="single"/>
        </w:rPr>
      </w:pPr>
    </w:p>
    <w:tbl>
      <w:tblPr>
        <w:tblW w:w="54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7"/>
        <w:gridCol w:w="4424"/>
      </w:tblGrid>
      <w:tr w:rsidR="006E043C" w:rsidRPr="00AD40C3">
        <w:trPr>
          <w:trHeight w:val="575"/>
          <w:jc w:val="center"/>
        </w:trPr>
        <w:tc>
          <w:tcPr>
            <w:tcW w:w="1007" w:type="dxa"/>
            <w:tcBorders>
              <w:top w:val="single" w:sz="12" w:space="0" w:color="auto"/>
              <w:left w:val="single" w:sz="4" w:space="0" w:color="auto"/>
            </w:tcBorders>
            <w:shd w:val="clear" w:color="auto" w:fill="D9D9D9"/>
            <w:vAlign w:val="center"/>
          </w:tcPr>
          <w:p w:rsidR="006E043C" w:rsidRPr="00AD40C3" w:rsidRDefault="006E043C">
            <w:pPr>
              <w:keepNext/>
              <w:jc w:val="center"/>
              <w:rPr>
                <w:rFonts w:ascii="Times New Roman Bold" w:hAnsi="Times New Roman Bold" w:cs="Arial"/>
                <w:b/>
                <w:smallCaps/>
              </w:rPr>
            </w:pPr>
            <w:r w:rsidRPr="00AD40C3">
              <w:rPr>
                <w:rFonts w:ascii="Times New Roman Bold" w:hAnsi="Times New Roman Bold" w:cs="Arial"/>
                <w:b/>
                <w:smallCaps/>
              </w:rPr>
              <w:lastRenderedPageBreak/>
              <w:t>Mailing</w:t>
            </w:r>
          </w:p>
        </w:tc>
        <w:tc>
          <w:tcPr>
            <w:tcW w:w="4424" w:type="dxa"/>
            <w:tcBorders>
              <w:top w:val="single" w:sz="12" w:space="0" w:color="auto"/>
            </w:tcBorders>
            <w:shd w:val="clear" w:color="auto" w:fill="D9D9D9"/>
            <w:vAlign w:val="center"/>
          </w:tcPr>
          <w:p w:rsidR="006E043C" w:rsidRPr="00AD40C3" w:rsidRDefault="006E043C">
            <w:pPr>
              <w:keepNext/>
              <w:jc w:val="center"/>
              <w:rPr>
                <w:rFonts w:ascii="Times New Roman Bold" w:hAnsi="Times New Roman Bold" w:cs="Arial"/>
                <w:b/>
                <w:smallCaps/>
              </w:rPr>
            </w:pPr>
            <w:r w:rsidRPr="00AD40C3">
              <w:rPr>
                <w:rFonts w:ascii="Times New Roman Bold" w:hAnsi="Times New Roman Bold" w:cs="Arial"/>
                <w:b/>
                <w:smallCaps/>
              </w:rPr>
              <w:t>Table 13:</w:t>
            </w:r>
          </w:p>
          <w:p w:rsidR="006E043C" w:rsidRPr="00AD40C3" w:rsidRDefault="006E043C">
            <w:pPr>
              <w:keepNext/>
              <w:jc w:val="center"/>
              <w:rPr>
                <w:rFonts w:ascii="Times New Roman Bold" w:hAnsi="Times New Roman Bold" w:cs="Arial"/>
                <w:b/>
                <w:smallCaps/>
              </w:rPr>
            </w:pPr>
            <w:r w:rsidRPr="00AD40C3">
              <w:rPr>
                <w:rFonts w:ascii="Times New Roman Bold" w:hAnsi="Times New Roman Bold" w:cs="Arial"/>
                <w:b/>
                <w:smallCaps/>
              </w:rPr>
              <w:t>Mailing Material</w:t>
            </w:r>
          </w:p>
        </w:tc>
      </w:tr>
      <w:tr w:rsidR="006E043C" w:rsidRPr="00AD40C3">
        <w:trPr>
          <w:jc w:val="center"/>
        </w:trPr>
        <w:tc>
          <w:tcPr>
            <w:tcW w:w="1007" w:type="dxa"/>
          </w:tcPr>
          <w:p w:rsidR="006E043C" w:rsidRPr="00AD40C3" w:rsidRDefault="006E043C">
            <w:pPr>
              <w:keepNext/>
              <w:rPr>
                <w:rFonts w:cs="Arial"/>
              </w:rPr>
            </w:pPr>
          </w:p>
          <w:p w:rsidR="006E043C" w:rsidRPr="00AD40C3" w:rsidRDefault="006E043C">
            <w:pPr>
              <w:keepNext/>
              <w:rPr>
                <w:rFonts w:cs="Arial"/>
              </w:rPr>
            </w:pPr>
            <w:r w:rsidRPr="00AD40C3">
              <w:rPr>
                <w:rFonts w:cs="Arial"/>
              </w:rPr>
              <w:t>#1</w:t>
            </w:r>
          </w:p>
          <w:p w:rsidR="006E043C" w:rsidRPr="00AD40C3" w:rsidRDefault="006E043C">
            <w:pPr>
              <w:keepNext/>
              <w:rPr>
                <w:rFonts w:cs="Arial"/>
              </w:rPr>
            </w:pPr>
          </w:p>
        </w:tc>
        <w:tc>
          <w:tcPr>
            <w:tcW w:w="4424" w:type="dxa"/>
          </w:tcPr>
          <w:p w:rsidR="00763489" w:rsidRPr="00AD40C3" w:rsidRDefault="00763489" w:rsidP="00763489">
            <w:pPr>
              <w:keepNext/>
              <w:rPr>
                <w:rFonts w:cs="Arial"/>
              </w:rPr>
            </w:pPr>
            <w:r w:rsidRPr="00AD40C3">
              <w:rPr>
                <w:rFonts w:cs="Arial"/>
              </w:rPr>
              <w:t xml:space="preserve"> Notification</w:t>
            </w:r>
            <w:r>
              <w:rPr>
                <w:rFonts w:cs="Arial"/>
              </w:rPr>
              <w:t xml:space="preserve"> </w:t>
            </w:r>
            <w:r w:rsidRPr="00AD40C3">
              <w:rPr>
                <w:rFonts w:cs="Arial"/>
              </w:rPr>
              <w:t xml:space="preserve">cover letter w/ URL &amp; password and </w:t>
            </w:r>
          </w:p>
          <w:p w:rsidR="00763489" w:rsidRDefault="00763489" w:rsidP="00763489">
            <w:pPr>
              <w:keepNext/>
              <w:rPr>
                <w:rFonts w:cs="Arial"/>
              </w:rPr>
            </w:pPr>
            <w:r w:rsidRPr="00AD40C3">
              <w:rPr>
                <w:rFonts w:cs="Arial"/>
              </w:rPr>
              <w:t>paper survey</w:t>
            </w:r>
            <w:r>
              <w:rPr>
                <w:rFonts w:cs="Arial"/>
              </w:rPr>
              <w:t xml:space="preserve"> (mail and web-based surveys)</w:t>
            </w:r>
          </w:p>
          <w:p w:rsidR="00763489" w:rsidRPr="00AD40C3" w:rsidRDefault="00763489" w:rsidP="00763489">
            <w:pPr>
              <w:keepNext/>
              <w:rPr>
                <w:rFonts w:cs="Arial"/>
              </w:rPr>
            </w:pPr>
            <w:r>
              <w:rPr>
                <w:rFonts w:cs="Arial"/>
              </w:rPr>
              <w:t>Notification cover letter and paper survey (mail only surveys)</w:t>
            </w:r>
          </w:p>
          <w:p w:rsidR="00051A30" w:rsidRPr="00AD40C3" w:rsidRDefault="00051A30" w:rsidP="00C30635">
            <w:pPr>
              <w:keepNext/>
              <w:rPr>
                <w:rFonts w:cs="Arial"/>
              </w:rPr>
            </w:pPr>
          </w:p>
        </w:tc>
      </w:tr>
      <w:tr w:rsidR="006E043C" w:rsidRPr="00AD40C3">
        <w:trPr>
          <w:jc w:val="center"/>
        </w:trPr>
        <w:tc>
          <w:tcPr>
            <w:tcW w:w="1007" w:type="dxa"/>
            <w:tcBorders>
              <w:bottom w:val="single" w:sz="12" w:space="0" w:color="auto"/>
            </w:tcBorders>
          </w:tcPr>
          <w:p w:rsidR="006E043C" w:rsidRPr="00AD40C3" w:rsidRDefault="006E043C">
            <w:pPr>
              <w:keepNext/>
              <w:rPr>
                <w:rFonts w:cs="Arial"/>
              </w:rPr>
            </w:pPr>
            <w:r w:rsidRPr="00AD40C3">
              <w:rPr>
                <w:rFonts w:cs="Arial"/>
              </w:rPr>
              <w:t>#2</w:t>
            </w:r>
          </w:p>
          <w:p w:rsidR="006E043C" w:rsidRPr="00AD40C3" w:rsidRDefault="006E043C">
            <w:pPr>
              <w:keepNext/>
              <w:rPr>
                <w:rFonts w:cs="Arial"/>
              </w:rPr>
            </w:pPr>
          </w:p>
        </w:tc>
        <w:tc>
          <w:tcPr>
            <w:tcW w:w="4424" w:type="dxa"/>
            <w:tcBorders>
              <w:bottom w:val="single" w:sz="12" w:space="0" w:color="auto"/>
            </w:tcBorders>
          </w:tcPr>
          <w:p w:rsidR="00763489" w:rsidRDefault="00763489" w:rsidP="00763489">
            <w:pPr>
              <w:keepNext/>
              <w:rPr>
                <w:rFonts w:cs="Arial"/>
              </w:rPr>
            </w:pPr>
            <w:r w:rsidRPr="00AD40C3">
              <w:rPr>
                <w:rFonts w:cs="Arial"/>
              </w:rPr>
              <w:t xml:space="preserve">Notification postcard  w/ URL &amp; password </w:t>
            </w:r>
            <w:r>
              <w:rPr>
                <w:rFonts w:cs="Arial"/>
              </w:rPr>
              <w:t>(mail and web-based surveys)</w:t>
            </w:r>
          </w:p>
          <w:p w:rsidR="006E043C" w:rsidRPr="00AD40C3" w:rsidRDefault="00763489" w:rsidP="00763489">
            <w:pPr>
              <w:keepNext/>
              <w:rPr>
                <w:rFonts w:cs="Arial"/>
              </w:rPr>
            </w:pPr>
            <w:r>
              <w:rPr>
                <w:rFonts w:cs="Arial"/>
              </w:rPr>
              <w:t>Notification cover letter w/ paper survey (mail only surveys)</w:t>
            </w:r>
          </w:p>
        </w:tc>
      </w:tr>
    </w:tbl>
    <w:p w:rsidR="006E043C" w:rsidRPr="00AD40C3" w:rsidRDefault="006E043C">
      <w:pPr>
        <w:rPr>
          <w:sz w:val="24"/>
          <w:u w:val="single"/>
        </w:rPr>
      </w:pPr>
    </w:p>
    <w:p w:rsidR="006E043C" w:rsidRPr="00AD40C3" w:rsidRDefault="006E043C">
      <w:pPr>
        <w:rPr>
          <w:sz w:val="24"/>
          <w:u w:val="single"/>
        </w:rPr>
      </w:pPr>
    </w:p>
    <w:p w:rsidR="006E043C" w:rsidRPr="00AD40C3" w:rsidRDefault="006E043C">
      <w:pPr>
        <w:rPr>
          <w:sz w:val="24"/>
          <w:u w:val="single"/>
        </w:rPr>
      </w:pPr>
    </w:p>
    <w:p w:rsidR="006E043C" w:rsidRPr="00AD40C3" w:rsidRDefault="006E043C">
      <w:pPr>
        <w:numPr>
          <w:ilvl w:val="0"/>
          <w:numId w:val="3"/>
        </w:numPr>
        <w:rPr>
          <w:sz w:val="24"/>
          <w:u w:val="single"/>
        </w:rPr>
      </w:pPr>
      <w:r w:rsidRPr="00AD40C3">
        <w:rPr>
          <w:sz w:val="24"/>
          <w:u w:val="single"/>
        </w:rPr>
        <w:t>Strategy # 3 to Maximize Response Rates: Maintaining a Toll-Free Survey Hotline</w:t>
      </w:r>
    </w:p>
    <w:p w:rsidR="006E043C" w:rsidRPr="00AD40C3" w:rsidRDefault="006E043C">
      <w:pPr>
        <w:rPr>
          <w:sz w:val="24"/>
        </w:rPr>
      </w:pPr>
    </w:p>
    <w:p w:rsidR="006E043C" w:rsidRPr="00AD40C3" w:rsidRDefault="006E043C">
      <w:pPr>
        <w:rPr>
          <w:sz w:val="24"/>
        </w:rPr>
      </w:pPr>
      <w:r w:rsidRPr="00AD40C3">
        <w:rPr>
          <w:sz w:val="24"/>
        </w:rPr>
        <w:t>During the period that the survey is in the field, the contractor provide</w:t>
      </w:r>
      <w:r w:rsidR="00046B5F">
        <w:rPr>
          <w:sz w:val="24"/>
        </w:rPr>
        <w:t>s</w:t>
      </w:r>
      <w:r w:rsidRPr="00AD40C3">
        <w:rPr>
          <w:sz w:val="24"/>
        </w:rPr>
        <w:t xml:space="preserve"> and maintain</w:t>
      </w:r>
      <w:r w:rsidR="00046B5F">
        <w:rPr>
          <w:sz w:val="24"/>
        </w:rPr>
        <w:t>s</w:t>
      </w:r>
      <w:r w:rsidRPr="00AD40C3">
        <w:rPr>
          <w:sz w:val="24"/>
        </w:rPr>
        <w:t xml:space="preserve"> a toll-free telephone line and dedicated e-mail address to answer any questions respondents may have about the survey (e.g., how to interpret questions and response items, the purpose of the survey, how to get another survey if their copy has been lost/damaged).  Project staff </w:t>
      </w:r>
      <w:r w:rsidR="00046B5F">
        <w:rPr>
          <w:sz w:val="24"/>
        </w:rPr>
        <w:t>is</w:t>
      </w:r>
      <w:r w:rsidRPr="00AD40C3">
        <w:rPr>
          <w:sz w:val="24"/>
        </w:rPr>
        <w:t xml:space="preserve"> available to answer telephone calls or emails during regular business hours (8:</w:t>
      </w:r>
      <w:r w:rsidR="00F56471">
        <w:rPr>
          <w:sz w:val="24"/>
        </w:rPr>
        <w:t>0000</w:t>
      </w:r>
      <w:r w:rsidRPr="00AD40C3">
        <w:rPr>
          <w:sz w:val="24"/>
        </w:rPr>
        <w:t xml:space="preserve"> a.m.-</w:t>
      </w:r>
      <w:r w:rsidR="00F56471">
        <w:rPr>
          <w:sz w:val="24"/>
        </w:rPr>
        <w:t>5</w:t>
      </w:r>
      <w:r w:rsidR="005F4875">
        <w:rPr>
          <w:sz w:val="24"/>
        </w:rPr>
        <w:t>:00</w:t>
      </w:r>
      <w:r w:rsidR="00F56471">
        <w:rPr>
          <w:sz w:val="24"/>
        </w:rPr>
        <w:t>5</w:t>
      </w:r>
      <w:r w:rsidRPr="00AD40C3">
        <w:rPr>
          <w:sz w:val="24"/>
        </w:rPr>
        <w:t xml:space="preserve"> p.m. </w:t>
      </w:r>
      <w:r w:rsidR="00F56471">
        <w:rPr>
          <w:sz w:val="24"/>
        </w:rPr>
        <w:t>PSTPST</w:t>
      </w:r>
      <w:r w:rsidRPr="00AD40C3">
        <w:rPr>
          <w:sz w:val="24"/>
        </w:rPr>
        <w:t>).  A voice messaging system will be available to receive phone messages after regular business hours</w:t>
      </w:r>
      <w:r w:rsidR="00046B5F">
        <w:rPr>
          <w:sz w:val="24"/>
        </w:rPr>
        <w:t>;</w:t>
      </w:r>
      <w:r w:rsidR="005F4875">
        <w:rPr>
          <w:sz w:val="24"/>
        </w:rPr>
        <w:t xml:space="preserve"> and </w:t>
      </w:r>
      <w:r w:rsidRPr="00AD40C3">
        <w:rPr>
          <w:sz w:val="24"/>
        </w:rPr>
        <w:t xml:space="preserve">after-hours calls </w:t>
      </w:r>
      <w:r w:rsidR="00046B5F">
        <w:rPr>
          <w:sz w:val="24"/>
        </w:rPr>
        <w:t>are</w:t>
      </w:r>
      <w:r w:rsidRPr="00AD40C3">
        <w:rPr>
          <w:sz w:val="24"/>
        </w:rPr>
        <w:t xml:space="preserve"> responded to within 24 hours.  Respondents who utilize the e-mail option </w:t>
      </w:r>
      <w:r w:rsidR="00046B5F">
        <w:rPr>
          <w:sz w:val="24"/>
        </w:rPr>
        <w:t>are</w:t>
      </w:r>
      <w:r w:rsidRPr="00AD40C3">
        <w:rPr>
          <w:sz w:val="24"/>
        </w:rPr>
        <w:t xml:space="preserve"> sent an initial automatically generated response email informing them that their e-mail was received and that they will receive a response within 24 hours.</w:t>
      </w:r>
    </w:p>
    <w:p w:rsidR="006E043C" w:rsidRPr="00AD40C3" w:rsidRDefault="006E043C">
      <w:pPr>
        <w:rPr>
          <w:sz w:val="24"/>
        </w:rPr>
      </w:pPr>
    </w:p>
    <w:p w:rsidR="006E043C" w:rsidRPr="00AD40C3" w:rsidRDefault="006E043C">
      <w:pPr>
        <w:rPr>
          <w:sz w:val="24"/>
          <w:u w:val="single"/>
        </w:rPr>
      </w:pPr>
      <w:r w:rsidRPr="00AD40C3">
        <w:rPr>
          <w:sz w:val="24"/>
          <w:u w:val="single"/>
        </w:rPr>
        <w:t>Strategy # 4 to Maximize Response Rates: Excluding Questions of a “Sensitive” Nature</w:t>
      </w:r>
    </w:p>
    <w:p w:rsidR="006E043C" w:rsidRPr="00AD40C3" w:rsidRDefault="006E043C">
      <w:pPr>
        <w:rPr>
          <w:sz w:val="24"/>
        </w:rPr>
      </w:pPr>
    </w:p>
    <w:p w:rsidR="006E043C" w:rsidRPr="00AD40C3" w:rsidRDefault="006E043C">
      <w:pPr>
        <w:rPr>
          <w:sz w:val="24"/>
        </w:rPr>
      </w:pPr>
      <w:r w:rsidRPr="00AD40C3">
        <w:rPr>
          <w:sz w:val="24"/>
        </w:rPr>
        <w:t xml:space="preserve">None of the questions included in the surveys are sensitive, or private in nature, which will encourage compliance.  </w:t>
      </w:r>
    </w:p>
    <w:p w:rsidR="006E043C" w:rsidRPr="00AD40C3" w:rsidRDefault="006E043C">
      <w:pPr>
        <w:pStyle w:val="Heading1"/>
      </w:pPr>
    </w:p>
    <w:p w:rsidR="006E043C" w:rsidRPr="00AD40C3" w:rsidRDefault="006E043C">
      <w:pPr>
        <w:rPr>
          <w:sz w:val="24"/>
          <w:u w:val="single"/>
        </w:rPr>
      </w:pPr>
      <w:r w:rsidRPr="00AD40C3">
        <w:rPr>
          <w:sz w:val="24"/>
          <w:u w:val="single"/>
        </w:rPr>
        <w:t>Strategy # 5 to Maximize Response Rates: Assuring and Maintaining Confidentiality</w:t>
      </w:r>
    </w:p>
    <w:p w:rsidR="006E043C" w:rsidRPr="00AD40C3" w:rsidRDefault="006E043C">
      <w:pPr>
        <w:rPr>
          <w:sz w:val="24"/>
        </w:rPr>
      </w:pPr>
      <w:r w:rsidRPr="00AD40C3">
        <w:rPr>
          <w:sz w:val="24"/>
        </w:rPr>
        <w:t xml:space="preserve"> </w:t>
      </w:r>
    </w:p>
    <w:p w:rsidR="006E043C" w:rsidRPr="00AD40C3" w:rsidRDefault="006E043C">
      <w:pPr>
        <w:rPr>
          <w:sz w:val="24"/>
        </w:rPr>
      </w:pPr>
      <w:r w:rsidRPr="00AD40C3">
        <w:rPr>
          <w:sz w:val="24"/>
        </w:rPr>
        <w:t xml:space="preserve">Survey respondents for all surveys will be assured that their personal anonymity will be maintained.  All hard copy questionnaires will be </w:t>
      </w:r>
      <w:proofErr w:type="spellStart"/>
      <w:r w:rsidRPr="00AD40C3">
        <w:rPr>
          <w:sz w:val="24"/>
        </w:rPr>
        <w:t>scannable</w:t>
      </w:r>
      <w:proofErr w:type="spellEnd"/>
      <w:r w:rsidRPr="00AD40C3">
        <w:rPr>
          <w:sz w:val="24"/>
        </w:rPr>
        <w:t xml:space="preserve">, and consist of approximately six-eight printed pages, printed back to back with a numeric </w:t>
      </w:r>
      <w:proofErr w:type="spellStart"/>
      <w:r w:rsidRPr="00AD40C3">
        <w:rPr>
          <w:sz w:val="24"/>
        </w:rPr>
        <w:t>Litho</w:t>
      </w:r>
      <w:proofErr w:type="spellEnd"/>
      <w:r w:rsidRPr="00AD40C3">
        <w:rPr>
          <w:sz w:val="24"/>
        </w:rPr>
        <w:t xml:space="preserve">-Code on the front and back cover.  Veterans will be provided unique passwords that will allow the contractor to identify when a respondent has completed the survey and exclude them from further reminder letter or postcards. </w:t>
      </w:r>
    </w:p>
    <w:p w:rsidR="006E043C" w:rsidRPr="00AD40C3" w:rsidRDefault="006E043C">
      <w:pPr>
        <w:rPr>
          <w:sz w:val="24"/>
        </w:rPr>
      </w:pPr>
    </w:p>
    <w:p w:rsidR="00896537" w:rsidRPr="00422789" w:rsidRDefault="00896537" w:rsidP="00896537">
      <w:pPr>
        <w:rPr>
          <w:rFonts w:cs="Arial"/>
          <w:sz w:val="24"/>
          <w:szCs w:val="24"/>
        </w:rPr>
      </w:pPr>
    </w:p>
    <w:p w:rsidR="00896537" w:rsidRDefault="00896537" w:rsidP="00896537">
      <w:pPr>
        <w:rPr>
          <w:sz w:val="24"/>
          <w:u w:val="single"/>
        </w:rPr>
      </w:pPr>
    </w:p>
    <w:p w:rsidR="00BA1188" w:rsidRDefault="00BA1188">
      <w:pPr>
        <w:rPr>
          <w:sz w:val="24"/>
          <w:u w:val="single"/>
        </w:rPr>
      </w:pPr>
      <w:r>
        <w:rPr>
          <w:sz w:val="24"/>
          <w:u w:val="single"/>
        </w:rPr>
        <w:br w:type="page"/>
      </w:r>
    </w:p>
    <w:p w:rsidR="006E043C" w:rsidRPr="00AD40C3" w:rsidRDefault="006E043C">
      <w:pPr>
        <w:rPr>
          <w:sz w:val="24"/>
          <w:u w:val="single"/>
        </w:rPr>
      </w:pPr>
      <w:r w:rsidRPr="00AD40C3">
        <w:rPr>
          <w:sz w:val="24"/>
          <w:u w:val="single"/>
        </w:rPr>
        <w:lastRenderedPageBreak/>
        <w:t xml:space="preserve">Strategy # </w:t>
      </w:r>
      <w:r w:rsidR="00896537">
        <w:rPr>
          <w:sz w:val="24"/>
          <w:u w:val="single"/>
        </w:rPr>
        <w:t>7</w:t>
      </w:r>
      <w:r w:rsidRPr="00AD40C3">
        <w:rPr>
          <w:sz w:val="24"/>
          <w:u w:val="single"/>
        </w:rPr>
        <w:t xml:space="preserve"> to Maximize Response Rates: Secure Networks and Systems</w:t>
      </w:r>
    </w:p>
    <w:p w:rsidR="006E043C" w:rsidRPr="00AD40C3" w:rsidRDefault="006E043C">
      <w:pPr>
        <w:rPr>
          <w:sz w:val="24"/>
        </w:rPr>
      </w:pPr>
    </w:p>
    <w:p w:rsidR="006E043C" w:rsidRPr="00AD40C3" w:rsidRDefault="006E043C">
      <w:pPr>
        <w:rPr>
          <w:sz w:val="24"/>
          <w:szCs w:val="24"/>
        </w:rPr>
      </w:pPr>
      <w:r w:rsidRPr="00AD40C3">
        <w:rPr>
          <w:sz w:val="24"/>
          <w:szCs w:val="24"/>
        </w:rPr>
        <w:t xml:space="preserve">The contractor has a secure network infrastructure </w:t>
      </w:r>
      <w:r w:rsidR="005F4875" w:rsidRPr="00AD40C3">
        <w:rPr>
          <w:sz w:val="24"/>
          <w:szCs w:val="24"/>
        </w:rPr>
        <w:t>that protects</w:t>
      </w:r>
      <w:r w:rsidRPr="00AD40C3">
        <w:rPr>
          <w:sz w:val="24"/>
          <w:szCs w:val="24"/>
        </w:rPr>
        <w:t xml:space="preserve"> the integrity of the databases, the survey application, and all associated server resources.  The servers are protected by a strong firewall system and the operations center is in a secure temperature-controlled environment with video surveillance, where network services are continually monitored by automated real-time programs to ensure the integrity and availability of all critical components.  All key servers are supported by a backup power supply that can continue to run the systems in the event of a power outage.  Additionally, the contractors will be immediately alerted if critical monitor thresholds are exceeded, so that they can proactively respond before outages occur.  </w:t>
      </w:r>
    </w:p>
    <w:p w:rsidR="006E043C" w:rsidRPr="00AD40C3" w:rsidRDefault="006E043C">
      <w:pPr>
        <w:rPr>
          <w:sz w:val="24"/>
          <w:szCs w:val="24"/>
        </w:rPr>
      </w:pPr>
    </w:p>
    <w:p w:rsidR="00F56471" w:rsidRDefault="00F56471">
      <w:pPr>
        <w:rPr>
          <w:rFonts w:cs="Arial"/>
          <w:sz w:val="24"/>
          <w:szCs w:val="24"/>
          <w:u w:val="single"/>
        </w:rPr>
      </w:pPr>
      <w:r>
        <w:rPr>
          <w:rFonts w:cs="Arial"/>
          <w:sz w:val="24"/>
          <w:szCs w:val="24"/>
          <w:u w:val="single"/>
        </w:rPr>
        <w:t>Strategy #</w:t>
      </w:r>
      <w:r w:rsidR="00896537">
        <w:rPr>
          <w:rFonts w:cs="Arial"/>
          <w:sz w:val="24"/>
          <w:szCs w:val="24"/>
          <w:u w:val="single"/>
        </w:rPr>
        <w:t>8</w:t>
      </w:r>
      <w:r>
        <w:rPr>
          <w:rFonts w:cs="Arial"/>
          <w:sz w:val="24"/>
          <w:szCs w:val="24"/>
          <w:u w:val="single"/>
        </w:rPr>
        <w:t xml:space="preserve"> to Maximize Response Rates: </w:t>
      </w:r>
      <w:r w:rsidR="0048514F">
        <w:rPr>
          <w:rFonts w:cs="Arial"/>
          <w:sz w:val="24"/>
          <w:szCs w:val="24"/>
          <w:u w:val="single"/>
        </w:rPr>
        <w:t xml:space="preserve">Maintaining </w:t>
      </w:r>
      <w:proofErr w:type="gramStart"/>
      <w:r>
        <w:rPr>
          <w:rFonts w:cs="Arial"/>
          <w:sz w:val="24"/>
          <w:szCs w:val="24"/>
          <w:u w:val="single"/>
        </w:rPr>
        <w:t>508 Compliance</w:t>
      </w:r>
      <w:proofErr w:type="gramEnd"/>
      <w:r>
        <w:rPr>
          <w:rFonts w:cs="Arial"/>
          <w:sz w:val="24"/>
          <w:szCs w:val="24"/>
          <w:u w:val="single"/>
        </w:rPr>
        <w:t xml:space="preserve"> </w:t>
      </w:r>
    </w:p>
    <w:p w:rsidR="00F56471" w:rsidRDefault="00F56471">
      <w:pPr>
        <w:rPr>
          <w:rFonts w:cs="Arial"/>
          <w:sz w:val="24"/>
          <w:szCs w:val="24"/>
          <w:u w:val="single"/>
        </w:rPr>
      </w:pPr>
    </w:p>
    <w:p w:rsidR="00052BB2" w:rsidRPr="00BA1188" w:rsidRDefault="003E6755">
      <w:pPr>
        <w:rPr>
          <w:sz w:val="24"/>
        </w:rPr>
      </w:pPr>
      <w:r w:rsidRPr="00BA1188">
        <w:rPr>
          <w:sz w:val="24"/>
        </w:rPr>
        <w:t xml:space="preserve">The contractor will ensure the web-based surveys are </w:t>
      </w:r>
      <w:r w:rsidR="00052BB2" w:rsidRPr="00BA1188">
        <w:rPr>
          <w:sz w:val="24"/>
        </w:rPr>
        <w:t xml:space="preserve">accessible to people with disabilities by maintaining </w:t>
      </w:r>
      <w:r w:rsidRPr="00BA1188">
        <w:rPr>
          <w:sz w:val="24"/>
        </w:rPr>
        <w:t xml:space="preserve">508 compliant </w:t>
      </w:r>
      <w:r w:rsidR="00052BB2" w:rsidRPr="00BA1188">
        <w:rPr>
          <w:sz w:val="24"/>
        </w:rPr>
        <w:t>standards.</w:t>
      </w:r>
      <w:r w:rsidRPr="00BA1188">
        <w:rPr>
          <w:sz w:val="24"/>
        </w:rPr>
        <w:t xml:space="preserve"> </w:t>
      </w:r>
      <w:r w:rsidR="00052BB2" w:rsidRPr="00BA1188">
        <w:rPr>
          <w:sz w:val="24"/>
        </w:rPr>
        <w:t xml:space="preserve">These standards will </w:t>
      </w:r>
      <w:r w:rsidR="00DE7AC3" w:rsidRPr="00BA1188">
        <w:rPr>
          <w:sz w:val="24"/>
        </w:rPr>
        <w:t xml:space="preserve">enable Veterans with disabilities to complete the survey by keyboard navigation and through the use of assistive technology such as screen readers and refreshable Braille displays. In addition to technical 508 compliance standards, the web-based surveys will enable customization for font size, color, and style to </w:t>
      </w:r>
      <w:r w:rsidR="009B4A2C" w:rsidRPr="00BA1188">
        <w:rPr>
          <w:sz w:val="24"/>
        </w:rPr>
        <w:t>make the survey more visible to a range of respondents</w:t>
      </w:r>
      <w:r w:rsidR="00DE7AC3" w:rsidRPr="00BA1188">
        <w:rPr>
          <w:sz w:val="24"/>
        </w:rPr>
        <w:t>. The web-based surveys wi</w:t>
      </w:r>
      <w:r w:rsidR="00D3249D" w:rsidRPr="00BA1188">
        <w:rPr>
          <w:sz w:val="24"/>
        </w:rPr>
        <w:t xml:space="preserve">ll also include the number of desired answer choices listed next to each question (e.g. Mark only one, Mark all that apply, etc.) to help respondents understand </w:t>
      </w:r>
      <w:r w:rsidR="00081E1E" w:rsidRPr="00BA1188">
        <w:rPr>
          <w:sz w:val="24"/>
        </w:rPr>
        <w:t>how to answer each question</w:t>
      </w:r>
      <w:r w:rsidR="00D3249D" w:rsidRPr="00BA1188">
        <w:rPr>
          <w:sz w:val="24"/>
        </w:rPr>
        <w:t xml:space="preserve">. These features will ensure that Veterans with disabilities have equal access to the Voice of the Veteran surveys and </w:t>
      </w:r>
      <w:r w:rsidR="00081E1E" w:rsidRPr="00BA1188">
        <w:rPr>
          <w:sz w:val="24"/>
        </w:rPr>
        <w:t xml:space="preserve">enable </w:t>
      </w:r>
      <w:r w:rsidR="00D3249D" w:rsidRPr="00BA1188">
        <w:rPr>
          <w:sz w:val="24"/>
        </w:rPr>
        <w:t xml:space="preserve">their participation. </w:t>
      </w:r>
    </w:p>
    <w:p w:rsidR="00F56471" w:rsidRDefault="00F56471">
      <w:pPr>
        <w:rPr>
          <w:rFonts w:cs="Arial"/>
          <w:sz w:val="24"/>
          <w:szCs w:val="24"/>
          <w:u w:val="single"/>
        </w:rPr>
      </w:pPr>
    </w:p>
    <w:p w:rsidR="006E043C" w:rsidRPr="00AD40C3" w:rsidRDefault="006E043C">
      <w:pPr>
        <w:rPr>
          <w:rFonts w:cs="Arial"/>
          <w:sz w:val="24"/>
          <w:szCs w:val="24"/>
          <w:u w:val="single"/>
        </w:rPr>
      </w:pPr>
      <w:r w:rsidRPr="00AD40C3">
        <w:rPr>
          <w:rFonts w:cs="Arial"/>
          <w:sz w:val="24"/>
          <w:szCs w:val="24"/>
          <w:u w:val="single"/>
        </w:rPr>
        <w:t>Approach to Examine Non-Response Bias</w:t>
      </w:r>
    </w:p>
    <w:p w:rsidR="006E043C" w:rsidRPr="00AD40C3" w:rsidRDefault="006E043C">
      <w:pPr>
        <w:rPr>
          <w:rFonts w:cs="Arial"/>
          <w:sz w:val="24"/>
          <w:szCs w:val="24"/>
        </w:rPr>
      </w:pPr>
    </w:p>
    <w:p w:rsidR="006E043C" w:rsidRPr="00AD40C3" w:rsidRDefault="006E043C">
      <w:pPr>
        <w:rPr>
          <w:rFonts w:cs="Arial"/>
          <w:sz w:val="24"/>
          <w:szCs w:val="24"/>
        </w:rPr>
      </w:pPr>
      <w:r w:rsidRPr="00AD40C3">
        <w:rPr>
          <w:rFonts w:cs="Arial"/>
          <w:sz w:val="24"/>
          <w:szCs w:val="24"/>
        </w:rPr>
        <w:t xml:space="preserve">Non-response bias refers to the error expected in estimating a population characteristic based on a sample of survey data </w:t>
      </w:r>
      <w:proofErr w:type="gramStart"/>
      <w:r w:rsidRPr="00AD40C3">
        <w:rPr>
          <w:rFonts w:cs="Arial"/>
          <w:sz w:val="24"/>
          <w:szCs w:val="24"/>
        </w:rPr>
        <w:t>that</w:t>
      </w:r>
      <w:proofErr w:type="gramEnd"/>
      <w:r w:rsidRPr="00AD40C3">
        <w:rPr>
          <w:rFonts w:cs="Arial"/>
          <w:sz w:val="24"/>
          <w:szCs w:val="24"/>
        </w:rPr>
        <w:t xml:space="preserve"> under-represents certain types of respondents.  Stated more technically, non-response bias is the difference between a survey estimate and the actual population value.  Non-response bias associated with an estimate consists of two components – the amount of non-response and the difference in the estimate between the respondents and non-respondents.  While high response rates are always desirable in surveys, they do not guarantee low response bias in cases where the respondents and non-respondents are very different.  Two types of non-response can affect the interpretation and generalization of survey data:  item non-response and unit non-response.  Item non-response occurs when one or more survey items are left blank in an otherwise completed, returned questionnaire.  Unit non-response is non-participation by an individual that was intended to be included in the survey sample.  Unit non-response – the failure to return a questionnaire – is what is generally recognized as survey non-response bias.</w:t>
      </w:r>
    </w:p>
    <w:p w:rsidR="006E043C" w:rsidRPr="00AD40C3" w:rsidRDefault="006E043C">
      <w:pPr>
        <w:rPr>
          <w:rFonts w:cs="Arial"/>
          <w:sz w:val="24"/>
          <w:szCs w:val="24"/>
        </w:rPr>
      </w:pPr>
    </w:p>
    <w:p w:rsidR="006E043C" w:rsidRPr="00AD40C3" w:rsidRDefault="006E043C">
      <w:pPr>
        <w:rPr>
          <w:rFonts w:cs="Arial"/>
          <w:sz w:val="24"/>
          <w:szCs w:val="24"/>
        </w:rPr>
      </w:pPr>
      <w:r w:rsidRPr="00AD40C3">
        <w:rPr>
          <w:rFonts w:cs="Arial"/>
          <w:sz w:val="24"/>
          <w:szCs w:val="24"/>
        </w:rPr>
        <w:t>There are two approaches to tackling the effects of non-response. One is to minimize the chances of non-response at the data collection stage. This may involve introducing measures, which aim to maximize the response rate. The other approach is to make statistical adjustments at a survey follow-up stage when all the data is collected.  Both approaches are described in the next paragraphs of this section.</w:t>
      </w:r>
    </w:p>
    <w:p w:rsidR="006E043C" w:rsidRPr="00AD40C3" w:rsidRDefault="006E043C">
      <w:pPr>
        <w:rPr>
          <w:rFonts w:cs="Arial"/>
          <w:sz w:val="24"/>
          <w:szCs w:val="24"/>
        </w:rPr>
      </w:pPr>
    </w:p>
    <w:p w:rsidR="006E043C" w:rsidRPr="00AD40C3" w:rsidRDefault="006E043C">
      <w:pPr>
        <w:rPr>
          <w:rFonts w:cs="Arial"/>
          <w:sz w:val="24"/>
          <w:szCs w:val="24"/>
        </w:rPr>
      </w:pPr>
      <w:r w:rsidRPr="00AD40C3">
        <w:rPr>
          <w:rFonts w:cs="Arial"/>
          <w:sz w:val="24"/>
          <w:szCs w:val="24"/>
        </w:rPr>
        <w:lastRenderedPageBreak/>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w:t>
      </w:r>
      <w:proofErr w:type="spellStart"/>
      <w:r w:rsidRPr="00AD40C3">
        <w:rPr>
          <w:rFonts w:cs="Arial"/>
          <w:sz w:val="24"/>
          <w:szCs w:val="24"/>
        </w:rPr>
        <w:t>Steeh</w:t>
      </w:r>
      <w:proofErr w:type="spellEnd"/>
      <w:r w:rsidRPr="00AD40C3">
        <w:rPr>
          <w:rFonts w:cs="Arial"/>
          <w:sz w:val="24"/>
          <w:szCs w:val="24"/>
        </w:rPr>
        <w:t xml:space="preserve">, 1981; Smith, 1995; </w:t>
      </w:r>
      <w:proofErr w:type="spellStart"/>
      <w:r w:rsidRPr="00AD40C3">
        <w:rPr>
          <w:rFonts w:cs="Arial"/>
          <w:sz w:val="24"/>
          <w:szCs w:val="24"/>
        </w:rPr>
        <w:t>Bradburn</w:t>
      </w:r>
      <w:proofErr w:type="spellEnd"/>
      <w:r w:rsidRPr="00AD40C3">
        <w:rPr>
          <w:rFonts w:cs="Arial"/>
          <w:sz w:val="24"/>
          <w:szCs w:val="24"/>
        </w:rPr>
        <w:t xml:space="preserve">, 1992; De </w:t>
      </w:r>
      <w:proofErr w:type="spellStart"/>
      <w:r w:rsidRPr="00AD40C3">
        <w:rPr>
          <w:rFonts w:cs="Arial"/>
          <w:sz w:val="24"/>
          <w:szCs w:val="24"/>
        </w:rPr>
        <w:t>Leeuw</w:t>
      </w:r>
      <w:proofErr w:type="spellEnd"/>
      <w:r w:rsidRPr="00AD40C3">
        <w:rPr>
          <w:rFonts w:cs="Arial"/>
          <w:sz w:val="24"/>
          <w:szCs w:val="24"/>
        </w:rPr>
        <w:t xml:space="preserve"> &amp; </w:t>
      </w:r>
      <w:proofErr w:type="spellStart"/>
      <w:r w:rsidRPr="00AD40C3">
        <w:rPr>
          <w:rFonts w:cs="Arial"/>
          <w:sz w:val="24"/>
          <w:szCs w:val="24"/>
        </w:rPr>
        <w:t>Heer</w:t>
      </w:r>
      <w:proofErr w:type="spellEnd"/>
      <w:r w:rsidRPr="00AD40C3">
        <w:rPr>
          <w:rFonts w:cs="Arial"/>
          <w:sz w:val="24"/>
          <w:szCs w:val="24"/>
        </w:rPr>
        <w:t>, 2002; Curtin &amp; Presser, 2005), these strategies include:</w:t>
      </w:r>
    </w:p>
    <w:p w:rsidR="006E043C" w:rsidRPr="00AD40C3" w:rsidRDefault="006E043C">
      <w:pPr>
        <w:rPr>
          <w:rFonts w:cs="Arial"/>
          <w:sz w:val="24"/>
          <w:szCs w:val="24"/>
        </w:rPr>
      </w:pPr>
    </w:p>
    <w:p w:rsidR="006E043C" w:rsidRPr="00AD40C3" w:rsidRDefault="006E043C">
      <w:pPr>
        <w:numPr>
          <w:ilvl w:val="0"/>
          <w:numId w:val="6"/>
        </w:numPr>
        <w:spacing w:after="120"/>
        <w:rPr>
          <w:rFonts w:cs="Arial"/>
          <w:sz w:val="24"/>
          <w:szCs w:val="24"/>
        </w:rPr>
      </w:pPr>
      <w:r w:rsidRPr="00AD40C3">
        <w:rPr>
          <w:rFonts w:cs="Arial"/>
          <w:sz w:val="24"/>
          <w:szCs w:val="24"/>
        </w:rPr>
        <w:t>Use of notification letters, duplicate survey mailings, reminder letters and postcards.</w:t>
      </w:r>
    </w:p>
    <w:p w:rsidR="006E043C" w:rsidRPr="00AD40C3" w:rsidRDefault="006E043C">
      <w:pPr>
        <w:numPr>
          <w:ilvl w:val="0"/>
          <w:numId w:val="6"/>
        </w:numPr>
        <w:spacing w:after="120"/>
        <w:rPr>
          <w:rFonts w:cs="Arial"/>
          <w:sz w:val="24"/>
          <w:szCs w:val="24"/>
        </w:rPr>
      </w:pPr>
      <w:r w:rsidRPr="00AD40C3">
        <w:rPr>
          <w:rFonts w:cs="Arial"/>
          <w:sz w:val="24"/>
          <w:szCs w:val="24"/>
        </w:rPr>
        <w:t>Use of novelty in correspondence such as reminder postcards designed in eye-catching colors.</w:t>
      </w:r>
    </w:p>
    <w:p w:rsidR="006E043C" w:rsidRPr="00AD40C3" w:rsidRDefault="006E043C">
      <w:pPr>
        <w:numPr>
          <w:ilvl w:val="0"/>
          <w:numId w:val="6"/>
        </w:numPr>
        <w:spacing w:after="120"/>
        <w:rPr>
          <w:rFonts w:cs="Arial"/>
          <w:sz w:val="24"/>
          <w:szCs w:val="24"/>
        </w:rPr>
      </w:pPr>
      <w:r w:rsidRPr="00AD40C3">
        <w:rPr>
          <w:rFonts w:cs="Arial"/>
          <w:sz w:val="24"/>
          <w:szCs w:val="24"/>
        </w:rPr>
        <w:t>Use of an extended survey field-period to afford opportunities to respond for subgroups having a propensity to respond late (e.g., males, young, full-time employed).</w:t>
      </w:r>
    </w:p>
    <w:p w:rsidR="006E043C" w:rsidRPr="00AD40C3" w:rsidRDefault="006E043C">
      <w:pPr>
        <w:numPr>
          <w:ilvl w:val="0"/>
          <w:numId w:val="6"/>
        </w:numPr>
        <w:spacing w:after="120"/>
        <w:rPr>
          <w:rFonts w:cs="Arial"/>
          <w:sz w:val="24"/>
          <w:szCs w:val="24"/>
        </w:rPr>
      </w:pPr>
      <w:r w:rsidRPr="00AD40C3">
        <w:rPr>
          <w:rFonts w:cs="Arial"/>
          <w:sz w:val="24"/>
          <w:szCs w:val="24"/>
        </w:rPr>
        <w:t>Use of well-designed questionnaires and the promise of confidentiality.</w:t>
      </w:r>
    </w:p>
    <w:p w:rsidR="006E043C" w:rsidRPr="00AD40C3" w:rsidRDefault="006E043C">
      <w:pPr>
        <w:numPr>
          <w:ilvl w:val="0"/>
          <w:numId w:val="6"/>
        </w:numPr>
        <w:spacing w:after="120"/>
        <w:rPr>
          <w:rFonts w:cs="Arial"/>
          <w:sz w:val="24"/>
          <w:szCs w:val="24"/>
        </w:rPr>
      </w:pPr>
      <w:r w:rsidRPr="00AD40C3">
        <w:rPr>
          <w:rFonts w:cs="Arial"/>
          <w:sz w:val="24"/>
          <w:szCs w:val="24"/>
        </w:rPr>
        <w:t>Providing a contact name and telephone number for inquiries.</w:t>
      </w:r>
    </w:p>
    <w:p w:rsidR="006E043C" w:rsidRPr="00AD40C3" w:rsidRDefault="006E043C">
      <w:pPr>
        <w:rPr>
          <w:rFonts w:cs="Arial"/>
          <w:sz w:val="24"/>
          <w:szCs w:val="24"/>
        </w:rPr>
      </w:pPr>
      <w:r w:rsidRPr="00AD40C3">
        <w:rPr>
          <w:rFonts w:cs="Arial"/>
          <w:sz w:val="24"/>
          <w:szCs w:val="24"/>
        </w:rPr>
        <w:t xml:space="preserve">Employing these strategies to the administration of these surveys will be crucial for maximizing high response rates across all respondent types (see section on maximizing response rates above). </w:t>
      </w:r>
    </w:p>
    <w:p w:rsidR="006E043C" w:rsidRPr="00AD40C3" w:rsidRDefault="006E043C">
      <w:pPr>
        <w:rPr>
          <w:rFonts w:cs="Arial"/>
          <w:sz w:val="24"/>
          <w:szCs w:val="24"/>
        </w:rPr>
      </w:pPr>
    </w:p>
    <w:p w:rsidR="006E043C" w:rsidRPr="00AD40C3" w:rsidRDefault="00134E7E">
      <w:pPr>
        <w:rPr>
          <w:rFonts w:cs="Arial"/>
          <w:sz w:val="24"/>
          <w:szCs w:val="24"/>
        </w:rPr>
      </w:pPr>
      <w:r>
        <w:rPr>
          <w:rFonts w:cs="Arial"/>
          <w:sz w:val="24"/>
          <w:szCs w:val="24"/>
        </w:rPr>
        <w:t>R</w:t>
      </w:r>
      <w:r w:rsidR="00E03AA9">
        <w:rPr>
          <w:rFonts w:cs="Arial"/>
          <w:sz w:val="24"/>
          <w:szCs w:val="24"/>
        </w:rPr>
        <w:t>esponse rates for the Voice of the Veteran program are below 80%</w:t>
      </w:r>
      <w:r>
        <w:rPr>
          <w:rFonts w:cs="Arial"/>
          <w:sz w:val="24"/>
          <w:szCs w:val="24"/>
        </w:rPr>
        <w:t xml:space="preserve"> </w:t>
      </w:r>
      <w:proofErr w:type="gramStart"/>
      <w:r>
        <w:rPr>
          <w:rFonts w:cs="Arial"/>
          <w:sz w:val="24"/>
          <w:szCs w:val="24"/>
        </w:rPr>
        <w:t xml:space="preserve">and </w:t>
      </w:r>
      <w:r w:rsidR="00E03AA9">
        <w:rPr>
          <w:rFonts w:cs="Arial"/>
          <w:sz w:val="24"/>
          <w:szCs w:val="24"/>
        </w:rPr>
        <w:t xml:space="preserve"> the</w:t>
      </w:r>
      <w:proofErr w:type="gramEnd"/>
      <w:r w:rsidR="00E03AA9">
        <w:rPr>
          <w:rFonts w:cs="Arial"/>
          <w:sz w:val="24"/>
          <w:szCs w:val="24"/>
        </w:rPr>
        <w:t xml:space="preserve"> contractor conducted non-response analyses for each of the surveys to </w:t>
      </w:r>
      <w:r w:rsidR="006E043C" w:rsidRPr="00AD40C3">
        <w:rPr>
          <w:rFonts w:cs="Arial"/>
          <w:sz w:val="24"/>
          <w:szCs w:val="24"/>
        </w:rPr>
        <w:t xml:space="preserve">identify potential sources of bias and </w:t>
      </w:r>
      <w:r>
        <w:rPr>
          <w:rFonts w:cs="Arial"/>
          <w:sz w:val="24"/>
          <w:szCs w:val="24"/>
        </w:rPr>
        <w:t xml:space="preserve"> </w:t>
      </w:r>
      <w:r w:rsidR="00035251">
        <w:rPr>
          <w:rFonts w:cs="Arial"/>
          <w:sz w:val="24"/>
          <w:szCs w:val="24"/>
        </w:rPr>
        <w:t>to</w:t>
      </w:r>
      <w:r w:rsidR="00035251" w:rsidRPr="00AD40C3">
        <w:rPr>
          <w:rFonts w:cs="Arial"/>
          <w:sz w:val="24"/>
          <w:szCs w:val="24"/>
        </w:rPr>
        <w:t xml:space="preserve"> reassure</w:t>
      </w:r>
      <w:r w:rsidR="006E043C" w:rsidRPr="00AD40C3">
        <w:rPr>
          <w:rFonts w:cs="Arial"/>
          <w:sz w:val="24"/>
          <w:szCs w:val="24"/>
        </w:rPr>
        <w:t xml:space="preserve"> </w:t>
      </w:r>
      <w:r w:rsidR="00E03AA9">
        <w:rPr>
          <w:rFonts w:cs="Arial"/>
          <w:sz w:val="24"/>
          <w:szCs w:val="24"/>
        </w:rPr>
        <w:t>VBA</w:t>
      </w:r>
      <w:r w:rsidR="006E043C" w:rsidRPr="00AD40C3">
        <w:rPr>
          <w:rFonts w:cs="Arial"/>
          <w:sz w:val="24"/>
          <w:szCs w:val="24"/>
        </w:rPr>
        <w:t xml:space="preserve"> of the quality of the data collected.  The approach to examining the presence of non-response bias </w:t>
      </w:r>
      <w:r w:rsidR="00BA1188">
        <w:rPr>
          <w:rFonts w:cs="Arial"/>
          <w:sz w:val="24"/>
          <w:szCs w:val="24"/>
        </w:rPr>
        <w:t xml:space="preserve">was </w:t>
      </w:r>
      <w:r w:rsidR="00BA1188" w:rsidRPr="00AD40C3">
        <w:rPr>
          <w:rFonts w:cs="Arial"/>
          <w:sz w:val="24"/>
          <w:szCs w:val="24"/>
        </w:rPr>
        <w:t>conducted</w:t>
      </w:r>
      <w:r w:rsidR="006E043C" w:rsidRPr="00AD40C3">
        <w:rPr>
          <w:rFonts w:cs="Arial"/>
          <w:sz w:val="24"/>
          <w:szCs w:val="24"/>
        </w:rPr>
        <w:t xml:space="preserve"> as follows:</w:t>
      </w:r>
    </w:p>
    <w:p w:rsidR="006E043C" w:rsidRPr="00AD40C3" w:rsidRDefault="006E043C">
      <w:pPr>
        <w:rPr>
          <w:rFonts w:cs="Arial"/>
          <w:sz w:val="24"/>
          <w:szCs w:val="24"/>
        </w:rPr>
      </w:pPr>
    </w:p>
    <w:p w:rsidR="006E043C" w:rsidRPr="00AD40C3" w:rsidRDefault="006E043C">
      <w:pPr>
        <w:spacing w:after="120"/>
        <w:rPr>
          <w:rFonts w:cs="Arial"/>
          <w:sz w:val="24"/>
          <w:szCs w:val="24"/>
        </w:rPr>
      </w:pPr>
      <w:r w:rsidRPr="00AD40C3">
        <w:rPr>
          <w:rFonts w:cs="Arial"/>
          <w:b/>
          <w:sz w:val="24"/>
          <w:szCs w:val="24"/>
        </w:rPr>
        <w:t xml:space="preserve">Compare the Demographics of Respondents from the Voice of the Veteran surveys to the Demographics of Non-Respondents from the Voice of the Veteran surveys.  </w:t>
      </w:r>
      <w:r w:rsidRPr="00AD40C3">
        <w:rPr>
          <w:rFonts w:cs="Arial"/>
          <w:sz w:val="24"/>
          <w:szCs w:val="24"/>
        </w:rPr>
        <w:t xml:space="preserve">To examine the presence of non-response bias, </w:t>
      </w:r>
      <w:r w:rsidR="00BA1188">
        <w:rPr>
          <w:rFonts w:cs="Arial"/>
          <w:sz w:val="24"/>
          <w:szCs w:val="24"/>
        </w:rPr>
        <w:t>the contractor</w:t>
      </w:r>
      <w:r w:rsidR="00E03AA9">
        <w:rPr>
          <w:rFonts w:cs="Arial"/>
          <w:sz w:val="24"/>
          <w:szCs w:val="24"/>
        </w:rPr>
        <w:t xml:space="preserve"> compared</w:t>
      </w:r>
      <w:r w:rsidRPr="00AD40C3">
        <w:rPr>
          <w:rFonts w:cs="Arial"/>
          <w:sz w:val="24"/>
          <w:szCs w:val="24"/>
        </w:rPr>
        <w:t xml:space="preserve"> the demographics of responders (i.e., those who responded to each Voice of the Veteran Survey) to the non-responders (i.e., those who did not respond to each Voice of the Veteran Survey). The comparison between responders and non-responders </w:t>
      </w:r>
      <w:r w:rsidR="00E03AA9">
        <w:rPr>
          <w:rFonts w:cs="Arial"/>
          <w:sz w:val="24"/>
          <w:szCs w:val="24"/>
        </w:rPr>
        <w:t>was</w:t>
      </w:r>
      <w:r w:rsidRPr="00AD40C3">
        <w:rPr>
          <w:rFonts w:cs="Arial"/>
          <w:sz w:val="24"/>
          <w:szCs w:val="24"/>
        </w:rPr>
        <w:t xml:space="preserve"> </w:t>
      </w:r>
      <w:r w:rsidR="009B4A2C">
        <w:rPr>
          <w:rFonts w:cs="Arial"/>
          <w:sz w:val="24"/>
          <w:szCs w:val="24"/>
        </w:rPr>
        <w:t xml:space="preserve">based on the sample variables included in the sample files from VBA, </w:t>
      </w:r>
      <w:r w:rsidR="00E03AA9">
        <w:rPr>
          <w:rFonts w:cs="Arial"/>
          <w:sz w:val="24"/>
          <w:szCs w:val="24"/>
        </w:rPr>
        <w:t>which includes</w:t>
      </w:r>
      <w:r w:rsidR="009B4A2C">
        <w:rPr>
          <w:rFonts w:cs="Arial"/>
          <w:sz w:val="24"/>
          <w:szCs w:val="24"/>
        </w:rPr>
        <w:t xml:space="preserve"> </w:t>
      </w:r>
      <w:r w:rsidRPr="00AD40C3">
        <w:rPr>
          <w:rFonts w:cs="Arial"/>
          <w:sz w:val="24"/>
          <w:szCs w:val="24"/>
        </w:rPr>
        <w:t>the following variables:</w:t>
      </w:r>
    </w:p>
    <w:p w:rsidR="006E043C" w:rsidRPr="00AD40C3" w:rsidRDefault="006E043C">
      <w:pPr>
        <w:numPr>
          <w:ilvl w:val="1"/>
          <w:numId w:val="5"/>
        </w:numPr>
        <w:spacing w:after="120"/>
        <w:rPr>
          <w:rFonts w:cs="Arial"/>
          <w:sz w:val="24"/>
          <w:szCs w:val="24"/>
        </w:rPr>
      </w:pPr>
      <w:r w:rsidRPr="00AD40C3">
        <w:rPr>
          <w:rFonts w:cs="Arial"/>
          <w:sz w:val="24"/>
          <w:szCs w:val="24"/>
        </w:rPr>
        <w:t>Region – it is possible that participants from a certain part of the country (i.e., region) may respond to the survey at a higher rate than those who are from another part of the country.</w:t>
      </w:r>
    </w:p>
    <w:p w:rsidR="006E043C" w:rsidRPr="00AD40C3" w:rsidRDefault="006E043C">
      <w:pPr>
        <w:numPr>
          <w:ilvl w:val="1"/>
          <w:numId w:val="5"/>
        </w:numPr>
        <w:spacing w:after="120"/>
        <w:rPr>
          <w:rFonts w:cs="Arial"/>
          <w:sz w:val="24"/>
          <w:szCs w:val="24"/>
        </w:rPr>
      </w:pPr>
      <w:r w:rsidRPr="00AD40C3">
        <w:rPr>
          <w:rFonts w:cs="Arial"/>
          <w:sz w:val="24"/>
          <w:szCs w:val="24"/>
        </w:rPr>
        <w:t>Age – it is possible that participants from a certain age group (i.e., over 30 years old) may respond at a higher rate than those who are members of another age group.</w:t>
      </w:r>
    </w:p>
    <w:p w:rsidR="006E043C" w:rsidRDefault="006E043C">
      <w:pPr>
        <w:numPr>
          <w:ilvl w:val="1"/>
          <w:numId w:val="5"/>
        </w:numPr>
        <w:spacing w:after="120"/>
        <w:rPr>
          <w:rFonts w:cs="Arial"/>
          <w:sz w:val="24"/>
          <w:szCs w:val="24"/>
        </w:rPr>
      </w:pPr>
      <w:r w:rsidRPr="00AD40C3">
        <w:rPr>
          <w:rFonts w:cs="Arial"/>
          <w:sz w:val="24"/>
          <w:szCs w:val="24"/>
        </w:rPr>
        <w:t>Gender – it is possible that participants from a certain gender (i.e., male) may respond at a higher rate than their counterpart.</w:t>
      </w:r>
    </w:p>
    <w:p w:rsidR="00093885" w:rsidRPr="00AD40C3" w:rsidRDefault="00093885">
      <w:pPr>
        <w:numPr>
          <w:ilvl w:val="1"/>
          <w:numId w:val="5"/>
        </w:numPr>
        <w:spacing w:after="120"/>
        <w:rPr>
          <w:rFonts w:cs="Arial"/>
          <w:sz w:val="24"/>
          <w:szCs w:val="24"/>
        </w:rPr>
      </w:pPr>
      <w:r>
        <w:rPr>
          <w:rFonts w:cs="Arial"/>
          <w:sz w:val="24"/>
          <w:szCs w:val="24"/>
        </w:rPr>
        <w:t xml:space="preserve">Service Branch – It is possible that participants from certain branches of the Armed Services may respond at a higher rate than their counterparts in another branch.  </w:t>
      </w:r>
    </w:p>
    <w:p w:rsidR="006E043C" w:rsidRPr="00AD40C3" w:rsidRDefault="006E043C">
      <w:pPr>
        <w:rPr>
          <w:rFonts w:cs="Arial"/>
          <w:sz w:val="24"/>
          <w:szCs w:val="24"/>
        </w:rPr>
      </w:pPr>
    </w:p>
    <w:p w:rsidR="001314E2" w:rsidRPr="00AD40C3" w:rsidRDefault="006E043C">
      <w:pPr>
        <w:rPr>
          <w:rFonts w:cs="Arial"/>
          <w:sz w:val="24"/>
          <w:szCs w:val="24"/>
        </w:rPr>
      </w:pPr>
      <w:r w:rsidRPr="00AD40C3">
        <w:rPr>
          <w:rFonts w:cs="Arial"/>
          <w:sz w:val="24"/>
          <w:szCs w:val="24"/>
        </w:rPr>
        <w:t xml:space="preserve">Based on the steps discussed above, </w:t>
      </w:r>
      <w:r w:rsidR="00FE4A7C">
        <w:rPr>
          <w:rFonts w:cs="Arial"/>
          <w:sz w:val="24"/>
          <w:szCs w:val="24"/>
        </w:rPr>
        <w:t>the contractor determined t</w:t>
      </w:r>
      <w:r w:rsidR="004912D1">
        <w:rPr>
          <w:rFonts w:cs="Arial"/>
          <w:sz w:val="24"/>
          <w:szCs w:val="24"/>
        </w:rPr>
        <w:t xml:space="preserve">hat six of the eleven </w:t>
      </w:r>
      <w:r w:rsidR="00FE4A7C">
        <w:rPr>
          <w:rFonts w:cs="Arial"/>
          <w:sz w:val="24"/>
          <w:szCs w:val="24"/>
        </w:rPr>
        <w:t xml:space="preserve">surveys were not impacted by any statistical differences among the demographic groups analyzed, and thus, </w:t>
      </w:r>
      <w:r w:rsidR="00FE4A7C">
        <w:rPr>
          <w:rFonts w:cs="Arial"/>
          <w:sz w:val="24"/>
          <w:szCs w:val="24"/>
        </w:rPr>
        <w:lastRenderedPageBreak/>
        <w:t>were not impacted by nonresponse bias. The only statistical difference found among the</w:t>
      </w:r>
      <w:r w:rsidR="004912D1">
        <w:rPr>
          <w:rFonts w:cs="Arial"/>
          <w:sz w:val="24"/>
          <w:szCs w:val="24"/>
        </w:rPr>
        <w:t xml:space="preserve"> remaining four</w:t>
      </w:r>
      <w:r w:rsidR="00FE4A7C">
        <w:rPr>
          <w:rFonts w:cs="Arial"/>
          <w:sz w:val="24"/>
          <w:szCs w:val="24"/>
        </w:rPr>
        <w:t xml:space="preserve"> surveys was age. </w:t>
      </w:r>
      <w:r w:rsidR="004912D1">
        <w:rPr>
          <w:rFonts w:cs="Arial"/>
          <w:sz w:val="24"/>
          <w:szCs w:val="24"/>
        </w:rPr>
        <w:t xml:space="preserve">Older Veterans were more likely to respond to the survey and provided higher ratings for Overall Satisfaction compared to younger Veterans. Results from these analyses indicate </w:t>
      </w:r>
      <w:r w:rsidR="00FE4A7C">
        <w:rPr>
          <w:rFonts w:cs="Arial"/>
          <w:sz w:val="24"/>
          <w:szCs w:val="24"/>
        </w:rPr>
        <w:t xml:space="preserve">Overall Satisfaction </w:t>
      </w:r>
      <w:r w:rsidR="004912D1">
        <w:rPr>
          <w:rFonts w:cs="Arial"/>
          <w:sz w:val="24"/>
          <w:szCs w:val="24"/>
        </w:rPr>
        <w:t xml:space="preserve">scores for these four surveys </w:t>
      </w:r>
      <w:r w:rsidR="00FE4A7C">
        <w:rPr>
          <w:rFonts w:cs="Arial"/>
          <w:sz w:val="24"/>
          <w:szCs w:val="24"/>
        </w:rPr>
        <w:t xml:space="preserve">would likely be lower if the sample was more representative of the populations. </w:t>
      </w:r>
      <w:r w:rsidR="00656494">
        <w:rPr>
          <w:rFonts w:cs="Arial"/>
          <w:sz w:val="24"/>
          <w:szCs w:val="24"/>
        </w:rPr>
        <w:t>In the non-response bias reports submitted to VBA, the contractor included</w:t>
      </w:r>
      <w:r w:rsidR="004912D1">
        <w:rPr>
          <w:rFonts w:cs="Arial"/>
          <w:sz w:val="24"/>
          <w:szCs w:val="24"/>
        </w:rPr>
        <w:t xml:space="preserve"> recommended approaches to mitigating the effects of nonresponse bias and strateg</w:t>
      </w:r>
      <w:r w:rsidR="00656494">
        <w:rPr>
          <w:rFonts w:cs="Arial"/>
          <w:sz w:val="24"/>
          <w:szCs w:val="24"/>
        </w:rPr>
        <w:t>ies to correct non-response bias such as data imputation and weighting. VBA, in conjunction with the contractor,</w:t>
      </w:r>
      <w:r w:rsidR="006300D8">
        <w:rPr>
          <w:rFonts w:cs="Arial"/>
          <w:sz w:val="24"/>
          <w:szCs w:val="24"/>
        </w:rPr>
        <w:t xml:space="preserve"> are in the process of finalizing the action items from the non-response bias analyses</w:t>
      </w:r>
      <w:r w:rsidR="00093885">
        <w:rPr>
          <w:rFonts w:cs="Arial"/>
          <w:sz w:val="24"/>
          <w:szCs w:val="24"/>
        </w:rPr>
        <w:t xml:space="preserve"> by the end of Q2 FY2016</w:t>
      </w:r>
      <w:r w:rsidR="006300D8">
        <w:rPr>
          <w:rFonts w:cs="Arial"/>
          <w:sz w:val="24"/>
          <w:szCs w:val="24"/>
        </w:rPr>
        <w:t xml:space="preserve">. </w:t>
      </w:r>
    </w:p>
    <w:p w:rsidR="006E043C" w:rsidRPr="00AD40C3" w:rsidRDefault="006E043C">
      <w:pPr>
        <w:rPr>
          <w:sz w:val="24"/>
          <w:szCs w:val="24"/>
        </w:rPr>
      </w:pPr>
    </w:p>
    <w:p w:rsidR="006E043C" w:rsidRPr="00AD40C3" w:rsidRDefault="006E043C">
      <w:pPr>
        <w:pStyle w:val="Heading2"/>
        <w:ind w:left="0" w:firstLine="0"/>
        <w:rPr>
          <w:rFonts w:ascii="Times New Roman" w:hAnsi="Times New Roman" w:cs="Times New Roman"/>
        </w:rPr>
      </w:pPr>
      <w:r w:rsidRPr="00AD40C3">
        <w:rPr>
          <w:rFonts w:ascii="Times New Roman" w:hAnsi="Times New Roman" w:cs="Times New Roman"/>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6E043C" w:rsidRPr="00AD40C3" w:rsidRDefault="006E043C">
      <w:pPr>
        <w:rPr>
          <w:sz w:val="24"/>
          <w:u w:val="single"/>
        </w:rPr>
      </w:pPr>
    </w:p>
    <w:p w:rsidR="006E043C" w:rsidRPr="00AD40C3" w:rsidRDefault="006E043C">
      <w:pPr>
        <w:rPr>
          <w:sz w:val="24"/>
        </w:rPr>
      </w:pPr>
      <w:r w:rsidRPr="00AD40C3">
        <w:rPr>
          <w:sz w:val="24"/>
        </w:rPr>
        <w:t>The contractor has conducted cognitive labs with three or more test users for each survey instrument to determine whether respondents understand the survey questions and answer choices, as intended.  Working closely with VBA, the contractor drew a small pool of names from potential participants in each of the surveys for inclusion in the cognitive labs.</w:t>
      </w:r>
    </w:p>
    <w:p w:rsidR="006E043C" w:rsidRPr="00AD40C3" w:rsidRDefault="006E043C">
      <w:pPr>
        <w:rPr>
          <w:sz w:val="24"/>
        </w:rPr>
      </w:pPr>
    </w:p>
    <w:p w:rsidR="006E043C" w:rsidRPr="00AD40C3" w:rsidRDefault="006E043C">
      <w:pPr>
        <w:rPr>
          <w:sz w:val="24"/>
        </w:rPr>
      </w:pPr>
      <w:r w:rsidRPr="00AD40C3">
        <w:rPr>
          <w:sz w:val="24"/>
        </w:rPr>
        <w:t>Cognitive lab participants were drawn from the same population that will be used for the main study.  The contractor submitted the list of potential participants to VBA for review and approval.  Once identified, the contractor contacted potential participants by telephone and asked them to participate.  Cognitive lab sessions took place in the metropolitan Washington, DC area or via conference call depending upon participant availability.</w:t>
      </w:r>
    </w:p>
    <w:p w:rsidR="006E043C" w:rsidRPr="00AD40C3" w:rsidRDefault="006E043C">
      <w:pPr>
        <w:rPr>
          <w:sz w:val="24"/>
        </w:rPr>
      </w:pPr>
    </w:p>
    <w:p w:rsidR="006E043C" w:rsidRPr="00AD40C3" w:rsidRDefault="006E043C">
      <w:pPr>
        <w:rPr>
          <w:sz w:val="24"/>
        </w:rPr>
      </w:pPr>
      <w:r w:rsidRPr="00AD40C3">
        <w:rPr>
          <w:sz w:val="24"/>
        </w:rPr>
        <w:t xml:space="preserve">Once the participants were selected, VBA and the contractor conducted cognitive lab sessions aimed at identifying needed additions or refinements to the questionnaire. Cognitive labs are one-on-one or group sessions with potential survey participants, in which respondents are asked to complete the questionnaire while thinking aloud.  The primary purpose of these sessions was to gather feedback on survey questions and answer choices to ensure they are easily understood and correctly interpreted.  </w:t>
      </w:r>
    </w:p>
    <w:p w:rsidR="006E043C" w:rsidRPr="00AD40C3" w:rsidRDefault="006E043C">
      <w:pPr>
        <w:rPr>
          <w:sz w:val="24"/>
        </w:rPr>
      </w:pPr>
    </w:p>
    <w:p w:rsidR="006E043C" w:rsidRPr="00AD40C3" w:rsidRDefault="006E043C">
      <w:pPr>
        <w:rPr>
          <w:sz w:val="24"/>
        </w:rPr>
      </w:pPr>
      <w:r w:rsidRPr="00AD40C3">
        <w:rPr>
          <w:sz w:val="24"/>
        </w:rPr>
        <w:t>Outcomes of cognitive labs included, but were not limited to: addition or omission of specific questions, changes to wording of questions, clarification of question response options, addition of response options, and changes to ordering of questions.</w:t>
      </w:r>
    </w:p>
    <w:p w:rsidR="006E043C" w:rsidRPr="00AD40C3" w:rsidRDefault="006E043C">
      <w:pPr>
        <w:rPr>
          <w:sz w:val="24"/>
        </w:rPr>
      </w:pPr>
    </w:p>
    <w:p w:rsidR="006E043C" w:rsidRPr="00AD40C3" w:rsidRDefault="006E043C">
      <w:pPr>
        <w:rPr>
          <w:sz w:val="24"/>
        </w:rPr>
      </w:pPr>
      <w:r w:rsidRPr="00AD40C3">
        <w:rPr>
          <w:sz w:val="24"/>
        </w:rPr>
        <w:t>The cognitive labs have been completed and changes to the questionnaires have been made based on those findings.</w:t>
      </w:r>
    </w:p>
    <w:p w:rsidR="006E043C" w:rsidRPr="00AD40C3" w:rsidRDefault="006E043C">
      <w:pPr>
        <w:rPr>
          <w:sz w:val="24"/>
        </w:rPr>
      </w:pPr>
    </w:p>
    <w:p w:rsidR="006E043C" w:rsidRPr="00AD40C3" w:rsidRDefault="006E043C">
      <w:pPr>
        <w:rPr>
          <w:b/>
          <w:sz w:val="24"/>
          <w:szCs w:val="24"/>
        </w:rPr>
      </w:pPr>
      <w:r w:rsidRPr="00AD40C3">
        <w:rPr>
          <w:b/>
          <w:sz w:val="24"/>
        </w:rPr>
        <w:t xml:space="preserve">5. </w:t>
      </w:r>
      <w:r w:rsidRPr="00AD40C3">
        <w:rPr>
          <w:sz w:val="24"/>
        </w:rPr>
        <w:t xml:space="preserve"> </w:t>
      </w:r>
      <w:r w:rsidRPr="00AD40C3">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6E043C" w:rsidRPr="00AD40C3" w:rsidRDefault="006E043C">
      <w:pPr>
        <w:ind w:left="360"/>
        <w:rPr>
          <w:b/>
          <w:sz w:val="24"/>
          <w:szCs w:val="24"/>
        </w:rPr>
      </w:pPr>
    </w:p>
    <w:p w:rsidR="006E043C" w:rsidRPr="00AD40C3" w:rsidRDefault="006E043C">
      <w:pPr>
        <w:rPr>
          <w:bCs/>
          <w:sz w:val="24"/>
          <w:szCs w:val="24"/>
        </w:rPr>
      </w:pPr>
      <w:r w:rsidRPr="00AD40C3">
        <w:rPr>
          <w:bCs/>
          <w:sz w:val="24"/>
          <w:szCs w:val="24"/>
        </w:rPr>
        <w:t xml:space="preserve">The VBA Benefits Assistance Service </w:t>
      </w:r>
      <w:r w:rsidR="001314E2">
        <w:rPr>
          <w:bCs/>
          <w:sz w:val="24"/>
          <w:szCs w:val="24"/>
        </w:rPr>
        <w:t xml:space="preserve">(BAS) </w:t>
      </w:r>
      <w:r w:rsidRPr="00AD40C3">
        <w:rPr>
          <w:bCs/>
          <w:sz w:val="24"/>
          <w:szCs w:val="24"/>
        </w:rPr>
        <w:t>VOV Program contact persons are:</w:t>
      </w:r>
    </w:p>
    <w:p w:rsidR="001314E2" w:rsidRPr="00093885" w:rsidRDefault="006E043C" w:rsidP="00BA1188">
      <w:pPr>
        <w:numPr>
          <w:ilvl w:val="0"/>
          <w:numId w:val="4"/>
        </w:numPr>
        <w:tabs>
          <w:tab w:val="left" w:pos="900"/>
        </w:tabs>
        <w:spacing w:after="120"/>
        <w:ind w:left="1267"/>
        <w:rPr>
          <w:bCs/>
          <w:sz w:val="24"/>
          <w:szCs w:val="24"/>
          <w:lang w:val="it-IT"/>
        </w:rPr>
      </w:pPr>
      <w:r w:rsidRPr="00093885">
        <w:rPr>
          <w:bCs/>
          <w:sz w:val="24"/>
          <w:szCs w:val="24"/>
          <w:lang w:val="it-IT"/>
        </w:rPr>
        <w:t xml:space="preserve">Pamela Liverman, </w:t>
      </w:r>
      <w:hyperlink r:id="rId9" w:history="1">
        <w:r w:rsidRPr="00BB6A68">
          <w:rPr>
            <w:rStyle w:val="Hyperlink"/>
            <w:bCs/>
            <w:sz w:val="24"/>
            <w:szCs w:val="24"/>
            <w:lang w:val="it-IT"/>
          </w:rPr>
          <w:t>Pamela.Liverman@va.gov</w:t>
        </w:r>
      </w:hyperlink>
      <w:r w:rsidR="00093885" w:rsidRPr="00BA1188">
        <w:rPr>
          <w:rStyle w:val="Hyperlink"/>
          <w:bCs/>
          <w:sz w:val="24"/>
          <w:szCs w:val="24"/>
          <w:u w:val="none"/>
          <w:lang w:val="it-IT"/>
        </w:rPr>
        <w:t>, (202) 530-9439</w:t>
      </w:r>
    </w:p>
    <w:p w:rsidR="001314E2" w:rsidRPr="00093885" w:rsidRDefault="00763489" w:rsidP="00093885">
      <w:pPr>
        <w:numPr>
          <w:ilvl w:val="0"/>
          <w:numId w:val="4"/>
        </w:numPr>
        <w:tabs>
          <w:tab w:val="left" w:pos="900"/>
        </w:tabs>
        <w:spacing w:after="120"/>
        <w:rPr>
          <w:bCs/>
          <w:sz w:val="24"/>
          <w:szCs w:val="24"/>
        </w:rPr>
      </w:pPr>
      <w:r w:rsidRPr="00093885">
        <w:rPr>
          <w:bCs/>
          <w:sz w:val="24"/>
          <w:szCs w:val="24"/>
        </w:rPr>
        <w:t>Dawna</w:t>
      </w:r>
      <w:r w:rsidR="001314E2" w:rsidRPr="00093885">
        <w:rPr>
          <w:bCs/>
          <w:sz w:val="24"/>
          <w:szCs w:val="24"/>
        </w:rPr>
        <w:t xml:space="preserve"> Quick</w:t>
      </w:r>
      <w:r w:rsidR="006E043C" w:rsidRPr="00BB6A68">
        <w:rPr>
          <w:bCs/>
          <w:sz w:val="24"/>
          <w:szCs w:val="24"/>
        </w:rPr>
        <w:t xml:space="preserve">, </w:t>
      </w:r>
      <w:hyperlink r:id="rId10" w:history="1">
        <w:r w:rsidRPr="00BB6A68">
          <w:rPr>
            <w:rStyle w:val="Hyperlink"/>
            <w:bCs/>
            <w:sz w:val="24"/>
            <w:szCs w:val="24"/>
          </w:rPr>
          <w:t>Dawna.Quick@va.gov</w:t>
        </w:r>
      </w:hyperlink>
      <w:r w:rsidR="00093885">
        <w:rPr>
          <w:rStyle w:val="Hyperlink"/>
          <w:bCs/>
          <w:sz w:val="24"/>
          <w:szCs w:val="24"/>
        </w:rPr>
        <w:t xml:space="preserve">, </w:t>
      </w:r>
      <w:r w:rsidR="00093885">
        <w:rPr>
          <w:bCs/>
          <w:sz w:val="24"/>
          <w:szCs w:val="24"/>
        </w:rPr>
        <w:t>(202) 530-9111</w:t>
      </w:r>
    </w:p>
    <w:p w:rsidR="006E043C" w:rsidRPr="00093885" w:rsidRDefault="006E043C" w:rsidP="00BA1188">
      <w:pPr>
        <w:tabs>
          <w:tab w:val="left" w:pos="900"/>
        </w:tabs>
        <w:rPr>
          <w:bCs/>
          <w:sz w:val="24"/>
          <w:szCs w:val="24"/>
        </w:rPr>
      </w:pPr>
      <w:r w:rsidRPr="00093885">
        <w:rPr>
          <w:bCs/>
          <w:sz w:val="24"/>
          <w:szCs w:val="24"/>
        </w:rPr>
        <w:lastRenderedPageBreak/>
        <w:t>The VBA Compensation Service contact persons are:</w:t>
      </w:r>
    </w:p>
    <w:p w:rsidR="00E90111" w:rsidRPr="00093885" w:rsidRDefault="00E90111" w:rsidP="00BA1188">
      <w:pPr>
        <w:numPr>
          <w:ilvl w:val="1"/>
          <w:numId w:val="4"/>
        </w:numPr>
        <w:spacing w:after="120"/>
        <w:ind w:left="1267"/>
        <w:rPr>
          <w:bCs/>
          <w:sz w:val="24"/>
          <w:szCs w:val="24"/>
        </w:rPr>
      </w:pPr>
      <w:r w:rsidRPr="00093885">
        <w:rPr>
          <w:bCs/>
          <w:sz w:val="24"/>
          <w:szCs w:val="24"/>
        </w:rPr>
        <w:t xml:space="preserve">Christi Greenwell, </w:t>
      </w:r>
      <w:hyperlink r:id="rId11" w:history="1">
        <w:r w:rsidR="00763489" w:rsidRPr="00093885">
          <w:rPr>
            <w:rStyle w:val="Hyperlink"/>
            <w:bCs/>
            <w:sz w:val="24"/>
            <w:szCs w:val="24"/>
          </w:rPr>
          <w:t>Christi.Greenwell@va.gov</w:t>
        </w:r>
      </w:hyperlink>
      <w:r w:rsidR="00BB6A68" w:rsidRPr="00BA1188">
        <w:rPr>
          <w:rStyle w:val="Hyperlink"/>
          <w:sz w:val="24"/>
          <w:szCs w:val="24"/>
          <w:u w:val="none"/>
        </w:rPr>
        <w:t>, (202) 461-9742</w:t>
      </w:r>
    </w:p>
    <w:p w:rsidR="00763489" w:rsidRPr="00093885" w:rsidRDefault="00763489" w:rsidP="00BA1188">
      <w:pPr>
        <w:numPr>
          <w:ilvl w:val="1"/>
          <w:numId w:val="4"/>
        </w:numPr>
        <w:spacing w:after="120"/>
        <w:ind w:left="1267"/>
        <w:rPr>
          <w:bCs/>
          <w:sz w:val="24"/>
          <w:szCs w:val="24"/>
        </w:rPr>
      </w:pPr>
      <w:r w:rsidRPr="00093885">
        <w:rPr>
          <w:bCs/>
          <w:sz w:val="24"/>
          <w:szCs w:val="24"/>
        </w:rPr>
        <w:t xml:space="preserve">Voncelle James, </w:t>
      </w:r>
      <w:hyperlink r:id="rId12" w:history="1">
        <w:r w:rsidR="00BB6A68" w:rsidRPr="00BA1188">
          <w:rPr>
            <w:rStyle w:val="Hyperlink"/>
          </w:rPr>
          <w:t>Voncelle.james@va.gov</w:t>
        </w:r>
      </w:hyperlink>
      <w:r w:rsidR="00BB6A68">
        <w:rPr>
          <w:bCs/>
          <w:sz w:val="24"/>
          <w:szCs w:val="24"/>
        </w:rPr>
        <w:t>, (</w:t>
      </w:r>
      <w:r w:rsidR="00093885">
        <w:rPr>
          <w:bCs/>
          <w:sz w:val="24"/>
          <w:szCs w:val="24"/>
        </w:rPr>
        <w:t>202) 461-9174</w:t>
      </w:r>
    </w:p>
    <w:p w:rsidR="00E90111" w:rsidRPr="00093885" w:rsidRDefault="00E90111" w:rsidP="00E90111">
      <w:pPr>
        <w:numPr>
          <w:ilvl w:val="1"/>
          <w:numId w:val="4"/>
        </w:numPr>
        <w:rPr>
          <w:bCs/>
          <w:sz w:val="24"/>
          <w:szCs w:val="24"/>
        </w:rPr>
      </w:pPr>
      <w:r w:rsidRPr="00093885">
        <w:rPr>
          <w:bCs/>
          <w:sz w:val="24"/>
          <w:szCs w:val="24"/>
        </w:rPr>
        <w:t xml:space="preserve">Heather Osborne, </w:t>
      </w:r>
      <w:hyperlink r:id="rId13" w:history="1">
        <w:r w:rsidR="00BB6A68" w:rsidRPr="00BA1188">
          <w:rPr>
            <w:rStyle w:val="Hyperlink"/>
          </w:rPr>
          <w:t>Heather.Osborne@va.gov</w:t>
        </w:r>
      </w:hyperlink>
      <w:r w:rsidR="00BB6A68">
        <w:rPr>
          <w:bCs/>
          <w:sz w:val="24"/>
          <w:szCs w:val="24"/>
        </w:rPr>
        <w:t>, Phone unavailable</w:t>
      </w:r>
    </w:p>
    <w:p w:rsidR="006E043C" w:rsidRPr="00BB6A68" w:rsidRDefault="006E043C" w:rsidP="00B63050">
      <w:pPr>
        <w:rPr>
          <w:bCs/>
          <w:sz w:val="24"/>
          <w:szCs w:val="24"/>
          <w:lang w:val="nb-NO"/>
        </w:rPr>
      </w:pPr>
    </w:p>
    <w:p w:rsidR="006E043C" w:rsidRPr="00BB6A68" w:rsidRDefault="006E043C" w:rsidP="00B63050">
      <w:pPr>
        <w:rPr>
          <w:bCs/>
          <w:sz w:val="24"/>
          <w:szCs w:val="24"/>
        </w:rPr>
      </w:pPr>
      <w:r w:rsidRPr="00BB6A68">
        <w:rPr>
          <w:bCs/>
          <w:sz w:val="24"/>
          <w:szCs w:val="24"/>
        </w:rPr>
        <w:t xml:space="preserve">The VBA Pension and Fiduciary </w:t>
      </w:r>
      <w:r w:rsidR="00BB6A68" w:rsidRPr="00BB6A68">
        <w:rPr>
          <w:bCs/>
          <w:sz w:val="24"/>
          <w:szCs w:val="24"/>
        </w:rPr>
        <w:t xml:space="preserve">Program (P&amp;F) </w:t>
      </w:r>
      <w:r w:rsidRPr="00BB6A68">
        <w:rPr>
          <w:bCs/>
          <w:sz w:val="24"/>
          <w:szCs w:val="24"/>
        </w:rPr>
        <w:t>contact persons are:</w:t>
      </w:r>
    </w:p>
    <w:p w:rsidR="00E90111" w:rsidRPr="00093885" w:rsidRDefault="00E90111" w:rsidP="00BA1188">
      <w:pPr>
        <w:numPr>
          <w:ilvl w:val="0"/>
          <w:numId w:val="15"/>
        </w:numPr>
        <w:tabs>
          <w:tab w:val="clear" w:pos="720"/>
          <w:tab w:val="num" w:pos="540"/>
          <w:tab w:val="left" w:pos="1260"/>
        </w:tabs>
        <w:spacing w:after="120"/>
        <w:ind w:left="1267"/>
        <w:rPr>
          <w:bCs/>
          <w:sz w:val="24"/>
          <w:szCs w:val="24"/>
        </w:rPr>
      </w:pPr>
      <w:r w:rsidRPr="00BB6A68">
        <w:rPr>
          <w:bCs/>
          <w:sz w:val="24"/>
          <w:szCs w:val="24"/>
        </w:rPr>
        <w:t xml:space="preserve">Robert Pomarico, </w:t>
      </w:r>
      <w:hyperlink r:id="rId14" w:history="1">
        <w:r w:rsidRPr="00093885">
          <w:rPr>
            <w:rStyle w:val="Hyperlink"/>
            <w:bCs/>
            <w:sz w:val="24"/>
            <w:szCs w:val="24"/>
          </w:rPr>
          <w:t>Robert.Pomarico@va.gov</w:t>
        </w:r>
      </w:hyperlink>
      <w:r w:rsidR="00BB6A68" w:rsidRPr="00BA1188">
        <w:rPr>
          <w:rStyle w:val="Hyperlink"/>
          <w:sz w:val="24"/>
          <w:szCs w:val="24"/>
          <w:u w:val="none"/>
        </w:rPr>
        <w:t>, (215) 842-2000 ext. 4281</w:t>
      </w:r>
    </w:p>
    <w:p w:rsidR="00E90111" w:rsidRPr="00093885" w:rsidRDefault="00E90111" w:rsidP="00BA1188">
      <w:pPr>
        <w:numPr>
          <w:ilvl w:val="0"/>
          <w:numId w:val="15"/>
        </w:numPr>
        <w:tabs>
          <w:tab w:val="clear" w:pos="720"/>
          <w:tab w:val="num" w:pos="540"/>
          <w:tab w:val="left" w:pos="1260"/>
        </w:tabs>
        <w:spacing w:after="120"/>
        <w:ind w:left="1267"/>
        <w:rPr>
          <w:bCs/>
          <w:sz w:val="24"/>
          <w:szCs w:val="24"/>
        </w:rPr>
      </w:pPr>
      <w:r w:rsidRPr="00093885">
        <w:rPr>
          <w:bCs/>
          <w:sz w:val="24"/>
          <w:szCs w:val="24"/>
        </w:rPr>
        <w:t xml:space="preserve">Jennifer Feuer, </w:t>
      </w:r>
      <w:hyperlink r:id="rId15" w:history="1">
        <w:r w:rsidR="00763489" w:rsidRPr="00093885">
          <w:rPr>
            <w:rStyle w:val="Hyperlink"/>
            <w:bCs/>
            <w:sz w:val="24"/>
            <w:szCs w:val="24"/>
          </w:rPr>
          <w:t>Jennifer.Reaser-Feuer@va.gov</w:t>
        </w:r>
      </w:hyperlink>
      <w:r w:rsidR="00BB6A68" w:rsidRPr="00BA1188">
        <w:rPr>
          <w:rStyle w:val="Hyperlink"/>
          <w:sz w:val="24"/>
          <w:szCs w:val="24"/>
          <w:u w:val="none"/>
        </w:rPr>
        <w:t>, (202) 632-8859</w:t>
      </w:r>
    </w:p>
    <w:p w:rsidR="00763489" w:rsidRPr="00093885" w:rsidRDefault="00763489" w:rsidP="00BA1188">
      <w:pPr>
        <w:numPr>
          <w:ilvl w:val="0"/>
          <w:numId w:val="15"/>
        </w:numPr>
        <w:tabs>
          <w:tab w:val="clear" w:pos="720"/>
          <w:tab w:val="num" w:pos="540"/>
          <w:tab w:val="left" w:pos="1260"/>
        </w:tabs>
        <w:spacing w:after="120"/>
        <w:ind w:left="1267"/>
        <w:rPr>
          <w:bCs/>
          <w:sz w:val="24"/>
          <w:szCs w:val="24"/>
        </w:rPr>
      </w:pPr>
      <w:r w:rsidRPr="00093885">
        <w:rPr>
          <w:bCs/>
          <w:sz w:val="24"/>
          <w:szCs w:val="24"/>
        </w:rPr>
        <w:t xml:space="preserve">Tashonda Henry-Pugh, </w:t>
      </w:r>
      <w:hyperlink r:id="rId16" w:history="1">
        <w:r w:rsidR="00BB6A68" w:rsidRPr="00BA1188">
          <w:rPr>
            <w:rStyle w:val="Hyperlink"/>
          </w:rPr>
          <w:t>Tashonda.henry-pugh@va.gov</w:t>
        </w:r>
      </w:hyperlink>
      <w:r w:rsidR="00BB6A68">
        <w:rPr>
          <w:bCs/>
          <w:sz w:val="24"/>
          <w:szCs w:val="24"/>
        </w:rPr>
        <w:t>, (202) 461-0686</w:t>
      </w:r>
    </w:p>
    <w:p w:rsidR="006E043C" w:rsidRPr="00BB6A68" w:rsidRDefault="006E043C" w:rsidP="00B63050">
      <w:pPr>
        <w:rPr>
          <w:bCs/>
          <w:sz w:val="24"/>
          <w:szCs w:val="24"/>
        </w:rPr>
      </w:pPr>
    </w:p>
    <w:p w:rsidR="006E043C" w:rsidRPr="00BB6A68" w:rsidRDefault="006E043C" w:rsidP="00B63050">
      <w:pPr>
        <w:rPr>
          <w:bCs/>
          <w:sz w:val="24"/>
          <w:szCs w:val="24"/>
        </w:rPr>
      </w:pPr>
      <w:r w:rsidRPr="00BB6A68">
        <w:rPr>
          <w:bCs/>
          <w:sz w:val="24"/>
          <w:szCs w:val="24"/>
        </w:rPr>
        <w:t xml:space="preserve">The VBA </w:t>
      </w:r>
      <w:r w:rsidR="00BB6A68" w:rsidRPr="00BB6A68">
        <w:rPr>
          <w:bCs/>
          <w:sz w:val="24"/>
          <w:szCs w:val="24"/>
        </w:rPr>
        <w:t>Education program (</w:t>
      </w:r>
      <w:r w:rsidRPr="00BB6A68">
        <w:rPr>
          <w:bCs/>
          <w:sz w:val="24"/>
          <w:szCs w:val="24"/>
        </w:rPr>
        <w:t>EDU</w:t>
      </w:r>
      <w:r w:rsidR="00BB6A68" w:rsidRPr="00BB6A68">
        <w:rPr>
          <w:bCs/>
          <w:sz w:val="24"/>
          <w:szCs w:val="24"/>
        </w:rPr>
        <w:t>)</w:t>
      </w:r>
      <w:r w:rsidRPr="00BB6A68">
        <w:rPr>
          <w:bCs/>
          <w:sz w:val="24"/>
          <w:szCs w:val="24"/>
        </w:rPr>
        <w:t xml:space="preserve"> contact persons are:</w:t>
      </w:r>
    </w:p>
    <w:p w:rsidR="006E043C" w:rsidRPr="00093885" w:rsidRDefault="00207E19" w:rsidP="00763489">
      <w:pPr>
        <w:numPr>
          <w:ilvl w:val="0"/>
          <w:numId w:val="4"/>
        </w:numPr>
        <w:tabs>
          <w:tab w:val="left" w:pos="900"/>
        </w:tabs>
        <w:spacing w:after="120"/>
        <w:rPr>
          <w:sz w:val="24"/>
          <w:szCs w:val="24"/>
        </w:rPr>
      </w:pPr>
      <w:hyperlink r:id="rId17" w:history="1">
        <w:r w:rsidR="00763489" w:rsidRPr="00BA1188">
          <w:t>Christopher</w:t>
        </w:r>
      </w:hyperlink>
      <w:hyperlink r:id="rId18" w:history="1"/>
      <w:r w:rsidR="00BB6A68" w:rsidRPr="00093885">
        <w:rPr>
          <w:bCs/>
          <w:sz w:val="24"/>
          <w:szCs w:val="24"/>
        </w:rPr>
        <w:t xml:space="preserve"> </w:t>
      </w:r>
      <w:r w:rsidR="00763489" w:rsidRPr="00627CEF">
        <w:rPr>
          <w:sz w:val="24"/>
          <w:szCs w:val="24"/>
        </w:rPr>
        <w:t xml:space="preserve">Sutherland, </w:t>
      </w:r>
      <w:hyperlink r:id="rId19" w:history="1">
        <w:r w:rsidR="003E2673" w:rsidRPr="00093885">
          <w:rPr>
            <w:rStyle w:val="Hyperlink"/>
            <w:sz w:val="24"/>
            <w:szCs w:val="24"/>
          </w:rPr>
          <w:t>Christopher.Sutherland@va.gov</w:t>
        </w:r>
      </w:hyperlink>
      <w:r w:rsidR="00BB6A68" w:rsidRPr="00BA1188">
        <w:rPr>
          <w:rStyle w:val="Hyperlink"/>
          <w:sz w:val="24"/>
          <w:szCs w:val="24"/>
          <w:u w:val="none"/>
        </w:rPr>
        <w:t>, (202) 461-9917</w:t>
      </w:r>
    </w:p>
    <w:p w:rsidR="003E2673" w:rsidRPr="00BB6A68" w:rsidRDefault="003E2673" w:rsidP="00763489">
      <w:pPr>
        <w:numPr>
          <w:ilvl w:val="0"/>
          <w:numId w:val="4"/>
        </w:numPr>
        <w:tabs>
          <w:tab w:val="left" w:pos="900"/>
        </w:tabs>
        <w:spacing w:after="120"/>
        <w:rPr>
          <w:bCs/>
          <w:sz w:val="24"/>
          <w:szCs w:val="24"/>
        </w:rPr>
      </w:pPr>
      <w:r w:rsidRPr="00093885">
        <w:rPr>
          <w:sz w:val="24"/>
          <w:szCs w:val="24"/>
        </w:rPr>
        <w:t>Danita Cohen</w:t>
      </w:r>
      <w:r w:rsidRPr="00BB6A68">
        <w:rPr>
          <w:sz w:val="24"/>
          <w:szCs w:val="24"/>
        </w:rPr>
        <w:t xml:space="preserve">, </w:t>
      </w:r>
      <w:hyperlink r:id="rId20" w:history="1">
        <w:r w:rsidR="00BB6A68" w:rsidRPr="00093885">
          <w:rPr>
            <w:rStyle w:val="Hyperlink"/>
            <w:sz w:val="24"/>
            <w:szCs w:val="24"/>
          </w:rPr>
          <w:t>Danita.cohen@va.gov</w:t>
        </w:r>
      </w:hyperlink>
      <w:r w:rsidR="00BB6A68" w:rsidRPr="00093885">
        <w:rPr>
          <w:sz w:val="24"/>
          <w:szCs w:val="24"/>
        </w:rPr>
        <w:t>, (</w:t>
      </w:r>
      <w:r w:rsidR="00BB6A68" w:rsidRPr="00BB6A68">
        <w:rPr>
          <w:sz w:val="24"/>
          <w:szCs w:val="24"/>
        </w:rPr>
        <w:t>202) 461-9064</w:t>
      </w:r>
    </w:p>
    <w:p w:rsidR="006E043C" w:rsidRPr="003E2673" w:rsidRDefault="006E043C" w:rsidP="00B63050">
      <w:pPr>
        <w:numPr>
          <w:ilvl w:val="0"/>
          <w:numId w:val="4"/>
        </w:numPr>
        <w:tabs>
          <w:tab w:val="left" w:pos="900"/>
        </w:tabs>
        <w:spacing w:after="120"/>
        <w:rPr>
          <w:bCs/>
          <w:sz w:val="24"/>
          <w:szCs w:val="24"/>
          <w:lang w:val="it-IT"/>
        </w:rPr>
      </w:pPr>
      <w:r w:rsidRPr="00BB6A68">
        <w:rPr>
          <w:bCs/>
          <w:sz w:val="24"/>
          <w:szCs w:val="24"/>
          <w:lang w:val="it-IT"/>
        </w:rPr>
        <w:t xml:space="preserve">Bill Spruce, </w:t>
      </w:r>
      <w:hyperlink r:id="rId21" w:history="1">
        <w:r w:rsidR="00BB6A68" w:rsidRPr="00093885">
          <w:rPr>
            <w:rStyle w:val="Hyperlink"/>
            <w:bCs/>
            <w:sz w:val="24"/>
            <w:szCs w:val="24"/>
            <w:lang w:val="it-IT"/>
          </w:rPr>
          <w:t>Bill.Spruce</w:t>
        </w:r>
        <w:r w:rsidR="00BB6A68" w:rsidRPr="00BB6A68">
          <w:rPr>
            <w:rStyle w:val="Hyperlink"/>
            <w:bCs/>
            <w:sz w:val="24"/>
            <w:szCs w:val="24"/>
            <w:lang w:val="it-IT"/>
          </w:rPr>
          <w:t>@va.gov</w:t>
        </w:r>
      </w:hyperlink>
      <w:r w:rsidR="00BB6A68" w:rsidRPr="00093885">
        <w:rPr>
          <w:bCs/>
          <w:sz w:val="24"/>
          <w:szCs w:val="24"/>
          <w:lang w:val="it-IT"/>
        </w:rPr>
        <w:t xml:space="preserve"> ,</w:t>
      </w:r>
      <w:r w:rsidR="00BB6A68" w:rsidRPr="00BB6A68">
        <w:rPr>
          <w:bCs/>
          <w:sz w:val="24"/>
          <w:szCs w:val="24"/>
          <w:lang w:val="it-IT"/>
        </w:rPr>
        <w:t xml:space="preserve"> (202)</w:t>
      </w:r>
      <w:r w:rsidR="00BB6A68">
        <w:rPr>
          <w:bCs/>
          <w:sz w:val="24"/>
          <w:szCs w:val="24"/>
          <w:lang w:val="it-IT"/>
        </w:rPr>
        <w:t xml:space="preserve"> 461-9839</w:t>
      </w:r>
    </w:p>
    <w:p w:rsidR="006E043C" w:rsidRPr="00093885" w:rsidRDefault="006E043C" w:rsidP="00B63050">
      <w:pPr>
        <w:rPr>
          <w:bCs/>
          <w:sz w:val="24"/>
          <w:szCs w:val="24"/>
        </w:rPr>
      </w:pPr>
    </w:p>
    <w:p w:rsidR="006E043C" w:rsidRPr="00093885" w:rsidRDefault="006E043C" w:rsidP="00B63050">
      <w:pPr>
        <w:rPr>
          <w:bCs/>
          <w:sz w:val="24"/>
          <w:szCs w:val="24"/>
        </w:rPr>
      </w:pPr>
      <w:r w:rsidRPr="00093885">
        <w:rPr>
          <w:bCs/>
          <w:sz w:val="24"/>
          <w:szCs w:val="24"/>
        </w:rPr>
        <w:t xml:space="preserve">The VBA </w:t>
      </w:r>
      <w:r w:rsidR="00BB6A68" w:rsidRPr="00BB6A68">
        <w:rPr>
          <w:bCs/>
          <w:sz w:val="24"/>
          <w:szCs w:val="24"/>
        </w:rPr>
        <w:t>Loan Guaranty (</w:t>
      </w:r>
      <w:r w:rsidRPr="00BB6A68">
        <w:rPr>
          <w:bCs/>
          <w:sz w:val="24"/>
          <w:szCs w:val="24"/>
        </w:rPr>
        <w:t>LGY</w:t>
      </w:r>
      <w:r w:rsidR="00BB6A68" w:rsidRPr="00BB6A68">
        <w:rPr>
          <w:bCs/>
          <w:sz w:val="24"/>
          <w:szCs w:val="24"/>
        </w:rPr>
        <w:t>)</w:t>
      </w:r>
      <w:r w:rsidRPr="00BB6A68">
        <w:rPr>
          <w:bCs/>
          <w:sz w:val="24"/>
          <w:szCs w:val="24"/>
        </w:rPr>
        <w:t xml:space="preserve"> contact persons are</w:t>
      </w:r>
      <w:r w:rsidRPr="00093885">
        <w:rPr>
          <w:bCs/>
          <w:sz w:val="24"/>
          <w:szCs w:val="24"/>
        </w:rPr>
        <w:t>:</w:t>
      </w:r>
    </w:p>
    <w:p w:rsidR="006E043C" w:rsidRPr="00093885" w:rsidRDefault="006E043C" w:rsidP="00B63050">
      <w:pPr>
        <w:numPr>
          <w:ilvl w:val="0"/>
          <w:numId w:val="11"/>
        </w:numPr>
        <w:tabs>
          <w:tab w:val="left" w:pos="900"/>
        </w:tabs>
        <w:spacing w:after="120"/>
        <w:rPr>
          <w:bCs/>
          <w:sz w:val="24"/>
          <w:szCs w:val="24"/>
          <w:lang w:val="es-AR"/>
        </w:rPr>
      </w:pPr>
      <w:r w:rsidRPr="00093885">
        <w:rPr>
          <w:bCs/>
          <w:sz w:val="24"/>
          <w:szCs w:val="24"/>
          <w:lang w:val="es-AR"/>
        </w:rPr>
        <w:t xml:space="preserve">Carleton Sea, </w:t>
      </w:r>
      <w:hyperlink r:id="rId22" w:history="1">
        <w:r w:rsidRPr="00BB6A68">
          <w:rPr>
            <w:rStyle w:val="Hyperlink"/>
            <w:bCs/>
            <w:sz w:val="24"/>
            <w:szCs w:val="24"/>
            <w:lang w:val="es-AR"/>
          </w:rPr>
          <w:t>Carleton.Sea@va.gov</w:t>
        </w:r>
      </w:hyperlink>
      <w:r w:rsidR="00BB6A68" w:rsidRPr="00BA1188">
        <w:rPr>
          <w:rStyle w:val="Hyperlink"/>
          <w:bCs/>
          <w:sz w:val="24"/>
          <w:szCs w:val="24"/>
          <w:u w:val="none"/>
          <w:lang w:val="es-AR"/>
        </w:rPr>
        <w:t>, (202) 632-8227</w:t>
      </w:r>
    </w:p>
    <w:p w:rsidR="006E043C" w:rsidRPr="00093885" w:rsidRDefault="006E043C" w:rsidP="00B63050">
      <w:pPr>
        <w:numPr>
          <w:ilvl w:val="0"/>
          <w:numId w:val="11"/>
        </w:numPr>
        <w:tabs>
          <w:tab w:val="left" w:pos="900"/>
        </w:tabs>
        <w:spacing w:after="120"/>
        <w:rPr>
          <w:bCs/>
          <w:sz w:val="24"/>
          <w:szCs w:val="24"/>
          <w:lang w:val="nb-NO"/>
        </w:rPr>
      </w:pPr>
      <w:r w:rsidRPr="00093885">
        <w:rPr>
          <w:bCs/>
          <w:sz w:val="24"/>
          <w:szCs w:val="24"/>
          <w:lang w:val="it-IT"/>
        </w:rPr>
        <w:t>Elysiu</w:t>
      </w:r>
      <w:r w:rsidRPr="00BB6A68">
        <w:rPr>
          <w:bCs/>
          <w:sz w:val="24"/>
          <w:szCs w:val="24"/>
          <w:lang w:val="it-IT"/>
        </w:rPr>
        <w:t xml:space="preserve">m Drumm, </w:t>
      </w:r>
      <w:hyperlink r:id="rId23" w:history="1">
        <w:r w:rsidRPr="00BB6A68">
          <w:rPr>
            <w:rStyle w:val="Hyperlink"/>
            <w:bCs/>
            <w:sz w:val="24"/>
            <w:szCs w:val="24"/>
            <w:lang w:val="it-IT"/>
          </w:rPr>
          <w:t>Elysium.Drum@va.gov</w:t>
        </w:r>
      </w:hyperlink>
      <w:r w:rsidR="00BB6A68" w:rsidRPr="00BA1188">
        <w:rPr>
          <w:rStyle w:val="Hyperlink"/>
          <w:bCs/>
          <w:sz w:val="24"/>
          <w:szCs w:val="24"/>
          <w:u w:val="none"/>
          <w:lang w:val="it-IT"/>
        </w:rPr>
        <w:t>, (202) 632-8790</w:t>
      </w:r>
    </w:p>
    <w:p w:rsidR="006E043C" w:rsidRPr="00BB6A68" w:rsidRDefault="006E043C" w:rsidP="00E90111">
      <w:pPr>
        <w:tabs>
          <w:tab w:val="left" w:pos="900"/>
        </w:tabs>
        <w:spacing w:after="120"/>
        <w:ind w:left="1260"/>
        <w:rPr>
          <w:bCs/>
          <w:sz w:val="24"/>
          <w:szCs w:val="24"/>
          <w:lang w:val="nb-NO"/>
        </w:rPr>
      </w:pPr>
    </w:p>
    <w:p w:rsidR="006E043C" w:rsidRPr="00BB6A68" w:rsidRDefault="006E043C" w:rsidP="00B63050">
      <w:pPr>
        <w:rPr>
          <w:bCs/>
          <w:sz w:val="24"/>
          <w:szCs w:val="24"/>
        </w:rPr>
      </w:pPr>
      <w:r w:rsidRPr="00BB6A68">
        <w:rPr>
          <w:bCs/>
          <w:sz w:val="24"/>
          <w:szCs w:val="24"/>
        </w:rPr>
        <w:t>The VBA VR&amp;E contact persons are:</w:t>
      </w:r>
    </w:p>
    <w:p w:rsidR="00E90111" w:rsidRPr="00093885" w:rsidRDefault="00E90111" w:rsidP="00B63050">
      <w:pPr>
        <w:numPr>
          <w:ilvl w:val="0"/>
          <w:numId w:val="4"/>
        </w:numPr>
        <w:tabs>
          <w:tab w:val="left" w:pos="900"/>
        </w:tabs>
        <w:spacing w:after="120"/>
        <w:rPr>
          <w:bCs/>
          <w:sz w:val="24"/>
          <w:szCs w:val="24"/>
          <w:lang w:val="es-AR"/>
        </w:rPr>
      </w:pPr>
      <w:r w:rsidRPr="00BB6A68">
        <w:rPr>
          <w:bCs/>
          <w:sz w:val="24"/>
          <w:szCs w:val="24"/>
          <w:lang w:val="es-AR"/>
        </w:rPr>
        <w:t xml:space="preserve">Nelson Foster, </w:t>
      </w:r>
      <w:hyperlink r:id="rId24" w:history="1">
        <w:r w:rsidRPr="00BB6A68">
          <w:rPr>
            <w:rStyle w:val="Hyperlink"/>
            <w:bCs/>
            <w:sz w:val="24"/>
            <w:szCs w:val="24"/>
            <w:lang w:val="es-AR"/>
          </w:rPr>
          <w:t>Nelson.Foster@va.gov</w:t>
        </w:r>
      </w:hyperlink>
      <w:r w:rsidR="00BB6A68" w:rsidRPr="00BA1188">
        <w:rPr>
          <w:rStyle w:val="Hyperlink"/>
          <w:sz w:val="24"/>
          <w:szCs w:val="24"/>
          <w:u w:val="none"/>
        </w:rPr>
        <w:t>, (202) 461-9074</w:t>
      </w:r>
    </w:p>
    <w:p w:rsidR="00E90111" w:rsidRPr="00093885" w:rsidRDefault="00207E19" w:rsidP="00B63050">
      <w:pPr>
        <w:numPr>
          <w:ilvl w:val="0"/>
          <w:numId w:val="4"/>
        </w:numPr>
        <w:tabs>
          <w:tab w:val="left" w:pos="900"/>
        </w:tabs>
        <w:spacing w:after="120"/>
        <w:rPr>
          <w:bCs/>
          <w:sz w:val="24"/>
          <w:szCs w:val="24"/>
          <w:lang w:val="es-AR"/>
        </w:rPr>
      </w:pPr>
      <w:hyperlink r:id="rId25" w:history="1">
        <w:r w:rsidR="00BB6A68" w:rsidRPr="00BA1188">
          <w:t>Lisa</w:t>
        </w:r>
      </w:hyperlink>
      <w:r w:rsidR="003E2673" w:rsidRPr="00093885">
        <w:rPr>
          <w:bCs/>
          <w:sz w:val="24"/>
          <w:szCs w:val="24"/>
          <w:lang w:val="es-AR"/>
        </w:rPr>
        <w:t xml:space="preserve"> Jong</w:t>
      </w:r>
      <w:r w:rsidR="003E2673" w:rsidRPr="00BB6A68">
        <w:rPr>
          <w:bCs/>
          <w:sz w:val="24"/>
          <w:szCs w:val="24"/>
          <w:lang w:val="es-AR"/>
        </w:rPr>
        <w:t xml:space="preserve"> Thomas, </w:t>
      </w:r>
      <w:hyperlink r:id="rId26" w:history="1">
        <w:r w:rsidR="003E2673" w:rsidRPr="00BB6A68">
          <w:rPr>
            <w:rStyle w:val="Hyperlink"/>
            <w:bCs/>
            <w:sz w:val="24"/>
            <w:szCs w:val="24"/>
            <w:lang w:val="es-AR"/>
          </w:rPr>
          <w:t>Lisa.thomas4@va.gov</w:t>
        </w:r>
      </w:hyperlink>
      <w:r w:rsidR="00BB6A68" w:rsidRPr="00BA1188">
        <w:rPr>
          <w:rStyle w:val="Hyperlink"/>
          <w:sz w:val="24"/>
          <w:szCs w:val="24"/>
          <w:u w:val="none"/>
        </w:rPr>
        <w:t>, (615) 263-7618</w:t>
      </w:r>
    </w:p>
    <w:p w:rsidR="003E2673" w:rsidRPr="00093885" w:rsidRDefault="003E2673" w:rsidP="00B63050">
      <w:pPr>
        <w:numPr>
          <w:ilvl w:val="0"/>
          <w:numId w:val="4"/>
        </w:numPr>
        <w:tabs>
          <w:tab w:val="left" w:pos="900"/>
        </w:tabs>
        <w:spacing w:after="120"/>
        <w:rPr>
          <w:bCs/>
          <w:sz w:val="24"/>
          <w:szCs w:val="24"/>
          <w:lang w:val="es-AR"/>
        </w:rPr>
      </w:pPr>
      <w:r w:rsidRPr="00093885">
        <w:rPr>
          <w:bCs/>
          <w:sz w:val="24"/>
          <w:szCs w:val="24"/>
          <w:lang w:val="es-AR"/>
        </w:rPr>
        <w:t xml:space="preserve">Kevin P. Scott, </w:t>
      </w:r>
      <w:hyperlink r:id="rId27" w:history="1">
        <w:r w:rsidR="00BB6A68" w:rsidRPr="00BA1188">
          <w:rPr>
            <w:rStyle w:val="Hyperlink"/>
            <w:sz w:val="24"/>
            <w:szCs w:val="24"/>
          </w:rPr>
          <w:t>Kevin.Scott2@va.gov</w:t>
        </w:r>
      </w:hyperlink>
      <w:r w:rsidR="00BB6A68" w:rsidRPr="00BA1188">
        <w:rPr>
          <w:sz w:val="24"/>
          <w:szCs w:val="24"/>
        </w:rPr>
        <w:t xml:space="preserve">, (202) 461-9372  </w:t>
      </w:r>
    </w:p>
    <w:p w:rsidR="006E043C" w:rsidRPr="00BB6A68" w:rsidRDefault="006E043C">
      <w:pPr>
        <w:rPr>
          <w:bCs/>
          <w:sz w:val="24"/>
          <w:szCs w:val="24"/>
          <w:lang w:val="it-IT"/>
        </w:rPr>
      </w:pPr>
    </w:p>
    <w:p w:rsidR="006E043C" w:rsidRPr="00BB6A68" w:rsidRDefault="006E043C">
      <w:pPr>
        <w:rPr>
          <w:bCs/>
          <w:sz w:val="24"/>
          <w:szCs w:val="24"/>
        </w:rPr>
      </w:pPr>
      <w:r w:rsidRPr="00BB6A68">
        <w:rPr>
          <w:bCs/>
          <w:sz w:val="24"/>
          <w:szCs w:val="24"/>
        </w:rPr>
        <w:t>VBA has contracted the services of JD Power &amp; Associates (JDPA) to administer the survey.  JDPA contacts are as follows:</w:t>
      </w:r>
    </w:p>
    <w:p w:rsidR="006E043C" w:rsidRPr="00093885" w:rsidRDefault="006E043C">
      <w:pPr>
        <w:numPr>
          <w:ilvl w:val="0"/>
          <w:numId w:val="4"/>
        </w:numPr>
        <w:tabs>
          <w:tab w:val="left" w:pos="900"/>
        </w:tabs>
        <w:spacing w:after="120"/>
        <w:rPr>
          <w:sz w:val="24"/>
          <w:szCs w:val="24"/>
          <w:lang w:val="nb-NO"/>
        </w:rPr>
      </w:pPr>
      <w:r w:rsidRPr="00BB6A68">
        <w:rPr>
          <w:sz w:val="24"/>
          <w:szCs w:val="24"/>
          <w:lang w:val="nb-NO"/>
        </w:rPr>
        <w:t xml:space="preserve">Greg Truex, </w:t>
      </w:r>
      <w:hyperlink r:id="rId28" w:history="1">
        <w:r w:rsidRPr="00BB6A68">
          <w:rPr>
            <w:rStyle w:val="Hyperlink"/>
            <w:sz w:val="24"/>
            <w:szCs w:val="24"/>
            <w:lang w:val="nb-NO"/>
          </w:rPr>
          <w:t>Greg.Truex@jdpa.com</w:t>
        </w:r>
      </w:hyperlink>
      <w:r w:rsidR="00BB6A68">
        <w:rPr>
          <w:rStyle w:val="Hyperlink"/>
          <w:sz w:val="24"/>
          <w:szCs w:val="24"/>
          <w:lang w:val="nb-NO"/>
        </w:rPr>
        <w:t xml:space="preserve">, </w:t>
      </w:r>
      <w:r w:rsidR="00BB6A68">
        <w:rPr>
          <w:sz w:val="24"/>
          <w:szCs w:val="24"/>
          <w:lang w:val="nb-NO"/>
        </w:rPr>
        <w:t>(</w:t>
      </w:r>
      <w:r w:rsidR="00BB6A68" w:rsidRPr="0025639B">
        <w:rPr>
          <w:sz w:val="24"/>
          <w:szCs w:val="24"/>
          <w:lang w:val="nb-NO"/>
        </w:rPr>
        <w:t>805</w:t>
      </w:r>
      <w:r w:rsidR="00BB6A68">
        <w:rPr>
          <w:sz w:val="24"/>
          <w:szCs w:val="24"/>
          <w:lang w:val="nb-NO"/>
        </w:rPr>
        <w:t xml:space="preserve">) </w:t>
      </w:r>
      <w:r w:rsidR="00BB6A68" w:rsidRPr="0025639B">
        <w:rPr>
          <w:sz w:val="24"/>
          <w:szCs w:val="24"/>
          <w:lang w:val="nb-NO"/>
        </w:rPr>
        <w:t>418-8078</w:t>
      </w:r>
    </w:p>
    <w:p w:rsidR="006E043C" w:rsidRPr="00BA1188" w:rsidRDefault="006E043C" w:rsidP="00BA1188">
      <w:pPr>
        <w:pStyle w:val="ListParagraph"/>
        <w:numPr>
          <w:ilvl w:val="0"/>
          <w:numId w:val="4"/>
        </w:numPr>
        <w:tabs>
          <w:tab w:val="left" w:pos="900"/>
        </w:tabs>
        <w:spacing w:after="120"/>
        <w:rPr>
          <w:sz w:val="24"/>
          <w:szCs w:val="24"/>
          <w:lang w:val="nb-NO"/>
        </w:rPr>
      </w:pPr>
      <w:r w:rsidRPr="00BA1188">
        <w:rPr>
          <w:sz w:val="24"/>
          <w:szCs w:val="24"/>
          <w:lang w:val="nb-NO"/>
        </w:rPr>
        <w:t xml:space="preserve">Tara </w:t>
      </w:r>
      <w:r w:rsidR="0048514F" w:rsidRPr="00BA1188">
        <w:rPr>
          <w:sz w:val="24"/>
          <w:szCs w:val="24"/>
          <w:lang w:val="nb-NO"/>
        </w:rPr>
        <w:t>Porter</w:t>
      </w:r>
      <w:r w:rsidRPr="00BA1188">
        <w:rPr>
          <w:sz w:val="24"/>
          <w:szCs w:val="24"/>
          <w:lang w:val="nb-NO"/>
        </w:rPr>
        <w:t xml:space="preserve">, </w:t>
      </w:r>
      <w:hyperlink r:id="rId29" w:history="1">
        <w:r w:rsidR="00BB6A68" w:rsidRPr="00BA1188">
          <w:rPr>
            <w:rStyle w:val="Hyperlink"/>
            <w:sz w:val="24"/>
            <w:szCs w:val="24"/>
          </w:rPr>
          <w:t>Tara.porter@jdpa.com</w:t>
        </w:r>
      </w:hyperlink>
      <w:r w:rsidR="00BB6A68" w:rsidRPr="00BA1188">
        <w:rPr>
          <w:sz w:val="24"/>
          <w:szCs w:val="24"/>
          <w:lang w:val="nb-NO"/>
        </w:rPr>
        <w:t>, (202) 383-3707</w:t>
      </w:r>
    </w:p>
    <w:sectPr w:rsidR="006E043C" w:rsidRPr="00BA1188" w:rsidSect="00BA7C7A">
      <w:headerReference w:type="default" r:id="rId30"/>
      <w:footerReference w:type="even"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EF" w:rsidRDefault="00627CEF">
      <w:r>
        <w:separator/>
      </w:r>
    </w:p>
  </w:endnote>
  <w:endnote w:type="continuationSeparator" w:id="0">
    <w:p w:rsidR="00627CEF" w:rsidRDefault="00627CEF">
      <w:r>
        <w:continuationSeparator/>
      </w:r>
    </w:p>
  </w:endnote>
  <w:endnote w:type="continuationNotice" w:id="1">
    <w:p w:rsidR="00627CEF" w:rsidRDefault="00627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EF" w:rsidRDefault="00627CEF" w:rsidP="00780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7CEF" w:rsidRDefault="00627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EF" w:rsidRDefault="00627CEF" w:rsidP="00780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E19">
      <w:rPr>
        <w:rStyle w:val="PageNumber"/>
        <w:noProof/>
      </w:rPr>
      <w:t>11</w:t>
    </w:r>
    <w:r>
      <w:rPr>
        <w:rStyle w:val="PageNumber"/>
      </w:rPr>
      <w:fldChar w:fldCharType="end"/>
    </w:r>
  </w:p>
  <w:p w:rsidR="00627CEF" w:rsidRDefault="00627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EF" w:rsidRDefault="00627CEF">
      <w:r>
        <w:separator/>
      </w:r>
    </w:p>
  </w:footnote>
  <w:footnote w:type="continuationSeparator" w:id="0">
    <w:p w:rsidR="00627CEF" w:rsidRDefault="00627CEF">
      <w:r>
        <w:continuationSeparator/>
      </w:r>
    </w:p>
  </w:footnote>
  <w:footnote w:type="continuationNotice" w:id="1">
    <w:p w:rsidR="00627CEF" w:rsidRDefault="00627C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EF" w:rsidRDefault="00627C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6FD"/>
    <w:multiLevelType w:val="multilevel"/>
    <w:tmpl w:val="76D2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rPr>
        <w:rFonts w:cs="Times New Roman"/>
      </w:rPr>
    </w:lvl>
    <w:lvl w:ilvl="2" w:tplc="001B0409" w:tentative="1">
      <w:start w:val="1"/>
      <w:numFmt w:val="lowerRoman"/>
      <w:lvlText w:val="%3."/>
      <w:lvlJc w:val="right"/>
      <w:pPr>
        <w:tabs>
          <w:tab w:val="num" w:pos="2736"/>
        </w:tabs>
        <w:ind w:left="2736" w:hanging="180"/>
      </w:pPr>
      <w:rPr>
        <w:rFonts w:cs="Times New Roman"/>
      </w:rPr>
    </w:lvl>
    <w:lvl w:ilvl="3" w:tplc="000F0409">
      <w:start w:val="1"/>
      <w:numFmt w:val="decimal"/>
      <w:lvlText w:val="%4."/>
      <w:lvlJc w:val="left"/>
      <w:pPr>
        <w:tabs>
          <w:tab w:val="num" w:pos="3456"/>
        </w:tabs>
        <w:ind w:left="3456" w:hanging="360"/>
      </w:pPr>
      <w:rPr>
        <w:rFonts w:cs="Times New Roman"/>
      </w:rPr>
    </w:lvl>
    <w:lvl w:ilvl="4" w:tplc="00190409" w:tentative="1">
      <w:start w:val="1"/>
      <w:numFmt w:val="lowerLetter"/>
      <w:lvlText w:val="%5."/>
      <w:lvlJc w:val="left"/>
      <w:pPr>
        <w:tabs>
          <w:tab w:val="num" w:pos="4176"/>
        </w:tabs>
        <w:ind w:left="4176" w:hanging="360"/>
      </w:pPr>
      <w:rPr>
        <w:rFonts w:cs="Times New Roman"/>
      </w:rPr>
    </w:lvl>
    <w:lvl w:ilvl="5" w:tplc="001B0409" w:tentative="1">
      <w:start w:val="1"/>
      <w:numFmt w:val="lowerRoman"/>
      <w:lvlText w:val="%6."/>
      <w:lvlJc w:val="right"/>
      <w:pPr>
        <w:tabs>
          <w:tab w:val="num" w:pos="4896"/>
        </w:tabs>
        <w:ind w:left="4896" w:hanging="180"/>
      </w:pPr>
      <w:rPr>
        <w:rFonts w:cs="Times New Roman"/>
      </w:rPr>
    </w:lvl>
    <w:lvl w:ilvl="6" w:tplc="000F0409" w:tentative="1">
      <w:start w:val="1"/>
      <w:numFmt w:val="decimal"/>
      <w:lvlText w:val="%7."/>
      <w:lvlJc w:val="left"/>
      <w:pPr>
        <w:tabs>
          <w:tab w:val="num" w:pos="5616"/>
        </w:tabs>
        <w:ind w:left="5616" w:hanging="360"/>
      </w:pPr>
      <w:rPr>
        <w:rFonts w:cs="Times New Roman"/>
      </w:rPr>
    </w:lvl>
    <w:lvl w:ilvl="7" w:tplc="00190409" w:tentative="1">
      <w:start w:val="1"/>
      <w:numFmt w:val="lowerLetter"/>
      <w:lvlText w:val="%8."/>
      <w:lvlJc w:val="left"/>
      <w:pPr>
        <w:tabs>
          <w:tab w:val="num" w:pos="6336"/>
        </w:tabs>
        <w:ind w:left="6336" w:hanging="360"/>
      </w:pPr>
      <w:rPr>
        <w:rFonts w:cs="Times New Roman"/>
      </w:rPr>
    </w:lvl>
    <w:lvl w:ilvl="8" w:tplc="001B0409" w:tentative="1">
      <w:start w:val="1"/>
      <w:numFmt w:val="lowerRoman"/>
      <w:lvlText w:val="%9."/>
      <w:lvlJc w:val="right"/>
      <w:pPr>
        <w:tabs>
          <w:tab w:val="num" w:pos="7056"/>
        </w:tabs>
        <w:ind w:left="7056" w:hanging="180"/>
      </w:pPr>
      <w:rPr>
        <w:rFonts w:cs="Times New Roman"/>
      </w:rPr>
    </w:lvl>
  </w:abstractNum>
  <w:abstractNum w:abstractNumId="3">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3A3717AF"/>
    <w:multiLevelType w:val="hybridMultilevel"/>
    <w:tmpl w:val="FB6AD8E0"/>
    <w:lvl w:ilvl="0" w:tplc="6B84312E">
      <w:start w:val="1"/>
      <w:numFmt w:val="bullet"/>
      <w:lvlText w:val=""/>
      <w:lvlJc w:val="left"/>
      <w:pPr>
        <w:tabs>
          <w:tab w:val="num" w:pos="1260"/>
        </w:tabs>
        <w:ind w:left="1260" w:hanging="360"/>
      </w:pPr>
      <w:rPr>
        <w:rFonts w:ascii="Symbol" w:hAnsi="Symbol" w:hint="default"/>
        <w:b w:val="0"/>
        <w:i w:val="0"/>
        <w:color w:val="auto"/>
        <w:sz w:val="12"/>
      </w:rPr>
    </w:lvl>
    <w:lvl w:ilvl="1" w:tplc="04090001">
      <w:start w:val="1"/>
      <w:numFmt w:val="bullet"/>
      <w:lvlText w:val=""/>
      <w:lvlJc w:val="left"/>
      <w:pPr>
        <w:tabs>
          <w:tab w:val="num" w:pos="1260"/>
        </w:tabs>
        <w:ind w:left="1260" w:hanging="360"/>
      </w:pPr>
      <w:rPr>
        <w:rFonts w:ascii="Symbol" w:hAnsi="Symbol" w:hint="default"/>
        <w:b w:val="0"/>
        <w:i w:val="0"/>
        <w:color w:val="auto"/>
        <w:sz w:val="12"/>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3B52D7"/>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9">
    <w:nsid w:val="4F122D7A"/>
    <w:multiLevelType w:val="hybridMultilevel"/>
    <w:tmpl w:val="F4D0885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41917A7"/>
    <w:multiLevelType w:val="hybridMultilevel"/>
    <w:tmpl w:val="18305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63630EC5"/>
    <w:multiLevelType w:val="hybridMultilevel"/>
    <w:tmpl w:val="A1CA4B6A"/>
    <w:lvl w:ilvl="0" w:tplc="0409000F">
      <w:start w:val="1"/>
      <w:numFmt w:val="decimal"/>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6DEA6A77"/>
    <w:multiLevelType w:val="hybridMultilevel"/>
    <w:tmpl w:val="3B5E0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6FC77120"/>
    <w:multiLevelType w:val="hybridMultilevel"/>
    <w:tmpl w:val="3E28DBAE"/>
    <w:lvl w:ilvl="0" w:tplc="6B84312E">
      <w:start w:val="1"/>
      <w:numFmt w:val="bullet"/>
      <w:lvlText w:val=""/>
      <w:lvlJc w:val="left"/>
      <w:pPr>
        <w:tabs>
          <w:tab w:val="num" w:pos="720"/>
        </w:tabs>
        <w:ind w:left="720" w:hanging="360"/>
      </w:pPr>
      <w:rPr>
        <w:rFonts w:ascii="Symbol" w:hAnsi="Symbol" w:hint="default"/>
        <w:b w:val="0"/>
        <w:i w:val="0"/>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
  </w:num>
  <w:num w:numId="4">
    <w:abstractNumId w:val="4"/>
  </w:num>
  <w:num w:numId="5">
    <w:abstractNumId w:val="5"/>
  </w:num>
  <w:num w:numId="6">
    <w:abstractNumId w:val="2"/>
  </w:num>
  <w:num w:numId="7">
    <w:abstractNumId w:val="6"/>
  </w:num>
  <w:num w:numId="8">
    <w:abstractNumId w:val="7"/>
  </w:num>
  <w:num w:numId="9">
    <w:abstractNumId w:val="8"/>
  </w:num>
  <w:num w:numId="10">
    <w:abstractNumId w:val="1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2F"/>
    <w:rsid w:val="00001252"/>
    <w:rsid w:val="00006EE4"/>
    <w:rsid w:val="00013E14"/>
    <w:rsid w:val="00025484"/>
    <w:rsid w:val="00025AB8"/>
    <w:rsid w:val="00035251"/>
    <w:rsid w:val="00040F89"/>
    <w:rsid w:val="00046B5F"/>
    <w:rsid w:val="00051A30"/>
    <w:rsid w:val="00052BB2"/>
    <w:rsid w:val="0006284F"/>
    <w:rsid w:val="00067AD5"/>
    <w:rsid w:val="00081E1E"/>
    <w:rsid w:val="00093885"/>
    <w:rsid w:val="0009715A"/>
    <w:rsid w:val="00097C6C"/>
    <w:rsid w:val="000B550D"/>
    <w:rsid w:val="000B7FE7"/>
    <w:rsid w:val="000C2D5D"/>
    <w:rsid w:val="000F54A3"/>
    <w:rsid w:val="001076FC"/>
    <w:rsid w:val="001110B2"/>
    <w:rsid w:val="00114A7C"/>
    <w:rsid w:val="0013089D"/>
    <w:rsid w:val="001314E2"/>
    <w:rsid w:val="00134E7E"/>
    <w:rsid w:val="00140935"/>
    <w:rsid w:val="001542B0"/>
    <w:rsid w:val="001548C0"/>
    <w:rsid w:val="00160D04"/>
    <w:rsid w:val="001670AC"/>
    <w:rsid w:val="00196E00"/>
    <w:rsid w:val="001B1D3B"/>
    <w:rsid w:val="001D5B71"/>
    <w:rsid w:val="00200005"/>
    <w:rsid w:val="00204B6D"/>
    <w:rsid w:val="00207E19"/>
    <w:rsid w:val="0024282B"/>
    <w:rsid w:val="00252EE6"/>
    <w:rsid w:val="002A1AEA"/>
    <w:rsid w:val="002C5101"/>
    <w:rsid w:val="002D387F"/>
    <w:rsid w:val="002D4140"/>
    <w:rsid w:val="00307ED6"/>
    <w:rsid w:val="003101F3"/>
    <w:rsid w:val="00311CB1"/>
    <w:rsid w:val="00312480"/>
    <w:rsid w:val="003354DD"/>
    <w:rsid w:val="00343DCD"/>
    <w:rsid w:val="003510DD"/>
    <w:rsid w:val="00354DCD"/>
    <w:rsid w:val="00392993"/>
    <w:rsid w:val="00397F30"/>
    <w:rsid w:val="003B63C1"/>
    <w:rsid w:val="003E2673"/>
    <w:rsid w:val="003E6755"/>
    <w:rsid w:val="003F0D58"/>
    <w:rsid w:val="004012F1"/>
    <w:rsid w:val="004177C1"/>
    <w:rsid w:val="00422789"/>
    <w:rsid w:val="00422AC0"/>
    <w:rsid w:val="00426156"/>
    <w:rsid w:val="0043489D"/>
    <w:rsid w:val="004550E0"/>
    <w:rsid w:val="00455DC0"/>
    <w:rsid w:val="0047751C"/>
    <w:rsid w:val="0048514F"/>
    <w:rsid w:val="004912D1"/>
    <w:rsid w:val="004920DA"/>
    <w:rsid w:val="004C12B1"/>
    <w:rsid w:val="004D2C56"/>
    <w:rsid w:val="004D44B2"/>
    <w:rsid w:val="004F1F4E"/>
    <w:rsid w:val="004F37B9"/>
    <w:rsid w:val="004F58D2"/>
    <w:rsid w:val="00507E41"/>
    <w:rsid w:val="005330F0"/>
    <w:rsid w:val="00537296"/>
    <w:rsid w:val="005374EB"/>
    <w:rsid w:val="00537B81"/>
    <w:rsid w:val="00564F86"/>
    <w:rsid w:val="005E0711"/>
    <w:rsid w:val="005E5442"/>
    <w:rsid w:val="005F4875"/>
    <w:rsid w:val="0060715A"/>
    <w:rsid w:val="00627CEF"/>
    <w:rsid w:val="006300D8"/>
    <w:rsid w:val="006424C3"/>
    <w:rsid w:val="00647671"/>
    <w:rsid w:val="006517C9"/>
    <w:rsid w:val="00656494"/>
    <w:rsid w:val="006663FB"/>
    <w:rsid w:val="00672E22"/>
    <w:rsid w:val="0067313A"/>
    <w:rsid w:val="00675DDB"/>
    <w:rsid w:val="00687F65"/>
    <w:rsid w:val="00697990"/>
    <w:rsid w:val="00697E92"/>
    <w:rsid w:val="006A2040"/>
    <w:rsid w:val="006A21A5"/>
    <w:rsid w:val="006B6D06"/>
    <w:rsid w:val="006C22B0"/>
    <w:rsid w:val="006C37F1"/>
    <w:rsid w:val="006D4385"/>
    <w:rsid w:val="006E043C"/>
    <w:rsid w:val="006F330C"/>
    <w:rsid w:val="00713DBE"/>
    <w:rsid w:val="00714C28"/>
    <w:rsid w:val="0072042D"/>
    <w:rsid w:val="00732C27"/>
    <w:rsid w:val="00763489"/>
    <w:rsid w:val="007731E2"/>
    <w:rsid w:val="00780AD4"/>
    <w:rsid w:val="007815D8"/>
    <w:rsid w:val="007A2AAF"/>
    <w:rsid w:val="007A4F7E"/>
    <w:rsid w:val="007B38A2"/>
    <w:rsid w:val="00801B92"/>
    <w:rsid w:val="00834551"/>
    <w:rsid w:val="008444B2"/>
    <w:rsid w:val="00845282"/>
    <w:rsid w:val="00847C0F"/>
    <w:rsid w:val="0085122D"/>
    <w:rsid w:val="00862BF2"/>
    <w:rsid w:val="00866835"/>
    <w:rsid w:val="00894495"/>
    <w:rsid w:val="00896537"/>
    <w:rsid w:val="008A088D"/>
    <w:rsid w:val="008B3BC9"/>
    <w:rsid w:val="008C455A"/>
    <w:rsid w:val="008E15A7"/>
    <w:rsid w:val="008E26F2"/>
    <w:rsid w:val="00925D73"/>
    <w:rsid w:val="009369B5"/>
    <w:rsid w:val="00966256"/>
    <w:rsid w:val="009670E2"/>
    <w:rsid w:val="0097788D"/>
    <w:rsid w:val="009A4A4E"/>
    <w:rsid w:val="009A61F9"/>
    <w:rsid w:val="009B4A2C"/>
    <w:rsid w:val="009B4E5F"/>
    <w:rsid w:val="009C459F"/>
    <w:rsid w:val="009D5AB4"/>
    <w:rsid w:val="009D7D75"/>
    <w:rsid w:val="00A00A48"/>
    <w:rsid w:val="00A75C4B"/>
    <w:rsid w:val="00A903FC"/>
    <w:rsid w:val="00AA4D58"/>
    <w:rsid w:val="00AB1B6C"/>
    <w:rsid w:val="00AB2948"/>
    <w:rsid w:val="00AB4221"/>
    <w:rsid w:val="00AC1AD4"/>
    <w:rsid w:val="00AD18C0"/>
    <w:rsid w:val="00AD40C3"/>
    <w:rsid w:val="00AE46A5"/>
    <w:rsid w:val="00B04035"/>
    <w:rsid w:val="00B12671"/>
    <w:rsid w:val="00B13669"/>
    <w:rsid w:val="00B15F9B"/>
    <w:rsid w:val="00B4004A"/>
    <w:rsid w:val="00B44B63"/>
    <w:rsid w:val="00B629CE"/>
    <w:rsid w:val="00B63050"/>
    <w:rsid w:val="00B6762C"/>
    <w:rsid w:val="00B86976"/>
    <w:rsid w:val="00BA1188"/>
    <w:rsid w:val="00BA7C7A"/>
    <w:rsid w:val="00BB36E4"/>
    <w:rsid w:val="00BB6A68"/>
    <w:rsid w:val="00BC096E"/>
    <w:rsid w:val="00BC3D7A"/>
    <w:rsid w:val="00BE544C"/>
    <w:rsid w:val="00C06463"/>
    <w:rsid w:val="00C0783B"/>
    <w:rsid w:val="00C225B5"/>
    <w:rsid w:val="00C30635"/>
    <w:rsid w:val="00C55739"/>
    <w:rsid w:val="00C723AC"/>
    <w:rsid w:val="00C810E5"/>
    <w:rsid w:val="00C8796F"/>
    <w:rsid w:val="00CA537A"/>
    <w:rsid w:val="00CD4398"/>
    <w:rsid w:val="00CD6013"/>
    <w:rsid w:val="00CF755E"/>
    <w:rsid w:val="00D169D4"/>
    <w:rsid w:val="00D215F8"/>
    <w:rsid w:val="00D31091"/>
    <w:rsid w:val="00D3249D"/>
    <w:rsid w:val="00D348B6"/>
    <w:rsid w:val="00D50226"/>
    <w:rsid w:val="00D521C7"/>
    <w:rsid w:val="00D63FD5"/>
    <w:rsid w:val="00D86730"/>
    <w:rsid w:val="00DC2963"/>
    <w:rsid w:val="00DC2CAE"/>
    <w:rsid w:val="00DD1A6A"/>
    <w:rsid w:val="00DE7AC3"/>
    <w:rsid w:val="00E03AA9"/>
    <w:rsid w:val="00E0653B"/>
    <w:rsid w:val="00E0792C"/>
    <w:rsid w:val="00E20133"/>
    <w:rsid w:val="00E22D24"/>
    <w:rsid w:val="00E35B5F"/>
    <w:rsid w:val="00E3602F"/>
    <w:rsid w:val="00E45789"/>
    <w:rsid w:val="00E65402"/>
    <w:rsid w:val="00E86B3A"/>
    <w:rsid w:val="00E90111"/>
    <w:rsid w:val="00EA6E83"/>
    <w:rsid w:val="00EB6090"/>
    <w:rsid w:val="00EB6160"/>
    <w:rsid w:val="00ED576C"/>
    <w:rsid w:val="00EE34BE"/>
    <w:rsid w:val="00EE743E"/>
    <w:rsid w:val="00EE7EBC"/>
    <w:rsid w:val="00EF5A6A"/>
    <w:rsid w:val="00F0602D"/>
    <w:rsid w:val="00F31443"/>
    <w:rsid w:val="00F56471"/>
    <w:rsid w:val="00F60FAE"/>
    <w:rsid w:val="00F640BB"/>
    <w:rsid w:val="00F64B9C"/>
    <w:rsid w:val="00F81DC5"/>
    <w:rsid w:val="00F84DC4"/>
    <w:rsid w:val="00F92A98"/>
    <w:rsid w:val="00F96787"/>
    <w:rsid w:val="00FD4AE4"/>
    <w:rsid w:val="00FE33DF"/>
    <w:rsid w:val="00FE4A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22"/>
    <w:rPr>
      <w:sz w:val="20"/>
      <w:szCs w:val="20"/>
    </w:rPr>
  </w:style>
  <w:style w:type="paragraph" w:styleId="Heading1">
    <w:name w:val="heading 1"/>
    <w:basedOn w:val="Normal"/>
    <w:next w:val="Normal"/>
    <w:link w:val="Heading1Char"/>
    <w:uiPriority w:val="99"/>
    <w:qFormat/>
    <w:rsid w:val="00BA7C7A"/>
    <w:pPr>
      <w:keepNext/>
      <w:outlineLvl w:val="0"/>
    </w:pPr>
    <w:rPr>
      <w:rFonts w:ascii="Arial" w:hAnsi="Arial" w:cs="Arial"/>
      <w:b/>
      <w:bCs/>
      <w:sz w:val="24"/>
    </w:rPr>
  </w:style>
  <w:style w:type="paragraph" w:styleId="Heading2">
    <w:name w:val="heading 2"/>
    <w:basedOn w:val="Normal"/>
    <w:next w:val="Normal"/>
    <w:link w:val="Heading2Char"/>
    <w:uiPriority w:val="99"/>
    <w:qFormat/>
    <w:rsid w:val="00BA7C7A"/>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2D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22D24"/>
    <w:rPr>
      <w:rFonts w:ascii="Cambria" w:hAnsi="Cambria" w:cs="Times New Roman"/>
      <w:b/>
      <w:bCs/>
      <w:i/>
      <w:iCs/>
      <w:sz w:val="28"/>
      <w:szCs w:val="28"/>
    </w:rPr>
  </w:style>
  <w:style w:type="paragraph" w:styleId="BodyText">
    <w:name w:val="Body Text"/>
    <w:basedOn w:val="Normal"/>
    <w:link w:val="BodyTextChar"/>
    <w:uiPriority w:val="99"/>
    <w:semiHidden/>
    <w:rsid w:val="00BA7C7A"/>
    <w:rPr>
      <w:sz w:val="24"/>
    </w:rPr>
  </w:style>
  <w:style w:type="character" w:customStyle="1" w:styleId="BodyTextChar">
    <w:name w:val="Body Text Char"/>
    <w:basedOn w:val="DefaultParagraphFont"/>
    <w:link w:val="BodyText"/>
    <w:uiPriority w:val="99"/>
    <w:semiHidden/>
    <w:locked/>
    <w:rsid w:val="00E22D24"/>
    <w:rPr>
      <w:rFonts w:cs="Times New Roman"/>
      <w:sz w:val="20"/>
      <w:szCs w:val="20"/>
    </w:rPr>
  </w:style>
  <w:style w:type="paragraph" w:styleId="BalloonText">
    <w:name w:val="Balloon Text"/>
    <w:basedOn w:val="Normal"/>
    <w:link w:val="BalloonTextChar"/>
    <w:uiPriority w:val="99"/>
    <w:semiHidden/>
    <w:rsid w:val="00BA7C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2D24"/>
    <w:rPr>
      <w:rFonts w:cs="Times New Roman"/>
      <w:sz w:val="2"/>
    </w:rPr>
  </w:style>
  <w:style w:type="character" w:styleId="Hyperlink">
    <w:name w:val="Hyperlink"/>
    <w:basedOn w:val="DefaultParagraphFont"/>
    <w:uiPriority w:val="99"/>
    <w:semiHidden/>
    <w:rsid w:val="00BA7C7A"/>
    <w:rPr>
      <w:rFonts w:cs="Times New Roman"/>
      <w:color w:val="0000FF"/>
      <w:u w:val="single"/>
    </w:rPr>
  </w:style>
  <w:style w:type="character" w:styleId="CommentReference">
    <w:name w:val="annotation reference"/>
    <w:basedOn w:val="DefaultParagraphFont"/>
    <w:uiPriority w:val="99"/>
    <w:semiHidden/>
    <w:rsid w:val="00FE33DF"/>
    <w:rPr>
      <w:rFonts w:cs="Times New Roman"/>
      <w:sz w:val="16"/>
      <w:szCs w:val="16"/>
    </w:rPr>
  </w:style>
  <w:style w:type="paragraph" w:styleId="CommentText">
    <w:name w:val="annotation text"/>
    <w:basedOn w:val="Normal"/>
    <w:link w:val="CommentTextChar"/>
    <w:uiPriority w:val="99"/>
    <w:semiHidden/>
    <w:rsid w:val="00FE33DF"/>
  </w:style>
  <w:style w:type="character" w:customStyle="1" w:styleId="CommentTextChar">
    <w:name w:val="Comment Text Char"/>
    <w:basedOn w:val="DefaultParagraphFont"/>
    <w:link w:val="CommentText"/>
    <w:uiPriority w:val="99"/>
    <w:semiHidden/>
    <w:locked/>
    <w:rsid w:val="00FE33DF"/>
    <w:rPr>
      <w:rFonts w:cs="Times New Roman"/>
    </w:rPr>
  </w:style>
  <w:style w:type="paragraph" w:styleId="CommentSubject">
    <w:name w:val="annotation subject"/>
    <w:basedOn w:val="CommentText"/>
    <w:next w:val="CommentText"/>
    <w:link w:val="CommentSubjectChar"/>
    <w:uiPriority w:val="99"/>
    <w:semiHidden/>
    <w:rsid w:val="00FE33DF"/>
    <w:rPr>
      <w:b/>
      <w:bCs/>
    </w:rPr>
  </w:style>
  <w:style w:type="character" w:customStyle="1" w:styleId="CommentSubjectChar">
    <w:name w:val="Comment Subject Char"/>
    <w:basedOn w:val="CommentTextChar"/>
    <w:link w:val="CommentSubject"/>
    <w:uiPriority w:val="99"/>
    <w:semiHidden/>
    <w:locked/>
    <w:rsid w:val="00FE33DF"/>
    <w:rPr>
      <w:rFonts w:cs="Times New Roman"/>
      <w:b/>
      <w:bCs/>
    </w:rPr>
  </w:style>
  <w:style w:type="paragraph" w:styleId="Footer">
    <w:name w:val="footer"/>
    <w:basedOn w:val="Normal"/>
    <w:link w:val="FooterChar"/>
    <w:uiPriority w:val="99"/>
    <w:rsid w:val="005374EB"/>
    <w:pPr>
      <w:tabs>
        <w:tab w:val="center" w:pos="4320"/>
        <w:tab w:val="right" w:pos="8640"/>
      </w:tabs>
    </w:pPr>
  </w:style>
  <w:style w:type="character" w:customStyle="1" w:styleId="FooterChar">
    <w:name w:val="Footer Char"/>
    <w:basedOn w:val="DefaultParagraphFont"/>
    <w:link w:val="Footer"/>
    <w:uiPriority w:val="99"/>
    <w:semiHidden/>
    <w:locked/>
    <w:rsid w:val="00E22D24"/>
    <w:rPr>
      <w:rFonts w:cs="Times New Roman"/>
      <w:sz w:val="20"/>
      <w:szCs w:val="20"/>
    </w:rPr>
  </w:style>
  <w:style w:type="character" w:styleId="PageNumber">
    <w:name w:val="page number"/>
    <w:basedOn w:val="DefaultParagraphFont"/>
    <w:uiPriority w:val="99"/>
    <w:rsid w:val="005374EB"/>
    <w:rPr>
      <w:rFonts w:cs="Times New Roman"/>
    </w:rPr>
  </w:style>
  <w:style w:type="character" w:customStyle="1" w:styleId="apple-converted-space">
    <w:name w:val="apple-converted-space"/>
    <w:basedOn w:val="DefaultParagraphFont"/>
    <w:rsid w:val="0048514F"/>
  </w:style>
  <w:style w:type="paragraph" w:styleId="Header">
    <w:name w:val="header"/>
    <w:basedOn w:val="Normal"/>
    <w:link w:val="HeaderChar"/>
    <w:uiPriority w:val="99"/>
    <w:unhideWhenUsed/>
    <w:rsid w:val="00307ED6"/>
    <w:pPr>
      <w:tabs>
        <w:tab w:val="center" w:pos="4680"/>
        <w:tab w:val="right" w:pos="9360"/>
      </w:tabs>
    </w:pPr>
  </w:style>
  <w:style w:type="character" w:customStyle="1" w:styleId="HeaderChar">
    <w:name w:val="Header Char"/>
    <w:basedOn w:val="DefaultParagraphFont"/>
    <w:link w:val="Header"/>
    <w:uiPriority w:val="99"/>
    <w:rsid w:val="00307ED6"/>
    <w:rPr>
      <w:sz w:val="20"/>
      <w:szCs w:val="20"/>
    </w:rPr>
  </w:style>
  <w:style w:type="paragraph" w:styleId="Revision">
    <w:name w:val="Revision"/>
    <w:hidden/>
    <w:uiPriority w:val="99"/>
    <w:semiHidden/>
    <w:rsid w:val="00307ED6"/>
    <w:rPr>
      <w:sz w:val="20"/>
      <w:szCs w:val="20"/>
    </w:rPr>
  </w:style>
  <w:style w:type="paragraph" w:styleId="ListParagraph">
    <w:name w:val="List Paragraph"/>
    <w:basedOn w:val="Normal"/>
    <w:uiPriority w:val="34"/>
    <w:qFormat/>
    <w:rsid w:val="00BA11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22"/>
    <w:rPr>
      <w:sz w:val="20"/>
      <w:szCs w:val="20"/>
    </w:rPr>
  </w:style>
  <w:style w:type="paragraph" w:styleId="Heading1">
    <w:name w:val="heading 1"/>
    <w:basedOn w:val="Normal"/>
    <w:next w:val="Normal"/>
    <w:link w:val="Heading1Char"/>
    <w:uiPriority w:val="99"/>
    <w:qFormat/>
    <w:rsid w:val="00BA7C7A"/>
    <w:pPr>
      <w:keepNext/>
      <w:outlineLvl w:val="0"/>
    </w:pPr>
    <w:rPr>
      <w:rFonts w:ascii="Arial" w:hAnsi="Arial" w:cs="Arial"/>
      <w:b/>
      <w:bCs/>
      <w:sz w:val="24"/>
    </w:rPr>
  </w:style>
  <w:style w:type="paragraph" w:styleId="Heading2">
    <w:name w:val="heading 2"/>
    <w:basedOn w:val="Normal"/>
    <w:next w:val="Normal"/>
    <w:link w:val="Heading2Char"/>
    <w:uiPriority w:val="99"/>
    <w:qFormat/>
    <w:rsid w:val="00BA7C7A"/>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2D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22D24"/>
    <w:rPr>
      <w:rFonts w:ascii="Cambria" w:hAnsi="Cambria" w:cs="Times New Roman"/>
      <w:b/>
      <w:bCs/>
      <w:i/>
      <w:iCs/>
      <w:sz w:val="28"/>
      <w:szCs w:val="28"/>
    </w:rPr>
  </w:style>
  <w:style w:type="paragraph" w:styleId="BodyText">
    <w:name w:val="Body Text"/>
    <w:basedOn w:val="Normal"/>
    <w:link w:val="BodyTextChar"/>
    <w:uiPriority w:val="99"/>
    <w:semiHidden/>
    <w:rsid w:val="00BA7C7A"/>
    <w:rPr>
      <w:sz w:val="24"/>
    </w:rPr>
  </w:style>
  <w:style w:type="character" w:customStyle="1" w:styleId="BodyTextChar">
    <w:name w:val="Body Text Char"/>
    <w:basedOn w:val="DefaultParagraphFont"/>
    <w:link w:val="BodyText"/>
    <w:uiPriority w:val="99"/>
    <w:semiHidden/>
    <w:locked/>
    <w:rsid w:val="00E22D24"/>
    <w:rPr>
      <w:rFonts w:cs="Times New Roman"/>
      <w:sz w:val="20"/>
      <w:szCs w:val="20"/>
    </w:rPr>
  </w:style>
  <w:style w:type="paragraph" w:styleId="BalloonText">
    <w:name w:val="Balloon Text"/>
    <w:basedOn w:val="Normal"/>
    <w:link w:val="BalloonTextChar"/>
    <w:uiPriority w:val="99"/>
    <w:semiHidden/>
    <w:rsid w:val="00BA7C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2D24"/>
    <w:rPr>
      <w:rFonts w:cs="Times New Roman"/>
      <w:sz w:val="2"/>
    </w:rPr>
  </w:style>
  <w:style w:type="character" w:styleId="Hyperlink">
    <w:name w:val="Hyperlink"/>
    <w:basedOn w:val="DefaultParagraphFont"/>
    <w:uiPriority w:val="99"/>
    <w:semiHidden/>
    <w:rsid w:val="00BA7C7A"/>
    <w:rPr>
      <w:rFonts w:cs="Times New Roman"/>
      <w:color w:val="0000FF"/>
      <w:u w:val="single"/>
    </w:rPr>
  </w:style>
  <w:style w:type="character" w:styleId="CommentReference">
    <w:name w:val="annotation reference"/>
    <w:basedOn w:val="DefaultParagraphFont"/>
    <w:uiPriority w:val="99"/>
    <w:semiHidden/>
    <w:rsid w:val="00FE33DF"/>
    <w:rPr>
      <w:rFonts w:cs="Times New Roman"/>
      <w:sz w:val="16"/>
      <w:szCs w:val="16"/>
    </w:rPr>
  </w:style>
  <w:style w:type="paragraph" w:styleId="CommentText">
    <w:name w:val="annotation text"/>
    <w:basedOn w:val="Normal"/>
    <w:link w:val="CommentTextChar"/>
    <w:uiPriority w:val="99"/>
    <w:semiHidden/>
    <w:rsid w:val="00FE33DF"/>
  </w:style>
  <w:style w:type="character" w:customStyle="1" w:styleId="CommentTextChar">
    <w:name w:val="Comment Text Char"/>
    <w:basedOn w:val="DefaultParagraphFont"/>
    <w:link w:val="CommentText"/>
    <w:uiPriority w:val="99"/>
    <w:semiHidden/>
    <w:locked/>
    <w:rsid w:val="00FE33DF"/>
    <w:rPr>
      <w:rFonts w:cs="Times New Roman"/>
    </w:rPr>
  </w:style>
  <w:style w:type="paragraph" w:styleId="CommentSubject">
    <w:name w:val="annotation subject"/>
    <w:basedOn w:val="CommentText"/>
    <w:next w:val="CommentText"/>
    <w:link w:val="CommentSubjectChar"/>
    <w:uiPriority w:val="99"/>
    <w:semiHidden/>
    <w:rsid w:val="00FE33DF"/>
    <w:rPr>
      <w:b/>
      <w:bCs/>
    </w:rPr>
  </w:style>
  <w:style w:type="character" w:customStyle="1" w:styleId="CommentSubjectChar">
    <w:name w:val="Comment Subject Char"/>
    <w:basedOn w:val="CommentTextChar"/>
    <w:link w:val="CommentSubject"/>
    <w:uiPriority w:val="99"/>
    <w:semiHidden/>
    <w:locked/>
    <w:rsid w:val="00FE33DF"/>
    <w:rPr>
      <w:rFonts w:cs="Times New Roman"/>
      <w:b/>
      <w:bCs/>
    </w:rPr>
  </w:style>
  <w:style w:type="paragraph" w:styleId="Footer">
    <w:name w:val="footer"/>
    <w:basedOn w:val="Normal"/>
    <w:link w:val="FooterChar"/>
    <w:uiPriority w:val="99"/>
    <w:rsid w:val="005374EB"/>
    <w:pPr>
      <w:tabs>
        <w:tab w:val="center" w:pos="4320"/>
        <w:tab w:val="right" w:pos="8640"/>
      </w:tabs>
    </w:pPr>
  </w:style>
  <w:style w:type="character" w:customStyle="1" w:styleId="FooterChar">
    <w:name w:val="Footer Char"/>
    <w:basedOn w:val="DefaultParagraphFont"/>
    <w:link w:val="Footer"/>
    <w:uiPriority w:val="99"/>
    <w:semiHidden/>
    <w:locked/>
    <w:rsid w:val="00E22D24"/>
    <w:rPr>
      <w:rFonts w:cs="Times New Roman"/>
      <w:sz w:val="20"/>
      <w:szCs w:val="20"/>
    </w:rPr>
  </w:style>
  <w:style w:type="character" w:styleId="PageNumber">
    <w:name w:val="page number"/>
    <w:basedOn w:val="DefaultParagraphFont"/>
    <w:uiPriority w:val="99"/>
    <w:rsid w:val="005374EB"/>
    <w:rPr>
      <w:rFonts w:cs="Times New Roman"/>
    </w:rPr>
  </w:style>
  <w:style w:type="character" w:customStyle="1" w:styleId="apple-converted-space">
    <w:name w:val="apple-converted-space"/>
    <w:basedOn w:val="DefaultParagraphFont"/>
    <w:rsid w:val="0048514F"/>
  </w:style>
  <w:style w:type="paragraph" w:styleId="Header">
    <w:name w:val="header"/>
    <w:basedOn w:val="Normal"/>
    <w:link w:val="HeaderChar"/>
    <w:uiPriority w:val="99"/>
    <w:unhideWhenUsed/>
    <w:rsid w:val="00307ED6"/>
    <w:pPr>
      <w:tabs>
        <w:tab w:val="center" w:pos="4680"/>
        <w:tab w:val="right" w:pos="9360"/>
      </w:tabs>
    </w:pPr>
  </w:style>
  <w:style w:type="character" w:customStyle="1" w:styleId="HeaderChar">
    <w:name w:val="Header Char"/>
    <w:basedOn w:val="DefaultParagraphFont"/>
    <w:link w:val="Header"/>
    <w:uiPriority w:val="99"/>
    <w:rsid w:val="00307ED6"/>
    <w:rPr>
      <w:sz w:val="20"/>
      <w:szCs w:val="20"/>
    </w:rPr>
  </w:style>
  <w:style w:type="paragraph" w:styleId="Revision">
    <w:name w:val="Revision"/>
    <w:hidden/>
    <w:uiPriority w:val="99"/>
    <w:semiHidden/>
    <w:rsid w:val="00307ED6"/>
    <w:rPr>
      <w:sz w:val="20"/>
      <w:szCs w:val="20"/>
    </w:rPr>
  </w:style>
  <w:style w:type="paragraph" w:styleId="ListParagraph">
    <w:name w:val="List Paragraph"/>
    <w:basedOn w:val="Normal"/>
    <w:uiPriority w:val="34"/>
    <w:qFormat/>
    <w:rsid w:val="00BA1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5698">
      <w:bodyDiv w:val="1"/>
      <w:marLeft w:val="0"/>
      <w:marRight w:val="0"/>
      <w:marTop w:val="0"/>
      <w:marBottom w:val="0"/>
      <w:divBdr>
        <w:top w:val="none" w:sz="0" w:space="0" w:color="auto"/>
        <w:left w:val="none" w:sz="0" w:space="0" w:color="auto"/>
        <w:bottom w:val="none" w:sz="0" w:space="0" w:color="auto"/>
        <w:right w:val="none" w:sz="0" w:space="0" w:color="auto"/>
      </w:divBdr>
    </w:div>
    <w:div w:id="76874862">
      <w:bodyDiv w:val="1"/>
      <w:marLeft w:val="0"/>
      <w:marRight w:val="0"/>
      <w:marTop w:val="0"/>
      <w:marBottom w:val="0"/>
      <w:divBdr>
        <w:top w:val="none" w:sz="0" w:space="0" w:color="auto"/>
        <w:left w:val="none" w:sz="0" w:space="0" w:color="auto"/>
        <w:bottom w:val="none" w:sz="0" w:space="0" w:color="auto"/>
        <w:right w:val="none" w:sz="0" w:space="0" w:color="auto"/>
      </w:divBdr>
    </w:div>
    <w:div w:id="565803908">
      <w:bodyDiv w:val="1"/>
      <w:marLeft w:val="0"/>
      <w:marRight w:val="0"/>
      <w:marTop w:val="0"/>
      <w:marBottom w:val="0"/>
      <w:divBdr>
        <w:top w:val="none" w:sz="0" w:space="0" w:color="auto"/>
        <w:left w:val="none" w:sz="0" w:space="0" w:color="auto"/>
        <w:bottom w:val="none" w:sz="0" w:space="0" w:color="auto"/>
        <w:right w:val="none" w:sz="0" w:space="0" w:color="auto"/>
      </w:divBdr>
    </w:div>
    <w:div w:id="619410699">
      <w:bodyDiv w:val="1"/>
      <w:marLeft w:val="0"/>
      <w:marRight w:val="0"/>
      <w:marTop w:val="0"/>
      <w:marBottom w:val="0"/>
      <w:divBdr>
        <w:top w:val="none" w:sz="0" w:space="0" w:color="auto"/>
        <w:left w:val="none" w:sz="0" w:space="0" w:color="auto"/>
        <w:bottom w:val="none" w:sz="0" w:space="0" w:color="auto"/>
        <w:right w:val="none" w:sz="0" w:space="0" w:color="auto"/>
      </w:divBdr>
    </w:div>
    <w:div w:id="765148317">
      <w:bodyDiv w:val="1"/>
      <w:marLeft w:val="0"/>
      <w:marRight w:val="0"/>
      <w:marTop w:val="0"/>
      <w:marBottom w:val="0"/>
      <w:divBdr>
        <w:top w:val="none" w:sz="0" w:space="0" w:color="auto"/>
        <w:left w:val="none" w:sz="0" w:space="0" w:color="auto"/>
        <w:bottom w:val="none" w:sz="0" w:space="0" w:color="auto"/>
        <w:right w:val="none" w:sz="0" w:space="0" w:color="auto"/>
      </w:divBdr>
    </w:div>
    <w:div w:id="1291933303">
      <w:bodyDiv w:val="1"/>
      <w:marLeft w:val="0"/>
      <w:marRight w:val="0"/>
      <w:marTop w:val="0"/>
      <w:marBottom w:val="0"/>
      <w:divBdr>
        <w:top w:val="none" w:sz="0" w:space="0" w:color="auto"/>
        <w:left w:val="none" w:sz="0" w:space="0" w:color="auto"/>
        <w:bottom w:val="none" w:sz="0" w:space="0" w:color="auto"/>
        <w:right w:val="none" w:sz="0" w:space="0" w:color="auto"/>
      </w:divBdr>
    </w:div>
    <w:div w:id="1388258467">
      <w:bodyDiv w:val="1"/>
      <w:marLeft w:val="0"/>
      <w:marRight w:val="0"/>
      <w:marTop w:val="0"/>
      <w:marBottom w:val="0"/>
      <w:divBdr>
        <w:top w:val="none" w:sz="0" w:space="0" w:color="auto"/>
        <w:left w:val="none" w:sz="0" w:space="0" w:color="auto"/>
        <w:bottom w:val="none" w:sz="0" w:space="0" w:color="auto"/>
        <w:right w:val="none" w:sz="0" w:space="0" w:color="auto"/>
      </w:divBdr>
    </w:div>
    <w:div w:id="1446577313">
      <w:bodyDiv w:val="1"/>
      <w:marLeft w:val="0"/>
      <w:marRight w:val="0"/>
      <w:marTop w:val="0"/>
      <w:marBottom w:val="0"/>
      <w:divBdr>
        <w:top w:val="none" w:sz="0" w:space="0" w:color="auto"/>
        <w:left w:val="none" w:sz="0" w:space="0" w:color="auto"/>
        <w:bottom w:val="none" w:sz="0" w:space="0" w:color="auto"/>
        <w:right w:val="none" w:sz="0" w:space="0" w:color="auto"/>
      </w:divBdr>
    </w:div>
    <w:div w:id="1547907708">
      <w:bodyDiv w:val="1"/>
      <w:marLeft w:val="0"/>
      <w:marRight w:val="0"/>
      <w:marTop w:val="0"/>
      <w:marBottom w:val="0"/>
      <w:divBdr>
        <w:top w:val="none" w:sz="0" w:space="0" w:color="auto"/>
        <w:left w:val="none" w:sz="0" w:space="0" w:color="auto"/>
        <w:bottom w:val="none" w:sz="0" w:space="0" w:color="auto"/>
        <w:right w:val="none" w:sz="0" w:space="0" w:color="auto"/>
      </w:divBdr>
    </w:div>
    <w:div w:id="1947344426">
      <w:bodyDiv w:val="1"/>
      <w:marLeft w:val="0"/>
      <w:marRight w:val="0"/>
      <w:marTop w:val="0"/>
      <w:marBottom w:val="0"/>
      <w:divBdr>
        <w:top w:val="none" w:sz="0" w:space="0" w:color="auto"/>
        <w:left w:val="none" w:sz="0" w:space="0" w:color="auto"/>
        <w:bottom w:val="none" w:sz="0" w:space="0" w:color="auto"/>
        <w:right w:val="none" w:sz="0" w:space="0" w:color="auto"/>
      </w:divBdr>
    </w:div>
    <w:div w:id="20090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ather.Osborne@va.gov" TargetMode="External"/><Relationship Id="rId18" Type="http://schemas.openxmlformats.org/officeDocument/2006/relationships/hyperlink" Target="mailto:" TargetMode="External"/><Relationship Id="rId26" Type="http://schemas.openxmlformats.org/officeDocument/2006/relationships/hyperlink" Target="mailto:Lisa.thomas4@va.gov" TargetMode="External"/><Relationship Id="rId3" Type="http://schemas.openxmlformats.org/officeDocument/2006/relationships/styles" Target="styles.xml"/><Relationship Id="rId21" Type="http://schemas.openxmlformats.org/officeDocument/2006/relationships/hyperlink" Target="mailto:Bill.Spruce@va.gov"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oncelle.james@va.gov" TargetMode="External"/><Relationship Id="rId17" Type="http://schemas.openxmlformats.org/officeDocument/2006/relationships/hyperlink" Target="mailto:Christopher" TargetMode="External"/><Relationship Id="rId25" Type="http://schemas.openxmlformats.org/officeDocument/2006/relationships/hyperlink" Target="mailto:Lis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ashonda.henry-pugh@va.gov" TargetMode="External"/><Relationship Id="rId20" Type="http://schemas.openxmlformats.org/officeDocument/2006/relationships/hyperlink" Target="mailto:Danita.cohen@va.gov" TargetMode="External"/><Relationship Id="rId29" Type="http://schemas.openxmlformats.org/officeDocument/2006/relationships/hyperlink" Target="mailto:Tara.porter@jdp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Greenwell@va.gov" TargetMode="External"/><Relationship Id="rId24" Type="http://schemas.openxmlformats.org/officeDocument/2006/relationships/hyperlink" Target="mailto:Nelson.Foster@va.gov"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Jennifer.Reaser-Feuer@va.gov" TargetMode="External"/><Relationship Id="rId23" Type="http://schemas.openxmlformats.org/officeDocument/2006/relationships/hyperlink" Target="mailto:Elysium.Drum@va.gov" TargetMode="External"/><Relationship Id="rId28" Type="http://schemas.openxmlformats.org/officeDocument/2006/relationships/hyperlink" Target="mailto:Greg.Truex@jdpa.com" TargetMode="External"/><Relationship Id="rId10" Type="http://schemas.openxmlformats.org/officeDocument/2006/relationships/hyperlink" Target="mailto:Bernita.Upshaw@va.gov" TargetMode="External"/><Relationship Id="rId19" Type="http://schemas.openxmlformats.org/officeDocument/2006/relationships/hyperlink" Target="mailto:Christopher.Sutherland@va.gov"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mela.Liverman@va.gov" TargetMode="External"/><Relationship Id="rId14" Type="http://schemas.openxmlformats.org/officeDocument/2006/relationships/hyperlink" Target="mailto:Robert.Pomarico@va.gov" TargetMode="External"/><Relationship Id="rId22" Type="http://schemas.openxmlformats.org/officeDocument/2006/relationships/hyperlink" Target="mailto:Carleton.Sea@va.gov" TargetMode="External"/><Relationship Id="rId27" Type="http://schemas.openxmlformats.org/officeDocument/2006/relationships/hyperlink" Target="mailto:Kevin.Scott2@va.go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9243A-3AE1-404E-81E7-B1FCB862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3733</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B</vt:lpstr>
    </vt:vector>
  </TitlesOfParts>
  <Company>OMB</Company>
  <LinksUpToDate>false</LinksUpToDate>
  <CharactersWithSpaces>26167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Hee-Seung L. Seu</dc:creator>
  <cp:lastModifiedBy>Dawna Quick</cp:lastModifiedBy>
  <cp:revision>4</cp:revision>
  <cp:lastPrinted>2012-06-22T15:18:00Z</cp:lastPrinted>
  <dcterms:created xsi:type="dcterms:W3CDTF">2016-02-29T18:13:00Z</dcterms:created>
  <dcterms:modified xsi:type="dcterms:W3CDTF">2016-02-29T18:13:00Z</dcterms:modified>
</cp:coreProperties>
</file>