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407" w:rsidRPr="00894407" w:rsidRDefault="00894407" w:rsidP="00894407">
      <w:pPr>
        <w:pStyle w:val="Heading1"/>
        <w:jc w:val="center"/>
        <w:rPr>
          <w:rFonts w:ascii="Times New Roman Bold" w:hAnsi="Times New Roman Bold" w:cs="Times New Roman Bold"/>
          <w:caps/>
          <w:sz w:val="24"/>
          <w:szCs w:val="24"/>
        </w:rPr>
      </w:pPr>
      <w:r w:rsidRPr="00894407">
        <w:rPr>
          <w:rFonts w:ascii="Times New Roman Bold" w:hAnsi="Times New Roman Bold" w:cs="Times New Roman Bold"/>
          <w:caps/>
          <w:sz w:val="24"/>
          <w:szCs w:val="24"/>
        </w:rPr>
        <w:t>Supporting Statement A</w:t>
      </w:r>
    </w:p>
    <w:p w:rsidR="00894407" w:rsidRPr="00894407" w:rsidRDefault="00894407" w:rsidP="00894407">
      <w:pPr>
        <w:pStyle w:val="Heading1"/>
        <w:jc w:val="center"/>
        <w:rPr>
          <w:rFonts w:ascii="Times New Roman" w:hAnsi="Times New Roman" w:cs="Arial"/>
          <w:sz w:val="24"/>
          <w:szCs w:val="24"/>
        </w:rPr>
      </w:pPr>
      <w:r w:rsidRPr="00894407">
        <w:rPr>
          <w:rFonts w:ascii="Times New Roman" w:hAnsi="Times New Roman"/>
          <w:sz w:val="24"/>
          <w:szCs w:val="24"/>
        </w:rPr>
        <w:t>For</w:t>
      </w:r>
    </w:p>
    <w:p w:rsidR="00894407" w:rsidRPr="00894407" w:rsidRDefault="00894407" w:rsidP="00894407">
      <w:pPr>
        <w:pStyle w:val="Heading1"/>
        <w:jc w:val="center"/>
        <w:rPr>
          <w:rFonts w:ascii="Times New Roman" w:hAnsi="Times New Roman"/>
          <w:sz w:val="24"/>
          <w:szCs w:val="24"/>
        </w:rPr>
      </w:pPr>
      <w:r w:rsidRPr="00894407">
        <w:rPr>
          <w:rFonts w:ascii="Times New Roman" w:hAnsi="Times New Roman"/>
          <w:sz w:val="24"/>
          <w:szCs w:val="24"/>
        </w:rPr>
        <w:t xml:space="preserve">Department of Veterans Affairs, Veterans Benefits Administration (VBA) </w:t>
      </w:r>
    </w:p>
    <w:p w:rsidR="00894407" w:rsidRPr="00894407" w:rsidRDefault="00894407" w:rsidP="00894407">
      <w:pPr>
        <w:pStyle w:val="Heading1"/>
        <w:jc w:val="center"/>
        <w:rPr>
          <w:rFonts w:ascii="Times New Roman" w:hAnsi="Times New Roman"/>
          <w:sz w:val="24"/>
          <w:szCs w:val="24"/>
        </w:rPr>
      </w:pPr>
      <w:r w:rsidRPr="00894407">
        <w:rPr>
          <w:rFonts w:ascii="Times New Roman" w:hAnsi="Times New Roman"/>
          <w:sz w:val="24"/>
          <w:szCs w:val="24"/>
        </w:rPr>
        <w:t>Continuous Measurement Satisfaction Research Survey</w:t>
      </w:r>
    </w:p>
    <w:p w:rsidR="00894407" w:rsidRPr="00103475" w:rsidRDefault="00894407" w:rsidP="00894407">
      <w:pPr>
        <w:jc w:val="center"/>
        <w:outlineLvl w:val="0"/>
        <w:rPr>
          <w:b/>
          <w:bCs/>
          <w:sz w:val="24"/>
          <w:szCs w:val="24"/>
        </w:rPr>
      </w:pPr>
      <w:r w:rsidRPr="00894407">
        <w:rPr>
          <w:b/>
          <w:bCs/>
          <w:sz w:val="24"/>
          <w:szCs w:val="24"/>
        </w:rPr>
        <w:t>OMB Control Number:  2900-0782</w:t>
      </w:r>
    </w:p>
    <w:p w:rsidR="00FF09FD" w:rsidRPr="009A6AC2" w:rsidRDefault="00FF09FD"/>
    <w:p w:rsidR="00FF09FD" w:rsidRPr="009A6AC2" w:rsidRDefault="00FF09FD">
      <w:pPr>
        <w:tabs>
          <w:tab w:val="left" w:pos="360"/>
        </w:tabs>
        <w:rPr>
          <w:b/>
          <w:bCs/>
          <w:sz w:val="24"/>
          <w:szCs w:val="24"/>
        </w:rPr>
      </w:pPr>
      <w:r w:rsidRPr="009A6AC2">
        <w:rPr>
          <w:b/>
          <w:bCs/>
          <w:sz w:val="24"/>
          <w:szCs w:val="24"/>
        </w:rPr>
        <w:t xml:space="preserve"> </w:t>
      </w:r>
    </w:p>
    <w:p w:rsidR="00FF09FD" w:rsidRPr="009A6AC2" w:rsidRDefault="00FF09FD">
      <w:pPr>
        <w:tabs>
          <w:tab w:val="left" w:pos="360"/>
        </w:tabs>
        <w:rPr>
          <w:b/>
          <w:bCs/>
          <w:sz w:val="24"/>
          <w:szCs w:val="24"/>
        </w:rPr>
      </w:pPr>
      <w:r w:rsidRPr="009A6AC2">
        <w:rPr>
          <w:b/>
          <w:bCs/>
          <w:sz w:val="24"/>
          <w:szCs w:val="24"/>
        </w:rPr>
        <w:t xml:space="preserve"> A.  JUSTIFICATION</w:t>
      </w:r>
    </w:p>
    <w:p w:rsidR="00FF09FD" w:rsidRPr="009A6AC2" w:rsidRDefault="00FF09FD">
      <w:pPr>
        <w:ind w:left="360"/>
        <w:rPr>
          <w:b/>
          <w:bCs/>
          <w:sz w:val="24"/>
          <w:szCs w:val="24"/>
        </w:rPr>
      </w:pPr>
    </w:p>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 xml:space="preserve">1.  Explain the circumstances that make the collection of information necessary.  Identify legal or administrative requirements that necessitate the collection. Attach a copy of the appropriate section of each statute and regulation mandating or authorizing the collection of information. </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In 2008, VBA recognized a need to develop and design an integrated, comprehensive Voice of the Veteran (VOV) </w:t>
      </w:r>
      <w:r w:rsidR="00803A9E">
        <w:rPr>
          <w:sz w:val="24"/>
          <w:szCs w:val="24"/>
        </w:rPr>
        <w:t>C</w:t>
      </w:r>
      <w:r w:rsidR="00460668">
        <w:rPr>
          <w:sz w:val="24"/>
          <w:szCs w:val="24"/>
        </w:rPr>
        <w:t xml:space="preserve">ontinuous </w:t>
      </w:r>
      <w:r w:rsidR="00A6081F">
        <w:rPr>
          <w:sz w:val="24"/>
          <w:szCs w:val="24"/>
        </w:rPr>
        <w:t>M</w:t>
      </w:r>
      <w:r w:rsidR="00A6081F" w:rsidRPr="009A6AC2">
        <w:rPr>
          <w:sz w:val="24"/>
          <w:szCs w:val="24"/>
        </w:rPr>
        <w:t>easurement</w:t>
      </w:r>
      <w:r w:rsidRPr="009A6AC2">
        <w:rPr>
          <w:sz w:val="24"/>
          <w:szCs w:val="24"/>
        </w:rPr>
        <w:t xml:space="preserve"> </w:t>
      </w:r>
      <w:r w:rsidR="00803A9E">
        <w:rPr>
          <w:sz w:val="24"/>
          <w:szCs w:val="24"/>
        </w:rPr>
        <w:t xml:space="preserve">Study </w:t>
      </w:r>
      <w:r w:rsidRPr="009A6AC2">
        <w:rPr>
          <w:sz w:val="24"/>
          <w:szCs w:val="24"/>
        </w:rPr>
        <w:t>for its lines of business:  Compensation (CS), Pension (P</w:t>
      </w:r>
      <w:r w:rsidR="000260BF">
        <w:rPr>
          <w:sz w:val="24"/>
          <w:szCs w:val="24"/>
        </w:rPr>
        <w:t>S</w:t>
      </w:r>
      <w:r w:rsidRPr="009A6AC2">
        <w:rPr>
          <w:sz w:val="24"/>
          <w:szCs w:val="24"/>
        </w:rPr>
        <w:t>), Education (EDU), Loan Guaranty (LGY) and Vocational Rehabilitation and Employment (VR&amp;E). This continuous measurement program help</w:t>
      </w:r>
      <w:r w:rsidR="00BA7E6D">
        <w:rPr>
          <w:sz w:val="24"/>
          <w:szCs w:val="24"/>
        </w:rPr>
        <w:t>s</w:t>
      </w:r>
      <w:r w:rsidRPr="009A6AC2">
        <w:rPr>
          <w:sz w:val="24"/>
          <w:szCs w:val="24"/>
        </w:rPr>
        <w:t xml:space="preserve"> VBA understand what is important to Veterans relative to benefits and services provided by VBA and provide</w:t>
      </w:r>
      <w:r w:rsidR="00BA7E6D">
        <w:rPr>
          <w:sz w:val="24"/>
          <w:szCs w:val="24"/>
        </w:rPr>
        <w:t>s</w:t>
      </w:r>
      <w:r w:rsidRPr="009A6AC2">
        <w:rPr>
          <w:sz w:val="24"/>
          <w:szCs w:val="24"/>
        </w:rPr>
        <w:t xml:space="preserve"> VA/VBA leadership with actionable and timely Veteran feedback on how VBA is performing against those metrics. Insights help identify opportunities for improvement and measure the impact of improvement initiatives.  </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VBA conducted a benchmark study in Fiscal Year 2013 (October 2012 through January 2013) in order to validate the survey instruments, identify Key Performance Indicators, and establish performance benchmarks. Findings and recommendations </w:t>
      </w:r>
      <w:r w:rsidR="00450947">
        <w:rPr>
          <w:sz w:val="24"/>
          <w:szCs w:val="24"/>
        </w:rPr>
        <w:t xml:space="preserve">were presented to VBA Leadership and stakeholders within each line of business in April 2013. </w:t>
      </w:r>
    </w:p>
    <w:p w:rsidR="00FF09FD" w:rsidRPr="009A6AC2" w:rsidRDefault="00FF09FD">
      <w:pPr>
        <w:rPr>
          <w:sz w:val="24"/>
          <w:szCs w:val="24"/>
        </w:rPr>
      </w:pPr>
    </w:p>
    <w:p w:rsidR="00FF09FD" w:rsidRPr="009A6AC2" w:rsidRDefault="00FF09FD">
      <w:pPr>
        <w:rPr>
          <w:sz w:val="24"/>
          <w:szCs w:val="24"/>
        </w:rPr>
      </w:pPr>
      <w:r w:rsidRPr="009A6AC2">
        <w:rPr>
          <w:sz w:val="24"/>
          <w:szCs w:val="24"/>
        </w:rPr>
        <w:t>Based on interviews conducted,</w:t>
      </w:r>
      <w:r w:rsidR="00894407">
        <w:rPr>
          <w:sz w:val="24"/>
          <w:szCs w:val="24"/>
        </w:rPr>
        <w:t xml:space="preserve"> J.D. Power (JDP</w:t>
      </w:r>
      <w:r w:rsidRPr="009A6AC2">
        <w:rPr>
          <w:sz w:val="24"/>
          <w:szCs w:val="24"/>
        </w:rPr>
        <w:t>) has separated the Veterans experience with VBA into two categories –</w:t>
      </w:r>
      <w:r w:rsidR="000260BF" w:rsidRPr="008A2570">
        <w:rPr>
          <w:i/>
          <w:sz w:val="24"/>
          <w:szCs w:val="24"/>
        </w:rPr>
        <w:t>Access</w:t>
      </w:r>
      <w:r w:rsidRPr="009A6AC2">
        <w:rPr>
          <w:sz w:val="24"/>
          <w:szCs w:val="24"/>
        </w:rPr>
        <w:t xml:space="preserve"> </w:t>
      </w:r>
      <w:r w:rsidR="000260BF">
        <w:rPr>
          <w:sz w:val="24"/>
          <w:szCs w:val="24"/>
        </w:rPr>
        <w:t xml:space="preserve">to </w:t>
      </w:r>
      <w:r w:rsidRPr="009A6AC2">
        <w:rPr>
          <w:sz w:val="24"/>
          <w:szCs w:val="24"/>
        </w:rPr>
        <w:t xml:space="preserve">a Benefit </w:t>
      </w:r>
      <w:r w:rsidR="00450947">
        <w:rPr>
          <w:sz w:val="24"/>
          <w:szCs w:val="24"/>
        </w:rPr>
        <w:t xml:space="preserve">(Transaction-based) </w:t>
      </w:r>
      <w:r w:rsidRPr="009A6AC2">
        <w:rPr>
          <w:sz w:val="24"/>
          <w:szCs w:val="24"/>
        </w:rPr>
        <w:t xml:space="preserve">and </w:t>
      </w:r>
      <w:r w:rsidRPr="009A6AC2">
        <w:rPr>
          <w:i/>
          <w:sz w:val="24"/>
          <w:szCs w:val="24"/>
        </w:rPr>
        <w:t xml:space="preserve">Servicing </w:t>
      </w:r>
      <w:r w:rsidRPr="009A6AC2">
        <w:rPr>
          <w:sz w:val="24"/>
          <w:szCs w:val="24"/>
        </w:rPr>
        <w:t>of a Benefit</w:t>
      </w:r>
      <w:r w:rsidR="00450947">
        <w:rPr>
          <w:sz w:val="24"/>
          <w:szCs w:val="24"/>
        </w:rPr>
        <w:t xml:space="preserve"> (Relationship-based)</w:t>
      </w:r>
      <w:r w:rsidRPr="009A6AC2">
        <w:rPr>
          <w:sz w:val="24"/>
          <w:szCs w:val="24"/>
        </w:rPr>
        <w:t xml:space="preserve">. Stakeholders expressed the need to understand the different elements that make up the overall experience with VBA for the Veteran and wanted to ask questions relevant to each specific population. The following outlines how that </w:t>
      </w:r>
      <w:r w:rsidR="00B547E8">
        <w:rPr>
          <w:sz w:val="24"/>
          <w:szCs w:val="24"/>
        </w:rPr>
        <w:t>is</w:t>
      </w:r>
      <w:r w:rsidRPr="009A6AC2">
        <w:rPr>
          <w:sz w:val="24"/>
          <w:szCs w:val="24"/>
        </w:rPr>
        <w:t xml:space="preserve"> approached with each of the lines of business.</w:t>
      </w:r>
    </w:p>
    <w:p w:rsidR="00FF09FD" w:rsidRPr="009A6AC2" w:rsidRDefault="00FF09FD">
      <w:pPr>
        <w:rPr>
          <w:sz w:val="24"/>
          <w:szCs w:val="24"/>
        </w:rPr>
      </w:pPr>
    </w:p>
    <w:p w:rsidR="00E37E11" w:rsidRPr="003D2967" w:rsidRDefault="00E37E11">
      <w:pPr>
        <w:rPr>
          <w:sz w:val="24"/>
          <w:szCs w:val="24"/>
          <w:u w:val="single"/>
        </w:rPr>
      </w:pPr>
      <w:r w:rsidRPr="003D2967">
        <w:rPr>
          <w:sz w:val="24"/>
          <w:szCs w:val="24"/>
          <w:u w:val="single"/>
        </w:rPr>
        <w:t>Compensation and Pension Programs</w:t>
      </w:r>
    </w:p>
    <w:p w:rsidR="00E37E11" w:rsidRDefault="00E37E11">
      <w:pPr>
        <w:rPr>
          <w:sz w:val="24"/>
          <w:szCs w:val="24"/>
        </w:rPr>
      </w:pPr>
    </w:p>
    <w:p w:rsidR="00E37E11" w:rsidRDefault="00CD3253">
      <w:pPr>
        <w:rPr>
          <w:sz w:val="24"/>
          <w:szCs w:val="24"/>
        </w:rPr>
      </w:pPr>
      <w:r>
        <w:rPr>
          <w:sz w:val="24"/>
          <w:szCs w:val="24"/>
        </w:rPr>
        <w:t xml:space="preserve">During </w:t>
      </w:r>
      <w:r w:rsidR="00B547E8" w:rsidRPr="00650EFF">
        <w:rPr>
          <w:sz w:val="24"/>
          <w:szCs w:val="24"/>
        </w:rPr>
        <w:t>2014</w:t>
      </w:r>
      <w:r w:rsidR="00FB6892">
        <w:rPr>
          <w:sz w:val="24"/>
          <w:szCs w:val="24"/>
        </w:rPr>
        <w:t xml:space="preserve"> </w:t>
      </w:r>
      <w:r w:rsidR="00FF09FD" w:rsidRPr="00650EFF">
        <w:rPr>
          <w:sz w:val="24"/>
          <w:szCs w:val="24"/>
        </w:rPr>
        <w:t xml:space="preserve">J. D. Power </w:t>
      </w:r>
      <w:r w:rsidR="000260BF" w:rsidRPr="00650EFF">
        <w:rPr>
          <w:sz w:val="24"/>
          <w:szCs w:val="24"/>
        </w:rPr>
        <w:t xml:space="preserve">fielded </w:t>
      </w:r>
      <w:r w:rsidR="00FF09FD" w:rsidRPr="00650EFF">
        <w:rPr>
          <w:sz w:val="24"/>
          <w:szCs w:val="24"/>
        </w:rPr>
        <w:t xml:space="preserve">three survey instruments for </w:t>
      </w:r>
      <w:r w:rsidR="009D4F3E">
        <w:rPr>
          <w:sz w:val="24"/>
          <w:szCs w:val="24"/>
        </w:rPr>
        <w:t xml:space="preserve">the </w:t>
      </w:r>
      <w:r w:rsidR="00CB6A59">
        <w:rPr>
          <w:sz w:val="24"/>
          <w:szCs w:val="24"/>
        </w:rPr>
        <w:t xml:space="preserve">Compensation and Pension </w:t>
      </w:r>
      <w:r w:rsidR="009D4F3E">
        <w:rPr>
          <w:sz w:val="24"/>
          <w:szCs w:val="24"/>
        </w:rPr>
        <w:t>programs</w:t>
      </w:r>
      <w:r w:rsidR="00FF09FD" w:rsidRPr="00650EFF">
        <w:rPr>
          <w:sz w:val="24"/>
          <w:szCs w:val="24"/>
        </w:rPr>
        <w:t xml:space="preserve">. </w:t>
      </w:r>
      <w:r w:rsidR="004C7951">
        <w:rPr>
          <w:sz w:val="24"/>
          <w:szCs w:val="24"/>
        </w:rPr>
        <w:t>Discussions with stakeholders from both programs indicated that o</w:t>
      </w:r>
      <w:r w:rsidR="00FF09FD" w:rsidRPr="00650EFF">
        <w:rPr>
          <w:sz w:val="24"/>
          <w:szCs w:val="24"/>
        </w:rPr>
        <w:t xml:space="preserve">ne survey instrument </w:t>
      </w:r>
      <w:r w:rsidR="004C7951">
        <w:rPr>
          <w:sz w:val="24"/>
          <w:szCs w:val="24"/>
        </w:rPr>
        <w:t xml:space="preserve">could be used for both </w:t>
      </w:r>
      <w:r w:rsidR="00FF09FD" w:rsidRPr="00650EFF">
        <w:rPr>
          <w:sz w:val="24"/>
          <w:szCs w:val="24"/>
        </w:rPr>
        <w:t>compensation</w:t>
      </w:r>
      <w:r w:rsidR="009D4F3E">
        <w:rPr>
          <w:sz w:val="24"/>
          <w:szCs w:val="24"/>
        </w:rPr>
        <w:t xml:space="preserve"> </w:t>
      </w:r>
      <w:r w:rsidR="00FF09FD" w:rsidRPr="00650EFF">
        <w:rPr>
          <w:sz w:val="24"/>
          <w:szCs w:val="24"/>
        </w:rPr>
        <w:t xml:space="preserve">and pension </w:t>
      </w:r>
      <w:r w:rsidR="009D4F3E" w:rsidRPr="00650EFF">
        <w:rPr>
          <w:i/>
          <w:sz w:val="24"/>
          <w:szCs w:val="24"/>
        </w:rPr>
        <w:t>Access</w:t>
      </w:r>
      <w:r w:rsidR="009D4F3E" w:rsidRPr="00650EFF">
        <w:rPr>
          <w:sz w:val="24"/>
          <w:szCs w:val="24"/>
        </w:rPr>
        <w:t xml:space="preserve"> category </w:t>
      </w:r>
      <w:r w:rsidR="00FF09FD" w:rsidRPr="00650EFF">
        <w:rPr>
          <w:sz w:val="24"/>
          <w:szCs w:val="24"/>
        </w:rPr>
        <w:t>claimants</w:t>
      </w:r>
      <w:r w:rsidR="009D4F3E">
        <w:rPr>
          <w:sz w:val="24"/>
          <w:szCs w:val="24"/>
        </w:rPr>
        <w:t xml:space="preserve">. </w:t>
      </w:r>
      <w:r w:rsidR="0094596E">
        <w:rPr>
          <w:sz w:val="24"/>
          <w:szCs w:val="24"/>
        </w:rPr>
        <w:t>In FY</w:t>
      </w:r>
      <w:r w:rsidR="009D4F3E">
        <w:rPr>
          <w:sz w:val="24"/>
          <w:szCs w:val="24"/>
        </w:rPr>
        <w:t>2015</w:t>
      </w:r>
      <w:r w:rsidR="003540D0">
        <w:rPr>
          <w:sz w:val="24"/>
          <w:szCs w:val="24"/>
        </w:rPr>
        <w:t xml:space="preserve">, </w:t>
      </w:r>
      <w:r w:rsidR="009D4F3E">
        <w:rPr>
          <w:sz w:val="24"/>
          <w:szCs w:val="24"/>
        </w:rPr>
        <w:t xml:space="preserve">Compensation and Pension identified </w:t>
      </w:r>
      <w:r w:rsidR="003540D0">
        <w:rPr>
          <w:sz w:val="24"/>
          <w:szCs w:val="24"/>
        </w:rPr>
        <w:t xml:space="preserve">the need </w:t>
      </w:r>
      <w:r w:rsidR="00500DFF">
        <w:rPr>
          <w:sz w:val="24"/>
          <w:szCs w:val="24"/>
        </w:rPr>
        <w:t xml:space="preserve">to segment </w:t>
      </w:r>
      <w:r w:rsidR="009D4F3E">
        <w:rPr>
          <w:sz w:val="24"/>
          <w:szCs w:val="24"/>
        </w:rPr>
        <w:t>the</w:t>
      </w:r>
      <w:r w:rsidR="009D4F3E" w:rsidRPr="003D2967">
        <w:rPr>
          <w:i/>
          <w:sz w:val="24"/>
          <w:szCs w:val="24"/>
        </w:rPr>
        <w:t xml:space="preserve"> Access</w:t>
      </w:r>
      <w:r w:rsidR="009D4F3E">
        <w:rPr>
          <w:sz w:val="24"/>
          <w:szCs w:val="24"/>
        </w:rPr>
        <w:t xml:space="preserve"> </w:t>
      </w:r>
      <w:r w:rsidR="00500DFF">
        <w:rPr>
          <w:sz w:val="24"/>
          <w:szCs w:val="24"/>
        </w:rPr>
        <w:t xml:space="preserve">survey </w:t>
      </w:r>
      <w:r w:rsidR="009D4F3E">
        <w:rPr>
          <w:sz w:val="24"/>
          <w:szCs w:val="24"/>
        </w:rPr>
        <w:t>surveys</w:t>
      </w:r>
      <w:r w:rsidR="00500DFF">
        <w:rPr>
          <w:sz w:val="24"/>
          <w:szCs w:val="24"/>
        </w:rPr>
        <w:t xml:space="preserve"> to better </w:t>
      </w:r>
      <w:r w:rsidR="009D4F3E">
        <w:rPr>
          <w:sz w:val="24"/>
          <w:szCs w:val="24"/>
        </w:rPr>
        <w:t xml:space="preserve">serve </w:t>
      </w:r>
      <w:r w:rsidR="00500DFF">
        <w:rPr>
          <w:sz w:val="24"/>
          <w:szCs w:val="24"/>
        </w:rPr>
        <w:t xml:space="preserve">the business needs of each </w:t>
      </w:r>
      <w:r w:rsidR="009D4F3E">
        <w:rPr>
          <w:sz w:val="24"/>
          <w:szCs w:val="24"/>
        </w:rPr>
        <w:t>program</w:t>
      </w:r>
      <w:r w:rsidR="00500DFF">
        <w:rPr>
          <w:sz w:val="24"/>
          <w:szCs w:val="24"/>
        </w:rPr>
        <w:t>.</w:t>
      </w:r>
    </w:p>
    <w:p w:rsidR="00E37E11" w:rsidRDefault="00E37E11">
      <w:pPr>
        <w:rPr>
          <w:sz w:val="24"/>
          <w:szCs w:val="24"/>
        </w:rPr>
      </w:pPr>
    </w:p>
    <w:p w:rsidR="00FF09FD" w:rsidRPr="009A6AC2" w:rsidRDefault="00FF09FD">
      <w:pPr>
        <w:rPr>
          <w:sz w:val="24"/>
          <w:szCs w:val="24"/>
        </w:rPr>
      </w:pPr>
      <w:r w:rsidRPr="0094596E">
        <w:rPr>
          <w:sz w:val="24"/>
          <w:szCs w:val="24"/>
        </w:rPr>
        <w:t xml:space="preserve">The </w:t>
      </w:r>
      <w:r w:rsidR="00CB6A59" w:rsidRPr="003D2967">
        <w:rPr>
          <w:i/>
          <w:sz w:val="24"/>
          <w:szCs w:val="24"/>
        </w:rPr>
        <w:t>Compensation Access</w:t>
      </w:r>
      <w:r w:rsidR="00CB6A59">
        <w:rPr>
          <w:sz w:val="24"/>
          <w:szCs w:val="24"/>
        </w:rPr>
        <w:t xml:space="preserve"> </w:t>
      </w:r>
      <w:r w:rsidRPr="0094596E">
        <w:rPr>
          <w:sz w:val="24"/>
          <w:szCs w:val="24"/>
        </w:rPr>
        <w:t xml:space="preserve">survey pool for the VOV </w:t>
      </w:r>
      <w:r w:rsidR="001415FA" w:rsidRPr="0094596E">
        <w:rPr>
          <w:sz w:val="24"/>
          <w:szCs w:val="24"/>
        </w:rPr>
        <w:t>Continuous Measurement Study</w:t>
      </w:r>
      <w:r w:rsidRPr="0094596E">
        <w:rPr>
          <w:sz w:val="24"/>
          <w:szCs w:val="24"/>
        </w:rPr>
        <w:t xml:space="preserve"> include</w:t>
      </w:r>
      <w:r w:rsidR="00B547E8" w:rsidRPr="0094596E">
        <w:rPr>
          <w:sz w:val="24"/>
          <w:szCs w:val="24"/>
        </w:rPr>
        <w:t>s</w:t>
      </w:r>
      <w:r w:rsidRPr="0094596E">
        <w:rPr>
          <w:sz w:val="24"/>
          <w:szCs w:val="24"/>
        </w:rPr>
        <w:t xml:space="preserve"> individuals who have received a decision on a compensation benefit claim within 30 days</w:t>
      </w:r>
      <w:r w:rsidR="00950F0B" w:rsidRPr="0094596E">
        <w:rPr>
          <w:sz w:val="24"/>
          <w:szCs w:val="24"/>
        </w:rPr>
        <w:t xml:space="preserve"> prior to the fielding period</w:t>
      </w:r>
      <w:r w:rsidRPr="0094596E">
        <w:rPr>
          <w:sz w:val="24"/>
          <w:szCs w:val="24"/>
        </w:rPr>
        <w:t xml:space="preserve">. </w:t>
      </w:r>
      <w:r w:rsidR="009D4F3E">
        <w:rPr>
          <w:sz w:val="24"/>
          <w:szCs w:val="24"/>
        </w:rPr>
        <w:t xml:space="preserve">This </w:t>
      </w:r>
      <w:r w:rsidRPr="0094596E">
        <w:rPr>
          <w:sz w:val="24"/>
          <w:szCs w:val="24"/>
        </w:rPr>
        <w:t xml:space="preserve">includes those who were found eligible on a new or subsequent claim and those who have been denied and </w:t>
      </w:r>
      <w:r w:rsidR="00A7339F" w:rsidRPr="0094596E">
        <w:rPr>
          <w:sz w:val="24"/>
          <w:szCs w:val="24"/>
        </w:rPr>
        <w:t>lack a current appeal of th</w:t>
      </w:r>
      <w:r w:rsidR="00460668" w:rsidRPr="0094596E">
        <w:rPr>
          <w:sz w:val="24"/>
          <w:szCs w:val="24"/>
        </w:rPr>
        <w:t>e</w:t>
      </w:r>
      <w:r w:rsidRPr="0094596E">
        <w:rPr>
          <w:sz w:val="24"/>
          <w:szCs w:val="24"/>
        </w:rPr>
        <w:t xml:space="preserve"> decision</w:t>
      </w:r>
      <w:r w:rsidR="00960EE3" w:rsidRPr="003D2967">
        <w:rPr>
          <w:sz w:val="24"/>
          <w:szCs w:val="24"/>
        </w:rPr>
        <w:t xml:space="preserve">. The </w:t>
      </w:r>
      <w:r w:rsidR="009D4F3E" w:rsidRPr="003D2967">
        <w:rPr>
          <w:i/>
          <w:sz w:val="24"/>
          <w:szCs w:val="24"/>
        </w:rPr>
        <w:t xml:space="preserve">Pension </w:t>
      </w:r>
      <w:r w:rsidR="009D4F3E" w:rsidRPr="00836429">
        <w:rPr>
          <w:i/>
          <w:sz w:val="24"/>
          <w:szCs w:val="24"/>
        </w:rPr>
        <w:t>Access</w:t>
      </w:r>
      <w:r w:rsidR="009D4F3E" w:rsidRPr="0025639B">
        <w:rPr>
          <w:sz w:val="24"/>
          <w:szCs w:val="24"/>
        </w:rPr>
        <w:t xml:space="preserve"> </w:t>
      </w:r>
      <w:r w:rsidR="00960EE3" w:rsidRPr="003D2967">
        <w:rPr>
          <w:sz w:val="24"/>
          <w:szCs w:val="24"/>
        </w:rPr>
        <w:lastRenderedPageBreak/>
        <w:t xml:space="preserve">survey pool </w:t>
      </w:r>
      <w:r w:rsidRPr="0094596E">
        <w:rPr>
          <w:sz w:val="24"/>
          <w:szCs w:val="24"/>
        </w:rPr>
        <w:t>include</w:t>
      </w:r>
      <w:r w:rsidR="00B547E8" w:rsidRPr="0094596E">
        <w:rPr>
          <w:sz w:val="24"/>
          <w:szCs w:val="24"/>
        </w:rPr>
        <w:t>s</w:t>
      </w:r>
      <w:r w:rsidRPr="0094596E">
        <w:rPr>
          <w:sz w:val="24"/>
          <w:szCs w:val="24"/>
        </w:rPr>
        <w:t xml:space="preserve"> individuals who have received a decision </w:t>
      </w:r>
      <w:r w:rsidR="00960EE3" w:rsidRPr="003D2967">
        <w:rPr>
          <w:sz w:val="24"/>
          <w:szCs w:val="24"/>
        </w:rPr>
        <w:t>on a pension benefit claim with</w:t>
      </w:r>
      <w:r w:rsidRPr="0094596E">
        <w:rPr>
          <w:sz w:val="24"/>
          <w:szCs w:val="24"/>
        </w:rPr>
        <w:t>in the past 30 days</w:t>
      </w:r>
      <w:r w:rsidR="009D4F3E">
        <w:rPr>
          <w:sz w:val="24"/>
          <w:szCs w:val="24"/>
        </w:rPr>
        <w:t xml:space="preserve">.  </w:t>
      </w:r>
      <w:r w:rsidRPr="009A6AC2">
        <w:rPr>
          <w:sz w:val="24"/>
          <w:szCs w:val="24"/>
        </w:rPr>
        <w:t xml:space="preserve">The </w:t>
      </w:r>
      <w:r w:rsidR="009D4F3E" w:rsidRPr="00836429">
        <w:rPr>
          <w:i/>
          <w:sz w:val="24"/>
          <w:szCs w:val="24"/>
        </w:rPr>
        <w:t>Compensation Servicing</w:t>
      </w:r>
      <w:r w:rsidR="009D4F3E" w:rsidRPr="009A6AC2">
        <w:rPr>
          <w:sz w:val="24"/>
          <w:szCs w:val="24"/>
        </w:rPr>
        <w:t xml:space="preserve"> </w:t>
      </w:r>
      <w:r w:rsidRPr="009A6AC2">
        <w:rPr>
          <w:sz w:val="24"/>
          <w:szCs w:val="24"/>
        </w:rPr>
        <w:t>survey pool</w:t>
      </w:r>
      <w:r w:rsidR="00803A9E">
        <w:rPr>
          <w:sz w:val="24"/>
          <w:szCs w:val="24"/>
        </w:rPr>
        <w:t xml:space="preserve"> </w:t>
      </w:r>
      <w:r w:rsidRPr="009A6AC2">
        <w:rPr>
          <w:sz w:val="24"/>
          <w:szCs w:val="24"/>
        </w:rPr>
        <w:t>include</w:t>
      </w:r>
      <w:r w:rsidR="00B547E8">
        <w:rPr>
          <w:sz w:val="24"/>
          <w:szCs w:val="24"/>
        </w:rPr>
        <w:t>s</w:t>
      </w:r>
      <w:r w:rsidRPr="009A6AC2">
        <w:rPr>
          <w:sz w:val="24"/>
          <w:szCs w:val="24"/>
        </w:rPr>
        <w:t xml:space="preserve"> individuals </w:t>
      </w:r>
      <w:r w:rsidRPr="008A3782">
        <w:rPr>
          <w:sz w:val="24"/>
          <w:szCs w:val="24"/>
        </w:rPr>
        <w:t xml:space="preserve">who received a decision </w:t>
      </w:r>
      <w:r w:rsidR="008A3782" w:rsidRPr="003D2967">
        <w:rPr>
          <w:sz w:val="24"/>
          <w:szCs w:val="24"/>
        </w:rPr>
        <w:t xml:space="preserve">and are </w:t>
      </w:r>
      <w:r w:rsidRPr="008A3782">
        <w:rPr>
          <w:sz w:val="24"/>
          <w:szCs w:val="24"/>
        </w:rPr>
        <w:t>receiving benefit payments.</w:t>
      </w:r>
      <w:r w:rsidRPr="009A6AC2">
        <w:rPr>
          <w:sz w:val="24"/>
          <w:szCs w:val="24"/>
        </w:rPr>
        <w:t xml:space="preserve">  The </w:t>
      </w:r>
      <w:r w:rsidR="008A3782" w:rsidRPr="009A6AC2">
        <w:rPr>
          <w:i/>
          <w:sz w:val="24"/>
          <w:szCs w:val="24"/>
        </w:rPr>
        <w:t>Pension Servicing</w:t>
      </w:r>
      <w:r w:rsidR="008A3782" w:rsidRPr="009A6AC2">
        <w:rPr>
          <w:sz w:val="24"/>
          <w:szCs w:val="24"/>
        </w:rPr>
        <w:t xml:space="preserve"> </w:t>
      </w:r>
      <w:r w:rsidRPr="009A6AC2">
        <w:rPr>
          <w:sz w:val="24"/>
          <w:szCs w:val="24"/>
        </w:rPr>
        <w:t>survey pool include</w:t>
      </w:r>
      <w:r w:rsidR="00B547E8">
        <w:rPr>
          <w:sz w:val="24"/>
          <w:szCs w:val="24"/>
        </w:rPr>
        <w:t>s</w:t>
      </w:r>
      <w:r w:rsidRPr="009A6AC2">
        <w:rPr>
          <w:sz w:val="24"/>
          <w:szCs w:val="24"/>
        </w:rPr>
        <w:t xml:space="preserve"> individuals who </w:t>
      </w:r>
      <w:r w:rsidR="00960EE3">
        <w:rPr>
          <w:sz w:val="24"/>
          <w:szCs w:val="24"/>
        </w:rPr>
        <w:t>established and completed a claim in the previous fiscal year</w:t>
      </w:r>
      <w:r w:rsidR="00960EE3" w:rsidRPr="009A6AC2">
        <w:rPr>
          <w:sz w:val="24"/>
          <w:szCs w:val="24"/>
        </w:rPr>
        <w:t>.</w:t>
      </w:r>
    </w:p>
    <w:p w:rsidR="00FF09FD" w:rsidRDefault="00FF09FD">
      <w:pPr>
        <w:rPr>
          <w:sz w:val="24"/>
          <w:szCs w:val="24"/>
        </w:rPr>
      </w:pPr>
    </w:p>
    <w:p w:rsidR="00E37E11" w:rsidRPr="003D2967" w:rsidRDefault="00E37E11">
      <w:pPr>
        <w:rPr>
          <w:sz w:val="24"/>
          <w:szCs w:val="24"/>
          <w:u w:val="single"/>
        </w:rPr>
      </w:pPr>
      <w:r w:rsidRPr="003D2967">
        <w:rPr>
          <w:sz w:val="24"/>
          <w:szCs w:val="24"/>
          <w:u w:val="single"/>
        </w:rPr>
        <w:t>Education Program</w:t>
      </w:r>
    </w:p>
    <w:p w:rsidR="00E37E11" w:rsidRDefault="00E37E11">
      <w:pPr>
        <w:rPr>
          <w:sz w:val="24"/>
          <w:szCs w:val="24"/>
        </w:rPr>
      </w:pPr>
    </w:p>
    <w:p w:rsidR="00FF09FD" w:rsidRPr="009A6AC2" w:rsidRDefault="00FF09FD">
      <w:pPr>
        <w:rPr>
          <w:sz w:val="24"/>
          <w:szCs w:val="24"/>
        </w:rPr>
      </w:pPr>
      <w:r w:rsidRPr="009A6AC2">
        <w:rPr>
          <w:sz w:val="24"/>
          <w:szCs w:val="24"/>
        </w:rPr>
        <w:t xml:space="preserve">J.D. Power </w:t>
      </w:r>
      <w:r w:rsidR="000260BF">
        <w:rPr>
          <w:sz w:val="24"/>
          <w:szCs w:val="24"/>
        </w:rPr>
        <w:t>fielded</w:t>
      </w:r>
      <w:r w:rsidRPr="009A6AC2">
        <w:rPr>
          <w:sz w:val="24"/>
          <w:szCs w:val="24"/>
        </w:rPr>
        <w:t xml:space="preserve"> two survey instruments for Education Service.  The </w:t>
      </w:r>
      <w:r w:rsidR="004C7951" w:rsidRPr="00836429">
        <w:rPr>
          <w:i/>
          <w:sz w:val="24"/>
          <w:szCs w:val="24"/>
        </w:rPr>
        <w:t xml:space="preserve">Education </w:t>
      </w:r>
      <w:r w:rsidR="004C7951" w:rsidRPr="003D2967">
        <w:rPr>
          <w:i/>
          <w:sz w:val="24"/>
          <w:szCs w:val="24"/>
        </w:rPr>
        <w:t>Access</w:t>
      </w:r>
      <w:r w:rsidR="004C7951">
        <w:rPr>
          <w:sz w:val="24"/>
          <w:szCs w:val="24"/>
        </w:rPr>
        <w:t xml:space="preserve"> </w:t>
      </w:r>
      <w:r w:rsidRPr="009A6AC2">
        <w:rPr>
          <w:sz w:val="24"/>
          <w:szCs w:val="24"/>
        </w:rPr>
        <w:t>survey pool</w:t>
      </w:r>
      <w:r w:rsidR="00DE104E" w:rsidRPr="00DE104E">
        <w:rPr>
          <w:sz w:val="24"/>
          <w:szCs w:val="24"/>
        </w:rPr>
        <w:t xml:space="preserve"> </w:t>
      </w:r>
      <w:r w:rsidR="00DE104E" w:rsidRPr="009A6AC2">
        <w:rPr>
          <w:sz w:val="24"/>
          <w:szCs w:val="24"/>
        </w:rPr>
        <w:t>include</w:t>
      </w:r>
      <w:r w:rsidR="00DE104E">
        <w:rPr>
          <w:sz w:val="24"/>
          <w:szCs w:val="24"/>
        </w:rPr>
        <w:t>s</w:t>
      </w:r>
      <w:r w:rsidR="00DE104E" w:rsidRPr="009A6AC2">
        <w:rPr>
          <w:sz w:val="24"/>
          <w:szCs w:val="24"/>
        </w:rPr>
        <w:t xml:space="preserve"> individuals</w:t>
      </w:r>
      <w:r w:rsidR="00DE104E">
        <w:rPr>
          <w:sz w:val="24"/>
          <w:szCs w:val="24"/>
        </w:rPr>
        <w:t xml:space="preserve"> </w:t>
      </w:r>
      <w:r w:rsidRPr="009A6AC2">
        <w:rPr>
          <w:sz w:val="24"/>
          <w:szCs w:val="24"/>
        </w:rPr>
        <w:t>who received a decision on their education benefit application within 90 days (i.e., the original</w:t>
      </w:r>
      <w:r w:rsidR="004C7951">
        <w:rPr>
          <w:sz w:val="24"/>
          <w:szCs w:val="24"/>
        </w:rPr>
        <w:t xml:space="preserve"> </w:t>
      </w:r>
      <w:r w:rsidRPr="009A6AC2">
        <w:rPr>
          <w:sz w:val="24"/>
          <w:szCs w:val="24"/>
        </w:rPr>
        <w:t xml:space="preserve">end-product </w:t>
      </w:r>
      <w:r w:rsidR="004C7951">
        <w:rPr>
          <w:sz w:val="24"/>
          <w:szCs w:val="24"/>
        </w:rPr>
        <w:t xml:space="preserve">was </w:t>
      </w:r>
      <w:r w:rsidRPr="009A6AC2">
        <w:rPr>
          <w:sz w:val="24"/>
          <w:szCs w:val="24"/>
        </w:rPr>
        <w:t xml:space="preserve">cleared within the past 90 days) prior to the fielding period. The </w:t>
      </w:r>
      <w:r w:rsidR="004C7951" w:rsidRPr="009A6AC2">
        <w:rPr>
          <w:i/>
          <w:sz w:val="24"/>
          <w:szCs w:val="24"/>
        </w:rPr>
        <w:t>Education Servicing</w:t>
      </w:r>
      <w:r w:rsidR="004C7951" w:rsidRPr="009A6AC2">
        <w:rPr>
          <w:sz w:val="24"/>
          <w:szCs w:val="24"/>
        </w:rPr>
        <w:t xml:space="preserve"> </w:t>
      </w:r>
      <w:r w:rsidRPr="009A6AC2">
        <w:rPr>
          <w:sz w:val="24"/>
          <w:szCs w:val="24"/>
        </w:rPr>
        <w:t xml:space="preserve">survey pool </w:t>
      </w:r>
      <w:r w:rsidR="00B547E8">
        <w:rPr>
          <w:sz w:val="24"/>
          <w:szCs w:val="24"/>
        </w:rPr>
        <w:t>i</w:t>
      </w:r>
      <w:r w:rsidRPr="009A6AC2">
        <w:rPr>
          <w:sz w:val="24"/>
          <w:szCs w:val="24"/>
        </w:rPr>
        <w:t>nclude</w:t>
      </w:r>
      <w:r w:rsidR="00B547E8">
        <w:rPr>
          <w:sz w:val="24"/>
          <w:szCs w:val="24"/>
        </w:rPr>
        <w:t>s</w:t>
      </w:r>
      <w:r w:rsidRPr="009A6AC2">
        <w:rPr>
          <w:sz w:val="24"/>
          <w:szCs w:val="24"/>
        </w:rPr>
        <w:t xml:space="preserve"> beneficiaries who </w:t>
      </w:r>
      <w:r w:rsidR="00960EE3">
        <w:rPr>
          <w:sz w:val="24"/>
          <w:szCs w:val="24"/>
        </w:rPr>
        <w:t>are currently receiving benefits</w:t>
      </w:r>
      <w:r w:rsidR="006D362F">
        <w:rPr>
          <w:sz w:val="24"/>
          <w:szCs w:val="24"/>
        </w:rPr>
        <w:t xml:space="preserve">.  The definition of those receiving benefits varies based on the educational program.  </w:t>
      </w:r>
      <w:r w:rsidR="00960EE3">
        <w:rPr>
          <w:sz w:val="24"/>
          <w:szCs w:val="24"/>
        </w:rPr>
        <w:t>Chapter 33</w:t>
      </w:r>
      <w:r w:rsidR="006D362F">
        <w:rPr>
          <w:sz w:val="24"/>
          <w:szCs w:val="24"/>
        </w:rPr>
        <w:t xml:space="preserve"> beneficiaries who have received </w:t>
      </w:r>
      <w:r w:rsidR="00960EE3" w:rsidRPr="00AD40C3">
        <w:rPr>
          <w:sz w:val="24"/>
          <w:szCs w:val="24"/>
        </w:rPr>
        <w:t xml:space="preserve">at least 2 </w:t>
      </w:r>
      <w:r w:rsidR="00960EE3">
        <w:rPr>
          <w:sz w:val="24"/>
          <w:szCs w:val="24"/>
        </w:rPr>
        <w:t>payments for “tuition” in the past 9 months</w:t>
      </w:r>
      <w:r w:rsidR="006D362F">
        <w:rPr>
          <w:sz w:val="24"/>
          <w:szCs w:val="24"/>
        </w:rPr>
        <w:t xml:space="preserve"> are included in the survey pool.  </w:t>
      </w:r>
      <w:r w:rsidR="00960EE3">
        <w:rPr>
          <w:sz w:val="24"/>
          <w:szCs w:val="24"/>
        </w:rPr>
        <w:t>Chapter 30, Chapter 1606, and Chapter 1607</w:t>
      </w:r>
      <w:r w:rsidR="006D362F">
        <w:rPr>
          <w:sz w:val="24"/>
          <w:szCs w:val="24"/>
        </w:rPr>
        <w:t xml:space="preserve"> beneficiaries who have </w:t>
      </w:r>
      <w:r w:rsidR="00960EE3">
        <w:rPr>
          <w:sz w:val="24"/>
          <w:szCs w:val="24"/>
        </w:rPr>
        <w:t xml:space="preserve">received 5 monthly payments </w:t>
      </w:r>
      <w:r w:rsidR="00803A9E">
        <w:rPr>
          <w:sz w:val="24"/>
          <w:szCs w:val="24"/>
        </w:rPr>
        <w:t xml:space="preserve">during </w:t>
      </w:r>
      <w:r w:rsidR="00960EE3">
        <w:rPr>
          <w:sz w:val="24"/>
          <w:szCs w:val="24"/>
        </w:rPr>
        <w:t>the past 9 months</w:t>
      </w:r>
      <w:r w:rsidR="006D362F">
        <w:rPr>
          <w:sz w:val="24"/>
          <w:szCs w:val="24"/>
        </w:rPr>
        <w:t xml:space="preserve"> are included</w:t>
      </w:r>
      <w:r w:rsidR="00960EE3" w:rsidRPr="009A6AC2">
        <w:rPr>
          <w:sz w:val="24"/>
          <w:szCs w:val="24"/>
        </w:rPr>
        <w:t>.</w:t>
      </w:r>
    </w:p>
    <w:p w:rsidR="00FF09FD" w:rsidRDefault="00FF09FD">
      <w:pPr>
        <w:rPr>
          <w:sz w:val="24"/>
          <w:szCs w:val="24"/>
        </w:rPr>
      </w:pPr>
    </w:p>
    <w:p w:rsidR="00E37E11" w:rsidRPr="003D2967" w:rsidRDefault="00E37E11">
      <w:pPr>
        <w:rPr>
          <w:sz w:val="24"/>
          <w:szCs w:val="24"/>
          <w:u w:val="single"/>
        </w:rPr>
      </w:pPr>
      <w:r w:rsidRPr="003D2967">
        <w:rPr>
          <w:sz w:val="24"/>
          <w:szCs w:val="24"/>
          <w:u w:val="single"/>
        </w:rPr>
        <w:t>Loan Guaranty and Specially Adapted Housing Programs</w:t>
      </w:r>
    </w:p>
    <w:p w:rsidR="00E37E11" w:rsidRPr="009A6AC2" w:rsidRDefault="00E37E11">
      <w:pPr>
        <w:rPr>
          <w:sz w:val="24"/>
          <w:szCs w:val="24"/>
        </w:rPr>
      </w:pPr>
      <w:r>
        <w:rPr>
          <w:sz w:val="24"/>
          <w:szCs w:val="24"/>
        </w:rPr>
        <w:t xml:space="preserve">  </w:t>
      </w:r>
    </w:p>
    <w:p w:rsidR="00FF09FD" w:rsidRPr="009A6AC2" w:rsidRDefault="00FF09FD">
      <w:pPr>
        <w:rPr>
          <w:sz w:val="24"/>
          <w:szCs w:val="24"/>
        </w:rPr>
      </w:pPr>
      <w:r w:rsidRPr="009A6AC2">
        <w:rPr>
          <w:sz w:val="24"/>
          <w:szCs w:val="24"/>
        </w:rPr>
        <w:t>J.D. Power</w:t>
      </w:r>
      <w:r w:rsidR="00B547E8">
        <w:rPr>
          <w:sz w:val="24"/>
          <w:szCs w:val="24"/>
        </w:rPr>
        <w:t xml:space="preserve"> </w:t>
      </w:r>
      <w:r w:rsidR="000260BF">
        <w:rPr>
          <w:sz w:val="24"/>
          <w:szCs w:val="24"/>
        </w:rPr>
        <w:t>fielded</w:t>
      </w:r>
      <w:r w:rsidRPr="009A6AC2">
        <w:rPr>
          <w:sz w:val="24"/>
          <w:szCs w:val="24"/>
        </w:rPr>
        <w:t xml:space="preserve"> two survey instruments for Loan Guaranty Service.  The </w:t>
      </w:r>
      <w:r w:rsidR="00DE104E" w:rsidRPr="009A6AC2">
        <w:rPr>
          <w:i/>
          <w:sz w:val="24"/>
          <w:szCs w:val="24"/>
        </w:rPr>
        <w:t xml:space="preserve">LGY </w:t>
      </w:r>
      <w:r w:rsidR="00DE104E">
        <w:rPr>
          <w:i/>
          <w:sz w:val="24"/>
          <w:szCs w:val="24"/>
        </w:rPr>
        <w:t>Access</w:t>
      </w:r>
      <w:r w:rsidR="00DE104E" w:rsidRPr="009A6AC2">
        <w:rPr>
          <w:sz w:val="24"/>
          <w:szCs w:val="24"/>
        </w:rPr>
        <w:t xml:space="preserve"> </w:t>
      </w:r>
      <w:r w:rsidRPr="009A6AC2">
        <w:rPr>
          <w:sz w:val="24"/>
          <w:szCs w:val="24"/>
        </w:rPr>
        <w:t>survey pool include</w:t>
      </w:r>
      <w:r w:rsidR="00B547E8">
        <w:rPr>
          <w:sz w:val="24"/>
          <w:szCs w:val="24"/>
        </w:rPr>
        <w:t>s</w:t>
      </w:r>
      <w:r w:rsidRPr="009A6AC2">
        <w:rPr>
          <w:sz w:val="24"/>
          <w:szCs w:val="24"/>
        </w:rPr>
        <w:t xml:space="preserve"> individuals who closed on a VA home loan in the </w:t>
      </w:r>
      <w:r w:rsidR="00950F0B">
        <w:rPr>
          <w:sz w:val="24"/>
          <w:szCs w:val="24"/>
        </w:rPr>
        <w:t>30</w:t>
      </w:r>
      <w:r w:rsidR="00950F0B" w:rsidRPr="009A6AC2">
        <w:rPr>
          <w:sz w:val="24"/>
          <w:szCs w:val="24"/>
        </w:rPr>
        <w:t xml:space="preserve"> </w:t>
      </w:r>
      <w:r w:rsidRPr="009A6AC2">
        <w:rPr>
          <w:sz w:val="24"/>
          <w:szCs w:val="24"/>
        </w:rPr>
        <w:t>days</w:t>
      </w:r>
      <w:r w:rsidR="00950F0B">
        <w:rPr>
          <w:sz w:val="24"/>
          <w:szCs w:val="24"/>
        </w:rPr>
        <w:t xml:space="preserve"> prior to the fielding period</w:t>
      </w:r>
      <w:r w:rsidRPr="009A6AC2">
        <w:rPr>
          <w:sz w:val="24"/>
          <w:szCs w:val="24"/>
        </w:rPr>
        <w:t xml:space="preserve">. The sample </w:t>
      </w:r>
      <w:r w:rsidR="00B547E8">
        <w:rPr>
          <w:sz w:val="24"/>
          <w:szCs w:val="24"/>
        </w:rPr>
        <w:t>is</w:t>
      </w:r>
      <w:r w:rsidRPr="009A6AC2">
        <w:rPr>
          <w:sz w:val="24"/>
          <w:szCs w:val="24"/>
        </w:rPr>
        <w:t xml:space="preserve"> stratified as follows: (1) those </w:t>
      </w:r>
      <w:r w:rsidR="00F22A49" w:rsidRPr="009A6AC2">
        <w:rPr>
          <w:sz w:val="24"/>
          <w:szCs w:val="24"/>
        </w:rPr>
        <w:t>that</w:t>
      </w:r>
      <w:r w:rsidRPr="009A6AC2">
        <w:rPr>
          <w:sz w:val="24"/>
          <w:szCs w:val="24"/>
        </w:rPr>
        <w:t xml:space="preserve"> closed on purchase loans, (2) those </w:t>
      </w:r>
      <w:r w:rsidR="00F22A49">
        <w:rPr>
          <w:sz w:val="24"/>
          <w:szCs w:val="24"/>
        </w:rPr>
        <w:t>that</w:t>
      </w:r>
      <w:r w:rsidR="00F22A49" w:rsidRPr="009A6AC2">
        <w:rPr>
          <w:sz w:val="24"/>
          <w:szCs w:val="24"/>
        </w:rPr>
        <w:t xml:space="preserve"> </w:t>
      </w:r>
      <w:r w:rsidRPr="009A6AC2">
        <w:rPr>
          <w:sz w:val="24"/>
          <w:szCs w:val="24"/>
        </w:rPr>
        <w:t xml:space="preserve">received loans for interest rate reductions, and (3) those </w:t>
      </w:r>
      <w:r w:rsidR="00F22A49">
        <w:rPr>
          <w:sz w:val="24"/>
          <w:szCs w:val="24"/>
        </w:rPr>
        <w:t xml:space="preserve">that </w:t>
      </w:r>
      <w:r w:rsidRPr="009A6AC2">
        <w:rPr>
          <w:sz w:val="24"/>
          <w:szCs w:val="24"/>
        </w:rPr>
        <w:t xml:space="preserve">obtained cash out or other refinancing.  The </w:t>
      </w:r>
      <w:r w:rsidR="006D362F" w:rsidRPr="009A6AC2">
        <w:rPr>
          <w:i/>
          <w:sz w:val="24"/>
          <w:szCs w:val="24"/>
        </w:rPr>
        <w:t>SAH Servicing</w:t>
      </w:r>
      <w:r w:rsidR="006D362F" w:rsidRPr="009A6AC2">
        <w:rPr>
          <w:sz w:val="24"/>
          <w:szCs w:val="24"/>
        </w:rPr>
        <w:t xml:space="preserve"> </w:t>
      </w:r>
      <w:r w:rsidRPr="009A6AC2">
        <w:rPr>
          <w:sz w:val="24"/>
          <w:szCs w:val="24"/>
        </w:rPr>
        <w:t>survey pool</w:t>
      </w:r>
      <w:r w:rsidR="00B66A68">
        <w:rPr>
          <w:sz w:val="24"/>
          <w:szCs w:val="24"/>
        </w:rPr>
        <w:t xml:space="preserve"> </w:t>
      </w:r>
      <w:r w:rsidRPr="009A6AC2">
        <w:rPr>
          <w:sz w:val="24"/>
          <w:szCs w:val="24"/>
        </w:rPr>
        <w:t>include</w:t>
      </w:r>
      <w:r w:rsidR="00B547E8">
        <w:rPr>
          <w:sz w:val="24"/>
          <w:szCs w:val="24"/>
        </w:rPr>
        <w:t>s</w:t>
      </w:r>
      <w:r w:rsidRPr="009A6AC2">
        <w:rPr>
          <w:sz w:val="24"/>
          <w:szCs w:val="24"/>
        </w:rPr>
        <w:t xml:space="preserve"> individuals who are eligible for a </w:t>
      </w:r>
      <w:r w:rsidR="006D362F">
        <w:rPr>
          <w:sz w:val="24"/>
          <w:szCs w:val="24"/>
        </w:rPr>
        <w:t>S</w:t>
      </w:r>
      <w:r w:rsidRPr="009A6AC2">
        <w:rPr>
          <w:sz w:val="24"/>
          <w:szCs w:val="24"/>
        </w:rPr>
        <w:t>pecially</w:t>
      </w:r>
      <w:r w:rsidR="006D362F">
        <w:rPr>
          <w:sz w:val="24"/>
          <w:szCs w:val="24"/>
        </w:rPr>
        <w:t xml:space="preserve"> A</w:t>
      </w:r>
      <w:r w:rsidRPr="009A6AC2">
        <w:rPr>
          <w:sz w:val="24"/>
          <w:szCs w:val="24"/>
        </w:rPr>
        <w:t xml:space="preserve">dapted </w:t>
      </w:r>
      <w:r w:rsidR="006D362F">
        <w:rPr>
          <w:sz w:val="24"/>
          <w:szCs w:val="24"/>
        </w:rPr>
        <w:t>H</w:t>
      </w:r>
      <w:r w:rsidRPr="009A6AC2">
        <w:rPr>
          <w:sz w:val="24"/>
          <w:szCs w:val="24"/>
        </w:rPr>
        <w:t>ousing grant and in the past 12 months have: (1) received an approval on their grant and are currently in post-approval</w:t>
      </w:r>
      <w:r w:rsidR="006D362F">
        <w:rPr>
          <w:sz w:val="24"/>
          <w:szCs w:val="24"/>
        </w:rPr>
        <w:t xml:space="preserve"> process</w:t>
      </w:r>
      <w:r w:rsidRPr="009A6AC2">
        <w:rPr>
          <w:sz w:val="24"/>
          <w:szCs w:val="24"/>
        </w:rPr>
        <w:t xml:space="preserve">, (2) had all their funds dispersed and </w:t>
      </w:r>
      <w:r w:rsidR="006D362F">
        <w:rPr>
          <w:sz w:val="24"/>
          <w:szCs w:val="24"/>
        </w:rPr>
        <w:t xml:space="preserve">the </w:t>
      </w:r>
      <w:r w:rsidRPr="009A6AC2">
        <w:rPr>
          <w:sz w:val="24"/>
          <w:szCs w:val="24"/>
        </w:rPr>
        <w:t xml:space="preserve">final accounting is not </w:t>
      </w:r>
      <w:r w:rsidR="00836429">
        <w:rPr>
          <w:sz w:val="24"/>
          <w:szCs w:val="24"/>
        </w:rPr>
        <w:t>completed</w:t>
      </w:r>
      <w:r w:rsidRPr="009A6AC2">
        <w:rPr>
          <w:sz w:val="24"/>
          <w:szCs w:val="24"/>
        </w:rPr>
        <w:t xml:space="preserve">, and (3) </w:t>
      </w:r>
      <w:r w:rsidR="00836429">
        <w:rPr>
          <w:sz w:val="24"/>
          <w:szCs w:val="24"/>
        </w:rPr>
        <w:t xml:space="preserve">had </w:t>
      </w:r>
      <w:r w:rsidRPr="009A6AC2">
        <w:rPr>
          <w:sz w:val="24"/>
          <w:szCs w:val="24"/>
        </w:rPr>
        <w:t xml:space="preserve">all of their funds dispersed and </w:t>
      </w:r>
      <w:r w:rsidR="00836429">
        <w:rPr>
          <w:sz w:val="24"/>
          <w:szCs w:val="24"/>
        </w:rPr>
        <w:t xml:space="preserve">the </w:t>
      </w:r>
      <w:r w:rsidRPr="009A6AC2">
        <w:rPr>
          <w:sz w:val="24"/>
          <w:szCs w:val="24"/>
        </w:rPr>
        <w:t>final accounting complete</w:t>
      </w:r>
      <w:r w:rsidR="00836429">
        <w:rPr>
          <w:sz w:val="24"/>
          <w:szCs w:val="24"/>
        </w:rPr>
        <w:t>d</w:t>
      </w:r>
      <w:r w:rsidRPr="009A6AC2">
        <w:rPr>
          <w:sz w:val="24"/>
          <w:szCs w:val="24"/>
        </w:rPr>
        <w:t>.</w:t>
      </w:r>
    </w:p>
    <w:p w:rsidR="00FF09FD" w:rsidRPr="009A6AC2" w:rsidRDefault="00FF09FD">
      <w:pPr>
        <w:rPr>
          <w:sz w:val="24"/>
          <w:szCs w:val="24"/>
        </w:rPr>
      </w:pPr>
    </w:p>
    <w:p w:rsidR="00E37E11" w:rsidRPr="003D2967" w:rsidRDefault="00E37E11">
      <w:pPr>
        <w:rPr>
          <w:sz w:val="24"/>
          <w:szCs w:val="24"/>
          <w:u w:val="single"/>
        </w:rPr>
      </w:pPr>
      <w:r w:rsidRPr="003D2967">
        <w:rPr>
          <w:sz w:val="24"/>
          <w:szCs w:val="24"/>
          <w:u w:val="single"/>
        </w:rPr>
        <w:t>Vocational Rehabilitation and Employment Program</w:t>
      </w:r>
    </w:p>
    <w:p w:rsidR="00E37E11" w:rsidRDefault="00E37E11">
      <w:pPr>
        <w:rPr>
          <w:sz w:val="24"/>
          <w:szCs w:val="24"/>
        </w:rPr>
      </w:pPr>
    </w:p>
    <w:p w:rsidR="00FF09FD" w:rsidRPr="009A6AC2" w:rsidRDefault="00FF09FD">
      <w:pPr>
        <w:rPr>
          <w:sz w:val="24"/>
          <w:szCs w:val="24"/>
        </w:rPr>
      </w:pPr>
      <w:r w:rsidRPr="009A6AC2">
        <w:rPr>
          <w:sz w:val="24"/>
          <w:szCs w:val="24"/>
        </w:rPr>
        <w:t xml:space="preserve">J.D. Power </w:t>
      </w:r>
      <w:r w:rsidR="00A45546">
        <w:rPr>
          <w:sz w:val="24"/>
          <w:szCs w:val="24"/>
        </w:rPr>
        <w:t>fielded</w:t>
      </w:r>
      <w:r w:rsidRPr="009A6AC2">
        <w:rPr>
          <w:sz w:val="24"/>
          <w:szCs w:val="24"/>
        </w:rPr>
        <w:t xml:space="preserve"> three survey instruments for Vocational Rehabilitation &amp; Employment Service</w:t>
      </w:r>
      <w:r w:rsidR="00836429">
        <w:rPr>
          <w:sz w:val="24"/>
          <w:szCs w:val="24"/>
        </w:rPr>
        <w:t xml:space="preserve"> (VR&amp;E)</w:t>
      </w:r>
      <w:r w:rsidRPr="009A6AC2">
        <w:rPr>
          <w:sz w:val="24"/>
          <w:szCs w:val="24"/>
        </w:rPr>
        <w:t xml:space="preserve">. The </w:t>
      </w:r>
      <w:r w:rsidR="00836429" w:rsidRPr="009A6AC2">
        <w:rPr>
          <w:i/>
          <w:sz w:val="24"/>
          <w:szCs w:val="24"/>
        </w:rPr>
        <w:t xml:space="preserve">VR&amp;E </w:t>
      </w:r>
      <w:r w:rsidR="00836429">
        <w:rPr>
          <w:i/>
          <w:sz w:val="24"/>
          <w:szCs w:val="24"/>
        </w:rPr>
        <w:t>Access</w:t>
      </w:r>
      <w:r w:rsidR="00836429" w:rsidRPr="009A6AC2">
        <w:rPr>
          <w:sz w:val="24"/>
          <w:szCs w:val="24"/>
        </w:rPr>
        <w:t xml:space="preserve"> </w:t>
      </w:r>
      <w:r w:rsidRPr="009A6AC2">
        <w:rPr>
          <w:sz w:val="24"/>
          <w:szCs w:val="24"/>
        </w:rPr>
        <w:t>survey pool include</w:t>
      </w:r>
      <w:r w:rsidR="00BA7E6D">
        <w:rPr>
          <w:sz w:val="24"/>
          <w:szCs w:val="24"/>
        </w:rPr>
        <w:t>s</w:t>
      </w:r>
      <w:r w:rsidRPr="009A6AC2">
        <w:rPr>
          <w:sz w:val="24"/>
          <w:szCs w:val="24"/>
        </w:rPr>
        <w:t xml:space="preserve"> individuals who </w:t>
      </w:r>
      <w:r w:rsidR="00960EE3">
        <w:rPr>
          <w:sz w:val="24"/>
          <w:szCs w:val="24"/>
        </w:rPr>
        <w:t>applied within the last 12 months, entered Evaluation and Planning and (1) entered any of the following case statuses: Extended Eval</w:t>
      </w:r>
      <w:r w:rsidR="00D856AC">
        <w:rPr>
          <w:sz w:val="24"/>
          <w:szCs w:val="24"/>
        </w:rPr>
        <w:t>uation</w:t>
      </w:r>
      <w:r w:rsidR="00960EE3">
        <w:rPr>
          <w:sz w:val="24"/>
          <w:szCs w:val="24"/>
        </w:rPr>
        <w:t>, I</w:t>
      </w:r>
      <w:r w:rsidR="007627DA">
        <w:rPr>
          <w:sz w:val="24"/>
          <w:szCs w:val="24"/>
        </w:rPr>
        <w:t xml:space="preserve">ndependent </w:t>
      </w:r>
      <w:r w:rsidR="00960EE3">
        <w:rPr>
          <w:sz w:val="24"/>
          <w:szCs w:val="24"/>
        </w:rPr>
        <w:t>L</w:t>
      </w:r>
      <w:r w:rsidR="007627DA">
        <w:rPr>
          <w:sz w:val="24"/>
          <w:szCs w:val="24"/>
        </w:rPr>
        <w:t>iving (IL)</w:t>
      </w:r>
      <w:r w:rsidR="00960EE3">
        <w:rPr>
          <w:sz w:val="24"/>
          <w:szCs w:val="24"/>
        </w:rPr>
        <w:t xml:space="preserve">, </w:t>
      </w:r>
      <w:r w:rsidR="007627DA">
        <w:rPr>
          <w:sz w:val="24"/>
          <w:szCs w:val="24"/>
        </w:rPr>
        <w:t>Rehabilitation to Employment (</w:t>
      </w:r>
      <w:r w:rsidR="00960EE3">
        <w:rPr>
          <w:sz w:val="24"/>
          <w:szCs w:val="24"/>
        </w:rPr>
        <w:t>RTE</w:t>
      </w:r>
      <w:r w:rsidR="007627DA">
        <w:rPr>
          <w:sz w:val="24"/>
          <w:szCs w:val="24"/>
        </w:rPr>
        <w:t>)</w:t>
      </w:r>
      <w:r w:rsidR="00960EE3">
        <w:rPr>
          <w:sz w:val="24"/>
          <w:szCs w:val="24"/>
        </w:rPr>
        <w:t xml:space="preserve">, or </w:t>
      </w:r>
      <w:r w:rsidR="007627DA">
        <w:rPr>
          <w:sz w:val="24"/>
          <w:szCs w:val="24"/>
        </w:rPr>
        <w:t>Job Ready Status (</w:t>
      </w:r>
      <w:r w:rsidR="00960EE3">
        <w:rPr>
          <w:sz w:val="24"/>
          <w:szCs w:val="24"/>
        </w:rPr>
        <w:t>JRS</w:t>
      </w:r>
      <w:r w:rsidR="007627DA">
        <w:rPr>
          <w:sz w:val="24"/>
          <w:szCs w:val="24"/>
        </w:rPr>
        <w:t>)</w:t>
      </w:r>
      <w:r w:rsidR="00960EE3">
        <w:rPr>
          <w:sz w:val="24"/>
          <w:szCs w:val="24"/>
        </w:rPr>
        <w:t xml:space="preserve"> (excludes re-applicants), </w:t>
      </w:r>
      <w:r w:rsidR="00836429">
        <w:rPr>
          <w:sz w:val="24"/>
          <w:szCs w:val="24"/>
        </w:rPr>
        <w:t xml:space="preserve">or </w:t>
      </w:r>
      <w:r w:rsidR="00960EE3">
        <w:rPr>
          <w:sz w:val="24"/>
          <w:szCs w:val="24"/>
        </w:rPr>
        <w:t>(2) were found not entitled</w:t>
      </w:r>
      <w:r w:rsidR="00960EE3" w:rsidRPr="009A6AC2">
        <w:rPr>
          <w:sz w:val="24"/>
          <w:szCs w:val="24"/>
        </w:rPr>
        <w:t>.</w:t>
      </w:r>
      <w:r w:rsidR="00836429">
        <w:rPr>
          <w:sz w:val="24"/>
          <w:szCs w:val="24"/>
        </w:rPr>
        <w:t xml:space="preserve"> </w:t>
      </w:r>
      <w:r w:rsidRPr="009A6AC2">
        <w:rPr>
          <w:sz w:val="24"/>
          <w:szCs w:val="24"/>
        </w:rPr>
        <w:t xml:space="preserve">The </w:t>
      </w:r>
      <w:r w:rsidR="00836429" w:rsidRPr="009A6AC2">
        <w:rPr>
          <w:i/>
          <w:sz w:val="24"/>
          <w:szCs w:val="24"/>
        </w:rPr>
        <w:t>VR&amp;E Servicing</w:t>
      </w:r>
      <w:r w:rsidR="00836429" w:rsidRPr="009A6AC2">
        <w:rPr>
          <w:sz w:val="24"/>
          <w:szCs w:val="24"/>
        </w:rPr>
        <w:t xml:space="preserve"> </w:t>
      </w:r>
      <w:r w:rsidRPr="009A6AC2">
        <w:rPr>
          <w:sz w:val="24"/>
          <w:szCs w:val="24"/>
        </w:rPr>
        <w:t>survey pool include</w:t>
      </w:r>
      <w:r w:rsidR="00BA7E6D">
        <w:rPr>
          <w:sz w:val="24"/>
          <w:szCs w:val="24"/>
        </w:rPr>
        <w:t>s</w:t>
      </w:r>
      <w:r w:rsidRPr="009A6AC2">
        <w:rPr>
          <w:sz w:val="24"/>
          <w:szCs w:val="24"/>
        </w:rPr>
        <w:t xml:space="preserve"> individuals who </w:t>
      </w:r>
      <w:r w:rsidR="00960EE3">
        <w:rPr>
          <w:sz w:val="24"/>
          <w:szCs w:val="24"/>
        </w:rPr>
        <w:t>in the last 30 days</w:t>
      </w:r>
      <w:r w:rsidR="00836429">
        <w:rPr>
          <w:sz w:val="24"/>
          <w:szCs w:val="24"/>
        </w:rPr>
        <w:t xml:space="preserve"> </w:t>
      </w:r>
      <w:r w:rsidR="00960EE3">
        <w:rPr>
          <w:sz w:val="24"/>
          <w:szCs w:val="24"/>
        </w:rPr>
        <w:t>were in a plan of services for more than 60 days</w:t>
      </w:r>
      <w:r w:rsidR="00836429">
        <w:rPr>
          <w:sz w:val="24"/>
          <w:szCs w:val="24"/>
        </w:rPr>
        <w:t xml:space="preserve">, all rehabilitated participants, and </w:t>
      </w:r>
      <w:r w:rsidR="00960EE3">
        <w:rPr>
          <w:sz w:val="24"/>
          <w:szCs w:val="24"/>
        </w:rPr>
        <w:t>MRGs</w:t>
      </w:r>
      <w:r w:rsidR="00836429">
        <w:rPr>
          <w:sz w:val="24"/>
          <w:szCs w:val="24"/>
        </w:rPr>
        <w:t xml:space="preserve">.  Participants who interrupted their plan are </w:t>
      </w:r>
      <w:r w:rsidR="00960EE3">
        <w:rPr>
          <w:sz w:val="24"/>
          <w:szCs w:val="24"/>
        </w:rPr>
        <w:t>exclude</w:t>
      </w:r>
      <w:r w:rsidR="00803A9E">
        <w:rPr>
          <w:sz w:val="24"/>
          <w:szCs w:val="24"/>
        </w:rPr>
        <w:t>d</w:t>
      </w:r>
      <w:r w:rsidR="00836429">
        <w:rPr>
          <w:sz w:val="24"/>
          <w:szCs w:val="24"/>
        </w:rPr>
        <w:t xml:space="preserve">. </w:t>
      </w:r>
      <w:r w:rsidR="00960EE3">
        <w:rPr>
          <w:sz w:val="24"/>
          <w:szCs w:val="24"/>
        </w:rPr>
        <w:t xml:space="preserve"> </w:t>
      </w:r>
      <w:r w:rsidRPr="009A6AC2">
        <w:rPr>
          <w:sz w:val="24"/>
          <w:szCs w:val="24"/>
        </w:rPr>
        <w:t>The VR&amp;E Non-Participant survey explore</w:t>
      </w:r>
      <w:r w:rsidR="00B547E8">
        <w:rPr>
          <w:sz w:val="24"/>
          <w:szCs w:val="24"/>
        </w:rPr>
        <w:t>s</w:t>
      </w:r>
      <w:r w:rsidRPr="009A6AC2">
        <w:rPr>
          <w:sz w:val="24"/>
          <w:szCs w:val="24"/>
        </w:rPr>
        <w:t xml:space="preserve"> why eligible individuals </w:t>
      </w:r>
      <w:r w:rsidR="00836429">
        <w:rPr>
          <w:sz w:val="24"/>
          <w:szCs w:val="24"/>
        </w:rPr>
        <w:t xml:space="preserve">chose not to pursue the </w:t>
      </w:r>
      <w:r w:rsidRPr="009A6AC2">
        <w:rPr>
          <w:sz w:val="24"/>
          <w:szCs w:val="24"/>
        </w:rPr>
        <w:t xml:space="preserve">benefit entitlement. The </w:t>
      </w:r>
      <w:r w:rsidR="00836429" w:rsidRPr="009A6AC2">
        <w:rPr>
          <w:i/>
          <w:sz w:val="24"/>
          <w:szCs w:val="24"/>
        </w:rPr>
        <w:t xml:space="preserve">VR&amp;E Non-Participant </w:t>
      </w:r>
      <w:r w:rsidR="00836429" w:rsidRPr="009A6AC2">
        <w:rPr>
          <w:sz w:val="24"/>
          <w:szCs w:val="24"/>
        </w:rPr>
        <w:t xml:space="preserve">questionnaire </w:t>
      </w:r>
      <w:r w:rsidRPr="009A6AC2">
        <w:rPr>
          <w:sz w:val="24"/>
          <w:szCs w:val="24"/>
        </w:rPr>
        <w:t>survey pool include</w:t>
      </w:r>
      <w:r w:rsidR="00BA7E6D">
        <w:rPr>
          <w:sz w:val="24"/>
          <w:szCs w:val="24"/>
        </w:rPr>
        <w:t>s</w:t>
      </w:r>
      <w:r w:rsidRPr="009A6AC2">
        <w:rPr>
          <w:sz w:val="24"/>
          <w:szCs w:val="24"/>
        </w:rPr>
        <w:t xml:space="preserve"> individuals who dropped out of the program prior to completing a rehabilitation plan. The sample </w:t>
      </w:r>
      <w:r w:rsidR="00B547E8">
        <w:rPr>
          <w:sz w:val="24"/>
          <w:szCs w:val="24"/>
        </w:rPr>
        <w:t xml:space="preserve">is </w:t>
      </w:r>
      <w:r w:rsidRPr="009A6AC2">
        <w:rPr>
          <w:sz w:val="24"/>
          <w:szCs w:val="24"/>
        </w:rPr>
        <w:t>stratified as follows: (1) applicants who never attended the initial meeting with a counselor</w:t>
      </w:r>
      <w:r w:rsidR="00836429">
        <w:rPr>
          <w:sz w:val="24"/>
          <w:szCs w:val="24"/>
        </w:rPr>
        <w:t xml:space="preserve">, </w:t>
      </w:r>
      <w:r w:rsidRPr="009A6AC2">
        <w:rPr>
          <w:sz w:val="24"/>
          <w:szCs w:val="24"/>
        </w:rPr>
        <w:t xml:space="preserve">(2) </w:t>
      </w:r>
      <w:r w:rsidR="00960EE3">
        <w:rPr>
          <w:sz w:val="24"/>
          <w:szCs w:val="24"/>
        </w:rPr>
        <w:t xml:space="preserve">applicants who were entitled to the program but did not pursue a plan of service, </w:t>
      </w:r>
      <w:r w:rsidR="00836429">
        <w:rPr>
          <w:sz w:val="24"/>
          <w:szCs w:val="24"/>
        </w:rPr>
        <w:t xml:space="preserve">and </w:t>
      </w:r>
      <w:r w:rsidR="00960EE3">
        <w:rPr>
          <w:sz w:val="24"/>
          <w:szCs w:val="24"/>
        </w:rPr>
        <w:t xml:space="preserve">(3) </w:t>
      </w:r>
      <w:r w:rsidRPr="009A6AC2">
        <w:rPr>
          <w:sz w:val="24"/>
          <w:szCs w:val="24"/>
        </w:rPr>
        <w:t>applicants who started, but did not complete a rehabilitation plan (i.e., negative closures).</w:t>
      </w:r>
    </w:p>
    <w:p w:rsidR="00FF09FD" w:rsidRDefault="00FF09FD">
      <w:pPr>
        <w:rPr>
          <w:sz w:val="24"/>
          <w:szCs w:val="24"/>
        </w:rPr>
      </w:pPr>
    </w:p>
    <w:p w:rsidR="00836429" w:rsidRPr="003D2967" w:rsidRDefault="00836429">
      <w:pPr>
        <w:rPr>
          <w:sz w:val="24"/>
          <w:szCs w:val="24"/>
          <w:u w:val="single"/>
        </w:rPr>
      </w:pPr>
      <w:r w:rsidRPr="003D2967">
        <w:rPr>
          <w:sz w:val="24"/>
          <w:szCs w:val="24"/>
          <w:u w:val="single"/>
        </w:rPr>
        <w:t>Findings</w:t>
      </w:r>
    </w:p>
    <w:p w:rsidR="00836429" w:rsidRDefault="00836429">
      <w:pPr>
        <w:rPr>
          <w:sz w:val="24"/>
          <w:szCs w:val="24"/>
        </w:rPr>
      </w:pPr>
    </w:p>
    <w:p w:rsidR="00D95CDA" w:rsidRDefault="0033782B">
      <w:pPr>
        <w:rPr>
          <w:sz w:val="24"/>
          <w:szCs w:val="24"/>
        </w:rPr>
      </w:pPr>
      <w:r>
        <w:rPr>
          <w:sz w:val="24"/>
          <w:szCs w:val="24"/>
        </w:rPr>
        <w:lastRenderedPageBreak/>
        <w:t>Findings and recommendations from the survey fielding period</w:t>
      </w:r>
      <w:r w:rsidR="00FB6892">
        <w:rPr>
          <w:sz w:val="24"/>
          <w:szCs w:val="24"/>
        </w:rPr>
        <w:t>s</w:t>
      </w:r>
      <w:r>
        <w:rPr>
          <w:sz w:val="24"/>
          <w:szCs w:val="24"/>
        </w:rPr>
        <w:t xml:space="preserve"> were presented to</w:t>
      </w:r>
      <w:r w:rsidR="00DE104E">
        <w:rPr>
          <w:sz w:val="24"/>
          <w:szCs w:val="24"/>
        </w:rPr>
        <w:t xml:space="preserve"> </w:t>
      </w:r>
      <w:r>
        <w:rPr>
          <w:sz w:val="24"/>
          <w:szCs w:val="24"/>
        </w:rPr>
        <w:t xml:space="preserve">VBA leadership and stakeholders within each line of business in FY 2014 </w:t>
      </w:r>
      <w:r w:rsidR="00FB6892">
        <w:rPr>
          <w:sz w:val="24"/>
          <w:szCs w:val="24"/>
        </w:rPr>
        <w:t>and FY</w:t>
      </w:r>
      <w:r>
        <w:rPr>
          <w:sz w:val="24"/>
          <w:szCs w:val="24"/>
        </w:rPr>
        <w:t xml:space="preserve"> 201</w:t>
      </w:r>
      <w:r w:rsidR="00FB6892">
        <w:rPr>
          <w:sz w:val="24"/>
          <w:szCs w:val="24"/>
        </w:rPr>
        <w:t>5</w:t>
      </w:r>
      <w:r>
        <w:rPr>
          <w:sz w:val="24"/>
          <w:szCs w:val="24"/>
        </w:rPr>
        <w:t xml:space="preserve">. </w:t>
      </w:r>
      <w:r w:rsidR="00803A9E">
        <w:rPr>
          <w:sz w:val="24"/>
          <w:szCs w:val="24"/>
        </w:rPr>
        <w:t xml:space="preserve">These discussions identified a need to refine the survey instruments due to </w:t>
      </w:r>
      <w:r w:rsidR="00836429">
        <w:rPr>
          <w:sz w:val="24"/>
          <w:szCs w:val="24"/>
        </w:rPr>
        <w:t xml:space="preserve">technological and </w:t>
      </w:r>
      <w:r w:rsidR="00D95CDA">
        <w:rPr>
          <w:sz w:val="24"/>
          <w:szCs w:val="24"/>
        </w:rPr>
        <w:t xml:space="preserve">process changes </w:t>
      </w:r>
      <w:r w:rsidR="00803A9E">
        <w:rPr>
          <w:sz w:val="24"/>
          <w:szCs w:val="24"/>
        </w:rPr>
        <w:t xml:space="preserve">within the VBA programs.  </w:t>
      </w:r>
      <w:r w:rsidR="00D95CDA">
        <w:rPr>
          <w:sz w:val="24"/>
          <w:szCs w:val="24"/>
        </w:rPr>
        <w:t xml:space="preserve">J.D. Power </w:t>
      </w:r>
      <w:r w:rsidR="00803A9E">
        <w:rPr>
          <w:sz w:val="24"/>
          <w:szCs w:val="24"/>
        </w:rPr>
        <w:t xml:space="preserve">collaborated </w:t>
      </w:r>
      <w:r w:rsidR="00D95CDA">
        <w:rPr>
          <w:sz w:val="24"/>
          <w:szCs w:val="24"/>
        </w:rPr>
        <w:t xml:space="preserve">with the lines of business </w:t>
      </w:r>
      <w:r w:rsidR="00082224">
        <w:rPr>
          <w:sz w:val="24"/>
          <w:szCs w:val="24"/>
        </w:rPr>
        <w:t xml:space="preserve">in order to </w:t>
      </w:r>
      <w:r w:rsidR="00803A9E">
        <w:rPr>
          <w:sz w:val="24"/>
          <w:szCs w:val="24"/>
        </w:rPr>
        <w:t xml:space="preserve">edit </w:t>
      </w:r>
      <w:r w:rsidR="00082224">
        <w:rPr>
          <w:sz w:val="24"/>
          <w:szCs w:val="24"/>
        </w:rPr>
        <w:t>the survey instrument</w:t>
      </w:r>
      <w:r w:rsidR="00803A9E">
        <w:rPr>
          <w:sz w:val="24"/>
          <w:szCs w:val="24"/>
        </w:rPr>
        <w:t>s</w:t>
      </w:r>
      <w:r w:rsidR="00D95CDA">
        <w:rPr>
          <w:sz w:val="24"/>
          <w:szCs w:val="24"/>
        </w:rPr>
        <w:t xml:space="preserve">. </w:t>
      </w:r>
      <w:r w:rsidR="00FB6892">
        <w:rPr>
          <w:sz w:val="24"/>
          <w:szCs w:val="24"/>
        </w:rPr>
        <w:t xml:space="preserve">In addition VBA </w:t>
      </w:r>
      <w:r w:rsidR="00803A9E">
        <w:rPr>
          <w:sz w:val="24"/>
          <w:szCs w:val="24"/>
        </w:rPr>
        <w:t xml:space="preserve">requested the addition of standardized </w:t>
      </w:r>
      <w:r w:rsidR="00F40BD3">
        <w:rPr>
          <w:sz w:val="24"/>
          <w:szCs w:val="24"/>
        </w:rPr>
        <w:t>Agency Performance Goal (APG) questions</w:t>
      </w:r>
      <w:r w:rsidR="00803A9E">
        <w:rPr>
          <w:sz w:val="24"/>
          <w:szCs w:val="24"/>
        </w:rPr>
        <w:t xml:space="preserve"> to the survey instruments</w:t>
      </w:r>
      <w:r w:rsidR="00FB6892">
        <w:rPr>
          <w:sz w:val="24"/>
          <w:szCs w:val="24"/>
        </w:rPr>
        <w:t>.</w:t>
      </w:r>
    </w:p>
    <w:p w:rsidR="00D95CDA" w:rsidRPr="009A6AC2" w:rsidRDefault="00D95CDA">
      <w:pPr>
        <w:rPr>
          <w:sz w:val="24"/>
          <w:szCs w:val="24"/>
        </w:rPr>
      </w:pPr>
    </w:p>
    <w:p w:rsidR="00803A9E" w:rsidRDefault="00FF09FD">
      <w:pPr>
        <w:rPr>
          <w:sz w:val="24"/>
          <w:szCs w:val="24"/>
        </w:rPr>
      </w:pPr>
      <w:r w:rsidRPr="009A6AC2">
        <w:rPr>
          <w:sz w:val="24"/>
          <w:szCs w:val="24"/>
        </w:rPr>
        <w:t xml:space="preserve">The results of the </w:t>
      </w:r>
      <w:r w:rsidR="00803A9E">
        <w:rPr>
          <w:sz w:val="24"/>
          <w:szCs w:val="24"/>
        </w:rPr>
        <w:t>VOV Continuous Measurement S</w:t>
      </w:r>
      <w:r w:rsidRPr="009A6AC2">
        <w:rPr>
          <w:sz w:val="24"/>
          <w:szCs w:val="24"/>
        </w:rPr>
        <w:t xml:space="preserve">tudy </w:t>
      </w:r>
      <w:r w:rsidR="00F40BD3" w:rsidRPr="009A6AC2">
        <w:rPr>
          <w:sz w:val="24"/>
          <w:szCs w:val="24"/>
        </w:rPr>
        <w:t>allow</w:t>
      </w:r>
      <w:r w:rsidRPr="009A6AC2">
        <w:rPr>
          <w:sz w:val="24"/>
          <w:szCs w:val="24"/>
        </w:rPr>
        <w:t xml:space="preserve"> VBA to measure the effectiveness of new initiatives and changes in processes identified within the VOV Study. Further, </w:t>
      </w:r>
      <w:r w:rsidR="00803A9E">
        <w:rPr>
          <w:sz w:val="24"/>
          <w:szCs w:val="24"/>
        </w:rPr>
        <w:t xml:space="preserve">since the benchmark study, </w:t>
      </w:r>
      <w:r w:rsidRPr="009A6AC2">
        <w:rPr>
          <w:sz w:val="24"/>
          <w:szCs w:val="24"/>
        </w:rPr>
        <w:t>the volumes for each survey-type have been increased in order to provide regional offices with a statistically valid sample size</w:t>
      </w:r>
      <w:r w:rsidR="00803A9E">
        <w:rPr>
          <w:sz w:val="24"/>
          <w:szCs w:val="24"/>
        </w:rPr>
        <w:t>s. These changes were reviewed by statisticians and VBA leadership.</w:t>
      </w:r>
    </w:p>
    <w:p w:rsidR="00FF09FD" w:rsidRPr="009A6AC2" w:rsidRDefault="00803A9E">
      <w:pPr>
        <w:rPr>
          <w:sz w:val="24"/>
          <w:szCs w:val="24"/>
        </w:rPr>
      </w:pPr>
      <w:r>
        <w:rPr>
          <w:sz w:val="24"/>
          <w:szCs w:val="24"/>
        </w:rPr>
        <w:t xml:space="preserve">  </w:t>
      </w:r>
    </w:p>
    <w:p w:rsidR="00717F94" w:rsidRDefault="00717F94" w:rsidP="00717F94">
      <w:pPr>
        <w:rPr>
          <w:sz w:val="24"/>
          <w:szCs w:val="24"/>
        </w:rPr>
      </w:pPr>
      <w:r>
        <w:rPr>
          <w:sz w:val="24"/>
          <w:szCs w:val="24"/>
        </w:rPr>
        <w:t xml:space="preserve">These surveys </w:t>
      </w:r>
      <w:r w:rsidR="00803A9E">
        <w:rPr>
          <w:sz w:val="24"/>
          <w:szCs w:val="24"/>
        </w:rPr>
        <w:t xml:space="preserve">are </w:t>
      </w:r>
      <w:r>
        <w:rPr>
          <w:sz w:val="24"/>
          <w:szCs w:val="24"/>
        </w:rPr>
        <w:t xml:space="preserve">conducted per the legislative requirement set forth in the Executive Orders 12862 - Setting Customer Service Standards and 13571- Streamlining Service Delivery and Improving Customer Service.  The Executive Orders mandate that government agencies set standards and seek to measure agency performance against such standards while streamlining and improving delivery of benefits and services.  These surveys are also being conducted in concurrence with the Government Performance Results Act (GPRA) and its requirements for improving customer service. </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Specifically, VBA requires customer satisfaction information from Veterans in order to track the effectiveness and usability of the benefits offered, as well as to assess the satisfaction </w:t>
      </w:r>
      <w:r w:rsidR="00836429">
        <w:rPr>
          <w:sz w:val="24"/>
          <w:szCs w:val="24"/>
        </w:rPr>
        <w:t xml:space="preserve">level </w:t>
      </w:r>
      <w:r w:rsidRPr="009A6AC2">
        <w:rPr>
          <w:sz w:val="24"/>
          <w:szCs w:val="24"/>
        </w:rPr>
        <w:t>with VBA</w:t>
      </w:r>
      <w:r w:rsidR="00836429">
        <w:rPr>
          <w:sz w:val="24"/>
          <w:szCs w:val="24"/>
        </w:rPr>
        <w:t xml:space="preserve"> provided services</w:t>
      </w:r>
      <w:r w:rsidRPr="009A6AC2">
        <w:rPr>
          <w:sz w:val="24"/>
          <w:szCs w:val="24"/>
        </w:rPr>
        <w:t xml:space="preserve">.  The data collected </w:t>
      </w:r>
      <w:r w:rsidR="00B547E8">
        <w:rPr>
          <w:sz w:val="24"/>
          <w:szCs w:val="24"/>
        </w:rPr>
        <w:t>is</w:t>
      </w:r>
      <w:r w:rsidRPr="009A6AC2">
        <w:rPr>
          <w:sz w:val="24"/>
          <w:szCs w:val="24"/>
        </w:rPr>
        <w:t xml:space="preserve"> used by VBA to make improvements </w:t>
      </w:r>
      <w:r w:rsidR="00836429">
        <w:rPr>
          <w:sz w:val="24"/>
          <w:szCs w:val="24"/>
        </w:rPr>
        <w:t>in both the application process and access to benefits</w:t>
      </w:r>
      <w:r w:rsidRPr="009A6AC2">
        <w:rPr>
          <w:sz w:val="24"/>
          <w:szCs w:val="24"/>
        </w:rPr>
        <w:t>, which in turn, enable</w:t>
      </w:r>
      <w:r w:rsidR="00BA7E6D">
        <w:rPr>
          <w:sz w:val="24"/>
          <w:szCs w:val="24"/>
        </w:rPr>
        <w:t>s</w:t>
      </w:r>
      <w:r w:rsidRPr="009A6AC2">
        <w:rPr>
          <w:sz w:val="24"/>
          <w:szCs w:val="24"/>
        </w:rPr>
        <w:t xml:space="preserve"> VBA to maximize the efficiency and quality of service provided to Veterans and their dependents.</w:t>
      </w:r>
    </w:p>
    <w:p w:rsidR="00FF09FD" w:rsidRPr="009A6AC2" w:rsidRDefault="00FF09FD">
      <w:pPr>
        <w:rPr>
          <w:sz w:val="24"/>
          <w:szCs w:val="24"/>
        </w:rPr>
      </w:pPr>
    </w:p>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 xml:space="preserve">  2.  Indicate how, by whom, and for what purpose the information is to be used. Except for a new collection, indicate the actual use the agency has made of the information received from current collection.</w:t>
      </w:r>
    </w:p>
    <w:p w:rsidR="00FF09FD" w:rsidRPr="009A6AC2" w:rsidRDefault="00FF09FD">
      <w:pPr>
        <w:pStyle w:val="BodyText"/>
      </w:pPr>
    </w:p>
    <w:p w:rsidR="00FF09FD" w:rsidRPr="009A6AC2" w:rsidRDefault="00FF09FD">
      <w:pPr>
        <w:rPr>
          <w:sz w:val="24"/>
          <w:szCs w:val="24"/>
        </w:rPr>
      </w:pPr>
      <w:r w:rsidRPr="009A6AC2">
        <w:rPr>
          <w:sz w:val="24"/>
          <w:szCs w:val="24"/>
        </w:rPr>
        <w:t xml:space="preserve">The information to be collected with the planned surveys </w:t>
      </w:r>
      <w:r w:rsidR="00B547E8">
        <w:rPr>
          <w:sz w:val="24"/>
          <w:szCs w:val="24"/>
        </w:rPr>
        <w:t xml:space="preserve">is </w:t>
      </w:r>
      <w:r w:rsidRPr="009A6AC2">
        <w:rPr>
          <w:sz w:val="24"/>
          <w:szCs w:val="24"/>
        </w:rPr>
        <w:t xml:space="preserve">used by VBA leadership and the lines of business: Compensation, Pension, Education (EDU) Service, Loan Guaranty (LGY) Service, and Vocational Rehabilitation and Employment (VR&amp;E) Service to determine Veteran satisfaction with benefits and services.  The major use of this data </w:t>
      </w:r>
      <w:r w:rsidR="00B547E8">
        <w:rPr>
          <w:sz w:val="24"/>
          <w:szCs w:val="24"/>
        </w:rPr>
        <w:t>is</w:t>
      </w:r>
      <w:r w:rsidRPr="009A6AC2">
        <w:rPr>
          <w:sz w:val="24"/>
          <w:szCs w:val="24"/>
        </w:rPr>
        <w:t xml:space="preserve"> three-fold: 1) to provide Veterans an opportunity to comment on their experience with benefits and services, 2) to formulate program and policy changes in the </w:t>
      </w:r>
      <w:r w:rsidR="00D07490">
        <w:rPr>
          <w:sz w:val="24"/>
          <w:szCs w:val="24"/>
        </w:rPr>
        <w:t xml:space="preserve">access </w:t>
      </w:r>
      <w:r w:rsidRPr="009A6AC2">
        <w:rPr>
          <w:sz w:val="24"/>
          <w:szCs w:val="24"/>
        </w:rPr>
        <w:t xml:space="preserve">and servicing process to ensure the most effective delivery of benefits and services, and 3) to identify the most influential elements of Veterans’ experience on their satisfaction and establish performance benchmarks to gauge the effectiveness of program and policy changes in improving Veterans’ experience with benefits and services.  Currently, there are no other means of continuously evaluating Veteran satisfaction with VBA’s </w:t>
      </w:r>
      <w:r w:rsidR="002171F8">
        <w:rPr>
          <w:sz w:val="24"/>
          <w:szCs w:val="24"/>
        </w:rPr>
        <w:t>benefit programs.</w:t>
      </w:r>
    </w:p>
    <w:p w:rsidR="00FF09FD" w:rsidRPr="009A6AC2" w:rsidRDefault="00FF09FD">
      <w:pPr>
        <w:rPr>
          <w:sz w:val="24"/>
          <w:szCs w:val="24"/>
        </w:rPr>
      </w:pPr>
    </w:p>
    <w:p w:rsidR="00FF09FD" w:rsidRPr="009A6AC2" w:rsidRDefault="00FF09FD">
      <w:pPr>
        <w:tabs>
          <w:tab w:val="left" w:pos="0"/>
        </w:tabs>
        <w:rPr>
          <w:b/>
          <w:bCs/>
          <w:sz w:val="24"/>
          <w:szCs w:val="24"/>
        </w:rPr>
      </w:pPr>
      <w:r w:rsidRPr="009A6AC2">
        <w:rPr>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9A6AC2">
        <w:rPr>
          <w:b/>
          <w:bCs/>
          <w:sz w:val="24"/>
          <w:szCs w:val="24"/>
        </w:rPr>
        <w:lastRenderedPageBreak/>
        <w:t>the basis for the decision for adopting this means of collection.  Also describe any consideration of using information technology to reduce burden.</w:t>
      </w:r>
    </w:p>
    <w:p w:rsidR="00FF09FD" w:rsidRPr="009A6AC2" w:rsidRDefault="00FF09FD">
      <w:pPr>
        <w:rPr>
          <w:b/>
          <w:bCs/>
          <w:sz w:val="24"/>
          <w:szCs w:val="24"/>
        </w:rPr>
      </w:pPr>
    </w:p>
    <w:p w:rsidR="00FF09FD" w:rsidRPr="009A6AC2" w:rsidRDefault="00FF09FD">
      <w:pPr>
        <w:rPr>
          <w:sz w:val="24"/>
          <w:szCs w:val="24"/>
        </w:rPr>
      </w:pPr>
      <w:r w:rsidRPr="009A6AC2">
        <w:rPr>
          <w:sz w:val="24"/>
          <w:szCs w:val="24"/>
        </w:rPr>
        <w:t>In conjunction with a contractor, VBA staff develop</w:t>
      </w:r>
      <w:r w:rsidR="002171F8">
        <w:rPr>
          <w:sz w:val="24"/>
          <w:szCs w:val="24"/>
        </w:rPr>
        <w:t>s</w:t>
      </w:r>
      <w:r w:rsidRPr="009A6AC2">
        <w:rPr>
          <w:sz w:val="24"/>
          <w:szCs w:val="24"/>
        </w:rPr>
        <w:t>, administer</w:t>
      </w:r>
      <w:r w:rsidR="00BA7E6D">
        <w:rPr>
          <w:sz w:val="24"/>
          <w:szCs w:val="24"/>
        </w:rPr>
        <w:t>s</w:t>
      </w:r>
      <w:r w:rsidRPr="009A6AC2">
        <w:rPr>
          <w:sz w:val="24"/>
          <w:szCs w:val="24"/>
        </w:rPr>
        <w:t>, and analyze</w:t>
      </w:r>
      <w:r w:rsidR="00BA7E6D">
        <w:rPr>
          <w:sz w:val="24"/>
          <w:szCs w:val="24"/>
        </w:rPr>
        <w:t>s</w:t>
      </w:r>
      <w:r w:rsidRPr="009A6AC2">
        <w:rPr>
          <w:sz w:val="24"/>
          <w:szCs w:val="24"/>
        </w:rPr>
        <w:t xml:space="preserve"> the Compensation</w:t>
      </w:r>
      <w:r w:rsidR="002171F8">
        <w:rPr>
          <w:sz w:val="24"/>
          <w:szCs w:val="24"/>
        </w:rPr>
        <w:t xml:space="preserve">, Pension, Education, and VR&amp;E </w:t>
      </w:r>
      <w:r w:rsidR="006C6FC9">
        <w:rPr>
          <w:sz w:val="24"/>
          <w:szCs w:val="24"/>
        </w:rPr>
        <w:t>Access</w:t>
      </w:r>
      <w:r w:rsidR="006C6FC9" w:rsidRPr="009A6AC2">
        <w:rPr>
          <w:sz w:val="24"/>
          <w:szCs w:val="24"/>
        </w:rPr>
        <w:t xml:space="preserve"> </w:t>
      </w:r>
      <w:r w:rsidRPr="009A6AC2">
        <w:rPr>
          <w:sz w:val="24"/>
          <w:szCs w:val="24"/>
        </w:rPr>
        <w:t>surveys, Compensation</w:t>
      </w:r>
      <w:r w:rsidR="002171F8">
        <w:rPr>
          <w:sz w:val="24"/>
          <w:szCs w:val="24"/>
        </w:rPr>
        <w:t xml:space="preserve">, Pension, Education, and VR&amp;E </w:t>
      </w:r>
      <w:r w:rsidRPr="009A6AC2">
        <w:rPr>
          <w:sz w:val="24"/>
          <w:szCs w:val="24"/>
        </w:rPr>
        <w:t>Servicing survey</w:t>
      </w:r>
      <w:r w:rsidR="002171F8">
        <w:rPr>
          <w:sz w:val="24"/>
          <w:szCs w:val="24"/>
        </w:rPr>
        <w:t>s</w:t>
      </w:r>
      <w:r w:rsidRPr="009A6AC2">
        <w:rPr>
          <w:sz w:val="24"/>
          <w:szCs w:val="24"/>
        </w:rPr>
        <w:t>, the LGY and SAH surveys, and the VR&amp;E Non-Participant surveys.</w:t>
      </w:r>
    </w:p>
    <w:p w:rsidR="00FF09FD" w:rsidRPr="009A6AC2" w:rsidRDefault="00FF09FD">
      <w:pPr>
        <w:rPr>
          <w:sz w:val="24"/>
          <w:szCs w:val="24"/>
        </w:rPr>
      </w:pPr>
    </w:p>
    <w:p w:rsidR="00FF09FD" w:rsidRPr="009A6AC2" w:rsidRDefault="00607908">
      <w:pPr>
        <w:rPr>
          <w:sz w:val="24"/>
          <w:szCs w:val="24"/>
        </w:rPr>
      </w:pPr>
      <w:r>
        <w:rPr>
          <w:sz w:val="24"/>
          <w:szCs w:val="24"/>
        </w:rPr>
        <w:t>The</w:t>
      </w:r>
      <w:r w:rsidR="0033782B">
        <w:rPr>
          <w:sz w:val="24"/>
          <w:szCs w:val="24"/>
        </w:rPr>
        <w:t xml:space="preserve"> </w:t>
      </w:r>
      <w:r w:rsidR="00FF09FD" w:rsidRPr="009A6AC2">
        <w:rPr>
          <w:sz w:val="24"/>
          <w:szCs w:val="24"/>
        </w:rPr>
        <w:t xml:space="preserve">surveys </w:t>
      </w:r>
      <w:r w:rsidR="00B547E8">
        <w:rPr>
          <w:sz w:val="24"/>
          <w:szCs w:val="24"/>
        </w:rPr>
        <w:t xml:space="preserve">are </w:t>
      </w:r>
      <w:r w:rsidR="00FF09FD" w:rsidRPr="009A6AC2">
        <w:rPr>
          <w:sz w:val="24"/>
          <w:szCs w:val="24"/>
        </w:rPr>
        <w:t>self-administered in both paper form and online using web-based data collection</w:t>
      </w:r>
      <w:r w:rsidR="0033782B">
        <w:rPr>
          <w:sz w:val="24"/>
          <w:szCs w:val="24"/>
        </w:rPr>
        <w:t xml:space="preserve"> with the exception of Pension Access and Servicing, SAH Servicing, VR&amp;E Servicing, and VR&amp;E Non-Participant which are available in paper form only</w:t>
      </w:r>
      <w:r w:rsidR="00FF09FD" w:rsidRPr="009A6AC2">
        <w:rPr>
          <w:sz w:val="24"/>
          <w:szCs w:val="24"/>
        </w:rPr>
        <w:t>. This maximize</w:t>
      </w:r>
      <w:r w:rsidR="00BA7E6D">
        <w:rPr>
          <w:sz w:val="24"/>
          <w:szCs w:val="24"/>
        </w:rPr>
        <w:t>s</w:t>
      </w:r>
      <w:r w:rsidR="00FF09FD" w:rsidRPr="009A6AC2">
        <w:rPr>
          <w:sz w:val="24"/>
          <w:szCs w:val="24"/>
        </w:rPr>
        <w:t xml:space="preserve"> the timeliness, efficiency, and response rate of data collection from Veterans.  Based on previous </w:t>
      </w:r>
      <w:r w:rsidR="002171F8">
        <w:rPr>
          <w:sz w:val="24"/>
          <w:szCs w:val="24"/>
        </w:rPr>
        <w:t xml:space="preserve">years fielding </w:t>
      </w:r>
      <w:r w:rsidR="00FF09FD" w:rsidRPr="009A6AC2">
        <w:rPr>
          <w:sz w:val="24"/>
          <w:szCs w:val="24"/>
        </w:rPr>
        <w:t xml:space="preserve">experience, it is expected that </w:t>
      </w:r>
      <w:r w:rsidR="00803A9E">
        <w:rPr>
          <w:sz w:val="24"/>
          <w:szCs w:val="24"/>
        </w:rPr>
        <w:t xml:space="preserve">the completion rates will be composed of 25% </w:t>
      </w:r>
      <w:r w:rsidR="00FF09FD" w:rsidRPr="009A6AC2">
        <w:rPr>
          <w:sz w:val="24"/>
          <w:szCs w:val="24"/>
        </w:rPr>
        <w:t xml:space="preserve">online collection </w:t>
      </w:r>
      <w:r w:rsidR="0033782B">
        <w:rPr>
          <w:sz w:val="24"/>
          <w:szCs w:val="24"/>
        </w:rPr>
        <w:t>and 75</w:t>
      </w:r>
      <w:r w:rsidR="00FF09FD" w:rsidRPr="0033782B">
        <w:rPr>
          <w:sz w:val="24"/>
          <w:szCs w:val="24"/>
        </w:rPr>
        <w:t xml:space="preserve">% </w:t>
      </w:r>
      <w:r w:rsidR="00803A9E">
        <w:rPr>
          <w:sz w:val="24"/>
          <w:szCs w:val="24"/>
        </w:rPr>
        <w:t xml:space="preserve">of respondents will be received by the </w:t>
      </w:r>
      <w:r w:rsidR="00FF09FD" w:rsidRPr="0033782B">
        <w:rPr>
          <w:sz w:val="24"/>
          <w:szCs w:val="24"/>
        </w:rPr>
        <w:t>mail option</w:t>
      </w:r>
      <w:r w:rsidR="0033782B">
        <w:rPr>
          <w:sz w:val="24"/>
          <w:szCs w:val="24"/>
        </w:rPr>
        <w:t>.</w:t>
      </w:r>
      <w:r w:rsidR="00FF09FD" w:rsidRPr="009A6AC2">
        <w:rPr>
          <w:sz w:val="24"/>
          <w:szCs w:val="24"/>
        </w:rPr>
        <w:t xml:space="preserve"> </w:t>
      </w:r>
    </w:p>
    <w:p w:rsidR="00FF09FD" w:rsidRPr="009A6AC2" w:rsidRDefault="00FF09FD">
      <w:pPr>
        <w:rPr>
          <w:sz w:val="24"/>
          <w:szCs w:val="24"/>
        </w:rPr>
      </w:pPr>
    </w:p>
    <w:p w:rsidR="00FF09FD" w:rsidRDefault="00607908">
      <w:pPr>
        <w:rPr>
          <w:sz w:val="24"/>
          <w:szCs w:val="24"/>
        </w:rPr>
      </w:pPr>
      <w:r>
        <w:rPr>
          <w:sz w:val="24"/>
          <w:szCs w:val="24"/>
        </w:rPr>
        <w:t>JDPA</w:t>
      </w:r>
      <w:r w:rsidR="00FF09FD" w:rsidRPr="009A6AC2">
        <w:rPr>
          <w:sz w:val="24"/>
          <w:szCs w:val="24"/>
        </w:rPr>
        <w:t xml:space="preserve"> has strong capabilities in programming and hosting surveys on the worldwide web, and maintains effective security and privacy procedures (e.g., unique passwords for respondents, data encryption) when designing and programming web surveys.  The </w:t>
      </w:r>
      <w:r w:rsidR="00803A9E" w:rsidRPr="009A6AC2">
        <w:rPr>
          <w:sz w:val="24"/>
          <w:szCs w:val="24"/>
        </w:rPr>
        <w:t>web address</w:t>
      </w:r>
      <w:r w:rsidR="00FF09FD" w:rsidRPr="009A6AC2">
        <w:rPr>
          <w:sz w:val="24"/>
          <w:szCs w:val="24"/>
        </w:rPr>
        <w:t xml:space="preserve"> (URL) on which the surveys</w:t>
      </w:r>
      <w:r w:rsidR="00B547E8">
        <w:rPr>
          <w:sz w:val="24"/>
          <w:szCs w:val="24"/>
        </w:rPr>
        <w:t xml:space="preserve"> are</w:t>
      </w:r>
      <w:r w:rsidR="00FF09FD" w:rsidRPr="009A6AC2">
        <w:rPr>
          <w:sz w:val="24"/>
          <w:szCs w:val="24"/>
        </w:rPr>
        <w:t xml:space="preserve"> hosted and accessed by respondents </w:t>
      </w:r>
      <w:r w:rsidR="00B547E8">
        <w:rPr>
          <w:sz w:val="24"/>
          <w:szCs w:val="24"/>
        </w:rPr>
        <w:t xml:space="preserve">are </w:t>
      </w:r>
      <w:r w:rsidR="00FF09FD" w:rsidRPr="009A6AC2">
        <w:rPr>
          <w:sz w:val="24"/>
          <w:szCs w:val="24"/>
        </w:rPr>
        <w:t xml:space="preserve">included in the </w:t>
      </w:r>
      <w:r w:rsidR="008A3782">
        <w:rPr>
          <w:sz w:val="24"/>
          <w:szCs w:val="24"/>
        </w:rPr>
        <w:t xml:space="preserve">Veterans’ notification </w:t>
      </w:r>
      <w:r w:rsidR="00FF09FD" w:rsidRPr="009A6AC2">
        <w:rPr>
          <w:sz w:val="24"/>
          <w:szCs w:val="24"/>
        </w:rPr>
        <w:t xml:space="preserve">materials </w:t>
      </w:r>
      <w:r w:rsidR="008A3782">
        <w:rPr>
          <w:sz w:val="24"/>
          <w:szCs w:val="24"/>
        </w:rPr>
        <w:t xml:space="preserve">regarding the </w:t>
      </w:r>
      <w:r w:rsidR="00FF09FD" w:rsidRPr="009A6AC2">
        <w:rPr>
          <w:sz w:val="24"/>
          <w:szCs w:val="24"/>
        </w:rPr>
        <w:t xml:space="preserve">surveys. Veterans can either </w:t>
      </w:r>
      <w:r w:rsidR="008A3782">
        <w:rPr>
          <w:sz w:val="24"/>
          <w:szCs w:val="24"/>
        </w:rPr>
        <w:t xml:space="preserve">respond online or complete the physical survey package. </w:t>
      </w:r>
    </w:p>
    <w:p w:rsidR="008A3782" w:rsidRPr="009A6AC2" w:rsidRDefault="008A3782">
      <w:pPr>
        <w:rPr>
          <w:sz w:val="24"/>
          <w:szCs w:val="24"/>
        </w:rPr>
      </w:pPr>
    </w:p>
    <w:p w:rsidR="00FF09FD" w:rsidRPr="00CD7476" w:rsidRDefault="00FF09FD">
      <w:pPr>
        <w:pStyle w:val="BodyText3"/>
        <w:rPr>
          <w:b/>
          <w:sz w:val="24"/>
          <w:szCs w:val="24"/>
        </w:rPr>
      </w:pPr>
      <w:r w:rsidRPr="00CD7476">
        <w:rPr>
          <w:b/>
          <w:sz w:val="24"/>
          <w:szCs w:val="24"/>
        </w:rPr>
        <w:t>4.  Describe efforts to identify duplication.  Show specifically why any similar information already available cannot be used or modified for use for the purposes described in Item 2 above.</w:t>
      </w:r>
    </w:p>
    <w:p w:rsidR="00FF09FD" w:rsidRPr="009A6AC2" w:rsidRDefault="00FF09FD">
      <w:pPr>
        <w:rPr>
          <w:sz w:val="24"/>
          <w:szCs w:val="24"/>
        </w:rPr>
      </w:pPr>
    </w:p>
    <w:p w:rsidR="00FF09FD" w:rsidRPr="009A6AC2" w:rsidRDefault="00FF09FD">
      <w:r w:rsidRPr="009A6AC2">
        <w:rPr>
          <w:sz w:val="24"/>
          <w:szCs w:val="24"/>
        </w:rPr>
        <w:t xml:space="preserve">As noted, VBA has not recently conducted customer satisfaction surveys specifically geared toward Veteran satisfaction with </w:t>
      </w:r>
      <w:r w:rsidR="002171F8">
        <w:rPr>
          <w:sz w:val="24"/>
          <w:szCs w:val="24"/>
        </w:rPr>
        <w:t>Compensation</w:t>
      </w:r>
      <w:r w:rsidRPr="009A6AC2">
        <w:rPr>
          <w:sz w:val="24"/>
          <w:szCs w:val="24"/>
        </w:rPr>
        <w:t xml:space="preserve">, </w:t>
      </w:r>
      <w:r w:rsidR="002171F8">
        <w:rPr>
          <w:sz w:val="24"/>
          <w:szCs w:val="24"/>
        </w:rPr>
        <w:t>Pension</w:t>
      </w:r>
      <w:r w:rsidRPr="009A6AC2">
        <w:rPr>
          <w:sz w:val="24"/>
          <w:szCs w:val="24"/>
        </w:rPr>
        <w:t>, EDU, LGY or VR&amp;E benefits and services on a</w:t>
      </w:r>
      <w:r>
        <w:rPr>
          <w:sz w:val="24"/>
          <w:szCs w:val="24"/>
        </w:rPr>
        <w:t xml:space="preserve"> continuous basis since 2005</w:t>
      </w:r>
      <w:r w:rsidRPr="009A6AC2">
        <w:rPr>
          <w:sz w:val="24"/>
          <w:szCs w:val="24"/>
        </w:rPr>
        <w:t xml:space="preserve">. </w:t>
      </w:r>
    </w:p>
    <w:p w:rsidR="00FF09FD" w:rsidRPr="009A6AC2" w:rsidRDefault="00FF09FD"/>
    <w:p w:rsidR="00FF09FD" w:rsidRPr="009A6AC2" w:rsidRDefault="00FF09FD">
      <w:pPr>
        <w:keepNext/>
        <w:tabs>
          <w:tab w:val="num" w:pos="900"/>
        </w:tabs>
        <w:spacing w:after="120"/>
        <w:rPr>
          <w:sz w:val="24"/>
          <w:szCs w:val="24"/>
        </w:rPr>
      </w:pPr>
      <w:r w:rsidRPr="009A6AC2">
        <w:rPr>
          <w:sz w:val="24"/>
          <w:szCs w:val="24"/>
        </w:rPr>
        <w:t xml:space="preserve">Our review of available data </w:t>
      </w:r>
      <w:r w:rsidR="002171F8">
        <w:rPr>
          <w:sz w:val="24"/>
          <w:szCs w:val="24"/>
        </w:rPr>
        <w:t xml:space="preserve">finds </w:t>
      </w:r>
      <w:r w:rsidRPr="009A6AC2">
        <w:rPr>
          <w:sz w:val="24"/>
          <w:szCs w:val="24"/>
        </w:rPr>
        <w:t xml:space="preserve">that no sources outside of VBA’s VOV survey program are available that provide a reliable, representative, and statistically valid sample of the targeted audience who have used </w:t>
      </w:r>
      <w:r w:rsidR="002171F8">
        <w:rPr>
          <w:sz w:val="24"/>
          <w:szCs w:val="24"/>
        </w:rPr>
        <w:t xml:space="preserve">Compensation, Pension </w:t>
      </w:r>
      <w:r w:rsidRPr="009A6AC2">
        <w:rPr>
          <w:sz w:val="24"/>
          <w:szCs w:val="24"/>
        </w:rPr>
        <w:t xml:space="preserve">, EDU, LGY or VR&amp;E services and from which detailed customer satisfaction indicators can be derived. </w:t>
      </w:r>
    </w:p>
    <w:p w:rsidR="00FF09FD" w:rsidRPr="009A6AC2" w:rsidRDefault="00FF09FD">
      <w:pPr>
        <w:pStyle w:val="Heading2"/>
        <w:rPr>
          <w:rFonts w:ascii="Times New Roman" w:hAnsi="Times New Roman"/>
        </w:rPr>
      </w:pPr>
    </w:p>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5.  If the collection of information impacts small businesses or other small entities, describe any methods used to minimize burden.</w:t>
      </w:r>
    </w:p>
    <w:p w:rsidR="00FF09FD" w:rsidRPr="009A6AC2" w:rsidRDefault="00FF09FD"/>
    <w:p w:rsidR="00FF09FD" w:rsidRPr="009A6AC2" w:rsidRDefault="00FF09FD">
      <w:pPr>
        <w:rPr>
          <w:sz w:val="24"/>
          <w:szCs w:val="24"/>
        </w:rPr>
      </w:pPr>
      <w:r w:rsidRPr="009A6AC2">
        <w:rPr>
          <w:sz w:val="24"/>
          <w:szCs w:val="24"/>
        </w:rPr>
        <w:t>No small businesses or other small entities are impacted by this information collection.</w:t>
      </w:r>
    </w:p>
    <w:p w:rsidR="00FF09FD" w:rsidRPr="009A6AC2" w:rsidRDefault="00FF09FD"/>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6.  Describe the consequences to Federal program or policy activities if the collection is not conducted or is conducted less frequently as well as any technical or legal obstacles to reducing burden.</w:t>
      </w:r>
    </w:p>
    <w:p w:rsidR="00FF09FD" w:rsidRPr="009A6AC2" w:rsidRDefault="00FF09FD">
      <w:pPr>
        <w:keepNext/>
        <w:tabs>
          <w:tab w:val="num" w:pos="900"/>
        </w:tabs>
      </w:pPr>
    </w:p>
    <w:p w:rsidR="00FF09FD" w:rsidRPr="009A6AC2" w:rsidRDefault="00FF09FD">
      <w:pPr>
        <w:keepNext/>
        <w:tabs>
          <w:tab w:val="num" w:pos="900"/>
        </w:tabs>
        <w:rPr>
          <w:sz w:val="24"/>
          <w:szCs w:val="24"/>
        </w:rPr>
      </w:pPr>
      <w:r w:rsidRPr="009A6AC2">
        <w:rPr>
          <w:sz w:val="24"/>
          <w:szCs w:val="24"/>
        </w:rPr>
        <w:t xml:space="preserve">If the Voice of the Veteran </w:t>
      </w:r>
      <w:r w:rsidR="00A6081F">
        <w:rPr>
          <w:sz w:val="24"/>
          <w:szCs w:val="24"/>
        </w:rPr>
        <w:t>Continuous measurement</w:t>
      </w:r>
      <w:r w:rsidR="00A6081F" w:rsidRPr="009A6AC2">
        <w:rPr>
          <w:sz w:val="24"/>
          <w:szCs w:val="24"/>
        </w:rPr>
        <w:t xml:space="preserve"> </w:t>
      </w:r>
      <w:r w:rsidRPr="009A6AC2">
        <w:rPr>
          <w:sz w:val="24"/>
          <w:szCs w:val="24"/>
        </w:rPr>
        <w:t xml:space="preserve">surveys are not conducted, VBA will not be able to fulfill its performance measurement requirements as articulated by the requirements of Public Law 103-62, the Government Performance and Results Act of 1993 and Title 38 USC, </w:t>
      </w:r>
      <w:r w:rsidRPr="009A6AC2">
        <w:rPr>
          <w:sz w:val="24"/>
          <w:szCs w:val="24"/>
        </w:rPr>
        <w:lastRenderedPageBreak/>
        <w:t xml:space="preserve">§527, Evaluation and Data Collection.  Furthermore, VBA would miss an opportunity to learn from America’s Veterans about how to improve the </w:t>
      </w:r>
      <w:r w:rsidR="00A6081F">
        <w:rPr>
          <w:sz w:val="24"/>
          <w:szCs w:val="24"/>
        </w:rPr>
        <w:t>Compensation</w:t>
      </w:r>
      <w:r w:rsidRPr="009A6AC2">
        <w:rPr>
          <w:sz w:val="24"/>
          <w:szCs w:val="24"/>
        </w:rPr>
        <w:t xml:space="preserve">, </w:t>
      </w:r>
      <w:r w:rsidR="00A6081F">
        <w:rPr>
          <w:sz w:val="24"/>
          <w:szCs w:val="24"/>
        </w:rPr>
        <w:t>Pension</w:t>
      </w:r>
      <w:r w:rsidRPr="009A6AC2">
        <w:rPr>
          <w:sz w:val="24"/>
          <w:szCs w:val="24"/>
        </w:rPr>
        <w:t xml:space="preserve">, EDU, LGY or VR&amp;E benefit </w:t>
      </w:r>
      <w:r w:rsidR="0054724E">
        <w:rPr>
          <w:sz w:val="24"/>
          <w:szCs w:val="24"/>
        </w:rPr>
        <w:t>access</w:t>
      </w:r>
      <w:r w:rsidR="0054724E" w:rsidRPr="009A6AC2">
        <w:rPr>
          <w:sz w:val="24"/>
          <w:szCs w:val="24"/>
        </w:rPr>
        <w:t xml:space="preserve"> </w:t>
      </w:r>
      <w:r w:rsidRPr="009A6AC2">
        <w:rPr>
          <w:sz w:val="24"/>
          <w:szCs w:val="24"/>
        </w:rPr>
        <w:t xml:space="preserve">and servicing processes to best serve their needs.  VBA would also lose an opportunity to track and document improvements or declines in Veteran satisfaction and service delivery over time.  </w:t>
      </w:r>
    </w:p>
    <w:p w:rsidR="00FF09FD" w:rsidRPr="009A6AC2" w:rsidRDefault="00FF09FD">
      <w:pPr>
        <w:pStyle w:val="Heading2"/>
        <w:tabs>
          <w:tab w:val="clear" w:pos="360"/>
        </w:tabs>
        <w:ind w:left="0" w:firstLine="0"/>
        <w:rPr>
          <w:rFonts w:ascii="Times New Roman" w:hAnsi="Times New Roman"/>
          <w:b w:val="0"/>
          <w:bCs w:val="0"/>
        </w:rPr>
      </w:pPr>
    </w:p>
    <w:p w:rsidR="00FF09FD" w:rsidRPr="009A6AC2" w:rsidRDefault="00FF09FD">
      <w:pPr>
        <w:pStyle w:val="Heading2"/>
        <w:tabs>
          <w:tab w:val="clear" w:pos="360"/>
        </w:tabs>
        <w:ind w:left="0" w:firstLine="0"/>
        <w:rPr>
          <w:rFonts w:ascii="Times New Roman" w:hAnsi="Times New Roman"/>
          <w:b w:val="0"/>
          <w:bCs w:val="0"/>
          <w:i w:val="0"/>
          <w:sz w:val="24"/>
          <w:szCs w:val="24"/>
        </w:rPr>
      </w:pPr>
      <w:r w:rsidRPr="009A6AC2">
        <w:rPr>
          <w:rFonts w:ascii="Times New Roman" w:hAnsi="Times New Roman"/>
          <w:b w:val="0"/>
          <w:bCs w:val="0"/>
          <w:i w:val="0"/>
          <w:sz w:val="24"/>
          <w:szCs w:val="24"/>
        </w:rPr>
        <w:t>The design and administration of the suite of VOV surveys incorporates significant measures to minimize burden on respondents.  (These specific measures are discussed in more detail in section 12). There are currently no technical or legal obstacles to reducing burden using the planned methods.</w:t>
      </w:r>
    </w:p>
    <w:p w:rsidR="00FF09FD" w:rsidRPr="009A6AC2" w:rsidRDefault="00FF09FD">
      <w:pPr>
        <w:rPr>
          <w:sz w:val="24"/>
          <w:szCs w:val="24"/>
        </w:rPr>
      </w:pPr>
    </w:p>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7.  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FF09FD" w:rsidRPr="009A6AC2" w:rsidRDefault="00FF09FD">
      <w:pPr>
        <w:ind w:left="360"/>
        <w:rPr>
          <w:sz w:val="24"/>
          <w:szCs w:val="24"/>
        </w:rPr>
      </w:pPr>
    </w:p>
    <w:p w:rsidR="00FF09FD" w:rsidRPr="009A6AC2" w:rsidRDefault="00FF09FD">
      <w:pPr>
        <w:rPr>
          <w:b/>
          <w:bCs/>
        </w:rPr>
      </w:pPr>
      <w:r w:rsidRPr="009A6AC2">
        <w:rPr>
          <w:sz w:val="24"/>
          <w:szCs w:val="24"/>
        </w:rPr>
        <w:t xml:space="preserve">There are no special circumstances that would require respondents to prepare or submit the documents outlined above, or respond in fewer than 30 days.  The surveys </w:t>
      </w:r>
      <w:r w:rsidR="00B547E8">
        <w:rPr>
          <w:sz w:val="24"/>
          <w:szCs w:val="24"/>
        </w:rPr>
        <w:t xml:space="preserve">are </w:t>
      </w:r>
      <w:r w:rsidRPr="009A6AC2">
        <w:rPr>
          <w:sz w:val="24"/>
          <w:szCs w:val="24"/>
        </w:rPr>
        <w:t>designed and carried out with appropriate scientific rigor, and are intended to produce valid and reliable results that can be generalized to the universe of study</w:t>
      </w:r>
      <w:r w:rsidRPr="009A6AC2">
        <w:rPr>
          <w:b/>
          <w:bCs/>
        </w:rPr>
        <w:t>.</w:t>
      </w:r>
    </w:p>
    <w:p w:rsidR="00FF09FD" w:rsidRPr="009A6AC2" w:rsidRDefault="00FF09FD"/>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8.  Part 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FF09FD" w:rsidRPr="009A6AC2" w:rsidRDefault="00FF09FD">
      <w:pPr>
        <w:ind w:left="360"/>
      </w:pPr>
    </w:p>
    <w:p w:rsidR="000A2FE0" w:rsidRDefault="000A2FE0" w:rsidP="00894407">
      <w:pPr>
        <w:tabs>
          <w:tab w:val="left" w:pos="540"/>
          <w:tab w:val="left" w:pos="1080"/>
        </w:tabs>
        <w:rPr>
          <w:sz w:val="24"/>
          <w:szCs w:val="24"/>
        </w:rPr>
      </w:pPr>
    </w:p>
    <w:p w:rsidR="008A3782" w:rsidRPr="00F22A49" w:rsidRDefault="00C323D4" w:rsidP="00C323D4">
      <w:pPr>
        <w:tabs>
          <w:tab w:val="left" w:pos="540"/>
          <w:tab w:val="left" w:pos="1080"/>
        </w:tabs>
        <w:rPr>
          <w:sz w:val="24"/>
          <w:szCs w:val="24"/>
        </w:rPr>
      </w:pPr>
      <w:r w:rsidRPr="003D2967">
        <w:rPr>
          <w:sz w:val="24"/>
          <w:szCs w:val="24"/>
        </w:rPr>
        <w:t xml:space="preserve">On June 20, 2013 a 60 Day Federal Register Notice was published at </w:t>
      </w:r>
      <w:r w:rsidRPr="003D2967">
        <w:rPr>
          <w:rStyle w:val="volume"/>
          <w:sz w:val="24"/>
          <w:szCs w:val="24"/>
        </w:rPr>
        <w:t>78</w:t>
      </w:r>
      <w:r w:rsidRPr="003D2967">
        <w:rPr>
          <w:sz w:val="24"/>
          <w:szCs w:val="24"/>
        </w:rPr>
        <w:t xml:space="preserve"> FR </w:t>
      </w:r>
      <w:r w:rsidRPr="003D2967">
        <w:rPr>
          <w:rStyle w:val="page"/>
          <w:sz w:val="24"/>
          <w:szCs w:val="24"/>
        </w:rPr>
        <w:t>37278</w:t>
      </w:r>
      <w:r w:rsidRPr="003D2967">
        <w:rPr>
          <w:sz w:val="24"/>
          <w:szCs w:val="24"/>
        </w:rPr>
        <w:t xml:space="preserve">.  There were no comments received. </w:t>
      </w:r>
    </w:p>
    <w:p w:rsidR="008A3782" w:rsidRPr="00F22A49" w:rsidRDefault="008A3782" w:rsidP="008A3782">
      <w:pPr>
        <w:rPr>
          <w:sz w:val="24"/>
          <w:szCs w:val="24"/>
        </w:rPr>
      </w:pPr>
      <w:r w:rsidRPr="003D2967">
        <w:rPr>
          <w:sz w:val="24"/>
          <w:szCs w:val="24"/>
        </w:rPr>
        <w:t xml:space="preserve">On September 27, 2013 a 30 Day Federal Register Notice was published at </w:t>
      </w:r>
      <w:r w:rsidRPr="003D2967">
        <w:rPr>
          <w:rStyle w:val="volume"/>
          <w:sz w:val="24"/>
          <w:szCs w:val="24"/>
        </w:rPr>
        <w:t>78</w:t>
      </w:r>
      <w:r w:rsidRPr="003D2967">
        <w:rPr>
          <w:sz w:val="24"/>
          <w:szCs w:val="24"/>
        </w:rPr>
        <w:t xml:space="preserve"> FR </w:t>
      </w:r>
      <w:r w:rsidRPr="003D2967">
        <w:rPr>
          <w:rStyle w:val="page"/>
          <w:sz w:val="24"/>
          <w:szCs w:val="24"/>
        </w:rPr>
        <w:t>59769</w:t>
      </w:r>
      <w:r w:rsidRPr="003D2967">
        <w:rPr>
          <w:sz w:val="24"/>
          <w:szCs w:val="24"/>
        </w:rPr>
        <w:t xml:space="preserve">.  There were no comments received. </w:t>
      </w:r>
    </w:p>
    <w:p w:rsidR="00894407" w:rsidRDefault="00894407">
      <w:pPr>
        <w:tabs>
          <w:tab w:val="left" w:pos="540"/>
          <w:tab w:val="left" w:pos="1080"/>
        </w:tabs>
        <w:rPr>
          <w:sz w:val="24"/>
          <w:szCs w:val="24"/>
        </w:rPr>
      </w:pPr>
    </w:p>
    <w:p w:rsidR="00FF09FD" w:rsidRPr="009A6AC2" w:rsidRDefault="00FF09FD">
      <w:pPr>
        <w:tabs>
          <w:tab w:val="left" w:pos="540"/>
          <w:tab w:val="left" w:pos="1080"/>
        </w:tabs>
        <w:rPr>
          <w:b/>
          <w:bCs/>
          <w:sz w:val="24"/>
          <w:szCs w:val="24"/>
        </w:rPr>
      </w:pPr>
    </w:p>
    <w:p w:rsidR="00FF09FD" w:rsidRPr="001D0609" w:rsidRDefault="00FF09FD">
      <w:pPr>
        <w:pStyle w:val="BodyText3"/>
        <w:tabs>
          <w:tab w:val="left" w:pos="270"/>
          <w:tab w:val="left" w:pos="540"/>
          <w:tab w:val="left" w:pos="1080"/>
        </w:tabs>
        <w:rPr>
          <w:b/>
          <w:sz w:val="24"/>
          <w:szCs w:val="24"/>
        </w:rPr>
      </w:pPr>
      <w:r w:rsidRPr="001D0609">
        <w:rPr>
          <w:b/>
          <w:sz w:val="24"/>
          <w:szCs w:val="24"/>
        </w:rPr>
        <w:t>8.  Part B: 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00FF09FD" w:rsidRPr="009A6AC2" w:rsidRDefault="00FF09FD">
      <w:pPr>
        <w:keepNext/>
        <w:tabs>
          <w:tab w:val="num" w:pos="900"/>
        </w:tabs>
        <w:rPr>
          <w:sz w:val="24"/>
          <w:szCs w:val="24"/>
        </w:rPr>
      </w:pPr>
    </w:p>
    <w:p w:rsidR="00FF09FD" w:rsidRPr="009A6AC2" w:rsidRDefault="00FF09FD">
      <w:pPr>
        <w:rPr>
          <w:sz w:val="24"/>
          <w:szCs w:val="24"/>
        </w:rPr>
      </w:pPr>
      <w:r w:rsidRPr="009A6AC2">
        <w:rPr>
          <w:sz w:val="24"/>
          <w:szCs w:val="24"/>
        </w:rPr>
        <w:t xml:space="preserve">VBA is not aware of any tracking surveys in private or government sectors.  </w:t>
      </w:r>
    </w:p>
    <w:p w:rsidR="00FF09FD" w:rsidRPr="009A6AC2" w:rsidRDefault="00FF09FD">
      <w:pPr>
        <w:rPr>
          <w:sz w:val="24"/>
          <w:szCs w:val="24"/>
        </w:rPr>
      </w:pPr>
    </w:p>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lastRenderedPageBreak/>
        <w:t>9.  Explain any decision to provide any payment or gift to respondents, other than remuneration of contractors or grantees.</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No payment or gift shall be provided to respondents.  </w:t>
      </w:r>
    </w:p>
    <w:p w:rsidR="00FF09FD" w:rsidRPr="009A6AC2" w:rsidRDefault="00FF09FD">
      <w:pPr>
        <w:rPr>
          <w:sz w:val="24"/>
          <w:szCs w:val="24"/>
        </w:rPr>
      </w:pPr>
    </w:p>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10.  Describe any assurance of confidentiality provided to respondents and the basis for the assurance in statue, regulation, or agency policy.</w:t>
      </w:r>
    </w:p>
    <w:p w:rsidR="00FF09FD" w:rsidRPr="009A6AC2" w:rsidRDefault="00FF09FD">
      <w:pPr>
        <w:ind w:left="360"/>
      </w:pPr>
    </w:p>
    <w:p w:rsidR="00FF09FD" w:rsidRPr="009A6AC2" w:rsidRDefault="00FF09FD">
      <w:pPr>
        <w:rPr>
          <w:sz w:val="24"/>
          <w:szCs w:val="24"/>
        </w:rPr>
      </w:pPr>
      <w:r w:rsidRPr="009A6AC2">
        <w:rPr>
          <w:sz w:val="24"/>
          <w:szCs w:val="24"/>
        </w:rPr>
        <w:t>An assurance that</w:t>
      </w:r>
      <w:r w:rsidRPr="009A6AC2">
        <w:rPr>
          <w:rFonts w:ascii="Arial" w:hAnsi="Arial" w:cs="Arial"/>
          <w:color w:val="0000FF"/>
        </w:rPr>
        <w:t xml:space="preserve"> </w:t>
      </w:r>
      <w:r w:rsidRPr="009A6AC2">
        <w:rPr>
          <w:sz w:val="24"/>
          <w:szCs w:val="24"/>
        </w:rPr>
        <w:t>the information will be kept private to the extent of the law is made in the introductory letter</w:t>
      </w:r>
      <w:r w:rsidR="0033782B">
        <w:rPr>
          <w:sz w:val="24"/>
          <w:szCs w:val="24"/>
        </w:rPr>
        <w:t>/postcard</w:t>
      </w:r>
      <w:r w:rsidRPr="009A6AC2">
        <w:rPr>
          <w:sz w:val="24"/>
          <w:szCs w:val="24"/>
        </w:rPr>
        <w:t xml:space="preserve">s </w:t>
      </w:r>
      <w:r w:rsidR="0075494F">
        <w:rPr>
          <w:sz w:val="24"/>
          <w:szCs w:val="24"/>
        </w:rPr>
        <w:t xml:space="preserve">as </w:t>
      </w:r>
      <w:r w:rsidRPr="009A6AC2">
        <w:rPr>
          <w:sz w:val="24"/>
          <w:szCs w:val="24"/>
        </w:rPr>
        <w:t xml:space="preserve">well as </w:t>
      </w:r>
      <w:r w:rsidR="0033782B">
        <w:rPr>
          <w:sz w:val="24"/>
          <w:szCs w:val="24"/>
        </w:rPr>
        <w:t xml:space="preserve">the reminder letter respondents receive with the survey, </w:t>
      </w:r>
      <w:r w:rsidRPr="009A6AC2">
        <w:rPr>
          <w:sz w:val="24"/>
          <w:szCs w:val="24"/>
        </w:rPr>
        <w:t xml:space="preserve">regardless of the mode of administration.  Respondents are assured that answers given will be kept private to the extent of the law and will not affect their current or future entitlement to benefits and services.  The information that respondents supply is protected by law (the Privacy Act of 1974, 5 U.S.C. 522a and section 5701 of Title 38 of the United States Code). </w:t>
      </w:r>
    </w:p>
    <w:p w:rsidR="00FF09FD" w:rsidRPr="009A6AC2" w:rsidRDefault="00FF09FD"/>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11.  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FF09FD" w:rsidRPr="009A6AC2" w:rsidRDefault="00FF09FD">
      <w:pPr>
        <w:rPr>
          <w:sz w:val="24"/>
          <w:szCs w:val="24"/>
        </w:rPr>
      </w:pPr>
    </w:p>
    <w:p w:rsidR="00FF09FD" w:rsidRPr="009A6AC2" w:rsidRDefault="00FF09FD">
      <w:pPr>
        <w:rPr>
          <w:sz w:val="24"/>
          <w:szCs w:val="24"/>
        </w:rPr>
      </w:pPr>
      <w:r w:rsidRPr="009A6AC2">
        <w:rPr>
          <w:sz w:val="24"/>
          <w:szCs w:val="24"/>
        </w:rPr>
        <w:t xml:space="preserve">None of the survey instruments contain any questions of a sensitive nature. </w:t>
      </w:r>
    </w:p>
    <w:p w:rsidR="00FF09FD" w:rsidRPr="009A6AC2" w:rsidRDefault="00FF09FD">
      <w:pPr>
        <w:rPr>
          <w:sz w:val="24"/>
          <w:szCs w:val="24"/>
        </w:rPr>
      </w:pPr>
    </w:p>
    <w:p w:rsidR="003540D0" w:rsidRPr="00C60422" w:rsidRDefault="00FF09FD" w:rsidP="00C60422">
      <w:r w:rsidRPr="009A6AC2">
        <w:rPr>
          <w:i/>
          <w:sz w:val="24"/>
          <w:szCs w:val="24"/>
        </w:rPr>
        <w:t>12.  Estimate of the hour burden of the collection of information.</w:t>
      </w:r>
    </w:p>
    <w:p w:rsidR="00EE01E2" w:rsidRPr="009A6AC2" w:rsidRDefault="00EE01E2" w:rsidP="00EE01E2">
      <w:pPr>
        <w:rPr>
          <w:sz w:val="24"/>
          <w:szCs w:val="24"/>
        </w:rPr>
      </w:pPr>
      <w:r w:rsidRPr="009A6AC2">
        <w:rPr>
          <w:sz w:val="24"/>
          <w:szCs w:val="24"/>
        </w:rPr>
        <w:t xml:space="preserve">In order to understand the different elements that make up the overall experience with VBA for a Veteran, questions were added to the surveys that result in a variation of length in the questionnaires. Questionnaires </w:t>
      </w:r>
      <w:r w:rsidR="007E69D9">
        <w:rPr>
          <w:sz w:val="24"/>
          <w:szCs w:val="24"/>
        </w:rPr>
        <w:t xml:space="preserve">average </w:t>
      </w:r>
      <w:r w:rsidRPr="009A6AC2">
        <w:rPr>
          <w:sz w:val="24"/>
          <w:szCs w:val="24"/>
        </w:rPr>
        <w:t xml:space="preserve">15 minutes </w:t>
      </w:r>
      <w:r w:rsidR="007E69D9">
        <w:rPr>
          <w:sz w:val="24"/>
          <w:szCs w:val="24"/>
        </w:rPr>
        <w:t xml:space="preserve">to complete </w:t>
      </w:r>
      <w:r w:rsidRPr="009A6AC2">
        <w:rPr>
          <w:sz w:val="24"/>
          <w:szCs w:val="24"/>
        </w:rPr>
        <w:t xml:space="preserve">depending on the benefit line, </w:t>
      </w:r>
      <w:r w:rsidR="00A6081F">
        <w:rPr>
          <w:sz w:val="24"/>
          <w:szCs w:val="24"/>
        </w:rPr>
        <w:t>completion method,</w:t>
      </w:r>
      <w:r w:rsidRPr="009A6AC2">
        <w:rPr>
          <w:sz w:val="24"/>
          <w:szCs w:val="24"/>
        </w:rPr>
        <w:t xml:space="preserve"> and Veteran experience. </w:t>
      </w:r>
      <w:r w:rsidR="00033253">
        <w:rPr>
          <w:sz w:val="24"/>
          <w:szCs w:val="24"/>
        </w:rPr>
        <w:t xml:space="preserve"> The annual number of responses (Column 4 below) assumes a thirty percent (30%) completion rate by those who receive a survey instrument. </w:t>
      </w:r>
    </w:p>
    <w:p w:rsidR="00EE01E2" w:rsidRPr="009A6AC2" w:rsidRDefault="00EE01E2" w:rsidP="00EE01E2">
      <w:pPr>
        <w:rPr>
          <w:sz w:val="24"/>
          <w:szCs w:val="24"/>
        </w:rPr>
      </w:pPr>
    </w:p>
    <w:p w:rsidR="003D2967" w:rsidRDefault="00EE01E2" w:rsidP="00EE01E2">
      <w:pPr>
        <w:rPr>
          <w:sz w:val="24"/>
          <w:szCs w:val="24"/>
        </w:rPr>
      </w:pPr>
      <w:r w:rsidRPr="009A6AC2">
        <w:rPr>
          <w:sz w:val="24"/>
          <w:szCs w:val="24"/>
        </w:rPr>
        <w:t xml:space="preserve">The volumes </w:t>
      </w:r>
      <w:r>
        <w:rPr>
          <w:sz w:val="24"/>
          <w:szCs w:val="24"/>
        </w:rPr>
        <w:t>b</w:t>
      </w:r>
      <w:r w:rsidRPr="009A6AC2">
        <w:rPr>
          <w:sz w:val="24"/>
          <w:szCs w:val="24"/>
        </w:rPr>
        <w:t>e</w:t>
      </w:r>
      <w:r>
        <w:rPr>
          <w:sz w:val="24"/>
          <w:szCs w:val="24"/>
        </w:rPr>
        <w:t>low</w:t>
      </w:r>
      <w:r w:rsidRPr="009A6AC2">
        <w:rPr>
          <w:sz w:val="24"/>
          <w:szCs w:val="24"/>
        </w:rPr>
        <w:t xml:space="preserve"> </w:t>
      </w:r>
      <w:r>
        <w:rPr>
          <w:sz w:val="24"/>
          <w:szCs w:val="24"/>
        </w:rPr>
        <w:t>reflect the</w:t>
      </w:r>
      <w:r w:rsidR="006505CA">
        <w:rPr>
          <w:sz w:val="24"/>
          <w:szCs w:val="24"/>
        </w:rPr>
        <w:t xml:space="preserve"> estimated</w:t>
      </w:r>
      <w:r>
        <w:rPr>
          <w:sz w:val="24"/>
          <w:szCs w:val="24"/>
        </w:rPr>
        <w:t xml:space="preserve"> burden per year for the duration of </w:t>
      </w:r>
      <w:r w:rsidR="0033782B">
        <w:rPr>
          <w:sz w:val="24"/>
          <w:szCs w:val="24"/>
        </w:rPr>
        <w:t xml:space="preserve">FY </w:t>
      </w:r>
      <w:r w:rsidR="00773F6F">
        <w:rPr>
          <w:sz w:val="24"/>
          <w:szCs w:val="24"/>
        </w:rPr>
        <w:t>2016</w:t>
      </w:r>
      <w:r>
        <w:rPr>
          <w:sz w:val="24"/>
          <w:szCs w:val="24"/>
        </w:rPr>
        <w:t xml:space="preserve">. </w:t>
      </w:r>
      <w:r w:rsidR="006505CA">
        <w:rPr>
          <w:sz w:val="24"/>
          <w:szCs w:val="24"/>
        </w:rPr>
        <w:t xml:space="preserve">These burdens are estimated based upon the FY15 actual response rates. </w:t>
      </w:r>
      <w:r>
        <w:rPr>
          <w:sz w:val="24"/>
          <w:szCs w:val="24"/>
        </w:rPr>
        <w:t xml:space="preserve">In order to calculate the total volumes for the entire </w:t>
      </w:r>
      <w:r w:rsidR="006505CA">
        <w:rPr>
          <w:sz w:val="24"/>
          <w:szCs w:val="24"/>
        </w:rPr>
        <w:t>contract period</w:t>
      </w:r>
      <w:r>
        <w:rPr>
          <w:sz w:val="24"/>
          <w:szCs w:val="24"/>
        </w:rPr>
        <w:t xml:space="preserve">, multiply the annual volumes by </w:t>
      </w:r>
      <w:r w:rsidR="006505CA">
        <w:rPr>
          <w:sz w:val="24"/>
          <w:szCs w:val="24"/>
        </w:rPr>
        <w:t>1.5</w:t>
      </w:r>
      <w:r>
        <w:rPr>
          <w:sz w:val="24"/>
          <w:szCs w:val="24"/>
        </w:rPr>
        <w:t>.</w:t>
      </w:r>
    </w:p>
    <w:p w:rsidR="003D2967" w:rsidRDefault="003D2967" w:rsidP="003D2967">
      <w:r>
        <w:br w:type="page"/>
      </w:r>
    </w:p>
    <w:p w:rsidR="00EE01E2" w:rsidRPr="009A6AC2" w:rsidRDefault="00EE01E2" w:rsidP="00EE01E2">
      <w:pPr>
        <w:rPr>
          <w:sz w:val="24"/>
          <w:szCs w:val="24"/>
        </w:rPr>
      </w:pPr>
    </w:p>
    <w:tbl>
      <w:tblPr>
        <w:tblW w:w="9600" w:type="dxa"/>
        <w:tblInd w:w="93" w:type="dxa"/>
        <w:tblLook w:val="04A0" w:firstRow="1" w:lastRow="0" w:firstColumn="1" w:lastColumn="0" w:noHBand="0" w:noVBand="1"/>
      </w:tblPr>
      <w:tblGrid>
        <w:gridCol w:w="1590"/>
        <w:gridCol w:w="1250"/>
        <w:gridCol w:w="1172"/>
        <w:gridCol w:w="1115"/>
        <w:gridCol w:w="1127"/>
        <w:gridCol w:w="1086"/>
        <w:gridCol w:w="1044"/>
        <w:gridCol w:w="1216"/>
      </w:tblGrid>
      <w:tr w:rsidR="00033253" w:rsidRPr="00033253" w:rsidTr="00033253">
        <w:trPr>
          <w:trHeight w:val="675"/>
        </w:trPr>
        <w:tc>
          <w:tcPr>
            <w:tcW w:w="9600" w:type="dxa"/>
            <w:gridSpan w:val="8"/>
            <w:tcBorders>
              <w:top w:val="single" w:sz="8" w:space="0" w:color="auto"/>
              <w:left w:val="single" w:sz="8" w:space="0" w:color="auto"/>
              <w:bottom w:val="single" w:sz="8" w:space="0" w:color="auto"/>
              <w:right w:val="single" w:sz="8" w:space="0" w:color="000000"/>
            </w:tcBorders>
            <w:shd w:val="clear" w:color="000000" w:fill="D9D9D9"/>
            <w:vAlign w:val="center"/>
            <w:hideMark/>
          </w:tcPr>
          <w:p w:rsidR="00033253" w:rsidRPr="00033253" w:rsidRDefault="00033253" w:rsidP="00033253">
            <w:pPr>
              <w:jc w:val="center"/>
              <w:rPr>
                <w:b/>
                <w:bCs/>
                <w:color w:val="000000"/>
              </w:rPr>
            </w:pPr>
            <w:r w:rsidRPr="00033253">
              <w:rPr>
                <w:b/>
                <w:bCs/>
                <w:color w:val="000000"/>
              </w:rPr>
              <w:t>TABLE 1. FY 2016 TIME BURDEN, RESPONDANT COST, AND FREQUENCY BY RESPONDENT GROUP</w:t>
            </w:r>
          </w:p>
        </w:tc>
      </w:tr>
      <w:tr w:rsidR="00033253" w:rsidRPr="00033253" w:rsidTr="00033253">
        <w:trPr>
          <w:trHeight w:val="138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033253" w:rsidRPr="00033253" w:rsidRDefault="00033253" w:rsidP="00033253">
            <w:pPr>
              <w:jc w:val="center"/>
              <w:rPr>
                <w:b/>
                <w:bCs/>
                <w:color w:val="000000"/>
              </w:rPr>
            </w:pPr>
            <w:r w:rsidRPr="00033253">
              <w:rPr>
                <w:b/>
                <w:bCs/>
                <w:color w:val="000000"/>
              </w:rPr>
              <w:t>Population surveyed</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b/>
                <w:bCs/>
                <w:color w:val="000000"/>
              </w:rPr>
            </w:pPr>
            <w:r w:rsidRPr="00033253">
              <w:rPr>
                <w:b/>
                <w:bCs/>
                <w:color w:val="000000"/>
              </w:rPr>
              <w:t xml:space="preserve">Number </w:t>
            </w:r>
            <w:r w:rsidRPr="00033253">
              <w:rPr>
                <w:b/>
                <w:bCs/>
                <w:color w:val="000000"/>
              </w:rPr>
              <w:br/>
              <w:t xml:space="preserve">of </w:t>
            </w:r>
            <w:r w:rsidRPr="00033253">
              <w:rPr>
                <w:b/>
                <w:bCs/>
                <w:color w:val="000000"/>
              </w:rPr>
              <w:br/>
              <w:t>respondents</w:t>
            </w:r>
          </w:p>
        </w:tc>
        <w:tc>
          <w:tcPr>
            <w:tcW w:w="112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b/>
                <w:bCs/>
                <w:color w:val="000000"/>
              </w:rPr>
            </w:pPr>
            <w:r w:rsidRPr="00033253">
              <w:rPr>
                <w:b/>
                <w:bCs/>
                <w:color w:val="000000"/>
              </w:rPr>
              <w:t xml:space="preserve">Number of </w:t>
            </w:r>
            <w:r w:rsidRPr="00033253">
              <w:rPr>
                <w:b/>
                <w:bCs/>
                <w:color w:val="000000"/>
              </w:rPr>
              <w:br/>
              <w:t>responses per respondent</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b/>
                <w:bCs/>
                <w:color w:val="000000"/>
              </w:rPr>
            </w:pPr>
            <w:r w:rsidRPr="00033253">
              <w:rPr>
                <w:b/>
                <w:bCs/>
                <w:color w:val="000000"/>
              </w:rPr>
              <w:t xml:space="preserve">Annual </w:t>
            </w:r>
            <w:r w:rsidRPr="00033253">
              <w:rPr>
                <w:b/>
                <w:bCs/>
                <w:color w:val="000000"/>
              </w:rPr>
              <w:br/>
              <w:t xml:space="preserve">number of </w:t>
            </w:r>
            <w:r w:rsidRPr="00033253">
              <w:rPr>
                <w:b/>
                <w:bCs/>
                <w:color w:val="000000"/>
              </w:rPr>
              <w:br/>
              <w:t>responses</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b/>
                <w:bCs/>
                <w:color w:val="000000"/>
              </w:rPr>
            </w:pPr>
            <w:r w:rsidRPr="00033253">
              <w:rPr>
                <w:b/>
                <w:bCs/>
                <w:color w:val="000000"/>
              </w:rPr>
              <w:t xml:space="preserve">Annual </w:t>
            </w:r>
            <w:r w:rsidRPr="00033253">
              <w:rPr>
                <w:b/>
                <w:bCs/>
                <w:color w:val="000000"/>
              </w:rPr>
              <w:br/>
              <w:t>Frequency of</w:t>
            </w:r>
            <w:r w:rsidRPr="00033253">
              <w:rPr>
                <w:b/>
                <w:bCs/>
                <w:color w:val="000000"/>
              </w:rPr>
              <w:br/>
              <w:t>Response</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b/>
                <w:bCs/>
                <w:color w:val="000000"/>
              </w:rPr>
            </w:pPr>
            <w:r w:rsidRPr="00033253">
              <w:rPr>
                <w:b/>
                <w:bCs/>
                <w:color w:val="000000"/>
              </w:rPr>
              <w:t>Annual burden</w:t>
            </w:r>
            <w:r w:rsidRPr="00033253">
              <w:rPr>
                <w:b/>
                <w:bCs/>
                <w:color w:val="000000"/>
              </w:rPr>
              <w:br/>
              <w:t>per response</w:t>
            </w:r>
            <w:r w:rsidRPr="00033253">
              <w:rPr>
                <w:b/>
                <w:bCs/>
                <w:color w:val="000000"/>
              </w:rPr>
              <w:br/>
              <w:t>(in minutes)</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b/>
                <w:bCs/>
                <w:color w:val="000000"/>
              </w:rPr>
            </w:pPr>
            <w:r w:rsidRPr="00033253">
              <w:rPr>
                <w:b/>
                <w:bCs/>
                <w:color w:val="000000"/>
              </w:rPr>
              <w:t>Total Annual Burden hours</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b/>
                <w:bCs/>
                <w:color w:val="000000"/>
              </w:rPr>
            </w:pPr>
            <w:r w:rsidRPr="00033253">
              <w:rPr>
                <w:b/>
                <w:bCs/>
                <w:color w:val="000000"/>
              </w:rPr>
              <w:t xml:space="preserve">Annual </w:t>
            </w:r>
            <w:r w:rsidRPr="00033253">
              <w:rPr>
                <w:b/>
                <w:bCs/>
                <w:color w:val="000000"/>
              </w:rPr>
              <w:br/>
              <w:t>Cost Burden</w:t>
            </w:r>
          </w:p>
        </w:tc>
      </w:tr>
      <w:tr w:rsidR="00033253" w:rsidRPr="00033253" w:rsidTr="00033253">
        <w:trPr>
          <w:trHeight w:val="480"/>
        </w:trPr>
        <w:tc>
          <w:tcPr>
            <w:tcW w:w="1720" w:type="dxa"/>
            <w:tcBorders>
              <w:top w:val="nil"/>
              <w:left w:val="single" w:sz="8" w:space="0" w:color="auto"/>
              <w:bottom w:val="nil"/>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Compensation Enrollment</w:t>
            </w:r>
          </w:p>
        </w:tc>
        <w:tc>
          <w:tcPr>
            <w:tcW w:w="1160" w:type="dxa"/>
            <w:tcBorders>
              <w:top w:val="nil"/>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160,000</w:t>
            </w:r>
          </w:p>
        </w:tc>
        <w:tc>
          <w:tcPr>
            <w:tcW w:w="1120" w:type="dxa"/>
            <w:tcBorders>
              <w:top w:val="nil"/>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nil"/>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48,000</w:t>
            </w:r>
          </w:p>
        </w:tc>
        <w:tc>
          <w:tcPr>
            <w:tcW w:w="1060" w:type="dxa"/>
            <w:tcBorders>
              <w:top w:val="nil"/>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nil"/>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12,000.00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$300,000.00</w:t>
            </w:r>
          </w:p>
        </w:tc>
      </w:tr>
      <w:tr w:rsidR="00033253" w:rsidRPr="00033253" w:rsidTr="00033253">
        <w:trPr>
          <w:trHeight w:val="435"/>
        </w:trPr>
        <w:tc>
          <w:tcPr>
            <w:tcW w:w="1720" w:type="dxa"/>
            <w:tcBorders>
              <w:top w:val="single" w:sz="8" w:space="0" w:color="auto"/>
              <w:left w:val="single" w:sz="8" w:space="0" w:color="auto"/>
              <w:bottom w:val="nil"/>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Compensation Servicing</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60,000</w:t>
            </w:r>
          </w:p>
        </w:tc>
        <w:tc>
          <w:tcPr>
            <w:tcW w:w="112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18,000</w:t>
            </w:r>
          </w:p>
        </w:tc>
        <w:tc>
          <w:tcPr>
            <w:tcW w:w="10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4,500.00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$112,500.00</w:t>
            </w:r>
          </w:p>
        </w:tc>
      </w:tr>
      <w:tr w:rsidR="00033253" w:rsidRPr="00033253" w:rsidTr="00033253">
        <w:trPr>
          <w:trHeight w:val="315"/>
        </w:trPr>
        <w:tc>
          <w:tcPr>
            <w:tcW w:w="1720" w:type="dxa"/>
            <w:tcBorders>
              <w:top w:val="single" w:sz="4" w:space="0" w:color="auto"/>
              <w:left w:val="single" w:sz="8" w:space="0" w:color="auto"/>
              <w:bottom w:val="nil"/>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Pension Enrollment</w:t>
            </w:r>
          </w:p>
        </w:tc>
        <w:tc>
          <w:tcPr>
            <w:tcW w:w="1160" w:type="dxa"/>
            <w:tcBorders>
              <w:top w:val="single" w:sz="4"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10,000</w:t>
            </w:r>
          </w:p>
        </w:tc>
        <w:tc>
          <w:tcPr>
            <w:tcW w:w="1120" w:type="dxa"/>
            <w:tcBorders>
              <w:top w:val="single" w:sz="4"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3,000</w:t>
            </w:r>
          </w:p>
        </w:tc>
        <w:tc>
          <w:tcPr>
            <w:tcW w:w="10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single" w:sz="4"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750.00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$18,750.00</w:t>
            </w:r>
          </w:p>
        </w:tc>
      </w:tr>
      <w:tr w:rsidR="00033253" w:rsidRPr="00033253" w:rsidTr="00033253">
        <w:trPr>
          <w:trHeight w:val="315"/>
        </w:trPr>
        <w:tc>
          <w:tcPr>
            <w:tcW w:w="1720" w:type="dxa"/>
            <w:tcBorders>
              <w:top w:val="single" w:sz="8" w:space="0" w:color="auto"/>
              <w:left w:val="single" w:sz="8" w:space="0" w:color="auto"/>
              <w:bottom w:val="nil"/>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Pension Servicing</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10,000</w:t>
            </w:r>
          </w:p>
        </w:tc>
        <w:tc>
          <w:tcPr>
            <w:tcW w:w="112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3,000</w:t>
            </w:r>
          </w:p>
        </w:tc>
        <w:tc>
          <w:tcPr>
            <w:tcW w:w="10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750.00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$18,750.00</w:t>
            </w:r>
          </w:p>
        </w:tc>
      </w:tr>
      <w:tr w:rsidR="00033253" w:rsidRPr="00033253" w:rsidTr="00033253">
        <w:trPr>
          <w:trHeight w:val="525"/>
        </w:trPr>
        <w:tc>
          <w:tcPr>
            <w:tcW w:w="1720" w:type="dxa"/>
            <w:tcBorders>
              <w:top w:val="single" w:sz="8" w:space="0" w:color="auto"/>
              <w:left w:val="single" w:sz="8" w:space="0" w:color="auto"/>
              <w:bottom w:val="nil"/>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Education Enrollment</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16000</w:t>
            </w:r>
          </w:p>
        </w:tc>
        <w:tc>
          <w:tcPr>
            <w:tcW w:w="112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4,800</w:t>
            </w:r>
          </w:p>
        </w:tc>
        <w:tc>
          <w:tcPr>
            <w:tcW w:w="10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1,200.00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$30,000.00</w:t>
            </w:r>
          </w:p>
        </w:tc>
      </w:tr>
      <w:tr w:rsidR="00033253" w:rsidRPr="00033253" w:rsidTr="00033253">
        <w:trPr>
          <w:trHeight w:val="315"/>
        </w:trPr>
        <w:tc>
          <w:tcPr>
            <w:tcW w:w="17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Education Servicing</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10000</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3,000</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single" w:sz="8" w:space="0" w:color="auto"/>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750.00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$18,750.00</w:t>
            </w:r>
          </w:p>
        </w:tc>
      </w:tr>
      <w:tr w:rsidR="00033253" w:rsidRPr="00033253" w:rsidTr="00033253">
        <w:trPr>
          <w:trHeight w:val="31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VR&amp;E Enrollment</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60,000</w:t>
            </w:r>
          </w:p>
        </w:tc>
        <w:tc>
          <w:tcPr>
            <w:tcW w:w="112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18,000</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4,500.00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$112,500.00</w:t>
            </w:r>
          </w:p>
        </w:tc>
      </w:tr>
      <w:tr w:rsidR="00033253" w:rsidRPr="00033253" w:rsidTr="00033253">
        <w:trPr>
          <w:trHeight w:val="31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VR&amp;E Servicing</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60,000</w:t>
            </w:r>
          </w:p>
        </w:tc>
        <w:tc>
          <w:tcPr>
            <w:tcW w:w="112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18,000</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4,500.00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$112,500.00</w:t>
            </w:r>
          </w:p>
        </w:tc>
      </w:tr>
      <w:tr w:rsidR="00033253" w:rsidRPr="00033253" w:rsidTr="00033253">
        <w:trPr>
          <w:trHeight w:val="52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VR&amp;E Non-Participant</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5,000</w:t>
            </w:r>
          </w:p>
        </w:tc>
        <w:tc>
          <w:tcPr>
            <w:tcW w:w="112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1,500</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375.00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$9,375.00</w:t>
            </w:r>
          </w:p>
        </w:tc>
      </w:tr>
      <w:tr w:rsidR="00033253" w:rsidRPr="00033253" w:rsidTr="00033253">
        <w:trPr>
          <w:trHeight w:val="525"/>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Loan Guaranty Home Loan Process</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40,000</w:t>
            </w:r>
          </w:p>
        </w:tc>
        <w:tc>
          <w:tcPr>
            <w:tcW w:w="112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12,000</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3,000.00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$75,000.00</w:t>
            </w:r>
          </w:p>
        </w:tc>
      </w:tr>
      <w:tr w:rsidR="00033253" w:rsidRPr="00033253" w:rsidTr="00033253">
        <w:trPr>
          <w:trHeight w:val="780"/>
        </w:trPr>
        <w:tc>
          <w:tcPr>
            <w:tcW w:w="1720" w:type="dxa"/>
            <w:tcBorders>
              <w:top w:val="nil"/>
              <w:left w:val="single" w:sz="8" w:space="0" w:color="auto"/>
              <w:bottom w:val="single" w:sz="8" w:space="0" w:color="auto"/>
              <w:right w:val="single" w:sz="8" w:space="0" w:color="auto"/>
            </w:tcBorders>
            <w:shd w:val="clear" w:color="auto" w:fill="auto"/>
            <w:vAlign w:val="center"/>
            <w:hideMark/>
          </w:tcPr>
          <w:p w:rsidR="00033253" w:rsidRPr="00033253" w:rsidRDefault="00033253" w:rsidP="00033253">
            <w:pPr>
              <w:rPr>
                <w:color w:val="000000"/>
              </w:rPr>
            </w:pPr>
            <w:r w:rsidRPr="00033253">
              <w:rPr>
                <w:color w:val="000000"/>
              </w:rPr>
              <w:t>Specialty Adapted Housing Grant Process (Mail)</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5000</w:t>
            </w:r>
          </w:p>
        </w:tc>
        <w:tc>
          <w:tcPr>
            <w:tcW w:w="112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w:t>
            </w:r>
          </w:p>
        </w:tc>
        <w:tc>
          <w:tcPr>
            <w:tcW w:w="1160" w:type="dxa"/>
            <w:tcBorders>
              <w:top w:val="single" w:sz="8" w:space="0" w:color="auto"/>
              <w:left w:val="nil"/>
              <w:bottom w:val="nil"/>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1,500</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Annually</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center"/>
              <w:rPr>
                <w:color w:val="000000"/>
              </w:rPr>
            </w:pPr>
            <w:r w:rsidRPr="00033253">
              <w:rPr>
                <w:color w:val="000000"/>
              </w:rPr>
              <w:t>15</w:t>
            </w:r>
          </w:p>
        </w:tc>
        <w:tc>
          <w:tcPr>
            <w:tcW w:w="10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375.00</w:t>
            </w:r>
          </w:p>
        </w:tc>
        <w:tc>
          <w:tcPr>
            <w:tcW w:w="1160" w:type="dxa"/>
            <w:tcBorders>
              <w:top w:val="nil"/>
              <w:left w:val="nil"/>
              <w:bottom w:val="single" w:sz="8" w:space="0" w:color="auto"/>
              <w:right w:val="single" w:sz="8" w:space="0" w:color="auto"/>
            </w:tcBorders>
            <w:shd w:val="clear" w:color="auto" w:fill="auto"/>
            <w:vAlign w:val="center"/>
            <w:hideMark/>
          </w:tcPr>
          <w:p w:rsidR="00033253" w:rsidRPr="00033253" w:rsidRDefault="00033253" w:rsidP="00033253">
            <w:pPr>
              <w:jc w:val="right"/>
              <w:rPr>
                <w:color w:val="000000"/>
              </w:rPr>
            </w:pPr>
            <w:r w:rsidRPr="00033253">
              <w:rPr>
                <w:color w:val="000000"/>
              </w:rPr>
              <w:t>$9,375.00</w:t>
            </w:r>
          </w:p>
        </w:tc>
      </w:tr>
      <w:tr w:rsidR="00033253" w:rsidRPr="00033253" w:rsidTr="00033253">
        <w:trPr>
          <w:trHeight w:val="315"/>
        </w:trPr>
        <w:tc>
          <w:tcPr>
            <w:tcW w:w="1720" w:type="dxa"/>
            <w:tcBorders>
              <w:top w:val="nil"/>
              <w:left w:val="single" w:sz="8" w:space="0" w:color="auto"/>
              <w:bottom w:val="single" w:sz="8" w:space="0" w:color="auto"/>
              <w:right w:val="single" w:sz="8" w:space="0" w:color="auto"/>
            </w:tcBorders>
            <w:shd w:val="clear" w:color="000000" w:fill="D9D9D9"/>
            <w:vAlign w:val="center"/>
            <w:hideMark/>
          </w:tcPr>
          <w:p w:rsidR="00033253" w:rsidRPr="00033253" w:rsidRDefault="00033253" w:rsidP="00033253">
            <w:pPr>
              <w:rPr>
                <w:b/>
                <w:bCs/>
                <w:color w:val="000000"/>
              </w:rPr>
            </w:pPr>
            <w:r w:rsidRPr="00033253">
              <w:rPr>
                <w:b/>
                <w:bCs/>
                <w:color w:val="000000"/>
              </w:rPr>
              <w:t>Totals</w:t>
            </w:r>
          </w:p>
        </w:tc>
        <w:tc>
          <w:tcPr>
            <w:tcW w:w="1160" w:type="dxa"/>
            <w:tcBorders>
              <w:top w:val="nil"/>
              <w:left w:val="nil"/>
              <w:bottom w:val="single" w:sz="8" w:space="0" w:color="auto"/>
              <w:right w:val="single" w:sz="8" w:space="0" w:color="auto"/>
            </w:tcBorders>
            <w:shd w:val="clear" w:color="000000" w:fill="D9D9D9"/>
            <w:vAlign w:val="center"/>
            <w:hideMark/>
          </w:tcPr>
          <w:p w:rsidR="00033253" w:rsidRPr="00033253" w:rsidRDefault="00033253" w:rsidP="00033253">
            <w:pPr>
              <w:jc w:val="center"/>
              <w:rPr>
                <w:b/>
                <w:bCs/>
                <w:color w:val="000000"/>
              </w:rPr>
            </w:pPr>
            <w:r w:rsidRPr="00033253">
              <w:rPr>
                <w:b/>
                <w:bCs/>
                <w:color w:val="000000"/>
              </w:rPr>
              <w:t>436,000</w:t>
            </w:r>
          </w:p>
        </w:tc>
        <w:tc>
          <w:tcPr>
            <w:tcW w:w="1120" w:type="dxa"/>
            <w:tcBorders>
              <w:top w:val="nil"/>
              <w:left w:val="nil"/>
              <w:bottom w:val="single" w:sz="8" w:space="0" w:color="auto"/>
              <w:right w:val="single" w:sz="8" w:space="0" w:color="auto"/>
            </w:tcBorders>
            <w:shd w:val="clear" w:color="000000" w:fill="D9D9D9"/>
            <w:vAlign w:val="center"/>
            <w:hideMark/>
          </w:tcPr>
          <w:p w:rsidR="00033253" w:rsidRPr="00033253" w:rsidRDefault="00033253" w:rsidP="00033253">
            <w:pPr>
              <w:jc w:val="center"/>
              <w:rPr>
                <w:b/>
                <w:bCs/>
                <w:color w:val="000000"/>
              </w:rPr>
            </w:pPr>
            <w:r w:rsidRPr="00033253">
              <w:rPr>
                <w:b/>
                <w:bCs/>
                <w:color w:val="000000"/>
              </w:rPr>
              <w:t>-</w:t>
            </w:r>
          </w:p>
        </w:tc>
        <w:tc>
          <w:tcPr>
            <w:tcW w:w="1160" w:type="dxa"/>
            <w:tcBorders>
              <w:top w:val="single" w:sz="8" w:space="0" w:color="auto"/>
              <w:left w:val="nil"/>
              <w:bottom w:val="single" w:sz="8" w:space="0" w:color="auto"/>
              <w:right w:val="single" w:sz="8" w:space="0" w:color="auto"/>
            </w:tcBorders>
            <w:shd w:val="clear" w:color="000000" w:fill="D9D9D9"/>
            <w:vAlign w:val="center"/>
            <w:hideMark/>
          </w:tcPr>
          <w:p w:rsidR="00033253" w:rsidRPr="00033253" w:rsidRDefault="00033253" w:rsidP="00033253">
            <w:pPr>
              <w:jc w:val="center"/>
              <w:rPr>
                <w:b/>
                <w:bCs/>
                <w:color w:val="000000"/>
              </w:rPr>
            </w:pPr>
            <w:r w:rsidRPr="00033253">
              <w:rPr>
                <w:b/>
                <w:bCs/>
                <w:color w:val="000000"/>
              </w:rPr>
              <w:t>130,800</w:t>
            </w:r>
          </w:p>
        </w:tc>
        <w:tc>
          <w:tcPr>
            <w:tcW w:w="1060" w:type="dxa"/>
            <w:tcBorders>
              <w:top w:val="nil"/>
              <w:left w:val="nil"/>
              <w:bottom w:val="single" w:sz="8" w:space="0" w:color="auto"/>
              <w:right w:val="single" w:sz="8" w:space="0" w:color="auto"/>
            </w:tcBorders>
            <w:shd w:val="clear" w:color="000000" w:fill="D9D9D9"/>
            <w:vAlign w:val="center"/>
            <w:hideMark/>
          </w:tcPr>
          <w:p w:rsidR="00033253" w:rsidRPr="00033253" w:rsidRDefault="00033253" w:rsidP="00033253">
            <w:pPr>
              <w:jc w:val="center"/>
              <w:rPr>
                <w:b/>
                <w:bCs/>
                <w:color w:val="000000"/>
              </w:rPr>
            </w:pPr>
            <w:r w:rsidRPr="00033253">
              <w:rPr>
                <w:b/>
                <w:bCs/>
                <w:color w:val="000000"/>
              </w:rPr>
              <w:t>-</w:t>
            </w:r>
          </w:p>
        </w:tc>
        <w:tc>
          <w:tcPr>
            <w:tcW w:w="1160" w:type="dxa"/>
            <w:tcBorders>
              <w:top w:val="nil"/>
              <w:left w:val="nil"/>
              <w:bottom w:val="single" w:sz="8" w:space="0" w:color="auto"/>
              <w:right w:val="single" w:sz="8" w:space="0" w:color="auto"/>
            </w:tcBorders>
            <w:shd w:val="clear" w:color="000000" w:fill="D9D9D9"/>
            <w:vAlign w:val="center"/>
            <w:hideMark/>
          </w:tcPr>
          <w:p w:rsidR="00033253" w:rsidRPr="00033253" w:rsidRDefault="00033253" w:rsidP="00033253">
            <w:pPr>
              <w:jc w:val="center"/>
              <w:rPr>
                <w:b/>
                <w:bCs/>
                <w:color w:val="000000"/>
              </w:rPr>
            </w:pPr>
            <w:r w:rsidRPr="00033253">
              <w:rPr>
                <w:b/>
                <w:bCs/>
                <w:color w:val="000000"/>
              </w:rPr>
              <w:t>165</w:t>
            </w:r>
          </w:p>
        </w:tc>
        <w:tc>
          <w:tcPr>
            <w:tcW w:w="1060" w:type="dxa"/>
            <w:tcBorders>
              <w:top w:val="nil"/>
              <w:left w:val="nil"/>
              <w:bottom w:val="single" w:sz="8" w:space="0" w:color="auto"/>
              <w:right w:val="single" w:sz="8" w:space="0" w:color="auto"/>
            </w:tcBorders>
            <w:shd w:val="clear" w:color="000000" w:fill="D9D9D9"/>
            <w:vAlign w:val="center"/>
            <w:hideMark/>
          </w:tcPr>
          <w:p w:rsidR="00033253" w:rsidRPr="00033253" w:rsidRDefault="00033253" w:rsidP="00033253">
            <w:pPr>
              <w:jc w:val="center"/>
              <w:rPr>
                <w:b/>
                <w:bCs/>
                <w:color w:val="000000"/>
              </w:rPr>
            </w:pPr>
            <w:r w:rsidRPr="00033253">
              <w:rPr>
                <w:b/>
                <w:bCs/>
                <w:color w:val="000000"/>
              </w:rPr>
              <w:t>32,700</w:t>
            </w:r>
          </w:p>
        </w:tc>
        <w:tc>
          <w:tcPr>
            <w:tcW w:w="1160" w:type="dxa"/>
            <w:tcBorders>
              <w:top w:val="nil"/>
              <w:left w:val="nil"/>
              <w:bottom w:val="single" w:sz="8" w:space="0" w:color="auto"/>
              <w:right w:val="single" w:sz="8" w:space="0" w:color="auto"/>
            </w:tcBorders>
            <w:shd w:val="clear" w:color="000000" w:fill="D9D9D9"/>
            <w:vAlign w:val="center"/>
            <w:hideMark/>
          </w:tcPr>
          <w:p w:rsidR="00033253" w:rsidRPr="00033253" w:rsidRDefault="00033253" w:rsidP="00033253">
            <w:pPr>
              <w:jc w:val="center"/>
              <w:rPr>
                <w:b/>
                <w:bCs/>
                <w:color w:val="000000"/>
              </w:rPr>
            </w:pPr>
            <w:r w:rsidRPr="00033253">
              <w:rPr>
                <w:b/>
                <w:bCs/>
                <w:color w:val="000000"/>
              </w:rPr>
              <w:t>$817,500.00</w:t>
            </w:r>
          </w:p>
        </w:tc>
      </w:tr>
    </w:tbl>
    <w:p w:rsidR="00EE01E2" w:rsidRDefault="00EE01E2" w:rsidP="001355B9"/>
    <w:p w:rsidR="00EE01E2" w:rsidRPr="001355B9" w:rsidRDefault="00EE01E2" w:rsidP="003D2967">
      <w:pPr>
        <w:jc w:val="right"/>
        <w:rPr>
          <w:i/>
        </w:rPr>
      </w:pPr>
    </w:p>
    <w:p w:rsidR="00AC0BEB" w:rsidRPr="003D2967" w:rsidRDefault="00AC0BEB" w:rsidP="00AC0BEB">
      <w:pPr>
        <w:ind w:right="684"/>
        <w:contextualSpacing/>
        <w:rPr>
          <w:i/>
          <w:iCs/>
          <w:sz w:val="24"/>
          <w:szCs w:val="24"/>
        </w:rPr>
      </w:pPr>
      <w:r w:rsidRPr="003D2967">
        <w:rPr>
          <w:sz w:val="24"/>
          <w:szCs w:val="24"/>
        </w:rPr>
        <w:t>According to the U.S. Bureau of Labor Statistics, Average Hourly Earnings, the cost to the respondent is $25, making the total cost to the respondents $</w:t>
      </w:r>
      <w:r w:rsidR="00033253">
        <w:rPr>
          <w:color w:val="000000" w:themeColor="text1"/>
          <w:sz w:val="24"/>
          <w:szCs w:val="24"/>
        </w:rPr>
        <w:t xml:space="preserve">817,500 </w:t>
      </w:r>
      <w:r w:rsidRPr="003D2967">
        <w:rPr>
          <w:color w:val="000000" w:themeColor="text1"/>
          <w:sz w:val="24"/>
          <w:szCs w:val="24"/>
        </w:rPr>
        <w:t>(</w:t>
      </w:r>
      <w:r w:rsidR="00033253">
        <w:rPr>
          <w:color w:val="000000" w:themeColor="text1"/>
          <w:sz w:val="24"/>
          <w:szCs w:val="24"/>
        </w:rPr>
        <w:t xml:space="preserve">32,700 </w:t>
      </w:r>
      <w:r w:rsidRPr="00C80F7F">
        <w:rPr>
          <w:sz w:val="24"/>
          <w:szCs w:val="24"/>
        </w:rPr>
        <w:t>burden hours x $25 per hour).</w:t>
      </w:r>
    </w:p>
    <w:p w:rsidR="00FF09FD" w:rsidRPr="009A6AC2" w:rsidRDefault="00FF09FD" w:rsidP="003556C2"/>
    <w:p w:rsidR="00FF09FD" w:rsidRPr="009A6AC2" w:rsidRDefault="00FF09FD"/>
    <w:p w:rsidR="00FF09FD" w:rsidRPr="009A6AC2" w:rsidRDefault="00FF09FD">
      <w:pPr>
        <w:pStyle w:val="Heading2"/>
        <w:tabs>
          <w:tab w:val="clear" w:pos="360"/>
          <w:tab w:val="num" w:pos="0"/>
        </w:tabs>
        <w:ind w:left="0" w:firstLine="0"/>
        <w:rPr>
          <w:rFonts w:ascii="Times New Roman" w:hAnsi="Times New Roman"/>
          <w:i w:val="0"/>
          <w:sz w:val="24"/>
          <w:szCs w:val="24"/>
        </w:rPr>
      </w:pPr>
      <w:r w:rsidRPr="009A6AC2">
        <w:rPr>
          <w:rFonts w:ascii="Times New Roman" w:hAnsi="Times New Roman"/>
          <w:i w:val="0"/>
          <w:sz w:val="24"/>
          <w:szCs w:val="24"/>
        </w:rPr>
        <w:t>13.  Provide an estimate of the total annual cost burden to respondents or record keepers resulting from the collection of information.  (Do not include the cost of any hour burden shown in Items 12 and 14).</w:t>
      </w:r>
    </w:p>
    <w:p w:rsidR="00FF09FD" w:rsidRPr="009A6AC2" w:rsidRDefault="00FF09FD"/>
    <w:p w:rsidR="00FF09FD" w:rsidRPr="009A6AC2" w:rsidRDefault="00FF09FD">
      <w:pPr>
        <w:keepLines/>
        <w:widowControl w:val="0"/>
        <w:ind w:left="873" w:hanging="351"/>
        <w:rPr>
          <w:sz w:val="24"/>
          <w:szCs w:val="24"/>
        </w:rPr>
      </w:pPr>
      <w:r w:rsidRPr="009A6AC2">
        <w:rPr>
          <w:sz w:val="24"/>
          <w:szCs w:val="24"/>
        </w:rPr>
        <w:t>a.</w:t>
      </w:r>
      <w:r w:rsidRPr="009A6AC2">
        <w:rPr>
          <w:sz w:val="24"/>
          <w:szCs w:val="24"/>
        </w:rPr>
        <w:tab/>
        <w:t>There is no capital, start-up, operation, or maintenance costs.</w:t>
      </w:r>
    </w:p>
    <w:p w:rsidR="00FF09FD" w:rsidRPr="009A6AC2" w:rsidRDefault="00FF09FD" w:rsidP="003065F1">
      <w:pPr>
        <w:ind w:left="288" w:firstLine="288"/>
        <w:rPr>
          <w:sz w:val="24"/>
          <w:szCs w:val="24"/>
        </w:rPr>
      </w:pPr>
    </w:p>
    <w:p w:rsidR="00FF09FD" w:rsidRPr="009A6AC2" w:rsidRDefault="00FF09FD" w:rsidP="001355B9">
      <w:pPr>
        <w:ind w:left="900" w:hanging="324"/>
        <w:rPr>
          <w:sz w:val="24"/>
          <w:szCs w:val="24"/>
        </w:rPr>
      </w:pPr>
      <w:r w:rsidRPr="009A6AC2">
        <w:rPr>
          <w:sz w:val="24"/>
          <w:szCs w:val="24"/>
        </w:rPr>
        <w:t>b.</w:t>
      </w:r>
      <w:r w:rsidRPr="009A6AC2">
        <w:rPr>
          <w:sz w:val="24"/>
          <w:szCs w:val="24"/>
        </w:rPr>
        <w:tab/>
        <w:t xml:space="preserve">Cost estimates are not expected to vary widely.  The only true cost is that for the time of the respondent (average of 15 minutes per respondent). </w:t>
      </w:r>
    </w:p>
    <w:p w:rsidR="00FF09FD" w:rsidRPr="009A6AC2" w:rsidRDefault="00FF09FD">
      <w:pPr>
        <w:keepLines/>
        <w:widowControl w:val="0"/>
        <w:ind w:left="864" w:hanging="346"/>
        <w:rPr>
          <w:sz w:val="24"/>
          <w:szCs w:val="24"/>
        </w:rPr>
      </w:pPr>
    </w:p>
    <w:p w:rsidR="00FF09FD" w:rsidRPr="009A6AC2" w:rsidRDefault="00FF09FD">
      <w:pPr>
        <w:keepLines/>
        <w:widowControl w:val="0"/>
        <w:ind w:left="873" w:hanging="351"/>
      </w:pPr>
      <w:r w:rsidRPr="009A6AC2">
        <w:rPr>
          <w:sz w:val="24"/>
          <w:szCs w:val="24"/>
        </w:rPr>
        <w:lastRenderedPageBreak/>
        <w:t>c.</w:t>
      </w:r>
      <w:r w:rsidRPr="009A6AC2">
        <w:rPr>
          <w:sz w:val="24"/>
          <w:szCs w:val="24"/>
        </w:rPr>
        <w:tab/>
        <w:t>There are no anticipated capital start-up cost components or requests to provide information.</w:t>
      </w:r>
    </w:p>
    <w:p w:rsidR="00FF09FD" w:rsidRPr="009A6AC2" w:rsidRDefault="00FF09FD">
      <w:pPr>
        <w:pStyle w:val="Heading2"/>
        <w:tabs>
          <w:tab w:val="clear" w:pos="360"/>
        </w:tabs>
        <w:ind w:left="0" w:firstLine="0"/>
        <w:rPr>
          <w:rFonts w:ascii="Times New Roman" w:hAnsi="Times New Roman"/>
        </w:rPr>
      </w:pPr>
    </w:p>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F09FD" w:rsidRPr="009A6AC2" w:rsidRDefault="00FF09FD">
      <w:pPr>
        <w:tabs>
          <w:tab w:val="num" w:pos="450"/>
        </w:tabs>
        <w:ind w:left="450" w:hanging="450"/>
      </w:pPr>
    </w:p>
    <w:p w:rsidR="00FF09FD" w:rsidRPr="009A6AC2" w:rsidRDefault="00FF09FD" w:rsidP="003065F1">
      <w:pPr>
        <w:ind w:firstLine="36"/>
        <w:rPr>
          <w:sz w:val="24"/>
          <w:szCs w:val="24"/>
        </w:rPr>
      </w:pPr>
      <w:r w:rsidRPr="009A6AC2">
        <w:rPr>
          <w:sz w:val="24"/>
          <w:szCs w:val="24"/>
        </w:rPr>
        <w:t>Table 2 below shows the labor and contracting costs for conducting the surveys</w:t>
      </w:r>
      <w:r w:rsidR="00895636">
        <w:rPr>
          <w:sz w:val="24"/>
          <w:szCs w:val="24"/>
        </w:rPr>
        <w:t xml:space="preserve"> for FY16</w:t>
      </w:r>
      <w:r w:rsidRPr="009A6AC2">
        <w:rPr>
          <w:sz w:val="24"/>
          <w:szCs w:val="24"/>
        </w:rPr>
        <w:t xml:space="preserve">.  Operational costs </w:t>
      </w:r>
      <w:r w:rsidR="00B547E8">
        <w:rPr>
          <w:sz w:val="24"/>
          <w:szCs w:val="24"/>
        </w:rPr>
        <w:t>are</w:t>
      </w:r>
      <w:r w:rsidR="004E4B4D">
        <w:rPr>
          <w:sz w:val="24"/>
          <w:szCs w:val="24"/>
        </w:rPr>
        <w:t xml:space="preserve"> </w:t>
      </w:r>
      <w:r w:rsidRPr="009A6AC2">
        <w:rPr>
          <w:sz w:val="24"/>
          <w:szCs w:val="24"/>
        </w:rPr>
        <w:t>outsourced to a contractor and</w:t>
      </w:r>
      <w:r w:rsidR="00B547E8">
        <w:rPr>
          <w:sz w:val="24"/>
          <w:szCs w:val="24"/>
        </w:rPr>
        <w:t xml:space="preserve"> are</w:t>
      </w:r>
      <w:r w:rsidRPr="009A6AC2">
        <w:rPr>
          <w:sz w:val="24"/>
          <w:szCs w:val="24"/>
        </w:rPr>
        <w:t xml:space="preserve"> included in the contractor’s total cost. </w:t>
      </w:r>
      <w:r w:rsidR="00895636">
        <w:rPr>
          <w:sz w:val="24"/>
          <w:szCs w:val="24"/>
        </w:rPr>
        <w:t>In order to calculate the total volumes for the entire contract period, multiply the annual volumes by 1.5</w:t>
      </w:r>
    </w:p>
    <w:p w:rsidR="00FF09FD" w:rsidRDefault="00FF09FD">
      <w:pPr>
        <w:rPr>
          <w:sz w:val="24"/>
          <w:szCs w:val="24"/>
        </w:rPr>
      </w:pPr>
    </w:p>
    <w:p w:rsidR="00DC47C0" w:rsidRDefault="00DC47C0" w:rsidP="00DC47C0"/>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620"/>
        <w:gridCol w:w="1770"/>
        <w:gridCol w:w="1911"/>
      </w:tblGrid>
      <w:tr w:rsidR="00DC47C0" w:rsidTr="0054724E">
        <w:trPr>
          <w:cantSplit/>
          <w:trHeight w:val="432"/>
          <w:jc w:val="center"/>
        </w:trPr>
        <w:tc>
          <w:tcPr>
            <w:tcW w:w="0" w:type="auto"/>
            <w:gridSpan w:val="3"/>
            <w:shd w:val="clear" w:color="auto" w:fill="D9D9D9"/>
            <w:vAlign w:val="center"/>
          </w:tcPr>
          <w:p w:rsidR="00DC47C0" w:rsidRDefault="00DC47C0" w:rsidP="0054724E">
            <w:pPr>
              <w:rPr>
                <w:rFonts w:ascii="Times New Roman Bold" w:hAnsi="Times New Roman Bold"/>
                <w:b/>
              </w:rPr>
            </w:pPr>
            <w:r>
              <w:rPr>
                <w:rFonts w:ascii="Times New Roman Bold" w:hAnsi="Times New Roman Bold"/>
                <w:b/>
              </w:rPr>
              <w:t xml:space="preserve">TABLE 3: </w:t>
            </w:r>
            <w:r>
              <w:rPr>
                <w:rFonts w:ascii="Times New Roman Bold" w:hAnsi="Times New Roman Bold"/>
                <w:b/>
                <w:caps/>
              </w:rPr>
              <w:t>Estimated Cost to the Federal Government</w:t>
            </w:r>
          </w:p>
        </w:tc>
      </w:tr>
      <w:tr w:rsidR="007669F6" w:rsidTr="007669F6">
        <w:trPr>
          <w:cantSplit/>
          <w:trHeight w:val="432"/>
          <w:jc w:val="center"/>
        </w:trPr>
        <w:tc>
          <w:tcPr>
            <w:tcW w:w="0" w:type="auto"/>
            <w:vAlign w:val="center"/>
          </w:tcPr>
          <w:p w:rsidR="00DC47C0" w:rsidRDefault="00DC47C0" w:rsidP="0054724E">
            <w:pPr>
              <w:rPr>
                <w:i/>
              </w:rPr>
            </w:pPr>
            <w:r>
              <w:rPr>
                <w:i/>
              </w:rPr>
              <w:t>Cost Item</w:t>
            </w:r>
          </w:p>
        </w:tc>
        <w:tc>
          <w:tcPr>
            <w:tcW w:w="1265" w:type="dxa"/>
            <w:vAlign w:val="center"/>
          </w:tcPr>
          <w:p w:rsidR="00DC47C0" w:rsidRDefault="00DC47C0" w:rsidP="0054724E">
            <w:pPr>
              <w:jc w:val="right"/>
              <w:rPr>
                <w:i/>
              </w:rPr>
            </w:pPr>
            <w:r>
              <w:rPr>
                <w:i/>
              </w:rPr>
              <w:t>Hours</w:t>
            </w:r>
          </w:p>
        </w:tc>
        <w:tc>
          <w:tcPr>
            <w:tcW w:w="0" w:type="auto"/>
            <w:vAlign w:val="center"/>
          </w:tcPr>
          <w:p w:rsidR="00DC47C0" w:rsidRDefault="00DC47C0" w:rsidP="0054724E">
            <w:pPr>
              <w:jc w:val="right"/>
              <w:rPr>
                <w:i/>
              </w:rPr>
            </w:pPr>
            <w:r>
              <w:rPr>
                <w:i/>
              </w:rPr>
              <w:t>Cost</w:t>
            </w:r>
          </w:p>
        </w:tc>
      </w:tr>
      <w:tr w:rsidR="007669F6" w:rsidTr="007669F6">
        <w:trPr>
          <w:cantSplit/>
          <w:trHeight w:val="432"/>
          <w:jc w:val="center"/>
        </w:trPr>
        <w:tc>
          <w:tcPr>
            <w:tcW w:w="0" w:type="auto"/>
            <w:vAlign w:val="center"/>
          </w:tcPr>
          <w:p w:rsidR="00DC47C0" w:rsidRDefault="00DC47C0" w:rsidP="0054724E">
            <w:pPr>
              <w:rPr>
                <w:highlight w:val="yellow"/>
              </w:rPr>
            </w:pPr>
            <w:r>
              <w:t>VA-Labor</w:t>
            </w:r>
          </w:p>
        </w:tc>
        <w:tc>
          <w:tcPr>
            <w:tcW w:w="1265" w:type="dxa"/>
            <w:vAlign w:val="center"/>
          </w:tcPr>
          <w:p w:rsidR="00DC47C0" w:rsidRPr="00F3591C" w:rsidRDefault="003E555E" w:rsidP="0054724E">
            <w:pPr>
              <w:jc w:val="right"/>
              <w:rPr>
                <w:highlight w:val="yellow"/>
              </w:rPr>
            </w:pPr>
            <w:r w:rsidRPr="000E6856">
              <w:t>2,08</w:t>
            </w:r>
            <w:r w:rsidR="00DC47C0" w:rsidRPr="000E6856">
              <w:t>0</w:t>
            </w:r>
          </w:p>
        </w:tc>
        <w:tc>
          <w:tcPr>
            <w:tcW w:w="0" w:type="auto"/>
            <w:vAlign w:val="center"/>
          </w:tcPr>
          <w:p w:rsidR="00DC47C0" w:rsidRPr="00F3591C" w:rsidRDefault="00DC47C0" w:rsidP="0064235D">
            <w:pPr>
              <w:jc w:val="right"/>
              <w:rPr>
                <w:highlight w:val="yellow"/>
              </w:rPr>
            </w:pPr>
            <w:r w:rsidRPr="000E6856">
              <w:t>$</w:t>
            </w:r>
            <w:r w:rsidR="0064235D" w:rsidRPr="000E6856">
              <w:t>145,028.00</w:t>
            </w:r>
          </w:p>
        </w:tc>
      </w:tr>
      <w:tr w:rsidR="007669F6" w:rsidTr="007669F6">
        <w:trPr>
          <w:cantSplit/>
          <w:trHeight w:val="432"/>
          <w:jc w:val="center"/>
        </w:trPr>
        <w:tc>
          <w:tcPr>
            <w:tcW w:w="0" w:type="auto"/>
            <w:tcBorders>
              <w:bottom w:val="single" w:sz="4" w:space="0" w:color="auto"/>
            </w:tcBorders>
            <w:vAlign w:val="center"/>
          </w:tcPr>
          <w:p w:rsidR="00DC47C0" w:rsidRDefault="00DC47C0" w:rsidP="0054724E">
            <w:r>
              <w:t>Contractor Costs</w:t>
            </w:r>
          </w:p>
        </w:tc>
        <w:tc>
          <w:tcPr>
            <w:tcW w:w="1265" w:type="dxa"/>
            <w:tcBorders>
              <w:bottom w:val="single" w:sz="4" w:space="0" w:color="auto"/>
            </w:tcBorders>
            <w:vAlign w:val="center"/>
          </w:tcPr>
          <w:p w:rsidR="00DC47C0" w:rsidRPr="000E6856" w:rsidRDefault="00DC47C0" w:rsidP="0054724E">
            <w:pPr>
              <w:jc w:val="right"/>
            </w:pPr>
          </w:p>
        </w:tc>
        <w:tc>
          <w:tcPr>
            <w:tcW w:w="0" w:type="auto"/>
            <w:tcBorders>
              <w:bottom w:val="single" w:sz="4" w:space="0" w:color="auto"/>
            </w:tcBorders>
            <w:vAlign w:val="center"/>
          </w:tcPr>
          <w:p w:rsidR="00DC47C0" w:rsidRPr="000E6856" w:rsidRDefault="00DC47C0" w:rsidP="00B74FEB">
            <w:pPr>
              <w:jc w:val="right"/>
            </w:pPr>
            <w:r w:rsidRPr="000E6856">
              <w:rPr>
                <w:color w:val="000000"/>
              </w:rPr>
              <w:t>$</w:t>
            </w:r>
            <w:r w:rsidR="0064235D" w:rsidRPr="000E6856">
              <w:rPr>
                <w:color w:val="000000"/>
              </w:rPr>
              <w:t>1,</w:t>
            </w:r>
            <w:r w:rsidR="00B74FEB">
              <w:rPr>
                <w:color w:val="000000"/>
              </w:rPr>
              <w:t>541</w:t>
            </w:r>
            <w:r w:rsidR="0064235D" w:rsidRPr="000E6856">
              <w:rPr>
                <w:color w:val="000000"/>
              </w:rPr>
              <w:t>,</w:t>
            </w:r>
            <w:r w:rsidR="00B74FEB">
              <w:rPr>
                <w:color w:val="000000"/>
              </w:rPr>
              <w:t>431</w:t>
            </w:r>
            <w:r w:rsidR="0064235D" w:rsidRPr="000E6856">
              <w:rPr>
                <w:color w:val="000000"/>
              </w:rPr>
              <w:t>.</w:t>
            </w:r>
            <w:r w:rsidR="00B74FEB">
              <w:rPr>
                <w:color w:val="000000"/>
              </w:rPr>
              <w:t>37</w:t>
            </w:r>
          </w:p>
        </w:tc>
      </w:tr>
      <w:tr w:rsidR="007669F6" w:rsidRPr="00B74FEB" w:rsidTr="007669F6">
        <w:trPr>
          <w:cantSplit/>
          <w:trHeight w:val="432"/>
          <w:jc w:val="center"/>
        </w:trPr>
        <w:tc>
          <w:tcPr>
            <w:tcW w:w="0" w:type="auto"/>
            <w:shd w:val="clear" w:color="auto" w:fill="FFFFFF" w:themeFill="background1"/>
            <w:vAlign w:val="center"/>
          </w:tcPr>
          <w:p w:rsidR="00B74FEB" w:rsidRPr="003D2967" w:rsidRDefault="00B74FEB">
            <w:r w:rsidRPr="003D2967">
              <w:t>Printing and Postage</w:t>
            </w:r>
          </w:p>
        </w:tc>
        <w:tc>
          <w:tcPr>
            <w:tcW w:w="1265" w:type="dxa"/>
            <w:shd w:val="clear" w:color="auto" w:fill="FFFFFF" w:themeFill="background1"/>
            <w:vAlign w:val="center"/>
          </w:tcPr>
          <w:p w:rsidR="00B74FEB" w:rsidRPr="003D2967" w:rsidRDefault="00B74FEB" w:rsidP="003D2967"/>
        </w:tc>
        <w:tc>
          <w:tcPr>
            <w:tcW w:w="0" w:type="auto"/>
            <w:shd w:val="clear" w:color="auto" w:fill="FFFFFF" w:themeFill="background1"/>
            <w:vAlign w:val="center"/>
          </w:tcPr>
          <w:p w:rsidR="00B74FEB" w:rsidRPr="003D2967" w:rsidRDefault="00B74FEB">
            <w:pPr>
              <w:jc w:val="right"/>
              <w:rPr>
                <w:color w:val="000000"/>
              </w:rPr>
            </w:pPr>
            <w:r>
              <w:rPr>
                <w:color w:val="000000"/>
              </w:rPr>
              <w:t>$</w:t>
            </w:r>
            <w:r w:rsidRPr="003D2967">
              <w:rPr>
                <w:color w:val="000000"/>
              </w:rPr>
              <w:t xml:space="preserve">637,458.66 </w:t>
            </w:r>
          </w:p>
        </w:tc>
      </w:tr>
      <w:tr w:rsidR="007669F6" w:rsidTr="007669F6">
        <w:trPr>
          <w:cantSplit/>
          <w:trHeight w:val="432"/>
          <w:jc w:val="center"/>
        </w:trPr>
        <w:tc>
          <w:tcPr>
            <w:tcW w:w="0" w:type="auto"/>
            <w:shd w:val="clear" w:color="auto" w:fill="D9D9D9"/>
            <w:vAlign w:val="center"/>
          </w:tcPr>
          <w:p w:rsidR="00DC47C0" w:rsidRDefault="00DC47C0" w:rsidP="0054724E">
            <w:pPr>
              <w:rPr>
                <w:b/>
                <w:bCs/>
              </w:rPr>
            </w:pPr>
            <w:r>
              <w:rPr>
                <w:b/>
                <w:bCs/>
              </w:rPr>
              <w:t>TOTAL</w:t>
            </w:r>
          </w:p>
        </w:tc>
        <w:tc>
          <w:tcPr>
            <w:tcW w:w="1265" w:type="dxa"/>
            <w:shd w:val="clear" w:color="auto" w:fill="D9D9D9"/>
            <w:vAlign w:val="center"/>
          </w:tcPr>
          <w:p w:rsidR="00DC47C0" w:rsidRPr="000E6856" w:rsidRDefault="003E555E" w:rsidP="0054724E">
            <w:pPr>
              <w:jc w:val="right"/>
              <w:rPr>
                <w:b/>
                <w:bCs/>
              </w:rPr>
            </w:pPr>
            <w:r w:rsidRPr="000E6856">
              <w:rPr>
                <w:b/>
                <w:bCs/>
              </w:rPr>
              <w:t>2,</w:t>
            </w:r>
            <w:r w:rsidR="00DC47C0" w:rsidRPr="000E6856">
              <w:rPr>
                <w:b/>
                <w:bCs/>
              </w:rPr>
              <w:t>0</w:t>
            </w:r>
            <w:r w:rsidRPr="000E6856">
              <w:rPr>
                <w:b/>
                <w:bCs/>
              </w:rPr>
              <w:t>8</w:t>
            </w:r>
            <w:r w:rsidR="00DC47C0" w:rsidRPr="000E6856">
              <w:rPr>
                <w:b/>
                <w:bCs/>
              </w:rPr>
              <w:t>0</w:t>
            </w:r>
          </w:p>
        </w:tc>
        <w:tc>
          <w:tcPr>
            <w:tcW w:w="0" w:type="auto"/>
            <w:shd w:val="clear" w:color="auto" w:fill="D9D9D9"/>
            <w:vAlign w:val="center"/>
          </w:tcPr>
          <w:p w:rsidR="00DC47C0" w:rsidRPr="000E6856" w:rsidRDefault="00DC47C0">
            <w:pPr>
              <w:jc w:val="right"/>
              <w:rPr>
                <w:b/>
                <w:bCs/>
              </w:rPr>
            </w:pPr>
            <w:r w:rsidRPr="000E6856">
              <w:rPr>
                <w:b/>
                <w:bCs/>
              </w:rPr>
              <w:t>$</w:t>
            </w:r>
            <w:r w:rsidR="007669F6">
              <w:rPr>
                <w:b/>
                <w:bCs/>
              </w:rPr>
              <w:t>2,253,943.71</w:t>
            </w:r>
          </w:p>
        </w:tc>
      </w:tr>
    </w:tbl>
    <w:p w:rsidR="00DC47C0" w:rsidRDefault="00DC47C0">
      <w:pPr>
        <w:rPr>
          <w:sz w:val="24"/>
          <w:szCs w:val="24"/>
        </w:rPr>
      </w:pPr>
    </w:p>
    <w:p w:rsidR="00FF09FD" w:rsidRPr="009A6AC2" w:rsidRDefault="00FF09FD">
      <w:pPr>
        <w:spacing w:before="120"/>
        <w:rPr>
          <w:sz w:val="24"/>
          <w:szCs w:val="24"/>
        </w:rPr>
      </w:pPr>
      <w:r w:rsidRPr="009A6AC2">
        <w:rPr>
          <w:sz w:val="24"/>
          <w:szCs w:val="24"/>
        </w:rPr>
        <w:t>The VA Labor cost was estimated using a composite average salary and benefits figure of $4</w:t>
      </w:r>
      <w:r w:rsidR="003E555E">
        <w:rPr>
          <w:sz w:val="24"/>
          <w:szCs w:val="24"/>
        </w:rPr>
        <w:t>7.87</w:t>
      </w:r>
      <w:r w:rsidRPr="009A6AC2">
        <w:rPr>
          <w:sz w:val="24"/>
          <w:szCs w:val="24"/>
        </w:rPr>
        <w:t xml:space="preserve"> per hour for </w:t>
      </w:r>
      <w:r w:rsidR="003E555E">
        <w:rPr>
          <w:sz w:val="24"/>
          <w:szCs w:val="24"/>
        </w:rPr>
        <w:t>2,</w:t>
      </w:r>
      <w:r w:rsidRPr="009A6AC2">
        <w:rPr>
          <w:sz w:val="24"/>
          <w:szCs w:val="24"/>
        </w:rPr>
        <w:t>0</w:t>
      </w:r>
      <w:r w:rsidR="003E555E">
        <w:rPr>
          <w:sz w:val="24"/>
          <w:szCs w:val="24"/>
        </w:rPr>
        <w:t>8</w:t>
      </w:r>
      <w:r w:rsidRPr="009A6AC2">
        <w:rPr>
          <w:sz w:val="24"/>
          <w:szCs w:val="24"/>
        </w:rPr>
        <w:t xml:space="preserve">0 hours at a GS-13, step </w:t>
      </w:r>
      <w:r w:rsidR="003E555E">
        <w:rPr>
          <w:sz w:val="24"/>
          <w:szCs w:val="24"/>
        </w:rPr>
        <w:t>4</w:t>
      </w:r>
      <w:r w:rsidRPr="009A6AC2">
        <w:rPr>
          <w:sz w:val="24"/>
          <w:szCs w:val="24"/>
        </w:rPr>
        <w:t xml:space="preserve"> and $5</w:t>
      </w:r>
      <w:r w:rsidR="003E555E">
        <w:rPr>
          <w:sz w:val="24"/>
          <w:szCs w:val="24"/>
        </w:rPr>
        <w:t>8.28</w:t>
      </w:r>
      <w:r w:rsidRPr="009A6AC2">
        <w:rPr>
          <w:sz w:val="24"/>
          <w:szCs w:val="24"/>
        </w:rPr>
        <w:t xml:space="preserve"> per hour for </w:t>
      </w:r>
      <w:r w:rsidR="003E555E">
        <w:rPr>
          <w:sz w:val="24"/>
          <w:szCs w:val="24"/>
        </w:rPr>
        <w:t>78</w:t>
      </w:r>
      <w:r w:rsidR="00F05B92">
        <w:rPr>
          <w:sz w:val="24"/>
          <w:szCs w:val="24"/>
        </w:rPr>
        <w:t xml:space="preserve">0 </w:t>
      </w:r>
      <w:r w:rsidRPr="009A6AC2">
        <w:rPr>
          <w:sz w:val="24"/>
          <w:szCs w:val="24"/>
        </w:rPr>
        <w:t xml:space="preserve">hours at a GS14, step </w:t>
      </w:r>
      <w:r w:rsidR="003E555E">
        <w:rPr>
          <w:sz w:val="24"/>
          <w:szCs w:val="24"/>
        </w:rPr>
        <w:t>5</w:t>
      </w:r>
      <w:r w:rsidRPr="009A6AC2">
        <w:rPr>
          <w:sz w:val="24"/>
          <w:szCs w:val="24"/>
        </w:rPr>
        <w:t>.</w:t>
      </w:r>
      <w:r w:rsidRPr="009A6AC2">
        <w:rPr>
          <w:rStyle w:val="FootnoteReference"/>
          <w:sz w:val="24"/>
          <w:szCs w:val="24"/>
        </w:rPr>
        <w:footnoteReference w:id="2"/>
      </w:r>
      <w:r w:rsidRPr="009A6AC2">
        <w:rPr>
          <w:sz w:val="24"/>
          <w:szCs w:val="24"/>
        </w:rPr>
        <w:t xml:space="preserve">  The amount paid to the contractor for the survey effort includes as its major components the survey of recent claimants or existing beneficiaries fo</w:t>
      </w:r>
      <w:r>
        <w:rPr>
          <w:sz w:val="24"/>
          <w:szCs w:val="24"/>
        </w:rPr>
        <w:t>r a</w:t>
      </w:r>
      <w:r w:rsidR="0064235D">
        <w:rPr>
          <w:sz w:val="24"/>
          <w:szCs w:val="24"/>
        </w:rPr>
        <w:t>n annual</w:t>
      </w:r>
      <w:r>
        <w:rPr>
          <w:sz w:val="24"/>
          <w:szCs w:val="24"/>
        </w:rPr>
        <w:t xml:space="preserve"> </w:t>
      </w:r>
      <w:r w:rsidR="0064235D">
        <w:rPr>
          <w:sz w:val="24"/>
          <w:szCs w:val="24"/>
        </w:rPr>
        <w:t>cost of $1,471,457.08 in FY 2015. (In FY 2016, the</w:t>
      </w:r>
      <w:r>
        <w:rPr>
          <w:sz w:val="24"/>
          <w:szCs w:val="24"/>
        </w:rPr>
        <w:t xml:space="preserve"> </w:t>
      </w:r>
      <w:r w:rsidR="003E555E">
        <w:rPr>
          <w:sz w:val="24"/>
          <w:szCs w:val="24"/>
        </w:rPr>
        <w:t xml:space="preserve">annual </w:t>
      </w:r>
      <w:r>
        <w:rPr>
          <w:sz w:val="24"/>
          <w:szCs w:val="24"/>
        </w:rPr>
        <w:t xml:space="preserve">cost </w:t>
      </w:r>
      <w:r w:rsidR="0064235D">
        <w:rPr>
          <w:sz w:val="24"/>
          <w:szCs w:val="24"/>
        </w:rPr>
        <w:t>is</w:t>
      </w:r>
      <w:r>
        <w:rPr>
          <w:sz w:val="24"/>
          <w:szCs w:val="24"/>
        </w:rPr>
        <w:t xml:space="preserve"> $1,</w:t>
      </w:r>
      <w:r w:rsidR="0064235D">
        <w:rPr>
          <w:sz w:val="24"/>
          <w:szCs w:val="24"/>
        </w:rPr>
        <w:t>5</w:t>
      </w:r>
      <w:r w:rsidR="00C323D4">
        <w:rPr>
          <w:sz w:val="24"/>
          <w:szCs w:val="24"/>
        </w:rPr>
        <w:t>41</w:t>
      </w:r>
      <w:r w:rsidR="0064235D">
        <w:rPr>
          <w:sz w:val="24"/>
          <w:szCs w:val="24"/>
        </w:rPr>
        <w:t>,</w:t>
      </w:r>
      <w:r w:rsidR="00C323D4">
        <w:rPr>
          <w:sz w:val="24"/>
          <w:szCs w:val="24"/>
        </w:rPr>
        <w:t>431</w:t>
      </w:r>
      <w:r w:rsidR="0064235D">
        <w:rPr>
          <w:sz w:val="24"/>
          <w:szCs w:val="24"/>
        </w:rPr>
        <w:t>.</w:t>
      </w:r>
      <w:r w:rsidR="00C323D4">
        <w:rPr>
          <w:sz w:val="24"/>
          <w:szCs w:val="24"/>
        </w:rPr>
        <w:t>37</w:t>
      </w:r>
      <w:r w:rsidR="0064235D">
        <w:rPr>
          <w:sz w:val="24"/>
          <w:szCs w:val="24"/>
        </w:rPr>
        <w:t xml:space="preserve">.) </w:t>
      </w:r>
      <w:r w:rsidR="00B74FEB">
        <w:rPr>
          <w:sz w:val="24"/>
          <w:szCs w:val="24"/>
        </w:rPr>
        <w:t xml:space="preserve"> The cost of printing, mailing, and return postage for FY2015 was $625,219.52 in accordance to Government Printing Office (GPO) estimates.  </w:t>
      </w:r>
      <w:r w:rsidR="0064235D">
        <w:rPr>
          <w:sz w:val="24"/>
          <w:szCs w:val="24"/>
        </w:rPr>
        <w:t>T</w:t>
      </w:r>
      <w:r w:rsidRPr="009A6AC2">
        <w:rPr>
          <w:sz w:val="24"/>
          <w:szCs w:val="24"/>
        </w:rPr>
        <w:t xml:space="preserve">hese costs include development of the instruments, development of the sampling plan, review of the instrument, locating of respondents, programming of the questionnaire for Web administration, questionnaire pretest, validation, data processing, providing a clean data file, project management and analysis, and reporting. </w:t>
      </w:r>
    </w:p>
    <w:p w:rsidR="00FF09FD" w:rsidRPr="009A6AC2" w:rsidRDefault="00FF09FD">
      <w:pPr>
        <w:spacing w:before="120"/>
      </w:pPr>
    </w:p>
    <w:p w:rsidR="00FF09FD" w:rsidRPr="009A6AC2" w:rsidRDefault="00FF09FD">
      <w:pPr>
        <w:pStyle w:val="Heading2"/>
        <w:rPr>
          <w:rFonts w:ascii="Times New Roman" w:hAnsi="Times New Roman"/>
          <w:i w:val="0"/>
          <w:sz w:val="24"/>
          <w:szCs w:val="24"/>
        </w:rPr>
      </w:pPr>
      <w:r w:rsidRPr="009A6AC2">
        <w:rPr>
          <w:rFonts w:ascii="Times New Roman" w:hAnsi="Times New Roman"/>
          <w:i w:val="0"/>
          <w:sz w:val="24"/>
          <w:szCs w:val="24"/>
        </w:rPr>
        <w:t>15.  Explain the reason for any changes reported in Items 13 or 14 above.</w:t>
      </w:r>
      <w:r w:rsidR="00EF2BDC">
        <w:rPr>
          <w:rFonts w:ascii="Times New Roman" w:hAnsi="Times New Roman"/>
          <w:i w:val="0"/>
          <w:sz w:val="24"/>
          <w:szCs w:val="24"/>
        </w:rPr>
        <w:t xml:space="preserve"> </w:t>
      </w:r>
    </w:p>
    <w:p w:rsidR="00FF09FD" w:rsidRDefault="00FF09FD"/>
    <w:p w:rsidR="00DC47C0" w:rsidRDefault="004045D4">
      <w:pPr>
        <w:rPr>
          <w:sz w:val="24"/>
          <w:szCs w:val="24"/>
        </w:rPr>
      </w:pPr>
      <w:r>
        <w:rPr>
          <w:sz w:val="24"/>
          <w:szCs w:val="24"/>
        </w:rPr>
        <w:t xml:space="preserve">There is a scheduled labor rate increase for the contractor that increases the annual contracting cost.  </w:t>
      </w:r>
    </w:p>
    <w:p w:rsidR="004045D4" w:rsidRPr="009A6AC2" w:rsidRDefault="004045D4">
      <w:pPr>
        <w:rPr>
          <w:sz w:val="24"/>
          <w:szCs w:val="24"/>
        </w:rPr>
      </w:pPr>
      <w:bookmarkStart w:id="0" w:name="_GoBack"/>
      <w:bookmarkEnd w:id="0"/>
    </w:p>
    <w:p w:rsidR="00FF09FD" w:rsidRPr="009A6AC2" w:rsidRDefault="00FF09FD" w:rsidP="003D2967">
      <w:pPr>
        <w:pStyle w:val="Heading2"/>
        <w:tabs>
          <w:tab w:val="clear" w:pos="360"/>
          <w:tab w:val="num" w:pos="-90"/>
          <w:tab w:val="left" w:pos="0"/>
        </w:tabs>
        <w:ind w:left="0" w:firstLine="0"/>
        <w:rPr>
          <w:rFonts w:ascii="Times New Roman" w:hAnsi="Times New Roman"/>
          <w:i w:val="0"/>
          <w:sz w:val="24"/>
          <w:szCs w:val="24"/>
        </w:rPr>
      </w:pPr>
      <w:r w:rsidRPr="009A6AC2">
        <w:rPr>
          <w:rFonts w:ascii="Times New Roman" w:hAnsi="Times New Roman"/>
          <w:i w:val="0"/>
          <w:sz w:val="24"/>
          <w:szCs w:val="24"/>
        </w:rPr>
        <w:t xml:space="preserve">16.  For collections of information whose results will be published, outline plans for tabulation and publication.  Address any complex analytical techniques that will be used.  </w:t>
      </w:r>
      <w:r w:rsidRPr="009A6AC2">
        <w:rPr>
          <w:rFonts w:ascii="Times New Roman" w:hAnsi="Times New Roman"/>
          <w:i w:val="0"/>
          <w:sz w:val="24"/>
          <w:szCs w:val="24"/>
        </w:rPr>
        <w:lastRenderedPageBreak/>
        <w:t>Provide the time schedule for the entire project, including beginning and ending dates of the collection of information, completion of report, publication dates, and other actions.</w:t>
      </w:r>
    </w:p>
    <w:p w:rsidR="00FF09FD" w:rsidRPr="009A6AC2" w:rsidRDefault="00FF09FD">
      <w:pPr>
        <w:pStyle w:val="Heading2"/>
        <w:rPr>
          <w:rFonts w:ascii="Times New Roman" w:hAnsi="Times New Roman"/>
        </w:rPr>
      </w:pPr>
    </w:p>
    <w:p w:rsidR="00FF09FD" w:rsidRPr="0074415C" w:rsidRDefault="00FF09FD">
      <w:pPr>
        <w:pStyle w:val="CaliberICFHeading3"/>
        <w:rPr>
          <w:rFonts w:ascii="Times New Roman" w:hAnsi="Times New Roman" w:cs="Times New Roman"/>
          <w:b w:val="0"/>
          <w:bCs w:val="0"/>
          <w:sz w:val="24"/>
          <w:szCs w:val="24"/>
        </w:rPr>
      </w:pPr>
      <w:r w:rsidRPr="0074415C">
        <w:rPr>
          <w:rFonts w:ascii="Times New Roman" w:hAnsi="Times New Roman" w:cs="Times New Roman"/>
          <w:b w:val="0"/>
          <w:bCs w:val="0"/>
          <w:sz w:val="24"/>
          <w:szCs w:val="24"/>
        </w:rPr>
        <w:t>Based on previous survey experience, Section 16A below documents the proposed project plan for the tabulation and publication of survey data, including the analytical techniques and database management strategies to be employed.  Following this, Section 16B provides an overview of the project timeline.</w:t>
      </w:r>
    </w:p>
    <w:p w:rsidR="00FF09FD" w:rsidRPr="009A6AC2" w:rsidRDefault="00FF09FD">
      <w:pPr>
        <w:pStyle w:val="CaliberICFHeading3"/>
        <w:rPr>
          <w:rFonts w:ascii="Times New Roman" w:hAnsi="Times New Roman" w:cs="Times New Roman"/>
          <w:sz w:val="24"/>
          <w:szCs w:val="24"/>
        </w:rPr>
      </w:pPr>
      <w:r w:rsidRPr="009A6AC2">
        <w:rPr>
          <w:rFonts w:ascii="Times New Roman" w:hAnsi="Times New Roman" w:cs="Times New Roman"/>
          <w:sz w:val="24"/>
          <w:szCs w:val="24"/>
        </w:rPr>
        <w:t xml:space="preserve">16A: TABULATION AND PUBLICATION </w:t>
      </w:r>
    </w:p>
    <w:p w:rsidR="00FF09FD" w:rsidRPr="009A6AC2" w:rsidRDefault="00FF09FD" w:rsidP="00A67121">
      <w:pPr>
        <w:pStyle w:val="CaliberICFHeading3"/>
        <w:numPr>
          <w:ilvl w:val="0"/>
          <w:numId w:val="11"/>
        </w:numPr>
        <w:spacing w:after="0"/>
        <w:rPr>
          <w:rFonts w:ascii="Times New Roman" w:hAnsi="Times New Roman" w:cs="Times New Roman"/>
          <w:sz w:val="24"/>
          <w:szCs w:val="24"/>
        </w:rPr>
      </w:pPr>
      <w:r w:rsidRPr="009A6AC2">
        <w:rPr>
          <w:rFonts w:ascii="Times New Roman" w:hAnsi="Times New Roman" w:cs="Times New Roman"/>
          <w:sz w:val="24"/>
          <w:szCs w:val="24"/>
        </w:rPr>
        <w:t>Scan Surveys and Monitor Response Rates</w:t>
      </w:r>
    </w:p>
    <w:p w:rsidR="00FF09FD" w:rsidRPr="009A6AC2" w:rsidRDefault="00FF09FD">
      <w:pPr>
        <w:pStyle w:val="CaliberICFHeading3"/>
        <w:spacing w:after="0"/>
        <w:ind w:left="360"/>
        <w:rPr>
          <w:rFonts w:ascii="Times New Roman" w:hAnsi="Times New Roman" w:cs="Times New Roman"/>
        </w:rPr>
      </w:pP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During the survey field-period, the surveys</w:t>
      </w:r>
      <w:r w:rsidR="00B547E8">
        <w:rPr>
          <w:rFonts w:ascii="Times New Roman" w:hAnsi="Times New Roman" w:cs="Times New Roman"/>
          <w:sz w:val="24"/>
          <w:szCs w:val="24"/>
        </w:rPr>
        <w:t xml:space="preserve"> are </w:t>
      </w:r>
      <w:r w:rsidRPr="009A6AC2">
        <w:rPr>
          <w:rFonts w:ascii="Times New Roman" w:hAnsi="Times New Roman" w:cs="Times New Roman"/>
          <w:sz w:val="24"/>
          <w:szCs w:val="24"/>
        </w:rPr>
        <w:t>scanned as they are received to ensure the currency of the name and address data file.  During the scanning process, V</w:t>
      </w:r>
      <w:r w:rsidR="005F35F3">
        <w:rPr>
          <w:rFonts w:ascii="Times New Roman" w:hAnsi="Times New Roman" w:cs="Times New Roman"/>
          <w:sz w:val="24"/>
          <w:szCs w:val="24"/>
        </w:rPr>
        <w:t>B</w:t>
      </w:r>
      <w:r w:rsidRPr="009A6AC2">
        <w:rPr>
          <w:rFonts w:ascii="Times New Roman" w:hAnsi="Times New Roman" w:cs="Times New Roman"/>
          <w:sz w:val="24"/>
          <w:szCs w:val="24"/>
        </w:rPr>
        <w:t>A’s contractor inspect</w:t>
      </w:r>
      <w:r w:rsidR="00B547E8">
        <w:rPr>
          <w:rFonts w:ascii="Times New Roman" w:hAnsi="Times New Roman" w:cs="Times New Roman"/>
          <w:sz w:val="24"/>
          <w:szCs w:val="24"/>
        </w:rPr>
        <w:t>s</w:t>
      </w:r>
      <w:r w:rsidRPr="009A6AC2">
        <w:rPr>
          <w:rFonts w:ascii="Times New Roman" w:hAnsi="Times New Roman" w:cs="Times New Roman"/>
          <w:sz w:val="24"/>
          <w:szCs w:val="24"/>
        </w:rPr>
        <w:t xml:space="preserve"> and remove</w:t>
      </w:r>
      <w:r w:rsidR="00B547E8">
        <w:rPr>
          <w:rFonts w:ascii="Times New Roman" w:hAnsi="Times New Roman" w:cs="Times New Roman"/>
          <w:sz w:val="24"/>
          <w:szCs w:val="24"/>
        </w:rPr>
        <w:t>s</w:t>
      </w:r>
      <w:r w:rsidRPr="009A6AC2">
        <w:rPr>
          <w:rFonts w:ascii="Times New Roman" w:hAnsi="Times New Roman" w:cs="Times New Roman"/>
          <w:sz w:val="24"/>
          <w:szCs w:val="24"/>
        </w:rPr>
        <w:t xml:space="preserve"> duplicate surveys in case any individual inadvertently received a second survey after completing one from the first mailing.  Data from damaged surveys could potentially be lost unless appropriate actions are rendered to make the data usable.  Staples, paper clips, and notes </w:t>
      </w:r>
      <w:r w:rsidR="00B547E8">
        <w:rPr>
          <w:rFonts w:ascii="Times New Roman" w:hAnsi="Times New Roman" w:cs="Times New Roman"/>
          <w:sz w:val="24"/>
          <w:szCs w:val="24"/>
        </w:rPr>
        <w:t>are</w:t>
      </w:r>
      <w:r w:rsidRPr="009A6AC2">
        <w:rPr>
          <w:rFonts w:ascii="Times New Roman" w:hAnsi="Times New Roman" w:cs="Times New Roman"/>
          <w:sz w:val="24"/>
          <w:szCs w:val="24"/>
        </w:rPr>
        <w:t xml:space="preserve"> removed and stray pencil marks that would interfere with the scanning process</w:t>
      </w:r>
      <w:r w:rsidR="00B547E8">
        <w:rPr>
          <w:rFonts w:ascii="Times New Roman" w:hAnsi="Times New Roman" w:cs="Times New Roman"/>
          <w:sz w:val="24"/>
          <w:szCs w:val="24"/>
        </w:rPr>
        <w:t xml:space="preserve"> are</w:t>
      </w:r>
      <w:r w:rsidRPr="009A6AC2">
        <w:rPr>
          <w:rFonts w:ascii="Times New Roman" w:hAnsi="Times New Roman" w:cs="Times New Roman"/>
          <w:sz w:val="24"/>
          <w:szCs w:val="24"/>
        </w:rPr>
        <w:t xml:space="preserve"> erased.  </w:t>
      </w: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 </w:t>
      </w: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The contractor host</w:t>
      </w:r>
      <w:r w:rsidR="00BA7E6D">
        <w:rPr>
          <w:rFonts w:ascii="Times New Roman" w:hAnsi="Times New Roman" w:cs="Times New Roman"/>
          <w:sz w:val="24"/>
          <w:szCs w:val="24"/>
        </w:rPr>
        <w:t>s</w:t>
      </w:r>
      <w:r w:rsidRPr="009A6AC2">
        <w:rPr>
          <w:rFonts w:ascii="Times New Roman" w:hAnsi="Times New Roman" w:cs="Times New Roman"/>
          <w:sz w:val="24"/>
          <w:szCs w:val="24"/>
        </w:rPr>
        <w:t xml:space="preserve"> a secure </w:t>
      </w:r>
      <w:r w:rsidR="00FA4C1C">
        <w:rPr>
          <w:rFonts w:ascii="Times New Roman" w:hAnsi="Times New Roman" w:cs="Times New Roman"/>
          <w:sz w:val="24"/>
          <w:szCs w:val="24"/>
        </w:rPr>
        <w:t>Enterprise Data Exchange (EDX)</w:t>
      </w:r>
      <w:r w:rsidRPr="009A6AC2">
        <w:rPr>
          <w:rFonts w:ascii="Times New Roman" w:hAnsi="Times New Roman" w:cs="Times New Roman"/>
          <w:sz w:val="24"/>
          <w:szCs w:val="24"/>
        </w:rPr>
        <w:t xml:space="preserve"> site that provide</w:t>
      </w:r>
      <w:r w:rsidR="00BA7E6D">
        <w:rPr>
          <w:rFonts w:ascii="Times New Roman" w:hAnsi="Times New Roman" w:cs="Times New Roman"/>
          <w:sz w:val="24"/>
          <w:szCs w:val="24"/>
        </w:rPr>
        <w:t>s</w:t>
      </w:r>
      <w:r w:rsidRPr="009A6AC2">
        <w:rPr>
          <w:rFonts w:ascii="Times New Roman" w:hAnsi="Times New Roman" w:cs="Times New Roman"/>
          <w:sz w:val="24"/>
          <w:szCs w:val="24"/>
        </w:rPr>
        <w:t xml:space="preserve"> response rates from the survey.  Throughout the period that the surveys are being fielded, response rate data </w:t>
      </w:r>
      <w:r w:rsidR="00B547E8">
        <w:rPr>
          <w:rFonts w:ascii="Times New Roman" w:hAnsi="Times New Roman" w:cs="Times New Roman"/>
          <w:sz w:val="24"/>
          <w:szCs w:val="24"/>
        </w:rPr>
        <w:t>is</w:t>
      </w:r>
      <w:r w:rsidRPr="009A6AC2">
        <w:rPr>
          <w:rFonts w:ascii="Times New Roman" w:hAnsi="Times New Roman" w:cs="Times New Roman"/>
          <w:sz w:val="24"/>
          <w:szCs w:val="24"/>
        </w:rPr>
        <w:t xml:space="preserve"> updated at a minimum on a </w:t>
      </w:r>
      <w:r w:rsidR="00FA4C1C">
        <w:rPr>
          <w:rFonts w:ascii="Times New Roman" w:hAnsi="Times New Roman" w:cs="Times New Roman"/>
          <w:sz w:val="24"/>
          <w:szCs w:val="24"/>
        </w:rPr>
        <w:t>monthly</w:t>
      </w:r>
      <w:r w:rsidR="00FA4C1C" w:rsidRPr="009A6AC2">
        <w:rPr>
          <w:rFonts w:ascii="Times New Roman" w:hAnsi="Times New Roman" w:cs="Times New Roman"/>
          <w:sz w:val="24"/>
          <w:szCs w:val="24"/>
        </w:rPr>
        <w:t xml:space="preserve"> </w:t>
      </w:r>
      <w:r w:rsidRPr="009A6AC2">
        <w:rPr>
          <w:rFonts w:ascii="Times New Roman" w:hAnsi="Times New Roman" w:cs="Times New Roman"/>
          <w:sz w:val="24"/>
          <w:szCs w:val="24"/>
        </w:rPr>
        <w:t xml:space="preserve">basis for the survey.  </w:t>
      </w:r>
    </w:p>
    <w:p w:rsidR="00FF09FD" w:rsidRPr="009A6AC2" w:rsidRDefault="00FF09FD">
      <w:pPr>
        <w:pStyle w:val="CaliberICFText"/>
        <w:spacing w:before="0" w:after="0"/>
        <w:rPr>
          <w:rFonts w:ascii="Times New Roman" w:hAnsi="Times New Roman" w:cs="Times New Roman"/>
          <w:sz w:val="24"/>
          <w:szCs w:val="24"/>
        </w:rPr>
      </w:pPr>
    </w:p>
    <w:p w:rsidR="00FA4C1C" w:rsidRPr="00FA4C1C" w:rsidRDefault="00FF09FD" w:rsidP="00FA4C1C">
      <w:pPr>
        <w:pStyle w:val="CaliberICFHeading3"/>
        <w:numPr>
          <w:ilvl w:val="0"/>
          <w:numId w:val="11"/>
        </w:numPr>
        <w:spacing w:after="0"/>
        <w:rPr>
          <w:rFonts w:ascii="Times New Roman" w:hAnsi="Times New Roman" w:cs="Times New Roman"/>
          <w:sz w:val="24"/>
          <w:szCs w:val="24"/>
        </w:rPr>
      </w:pPr>
      <w:r w:rsidRPr="009A6AC2">
        <w:rPr>
          <w:rFonts w:ascii="Times New Roman" w:hAnsi="Times New Roman" w:cs="Times New Roman"/>
          <w:sz w:val="24"/>
          <w:szCs w:val="24"/>
        </w:rPr>
        <w:t xml:space="preserve">Quarterly </w:t>
      </w:r>
      <w:r w:rsidR="008A2570">
        <w:rPr>
          <w:rFonts w:ascii="Times New Roman" w:hAnsi="Times New Roman" w:cs="Times New Roman"/>
          <w:sz w:val="24"/>
          <w:szCs w:val="24"/>
        </w:rPr>
        <w:t>Reporting</w:t>
      </w:r>
    </w:p>
    <w:p w:rsidR="00FF09FD" w:rsidRPr="007669F6" w:rsidRDefault="00FF09FD">
      <w:pPr>
        <w:pStyle w:val="CaliberICFText"/>
        <w:rPr>
          <w:rFonts w:ascii="Times New Roman" w:hAnsi="Times New Roman" w:cs="Times New Roman"/>
          <w:sz w:val="24"/>
          <w:szCs w:val="24"/>
        </w:rPr>
      </w:pPr>
      <w:r w:rsidRPr="007669F6">
        <w:rPr>
          <w:rFonts w:ascii="Times New Roman" w:hAnsi="Times New Roman" w:cs="Times New Roman"/>
          <w:sz w:val="24"/>
          <w:szCs w:val="24"/>
        </w:rPr>
        <w:t>Program lines receive an overview of findings that outline the following:</w:t>
      </w:r>
    </w:p>
    <w:p w:rsidR="00FF09FD" w:rsidRPr="00A6081F" w:rsidRDefault="00FF09FD" w:rsidP="00A67121">
      <w:pPr>
        <w:pStyle w:val="ListBullet"/>
        <w:numPr>
          <w:ilvl w:val="0"/>
          <w:numId w:val="12"/>
        </w:numPr>
        <w:spacing w:line="288" w:lineRule="auto"/>
        <w:rPr>
          <w:rFonts w:ascii="Times New Roman" w:hAnsi="Times New Roman" w:cs="Times New Roman"/>
          <w:sz w:val="24"/>
          <w:szCs w:val="24"/>
        </w:rPr>
      </w:pPr>
      <w:r w:rsidRPr="00A6081F">
        <w:rPr>
          <w:rFonts w:ascii="Times New Roman" w:hAnsi="Times New Roman" w:cs="Times New Roman"/>
          <w:sz w:val="24"/>
          <w:szCs w:val="24"/>
        </w:rPr>
        <w:t>Summary of key score matrices</w:t>
      </w:r>
    </w:p>
    <w:p w:rsidR="00FF09FD" w:rsidRPr="00A6081F" w:rsidRDefault="00FF09FD" w:rsidP="00A67121">
      <w:pPr>
        <w:pStyle w:val="ListBullet"/>
        <w:numPr>
          <w:ilvl w:val="0"/>
          <w:numId w:val="12"/>
        </w:numPr>
        <w:spacing w:line="288" w:lineRule="auto"/>
        <w:rPr>
          <w:rFonts w:ascii="Times New Roman" w:hAnsi="Times New Roman" w:cs="Times New Roman"/>
          <w:sz w:val="24"/>
          <w:szCs w:val="24"/>
        </w:rPr>
      </w:pPr>
      <w:r w:rsidRPr="00A6081F">
        <w:rPr>
          <w:rFonts w:ascii="Times New Roman" w:hAnsi="Times New Roman" w:cs="Times New Roman"/>
          <w:sz w:val="24"/>
          <w:szCs w:val="24"/>
        </w:rPr>
        <w:t>Key attributes</w:t>
      </w:r>
    </w:p>
    <w:p w:rsidR="00FF09FD" w:rsidRPr="00A6081F" w:rsidRDefault="00FF09FD" w:rsidP="00A67121">
      <w:pPr>
        <w:pStyle w:val="ListBullet"/>
        <w:numPr>
          <w:ilvl w:val="0"/>
          <w:numId w:val="12"/>
        </w:numPr>
        <w:rPr>
          <w:rFonts w:ascii="Times New Roman" w:hAnsi="Times New Roman" w:cs="Times New Roman"/>
          <w:sz w:val="24"/>
          <w:szCs w:val="24"/>
        </w:rPr>
      </w:pPr>
      <w:r w:rsidRPr="00A6081F">
        <w:rPr>
          <w:rFonts w:ascii="Times New Roman" w:hAnsi="Times New Roman" w:cs="Times New Roman"/>
          <w:sz w:val="24"/>
          <w:szCs w:val="24"/>
        </w:rPr>
        <w:t>Key diagnostics and demographics</w:t>
      </w:r>
    </w:p>
    <w:p w:rsidR="007669F6" w:rsidRPr="00A6081F" w:rsidRDefault="00FF09FD" w:rsidP="00A67121">
      <w:pPr>
        <w:pStyle w:val="ListBullet"/>
        <w:numPr>
          <w:ilvl w:val="0"/>
          <w:numId w:val="12"/>
        </w:numPr>
        <w:rPr>
          <w:rFonts w:ascii="Times New Roman" w:hAnsi="Times New Roman" w:cs="Times New Roman"/>
          <w:sz w:val="24"/>
          <w:szCs w:val="24"/>
        </w:rPr>
      </w:pPr>
      <w:r w:rsidRPr="003D2967">
        <w:rPr>
          <w:rFonts w:ascii="Times New Roman" w:hAnsi="Times New Roman" w:cs="Times New Roman"/>
          <w:sz w:val="24"/>
          <w:szCs w:val="24"/>
        </w:rPr>
        <w:t>Verbatim (open-ended) response report</w:t>
      </w:r>
    </w:p>
    <w:p w:rsidR="00FA4C1C" w:rsidRPr="003D2967" w:rsidRDefault="00FA4C1C" w:rsidP="003D2967">
      <w:pPr>
        <w:pStyle w:val="ListBullet"/>
        <w:numPr>
          <w:ilvl w:val="0"/>
          <w:numId w:val="12"/>
        </w:numPr>
        <w:rPr>
          <w:rFonts w:ascii="Times New Roman" w:hAnsi="Times New Roman" w:cs="Times New Roman"/>
          <w:sz w:val="24"/>
          <w:szCs w:val="24"/>
        </w:rPr>
      </w:pPr>
      <w:r w:rsidRPr="003D2967">
        <w:rPr>
          <w:rFonts w:ascii="Times New Roman" w:hAnsi="Times New Roman" w:cs="Times New Roman"/>
          <w:sz w:val="24"/>
          <w:szCs w:val="24"/>
        </w:rPr>
        <w:t>Semi-annual program Line Briefings</w:t>
      </w:r>
    </w:p>
    <w:p w:rsidR="00FA4C1C" w:rsidRPr="00A6081F" w:rsidRDefault="00FA4C1C" w:rsidP="00650EFF">
      <w:pPr>
        <w:pStyle w:val="CaliberICFHeading3"/>
        <w:numPr>
          <w:ilvl w:val="1"/>
          <w:numId w:val="11"/>
        </w:numPr>
        <w:spacing w:after="0"/>
        <w:rPr>
          <w:rFonts w:ascii="Times New Roman" w:hAnsi="Times New Roman" w:cs="Times New Roman"/>
          <w:b w:val="0"/>
          <w:sz w:val="24"/>
          <w:szCs w:val="24"/>
        </w:rPr>
      </w:pPr>
      <w:r w:rsidRPr="00A6081F">
        <w:rPr>
          <w:rFonts w:ascii="Times New Roman" w:hAnsi="Times New Roman" w:cs="Times New Roman"/>
          <w:b w:val="0"/>
          <w:sz w:val="24"/>
          <w:szCs w:val="24"/>
        </w:rPr>
        <w:t>Summary of key findings at business-line level</w:t>
      </w:r>
    </w:p>
    <w:p w:rsidR="00FA4C1C" w:rsidRPr="009A6AC2" w:rsidRDefault="00FA4C1C">
      <w:pPr>
        <w:rPr>
          <w:sz w:val="24"/>
          <w:szCs w:val="24"/>
        </w:rPr>
      </w:pPr>
    </w:p>
    <w:p w:rsidR="00FF09FD" w:rsidRPr="009A6AC2" w:rsidRDefault="00FF09FD">
      <w:pPr>
        <w:rPr>
          <w:sz w:val="24"/>
          <w:szCs w:val="24"/>
        </w:rPr>
      </w:pPr>
      <w:r w:rsidRPr="009A6AC2">
        <w:rPr>
          <w:sz w:val="24"/>
          <w:szCs w:val="24"/>
        </w:rPr>
        <w:t xml:space="preserve">The </w:t>
      </w:r>
      <w:r w:rsidR="00FA4C1C">
        <w:rPr>
          <w:sz w:val="24"/>
          <w:szCs w:val="24"/>
        </w:rPr>
        <w:t xml:space="preserve">semi-annual program line briefing </w:t>
      </w:r>
      <w:r w:rsidRPr="009A6AC2">
        <w:rPr>
          <w:sz w:val="24"/>
          <w:szCs w:val="24"/>
        </w:rPr>
        <w:t>level report for each business line contain</w:t>
      </w:r>
      <w:r w:rsidR="00FA4C1C">
        <w:rPr>
          <w:sz w:val="24"/>
          <w:szCs w:val="24"/>
        </w:rPr>
        <w:t>s</w:t>
      </w:r>
      <w:r w:rsidRPr="009A6AC2">
        <w:rPr>
          <w:sz w:val="24"/>
          <w:szCs w:val="24"/>
        </w:rPr>
        <w:t xml:space="preserve"> a summary of business line specific results, as well as a summary comparison of all business lines for measures that are common across business lines.</w:t>
      </w:r>
    </w:p>
    <w:p w:rsidR="00FF09FD" w:rsidRPr="009A6AC2" w:rsidRDefault="00FF09FD">
      <w:pPr>
        <w:pStyle w:val="ListBullet"/>
        <w:numPr>
          <w:ilvl w:val="0"/>
          <w:numId w:val="0"/>
        </w:numPr>
        <w:spacing w:after="0"/>
        <w:rPr>
          <w:rFonts w:ascii="Times New Roman" w:hAnsi="Times New Roman" w:cs="Times New Roman"/>
          <w:sz w:val="24"/>
          <w:szCs w:val="24"/>
        </w:rPr>
      </w:pP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VBA’s contractor pre-test</w:t>
      </w:r>
      <w:r w:rsidR="003B5343">
        <w:rPr>
          <w:rFonts w:ascii="Times New Roman" w:hAnsi="Times New Roman" w:cs="Times New Roman"/>
          <w:sz w:val="24"/>
          <w:szCs w:val="24"/>
        </w:rPr>
        <w:t>s</w:t>
      </w:r>
      <w:r w:rsidRPr="009A6AC2">
        <w:rPr>
          <w:rFonts w:ascii="Times New Roman" w:hAnsi="Times New Roman" w:cs="Times New Roman"/>
          <w:sz w:val="24"/>
          <w:szCs w:val="24"/>
        </w:rPr>
        <w:t xml:space="preserve"> automation routines for new designs in the analysis to ensure that the report exhibits graphics and data tables that can be reliably and accurately programmed for each report type.  Development of the automated report system consist</w:t>
      </w:r>
      <w:r w:rsidR="003B5343">
        <w:rPr>
          <w:rFonts w:ascii="Times New Roman" w:hAnsi="Times New Roman" w:cs="Times New Roman"/>
          <w:sz w:val="24"/>
          <w:szCs w:val="24"/>
        </w:rPr>
        <w:t>s</w:t>
      </w:r>
      <w:r w:rsidRPr="009A6AC2">
        <w:rPr>
          <w:rFonts w:ascii="Times New Roman" w:hAnsi="Times New Roman" w:cs="Times New Roman"/>
          <w:sz w:val="24"/>
          <w:szCs w:val="24"/>
        </w:rPr>
        <w:t xml:space="preserve"> of several concurrent tasks, including a data crosswalk of the survey iterations to map identical variables and response sets, </w:t>
      </w:r>
      <w:r w:rsidRPr="009A6AC2">
        <w:rPr>
          <w:rFonts w:ascii="Times New Roman" w:hAnsi="Times New Roman" w:cs="Times New Roman"/>
          <w:color w:val="000000"/>
          <w:sz w:val="24"/>
          <w:szCs w:val="24"/>
        </w:rPr>
        <w:lastRenderedPageBreak/>
        <w:t>Statistical package for the Social Sciences</w:t>
      </w:r>
      <w:r w:rsidRPr="009A6AC2">
        <w:rPr>
          <w:rFonts w:ascii="Times New Roman" w:hAnsi="Times New Roman" w:cs="Times New Roman"/>
          <w:color w:val="1F497D"/>
          <w:sz w:val="24"/>
          <w:szCs w:val="24"/>
        </w:rPr>
        <w:t xml:space="preserve"> (</w:t>
      </w:r>
      <w:r w:rsidRPr="009A6AC2">
        <w:rPr>
          <w:rFonts w:ascii="Times New Roman" w:hAnsi="Times New Roman" w:cs="Times New Roman"/>
          <w:sz w:val="24"/>
          <w:szCs w:val="24"/>
        </w:rPr>
        <w:t xml:space="preserve">SPSS) syntax routines and development of prototype report templates using Microsoft Excel with Visual Basic for Applications.  </w:t>
      </w:r>
    </w:p>
    <w:p w:rsidR="00FF09FD" w:rsidRPr="009A6AC2" w:rsidRDefault="00FF09FD" w:rsidP="00740A66">
      <w:pPr>
        <w:pStyle w:val="CaliberICFText"/>
        <w:spacing w:before="0" w:after="0"/>
        <w:rPr>
          <w:sz w:val="24"/>
          <w:szCs w:val="24"/>
        </w:rPr>
      </w:pPr>
      <w:r w:rsidRPr="009A6AC2">
        <w:rPr>
          <w:rFonts w:ascii="Times New Roman" w:hAnsi="Times New Roman" w:cs="Times New Roman"/>
          <w:sz w:val="24"/>
          <w:szCs w:val="24"/>
        </w:rPr>
        <w:t xml:space="preserve"> </w:t>
      </w:r>
    </w:p>
    <w:p w:rsidR="00FF09FD" w:rsidRPr="009A6AC2" w:rsidRDefault="00FF09FD" w:rsidP="00A67121">
      <w:pPr>
        <w:pStyle w:val="CaliberICFHeading3"/>
        <w:numPr>
          <w:ilvl w:val="0"/>
          <w:numId w:val="11"/>
        </w:numPr>
        <w:spacing w:after="0"/>
        <w:rPr>
          <w:rFonts w:ascii="Times New Roman Bold" w:hAnsi="Times New Roman Bold" w:cs="Times New Roman Bold"/>
          <w:sz w:val="24"/>
          <w:szCs w:val="24"/>
        </w:rPr>
      </w:pPr>
      <w:r w:rsidRPr="009A6AC2">
        <w:rPr>
          <w:rFonts w:ascii="Times New Roman Bold" w:hAnsi="Times New Roman Bold" w:cs="Times New Roman Bold"/>
          <w:sz w:val="24"/>
          <w:szCs w:val="24"/>
        </w:rPr>
        <w:t>Conduct Final Briefing</w:t>
      </w:r>
    </w:p>
    <w:p w:rsidR="00FF09FD" w:rsidRPr="009A6AC2" w:rsidRDefault="00FF09FD">
      <w:pPr>
        <w:pStyle w:val="CaliberICFText"/>
        <w:spacing w:after="0"/>
        <w:rPr>
          <w:rFonts w:ascii="Times New Roman" w:hAnsi="Times New Roman" w:cs="Times New Roman"/>
          <w:sz w:val="24"/>
          <w:szCs w:val="24"/>
        </w:rPr>
      </w:pPr>
      <w:r w:rsidRPr="009A6AC2">
        <w:rPr>
          <w:rFonts w:ascii="Times New Roman" w:hAnsi="Times New Roman" w:cs="Times New Roman"/>
          <w:sz w:val="24"/>
          <w:szCs w:val="24"/>
        </w:rPr>
        <w:t>The contractor develop</w:t>
      </w:r>
      <w:r w:rsidR="00BA7E6D">
        <w:rPr>
          <w:rFonts w:ascii="Times New Roman" w:hAnsi="Times New Roman" w:cs="Times New Roman"/>
          <w:sz w:val="24"/>
          <w:szCs w:val="24"/>
        </w:rPr>
        <w:t>s</w:t>
      </w:r>
      <w:r w:rsidRPr="009A6AC2">
        <w:rPr>
          <w:rFonts w:ascii="Times New Roman" w:hAnsi="Times New Roman" w:cs="Times New Roman"/>
          <w:sz w:val="24"/>
          <w:szCs w:val="24"/>
        </w:rPr>
        <w:t xml:space="preserve"> data tabulations on survey highlights and present</w:t>
      </w:r>
      <w:r w:rsidR="00F40BD3">
        <w:rPr>
          <w:rFonts w:ascii="Times New Roman" w:hAnsi="Times New Roman" w:cs="Times New Roman"/>
          <w:sz w:val="24"/>
          <w:szCs w:val="24"/>
        </w:rPr>
        <w:t>s</w:t>
      </w:r>
      <w:r w:rsidRPr="009A6AC2">
        <w:rPr>
          <w:rFonts w:ascii="Times New Roman" w:hAnsi="Times New Roman" w:cs="Times New Roman"/>
          <w:sz w:val="24"/>
          <w:szCs w:val="24"/>
        </w:rPr>
        <w:t xml:space="preserve"> the results to </w:t>
      </w:r>
      <w:r w:rsidR="00A6081F">
        <w:rPr>
          <w:rFonts w:ascii="Times New Roman" w:hAnsi="Times New Roman" w:cs="Times New Roman"/>
          <w:sz w:val="24"/>
          <w:szCs w:val="24"/>
        </w:rPr>
        <w:t>Compensation</w:t>
      </w:r>
      <w:r w:rsidRPr="009A6AC2">
        <w:rPr>
          <w:rFonts w:ascii="Times New Roman" w:hAnsi="Times New Roman" w:cs="Times New Roman"/>
          <w:sz w:val="24"/>
          <w:szCs w:val="24"/>
        </w:rPr>
        <w:t xml:space="preserve">, </w:t>
      </w:r>
      <w:r w:rsidR="00A6081F">
        <w:rPr>
          <w:rFonts w:ascii="Times New Roman" w:hAnsi="Times New Roman" w:cs="Times New Roman"/>
          <w:sz w:val="24"/>
          <w:szCs w:val="24"/>
        </w:rPr>
        <w:t>Pension</w:t>
      </w:r>
      <w:r w:rsidRPr="009A6AC2">
        <w:rPr>
          <w:rFonts w:ascii="Times New Roman" w:hAnsi="Times New Roman" w:cs="Times New Roman"/>
          <w:sz w:val="24"/>
          <w:szCs w:val="24"/>
        </w:rPr>
        <w:t>, EDU, LGY, VR&amp;E and VBA staff.  The contractor work</w:t>
      </w:r>
      <w:r w:rsidR="00BA7E6D">
        <w:rPr>
          <w:rFonts w:ascii="Times New Roman" w:hAnsi="Times New Roman" w:cs="Times New Roman"/>
          <w:sz w:val="24"/>
          <w:szCs w:val="24"/>
        </w:rPr>
        <w:t>s</w:t>
      </w:r>
      <w:r w:rsidRPr="009A6AC2">
        <w:rPr>
          <w:rFonts w:ascii="Times New Roman" w:hAnsi="Times New Roman" w:cs="Times New Roman"/>
          <w:sz w:val="24"/>
          <w:szCs w:val="24"/>
        </w:rPr>
        <w:t xml:space="preserve"> closely with VBA to determine the most salient findings to present in the briefing.  The contractor deliver</w:t>
      </w:r>
      <w:r w:rsidR="00BA7E6D">
        <w:rPr>
          <w:rFonts w:ascii="Times New Roman" w:hAnsi="Times New Roman" w:cs="Times New Roman"/>
          <w:sz w:val="24"/>
          <w:szCs w:val="24"/>
        </w:rPr>
        <w:t>s</w:t>
      </w:r>
      <w:r w:rsidRPr="009A6AC2">
        <w:rPr>
          <w:rFonts w:ascii="Times New Roman" w:hAnsi="Times New Roman" w:cs="Times New Roman"/>
          <w:sz w:val="24"/>
          <w:szCs w:val="24"/>
        </w:rPr>
        <w:t xml:space="preserve"> bound color copies of the briefing presentation to </w:t>
      </w:r>
      <w:r w:rsidR="00A6081F">
        <w:rPr>
          <w:rFonts w:ascii="Times New Roman" w:hAnsi="Times New Roman" w:cs="Times New Roman"/>
          <w:sz w:val="24"/>
          <w:szCs w:val="24"/>
        </w:rPr>
        <w:t xml:space="preserve">all business lines. </w:t>
      </w: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  </w:t>
      </w:r>
    </w:p>
    <w:p w:rsidR="00FF09FD" w:rsidRPr="009A6AC2" w:rsidRDefault="00FF09FD" w:rsidP="00A67121">
      <w:pPr>
        <w:pStyle w:val="CaliberICFHeading3"/>
        <w:numPr>
          <w:ilvl w:val="0"/>
          <w:numId w:val="11"/>
        </w:numPr>
        <w:spacing w:after="0"/>
        <w:rPr>
          <w:rFonts w:ascii="Times New Roman Bold" w:hAnsi="Times New Roman Bold" w:cs="Times New Roman Bold"/>
          <w:sz w:val="24"/>
          <w:szCs w:val="24"/>
        </w:rPr>
      </w:pPr>
      <w:r w:rsidRPr="009A6AC2">
        <w:rPr>
          <w:rFonts w:ascii="Times New Roman Bold" w:hAnsi="Times New Roman Bold" w:cs="Times New Roman Bold"/>
          <w:sz w:val="24"/>
          <w:szCs w:val="24"/>
        </w:rPr>
        <w:t>Load Data to Reporting Site</w:t>
      </w:r>
    </w:p>
    <w:p w:rsidR="00FF09FD" w:rsidRPr="009A6AC2" w:rsidRDefault="00FF09FD">
      <w:pPr>
        <w:pStyle w:val="CaliberICFHeading3"/>
        <w:spacing w:after="0"/>
        <w:rPr>
          <w:rFonts w:ascii="Times New Roman Bold" w:hAnsi="Times New Roman Bold" w:cs="Times New Roman Bold"/>
          <w:b w:val="0"/>
        </w:rPr>
      </w:pPr>
    </w:p>
    <w:p w:rsidR="00FF09FD" w:rsidRPr="009A6AC2" w:rsidRDefault="00FF09FD">
      <w:pPr>
        <w:pStyle w:val="CaliberICFHeading3"/>
        <w:spacing w:after="0"/>
        <w:rPr>
          <w:rFonts w:ascii="Times New Roman" w:hAnsi="Times New Roman" w:cs="Times New Roman"/>
          <w:b w:val="0"/>
          <w:bCs w:val="0"/>
        </w:rPr>
      </w:pPr>
      <w:r w:rsidRPr="008A2570">
        <w:rPr>
          <w:rFonts w:ascii="Times New Roman" w:hAnsi="Times New Roman" w:cs="Times New Roman"/>
          <w:b w:val="0"/>
          <w:bCs w:val="0"/>
          <w:sz w:val="24"/>
        </w:rPr>
        <w:t xml:space="preserve">Data collected </w:t>
      </w:r>
      <w:r w:rsidR="00B547E8" w:rsidRPr="008A2570">
        <w:rPr>
          <w:rFonts w:ascii="Times New Roman" w:hAnsi="Times New Roman" w:cs="Times New Roman"/>
          <w:b w:val="0"/>
          <w:bCs w:val="0"/>
          <w:sz w:val="24"/>
        </w:rPr>
        <w:t>is</w:t>
      </w:r>
      <w:r w:rsidRPr="008A2570">
        <w:rPr>
          <w:rFonts w:ascii="Times New Roman" w:hAnsi="Times New Roman" w:cs="Times New Roman"/>
          <w:b w:val="0"/>
          <w:bCs w:val="0"/>
          <w:sz w:val="24"/>
        </w:rPr>
        <w:t xml:space="preserve"> loaded to the VOV Reporting Site for all program line</w:t>
      </w:r>
      <w:r w:rsidR="0032430D">
        <w:rPr>
          <w:rFonts w:ascii="Times New Roman" w:hAnsi="Times New Roman" w:cs="Times New Roman"/>
          <w:b w:val="0"/>
          <w:bCs w:val="0"/>
          <w:sz w:val="24"/>
        </w:rPr>
        <w:t>s</w:t>
      </w:r>
      <w:r w:rsidRPr="008A2570">
        <w:rPr>
          <w:rFonts w:ascii="Times New Roman" w:hAnsi="Times New Roman" w:cs="Times New Roman"/>
          <w:b w:val="0"/>
          <w:bCs w:val="0"/>
          <w:sz w:val="24"/>
        </w:rPr>
        <w:t xml:space="preserve"> and regional offices. Reporting Site was developed under a different order</w:t>
      </w:r>
      <w:r w:rsidRPr="009A6AC2">
        <w:rPr>
          <w:rFonts w:ascii="Times New Roman" w:hAnsi="Times New Roman" w:cs="Times New Roman"/>
          <w:b w:val="0"/>
          <w:bCs w:val="0"/>
        </w:rPr>
        <w:t>.</w:t>
      </w:r>
    </w:p>
    <w:p w:rsidR="00FF09FD" w:rsidRPr="009A6AC2" w:rsidRDefault="00FF09FD">
      <w:pPr>
        <w:pStyle w:val="CaliberICFText"/>
        <w:spacing w:before="0" w:after="0"/>
        <w:rPr>
          <w:rFonts w:ascii="Times New Roman" w:hAnsi="Times New Roman" w:cs="Times New Roman"/>
          <w:sz w:val="24"/>
          <w:szCs w:val="24"/>
        </w:rPr>
      </w:pPr>
    </w:p>
    <w:p w:rsidR="00FF09FD" w:rsidRPr="009A6AC2" w:rsidRDefault="00FF09FD" w:rsidP="00A67121">
      <w:pPr>
        <w:pStyle w:val="CaliberICFHeading3"/>
        <w:numPr>
          <w:ilvl w:val="0"/>
          <w:numId w:val="11"/>
        </w:numPr>
        <w:spacing w:after="0"/>
        <w:rPr>
          <w:rFonts w:ascii="Times New Roman Bold" w:hAnsi="Times New Roman Bold" w:cs="Times New Roman Bold"/>
          <w:sz w:val="24"/>
          <w:szCs w:val="24"/>
        </w:rPr>
      </w:pPr>
      <w:r w:rsidRPr="009A6AC2">
        <w:rPr>
          <w:rFonts w:ascii="Times New Roman Bold" w:hAnsi="Times New Roman Bold" w:cs="Times New Roman Bold"/>
          <w:sz w:val="24"/>
          <w:szCs w:val="24"/>
        </w:rPr>
        <w:t>Deliver Final Products</w:t>
      </w:r>
    </w:p>
    <w:p w:rsidR="00FF09FD" w:rsidRPr="009A6AC2" w:rsidRDefault="00FF09FD">
      <w:pPr>
        <w:pStyle w:val="CaliberICFHeading3"/>
        <w:spacing w:after="0"/>
        <w:rPr>
          <w:rFonts w:ascii="Times New Roman Bold" w:hAnsi="Times New Roman Bold" w:cs="Times New Roman Bold"/>
        </w:rPr>
      </w:pP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The contractor submit</w:t>
      </w:r>
      <w:r w:rsidR="00B547E8">
        <w:rPr>
          <w:rFonts w:ascii="Times New Roman" w:hAnsi="Times New Roman" w:cs="Times New Roman"/>
          <w:sz w:val="24"/>
          <w:szCs w:val="24"/>
        </w:rPr>
        <w:t>s</w:t>
      </w:r>
      <w:r w:rsidRPr="009A6AC2">
        <w:rPr>
          <w:rFonts w:ascii="Times New Roman" w:hAnsi="Times New Roman" w:cs="Times New Roman"/>
          <w:sz w:val="24"/>
          <w:szCs w:val="24"/>
        </w:rPr>
        <w:t xml:space="preserve"> the final deliverable containing electronic files as specified in the SOW.  Documents and materials include:</w:t>
      </w:r>
    </w:p>
    <w:p w:rsidR="00FF09FD" w:rsidRPr="009A6AC2" w:rsidRDefault="00FF09FD">
      <w:pPr>
        <w:pStyle w:val="CaliberICFText"/>
        <w:spacing w:before="0" w:after="0"/>
        <w:rPr>
          <w:rFonts w:ascii="Times New Roman" w:hAnsi="Times New Roman" w:cs="Times New Roman"/>
          <w:sz w:val="24"/>
          <w:szCs w:val="24"/>
        </w:rPr>
      </w:pPr>
      <w:r w:rsidRPr="009A6AC2">
        <w:rPr>
          <w:rFonts w:ascii="Times New Roman" w:hAnsi="Times New Roman" w:cs="Times New Roman"/>
          <w:sz w:val="24"/>
          <w:szCs w:val="24"/>
        </w:rPr>
        <w:t xml:space="preserve">  </w:t>
      </w:r>
    </w:p>
    <w:p w:rsidR="00FF09FD" w:rsidRPr="009A6AC2" w:rsidRDefault="00FF09FD" w:rsidP="00A67121">
      <w:pPr>
        <w:pStyle w:val="ListBullet"/>
        <w:numPr>
          <w:ilvl w:val="0"/>
          <w:numId w:val="13"/>
        </w:numPr>
        <w:spacing w:after="0"/>
        <w:rPr>
          <w:rFonts w:ascii="Times New Roman" w:hAnsi="Times New Roman" w:cs="Times New Roman"/>
          <w:sz w:val="24"/>
          <w:szCs w:val="24"/>
        </w:rPr>
      </w:pPr>
      <w:r w:rsidRPr="009A6AC2">
        <w:rPr>
          <w:rFonts w:ascii="Times New Roman" w:hAnsi="Times New Roman" w:cs="Times New Roman"/>
          <w:sz w:val="24"/>
          <w:szCs w:val="24"/>
        </w:rPr>
        <w:t>Raw survey data in SP</w:t>
      </w:r>
      <w:r w:rsidR="00FA4C1C">
        <w:rPr>
          <w:rFonts w:ascii="Times New Roman" w:hAnsi="Times New Roman" w:cs="Times New Roman"/>
          <w:sz w:val="24"/>
          <w:szCs w:val="24"/>
        </w:rPr>
        <w:t>SS</w:t>
      </w:r>
      <w:r w:rsidRPr="009A6AC2">
        <w:rPr>
          <w:rFonts w:ascii="Times New Roman" w:hAnsi="Times New Roman" w:cs="Times New Roman"/>
          <w:sz w:val="24"/>
          <w:szCs w:val="24"/>
        </w:rPr>
        <w:t xml:space="preserve"> format </w:t>
      </w:r>
    </w:p>
    <w:p w:rsidR="00FF09FD" w:rsidRPr="009A6AC2" w:rsidRDefault="00FF09FD" w:rsidP="00A67121">
      <w:pPr>
        <w:pStyle w:val="ListBullet"/>
        <w:numPr>
          <w:ilvl w:val="0"/>
          <w:numId w:val="13"/>
        </w:numPr>
        <w:spacing w:after="0"/>
        <w:rPr>
          <w:rFonts w:ascii="Times New Roman" w:hAnsi="Times New Roman" w:cs="Times New Roman"/>
          <w:sz w:val="24"/>
          <w:szCs w:val="24"/>
        </w:rPr>
      </w:pPr>
      <w:r w:rsidRPr="009A6AC2">
        <w:rPr>
          <w:rFonts w:ascii="Times New Roman" w:hAnsi="Times New Roman" w:cs="Times New Roman"/>
          <w:sz w:val="24"/>
          <w:szCs w:val="24"/>
        </w:rPr>
        <w:t xml:space="preserve">Copies of the reports in electronic format </w:t>
      </w:r>
    </w:p>
    <w:p w:rsidR="00FF09FD" w:rsidRPr="009A6AC2" w:rsidRDefault="00FF09FD" w:rsidP="00A67121">
      <w:pPr>
        <w:pStyle w:val="ListBullet"/>
        <w:numPr>
          <w:ilvl w:val="0"/>
          <w:numId w:val="13"/>
        </w:numPr>
        <w:spacing w:after="0"/>
        <w:rPr>
          <w:rFonts w:ascii="Times New Roman" w:hAnsi="Times New Roman" w:cs="Times New Roman"/>
          <w:sz w:val="24"/>
          <w:szCs w:val="24"/>
        </w:rPr>
      </w:pPr>
      <w:r w:rsidRPr="009A6AC2">
        <w:rPr>
          <w:rFonts w:ascii="Times New Roman" w:hAnsi="Times New Roman" w:cs="Times New Roman"/>
          <w:sz w:val="24"/>
          <w:szCs w:val="24"/>
        </w:rPr>
        <w:t>Copies of the questionnaire and survey mailing materials</w:t>
      </w:r>
    </w:p>
    <w:p w:rsidR="00FF09FD" w:rsidRPr="009A6AC2" w:rsidRDefault="00FF09FD" w:rsidP="00A67121">
      <w:pPr>
        <w:pStyle w:val="ListBullet"/>
        <w:numPr>
          <w:ilvl w:val="0"/>
          <w:numId w:val="13"/>
        </w:numPr>
        <w:spacing w:after="0"/>
        <w:rPr>
          <w:rFonts w:ascii="Times New Roman" w:hAnsi="Times New Roman" w:cs="Times New Roman"/>
          <w:sz w:val="24"/>
          <w:szCs w:val="24"/>
        </w:rPr>
      </w:pPr>
      <w:r w:rsidRPr="009A6AC2">
        <w:rPr>
          <w:rFonts w:ascii="Times New Roman" w:hAnsi="Times New Roman" w:cs="Times New Roman"/>
          <w:sz w:val="24"/>
          <w:szCs w:val="24"/>
        </w:rPr>
        <w:t>Survey respondent verbatim, grouped by Regional Office/Line of Business</w:t>
      </w:r>
    </w:p>
    <w:p w:rsidR="00FF09FD" w:rsidRPr="009A6AC2" w:rsidRDefault="00FF09FD">
      <w:pPr>
        <w:pStyle w:val="CaliberICFText"/>
        <w:rPr>
          <w:rFonts w:ascii="Times New Roman" w:hAnsi="Times New Roman" w:cs="Times New Roman"/>
          <w:sz w:val="24"/>
          <w:szCs w:val="24"/>
        </w:rPr>
      </w:pPr>
      <w:r w:rsidRPr="009A6AC2">
        <w:rPr>
          <w:rFonts w:ascii="Times New Roman" w:hAnsi="Times New Roman" w:cs="Times New Roman"/>
          <w:sz w:val="24"/>
          <w:szCs w:val="24"/>
        </w:rPr>
        <w:t xml:space="preserve">These electronic files will provide </w:t>
      </w:r>
      <w:r w:rsidR="005F35F3">
        <w:rPr>
          <w:rFonts w:ascii="Times New Roman" w:hAnsi="Times New Roman" w:cs="Times New Roman"/>
          <w:sz w:val="24"/>
          <w:szCs w:val="24"/>
        </w:rPr>
        <w:t xml:space="preserve">VA </w:t>
      </w:r>
      <w:r w:rsidRPr="009A6AC2">
        <w:rPr>
          <w:rFonts w:ascii="Times New Roman" w:hAnsi="Times New Roman" w:cs="Times New Roman"/>
          <w:sz w:val="24"/>
          <w:szCs w:val="24"/>
        </w:rPr>
        <w:t>with all materials used during the project, along with the final reports.</w:t>
      </w:r>
    </w:p>
    <w:p w:rsidR="00FF09FD" w:rsidRPr="009A6AC2" w:rsidRDefault="00FF09FD">
      <w:pPr>
        <w:pStyle w:val="CaliberICFHeading3"/>
        <w:spacing w:after="0"/>
        <w:rPr>
          <w:rFonts w:ascii="Times New Roman" w:hAnsi="Times New Roman" w:cs="Times New Roman"/>
          <w:sz w:val="24"/>
          <w:szCs w:val="24"/>
        </w:rPr>
      </w:pPr>
      <w:r w:rsidRPr="009A6AC2">
        <w:rPr>
          <w:rFonts w:ascii="Times New Roman" w:hAnsi="Times New Roman" w:cs="Times New Roman"/>
          <w:sz w:val="24"/>
          <w:szCs w:val="24"/>
        </w:rPr>
        <w:t xml:space="preserve">16B: PROJECT TIMELINE </w:t>
      </w:r>
    </w:p>
    <w:p w:rsidR="00FF09FD" w:rsidRPr="009A6AC2" w:rsidRDefault="00FF09FD"/>
    <w:p w:rsidR="00FF09FD" w:rsidRPr="009A6AC2" w:rsidRDefault="00FF09FD">
      <w:pPr>
        <w:rPr>
          <w:sz w:val="24"/>
          <w:szCs w:val="24"/>
        </w:rPr>
      </w:pPr>
      <w:r w:rsidRPr="009A6AC2">
        <w:rPr>
          <w:sz w:val="24"/>
          <w:szCs w:val="24"/>
        </w:rPr>
        <w:t xml:space="preserve">The major activities for the VBA VOV survey project are structured by task, and are outlined below. </w:t>
      </w:r>
    </w:p>
    <w:p w:rsidR="00FF09FD" w:rsidRPr="009A6AC2" w:rsidRDefault="00FF09FD">
      <w:pPr>
        <w:rPr>
          <w:sz w:val="24"/>
          <w:szCs w:val="24"/>
        </w:rPr>
      </w:pP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1: Conduct kickoff meeting and develop the </w:t>
      </w:r>
      <w:r w:rsidR="004B1402">
        <w:rPr>
          <w:rFonts w:ascii="Times New Roman" w:hAnsi="Times New Roman" w:cs="Times New Roman"/>
          <w:sz w:val="24"/>
          <w:szCs w:val="24"/>
        </w:rPr>
        <w:t>P</w:t>
      </w:r>
      <w:r w:rsidRPr="009A6AC2">
        <w:rPr>
          <w:rFonts w:ascii="Times New Roman" w:hAnsi="Times New Roman" w:cs="Times New Roman"/>
          <w:sz w:val="24"/>
          <w:szCs w:val="24"/>
        </w:rPr>
        <w:t xml:space="preserve">roject </w:t>
      </w:r>
      <w:r w:rsidR="004B1402">
        <w:rPr>
          <w:rFonts w:ascii="Times New Roman" w:hAnsi="Times New Roman" w:cs="Times New Roman"/>
          <w:sz w:val="24"/>
          <w:szCs w:val="24"/>
        </w:rPr>
        <w:t>M</w:t>
      </w:r>
      <w:r w:rsidRPr="009A6AC2">
        <w:rPr>
          <w:rFonts w:ascii="Times New Roman" w:hAnsi="Times New Roman" w:cs="Times New Roman"/>
          <w:sz w:val="24"/>
          <w:szCs w:val="24"/>
        </w:rPr>
        <w:t xml:space="preserve">anagement </w:t>
      </w:r>
      <w:r w:rsidR="004B1402">
        <w:rPr>
          <w:rFonts w:ascii="Times New Roman" w:hAnsi="Times New Roman" w:cs="Times New Roman"/>
          <w:sz w:val="24"/>
          <w:szCs w:val="24"/>
        </w:rPr>
        <w:t>P</w:t>
      </w:r>
      <w:r w:rsidRPr="009A6AC2">
        <w:rPr>
          <w:rFonts w:ascii="Times New Roman" w:hAnsi="Times New Roman" w:cs="Times New Roman"/>
          <w:sz w:val="24"/>
          <w:szCs w:val="24"/>
        </w:rPr>
        <w:t>lan (PMP)</w:t>
      </w:r>
      <w:r w:rsidR="004B1402">
        <w:rPr>
          <w:rFonts w:ascii="Times New Roman" w:hAnsi="Times New Roman" w:cs="Times New Roman"/>
          <w:sz w:val="24"/>
          <w:szCs w:val="24"/>
        </w:rPr>
        <w:t xml:space="preserve"> and Risk Management Plan (RMP)</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Task 2:  Monthly Status Meetings and written summaries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Task 3:  Methodology</w:t>
      </w:r>
      <w:r w:rsidR="004B1402">
        <w:rPr>
          <w:rFonts w:ascii="Times New Roman" w:hAnsi="Times New Roman" w:cs="Times New Roman"/>
          <w:sz w:val="24"/>
          <w:szCs w:val="24"/>
        </w:rPr>
        <w:t xml:space="preserve">, </w:t>
      </w:r>
      <w:r w:rsidRPr="009A6AC2">
        <w:rPr>
          <w:rFonts w:ascii="Times New Roman" w:hAnsi="Times New Roman" w:cs="Times New Roman"/>
          <w:sz w:val="24"/>
          <w:szCs w:val="24"/>
        </w:rPr>
        <w:t>Sampling Plans, and Production Schedule</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4: </w:t>
      </w:r>
      <w:r w:rsidR="004B1402">
        <w:rPr>
          <w:rFonts w:ascii="Times New Roman" w:hAnsi="Times New Roman" w:cs="Times New Roman"/>
          <w:sz w:val="24"/>
          <w:szCs w:val="24"/>
        </w:rPr>
        <w:t>Final Surveys, letters, postcards, and mailing materials to the print vendor</w:t>
      </w:r>
    </w:p>
    <w:p w:rsidR="004B140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5:  </w:t>
      </w:r>
      <w:r w:rsidR="004B1402" w:rsidRPr="009A6AC2">
        <w:rPr>
          <w:rFonts w:ascii="Times New Roman" w:hAnsi="Times New Roman" w:cs="Times New Roman"/>
          <w:sz w:val="24"/>
          <w:szCs w:val="24"/>
        </w:rPr>
        <w:t>Sample cleaning, Imaging and Data Collection, and Disposition Reports</w:t>
      </w:r>
    </w:p>
    <w:p w:rsidR="00FF09FD" w:rsidRPr="009A6AC2" w:rsidRDefault="004B1402" w:rsidP="00A67121">
      <w:pPr>
        <w:pStyle w:val="ListBullet"/>
        <w:numPr>
          <w:ilvl w:val="0"/>
          <w:numId w:val="14"/>
        </w:numPr>
        <w:rPr>
          <w:rFonts w:ascii="Times New Roman" w:hAnsi="Times New Roman" w:cs="Times New Roman"/>
          <w:sz w:val="24"/>
          <w:szCs w:val="24"/>
        </w:rPr>
      </w:pPr>
      <w:r>
        <w:rPr>
          <w:rFonts w:ascii="Times New Roman" w:hAnsi="Times New Roman" w:cs="Times New Roman"/>
          <w:sz w:val="24"/>
          <w:szCs w:val="24"/>
        </w:rPr>
        <w:t xml:space="preserve">Task 6: </w:t>
      </w:r>
      <w:r w:rsidR="00FF09FD" w:rsidRPr="009A6AC2">
        <w:rPr>
          <w:rFonts w:ascii="Times New Roman" w:hAnsi="Times New Roman" w:cs="Times New Roman"/>
          <w:sz w:val="24"/>
          <w:szCs w:val="24"/>
        </w:rPr>
        <w:t>Host live survey websites and Disposition Reports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w:t>
      </w:r>
      <w:r w:rsidR="004B1402">
        <w:rPr>
          <w:rFonts w:ascii="Times New Roman" w:hAnsi="Times New Roman" w:cs="Times New Roman"/>
          <w:sz w:val="24"/>
          <w:szCs w:val="24"/>
        </w:rPr>
        <w:t>7</w:t>
      </w:r>
      <w:r w:rsidRPr="009A6AC2">
        <w:rPr>
          <w:rFonts w:ascii="Times New Roman" w:hAnsi="Times New Roman" w:cs="Times New Roman"/>
          <w:sz w:val="24"/>
          <w:szCs w:val="24"/>
        </w:rPr>
        <w:t>:  Host toll-free telephone and web helpdesk assistance and corresponding call/inquiry logs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w:t>
      </w:r>
      <w:r w:rsidR="004B1402">
        <w:rPr>
          <w:rFonts w:ascii="Times New Roman" w:hAnsi="Times New Roman" w:cs="Times New Roman"/>
          <w:sz w:val="24"/>
          <w:szCs w:val="24"/>
        </w:rPr>
        <w:t>8</w:t>
      </w:r>
      <w:r w:rsidRPr="009A6AC2">
        <w:rPr>
          <w:rFonts w:ascii="Times New Roman" w:hAnsi="Times New Roman" w:cs="Times New Roman"/>
          <w:sz w:val="24"/>
          <w:szCs w:val="24"/>
        </w:rPr>
        <w:t>:  Data Matrices, Verbatim Reports, Data Analysis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lastRenderedPageBreak/>
        <w:t xml:space="preserve">Task </w:t>
      </w:r>
      <w:r w:rsidR="004B1402">
        <w:rPr>
          <w:rFonts w:ascii="Times New Roman" w:hAnsi="Times New Roman" w:cs="Times New Roman"/>
          <w:sz w:val="24"/>
          <w:szCs w:val="24"/>
        </w:rPr>
        <w:t>9</w:t>
      </w:r>
      <w:r w:rsidRPr="009A6AC2">
        <w:rPr>
          <w:rFonts w:ascii="Times New Roman" w:hAnsi="Times New Roman" w:cs="Times New Roman"/>
          <w:sz w:val="24"/>
          <w:szCs w:val="24"/>
        </w:rPr>
        <w:t>:  Data Load to VOV Reporting Site and Training Sessions</w:t>
      </w:r>
    </w:p>
    <w:p w:rsidR="004B140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 xml:space="preserve">Task </w:t>
      </w:r>
      <w:r w:rsidR="004B1402">
        <w:rPr>
          <w:rFonts w:ascii="Times New Roman" w:hAnsi="Times New Roman" w:cs="Times New Roman"/>
          <w:sz w:val="24"/>
          <w:szCs w:val="24"/>
        </w:rPr>
        <w:t>10</w:t>
      </w:r>
      <w:r w:rsidRPr="009A6AC2">
        <w:rPr>
          <w:rFonts w:ascii="Times New Roman" w:hAnsi="Times New Roman" w:cs="Times New Roman"/>
          <w:sz w:val="24"/>
          <w:szCs w:val="24"/>
        </w:rPr>
        <w:t xml:space="preserve">:  </w:t>
      </w:r>
      <w:r w:rsidR="004B1402">
        <w:rPr>
          <w:rFonts w:ascii="Times New Roman" w:hAnsi="Times New Roman" w:cs="Times New Roman"/>
          <w:sz w:val="24"/>
          <w:szCs w:val="24"/>
        </w:rPr>
        <w:t xml:space="preserve">Reporting Site </w:t>
      </w:r>
      <w:r w:rsidR="00A6081F">
        <w:rPr>
          <w:rFonts w:ascii="Times New Roman" w:hAnsi="Times New Roman" w:cs="Times New Roman"/>
          <w:sz w:val="24"/>
          <w:szCs w:val="24"/>
        </w:rPr>
        <w:t>Training</w:t>
      </w:r>
      <w:r w:rsidR="004B1402">
        <w:rPr>
          <w:rFonts w:ascii="Times New Roman" w:hAnsi="Times New Roman" w:cs="Times New Roman"/>
          <w:sz w:val="24"/>
          <w:szCs w:val="24"/>
        </w:rPr>
        <w:t xml:space="preserve"> Sessions</w:t>
      </w:r>
    </w:p>
    <w:p w:rsidR="00FF09FD" w:rsidRPr="009A6AC2" w:rsidRDefault="004B1402" w:rsidP="00A67121">
      <w:pPr>
        <w:pStyle w:val="ListBullet"/>
        <w:numPr>
          <w:ilvl w:val="0"/>
          <w:numId w:val="14"/>
        </w:numPr>
        <w:rPr>
          <w:rFonts w:ascii="Times New Roman" w:hAnsi="Times New Roman" w:cs="Times New Roman"/>
          <w:sz w:val="24"/>
          <w:szCs w:val="24"/>
        </w:rPr>
      </w:pPr>
      <w:r>
        <w:rPr>
          <w:rFonts w:ascii="Times New Roman" w:hAnsi="Times New Roman" w:cs="Times New Roman"/>
          <w:sz w:val="24"/>
          <w:szCs w:val="24"/>
        </w:rPr>
        <w:t xml:space="preserve">Task 11: </w:t>
      </w:r>
      <w:r w:rsidR="00FF09FD" w:rsidRPr="009A6AC2">
        <w:rPr>
          <w:rFonts w:ascii="Times New Roman" w:hAnsi="Times New Roman" w:cs="Times New Roman"/>
          <w:sz w:val="24"/>
          <w:szCs w:val="24"/>
        </w:rPr>
        <w:t>Business line analysis and presentations</w:t>
      </w:r>
    </w:p>
    <w:p w:rsidR="00FF09FD" w:rsidRPr="009A6AC2"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Task 1</w:t>
      </w:r>
      <w:r w:rsidR="004B1402">
        <w:rPr>
          <w:rFonts w:ascii="Times New Roman" w:hAnsi="Times New Roman" w:cs="Times New Roman"/>
          <w:sz w:val="24"/>
          <w:szCs w:val="24"/>
        </w:rPr>
        <w:t>2</w:t>
      </w:r>
      <w:r w:rsidRPr="009A6AC2">
        <w:rPr>
          <w:rFonts w:ascii="Times New Roman" w:hAnsi="Times New Roman" w:cs="Times New Roman"/>
          <w:sz w:val="24"/>
          <w:szCs w:val="24"/>
        </w:rPr>
        <w:t>:  Semi-Annual Leadership Briefings</w:t>
      </w:r>
    </w:p>
    <w:p w:rsidR="00FF09FD" w:rsidRDefault="00FF09FD" w:rsidP="00A67121">
      <w:pPr>
        <w:pStyle w:val="ListBullet"/>
        <w:numPr>
          <w:ilvl w:val="0"/>
          <w:numId w:val="14"/>
        </w:numPr>
        <w:rPr>
          <w:rFonts w:ascii="Times New Roman" w:hAnsi="Times New Roman" w:cs="Times New Roman"/>
          <w:sz w:val="24"/>
          <w:szCs w:val="24"/>
        </w:rPr>
      </w:pPr>
      <w:r w:rsidRPr="009A6AC2">
        <w:rPr>
          <w:rFonts w:ascii="Times New Roman" w:hAnsi="Times New Roman" w:cs="Times New Roman"/>
          <w:sz w:val="24"/>
          <w:szCs w:val="24"/>
        </w:rPr>
        <w:t>Task 1</w:t>
      </w:r>
      <w:r w:rsidR="004B1402">
        <w:rPr>
          <w:rFonts w:ascii="Times New Roman" w:hAnsi="Times New Roman" w:cs="Times New Roman"/>
          <w:sz w:val="24"/>
          <w:szCs w:val="24"/>
        </w:rPr>
        <w:t>3</w:t>
      </w:r>
      <w:r w:rsidRPr="009A6AC2">
        <w:rPr>
          <w:rFonts w:ascii="Times New Roman" w:hAnsi="Times New Roman" w:cs="Times New Roman"/>
          <w:sz w:val="24"/>
          <w:szCs w:val="24"/>
        </w:rPr>
        <w:t>:  Action Plan development and sessions</w:t>
      </w:r>
    </w:p>
    <w:p w:rsidR="004B1402" w:rsidRPr="009A6AC2" w:rsidRDefault="004B1402" w:rsidP="00A67121">
      <w:pPr>
        <w:pStyle w:val="ListBullet"/>
        <w:numPr>
          <w:ilvl w:val="0"/>
          <w:numId w:val="14"/>
        </w:numPr>
        <w:rPr>
          <w:rFonts w:ascii="Times New Roman" w:hAnsi="Times New Roman" w:cs="Times New Roman"/>
          <w:sz w:val="24"/>
          <w:szCs w:val="24"/>
        </w:rPr>
      </w:pPr>
      <w:r>
        <w:rPr>
          <w:rFonts w:ascii="Times New Roman" w:hAnsi="Times New Roman" w:cs="Times New Roman"/>
          <w:sz w:val="24"/>
          <w:szCs w:val="24"/>
        </w:rPr>
        <w:t xml:space="preserve">Task 14: Nonresponse Bias Reports per Office of Management and Budget (OMB) </w:t>
      </w:r>
      <w:r w:rsidRPr="003D2967">
        <w:rPr>
          <w:rFonts w:ascii="Times New Roman" w:hAnsi="Times New Roman" w:cs="Times New Roman"/>
          <w:sz w:val="24"/>
          <w:szCs w:val="24"/>
          <w:u w:val="single"/>
        </w:rPr>
        <w:t>Standards and Guidelines for Statistical Surveys</w:t>
      </w:r>
    </w:p>
    <w:p w:rsidR="00FF09FD" w:rsidRPr="009A6AC2" w:rsidRDefault="00FF09FD">
      <w:pPr>
        <w:rPr>
          <w:rFonts w:ascii="Times New Roman Bold" w:hAnsi="Times New Roman Bold" w:cs="Times New Roman Bold"/>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FF09FD" w:rsidRPr="009A6AC2" w:rsidTr="0097059E">
        <w:tc>
          <w:tcPr>
            <w:tcW w:w="4788" w:type="dxa"/>
          </w:tcPr>
          <w:p w:rsidR="00FF09FD" w:rsidRPr="009A6AC2" w:rsidRDefault="00FF09FD">
            <w:r w:rsidRPr="009A6AC2">
              <w:rPr>
                <w:sz w:val="24"/>
                <w:szCs w:val="24"/>
              </w:rPr>
              <w:t>Conduct kickoff meeting and develop the project management plan (PMP)</w:t>
            </w:r>
          </w:p>
        </w:tc>
        <w:tc>
          <w:tcPr>
            <w:tcW w:w="4788" w:type="dxa"/>
          </w:tcPr>
          <w:p w:rsidR="00FF09FD" w:rsidRPr="009A6AC2" w:rsidRDefault="008A2570" w:rsidP="008A2570">
            <w:r>
              <w:t>Continuous (annually</w:t>
            </w:r>
            <w:r w:rsidR="00650EFF">
              <w:t>)</w:t>
            </w:r>
          </w:p>
        </w:tc>
      </w:tr>
      <w:tr w:rsidR="00FF09FD" w:rsidRPr="009A6AC2" w:rsidTr="0097059E">
        <w:tc>
          <w:tcPr>
            <w:tcW w:w="4788" w:type="dxa"/>
          </w:tcPr>
          <w:p w:rsidR="00FF09FD" w:rsidRPr="009A6AC2" w:rsidRDefault="00FF09FD">
            <w:r w:rsidRPr="009A6AC2">
              <w:rPr>
                <w:sz w:val="24"/>
                <w:szCs w:val="24"/>
              </w:rPr>
              <w:t>Monthly Status Meetings and written summaries</w:t>
            </w:r>
          </w:p>
        </w:tc>
        <w:tc>
          <w:tcPr>
            <w:tcW w:w="4788" w:type="dxa"/>
          </w:tcPr>
          <w:p w:rsidR="00FF09FD" w:rsidRPr="009A6AC2" w:rsidRDefault="00FF09FD">
            <w:r w:rsidRPr="009A6AC2">
              <w:t>Continuous</w:t>
            </w:r>
          </w:p>
        </w:tc>
      </w:tr>
      <w:tr w:rsidR="00FF09FD" w:rsidRPr="009A6AC2" w:rsidTr="0097059E">
        <w:tc>
          <w:tcPr>
            <w:tcW w:w="4788" w:type="dxa"/>
          </w:tcPr>
          <w:p w:rsidR="00FF09FD" w:rsidRPr="009A6AC2" w:rsidRDefault="00FF09FD">
            <w:r w:rsidRPr="009A6AC2">
              <w:rPr>
                <w:sz w:val="24"/>
                <w:szCs w:val="24"/>
              </w:rPr>
              <w:t>Methodology and Sampling Plans, and Production Schedule</w:t>
            </w:r>
          </w:p>
        </w:tc>
        <w:tc>
          <w:tcPr>
            <w:tcW w:w="4788" w:type="dxa"/>
          </w:tcPr>
          <w:p w:rsidR="00FF09FD" w:rsidRPr="009A6AC2" w:rsidRDefault="008A2570">
            <w:r>
              <w:t xml:space="preserve"> Continuous (annually)</w:t>
            </w:r>
          </w:p>
        </w:tc>
      </w:tr>
      <w:tr w:rsidR="00FF09FD" w:rsidRPr="009A6AC2" w:rsidTr="0097059E">
        <w:tc>
          <w:tcPr>
            <w:tcW w:w="4788" w:type="dxa"/>
          </w:tcPr>
          <w:p w:rsidR="00FF09FD" w:rsidRPr="009A6AC2" w:rsidRDefault="00FF09FD">
            <w:r w:rsidRPr="009A6AC2">
              <w:rPr>
                <w:sz w:val="24"/>
                <w:szCs w:val="24"/>
              </w:rPr>
              <w:t>Sample cleaning, Imaging and Data Collection, and Disposition Reports</w:t>
            </w:r>
          </w:p>
        </w:tc>
        <w:tc>
          <w:tcPr>
            <w:tcW w:w="4788" w:type="dxa"/>
          </w:tcPr>
          <w:p w:rsidR="00FF09FD" w:rsidRPr="009A6AC2" w:rsidRDefault="00FF09FD">
            <w:r w:rsidRPr="009A6AC2">
              <w:t>Continuous</w:t>
            </w:r>
          </w:p>
        </w:tc>
      </w:tr>
      <w:tr w:rsidR="00FF09FD" w:rsidRPr="009A6AC2" w:rsidTr="0097059E">
        <w:tc>
          <w:tcPr>
            <w:tcW w:w="4788" w:type="dxa"/>
          </w:tcPr>
          <w:p w:rsidR="00FF09FD" w:rsidRPr="009A6AC2" w:rsidRDefault="00FF09FD">
            <w:r w:rsidRPr="009A6AC2">
              <w:rPr>
                <w:sz w:val="24"/>
                <w:szCs w:val="24"/>
              </w:rPr>
              <w:t>Host live survey websites and Disposition Reports</w:t>
            </w:r>
          </w:p>
        </w:tc>
        <w:tc>
          <w:tcPr>
            <w:tcW w:w="4788" w:type="dxa"/>
          </w:tcPr>
          <w:p w:rsidR="00FF09FD" w:rsidRPr="009A6AC2" w:rsidRDefault="00FF09FD">
            <w:r w:rsidRPr="009A6AC2">
              <w:t>Continuous</w:t>
            </w:r>
          </w:p>
        </w:tc>
      </w:tr>
      <w:tr w:rsidR="00FF09FD" w:rsidRPr="009A6AC2" w:rsidTr="0097059E">
        <w:tc>
          <w:tcPr>
            <w:tcW w:w="4788" w:type="dxa"/>
          </w:tcPr>
          <w:p w:rsidR="00FF09FD" w:rsidRPr="009A6AC2" w:rsidRDefault="00FF09FD">
            <w:r w:rsidRPr="009A6AC2">
              <w:rPr>
                <w:sz w:val="24"/>
                <w:szCs w:val="24"/>
              </w:rPr>
              <w:t>Host toll-free telephone and web helpdesk assistance and corresponding call/inquiry logs</w:t>
            </w:r>
          </w:p>
        </w:tc>
        <w:tc>
          <w:tcPr>
            <w:tcW w:w="4788" w:type="dxa"/>
          </w:tcPr>
          <w:p w:rsidR="00FF09FD" w:rsidRPr="009A6AC2" w:rsidRDefault="00FF09FD">
            <w:r w:rsidRPr="009A6AC2">
              <w:t>Continuous</w:t>
            </w:r>
          </w:p>
        </w:tc>
      </w:tr>
      <w:tr w:rsidR="00FF09FD" w:rsidRPr="009A6AC2" w:rsidTr="0097059E">
        <w:tc>
          <w:tcPr>
            <w:tcW w:w="4788" w:type="dxa"/>
          </w:tcPr>
          <w:p w:rsidR="00FF09FD" w:rsidRPr="009A6AC2" w:rsidRDefault="00FF09FD">
            <w:r w:rsidRPr="009A6AC2">
              <w:rPr>
                <w:sz w:val="24"/>
                <w:szCs w:val="24"/>
              </w:rPr>
              <w:t>Data Matrices, Verbatim Reports, Data Analysis</w:t>
            </w:r>
          </w:p>
        </w:tc>
        <w:tc>
          <w:tcPr>
            <w:tcW w:w="4788" w:type="dxa"/>
          </w:tcPr>
          <w:p w:rsidR="00FF09FD" w:rsidRPr="009A6AC2" w:rsidRDefault="00FF09FD">
            <w:r w:rsidRPr="009A6AC2">
              <w:t>Continuous</w:t>
            </w:r>
          </w:p>
        </w:tc>
      </w:tr>
      <w:tr w:rsidR="00FF09FD" w:rsidRPr="009A6AC2" w:rsidTr="0097059E">
        <w:tc>
          <w:tcPr>
            <w:tcW w:w="4788" w:type="dxa"/>
          </w:tcPr>
          <w:p w:rsidR="00FF09FD" w:rsidRPr="009A6AC2" w:rsidRDefault="00FF09FD">
            <w:r w:rsidRPr="009A6AC2">
              <w:rPr>
                <w:sz w:val="24"/>
                <w:szCs w:val="24"/>
              </w:rPr>
              <w:t>Data Load to VOV Reporting Site and Training Sessions</w:t>
            </w:r>
          </w:p>
        </w:tc>
        <w:tc>
          <w:tcPr>
            <w:tcW w:w="4788" w:type="dxa"/>
          </w:tcPr>
          <w:p w:rsidR="00FF09FD" w:rsidRPr="009A6AC2" w:rsidRDefault="00FF09FD">
            <w:r w:rsidRPr="009A6AC2">
              <w:t>Continuous</w:t>
            </w:r>
          </w:p>
        </w:tc>
      </w:tr>
      <w:tr w:rsidR="00FF09FD" w:rsidRPr="009A6AC2" w:rsidTr="0097059E">
        <w:tc>
          <w:tcPr>
            <w:tcW w:w="4788" w:type="dxa"/>
          </w:tcPr>
          <w:p w:rsidR="00FF09FD" w:rsidRPr="009A6AC2" w:rsidRDefault="00FF09FD">
            <w:r w:rsidRPr="009A6AC2">
              <w:rPr>
                <w:sz w:val="24"/>
                <w:szCs w:val="24"/>
              </w:rPr>
              <w:t>Business line analysis and presentations</w:t>
            </w:r>
          </w:p>
        </w:tc>
        <w:tc>
          <w:tcPr>
            <w:tcW w:w="4788" w:type="dxa"/>
          </w:tcPr>
          <w:p w:rsidR="00FF09FD" w:rsidRPr="009A6AC2" w:rsidRDefault="00FF09FD">
            <w:r w:rsidRPr="009A6AC2">
              <w:t>Continuous</w:t>
            </w:r>
          </w:p>
        </w:tc>
      </w:tr>
      <w:tr w:rsidR="00FF09FD" w:rsidRPr="009A6AC2" w:rsidTr="0097059E">
        <w:tc>
          <w:tcPr>
            <w:tcW w:w="4788" w:type="dxa"/>
          </w:tcPr>
          <w:p w:rsidR="00FF09FD" w:rsidRPr="009A6AC2" w:rsidRDefault="00FF09FD">
            <w:r w:rsidRPr="009A6AC2">
              <w:rPr>
                <w:sz w:val="24"/>
                <w:szCs w:val="24"/>
              </w:rPr>
              <w:t>Semi-Annual Leadership Briefings</w:t>
            </w:r>
          </w:p>
        </w:tc>
        <w:tc>
          <w:tcPr>
            <w:tcW w:w="4788" w:type="dxa"/>
          </w:tcPr>
          <w:p w:rsidR="00FF09FD" w:rsidRPr="009A6AC2" w:rsidRDefault="00BA7E6D">
            <w:r>
              <w:t>Continuous (twice yearly)</w:t>
            </w:r>
          </w:p>
        </w:tc>
      </w:tr>
      <w:tr w:rsidR="00FF09FD" w:rsidRPr="009A6AC2" w:rsidTr="0097059E">
        <w:tc>
          <w:tcPr>
            <w:tcW w:w="4788" w:type="dxa"/>
          </w:tcPr>
          <w:p w:rsidR="00FF09FD" w:rsidRPr="009A6AC2" w:rsidRDefault="00FF09FD">
            <w:r w:rsidRPr="009A6AC2">
              <w:rPr>
                <w:sz w:val="24"/>
                <w:szCs w:val="24"/>
              </w:rPr>
              <w:t>Action Plan development and sessions</w:t>
            </w:r>
          </w:p>
        </w:tc>
        <w:tc>
          <w:tcPr>
            <w:tcW w:w="4788" w:type="dxa"/>
          </w:tcPr>
          <w:p w:rsidR="00FF09FD" w:rsidRPr="009A6AC2" w:rsidRDefault="00BA7E6D">
            <w:r>
              <w:t>Continuous</w:t>
            </w:r>
          </w:p>
        </w:tc>
      </w:tr>
    </w:tbl>
    <w:p w:rsidR="00FF09FD" w:rsidRPr="009A6AC2" w:rsidRDefault="00FF09FD"/>
    <w:p w:rsidR="00FF09FD" w:rsidRPr="009A6AC2" w:rsidRDefault="00FF09FD"/>
    <w:p w:rsidR="00FF09FD" w:rsidRPr="009A6AC2" w:rsidRDefault="00FF09FD">
      <w:pPr>
        <w:pStyle w:val="Heading2"/>
        <w:ind w:left="0" w:firstLine="0"/>
        <w:rPr>
          <w:rFonts w:ascii="Times New Roman" w:hAnsi="Times New Roman"/>
          <w:i w:val="0"/>
          <w:sz w:val="24"/>
          <w:szCs w:val="24"/>
        </w:rPr>
      </w:pPr>
      <w:r w:rsidRPr="009A6AC2">
        <w:rPr>
          <w:rFonts w:ascii="Times New Roman" w:hAnsi="Times New Roman"/>
          <w:i w:val="0"/>
          <w:sz w:val="24"/>
          <w:szCs w:val="24"/>
        </w:rPr>
        <w:t xml:space="preserve">17.  If seeking approval to omit the expiration date for OMB approval of the information collection, explain the reasons that display would be inappropriate. </w:t>
      </w:r>
    </w:p>
    <w:p w:rsidR="00FF09FD" w:rsidRPr="009A6AC2" w:rsidRDefault="00FF09FD">
      <w:pPr>
        <w:rPr>
          <w:sz w:val="24"/>
          <w:szCs w:val="24"/>
        </w:rPr>
      </w:pPr>
    </w:p>
    <w:p w:rsidR="00FF09FD" w:rsidRPr="009A6AC2" w:rsidRDefault="00FF09FD">
      <w:pPr>
        <w:rPr>
          <w:sz w:val="24"/>
          <w:szCs w:val="24"/>
        </w:rPr>
      </w:pPr>
      <w:r w:rsidRPr="009A6AC2">
        <w:rPr>
          <w:color w:val="000000"/>
          <w:sz w:val="24"/>
          <w:szCs w:val="24"/>
        </w:rPr>
        <w:t>The collection survey instrument may be reproduced and/or stocked by respondents and Veterans organizations. Requiring VA to display an expiration date on the form would result in unnecessary waste of existing stocks. Inclusion of the expiration date could also result in a delay of the Department's action on the benefit being sought (respondent trying to obtain a newer version, while VA would have accepted the older version). For the reasons stated, VA continues to seek an exemption that waives the displaying of the expiration date.</w:t>
      </w:r>
    </w:p>
    <w:p w:rsidR="00FF09FD" w:rsidRPr="009A6AC2" w:rsidRDefault="00FF09FD">
      <w:pPr>
        <w:rPr>
          <w:sz w:val="24"/>
          <w:szCs w:val="24"/>
        </w:rPr>
      </w:pPr>
    </w:p>
    <w:p w:rsidR="00FF09FD" w:rsidRPr="009A6AC2" w:rsidRDefault="00FF09FD">
      <w:pPr>
        <w:pStyle w:val="Heading2"/>
        <w:tabs>
          <w:tab w:val="clear" w:pos="360"/>
        </w:tabs>
        <w:ind w:left="0" w:firstLine="0"/>
        <w:rPr>
          <w:rFonts w:ascii="Times New Roman" w:hAnsi="Times New Roman"/>
          <w:i w:val="0"/>
          <w:sz w:val="24"/>
          <w:szCs w:val="24"/>
        </w:rPr>
      </w:pPr>
      <w:r w:rsidRPr="009A6AC2">
        <w:rPr>
          <w:rFonts w:ascii="Times New Roman" w:hAnsi="Times New Roman"/>
          <w:i w:val="0"/>
          <w:sz w:val="24"/>
          <w:szCs w:val="24"/>
        </w:rPr>
        <w:t>18.  Explain each exception to the certification statement identified in Item 19, “Certification for Paperwork Reduction Act Submissions,” of OMB 83-I.</w:t>
      </w:r>
    </w:p>
    <w:p w:rsidR="00FF09FD" w:rsidRPr="009A6AC2" w:rsidRDefault="00FF09FD">
      <w:pPr>
        <w:rPr>
          <w:sz w:val="24"/>
          <w:szCs w:val="24"/>
        </w:rPr>
      </w:pPr>
    </w:p>
    <w:p w:rsidR="00FF09FD" w:rsidRDefault="00FF09FD">
      <w:pPr>
        <w:rPr>
          <w:sz w:val="24"/>
          <w:szCs w:val="24"/>
        </w:rPr>
      </w:pPr>
      <w:r w:rsidRPr="009A6AC2">
        <w:rPr>
          <w:sz w:val="24"/>
          <w:szCs w:val="24"/>
        </w:rPr>
        <w:t>There are no exceptions.</w:t>
      </w:r>
    </w:p>
    <w:p w:rsidR="00FF09FD" w:rsidRDefault="00FF09FD"/>
    <w:sectPr w:rsidR="00FF09FD" w:rsidSect="00655115">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7C3" w:rsidRDefault="008C67C3">
      <w:r>
        <w:separator/>
      </w:r>
    </w:p>
  </w:endnote>
  <w:endnote w:type="continuationSeparator" w:id="0">
    <w:p w:rsidR="008C67C3" w:rsidRDefault="008C67C3">
      <w:r>
        <w:continuationSeparator/>
      </w:r>
    </w:p>
  </w:endnote>
  <w:endnote w:type="continuationNotice" w:id="1">
    <w:p w:rsidR="008C67C3" w:rsidRDefault="008C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D0A" w:rsidRDefault="00293D0A" w:rsidP="001B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93D0A" w:rsidRDefault="00293D0A" w:rsidP="004D74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D0A" w:rsidRDefault="00293D0A" w:rsidP="001B3E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1E19">
      <w:rPr>
        <w:rStyle w:val="PageNumber"/>
        <w:noProof/>
      </w:rPr>
      <w:t>11</w:t>
    </w:r>
    <w:r>
      <w:rPr>
        <w:rStyle w:val="PageNumber"/>
      </w:rPr>
      <w:fldChar w:fldCharType="end"/>
    </w:r>
  </w:p>
  <w:p w:rsidR="00293D0A" w:rsidRDefault="00293D0A" w:rsidP="004D74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7C3" w:rsidRDefault="008C67C3">
      <w:r>
        <w:separator/>
      </w:r>
    </w:p>
  </w:footnote>
  <w:footnote w:type="continuationSeparator" w:id="0">
    <w:p w:rsidR="008C67C3" w:rsidRDefault="008C67C3">
      <w:r>
        <w:continuationSeparator/>
      </w:r>
    </w:p>
  </w:footnote>
  <w:footnote w:type="continuationNotice" w:id="1">
    <w:p w:rsidR="008C67C3" w:rsidRDefault="008C67C3"/>
  </w:footnote>
  <w:footnote w:id="2">
    <w:p w:rsidR="00293D0A" w:rsidRDefault="00293D0A">
      <w:pPr>
        <w:pStyle w:val="FootnoteText"/>
      </w:pPr>
      <w:r>
        <w:rPr>
          <w:rStyle w:val="FootnoteReference"/>
        </w:rPr>
        <w:footnoteRef/>
      </w:r>
      <w:r>
        <w:t xml:space="preserve"> 2015 General Schedule Salary Table for the locality of Washington-Baltimore-Northern Virginia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1CE2564"/>
    <w:lvl w:ilvl="0">
      <w:start w:val="1"/>
      <w:numFmt w:val="bullet"/>
      <w:lvlText w:val=""/>
      <w:lvlJc w:val="left"/>
      <w:pPr>
        <w:tabs>
          <w:tab w:val="num" w:pos="360"/>
        </w:tabs>
        <w:ind w:left="360" w:hanging="360"/>
      </w:pPr>
      <w:rPr>
        <w:rFonts w:ascii="Symbol" w:hAnsi="Symbol" w:hint="default"/>
      </w:rPr>
    </w:lvl>
  </w:abstractNum>
  <w:abstractNum w:abstractNumId="1">
    <w:nsid w:val="1BDD219D"/>
    <w:multiLevelType w:val="hybridMultilevel"/>
    <w:tmpl w:val="6422FFE6"/>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2B3647F"/>
    <w:multiLevelType w:val="hybridMultilevel"/>
    <w:tmpl w:val="7700AE5A"/>
    <w:lvl w:ilvl="0" w:tplc="6B84312E">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3775233"/>
    <w:multiLevelType w:val="hybridMultilevel"/>
    <w:tmpl w:val="9F7E3EA0"/>
    <w:lvl w:ilvl="0" w:tplc="D15A0E02">
      <w:start w:val="1"/>
      <w:numFmt w:val="bullet"/>
      <w:lvlText w:val=""/>
      <w:lvlJc w:val="left"/>
      <w:pPr>
        <w:tabs>
          <w:tab w:val="num" w:pos="360"/>
        </w:tabs>
        <w:ind w:left="360" w:hanging="360"/>
      </w:pPr>
      <w:rPr>
        <w:rFonts w:ascii="Symbol" w:hAnsi="Symbol" w:hint="default"/>
        <w:color w:val="auto"/>
        <w:sz w:val="26"/>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3EE2171E"/>
    <w:multiLevelType w:val="hybridMultilevel"/>
    <w:tmpl w:val="3B78D436"/>
    <w:lvl w:ilvl="0" w:tplc="B844C296">
      <w:start w:val="1"/>
      <w:numFmt w:val="bullet"/>
      <w:pStyle w:val="ListBullet"/>
      <w:lvlText w:val="•"/>
      <w:lvlJc w:val="left"/>
      <w:pPr>
        <w:tabs>
          <w:tab w:val="num" w:pos="720"/>
        </w:tabs>
        <w:ind w:left="720" w:hanging="360"/>
      </w:pPr>
      <w:rPr>
        <w:rFonts w:ascii="Times New Roman" w:hAnsi="Times New Roman" w:hint="default"/>
      </w:rPr>
    </w:lvl>
    <w:lvl w:ilvl="1" w:tplc="7610D60E">
      <w:start w:val="1"/>
      <w:numFmt w:val="bullet"/>
      <w:lvlText w:val="•"/>
      <w:lvlJc w:val="left"/>
      <w:pPr>
        <w:tabs>
          <w:tab w:val="num" w:pos="1440"/>
        </w:tabs>
        <w:ind w:left="1440" w:hanging="360"/>
      </w:pPr>
      <w:rPr>
        <w:rFonts w:ascii="Times New Roman" w:hAnsi="Times New Roman" w:hint="default"/>
      </w:rPr>
    </w:lvl>
    <w:lvl w:ilvl="2" w:tplc="542C8BCA">
      <w:start w:val="1"/>
      <w:numFmt w:val="bullet"/>
      <w:lvlText w:val="•"/>
      <w:lvlJc w:val="left"/>
      <w:pPr>
        <w:tabs>
          <w:tab w:val="num" w:pos="2160"/>
        </w:tabs>
        <w:ind w:left="2160" w:hanging="360"/>
      </w:pPr>
      <w:rPr>
        <w:rFonts w:ascii="Times New Roman" w:hAnsi="Times New Roman" w:hint="default"/>
      </w:rPr>
    </w:lvl>
    <w:lvl w:ilvl="3" w:tplc="545CDAF2">
      <w:start w:val="1"/>
      <w:numFmt w:val="bullet"/>
      <w:lvlText w:val="•"/>
      <w:lvlJc w:val="left"/>
      <w:pPr>
        <w:tabs>
          <w:tab w:val="num" w:pos="2880"/>
        </w:tabs>
        <w:ind w:left="2880" w:hanging="360"/>
      </w:pPr>
      <w:rPr>
        <w:rFonts w:ascii="Times New Roman" w:hAnsi="Times New Roman" w:hint="default"/>
      </w:rPr>
    </w:lvl>
    <w:lvl w:ilvl="4" w:tplc="05DC0EB0">
      <w:start w:val="1"/>
      <w:numFmt w:val="bullet"/>
      <w:lvlText w:val="•"/>
      <w:lvlJc w:val="left"/>
      <w:pPr>
        <w:tabs>
          <w:tab w:val="num" w:pos="3600"/>
        </w:tabs>
        <w:ind w:left="3600" w:hanging="360"/>
      </w:pPr>
      <w:rPr>
        <w:rFonts w:ascii="Times New Roman" w:hAnsi="Times New Roman" w:hint="default"/>
      </w:rPr>
    </w:lvl>
    <w:lvl w:ilvl="5" w:tplc="CDC8065C">
      <w:start w:val="1"/>
      <w:numFmt w:val="bullet"/>
      <w:lvlText w:val="•"/>
      <w:lvlJc w:val="left"/>
      <w:pPr>
        <w:tabs>
          <w:tab w:val="num" w:pos="4320"/>
        </w:tabs>
        <w:ind w:left="4320" w:hanging="360"/>
      </w:pPr>
      <w:rPr>
        <w:rFonts w:ascii="Times New Roman" w:hAnsi="Times New Roman" w:hint="default"/>
      </w:rPr>
    </w:lvl>
    <w:lvl w:ilvl="6" w:tplc="5D8884A6">
      <w:start w:val="1"/>
      <w:numFmt w:val="bullet"/>
      <w:lvlText w:val="•"/>
      <w:lvlJc w:val="left"/>
      <w:pPr>
        <w:tabs>
          <w:tab w:val="num" w:pos="5040"/>
        </w:tabs>
        <w:ind w:left="5040" w:hanging="360"/>
      </w:pPr>
      <w:rPr>
        <w:rFonts w:ascii="Times New Roman" w:hAnsi="Times New Roman" w:hint="default"/>
      </w:rPr>
    </w:lvl>
    <w:lvl w:ilvl="7" w:tplc="3542A0D6">
      <w:start w:val="1"/>
      <w:numFmt w:val="bullet"/>
      <w:lvlText w:val="•"/>
      <w:lvlJc w:val="left"/>
      <w:pPr>
        <w:tabs>
          <w:tab w:val="num" w:pos="5760"/>
        </w:tabs>
        <w:ind w:left="5760" w:hanging="360"/>
      </w:pPr>
      <w:rPr>
        <w:rFonts w:ascii="Times New Roman" w:hAnsi="Times New Roman" w:hint="default"/>
      </w:rPr>
    </w:lvl>
    <w:lvl w:ilvl="8" w:tplc="CE32F586">
      <w:start w:val="1"/>
      <w:numFmt w:val="bullet"/>
      <w:lvlText w:val="•"/>
      <w:lvlJc w:val="left"/>
      <w:pPr>
        <w:tabs>
          <w:tab w:val="num" w:pos="6480"/>
        </w:tabs>
        <w:ind w:left="6480" w:hanging="360"/>
      </w:pPr>
      <w:rPr>
        <w:rFonts w:ascii="Times New Roman" w:hAnsi="Times New Roman" w:hint="default"/>
      </w:rPr>
    </w:lvl>
  </w:abstractNum>
  <w:abstractNum w:abstractNumId="5">
    <w:nsid w:val="68D868E1"/>
    <w:multiLevelType w:val="hybridMultilevel"/>
    <w:tmpl w:val="BED6C28C"/>
    <w:lvl w:ilvl="0" w:tplc="6B84312E">
      <w:start w:val="1"/>
      <w:numFmt w:val="bullet"/>
      <w:lvlText w:val=""/>
      <w:lvlJc w:val="left"/>
      <w:pPr>
        <w:tabs>
          <w:tab w:val="num" w:pos="936"/>
        </w:tabs>
        <w:ind w:left="936" w:hanging="360"/>
      </w:pPr>
      <w:rPr>
        <w:rFonts w:ascii="Symbol" w:hAnsi="Symbol" w:hint="default"/>
        <w:color w:val="auto"/>
        <w:sz w:val="24"/>
      </w:rPr>
    </w:lvl>
    <w:lvl w:ilvl="1" w:tplc="04090003">
      <w:start w:val="1"/>
      <w:numFmt w:val="bullet"/>
      <w:lvlText w:val="o"/>
      <w:lvlJc w:val="left"/>
      <w:pPr>
        <w:tabs>
          <w:tab w:val="num" w:pos="1296"/>
        </w:tabs>
        <w:ind w:left="1296" w:hanging="360"/>
      </w:pPr>
      <w:rPr>
        <w:rFonts w:ascii="Courier New" w:hAnsi="Courier New" w:hint="default"/>
      </w:rPr>
    </w:lvl>
    <w:lvl w:ilvl="2" w:tplc="04090005">
      <w:start w:val="1"/>
      <w:numFmt w:val="bullet"/>
      <w:lvlText w:val=""/>
      <w:lvlJc w:val="left"/>
      <w:pPr>
        <w:tabs>
          <w:tab w:val="num" w:pos="2016"/>
        </w:tabs>
        <w:ind w:left="2016" w:hanging="360"/>
      </w:pPr>
      <w:rPr>
        <w:rFonts w:ascii="Wingdings" w:hAnsi="Wingdings" w:hint="default"/>
      </w:rPr>
    </w:lvl>
    <w:lvl w:ilvl="3" w:tplc="04090001">
      <w:start w:val="1"/>
      <w:numFmt w:val="bullet"/>
      <w:lvlText w:val=""/>
      <w:lvlJc w:val="left"/>
      <w:pPr>
        <w:tabs>
          <w:tab w:val="num" w:pos="2736"/>
        </w:tabs>
        <w:ind w:left="2736" w:hanging="360"/>
      </w:pPr>
      <w:rPr>
        <w:rFonts w:ascii="Symbol" w:hAnsi="Symbol" w:hint="default"/>
      </w:rPr>
    </w:lvl>
    <w:lvl w:ilvl="4" w:tplc="04090003">
      <w:start w:val="1"/>
      <w:numFmt w:val="bullet"/>
      <w:lvlText w:val="o"/>
      <w:lvlJc w:val="left"/>
      <w:pPr>
        <w:tabs>
          <w:tab w:val="num" w:pos="3456"/>
        </w:tabs>
        <w:ind w:left="3456" w:hanging="360"/>
      </w:pPr>
      <w:rPr>
        <w:rFonts w:ascii="Courier New" w:hAnsi="Courier New" w:hint="default"/>
      </w:rPr>
    </w:lvl>
    <w:lvl w:ilvl="5" w:tplc="04090005">
      <w:start w:val="1"/>
      <w:numFmt w:val="bullet"/>
      <w:lvlText w:val=""/>
      <w:lvlJc w:val="left"/>
      <w:pPr>
        <w:tabs>
          <w:tab w:val="num" w:pos="4176"/>
        </w:tabs>
        <w:ind w:left="4176" w:hanging="360"/>
      </w:pPr>
      <w:rPr>
        <w:rFonts w:ascii="Wingdings" w:hAnsi="Wingdings" w:hint="default"/>
      </w:rPr>
    </w:lvl>
    <w:lvl w:ilvl="6" w:tplc="04090001">
      <w:start w:val="1"/>
      <w:numFmt w:val="bullet"/>
      <w:lvlText w:val=""/>
      <w:lvlJc w:val="left"/>
      <w:pPr>
        <w:tabs>
          <w:tab w:val="num" w:pos="4896"/>
        </w:tabs>
        <w:ind w:left="4896" w:hanging="360"/>
      </w:pPr>
      <w:rPr>
        <w:rFonts w:ascii="Symbol" w:hAnsi="Symbol" w:hint="default"/>
      </w:rPr>
    </w:lvl>
    <w:lvl w:ilvl="7" w:tplc="04090003">
      <w:start w:val="1"/>
      <w:numFmt w:val="bullet"/>
      <w:lvlText w:val="o"/>
      <w:lvlJc w:val="left"/>
      <w:pPr>
        <w:tabs>
          <w:tab w:val="num" w:pos="5616"/>
        </w:tabs>
        <w:ind w:left="5616" w:hanging="360"/>
      </w:pPr>
      <w:rPr>
        <w:rFonts w:ascii="Courier New" w:hAnsi="Courier New" w:hint="default"/>
      </w:rPr>
    </w:lvl>
    <w:lvl w:ilvl="8" w:tplc="04090005">
      <w:start w:val="1"/>
      <w:numFmt w:val="bullet"/>
      <w:lvlText w:val=""/>
      <w:lvlJc w:val="left"/>
      <w:pPr>
        <w:tabs>
          <w:tab w:val="num" w:pos="6336"/>
        </w:tabs>
        <w:ind w:left="6336"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4"/>
  </w:num>
  <w:num w:numId="11">
    <w:abstractNumId w:val="3"/>
  </w:num>
  <w:num w:numId="12">
    <w:abstractNumId w:val="5"/>
  </w:num>
  <w:num w:numId="13">
    <w:abstractNumId w:val="2"/>
  </w:num>
  <w:num w:numId="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defaultTabStop w:val="288"/>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115"/>
    <w:rsid w:val="00003D0C"/>
    <w:rsid w:val="0000655F"/>
    <w:rsid w:val="00006FA0"/>
    <w:rsid w:val="000260BF"/>
    <w:rsid w:val="0003020C"/>
    <w:rsid w:val="00032210"/>
    <w:rsid w:val="00033253"/>
    <w:rsid w:val="00035214"/>
    <w:rsid w:val="000421BA"/>
    <w:rsid w:val="000428D5"/>
    <w:rsid w:val="00046192"/>
    <w:rsid w:val="00060DDC"/>
    <w:rsid w:val="00061503"/>
    <w:rsid w:val="0006719E"/>
    <w:rsid w:val="000672EC"/>
    <w:rsid w:val="00067EF8"/>
    <w:rsid w:val="00082224"/>
    <w:rsid w:val="000A044F"/>
    <w:rsid w:val="000A0570"/>
    <w:rsid w:val="000A0B68"/>
    <w:rsid w:val="000A11DF"/>
    <w:rsid w:val="000A2FE0"/>
    <w:rsid w:val="000A6B0B"/>
    <w:rsid w:val="000D461E"/>
    <w:rsid w:val="000E3D72"/>
    <w:rsid w:val="000E6856"/>
    <w:rsid w:val="000F45C9"/>
    <w:rsid w:val="00103C35"/>
    <w:rsid w:val="001045A0"/>
    <w:rsid w:val="0012073F"/>
    <w:rsid w:val="0013378B"/>
    <w:rsid w:val="00135370"/>
    <w:rsid w:val="001355B9"/>
    <w:rsid w:val="0013734F"/>
    <w:rsid w:val="00137CDB"/>
    <w:rsid w:val="001415FA"/>
    <w:rsid w:val="00146300"/>
    <w:rsid w:val="00146F7E"/>
    <w:rsid w:val="00147206"/>
    <w:rsid w:val="00163744"/>
    <w:rsid w:val="001743F9"/>
    <w:rsid w:val="00183D0B"/>
    <w:rsid w:val="00191DBF"/>
    <w:rsid w:val="001A2D7E"/>
    <w:rsid w:val="001A4D5B"/>
    <w:rsid w:val="001A6B73"/>
    <w:rsid w:val="001A7C99"/>
    <w:rsid w:val="001B3E7D"/>
    <w:rsid w:val="001B4E87"/>
    <w:rsid w:val="001B688F"/>
    <w:rsid w:val="001C0A46"/>
    <w:rsid w:val="001C63E2"/>
    <w:rsid w:val="001C7C8E"/>
    <w:rsid w:val="001D0609"/>
    <w:rsid w:val="001D16B6"/>
    <w:rsid w:val="001D3047"/>
    <w:rsid w:val="001E7D49"/>
    <w:rsid w:val="001F5519"/>
    <w:rsid w:val="002040A5"/>
    <w:rsid w:val="00204B6D"/>
    <w:rsid w:val="002053A2"/>
    <w:rsid w:val="002171F8"/>
    <w:rsid w:val="00217AFF"/>
    <w:rsid w:val="00230B73"/>
    <w:rsid w:val="002318A5"/>
    <w:rsid w:val="002339DF"/>
    <w:rsid w:val="00237EEA"/>
    <w:rsid w:val="00251CE6"/>
    <w:rsid w:val="00252813"/>
    <w:rsid w:val="00252C80"/>
    <w:rsid w:val="00254F92"/>
    <w:rsid w:val="0025504B"/>
    <w:rsid w:val="00255C83"/>
    <w:rsid w:val="00263513"/>
    <w:rsid w:val="00266BC5"/>
    <w:rsid w:val="00273859"/>
    <w:rsid w:val="002757EF"/>
    <w:rsid w:val="00275BAE"/>
    <w:rsid w:val="00282681"/>
    <w:rsid w:val="00293D0A"/>
    <w:rsid w:val="00296010"/>
    <w:rsid w:val="002B217D"/>
    <w:rsid w:val="002E3045"/>
    <w:rsid w:val="00306001"/>
    <w:rsid w:val="003065F1"/>
    <w:rsid w:val="00317A18"/>
    <w:rsid w:val="0032430D"/>
    <w:rsid w:val="0033782B"/>
    <w:rsid w:val="00343DCD"/>
    <w:rsid w:val="003444BD"/>
    <w:rsid w:val="00347566"/>
    <w:rsid w:val="00353AFF"/>
    <w:rsid w:val="003540D0"/>
    <w:rsid w:val="003556C2"/>
    <w:rsid w:val="0036032D"/>
    <w:rsid w:val="00360F2F"/>
    <w:rsid w:val="003754D4"/>
    <w:rsid w:val="003849BC"/>
    <w:rsid w:val="003850D4"/>
    <w:rsid w:val="003952D8"/>
    <w:rsid w:val="003A43FB"/>
    <w:rsid w:val="003B49BE"/>
    <w:rsid w:val="003B5343"/>
    <w:rsid w:val="003C4779"/>
    <w:rsid w:val="003D2422"/>
    <w:rsid w:val="003D2967"/>
    <w:rsid w:val="003D3C8D"/>
    <w:rsid w:val="003E555E"/>
    <w:rsid w:val="003F0D58"/>
    <w:rsid w:val="003F0F08"/>
    <w:rsid w:val="003F7F54"/>
    <w:rsid w:val="004045D4"/>
    <w:rsid w:val="004067A1"/>
    <w:rsid w:val="00406AB1"/>
    <w:rsid w:val="0041767B"/>
    <w:rsid w:val="00431FDA"/>
    <w:rsid w:val="00442148"/>
    <w:rsid w:val="00450947"/>
    <w:rsid w:val="00460668"/>
    <w:rsid w:val="00460E81"/>
    <w:rsid w:val="00490A15"/>
    <w:rsid w:val="004A294E"/>
    <w:rsid w:val="004A6A47"/>
    <w:rsid w:val="004B1402"/>
    <w:rsid w:val="004B2456"/>
    <w:rsid w:val="004B6BD8"/>
    <w:rsid w:val="004C5A6F"/>
    <w:rsid w:val="004C7951"/>
    <w:rsid w:val="004D2F36"/>
    <w:rsid w:val="004D5BDA"/>
    <w:rsid w:val="004D741C"/>
    <w:rsid w:val="004E06A8"/>
    <w:rsid w:val="004E10A2"/>
    <w:rsid w:val="004E4B4D"/>
    <w:rsid w:val="004F1F4E"/>
    <w:rsid w:val="00500393"/>
    <w:rsid w:val="00500DFF"/>
    <w:rsid w:val="00503CA5"/>
    <w:rsid w:val="005147E8"/>
    <w:rsid w:val="00517B62"/>
    <w:rsid w:val="00526F8E"/>
    <w:rsid w:val="00536046"/>
    <w:rsid w:val="00537FAE"/>
    <w:rsid w:val="005410A9"/>
    <w:rsid w:val="00544535"/>
    <w:rsid w:val="0054724E"/>
    <w:rsid w:val="00554A7D"/>
    <w:rsid w:val="00555205"/>
    <w:rsid w:val="005702BB"/>
    <w:rsid w:val="00585080"/>
    <w:rsid w:val="005A6287"/>
    <w:rsid w:val="005C2D0C"/>
    <w:rsid w:val="005D0C52"/>
    <w:rsid w:val="005D5481"/>
    <w:rsid w:val="005D6D41"/>
    <w:rsid w:val="005F35F3"/>
    <w:rsid w:val="005F3B8C"/>
    <w:rsid w:val="00601042"/>
    <w:rsid w:val="0060184A"/>
    <w:rsid w:val="00607908"/>
    <w:rsid w:val="00614B5A"/>
    <w:rsid w:val="00625134"/>
    <w:rsid w:val="006268D8"/>
    <w:rsid w:val="0063028F"/>
    <w:rsid w:val="0064235D"/>
    <w:rsid w:val="006450D9"/>
    <w:rsid w:val="00645BA9"/>
    <w:rsid w:val="006505CA"/>
    <w:rsid w:val="00650EFF"/>
    <w:rsid w:val="00655115"/>
    <w:rsid w:val="00670656"/>
    <w:rsid w:val="006743C5"/>
    <w:rsid w:val="00687D38"/>
    <w:rsid w:val="006B2053"/>
    <w:rsid w:val="006C639F"/>
    <w:rsid w:val="006C6FC9"/>
    <w:rsid w:val="006D1569"/>
    <w:rsid w:val="006D2628"/>
    <w:rsid w:val="006D362F"/>
    <w:rsid w:val="006F7A2E"/>
    <w:rsid w:val="00701F2D"/>
    <w:rsid w:val="00717F94"/>
    <w:rsid w:val="007314B4"/>
    <w:rsid w:val="0073674E"/>
    <w:rsid w:val="00740A66"/>
    <w:rsid w:val="00740F05"/>
    <w:rsid w:val="00742785"/>
    <w:rsid w:val="0074415C"/>
    <w:rsid w:val="0075471A"/>
    <w:rsid w:val="0075494F"/>
    <w:rsid w:val="00761F07"/>
    <w:rsid w:val="007627DA"/>
    <w:rsid w:val="007669F6"/>
    <w:rsid w:val="00767F4B"/>
    <w:rsid w:val="007739F2"/>
    <w:rsid w:val="00773F6F"/>
    <w:rsid w:val="0077587A"/>
    <w:rsid w:val="00782414"/>
    <w:rsid w:val="00783F7F"/>
    <w:rsid w:val="00787177"/>
    <w:rsid w:val="007904C6"/>
    <w:rsid w:val="007932A5"/>
    <w:rsid w:val="007B4835"/>
    <w:rsid w:val="007D5FC2"/>
    <w:rsid w:val="007E1AF9"/>
    <w:rsid w:val="007E4F1D"/>
    <w:rsid w:val="007E5A4C"/>
    <w:rsid w:val="007E5F0A"/>
    <w:rsid w:val="007E6823"/>
    <w:rsid w:val="007E69D9"/>
    <w:rsid w:val="007E7946"/>
    <w:rsid w:val="007F5ED6"/>
    <w:rsid w:val="00803A9E"/>
    <w:rsid w:val="00803D29"/>
    <w:rsid w:val="0080431A"/>
    <w:rsid w:val="00817C6E"/>
    <w:rsid w:val="008265E8"/>
    <w:rsid w:val="008329D6"/>
    <w:rsid w:val="00835579"/>
    <w:rsid w:val="00836429"/>
    <w:rsid w:val="00850B9D"/>
    <w:rsid w:val="00860610"/>
    <w:rsid w:val="00862099"/>
    <w:rsid w:val="00863D15"/>
    <w:rsid w:val="00865361"/>
    <w:rsid w:val="00875B5D"/>
    <w:rsid w:val="00880295"/>
    <w:rsid w:val="00882D84"/>
    <w:rsid w:val="00890BA4"/>
    <w:rsid w:val="00894407"/>
    <w:rsid w:val="00895636"/>
    <w:rsid w:val="008A0419"/>
    <w:rsid w:val="008A0C86"/>
    <w:rsid w:val="008A1B22"/>
    <w:rsid w:val="008A2570"/>
    <w:rsid w:val="008A3782"/>
    <w:rsid w:val="008A6B42"/>
    <w:rsid w:val="008C67C3"/>
    <w:rsid w:val="008D42BA"/>
    <w:rsid w:val="00903957"/>
    <w:rsid w:val="009059D2"/>
    <w:rsid w:val="0092056F"/>
    <w:rsid w:val="00926172"/>
    <w:rsid w:val="0094596E"/>
    <w:rsid w:val="00950F0B"/>
    <w:rsid w:val="009542E7"/>
    <w:rsid w:val="009570D3"/>
    <w:rsid w:val="009605F8"/>
    <w:rsid w:val="00960EE3"/>
    <w:rsid w:val="0097059E"/>
    <w:rsid w:val="00976DF0"/>
    <w:rsid w:val="00986FD2"/>
    <w:rsid w:val="009A6AC2"/>
    <w:rsid w:val="009B6476"/>
    <w:rsid w:val="009C15DF"/>
    <w:rsid w:val="009C5F3E"/>
    <w:rsid w:val="009D0F2C"/>
    <w:rsid w:val="009D4F3E"/>
    <w:rsid w:val="009D5F66"/>
    <w:rsid w:val="009E4F42"/>
    <w:rsid w:val="009F1C3B"/>
    <w:rsid w:val="009F1DFB"/>
    <w:rsid w:val="009F6CDE"/>
    <w:rsid w:val="00A127C5"/>
    <w:rsid w:val="00A3023E"/>
    <w:rsid w:val="00A45546"/>
    <w:rsid w:val="00A6081F"/>
    <w:rsid w:val="00A63EB1"/>
    <w:rsid w:val="00A642A3"/>
    <w:rsid w:val="00A67121"/>
    <w:rsid w:val="00A729D2"/>
    <w:rsid w:val="00A7339F"/>
    <w:rsid w:val="00A75267"/>
    <w:rsid w:val="00A75B80"/>
    <w:rsid w:val="00A82426"/>
    <w:rsid w:val="00AA0CB3"/>
    <w:rsid w:val="00AB60CB"/>
    <w:rsid w:val="00AC0BEB"/>
    <w:rsid w:val="00AC160A"/>
    <w:rsid w:val="00AC2550"/>
    <w:rsid w:val="00AD1E19"/>
    <w:rsid w:val="00AD45E3"/>
    <w:rsid w:val="00AD66E4"/>
    <w:rsid w:val="00AF343E"/>
    <w:rsid w:val="00AF4B4C"/>
    <w:rsid w:val="00AF7518"/>
    <w:rsid w:val="00B05D32"/>
    <w:rsid w:val="00B547E8"/>
    <w:rsid w:val="00B54B2B"/>
    <w:rsid w:val="00B63C71"/>
    <w:rsid w:val="00B66A68"/>
    <w:rsid w:val="00B74FEB"/>
    <w:rsid w:val="00B84D4F"/>
    <w:rsid w:val="00B92152"/>
    <w:rsid w:val="00B94626"/>
    <w:rsid w:val="00B97684"/>
    <w:rsid w:val="00BA276B"/>
    <w:rsid w:val="00BA7E6D"/>
    <w:rsid w:val="00BD4D8A"/>
    <w:rsid w:val="00BD7737"/>
    <w:rsid w:val="00BD7DF4"/>
    <w:rsid w:val="00BF2686"/>
    <w:rsid w:val="00BF4D80"/>
    <w:rsid w:val="00BF519A"/>
    <w:rsid w:val="00C029AE"/>
    <w:rsid w:val="00C2437F"/>
    <w:rsid w:val="00C26A01"/>
    <w:rsid w:val="00C27CF8"/>
    <w:rsid w:val="00C323D4"/>
    <w:rsid w:val="00C3762E"/>
    <w:rsid w:val="00C42AFC"/>
    <w:rsid w:val="00C47D90"/>
    <w:rsid w:val="00C54E69"/>
    <w:rsid w:val="00C56B5E"/>
    <w:rsid w:val="00C60422"/>
    <w:rsid w:val="00C67666"/>
    <w:rsid w:val="00C80F7F"/>
    <w:rsid w:val="00C8409F"/>
    <w:rsid w:val="00C8734F"/>
    <w:rsid w:val="00C9746B"/>
    <w:rsid w:val="00CA1749"/>
    <w:rsid w:val="00CA5C05"/>
    <w:rsid w:val="00CA7FF3"/>
    <w:rsid w:val="00CB1C21"/>
    <w:rsid w:val="00CB5CDA"/>
    <w:rsid w:val="00CB6A59"/>
    <w:rsid w:val="00CC1386"/>
    <w:rsid w:val="00CC67E0"/>
    <w:rsid w:val="00CD148F"/>
    <w:rsid w:val="00CD18E9"/>
    <w:rsid w:val="00CD3253"/>
    <w:rsid w:val="00CD7476"/>
    <w:rsid w:val="00D044A8"/>
    <w:rsid w:val="00D07490"/>
    <w:rsid w:val="00D1520A"/>
    <w:rsid w:val="00D20CA9"/>
    <w:rsid w:val="00D221EC"/>
    <w:rsid w:val="00D41AF3"/>
    <w:rsid w:val="00D42592"/>
    <w:rsid w:val="00D44BB6"/>
    <w:rsid w:val="00D450CF"/>
    <w:rsid w:val="00D45B0E"/>
    <w:rsid w:val="00D6768E"/>
    <w:rsid w:val="00D71F33"/>
    <w:rsid w:val="00D738B4"/>
    <w:rsid w:val="00D856AC"/>
    <w:rsid w:val="00D90119"/>
    <w:rsid w:val="00D95CDA"/>
    <w:rsid w:val="00DA56CB"/>
    <w:rsid w:val="00DB5F02"/>
    <w:rsid w:val="00DC3066"/>
    <w:rsid w:val="00DC47C0"/>
    <w:rsid w:val="00DC6712"/>
    <w:rsid w:val="00DD0C95"/>
    <w:rsid w:val="00DE104E"/>
    <w:rsid w:val="00DE3FB7"/>
    <w:rsid w:val="00E03038"/>
    <w:rsid w:val="00E06C35"/>
    <w:rsid w:val="00E07D47"/>
    <w:rsid w:val="00E1042C"/>
    <w:rsid w:val="00E11F39"/>
    <w:rsid w:val="00E2079A"/>
    <w:rsid w:val="00E22BB1"/>
    <w:rsid w:val="00E24353"/>
    <w:rsid w:val="00E30E57"/>
    <w:rsid w:val="00E31A6C"/>
    <w:rsid w:val="00E326DB"/>
    <w:rsid w:val="00E33807"/>
    <w:rsid w:val="00E34E19"/>
    <w:rsid w:val="00E37298"/>
    <w:rsid w:val="00E37511"/>
    <w:rsid w:val="00E37E11"/>
    <w:rsid w:val="00E40123"/>
    <w:rsid w:val="00E50FE4"/>
    <w:rsid w:val="00E54F13"/>
    <w:rsid w:val="00E62088"/>
    <w:rsid w:val="00E639F7"/>
    <w:rsid w:val="00E7428F"/>
    <w:rsid w:val="00E87783"/>
    <w:rsid w:val="00E914A2"/>
    <w:rsid w:val="00E91E20"/>
    <w:rsid w:val="00E92357"/>
    <w:rsid w:val="00E92804"/>
    <w:rsid w:val="00E94B63"/>
    <w:rsid w:val="00EA509A"/>
    <w:rsid w:val="00EB6160"/>
    <w:rsid w:val="00EC1D42"/>
    <w:rsid w:val="00EC2493"/>
    <w:rsid w:val="00EC4A78"/>
    <w:rsid w:val="00EC599A"/>
    <w:rsid w:val="00EE01E2"/>
    <w:rsid w:val="00EF2BDC"/>
    <w:rsid w:val="00F05B92"/>
    <w:rsid w:val="00F22A49"/>
    <w:rsid w:val="00F3591C"/>
    <w:rsid w:val="00F35DB4"/>
    <w:rsid w:val="00F40BD3"/>
    <w:rsid w:val="00F45135"/>
    <w:rsid w:val="00F52C73"/>
    <w:rsid w:val="00F577B6"/>
    <w:rsid w:val="00F7306C"/>
    <w:rsid w:val="00F734F8"/>
    <w:rsid w:val="00F8723B"/>
    <w:rsid w:val="00F90DC4"/>
    <w:rsid w:val="00F965B9"/>
    <w:rsid w:val="00FA4C1C"/>
    <w:rsid w:val="00FA5B99"/>
    <w:rsid w:val="00FA7451"/>
    <w:rsid w:val="00FB6892"/>
    <w:rsid w:val="00FC2B49"/>
    <w:rsid w:val="00FD3CE3"/>
    <w:rsid w:val="00FE0396"/>
    <w:rsid w:val="00FE0553"/>
    <w:rsid w:val="00FF09FD"/>
    <w:rsid w:val="00FF34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59"/>
    <w:rPr>
      <w:rFonts w:ascii="Times New Roman" w:hAnsi="Times New Roman"/>
      <w:sz w:val="20"/>
      <w:szCs w:val="20"/>
    </w:rPr>
  </w:style>
  <w:style w:type="paragraph" w:styleId="Heading1">
    <w:name w:val="heading 1"/>
    <w:basedOn w:val="Normal"/>
    <w:next w:val="Normal"/>
    <w:link w:val="Heading1Char"/>
    <w:uiPriority w:val="99"/>
    <w:qFormat/>
    <w:rsid w:val="00B63C71"/>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63C71"/>
    <w:pPr>
      <w:keepNext/>
      <w:tabs>
        <w:tab w:val="num" w:pos="360"/>
      </w:tabs>
      <w:ind w:left="360" w:hanging="360"/>
      <w:outlineLvl w:val="1"/>
    </w:pPr>
    <w:rPr>
      <w:rFonts w:ascii="Cambria" w:hAnsi="Cambria"/>
      <w:b/>
      <w:bCs/>
      <w:i/>
      <w:iCs/>
      <w:sz w:val="28"/>
      <w:szCs w:val="28"/>
    </w:rPr>
  </w:style>
  <w:style w:type="paragraph" w:styleId="Heading3">
    <w:name w:val="heading 3"/>
    <w:basedOn w:val="Normal"/>
    <w:next w:val="Normal"/>
    <w:link w:val="Heading3Char"/>
    <w:uiPriority w:val="99"/>
    <w:qFormat/>
    <w:rsid w:val="00B63C71"/>
    <w:pPr>
      <w:keepNext/>
      <w:ind w:hanging="99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511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55115"/>
    <w:rPr>
      <w:rFonts w:ascii="Cambria" w:hAnsi="Cambria" w:cs="Times New Roman"/>
      <w:b/>
      <w:i/>
      <w:sz w:val="28"/>
    </w:rPr>
  </w:style>
  <w:style w:type="character" w:customStyle="1" w:styleId="Heading3Char">
    <w:name w:val="Heading 3 Char"/>
    <w:basedOn w:val="DefaultParagraphFont"/>
    <w:link w:val="Heading3"/>
    <w:uiPriority w:val="99"/>
    <w:semiHidden/>
    <w:locked/>
    <w:rsid w:val="00655115"/>
    <w:rPr>
      <w:rFonts w:ascii="Cambria" w:hAnsi="Cambria" w:cs="Times New Roman"/>
      <w:b/>
      <w:sz w:val="26"/>
    </w:rPr>
  </w:style>
  <w:style w:type="paragraph" w:styleId="BalloonText">
    <w:name w:val="Balloon Text"/>
    <w:basedOn w:val="Normal"/>
    <w:link w:val="BalloonTextChar"/>
    <w:uiPriority w:val="99"/>
    <w:rsid w:val="00CB6A59"/>
    <w:rPr>
      <w:sz w:val="18"/>
    </w:rPr>
  </w:style>
  <w:style w:type="character" w:customStyle="1" w:styleId="BalloonTextChar">
    <w:name w:val="Balloon Text Char"/>
    <w:basedOn w:val="DefaultParagraphFont"/>
    <w:link w:val="BalloonText"/>
    <w:uiPriority w:val="99"/>
    <w:locked/>
    <w:rsid w:val="00CB6A59"/>
    <w:rPr>
      <w:rFonts w:ascii="Times New Roman" w:hAnsi="Times New Roman"/>
      <w:sz w:val="18"/>
      <w:szCs w:val="20"/>
    </w:rPr>
  </w:style>
  <w:style w:type="paragraph" w:styleId="BodyText">
    <w:name w:val="Body Text"/>
    <w:basedOn w:val="Normal"/>
    <w:link w:val="BodyTextChar"/>
    <w:uiPriority w:val="99"/>
    <w:rsid w:val="00B63C71"/>
  </w:style>
  <w:style w:type="character" w:customStyle="1" w:styleId="BodyTextChar">
    <w:name w:val="Body Text Char"/>
    <w:basedOn w:val="DefaultParagraphFont"/>
    <w:link w:val="BodyText"/>
    <w:uiPriority w:val="99"/>
    <w:semiHidden/>
    <w:locked/>
    <w:rsid w:val="00655115"/>
    <w:rPr>
      <w:rFonts w:ascii="Times New Roman" w:hAnsi="Times New Roman" w:cs="Times New Roman"/>
      <w:sz w:val="20"/>
    </w:rPr>
  </w:style>
  <w:style w:type="character" w:styleId="CommentReference">
    <w:name w:val="annotation reference"/>
    <w:basedOn w:val="DefaultParagraphFont"/>
    <w:uiPriority w:val="99"/>
    <w:rsid w:val="00B63C71"/>
    <w:rPr>
      <w:rFonts w:ascii="Times New Roman" w:hAnsi="Times New Roman" w:cs="Times New Roman"/>
      <w:sz w:val="16"/>
    </w:rPr>
  </w:style>
  <w:style w:type="paragraph" w:styleId="CommentText">
    <w:name w:val="annotation text"/>
    <w:basedOn w:val="Normal"/>
    <w:link w:val="CommentTextChar"/>
    <w:uiPriority w:val="99"/>
    <w:rsid w:val="00B63C71"/>
  </w:style>
  <w:style w:type="character" w:customStyle="1" w:styleId="CommentTextChar">
    <w:name w:val="Comment Text Char"/>
    <w:basedOn w:val="DefaultParagraphFont"/>
    <w:link w:val="CommentText"/>
    <w:uiPriority w:val="99"/>
    <w:semiHidden/>
    <w:locked/>
    <w:rsid w:val="00655115"/>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B63C71"/>
    <w:rPr>
      <w:b/>
      <w:bCs/>
    </w:rPr>
  </w:style>
  <w:style w:type="character" w:customStyle="1" w:styleId="CommentSubjectChar">
    <w:name w:val="Comment Subject Char"/>
    <w:basedOn w:val="CommentTextChar"/>
    <w:link w:val="CommentSubject"/>
    <w:uiPriority w:val="99"/>
    <w:semiHidden/>
    <w:locked/>
    <w:rsid w:val="00655115"/>
    <w:rPr>
      <w:rFonts w:ascii="Times New Roman" w:hAnsi="Times New Roman" w:cs="Times New Roman"/>
      <w:b/>
      <w:sz w:val="20"/>
    </w:rPr>
  </w:style>
  <w:style w:type="character" w:styleId="FollowedHyperlink">
    <w:name w:val="FollowedHyperlink"/>
    <w:basedOn w:val="DefaultParagraphFont"/>
    <w:uiPriority w:val="99"/>
    <w:rsid w:val="00B63C71"/>
    <w:rPr>
      <w:rFonts w:ascii="Times New Roman" w:hAnsi="Times New Roman" w:cs="Times New Roman"/>
      <w:color w:val="800080"/>
      <w:u w:val="single"/>
    </w:rPr>
  </w:style>
  <w:style w:type="paragraph" w:customStyle="1" w:styleId="CaliberBodyText">
    <w:name w:val="Caliber Body Text"/>
    <w:basedOn w:val="Normal"/>
    <w:uiPriority w:val="99"/>
    <w:rsid w:val="00B63C71"/>
    <w:pPr>
      <w:spacing w:after="240" w:line="288" w:lineRule="auto"/>
      <w:ind w:firstLine="720"/>
    </w:pPr>
    <w:rPr>
      <w:sz w:val="24"/>
      <w:szCs w:val="24"/>
    </w:rPr>
  </w:style>
  <w:style w:type="character" w:customStyle="1" w:styleId="CaliberBodyTextChar">
    <w:name w:val="Caliber Body Text Char"/>
    <w:uiPriority w:val="99"/>
    <w:rsid w:val="00B63C71"/>
    <w:rPr>
      <w:rFonts w:ascii="Times New Roman" w:hAnsi="Times New Roman"/>
      <w:sz w:val="24"/>
      <w:lang w:val="en-US" w:eastAsia="en-US"/>
    </w:rPr>
  </w:style>
  <w:style w:type="paragraph" w:styleId="HTMLPreformatted">
    <w:name w:val="HTML Preformatted"/>
    <w:basedOn w:val="Normal"/>
    <w:link w:val="HTMLPreformattedChar"/>
    <w:uiPriority w:val="99"/>
    <w:rsid w:val="00B6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sid w:val="00655115"/>
    <w:rPr>
      <w:rFonts w:ascii="Courier New" w:hAnsi="Courier New" w:cs="Times New Roman"/>
      <w:sz w:val="20"/>
    </w:rPr>
  </w:style>
  <w:style w:type="paragraph" w:styleId="FootnoteText">
    <w:name w:val="footnote text"/>
    <w:aliases w:val="F1"/>
    <w:basedOn w:val="Normal"/>
    <w:link w:val="FootnoteTextChar"/>
    <w:uiPriority w:val="99"/>
    <w:rsid w:val="00B63C71"/>
    <w:pPr>
      <w:spacing w:after="120"/>
    </w:pPr>
  </w:style>
  <w:style w:type="character" w:customStyle="1" w:styleId="FootnoteTextChar">
    <w:name w:val="Footnote Text Char"/>
    <w:aliases w:val="F1 Char"/>
    <w:basedOn w:val="DefaultParagraphFont"/>
    <w:link w:val="FootnoteText"/>
    <w:uiPriority w:val="99"/>
    <w:semiHidden/>
    <w:locked/>
    <w:rsid w:val="00655115"/>
    <w:rPr>
      <w:rFonts w:ascii="Times New Roman" w:hAnsi="Times New Roman" w:cs="Times New Roman"/>
      <w:sz w:val="20"/>
    </w:rPr>
  </w:style>
  <w:style w:type="character" w:styleId="FootnoteReference">
    <w:name w:val="footnote reference"/>
    <w:basedOn w:val="DefaultParagraphFont"/>
    <w:uiPriority w:val="99"/>
    <w:rsid w:val="00B63C71"/>
    <w:rPr>
      <w:rFonts w:ascii="Times New Roman" w:hAnsi="Times New Roman" w:cs="Times New Roman"/>
      <w:vertAlign w:val="superscript"/>
    </w:rPr>
  </w:style>
  <w:style w:type="character" w:styleId="Hyperlink">
    <w:name w:val="Hyperlink"/>
    <w:basedOn w:val="DefaultParagraphFont"/>
    <w:uiPriority w:val="99"/>
    <w:rsid w:val="00B63C71"/>
    <w:rPr>
      <w:rFonts w:ascii="Times New Roman" w:hAnsi="Times New Roman" w:cs="Times New Roman"/>
      <w:color w:val="0000FF"/>
      <w:u w:val="single"/>
    </w:rPr>
  </w:style>
  <w:style w:type="paragraph" w:styleId="NormalWeb">
    <w:name w:val="Normal (Web)"/>
    <w:basedOn w:val="Normal"/>
    <w:uiPriority w:val="99"/>
    <w:rsid w:val="00B63C71"/>
    <w:pPr>
      <w:spacing w:before="100" w:beforeAutospacing="1" w:after="100" w:afterAutospacing="1"/>
    </w:pPr>
    <w:rPr>
      <w:sz w:val="24"/>
      <w:szCs w:val="24"/>
    </w:rPr>
  </w:style>
  <w:style w:type="paragraph" w:styleId="ListBullet">
    <w:name w:val="List Bullet"/>
    <w:basedOn w:val="Normal"/>
    <w:autoRedefine/>
    <w:uiPriority w:val="99"/>
    <w:rsid w:val="00B63C71"/>
    <w:pPr>
      <w:numPr>
        <w:numId w:val="10"/>
      </w:numPr>
      <w:tabs>
        <w:tab w:val="clear" w:pos="720"/>
        <w:tab w:val="num" w:pos="360"/>
      </w:tabs>
      <w:spacing w:after="120"/>
      <w:ind w:left="360"/>
    </w:pPr>
    <w:rPr>
      <w:rFonts w:ascii="Arial" w:hAnsi="Arial" w:cs="Arial"/>
      <w:sz w:val="22"/>
      <w:szCs w:val="22"/>
    </w:rPr>
  </w:style>
  <w:style w:type="paragraph" w:customStyle="1" w:styleId="CaliberICFText">
    <w:name w:val="Caliber ICF Text"/>
    <w:basedOn w:val="Normal"/>
    <w:uiPriority w:val="99"/>
    <w:rsid w:val="00B63C71"/>
    <w:pPr>
      <w:spacing w:before="240" w:after="240"/>
    </w:pPr>
    <w:rPr>
      <w:rFonts w:ascii="Arial" w:hAnsi="Arial" w:cs="Arial"/>
      <w:sz w:val="22"/>
      <w:szCs w:val="22"/>
    </w:rPr>
  </w:style>
  <w:style w:type="paragraph" w:customStyle="1" w:styleId="CaliberICFHeading3">
    <w:name w:val="Caliber ICF Heading 3"/>
    <w:basedOn w:val="Heading3"/>
    <w:uiPriority w:val="99"/>
    <w:rsid w:val="00B63C71"/>
    <w:pPr>
      <w:spacing w:after="240"/>
      <w:ind w:firstLine="0"/>
    </w:pPr>
    <w:rPr>
      <w:rFonts w:ascii="Arial Bold" w:hAnsi="Arial Bold" w:cs="Arial Bold"/>
    </w:rPr>
  </w:style>
  <w:style w:type="character" w:customStyle="1" w:styleId="CaliberICFHeading3Char">
    <w:name w:val="Caliber ICF Heading 3 Char"/>
    <w:uiPriority w:val="99"/>
    <w:rsid w:val="00B63C71"/>
    <w:rPr>
      <w:rFonts w:ascii="Arial Bold" w:hAnsi="Arial Bold"/>
      <w:b/>
      <w:color w:val="auto"/>
      <w:sz w:val="24"/>
      <w:lang w:val="en-US" w:eastAsia="en-US"/>
    </w:rPr>
  </w:style>
  <w:style w:type="character" w:customStyle="1" w:styleId="CaliberICFTextChar">
    <w:name w:val="Caliber ICF Text Char"/>
    <w:uiPriority w:val="99"/>
    <w:rsid w:val="00B63C71"/>
    <w:rPr>
      <w:rFonts w:ascii="Arial" w:hAnsi="Arial"/>
      <w:sz w:val="22"/>
      <w:lang w:val="en-US" w:eastAsia="en-US"/>
    </w:rPr>
  </w:style>
  <w:style w:type="paragraph" w:styleId="BodyText2">
    <w:name w:val="Body Text 2"/>
    <w:basedOn w:val="Normal"/>
    <w:link w:val="BodyText2Char"/>
    <w:uiPriority w:val="99"/>
    <w:rsid w:val="00B63C71"/>
  </w:style>
  <w:style w:type="character" w:customStyle="1" w:styleId="BodyText2Char">
    <w:name w:val="Body Text 2 Char"/>
    <w:basedOn w:val="DefaultParagraphFont"/>
    <w:link w:val="BodyText2"/>
    <w:uiPriority w:val="99"/>
    <w:semiHidden/>
    <w:locked/>
    <w:rsid w:val="00655115"/>
    <w:rPr>
      <w:rFonts w:ascii="Times New Roman" w:hAnsi="Times New Roman" w:cs="Times New Roman"/>
      <w:sz w:val="20"/>
    </w:rPr>
  </w:style>
  <w:style w:type="paragraph" w:styleId="Title">
    <w:name w:val="Title"/>
    <w:basedOn w:val="Normal"/>
    <w:link w:val="TitleChar"/>
    <w:uiPriority w:val="99"/>
    <w:qFormat/>
    <w:rsid w:val="00B63C71"/>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55115"/>
    <w:rPr>
      <w:rFonts w:ascii="Cambria" w:hAnsi="Cambria" w:cs="Times New Roman"/>
      <w:b/>
      <w:kern w:val="28"/>
      <w:sz w:val="32"/>
    </w:rPr>
  </w:style>
  <w:style w:type="paragraph" w:styleId="BodyText3">
    <w:name w:val="Body Text 3"/>
    <w:basedOn w:val="Normal"/>
    <w:link w:val="BodyText3Char"/>
    <w:uiPriority w:val="99"/>
    <w:rsid w:val="00B63C71"/>
    <w:rPr>
      <w:sz w:val="16"/>
      <w:szCs w:val="16"/>
    </w:rPr>
  </w:style>
  <w:style w:type="character" w:customStyle="1" w:styleId="BodyText3Char">
    <w:name w:val="Body Text 3 Char"/>
    <w:basedOn w:val="DefaultParagraphFont"/>
    <w:link w:val="BodyText3"/>
    <w:uiPriority w:val="99"/>
    <w:semiHidden/>
    <w:locked/>
    <w:rsid w:val="00655115"/>
    <w:rPr>
      <w:rFonts w:ascii="Times New Roman" w:hAnsi="Times New Roman" w:cs="Times New Roman"/>
      <w:sz w:val="16"/>
    </w:rPr>
  </w:style>
  <w:style w:type="paragraph" w:styleId="Footer">
    <w:name w:val="footer"/>
    <w:basedOn w:val="Normal"/>
    <w:link w:val="FooterChar"/>
    <w:uiPriority w:val="99"/>
    <w:locked/>
    <w:rsid w:val="004D741C"/>
    <w:pPr>
      <w:tabs>
        <w:tab w:val="center" w:pos="4320"/>
        <w:tab w:val="right" w:pos="8640"/>
      </w:tabs>
    </w:pPr>
  </w:style>
  <w:style w:type="character" w:customStyle="1" w:styleId="FooterChar">
    <w:name w:val="Footer Char"/>
    <w:basedOn w:val="DefaultParagraphFont"/>
    <w:link w:val="Footer"/>
    <w:uiPriority w:val="99"/>
    <w:semiHidden/>
    <w:locked/>
    <w:rsid w:val="00E50FE4"/>
    <w:rPr>
      <w:rFonts w:ascii="Times New Roman" w:hAnsi="Times New Roman" w:cs="Times New Roman"/>
      <w:sz w:val="20"/>
    </w:rPr>
  </w:style>
  <w:style w:type="character" w:styleId="PageNumber">
    <w:name w:val="page number"/>
    <w:basedOn w:val="DefaultParagraphFont"/>
    <w:uiPriority w:val="99"/>
    <w:locked/>
    <w:rsid w:val="004D741C"/>
    <w:rPr>
      <w:rFonts w:cs="Times New Roman"/>
    </w:rPr>
  </w:style>
  <w:style w:type="table" w:styleId="TableGrid">
    <w:name w:val="Table Grid"/>
    <w:basedOn w:val="TableNormal"/>
    <w:uiPriority w:val="99"/>
    <w:rsid w:val="00C243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555205"/>
    <w:pPr>
      <w:tabs>
        <w:tab w:val="center" w:pos="4680"/>
        <w:tab w:val="right" w:pos="9360"/>
      </w:tabs>
    </w:pPr>
  </w:style>
  <w:style w:type="character" w:customStyle="1" w:styleId="HeaderChar">
    <w:name w:val="Header Char"/>
    <w:basedOn w:val="DefaultParagraphFont"/>
    <w:link w:val="Header"/>
    <w:uiPriority w:val="99"/>
    <w:rsid w:val="00555205"/>
    <w:rPr>
      <w:rFonts w:ascii="Times New Roman" w:hAnsi="Times New Roman"/>
      <w:sz w:val="20"/>
      <w:szCs w:val="20"/>
    </w:rPr>
  </w:style>
  <w:style w:type="paragraph" w:styleId="Revision">
    <w:name w:val="Revision"/>
    <w:hidden/>
    <w:uiPriority w:val="99"/>
    <w:semiHidden/>
    <w:rsid w:val="00555205"/>
    <w:rPr>
      <w:rFonts w:ascii="Times New Roman" w:hAnsi="Times New Roman"/>
      <w:sz w:val="20"/>
      <w:szCs w:val="20"/>
    </w:rPr>
  </w:style>
  <w:style w:type="paragraph" w:styleId="ListParagraph">
    <w:name w:val="List Paragraph"/>
    <w:basedOn w:val="Normal"/>
    <w:uiPriority w:val="34"/>
    <w:qFormat/>
    <w:rsid w:val="00E37E11"/>
    <w:pPr>
      <w:ind w:left="720"/>
      <w:contextualSpacing/>
    </w:pPr>
  </w:style>
  <w:style w:type="character" w:customStyle="1" w:styleId="volume">
    <w:name w:val="volume"/>
    <w:basedOn w:val="DefaultParagraphFont"/>
    <w:rsid w:val="00C323D4"/>
  </w:style>
  <w:style w:type="character" w:customStyle="1" w:styleId="page">
    <w:name w:val="page"/>
    <w:basedOn w:val="DefaultParagraphFont"/>
    <w:rsid w:val="00C323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59"/>
    <w:rPr>
      <w:rFonts w:ascii="Times New Roman" w:hAnsi="Times New Roman"/>
      <w:sz w:val="20"/>
      <w:szCs w:val="20"/>
    </w:rPr>
  </w:style>
  <w:style w:type="paragraph" w:styleId="Heading1">
    <w:name w:val="heading 1"/>
    <w:basedOn w:val="Normal"/>
    <w:next w:val="Normal"/>
    <w:link w:val="Heading1Char"/>
    <w:uiPriority w:val="99"/>
    <w:qFormat/>
    <w:rsid w:val="00B63C71"/>
    <w:pPr>
      <w:keepNext/>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B63C71"/>
    <w:pPr>
      <w:keepNext/>
      <w:tabs>
        <w:tab w:val="num" w:pos="360"/>
      </w:tabs>
      <w:ind w:left="360" w:hanging="360"/>
      <w:outlineLvl w:val="1"/>
    </w:pPr>
    <w:rPr>
      <w:rFonts w:ascii="Cambria" w:hAnsi="Cambria"/>
      <w:b/>
      <w:bCs/>
      <w:i/>
      <w:iCs/>
      <w:sz w:val="28"/>
      <w:szCs w:val="28"/>
    </w:rPr>
  </w:style>
  <w:style w:type="paragraph" w:styleId="Heading3">
    <w:name w:val="heading 3"/>
    <w:basedOn w:val="Normal"/>
    <w:next w:val="Normal"/>
    <w:link w:val="Heading3Char"/>
    <w:uiPriority w:val="99"/>
    <w:qFormat/>
    <w:rsid w:val="00B63C71"/>
    <w:pPr>
      <w:keepNext/>
      <w:ind w:hanging="99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511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655115"/>
    <w:rPr>
      <w:rFonts w:ascii="Cambria" w:hAnsi="Cambria" w:cs="Times New Roman"/>
      <w:b/>
      <w:i/>
      <w:sz w:val="28"/>
    </w:rPr>
  </w:style>
  <w:style w:type="character" w:customStyle="1" w:styleId="Heading3Char">
    <w:name w:val="Heading 3 Char"/>
    <w:basedOn w:val="DefaultParagraphFont"/>
    <w:link w:val="Heading3"/>
    <w:uiPriority w:val="99"/>
    <w:semiHidden/>
    <w:locked/>
    <w:rsid w:val="00655115"/>
    <w:rPr>
      <w:rFonts w:ascii="Cambria" w:hAnsi="Cambria" w:cs="Times New Roman"/>
      <w:b/>
      <w:sz w:val="26"/>
    </w:rPr>
  </w:style>
  <w:style w:type="paragraph" w:styleId="BalloonText">
    <w:name w:val="Balloon Text"/>
    <w:basedOn w:val="Normal"/>
    <w:link w:val="BalloonTextChar"/>
    <w:uiPriority w:val="99"/>
    <w:rsid w:val="00CB6A59"/>
    <w:rPr>
      <w:sz w:val="18"/>
    </w:rPr>
  </w:style>
  <w:style w:type="character" w:customStyle="1" w:styleId="BalloonTextChar">
    <w:name w:val="Balloon Text Char"/>
    <w:basedOn w:val="DefaultParagraphFont"/>
    <w:link w:val="BalloonText"/>
    <w:uiPriority w:val="99"/>
    <w:locked/>
    <w:rsid w:val="00CB6A59"/>
    <w:rPr>
      <w:rFonts w:ascii="Times New Roman" w:hAnsi="Times New Roman"/>
      <w:sz w:val="18"/>
      <w:szCs w:val="20"/>
    </w:rPr>
  </w:style>
  <w:style w:type="paragraph" w:styleId="BodyText">
    <w:name w:val="Body Text"/>
    <w:basedOn w:val="Normal"/>
    <w:link w:val="BodyTextChar"/>
    <w:uiPriority w:val="99"/>
    <w:rsid w:val="00B63C71"/>
  </w:style>
  <w:style w:type="character" w:customStyle="1" w:styleId="BodyTextChar">
    <w:name w:val="Body Text Char"/>
    <w:basedOn w:val="DefaultParagraphFont"/>
    <w:link w:val="BodyText"/>
    <w:uiPriority w:val="99"/>
    <w:semiHidden/>
    <w:locked/>
    <w:rsid w:val="00655115"/>
    <w:rPr>
      <w:rFonts w:ascii="Times New Roman" w:hAnsi="Times New Roman" w:cs="Times New Roman"/>
      <w:sz w:val="20"/>
    </w:rPr>
  </w:style>
  <w:style w:type="character" w:styleId="CommentReference">
    <w:name w:val="annotation reference"/>
    <w:basedOn w:val="DefaultParagraphFont"/>
    <w:uiPriority w:val="99"/>
    <w:rsid w:val="00B63C71"/>
    <w:rPr>
      <w:rFonts w:ascii="Times New Roman" w:hAnsi="Times New Roman" w:cs="Times New Roman"/>
      <w:sz w:val="16"/>
    </w:rPr>
  </w:style>
  <w:style w:type="paragraph" w:styleId="CommentText">
    <w:name w:val="annotation text"/>
    <w:basedOn w:val="Normal"/>
    <w:link w:val="CommentTextChar"/>
    <w:uiPriority w:val="99"/>
    <w:rsid w:val="00B63C71"/>
  </w:style>
  <w:style w:type="character" w:customStyle="1" w:styleId="CommentTextChar">
    <w:name w:val="Comment Text Char"/>
    <w:basedOn w:val="DefaultParagraphFont"/>
    <w:link w:val="CommentText"/>
    <w:uiPriority w:val="99"/>
    <w:semiHidden/>
    <w:locked/>
    <w:rsid w:val="00655115"/>
    <w:rPr>
      <w:rFonts w:ascii="Times New Roman" w:hAnsi="Times New Roman" w:cs="Times New Roman"/>
      <w:sz w:val="20"/>
    </w:rPr>
  </w:style>
  <w:style w:type="paragraph" w:styleId="CommentSubject">
    <w:name w:val="annotation subject"/>
    <w:basedOn w:val="CommentText"/>
    <w:next w:val="CommentText"/>
    <w:link w:val="CommentSubjectChar"/>
    <w:uiPriority w:val="99"/>
    <w:rsid w:val="00B63C71"/>
    <w:rPr>
      <w:b/>
      <w:bCs/>
    </w:rPr>
  </w:style>
  <w:style w:type="character" w:customStyle="1" w:styleId="CommentSubjectChar">
    <w:name w:val="Comment Subject Char"/>
    <w:basedOn w:val="CommentTextChar"/>
    <w:link w:val="CommentSubject"/>
    <w:uiPriority w:val="99"/>
    <w:semiHidden/>
    <w:locked/>
    <w:rsid w:val="00655115"/>
    <w:rPr>
      <w:rFonts w:ascii="Times New Roman" w:hAnsi="Times New Roman" w:cs="Times New Roman"/>
      <w:b/>
      <w:sz w:val="20"/>
    </w:rPr>
  </w:style>
  <w:style w:type="character" w:styleId="FollowedHyperlink">
    <w:name w:val="FollowedHyperlink"/>
    <w:basedOn w:val="DefaultParagraphFont"/>
    <w:uiPriority w:val="99"/>
    <w:rsid w:val="00B63C71"/>
    <w:rPr>
      <w:rFonts w:ascii="Times New Roman" w:hAnsi="Times New Roman" w:cs="Times New Roman"/>
      <w:color w:val="800080"/>
      <w:u w:val="single"/>
    </w:rPr>
  </w:style>
  <w:style w:type="paragraph" w:customStyle="1" w:styleId="CaliberBodyText">
    <w:name w:val="Caliber Body Text"/>
    <w:basedOn w:val="Normal"/>
    <w:uiPriority w:val="99"/>
    <w:rsid w:val="00B63C71"/>
    <w:pPr>
      <w:spacing w:after="240" w:line="288" w:lineRule="auto"/>
      <w:ind w:firstLine="720"/>
    </w:pPr>
    <w:rPr>
      <w:sz w:val="24"/>
      <w:szCs w:val="24"/>
    </w:rPr>
  </w:style>
  <w:style w:type="character" w:customStyle="1" w:styleId="CaliberBodyTextChar">
    <w:name w:val="Caliber Body Text Char"/>
    <w:uiPriority w:val="99"/>
    <w:rsid w:val="00B63C71"/>
    <w:rPr>
      <w:rFonts w:ascii="Times New Roman" w:hAnsi="Times New Roman"/>
      <w:sz w:val="24"/>
      <w:lang w:val="en-US" w:eastAsia="en-US"/>
    </w:rPr>
  </w:style>
  <w:style w:type="paragraph" w:styleId="HTMLPreformatted">
    <w:name w:val="HTML Preformatted"/>
    <w:basedOn w:val="Normal"/>
    <w:link w:val="HTMLPreformattedChar"/>
    <w:uiPriority w:val="99"/>
    <w:rsid w:val="00B63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semiHidden/>
    <w:locked/>
    <w:rsid w:val="00655115"/>
    <w:rPr>
      <w:rFonts w:ascii="Courier New" w:hAnsi="Courier New" w:cs="Times New Roman"/>
      <w:sz w:val="20"/>
    </w:rPr>
  </w:style>
  <w:style w:type="paragraph" w:styleId="FootnoteText">
    <w:name w:val="footnote text"/>
    <w:aliases w:val="F1"/>
    <w:basedOn w:val="Normal"/>
    <w:link w:val="FootnoteTextChar"/>
    <w:uiPriority w:val="99"/>
    <w:rsid w:val="00B63C71"/>
    <w:pPr>
      <w:spacing w:after="120"/>
    </w:pPr>
  </w:style>
  <w:style w:type="character" w:customStyle="1" w:styleId="FootnoteTextChar">
    <w:name w:val="Footnote Text Char"/>
    <w:aliases w:val="F1 Char"/>
    <w:basedOn w:val="DefaultParagraphFont"/>
    <w:link w:val="FootnoteText"/>
    <w:uiPriority w:val="99"/>
    <w:semiHidden/>
    <w:locked/>
    <w:rsid w:val="00655115"/>
    <w:rPr>
      <w:rFonts w:ascii="Times New Roman" w:hAnsi="Times New Roman" w:cs="Times New Roman"/>
      <w:sz w:val="20"/>
    </w:rPr>
  </w:style>
  <w:style w:type="character" w:styleId="FootnoteReference">
    <w:name w:val="footnote reference"/>
    <w:basedOn w:val="DefaultParagraphFont"/>
    <w:uiPriority w:val="99"/>
    <w:rsid w:val="00B63C71"/>
    <w:rPr>
      <w:rFonts w:ascii="Times New Roman" w:hAnsi="Times New Roman" w:cs="Times New Roman"/>
      <w:vertAlign w:val="superscript"/>
    </w:rPr>
  </w:style>
  <w:style w:type="character" w:styleId="Hyperlink">
    <w:name w:val="Hyperlink"/>
    <w:basedOn w:val="DefaultParagraphFont"/>
    <w:uiPriority w:val="99"/>
    <w:rsid w:val="00B63C71"/>
    <w:rPr>
      <w:rFonts w:ascii="Times New Roman" w:hAnsi="Times New Roman" w:cs="Times New Roman"/>
      <w:color w:val="0000FF"/>
      <w:u w:val="single"/>
    </w:rPr>
  </w:style>
  <w:style w:type="paragraph" w:styleId="NormalWeb">
    <w:name w:val="Normal (Web)"/>
    <w:basedOn w:val="Normal"/>
    <w:uiPriority w:val="99"/>
    <w:rsid w:val="00B63C71"/>
    <w:pPr>
      <w:spacing w:before="100" w:beforeAutospacing="1" w:after="100" w:afterAutospacing="1"/>
    </w:pPr>
    <w:rPr>
      <w:sz w:val="24"/>
      <w:szCs w:val="24"/>
    </w:rPr>
  </w:style>
  <w:style w:type="paragraph" w:styleId="ListBullet">
    <w:name w:val="List Bullet"/>
    <w:basedOn w:val="Normal"/>
    <w:autoRedefine/>
    <w:uiPriority w:val="99"/>
    <w:rsid w:val="00B63C71"/>
    <w:pPr>
      <w:numPr>
        <w:numId w:val="10"/>
      </w:numPr>
      <w:tabs>
        <w:tab w:val="clear" w:pos="720"/>
        <w:tab w:val="num" w:pos="360"/>
      </w:tabs>
      <w:spacing w:after="120"/>
      <w:ind w:left="360"/>
    </w:pPr>
    <w:rPr>
      <w:rFonts w:ascii="Arial" w:hAnsi="Arial" w:cs="Arial"/>
      <w:sz w:val="22"/>
      <w:szCs w:val="22"/>
    </w:rPr>
  </w:style>
  <w:style w:type="paragraph" w:customStyle="1" w:styleId="CaliberICFText">
    <w:name w:val="Caliber ICF Text"/>
    <w:basedOn w:val="Normal"/>
    <w:uiPriority w:val="99"/>
    <w:rsid w:val="00B63C71"/>
    <w:pPr>
      <w:spacing w:before="240" w:after="240"/>
    </w:pPr>
    <w:rPr>
      <w:rFonts w:ascii="Arial" w:hAnsi="Arial" w:cs="Arial"/>
      <w:sz w:val="22"/>
      <w:szCs w:val="22"/>
    </w:rPr>
  </w:style>
  <w:style w:type="paragraph" w:customStyle="1" w:styleId="CaliberICFHeading3">
    <w:name w:val="Caliber ICF Heading 3"/>
    <w:basedOn w:val="Heading3"/>
    <w:uiPriority w:val="99"/>
    <w:rsid w:val="00B63C71"/>
    <w:pPr>
      <w:spacing w:after="240"/>
      <w:ind w:firstLine="0"/>
    </w:pPr>
    <w:rPr>
      <w:rFonts w:ascii="Arial Bold" w:hAnsi="Arial Bold" w:cs="Arial Bold"/>
    </w:rPr>
  </w:style>
  <w:style w:type="character" w:customStyle="1" w:styleId="CaliberICFHeading3Char">
    <w:name w:val="Caliber ICF Heading 3 Char"/>
    <w:uiPriority w:val="99"/>
    <w:rsid w:val="00B63C71"/>
    <w:rPr>
      <w:rFonts w:ascii="Arial Bold" w:hAnsi="Arial Bold"/>
      <w:b/>
      <w:color w:val="auto"/>
      <w:sz w:val="24"/>
      <w:lang w:val="en-US" w:eastAsia="en-US"/>
    </w:rPr>
  </w:style>
  <w:style w:type="character" w:customStyle="1" w:styleId="CaliberICFTextChar">
    <w:name w:val="Caliber ICF Text Char"/>
    <w:uiPriority w:val="99"/>
    <w:rsid w:val="00B63C71"/>
    <w:rPr>
      <w:rFonts w:ascii="Arial" w:hAnsi="Arial"/>
      <w:sz w:val="22"/>
      <w:lang w:val="en-US" w:eastAsia="en-US"/>
    </w:rPr>
  </w:style>
  <w:style w:type="paragraph" w:styleId="BodyText2">
    <w:name w:val="Body Text 2"/>
    <w:basedOn w:val="Normal"/>
    <w:link w:val="BodyText2Char"/>
    <w:uiPriority w:val="99"/>
    <w:rsid w:val="00B63C71"/>
  </w:style>
  <w:style w:type="character" w:customStyle="1" w:styleId="BodyText2Char">
    <w:name w:val="Body Text 2 Char"/>
    <w:basedOn w:val="DefaultParagraphFont"/>
    <w:link w:val="BodyText2"/>
    <w:uiPriority w:val="99"/>
    <w:semiHidden/>
    <w:locked/>
    <w:rsid w:val="00655115"/>
    <w:rPr>
      <w:rFonts w:ascii="Times New Roman" w:hAnsi="Times New Roman" w:cs="Times New Roman"/>
      <w:sz w:val="20"/>
    </w:rPr>
  </w:style>
  <w:style w:type="paragraph" w:styleId="Title">
    <w:name w:val="Title"/>
    <w:basedOn w:val="Normal"/>
    <w:link w:val="TitleChar"/>
    <w:uiPriority w:val="99"/>
    <w:qFormat/>
    <w:rsid w:val="00B63C71"/>
    <w:pPr>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655115"/>
    <w:rPr>
      <w:rFonts w:ascii="Cambria" w:hAnsi="Cambria" w:cs="Times New Roman"/>
      <w:b/>
      <w:kern w:val="28"/>
      <w:sz w:val="32"/>
    </w:rPr>
  </w:style>
  <w:style w:type="paragraph" w:styleId="BodyText3">
    <w:name w:val="Body Text 3"/>
    <w:basedOn w:val="Normal"/>
    <w:link w:val="BodyText3Char"/>
    <w:uiPriority w:val="99"/>
    <w:rsid w:val="00B63C71"/>
    <w:rPr>
      <w:sz w:val="16"/>
      <w:szCs w:val="16"/>
    </w:rPr>
  </w:style>
  <w:style w:type="character" w:customStyle="1" w:styleId="BodyText3Char">
    <w:name w:val="Body Text 3 Char"/>
    <w:basedOn w:val="DefaultParagraphFont"/>
    <w:link w:val="BodyText3"/>
    <w:uiPriority w:val="99"/>
    <w:semiHidden/>
    <w:locked/>
    <w:rsid w:val="00655115"/>
    <w:rPr>
      <w:rFonts w:ascii="Times New Roman" w:hAnsi="Times New Roman" w:cs="Times New Roman"/>
      <w:sz w:val="16"/>
    </w:rPr>
  </w:style>
  <w:style w:type="paragraph" w:styleId="Footer">
    <w:name w:val="footer"/>
    <w:basedOn w:val="Normal"/>
    <w:link w:val="FooterChar"/>
    <w:uiPriority w:val="99"/>
    <w:locked/>
    <w:rsid w:val="004D741C"/>
    <w:pPr>
      <w:tabs>
        <w:tab w:val="center" w:pos="4320"/>
        <w:tab w:val="right" w:pos="8640"/>
      </w:tabs>
    </w:pPr>
  </w:style>
  <w:style w:type="character" w:customStyle="1" w:styleId="FooterChar">
    <w:name w:val="Footer Char"/>
    <w:basedOn w:val="DefaultParagraphFont"/>
    <w:link w:val="Footer"/>
    <w:uiPriority w:val="99"/>
    <w:semiHidden/>
    <w:locked/>
    <w:rsid w:val="00E50FE4"/>
    <w:rPr>
      <w:rFonts w:ascii="Times New Roman" w:hAnsi="Times New Roman" w:cs="Times New Roman"/>
      <w:sz w:val="20"/>
    </w:rPr>
  </w:style>
  <w:style w:type="character" w:styleId="PageNumber">
    <w:name w:val="page number"/>
    <w:basedOn w:val="DefaultParagraphFont"/>
    <w:uiPriority w:val="99"/>
    <w:locked/>
    <w:rsid w:val="004D741C"/>
    <w:rPr>
      <w:rFonts w:cs="Times New Roman"/>
    </w:rPr>
  </w:style>
  <w:style w:type="table" w:styleId="TableGrid">
    <w:name w:val="Table Grid"/>
    <w:basedOn w:val="TableNormal"/>
    <w:uiPriority w:val="99"/>
    <w:rsid w:val="00C243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555205"/>
    <w:pPr>
      <w:tabs>
        <w:tab w:val="center" w:pos="4680"/>
        <w:tab w:val="right" w:pos="9360"/>
      </w:tabs>
    </w:pPr>
  </w:style>
  <w:style w:type="character" w:customStyle="1" w:styleId="HeaderChar">
    <w:name w:val="Header Char"/>
    <w:basedOn w:val="DefaultParagraphFont"/>
    <w:link w:val="Header"/>
    <w:uiPriority w:val="99"/>
    <w:rsid w:val="00555205"/>
    <w:rPr>
      <w:rFonts w:ascii="Times New Roman" w:hAnsi="Times New Roman"/>
      <w:sz w:val="20"/>
      <w:szCs w:val="20"/>
    </w:rPr>
  </w:style>
  <w:style w:type="paragraph" w:styleId="Revision">
    <w:name w:val="Revision"/>
    <w:hidden/>
    <w:uiPriority w:val="99"/>
    <w:semiHidden/>
    <w:rsid w:val="00555205"/>
    <w:rPr>
      <w:rFonts w:ascii="Times New Roman" w:hAnsi="Times New Roman"/>
      <w:sz w:val="20"/>
      <w:szCs w:val="20"/>
    </w:rPr>
  </w:style>
  <w:style w:type="paragraph" w:styleId="ListParagraph">
    <w:name w:val="List Paragraph"/>
    <w:basedOn w:val="Normal"/>
    <w:uiPriority w:val="34"/>
    <w:qFormat/>
    <w:rsid w:val="00E37E11"/>
    <w:pPr>
      <w:ind w:left="720"/>
      <w:contextualSpacing/>
    </w:pPr>
  </w:style>
  <w:style w:type="character" w:customStyle="1" w:styleId="volume">
    <w:name w:val="volume"/>
    <w:basedOn w:val="DefaultParagraphFont"/>
    <w:rsid w:val="00C323D4"/>
  </w:style>
  <w:style w:type="character" w:customStyle="1" w:styleId="page">
    <w:name w:val="page"/>
    <w:basedOn w:val="DefaultParagraphFont"/>
    <w:rsid w:val="00C32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2226">
      <w:bodyDiv w:val="1"/>
      <w:marLeft w:val="0"/>
      <w:marRight w:val="0"/>
      <w:marTop w:val="0"/>
      <w:marBottom w:val="0"/>
      <w:divBdr>
        <w:top w:val="none" w:sz="0" w:space="0" w:color="auto"/>
        <w:left w:val="none" w:sz="0" w:space="0" w:color="auto"/>
        <w:bottom w:val="none" w:sz="0" w:space="0" w:color="auto"/>
        <w:right w:val="none" w:sz="0" w:space="0" w:color="auto"/>
      </w:divBdr>
    </w:div>
    <w:div w:id="714702222">
      <w:bodyDiv w:val="1"/>
      <w:marLeft w:val="0"/>
      <w:marRight w:val="0"/>
      <w:marTop w:val="0"/>
      <w:marBottom w:val="0"/>
      <w:divBdr>
        <w:top w:val="none" w:sz="0" w:space="0" w:color="auto"/>
        <w:left w:val="none" w:sz="0" w:space="0" w:color="auto"/>
        <w:bottom w:val="none" w:sz="0" w:space="0" w:color="auto"/>
        <w:right w:val="none" w:sz="0" w:space="0" w:color="auto"/>
      </w:divBdr>
    </w:div>
    <w:div w:id="969700270">
      <w:bodyDiv w:val="1"/>
      <w:marLeft w:val="0"/>
      <w:marRight w:val="0"/>
      <w:marTop w:val="0"/>
      <w:marBottom w:val="0"/>
      <w:divBdr>
        <w:top w:val="none" w:sz="0" w:space="0" w:color="auto"/>
        <w:left w:val="none" w:sz="0" w:space="0" w:color="auto"/>
        <w:bottom w:val="none" w:sz="0" w:space="0" w:color="auto"/>
        <w:right w:val="none" w:sz="0" w:space="0" w:color="auto"/>
      </w:divBdr>
    </w:div>
    <w:div w:id="1486242867">
      <w:bodyDiv w:val="1"/>
      <w:marLeft w:val="0"/>
      <w:marRight w:val="0"/>
      <w:marTop w:val="0"/>
      <w:marBottom w:val="0"/>
      <w:divBdr>
        <w:top w:val="none" w:sz="0" w:space="0" w:color="auto"/>
        <w:left w:val="none" w:sz="0" w:space="0" w:color="auto"/>
        <w:bottom w:val="none" w:sz="0" w:space="0" w:color="auto"/>
        <w:right w:val="none" w:sz="0" w:space="0" w:color="auto"/>
      </w:divBdr>
    </w:div>
    <w:div w:id="199166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62D1FA3-CF0D-414B-8D40-48C501DC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4127</Words>
  <Characters>23512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Supporting Statement for VBA Generic Customer Survey Clearance</vt:lpstr>
    </vt:vector>
  </TitlesOfParts>
  <Company>VA</Company>
  <LinksUpToDate>false</LinksUpToDate>
  <CharactersWithSpaces>27584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VBA Generic Customer Survey Clearance</dc:title>
  <dc:creator>VBA</dc:creator>
  <cp:lastModifiedBy>Dawna Quick</cp:lastModifiedBy>
  <cp:revision>3</cp:revision>
  <cp:lastPrinted>2012-06-25T15:08:00Z</cp:lastPrinted>
  <dcterms:created xsi:type="dcterms:W3CDTF">2016-02-29T18:09:00Z</dcterms:created>
  <dcterms:modified xsi:type="dcterms:W3CDTF">2016-02-29T18:09:00Z</dcterms:modified>
</cp:coreProperties>
</file>