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4B6" w:rsidRDefault="006E14B6" w:rsidP="006E14B6">
      <w:pPr>
        <w:jc w:val="center"/>
        <w:rPr>
          <w:b/>
        </w:rPr>
      </w:pPr>
      <w:r>
        <w:rPr>
          <w:b/>
        </w:rPr>
        <w:t>SUPPORTING STATEMENT</w:t>
      </w:r>
    </w:p>
    <w:p w:rsidR="006E14B6" w:rsidRDefault="006E14B6" w:rsidP="00E91B2F">
      <w:pPr>
        <w:tabs>
          <w:tab w:val="left" w:pos="1620"/>
        </w:tabs>
        <w:jc w:val="center"/>
        <w:rPr>
          <w:b/>
        </w:rPr>
      </w:pPr>
      <w:r>
        <w:rPr>
          <w:b/>
        </w:rPr>
        <w:t>HOMELAND SECURITY ACQUISITION REGULATION (HSAR)</w:t>
      </w:r>
    </w:p>
    <w:p w:rsidR="006E14B6" w:rsidRDefault="006E14B6" w:rsidP="006E14B6">
      <w:pPr>
        <w:jc w:val="center"/>
        <w:rPr>
          <w:b/>
        </w:rPr>
      </w:pPr>
      <w:r>
        <w:rPr>
          <w:b/>
        </w:rPr>
        <w:t xml:space="preserve">OMB CONTROL NO.  </w:t>
      </w:r>
      <w:r w:rsidR="001976B4">
        <w:rPr>
          <w:b/>
        </w:rPr>
        <w:t>1601-NEW</w:t>
      </w:r>
      <w:bookmarkStart w:id="0" w:name="_GoBack"/>
      <w:bookmarkEnd w:id="0"/>
    </w:p>
    <w:p w:rsidR="001C5B80" w:rsidRDefault="001C1E8C" w:rsidP="00924D7D">
      <w:pPr>
        <w:jc w:val="center"/>
        <w:rPr>
          <w:b/>
        </w:rPr>
      </w:pPr>
      <w:r>
        <w:rPr>
          <w:b/>
        </w:rPr>
        <w:t>SAFEG</w:t>
      </w:r>
      <w:r w:rsidR="001C5B80">
        <w:rPr>
          <w:b/>
        </w:rPr>
        <w:t xml:space="preserve">UARDING OF SENSITIVE INFORMATION </w:t>
      </w:r>
    </w:p>
    <w:p w:rsidR="006E14B6" w:rsidRDefault="006E14B6" w:rsidP="006E14B6">
      <w:pPr>
        <w:jc w:val="center"/>
        <w:rPr>
          <w:b/>
        </w:rPr>
      </w:pPr>
    </w:p>
    <w:p w:rsidR="006E14B6" w:rsidRDefault="006E14B6" w:rsidP="006E14B6">
      <w:pPr>
        <w:rPr>
          <w:b/>
        </w:rPr>
      </w:pPr>
      <w:r>
        <w:rPr>
          <w:b/>
        </w:rPr>
        <w:t xml:space="preserve">A.  </w:t>
      </w:r>
      <w:r>
        <w:rPr>
          <w:b/>
          <w:u w:val="single"/>
        </w:rPr>
        <w:t>JUSTIFICATION</w:t>
      </w:r>
    </w:p>
    <w:p w:rsidR="006E14B6" w:rsidRDefault="006E14B6" w:rsidP="006E14B6">
      <w:pPr>
        <w:rPr>
          <w:b/>
        </w:rPr>
      </w:pPr>
    </w:p>
    <w:p w:rsidR="006E14B6" w:rsidRDefault="006E14B6" w:rsidP="006E14B6">
      <w:pPr>
        <w:rPr>
          <w:b/>
        </w:rPr>
      </w:pPr>
      <w:r>
        <w:rPr>
          <w:b/>
        </w:rPr>
        <w:t xml:space="preserve">1.  </w:t>
      </w:r>
      <w:r w:rsidR="000C5166" w:rsidRPr="000C5166">
        <w:rPr>
          <w:b/>
        </w:rPr>
        <w:t>Need for the Information Collection</w:t>
      </w:r>
    </w:p>
    <w:p w:rsidR="00C96E88" w:rsidRDefault="00C96E88" w:rsidP="001221C3">
      <w:r>
        <w:t>This request is for the establishment of a new information collection to implement the Department of Homeland Security (</w:t>
      </w:r>
      <w:r w:rsidRPr="008F27D6">
        <w:t>DHS</w:t>
      </w:r>
      <w:r>
        <w:t xml:space="preserve">) requirements for safeguarding </w:t>
      </w:r>
      <w:r w:rsidRPr="00A56650">
        <w:t>sensitive information</w:t>
      </w:r>
      <w:r>
        <w:t xml:space="preserve">.  </w:t>
      </w:r>
      <w:r w:rsidR="001763FA">
        <w:t xml:space="preserve">Part of the </w:t>
      </w:r>
      <w:r w:rsidR="00B874A8">
        <w:t xml:space="preserve">mission of the </w:t>
      </w:r>
      <w:r w:rsidR="001763FA" w:rsidRPr="008F27D6">
        <w:t>DHS</w:t>
      </w:r>
      <w:r w:rsidR="001763FA">
        <w:t xml:space="preserve"> is to </w:t>
      </w:r>
      <w:r w:rsidR="001763FA" w:rsidRPr="00096C41">
        <w:t xml:space="preserve">protect the </w:t>
      </w:r>
      <w:r w:rsidR="001763FA" w:rsidRPr="00B874A8">
        <w:t xml:space="preserve">nation’s cybersecurity and to coordinate responses to cyber-attacks and security vulnerabilities.  </w:t>
      </w:r>
      <w:r w:rsidR="00B874A8" w:rsidRPr="00B874A8">
        <w:t>In keeping with th</w:t>
      </w:r>
      <w:r w:rsidR="000C3791">
        <w:t>is</w:t>
      </w:r>
      <w:r w:rsidR="00B874A8" w:rsidRPr="00B874A8">
        <w:t xml:space="preserve"> mission</w:t>
      </w:r>
      <w:r w:rsidR="001763FA" w:rsidRPr="00B874A8">
        <w:t xml:space="preserve">, DHS is proposing to amend the HSAR to implement requirements that contractors and subcontractors must meet to protect sensitive information.  </w:t>
      </w:r>
      <w:r w:rsidR="000C3791">
        <w:t>This information collection is n</w:t>
      </w:r>
      <w:r w:rsidR="001763FA" w:rsidRPr="00B874A8">
        <w:t xml:space="preserve">ecessary to </w:t>
      </w:r>
      <w:r w:rsidR="000C3791">
        <w:t xml:space="preserve">ensure </w:t>
      </w:r>
      <w:r w:rsidR="00B874A8" w:rsidRPr="00B874A8">
        <w:t xml:space="preserve">adequate security measures </w:t>
      </w:r>
      <w:r w:rsidR="000C3791">
        <w:t xml:space="preserve">are in place </w:t>
      </w:r>
      <w:r w:rsidR="00B874A8" w:rsidRPr="00B874A8">
        <w:t>to safeguard sensitive information an</w:t>
      </w:r>
      <w:r>
        <w:t>d</w:t>
      </w:r>
      <w:r w:rsidR="00B874A8" w:rsidRPr="00B874A8">
        <w:t xml:space="preserve"> </w:t>
      </w:r>
      <w:r>
        <w:t xml:space="preserve">to </w:t>
      </w:r>
      <w:r w:rsidR="00B874A8" w:rsidRPr="00B874A8">
        <w:t>improve incident reporting to DHS.</w:t>
      </w:r>
      <w:r w:rsidR="00B874A8">
        <w:t xml:space="preserve">  </w:t>
      </w:r>
    </w:p>
    <w:p w:rsidR="00901D50" w:rsidRDefault="00901D50" w:rsidP="001221C3"/>
    <w:p w:rsidR="003278B6" w:rsidRDefault="00901D50" w:rsidP="001221C3">
      <w:r w:rsidRPr="0010111C">
        <w:t xml:space="preserve">The requirement to ensure </w:t>
      </w:r>
      <w:r>
        <w:t>the</w:t>
      </w:r>
      <w:r w:rsidRPr="0010111C">
        <w:t xml:space="preserve"> security of sensitive information has been a HSAR requirement for a number of years.  This rule expands on the existing IT security requirements </w:t>
      </w:r>
      <w:r w:rsidR="00BD5BC4">
        <w:t>in</w:t>
      </w:r>
      <w:r w:rsidRPr="0010111C">
        <w:t xml:space="preserve"> HSAR 3052.204-70</w:t>
      </w:r>
      <w:r w:rsidR="00BD5BC4">
        <w:t>,</w:t>
      </w:r>
      <w:r w:rsidRPr="0010111C">
        <w:t xml:space="preserve"> Security Requirements for Unclassified Information Technology resources, which this rule proposes </w:t>
      </w:r>
      <w:r w:rsidRPr="00005304">
        <w:t>to remove</w:t>
      </w:r>
      <w:r w:rsidR="001C6A50">
        <w:t xml:space="preserve">.  </w:t>
      </w:r>
      <w:r w:rsidR="003278B6" w:rsidRPr="003278B6">
        <w:t>Th</w:t>
      </w:r>
      <w:r w:rsidR="001C6A50">
        <w:t xml:space="preserve">is </w:t>
      </w:r>
      <w:r w:rsidR="003278B6">
        <w:t xml:space="preserve">requirement will be </w:t>
      </w:r>
      <w:r w:rsidR="00A01F4A">
        <w:t>prescribe</w:t>
      </w:r>
      <w:r w:rsidR="00426351">
        <w:t>d</w:t>
      </w:r>
      <w:r w:rsidR="003278B6">
        <w:t xml:space="preserve"> in HSAR </w:t>
      </w:r>
      <w:r w:rsidR="003278B6" w:rsidRPr="00BE3ABA">
        <w:t>30</w:t>
      </w:r>
      <w:r w:rsidR="00A01F4A">
        <w:t>04</w:t>
      </w:r>
      <w:r w:rsidR="003278B6">
        <w:t>.</w:t>
      </w:r>
      <w:r w:rsidR="00164F6D">
        <w:t>470-</w:t>
      </w:r>
      <w:r w:rsidR="006B62EB">
        <w:t>4(b)</w:t>
      </w:r>
      <w:r w:rsidR="00164F6D">
        <w:t xml:space="preserve"> </w:t>
      </w:r>
      <w:r w:rsidR="003278B6">
        <w:t xml:space="preserve">and </w:t>
      </w:r>
      <w:r w:rsidR="00164F6D">
        <w:t xml:space="preserve">the </w:t>
      </w:r>
      <w:r w:rsidR="003278B6">
        <w:t xml:space="preserve">associated clause </w:t>
      </w:r>
      <w:r w:rsidR="00164F6D">
        <w:t xml:space="preserve">will be incorporated at </w:t>
      </w:r>
      <w:r w:rsidR="003278B6">
        <w:t>HSAR 3052.</w:t>
      </w:r>
      <w:r w:rsidR="00A01F4A">
        <w:t>204-</w:t>
      </w:r>
      <w:r w:rsidR="00164F6D">
        <w:t>7</w:t>
      </w:r>
      <w:r w:rsidR="00A01F4A">
        <w:t>X</w:t>
      </w:r>
      <w:r w:rsidR="006B62EB">
        <w:t xml:space="preserve">, </w:t>
      </w:r>
      <w:r w:rsidR="006B62EB" w:rsidRPr="006B62EB">
        <w:t>Safeguarding of Sensitive Information</w:t>
      </w:r>
      <w:r w:rsidR="003278B6">
        <w:t xml:space="preserve">.  </w:t>
      </w:r>
      <w:r w:rsidR="008A02E3">
        <w:t xml:space="preserve">The </w:t>
      </w:r>
      <w:r w:rsidR="0033086B">
        <w:t>Safeguarding of Sensitive Information clause</w:t>
      </w:r>
      <w:r w:rsidR="008A02E3">
        <w:t xml:space="preserve"> includes </w:t>
      </w:r>
      <w:r w:rsidR="003278B6">
        <w:t>the following:</w:t>
      </w:r>
    </w:p>
    <w:p w:rsidR="00CC2540" w:rsidRDefault="00CC2540" w:rsidP="001221C3"/>
    <w:p w:rsidR="00D11CAF" w:rsidRDefault="006B7CCE" w:rsidP="00D11CAF">
      <w:pPr>
        <w:pStyle w:val="ListParagraph"/>
        <w:numPr>
          <w:ilvl w:val="0"/>
          <w:numId w:val="3"/>
        </w:numPr>
        <w:ind w:left="720"/>
      </w:pPr>
      <w:r>
        <w:t>HSAR</w:t>
      </w:r>
      <w:r w:rsidR="00CC2540" w:rsidRPr="00A5756C">
        <w:t xml:space="preserve"> </w:t>
      </w:r>
      <w:r w:rsidR="00164F6D">
        <w:t>3052.204-7X</w:t>
      </w:r>
      <w:r>
        <w:t>,</w:t>
      </w:r>
      <w:r w:rsidR="00CC2540">
        <w:t xml:space="preserve"> Paragraph (</w:t>
      </w:r>
      <w:r w:rsidR="006B62EB">
        <w:t>b</w:t>
      </w:r>
      <w:r w:rsidR="00CC2540">
        <w:t>)</w:t>
      </w:r>
      <w:r>
        <w:t xml:space="preserve"> </w:t>
      </w:r>
      <w:r w:rsidR="00777F2C">
        <w:rPr>
          <w:i/>
          <w:lang w:val="en"/>
        </w:rPr>
        <w:t>Handling of Sensitive Information</w:t>
      </w:r>
      <w:r w:rsidRPr="00E91B2F">
        <w:rPr>
          <w:i/>
          <w:lang w:val="en"/>
        </w:rPr>
        <w:t>.</w:t>
      </w:r>
      <w:r>
        <w:t xml:space="preserve"> </w:t>
      </w:r>
      <w:r w:rsidR="006B62EB">
        <w:t xml:space="preserve"> </w:t>
      </w:r>
      <w:r w:rsidR="00A94101">
        <w:t>Require c</w:t>
      </w:r>
      <w:r w:rsidR="00A94101" w:rsidRPr="00FF623B">
        <w:rPr>
          <w:bCs/>
        </w:rPr>
        <w:t xml:space="preserve">ontractors and subcontractors </w:t>
      </w:r>
      <w:r w:rsidR="00A94101">
        <w:rPr>
          <w:bCs/>
        </w:rPr>
        <w:t>to</w:t>
      </w:r>
      <w:r w:rsidR="00A94101" w:rsidRPr="00FF623B">
        <w:rPr>
          <w:bCs/>
        </w:rPr>
        <w:t xml:space="preserve"> provide adequate security to protect sensitive information from unauthorized access and disclosure.  Adequate security includes compliance with DHS policies and procedures in effect at the time of contract award.  </w:t>
      </w:r>
    </w:p>
    <w:p w:rsidR="00D11CAF" w:rsidRDefault="00D11CAF" w:rsidP="00D11CAF">
      <w:pPr>
        <w:pStyle w:val="ListParagraph"/>
      </w:pPr>
    </w:p>
    <w:p w:rsidR="00D11CAF" w:rsidRDefault="00BC43B8" w:rsidP="00D11CAF">
      <w:pPr>
        <w:pStyle w:val="ListParagraph"/>
        <w:numPr>
          <w:ilvl w:val="0"/>
          <w:numId w:val="3"/>
        </w:numPr>
        <w:ind w:left="720"/>
      </w:pPr>
      <w:r>
        <w:t>HSAR</w:t>
      </w:r>
      <w:r w:rsidRPr="00A5756C">
        <w:t xml:space="preserve"> </w:t>
      </w:r>
      <w:r>
        <w:t xml:space="preserve">3052.204-7X, Paragraph (d) </w:t>
      </w:r>
      <w:r w:rsidRPr="00D11CAF">
        <w:rPr>
          <w:i/>
          <w:lang w:val="en"/>
        </w:rPr>
        <w:t>Incident Reporting Requirements.</w:t>
      </w:r>
      <w:r w:rsidR="00D92DBD">
        <w:rPr>
          <w:i/>
          <w:lang w:val="en"/>
        </w:rPr>
        <w:t xml:space="preserve"> </w:t>
      </w:r>
      <w:r w:rsidRPr="00D11CAF">
        <w:rPr>
          <w:i/>
          <w:lang w:val="en"/>
        </w:rPr>
        <w:t xml:space="preserve"> </w:t>
      </w:r>
      <w:r w:rsidRPr="00D11CAF">
        <w:rPr>
          <w:lang w:val="en"/>
        </w:rPr>
        <w:t xml:space="preserve">Require a contractor to </w:t>
      </w:r>
      <w:r>
        <w:t xml:space="preserve">report all </w:t>
      </w:r>
      <w:r w:rsidRPr="00FF623B">
        <w:t>known or suspected incidents to the Component Security Operations Center (SOC)</w:t>
      </w:r>
      <w:r>
        <w:t xml:space="preserve">, or the </w:t>
      </w:r>
      <w:r w:rsidRPr="00FF623B">
        <w:t>DHS Enterprise SOC</w:t>
      </w:r>
      <w:r>
        <w:t xml:space="preserve"> if the Component SOC is not available,</w:t>
      </w:r>
      <w:r w:rsidRPr="00FF623B">
        <w:t xml:space="preserve"> </w:t>
      </w:r>
      <w:r>
        <w:t xml:space="preserve">within one hour of discovery </w:t>
      </w:r>
      <w:r w:rsidRPr="00FF623B">
        <w:t xml:space="preserve">in accordance with </w:t>
      </w:r>
      <w:r w:rsidRPr="00D11CAF">
        <w:rPr>
          <w:bCs/>
          <w:i/>
          <w:lang w:val="en"/>
        </w:rPr>
        <w:t>4300A Sensitive Systems Handbook Attachment F Incident Response</w:t>
      </w:r>
      <w:r w:rsidRPr="00D11CAF">
        <w:rPr>
          <w:lang w:val="en"/>
        </w:rPr>
        <w:t xml:space="preserve">.  </w:t>
      </w:r>
      <w:r w:rsidRPr="00FF623B">
        <w:t xml:space="preserve">All others shall be reported within eight hours of discovery.  </w:t>
      </w:r>
      <w:r>
        <w:t xml:space="preserve">Any </w:t>
      </w:r>
      <w:r w:rsidRPr="00D11CAF">
        <w:rPr>
          <w:bCs/>
          <w:lang w:val="en"/>
        </w:rPr>
        <w:t>remaining data elements not provided in the timeframes listed above shall be provided within 24 hours of submission of the initial incident.</w:t>
      </w:r>
    </w:p>
    <w:p w:rsidR="00D11CAF" w:rsidRDefault="00D11CAF" w:rsidP="00D11CAF">
      <w:pPr>
        <w:pStyle w:val="ListParagraph"/>
      </w:pPr>
    </w:p>
    <w:p w:rsidR="00D11CAF" w:rsidRDefault="00BC43B8" w:rsidP="00D11CAF">
      <w:pPr>
        <w:pStyle w:val="ListParagraph"/>
        <w:numPr>
          <w:ilvl w:val="0"/>
          <w:numId w:val="3"/>
        </w:numPr>
        <w:ind w:left="720"/>
      </w:pPr>
      <w:r>
        <w:t>HSAR</w:t>
      </w:r>
      <w:r w:rsidRPr="00A5756C">
        <w:t xml:space="preserve"> </w:t>
      </w:r>
      <w:r>
        <w:t xml:space="preserve">3052.204-7X, Paragraph (e) </w:t>
      </w:r>
      <w:r w:rsidRPr="00D11CAF">
        <w:rPr>
          <w:i/>
          <w:lang w:val="en"/>
        </w:rPr>
        <w:t xml:space="preserve">Incident Response Requirements. </w:t>
      </w:r>
      <w:r w:rsidR="00D92DBD">
        <w:rPr>
          <w:i/>
          <w:lang w:val="en"/>
        </w:rPr>
        <w:t xml:space="preserve"> </w:t>
      </w:r>
      <w:r w:rsidRPr="00D11CAF">
        <w:rPr>
          <w:lang w:val="en"/>
        </w:rPr>
        <w:t>Require a contractor to provide full access and cooperation for all activities determined by the Government to be required to ensure an effective incident response, including providing all requested images, log files, and event information to facilitate rapid resolution of sensitive information incidents.</w:t>
      </w:r>
    </w:p>
    <w:p w:rsidR="00D11CAF" w:rsidRDefault="00D11CAF" w:rsidP="00D11CAF">
      <w:pPr>
        <w:pStyle w:val="ListParagraph"/>
      </w:pPr>
    </w:p>
    <w:p w:rsidR="00D11CAF" w:rsidRDefault="00BC43B8" w:rsidP="00D11CAF">
      <w:pPr>
        <w:pStyle w:val="ListParagraph"/>
        <w:numPr>
          <w:ilvl w:val="0"/>
          <w:numId w:val="3"/>
        </w:numPr>
        <w:ind w:left="720"/>
      </w:pPr>
      <w:r>
        <w:lastRenderedPageBreak/>
        <w:t>HSAR</w:t>
      </w:r>
      <w:r w:rsidRPr="00A5756C">
        <w:t xml:space="preserve"> </w:t>
      </w:r>
      <w:r>
        <w:t xml:space="preserve">3052.204-7X, Paragraph (f) </w:t>
      </w:r>
      <w:r w:rsidRPr="00D11CAF">
        <w:rPr>
          <w:i/>
        </w:rPr>
        <w:t xml:space="preserve">PII and SPII </w:t>
      </w:r>
      <w:r w:rsidRPr="00D11CAF">
        <w:rPr>
          <w:i/>
          <w:iCs/>
          <w:lang w:val="en"/>
        </w:rPr>
        <w:t>Notification Requirements</w:t>
      </w:r>
      <w:r w:rsidRPr="00D11CAF">
        <w:rPr>
          <w:i/>
          <w:lang w:val="en"/>
        </w:rPr>
        <w:t>.</w:t>
      </w:r>
      <w:r>
        <w:t xml:space="preserve"> Require a contractor to </w:t>
      </w:r>
      <w:r w:rsidRPr="007F6E1A">
        <w:t xml:space="preserve">have in place procedures and the capability to notify any individual whose PII and/or SPII was under the control of the </w:t>
      </w:r>
      <w:r>
        <w:t>c</w:t>
      </w:r>
      <w:r w:rsidRPr="007F6E1A">
        <w:t xml:space="preserve">ontractor or resided in the </w:t>
      </w:r>
      <w:r>
        <w:t>c</w:t>
      </w:r>
      <w:r w:rsidRPr="007F6E1A">
        <w:t>ontractor information system at the time of the incident not later than 5 business days after being directed to notify individuals, unless otherwise approved by the Contracting Officer</w:t>
      </w:r>
      <w:r>
        <w:t xml:space="preserve">. </w:t>
      </w:r>
    </w:p>
    <w:p w:rsidR="00D11CAF" w:rsidRDefault="00D11CAF" w:rsidP="00D11CAF">
      <w:pPr>
        <w:pStyle w:val="ListParagraph"/>
      </w:pPr>
    </w:p>
    <w:p w:rsidR="00D11CAF" w:rsidRDefault="00BC43B8" w:rsidP="00D11CAF">
      <w:pPr>
        <w:pStyle w:val="ListParagraph"/>
        <w:numPr>
          <w:ilvl w:val="0"/>
          <w:numId w:val="3"/>
        </w:numPr>
        <w:ind w:left="720"/>
      </w:pPr>
      <w:r>
        <w:t>HSAR</w:t>
      </w:r>
      <w:r w:rsidRPr="00A5756C">
        <w:t xml:space="preserve"> </w:t>
      </w:r>
      <w:r>
        <w:t xml:space="preserve">3052.204-7X, Paragraph (g) </w:t>
      </w:r>
      <w:r w:rsidRPr="00D11CAF">
        <w:rPr>
          <w:i/>
          <w:iCs/>
          <w:lang w:val="en"/>
        </w:rPr>
        <w:t>Credit Monitoring Requirements.</w:t>
      </w:r>
      <w:r w:rsidRPr="00D11CAF">
        <w:rPr>
          <w:iCs/>
          <w:lang w:val="en"/>
        </w:rPr>
        <w:t xml:space="preserve">  Require a contractor to </w:t>
      </w:r>
      <w:r w:rsidRPr="00D11CAF">
        <w:rPr>
          <w:lang w:val="en"/>
        </w:rPr>
        <w:t xml:space="preserve">provide credit monitoring services in the event that an incident involves </w:t>
      </w:r>
      <w:r w:rsidRPr="00D11CAF">
        <w:rPr>
          <w:bCs/>
          <w:lang w:val="en"/>
        </w:rPr>
        <w:t xml:space="preserve">PII and/or SPII.  </w:t>
      </w:r>
      <w:r w:rsidRPr="00D11CAF">
        <w:rPr>
          <w:lang w:val="en"/>
        </w:rPr>
        <w:t xml:space="preserve">Credit monitoring services are to be provided to an individual </w:t>
      </w:r>
      <w:r w:rsidR="00426351" w:rsidRPr="00D11CAF">
        <w:rPr>
          <w:lang w:val="en"/>
        </w:rPr>
        <w:t>who</w:t>
      </w:r>
      <w:r w:rsidR="00426351">
        <w:rPr>
          <w:lang w:val="en"/>
        </w:rPr>
        <w:t>se</w:t>
      </w:r>
      <w:r w:rsidR="00426351" w:rsidRPr="00D11CAF">
        <w:rPr>
          <w:lang w:val="en"/>
        </w:rPr>
        <w:t xml:space="preserve"> </w:t>
      </w:r>
      <w:r w:rsidRPr="00D11CAF">
        <w:rPr>
          <w:lang w:val="en"/>
        </w:rPr>
        <w:t>PII and/or SPII was under the control of the contractor or resided in the information system at the time of the incident for a period beginning the date of the incident and extending not less than 18 months from the date the individual is notified.  Credit monitoring services shall be provided from a company with which the contractor has no affiliation.</w:t>
      </w:r>
    </w:p>
    <w:p w:rsidR="00D11CAF" w:rsidRDefault="00D11CAF" w:rsidP="00D11CAF">
      <w:pPr>
        <w:pStyle w:val="ListParagraph"/>
      </w:pPr>
    </w:p>
    <w:p w:rsidR="00D11CAF" w:rsidRDefault="00BC43B8" w:rsidP="00D11CAF">
      <w:pPr>
        <w:pStyle w:val="ListParagraph"/>
        <w:numPr>
          <w:ilvl w:val="0"/>
          <w:numId w:val="3"/>
        </w:numPr>
        <w:ind w:left="720"/>
      </w:pPr>
      <w:r>
        <w:t>HSAR</w:t>
      </w:r>
      <w:r w:rsidRPr="00A5756C">
        <w:t xml:space="preserve"> </w:t>
      </w:r>
      <w:r>
        <w:t xml:space="preserve">3052.204-7X, Paragraph (h) </w:t>
      </w:r>
      <w:r w:rsidRPr="00D11CAF">
        <w:rPr>
          <w:i/>
          <w:lang w:val="en"/>
        </w:rPr>
        <w:t>Certification of Sanitization of Government and Government-Activity-Related Files and Information</w:t>
      </w:r>
      <w:r w:rsidRPr="00D11CAF">
        <w:rPr>
          <w:lang w:val="en"/>
        </w:rPr>
        <w:t xml:space="preserve">.  Require a contractor to certify and confirm the sanitization of Government and Government-Activity related files and information, and submit the certification to the </w:t>
      </w:r>
      <w:r w:rsidR="00DE400E">
        <w:rPr>
          <w:lang w:val="en"/>
        </w:rPr>
        <w:t>Contracting Officer</w:t>
      </w:r>
      <w:r w:rsidR="00A67520">
        <w:rPr>
          <w:lang w:val="en"/>
        </w:rPr>
        <w:t>’s</w:t>
      </w:r>
      <w:r w:rsidR="00DE400E">
        <w:rPr>
          <w:lang w:val="en"/>
        </w:rPr>
        <w:t xml:space="preserve"> Representative (</w:t>
      </w:r>
      <w:r w:rsidRPr="00D11CAF">
        <w:rPr>
          <w:lang w:val="en"/>
        </w:rPr>
        <w:t>COR</w:t>
      </w:r>
      <w:r w:rsidR="00DE400E">
        <w:rPr>
          <w:lang w:val="en"/>
        </w:rPr>
        <w:t>)</w:t>
      </w:r>
      <w:r w:rsidRPr="00D11CAF">
        <w:rPr>
          <w:lang w:val="en"/>
        </w:rPr>
        <w:t xml:space="preserve"> and Contracting Officer in accordance with the template provided in </w:t>
      </w:r>
      <w:r w:rsidRPr="00D11CAF">
        <w:rPr>
          <w:i/>
          <w:lang w:val="en"/>
        </w:rPr>
        <w:t>NIST Special Publication 800-88 Guidelines for Media Sanitization, Appendix G</w:t>
      </w:r>
      <w:r w:rsidRPr="00D11CAF">
        <w:rPr>
          <w:lang w:val="en"/>
        </w:rPr>
        <w:t>.</w:t>
      </w:r>
    </w:p>
    <w:p w:rsidR="00D11CAF" w:rsidRDefault="00D11CAF" w:rsidP="00D11CAF">
      <w:pPr>
        <w:pStyle w:val="ListParagraph"/>
      </w:pPr>
    </w:p>
    <w:p w:rsidR="00D11CAF" w:rsidRDefault="00BC43B8" w:rsidP="00D11CAF">
      <w:pPr>
        <w:pStyle w:val="ListParagraph"/>
        <w:numPr>
          <w:ilvl w:val="0"/>
          <w:numId w:val="3"/>
        </w:numPr>
        <w:ind w:left="720"/>
      </w:pPr>
      <w:r>
        <w:t>HSAR</w:t>
      </w:r>
      <w:r w:rsidRPr="00A5756C">
        <w:t xml:space="preserve"> </w:t>
      </w:r>
      <w:r>
        <w:t xml:space="preserve">3052.204-7X, Paragraph (i) </w:t>
      </w:r>
      <w:r w:rsidRPr="00D11CAF">
        <w:rPr>
          <w:i/>
        </w:rPr>
        <w:t>Other Reporting Requirements</w:t>
      </w:r>
      <w:r>
        <w:t>.  Clarifies  that the incident reporting required by this clause in no way rescinds the Contractor’s responsibility for other incident reporting pertaining to its unclassified information systems under other clauses that may apply to its contract(s).</w:t>
      </w:r>
    </w:p>
    <w:p w:rsidR="00D11CAF" w:rsidRDefault="00D11CAF" w:rsidP="00D11CAF">
      <w:pPr>
        <w:pStyle w:val="ListParagraph"/>
      </w:pPr>
    </w:p>
    <w:p w:rsidR="00BC43B8" w:rsidRPr="00E91B2F" w:rsidRDefault="00BC43B8" w:rsidP="00D11CAF">
      <w:pPr>
        <w:pStyle w:val="ListParagraph"/>
        <w:numPr>
          <w:ilvl w:val="0"/>
          <w:numId w:val="3"/>
        </w:numPr>
        <w:ind w:left="720"/>
      </w:pPr>
      <w:r>
        <w:t>HSAR</w:t>
      </w:r>
      <w:r w:rsidRPr="00A5756C">
        <w:t xml:space="preserve"> </w:t>
      </w:r>
      <w:r>
        <w:t xml:space="preserve">3052.204-7X, Paragraph (j) </w:t>
      </w:r>
      <w:r w:rsidRPr="00D11CAF">
        <w:rPr>
          <w:i/>
        </w:rPr>
        <w:t>Subcontracts</w:t>
      </w:r>
      <w:r>
        <w:t>.  Clarifies that contractors shall insert this clause in all subcontracts and require subcontractors to include this clause in all lower-tier subcontracts.</w:t>
      </w:r>
    </w:p>
    <w:p w:rsidR="00BC43B8" w:rsidRDefault="00BC43B8" w:rsidP="00E91B2F">
      <w:pPr>
        <w:rPr>
          <w:lang w:val="en"/>
        </w:rPr>
      </w:pPr>
    </w:p>
    <w:p w:rsidR="00A56C8C" w:rsidRDefault="00DE400E" w:rsidP="00E91B2F">
      <w:pPr>
        <w:rPr>
          <w:lang w:val="en"/>
        </w:rPr>
      </w:pPr>
      <w:r>
        <w:rPr>
          <w:lang w:val="en"/>
        </w:rPr>
        <w:t>In addition to the above, t</w:t>
      </w:r>
      <w:r w:rsidR="008A02E3">
        <w:rPr>
          <w:lang w:val="en"/>
        </w:rPr>
        <w:t xml:space="preserve">he </w:t>
      </w:r>
      <w:r w:rsidR="00A67520">
        <w:rPr>
          <w:lang w:val="en"/>
        </w:rPr>
        <w:t>following requirements</w:t>
      </w:r>
      <w:r w:rsidR="008A02E3">
        <w:rPr>
          <w:lang w:val="en"/>
        </w:rPr>
        <w:t xml:space="preserve"> must be met when </w:t>
      </w:r>
      <w:r w:rsidR="008A02E3" w:rsidRPr="00E91B2F">
        <w:rPr>
          <w:lang w:val="en"/>
        </w:rPr>
        <w:t xml:space="preserve">information systems are used to </w:t>
      </w:r>
      <w:r w:rsidR="00777F2C">
        <w:rPr>
          <w:lang w:val="en"/>
        </w:rPr>
        <w:t xml:space="preserve">process, </w:t>
      </w:r>
      <w:r w:rsidR="00A94101">
        <w:rPr>
          <w:lang w:val="en"/>
        </w:rPr>
        <w:t xml:space="preserve">store </w:t>
      </w:r>
      <w:r w:rsidR="008A02E3" w:rsidRPr="00E91B2F">
        <w:rPr>
          <w:lang w:val="en"/>
        </w:rPr>
        <w:t>or transmit sensitive</w:t>
      </w:r>
      <w:r w:rsidR="00A94101">
        <w:rPr>
          <w:lang w:val="en"/>
        </w:rPr>
        <w:t xml:space="preserve"> information</w:t>
      </w:r>
      <w:r w:rsidR="00F43C97">
        <w:rPr>
          <w:lang w:val="en"/>
        </w:rPr>
        <w:t>:</w:t>
      </w:r>
    </w:p>
    <w:p w:rsidR="00A56C8C" w:rsidRDefault="00A56C8C" w:rsidP="00E91B2F">
      <w:pPr>
        <w:rPr>
          <w:lang w:val="en"/>
        </w:rPr>
      </w:pPr>
    </w:p>
    <w:p w:rsidR="008A02E3" w:rsidRPr="00E91B2F" w:rsidRDefault="00A56C8C" w:rsidP="00076F7E">
      <w:pPr>
        <w:pStyle w:val="ListParagraph"/>
        <w:numPr>
          <w:ilvl w:val="0"/>
          <w:numId w:val="4"/>
        </w:numPr>
        <w:ind w:left="720"/>
      </w:pPr>
      <w:r w:rsidRPr="00E91B2F">
        <w:rPr>
          <w:lang w:val="en"/>
        </w:rPr>
        <w:t>H</w:t>
      </w:r>
      <w:r w:rsidRPr="00E91B2F">
        <w:t>SAR</w:t>
      </w:r>
      <w:r w:rsidRPr="00A5756C">
        <w:t xml:space="preserve"> </w:t>
      </w:r>
      <w:r w:rsidR="00164F6D">
        <w:t>3052.204-7X</w:t>
      </w:r>
      <w:r w:rsidR="00244C98">
        <w:t>, Paragraph (c</w:t>
      </w:r>
      <w:r>
        <w:t xml:space="preserve">) </w:t>
      </w:r>
      <w:r w:rsidRPr="00E91B2F">
        <w:rPr>
          <w:i/>
          <w:lang w:val="en"/>
        </w:rPr>
        <w:t>Authority to Operate.</w:t>
      </w:r>
      <w:r>
        <w:rPr>
          <w:i/>
          <w:lang w:val="en"/>
        </w:rPr>
        <w:t xml:space="preserve"> </w:t>
      </w:r>
      <w:r w:rsidR="00D92DBD">
        <w:rPr>
          <w:i/>
          <w:lang w:val="en"/>
        </w:rPr>
        <w:t xml:space="preserve"> </w:t>
      </w:r>
      <w:r w:rsidR="00244C98" w:rsidRPr="00FF623B">
        <w:rPr>
          <w:lang w:val="en"/>
        </w:rPr>
        <w:t>The Contractor shall not process, store or transmit sensitive information within an information system until an Authority to Operate (ATO) has been accepted and signed by the Component or Headquarters CIO, or designee</w:t>
      </w:r>
      <w:r w:rsidR="00244C98" w:rsidRPr="00FF623B">
        <w:rPr>
          <w:bCs/>
          <w:lang w:val="en"/>
        </w:rPr>
        <w:t xml:space="preserve">.  </w:t>
      </w:r>
      <w:r w:rsidR="00244C98" w:rsidRPr="00FF623B">
        <w:rPr>
          <w:rFonts w:eastAsia="Calibri"/>
        </w:rPr>
        <w:t>Once the ATO has been accepted and signed by the Government, the Contracting Officer shall incorporate the ATO into the contract as a compliance document.</w:t>
      </w:r>
      <w:r w:rsidR="00CC1436">
        <w:rPr>
          <w:lang w:val="en"/>
        </w:rPr>
        <w:t xml:space="preserve">  </w:t>
      </w:r>
      <w:r w:rsidR="00CC1436">
        <w:t xml:space="preserve">The </w:t>
      </w:r>
      <w:r w:rsidR="00A67520">
        <w:t xml:space="preserve">Security Authorization (SA) </w:t>
      </w:r>
      <w:r w:rsidR="00CC1436">
        <w:t xml:space="preserve">documentation includes the following: </w:t>
      </w:r>
      <w:r w:rsidR="00CC1436">
        <w:rPr>
          <w:color w:val="000000"/>
          <w:sz w:val="23"/>
          <w:szCs w:val="23"/>
        </w:rPr>
        <w:t xml:space="preserve">Security Plan (SP), </w:t>
      </w:r>
      <w:r w:rsidR="00CC1436" w:rsidRPr="00BE1C17">
        <w:rPr>
          <w:color w:val="000000"/>
          <w:sz w:val="23"/>
          <w:szCs w:val="23"/>
        </w:rPr>
        <w:t>Security Assessment Report (SAR)</w:t>
      </w:r>
      <w:r w:rsidR="00CC1436">
        <w:rPr>
          <w:color w:val="000000"/>
          <w:sz w:val="23"/>
          <w:szCs w:val="23"/>
        </w:rPr>
        <w:t xml:space="preserve">, </w:t>
      </w:r>
      <w:r w:rsidR="00CC1436" w:rsidRPr="00BE1C17">
        <w:rPr>
          <w:color w:val="000000"/>
          <w:sz w:val="23"/>
          <w:szCs w:val="23"/>
        </w:rPr>
        <w:t>Plan of Action and Milestones (POA&amp;M)</w:t>
      </w:r>
      <w:r w:rsidR="00CC1436">
        <w:rPr>
          <w:color w:val="000000"/>
          <w:sz w:val="23"/>
          <w:szCs w:val="23"/>
        </w:rPr>
        <w:t xml:space="preserve">, </w:t>
      </w:r>
      <w:r w:rsidR="00CC1436" w:rsidRPr="00BE1C17">
        <w:rPr>
          <w:color w:val="000000"/>
          <w:sz w:val="23"/>
          <w:szCs w:val="23"/>
        </w:rPr>
        <w:t>Security Control Assessor Transmittal Letter (documents the Security Control Assessor’s recommendation (i.e., Authorization to Operate or Denial to Operate)</w:t>
      </w:r>
      <w:r w:rsidR="00CC1436">
        <w:rPr>
          <w:color w:val="000000"/>
          <w:sz w:val="23"/>
          <w:szCs w:val="23"/>
        </w:rPr>
        <w:t>, and a</w:t>
      </w:r>
      <w:r w:rsidR="00CC1436" w:rsidRPr="00BE1C17">
        <w:rPr>
          <w:color w:val="000000"/>
          <w:sz w:val="23"/>
          <w:szCs w:val="23"/>
        </w:rPr>
        <w:t xml:space="preserve">ny supplemental information requested by the </w:t>
      </w:r>
      <w:r w:rsidR="00CC1436">
        <w:rPr>
          <w:color w:val="000000"/>
          <w:sz w:val="23"/>
          <w:szCs w:val="23"/>
        </w:rPr>
        <w:t>Government</w:t>
      </w:r>
      <w:r w:rsidR="00CC1436" w:rsidRPr="00BE1C17">
        <w:rPr>
          <w:color w:val="000000"/>
          <w:sz w:val="23"/>
          <w:szCs w:val="23"/>
        </w:rPr>
        <w:t xml:space="preserve"> (e.g., Contingency Plan, final Risk Assessment, </w:t>
      </w:r>
      <w:r w:rsidR="00CC1436" w:rsidRPr="00BE1C17">
        <w:rPr>
          <w:color w:val="000000"/>
          <w:sz w:val="23"/>
          <w:szCs w:val="23"/>
        </w:rPr>
        <w:lastRenderedPageBreak/>
        <w:t xml:space="preserve">Configuration Management Plan, Standard Operating Procedures, Concept of </w:t>
      </w:r>
      <w:r w:rsidR="00CC1436">
        <w:rPr>
          <w:color w:val="000000"/>
          <w:sz w:val="23"/>
          <w:szCs w:val="23"/>
        </w:rPr>
        <w:t>O</w:t>
      </w:r>
      <w:r w:rsidR="00CC1436" w:rsidRPr="00BE1C17">
        <w:rPr>
          <w:color w:val="000000"/>
          <w:sz w:val="23"/>
          <w:szCs w:val="23"/>
        </w:rPr>
        <w:t>perations)</w:t>
      </w:r>
      <w:r w:rsidR="00DE400E">
        <w:rPr>
          <w:color w:val="000000"/>
          <w:sz w:val="23"/>
          <w:szCs w:val="23"/>
        </w:rPr>
        <w:t>.</w:t>
      </w:r>
    </w:p>
    <w:p w:rsidR="00D12332" w:rsidRDefault="00D12332" w:rsidP="00E91B2F">
      <w:pPr>
        <w:pStyle w:val="ListParagraph"/>
      </w:pPr>
    </w:p>
    <w:p w:rsidR="00D12332" w:rsidRPr="00E91B2F" w:rsidRDefault="00D12332" w:rsidP="00076F7E">
      <w:pPr>
        <w:pStyle w:val="ListParagraph"/>
        <w:numPr>
          <w:ilvl w:val="0"/>
          <w:numId w:val="4"/>
        </w:numPr>
        <w:ind w:left="720"/>
      </w:pPr>
      <w:r w:rsidRPr="00061770">
        <w:rPr>
          <w:lang w:val="en"/>
        </w:rPr>
        <w:t>H</w:t>
      </w:r>
      <w:r w:rsidRPr="00061770">
        <w:t>SAR</w:t>
      </w:r>
      <w:r w:rsidRPr="00A5756C">
        <w:t xml:space="preserve"> </w:t>
      </w:r>
      <w:r w:rsidR="00164F6D">
        <w:t>3052.204-7X</w:t>
      </w:r>
      <w:r w:rsidR="00244C98">
        <w:t>, Paragraph (c</w:t>
      </w:r>
      <w:r>
        <w:t xml:space="preserve">)(1)(i) </w:t>
      </w:r>
      <w:r w:rsidRPr="00981864">
        <w:rPr>
          <w:rFonts w:eastAsia="Calibri"/>
          <w:i/>
        </w:rPr>
        <w:t>Security Authorization Documentation</w:t>
      </w:r>
      <w:r w:rsidRPr="00061770">
        <w:rPr>
          <w:i/>
          <w:lang w:val="en"/>
        </w:rPr>
        <w:t>.</w:t>
      </w:r>
      <w:r>
        <w:rPr>
          <w:i/>
          <w:lang w:val="en"/>
        </w:rPr>
        <w:t xml:space="preserve"> </w:t>
      </w:r>
      <w:r>
        <w:rPr>
          <w:lang w:val="en"/>
        </w:rPr>
        <w:t>Require</w:t>
      </w:r>
      <w:r w:rsidR="00A67520">
        <w:rPr>
          <w:lang w:val="en"/>
        </w:rPr>
        <w:t>s</w:t>
      </w:r>
      <w:r>
        <w:rPr>
          <w:lang w:val="en"/>
        </w:rPr>
        <w:t xml:space="preserve"> a contractor to c</w:t>
      </w:r>
      <w:r w:rsidRPr="00020F08">
        <w:rPr>
          <w:lang w:val="en"/>
        </w:rPr>
        <w:t xml:space="preserve">omplete </w:t>
      </w:r>
      <w:r w:rsidR="00244C98">
        <w:rPr>
          <w:lang w:val="en"/>
        </w:rPr>
        <w:t xml:space="preserve">and submit </w:t>
      </w:r>
      <w:r w:rsidRPr="00020F08">
        <w:rPr>
          <w:lang w:val="en"/>
        </w:rPr>
        <w:t xml:space="preserve">the </w:t>
      </w:r>
      <w:r w:rsidR="00A67520">
        <w:rPr>
          <w:lang w:val="en"/>
        </w:rPr>
        <w:t>SA</w:t>
      </w:r>
      <w:r w:rsidR="00480EF5">
        <w:rPr>
          <w:lang w:val="en"/>
        </w:rPr>
        <w:t xml:space="preserve"> documentation</w:t>
      </w:r>
      <w:r>
        <w:rPr>
          <w:lang w:val="en"/>
        </w:rPr>
        <w:t xml:space="preserve">.  The Security Authorization (SA) </w:t>
      </w:r>
      <w:r w:rsidRPr="00020F08">
        <w:rPr>
          <w:lang w:val="en"/>
        </w:rPr>
        <w:t xml:space="preserve">process shall proceed according to </w:t>
      </w:r>
      <w:r w:rsidRPr="00020F08">
        <w:rPr>
          <w:i/>
          <w:lang w:val="en"/>
        </w:rPr>
        <w:t xml:space="preserve">DHS Sensitive Systems Policy Directive 4300A </w:t>
      </w:r>
      <w:r w:rsidRPr="00020F08">
        <w:rPr>
          <w:lang w:val="en"/>
        </w:rPr>
        <w:t xml:space="preserve">(Version 11.0, April 30, 2014), or any successor publication, </w:t>
      </w:r>
      <w:r w:rsidRPr="00020F08">
        <w:rPr>
          <w:i/>
          <w:lang w:val="en"/>
        </w:rPr>
        <w:t>DHS 4300A Sensitive Systems Handbook</w:t>
      </w:r>
      <w:r w:rsidRPr="00020F08">
        <w:rPr>
          <w:lang w:val="en"/>
        </w:rPr>
        <w:t xml:space="preserve"> (Version </w:t>
      </w:r>
      <w:r>
        <w:rPr>
          <w:lang w:val="en"/>
        </w:rPr>
        <w:t>11.0</w:t>
      </w:r>
      <w:r w:rsidRPr="00020F08">
        <w:rPr>
          <w:lang w:val="en"/>
        </w:rPr>
        <w:t>, J</w:t>
      </w:r>
      <w:r>
        <w:rPr>
          <w:lang w:val="en"/>
        </w:rPr>
        <w:t>anuary</w:t>
      </w:r>
      <w:r w:rsidRPr="00020F08">
        <w:rPr>
          <w:lang w:val="en"/>
        </w:rPr>
        <w:t xml:space="preserve"> </w:t>
      </w:r>
      <w:r>
        <w:rPr>
          <w:lang w:val="en"/>
        </w:rPr>
        <w:t>1</w:t>
      </w:r>
      <w:r w:rsidRPr="00020F08">
        <w:rPr>
          <w:lang w:val="en"/>
        </w:rPr>
        <w:t>4, 201</w:t>
      </w:r>
      <w:r>
        <w:rPr>
          <w:lang w:val="en"/>
        </w:rPr>
        <w:t>5</w:t>
      </w:r>
      <w:r w:rsidRPr="00020F08">
        <w:rPr>
          <w:lang w:val="en"/>
        </w:rPr>
        <w:t xml:space="preserve">), </w:t>
      </w:r>
      <w:r w:rsidRPr="00234DCA">
        <w:rPr>
          <w:lang w:val="en"/>
        </w:rPr>
        <w:t xml:space="preserve">or any successor publication, and the </w:t>
      </w:r>
      <w:r w:rsidRPr="00234DCA">
        <w:rPr>
          <w:i/>
          <w:lang w:val="en"/>
        </w:rPr>
        <w:t>Security Authorization Process Guide</w:t>
      </w:r>
      <w:r>
        <w:rPr>
          <w:lang w:val="en"/>
        </w:rPr>
        <w:t>.</w:t>
      </w:r>
    </w:p>
    <w:p w:rsidR="00D12332" w:rsidRPr="00E91B2F" w:rsidRDefault="00D12332" w:rsidP="00E91B2F">
      <w:pPr>
        <w:pStyle w:val="ListParagraph"/>
      </w:pPr>
    </w:p>
    <w:p w:rsidR="00D12332" w:rsidRPr="00E91B2F" w:rsidRDefault="00D12332" w:rsidP="00076F7E">
      <w:pPr>
        <w:pStyle w:val="ListParagraph"/>
        <w:numPr>
          <w:ilvl w:val="0"/>
          <w:numId w:val="4"/>
        </w:numPr>
        <w:ind w:left="720"/>
      </w:pPr>
      <w:r w:rsidRPr="00061770">
        <w:rPr>
          <w:lang w:val="en"/>
        </w:rPr>
        <w:t>H</w:t>
      </w:r>
      <w:r w:rsidRPr="00061770">
        <w:t>SAR</w:t>
      </w:r>
      <w:r w:rsidRPr="00A5756C">
        <w:t xml:space="preserve"> </w:t>
      </w:r>
      <w:r w:rsidR="00164F6D">
        <w:t>3052.204-7X</w:t>
      </w:r>
      <w:r>
        <w:t>, Paragraph (</w:t>
      </w:r>
      <w:r w:rsidR="00244C98">
        <w:t>c</w:t>
      </w:r>
      <w:r>
        <w:t xml:space="preserve">)(1)(ii) </w:t>
      </w:r>
      <w:r w:rsidRPr="00981864">
        <w:rPr>
          <w:rFonts w:cs="Calibri"/>
          <w:i/>
          <w:spacing w:val="-1"/>
        </w:rPr>
        <w:t>Independent Assessment</w:t>
      </w:r>
      <w:r>
        <w:rPr>
          <w:rFonts w:eastAsia="Calibri"/>
          <w:i/>
        </w:rPr>
        <w:t>.</w:t>
      </w:r>
      <w:r w:rsidRPr="00E91B2F">
        <w:rPr>
          <w:rFonts w:eastAsia="Calibri"/>
        </w:rPr>
        <w:t xml:space="preserve"> </w:t>
      </w:r>
      <w:r>
        <w:rPr>
          <w:rFonts w:eastAsia="Calibri"/>
        </w:rPr>
        <w:t xml:space="preserve"> </w:t>
      </w:r>
      <w:r w:rsidRPr="00E91B2F">
        <w:rPr>
          <w:rFonts w:eastAsia="Calibri"/>
        </w:rPr>
        <w:t>Require the contractor to</w:t>
      </w:r>
      <w:r>
        <w:rPr>
          <w:rFonts w:eastAsia="Calibri"/>
          <w:i/>
        </w:rPr>
        <w:t xml:space="preserve"> </w:t>
      </w:r>
      <w:r w:rsidRPr="00E91B2F">
        <w:rPr>
          <w:rFonts w:eastAsia="Calibri"/>
        </w:rPr>
        <w:t>have an independent third party validate the security and privacy controls in place for the information system</w:t>
      </w:r>
      <w:r>
        <w:rPr>
          <w:rFonts w:eastAsia="Calibri"/>
        </w:rPr>
        <w:t>.</w:t>
      </w:r>
      <w:r w:rsidR="00244C98">
        <w:rPr>
          <w:rFonts w:eastAsia="Calibri"/>
        </w:rPr>
        <w:t xml:space="preserve">  </w:t>
      </w:r>
      <w:r w:rsidR="00244C98" w:rsidRPr="00FF623B">
        <w:rPr>
          <w:rFonts w:eastAsia="Calibri"/>
        </w:rPr>
        <w:t xml:space="preserve">The </w:t>
      </w:r>
      <w:r w:rsidR="00244C98">
        <w:rPr>
          <w:rFonts w:eastAsia="Calibri"/>
        </w:rPr>
        <w:t>c</w:t>
      </w:r>
      <w:r w:rsidR="00244C98" w:rsidRPr="00FF623B">
        <w:rPr>
          <w:rFonts w:eastAsia="Calibri"/>
        </w:rPr>
        <w:t xml:space="preserve">ontractor </w:t>
      </w:r>
      <w:r w:rsidR="00244C98">
        <w:rPr>
          <w:rFonts w:eastAsia="Calibri"/>
        </w:rPr>
        <w:t xml:space="preserve">must demonstrate that </w:t>
      </w:r>
      <w:r w:rsidR="00244C98" w:rsidRPr="00FF623B">
        <w:rPr>
          <w:rFonts w:eastAsia="Calibri"/>
        </w:rPr>
        <w:t xml:space="preserve">deficiencies </w:t>
      </w:r>
      <w:r w:rsidR="00244C98">
        <w:rPr>
          <w:rFonts w:eastAsia="Calibri"/>
        </w:rPr>
        <w:t xml:space="preserve">are addressed </w:t>
      </w:r>
      <w:r w:rsidR="00244C98" w:rsidRPr="00FF623B">
        <w:rPr>
          <w:rFonts w:eastAsia="Calibri"/>
        </w:rPr>
        <w:t>before submitting the SA package to the COR for acceptance.</w:t>
      </w:r>
    </w:p>
    <w:p w:rsidR="00D12332" w:rsidRPr="00E91B2F" w:rsidRDefault="00D12332" w:rsidP="00E91B2F">
      <w:pPr>
        <w:pStyle w:val="ListParagraph"/>
      </w:pPr>
    </w:p>
    <w:p w:rsidR="00D12332" w:rsidRPr="00F43C97" w:rsidRDefault="00D12332" w:rsidP="00076F7E">
      <w:pPr>
        <w:pStyle w:val="ListParagraph"/>
        <w:numPr>
          <w:ilvl w:val="0"/>
          <w:numId w:val="4"/>
        </w:numPr>
        <w:ind w:left="720"/>
      </w:pPr>
      <w:r w:rsidRPr="00061770">
        <w:rPr>
          <w:lang w:val="en"/>
        </w:rPr>
        <w:t>H</w:t>
      </w:r>
      <w:r w:rsidRPr="00061770">
        <w:t>SAR</w:t>
      </w:r>
      <w:r w:rsidRPr="00A5756C">
        <w:t xml:space="preserve"> </w:t>
      </w:r>
      <w:r w:rsidR="00164F6D">
        <w:t>3052.204-7X</w:t>
      </w:r>
      <w:r w:rsidR="00244C98">
        <w:t>, Paragraph (c</w:t>
      </w:r>
      <w:r>
        <w:t xml:space="preserve">)(2) </w:t>
      </w:r>
      <w:r w:rsidRPr="00020F08">
        <w:rPr>
          <w:i/>
          <w:lang w:val="en"/>
        </w:rPr>
        <w:t>Renewal of ATO</w:t>
      </w:r>
      <w:r>
        <w:rPr>
          <w:rFonts w:eastAsia="Calibri"/>
          <w:i/>
        </w:rPr>
        <w:t>.</w:t>
      </w:r>
      <w:r w:rsidRPr="00061770">
        <w:rPr>
          <w:rFonts w:eastAsia="Calibri"/>
        </w:rPr>
        <w:t xml:space="preserve"> </w:t>
      </w:r>
      <w:r>
        <w:rPr>
          <w:rFonts w:eastAsia="Calibri"/>
        </w:rPr>
        <w:t xml:space="preserve"> </w:t>
      </w:r>
      <w:r w:rsidR="00426351">
        <w:rPr>
          <w:lang w:val="en"/>
        </w:rPr>
        <w:t xml:space="preserve">Requires </w:t>
      </w:r>
      <w:r w:rsidRPr="00020F08">
        <w:rPr>
          <w:lang w:val="en"/>
        </w:rPr>
        <w:t xml:space="preserve">the </w:t>
      </w:r>
      <w:r w:rsidR="007F6E1A">
        <w:rPr>
          <w:lang w:val="en"/>
        </w:rPr>
        <w:t xml:space="preserve">contractor </w:t>
      </w:r>
      <w:r w:rsidR="00426351">
        <w:rPr>
          <w:lang w:val="en"/>
        </w:rPr>
        <w:t xml:space="preserve">to </w:t>
      </w:r>
      <w:r w:rsidR="007F6E1A">
        <w:rPr>
          <w:lang w:val="en"/>
        </w:rPr>
        <w:t xml:space="preserve">renew the </w:t>
      </w:r>
      <w:r w:rsidRPr="00020F08">
        <w:rPr>
          <w:lang w:val="en"/>
        </w:rPr>
        <w:t>ATO every three (3) years</w:t>
      </w:r>
      <w:r w:rsidR="00426351">
        <w:rPr>
          <w:lang w:val="en"/>
        </w:rPr>
        <w:t xml:space="preserve"> u</w:t>
      </w:r>
      <w:r w:rsidR="00426351" w:rsidRPr="00020F08">
        <w:rPr>
          <w:lang w:val="en"/>
        </w:rPr>
        <w:t>nless otherwise specified in the ATO letter</w:t>
      </w:r>
      <w:r w:rsidRPr="00020F08">
        <w:rPr>
          <w:lang w:val="en"/>
        </w:rPr>
        <w:t xml:space="preserve">.  </w:t>
      </w:r>
      <w:r w:rsidRPr="00020F08">
        <w:rPr>
          <w:rFonts w:eastAsia="Calibri"/>
        </w:rPr>
        <w:t xml:space="preserve">The </w:t>
      </w:r>
      <w:r w:rsidR="007F6E1A">
        <w:rPr>
          <w:rFonts w:eastAsia="Calibri"/>
        </w:rPr>
        <w:t>c</w:t>
      </w:r>
      <w:r w:rsidRPr="00020F08">
        <w:rPr>
          <w:rFonts w:eastAsia="Calibri"/>
        </w:rPr>
        <w:t>ontractor is required to update its SA package as part of the ATO renewal process</w:t>
      </w:r>
      <w:r w:rsidRPr="00B90DB7">
        <w:rPr>
          <w:rFonts w:eastAsia="Calibri"/>
        </w:rPr>
        <w:t xml:space="preserve"> </w:t>
      </w:r>
      <w:r w:rsidRPr="00DB6C2C">
        <w:rPr>
          <w:rFonts w:eastAsia="Calibri"/>
        </w:rPr>
        <w:t>for review and verification of security controls</w:t>
      </w:r>
      <w:r w:rsidR="007F6E1A">
        <w:rPr>
          <w:rFonts w:eastAsia="Calibri"/>
        </w:rPr>
        <w:t>.</w:t>
      </w:r>
    </w:p>
    <w:p w:rsidR="00F43C97" w:rsidRDefault="00F43C97" w:rsidP="00F43C97">
      <w:pPr>
        <w:pStyle w:val="ListParagraph"/>
      </w:pPr>
    </w:p>
    <w:p w:rsidR="00F43C97" w:rsidRPr="00244C98" w:rsidRDefault="00F43C97" w:rsidP="00076F7E">
      <w:pPr>
        <w:pStyle w:val="ListParagraph"/>
        <w:numPr>
          <w:ilvl w:val="0"/>
          <w:numId w:val="4"/>
        </w:numPr>
        <w:ind w:left="720"/>
      </w:pPr>
      <w:r w:rsidRPr="00061770">
        <w:rPr>
          <w:lang w:val="en"/>
        </w:rPr>
        <w:t>H</w:t>
      </w:r>
      <w:r w:rsidRPr="00061770">
        <w:t>SAR</w:t>
      </w:r>
      <w:r w:rsidRPr="00A5756C">
        <w:t xml:space="preserve"> </w:t>
      </w:r>
      <w:r w:rsidR="00244C98">
        <w:t>3052.204-7X, Paragraph (c</w:t>
      </w:r>
      <w:r>
        <w:t>)(</w:t>
      </w:r>
      <w:r w:rsidRPr="00451379">
        <w:rPr>
          <w:lang w:val="en"/>
        </w:rPr>
        <w:t xml:space="preserve">3) </w:t>
      </w:r>
      <w:r w:rsidRPr="00451379">
        <w:rPr>
          <w:i/>
          <w:lang w:val="en"/>
        </w:rPr>
        <w:t>Security Review.</w:t>
      </w:r>
      <w:r w:rsidRPr="00451379">
        <w:rPr>
          <w:lang w:val="en"/>
        </w:rPr>
        <w:t xml:space="preserve">  </w:t>
      </w:r>
      <w:r>
        <w:rPr>
          <w:lang w:val="en"/>
        </w:rPr>
        <w:t xml:space="preserve">Clarifies that the </w:t>
      </w:r>
      <w:r w:rsidRPr="00451379">
        <w:rPr>
          <w:lang w:val="en"/>
        </w:rPr>
        <w:t>Government may elect to conduct random periodic reviews to ensure that the security requirements contained in this contract are being implemented and enforced</w:t>
      </w:r>
      <w:r>
        <w:rPr>
          <w:lang w:val="en"/>
        </w:rPr>
        <w:t>.</w:t>
      </w:r>
    </w:p>
    <w:p w:rsidR="00244C98" w:rsidRPr="00244C98" w:rsidRDefault="00244C98" w:rsidP="00244C98">
      <w:pPr>
        <w:pStyle w:val="ListParagraph"/>
      </w:pPr>
    </w:p>
    <w:p w:rsidR="001B1BBD" w:rsidRDefault="00244C98" w:rsidP="001B1BBD">
      <w:pPr>
        <w:pStyle w:val="ListParagraph"/>
        <w:numPr>
          <w:ilvl w:val="0"/>
          <w:numId w:val="4"/>
        </w:numPr>
        <w:ind w:left="720"/>
      </w:pPr>
      <w:r w:rsidRPr="00061770">
        <w:rPr>
          <w:lang w:val="en"/>
        </w:rPr>
        <w:t>H</w:t>
      </w:r>
      <w:r w:rsidRPr="00061770">
        <w:t>SAR</w:t>
      </w:r>
      <w:r w:rsidRPr="00A5756C">
        <w:t xml:space="preserve"> </w:t>
      </w:r>
      <w:r>
        <w:t>3052.204-7X, Paragraph (c)(4</w:t>
      </w:r>
      <w:r w:rsidRPr="00451379">
        <w:rPr>
          <w:lang w:val="en"/>
        </w:rPr>
        <w:t xml:space="preserve">) </w:t>
      </w:r>
      <w:r w:rsidRPr="00FF623B">
        <w:rPr>
          <w:i/>
          <w:lang w:val="en"/>
        </w:rPr>
        <w:t>Federal Reporting and Continuous Monitoring Requirements</w:t>
      </w:r>
      <w:r>
        <w:rPr>
          <w:i/>
          <w:lang w:val="en"/>
        </w:rPr>
        <w:t xml:space="preserve">. </w:t>
      </w:r>
      <w:r w:rsidRPr="00244C98">
        <w:rPr>
          <w:lang w:val="en"/>
        </w:rPr>
        <w:t xml:space="preserve"> Requires contractors </w:t>
      </w:r>
      <w:r w:rsidRPr="00FF623B">
        <w:rPr>
          <w:lang w:val="en"/>
        </w:rPr>
        <w:t xml:space="preserve">operating information systems on behalf of the Government or operating information systems containing the Government’s sensitive information </w:t>
      </w:r>
      <w:r>
        <w:rPr>
          <w:lang w:val="en"/>
        </w:rPr>
        <w:t>to</w:t>
      </w:r>
      <w:r w:rsidRPr="00FF623B">
        <w:rPr>
          <w:lang w:val="en"/>
        </w:rPr>
        <w:t xml:space="preserve"> comply with Federal reporting and information system continuous monitoring requirements.  Reporting requirements are determined by the Government and are defined in the Fiscal Year 2015 DHS Information Security Performance Plan, or successor publication</w:t>
      </w:r>
      <w:r>
        <w:rPr>
          <w:lang w:val="en"/>
        </w:rPr>
        <w:t xml:space="preserve">.  The contractor is required to </w:t>
      </w:r>
      <w:r w:rsidRPr="00FF623B">
        <w:rPr>
          <w:lang w:val="en"/>
        </w:rPr>
        <w:t>provide the Government with all information to fully satisfy Federal reporting requirements for information systems within three (3) business days of receipt of the request</w:t>
      </w:r>
      <w:r w:rsidR="001B1BBD">
        <w:rPr>
          <w:lang w:val="en"/>
        </w:rPr>
        <w:t>.</w:t>
      </w:r>
    </w:p>
    <w:p w:rsidR="0033086B" w:rsidRDefault="0033086B" w:rsidP="001221C3"/>
    <w:p w:rsidR="001221C3" w:rsidRDefault="002E6444" w:rsidP="001221C3">
      <w:r>
        <w:t>T</w:t>
      </w:r>
      <w:r w:rsidR="00EC0D1A">
        <w:t>he following statutes</w:t>
      </w:r>
      <w:r w:rsidR="00426351">
        <w:t>,</w:t>
      </w:r>
      <w:r w:rsidR="00EC0D1A">
        <w:t xml:space="preserve"> </w:t>
      </w:r>
      <w:r w:rsidR="00CC28B7">
        <w:t xml:space="preserve">Executive Order, </w:t>
      </w:r>
      <w:r w:rsidR="00426351">
        <w:t xml:space="preserve">Governmentwide </w:t>
      </w:r>
      <w:r w:rsidR="00EC0D1A">
        <w:t>policy</w:t>
      </w:r>
      <w:r w:rsidR="00426351">
        <w:t>,</w:t>
      </w:r>
      <w:r w:rsidR="00EC0D1A">
        <w:t xml:space="preserve"> </w:t>
      </w:r>
      <w:r w:rsidR="00426351">
        <w:t xml:space="preserve">DHS policy </w:t>
      </w:r>
      <w:r w:rsidR="00CC28B7">
        <w:t xml:space="preserve">identify </w:t>
      </w:r>
      <w:r w:rsidR="00426351">
        <w:t xml:space="preserve">the </w:t>
      </w:r>
      <w:r w:rsidR="00EC0D1A">
        <w:t xml:space="preserve">safeguarding of sensitive information as </w:t>
      </w:r>
      <w:r w:rsidR="00C31139">
        <w:t xml:space="preserve">a </w:t>
      </w:r>
      <w:r w:rsidR="00EC0D1A">
        <w:t>national</w:t>
      </w:r>
      <w:r w:rsidR="00C31139">
        <w:t xml:space="preserve">-level priority and support this </w:t>
      </w:r>
      <w:r w:rsidR="00EC0D1A">
        <w:t>collection of information</w:t>
      </w:r>
      <w:r w:rsidR="001221C3">
        <w:t>:</w:t>
      </w:r>
    </w:p>
    <w:p w:rsidR="0033086B" w:rsidRDefault="0033086B" w:rsidP="001221C3"/>
    <w:p w:rsidR="001221C3" w:rsidRDefault="003D08B2" w:rsidP="00076F7E">
      <w:pPr>
        <w:pStyle w:val="ListParagraph"/>
        <w:numPr>
          <w:ilvl w:val="0"/>
          <w:numId w:val="1"/>
        </w:numPr>
      </w:pPr>
      <w:r w:rsidRPr="008F0717">
        <w:t xml:space="preserve">Federal Information Security Modernization Act </w:t>
      </w:r>
      <w:r>
        <w:t xml:space="preserve">(FISMA) </w:t>
      </w:r>
      <w:r w:rsidRPr="008F0717">
        <w:t>of 2014 (44 U.S.C. 35</w:t>
      </w:r>
      <w:r>
        <w:t>5</w:t>
      </w:r>
      <w:r w:rsidRPr="008F0717">
        <w:t xml:space="preserve">1, </w:t>
      </w:r>
      <w:r w:rsidRPr="00443304">
        <w:rPr>
          <w:i/>
          <w:u w:val="single"/>
        </w:rPr>
        <w:t>et seq</w:t>
      </w:r>
      <w:r w:rsidRPr="008F0717">
        <w:t>.)</w:t>
      </w:r>
      <w:r w:rsidR="001221C3">
        <w:t xml:space="preserve">; </w:t>
      </w:r>
    </w:p>
    <w:p w:rsidR="00C8254F" w:rsidRDefault="00C8254F" w:rsidP="00076F7E">
      <w:pPr>
        <w:pStyle w:val="ListParagraph"/>
        <w:numPr>
          <w:ilvl w:val="0"/>
          <w:numId w:val="1"/>
        </w:numPr>
      </w:pPr>
      <w:r>
        <w:t>Critical Infrastructure Information Act of 2002 (CII Act) (Title II, Subtitle B, of the Homeland Security Act of 2002, Public Law 107-296</w:t>
      </w:r>
    </w:p>
    <w:p w:rsidR="00C8254F" w:rsidRDefault="00C8254F" w:rsidP="00076F7E">
      <w:pPr>
        <w:pStyle w:val="ListParagraph"/>
        <w:numPr>
          <w:ilvl w:val="0"/>
          <w:numId w:val="1"/>
        </w:numPr>
      </w:pPr>
      <w:r w:rsidRPr="00E979E4">
        <w:lastRenderedPageBreak/>
        <w:t>Executive Order 13556,</w:t>
      </w:r>
      <w:r>
        <w:t xml:space="preserve"> </w:t>
      </w:r>
      <w:r w:rsidRPr="00E979E4">
        <w:t>Controlled Unclassified Information</w:t>
      </w:r>
      <w:r>
        <w:t xml:space="preserve"> (CUI);</w:t>
      </w:r>
    </w:p>
    <w:p w:rsidR="003D08B2" w:rsidRDefault="003D08B2" w:rsidP="00076F7E">
      <w:pPr>
        <w:pStyle w:val="ListParagraph"/>
        <w:numPr>
          <w:ilvl w:val="0"/>
          <w:numId w:val="1"/>
        </w:numPr>
      </w:pPr>
      <w:r w:rsidRPr="008F0717">
        <w:t>Office of Management and Budget (OMB) Circular A-130</w:t>
      </w:r>
      <w:r>
        <w:t xml:space="preserve"> </w:t>
      </w:r>
      <w:r w:rsidRPr="008F0717">
        <w:t xml:space="preserve">Management </w:t>
      </w:r>
      <w:r>
        <w:t>of Federal Information Resources;</w:t>
      </w:r>
    </w:p>
    <w:p w:rsidR="003D08B2" w:rsidRDefault="003D08B2" w:rsidP="00076F7E">
      <w:pPr>
        <w:pStyle w:val="ListParagraph"/>
        <w:numPr>
          <w:ilvl w:val="0"/>
          <w:numId w:val="1"/>
        </w:numPr>
      </w:pPr>
      <w:r>
        <w:t xml:space="preserve">Relevant National Institutes of Standards and Technology (NIST) guidance; </w:t>
      </w:r>
    </w:p>
    <w:p w:rsidR="003D08B2" w:rsidRPr="001F4F2D" w:rsidRDefault="003D08B2" w:rsidP="00712C41">
      <w:pPr>
        <w:pStyle w:val="ListParagraph"/>
        <w:numPr>
          <w:ilvl w:val="0"/>
          <w:numId w:val="1"/>
        </w:numPr>
      </w:pPr>
      <w:r>
        <w:t xml:space="preserve">OMB Memorandum M-14-03 </w:t>
      </w:r>
      <w:r w:rsidRPr="001E5D8D">
        <w:t>Enhancing the Security of Federal Information and Information Systems</w:t>
      </w:r>
      <w:r>
        <w:t xml:space="preserve"> (November 18, 2013);</w:t>
      </w:r>
    </w:p>
    <w:p w:rsidR="00A94C1D" w:rsidRDefault="003D08B2" w:rsidP="00076F7E">
      <w:pPr>
        <w:pStyle w:val="ListParagraph"/>
        <w:numPr>
          <w:ilvl w:val="0"/>
          <w:numId w:val="1"/>
        </w:numPr>
      </w:pPr>
      <w:r>
        <w:t>OMB</w:t>
      </w:r>
      <w:r w:rsidR="00A94C1D">
        <w:t xml:space="preserve"> Memorandum M-07-16, </w:t>
      </w:r>
      <w:r w:rsidR="00A94C1D" w:rsidRPr="001221C3">
        <w:rPr>
          <w:i/>
        </w:rPr>
        <w:t>Safeguarding Against and Responding to the Breach of Personally Identifiable Information</w:t>
      </w:r>
      <w:r w:rsidR="00A94C1D">
        <w:t xml:space="preserve"> (May 22, 2007)</w:t>
      </w:r>
      <w:r w:rsidR="001F4F2D">
        <w:t>;</w:t>
      </w:r>
    </w:p>
    <w:p w:rsidR="003D08B2" w:rsidRDefault="001F4F2D" w:rsidP="00076F7E">
      <w:pPr>
        <w:pStyle w:val="ListParagraph"/>
        <w:numPr>
          <w:ilvl w:val="0"/>
          <w:numId w:val="1"/>
        </w:numPr>
      </w:pPr>
      <w:r w:rsidRPr="001F4F2D">
        <w:t>OMB Memorandum M-06-15</w:t>
      </w:r>
      <w:r>
        <w:t>,</w:t>
      </w:r>
      <w:r w:rsidRPr="001F4F2D">
        <w:t xml:space="preserve"> </w:t>
      </w:r>
      <w:r w:rsidRPr="001F4F2D">
        <w:rPr>
          <w:i/>
        </w:rPr>
        <w:t>Safeguarding Personally Identifiable Information</w:t>
      </w:r>
      <w:r w:rsidRPr="001F4F2D">
        <w:t xml:space="preserve"> </w:t>
      </w:r>
      <w:r>
        <w:t>(</w:t>
      </w:r>
      <w:r w:rsidRPr="001F4F2D">
        <w:t>May 22, 2006</w:t>
      </w:r>
      <w:r>
        <w:t xml:space="preserve">); </w:t>
      </w:r>
      <w:r w:rsidR="003D08B2">
        <w:t xml:space="preserve"> and</w:t>
      </w:r>
    </w:p>
    <w:p w:rsidR="003D08B2" w:rsidRDefault="00A84849" w:rsidP="00076F7E">
      <w:pPr>
        <w:pStyle w:val="ListParagraph"/>
        <w:numPr>
          <w:ilvl w:val="0"/>
          <w:numId w:val="1"/>
        </w:numPr>
      </w:pPr>
      <w:r w:rsidRPr="00A84849">
        <w:t>DHS Sensitive Systems Policy Directive 4300A</w:t>
      </w:r>
      <w:r w:rsidR="003D08B2">
        <w:t xml:space="preserve"> (or successor).</w:t>
      </w:r>
    </w:p>
    <w:p w:rsidR="00D90239" w:rsidRDefault="00D90239" w:rsidP="00D90239"/>
    <w:p w:rsidR="006E14B6" w:rsidRPr="0043714A" w:rsidRDefault="006E14B6" w:rsidP="006E14B6">
      <w:pPr>
        <w:rPr>
          <w:b/>
        </w:rPr>
      </w:pPr>
      <w:r w:rsidRPr="0043714A">
        <w:rPr>
          <w:b/>
        </w:rPr>
        <w:t>2</w:t>
      </w:r>
      <w:r>
        <w:t xml:space="preserve">.  </w:t>
      </w:r>
      <w:r w:rsidR="000C5166">
        <w:rPr>
          <w:b/>
        </w:rPr>
        <w:t>Use of the Information</w:t>
      </w:r>
    </w:p>
    <w:p w:rsidR="004827A1" w:rsidRDefault="004827A1" w:rsidP="004827A1">
      <w:r>
        <w:t xml:space="preserve">DHS is proposing amendments to the HSAR to implement </w:t>
      </w:r>
      <w:r w:rsidRPr="00E979E4">
        <w:t>adequate security</w:t>
      </w:r>
      <w:r>
        <w:t xml:space="preserve"> </w:t>
      </w:r>
      <w:r w:rsidRPr="00E979E4">
        <w:t xml:space="preserve">measures to safeguard </w:t>
      </w:r>
      <w:r>
        <w:t xml:space="preserve">sensitive </w:t>
      </w:r>
      <w:r w:rsidRPr="00E979E4">
        <w:t xml:space="preserve">information </w:t>
      </w:r>
      <w:r>
        <w:t xml:space="preserve">and to facilitate improved incident </w:t>
      </w:r>
      <w:r w:rsidRPr="00E979E4">
        <w:t xml:space="preserve">reporting to </w:t>
      </w:r>
      <w:r>
        <w:t>DHS</w:t>
      </w:r>
      <w:r w:rsidRPr="00E979E4">
        <w:t>.</w:t>
      </w:r>
      <w:r>
        <w:t xml:space="preserve">  These amendments would make the following changes to the </w:t>
      </w:r>
      <w:r w:rsidR="00A60402">
        <w:t>HSAR</w:t>
      </w:r>
      <w:r>
        <w:t>:</w:t>
      </w:r>
    </w:p>
    <w:p w:rsidR="004827A1" w:rsidRDefault="004827A1" w:rsidP="004827A1"/>
    <w:p w:rsidR="004827A1" w:rsidRDefault="00A60402" w:rsidP="007B7359">
      <w:pPr>
        <w:pStyle w:val="ListParagraph"/>
        <w:numPr>
          <w:ilvl w:val="0"/>
          <w:numId w:val="19"/>
        </w:numPr>
      </w:pPr>
      <w:r>
        <w:t>Revise</w:t>
      </w:r>
      <w:r w:rsidR="00DE400E">
        <w:t>s</w:t>
      </w:r>
      <w:r>
        <w:t xml:space="preserve"> HSAR Subpart 3002.101, Definitions</w:t>
      </w:r>
      <w:r w:rsidR="000E5695">
        <w:t>:</w:t>
      </w:r>
      <w:r>
        <w:t xml:space="preserve"> </w:t>
      </w:r>
      <w:r w:rsidR="000E5695">
        <w:t xml:space="preserve">This section </w:t>
      </w:r>
      <w:r>
        <w:t xml:space="preserve">is revised to add or redefine the following terms:  </w:t>
      </w:r>
      <w:r w:rsidR="000E5695">
        <w:t>A</w:t>
      </w:r>
      <w:r>
        <w:t xml:space="preserve">dequate </w:t>
      </w:r>
      <w:r w:rsidR="000E5695">
        <w:t>S</w:t>
      </w:r>
      <w:r>
        <w:t xml:space="preserve">ecurity, </w:t>
      </w:r>
      <w:r w:rsidR="000E5695">
        <w:t>Handling</w:t>
      </w:r>
      <w:r>
        <w:t xml:space="preserve">, </w:t>
      </w:r>
      <w:r w:rsidR="000E5695">
        <w:t>Information Resources, Information Security, I</w:t>
      </w:r>
      <w:r>
        <w:t xml:space="preserve">nformation </w:t>
      </w:r>
      <w:r w:rsidR="000E5695">
        <w:t>S</w:t>
      </w:r>
      <w:r>
        <w:t xml:space="preserve">ystem, </w:t>
      </w:r>
      <w:r w:rsidR="000E5695">
        <w:t>and Sensitive Information</w:t>
      </w:r>
      <w:r w:rsidR="00CC28B7">
        <w:t>.</w:t>
      </w:r>
      <w:r w:rsidR="004827A1">
        <w:t xml:space="preserve"> </w:t>
      </w:r>
    </w:p>
    <w:p w:rsidR="004827A1" w:rsidRDefault="004827A1" w:rsidP="004827A1"/>
    <w:p w:rsidR="004827A1" w:rsidRDefault="00A60402" w:rsidP="007B7359">
      <w:pPr>
        <w:pStyle w:val="ListParagraph"/>
        <w:numPr>
          <w:ilvl w:val="0"/>
          <w:numId w:val="19"/>
        </w:numPr>
      </w:pPr>
      <w:r>
        <w:t>Revise</w:t>
      </w:r>
      <w:r w:rsidR="00DE400E">
        <w:t>s</w:t>
      </w:r>
      <w:r>
        <w:t xml:space="preserve"> HSAR S</w:t>
      </w:r>
      <w:r w:rsidRPr="00BC52F1">
        <w:t xml:space="preserve">ubpart 3004.470, Security requirements for access to unclassified facilities, </w:t>
      </w:r>
      <w:r w:rsidR="000E5695">
        <w:t>information</w:t>
      </w:r>
      <w:r w:rsidRPr="00BC52F1">
        <w:t xml:space="preserve"> resources, and sensitive</w:t>
      </w:r>
      <w:r>
        <w:t xml:space="preserve"> </w:t>
      </w:r>
      <w:r w:rsidRPr="00BC52F1">
        <w:t>information</w:t>
      </w:r>
      <w:r w:rsidR="00DE400E">
        <w:t>.</w:t>
      </w:r>
      <w:r w:rsidR="000E5695">
        <w:t xml:space="preserve">  This section is revised </w:t>
      </w:r>
      <w:r>
        <w:t>to change the title of the subpart and to clarify the applicability of the subpa</w:t>
      </w:r>
      <w:r w:rsidR="000E5695">
        <w:t xml:space="preserve">rt to the acquisition lifecycle. The </w:t>
      </w:r>
      <w:r w:rsidR="00426351">
        <w:t xml:space="preserve">revision/addition of </w:t>
      </w:r>
      <w:r w:rsidR="000E5695">
        <w:t>scope, definitions, policy and contract clause</w:t>
      </w:r>
      <w:r w:rsidR="00CC28B7">
        <w:t xml:space="preserve">s sections </w:t>
      </w:r>
      <w:r w:rsidR="000E5695">
        <w:t xml:space="preserve">are </w:t>
      </w:r>
      <w:r w:rsidR="00CC28B7">
        <w:t xml:space="preserve">additional changes </w:t>
      </w:r>
      <w:r w:rsidR="000E5695">
        <w:t>resulting from this rule.</w:t>
      </w:r>
    </w:p>
    <w:p w:rsidR="00A60402" w:rsidRDefault="00A60402" w:rsidP="00A60402"/>
    <w:p w:rsidR="004827A1" w:rsidRDefault="00CC28B7" w:rsidP="007B7359">
      <w:pPr>
        <w:pStyle w:val="ListParagraph"/>
        <w:numPr>
          <w:ilvl w:val="0"/>
          <w:numId w:val="19"/>
        </w:numPr>
      </w:pPr>
      <w:r>
        <w:t>Remove</w:t>
      </w:r>
      <w:r w:rsidR="00DE400E">
        <w:t>s</w:t>
      </w:r>
      <w:r>
        <w:t xml:space="preserve"> </w:t>
      </w:r>
      <w:r w:rsidR="003D08B2">
        <w:t xml:space="preserve">HSAR </w:t>
      </w:r>
      <w:r w:rsidR="00A60402">
        <w:t>C</w:t>
      </w:r>
      <w:r w:rsidR="00A60402" w:rsidRPr="009B7E57">
        <w:t>lause 3052.204-70, Security Requirements for Unclassified Information Technology Resources</w:t>
      </w:r>
      <w:r>
        <w:t>, and reserve</w:t>
      </w:r>
      <w:r w:rsidR="00DE400E">
        <w:t>s</w:t>
      </w:r>
      <w:r>
        <w:t xml:space="preserve"> the section number.</w:t>
      </w:r>
    </w:p>
    <w:p w:rsidR="007B7359" w:rsidRDefault="007B7359" w:rsidP="007B7359">
      <w:pPr>
        <w:pStyle w:val="ListParagraph"/>
      </w:pPr>
    </w:p>
    <w:p w:rsidR="007B7359" w:rsidRDefault="00A60402" w:rsidP="007B7359">
      <w:pPr>
        <w:pStyle w:val="ListParagraph"/>
        <w:numPr>
          <w:ilvl w:val="0"/>
          <w:numId w:val="19"/>
        </w:numPr>
      </w:pPr>
      <w:r>
        <w:t xml:space="preserve">Add a new </w:t>
      </w:r>
      <w:r w:rsidR="007B7359">
        <w:t xml:space="preserve">clause </w:t>
      </w:r>
      <w:r w:rsidR="007B7359" w:rsidRPr="00DC55E8">
        <w:t xml:space="preserve">at </w:t>
      </w:r>
      <w:r w:rsidR="007B7359">
        <w:t>HSAR 3052.204-7</w:t>
      </w:r>
      <w:r w:rsidR="007B7359" w:rsidRPr="002F0AFA">
        <w:t>X</w:t>
      </w:r>
      <w:r w:rsidR="007B7359">
        <w:t xml:space="preserve">, Safeguarding of Sensitive Information, </w:t>
      </w:r>
      <w:r w:rsidR="007B7359" w:rsidRPr="00DC55E8">
        <w:t xml:space="preserve">to protect </w:t>
      </w:r>
      <w:r w:rsidR="007B7359">
        <w:t xml:space="preserve">sensitive </w:t>
      </w:r>
      <w:r w:rsidR="007B7359" w:rsidRPr="00DC55E8">
        <w:t>information</w:t>
      </w:r>
      <w:r w:rsidR="007B7359">
        <w:t>.  The new clause also identifies incident reporting and response requirements</w:t>
      </w:r>
      <w:r w:rsidR="003D08B2">
        <w:t>, notification</w:t>
      </w:r>
      <w:r w:rsidR="003D08B2" w:rsidRPr="00B9282E">
        <w:t xml:space="preserve"> </w:t>
      </w:r>
      <w:r w:rsidR="003D08B2">
        <w:t>and</w:t>
      </w:r>
      <w:r w:rsidR="003D08B2" w:rsidRPr="00B9282E">
        <w:t xml:space="preserve"> </w:t>
      </w:r>
      <w:r w:rsidR="003D08B2">
        <w:t>credit</w:t>
      </w:r>
      <w:r w:rsidR="003D08B2" w:rsidRPr="00B9282E">
        <w:t xml:space="preserve"> </w:t>
      </w:r>
      <w:r w:rsidR="003D08B2">
        <w:t>monitoring</w:t>
      </w:r>
      <w:r w:rsidR="003D08B2" w:rsidRPr="00B9282E">
        <w:t xml:space="preserve"> </w:t>
      </w:r>
      <w:r w:rsidR="003D08B2">
        <w:t>requirements</w:t>
      </w:r>
      <w:r w:rsidR="003D08B2" w:rsidRPr="00B9282E">
        <w:t xml:space="preserve"> </w:t>
      </w:r>
      <w:r w:rsidR="003D08B2">
        <w:t>for</w:t>
      </w:r>
      <w:r w:rsidR="003D08B2" w:rsidRPr="00B9282E">
        <w:t xml:space="preserve"> </w:t>
      </w:r>
      <w:r w:rsidR="003D08B2">
        <w:t xml:space="preserve">PII and SPII, </w:t>
      </w:r>
      <w:r w:rsidR="007B7359">
        <w:t xml:space="preserve">and requires that contractors </w:t>
      </w:r>
      <w:r w:rsidR="007B7359" w:rsidRPr="004C7645">
        <w:t>certify and confirm the sanitization of Government and Government-Activity related files and information</w:t>
      </w:r>
      <w:r w:rsidR="00514A37">
        <w:t>.</w:t>
      </w:r>
    </w:p>
    <w:p w:rsidR="007B7359" w:rsidRDefault="007B7359" w:rsidP="007B7359">
      <w:pPr>
        <w:pStyle w:val="ListParagraph"/>
      </w:pPr>
    </w:p>
    <w:p w:rsidR="007B7359" w:rsidRDefault="007B7359" w:rsidP="007B7359">
      <w:pPr>
        <w:pStyle w:val="ListParagraph"/>
        <w:numPr>
          <w:ilvl w:val="0"/>
          <w:numId w:val="19"/>
        </w:numPr>
      </w:pPr>
      <w:r>
        <w:t>Revise</w:t>
      </w:r>
      <w:r w:rsidR="00DE400E">
        <w:t>s</w:t>
      </w:r>
      <w:r>
        <w:t xml:space="preserve"> HSAR 3052.212-70, Contract Terms and Conditions</w:t>
      </w:r>
      <w:r w:rsidRPr="00B9282E">
        <w:t xml:space="preserve"> A</w:t>
      </w:r>
      <w:r>
        <w:t>pplicable</w:t>
      </w:r>
      <w:r w:rsidRPr="00B9282E">
        <w:t xml:space="preserve"> </w:t>
      </w:r>
      <w:r>
        <w:t>to</w:t>
      </w:r>
      <w:r w:rsidRPr="00B9282E">
        <w:t xml:space="preserve"> DHS A</w:t>
      </w:r>
      <w:r>
        <w:t>cquisition</w:t>
      </w:r>
      <w:r w:rsidRPr="00B9282E">
        <w:t xml:space="preserve"> </w:t>
      </w:r>
      <w:r>
        <w:t>of</w:t>
      </w:r>
      <w:r w:rsidRPr="00B9282E">
        <w:t xml:space="preserve"> C</w:t>
      </w:r>
      <w:r>
        <w:t>ommercial</w:t>
      </w:r>
      <w:r w:rsidRPr="00B9282E">
        <w:t xml:space="preserve"> I</w:t>
      </w:r>
      <w:r>
        <w:t>tems</w:t>
      </w:r>
      <w:r w:rsidR="00DE400E">
        <w:t xml:space="preserve">. </w:t>
      </w:r>
      <w:r w:rsidR="00A67520">
        <w:t xml:space="preserve"> </w:t>
      </w:r>
      <w:r w:rsidR="00DE400E">
        <w:t xml:space="preserve">This rule proposes </w:t>
      </w:r>
      <w:r>
        <w:t>to remove HSAR 3052.204-70 Security Requirements for Unclassified Information Technology Resources; identify Alternate II as an option under HSAR 3052.204-71 Contractor Employee Access; and add HSAR 3052.204-7X Safeguarding of Sensitive Information</w:t>
      </w:r>
      <w:r w:rsidR="006F34A5">
        <w:t>.</w:t>
      </w:r>
    </w:p>
    <w:p w:rsidR="00A60402" w:rsidRDefault="00A60402" w:rsidP="00A60402"/>
    <w:p w:rsidR="00A67520" w:rsidRDefault="00A67520" w:rsidP="00A60402"/>
    <w:p w:rsidR="00A67520" w:rsidRDefault="00A67520" w:rsidP="00A60402"/>
    <w:p w:rsidR="009761BA" w:rsidRDefault="006E14B6" w:rsidP="006E14B6">
      <w:pPr>
        <w:rPr>
          <w:b/>
        </w:rPr>
      </w:pPr>
      <w:r>
        <w:lastRenderedPageBreak/>
        <w:t xml:space="preserve">3. </w:t>
      </w:r>
      <w:r w:rsidR="000C5166">
        <w:t xml:space="preserve"> </w:t>
      </w:r>
      <w:r w:rsidR="000C5166" w:rsidRPr="000C5166">
        <w:rPr>
          <w:b/>
        </w:rPr>
        <w:t>Use of Information Technology</w:t>
      </w:r>
      <w:r w:rsidR="009761BA">
        <w:rPr>
          <w:b/>
        </w:rPr>
        <w:t>.</w:t>
      </w:r>
    </w:p>
    <w:p w:rsidR="00C31139" w:rsidRDefault="00CE25ED" w:rsidP="0043714A">
      <w:r w:rsidRPr="00CE25ED">
        <w:t>Collection of the required information is a contractual condition of the clause at HSAR 3052.204-7X, Safeguarding of Sensitive Information.  The information collection requirements imposed on contractors are contained in each solicitation and provide the specified contracting officer’s name, email, mailing address and other salient characteristics that contractors would use to submit its response.  Where both the Department and contractors are capable of electronic interchange, contractors may submit the information collection requirements electronically (i.e. email), unless the solicitation specifically prohibits it.  This approach is consistent with section 2.101 of the Federal Acquisition Regulation which permits the use of electronic submissions.  Because the information collection requirements imposed on contractors must meet specific timeframes, a centralized mailbox or website would not be an expeditious or practical method of submission.  However, contractors may submit renewal documentation via DHS’ web-based security management tool (Information Assurance Compliance System).</w:t>
      </w:r>
    </w:p>
    <w:p w:rsidR="00CE25ED" w:rsidRDefault="00CE25ED" w:rsidP="0043714A"/>
    <w:p w:rsidR="009761BA" w:rsidRPr="006C58EB" w:rsidRDefault="006E14B6" w:rsidP="0043714A">
      <w:pPr>
        <w:rPr>
          <w:b/>
        </w:rPr>
      </w:pPr>
      <w:r>
        <w:t xml:space="preserve">4.  </w:t>
      </w:r>
      <w:r w:rsidR="0043714A" w:rsidRPr="006C58EB">
        <w:rPr>
          <w:b/>
        </w:rPr>
        <w:t xml:space="preserve">Efforts to Identify Duplication </w:t>
      </w:r>
    </w:p>
    <w:p w:rsidR="006E14B6" w:rsidRDefault="00990A1F" w:rsidP="006E14B6">
      <w:r w:rsidRPr="00990A1F">
        <w:t xml:space="preserve">As a matter of policy, </w:t>
      </w:r>
      <w:r>
        <w:t>DHS</w:t>
      </w:r>
      <w:r w:rsidRPr="00990A1F">
        <w:t xml:space="preserve"> reviews the Federal Acquisition Regulation (FAR) and </w:t>
      </w:r>
      <w:r>
        <w:t>HSAR</w:t>
      </w:r>
      <w:r w:rsidRPr="00990A1F">
        <w:t xml:space="preserve"> to determine if adequate language already exists.  This information collection implements a unique provision and does not duplicate any other requirement.</w:t>
      </w:r>
      <w:r w:rsidR="0050784B">
        <w:t xml:space="preserve">  If the FAR is revised to incorporate language that is comparable to some parts of this rule, the duplicative text will be removed from the HSAR.</w:t>
      </w:r>
    </w:p>
    <w:p w:rsidR="00990A1F" w:rsidRDefault="00990A1F" w:rsidP="006E14B6"/>
    <w:p w:rsidR="0043714A" w:rsidRPr="00A675DB" w:rsidRDefault="006E14B6" w:rsidP="0043714A">
      <w:pPr>
        <w:rPr>
          <w:b/>
        </w:rPr>
      </w:pPr>
      <w:r>
        <w:t xml:space="preserve">5.  </w:t>
      </w:r>
      <w:r w:rsidR="0043714A" w:rsidRPr="00A675DB">
        <w:rPr>
          <w:b/>
        </w:rPr>
        <w:t>Impact on Small Business or Other Small Entities</w:t>
      </w:r>
    </w:p>
    <w:p w:rsidR="0050784B" w:rsidRDefault="00A63687" w:rsidP="00591635">
      <w:r w:rsidRPr="00A63687">
        <w:t xml:space="preserve">The burden applied to small businesses is </w:t>
      </w:r>
      <w:r w:rsidR="0050784B">
        <w:t xml:space="preserve">the </w:t>
      </w:r>
      <w:r w:rsidR="00990A1F" w:rsidRPr="00990A1F">
        <w:t xml:space="preserve">minimum consistent with applicable laws, Executive </w:t>
      </w:r>
      <w:r w:rsidR="0050784B">
        <w:t>o</w:t>
      </w:r>
      <w:r w:rsidR="00990A1F" w:rsidRPr="00990A1F">
        <w:t>rders, regulations, and prudent business practices.</w:t>
      </w:r>
      <w:r w:rsidR="00591635">
        <w:t xml:space="preserve">  </w:t>
      </w:r>
    </w:p>
    <w:p w:rsidR="00990A1F" w:rsidRDefault="00990A1F" w:rsidP="006E14B6"/>
    <w:p w:rsidR="0043714A" w:rsidRPr="00EF1974" w:rsidRDefault="006E14B6" w:rsidP="0043714A">
      <w:pPr>
        <w:rPr>
          <w:b/>
        </w:rPr>
      </w:pPr>
      <w:r>
        <w:t xml:space="preserve">6.  </w:t>
      </w:r>
      <w:r w:rsidR="0043714A" w:rsidRPr="00EF1974">
        <w:rPr>
          <w:b/>
        </w:rPr>
        <w:t>Consequences of Collection the Information Less Frequently</w:t>
      </w:r>
    </w:p>
    <w:p w:rsidR="00D32709" w:rsidRDefault="006059AA" w:rsidP="00366AE5">
      <w:r>
        <w:t>C</w:t>
      </w:r>
      <w:r w:rsidRPr="006059AA">
        <w:t xml:space="preserve">ollection of </w:t>
      </w:r>
      <w:r w:rsidR="005945A7">
        <w:t xml:space="preserve">this </w:t>
      </w:r>
      <w:r w:rsidRPr="006059AA">
        <w:t xml:space="preserve">information on a less frequent basis is not practical. </w:t>
      </w:r>
      <w:r>
        <w:t xml:space="preserve"> </w:t>
      </w:r>
      <w:r w:rsidR="000B6571" w:rsidRPr="00990A1F">
        <w:t xml:space="preserve">The consequence of not collecting this data is that </w:t>
      </w:r>
      <w:r w:rsidR="000B6571">
        <w:t xml:space="preserve">DHS </w:t>
      </w:r>
      <w:r w:rsidR="000B6571" w:rsidRPr="00990A1F">
        <w:t xml:space="preserve">is not </w:t>
      </w:r>
      <w:r w:rsidR="00CC28B7">
        <w:t>ensuring the adequate security of</w:t>
      </w:r>
      <w:r w:rsidR="000B6571" w:rsidRPr="00990A1F">
        <w:t xml:space="preserve"> </w:t>
      </w:r>
      <w:r w:rsidR="00E50A5B">
        <w:t xml:space="preserve">sensitive </w:t>
      </w:r>
      <w:r w:rsidR="000B6571" w:rsidRPr="00990A1F">
        <w:t xml:space="preserve">information.  </w:t>
      </w:r>
      <w:r w:rsidR="0011438E">
        <w:t>Further, having an HSAR clause to address the safeguarding of sensitive information will greatly reduce the proliferation of Department</w:t>
      </w:r>
      <w:r w:rsidR="00DF7419">
        <w:t>, Component,</w:t>
      </w:r>
      <w:r w:rsidR="0011438E">
        <w:t xml:space="preserve"> or buying office-level requirements that offerors now respond to in a variety of different and non-standard ways.  </w:t>
      </w:r>
      <w:r w:rsidR="000B6571">
        <w:t xml:space="preserve">Failure to collect this information may result </w:t>
      </w:r>
      <w:r w:rsidR="00366AE5">
        <w:t xml:space="preserve">in </w:t>
      </w:r>
      <w:r w:rsidR="000B6571">
        <w:t xml:space="preserve">the </w:t>
      </w:r>
      <w:r w:rsidR="00E50A5B">
        <w:t>compromise</w:t>
      </w:r>
      <w:r w:rsidR="000B6571">
        <w:t xml:space="preserve"> of sensitive information</w:t>
      </w:r>
      <w:r w:rsidR="00CC6C21">
        <w:t xml:space="preserve"> </w:t>
      </w:r>
      <w:r w:rsidR="00CC6C21">
        <w:rPr>
          <w:rFonts w:cs="Arial"/>
        </w:rPr>
        <w:t xml:space="preserve">hampering the </w:t>
      </w:r>
      <w:r w:rsidR="00734FF1">
        <w:rPr>
          <w:rFonts w:cs="Arial"/>
        </w:rPr>
        <w:t>Department’s</w:t>
      </w:r>
      <w:r w:rsidR="00CC6C21">
        <w:rPr>
          <w:rFonts w:cs="Arial"/>
        </w:rPr>
        <w:t xml:space="preserve"> ability to carry out its mission</w:t>
      </w:r>
      <w:r w:rsidR="000B6571">
        <w:t xml:space="preserve">. </w:t>
      </w:r>
    </w:p>
    <w:p w:rsidR="00990A1F" w:rsidRDefault="00990A1F" w:rsidP="006E14B6"/>
    <w:p w:rsidR="0043714A" w:rsidRPr="00F354B6" w:rsidRDefault="006E14B6" w:rsidP="0043714A">
      <w:pPr>
        <w:rPr>
          <w:b/>
        </w:rPr>
      </w:pPr>
      <w:r>
        <w:t xml:space="preserve">7.  </w:t>
      </w:r>
      <w:r w:rsidR="0043714A" w:rsidRPr="00F354B6">
        <w:rPr>
          <w:b/>
        </w:rPr>
        <w:t>Special Circumstances Relating to the Guidelines of 5</w:t>
      </w:r>
      <w:r w:rsidR="000C5166">
        <w:rPr>
          <w:b/>
        </w:rPr>
        <w:t xml:space="preserve"> </w:t>
      </w:r>
      <w:r w:rsidR="0043714A" w:rsidRPr="00F354B6">
        <w:rPr>
          <w:b/>
        </w:rPr>
        <w:t xml:space="preserve">CFR 1320.5 </w:t>
      </w:r>
    </w:p>
    <w:p w:rsidR="006E14B6" w:rsidRDefault="00A63687" w:rsidP="006E14B6">
      <w:r w:rsidRPr="00A63687">
        <w:t>The collection of this information is consistent with the general information collection guidelines in 5 CFR 1320.5 (d) (2).</w:t>
      </w:r>
    </w:p>
    <w:p w:rsidR="00A63687" w:rsidRDefault="00A63687" w:rsidP="006E14B6"/>
    <w:p w:rsidR="0043714A" w:rsidRPr="00A23F00" w:rsidRDefault="006E14B6" w:rsidP="0043714A">
      <w:pPr>
        <w:rPr>
          <w:b/>
        </w:rPr>
      </w:pPr>
      <w:r>
        <w:t xml:space="preserve">8.  </w:t>
      </w:r>
      <w:r w:rsidR="0043714A" w:rsidRPr="00A23F00">
        <w:rPr>
          <w:b/>
        </w:rPr>
        <w:t xml:space="preserve">Efforts to Consult Outside the Agency </w:t>
      </w:r>
    </w:p>
    <w:p w:rsidR="000C5166" w:rsidRDefault="00A63687" w:rsidP="006E14B6">
      <w:r w:rsidRPr="00A63687">
        <w:t xml:space="preserve">This information collection is consistent with the guidelines in 5 CFR 1320.5(d).  A revised supporting statement will be provided to OMB to address any comments received on the information collection portion of the proposed </w:t>
      </w:r>
      <w:r w:rsidR="00845F64">
        <w:t>HSAR</w:t>
      </w:r>
      <w:r w:rsidR="00845F64" w:rsidRPr="00A63687">
        <w:t xml:space="preserve"> </w:t>
      </w:r>
      <w:r w:rsidRPr="00A63687">
        <w:t>rule.</w:t>
      </w:r>
    </w:p>
    <w:p w:rsidR="00A63687" w:rsidRDefault="00A63687" w:rsidP="006E14B6"/>
    <w:p w:rsidR="0043714A" w:rsidRPr="00730190" w:rsidRDefault="006E14B6" w:rsidP="0043714A">
      <w:pPr>
        <w:rPr>
          <w:b/>
        </w:rPr>
      </w:pPr>
      <w:r>
        <w:t xml:space="preserve">9.  </w:t>
      </w:r>
      <w:r w:rsidR="0043714A" w:rsidRPr="00730190">
        <w:rPr>
          <w:b/>
        </w:rPr>
        <w:t>Explanation of Payments and Gifts to Respondents</w:t>
      </w:r>
    </w:p>
    <w:p w:rsidR="006E14B6" w:rsidRDefault="002A4C90" w:rsidP="006E14B6">
      <w:r w:rsidRPr="002A4C90">
        <w:lastRenderedPageBreak/>
        <w:t xml:space="preserve">No payment or gift will be </w:t>
      </w:r>
      <w:r w:rsidR="00366AE5">
        <w:t>provided to respondents other than remuneration of contractors under their contacts.</w:t>
      </w:r>
    </w:p>
    <w:p w:rsidR="00591635" w:rsidRDefault="00591635" w:rsidP="0043714A"/>
    <w:p w:rsidR="0043714A" w:rsidRPr="001261A8" w:rsidRDefault="006E14B6" w:rsidP="0043714A">
      <w:pPr>
        <w:rPr>
          <w:b/>
        </w:rPr>
      </w:pPr>
      <w:r>
        <w:t xml:space="preserve">10.  </w:t>
      </w:r>
      <w:r w:rsidR="0043714A" w:rsidRPr="001261A8">
        <w:rPr>
          <w:b/>
        </w:rPr>
        <w:t>Assurance of Confidentiality Provided to Respondents</w:t>
      </w:r>
    </w:p>
    <w:p w:rsidR="00B156AD" w:rsidRDefault="00B156AD" w:rsidP="00B156AD">
      <w:r w:rsidRPr="002A4C90">
        <w:t xml:space="preserve">This information is disclosed only to the extent consistent with </w:t>
      </w:r>
      <w:r>
        <w:t xml:space="preserve">statutory requirements, </w:t>
      </w:r>
      <w:r w:rsidRPr="002A4C90">
        <w:t>current regulations</w:t>
      </w:r>
      <w:r>
        <w:t>,</w:t>
      </w:r>
      <w:r w:rsidRPr="002A4C90">
        <w:t xml:space="preserve"> and prudent business practices.</w:t>
      </w:r>
      <w:r>
        <w:t xml:space="preserve">  </w:t>
      </w:r>
      <w:r w:rsidRPr="00195975">
        <w:t>All information collection activities will conform to the requirements for the protection of the confidentiality of nonpublic information and personally identifiable information and for data security and integ</w:t>
      </w:r>
      <w:r>
        <w:t>rity.</w:t>
      </w:r>
    </w:p>
    <w:p w:rsidR="006005A2" w:rsidRDefault="006005A2" w:rsidP="0043714A">
      <w:pPr>
        <w:rPr>
          <w:rFonts w:ascii="Courier New"/>
        </w:rPr>
      </w:pPr>
    </w:p>
    <w:p w:rsidR="00A67520" w:rsidRDefault="00A67520" w:rsidP="0043714A">
      <w:pPr>
        <w:rPr>
          <w:rFonts w:ascii="Courier New"/>
        </w:rPr>
      </w:pPr>
    </w:p>
    <w:p w:rsidR="0043714A" w:rsidRPr="00815769" w:rsidRDefault="006E14B6" w:rsidP="0043714A">
      <w:pPr>
        <w:rPr>
          <w:b/>
        </w:rPr>
      </w:pPr>
      <w:r>
        <w:t xml:space="preserve">11.  </w:t>
      </w:r>
      <w:r w:rsidR="002A4C90" w:rsidRPr="002A4C90">
        <w:rPr>
          <w:b/>
        </w:rPr>
        <w:t xml:space="preserve">Additional justification for questions of a sensitive nature.  </w:t>
      </w:r>
    </w:p>
    <w:p w:rsidR="002A4C90" w:rsidRPr="002A4C90" w:rsidRDefault="002A4C90" w:rsidP="0043714A">
      <w:r w:rsidRPr="002A4C90">
        <w:t>No sensitive questions are involved.</w:t>
      </w:r>
    </w:p>
    <w:p w:rsidR="002A4C90" w:rsidRDefault="002A4C90" w:rsidP="0043714A">
      <w:pPr>
        <w:rPr>
          <w:rFonts w:ascii="Courier New" w:hAnsi="Courier New" w:cs="Courier New"/>
        </w:rPr>
      </w:pPr>
    </w:p>
    <w:p w:rsidR="004D1484" w:rsidRDefault="0091272C" w:rsidP="004D1484">
      <w:r w:rsidRPr="00144B24">
        <w:t>12</w:t>
      </w:r>
      <w:r w:rsidR="006F0723">
        <w:rPr>
          <w:b/>
        </w:rPr>
        <w:t>.</w:t>
      </w:r>
      <w:r w:rsidRPr="0091272C">
        <w:rPr>
          <w:b/>
        </w:rPr>
        <w:t xml:space="preserve"> </w:t>
      </w:r>
      <w:r w:rsidR="00A27830" w:rsidRPr="00A27830">
        <w:rPr>
          <w:b/>
        </w:rPr>
        <w:t>Estimated</w:t>
      </w:r>
      <w:r w:rsidRPr="0091272C">
        <w:rPr>
          <w:b/>
        </w:rPr>
        <w:t xml:space="preserve"> total annual public hour and cost burden.</w:t>
      </w:r>
      <w:r w:rsidRPr="0091272C">
        <w:t xml:space="preserve">  </w:t>
      </w:r>
    </w:p>
    <w:p w:rsidR="00642738" w:rsidRDefault="00642738" w:rsidP="00642738">
      <w:r>
        <w:t xml:space="preserve">A detailed discussion of when respondents must provide a response and for what purpose </w:t>
      </w:r>
      <w:r w:rsidR="007D3E8E">
        <w:t xml:space="preserve">is </w:t>
      </w:r>
      <w:r>
        <w:t>listed below.  The estimated cost to the public for th</w:t>
      </w:r>
      <w:r w:rsidR="00734FF1">
        <w:t>is</w:t>
      </w:r>
      <w:r>
        <w:t xml:space="preserve"> information collection </w:t>
      </w:r>
      <w:r w:rsidR="00A67520">
        <w:t xml:space="preserve">is </w:t>
      </w:r>
      <w:r>
        <w:t>addressed by this supporting statement.  The estimated costs include time and effort to—</w:t>
      </w:r>
    </w:p>
    <w:p w:rsidR="006F34A5" w:rsidRDefault="006F34A5" w:rsidP="00642738"/>
    <w:p w:rsidR="00642738" w:rsidRDefault="00642738" w:rsidP="00642738">
      <w:pPr>
        <w:pStyle w:val="ListParagraph"/>
        <w:numPr>
          <w:ilvl w:val="0"/>
          <w:numId w:val="20"/>
        </w:numPr>
      </w:pPr>
      <w:r>
        <w:t>Review and understand the requirements;</w:t>
      </w:r>
    </w:p>
    <w:p w:rsidR="00642738" w:rsidRDefault="00642738" w:rsidP="00642738">
      <w:pPr>
        <w:pStyle w:val="ListParagraph"/>
        <w:numPr>
          <w:ilvl w:val="0"/>
          <w:numId w:val="20"/>
        </w:numPr>
      </w:pPr>
      <w:r>
        <w:t>Search data sources;</w:t>
      </w:r>
    </w:p>
    <w:p w:rsidR="00642738" w:rsidRDefault="00642738" w:rsidP="00642738">
      <w:pPr>
        <w:pStyle w:val="ListParagraph"/>
        <w:numPr>
          <w:ilvl w:val="0"/>
          <w:numId w:val="20"/>
        </w:numPr>
      </w:pPr>
      <w:r>
        <w:t>Review and approve the release of the information;</w:t>
      </w:r>
    </w:p>
    <w:p w:rsidR="00642738" w:rsidRDefault="00642738" w:rsidP="00642738">
      <w:pPr>
        <w:pStyle w:val="ListParagraph"/>
        <w:numPr>
          <w:ilvl w:val="0"/>
          <w:numId w:val="20"/>
        </w:numPr>
      </w:pPr>
      <w:r>
        <w:t xml:space="preserve">Disclose the information to the Government or prospective contractor or contractor; and </w:t>
      </w:r>
    </w:p>
    <w:p w:rsidR="00642738" w:rsidRDefault="00642738" w:rsidP="00642738">
      <w:pPr>
        <w:pStyle w:val="ListParagraph"/>
        <w:numPr>
          <w:ilvl w:val="0"/>
          <w:numId w:val="20"/>
        </w:numPr>
      </w:pPr>
      <w:r>
        <w:t xml:space="preserve">Recordkeeping and retention of the disclosed information as substantiating documentation of determinations and actions.  </w:t>
      </w:r>
    </w:p>
    <w:p w:rsidR="00642738" w:rsidRDefault="00642738" w:rsidP="00642738"/>
    <w:p w:rsidR="00642738" w:rsidRDefault="00642738" w:rsidP="00642738">
      <w:r>
        <w:t xml:space="preserve">The below estimates assume that not all efforts, e.g., retrieving and retaining records, are attributed solely to this information collection; only those actions resulting from this rule that are not customary to normal business practices are attributed to this estimate.  </w:t>
      </w:r>
      <w:r w:rsidR="00901D50">
        <w:t xml:space="preserve">Therefore, the estimated hours considers the time needed for an average disclosure, recognizing that the hours required may vary based on the </w:t>
      </w:r>
      <w:r w:rsidR="00901D50" w:rsidRPr="0010111C">
        <w:t>contractors overall operational security readiness</w:t>
      </w:r>
      <w:r w:rsidR="001C6A50">
        <w:t>.</w:t>
      </w:r>
    </w:p>
    <w:p w:rsidR="00642738" w:rsidRDefault="00642738" w:rsidP="00546604"/>
    <w:p w:rsidR="006F0723" w:rsidRDefault="006F0723" w:rsidP="00546604">
      <w:r w:rsidRPr="00472F77">
        <w:t>Annual reporting and recordkeeping burden estimates</w:t>
      </w:r>
      <w:r w:rsidRPr="00721290">
        <w:t xml:space="preserve"> are </w:t>
      </w:r>
      <w:r>
        <w:t xml:space="preserve">based on </w:t>
      </w:r>
      <w:r w:rsidRPr="00AA4F61">
        <w:t xml:space="preserve">Fiscal Year </w:t>
      </w:r>
      <w:r>
        <w:t xml:space="preserve">(FY) </w:t>
      </w:r>
      <w:r w:rsidRPr="00AA4F61">
        <w:t xml:space="preserve">2014 data </w:t>
      </w:r>
      <w:r>
        <w:t xml:space="preserve">reported to the Federal Procurement Data System (FPDS) on </w:t>
      </w:r>
      <w:r w:rsidR="00C452AF">
        <w:t>procurements</w:t>
      </w:r>
      <w:r>
        <w:t xml:space="preserve"> actions for products and services (including IT services)</w:t>
      </w:r>
      <w:r w:rsidR="001A155F">
        <w:t xml:space="preserve"> and internal</w:t>
      </w:r>
      <w:r w:rsidR="001A155F" w:rsidRPr="00CC7383">
        <w:t xml:space="preserve"> DHS contract</w:t>
      </w:r>
      <w:r w:rsidR="001A155F">
        <w:t xml:space="preserve"> </w:t>
      </w:r>
      <w:r w:rsidR="00901D50">
        <w:t xml:space="preserve">award </w:t>
      </w:r>
      <w:r w:rsidR="001A155F">
        <w:t>data</w:t>
      </w:r>
      <w:r w:rsidRPr="00721290">
        <w:t>.</w:t>
      </w:r>
      <w:r>
        <w:t xml:space="preserve">  It </w:t>
      </w:r>
      <w:r w:rsidR="004A48A9">
        <w:t>is anticipated</w:t>
      </w:r>
      <w:r>
        <w:t xml:space="preserve"> that this information collection will be </w:t>
      </w:r>
      <w:r w:rsidR="004A48A9">
        <w:t xml:space="preserve">primarily </w:t>
      </w:r>
      <w:r>
        <w:t xml:space="preserve">applicable to </w:t>
      </w:r>
      <w:r w:rsidRPr="00097F3C">
        <w:t xml:space="preserve">actions with a </w:t>
      </w:r>
      <w:r w:rsidR="00C452AF">
        <w:t>Product and Service Code (</w:t>
      </w:r>
      <w:r w:rsidRPr="00097F3C">
        <w:t>PSC</w:t>
      </w:r>
      <w:r w:rsidR="00C452AF">
        <w:t xml:space="preserve">) </w:t>
      </w:r>
      <w:r>
        <w:t xml:space="preserve">of “D” Automatic Data Processing and Telecommunication and “R” Professional, Administrative and Management Support. </w:t>
      </w:r>
      <w:r w:rsidRPr="00721290">
        <w:t xml:space="preserve"> </w:t>
      </w:r>
      <w:r w:rsidR="00B30C88">
        <w:t>For FY 2014</w:t>
      </w:r>
      <w:r w:rsidR="004A48A9" w:rsidRPr="004A48A9">
        <w:t xml:space="preserve">, DHS made more awards to small businesses for PSCs “D” and “R” than large businesses. </w:t>
      </w:r>
      <w:r w:rsidR="004A48A9">
        <w:t xml:space="preserve"> PSC</w:t>
      </w:r>
      <w:r>
        <w:t>s will be adjusted as a</w:t>
      </w:r>
      <w:r w:rsidRPr="00721290">
        <w:t>dditional data become</w:t>
      </w:r>
      <w:r>
        <w:t>s</w:t>
      </w:r>
      <w:r w:rsidRPr="00721290">
        <w:t xml:space="preserve"> available through </w:t>
      </w:r>
      <w:r>
        <w:t xml:space="preserve">HSAR clause </w:t>
      </w:r>
      <w:r w:rsidRPr="00721290">
        <w:t>implementation to validate future burden projections</w:t>
      </w:r>
      <w:r>
        <w:t>.</w:t>
      </w:r>
    </w:p>
    <w:p w:rsidR="006B54FA" w:rsidRDefault="006B54FA" w:rsidP="00546604"/>
    <w:p w:rsidR="00867E20" w:rsidRDefault="004247D8" w:rsidP="00546604">
      <w:r>
        <w:t>A</w:t>
      </w:r>
      <w:r w:rsidR="006B54FA" w:rsidRPr="006B1FBD">
        <w:t xml:space="preserve"> number of factors determine what data would be considered applicable </w:t>
      </w:r>
      <w:r>
        <w:t xml:space="preserve">to this proposed clause </w:t>
      </w:r>
      <w:r w:rsidR="006B54FA" w:rsidRPr="006B1FBD">
        <w:t xml:space="preserve">and would require analysis on a case-by-case basis.  </w:t>
      </w:r>
      <w:r w:rsidR="00867E20" w:rsidRPr="00BF0DAF">
        <w:t xml:space="preserve">For FY 2014, DHS awarded nearly 13,000 new contract awards to large and small businesses, with over 35 percent of </w:t>
      </w:r>
      <w:r w:rsidR="00867E20" w:rsidRPr="00BF0DAF">
        <w:lastRenderedPageBreak/>
        <w:t xml:space="preserve">all contracts awarded to small businesses.  The estimate of the number of small entities to which the proposed rule will apply was established by reviewing FPDS data for FY 2014, internal DHS contract data, </w:t>
      </w:r>
      <w:r w:rsidR="00867E20">
        <w:t xml:space="preserve">experience with similar safeguarding requirements used in certain DHS contracts, </w:t>
      </w:r>
      <w:r w:rsidR="00867E20" w:rsidRPr="00BF0DAF">
        <w:t>and the</w:t>
      </w:r>
      <w:r w:rsidR="00867E20">
        <w:t xml:space="preserve"> most likely</w:t>
      </w:r>
      <w:r w:rsidR="00867E20" w:rsidRPr="00BF0DAF">
        <w:t xml:space="preserve"> applicable Product and Service Codes.  The data review identified 492 </w:t>
      </w:r>
      <w:r w:rsidR="00867E20">
        <w:t xml:space="preserve">existing </w:t>
      </w:r>
      <w:r w:rsidR="00867E20" w:rsidRPr="00BF0DAF">
        <w:t>contracts to 330 unique vendors,</w:t>
      </w:r>
      <w:r w:rsidR="00867E20">
        <w:t xml:space="preserve"> awarded over a four-year period</w:t>
      </w:r>
      <w:r w:rsidR="00867E20" w:rsidRPr="00BF0DAF">
        <w:t xml:space="preserve"> including small and large businesses.</w:t>
      </w:r>
      <w:r w:rsidR="00901D50">
        <w:t xml:space="preserve">  </w:t>
      </w:r>
      <w:r w:rsidR="00901D50" w:rsidRPr="000233CE">
        <w:t xml:space="preserve">Based on the data reviewed, the projected number of annual respondents subject to Safeguarding of Sensitive Information clause is estimated at </w:t>
      </w:r>
      <w:r w:rsidR="008A7421">
        <w:t>123</w:t>
      </w:r>
      <w:r w:rsidR="00901D50">
        <w:t xml:space="preserve"> respondents</w:t>
      </w:r>
      <w:r w:rsidR="00901D50" w:rsidRPr="000233CE">
        <w:t>.</w:t>
      </w:r>
      <w:r w:rsidR="00901D50">
        <w:t xml:space="preserve">  Based on the DHS historical data of awarding at least 30 percent of new contact awards to small business, it is assumed that 30 percent of the projected annual </w:t>
      </w:r>
      <w:r w:rsidR="00901D50" w:rsidRPr="000233CE">
        <w:t>number of respondents</w:t>
      </w:r>
      <w:r w:rsidR="00901D50">
        <w:t xml:space="preserve"> will be small businesses</w:t>
      </w:r>
      <w:r w:rsidR="00734FF1">
        <w:t>,</w:t>
      </w:r>
      <w:r w:rsidR="00901D50" w:rsidRPr="000233CE">
        <w:t xml:space="preserve"> </w:t>
      </w:r>
      <w:r w:rsidR="00901D50">
        <w:t xml:space="preserve">or approximately </w:t>
      </w:r>
      <w:r w:rsidR="008A7421">
        <w:t>37</w:t>
      </w:r>
      <w:r w:rsidR="00901D50">
        <w:t xml:space="preserve"> respondents. </w:t>
      </w:r>
      <w:r w:rsidR="00901D50" w:rsidRPr="000233CE">
        <w:t xml:space="preserve"> </w:t>
      </w:r>
    </w:p>
    <w:p w:rsidR="00867E20" w:rsidRDefault="00867E20" w:rsidP="00546604"/>
    <w:p w:rsidR="002C329E" w:rsidRDefault="001A155F" w:rsidP="00546604">
      <w:r>
        <w:t>The projections are as follows:</w:t>
      </w:r>
    </w:p>
    <w:p w:rsidR="002A4C75" w:rsidRDefault="002A4C75">
      <w:pPr>
        <w:pStyle w:val="ListParagraph"/>
        <w:ind w:left="0"/>
      </w:pPr>
    </w:p>
    <w:p w:rsidR="004A2C3F" w:rsidRDefault="0050784B" w:rsidP="004A2C3F">
      <w:r w:rsidRPr="0050784B">
        <w:rPr>
          <w:u w:val="single"/>
        </w:rPr>
        <w:t>HSAR subpart 3052.</w:t>
      </w:r>
      <w:r w:rsidR="00DF7419">
        <w:rPr>
          <w:u w:val="single"/>
        </w:rPr>
        <w:t>204-7</w:t>
      </w:r>
      <w:r w:rsidRPr="0050784B">
        <w:rPr>
          <w:u w:val="single"/>
        </w:rPr>
        <w:t>X</w:t>
      </w:r>
      <w:r>
        <w:rPr>
          <w:u w:val="single"/>
        </w:rPr>
        <w:t>,</w:t>
      </w:r>
      <w:r w:rsidRPr="0050784B">
        <w:rPr>
          <w:u w:val="single"/>
        </w:rPr>
        <w:t xml:space="preserve"> </w:t>
      </w:r>
      <w:r w:rsidR="00CB73B5" w:rsidRPr="006D47D4">
        <w:rPr>
          <w:u w:val="single"/>
        </w:rPr>
        <w:t>Safeguarding of Sensitive Information</w:t>
      </w:r>
      <w:r w:rsidR="00CB73B5" w:rsidRPr="002E594E">
        <w:t>:</w:t>
      </w:r>
      <w:r w:rsidR="002E594E" w:rsidRPr="002E594E">
        <w:t xml:space="preserve"> </w:t>
      </w:r>
      <w:r w:rsidR="00350E08">
        <w:t xml:space="preserve"> </w:t>
      </w:r>
    </w:p>
    <w:p w:rsidR="00312565" w:rsidRDefault="00312565" w:rsidP="00312565"/>
    <w:p w:rsidR="006E4BAD" w:rsidRDefault="00312565" w:rsidP="00C76344">
      <w:pPr>
        <w:pStyle w:val="ListParagraph"/>
        <w:numPr>
          <w:ilvl w:val="0"/>
          <w:numId w:val="7"/>
        </w:numPr>
        <w:ind w:left="360" w:firstLine="0"/>
      </w:pPr>
      <w:r w:rsidRPr="00312565">
        <w:rPr>
          <w:u w:val="single"/>
        </w:rPr>
        <w:t>No ATO Required</w:t>
      </w:r>
      <w:r w:rsidR="009C1462" w:rsidRPr="004D1D4D">
        <w:t>.</w:t>
      </w:r>
      <w:r w:rsidR="009C1462" w:rsidRPr="00312565">
        <w:rPr>
          <w:b/>
        </w:rPr>
        <w:t xml:space="preserve">  </w:t>
      </w:r>
    </w:p>
    <w:p w:rsidR="006E4BAD" w:rsidRDefault="006E4BAD" w:rsidP="00C76344">
      <w:pPr>
        <w:pStyle w:val="ListParagraph"/>
        <w:ind w:left="360"/>
      </w:pPr>
    </w:p>
    <w:p w:rsidR="003A02E2" w:rsidRDefault="00C8254F" w:rsidP="00C76344">
      <w:pPr>
        <w:pStyle w:val="ListParagraph"/>
        <w:ind w:left="0"/>
      </w:pPr>
      <w:r w:rsidRPr="00C8254F">
        <w:t xml:space="preserve">Prior to these proposed safeguarding requirements, DHS had a limited number of incidents affecting sensitive information.  It is expected that the implementation of these safeguarding requirements will further reduce risks and potential vulnerabilities.  Contractors that are not required to meet the ATO requirements because information systems will not be used to process, store or transmit sensitive information are still required to provide adequate security measures to protect sensitive information from unauthorized access and disclosure.  </w:t>
      </w:r>
      <w:r w:rsidR="008A7421">
        <w:t>I</w:t>
      </w:r>
      <w:r w:rsidRPr="00C8254F">
        <w:t>t i</w:t>
      </w:r>
      <w:r w:rsidR="008A7421">
        <w:t>s estimated that approximately</w:t>
      </w:r>
      <w:r w:rsidRPr="00C8254F">
        <w:t xml:space="preserve"> </w:t>
      </w:r>
      <w:r w:rsidR="008A7421">
        <w:t>2</w:t>
      </w:r>
      <w:r w:rsidRPr="00C8254F">
        <w:t xml:space="preserve"> </w:t>
      </w:r>
      <w:r w:rsidR="008A7421">
        <w:t xml:space="preserve">respondents </w:t>
      </w:r>
      <w:r w:rsidR="00734FF1">
        <w:t xml:space="preserve">annually </w:t>
      </w:r>
      <w:r w:rsidR="008A7421">
        <w:t xml:space="preserve">will </w:t>
      </w:r>
      <w:r w:rsidRPr="00C8254F">
        <w:t>report a known or suspected incident</w:t>
      </w:r>
      <w:r>
        <w:t xml:space="preserve">. </w:t>
      </w:r>
      <w:r w:rsidR="00E561F8">
        <w:t xml:space="preserve"> </w:t>
      </w:r>
      <w:r>
        <w:t>If the incident involves</w:t>
      </w:r>
      <w:r w:rsidRPr="00C8254F">
        <w:t xml:space="preserve"> Personally Identifiable Information (PII) or sensitive PII,</w:t>
      </w:r>
      <w:r>
        <w:t xml:space="preserve"> the contractor will</w:t>
      </w:r>
      <w:r w:rsidRPr="00C8254F">
        <w:t xml:space="preserve"> be subject </w:t>
      </w:r>
      <w:r>
        <w:t xml:space="preserve">not only </w:t>
      </w:r>
      <w:r w:rsidRPr="00C8254F">
        <w:t>to the incident reporting</w:t>
      </w:r>
      <w:r>
        <w:t xml:space="preserve"> requirements but also the notification and credit monitoring</w:t>
      </w:r>
      <w:r w:rsidRPr="00C8254F">
        <w:t xml:space="preserve"> requirements.  </w:t>
      </w:r>
      <w:r w:rsidR="00E561F8">
        <w:t>Known or suspected incidents involving PII or SPII shall be reported w</w:t>
      </w:r>
      <w:r w:rsidRPr="00C8254F">
        <w:t xml:space="preserve">ithin one (1) hour of discovery.  All </w:t>
      </w:r>
      <w:r w:rsidR="00E561F8">
        <w:t>other</w:t>
      </w:r>
      <w:r w:rsidRPr="00C8254F">
        <w:t xml:space="preserve"> incidents must be reported within eight (8) hours of discovery.</w:t>
      </w:r>
      <w:r w:rsidR="003A02E2">
        <w:t xml:space="preserve">  </w:t>
      </w:r>
      <w:r w:rsidR="001A155F">
        <w:t>Requirements include:</w:t>
      </w:r>
    </w:p>
    <w:p w:rsidR="001A155F" w:rsidRDefault="001A155F" w:rsidP="00C76344">
      <w:pPr>
        <w:pStyle w:val="ListParagraph"/>
        <w:ind w:left="360"/>
      </w:pPr>
    </w:p>
    <w:p w:rsidR="001A155F" w:rsidRDefault="001A155F" w:rsidP="00C76344">
      <w:pPr>
        <w:pStyle w:val="ListParagraph"/>
        <w:numPr>
          <w:ilvl w:val="0"/>
          <w:numId w:val="34"/>
        </w:numPr>
      </w:pPr>
      <w:r>
        <w:t>Incident Reporting</w:t>
      </w:r>
    </w:p>
    <w:p w:rsidR="001A155F" w:rsidRDefault="001A155F" w:rsidP="00C76344">
      <w:pPr>
        <w:pStyle w:val="ListParagraph"/>
        <w:numPr>
          <w:ilvl w:val="0"/>
          <w:numId w:val="34"/>
        </w:numPr>
      </w:pPr>
      <w:r>
        <w:t>Notification (if incident involves PII/SPII)</w:t>
      </w:r>
    </w:p>
    <w:p w:rsidR="001A155F" w:rsidRDefault="001A155F" w:rsidP="00C76344">
      <w:pPr>
        <w:pStyle w:val="ListParagraph"/>
        <w:numPr>
          <w:ilvl w:val="0"/>
          <w:numId w:val="34"/>
        </w:numPr>
      </w:pPr>
      <w:r>
        <w:t>Credit Monitoring (if incident involves PII/SPII)</w:t>
      </w:r>
    </w:p>
    <w:p w:rsidR="001A155F" w:rsidRDefault="001A155F" w:rsidP="00C76344">
      <w:pPr>
        <w:pStyle w:val="ListParagraph"/>
        <w:numPr>
          <w:ilvl w:val="0"/>
          <w:numId w:val="34"/>
        </w:numPr>
      </w:pPr>
      <w:r>
        <w:t>Certification of Sanitization</w:t>
      </w:r>
    </w:p>
    <w:p w:rsidR="002F6AE7" w:rsidRDefault="002F6AE7" w:rsidP="002F6AE7">
      <w:pPr>
        <w:jc w:val="center"/>
        <w:rPr>
          <w:u w:val="single"/>
        </w:rPr>
      </w:pPr>
    </w:p>
    <w:tbl>
      <w:tblPr>
        <w:tblpPr w:leftFromText="180" w:rightFromText="180" w:vertAnchor="text" w:horzAnchor="margin" w:tblpY="-59"/>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262"/>
        <w:gridCol w:w="1045"/>
        <w:gridCol w:w="1045"/>
        <w:gridCol w:w="1132"/>
        <w:gridCol w:w="1219"/>
        <w:gridCol w:w="1137"/>
        <w:gridCol w:w="1126"/>
      </w:tblGrid>
      <w:tr w:rsidR="002F6AE7" w:rsidTr="002F6AE7">
        <w:trPr>
          <w:trHeight w:val="269"/>
        </w:trPr>
        <w:tc>
          <w:tcPr>
            <w:tcW w:w="9306" w:type="dxa"/>
            <w:gridSpan w:val="8"/>
            <w:tcBorders>
              <w:top w:val="single" w:sz="4" w:space="0" w:color="auto"/>
              <w:left w:val="single" w:sz="4" w:space="0" w:color="auto"/>
              <w:bottom w:val="single" w:sz="4" w:space="0" w:color="auto"/>
            </w:tcBorders>
            <w:tcMar>
              <w:top w:w="80" w:type="dxa"/>
              <w:left w:w="80" w:type="dxa"/>
              <w:bottom w:w="80" w:type="dxa"/>
              <w:right w:w="80" w:type="dxa"/>
            </w:tcMar>
            <w:vAlign w:val="bottom"/>
            <w:hideMark/>
          </w:tcPr>
          <w:p w:rsidR="002F6AE7" w:rsidRPr="002F6AE7" w:rsidRDefault="002F6AE7" w:rsidP="002F6AE7">
            <w:pPr>
              <w:pStyle w:val="Body"/>
              <w:keepLines/>
              <w:jc w:val="center"/>
              <w:rPr>
                <w:rFonts w:hAnsi="Times New Roman" w:cs="Times New Roman"/>
                <w:b/>
                <w:sz w:val="21"/>
                <w:szCs w:val="21"/>
                <w:u w:val="single"/>
              </w:rPr>
            </w:pPr>
            <w:r w:rsidRPr="002F6AE7">
              <w:rPr>
                <w:b/>
                <w:u w:val="single"/>
              </w:rPr>
              <w:lastRenderedPageBreak/>
              <w:t>3052.204-7X, Safeguarding of Sensitive Information</w:t>
            </w:r>
            <w:r w:rsidR="009845BD">
              <w:rPr>
                <w:b/>
                <w:u w:val="single"/>
              </w:rPr>
              <w:t xml:space="preserve"> </w:t>
            </w:r>
            <w:r w:rsidR="009845BD">
              <w:rPr>
                <w:b/>
                <w:u w:val="single"/>
              </w:rPr>
              <w:t>–</w:t>
            </w:r>
            <w:r w:rsidR="009845BD">
              <w:rPr>
                <w:b/>
                <w:u w:val="single"/>
              </w:rPr>
              <w:t xml:space="preserve"> No ATO</w:t>
            </w:r>
            <w:r w:rsidR="00CB444B">
              <w:rPr>
                <w:b/>
                <w:u w:val="single"/>
              </w:rPr>
              <w:t xml:space="preserve"> Required</w:t>
            </w:r>
          </w:p>
        </w:tc>
      </w:tr>
      <w:tr w:rsidR="002F6AE7" w:rsidTr="00CB444B">
        <w:trPr>
          <w:trHeight w:val="827"/>
        </w:trPr>
        <w:tc>
          <w:tcPr>
            <w:tcW w:w="13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2F6AE7" w:rsidRPr="002F6AE7" w:rsidRDefault="002F6AE7" w:rsidP="002F6AE7">
            <w:pPr>
              <w:pStyle w:val="Body"/>
              <w:keepLines/>
              <w:jc w:val="center"/>
              <w:rPr>
                <w:rFonts w:hAnsi="Times New Roman" w:cs="Times New Roman"/>
                <w:b/>
                <w:sz w:val="20"/>
                <w:szCs w:val="20"/>
                <w:u w:val="single"/>
              </w:rPr>
            </w:pPr>
            <w:r w:rsidRPr="002F6AE7">
              <w:rPr>
                <w:rFonts w:hAnsi="Times New Roman" w:cs="Times New Roman"/>
                <w:b/>
                <w:sz w:val="20"/>
                <w:szCs w:val="20"/>
                <w:u w:val="single"/>
              </w:rPr>
              <w:t>Reporting Requirement</w:t>
            </w:r>
          </w:p>
        </w:tc>
        <w:tc>
          <w:tcPr>
            <w:tcW w:w="12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tcPr>
          <w:p w:rsidR="002F6AE7" w:rsidRPr="002F6AE7" w:rsidRDefault="002F6AE7" w:rsidP="002F6AE7">
            <w:pPr>
              <w:pStyle w:val="Body"/>
              <w:keepLines/>
              <w:jc w:val="center"/>
              <w:rPr>
                <w:rFonts w:hAnsi="Times New Roman" w:cs="Times New Roman"/>
                <w:b/>
                <w:sz w:val="20"/>
                <w:szCs w:val="20"/>
                <w:u w:val="single"/>
              </w:rPr>
            </w:pPr>
            <w:r w:rsidRPr="002F6AE7">
              <w:rPr>
                <w:rFonts w:hAnsi="Times New Roman" w:cs="Times New Roman"/>
                <w:b/>
                <w:sz w:val="20"/>
                <w:szCs w:val="20"/>
                <w:u w:val="single"/>
              </w:rPr>
              <w:t>Estimated Respondents</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2F6AE7" w:rsidRPr="002F6AE7" w:rsidRDefault="002F6AE7" w:rsidP="002F6AE7">
            <w:pPr>
              <w:pStyle w:val="Body"/>
              <w:keepLines/>
              <w:jc w:val="center"/>
              <w:rPr>
                <w:rFonts w:hAnsi="Times New Roman" w:cs="Times New Roman"/>
                <w:b/>
                <w:sz w:val="20"/>
                <w:szCs w:val="20"/>
                <w:u w:val="single"/>
              </w:rPr>
            </w:pPr>
            <w:r w:rsidRPr="002F6AE7">
              <w:rPr>
                <w:rFonts w:hAnsi="Times New Roman" w:cs="Times New Roman"/>
                <w:b/>
                <w:sz w:val="20"/>
                <w:szCs w:val="20"/>
                <w:u w:val="single"/>
              </w:rPr>
              <w:t>Responses Annually</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2F6AE7" w:rsidRPr="002F6AE7" w:rsidRDefault="002F6AE7" w:rsidP="002F6AE7">
            <w:pPr>
              <w:pStyle w:val="Body"/>
              <w:keepLines/>
              <w:jc w:val="center"/>
              <w:rPr>
                <w:rFonts w:hAnsi="Times New Roman" w:cs="Times New Roman"/>
                <w:b/>
                <w:sz w:val="20"/>
                <w:szCs w:val="20"/>
                <w:u w:val="single"/>
              </w:rPr>
            </w:pPr>
            <w:r w:rsidRPr="002F6AE7">
              <w:rPr>
                <w:rFonts w:hAnsi="Times New Roman" w:cs="Times New Roman"/>
                <w:b/>
                <w:sz w:val="20"/>
                <w:szCs w:val="20"/>
                <w:u w:val="single"/>
              </w:rPr>
              <w:t xml:space="preserve">Total </w:t>
            </w:r>
          </w:p>
          <w:p w:rsidR="002F6AE7" w:rsidRPr="002F6AE7" w:rsidRDefault="002F6AE7" w:rsidP="002F6AE7">
            <w:pPr>
              <w:pStyle w:val="Body"/>
              <w:keepLines/>
              <w:jc w:val="center"/>
              <w:rPr>
                <w:rFonts w:hAnsi="Times New Roman" w:cs="Times New Roman"/>
                <w:b/>
                <w:sz w:val="20"/>
                <w:szCs w:val="20"/>
                <w:u w:val="single"/>
              </w:rPr>
            </w:pPr>
            <w:r w:rsidRPr="002F6AE7">
              <w:rPr>
                <w:rFonts w:hAnsi="Times New Roman" w:cs="Times New Roman"/>
                <w:b/>
                <w:sz w:val="20"/>
                <w:szCs w:val="20"/>
                <w:u w:val="single"/>
              </w:rPr>
              <w:t>Annual</w:t>
            </w:r>
          </w:p>
          <w:p w:rsidR="002F6AE7" w:rsidRPr="002F6AE7" w:rsidRDefault="002F6AE7" w:rsidP="002F6AE7">
            <w:pPr>
              <w:pStyle w:val="Body"/>
              <w:keepLines/>
              <w:jc w:val="center"/>
              <w:rPr>
                <w:rFonts w:hAnsi="Times New Roman" w:cs="Times New Roman"/>
                <w:b/>
                <w:sz w:val="20"/>
                <w:szCs w:val="20"/>
                <w:u w:val="single"/>
              </w:rPr>
            </w:pPr>
            <w:r w:rsidRPr="002F6AE7">
              <w:rPr>
                <w:rFonts w:hAnsi="Times New Roman" w:cs="Times New Roman"/>
                <w:b/>
                <w:sz w:val="20"/>
                <w:szCs w:val="20"/>
                <w:u w:val="single"/>
              </w:rPr>
              <w:t>Responses</w:t>
            </w:r>
          </w:p>
        </w:tc>
        <w:tc>
          <w:tcPr>
            <w:tcW w:w="11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2F6AE7" w:rsidRPr="002F6AE7" w:rsidRDefault="002F6AE7" w:rsidP="002F6AE7">
            <w:pPr>
              <w:pStyle w:val="Body"/>
              <w:keepLines/>
              <w:jc w:val="center"/>
              <w:rPr>
                <w:rFonts w:hAnsi="Times New Roman" w:cs="Times New Roman"/>
                <w:b/>
                <w:sz w:val="20"/>
                <w:szCs w:val="20"/>
                <w:u w:val="single"/>
              </w:rPr>
            </w:pPr>
            <w:r w:rsidRPr="002F6AE7">
              <w:rPr>
                <w:rFonts w:hAnsi="Times New Roman" w:cs="Times New Roman"/>
                <w:b/>
                <w:sz w:val="20"/>
                <w:szCs w:val="20"/>
                <w:u w:val="single"/>
              </w:rPr>
              <w:t>Estimated</w:t>
            </w:r>
          </w:p>
          <w:p w:rsidR="002F6AE7" w:rsidRPr="002F6AE7" w:rsidRDefault="002F6AE7" w:rsidP="002F6AE7">
            <w:pPr>
              <w:pStyle w:val="Body"/>
              <w:keepLines/>
              <w:jc w:val="center"/>
              <w:rPr>
                <w:rFonts w:hAnsi="Times New Roman" w:cs="Times New Roman"/>
                <w:b/>
                <w:sz w:val="20"/>
                <w:szCs w:val="20"/>
                <w:u w:val="single"/>
              </w:rPr>
            </w:pPr>
            <w:r w:rsidRPr="002F6AE7">
              <w:rPr>
                <w:rFonts w:hAnsi="Times New Roman" w:cs="Times New Roman"/>
                <w:b/>
                <w:sz w:val="20"/>
                <w:szCs w:val="20"/>
                <w:u w:val="single"/>
              </w:rPr>
              <w:t>Hours per Response</w:t>
            </w:r>
          </w:p>
        </w:tc>
        <w:tc>
          <w:tcPr>
            <w:tcW w:w="12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2F6AE7" w:rsidRPr="002F6AE7" w:rsidRDefault="002F6AE7" w:rsidP="002F6AE7">
            <w:pPr>
              <w:pStyle w:val="Body"/>
              <w:keepLines/>
              <w:rPr>
                <w:rFonts w:hAnsi="Times New Roman" w:cs="Times New Roman"/>
                <w:b/>
                <w:sz w:val="20"/>
                <w:szCs w:val="20"/>
                <w:u w:val="single"/>
              </w:rPr>
            </w:pPr>
            <w:r w:rsidRPr="002F6AE7">
              <w:rPr>
                <w:rFonts w:hAnsi="Times New Roman" w:cs="Times New Roman"/>
                <w:b/>
                <w:sz w:val="20"/>
                <w:szCs w:val="20"/>
                <w:u w:val="single"/>
              </w:rPr>
              <w:t>Total Estimated Burden Hours</w:t>
            </w:r>
          </w:p>
        </w:tc>
        <w:tc>
          <w:tcPr>
            <w:tcW w:w="1137" w:type="dxa"/>
            <w:vAlign w:val="bottom"/>
          </w:tcPr>
          <w:p w:rsidR="002F6AE7" w:rsidRPr="002F6AE7" w:rsidRDefault="002F6AE7" w:rsidP="002F6AE7">
            <w:pPr>
              <w:pStyle w:val="Body"/>
              <w:keepLines/>
              <w:jc w:val="center"/>
              <w:rPr>
                <w:rFonts w:hAnsi="Times New Roman" w:cs="Times New Roman"/>
                <w:b/>
                <w:sz w:val="20"/>
                <w:szCs w:val="20"/>
                <w:u w:val="single"/>
              </w:rPr>
            </w:pPr>
            <w:r w:rsidRPr="002F6AE7">
              <w:rPr>
                <w:rFonts w:hAnsi="Times New Roman" w:cs="Times New Roman"/>
                <w:b/>
                <w:sz w:val="20"/>
                <w:szCs w:val="20"/>
                <w:u w:val="single"/>
              </w:rPr>
              <w:t>Average wages + overhead</w:t>
            </w:r>
          </w:p>
        </w:tc>
        <w:tc>
          <w:tcPr>
            <w:tcW w:w="1126" w:type="dxa"/>
            <w:vAlign w:val="bottom"/>
          </w:tcPr>
          <w:p w:rsidR="002F6AE7" w:rsidRPr="002F6AE7" w:rsidRDefault="002F6AE7" w:rsidP="002F6AE7">
            <w:pPr>
              <w:pStyle w:val="Body"/>
              <w:keepLines/>
              <w:rPr>
                <w:rFonts w:hAnsi="Times New Roman" w:cs="Times New Roman"/>
                <w:b/>
                <w:sz w:val="20"/>
                <w:szCs w:val="20"/>
                <w:u w:val="single"/>
              </w:rPr>
            </w:pPr>
            <w:r w:rsidRPr="002F6AE7">
              <w:rPr>
                <w:rFonts w:hAnsi="Times New Roman" w:cs="Times New Roman"/>
                <w:b/>
                <w:sz w:val="20"/>
                <w:szCs w:val="20"/>
                <w:u w:val="single"/>
              </w:rPr>
              <w:t>Estimated cost to the public</w:t>
            </w:r>
          </w:p>
        </w:tc>
      </w:tr>
      <w:tr w:rsidR="002F6AE7" w:rsidRPr="005C0F77" w:rsidTr="00A67520">
        <w:trPr>
          <w:trHeight w:val="736"/>
        </w:trPr>
        <w:tc>
          <w:tcPr>
            <w:tcW w:w="13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730848" w:rsidRDefault="001A155F" w:rsidP="00A67520">
            <w:pPr>
              <w:pStyle w:val="Body"/>
              <w:keepLines/>
              <w:rPr>
                <w:rFonts w:eastAsia="Calibri"/>
                <w:spacing w:val="-1"/>
                <w:sz w:val="20"/>
                <w:szCs w:val="20"/>
              </w:rPr>
            </w:pPr>
            <w:r>
              <w:rPr>
                <w:rFonts w:eastAsia="Calibri"/>
                <w:spacing w:val="-1"/>
                <w:sz w:val="20"/>
                <w:szCs w:val="20"/>
              </w:rPr>
              <w:t xml:space="preserve">See </w:t>
            </w:r>
            <w:r w:rsidR="0084528B">
              <w:rPr>
                <w:rFonts w:eastAsia="Calibri"/>
                <w:spacing w:val="-1"/>
                <w:sz w:val="20"/>
                <w:szCs w:val="20"/>
              </w:rPr>
              <w:t xml:space="preserve">bullets </w:t>
            </w:r>
          </w:p>
          <w:p w:rsidR="002F6AE7" w:rsidRPr="002F6AE7" w:rsidRDefault="00734FF1" w:rsidP="00A67520">
            <w:pPr>
              <w:pStyle w:val="Body"/>
              <w:keepLines/>
              <w:rPr>
                <w:rFonts w:hAnsi="Times New Roman" w:cs="Times New Roman"/>
                <w:sz w:val="20"/>
                <w:szCs w:val="20"/>
              </w:rPr>
            </w:pPr>
            <w:r>
              <w:rPr>
                <w:rFonts w:eastAsia="Calibri"/>
                <w:spacing w:val="-1"/>
                <w:sz w:val="20"/>
                <w:szCs w:val="20"/>
              </w:rPr>
              <w:t>in</w:t>
            </w:r>
            <w:r w:rsidR="001A155F">
              <w:rPr>
                <w:rFonts w:eastAsia="Calibri"/>
                <w:spacing w:val="-1"/>
                <w:sz w:val="20"/>
                <w:szCs w:val="20"/>
              </w:rPr>
              <w:t xml:space="preserve"> section (i)</w:t>
            </w:r>
          </w:p>
        </w:tc>
        <w:tc>
          <w:tcPr>
            <w:tcW w:w="12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2F6AE7" w:rsidRPr="002F6AE7" w:rsidRDefault="00990B65" w:rsidP="008A7421">
            <w:pPr>
              <w:pStyle w:val="Body"/>
              <w:keepLines/>
              <w:jc w:val="center"/>
              <w:rPr>
                <w:rFonts w:hAnsi="Times New Roman" w:cs="Times New Roman"/>
                <w:sz w:val="20"/>
                <w:szCs w:val="20"/>
              </w:rPr>
            </w:pPr>
            <w:r>
              <w:rPr>
                <w:rFonts w:hAnsi="Times New Roman" w:cs="Times New Roman"/>
                <w:sz w:val="20"/>
                <w:szCs w:val="20"/>
              </w:rPr>
              <w:t>2</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2F6AE7" w:rsidRPr="002F6AE7" w:rsidRDefault="00990B65" w:rsidP="00085006">
            <w:pPr>
              <w:pStyle w:val="Body"/>
              <w:keepLines/>
              <w:jc w:val="center"/>
              <w:rPr>
                <w:rFonts w:hAnsi="Times New Roman" w:cs="Times New Roman"/>
                <w:sz w:val="20"/>
                <w:szCs w:val="20"/>
              </w:rPr>
            </w:pPr>
            <w:r>
              <w:rPr>
                <w:rFonts w:hAnsi="Times New Roman" w:cs="Times New Roman"/>
                <w:sz w:val="20"/>
                <w:szCs w:val="20"/>
              </w:rPr>
              <w:t>1</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2A41A1" w:rsidRPr="002F6AE7" w:rsidRDefault="00990B65" w:rsidP="00085006">
            <w:pPr>
              <w:pStyle w:val="Body"/>
              <w:keepLines/>
              <w:jc w:val="center"/>
              <w:rPr>
                <w:rFonts w:hAnsi="Times New Roman" w:cs="Times New Roman"/>
                <w:sz w:val="20"/>
                <w:szCs w:val="20"/>
              </w:rPr>
            </w:pPr>
            <w:r>
              <w:rPr>
                <w:rFonts w:hAnsi="Times New Roman" w:cs="Times New Roman"/>
                <w:sz w:val="20"/>
                <w:szCs w:val="20"/>
              </w:rPr>
              <w:t>2</w:t>
            </w:r>
          </w:p>
        </w:tc>
        <w:tc>
          <w:tcPr>
            <w:tcW w:w="11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2F6AE7" w:rsidRPr="002F6AE7" w:rsidRDefault="00D86B46" w:rsidP="00085006">
            <w:pPr>
              <w:pStyle w:val="Body"/>
              <w:keepLines/>
              <w:jc w:val="center"/>
              <w:rPr>
                <w:rFonts w:hAnsi="Times New Roman" w:cs="Times New Roman"/>
                <w:sz w:val="20"/>
                <w:szCs w:val="20"/>
              </w:rPr>
            </w:pPr>
            <w:r>
              <w:rPr>
                <w:rFonts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2F6AE7" w:rsidRPr="002F6AE7" w:rsidRDefault="00D35796" w:rsidP="00085006">
            <w:pPr>
              <w:pStyle w:val="Body"/>
              <w:keepLines/>
              <w:jc w:val="center"/>
              <w:rPr>
                <w:rFonts w:hAnsi="Times New Roman" w:cs="Times New Roman"/>
                <w:sz w:val="20"/>
                <w:szCs w:val="20"/>
              </w:rPr>
            </w:pPr>
            <w:r>
              <w:rPr>
                <w:rFonts w:hAnsi="Times New Roman" w:cs="Times New Roman"/>
                <w:sz w:val="20"/>
                <w:szCs w:val="20"/>
              </w:rPr>
              <w:t>16</w:t>
            </w:r>
          </w:p>
        </w:tc>
        <w:tc>
          <w:tcPr>
            <w:tcW w:w="1137" w:type="dxa"/>
            <w:vAlign w:val="center"/>
          </w:tcPr>
          <w:p w:rsidR="002F6AE7" w:rsidRPr="002F6AE7" w:rsidRDefault="002F6AE7" w:rsidP="00085006">
            <w:pPr>
              <w:pStyle w:val="Body"/>
              <w:keepLines/>
              <w:jc w:val="center"/>
              <w:rPr>
                <w:rFonts w:hAnsi="Times New Roman" w:cs="Times New Roman"/>
                <w:sz w:val="20"/>
                <w:szCs w:val="20"/>
              </w:rPr>
            </w:pPr>
            <w:r>
              <w:rPr>
                <w:rFonts w:hAnsi="Times New Roman" w:cs="Times New Roman"/>
                <w:sz w:val="20"/>
                <w:szCs w:val="20"/>
              </w:rPr>
              <w:t>$60.00</w:t>
            </w:r>
          </w:p>
        </w:tc>
        <w:tc>
          <w:tcPr>
            <w:tcW w:w="1126" w:type="dxa"/>
            <w:vAlign w:val="center"/>
          </w:tcPr>
          <w:p w:rsidR="002F6AE7" w:rsidRPr="002F6AE7" w:rsidRDefault="002F6AE7" w:rsidP="00085006">
            <w:pPr>
              <w:pStyle w:val="Body"/>
              <w:keepLines/>
              <w:jc w:val="center"/>
              <w:rPr>
                <w:rFonts w:hAnsi="Times New Roman" w:cs="Times New Roman"/>
                <w:sz w:val="20"/>
                <w:szCs w:val="20"/>
              </w:rPr>
            </w:pPr>
            <w:r>
              <w:rPr>
                <w:rFonts w:hAnsi="Times New Roman" w:cs="Times New Roman"/>
                <w:sz w:val="20"/>
                <w:szCs w:val="20"/>
              </w:rPr>
              <w:t>$</w:t>
            </w:r>
            <w:r w:rsidR="002A41A1">
              <w:rPr>
                <w:rFonts w:hAnsi="Times New Roman" w:cs="Times New Roman"/>
                <w:sz w:val="20"/>
                <w:szCs w:val="20"/>
              </w:rPr>
              <w:t>960.00</w:t>
            </w:r>
          </w:p>
        </w:tc>
      </w:tr>
    </w:tbl>
    <w:p w:rsidR="00393F5C" w:rsidRPr="00C76344" w:rsidRDefault="009B4FB9" w:rsidP="00393F5C">
      <w:pPr>
        <w:pStyle w:val="ListParagraph"/>
        <w:numPr>
          <w:ilvl w:val="0"/>
          <w:numId w:val="7"/>
        </w:numPr>
      </w:pPr>
      <w:r w:rsidRPr="00312565">
        <w:rPr>
          <w:u w:val="single"/>
        </w:rPr>
        <w:t>ATO Required</w:t>
      </w:r>
      <w:r w:rsidRPr="004D1D4D">
        <w:t>.</w:t>
      </w:r>
      <w:r w:rsidRPr="00312565">
        <w:rPr>
          <w:b/>
        </w:rPr>
        <w:t xml:space="preserve">  </w:t>
      </w:r>
    </w:p>
    <w:p w:rsidR="00393F5C" w:rsidRDefault="00393F5C" w:rsidP="00C76344">
      <w:pPr>
        <w:pStyle w:val="ListParagraph"/>
        <w:ind w:left="0"/>
        <w:rPr>
          <w:u w:val="single"/>
        </w:rPr>
      </w:pPr>
    </w:p>
    <w:p w:rsidR="00393F5C" w:rsidRDefault="00393F5C" w:rsidP="00C76344">
      <w:pPr>
        <w:pStyle w:val="ListParagraph"/>
        <w:ind w:left="0"/>
        <w:rPr>
          <w:rFonts w:eastAsia="Calibri"/>
          <w:spacing w:val="1"/>
        </w:rPr>
      </w:pPr>
      <w:r w:rsidRPr="00B03367">
        <w:rPr>
          <w:color w:val="000000"/>
          <w:sz w:val="23"/>
          <w:szCs w:val="23"/>
        </w:rPr>
        <w:t>Although the</w:t>
      </w:r>
      <w:r>
        <w:rPr>
          <w:color w:val="000000"/>
          <w:sz w:val="23"/>
          <w:szCs w:val="23"/>
        </w:rPr>
        <w:t xml:space="preserve"> proposed HSAR clause is new, </w:t>
      </w:r>
      <w:r w:rsidR="00FB61A2">
        <w:rPr>
          <w:color w:val="000000"/>
          <w:sz w:val="23"/>
          <w:szCs w:val="23"/>
        </w:rPr>
        <w:t xml:space="preserve">a </w:t>
      </w:r>
      <w:r w:rsidR="00FB61A2">
        <w:t xml:space="preserve">majority of </w:t>
      </w:r>
      <w:r w:rsidR="00FB61A2" w:rsidRPr="00BF0DAF">
        <w:t xml:space="preserve">DHS </w:t>
      </w:r>
      <w:r w:rsidR="00FB61A2">
        <w:t xml:space="preserve">IT services </w:t>
      </w:r>
      <w:r w:rsidR="00FB61A2" w:rsidRPr="00BF0DAF">
        <w:t xml:space="preserve">contractors are </w:t>
      </w:r>
      <w:r w:rsidR="00FB61A2">
        <w:t xml:space="preserve">familiar </w:t>
      </w:r>
      <w:r w:rsidR="00734FF1">
        <w:t xml:space="preserve">with the </w:t>
      </w:r>
      <w:r>
        <w:rPr>
          <w:color w:val="000000"/>
          <w:sz w:val="23"/>
          <w:szCs w:val="23"/>
        </w:rPr>
        <w:t>current</w:t>
      </w:r>
      <w:r w:rsidRPr="00B03367">
        <w:rPr>
          <w:color w:val="000000"/>
          <w:sz w:val="23"/>
          <w:szCs w:val="23"/>
        </w:rPr>
        <w:t xml:space="preserve"> </w:t>
      </w:r>
      <w:r w:rsidR="00FB61A2">
        <w:rPr>
          <w:color w:val="000000"/>
          <w:sz w:val="23"/>
          <w:szCs w:val="23"/>
        </w:rPr>
        <w:t xml:space="preserve">requirements to </w:t>
      </w:r>
      <w:r>
        <w:rPr>
          <w:color w:val="000000"/>
          <w:sz w:val="23"/>
          <w:szCs w:val="23"/>
        </w:rPr>
        <w:t xml:space="preserve">comply with Departmental </w:t>
      </w:r>
      <w:r w:rsidRPr="00B03367">
        <w:rPr>
          <w:color w:val="000000"/>
          <w:sz w:val="23"/>
          <w:szCs w:val="23"/>
        </w:rPr>
        <w:t>IT security policy and guidance</w:t>
      </w:r>
      <w:r>
        <w:rPr>
          <w:color w:val="000000"/>
          <w:sz w:val="23"/>
          <w:szCs w:val="23"/>
        </w:rPr>
        <w:t>.</w:t>
      </w:r>
      <w:r w:rsidRPr="00B03367">
        <w:rPr>
          <w:color w:val="000000"/>
          <w:sz w:val="23"/>
          <w:szCs w:val="23"/>
        </w:rPr>
        <w:t xml:space="preserve">  </w:t>
      </w:r>
      <w:r>
        <w:rPr>
          <w:color w:val="000000"/>
          <w:sz w:val="23"/>
          <w:szCs w:val="23"/>
        </w:rPr>
        <w:t xml:space="preserve">It is assumed that the average DHS contractor applicable to this clause will have a high </w:t>
      </w:r>
      <w:r w:rsidRPr="0010111C">
        <w:t>operational security readiness</w:t>
      </w:r>
      <w:r>
        <w:t xml:space="preserve"> posture.  </w:t>
      </w:r>
      <w:r w:rsidR="00734FF1" w:rsidRPr="00734FF1">
        <w:t xml:space="preserve">However, the requirements of the proposed clause have been expanded to include professional services contractors that have access to sensitive information and use information systems to process, store or transmit sensitive information to perform the requirements of their contract(s).  </w:t>
      </w:r>
      <w:r>
        <w:t>Therefore</w:t>
      </w:r>
      <w:r w:rsidR="00A67520">
        <w:t>,</w:t>
      </w:r>
      <w:r>
        <w:t xml:space="preserve"> </w:t>
      </w:r>
      <w:r w:rsidRPr="00E91B2F">
        <w:rPr>
          <w:rFonts w:eastAsia="Calibri"/>
          <w:spacing w:val="1"/>
        </w:rPr>
        <w:t xml:space="preserve">the </w:t>
      </w:r>
      <w:r>
        <w:t>d</w:t>
      </w:r>
      <w:r w:rsidRPr="004D1D4D">
        <w:t>ocumentation</w:t>
      </w:r>
      <w:r w:rsidRPr="00E91B2F">
        <w:rPr>
          <w:rFonts w:eastAsia="Calibri"/>
          <w:spacing w:val="1"/>
        </w:rPr>
        <w:t xml:space="preserve"> and any follow-up corrective action</w:t>
      </w:r>
      <w:r>
        <w:rPr>
          <w:rFonts w:eastAsia="Calibri"/>
          <w:spacing w:val="1"/>
        </w:rPr>
        <w:t xml:space="preserve"> or additional documentation </w:t>
      </w:r>
      <w:r w:rsidRPr="00E91B2F">
        <w:rPr>
          <w:rFonts w:eastAsia="Calibri"/>
          <w:spacing w:val="1"/>
        </w:rPr>
        <w:t xml:space="preserve">are estimated to require an average of </w:t>
      </w:r>
      <w:r>
        <w:rPr>
          <w:rFonts w:eastAsia="Calibri"/>
          <w:spacing w:val="1"/>
        </w:rPr>
        <w:t>72 total</w:t>
      </w:r>
      <w:r w:rsidRPr="00E91B2F">
        <w:rPr>
          <w:rFonts w:eastAsia="Calibri"/>
          <w:spacing w:val="1"/>
        </w:rPr>
        <w:t xml:space="preserve"> hours of effort</w:t>
      </w:r>
      <w:r>
        <w:rPr>
          <w:rFonts w:eastAsia="Calibri"/>
          <w:spacing w:val="1"/>
        </w:rPr>
        <w:t>.</w:t>
      </w:r>
    </w:p>
    <w:p w:rsidR="00393F5C" w:rsidRDefault="00393F5C" w:rsidP="00C76344">
      <w:pPr>
        <w:pStyle w:val="ListParagraph"/>
        <w:ind w:left="0"/>
        <w:rPr>
          <w:rFonts w:eastAsia="Calibri"/>
          <w:spacing w:val="1"/>
        </w:rPr>
      </w:pPr>
    </w:p>
    <w:p w:rsidR="002904DA" w:rsidRPr="00A43B13" w:rsidRDefault="008A7421" w:rsidP="00C76344">
      <w:pPr>
        <w:pStyle w:val="ListParagraph"/>
        <w:ind w:left="0"/>
      </w:pPr>
      <w:r>
        <w:t>It estimated that a</w:t>
      </w:r>
      <w:r w:rsidR="00BB182C" w:rsidRPr="00A43B13">
        <w:rPr>
          <w:rFonts w:eastAsia="Calibri"/>
          <w:spacing w:val="1"/>
        </w:rPr>
        <w:t>pproximately</w:t>
      </w:r>
      <w:r w:rsidR="007D7385" w:rsidRPr="007D7385">
        <w:t xml:space="preserve"> </w:t>
      </w:r>
      <w:r>
        <w:t xml:space="preserve">121 </w:t>
      </w:r>
      <w:r w:rsidR="00A67520">
        <w:t xml:space="preserve">respondents </w:t>
      </w:r>
      <w:r>
        <w:rPr>
          <w:rFonts w:eastAsia="Calibri"/>
          <w:spacing w:val="1"/>
        </w:rPr>
        <w:t xml:space="preserve">will </w:t>
      </w:r>
      <w:r w:rsidR="00BB182C" w:rsidRPr="00A43B13">
        <w:rPr>
          <w:rFonts w:eastAsia="Calibri"/>
          <w:spacing w:val="1"/>
        </w:rPr>
        <w:t xml:space="preserve">be required </w:t>
      </w:r>
      <w:r w:rsidR="00990B65">
        <w:rPr>
          <w:rFonts w:eastAsia="Calibri"/>
          <w:spacing w:val="1"/>
        </w:rPr>
        <w:t>to respond to ATO requirements,</w:t>
      </w:r>
      <w:r w:rsidR="00773990" w:rsidRPr="00A43B13">
        <w:rPr>
          <w:rFonts w:eastAsia="Calibri"/>
          <w:spacing w:val="1"/>
        </w:rPr>
        <w:t xml:space="preserve"> and therefore are required to</w:t>
      </w:r>
      <w:r w:rsidR="00BB182C" w:rsidRPr="00A43B13">
        <w:rPr>
          <w:rFonts w:eastAsia="Calibri"/>
          <w:spacing w:val="1"/>
        </w:rPr>
        <w:t xml:space="preserve"> submit </w:t>
      </w:r>
      <w:r w:rsidR="009B4FB9" w:rsidRPr="00A43B13">
        <w:rPr>
          <w:rFonts w:eastAsia="Calibri"/>
          <w:spacing w:val="1"/>
        </w:rPr>
        <w:t xml:space="preserve">the </w:t>
      </w:r>
      <w:r w:rsidR="00A56582">
        <w:rPr>
          <w:rFonts w:eastAsia="Calibri"/>
          <w:spacing w:val="1"/>
        </w:rPr>
        <w:t>SA</w:t>
      </w:r>
      <w:r w:rsidR="00616698" w:rsidRPr="00A43B13">
        <w:rPr>
          <w:rFonts w:eastAsia="Calibri"/>
          <w:spacing w:val="1"/>
        </w:rPr>
        <w:t xml:space="preserve"> </w:t>
      </w:r>
      <w:r w:rsidR="00A56582">
        <w:rPr>
          <w:rFonts w:eastAsia="Calibri"/>
          <w:spacing w:val="1"/>
        </w:rPr>
        <w:t>d</w:t>
      </w:r>
      <w:r w:rsidR="00616698" w:rsidRPr="00A43B13">
        <w:rPr>
          <w:rFonts w:eastAsia="Calibri"/>
          <w:spacing w:val="1"/>
        </w:rPr>
        <w:t>ocumentation</w:t>
      </w:r>
      <w:r w:rsidR="00D42904" w:rsidRPr="00A43B13">
        <w:rPr>
          <w:rFonts w:eastAsia="Calibri"/>
          <w:spacing w:val="1"/>
        </w:rPr>
        <w:t>.</w:t>
      </w:r>
      <w:r w:rsidR="00472F77" w:rsidRPr="00A43B13">
        <w:rPr>
          <w:rFonts w:eastAsia="Calibri"/>
          <w:spacing w:val="1"/>
        </w:rPr>
        <w:t xml:space="preserve">  </w:t>
      </w:r>
      <w:r w:rsidR="00CC1436">
        <w:t xml:space="preserve">The </w:t>
      </w:r>
      <w:r w:rsidR="00A56582">
        <w:t xml:space="preserve">SA </w:t>
      </w:r>
      <w:r w:rsidR="00CC1436">
        <w:t xml:space="preserve">documentation includes the following: </w:t>
      </w:r>
      <w:r w:rsidR="00CC1436" w:rsidRPr="00A43B13">
        <w:rPr>
          <w:color w:val="000000"/>
          <w:sz w:val="23"/>
          <w:szCs w:val="23"/>
        </w:rPr>
        <w:t>Security Plan (SP), Security Assessment Report (SAR), Plan of Action and Milestones (POA&amp;M), Security Control Assessor Transmittal Letter (documents the Security Control Assessor’s recommendation (i.e., Authorization to Operate or Denial to Operate), and any supplemental information requested by the Government (e.g., Contingency Plan, final Risk Assessment, Configuration Management Plan, Standard Operating Procedures, Concept of Operations).</w:t>
      </w:r>
      <w:r w:rsidR="00642738" w:rsidRPr="00A43B13">
        <w:rPr>
          <w:color w:val="000000"/>
          <w:sz w:val="23"/>
          <w:szCs w:val="23"/>
        </w:rPr>
        <w:t xml:space="preserve">  </w:t>
      </w:r>
      <w:r w:rsidR="00350E08" w:rsidRPr="00A43B13">
        <w:rPr>
          <w:color w:val="000000"/>
          <w:sz w:val="23"/>
          <w:szCs w:val="23"/>
        </w:rPr>
        <w:t>Additional requirements include:</w:t>
      </w:r>
    </w:p>
    <w:p w:rsidR="001A155F" w:rsidRDefault="001A155F" w:rsidP="001A155F">
      <w:pPr>
        <w:rPr>
          <w:rFonts w:eastAsia="Calibri"/>
          <w:spacing w:val="1"/>
        </w:rPr>
      </w:pPr>
    </w:p>
    <w:p w:rsidR="001A155F" w:rsidRDefault="001A155F" w:rsidP="00C76344">
      <w:pPr>
        <w:pStyle w:val="ListParagraph"/>
        <w:numPr>
          <w:ilvl w:val="0"/>
          <w:numId w:val="36"/>
        </w:numPr>
      </w:pPr>
      <w:r>
        <w:t>Incident Reporting</w:t>
      </w:r>
    </w:p>
    <w:p w:rsidR="001A155F" w:rsidRDefault="001A155F" w:rsidP="00C76344">
      <w:pPr>
        <w:pStyle w:val="ListParagraph"/>
        <w:numPr>
          <w:ilvl w:val="0"/>
          <w:numId w:val="36"/>
        </w:numPr>
      </w:pPr>
      <w:r>
        <w:t>Notification (if incident involves PII/SPII)</w:t>
      </w:r>
    </w:p>
    <w:p w:rsidR="001A155F" w:rsidRDefault="001A155F" w:rsidP="00C76344">
      <w:pPr>
        <w:pStyle w:val="ListParagraph"/>
        <w:numPr>
          <w:ilvl w:val="0"/>
          <w:numId w:val="36"/>
        </w:numPr>
      </w:pPr>
      <w:r>
        <w:t>Credit Monitoring (if incident involves PII/SPII)</w:t>
      </w:r>
    </w:p>
    <w:p w:rsidR="001A155F" w:rsidRDefault="001A155F" w:rsidP="00C76344">
      <w:pPr>
        <w:pStyle w:val="ListParagraph"/>
        <w:numPr>
          <w:ilvl w:val="0"/>
          <w:numId w:val="36"/>
        </w:numPr>
      </w:pPr>
      <w:r>
        <w:t>Certification of Sanitization</w:t>
      </w:r>
    </w:p>
    <w:p w:rsidR="001A155F" w:rsidRDefault="001A155F" w:rsidP="00C76344">
      <w:pPr>
        <w:pStyle w:val="ListParagraph"/>
        <w:numPr>
          <w:ilvl w:val="0"/>
          <w:numId w:val="36"/>
        </w:numPr>
      </w:pPr>
      <w:r>
        <w:t>Independent Assessment</w:t>
      </w:r>
    </w:p>
    <w:p w:rsidR="001A155F" w:rsidRDefault="001A155F" w:rsidP="00C76344">
      <w:pPr>
        <w:pStyle w:val="ListParagraph"/>
        <w:numPr>
          <w:ilvl w:val="0"/>
          <w:numId w:val="36"/>
        </w:numPr>
      </w:pPr>
      <w:r>
        <w:t>Renewal of ATO</w:t>
      </w:r>
    </w:p>
    <w:p w:rsidR="001A155F" w:rsidRDefault="001A155F" w:rsidP="00C76344">
      <w:pPr>
        <w:pStyle w:val="ListParagraph"/>
        <w:numPr>
          <w:ilvl w:val="0"/>
          <w:numId w:val="36"/>
        </w:numPr>
      </w:pPr>
      <w:r>
        <w:t>Federal Reporting &amp; Continuous Monitoring</w:t>
      </w:r>
    </w:p>
    <w:p w:rsidR="00B91D86" w:rsidRDefault="00B91D86" w:rsidP="00B91D86">
      <w:pPr>
        <w:jc w:val="center"/>
        <w:rPr>
          <w:u w:val="single"/>
        </w:rPr>
      </w:pPr>
    </w:p>
    <w:tbl>
      <w:tblPr>
        <w:tblpPr w:leftFromText="180" w:rightFromText="180" w:vertAnchor="text" w:horzAnchor="margin" w:tblpY="-59"/>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262"/>
        <w:gridCol w:w="1045"/>
        <w:gridCol w:w="1045"/>
        <w:gridCol w:w="1132"/>
        <w:gridCol w:w="1219"/>
        <w:gridCol w:w="1137"/>
        <w:gridCol w:w="1126"/>
      </w:tblGrid>
      <w:tr w:rsidR="00B91D86" w:rsidTr="0040183C">
        <w:trPr>
          <w:trHeight w:val="269"/>
        </w:trPr>
        <w:tc>
          <w:tcPr>
            <w:tcW w:w="9306" w:type="dxa"/>
            <w:gridSpan w:val="8"/>
            <w:tcBorders>
              <w:top w:val="single" w:sz="4" w:space="0" w:color="auto"/>
              <w:left w:val="single" w:sz="4" w:space="0" w:color="auto"/>
              <w:bottom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jc w:val="center"/>
              <w:rPr>
                <w:rFonts w:hAnsi="Times New Roman" w:cs="Times New Roman"/>
                <w:b/>
                <w:sz w:val="21"/>
                <w:szCs w:val="21"/>
                <w:u w:val="single"/>
              </w:rPr>
            </w:pPr>
            <w:r w:rsidRPr="002F6AE7">
              <w:rPr>
                <w:b/>
                <w:u w:val="single"/>
              </w:rPr>
              <w:t>3052.204-7X, Safeguarding of Sensitive Information</w:t>
            </w:r>
            <w:r>
              <w:rPr>
                <w:b/>
                <w:u w:val="single"/>
              </w:rPr>
              <w:t xml:space="preserve"> </w:t>
            </w:r>
            <w:r>
              <w:rPr>
                <w:b/>
                <w:u w:val="single"/>
              </w:rPr>
              <w:t>–</w:t>
            </w:r>
            <w:r>
              <w:rPr>
                <w:b/>
                <w:u w:val="single"/>
              </w:rPr>
              <w:t xml:space="preserve"> ATO Required</w:t>
            </w:r>
          </w:p>
        </w:tc>
      </w:tr>
      <w:tr w:rsidR="00B91D86" w:rsidTr="0040183C">
        <w:trPr>
          <w:trHeight w:val="827"/>
        </w:trPr>
        <w:tc>
          <w:tcPr>
            <w:tcW w:w="13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Reporting Requirement</w:t>
            </w:r>
          </w:p>
        </w:tc>
        <w:tc>
          <w:tcPr>
            <w:tcW w:w="12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Estimated Respondents</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Responses Annually</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 xml:space="preserve">Total </w:t>
            </w:r>
          </w:p>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Annual</w:t>
            </w:r>
          </w:p>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Responses</w:t>
            </w:r>
          </w:p>
        </w:tc>
        <w:tc>
          <w:tcPr>
            <w:tcW w:w="11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Estimated</w:t>
            </w:r>
          </w:p>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Hours per Response</w:t>
            </w:r>
          </w:p>
        </w:tc>
        <w:tc>
          <w:tcPr>
            <w:tcW w:w="12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rPr>
                <w:rFonts w:hAnsi="Times New Roman" w:cs="Times New Roman"/>
                <w:b/>
                <w:sz w:val="20"/>
                <w:szCs w:val="20"/>
                <w:u w:val="single"/>
              </w:rPr>
            </w:pPr>
            <w:r w:rsidRPr="002F6AE7">
              <w:rPr>
                <w:rFonts w:hAnsi="Times New Roman" w:cs="Times New Roman"/>
                <w:b/>
                <w:sz w:val="20"/>
                <w:szCs w:val="20"/>
                <w:u w:val="single"/>
              </w:rPr>
              <w:t>Total Estimated Burden Hours</w:t>
            </w:r>
          </w:p>
        </w:tc>
        <w:tc>
          <w:tcPr>
            <w:tcW w:w="1137" w:type="dxa"/>
            <w:vAlign w:val="bottom"/>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Average wages + overhead</w:t>
            </w:r>
          </w:p>
        </w:tc>
        <w:tc>
          <w:tcPr>
            <w:tcW w:w="1126" w:type="dxa"/>
            <w:vAlign w:val="bottom"/>
          </w:tcPr>
          <w:p w:rsidR="00B91D86" w:rsidRPr="002F6AE7" w:rsidRDefault="00B91D86" w:rsidP="0040183C">
            <w:pPr>
              <w:pStyle w:val="Body"/>
              <w:keepLines/>
              <w:rPr>
                <w:rFonts w:hAnsi="Times New Roman" w:cs="Times New Roman"/>
                <w:b/>
                <w:sz w:val="20"/>
                <w:szCs w:val="20"/>
                <w:u w:val="single"/>
              </w:rPr>
            </w:pPr>
            <w:r w:rsidRPr="002F6AE7">
              <w:rPr>
                <w:rFonts w:hAnsi="Times New Roman" w:cs="Times New Roman"/>
                <w:b/>
                <w:sz w:val="20"/>
                <w:szCs w:val="20"/>
                <w:u w:val="single"/>
              </w:rPr>
              <w:t>Estimated cost to the public</w:t>
            </w:r>
          </w:p>
        </w:tc>
      </w:tr>
      <w:tr w:rsidR="00B91D86" w:rsidRPr="005C0F77" w:rsidTr="000A23C0">
        <w:trPr>
          <w:trHeight w:val="736"/>
        </w:trPr>
        <w:tc>
          <w:tcPr>
            <w:tcW w:w="13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730848" w:rsidRDefault="001A155F" w:rsidP="000A23C0">
            <w:pPr>
              <w:pStyle w:val="Body"/>
              <w:keepLines/>
              <w:rPr>
                <w:rFonts w:eastAsia="Calibri"/>
                <w:spacing w:val="-1"/>
                <w:sz w:val="20"/>
                <w:szCs w:val="20"/>
              </w:rPr>
            </w:pPr>
            <w:r>
              <w:rPr>
                <w:rFonts w:eastAsia="Calibri"/>
                <w:spacing w:val="-1"/>
                <w:sz w:val="20"/>
                <w:szCs w:val="20"/>
              </w:rPr>
              <w:lastRenderedPageBreak/>
              <w:t xml:space="preserve">See </w:t>
            </w:r>
            <w:r w:rsidR="0084528B">
              <w:rPr>
                <w:rFonts w:eastAsia="Calibri"/>
                <w:spacing w:val="-1"/>
                <w:sz w:val="20"/>
                <w:szCs w:val="20"/>
              </w:rPr>
              <w:t xml:space="preserve">bullets </w:t>
            </w:r>
          </w:p>
          <w:p w:rsidR="00B91D86" w:rsidRPr="0082799E" w:rsidRDefault="00734FF1" w:rsidP="000A23C0">
            <w:pPr>
              <w:pStyle w:val="Body"/>
              <w:keepLines/>
              <w:rPr>
                <w:rFonts w:hAnsi="Times New Roman" w:cs="Times New Roman"/>
                <w:sz w:val="20"/>
                <w:szCs w:val="20"/>
              </w:rPr>
            </w:pPr>
            <w:r>
              <w:rPr>
                <w:rFonts w:eastAsia="Calibri"/>
                <w:spacing w:val="-1"/>
                <w:sz w:val="20"/>
                <w:szCs w:val="20"/>
              </w:rPr>
              <w:t>in</w:t>
            </w:r>
            <w:r w:rsidR="001A155F">
              <w:rPr>
                <w:rFonts w:eastAsia="Calibri"/>
                <w:spacing w:val="-1"/>
                <w:sz w:val="20"/>
                <w:szCs w:val="20"/>
              </w:rPr>
              <w:t xml:space="preserve"> section (ii)</w:t>
            </w:r>
          </w:p>
        </w:tc>
        <w:tc>
          <w:tcPr>
            <w:tcW w:w="12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B91D86" w:rsidRPr="002F6AE7" w:rsidRDefault="008A7421" w:rsidP="00085006">
            <w:pPr>
              <w:pStyle w:val="Body"/>
              <w:keepLines/>
              <w:jc w:val="center"/>
              <w:rPr>
                <w:rFonts w:hAnsi="Times New Roman" w:cs="Times New Roman"/>
                <w:sz w:val="20"/>
                <w:szCs w:val="20"/>
              </w:rPr>
            </w:pPr>
            <w:r>
              <w:rPr>
                <w:rFonts w:hAnsi="Times New Roman" w:cs="Times New Roman"/>
                <w:sz w:val="20"/>
                <w:szCs w:val="20"/>
              </w:rPr>
              <w:t>121</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990B65" w:rsidP="00085006">
            <w:pPr>
              <w:pStyle w:val="Body"/>
              <w:keepLines/>
              <w:jc w:val="center"/>
              <w:rPr>
                <w:rFonts w:hAnsi="Times New Roman" w:cs="Times New Roman"/>
                <w:sz w:val="20"/>
                <w:szCs w:val="20"/>
              </w:rPr>
            </w:pPr>
            <w:r>
              <w:rPr>
                <w:rFonts w:hAnsi="Times New Roman" w:cs="Times New Roman"/>
                <w:sz w:val="20"/>
                <w:szCs w:val="20"/>
              </w:rPr>
              <w:t>1</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651D1" w:rsidRPr="002F6AE7" w:rsidRDefault="008A7421" w:rsidP="008A7421">
            <w:pPr>
              <w:pStyle w:val="Body"/>
              <w:keepLines/>
              <w:jc w:val="center"/>
              <w:rPr>
                <w:rFonts w:hAnsi="Times New Roman" w:cs="Times New Roman"/>
                <w:sz w:val="20"/>
                <w:szCs w:val="20"/>
              </w:rPr>
            </w:pPr>
            <w:r>
              <w:rPr>
                <w:rFonts w:hAnsi="Times New Roman" w:cs="Times New Roman"/>
                <w:sz w:val="20"/>
                <w:szCs w:val="20"/>
              </w:rPr>
              <w:t>121</w:t>
            </w:r>
          </w:p>
        </w:tc>
        <w:tc>
          <w:tcPr>
            <w:tcW w:w="11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E8242F" w:rsidP="00085006">
            <w:pPr>
              <w:pStyle w:val="Body"/>
              <w:keepLines/>
              <w:jc w:val="center"/>
              <w:rPr>
                <w:rFonts w:hAnsi="Times New Roman" w:cs="Times New Roman"/>
                <w:sz w:val="20"/>
                <w:szCs w:val="20"/>
              </w:rPr>
            </w:pPr>
            <w:r>
              <w:rPr>
                <w:rFonts w:hAnsi="Times New Roman" w:cs="Times New Roman"/>
                <w:sz w:val="20"/>
                <w:szCs w:val="20"/>
              </w:rPr>
              <w:t>72</w:t>
            </w:r>
          </w:p>
        </w:tc>
        <w:tc>
          <w:tcPr>
            <w:tcW w:w="12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8A7421" w:rsidP="008A7421">
            <w:pPr>
              <w:pStyle w:val="Body"/>
              <w:keepLines/>
              <w:jc w:val="center"/>
              <w:rPr>
                <w:rFonts w:hAnsi="Times New Roman" w:cs="Times New Roman"/>
                <w:sz w:val="20"/>
                <w:szCs w:val="20"/>
              </w:rPr>
            </w:pPr>
            <w:r>
              <w:rPr>
                <w:rFonts w:hAnsi="Times New Roman" w:cs="Times New Roman"/>
                <w:sz w:val="20"/>
                <w:szCs w:val="20"/>
              </w:rPr>
              <w:t>8</w:t>
            </w:r>
            <w:r w:rsidR="00B91D86">
              <w:rPr>
                <w:rFonts w:hAnsi="Times New Roman" w:cs="Times New Roman"/>
                <w:sz w:val="20"/>
                <w:szCs w:val="20"/>
              </w:rPr>
              <w:t>,</w:t>
            </w:r>
            <w:r w:rsidR="00E8242F">
              <w:rPr>
                <w:rFonts w:hAnsi="Times New Roman" w:cs="Times New Roman"/>
                <w:sz w:val="20"/>
                <w:szCs w:val="20"/>
              </w:rPr>
              <w:t>7</w:t>
            </w:r>
            <w:r>
              <w:rPr>
                <w:rFonts w:hAnsi="Times New Roman" w:cs="Times New Roman"/>
                <w:sz w:val="20"/>
                <w:szCs w:val="20"/>
              </w:rPr>
              <w:t>12</w:t>
            </w:r>
          </w:p>
        </w:tc>
        <w:tc>
          <w:tcPr>
            <w:tcW w:w="1137" w:type="dxa"/>
            <w:vAlign w:val="center"/>
          </w:tcPr>
          <w:p w:rsidR="00B91D86" w:rsidRPr="002F6AE7" w:rsidRDefault="00B91D86" w:rsidP="00085006">
            <w:pPr>
              <w:pStyle w:val="Body"/>
              <w:keepLines/>
              <w:jc w:val="center"/>
              <w:rPr>
                <w:rFonts w:hAnsi="Times New Roman" w:cs="Times New Roman"/>
                <w:sz w:val="20"/>
                <w:szCs w:val="20"/>
              </w:rPr>
            </w:pPr>
            <w:r>
              <w:rPr>
                <w:rFonts w:hAnsi="Times New Roman" w:cs="Times New Roman"/>
                <w:sz w:val="20"/>
                <w:szCs w:val="20"/>
              </w:rPr>
              <w:t>$60.00*</w:t>
            </w:r>
          </w:p>
        </w:tc>
        <w:tc>
          <w:tcPr>
            <w:tcW w:w="1126" w:type="dxa"/>
            <w:vAlign w:val="center"/>
          </w:tcPr>
          <w:p w:rsidR="00B91D86" w:rsidRPr="002F6AE7" w:rsidRDefault="008A7421" w:rsidP="008A7421">
            <w:pPr>
              <w:pStyle w:val="Body"/>
              <w:keepLines/>
              <w:jc w:val="center"/>
              <w:rPr>
                <w:rFonts w:hAnsi="Times New Roman" w:cs="Times New Roman"/>
                <w:sz w:val="20"/>
                <w:szCs w:val="20"/>
              </w:rPr>
            </w:pPr>
            <w:r>
              <w:rPr>
                <w:rFonts w:hAnsi="Times New Roman" w:cs="Times New Roman"/>
                <w:sz w:val="20"/>
                <w:szCs w:val="20"/>
              </w:rPr>
              <w:t>$522,</w:t>
            </w:r>
            <w:r w:rsidR="00B91D86">
              <w:rPr>
                <w:rFonts w:hAnsi="Times New Roman" w:cs="Times New Roman"/>
                <w:sz w:val="20"/>
                <w:szCs w:val="20"/>
              </w:rPr>
              <w:t>,</w:t>
            </w:r>
            <w:r>
              <w:rPr>
                <w:rFonts w:hAnsi="Times New Roman" w:cs="Times New Roman"/>
                <w:sz w:val="20"/>
                <w:szCs w:val="20"/>
              </w:rPr>
              <w:t>72</w:t>
            </w:r>
            <w:r w:rsidR="00B91D86">
              <w:rPr>
                <w:rFonts w:hAnsi="Times New Roman" w:cs="Times New Roman"/>
                <w:sz w:val="20"/>
                <w:szCs w:val="20"/>
              </w:rPr>
              <w:t>0</w:t>
            </w:r>
          </w:p>
        </w:tc>
      </w:tr>
    </w:tbl>
    <w:p w:rsidR="00E55ABF" w:rsidRDefault="00E55ABF" w:rsidP="00E55ABF">
      <w:pPr>
        <w:jc w:val="center"/>
        <w:rPr>
          <w:b/>
          <w:u w:val="single"/>
        </w:rPr>
      </w:pPr>
      <w:r w:rsidRPr="000C3518">
        <w:rPr>
          <w:b/>
          <w:u w:val="single"/>
        </w:rPr>
        <w:t xml:space="preserve">Total Annual </w:t>
      </w:r>
      <w:r w:rsidR="006F32DA" w:rsidRPr="000C3518">
        <w:rPr>
          <w:b/>
          <w:u w:val="single"/>
        </w:rPr>
        <w:t xml:space="preserve">Reporting </w:t>
      </w:r>
      <w:r w:rsidRPr="000C3518">
        <w:rPr>
          <w:b/>
          <w:u w:val="single"/>
        </w:rPr>
        <w:t>Burden and Cost</w:t>
      </w:r>
      <w:r w:rsidR="002904DA">
        <w:rPr>
          <w:b/>
          <w:u w:val="single"/>
        </w:rPr>
        <w:t>:</w:t>
      </w:r>
      <w:r w:rsidRPr="000C3518">
        <w:rPr>
          <w:b/>
          <w:u w:val="single"/>
        </w:rPr>
        <w:t xml:space="preserve">  </w:t>
      </w:r>
    </w:p>
    <w:p w:rsidR="00814CA8" w:rsidRDefault="00814CA8" w:rsidP="00E55ABF">
      <w:pPr>
        <w:jc w:val="center"/>
        <w:rPr>
          <w:b/>
          <w:u w:val="single"/>
        </w:rPr>
      </w:pPr>
    </w:p>
    <w:p w:rsidR="00B91D86" w:rsidRDefault="00B91D86" w:rsidP="00B91D86">
      <w:pPr>
        <w:jc w:val="center"/>
        <w:rPr>
          <w:u w:val="single"/>
        </w:rPr>
      </w:pPr>
    </w:p>
    <w:tbl>
      <w:tblPr>
        <w:tblpPr w:leftFromText="180" w:rightFromText="180" w:vertAnchor="text" w:horzAnchor="margin" w:tblpY="-59"/>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262"/>
        <w:gridCol w:w="1045"/>
        <w:gridCol w:w="1045"/>
        <w:gridCol w:w="1132"/>
        <w:gridCol w:w="1219"/>
        <w:gridCol w:w="1137"/>
        <w:gridCol w:w="1126"/>
      </w:tblGrid>
      <w:tr w:rsidR="00B91D86" w:rsidTr="0040183C">
        <w:trPr>
          <w:trHeight w:val="269"/>
        </w:trPr>
        <w:tc>
          <w:tcPr>
            <w:tcW w:w="9306" w:type="dxa"/>
            <w:gridSpan w:val="8"/>
            <w:tcBorders>
              <w:top w:val="single" w:sz="4" w:space="0" w:color="auto"/>
              <w:left w:val="single" w:sz="4" w:space="0" w:color="auto"/>
              <w:bottom w:val="single" w:sz="4" w:space="0" w:color="auto"/>
            </w:tcBorders>
            <w:tcMar>
              <w:top w:w="80" w:type="dxa"/>
              <w:left w:w="80" w:type="dxa"/>
              <w:bottom w:w="80" w:type="dxa"/>
              <w:right w:w="80" w:type="dxa"/>
            </w:tcMar>
            <w:vAlign w:val="bottom"/>
            <w:hideMark/>
          </w:tcPr>
          <w:p w:rsidR="00B91D86" w:rsidRPr="002F6AE7" w:rsidRDefault="00B91D86" w:rsidP="00B91D86">
            <w:pPr>
              <w:pStyle w:val="Body"/>
              <w:keepLines/>
              <w:jc w:val="center"/>
              <w:rPr>
                <w:rFonts w:hAnsi="Times New Roman" w:cs="Times New Roman"/>
                <w:b/>
                <w:sz w:val="21"/>
                <w:szCs w:val="21"/>
                <w:u w:val="single"/>
              </w:rPr>
            </w:pPr>
            <w:r w:rsidRPr="002F6AE7">
              <w:rPr>
                <w:b/>
                <w:u w:val="single"/>
              </w:rPr>
              <w:t>3052.204-7X, Safeguarding of Sensitive Information</w:t>
            </w:r>
            <w:r>
              <w:rPr>
                <w:b/>
                <w:u w:val="single"/>
              </w:rPr>
              <w:t xml:space="preserve"> </w:t>
            </w:r>
          </w:p>
        </w:tc>
      </w:tr>
      <w:tr w:rsidR="00B91D86" w:rsidTr="0040183C">
        <w:trPr>
          <w:trHeight w:val="827"/>
        </w:trPr>
        <w:tc>
          <w:tcPr>
            <w:tcW w:w="13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Reporting Requirement</w:t>
            </w:r>
          </w:p>
        </w:tc>
        <w:tc>
          <w:tcPr>
            <w:tcW w:w="12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Estimated Respondents</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Responses Annually</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 xml:space="preserve">Total </w:t>
            </w:r>
          </w:p>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Annual</w:t>
            </w:r>
          </w:p>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Responses</w:t>
            </w:r>
          </w:p>
        </w:tc>
        <w:tc>
          <w:tcPr>
            <w:tcW w:w="11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Estimated</w:t>
            </w:r>
          </w:p>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Hours per Response</w:t>
            </w:r>
          </w:p>
        </w:tc>
        <w:tc>
          <w:tcPr>
            <w:tcW w:w="12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40183C">
            <w:pPr>
              <w:pStyle w:val="Body"/>
              <w:keepLines/>
              <w:rPr>
                <w:rFonts w:hAnsi="Times New Roman" w:cs="Times New Roman"/>
                <w:b/>
                <w:sz w:val="20"/>
                <w:szCs w:val="20"/>
                <w:u w:val="single"/>
              </w:rPr>
            </w:pPr>
            <w:r w:rsidRPr="002F6AE7">
              <w:rPr>
                <w:rFonts w:hAnsi="Times New Roman" w:cs="Times New Roman"/>
                <w:b/>
                <w:sz w:val="20"/>
                <w:szCs w:val="20"/>
                <w:u w:val="single"/>
              </w:rPr>
              <w:t>Total Estimated Burden Hours</w:t>
            </w:r>
          </w:p>
        </w:tc>
        <w:tc>
          <w:tcPr>
            <w:tcW w:w="1137" w:type="dxa"/>
            <w:vAlign w:val="bottom"/>
          </w:tcPr>
          <w:p w:rsidR="00B91D86" w:rsidRPr="002F6AE7" w:rsidRDefault="00B91D86" w:rsidP="0040183C">
            <w:pPr>
              <w:pStyle w:val="Body"/>
              <w:keepLines/>
              <w:jc w:val="center"/>
              <w:rPr>
                <w:rFonts w:hAnsi="Times New Roman" w:cs="Times New Roman"/>
                <w:b/>
                <w:sz w:val="20"/>
                <w:szCs w:val="20"/>
                <w:u w:val="single"/>
              </w:rPr>
            </w:pPr>
            <w:r w:rsidRPr="002F6AE7">
              <w:rPr>
                <w:rFonts w:hAnsi="Times New Roman" w:cs="Times New Roman"/>
                <w:b/>
                <w:sz w:val="20"/>
                <w:szCs w:val="20"/>
                <w:u w:val="single"/>
              </w:rPr>
              <w:t>Average wages + overhead</w:t>
            </w:r>
          </w:p>
        </w:tc>
        <w:tc>
          <w:tcPr>
            <w:tcW w:w="1126" w:type="dxa"/>
            <w:vAlign w:val="bottom"/>
          </w:tcPr>
          <w:p w:rsidR="00B91D86" w:rsidRPr="002F6AE7" w:rsidRDefault="00B91D86" w:rsidP="0040183C">
            <w:pPr>
              <w:pStyle w:val="Body"/>
              <w:keepLines/>
              <w:rPr>
                <w:rFonts w:hAnsi="Times New Roman" w:cs="Times New Roman"/>
                <w:b/>
                <w:sz w:val="20"/>
                <w:szCs w:val="20"/>
                <w:u w:val="single"/>
              </w:rPr>
            </w:pPr>
            <w:r w:rsidRPr="002F6AE7">
              <w:rPr>
                <w:rFonts w:hAnsi="Times New Roman" w:cs="Times New Roman"/>
                <w:b/>
                <w:sz w:val="20"/>
                <w:szCs w:val="20"/>
                <w:u w:val="single"/>
              </w:rPr>
              <w:t>Estimated cost to the public</w:t>
            </w:r>
          </w:p>
        </w:tc>
      </w:tr>
      <w:tr w:rsidR="00B91D86" w:rsidRPr="005C0F77" w:rsidTr="00C8254F">
        <w:trPr>
          <w:trHeight w:val="736"/>
        </w:trPr>
        <w:tc>
          <w:tcPr>
            <w:tcW w:w="13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Default="00B91D86" w:rsidP="00085006">
            <w:pPr>
              <w:pStyle w:val="Body"/>
              <w:keepLines/>
              <w:rPr>
                <w:rFonts w:eastAsia="Calibri"/>
                <w:spacing w:val="-1"/>
                <w:sz w:val="20"/>
                <w:szCs w:val="20"/>
              </w:rPr>
            </w:pPr>
            <w:r>
              <w:rPr>
                <w:rFonts w:eastAsia="Calibri"/>
                <w:spacing w:val="-1"/>
                <w:sz w:val="20"/>
                <w:szCs w:val="20"/>
              </w:rPr>
              <w:t xml:space="preserve">Estimated </w:t>
            </w:r>
          </w:p>
          <w:p w:rsidR="00B91D86" w:rsidRPr="002F6AE7" w:rsidRDefault="00B91D86" w:rsidP="00085006">
            <w:pPr>
              <w:pStyle w:val="Body"/>
              <w:keepLines/>
              <w:rPr>
                <w:rFonts w:hAnsi="Times New Roman" w:cs="Times New Roman"/>
                <w:sz w:val="20"/>
                <w:szCs w:val="20"/>
              </w:rPr>
            </w:pPr>
            <w:r>
              <w:rPr>
                <w:rFonts w:eastAsia="Calibri"/>
                <w:spacing w:val="-1"/>
                <w:sz w:val="20"/>
                <w:szCs w:val="20"/>
              </w:rPr>
              <w:t>Totals</w:t>
            </w:r>
          </w:p>
        </w:tc>
        <w:tc>
          <w:tcPr>
            <w:tcW w:w="12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B91D86" w:rsidRPr="002F6AE7" w:rsidRDefault="008A7421" w:rsidP="00085006">
            <w:pPr>
              <w:pStyle w:val="Body"/>
              <w:keepLines/>
              <w:jc w:val="center"/>
              <w:rPr>
                <w:rFonts w:hAnsi="Times New Roman" w:cs="Times New Roman"/>
                <w:sz w:val="20"/>
                <w:szCs w:val="20"/>
              </w:rPr>
            </w:pPr>
            <w:r>
              <w:rPr>
                <w:rFonts w:hAnsi="Times New Roman" w:cs="Times New Roman"/>
                <w:sz w:val="20"/>
                <w:szCs w:val="20"/>
              </w:rPr>
              <w:t>123</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990B65" w:rsidP="00085006">
            <w:pPr>
              <w:pStyle w:val="Body"/>
              <w:keepLines/>
              <w:jc w:val="center"/>
              <w:rPr>
                <w:rFonts w:hAnsi="Times New Roman" w:cs="Times New Roman"/>
                <w:sz w:val="20"/>
                <w:szCs w:val="20"/>
              </w:rPr>
            </w:pPr>
            <w:r>
              <w:rPr>
                <w:rFonts w:hAnsi="Times New Roman" w:cs="Times New Roman"/>
                <w:sz w:val="20"/>
                <w:szCs w:val="20"/>
              </w:rPr>
              <w:t>1</w:t>
            </w:r>
          </w:p>
        </w:tc>
        <w:tc>
          <w:tcPr>
            <w:tcW w:w="104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53F50" w:rsidRPr="002F6AE7" w:rsidRDefault="008A7421" w:rsidP="00085006">
            <w:pPr>
              <w:pStyle w:val="Body"/>
              <w:keepLines/>
              <w:jc w:val="center"/>
              <w:rPr>
                <w:rFonts w:hAnsi="Times New Roman" w:cs="Times New Roman"/>
                <w:sz w:val="20"/>
                <w:szCs w:val="20"/>
              </w:rPr>
            </w:pPr>
            <w:r>
              <w:rPr>
                <w:rFonts w:hAnsi="Times New Roman" w:cs="Times New Roman"/>
                <w:sz w:val="20"/>
                <w:szCs w:val="20"/>
              </w:rPr>
              <w:t>123</w:t>
            </w:r>
          </w:p>
        </w:tc>
        <w:tc>
          <w:tcPr>
            <w:tcW w:w="113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E8242F" w:rsidP="00085006">
            <w:pPr>
              <w:pStyle w:val="Body"/>
              <w:keepLines/>
              <w:jc w:val="center"/>
              <w:rPr>
                <w:rFonts w:hAnsi="Times New Roman" w:cs="Times New Roman"/>
                <w:sz w:val="20"/>
                <w:szCs w:val="20"/>
              </w:rPr>
            </w:pPr>
            <w:r>
              <w:rPr>
                <w:rFonts w:hAnsi="Times New Roman" w:cs="Times New Roman"/>
                <w:sz w:val="20"/>
                <w:szCs w:val="20"/>
              </w:rPr>
              <w:t>80</w:t>
            </w:r>
          </w:p>
        </w:tc>
        <w:tc>
          <w:tcPr>
            <w:tcW w:w="12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8A7421" w:rsidP="00085006">
            <w:pPr>
              <w:pStyle w:val="Body"/>
              <w:keepLines/>
              <w:jc w:val="center"/>
              <w:rPr>
                <w:rFonts w:hAnsi="Times New Roman" w:cs="Times New Roman"/>
                <w:sz w:val="20"/>
                <w:szCs w:val="20"/>
              </w:rPr>
            </w:pPr>
            <w:r>
              <w:rPr>
                <w:rFonts w:hAnsi="Times New Roman" w:cs="Times New Roman"/>
                <w:sz w:val="20"/>
                <w:szCs w:val="20"/>
              </w:rPr>
              <w:t>9,840</w:t>
            </w:r>
          </w:p>
        </w:tc>
        <w:tc>
          <w:tcPr>
            <w:tcW w:w="1137" w:type="dxa"/>
            <w:vAlign w:val="center"/>
          </w:tcPr>
          <w:p w:rsidR="00B91D86" w:rsidRPr="002F6AE7" w:rsidRDefault="00B91D86" w:rsidP="00085006">
            <w:pPr>
              <w:pStyle w:val="Body"/>
              <w:keepLines/>
              <w:jc w:val="center"/>
              <w:rPr>
                <w:rFonts w:hAnsi="Times New Roman" w:cs="Times New Roman"/>
                <w:sz w:val="20"/>
                <w:szCs w:val="20"/>
              </w:rPr>
            </w:pPr>
            <w:r>
              <w:rPr>
                <w:rFonts w:hAnsi="Times New Roman" w:cs="Times New Roman"/>
                <w:sz w:val="20"/>
                <w:szCs w:val="20"/>
              </w:rPr>
              <w:t>$60.00*</w:t>
            </w:r>
          </w:p>
        </w:tc>
        <w:tc>
          <w:tcPr>
            <w:tcW w:w="1126" w:type="dxa"/>
            <w:vAlign w:val="center"/>
          </w:tcPr>
          <w:p w:rsidR="00B91D86" w:rsidRPr="002F6AE7" w:rsidRDefault="00B91D86" w:rsidP="008A7421">
            <w:pPr>
              <w:pStyle w:val="Body"/>
              <w:keepLines/>
              <w:jc w:val="center"/>
              <w:rPr>
                <w:rFonts w:hAnsi="Times New Roman" w:cs="Times New Roman"/>
                <w:sz w:val="20"/>
                <w:szCs w:val="20"/>
              </w:rPr>
            </w:pPr>
            <w:r>
              <w:rPr>
                <w:rFonts w:hAnsi="Times New Roman" w:cs="Times New Roman"/>
                <w:sz w:val="20"/>
                <w:szCs w:val="20"/>
              </w:rPr>
              <w:t>$</w:t>
            </w:r>
            <w:r w:rsidR="008A7421">
              <w:rPr>
                <w:rFonts w:hAnsi="Times New Roman" w:cs="Times New Roman"/>
                <w:sz w:val="20"/>
                <w:szCs w:val="20"/>
              </w:rPr>
              <w:t>590</w:t>
            </w:r>
            <w:r>
              <w:rPr>
                <w:rFonts w:hAnsi="Times New Roman" w:cs="Times New Roman"/>
                <w:sz w:val="20"/>
                <w:szCs w:val="20"/>
              </w:rPr>
              <w:t>,</w:t>
            </w:r>
            <w:r w:rsidR="008A7421">
              <w:rPr>
                <w:rFonts w:hAnsi="Times New Roman" w:cs="Times New Roman"/>
                <w:sz w:val="20"/>
                <w:szCs w:val="20"/>
              </w:rPr>
              <w:t>4</w:t>
            </w:r>
            <w:r>
              <w:rPr>
                <w:rFonts w:hAnsi="Times New Roman" w:cs="Times New Roman"/>
                <w:sz w:val="20"/>
                <w:szCs w:val="20"/>
              </w:rPr>
              <w:t>00</w:t>
            </w:r>
          </w:p>
        </w:tc>
      </w:tr>
    </w:tbl>
    <w:p w:rsidR="004247D8" w:rsidRDefault="004247D8" w:rsidP="00771D23">
      <w:pPr>
        <w:pStyle w:val="ListParagraph"/>
        <w:ind w:left="0"/>
        <w:jc w:val="center"/>
        <w:rPr>
          <w:b/>
          <w:u w:val="single"/>
        </w:rPr>
      </w:pPr>
    </w:p>
    <w:p w:rsidR="000A23C0" w:rsidRDefault="000A23C0" w:rsidP="00771D23">
      <w:pPr>
        <w:pStyle w:val="ListParagraph"/>
        <w:ind w:left="0"/>
        <w:jc w:val="center"/>
        <w:rPr>
          <w:b/>
          <w:u w:val="single"/>
        </w:rPr>
      </w:pPr>
    </w:p>
    <w:p w:rsidR="002A4C75" w:rsidRPr="00E76A3F" w:rsidRDefault="006F32DA" w:rsidP="00771D23">
      <w:pPr>
        <w:pStyle w:val="ListParagraph"/>
        <w:ind w:left="0"/>
        <w:jc w:val="center"/>
        <w:rPr>
          <w:b/>
        </w:rPr>
      </w:pPr>
      <w:r w:rsidRPr="00E76A3F">
        <w:rPr>
          <w:b/>
          <w:u w:val="single"/>
        </w:rPr>
        <w:t xml:space="preserve">Total </w:t>
      </w:r>
      <w:r w:rsidR="00E0222D" w:rsidRPr="00E76A3F">
        <w:rPr>
          <w:b/>
          <w:u w:val="single"/>
        </w:rPr>
        <w:t xml:space="preserve">Annual </w:t>
      </w:r>
      <w:r w:rsidR="00771D23" w:rsidRPr="00E76A3F">
        <w:rPr>
          <w:b/>
          <w:u w:val="single"/>
        </w:rPr>
        <w:t>Record</w:t>
      </w:r>
      <w:r w:rsidR="00071EF3" w:rsidRPr="00E76A3F">
        <w:rPr>
          <w:b/>
          <w:u w:val="single"/>
        </w:rPr>
        <w:t>-</w:t>
      </w:r>
      <w:r w:rsidR="00771D23" w:rsidRPr="00E76A3F">
        <w:rPr>
          <w:b/>
          <w:u w:val="single"/>
        </w:rPr>
        <w:t>keeping Burden and Cost:</w:t>
      </w:r>
    </w:p>
    <w:p w:rsidR="002A4C75" w:rsidRPr="00CB73B5" w:rsidRDefault="002A4C75" w:rsidP="00E91B2F">
      <w:pPr>
        <w:pStyle w:val="ListParagraph"/>
        <w:ind w:left="0"/>
        <w:rPr>
          <w:u w:val="single"/>
        </w:rPr>
      </w:pPr>
    </w:p>
    <w:p w:rsidR="00197E63" w:rsidRDefault="0016151F" w:rsidP="00E91B2F">
      <w:pPr>
        <w:pStyle w:val="ListParagraph"/>
        <w:ind w:left="0"/>
      </w:pPr>
      <w:r>
        <w:t xml:space="preserve">3052.204-7X, </w:t>
      </w:r>
      <w:r w:rsidR="004D1D4D" w:rsidRPr="003813EB">
        <w:t>Safeguarding of Sensitive Information</w:t>
      </w:r>
      <w:r w:rsidR="004D1D4D" w:rsidRPr="0091272C">
        <w:t xml:space="preserve">: </w:t>
      </w:r>
      <w:r w:rsidR="004D1D4D">
        <w:t xml:space="preserve"> </w:t>
      </w:r>
      <w:r w:rsidR="0094492F">
        <w:t xml:space="preserve">It is estimated that </w:t>
      </w:r>
      <w:r w:rsidR="00197E63">
        <w:t xml:space="preserve">the </w:t>
      </w:r>
      <w:r w:rsidR="006F32DA">
        <w:t>number of record-keepers</w:t>
      </w:r>
      <w:r w:rsidR="007B5BA9">
        <w:t xml:space="preserve"> associated with this </w:t>
      </w:r>
      <w:r w:rsidR="00071EF3">
        <w:t xml:space="preserve">clause </w:t>
      </w:r>
      <w:r w:rsidR="00A9701F">
        <w:t xml:space="preserve">will be </w:t>
      </w:r>
      <w:r w:rsidR="00734FF1">
        <w:t>123</w:t>
      </w:r>
      <w:r w:rsidR="007B5BA9">
        <w:t>.</w:t>
      </w:r>
      <w:r w:rsidR="00732F73">
        <w:t xml:space="preserve">  </w:t>
      </w:r>
      <w:r w:rsidR="003B0803">
        <w:t xml:space="preserve">Further, </w:t>
      </w:r>
      <w:r w:rsidR="000B03F8">
        <w:t xml:space="preserve">it is </w:t>
      </w:r>
      <w:r w:rsidR="000B03F8" w:rsidRPr="009B1A1C">
        <w:t xml:space="preserve">estimated </w:t>
      </w:r>
      <w:r w:rsidR="000B03F8">
        <w:t xml:space="preserve">that the </w:t>
      </w:r>
      <w:r w:rsidR="000B03F8" w:rsidRPr="009B1A1C">
        <w:t>number of records per record</w:t>
      </w:r>
      <w:r w:rsidR="000B03F8">
        <w:t>-</w:t>
      </w:r>
      <w:r w:rsidR="000B03F8" w:rsidRPr="009B1A1C">
        <w:t>keeper</w:t>
      </w:r>
      <w:r w:rsidR="000B03F8">
        <w:t xml:space="preserve"> will be four (4)</w:t>
      </w:r>
      <w:r w:rsidR="005D5794">
        <w:t xml:space="preserve"> </w:t>
      </w:r>
      <w:r w:rsidR="00732F73" w:rsidRPr="00732F73">
        <w:t xml:space="preserve">per </w:t>
      </w:r>
      <w:r w:rsidR="00732F73">
        <w:t>unique vendor</w:t>
      </w:r>
      <w:r w:rsidR="000B03F8">
        <w:t xml:space="preserve">.  </w:t>
      </w:r>
      <w:r w:rsidR="00732F73" w:rsidRPr="00732F73">
        <w:t xml:space="preserve"> Preparation time and maintenance per response is estimated to average </w:t>
      </w:r>
      <w:r w:rsidR="000A23C0">
        <w:t xml:space="preserve">sixteen </w:t>
      </w:r>
      <w:r w:rsidR="000B03F8">
        <w:t>(</w:t>
      </w:r>
      <w:r w:rsidR="00867E20">
        <w:t>16</w:t>
      </w:r>
      <w:r w:rsidR="00E76A3F">
        <w:t>)</w:t>
      </w:r>
      <w:r w:rsidR="00732F73" w:rsidRPr="00732F73">
        <w:t xml:space="preserve"> hours.</w:t>
      </w:r>
    </w:p>
    <w:p w:rsidR="00B91D86" w:rsidRDefault="00B91D86" w:rsidP="00E91B2F">
      <w:pPr>
        <w:pStyle w:val="ListParagraph"/>
        <w:ind w:left="0"/>
      </w:pPr>
    </w:p>
    <w:tbl>
      <w:tblPr>
        <w:tblpPr w:leftFromText="180" w:rightFromText="180" w:vertAnchor="text" w:horzAnchor="margin" w:tblpY="-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2250"/>
        <w:gridCol w:w="1080"/>
        <w:gridCol w:w="1170"/>
        <w:gridCol w:w="1170"/>
        <w:gridCol w:w="1170"/>
        <w:gridCol w:w="1170"/>
      </w:tblGrid>
      <w:tr w:rsidR="00B91D86" w:rsidTr="00B91D86">
        <w:trPr>
          <w:trHeight w:val="269"/>
        </w:trPr>
        <w:tc>
          <w:tcPr>
            <w:tcW w:w="9350" w:type="dxa"/>
            <w:gridSpan w:val="7"/>
            <w:tcBorders>
              <w:top w:val="single" w:sz="4" w:space="0" w:color="auto"/>
              <w:left w:val="single" w:sz="4" w:space="0" w:color="auto"/>
              <w:bottom w:val="single" w:sz="4" w:space="0" w:color="auto"/>
            </w:tcBorders>
            <w:tcMar>
              <w:top w:w="80" w:type="dxa"/>
              <w:left w:w="80" w:type="dxa"/>
              <w:bottom w:w="80" w:type="dxa"/>
              <w:right w:w="80" w:type="dxa"/>
            </w:tcMar>
            <w:vAlign w:val="bottom"/>
            <w:hideMark/>
          </w:tcPr>
          <w:p w:rsidR="00B91D86" w:rsidRPr="002F6AE7" w:rsidRDefault="00B91D86" w:rsidP="00B91D86">
            <w:pPr>
              <w:pStyle w:val="Body"/>
              <w:keepLines/>
              <w:jc w:val="center"/>
              <w:rPr>
                <w:rFonts w:hAnsi="Times New Roman" w:cs="Times New Roman"/>
                <w:b/>
                <w:sz w:val="21"/>
                <w:szCs w:val="21"/>
                <w:u w:val="single"/>
              </w:rPr>
            </w:pPr>
            <w:r w:rsidRPr="002F6AE7">
              <w:rPr>
                <w:b/>
                <w:u w:val="single"/>
              </w:rPr>
              <w:t>3052.204-7X, Safeguarding of Sensitive Information</w:t>
            </w:r>
            <w:r>
              <w:rPr>
                <w:b/>
                <w:u w:val="single"/>
              </w:rPr>
              <w:t xml:space="preserve"> </w:t>
            </w:r>
          </w:p>
        </w:tc>
      </w:tr>
      <w:tr w:rsidR="00B91D86" w:rsidTr="00B91D86">
        <w:trPr>
          <w:trHeight w:val="827"/>
        </w:trPr>
        <w:tc>
          <w:tcPr>
            <w:tcW w:w="13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B91D86">
            <w:pPr>
              <w:pStyle w:val="Body"/>
              <w:keepLines/>
              <w:jc w:val="center"/>
              <w:rPr>
                <w:rFonts w:hAnsi="Times New Roman" w:cs="Times New Roman"/>
                <w:b/>
                <w:sz w:val="20"/>
                <w:szCs w:val="20"/>
                <w:u w:val="single"/>
              </w:rPr>
            </w:pPr>
            <w:r w:rsidRPr="002F6AE7">
              <w:rPr>
                <w:rFonts w:hAnsi="Times New Roman" w:cs="Times New Roman"/>
                <w:b/>
                <w:sz w:val="20"/>
                <w:szCs w:val="20"/>
                <w:u w:val="single"/>
              </w:rPr>
              <w:t xml:space="preserve">Estimated </w:t>
            </w:r>
            <w:r>
              <w:rPr>
                <w:rFonts w:hAnsi="Times New Roman" w:cs="Times New Roman"/>
                <w:b/>
                <w:sz w:val="20"/>
                <w:szCs w:val="20"/>
                <w:u w:val="single"/>
              </w:rPr>
              <w:t>Record-keepers</w:t>
            </w:r>
          </w:p>
        </w:tc>
        <w:tc>
          <w:tcPr>
            <w:tcW w:w="22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tcPr>
          <w:p w:rsidR="00B91D86" w:rsidRPr="002F6AE7" w:rsidRDefault="00B91D86" w:rsidP="00B91D86">
            <w:pPr>
              <w:pStyle w:val="Body"/>
              <w:keepLines/>
              <w:jc w:val="center"/>
              <w:rPr>
                <w:rFonts w:hAnsi="Times New Roman" w:cs="Times New Roman"/>
                <w:b/>
                <w:sz w:val="20"/>
                <w:szCs w:val="20"/>
                <w:u w:val="single"/>
              </w:rPr>
            </w:pPr>
            <w:r>
              <w:rPr>
                <w:rFonts w:hAnsi="Times New Roman" w:cs="Times New Roman"/>
                <w:b/>
                <w:sz w:val="20"/>
                <w:szCs w:val="20"/>
                <w:u w:val="single"/>
              </w:rPr>
              <w:t xml:space="preserve">Estimated </w:t>
            </w:r>
            <w:r w:rsidRPr="000B03F8">
              <w:rPr>
                <w:rFonts w:hAnsi="Times New Roman" w:cs="Times New Roman"/>
                <w:b/>
                <w:sz w:val="20"/>
                <w:szCs w:val="20"/>
                <w:u w:val="single"/>
              </w:rPr>
              <w:t>Records</w:t>
            </w:r>
            <w:r>
              <w:rPr>
                <w:rFonts w:hAnsi="Times New Roman" w:cs="Times New Roman"/>
                <w:b/>
                <w:sz w:val="20"/>
                <w:szCs w:val="20"/>
                <w:u w:val="single"/>
              </w:rPr>
              <w:t xml:space="preserve"> per R</w:t>
            </w:r>
            <w:r w:rsidRPr="000B03F8">
              <w:rPr>
                <w:rFonts w:hAnsi="Times New Roman" w:cs="Times New Roman"/>
                <w:b/>
                <w:sz w:val="20"/>
                <w:szCs w:val="20"/>
                <w:u w:val="single"/>
              </w:rPr>
              <w:t>ecord-keeper</w:t>
            </w:r>
          </w:p>
        </w:tc>
        <w:tc>
          <w:tcPr>
            <w:tcW w:w="10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B91D86">
            <w:pPr>
              <w:pStyle w:val="Body"/>
              <w:keepLines/>
              <w:jc w:val="center"/>
              <w:rPr>
                <w:rFonts w:hAnsi="Times New Roman" w:cs="Times New Roman"/>
                <w:b/>
                <w:sz w:val="20"/>
                <w:szCs w:val="20"/>
                <w:u w:val="single"/>
              </w:rPr>
            </w:pPr>
            <w:r w:rsidRPr="002F6AE7">
              <w:rPr>
                <w:rFonts w:hAnsi="Times New Roman" w:cs="Times New Roman"/>
                <w:b/>
                <w:sz w:val="20"/>
                <w:szCs w:val="20"/>
                <w:u w:val="single"/>
              </w:rPr>
              <w:t xml:space="preserve">Total </w:t>
            </w:r>
          </w:p>
          <w:p w:rsidR="00B91D86" w:rsidRPr="002F6AE7" w:rsidRDefault="00B91D86" w:rsidP="00B91D86">
            <w:pPr>
              <w:pStyle w:val="Body"/>
              <w:keepLines/>
              <w:jc w:val="center"/>
              <w:rPr>
                <w:rFonts w:hAnsi="Times New Roman" w:cs="Times New Roman"/>
                <w:b/>
                <w:sz w:val="20"/>
                <w:szCs w:val="20"/>
                <w:u w:val="single"/>
              </w:rPr>
            </w:pPr>
            <w:r w:rsidRPr="002F6AE7">
              <w:rPr>
                <w:rFonts w:hAnsi="Times New Roman" w:cs="Times New Roman"/>
                <w:b/>
                <w:sz w:val="20"/>
                <w:szCs w:val="20"/>
                <w:u w:val="single"/>
              </w:rPr>
              <w:t>Annual</w:t>
            </w:r>
          </w:p>
          <w:p w:rsidR="00B91D86" w:rsidRPr="002F6AE7" w:rsidRDefault="00B91D86" w:rsidP="00B91D86">
            <w:pPr>
              <w:pStyle w:val="Body"/>
              <w:keepLines/>
              <w:jc w:val="center"/>
              <w:rPr>
                <w:rFonts w:hAnsi="Times New Roman" w:cs="Times New Roman"/>
                <w:b/>
                <w:sz w:val="20"/>
                <w:szCs w:val="20"/>
                <w:u w:val="single"/>
              </w:rPr>
            </w:pPr>
            <w:r>
              <w:rPr>
                <w:rFonts w:hAnsi="Times New Roman" w:cs="Times New Roman"/>
                <w:b/>
                <w:sz w:val="20"/>
                <w:szCs w:val="20"/>
                <w:u w:val="single"/>
              </w:rPr>
              <w:t>Records</w:t>
            </w:r>
          </w:p>
        </w:tc>
        <w:tc>
          <w:tcPr>
            <w:tcW w:w="117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B91D86">
            <w:pPr>
              <w:pStyle w:val="Body"/>
              <w:keepLines/>
              <w:jc w:val="center"/>
              <w:rPr>
                <w:rFonts w:hAnsi="Times New Roman" w:cs="Times New Roman"/>
                <w:b/>
                <w:sz w:val="20"/>
                <w:szCs w:val="20"/>
                <w:u w:val="single"/>
              </w:rPr>
            </w:pPr>
            <w:r w:rsidRPr="002F6AE7">
              <w:rPr>
                <w:rFonts w:hAnsi="Times New Roman" w:cs="Times New Roman"/>
                <w:b/>
                <w:sz w:val="20"/>
                <w:szCs w:val="20"/>
                <w:u w:val="single"/>
              </w:rPr>
              <w:t>Estimated</w:t>
            </w:r>
          </w:p>
          <w:p w:rsidR="00B91D86" w:rsidRPr="002F6AE7" w:rsidRDefault="00B91D86" w:rsidP="00B91D86">
            <w:pPr>
              <w:pStyle w:val="Body"/>
              <w:keepLines/>
              <w:jc w:val="center"/>
              <w:rPr>
                <w:rFonts w:hAnsi="Times New Roman" w:cs="Times New Roman"/>
                <w:b/>
                <w:sz w:val="20"/>
                <w:szCs w:val="20"/>
                <w:u w:val="single"/>
              </w:rPr>
            </w:pPr>
            <w:r w:rsidRPr="002F6AE7">
              <w:rPr>
                <w:rFonts w:hAnsi="Times New Roman" w:cs="Times New Roman"/>
                <w:b/>
                <w:sz w:val="20"/>
                <w:szCs w:val="20"/>
                <w:u w:val="single"/>
              </w:rPr>
              <w:t xml:space="preserve">Hours per </w:t>
            </w:r>
            <w:r>
              <w:rPr>
                <w:rFonts w:hAnsi="Times New Roman" w:cs="Times New Roman"/>
                <w:b/>
                <w:sz w:val="20"/>
                <w:szCs w:val="20"/>
                <w:u w:val="single"/>
              </w:rPr>
              <w:t>Record</w:t>
            </w:r>
          </w:p>
        </w:tc>
        <w:tc>
          <w:tcPr>
            <w:tcW w:w="117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B91D86">
            <w:pPr>
              <w:pStyle w:val="Body"/>
              <w:keepLines/>
              <w:rPr>
                <w:rFonts w:hAnsi="Times New Roman" w:cs="Times New Roman"/>
                <w:b/>
                <w:sz w:val="20"/>
                <w:szCs w:val="20"/>
                <w:u w:val="single"/>
              </w:rPr>
            </w:pPr>
            <w:r w:rsidRPr="002F6AE7">
              <w:rPr>
                <w:rFonts w:hAnsi="Times New Roman" w:cs="Times New Roman"/>
                <w:b/>
                <w:sz w:val="20"/>
                <w:szCs w:val="20"/>
                <w:u w:val="single"/>
              </w:rPr>
              <w:t xml:space="preserve">Total </w:t>
            </w:r>
            <w:r>
              <w:rPr>
                <w:rFonts w:hAnsi="Times New Roman" w:cs="Times New Roman"/>
                <w:b/>
                <w:sz w:val="20"/>
                <w:szCs w:val="20"/>
                <w:u w:val="single"/>
              </w:rPr>
              <w:t>Record-keeping</w:t>
            </w:r>
            <w:r w:rsidRPr="002F6AE7">
              <w:rPr>
                <w:rFonts w:hAnsi="Times New Roman" w:cs="Times New Roman"/>
                <w:b/>
                <w:sz w:val="20"/>
                <w:szCs w:val="20"/>
                <w:u w:val="single"/>
              </w:rPr>
              <w:t xml:space="preserve"> Burden Hours</w:t>
            </w:r>
          </w:p>
        </w:tc>
        <w:tc>
          <w:tcPr>
            <w:tcW w:w="117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B91D86" w:rsidRPr="002F6AE7" w:rsidRDefault="00B91D86" w:rsidP="00B91D86">
            <w:pPr>
              <w:pStyle w:val="Body"/>
              <w:keepLines/>
              <w:jc w:val="center"/>
              <w:rPr>
                <w:rFonts w:hAnsi="Times New Roman" w:cs="Times New Roman"/>
                <w:b/>
                <w:sz w:val="20"/>
                <w:szCs w:val="20"/>
                <w:u w:val="single"/>
              </w:rPr>
            </w:pPr>
            <w:r w:rsidRPr="002F6AE7">
              <w:rPr>
                <w:rFonts w:hAnsi="Times New Roman" w:cs="Times New Roman"/>
                <w:b/>
                <w:sz w:val="20"/>
                <w:szCs w:val="20"/>
                <w:u w:val="single"/>
              </w:rPr>
              <w:t>Average wages + overhead</w:t>
            </w:r>
          </w:p>
        </w:tc>
        <w:tc>
          <w:tcPr>
            <w:tcW w:w="1170" w:type="dxa"/>
            <w:vAlign w:val="bottom"/>
          </w:tcPr>
          <w:p w:rsidR="00B91D86" w:rsidRPr="002F6AE7" w:rsidRDefault="00B91D86" w:rsidP="00B91D86">
            <w:pPr>
              <w:pStyle w:val="Body"/>
              <w:keepLines/>
              <w:rPr>
                <w:rFonts w:hAnsi="Times New Roman" w:cs="Times New Roman"/>
                <w:b/>
                <w:sz w:val="20"/>
                <w:szCs w:val="20"/>
                <w:u w:val="single"/>
              </w:rPr>
            </w:pPr>
            <w:r w:rsidRPr="002F6AE7">
              <w:rPr>
                <w:rFonts w:hAnsi="Times New Roman" w:cs="Times New Roman"/>
                <w:b/>
                <w:sz w:val="20"/>
                <w:szCs w:val="20"/>
                <w:u w:val="single"/>
              </w:rPr>
              <w:t>Estimated cost to the public</w:t>
            </w:r>
          </w:p>
        </w:tc>
      </w:tr>
      <w:tr w:rsidR="00B91D86" w:rsidRPr="005C0F77" w:rsidTr="0016151F">
        <w:trPr>
          <w:trHeight w:val="736"/>
        </w:trPr>
        <w:tc>
          <w:tcPr>
            <w:tcW w:w="13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867E20" w:rsidP="0016151F">
            <w:pPr>
              <w:pStyle w:val="Body"/>
              <w:keepLines/>
              <w:jc w:val="center"/>
              <w:rPr>
                <w:rFonts w:hAnsi="Times New Roman" w:cs="Times New Roman"/>
                <w:sz w:val="20"/>
                <w:szCs w:val="20"/>
              </w:rPr>
            </w:pPr>
            <w:r>
              <w:rPr>
                <w:rFonts w:hAnsi="Times New Roman" w:cs="Times New Roman"/>
                <w:sz w:val="20"/>
                <w:szCs w:val="20"/>
              </w:rPr>
              <w:t>123</w:t>
            </w:r>
          </w:p>
        </w:tc>
        <w:tc>
          <w:tcPr>
            <w:tcW w:w="22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B91D86" w:rsidRPr="002F6AE7" w:rsidRDefault="00B91D86" w:rsidP="0016151F">
            <w:pPr>
              <w:pStyle w:val="Body"/>
              <w:keepLines/>
              <w:jc w:val="center"/>
              <w:rPr>
                <w:rFonts w:hAnsi="Times New Roman" w:cs="Times New Roman"/>
                <w:sz w:val="20"/>
                <w:szCs w:val="20"/>
              </w:rPr>
            </w:pPr>
            <w:r>
              <w:rPr>
                <w:rFonts w:hAnsi="Times New Roman" w:cs="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867E20" w:rsidP="0016151F">
            <w:pPr>
              <w:pStyle w:val="Body"/>
              <w:keepLines/>
              <w:jc w:val="center"/>
              <w:rPr>
                <w:rFonts w:hAnsi="Times New Roman" w:cs="Times New Roman"/>
                <w:sz w:val="20"/>
                <w:szCs w:val="20"/>
              </w:rPr>
            </w:pPr>
            <w:r>
              <w:rPr>
                <w:rFonts w:hAnsi="Times New Roman" w:cs="Times New Roman"/>
                <w:sz w:val="20"/>
                <w:szCs w:val="20"/>
              </w:rPr>
              <w:t>492</w:t>
            </w:r>
          </w:p>
        </w:tc>
        <w:tc>
          <w:tcPr>
            <w:tcW w:w="117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867E20" w:rsidP="0016151F">
            <w:pPr>
              <w:pStyle w:val="Body"/>
              <w:keepLines/>
              <w:jc w:val="center"/>
              <w:rPr>
                <w:rFonts w:hAnsi="Times New Roman" w:cs="Times New Roman"/>
                <w:sz w:val="20"/>
                <w:szCs w:val="20"/>
              </w:rPr>
            </w:pPr>
            <w:r>
              <w:rPr>
                <w:rFonts w:hAnsi="Times New Roman" w:cs="Times New Roman"/>
                <w:sz w:val="20"/>
                <w:szCs w:val="20"/>
              </w:rPr>
              <w:t>16</w:t>
            </w:r>
          </w:p>
        </w:tc>
        <w:tc>
          <w:tcPr>
            <w:tcW w:w="117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867E20" w:rsidP="0016151F">
            <w:pPr>
              <w:pStyle w:val="Body"/>
              <w:keepLines/>
              <w:jc w:val="center"/>
              <w:rPr>
                <w:rFonts w:hAnsi="Times New Roman" w:cs="Times New Roman"/>
                <w:sz w:val="20"/>
                <w:szCs w:val="20"/>
              </w:rPr>
            </w:pPr>
            <w:r>
              <w:rPr>
                <w:rFonts w:hAnsi="Times New Roman" w:cs="Times New Roman"/>
                <w:sz w:val="20"/>
                <w:szCs w:val="20"/>
              </w:rPr>
              <w:t>7,872</w:t>
            </w:r>
          </w:p>
        </w:tc>
        <w:tc>
          <w:tcPr>
            <w:tcW w:w="117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B91D86" w:rsidRPr="002F6AE7" w:rsidRDefault="00B91D86" w:rsidP="0016151F">
            <w:pPr>
              <w:pStyle w:val="Body"/>
              <w:keepLines/>
              <w:jc w:val="center"/>
              <w:rPr>
                <w:rFonts w:hAnsi="Times New Roman" w:cs="Times New Roman"/>
                <w:sz w:val="20"/>
                <w:szCs w:val="20"/>
              </w:rPr>
            </w:pPr>
            <w:r>
              <w:rPr>
                <w:rFonts w:hAnsi="Times New Roman" w:cs="Times New Roman"/>
                <w:sz w:val="20"/>
                <w:szCs w:val="20"/>
              </w:rPr>
              <w:t>$60.00*</w:t>
            </w:r>
          </w:p>
        </w:tc>
        <w:tc>
          <w:tcPr>
            <w:tcW w:w="1170" w:type="dxa"/>
            <w:vAlign w:val="center"/>
          </w:tcPr>
          <w:p w:rsidR="00B91D86" w:rsidRPr="002F6AE7" w:rsidRDefault="00B91D86" w:rsidP="00867E20">
            <w:pPr>
              <w:pStyle w:val="Body"/>
              <w:keepLines/>
              <w:jc w:val="center"/>
              <w:rPr>
                <w:rFonts w:hAnsi="Times New Roman" w:cs="Times New Roman"/>
                <w:sz w:val="20"/>
                <w:szCs w:val="20"/>
              </w:rPr>
            </w:pPr>
            <w:r>
              <w:rPr>
                <w:rFonts w:hAnsi="Times New Roman" w:cs="Times New Roman"/>
                <w:sz w:val="20"/>
                <w:szCs w:val="20"/>
              </w:rPr>
              <w:t>$</w:t>
            </w:r>
            <w:r w:rsidR="00867E20">
              <w:rPr>
                <w:rFonts w:hAnsi="Times New Roman" w:cs="Times New Roman"/>
                <w:sz w:val="20"/>
                <w:szCs w:val="20"/>
              </w:rPr>
              <w:t>472,320</w:t>
            </w:r>
          </w:p>
        </w:tc>
      </w:tr>
    </w:tbl>
    <w:p w:rsidR="00F87E44" w:rsidRDefault="009B1A1C" w:rsidP="00F87E44">
      <w:pPr>
        <w:tabs>
          <w:tab w:val="left" w:leader="dot" w:pos="7740"/>
          <w:tab w:val="right" w:pos="9270"/>
        </w:tabs>
      </w:pPr>
      <w:r w:rsidRPr="00C843E6">
        <w:t xml:space="preserve">* </w:t>
      </w:r>
      <w:r w:rsidR="00F87E44">
        <w:t xml:space="preserve">Means </w:t>
      </w:r>
      <w:r w:rsidR="00F87E44" w:rsidRPr="00C843E6">
        <w:t xml:space="preserve">estimated </w:t>
      </w:r>
      <w:r w:rsidR="00F87E44">
        <w:t xml:space="preserve">hourly wage according to </w:t>
      </w:r>
      <w:r w:rsidR="00F87E44" w:rsidRPr="00C843E6">
        <w:t>the OPM salary table for calendar year 201</w:t>
      </w:r>
      <w:r w:rsidR="00F87E44">
        <w:t xml:space="preserve">5, </w:t>
      </w:r>
      <w:r w:rsidR="00F87E44" w:rsidRPr="00C843E6">
        <w:t>GS-1</w:t>
      </w:r>
      <w:r w:rsidR="00F87E44">
        <w:t>3, Step-4 (or equivalent), or $43.99</w:t>
      </w:r>
      <w:r w:rsidR="00F87E44" w:rsidRPr="00C843E6">
        <w:t xml:space="preserve"> per hour, plus 36.</w:t>
      </w:r>
      <w:r w:rsidR="00F87E44">
        <w:t>25</w:t>
      </w:r>
      <w:r w:rsidR="00F87E44" w:rsidRPr="00C843E6">
        <w:t xml:space="preserve"> percent </w:t>
      </w:r>
      <w:r w:rsidR="00F87E44">
        <w:t xml:space="preserve">(15.95) </w:t>
      </w:r>
      <w:r w:rsidR="00F87E44" w:rsidRPr="00C843E6">
        <w:t>overhead burden</w:t>
      </w:r>
      <w:r w:rsidR="00F87E44">
        <w:t>,</w:t>
      </w:r>
      <w:r w:rsidR="00F87E44" w:rsidRPr="00C843E6">
        <w:t xml:space="preserve"> and rounded to the nearest whole dollar, or $</w:t>
      </w:r>
      <w:r w:rsidR="00F87E44">
        <w:t>60.</w:t>
      </w:r>
      <w:r w:rsidR="00F87E44" w:rsidRPr="00C843E6">
        <w:t>00.</w:t>
      </w:r>
      <w:r w:rsidR="00F87E44">
        <w:t xml:space="preserve"> </w:t>
      </w:r>
    </w:p>
    <w:p w:rsidR="00E83353" w:rsidRDefault="00E83353" w:rsidP="00E83353">
      <w:pPr>
        <w:tabs>
          <w:tab w:val="left" w:leader="dot" w:pos="7740"/>
          <w:tab w:val="right" w:pos="9270"/>
        </w:tabs>
      </w:pPr>
    </w:p>
    <w:p w:rsidR="000B06CF" w:rsidRDefault="000B06CF" w:rsidP="0091272C">
      <w:pPr>
        <w:rPr>
          <w:b/>
          <w:color w:val="000000"/>
        </w:rPr>
      </w:pPr>
      <w:r>
        <w:rPr>
          <w:b/>
          <w:color w:val="000000"/>
        </w:rPr>
        <w:t>13.</w:t>
      </w:r>
      <w:r>
        <w:rPr>
          <w:color w:val="000000"/>
        </w:rPr>
        <w:t xml:space="preserve">  </w:t>
      </w:r>
      <w:r w:rsidR="00437145" w:rsidRPr="000B06CF">
        <w:rPr>
          <w:b/>
          <w:color w:val="000000"/>
        </w:rPr>
        <w:t>Total</w:t>
      </w:r>
      <w:r w:rsidRPr="000B06CF">
        <w:rPr>
          <w:b/>
          <w:color w:val="000000"/>
        </w:rPr>
        <w:t xml:space="preserve"> capital and start-up cost</w:t>
      </w:r>
      <w:r>
        <w:rPr>
          <w:b/>
          <w:color w:val="000000"/>
        </w:rPr>
        <w:t>.</w:t>
      </w:r>
    </w:p>
    <w:p w:rsidR="000B06CF" w:rsidRPr="00437145" w:rsidRDefault="00437145" w:rsidP="0091272C">
      <w:pPr>
        <w:rPr>
          <w:color w:val="000000"/>
        </w:rPr>
      </w:pPr>
      <w:r w:rsidRPr="00437145">
        <w:rPr>
          <w:color w:val="000000"/>
        </w:rPr>
        <w:t>There are no capital/start-up or ongoing operation/maintenance costs associated wi</w:t>
      </w:r>
      <w:r>
        <w:rPr>
          <w:color w:val="000000"/>
        </w:rPr>
        <w:t>th this information collection.</w:t>
      </w:r>
    </w:p>
    <w:p w:rsidR="00437145" w:rsidRDefault="00437145" w:rsidP="0091272C">
      <w:pPr>
        <w:rPr>
          <w:b/>
        </w:rPr>
      </w:pPr>
    </w:p>
    <w:p w:rsidR="00437145" w:rsidRDefault="0091272C" w:rsidP="0091272C">
      <w:r w:rsidRPr="0091272C">
        <w:rPr>
          <w:b/>
        </w:rPr>
        <w:t>14.</w:t>
      </w:r>
      <w:r w:rsidRPr="0091272C">
        <w:t xml:space="preserve">  </w:t>
      </w:r>
      <w:r w:rsidRPr="0091272C">
        <w:rPr>
          <w:b/>
        </w:rPr>
        <w:t>Estimated cost to the Government</w:t>
      </w:r>
      <w:r w:rsidRPr="0091272C">
        <w:t xml:space="preserve">.  </w:t>
      </w:r>
    </w:p>
    <w:p w:rsidR="009750D3" w:rsidRDefault="000E279C" w:rsidP="0016151F">
      <w:r>
        <w:rPr>
          <w:lang w:val="en"/>
        </w:rPr>
        <w:t xml:space="preserve">The </w:t>
      </w:r>
      <w:r w:rsidRPr="009E7EBA">
        <w:t xml:space="preserve">Government’s burden associated with </w:t>
      </w:r>
      <w:r>
        <w:t xml:space="preserve">the </w:t>
      </w:r>
      <w:r>
        <w:rPr>
          <w:lang w:val="en"/>
        </w:rPr>
        <w:t xml:space="preserve">clause at </w:t>
      </w:r>
      <w:r w:rsidRPr="000B18CA">
        <w:t xml:space="preserve">3052.204-7X </w:t>
      </w:r>
      <w:r w:rsidR="00E756F8">
        <w:rPr>
          <w:lang w:val="en"/>
        </w:rPr>
        <w:t xml:space="preserve">is </w:t>
      </w:r>
      <w:r>
        <w:rPr>
          <w:lang w:val="en"/>
        </w:rPr>
        <w:t xml:space="preserve">minimal if </w:t>
      </w:r>
      <w:r w:rsidR="00E756F8">
        <w:t xml:space="preserve">an </w:t>
      </w:r>
      <w:r>
        <w:t xml:space="preserve">ATO is </w:t>
      </w:r>
      <w:r w:rsidR="00E756F8">
        <w:t xml:space="preserve">not </w:t>
      </w:r>
      <w:r>
        <w:t>required</w:t>
      </w:r>
      <w:r w:rsidR="0016151F">
        <w:t xml:space="preserve">.  Government burden </w:t>
      </w:r>
      <w:r w:rsidR="00E756F8" w:rsidRPr="009E7EBA">
        <w:t xml:space="preserve">would be limited to receipt, review, and action </w:t>
      </w:r>
      <w:r w:rsidR="00E756F8" w:rsidRPr="009E7EBA">
        <w:lastRenderedPageBreak/>
        <w:t xml:space="preserve">taken </w:t>
      </w:r>
      <w:r w:rsidR="0016151F">
        <w:t xml:space="preserve">from </w:t>
      </w:r>
      <w:r w:rsidR="0016151F" w:rsidRPr="004D1D4D">
        <w:t>Incident Reporting</w:t>
      </w:r>
      <w:r w:rsidR="0016151F">
        <w:t xml:space="preserve">, Incident Response activities, PII and SPII Notification requirements, Credit Monitoring, and receipt of </w:t>
      </w:r>
      <w:r w:rsidR="0016151F" w:rsidRPr="004D1D4D">
        <w:t>Certification of Sanitization of Government and Government-Activity-Related Files and Information</w:t>
      </w:r>
      <w:r w:rsidR="0016151F">
        <w:t xml:space="preserve">.  </w:t>
      </w:r>
      <w:r w:rsidR="009750D3" w:rsidRPr="009750D3">
        <w:t xml:space="preserve">Time required for review is </w:t>
      </w:r>
      <w:r w:rsidR="0067185F">
        <w:t>averaged as follows:</w:t>
      </w:r>
      <w:r w:rsidR="009750D3" w:rsidRPr="009750D3">
        <w:t xml:space="preserve">  </w:t>
      </w:r>
    </w:p>
    <w:p w:rsidR="005A251A" w:rsidRDefault="005A251A" w:rsidP="00FC3121"/>
    <w:tbl>
      <w:tblPr>
        <w:tblpPr w:leftFromText="180" w:rightFromText="180" w:vertAnchor="text" w:horzAnchor="margin" w:tblpY="148"/>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503"/>
        <w:gridCol w:w="1530"/>
        <w:gridCol w:w="1350"/>
        <w:gridCol w:w="1350"/>
        <w:gridCol w:w="1440"/>
      </w:tblGrid>
      <w:tr w:rsidR="000B03F8" w:rsidTr="0082799E">
        <w:trPr>
          <w:trHeight w:val="263"/>
        </w:trPr>
        <w:tc>
          <w:tcPr>
            <w:tcW w:w="9440" w:type="dxa"/>
            <w:gridSpan w:val="6"/>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Default="000B03F8" w:rsidP="00751528">
            <w:pPr>
              <w:pStyle w:val="Body"/>
              <w:keepLines/>
              <w:jc w:val="center"/>
              <w:rPr>
                <w:rFonts w:ascii="Courier New" w:hAnsi="Courier New" w:cs="Courier New"/>
              </w:rPr>
            </w:pPr>
            <w:r w:rsidRPr="00B91D86">
              <w:rPr>
                <w:b/>
                <w:u w:val="single"/>
              </w:rPr>
              <w:t>3052.204-7X, Safeguarding of Sensitive Information</w:t>
            </w:r>
            <w:r w:rsidR="009845BD" w:rsidRPr="00B91D86">
              <w:rPr>
                <w:b/>
                <w:u w:val="single"/>
              </w:rPr>
              <w:t xml:space="preserve"> </w:t>
            </w:r>
            <w:r w:rsidR="009845BD" w:rsidRPr="00B91D86">
              <w:rPr>
                <w:b/>
                <w:u w:val="single"/>
              </w:rPr>
              <w:t>–</w:t>
            </w:r>
            <w:r w:rsidR="009845BD">
              <w:rPr>
                <w:u w:val="single"/>
              </w:rPr>
              <w:t xml:space="preserve"> </w:t>
            </w:r>
            <w:r w:rsidR="00B91D86">
              <w:rPr>
                <w:b/>
                <w:u w:val="single"/>
              </w:rPr>
              <w:t xml:space="preserve"> No ATO Required</w:t>
            </w:r>
          </w:p>
        </w:tc>
      </w:tr>
      <w:tr w:rsidR="000B03F8" w:rsidTr="0082799E">
        <w:trPr>
          <w:trHeight w:val="721"/>
        </w:trPr>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Estimated Cost To Government</w:t>
            </w:r>
          </w:p>
        </w:tc>
        <w:tc>
          <w:tcPr>
            <w:tcW w:w="150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Annual Responses</w:t>
            </w:r>
          </w:p>
        </w:tc>
        <w:tc>
          <w:tcPr>
            <w:tcW w:w="15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Review Time Per Response</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Estimated Burden Hours</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Average Wage + Overhead</w:t>
            </w:r>
          </w:p>
        </w:tc>
        <w:tc>
          <w:tcPr>
            <w:tcW w:w="14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rPr>
                <w:rFonts w:hAnsi="Times New Roman" w:cs="Times New Roman"/>
                <w:b/>
                <w:sz w:val="21"/>
                <w:szCs w:val="21"/>
                <w:u w:val="single"/>
              </w:rPr>
            </w:pPr>
            <w:r w:rsidRPr="005C0F77">
              <w:rPr>
                <w:rFonts w:hAnsi="Times New Roman" w:cs="Times New Roman"/>
                <w:b/>
                <w:sz w:val="21"/>
                <w:szCs w:val="21"/>
                <w:u w:val="single"/>
              </w:rPr>
              <w:t>Total Cost to Government</w:t>
            </w:r>
          </w:p>
        </w:tc>
      </w:tr>
      <w:tr w:rsidR="000B03F8" w:rsidRPr="005C0F77" w:rsidTr="0016151F">
        <w:trPr>
          <w:trHeight w:val="721"/>
        </w:trPr>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0B03F8" w:rsidRPr="005C0F77" w:rsidRDefault="009845BD" w:rsidP="0016151F">
            <w:pPr>
              <w:pStyle w:val="Body"/>
              <w:keepLines/>
              <w:rPr>
                <w:rFonts w:hAnsi="Times New Roman" w:cs="Times New Roman"/>
                <w:sz w:val="21"/>
                <w:szCs w:val="21"/>
              </w:rPr>
            </w:pPr>
            <w:r w:rsidRPr="006A6037">
              <w:rPr>
                <w:rFonts w:eastAsia="Calibri"/>
                <w:b/>
                <w:spacing w:val="-1"/>
                <w:sz w:val="21"/>
                <w:szCs w:val="21"/>
              </w:rPr>
              <w:t>Gov</w:t>
            </w:r>
            <w:r w:rsidRPr="006A6037">
              <w:rPr>
                <w:rFonts w:eastAsia="Calibri"/>
                <w:b/>
                <w:spacing w:val="-1"/>
                <w:sz w:val="21"/>
                <w:szCs w:val="21"/>
              </w:rPr>
              <w:t>’</w:t>
            </w:r>
            <w:r w:rsidRPr="006A6037">
              <w:rPr>
                <w:rFonts w:eastAsia="Calibri"/>
                <w:b/>
                <w:spacing w:val="-1"/>
                <w:sz w:val="21"/>
                <w:szCs w:val="21"/>
              </w:rPr>
              <w:t>t burden -</w:t>
            </w:r>
            <w:r>
              <w:rPr>
                <w:rFonts w:eastAsia="Calibri"/>
                <w:spacing w:val="-1"/>
                <w:sz w:val="21"/>
                <w:szCs w:val="21"/>
              </w:rPr>
              <w:t xml:space="preserve"> </w:t>
            </w:r>
            <w:r w:rsidRPr="009845BD">
              <w:rPr>
                <w:rFonts w:eastAsia="Calibri"/>
                <w:b/>
                <w:spacing w:val="-1"/>
                <w:sz w:val="21"/>
                <w:szCs w:val="21"/>
              </w:rPr>
              <w:t>N</w:t>
            </w:r>
            <w:r w:rsidRPr="009845BD">
              <w:rPr>
                <w:rFonts w:hAnsi="Times New Roman" w:cs="Times New Roman"/>
                <w:b/>
                <w:bCs/>
                <w:sz w:val="21"/>
                <w:szCs w:val="21"/>
              </w:rPr>
              <w:t>o ATO R</w:t>
            </w:r>
            <w:r w:rsidR="000B03F8" w:rsidRPr="009845BD">
              <w:rPr>
                <w:rFonts w:hAnsi="Times New Roman" w:cs="Times New Roman"/>
                <w:b/>
                <w:bCs/>
                <w:sz w:val="21"/>
                <w:szCs w:val="21"/>
              </w:rPr>
              <w:t>equirement.</w:t>
            </w:r>
          </w:p>
        </w:tc>
        <w:tc>
          <w:tcPr>
            <w:tcW w:w="150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0B03F8" w:rsidRPr="005C0F77" w:rsidRDefault="00990B65" w:rsidP="0016151F">
            <w:pPr>
              <w:pStyle w:val="Body"/>
              <w:keepLines/>
              <w:jc w:val="center"/>
              <w:rPr>
                <w:rFonts w:hAnsi="Times New Roman" w:cs="Times New Roman"/>
                <w:sz w:val="21"/>
                <w:szCs w:val="21"/>
              </w:rPr>
            </w:pPr>
            <w:r>
              <w:rPr>
                <w:rFonts w:hAnsi="Times New Roman" w:cs="Times New Roman"/>
                <w:sz w:val="21"/>
                <w:szCs w:val="21"/>
              </w:rPr>
              <w:t>2</w:t>
            </w:r>
          </w:p>
        </w:tc>
        <w:tc>
          <w:tcPr>
            <w:tcW w:w="15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0B03F8" w:rsidRPr="005C0F77" w:rsidRDefault="00990B65" w:rsidP="0016151F">
            <w:pPr>
              <w:pStyle w:val="Body"/>
              <w:keepLines/>
              <w:jc w:val="center"/>
              <w:rPr>
                <w:rFonts w:hAnsi="Times New Roman" w:cs="Times New Roman"/>
                <w:sz w:val="21"/>
                <w:szCs w:val="21"/>
              </w:rPr>
            </w:pPr>
            <w:r>
              <w:rPr>
                <w:rFonts w:hAnsi="Times New Roman" w:cs="Times New Roman"/>
                <w:sz w:val="21"/>
                <w:szCs w:val="21"/>
              </w:rPr>
              <w:t>6</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0B03F8" w:rsidRPr="005C0F77" w:rsidRDefault="00990B65" w:rsidP="0016151F">
            <w:pPr>
              <w:pStyle w:val="Body"/>
              <w:keepLines/>
              <w:jc w:val="center"/>
              <w:rPr>
                <w:rFonts w:hAnsi="Times New Roman" w:cs="Times New Roman"/>
                <w:sz w:val="21"/>
                <w:szCs w:val="21"/>
              </w:rPr>
            </w:pPr>
            <w:r>
              <w:rPr>
                <w:rFonts w:hAnsi="Times New Roman" w:cs="Times New Roman"/>
                <w:sz w:val="21"/>
                <w:szCs w:val="21"/>
              </w:rPr>
              <w:t>12</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0B03F8" w:rsidRPr="005C0F77" w:rsidRDefault="000B03F8" w:rsidP="0016151F">
            <w:pPr>
              <w:pStyle w:val="Body"/>
              <w:keepLines/>
              <w:jc w:val="center"/>
              <w:rPr>
                <w:rFonts w:hAnsi="Times New Roman" w:cs="Times New Roman"/>
                <w:sz w:val="21"/>
                <w:szCs w:val="21"/>
              </w:rPr>
            </w:pPr>
            <w:r w:rsidRPr="005C0F77">
              <w:rPr>
                <w:rFonts w:hAnsi="Times New Roman" w:cs="Times New Roman"/>
                <w:sz w:val="21"/>
                <w:szCs w:val="21"/>
              </w:rPr>
              <w:t>$60</w:t>
            </w:r>
            <w:r>
              <w:rPr>
                <w:rFonts w:hAnsi="Times New Roman" w:cs="Times New Roman"/>
                <w:sz w:val="21"/>
                <w:szCs w:val="21"/>
              </w:rPr>
              <w:t>.00</w:t>
            </w:r>
            <w:r w:rsidR="00B91D86">
              <w:rPr>
                <w:rFonts w:hAnsi="Times New Roman" w:cs="Times New Roman"/>
                <w:sz w:val="21"/>
                <w:szCs w:val="21"/>
              </w:rPr>
              <w:t>*</w:t>
            </w:r>
          </w:p>
        </w:tc>
        <w:tc>
          <w:tcPr>
            <w:tcW w:w="14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0B03F8" w:rsidRPr="005C0F77" w:rsidRDefault="000B03F8" w:rsidP="0016151F">
            <w:pPr>
              <w:pStyle w:val="Body"/>
              <w:keepLines/>
              <w:jc w:val="center"/>
              <w:rPr>
                <w:rFonts w:hAnsi="Times New Roman" w:cs="Times New Roman"/>
                <w:sz w:val="21"/>
                <w:szCs w:val="21"/>
              </w:rPr>
            </w:pPr>
            <w:r w:rsidRPr="005C0F77">
              <w:rPr>
                <w:sz w:val="21"/>
                <w:szCs w:val="21"/>
              </w:rPr>
              <w:t>$</w:t>
            </w:r>
            <w:r w:rsidR="00990B65">
              <w:rPr>
                <w:sz w:val="21"/>
                <w:szCs w:val="21"/>
              </w:rPr>
              <w:t>720</w:t>
            </w:r>
            <w:r w:rsidRPr="005C0F77">
              <w:rPr>
                <w:sz w:val="21"/>
                <w:szCs w:val="21"/>
              </w:rPr>
              <w:t>.00</w:t>
            </w:r>
          </w:p>
        </w:tc>
      </w:tr>
    </w:tbl>
    <w:p w:rsidR="009845BD" w:rsidRDefault="009845BD" w:rsidP="00E04ED1">
      <w:pPr>
        <w:rPr>
          <w:rFonts w:eastAsia="Calibri"/>
          <w:spacing w:val="-1"/>
        </w:rPr>
      </w:pPr>
    </w:p>
    <w:p w:rsidR="009845BD" w:rsidRDefault="009845BD" w:rsidP="009845BD">
      <w:r w:rsidRPr="009E7EBA">
        <w:t xml:space="preserve">The Government’s burden associated with </w:t>
      </w:r>
      <w:r>
        <w:t xml:space="preserve">the </w:t>
      </w:r>
      <w:r w:rsidRPr="003813EB">
        <w:t>Safeguarding of Sensitive Information</w:t>
      </w:r>
      <w:r>
        <w:t xml:space="preserve"> clause when an ATO is required </w:t>
      </w:r>
      <w:r w:rsidRPr="009E7EBA">
        <w:t>would be limited to receipt, review</w:t>
      </w:r>
      <w:r w:rsidR="00734FF1">
        <w:t xml:space="preserve"> and acceptance of </w:t>
      </w:r>
      <w:r w:rsidRPr="009E7EBA">
        <w:t xml:space="preserve"> </w:t>
      </w:r>
      <w:r w:rsidR="00393F5C">
        <w:t xml:space="preserve">the SA </w:t>
      </w:r>
      <w:r w:rsidR="00E756F8">
        <w:t>d</w:t>
      </w:r>
      <w:r>
        <w:t>ocumentation</w:t>
      </w:r>
      <w:r w:rsidR="00734FF1">
        <w:rPr>
          <w:rFonts w:eastAsia="Calibri"/>
          <w:spacing w:val="1"/>
        </w:rPr>
        <w:t>,</w:t>
      </w:r>
      <w:r>
        <w:rPr>
          <w:rFonts w:eastAsia="Calibri"/>
          <w:spacing w:val="1"/>
        </w:rPr>
        <w:t xml:space="preserve"> </w:t>
      </w:r>
      <w:r w:rsidR="00E756F8">
        <w:rPr>
          <w:rFonts w:eastAsia="Calibri"/>
          <w:spacing w:val="1"/>
        </w:rPr>
        <w:t xml:space="preserve">Independent Assessment, Renewal </w:t>
      </w:r>
      <w:r w:rsidR="0016151F" w:rsidRPr="00061770">
        <w:rPr>
          <w:lang w:val="en"/>
        </w:rPr>
        <w:t xml:space="preserve">of </w:t>
      </w:r>
      <w:r w:rsidR="00E756F8">
        <w:rPr>
          <w:lang w:val="en"/>
        </w:rPr>
        <w:t xml:space="preserve">the </w:t>
      </w:r>
      <w:r w:rsidR="0016151F" w:rsidRPr="00061770">
        <w:rPr>
          <w:lang w:val="en"/>
        </w:rPr>
        <w:t>ATO</w:t>
      </w:r>
      <w:r w:rsidR="00734FF1">
        <w:t>,</w:t>
      </w:r>
      <w:r w:rsidR="0016151F" w:rsidRPr="004D1D4D">
        <w:t xml:space="preserve"> </w:t>
      </w:r>
      <w:r w:rsidR="00E756F8">
        <w:t>Federal Reporting and Continuous Monitoring Requirements</w:t>
      </w:r>
      <w:r w:rsidR="00734FF1">
        <w:t>,</w:t>
      </w:r>
      <w:r w:rsidR="00E756F8">
        <w:t xml:space="preserve"> </w:t>
      </w:r>
      <w:r w:rsidR="0016151F" w:rsidRPr="004D1D4D">
        <w:t xml:space="preserve">Incident Reporting </w:t>
      </w:r>
      <w:r w:rsidR="0016151F">
        <w:t>r</w:t>
      </w:r>
      <w:r w:rsidR="0016151F" w:rsidRPr="004D1D4D">
        <w:t>equirements</w:t>
      </w:r>
      <w:r w:rsidR="00734FF1">
        <w:t>,</w:t>
      </w:r>
      <w:r w:rsidR="0016151F">
        <w:t xml:space="preserve"> Incident Response activities</w:t>
      </w:r>
      <w:r w:rsidR="00734FF1">
        <w:t>,</w:t>
      </w:r>
      <w:r w:rsidR="0016151F">
        <w:t xml:space="preserve"> PII and SPII Notification requirements</w:t>
      </w:r>
      <w:r w:rsidR="00734FF1">
        <w:t>,</w:t>
      </w:r>
      <w:r w:rsidR="0016151F">
        <w:t xml:space="preserve"> Credit Monitoring and </w:t>
      </w:r>
      <w:r>
        <w:t xml:space="preserve">receipt of </w:t>
      </w:r>
      <w:r w:rsidRPr="004D1D4D">
        <w:t>Certification of Sanitization of Government and Government-Activity-Related Files and Information</w:t>
      </w:r>
      <w:r>
        <w:t xml:space="preserve">.  </w:t>
      </w:r>
    </w:p>
    <w:p w:rsidR="0082799E" w:rsidRDefault="0082799E" w:rsidP="000B03F8"/>
    <w:tbl>
      <w:tblPr>
        <w:tblpPr w:leftFromText="180" w:rightFromText="180" w:vertAnchor="text" w:horzAnchor="margin" w:tblpY="148"/>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503"/>
        <w:gridCol w:w="1530"/>
        <w:gridCol w:w="1350"/>
        <w:gridCol w:w="1350"/>
        <w:gridCol w:w="1440"/>
      </w:tblGrid>
      <w:tr w:rsidR="000B03F8" w:rsidTr="0082799E">
        <w:trPr>
          <w:trHeight w:val="263"/>
        </w:trPr>
        <w:tc>
          <w:tcPr>
            <w:tcW w:w="9440" w:type="dxa"/>
            <w:gridSpan w:val="6"/>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Default="000B03F8" w:rsidP="00B91D86">
            <w:pPr>
              <w:pStyle w:val="Body"/>
              <w:keepLines/>
              <w:jc w:val="center"/>
              <w:rPr>
                <w:rFonts w:ascii="Courier New" w:hAnsi="Courier New" w:cs="Courier New"/>
              </w:rPr>
            </w:pPr>
            <w:r w:rsidRPr="00B91D86">
              <w:rPr>
                <w:b/>
                <w:u w:val="single"/>
              </w:rPr>
              <w:t>3052.204-7X, Safeguarding of Sensitive Information</w:t>
            </w:r>
            <w:r w:rsidR="009845BD" w:rsidRPr="00B91D86">
              <w:rPr>
                <w:b/>
                <w:u w:val="single"/>
              </w:rPr>
              <w:t xml:space="preserve"> -</w:t>
            </w:r>
            <w:r w:rsidR="00B91D86" w:rsidRPr="00B91D86">
              <w:rPr>
                <w:b/>
                <w:u w:val="single"/>
              </w:rPr>
              <w:t xml:space="preserve"> ATO</w:t>
            </w:r>
            <w:r w:rsidR="00B91D86">
              <w:rPr>
                <w:b/>
                <w:u w:val="single"/>
              </w:rPr>
              <w:t xml:space="preserve"> Required</w:t>
            </w:r>
          </w:p>
        </w:tc>
      </w:tr>
      <w:tr w:rsidR="000B03F8" w:rsidTr="0082799E">
        <w:trPr>
          <w:trHeight w:val="721"/>
        </w:trPr>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Estimated Cost To Government</w:t>
            </w:r>
          </w:p>
        </w:tc>
        <w:tc>
          <w:tcPr>
            <w:tcW w:w="150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Annual Responses</w:t>
            </w:r>
          </w:p>
        </w:tc>
        <w:tc>
          <w:tcPr>
            <w:tcW w:w="15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Review Time Per Response</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Estimated Burden Hours</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Average Wage + Overhead</w:t>
            </w:r>
          </w:p>
        </w:tc>
        <w:tc>
          <w:tcPr>
            <w:tcW w:w="14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0B03F8" w:rsidRPr="005C0F77" w:rsidRDefault="000B03F8" w:rsidP="00751528">
            <w:pPr>
              <w:pStyle w:val="Body"/>
              <w:keepLines/>
              <w:rPr>
                <w:rFonts w:hAnsi="Times New Roman" w:cs="Times New Roman"/>
                <w:b/>
                <w:sz w:val="21"/>
                <w:szCs w:val="21"/>
                <w:u w:val="single"/>
              </w:rPr>
            </w:pPr>
            <w:r w:rsidRPr="005C0F77">
              <w:rPr>
                <w:rFonts w:hAnsi="Times New Roman" w:cs="Times New Roman"/>
                <w:b/>
                <w:sz w:val="21"/>
                <w:szCs w:val="21"/>
                <w:u w:val="single"/>
              </w:rPr>
              <w:t>Total Cost to Government</w:t>
            </w:r>
          </w:p>
        </w:tc>
      </w:tr>
      <w:tr w:rsidR="008B022C" w:rsidRPr="005C0F77" w:rsidTr="00E756F8">
        <w:trPr>
          <w:trHeight w:val="721"/>
        </w:trPr>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9845BD" w:rsidP="0016151F">
            <w:pPr>
              <w:pStyle w:val="Body"/>
              <w:keepLines/>
              <w:rPr>
                <w:rFonts w:hAnsi="Times New Roman" w:cs="Times New Roman"/>
                <w:sz w:val="21"/>
                <w:szCs w:val="21"/>
              </w:rPr>
            </w:pPr>
            <w:r w:rsidRPr="006A6037">
              <w:rPr>
                <w:rFonts w:eastAsia="Calibri"/>
                <w:b/>
                <w:spacing w:val="-1"/>
                <w:sz w:val="21"/>
                <w:szCs w:val="21"/>
              </w:rPr>
              <w:t>Gov</w:t>
            </w:r>
            <w:r w:rsidRPr="006A6037">
              <w:rPr>
                <w:rFonts w:eastAsia="Calibri"/>
                <w:b/>
                <w:spacing w:val="-1"/>
                <w:sz w:val="21"/>
                <w:szCs w:val="21"/>
              </w:rPr>
              <w:t>’</w:t>
            </w:r>
            <w:r w:rsidRPr="006A6037">
              <w:rPr>
                <w:rFonts w:eastAsia="Calibri"/>
                <w:b/>
                <w:spacing w:val="-1"/>
                <w:sz w:val="21"/>
                <w:szCs w:val="21"/>
              </w:rPr>
              <w:t>t burden -</w:t>
            </w:r>
            <w:r>
              <w:rPr>
                <w:rFonts w:eastAsia="Calibri"/>
                <w:spacing w:val="-1"/>
                <w:sz w:val="21"/>
                <w:szCs w:val="21"/>
              </w:rPr>
              <w:t xml:space="preserve"> </w:t>
            </w:r>
            <w:r w:rsidR="008B022C" w:rsidRPr="009845BD">
              <w:rPr>
                <w:rFonts w:hAnsi="Times New Roman" w:cs="Times New Roman"/>
                <w:b/>
                <w:bCs/>
                <w:sz w:val="21"/>
                <w:szCs w:val="21"/>
              </w:rPr>
              <w:t xml:space="preserve">ATO </w:t>
            </w:r>
            <w:r>
              <w:rPr>
                <w:rFonts w:hAnsi="Times New Roman" w:cs="Times New Roman"/>
                <w:b/>
                <w:bCs/>
                <w:sz w:val="21"/>
                <w:szCs w:val="21"/>
              </w:rPr>
              <w:t>R</w:t>
            </w:r>
            <w:r w:rsidR="008B022C" w:rsidRPr="009845BD">
              <w:rPr>
                <w:rFonts w:hAnsi="Times New Roman" w:cs="Times New Roman"/>
                <w:b/>
                <w:bCs/>
                <w:sz w:val="21"/>
                <w:szCs w:val="21"/>
              </w:rPr>
              <w:t>equirement</w:t>
            </w:r>
            <w:r w:rsidRPr="009845BD">
              <w:rPr>
                <w:rFonts w:hAnsi="Times New Roman" w:cs="Times New Roman"/>
                <w:b/>
                <w:bCs/>
                <w:sz w:val="21"/>
                <w:szCs w:val="21"/>
              </w:rPr>
              <w:t>.</w:t>
            </w:r>
          </w:p>
        </w:tc>
        <w:tc>
          <w:tcPr>
            <w:tcW w:w="150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867E20" w:rsidP="0016151F">
            <w:pPr>
              <w:pStyle w:val="Body"/>
              <w:keepLines/>
              <w:jc w:val="center"/>
              <w:rPr>
                <w:rFonts w:hAnsi="Times New Roman" w:cs="Times New Roman"/>
                <w:sz w:val="21"/>
                <w:szCs w:val="21"/>
              </w:rPr>
            </w:pPr>
            <w:r>
              <w:rPr>
                <w:rFonts w:hAnsi="Times New Roman" w:cs="Times New Roman"/>
                <w:sz w:val="21"/>
                <w:szCs w:val="21"/>
              </w:rPr>
              <w:t>121</w:t>
            </w:r>
          </w:p>
        </w:tc>
        <w:tc>
          <w:tcPr>
            <w:tcW w:w="15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990B65" w:rsidP="0016151F">
            <w:pPr>
              <w:pStyle w:val="Body"/>
              <w:keepLines/>
              <w:jc w:val="center"/>
              <w:rPr>
                <w:rFonts w:hAnsi="Times New Roman" w:cs="Times New Roman"/>
                <w:sz w:val="21"/>
                <w:szCs w:val="21"/>
              </w:rPr>
            </w:pPr>
            <w:r>
              <w:rPr>
                <w:rFonts w:hAnsi="Times New Roman" w:cs="Times New Roman"/>
                <w:sz w:val="21"/>
                <w:szCs w:val="21"/>
              </w:rPr>
              <w:t>40</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867E20" w:rsidP="00BD5BC4">
            <w:pPr>
              <w:pStyle w:val="Body"/>
              <w:keepLines/>
              <w:jc w:val="center"/>
              <w:rPr>
                <w:rFonts w:hAnsi="Times New Roman" w:cs="Times New Roman"/>
                <w:sz w:val="21"/>
                <w:szCs w:val="21"/>
              </w:rPr>
            </w:pPr>
            <w:r>
              <w:rPr>
                <w:rFonts w:hAnsi="Times New Roman" w:cs="Times New Roman"/>
                <w:sz w:val="21"/>
                <w:szCs w:val="21"/>
              </w:rPr>
              <w:t>4</w:t>
            </w:r>
            <w:r w:rsidR="008B022C">
              <w:rPr>
                <w:rFonts w:hAnsi="Times New Roman" w:cs="Times New Roman"/>
                <w:sz w:val="21"/>
                <w:szCs w:val="21"/>
              </w:rPr>
              <w:t>,</w:t>
            </w:r>
            <w:r>
              <w:rPr>
                <w:rFonts w:hAnsi="Times New Roman" w:cs="Times New Roman"/>
                <w:sz w:val="21"/>
                <w:szCs w:val="21"/>
              </w:rPr>
              <w:t>8</w:t>
            </w:r>
            <w:r w:rsidR="00BD5BC4">
              <w:rPr>
                <w:rFonts w:hAnsi="Times New Roman" w:cs="Times New Roman"/>
                <w:sz w:val="21"/>
                <w:szCs w:val="21"/>
              </w:rPr>
              <w:t>4</w:t>
            </w:r>
            <w:r>
              <w:rPr>
                <w:rFonts w:hAnsi="Times New Roman" w:cs="Times New Roman"/>
                <w:sz w:val="21"/>
                <w:szCs w:val="21"/>
              </w:rPr>
              <w:t>0</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8B022C" w:rsidP="0016151F">
            <w:pPr>
              <w:pStyle w:val="Body"/>
              <w:keepLines/>
              <w:jc w:val="center"/>
              <w:rPr>
                <w:rFonts w:hAnsi="Times New Roman" w:cs="Times New Roman"/>
                <w:sz w:val="21"/>
                <w:szCs w:val="21"/>
              </w:rPr>
            </w:pPr>
            <w:r>
              <w:rPr>
                <w:rFonts w:hAnsi="Times New Roman" w:cs="Times New Roman"/>
                <w:sz w:val="21"/>
                <w:szCs w:val="21"/>
              </w:rPr>
              <w:t>$60.00</w:t>
            </w:r>
            <w:r w:rsidR="009845BD">
              <w:rPr>
                <w:rFonts w:hAnsi="Times New Roman" w:cs="Times New Roman"/>
                <w:sz w:val="21"/>
                <w:szCs w:val="21"/>
              </w:rPr>
              <w:t>*</w:t>
            </w:r>
          </w:p>
        </w:tc>
        <w:tc>
          <w:tcPr>
            <w:tcW w:w="14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8B022C" w:rsidP="00867E20">
            <w:pPr>
              <w:pStyle w:val="Body"/>
              <w:keepLines/>
              <w:jc w:val="center"/>
              <w:rPr>
                <w:rFonts w:hAnsi="Times New Roman" w:cs="Times New Roman"/>
                <w:sz w:val="21"/>
                <w:szCs w:val="21"/>
              </w:rPr>
            </w:pPr>
            <w:r>
              <w:rPr>
                <w:rFonts w:hAnsi="Times New Roman" w:cs="Times New Roman"/>
                <w:sz w:val="21"/>
                <w:szCs w:val="21"/>
              </w:rPr>
              <w:t>$</w:t>
            </w:r>
            <w:r w:rsidR="00867E20">
              <w:rPr>
                <w:rFonts w:hAnsi="Times New Roman" w:cs="Times New Roman"/>
                <w:sz w:val="21"/>
                <w:szCs w:val="21"/>
              </w:rPr>
              <w:t>290</w:t>
            </w:r>
            <w:r>
              <w:rPr>
                <w:rFonts w:hAnsi="Times New Roman" w:cs="Times New Roman"/>
                <w:sz w:val="21"/>
                <w:szCs w:val="21"/>
              </w:rPr>
              <w:t>,</w:t>
            </w:r>
            <w:r w:rsidR="00867E20">
              <w:rPr>
                <w:rFonts w:hAnsi="Times New Roman" w:cs="Times New Roman"/>
                <w:sz w:val="21"/>
                <w:szCs w:val="21"/>
              </w:rPr>
              <w:t>4</w:t>
            </w:r>
            <w:r>
              <w:rPr>
                <w:rFonts w:hAnsi="Times New Roman" w:cs="Times New Roman"/>
                <w:sz w:val="21"/>
                <w:szCs w:val="21"/>
              </w:rPr>
              <w:t>00.00</w:t>
            </w:r>
          </w:p>
        </w:tc>
      </w:tr>
    </w:tbl>
    <w:p w:rsidR="009845BD" w:rsidRDefault="009845BD" w:rsidP="007D6884">
      <w:pPr>
        <w:jc w:val="center"/>
        <w:rPr>
          <w:b/>
        </w:rPr>
      </w:pPr>
    </w:p>
    <w:p w:rsidR="007D6884" w:rsidRPr="0082799E" w:rsidRDefault="007D6884" w:rsidP="007D6884">
      <w:pPr>
        <w:jc w:val="center"/>
        <w:rPr>
          <w:u w:val="single"/>
        </w:rPr>
      </w:pPr>
      <w:r w:rsidRPr="0082799E">
        <w:rPr>
          <w:b/>
          <w:u w:val="single"/>
        </w:rPr>
        <w:t>Total estimated cost to the Government</w:t>
      </w:r>
      <w:r w:rsidR="0082799E">
        <w:rPr>
          <w:b/>
          <w:u w:val="single"/>
        </w:rPr>
        <w:t>:</w:t>
      </w:r>
    </w:p>
    <w:p w:rsidR="008B022C" w:rsidRPr="0091272C" w:rsidRDefault="008B022C" w:rsidP="008B022C">
      <w:pPr>
        <w:tabs>
          <w:tab w:val="left" w:leader="dot" w:pos="7740"/>
          <w:tab w:val="right" w:pos="9270"/>
        </w:tabs>
      </w:pPr>
    </w:p>
    <w:tbl>
      <w:tblPr>
        <w:tblpPr w:leftFromText="180" w:rightFromText="180" w:vertAnchor="text" w:horzAnchor="margin" w:tblpY="148"/>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503"/>
        <w:gridCol w:w="1530"/>
        <w:gridCol w:w="1350"/>
        <w:gridCol w:w="1350"/>
        <w:gridCol w:w="1440"/>
      </w:tblGrid>
      <w:tr w:rsidR="008B022C" w:rsidTr="0082799E">
        <w:trPr>
          <w:trHeight w:val="263"/>
        </w:trPr>
        <w:tc>
          <w:tcPr>
            <w:tcW w:w="9440" w:type="dxa"/>
            <w:gridSpan w:val="6"/>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8B022C" w:rsidRDefault="008B022C" w:rsidP="00751528">
            <w:pPr>
              <w:pStyle w:val="Body"/>
              <w:keepLines/>
              <w:jc w:val="center"/>
              <w:rPr>
                <w:rFonts w:ascii="Courier New" w:hAnsi="Courier New" w:cs="Courier New"/>
              </w:rPr>
            </w:pPr>
            <w:r w:rsidRPr="0050784B">
              <w:rPr>
                <w:u w:val="single"/>
              </w:rPr>
              <w:t>3052.</w:t>
            </w:r>
            <w:r>
              <w:rPr>
                <w:u w:val="single"/>
              </w:rPr>
              <w:t>204-7</w:t>
            </w:r>
            <w:r w:rsidRPr="0050784B">
              <w:rPr>
                <w:u w:val="single"/>
              </w:rPr>
              <w:t>X</w:t>
            </w:r>
            <w:r>
              <w:rPr>
                <w:u w:val="single"/>
              </w:rPr>
              <w:t>,</w:t>
            </w:r>
            <w:r w:rsidRPr="0050784B">
              <w:rPr>
                <w:u w:val="single"/>
              </w:rPr>
              <w:t xml:space="preserve"> </w:t>
            </w:r>
            <w:r w:rsidRPr="006D47D4">
              <w:rPr>
                <w:u w:val="single"/>
              </w:rPr>
              <w:t>Safeguarding of Sensitive Information</w:t>
            </w:r>
          </w:p>
        </w:tc>
      </w:tr>
      <w:tr w:rsidR="008B022C" w:rsidTr="0082799E">
        <w:trPr>
          <w:trHeight w:val="721"/>
        </w:trPr>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8B022C" w:rsidRPr="005C0F77" w:rsidRDefault="008B022C"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Estimated Cost To Government</w:t>
            </w:r>
          </w:p>
        </w:tc>
        <w:tc>
          <w:tcPr>
            <w:tcW w:w="150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8B022C" w:rsidRPr="005C0F77" w:rsidRDefault="008B022C"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Annual Responses</w:t>
            </w:r>
          </w:p>
        </w:tc>
        <w:tc>
          <w:tcPr>
            <w:tcW w:w="15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8B022C" w:rsidRPr="005C0F77" w:rsidRDefault="008B022C"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Review Time Per Response</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8B022C" w:rsidRPr="005C0F77" w:rsidRDefault="008B022C"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Estimated Burden Hours</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8B022C" w:rsidRPr="005C0F77" w:rsidRDefault="008B022C" w:rsidP="00751528">
            <w:pPr>
              <w:pStyle w:val="Body"/>
              <w:keepLines/>
              <w:jc w:val="center"/>
              <w:rPr>
                <w:rFonts w:hAnsi="Times New Roman" w:cs="Times New Roman"/>
                <w:b/>
                <w:sz w:val="21"/>
                <w:szCs w:val="21"/>
                <w:u w:val="single"/>
              </w:rPr>
            </w:pPr>
            <w:r w:rsidRPr="005C0F77">
              <w:rPr>
                <w:rFonts w:hAnsi="Times New Roman" w:cs="Times New Roman"/>
                <w:b/>
                <w:sz w:val="21"/>
                <w:szCs w:val="21"/>
                <w:u w:val="single"/>
              </w:rPr>
              <w:t>Average Wage + Overhead</w:t>
            </w:r>
          </w:p>
        </w:tc>
        <w:tc>
          <w:tcPr>
            <w:tcW w:w="14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8B022C" w:rsidRPr="005C0F77" w:rsidRDefault="008B022C" w:rsidP="00751528">
            <w:pPr>
              <w:pStyle w:val="Body"/>
              <w:keepLines/>
              <w:rPr>
                <w:rFonts w:hAnsi="Times New Roman" w:cs="Times New Roman"/>
                <w:b/>
                <w:sz w:val="21"/>
                <w:szCs w:val="21"/>
                <w:u w:val="single"/>
              </w:rPr>
            </w:pPr>
            <w:r w:rsidRPr="005C0F77">
              <w:rPr>
                <w:rFonts w:hAnsi="Times New Roman" w:cs="Times New Roman"/>
                <w:b/>
                <w:sz w:val="21"/>
                <w:szCs w:val="21"/>
                <w:u w:val="single"/>
              </w:rPr>
              <w:t>Total Cost to Government</w:t>
            </w:r>
          </w:p>
        </w:tc>
      </w:tr>
      <w:tr w:rsidR="008B022C" w:rsidRPr="005C0F77" w:rsidTr="00E756F8">
        <w:trPr>
          <w:trHeight w:val="528"/>
        </w:trPr>
        <w:tc>
          <w:tcPr>
            <w:tcW w:w="22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hideMark/>
          </w:tcPr>
          <w:p w:rsidR="008B022C" w:rsidRPr="008B022C" w:rsidRDefault="008B022C" w:rsidP="00751528">
            <w:pPr>
              <w:rPr>
                <w:b/>
                <w:sz w:val="21"/>
                <w:szCs w:val="21"/>
              </w:rPr>
            </w:pPr>
            <w:r w:rsidRPr="008B022C">
              <w:rPr>
                <w:b/>
                <w:sz w:val="21"/>
                <w:szCs w:val="21"/>
              </w:rPr>
              <w:t>Total estimated cost to the Government.</w:t>
            </w:r>
          </w:p>
        </w:tc>
        <w:tc>
          <w:tcPr>
            <w:tcW w:w="150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867E20" w:rsidP="00E756F8">
            <w:pPr>
              <w:pStyle w:val="Body"/>
              <w:keepLines/>
              <w:jc w:val="center"/>
              <w:rPr>
                <w:rFonts w:hAnsi="Times New Roman" w:cs="Times New Roman"/>
                <w:sz w:val="21"/>
                <w:szCs w:val="21"/>
              </w:rPr>
            </w:pPr>
            <w:r>
              <w:rPr>
                <w:rFonts w:hAnsi="Times New Roman" w:cs="Times New Roman"/>
                <w:sz w:val="21"/>
                <w:szCs w:val="21"/>
              </w:rPr>
              <w:t>123</w:t>
            </w:r>
          </w:p>
        </w:tc>
        <w:tc>
          <w:tcPr>
            <w:tcW w:w="15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83019A" w:rsidP="00E756F8">
            <w:pPr>
              <w:pStyle w:val="Body"/>
              <w:keepLines/>
              <w:jc w:val="center"/>
              <w:rPr>
                <w:rFonts w:hAnsi="Times New Roman" w:cs="Times New Roman"/>
                <w:sz w:val="21"/>
                <w:szCs w:val="21"/>
              </w:rPr>
            </w:pPr>
            <w:r>
              <w:rPr>
                <w:rFonts w:hAnsi="Times New Roman" w:cs="Times New Roman"/>
                <w:sz w:val="21"/>
                <w:szCs w:val="21"/>
              </w:rPr>
              <w:t>46</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867E20" w:rsidP="00867E20">
            <w:pPr>
              <w:pStyle w:val="Body"/>
              <w:keepLines/>
              <w:jc w:val="center"/>
              <w:rPr>
                <w:rFonts w:hAnsi="Times New Roman" w:cs="Times New Roman"/>
                <w:sz w:val="21"/>
                <w:szCs w:val="21"/>
              </w:rPr>
            </w:pPr>
            <w:r>
              <w:rPr>
                <w:rFonts w:hAnsi="Times New Roman" w:cs="Times New Roman"/>
                <w:sz w:val="21"/>
                <w:szCs w:val="21"/>
              </w:rPr>
              <w:t>5</w:t>
            </w:r>
            <w:r w:rsidR="0083019A">
              <w:rPr>
                <w:rFonts w:hAnsi="Times New Roman" w:cs="Times New Roman"/>
                <w:sz w:val="21"/>
                <w:szCs w:val="21"/>
              </w:rPr>
              <w:t>,</w:t>
            </w:r>
            <w:r>
              <w:rPr>
                <w:rFonts w:hAnsi="Times New Roman" w:cs="Times New Roman"/>
                <w:sz w:val="21"/>
                <w:szCs w:val="21"/>
              </w:rPr>
              <w:t>658</w:t>
            </w:r>
          </w:p>
        </w:tc>
        <w:tc>
          <w:tcPr>
            <w:tcW w:w="13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8B022C" w:rsidP="00E756F8">
            <w:pPr>
              <w:pStyle w:val="Body"/>
              <w:keepLines/>
              <w:jc w:val="center"/>
              <w:rPr>
                <w:rFonts w:hAnsi="Times New Roman" w:cs="Times New Roman"/>
                <w:sz w:val="21"/>
                <w:szCs w:val="21"/>
              </w:rPr>
            </w:pPr>
            <w:r>
              <w:rPr>
                <w:rFonts w:hAnsi="Times New Roman" w:cs="Times New Roman"/>
                <w:sz w:val="21"/>
                <w:szCs w:val="21"/>
              </w:rPr>
              <w:t>$60.00</w:t>
            </w:r>
            <w:r w:rsidR="00B91D86">
              <w:rPr>
                <w:rFonts w:hAnsi="Times New Roman" w:cs="Times New Roman"/>
                <w:sz w:val="21"/>
                <w:szCs w:val="21"/>
              </w:rPr>
              <w:t>*</w:t>
            </w:r>
          </w:p>
        </w:tc>
        <w:tc>
          <w:tcPr>
            <w:tcW w:w="14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rsidR="008B022C" w:rsidRPr="005C0F77" w:rsidRDefault="009B4FB9" w:rsidP="00867E20">
            <w:pPr>
              <w:pStyle w:val="Body"/>
              <w:keepLines/>
              <w:jc w:val="center"/>
              <w:rPr>
                <w:rFonts w:hAnsi="Times New Roman" w:cs="Times New Roman"/>
                <w:sz w:val="21"/>
                <w:szCs w:val="21"/>
              </w:rPr>
            </w:pPr>
            <w:r>
              <w:rPr>
                <w:rFonts w:hAnsi="Times New Roman" w:cs="Times New Roman"/>
                <w:sz w:val="21"/>
                <w:szCs w:val="21"/>
              </w:rPr>
              <w:t>$</w:t>
            </w:r>
            <w:r w:rsidR="00867E20">
              <w:rPr>
                <w:rFonts w:hAnsi="Times New Roman" w:cs="Times New Roman"/>
                <w:sz w:val="21"/>
                <w:szCs w:val="21"/>
              </w:rPr>
              <w:t>339</w:t>
            </w:r>
            <w:r w:rsidR="008B022C">
              <w:rPr>
                <w:rFonts w:hAnsi="Times New Roman" w:cs="Times New Roman"/>
                <w:sz w:val="21"/>
                <w:szCs w:val="21"/>
              </w:rPr>
              <w:t>,</w:t>
            </w:r>
            <w:r w:rsidR="00867E20">
              <w:rPr>
                <w:rFonts w:hAnsi="Times New Roman" w:cs="Times New Roman"/>
                <w:sz w:val="21"/>
                <w:szCs w:val="21"/>
              </w:rPr>
              <w:t>48</w:t>
            </w:r>
            <w:r w:rsidR="008B022C">
              <w:rPr>
                <w:rFonts w:hAnsi="Times New Roman" w:cs="Times New Roman"/>
                <w:sz w:val="21"/>
                <w:szCs w:val="21"/>
              </w:rPr>
              <w:t>0.00</w:t>
            </w:r>
          </w:p>
        </w:tc>
      </w:tr>
    </w:tbl>
    <w:p w:rsidR="007D6884" w:rsidRDefault="007D6884" w:rsidP="0043714A"/>
    <w:p w:rsidR="00157394" w:rsidRDefault="00157394" w:rsidP="00157394">
      <w:pPr>
        <w:tabs>
          <w:tab w:val="left" w:leader="dot" w:pos="7740"/>
          <w:tab w:val="right" w:pos="9270"/>
        </w:tabs>
      </w:pPr>
      <w:r w:rsidRPr="00C843E6">
        <w:t xml:space="preserve">* </w:t>
      </w:r>
      <w:r w:rsidR="003B5DBB">
        <w:t xml:space="preserve">Means </w:t>
      </w:r>
      <w:r w:rsidR="003B5DBB" w:rsidRPr="00C843E6">
        <w:t xml:space="preserve">estimated </w:t>
      </w:r>
      <w:r w:rsidR="003B5DBB">
        <w:t xml:space="preserve">hourly wage according to </w:t>
      </w:r>
      <w:r w:rsidRPr="00C843E6">
        <w:t>the OPM salary table for calendar year 201</w:t>
      </w:r>
      <w:r>
        <w:t>5</w:t>
      </w:r>
      <w:r w:rsidR="003B5DBB">
        <w:t xml:space="preserve">, </w:t>
      </w:r>
      <w:r w:rsidRPr="00C843E6">
        <w:t>GS-1</w:t>
      </w:r>
      <w:r w:rsidR="003B5DBB">
        <w:t>3</w:t>
      </w:r>
      <w:r>
        <w:t>, Step-</w:t>
      </w:r>
      <w:r w:rsidR="007177F3">
        <w:t>4</w:t>
      </w:r>
      <w:r w:rsidR="003B5DBB">
        <w:t xml:space="preserve"> (or equivalent)</w:t>
      </w:r>
      <w:r>
        <w:t>, or $</w:t>
      </w:r>
      <w:r w:rsidR="003B5DBB">
        <w:t>43</w:t>
      </w:r>
      <w:r w:rsidR="007177F3">
        <w:t>.99</w:t>
      </w:r>
      <w:r w:rsidRPr="00C843E6">
        <w:t xml:space="preserve"> per hour, plus 36.</w:t>
      </w:r>
      <w:r>
        <w:t>25</w:t>
      </w:r>
      <w:r w:rsidRPr="00C843E6">
        <w:t xml:space="preserve"> percent </w:t>
      </w:r>
      <w:r w:rsidR="007177F3">
        <w:t>(</w:t>
      </w:r>
      <w:r w:rsidR="00393F5C">
        <w:t>$</w:t>
      </w:r>
      <w:r w:rsidR="003B5DBB">
        <w:t>15</w:t>
      </w:r>
      <w:r w:rsidR="007177F3">
        <w:t>.</w:t>
      </w:r>
      <w:r w:rsidR="003B5DBB">
        <w:t>95</w:t>
      </w:r>
      <w:r w:rsidR="007177F3">
        <w:t xml:space="preserve">) </w:t>
      </w:r>
      <w:r w:rsidRPr="00C843E6">
        <w:t>overhead burden</w:t>
      </w:r>
      <w:r>
        <w:t>,</w:t>
      </w:r>
      <w:r w:rsidRPr="00C843E6">
        <w:t xml:space="preserve"> and rounded to the nearest whole dollar, or $</w:t>
      </w:r>
      <w:r w:rsidR="003B5DBB">
        <w:t>60</w:t>
      </w:r>
      <w:r>
        <w:t>.</w:t>
      </w:r>
      <w:r w:rsidRPr="00C843E6">
        <w:t>00.</w:t>
      </w:r>
      <w:r>
        <w:t xml:space="preserve"> </w:t>
      </w:r>
    </w:p>
    <w:p w:rsidR="009845BD" w:rsidRDefault="009845BD" w:rsidP="00157394">
      <w:pPr>
        <w:tabs>
          <w:tab w:val="left" w:leader="dot" w:pos="7740"/>
          <w:tab w:val="right" w:pos="9270"/>
        </w:tabs>
      </w:pPr>
    </w:p>
    <w:p w:rsidR="0043714A" w:rsidRPr="0091272C" w:rsidRDefault="006E14B6" w:rsidP="0043714A">
      <w:pPr>
        <w:rPr>
          <w:b/>
        </w:rPr>
      </w:pPr>
      <w:r w:rsidRPr="0091272C">
        <w:t xml:space="preserve">15.  </w:t>
      </w:r>
      <w:r w:rsidR="0043714A" w:rsidRPr="0091272C">
        <w:rPr>
          <w:b/>
        </w:rPr>
        <w:t>Explanation of Program Changes or Adjustments</w:t>
      </w:r>
    </w:p>
    <w:p w:rsidR="00C0287B" w:rsidRDefault="00C0287B" w:rsidP="00C0287B">
      <w:r w:rsidRPr="00C0287B">
        <w:t>This is a new information collection requirement.</w:t>
      </w:r>
    </w:p>
    <w:p w:rsidR="00C0287B" w:rsidRDefault="00C0287B" w:rsidP="00C0287B"/>
    <w:p w:rsidR="00734E0B" w:rsidRDefault="00C0287B" w:rsidP="00C0287B">
      <w:r>
        <w:t xml:space="preserve">16.  </w:t>
      </w:r>
      <w:r w:rsidRPr="00C0287B">
        <w:rPr>
          <w:b/>
        </w:rPr>
        <w:t>Outline plans for published results of information collections.</w:t>
      </w:r>
      <w:r w:rsidRPr="00C0287B">
        <w:t xml:space="preserve">  </w:t>
      </w:r>
    </w:p>
    <w:p w:rsidR="00C0287B" w:rsidRDefault="00C0287B" w:rsidP="00C0287B">
      <w:r w:rsidRPr="00C0287B">
        <w:t>Results will not be tabulated or published.</w:t>
      </w:r>
    </w:p>
    <w:p w:rsidR="00C0287B" w:rsidRDefault="00C0287B" w:rsidP="00C0287B"/>
    <w:p w:rsidR="00734E0B" w:rsidRDefault="00C0287B" w:rsidP="00C0287B">
      <w:pPr>
        <w:rPr>
          <w:b/>
        </w:rPr>
      </w:pPr>
      <w:r>
        <w:t xml:space="preserve">17.  </w:t>
      </w:r>
      <w:r w:rsidRPr="00C0287B">
        <w:rPr>
          <w:b/>
        </w:rPr>
        <w:t xml:space="preserve">Approval not to display expiration date.  </w:t>
      </w:r>
    </w:p>
    <w:p w:rsidR="00C0287B" w:rsidRPr="00734E0B" w:rsidRDefault="00734E0B" w:rsidP="00C0287B">
      <w:r w:rsidRPr="00734E0B">
        <w:t>DHS does not seek approval to not display the expiration dates for OMB approval of the information collection.</w:t>
      </w:r>
    </w:p>
    <w:p w:rsidR="00C0287B" w:rsidRDefault="00C0287B" w:rsidP="00C0287B"/>
    <w:p w:rsidR="00734E0B" w:rsidRDefault="00C0287B" w:rsidP="00C0287B">
      <w:r>
        <w:t xml:space="preserve">18.  </w:t>
      </w:r>
      <w:r w:rsidRPr="00C0287B">
        <w:rPr>
          <w:b/>
        </w:rPr>
        <w:t>Explanation of exception to certification statement.</w:t>
      </w:r>
      <w:r w:rsidRPr="00C0287B">
        <w:t xml:space="preserve">  </w:t>
      </w:r>
    </w:p>
    <w:p w:rsidR="00C0287B" w:rsidRDefault="00C0287B" w:rsidP="00C0287B">
      <w:r w:rsidRPr="00C0287B">
        <w:t>Not applicable.</w:t>
      </w:r>
    </w:p>
    <w:p w:rsidR="00C0287B" w:rsidRDefault="00C0287B" w:rsidP="00C0287B"/>
    <w:p w:rsidR="00734E0B" w:rsidRDefault="00C0287B" w:rsidP="00C0287B">
      <w:pPr>
        <w:rPr>
          <w:b/>
        </w:rPr>
      </w:pPr>
      <w:r>
        <w:t xml:space="preserve">B.  </w:t>
      </w:r>
      <w:r w:rsidRPr="00C0287B">
        <w:rPr>
          <w:b/>
        </w:rPr>
        <w:t xml:space="preserve">Collections of Information Employing Statistical Methods.  </w:t>
      </w:r>
    </w:p>
    <w:p w:rsidR="004043B9" w:rsidRPr="00316153" w:rsidRDefault="00C0287B" w:rsidP="00C0287B">
      <w:r w:rsidRPr="00C0287B">
        <w:t>Statistical methods are not used in this information collection.</w:t>
      </w:r>
    </w:p>
    <w:sectPr w:rsidR="004043B9" w:rsidRPr="00316153" w:rsidSect="00AE13E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97B" w:rsidRDefault="009F697B" w:rsidP="00B451A5">
      <w:r>
        <w:separator/>
      </w:r>
    </w:p>
  </w:endnote>
  <w:endnote w:type="continuationSeparator" w:id="0">
    <w:p w:rsidR="009F697B" w:rsidRDefault="009F697B" w:rsidP="00B451A5">
      <w:r>
        <w:continuationSeparator/>
      </w:r>
    </w:p>
  </w:endnote>
  <w:endnote w:type="continuationNotice" w:id="1">
    <w:p w:rsidR="009F697B" w:rsidRDefault="009F6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A6" w:rsidRDefault="00E23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391526"/>
      <w:docPartObj>
        <w:docPartGallery w:val="Page Numbers (Bottom of Page)"/>
        <w:docPartUnique/>
      </w:docPartObj>
    </w:sdtPr>
    <w:sdtEndPr/>
    <w:sdtContent>
      <w:p w:rsidR="00751528" w:rsidRDefault="00751528">
        <w:pPr>
          <w:pStyle w:val="Footer"/>
          <w:jc w:val="right"/>
        </w:pPr>
        <w:r>
          <w:t xml:space="preserve">Page | </w:t>
        </w:r>
        <w:r>
          <w:fldChar w:fldCharType="begin"/>
        </w:r>
        <w:r>
          <w:instrText xml:space="preserve"> PAGE   \* MERGEFORMAT </w:instrText>
        </w:r>
        <w:r>
          <w:fldChar w:fldCharType="separate"/>
        </w:r>
        <w:r w:rsidR="001976B4">
          <w:rPr>
            <w:noProof/>
          </w:rPr>
          <w:t>1</w:t>
        </w:r>
        <w:r>
          <w:rPr>
            <w:noProof/>
          </w:rPr>
          <w:fldChar w:fldCharType="end"/>
        </w:r>
        <w:r>
          <w:t xml:space="preserve"> </w:t>
        </w:r>
      </w:p>
    </w:sdtContent>
  </w:sdt>
  <w:p w:rsidR="00751528" w:rsidRDefault="00751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A6" w:rsidRDefault="00E23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97B" w:rsidRDefault="009F697B" w:rsidP="00B451A5">
      <w:r>
        <w:separator/>
      </w:r>
    </w:p>
  </w:footnote>
  <w:footnote w:type="continuationSeparator" w:id="0">
    <w:p w:rsidR="009F697B" w:rsidRDefault="009F697B" w:rsidP="00B451A5">
      <w:r>
        <w:continuationSeparator/>
      </w:r>
    </w:p>
  </w:footnote>
  <w:footnote w:type="continuationNotice" w:id="1">
    <w:p w:rsidR="009F697B" w:rsidRDefault="009F69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A6" w:rsidRDefault="00E23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528" w:rsidRDefault="001976B4" w:rsidP="001C1E8C">
    <w:pPr>
      <w:pStyle w:val="Header"/>
      <w:rPr>
        <w:sz w:val="20"/>
        <w:szCs w:val="20"/>
      </w:rPr>
    </w:pPr>
    <w:sdt>
      <w:sdtPr>
        <w:id w:val="-288282834"/>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1528">
      <w:tab/>
    </w:r>
    <w:r w:rsidR="00751528">
      <w:tab/>
    </w:r>
  </w:p>
  <w:p w:rsidR="00751528" w:rsidRPr="00B451A5" w:rsidRDefault="00751528">
    <w:pPr>
      <w:pStyle w:val="Header"/>
      <w:rPr>
        <w:sz w:val="20"/>
        <w:szCs w:val="20"/>
      </w:rPr>
    </w:pPr>
    <w:r>
      <w:rPr>
        <w:sz w:val="20"/>
        <w:szCs w:val="20"/>
      </w:rPr>
      <w:tab/>
    </w:r>
    <w:r>
      <w:rPr>
        <w:sz w:val="20"/>
        <w:szCs w:val="20"/>
      </w:rPr>
      <w:tab/>
    </w:r>
    <w:r>
      <w:rPr>
        <w:sz w:val="20"/>
        <w:szCs w:val="20"/>
      </w:rPr>
      <w:tab/>
    </w:r>
  </w:p>
  <w:p w:rsidR="00751528" w:rsidRDefault="007515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A6" w:rsidRDefault="00E23A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93E"/>
    <w:multiLevelType w:val="hybridMultilevel"/>
    <w:tmpl w:val="62C21F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03487"/>
    <w:multiLevelType w:val="hybridMultilevel"/>
    <w:tmpl w:val="C5BA1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E50AEA"/>
    <w:multiLevelType w:val="hybridMultilevel"/>
    <w:tmpl w:val="7ABCFA10"/>
    <w:lvl w:ilvl="0" w:tplc="149887C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4E7"/>
    <w:multiLevelType w:val="multilevel"/>
    <w:tmpl w:val="58307E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1442BD"/>
    <w:multiLevelType w:val="hybridMultilevel"/>
    <w:tmpl w:val="29341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E5E1A"/>
    <w:multiLevelType w:val="hybridMultilevel"/>
    <w:tmpl w:val="913AF6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730D8"/>
    <w:multiLevelType w:val="hybridMultilevel"/>
    <w:tmpl w:val="7F2400D2"/>
    <w:lvl w:ilvl="0" w:tplc="0409001B">
      <w:start w:val="1"/>
      <w:numFmt w:val="lowerRoman"/>
      <w:lvlText w:val="%1."/>
      <w:lvlJc w:val="right"/>
      <w:pPr>
        <w:ind w:left="1080" w:hanging="360"/>
      </w:pPr>
    </w:lvl>
    <w:lvl w:ilvl="1" w:tplc="BB227D98">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092CD0"/>
    <w:multiLevelType w:val="hybridMultilevel"/>
    <w:tmpl w:val="A488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B1ED7"/>
    <w:multiLevelType w:val="hybridMultilevel"/>
    <w:tmpl w:val="533E03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627BA5"/>
    <w:multiLevelType w:val="hybridMultilevel"/>
    <w:tmpl w:val="60A070FE"/>
    <w:lvl w:ilvl="0" w:tplc="292255A0">
      <w:start w:val="4"/>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2332E"/>
    <w:multiLevelType w:val="hybridMultilevel"/>
    <w:tmpl w:val="DEF0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94EC6"/>
    <w:multiLevelType w:val="hybridMultilevel"/>
    <w:tmpl w:val="7ABCFA10"/>
    <w:lvl w:ilvl="0" w:tplc="149887C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611E0"/>
    <w:multiLevelType w:val="hybridMultilevel"/>
    <w:tmpl w:val="26EA6CB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2C066C"/>
    <w:multiLevelType w:val="hybridMultilevel"/>
    <w:tmpl w:val="1892E7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9F2B57"/>
    <w:multiLevelType w:val="hybridMultilevel"/>
    <w:tmpl w:val="D8561B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D5CE0"/>
    <w:multiLevelType w:val="hybridMultilevel"/>
    <w:tmpl w:val="4CBC27D0"/>
    <w:lvl w:ilvl="0" w:tplc="B9B27DA2">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747FC"/>
    <w:multiLevelType w:val="hybridMultilevel"/>
    <w:tmpl w:val="70920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04F29"/>
    <w:multiLevelType w:val="hybridMultilevel"/>
    <w:tmpl w:val="CC00A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91A5E"/>
    <w:multiLevelType w:val="hybridMultilevel"/>
    <w:tmpl w:val="046AD67A"/>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CA16F72"/>
    <w:multiLevelType w:val="hybridMultilevel"/>
    <w:tmpl w:val="77268C2A"/>
    <w:lvl w:ilvl="0" w:tplc="45705822">
      <w:start w:val="5"/>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63441"/>
    <w:multiLevelType w:val="hybridMultilevel"/>
    <w:tmpl w:val="E4CE4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72F52"/>
    <w:multiLevelType w:val="hybridMultilevel"/>
    <w:tmpl w:val="0D7E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57477"/>
    <w:multiLevelType w:val="hybridMultilevel"/>
    <w:tmpl w:val="7FCE7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ED44B3"/>
    <w:multiLevelType w:val="hybridMultilevel"/>
    <w:tmpl w:val="70920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C10DA"/>
    <w:multiLevelType w:val="hybridMultilevel"/>
    <w:tmpl w:val="3FE48C0A"/>
    <w:lvl w:ilvl="0" w:tplc="AF9A576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301E94"/>
    <w:multiLevelType w:val="hybridMultilevel"/>
    <w:tmpl w:val="7476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43771"/>
    <w:multiLevelType w:val="hybridMultilevel"/>
    <w:tmpl w:val="3722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274176"/>
    <w:multiLevelType w:val="hybridMultilevel"/>
    <w:tmpl w:val="1B8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A2A32"/>
    <w:multiLevelType w:val="hybridMultilevel"/>
    <w:tmpl w:val="AB56AAEE"/>
    <w:lvl w:ilvl="0" w:tplc="6F242BAA">
      <w:start w:val="1"/>
      <w:numFmt w:val="lowerRoman"/>
      <w:lvlText w:val="%1."/>
      <w:lvlJc w:val="right"/>
      <w:pPr>
        <w:ind w:left="720" w:hanging="360"/>
      </w:pPr>
    </w:lvl>
    <w:lvl w:ilvl="1" w:tplc="EAFC602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18"/>
  </w:num>
  <w:num w:numId="4">
    <w:abstractNumId w:val="6"/>
  </w:num>
  <w:num w:numId="5">
    <w:abstractNumId w:val="14"/>
  </w:num>
  <w:num w:numId="6">
    <w:abstractNumId w:val="5"/>
  </w:num>
  <w:num w:numId="7">
    <w:abstractNumId w:val="28"/>
  </w:num>
  <w:num w:numId="8">
    <w:abstractNumId w:val="9"/>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2"/>
  </w:num>
  <w:num w:numId="19">
    <w:abstractNumId w:val="10"/>
  </w:num>
  <w:num w:numId="20">
    <w:abstractNumId w:val="21"/>
  </w:num>
  <w:num w:numId="21">
    <w:abstractNumId w:val="0"/>
  </w:num>
  <w:num w:numId="22">
    <w:abstractNumId w:val="12"/>
  </w:num>
  <w:num w:numId="23">
    <w:abstractNumId w:val="19"/>
  </w:num>
  <w:num w:numId="24">
    <w:abstractNumId w:val="11"/>
  </w:num>
  <w:num w:numId="25">
    <w:abstractNumId w:val="2"/>
  </w:num>
  <w:num w:numId="26">
    <w:abstractNumId w:val="4"/>
  </w:num>
  <w:num w:numId="27">
    <w:abstractNumId w:val="24"/>
  </w:num>
  <w:num w:numId="28">
    <w:abstractNumId w:val="8"/>
  </w:num>
  <w:num w:numId="29">
    <w:abstractNumId w:val="1"/>
  </w:num>
  <w:num w:numId="30">
    <w:abstractNumId w:val="17"/>
  </w:num>
  <w:num w:numId="31">
    <w:abstractNumId w:val="23"/>
  </w:num>
  <w:num w:numId="32">
    <w:abstractNumId w:val="16"/>
  </w:num>
  <w:num w:numId="33">
    <w:abstractNumId w:val="13"/>
  </w:num>
  <w:num w:numId="34">
    <w:abstractNumId w:val="20"/>
  </w:num>
  <w:num w:numId="35">
    <w:abstractNumId w:val="27"/>
  </w:num>
  <w:num w:numId="3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B6"/>
    <w:rsid w:val="00001299"/>
    <w:rsid w:val="000021B4"/>
    <w:rsid w:val="00005246"/>
    <w:rsid w:val="00015424"/>
    <w:rsid w:val="000439F7"/>
    <w:rsid w:val="0004750D"/>
    <w:rsid w:val="00055045"/>
    <w:rsid w:val="00057807"/>
    <w:rsid w:val="00062365"/>
    <w:rsid w:val="00065B41"/>
    <w:rsid w:val="00071EF3"/>
    <w:rsid w:val="00076F7E"/>
    <w:rsid w:val="00082EDF"/>
    <w:rsid w:val="0008339F"/>
    <w:rsid w:val="00083CF9"/>
    <w:rsid w:val="00084B52"/>
    <w:rsid w:val="00085006"/>
    <w:rsid w:val="000908EC"/>
    <w:rsid w:val="00091BA3"/>
    <w:rsid w:val="00092E9E"/>
    <w:rsid w:val="00093ACA"/>
    <w:rsid w:val="00095DD2"/>
    <w:rsid w:val="000A23C0"/>
    <w:rsid w:val="000A5EC3"/>
    <w:rsid w:val="000A69AE"/>
    <w:rsid w:val="000B03F8"/>
    <w:rsid w:val="000B06CF"/>
    <w:rsid w:val="000B18CA"/>
    <w:rsid w:val="000B6571"/>
    <w:rsid w:val="000C0AAB"/>
    <w:rsid w:val="000C3518"/>
    <w:rsid w:val="000C3791"/>
    <w:rsid w:val="000C5166"/>
    <w:rsid w:val="000C684A"/>
    <w:rsid w:val="000C75E1"/>
    <w:rsid w:val="000D1895"/>
    <w:rsid w:val="000E279C"/>
    <w:rsid w:val="000E5695"/>
    <w:rsid w:val="00100901"/>
    <w:rsid w:val="0010273C"/>
    <w:rsid w:val="00103A11"/>
    <w:rsid w:val="00107FEA"/>
    <w:rsid w:val="00111EEB"/>
    <w:rsid w:val="001138A9"/>
    <w:rsid w:val="0011438E"/>
    <w:rsid w:val="001167F9"/>
    <w:rsid w:val="00117224"/>
    <w:rsid w:val="001221C3"/>
    <w:rsid w:val="00123152"/>
    <w:rsid w:val="00124BE8"/>
    <w:rsid w:val="00137F83"/>
    <w:rsid w:val="00144ADA"/>
    <w:rsid w:val="00144B24"/>
    <w:rsid w:val="00157394"/>
    <w:rsid w:val="0016151F"/>
    <w:rsid w:val="00164114"/>
    <w:rsid w:val="00164F6D"/>
    <w:rsid w:val="00172313"/>
    <w:rsid w:val="0017523D"/>
    <w:rsid w:val="001763FA"/>
    <w:rsid w:val="00180E95"/>
    <w:rsid w:val="00180E9B"/>
    <w:rsid w:val="00182A6E"/>
    <w:rsid w:val="001848C2"/>
    <w:rsid w:val="00195975"/>
    <w:rsid w:val="001976B4"/>
    <w:rsid w:val="00197E63"/>
    <w:rsid w:val="001A155F"/>
    <w:rsid w:val="001B1BBD"/>
    <w:rsid w:val="001B4413"/>
    <w:rsid w:val="001C1E8C"/>
    <w:rsid w:val="001C4359"/>
    <w:rsid w:val="001C5B80"/>
    <w:rsid w:val="001C6A50"/>
    <w:rsid w:val="001C762C"/>
    <w:rsid w:val="001D001A"/>
    <w:rsid w:val="001F0E44"/>
    <w:rsid w:val="001F2186"/>
    <w:rsid w:val="001F3C6E"/>
    <w:rsid w:val="001F4F2D"/>
    <w:rsid w:val="001F7C00"/>
    <w:rsid w:val="00206C8A"/>
    <w:rsid w:val="002109D4"/>
    <w:rsid w:val="00214CCE"/>
    <w:rsid w:val="00244447"/>
    <w:rsid w:val="00244C98"/>
    <w:rsid w:val="002570C5"/>
    <w:rsid w:val="0026155C"/>
    <w:rsid w:val="002624BD"/>
    <w:rsid w:val="00265AF3"/>
    <w:rsid w:val="00272EF0"/>
    <w:rsid w:val="00274098"/>
    <w:rsid w:val="00274AF7"/>
    <w:rsid w:val="002904DA"/>
    <w:rsid w:val="00296801"/>
    <w:rsid w:val="002970D6"/>
    <w:rsid w:val="002A3766"/>
    <w:rsid w:val="002A41A1"/>
    <w:rsid w:val="002A4C75"/>
    <w:rsid w:val="002A4C90"/>
    <w:rsid w:val="002C329E"/>
    <w:rsid w:val="002D2532"/>
    <w:rsid w:val="002D3B58"/>
    <w:rsid w:val="002D5835"/>
    <w:rsid w:val="002E0367"/>
    <w:rsid w:val="002E2260"/>
    <w:rsid w:val="002E36DF"/>
    <w:rsid w:val="002E594E"/>
    <w:rsid w:val="002E625A"/>
    <w:rsid w:val="002E6444"/>
    <w:rsid w:val="002F6AE7"/>
    <w:rsid w:val="00302549"/>
    <w:rsid w:val="00312565"/>
    <w:rsid w:val="0031264D"/>
    <w:rsid w:val="003138F3"/>
    <w:rsid w:val="00316153"/>
    <w:rsid w:val="00316E61"/>
    <w:rsid w:val="003278B6"/>
    <w:rsid w:val="00327D81"/>
    <w:rsid w:val="0033086B"/>
    <w:rsid w:val="00340BAF"/>
    <w:rsid w:val="0034603B"/>
    <w:rsid w:val="0034666D"/>
    <w:rsid w:val="00350E08"/>
    <w:rsid w:val="003567FE"/>
    <w:rsid w:val="003637D6"/>
    <w:rsid w:val="00366AE5"/>
    <w:rsid w:val="00367E06"/>
    <w:rsid w:val="00375F15"/>
    <w:rsid w:val="00380513"/>
    <w:rsid w:val="003813EB"/>
    <w:rsid w:val="00385EC6"/>
    <w:rsid w:val="00387394"/>
    <w:rsid w:val="00393F5C"/>
    <w:rsid w:val="003973E5"/>
    <w:rsid w:val="003A02E2"/>
    <w:rsid w:val="003A2F1F"/>
    <w:rsid w:val="003B027D"/>
    <w:rsid w:val="003B0803"/>
    <w:rsid w:val="003B58B9"/>
    <w:rsid w:val="003B5DBB"/>
    <w:rsid w:val="003C03AB"/>
    <w:rsid w:val="003C191F"/>
    <w:rsid w:val="003C3DB4"/>
    <w:rsid w:val="003D08B2"/>
    <w:rsid w:val="003D6EF1"/>
    <w:rsid w:val="003E2351"/>
    <w:rsid w:val="00403AAB"/>
    <w:rsid w:val="004043B9"/>
    <w:rsid w:val="00407609"/>
    <w:rsid w:val="004102BC"/>
    <w:rsid w:val="0041762A"/>
    <w:rsid w:val="004247D8"/>
    <w:rsid w:val="00426351"/>
    <w:rsid w:val="0043294D"/>
    <w:rsid w:val="004332F8"/>
    <w:rsid w:val="00437145"/>
    <w:rsid w:val="0043714A"/>
    <w:rsid w:val="0045740C"/>
    <w:rsid w:val="004619CA"/>
    <w:rsid w:val="00472F77"/>
    <w:rsid w:val="00473AB5"/>
    <w:rsid w:val="00477BB7"/>
    <w:rsid w:val="00480EF5"/>
    <w:rsid w:val="004827A1"/>
    <w:rsid w:val="004832EB"/>
    <w:rsid w:val="004A2C3F"/>
    <w:rsid w:val="004A4594"/>
    <w:rsid w:val="004A48A9"/>
    <w:rsid w:val="004A6294"/>
    <w:rsid w:val="004B3C40"/>
    <w:rsid w:val="004C4F78"/>
    <w:rsid w:val="004D1484"/>
    <w:rsid w:val="004D1D4D"/>
    <w:rsid w:val="004D4CFF"/>
    <w:rsid w:val="004E5BE3"/>
    <w:rsid w:val="004E5CFF"/>
    <w:rsid w:val="00500FFD"/>
    <w:rsid w:val="005021BE"/>
    <w:rsid w:val="0050784B"/>
    <w:rsid w:val="00514A37"/>
    <w:rsid w:val="00516248"/>
    <w:rsid w:val="00532269"/>
    <w:rsid w:val="005379BA"/>
    <w:rsid w:val="00541FB9"/>
    <w:rsid w:val="00546604"/>
    <w:rsid w:val="0056026A"/>
    <w:rsid w:val="00562A80"/>
    <w:rsid w:val="00566524"/>
    <w:rsid w:val="005676A5"/>
    <w:rsid w:val="00567BDF"/>
    <w:rsid w:val="005703CD"/>
    <w:rsid w:val="00572CD0"/>
    <w:rsid w:val="005770AA"/>
    <w:rsid w:val="00584E2D"/>
    <w:rsid w:val="00586DCC"/>
    <w:rsid w:val="005870BF"/>
    <w:rsid w:val="00591635"/>
    <w:rsid w:val="005934F0"/>
    <w:rsid w:val="005945A7"/>
    <w:rsid w:val="00595E09"/>
    <w:rsid w:val="005A0520"/>
    <w:rsid w:val="005A251A"/>
    <w:rsid w:val="005B0166"/>
    <w:rsid w:val="005B1B5D"/>
    <w:rsid w:val="005C0F77"/>
    <w:rsid w:val="005C24B3"/>
    <w:rsid w:val="005C3317"/>
    <w:rsid w:val="005D2043"/>
    <w:rsid w:val="005D5794"/>
    <w:rsid w:val="005D5E77"/>
    <w:rsid w:val="005D6469"/>
    <w:rsid w:val="005E1393"/>
    <w:rsid w:val="005E17A2"/>
    <w:rsid w:val="005E1BDF"/>
    <w:rsid w:val="005E24A5"/>
    <w:rsid w:val="005E56B0"/>
    <w:rsid w:val="006005A2"/>
    <w:rsid w:val="00600F36"/>
    <w:rsid w:val="006059AA"/>
    <w:rsid w:val="00607FFB"/>
    <w:rsid w:val="006101E2"/>
    <w:rsid w:val="00615C9A"/>
    <w:rsid w:val="00616698"/>
    <w:rsid w:val="00620DF0"/>
    <w:rsid w:val="006249F4"/>
    <w:rsid w:val="00626BAD"/>
    <w:rsid w:val="00637FC1"/>
    <w:rsid w:val="00642738"/>
    <w:rsid w:val="00664933"/>
    <w:rsid w:val="006711D9"/>
    <w:rsid w:val="0067185F"/>
    <w:rsid w:val="00684AED"/>
    <w:rsid w:val="00690AB5"/>
    <w:rsid w:val="00693265"/>
    <w:rsid w:val="00694697"/>
    <w:rsid w:val="006A08DC"/>
    <w:rsid w:val="006A0B87"/>
    <w:rsid w:val="006A6037"/>
    <w:rsid w:val="006B0736"/>
    <w:rsid w:val="006B54FA"/>
    <w:rsid w:val="006B62EB"/>
    <w:rsid w:val="006B7CCE"/>
    <w:rsid w:val="006C22A1"/>
    <w:rsid w:val="006C503E"/>
    <w:rsid w:val="006C6758"/>
    <w:rsid w:val="006D47D4"/>
    <w:rsid w:val="006E0027"/>
    <w:rsid w:val="006E0207"/>
    <w:rsid w:val="006E08E0"/>
    <w:rsid w:val="006E14B6"/>
    <w:rsid w:val="006E4BAD"/>
    <w:rsid w:val="006F0723"/>
    <w:rsid w:val="006F32DA"/>
    <w:rsid w:val="006F34A5"/>
    <w:rsid w:val="00705A93"/>
    <w:rsid w:val="00712C41"/>
    <w:rsid w:val="007177F3"/>
    <w:rsid w:val="00724FD0"/>
    <w:rsid w:val="00726DBF"/>
    <w:rsid w:val="00730848"/>
    <w:rsid w:val="00732786"/>
    <w:rsid w:val="00732F73"/>
    <w:rsid w:val="00734E0B"/>
    <w:rsid w:val="00734FF1"/>
    <w:rsid w:val="00744299"/>
    <w:rsid w:val="00745054"/>
    <w:rsid w:val="00751528"/>
    <w:rsid w:val="00771D23"/>
    <w:rsid w:val="00773990"/>
    <w:rsid w:val="007748CA"/>
    <w:rsid w:val="00777F2C"/>
    <w:rsid w:val="007823BF"/>
    <w:rsid w:val="00786763"/>
    <w:rsid w:val="00796D35"/>
    <w:rsid w:val="007A5CD7"/>
    <w:rsid w:val="007B52B2"/>
    <w:rsid w:val="007B5BA9"/>
    <w:rsid w:val="007B6C8E"/>
    <w:rsid w:val="007B7359"/>
    <w:rsid w:val="007C28BA"/>
    <w:rsid w:val="007C35D9"/>
    <w:rsid w:val="007C3EB0"/>
    <w:rsid w:val="007C5801"/>
    <w:rsid w:val="007D3E8E"/>
    <w:rsid w:val="007D6884"/>
    <w:rsid w:val="007D7385"/>
    <w:rsid w:val="007E1AD8"/>
    <w:rsid w:val="007E1C3C"/>
    <w:rsid w:val="007E2209"/>
    <w:rsid w:val="007F2C94"/>
    <w:rsid w:val="007F5B1C"/>
    <w:rsid w:val="007F6E1A"/>
    <w:rsid w:val="00814CA8"/>
    <w:rsid w:val="00824D8D"/>
    <w:rsid w:val="0082799E"/>
    <w:rsid w:val="0083019A"/>
    <w:rsid w:val="0083205C"/>
    <w:rsid w:val="0083696C"/>
    <w:rsid w:val="0084528B"/>
    <w:rsid w:val="00845F64"/>
    <w:rsid w:val="0085700D"/>
    <w:rsid w:val="00862388"/>
    <w:rsid w:val="00867E20"/>
    <w:rsid w:val="00887292"/>
    <w:rsid w:val="0089386E"/>
    <w:rsid w:val="00893A24"/>
    <w:rsid w:val="00897791"/>
    <w:rsid w:val="008A02E3"/>
    <w:rsid w:val="008A0380"/>
    <w:rsid w:val="008A2A7E"/>
    <w:rsid w:val="008A5C8D"/>
    <w:rsid w:val="008A7421"/>
    <w:rsid w:val="008B022C"/>
    <w:rsid w:val="008B1C0D"/>
    <w:rsid w:val="008B3F4A"/>
    <w:rsid w:val="008C1232"/>
    <w:rsid w:val="008C2BE9"/>
    <w:rsid w:val="008C3B61"/>
    <w:rsid w:val="008C5638"/>
    <w:rsid w:val="008C63EF"/>
    <w:rsid w:val="008D363F"/>
    <w:rsid w:val="008D6B5A"/>
    <w:rsid w:val="008E276F"/>
    <w:rsid w:val="008E73D7"/>
    <w:rsid w:val="008F293F"/>
    <w:rsid w:val="008F4F1C"/>
    <w:rsid w:val="00901D50"/>
    <w:rsid w:val="0090410B"/>
    <w:rsid w:val="00906FAC"/>
    <w:rsid w:val="00910920"/>
    <w:rsid w:val="00910957"/>
    <w:rsid w:val="00911118"/>
    <w:rsid w:val="0091272C"/>
    <w:rsid w:val="00920D10"/>
    <w:rsid w:val="00924499"/>
    <w:rsid w:val="00924D7D"/>
    <w:rsid w:val="00926E60"/>
    <w:rsid w:val="009307A9"/>
    <w:rsid w:val="00935D7E"/>
    <w:rsid w:val="0094492F"/>
    <w:rsid w:val="0094536C"/>
    <w:rsid w:val="00945F47"/>
    <w:rsid w:val="0094777C"/>
    <w:rsid w:val="00950112"/>
    <w:rsid w:val="00964C9B"/>
    <w:rsid w:val="00966061"/>
    <w:rsid w:val="009750D3"/>
    <w:rsid w:val="00975D0A"/>
    <w:rsid w:val="0097600A"/>
    <w:rsid w:val="009761BA"/>
    <w:rsid w:val="00980798"/>
    <w:rsid w:val="009826EB"/>
    <w:rsid w:val="009840C4"/>
    <w:rsid w:val="009845BD"/>
    <w:rsid w:val="009861CB"/>
    <w:rsid w:val="00990A1F"/>
    <w:rsid w:val="00990B65"/>
    <w:rsid w:val="009923E4"/>
    <w:rsid w:val="009A00EB"/>
    <w:rsid w:val="009A2934"/>
    <w:rsid w:val="009B1A1C"/>
    <w:rsid w:val="009B4FB9"/>
    <w:rsid w:val="009B7F45"/>
    <w:rsid w:val="009C1462"/>
    <w:rsid w:val="009C3965"/>
    <w:rsid w:val="009E3A13"/>
    <w:rsid w:val="009E7EBA"/>
    <w:rsid w:val="009F697B"/>
    <w:rsid w:val="009F7DAE"/>
    <w:rsid w:val="00A00E78"/>
    <w:rsid w:val="00A01916"/>
    <w:rsid w:val="00A01F4A"/>
    <w:rsid w:val="00A20450"/>
    <w:rsid w:val="00A20D4B"/>
    <w:rsid w:val="00A23826"/>
    <w:rsid w:val="00A27830"/>
    <w:rsid w:val="00A27B04"/>
    <w:rsid w:val="00A333F3"/>
    <w:rsid w:val="00A334E3"/>
    <w:rsid w:val="00A43B13"/>
    <w:rsid w:val="00A44008"/>
    <w:rsid w:val="00A5147C"/>
    <w:rsid w:val="00A56582"/>
    <w:rsid w:val="00A56650"/>
    <w:rsid w:val="00A56C8C"/>
    <w:rsid w:val="00A5756C"/>
    <w:rsid w:val="00A60402"/>
    <w:rsid w:val="00A62E70"/>
    <w:rsid w:val="00A63687"/>
    <w:rsid w:val="00A6645F"/>
    <w:rsid w:val="00A67520"/>
    <w:rsid w:val="00A82236"/>
    <w:rsid w:val="00A84849"/>
    <w:rsid w:val="00A94101"/>
    <w:rsid w:val="00A94C1D"/>
    <w:rsid w:val="00A9701F"/>
    <w:rsid w:val="00A97BE0"/>
    <w:rsid w:val="00AA3D91"/>
    <w:rsid w:val="00AA4F61"/>
    <w:rsid w:val="00AC1013"/>
    <w:rsid w:val="00AD02B1"/>
    <w:rsid w:val="00AE13EB"/>
    <w:rsid w:val="00AE2674"/>
    <w:rsid w:val="00AF1266"/>
    <w:rsid w:val="00B03367"/>
    <w:rsid w:val="00B04DC6"/>
    <w:rsid w:val="00B10B60"/>
    <w:rsid w:val="00B156AD"/>
    <w:rsid w:val="00B30C88"/>
    <w:rsid w:val="00B451A5"/>
    <w:rsid w:val="00B47EFA"/>
    <w:rsid w:val="00B47FED"/>
    <w:rsid w:val="00B51987"/>
    <w:rsid w:val="00B53F50"/>
    <w:rsid w:val="00B651D1"/>
    <w:rsid w:val="00B874A8"/>
    <w:rsid w:val="00B91D86"/>
    <w:rsid w:val="00B928B7"/>
    <w:rsid w:val="00B96098"/>
    <w:rsid w:val="00B96E00"/>
    <w:rsid w:val="00BA46F8"/>
    <w:rsid w:val="00BA6872"/>
    <w:rsid w:val="00BB182C"/>
    <w:rsid w:val="00BC3D2E"/>
    <w:rsid w:val="00BC43B8"/>
    <w:rsid w:val="00BD5BC4"/>
    <w:rsid w:val="00BD6025"/>
    <w:rsid w:val="00BE51AE"/>
    <w:rsid w:val="00BE67C4"/>
    <w:rsid w:val="00BF2A6B"/>
    <w:rsid w:val="00BF5A76"/>
    <w:rsid w:val="00C0287B"/>
    <w:rsid w:val="00C02C83"/>
    <w:rsid w:val="00C13E9C"/>
    <w:rsid w:val="00C227E6"/>
    <w:rsid w:val="00C247C8"/>
    <w:rsid w:val="00C25289"/>
    <w:rsid w:val="00C31139"/>
    <w:rsid w:val="00C414D2"/>
    <w:rsid w:val="00C452AF"/>
    <w:rsid w:val="00C453F8"/>
    <w:rsid w:val="00C45590"/>
    <w:rsid w:val="00C743F5"/>
    <w:rsid w:val="00C755FD"/>
    <w:rsid w:val="00C76344"/>
    <w:rsid w:val="00C8254F"/>
    <w:rsid w:val="00C8290B"/>
    <w:rsid w:val="00C840DE"/>
    <w:rsid w:val="00C843E6"/>
    <w:rsid w:val="00C87C48"/>
    <w:rsid w:val="00C96E88"/>
    <w:rsid w:val="00CA1223"/>
    <w:rsid w:val="00CA63AF"/>
    <w:rsid w:val="00CB444B"/>
    <w:rsid w:val="00CB73B5"/>
    <w:rsid w:val="00CC1436"/>
    <w:rsid w:val="00CC15BB"/>
    <w:rsid w:val="00CC2540"/>
    <w:rsid w:val="00CC28B7"/>
    <w:rsid w:val="00CC62A4"/>
    <w:rsid w:val="00CC6362"/>
    <w:rsid w:val="00CC6C21"/>
    <w:rsid w:val="00CD0C98"/>
    <w:rsid w:val="00CD5362"/>
    <w:rsid w:val="00CE25ED"/>
    <w:rsid w:val="00CE3BEF"/>
    <w:rsid w:val="00CF3310"/>
    <w:rsid w:val="00CF3C03"/>
    <w:rsid w:val="00CF4369"/>
    <w:rsid w:val="00D00543"/>
    <w:rsid w:val="00D01BE9"/>
    <w:rsid w:val="00D03921"/>
    <w:rsid w:val="00D11BCB"/>
    <w:rsid w:val="00D11CAF"/>
    <w:rsid w:val="00D12332"/>
    <w:rsid w:val="00D15792"/>
    <w:rsid w:val="00D237D0"/>
    <w:rsid w:val="00D32709"/>
    <w:rsid w:val="00D35796"/>
    <w:rsid w:val="00D37EAF"/>
    <w:rsid w:val="00D42904"/>
    <w:rsid w:val="00D46A83"/>
    <w:rsid w:val="00D55B47"/>
    <w:rsid w:val="00D57443"/>
    <w:rsid w:val="00D6471E"/>
    <w:rsid w:val="00D759D6"/>
    <w:rsid w:val="00D75A91"/>
    <w:rsid w:val="00D838AE"/>
    <w:rsid w:val="00D843B2"/>
    <w:rsid w:val="00D85D61"/>
    <w:rsid w:val="00D8662E"/>
    <w:rsid w:val="00D86B46"/>
    <w:rsid w:val="00D90239"/>
    <w:rsid w:val="00D90F94"/>
    <w:rsid w:val="00D92DBD"/>
    <w:rsid w:val="00D9427D"/>
    <w:rsid w:val="00D97016"/>
    <w:rsid w:val="00DD2034"/>
    <w:rsid w:val="00DD2872"/>
    <w:rsid w:val="00DD734C"/>
    <w:rsid w:val="00DE400E"/>
    <w:rsid w:val="00DE4709"/>
    <w:rsid w:val="00DE4C91"/>
    <w:rsid w:val="00DF7419"/>
    <w:rsid w:val="00E0222D"/>
    <w:rsid w:val="00E033CC"/>
    <w:rsid w:val="00E04ED1"/>
    <w:rsid w:val="00E05CC2"/>
    <w:rsid w:val="00E148A7"/>
    <w:rsid w:val="00E23AA6"/>
    <w:rsid w:val="00E24A59"/>
    <w:rsid w:val="00E30FE3"/>
    <w:rsid w:val="00E35851"/>
    <w:rsid w:val="00E50A5B"/>
    <w:rsid w:val="00E5547C"/>
    <w:rsid w:val="00E55ABF"/>
    <w:rsid w:val="00E561F8"/>
    <w:rsid w:val="00E704C4"/>
    <w:rsid w:val="00E756F8"/>
    <w:rsid w:val="00E76A3F"/>
    <w:rsid w:val="00E77612"/>
    <w:rsid w:val="00E81211"/>
    <w:rsid w:val="00E8242F"/>
    <w:rsid w:val="00E83353"/>
    <w:rsid w:val="00E91B2F"/>
    <w:rsid w:val="00E91E3F"/>
    <w:rsid w:val="00E92289"/>
    <w:rsid w:val="00E940B7"/>
    <w:rsid w:val="00E9565F"/>
    <w:rsid w:val="00EA79C5"/>
    <w:rsid w:val="00EB3E58"/>
    <w:rsid w:val="00EB7EE5"/>
    <w:rsid w:val="00EC0D1A"/>
    <w:rsid w:val="00EC6BD5"/>
    <w:rsid w:val="00ED7EB0"/>
    <w:rsid w:val="00EF2635"/>
    <w:rsid w:val="00EF73FF"/>
    <w:rsid w:val="00F018E3"/>
    <w:rsid w:val="00F17BB4"/>
    <w:rsid w:val="00F2691C"/>
    <w:rsid w:val="00F27F2D"/>
    <w:rsid w:val="00F331B0"/>
    <w:rsid w:val="00F36B48"/>
    <w:rsid w:val="00F43C97"/>
    <w:rsid w:val="00F44672"/>
    <w:rsid w:val="00F44D02"/>
    <w:rsid w:val="00F63183"/>
    <w:rsid w:val="00F650EB"/>
    <w:rsid w:val="00F67C64"/>
    <w:rsid w:val="00F7075A"/>
    <w:rsid w:val="00F72B69"/>
    <w:rsid w:val="00F74825"/>
    <w:rsid w:val="00F76E84"/>
    <w:rsid w:val="00F83802"/>
    <w:rsid w:val="00F87E44"/>
    <w:rsid w:val="00FA0B53"/>
    <w:rsid w:val="00FA0C8F"/>
    <w:rsid w:val="00FA22C9"/>
    <w:rsid w:val="00FA3412"/>
    <w:rsid w:val="00FA71B1"/>
    <w:rsid w:val="00FB5935"/>
    <w:rsid w:val="00FB61A2"/>
    <w:rsid w:val="00FB73A1"/>
    <w:rsid w:val="00FC3121"/>
    <w:rsid w:val="00FC3DF5"/>
    <w:rsid w:val="00FD3059"/>
    <w:rsid w:val="00FE0528"/>
    <w:rsid w:val="00FE3B20"/>
    <w:rsid w:val="00FF09A4"/>
    <w:rsid w:val="00FF423C"/>
    <w:rsid w:val="00FF4B73"/>
    <w:rsid w:val="00FF72B2"/>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A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14B6"/>
    <w:rPr>
      <w:color w:val="0000FF"/>
      <w:u w:val="single"/>
    </w:rPr>
  </w:style>
  <w:style w:type="paragraph" w:styleId="Header">
    <w:name w:val="header"/>
    <w:basedOn w:val="Normal"/>
    <w:link w:val="HeaderChar"/>
    <w:uiPriority w:val="99"/>
    <w:rsid w:val="00B451A5"/>
    <w:pPr>
      <w:tabs>
        <w:tab w:val="center" w:pos="4680"/>
        <w:tab w:val="right" w:pos="9360"/>
      </w:tabs>
    </w:pPr>
  </w:style>
  <w:style w:type="character" w:customStyle="1" w:styleId="HeaderChar">
    <w:name w:val="Header Char"/>
    <w:basedOn w:val="DefaultParagraphFont"/>
    <w:link w:val="Header"/>
    <w:uiPriority w:val="99"/>
    <w:rsid w:val="00B451A5"/>
    <w:rPr>
      <w:sz w:val="24"/>
      <w:szCs w:val="24"/>
    </w:rPr>
  </w:style>
  <w:style w:type="paragraph" w:styleId="Footer">
    <w:name w:val="footer"/>
    <w:basedOn w:val="Normal"/>
    <w:link w:val="FooterChar"/>
    <w:uiPriority w:val="99"/>
    <w:rsid w:val="00B451A5"/>
    <w:pPr>
      <w:tabs>
        <w:tab w:val="center" w:pos="4680"/>
        <w:tab w:val="right" w:pos="9360"/>
      </w:tabs>
    </w:pPr>
  </w:style>
  <w:style w:type="character" w:customStyle="1" w:styleId="FooterChar">
    <w:name w:val="Footer Char"/>
    <w:basedOn w:val="DefaultParagraphFont"/>
    <w:link w:val="Footer"/>
    <w:uiPriority w:val="99"/>
    <w:rsid w:val="00B451A5"/>
    <w:rPr>
      <w:sz w:val="24"/>
      <w:szCs w:val="24"/>
    </w:rPr>
  </w:style>
  <w:style w:type="character" w:styleId="CommentReference">
    <w:name w:val="annotation reference"/>
    <w:basedOn w:val="DefaultParagraphFont"/>
    <w:rsid w:val="00F74825"/>
    <w:rPr>
      <w:sz w:val="16"/>
      <w:szCs w:val="16"/>
    </w:rPr>
  </w:style>
  <w:style w:type="paragraph" w:styleId="CommentText">
    <w:name w:val="annotation text"/>
    <w:basedOn w:val="Normal"/>
    <w:link w:val="CommentTextChar"/>
    <w:rsid w:val="00F74825"/>
    <w:rPr>
      <w:sz w:val="20"/>
      <w:szCs w:val="20"/>
    </w:rPr>
  </w:style>
  <w:style w:type="character" w:customStyle="1" w:styleId="CommentTextChar">
    <w:name w:val="Comment Text Char"/>
    <w:basedOn w:val="DefaultParagraphFont"/>
    <w:link w:val="CommentText"/>
    <w:rsid w:val="00F74825"/>
  </w:style>
  <w:style w:type="paragraph" w:styleId="CommentSubject">
    <w:name w:val="annotation subject"/>
    <w:basedOn w:val="CommentText"/>
    <w:next w:val="CommentText"/>
    <w:link w:val="CommentSubjectChar"/>
    <w:rsid w:val="00F74825"/>
    <w:rPr>
      <w:b/>
      <w:bCs/>
    </w:rPr>
  </w:style>
  <w:style w:type="character" w:customStyle="1" w:styleId="CommentSubjectChar">
    <w:name w:val="Comment Subject Char"/>
    <w:basedOn w:val="CommentTextChar"/>
    <w:link w:val="CommentSubject"/>
    <w:rsid w:val="00F74825"/>
    <w:rPr>
      <w:b/>
      <w:bCs/>
    </w:rPr>
  </w:style>
  <w:style w:type="paragraph" w:styleId="BalloonText">
    <w:name w:val="Balloon Text"/>
    <w:basedOn w:val="Normal"/>
    <w:link w:val="BalloonTextChar"/>
    <w:rsid w:val="00F74825"/>
    <w:rPr>
      <w:rFonts w:ascii="Tahoma" w:hAnsi="Tahoma" w:cs="Tahoma"/>
      <w:sz w:val="16"/>
      <w:szCs w:val="16"/>
    </w:rPr>
  </w:style>
  <w:style w:type="character" w:customStyle="1" w:styleId="BalloonTextChar">
    <w:name w:val="Balloon Text Char"/>
    <w:basedOn w:val="DefaultParagraphFont"/>
    <w:link w:val="BalloonText"/>
    <w:rsid w:val="00F74825"/>
    <w:rPr>
      <w:rFonts w:ascii="Tahoma" w:hAnsi="Tahoma" w:cs="Tahoma"/>
      <w:sz w:val="16"/>
      <w:szCs w:val="16"/>
    </w:rPr>
  </w:style>
  <w:style w:type="paragraph" w:styleId="Revision">
    <w:name w:val="Revision"/>
    <w:hidden/>
    <w:uiPriority w:val="99"/>
    <w:semiHidden/>
    <w:rsid w:val="00F27F2D"/>
    <w:rPr>
      <w:sz w:val="24"/>
      <w:szCs w:val="24"/>
    </w:rPr>
  </w:style>
  <w:style w:type="paragraph" w:styleId="FootnoteText">
    <w:name w:val="footnote text"/>
    <w:basedOn w:val="Normal"/>
    <w:link w:val="FootnoteTextChar"/>
    <w:rsid w:val="0097600A"/>
    <w:rPr>
      <w:rFonts w:eastAsia="Times"/>
      <w:sz w:val="20"/>
      <w:szCs w:val="20"/>
    </w:rPr>
  </w:style>
  <w:style w:type="character" w:customStyle="1" w:styleId="FootnoteTextChar">
    <w:name w:val="Footnote Text Char"/>
    <w:basedOn w:val="DefaultParagraphFont"/>
    <w:link w:val="FootnoteText"/>
    <w:rsid w:val="0097600A"/>
    <w:rPr>
      <w:rFonts w:eastAsia="Times"/>
    </w:rPr>
  </w:style>
  <w:style w:type="character" w:styleId="FootnoteReference">
    <w:name w:val="footnote reference"/>
    <w:basedOn w:val="DefaultParagraphFont"/>
    <w:uiPriority w:val="99"/>
    <w:rsid w:val="0097600A"/>
    <w:rPr>
      <w:vertAlign w:val="superscript"/>
    </w:rPr>
  </w:style>
  <w:style w:type="paragraph" w:styleId="ListParagraph">
    <w:name w:val="List Paragraph"/>
    <w:basedOn w:val="Normal"/>
    <w:uiPriority w:val="34"/>
    <w:qFormat/>
    <w:rsid w:val="0097600A"/>
    <w:pPr>
      <w:ind w:left="720"/>
      <w:contextualSpacing/>
    </w:pPr>
  </w:style>
  <w:style w:type="paragraph" w:styleId="NormalWeb">
    <w:name w:val="Normal (Web)"/>
    <w:basedOn w:val="Normal"/>
    <w:unhideWhenUsed/>
    <w:rsid w:val="00EC0D1A"/>
    <w:pPr>
      <w:spacing w:before="100" w:beforeAutospacing="1" w:after="100" w:afterAutospacing="1"/>
    </w:pPr>
  </w:style>
  <w:style w:type="paragraph" w:customStyle="1" w:styleId="Body">
    <w:name w:val="Body"/>
    <w:rsid w:val="00E04ED1"/>
    <w:rPr>
      <w:rFonts w:eastAsia="Arial Unicode MS" w:hAnsi="Arial Unicode MS" w:cs="Arial Unicode MS"/>
      <w:color w:val="000000"/>
      <w:sz w:val="24"/>
      <w:szCs w:val="24"/>
      <w:u w:color="000000"/>
    </w:rPr>
  </w:style>
  <w:style w:type="table" w:styleId="TableGrid">
    <w:name w:val="Table Grid"/>
    <w:basedOn w:val="TableNormal"/>
    <w:rsid w:val="00814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0816">
      <w:bodyDiv w:val="1"/>
      <w:marLeft w:val="0"/>
      <w:marRight w:val="0"/>
      <w:marTop w:val="0"/>
      <w:marBottom w:val="0"/>
      <w:divBdr>
        <w:top w:val="none" w:sz="0" w:space="0" w:color="auto"/>
        <w:left w:val="none" w:sz="0" w:space="0" w:color="auto"/>
        <w:bottom w:val="none" w:sz="0" w:space="0" w:color="auto"/>
        <w:right w:val="none" w:sz="0" w:space="0" w:color="auto"/>
      </w:divBdr>
      <w:divsChild>
        <w:div w:id="1293752298">
          <w:marLeft w:val="0"/>
          <w:marRight w:val="0"/>
          <w:marTop w:val="0"/>
          <w:marBottom w:val="0"/>
          <w:divBdr>
            <w:top w:val="none" w:sz="0" w:space="0" w:color="auto"/>
            <w:left w:val="none" w:sz="0" w:space="0" w:color="auto"/>
            <w:bottom w:val="none" w:sz="0" w:space="0" w:color="auto"/>
            <w:right w:val="none" w:sz="0" w:space="0" w:color="auto"/>
          </w:divBdr>
          <w:divsChild>
            <w:div w:id="1077171655">
              <w:marLeft w:val="0"/>
              <w:marRight w:val="0"/>
              <w:marTop w:val="0"/>
              <w:marBottom w:val="0"/>
              <w:divBdr>
                <w:top w:val="none" w:sz="0" w:space="0" w:color="auto"/>
                <w:left w:val="none" w:sz="0" w:space="0" w:color="auto"/>
                <w:bottom w:val="none" w:sz="0" w:space="0" w:color="auto"/>
                <w:right w:val="none" w:sz="0" w:space="0" w:color="auto"/>
              </w:divBdr>
              <w:divsChild>
                <w:div w:id="514466523">
                  <w:marLeft w:val="0"/>
                  <w:marRight w:val="0"/>
                  <w:marTop w:val="0"/>
                  <w:marBottom w:val="0"/>
                  <w:divBdr>
                    <w:top w:val="none" w:sz="0" w:space="0" w:color="auto"/>
                    <w:left w:val="none" w:sz="0" w:space="0" w:color="auto"/>
                    <w:bottom w:val="none" w:sz="0" w:space="0" w:color="auto"/>
                    <w:right w:val="none" w:sz="0" w:space="0" w:color="auto"/>
                  </w:divBdr>
                  <w:divsChild>
                    <w:div w:id="276639671">
                      <w:marLeft w:val="0"/>
                      <w:marRight w:val="0"/>
                      <w:marTop w:val="0"/>
                      <w:marBottom w:val="0"/>
                      <w:divBdr>
                        <w:top w:val="none" w:sz="0" w:space="0" w:color="auto"/>
                        <w:left w:val="none" w:sz="0" w:space="0" w:color="auto"/>
                        <w:bottom w:val="none" w:sz="0" w:space="0" w:color="auto"/>
                        <w:right w:val="none" w:sz="0" w:space="0" w:color="auto"/>
                      </w:divBdr>
                      <w:divsChild>
                        <w:div w:id="6490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601946">
      <w:bodyDiv w:val="1"/>
      <w:marLeft w:val="0"/>
      <w:marRight w:val="0"/>
      <w:marTop w:val="0"/>
      <w:marBottom w:val="0"/>
      <w:divBdr>
        <w:top w:val="none" w:sz="0" w:space="0" w:color="auto"/>
        <w:left w:val="none" w:sz="0" w:space="0" w:color="auto"/>
        <w:bottom w:val="none" w:sz="0" w:space="0" w:color="auto"/>
        <w:right w:val="none" w:sz="0" w:space="0" w:color="auto"/>
      </w:divBdr>
      <w:divsChild>
        <w:div w:id="679812862">
          <w:marLeft w:val="0"/>
          <w:marRight w:val="0"/>
          <w:marTop w:val="0"/>
          <w:marBottom w:val="0"/>
          <w:divBdr>
            <w:top w:val="none" w:sz="0" w:space="0" w:color="auto"/>
            <w:left w:val="none" w:sz="0" w:space="0" w:color="auto"/>
            <w:bottom w:val="none" w:sz="0" w:space="0" w:color="auto"/>
            <w:right w:val="none" w:sz="0" w:space="0" w:color="auto"/>
          </w:divBdr>
        </w:div>
        <w:div w:id="73936958">
          <w:marLeft w:val="0"/>
          <w:marRight w:val="0"/>
          <w:marTop w:val="0"/>
          <w:marBottom w:val="0"/>
          <w:divBdr>
            <w:top w:val="none" w:sz="0" w:space="0" w:color="auto"/>
            <w:left w:val="none" w:sz="0" w:space="0" w:color="auto"/>
            <w:bottom w:val="none" w:sz="0" w:space="0" w:color="auto"/>
            <w:right w:val="none" w:sz="0" w:space="0" w:color="auto"/>
          </w:divBdr>
        </w:div>
        <w:div w:id="1092047310">
          <w:marLeft w:val="0"/>
          <w:marRight w:val="0"/>
          <w:marTop w:val="0"/>
          <w:marBottom w:val="0"/>
          <w:divBdr>
            <w:top w:val="none" w:sz="0" w:space="0" w:color="auto"/>
            <w:left w:val="none" w:sz="0" w:space="0" w:color="auto"/>
            <w:bottom w:val="none" w:sz="0" w:space="0" w:color="auto"/>
            <w:right w:val="none" w:sz="0" w:space="0" w:color="auto"/>
          </w:divBdr>
        </w:div>
        <w:div w:id="1861048266">
          <w:marLeft w:val="0"/>
          <w:marRight w:val="0"/>
          <w:marTop w:val="0"/>
          <w:marBottom w:val="0"/>
          <w:divBdr>
            <w:top w:val="none" w:sz="0" w:space="0" w:color="auto"/>
            <w:left w:val="none" w:sz="0" w:space="0" w:color="auto"/>
            <w:bottom w:val="none" w:sz="0" w:space="0" w:color="auto"/>
            <w:right w:val="none" w:sz="0" w:space="0" w:color="auto"/>
          </w:divBdr>
        </w:div>
      </w:divsChild>
    </w:div>
    <w:div w:id="305666930">
      <w:bodyDiv w:val="1"/>
      <w:marLeft w:val="0"/>
      <w:marRight w:val="0"/>
      <w:marTop w:val="0"/>
      <w:marBottom w:val="0"/>
      <w:divBdr>
        <w:top w:val="none" w:sz="0" w:space="0" w:color="auto"/>
        <w:left w:val="none" w:sz="0" w:space="0" w:color="auto"/>
        <w:bottom w:val="none" w:sz="0" w:space="0" w:color="auto"/>
        <w:right w:val="none" w:sz="0" w:space="0" w:color="auto"/>
      </w:divBdr>
    </w:div>
    <w:div w:id="594872867">
      <w:bodyDiv w:val="1"/>
      <w:marLeft w:val="0"/>
      <w:marRight w:val="0"/>
      <w:marTop w:val="0"/>
      <w:marBottom w:val="0"/>
      <w:divBdr>
        <w:top w:val="none" w:sz="0" w:space="0" w:color="auto"/>
        <w:left w:val="none" w:sz="0" w:space="0" w:color="auto"/>
        <w:bottom w:val="none" w:sz="0" w:space="0" w:color="auto"/>
        <w:right w:val="none" w:sz="0" w:space="0" w:color="auto"/>
      </w:divBdr>
      <w:divsChild>
        <w:div w:id="1771462647">
          <w:marLeft w:val="0"/>
          <w:marRight w:val="0"/>
          <w:marTop w:val="0"/>
          <w:marBottom w:val="0"/>
          <w:divBdr>
            <w:top w:val="none" w:sz="0" w:space="0" w:color="auto"/>
            <w:left w:val="none" w:sz="0" w:space="0" w:color="auto"/>
            <w:bottom w:val="none" w:sz="0" w:space="0" w:color="auto"/>
            <w:right w:val="none" w:sz="0" w:space="0" w:color="auto"/>
          </w:divBdr>
        </w:div>
        <w:div w:id="827482605">
          <w:marLeft w:val="0"/>
          <w:marRight w:val="0"/>
          <w:marTop w:val="0"/>
          <w:marBottom w:val="0"/>
          <w:divBdr>
            <w:top w:val="none" w:sz="0" w:space="0" w:color="auto"/>
            <w:left w:val="none" w:sz="0" w:space="0" w:color="auto"/>
            <w:bottom w:val="none" w:sz="0" w:space="0" w:color="auto"/>
            <w:right w:val="none" w:sz="0" w:space="0" w:color="auto"/>
          </w:divBdr>
        </w:div>
        <w:div w:id="1507398929">
          <w:marLeft w:val="0"/>
          <w:marRight w:val="0"/>
          <w:marTop w:val="0"/>
          <w:marBottom w:val="0"/>
          <w:divBdr>
            <w:top w:val="none" w:sz="0" w:space="0" w:color="auto"/>
            <w:left w:val="none" w:sz="0" w:space="0" w:color="auto"/>
            <w:bottom w:val="none" w:sz="0" w:space="0" w:color="auto"/>
            <w:right w:val="none" w:sz="0" w:space="0" w:color="auto"/>
          </w:divBdr>
        </w:div>
        <w:div w:id="1228568123">
          <w:marLeft w:val="0"/>
          <w:marRight w:val="0"/>
          <w:marTop w:val="0"/>
          <w:marBottom w:val="0"/>
          <w:divBdr>
            <w:top w:val="none" w:sz="0" w:space="0" w:color="auto"/>
            <w:left w:val="none" w:sz="0" w:space="0" w:color="auto"/>
            <w:bottom w:val="none" w:sz="0" w:space="0" w:color="auto"/>
            <w:right w:val="none" w:sz="0" w:space="0" w:color="auto"/>
          </w:divBdr>
        </w:div>
        <w:div w:id="1407221443">
          <w:marLeft w:val="0"/>
          <w:marRight w:val="0"/>
          <w:marTop w:val="0"/>
          <w:marBottom w:val="0"/>
          <w:divBdr>
            <w:top w:val="none" w:sz="0" w:space="0" w:color="auto"/>
            <w:left w:val="none" w:sz="0" w:space="0" w:color="auto"/>
            <w:bottom w:val="none" w:sz="0" w:space="0" w:color="auto"/>
            <w:right w:val="none" w:sz="0" w:space="0" w:color="auto"/>
          </w:divBdr>
        </w:div>
      </w:divsChild>
    </w:div>
    <w:div w:id="610210141">
      <w:bodyDiv w:val="1"/>
      <w:marLeft w:val="0"/>
      <w:marRight w:val="0"/>
      <w:marTop w:val="0"/>
      <w:marBottom w:val="0"/>
      <w:divBdr>
        <w:top w:val="none" w:sz="0" w:space="0" w:color="auto"/>
        <w:left w:val="none" w:sz="0" w:space="0" w:color="auto"/>
        <w:bottom w:val="none" w:sz="0" w:space="0" w:color="auto"/>
        <w:right w:val="none" w:sz="0" w:space="0" w:color="auto"/>
      </w:divBdr>
    </w:div>
    <w:div w:id="695545413">
      <w:bodyDiv w:val="1"/>
      <w:marLeft w:val="0"/>
      <w:marRight w:val="0"/>
      <w:marTop w:val="0"/>
      <w:marBottom w:val="0"/>
      <w:divBdr>
        <w:top w:val="none" w:sz="0" w:space="0" w:color="auto"/>
        <w:left w:val="none" w:sz="0" w:space="0" w:color="auto"/>
        <w:bottom w:val="none" w:sz="0" w:space="0" w:color="auto"/>
        <w:right w:val="none" w:sz="0" w:space="0" w:color="auto"/>
      </w:divBdr>
      <w:divsChild>
        <w:div w:id="97339613">
          <w:marLeft w:val="0"/>
          <w:marRight w:val="0"/>
          <w:marTop w:val="0"/>
          <w:marBottom w:val="0"/>
          <w:divBdr>
            <w:top w:val="none" w:sz="0" w:space="0" w:color="auto"/>
            <w:left w:val="none" w:sz="0" w:space="0" w:color="auto"/>
            <w:bottom w:val="none" w:sz="0" w:space="0" w:color="auto"/>
            <w:right w:val="none" w:sz="0" w:space="0" w:color="auto"/>
          </w:divBdr>
        </w:div>
        <w:div w:id="1773623720">
          <w:marLeft w:val="0"/>
          <w:marRight w:val="0"/>
          <w:marTop w:val="0"/>
          <w:marBottom w:val="0"/>
          <w:divBdr>
            <w:top w:val="none" w:sz="0" w:space="0" w:color="auto"/>
            <w:left w:val="none" w:sz="0" w:space="0" w:color="auto"/>
            <w:bottom w:val="none" w:sz="0" w:space="0" w:color="auto"/>
            <w:right w:val="none" w:sz="0" w:space="0" w:color="auto"/>
          </w:divBdr>
        </w:div>
      </w:divsChild>
    </w:div>
    <w:div w:id="861288572">
      <w:bodyDiv w:val="1"/>
      <w:marLeft w:val="0"/>
      <w:marRight w:val="0"/>
      <w:marTop w:val="0"/>
      <w:marBottom w:val="0"/>
      <w:divBdr>
        <w:top w:val="none" w:sz="0" w:space="0" w:color="auto"/>
        <w:left w:val="none" w:sz="0" w:space="0" w:color="auto"/>
        <w:bottom w:val="none" w:sz="0" w:space="0" w:color="auto"/>
        <w:right w:val="none" w:sz="0" w:space="0" w:color="auto"/>
      </w:divBdr>
      <w:divsChild>
        <w:div w:id="2031948584">
          <w:marLeft w:val="0"/>
          <w:marRight w:val="0"/>
          <w:marTop w:val="0"/>
          <w:marBottom w:val="0"/>
          <w:divBdr>
            <w:top w:val="none" w:sz="0" w:space="0" w:color="auto"/>
            <w:left w:val="none" w:sz="0" w:space="0" w:color="auto"/>
            <w:bottom w:val="none" w:sz="0" w:space="0" w:color="auto"/>
            <w:right w:val="none" w:sz="0" w:space="0" w:color="auto"/>
          </w:divBdr>
        </w:div>
        <w:div w:id="1880820214">
          <w:marLeft w:val="0"/>
          <w:marRight w:val="0"/>
          <w:marTop w:val="0"/>
          <w:marBottom w:val="0"/>
          <w:divBdr>
            <w:top w:val="none" w:sz="0" w:space="0" w:color="auto"/>
            <w:left w:val="none" w:sz="0" w:space="0" w:color="auto"/>
            <w:bottom w:val="none" w:sz="0" w:space="0" w:color="auto"/>
            <w:right w:val="none" w:sz="0" w:space="0" w:color="auto"/>
          </w:divBdr>
        </w:div>
        <w:div w:id="748574851">
          <w:marLeft w:val="0"/>
          <w:marRight w:val="0"/>
          <w:marTop w:val="0"/>
          <w:marBottom w:val="0"/>
          <w:divBdr>
            <w:top w:val="none" w:sz="0" w:space="0" w:color="auto"/>
            <w:left w:val="none" w:sz="0" w:space="0" w:color="auto"/>
            <w:bottom w:val="none" w:sz="0" w:space="0" w:color="auto"/>
            <w:right w:val="none" w:sz="0" w:space="0" w:color="auto"/>
          </w:divBdr>
        </w:div>
      </w:divsChild>
    </w:div>
    <w:div w:id="892153459">
      <w:bodyDiv w:val="1"/>
      <w:marLeft w:val="0"/>
      <w:marRight w:val="0"/>
      <w:marTop w:val="0"/>
      <w:marBottom w:val="0"/>
      <w:divBdr>
        <w:top w:val="none" w:sz="0" w:space="0" w:color="auto"/>
        <w:left w:val="none" w:sz="0" w:space="0" w:color="auto"/>
        <w:bottom w:val="none" w:sz="0" w:space="0" w:color="auto"/>
        <w:right w:val="none" w:sz="0" w:space="0" w:color="auto"/>
      </w:divBdr>
    </w:div>
    <w:div w:id="1102065357">
      <w:bodyDiv w:val="1"/>
      <w:marLeft w:val="0"/>
      <w:marRight w:val="0"/>
      <w:marTop w:val="0"/>
      <w:marBottom w:val="0"/>
      <w:divBdr>
        <w:top w:val="none" w:sz="0" w:space="0" w:color="auto"/>
        <w:left w:val="none" w:sz="0" w:space="0" w:color="auto"/>
        <w:bottom w:val="none" w:sz="0" w:space="0" w:color="auto"/>
        <w:right w:val="none" w:sz="0" w:space="0" w:color="auto"/>
      </w:divBdr>
    </w:div>
    <w:div w:id="1400667218">
      <w:bodyDiv w:val="1"/>
      <w:marLeft w:val="0"/>
      <w:marRight w:val="0"/>
      <w:marTop w:val="0"/>
      <w:marBottom w:val="0"/>
      <w:divBdr>
        <w:top w:val="none" w:sz="0" w:space="0" w:color="auto"/>
        <w:left w:val="none" w:sz="0" w:space="0" w:color="auto"/>
        <w:bottom w:val="none" w:sz="0" w:space="0" w:color="auto"/>
        <w:right w:val="none" w:sz="0" w:space="0" w:color="auto"/>
      </w:divBdr>
    </w:div>
    <w:div w:id="2084374647">
      <w:bodyDiv w:val="1"/>
      <w:marLeft w:val="0"/>
      <w:marRight w:val="0"/>
      <w:marTop w:val="0"/>
      <w:marBottom w:val="0"/>
      <w:divBdr>
        <w:top w:val="none" w:sz="0" w:space="0" w:color="auto"/>
        <w:left w:val="none" w:sz="0" w:space="0" w:color="auto"/>
        <w:bottom w:val="none" w:sz="0" w:space="0" w:color="auto"/>
        <w:right w:val="none" w:sz="0" w:space="0" w:color="auto"/>
      </w:divBdr>
      <w:divsChild>
        <w:div w:id="1945068115">
          <w:marLeft w:val="0"/>
          <w:marRight w:val="0"/>
          <w:marTop w:val="0"/>
          <w:marBottom w:val="0"/>
          <w:divBdr>
            <w:top w:val="none" w:sz="0" w:space="0" w:color="auto"/>
            <w:left w:val="none" w:sz="0" w:space="0" w:color="auto"/>
            <w:bottom w:val="none" w:sz="0" w:space="0" w:color="auto"/>
            <w:right w:val="none" w:sz="0" w:space="0" w:color="auto"/>
          </w:divBdr>
        </w:div>
        <w:div w:id="759254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6EDF-261C-4EA4-B224-E947E297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25156</CharactersWithSpaces>
  <SharedDoc>false</SharedDoc>
  <HLinks>
    <vt:vector size="6" baseType="variant">
      <vt:variant>
        <vt:i4>4259846</vt:i4>
      </vt:variant>
      <vt:variant>
        <vt:i4>0</vt:i4>
      </vt:variant>
      <vt:variant>
        <vt:i4>0</vt:i4>
      </vt:variant>
      <vt:variant>
        <vt:i4>5</vt:i4>
      </vt:variant>
      <vt:variant>
        <vt:lpwstr>http://www.arnet.gov/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2016-02-16T18:13:00Z</dcterms:created>
  <dcterms:modified xsi:type="dcterms:W3CDTF">2016-02-16T18:13:00Z</dcterms:modified>
</cp:coreProperties>
</file>