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22DD14B" w14:textId="77777777" w:rsidR="004A3DF6" w:rsidRPr="005F1CE7" w:rsidRDefault="004A3DF6" w:rsidP="004A3DF6">
      <w:pPr>
        <w:jc w:val="center"/>
        <w:rPr>
          <w:b/>
          <w:sz w:val="28"/>
          <w:szCs w:val="28"/>
        </w:rPr>
      </w:pPr>
      <w:r w:rsidRPr="005F1CE7">
        <w:rPr>
          <w:b/>
          <w:sz w:val="28"/>
          <w:szCs w:val="28"/>
        </w:rPr>
        <w:t xml:space="preserve">USGS </w:t>
      </w:r>
      <w:r>
        <w:rPr>
          <w:b/>
          <w:sz w:val="28"/>
          <w:szCs w:val="28"/>
        </w:rPr>
        <w:t>Water Use Data and Research Program</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0C6CACE2"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4A3DF6" w:rsidRPr="004A3DF6">
        <w:rPr>
          <w:b/>
          <w:bCs/>
          <w:sz w:val="32"/>
          <w:szCs w:val="32"/>
        </w:rPr>
        <w:t>NEW</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2E0F1538"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004A3DF6">
        <w:rPr>
          <w:b/>
          <w:sz w:val="24"/>
          <w:szCs w:val="24"/>
        </w:rPr>
        <w:t>: 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6D10D267" w14:textId="77777777" w:rsidR="004A3DF6" w:rsidRDefault="004A3DF6" w:rsidP="004A3DF6">
      <w:pPr>
        <w:rPr>
          <w:sz w:val="22"/>
          <w:szCs w:val="22"/>
        </w:rPr>
      </w:pPr>
    </w:p>
    <w:p w14:paraId="7C3DE1EA" w14:textId="111DE69D" w:rsidR="004A3DF6" w:rsidRPr="00F37219" w:rsidRDefault="004A3DF6" w:rsidP="00FC1FFD">
      <w:pPr>
        <w:ind w:left="360"/>
        <w:rPr>
          <w:sz w:val="22"/>
          <w:szCs w:val="22"/>
        </w:rPr>
      </w:pPr>
      <w:r w:rsidRPr="00F37219">
        <w:rPr>
          <w:sz w:val="22"/>
          <w:szCs w:val="22"/>
        </w:rPr>
        <w:t xml:space="preserve">The SECURE Water Act of 2009 (Public Law 111–11) </w:t>
      </w:r>
      <w:r w:rsidR="00B45B33">
        <w:rPr>
          <w:sz w:val="22"/>
          <w:szCs w:val="22"/>
        </w:rPr>
        <w:t xml:space="preserve">Section 9508 </w:t>
      </w:r>
      <w:r w:rsidRPr="00F37219">
        <w:rPr>
          <w:sz w:val="22"/>
          <w:szCs w:val="22"/>
        </w:rPr>
        <w:t xml:space="preserve">authorizes the U. S. Geological Survey (USGS) to support water use research and data collection activities through </w:t>
      </w:r>
      <w:r w:rsidR="00802EB6">
        <w:rPr>
          <w:sz w:val="22"/>
          <w:szCs w:val="22"/>
        </w:rPr>
        <w:t xml:space="preserve">financial </w:t>
      </w:r>
      <w:r w:rsidRPr="00F37219">
        <w:rPr>
          <w:sz w:val="22"/>
          <w:szCs w:val="22"/>
        </w:rPr>
        <w:t>assistance (cooperative agreements)</w:t>
      </w:r>
      <w:r>
        <w:rPr>
          <w:sz w:val="22"/>
          <w:szCs w:val="22"/>
        </w:rPr>
        <w:t xml:space="preserve"> to State water resource agencies</w:t>
      </w:r>
      <w:r w:rsidRPr="00F37219">
        <w:rPr>
          <w:sz w:val="22"/>
          <w:szCs w:val="22"/>
        </w:rPr>
        <w:t>. The USGS Water Availability and Use Science Program (WAUSP) fulfills the Water Resources Mission Area's objectives to provide comprehensive water</w:t>
      </w:r>
      <w:r w:rsidR="00802EB6">
        <w:rPr>
          <w:sz w:val="22"/>
          <w:szCs w:val="22"/>
        </w:rPr>
        <w:t>-</w:t>
      </w:r>
      <w:r w:rsidRPr="00F37219">
        <w:rPr>
          <w:sz w:val="22"/>
          <w:szCs w:val="22"/>
        </w:rPr>
        <w:t xml:space="preserve">availability and </w:t>
      </w:r>
      <w:r w:rsidR="00802EB6">
        <w:rPr>
          <w:sz w:val="22"/>
          <w:szCs w:val="22"/>
        </w:rPr>
        <w:t>water-</w:t>
      </w:r>
      <w:r w:rsidRPr="00F37219">
        <w:rPr>
          <w:sz w:val="22"/>
          <w:szCs w:val="22"/>
        </w:rPr>
        <w:t>use science to the Nation</w:t>
      </w:r>
      <w:r w:rsidR="003B04B5">
        <w:rPr>
          <w:sz w:val="22"/>
          <w:szCs w:val="22"/>
        </w:rPr>
        <w:t>,</w:t>
      </w:r>
      <w:r w:rsidRPr="00F37219">
        <w:rPr>
          <w:sz w:val="22"/>
          <w:szCs w:val="22"/>
        </w:rPr>
        <w:t xml:space="preserve"> by advancing the understanding of processes that determine water availability. </w:t>
      </w:r>
      <w:r>
        <w:rPr>
          <w:sz w:val="22"/>
          <w:szCs w:val="22"/>
        </w:rPr>
        <w:t>The WAUSP</w:t>
      </w:r>
      <w:r w:rsidRPr="00F37219">
        <w:rPr>
          <w:sz w:val="22"/>
          <w:szCs w:val="22"/>
        </w:rPr>
        <w:t xml:space="preserve"> includes the USGS National Water Use Information Program</w:t>
      </w:r>
      <w:r>
        <w:rPr>
          <w:sz w:val="22"/>
          <w:szCs w:val="22"/>
        </w:rPr>
        <w:t xml:space="preserve"> and is </w:t>
      </w:r>
      <w:r w:rsidRPr="00B54BBF">
        <w:rPr>
          <w:sz w:val="22"/>
          <w:szCs w:val="22"/>
        </w:rPr>
        <w:t>responsible for compiling and disseminating the nation's water-use data</w:t>
      </w:r>
      <w:r>
        <w:rPr>
          <w:sz w:val="22"/>
          <w:szCs w:val="22"/>
        </w:rPr>
        <w:t>, working</w:t>
      </w:r>
      <w:r w:rsidRPr="00B54BBF">
        <w:rPr>
          <w:sz w:val="22"/>
          <w:szCs w:val="22"/>
        </w:rPr>
        <w:t xml:space="preserve"> in cooperation with local, State, and Federal environmental agencies. USGS compiles these data to produce water-use information aggregated at the county, state, and national levels.</w:t>
      </w:r>
      <w:r>
        <w:t xml:space="preserve"> </w:t>
      </w:r>
      <w:r w:rsidRPr="00F37219">
        <w:rPr>
          <w:sz w:val="22"/>
          <w:szCs w:val="22"/>
        </w:rPr>
        <w:t xml:space="preserve">The assistance application instructions, specific objectives, and reporting requirements are identified in program announcements posted to Grants.gov. </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4FD044E6" w14:textId="77777777" w:rsidR="00FC1FFD" w:rsidRDefault="00FC1F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8D99604" w14:textId="4EBEC08B" w:rsidR="004A3DF6" w:rsidRPr="00C353E5" w:rsidRDefault="004A3DF6" w:rsidP="00FC1FFD">
      <w:pPr>
        <w:ind w:left="360"/>
        <w:rPr>
          <w:sz w:val="22"/>
          <w:szCs w:val="22"/>
        </w:rPr>
      </w:pPr>
      <w:r>
        <w:rPr>
          <w:sz w:val="22"/>
          <w:szCs w:val="22"/>
        </w:rPr>
        <w:t>State Water Resources agencies are eligible to</w:t>
      </w:r>
      <w:r w:rsidRPr="00070B68">
        <w:rPr>
          <w:sz w:val="22"/>
          <w:szCs w:val="22"/>
        </w:rPr>
        <w:t xml:space="preserve"> </w:t>
      </w:r>
      <w:r>
        <w:rPr>
          <w:sz w:val="22"/>
          <w:szCs w:val="22"/>
        </w:rPr>
        <w:t>submit</w:t>
      </w:r>
      <w:r w:rsidRPr="00070B68">
        <w:rPr>
          <w:sz w:val="22"/>
          <w:szCs w:val="22"/>
        </w:rPr>
        <w:t xml:space="preserve"> </w:t>
      </w:r>
      <w:r>
        <w:rPr>
          <w:sz w:val="22"/>
          <w:szCs w:val="22"/>
        </w:rPr>
        <w:t>proposals</w:t>
      </w:r>
      <w:r w:rsidRPr="00070B68">
        <w:rPr>
          <w:sz w:val="22"/>
          <w:szCs w:val="22"/>
        </w:rPr>
        <w:t xml:space="preserve"> to acquire funding to support research </w:t>
      </w:r>
      <w:r>
        <w:rPr>
          <w:sz w:val="22"/>
          <w:szCs w:val="22"/>
        </w:rPr>
        <w:t>related to water use data collection, development of estimation techniques and methods, and data delivery. The</w:t>
      </w:r>
      <w:r w:rsidR="00C91ED3">
        <w:rPr>
          <w:sz w:val="22"/>
          <w:szCs w:val="22"/>
        </w:rPr>
        <w:t xml:space="preserve"> USGS Water Use Data and Research Program</w:t>
      </w:r>
      <w:r>
        <w:rPr>
          <w:sz w:val="22"/>
          <w:szCs w:val="22"/>
        </w:rPr>
        <w:t xml:space="preserve"> WUDR</w:t>
      </w:r>
      <w:r w:rsidRPr="00C353E5">
        <w:rPr>
          <w:sz w:val="22"/>
          <w:szCs w:val="22"/>
        </w:rPr>
        <w:t xml:space="preserve"> will use the requested information to determine the eligibility of the applicants and as the basis for approval or disapproval of proposed </w:t>
      </w:r>
      <w:r>
        <w:rPr>
          <w:sz w:val="22"/>
          <w:szCs w:val="22"/>
        </w:rPr>
        <w:t xml:space="preserve">data collection activities and </w:t>
      </w:r>
      <w:r w:rsidRPr="00C353E5">
        <w:rPr>
          <w:sz w:val="22"/>
          <w:szCs w:val="22"/>
        </w:rPr>
        <w:t xml:space="preserve">research. This collection will ensure that sufficient and relevant information is available to evaluate and select applications for funding.  Financial assistance will be awarded following the evaluation and ranking of applications by a review panel familiar with the objectives of the </w:t>
      </w:r>
      <w:r>
        <w:rPr>
          <w:sz w:val="22"/>
          <w:szCs w:val="22"/>
        </w:rPr>
        <w:t>WUDR</w:t>
      </w:r>
      <w:r w:rsidRPr="00C353E5">
        <w:rPr>
          <w:sz w:val="22"/>
          <w:szCs w:val="22"/>
        </w:rPr>
        <w:t>.</w:t>
      </w:r>
    </w:p>
    <w:p w14:paraId="1E5CCC6E" w14:textId="77777777" w:rsidR="004A3DF6" w:rsidRPr="00C353E5" w:rsidRDefault="004A3DF6" w:rsidP="00FC1FFD">
      <w:pPr>
        <w:ind w:left="360"/>
        <w:rPr>
          <w:sz w:val="22"/>
          <w:szCs w:val="22"/>
        </w:rPr>
      </w:pPr>
    </w:p>
    <w:p w14:paraId="691B5B8B" w14:textId="77777777" w:rsidR="004A3DF6" w:rsidRPr="00C353E5" w:rsidRDefault="004A3DF6" w:rsidP="00FC1FFD">
      <w:pPr>
        <w:ind w:left="360"/>
        <w:rPr>
          <w:sz w:val="22"/>
          <w:szCs w:val="22"/>
        </w:rPr>
      </w:pPr>
      <w:r w:rsidRPr="00C353E5">
        <w:rPr>
          <w:sz w:val="22"/>
          <w:szCs w:val="22"/>
        </w:rPr>
        <w:t>The technical narrative</w:t>
      </w:r>
      <w:r>
        <w:rPr>
          <w:sz w:val="22"/>
          <w:szCs w:val="22"/>
        </w:rPr>
        <w:t xml:space="preserve"> of the proposal for assistance support</w:t>
      </w:r>
      <w:r w:rsidRPr="00C353E5">
        <w:rPr>
          <w:sz w:val="22"/>
          <w:szCs w:val="22"/>
        </w:rPr>
        <w:t xml:space="preserve"> is needed </w:t>
      </w:r>
      <w:r>
        <w:rPr>
          <w:sz w:val="22"/>
          <w:szCs w:val="22"/>
        </w:rPr>
        <w:t>as</w:t>
      </w:r>
      <w:r w:rsidRPr="00C353E5">
        <w:rPr>
          <w:sz w:val="22"/>
          <w:szCs w:val="22"/>
        </w:rPr>
        <w:t xml:space="preserve"> the applicant describe</w:t>
      </w:r>
      <w:r>
        <w:rPr>
          <w:sz w:val="22"/>
          <w:szCs w:val="22"/>
        </w:rPr>
        <w:t>s</w:t>
      </w:r>
      <w:r w:rsidRPr="00C353E5">
        <w:rPr>
          <w:sz w:val="22"/>
          <w:szCs w:val="22"/>
        </w:rPr>
        <w:t xml:space="preserve"> the proposed research </w:t>
      </w:r>
      <w:r>
        <w:rPr>
          <w:sz w:val="22"/>
          <w:szCs w:val="22"/>
        </w:rPr>
        <w:t>or data collection activities</w:t>
      </w:r>
      <w:r w:rsidRPr="00C353E5">
        <w:rPr>
          <w:sz w:val="22"/>
          <w:szCs w:val="22"/>
        </w:rPr>
        <w:t xml:space="preserve">, and peer reviewers </w:t>
      </w:r>
      <w:r>
        <w:rPr>
          <w:sz w:val="22"/>
          <w:szCs w:val="22"/>
        </w:rPr>
        <w:t xml:space="preserve">subsequently use the narrative </w:t>
      </w:r>
      <w:r w:rsidRPr="00C353E5">
        <w:rPr>
          <w:sz w:val="22"/>
          <w:szCs w:val="22"/>
        </w:rPr>
        <w:t xml:space="preserve">to evaluate the research </w:t>
      </w:r>
      <w:r>
        <w:rPr>
          <w:sz w:val="22"/>
          <w:szCs w:val="22"/>
        </w:rPr>
        <w:t xml:space="preserve">or operations </w:t>
      </w:r>
      <w:r w:rsidRPr="00C353E5">
        <w:rPr>
          <w:sz w:val="22"/>
          <w:szCs w:val="22"/>
        </w:rPr>
        <w:t xml:space="preserve">against established </w:t>
      </w:r>
      <w:r>
        <w:rPr>
          <w:sz w:val="22"/>
          <w:szCs w:val="22"/>
        </w:rPr>
        <w:t>WUDR</w:t>
      </w:r>
      <w:r w:rsidRPr="00C353E5">
        <w:rPr>
          <w:sz w:val="22"/>
          <w:szCs w:val="22"/>
        </w:rPr>
        <w:t xml:space="preserve"> criteria. The application’s uniform appearance and assembly are needed to minimize the time required by the bureau to determine </w:t>
      </w:r>
      <w:r w:rsidRPr="00C353E5">
        <w:rPr>
          <w:sz w:val="22"/>
          <w:szCs w:val="22"/>
        </w:rPr>
        <w:lastRenderedPageBreak/>
        <w:t xml:space="preserve">applicant eligibility and for review and oversight. Reporting requirements are the minimum required by the OMB Circulars. Final technical reports </w:t>
      </w:r>
      <w:r>
        <w:rPr>
          <w:sz w:val="22"/>
          <w:szCs w:val="22"/>
        </w:rPr>
        <w:t xml:space="preserve">and annual progress reports </w:t>
      </w:r>
      <w:r w:rsidRPr="00C353E5">
        <w:rPr>
          <w:sz w:val="22"/>
          <w:szCs w:val="22"/>
        </w:rPr>
        <w:t xml:space="preserve">are needed for technical monitoring of the projects to assure consistency with the objectives of the program’s legislation. The technical reports have only general format requirements. Re-prints of peer-reviewed articles submitted for publication in journals </w:t>
      </w:r>
      <w:r>
        <w:rPr>
          <w:sz w:val="22"/>
          <w:szCs w:val="22"/>
        </w:rPr>
        <w:t>will be</w:t>
      </w:r>
      <w:r w:rsidRPr="00C353E5">
        <w:rPr>
          <w:sz w:val="22"/>
          <w:szCs w:val="22"/>
        </w:rPr>
        <w:t xml:space="preserve"> accepted as final technical reports. </w:t>
      </w:r>
    </w:p>
    <w:p w14:paraId="5993DD8E" w14:textId="77777777" w:rsidR="004A3DF6" w:rsidRPr="00C353E5" w:rsidRDefault="004A3DF6" w:rsidP="00FC1FFD">
      <w:pPr>
        <w:ind w:left="360"/>
        <w:rPr>
          <w:sz w:val="22"/>
          <w:szCs w:val="22"/>
        </w:rPr>
      </w:pPr>
    </w:p>
    <w:p w14:paraId="18A7664E" w14:textId="77777777" w:rsidR="004A3DF6" w:rsidRPr="00C353E5" w:rsidRDefault="004A3DF6" w:rsidP="00FC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2"/>
          <w:szCs w:val="22"/>
        </w:rPr>
      </w:pPr>
      <w:r w:rsidRPr="00C353E5">
        <w:rPr>
          <w:sz w:val="22"/>
          <w:szCs w:val="22"/>
        </w:rPr>
        <w:t xml:space="preserve">The maximum length of the application is </w:t>
      </w:r>
      <w:r>
        <w:rPr>
          <w:sz w:val="22"/>
          <w:szCs w:val="22"/>
        </w:rPr>
        <w:t>10</w:t>
      </w:r>
      <w:r w:rsidRPr="00C353E5">
        <w:rPr>
          <w:sz w:val="22"/>
          <w:szCs w:val="22"/>
        </w:rPr>
        <w:t xml:space="preserve"> pages. The final technical reports </w:t>
      </w:r>
      <w:r>
        <w:rPr>
          <w:sz w:val="22"/>
          <w:szCs w:val="22"/>
        </w:rPr>
        <w:t>will be accessible, in</w:t>
      </w:r>
      <w:r w:rsidRPr="00C353E5">
        <w:rPr>
          <w:sz w:val="22"/>
          <w:szCs w:val="22"/>
        </w:rPr>
        <w:t xml:space="preserve"> their entirety (maximum of 10 MB, including figures)</w:t>
      </w:r>
      <w:r>
        <w:rPr>
          <w:sz w:val="22"/>
          <w:szCs w:val="22"/>
        </w:rPr>
        <w:t>,</w:t>
      </w:r>
      <w:r w:rsidRPr="00C353E5">
        <w:rPr>
          <w:sz w:val="22"/>
          <w:szCs w:val="22"/>
        </w:rPr>
        <w:t xml:space="preserve"> on the </w:t>
      </w:r>
      <w:r>
        <w:rPr>
          <w:sz w:val="22"/>
          <w:szCs w:val="22"/>
        </w:rPr>
        <w:t>WUDR</w:t>
      </w:r>
      <w:r w:rsidRPr="00C353E5">
        <w:rPr>
          <w:sz w:val="22"/>
          <w:szCs w:val="22"/>
        </w:rPr>
        <w:t xml:space="preserve"> web</w:t>
      </w:r>
      <w:r>
        <w:rPr>
          <w:sz w:val="22"/>
          <w:szCs w:val="22"/>
        </w:rPr>
        <w:t xml:space="preserve">site, part of the USGS website. Data collected will be stored in USGS databases, a requirement of </w:t>
      </w:r>
      <w:r w:rsidRPr="00F37219">
        <w:rPr>
          <w:sz w:val="22"/>
          <w:szCs w:val="22"/>
        </w:rPr>
        <w:t>SECURE Water Act of 2009 (Public Law 111–11)</w:t>
      </w:r>
      <w:r>
        <w:rPr>
          <w:sz w:val="22"/>
          <w:szCs w:val="22"/>
        </w:rPr>
        <w:t xml:space="preserve"> which requires datasets be integrated into the appropriate USGS database(s). </w:t>
      </w:r>
    </w:p>
    <w:p w14:paraId="3964B81F" w14:textId="77777777" w:rsidR="004A3DF6" w:rsidRDefault="004A3D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093C94" w14:textId="7D520D2C" w:rsidR="004A3DF6" w:rsidRPr="007559AC" w:rsidRDefault="004A3DF6" w:rsidP="00FC1FFD">
      <w:pPr>
        <w:ind w:left="360"/>
        <w:rPr>
          <w:sz w:val="22"/>
          <w:szCs w:val="22"/>
        </w:rPr>
      </w:pPr>
      <w:r w:rsidRPr="00C353E5">
        <w:rPr>
          <w:sz w:val="22"/>
          <w:szCs w:val="22"/>
        </w:rPr>
        <w:t xml:space="preserve">All applications must be submitted electronically via Grants.gov (http://www.grants.gov). The progress and final reports will be submitted directly to the program </w:t>
      </w:r>
      <w:r>
        <w:rPr>
          <w:sz w:val="22"/>
          <w:szCs w:val="22"/>
        </w:rPr>
        <w:t>coordinator</w:t>
      </w:r>
      <w:r w:rsidRPr="00C353E5">
        <w:rPr>
          <w:sz w:val="22"/>
          <w:szCs w:val="22"/>
        </w:rPr>
        <w:t xml:space="preserve"> via e-</w:t>
      </w:r>
      <w:r w:rsidRPr="007559AC">
        <w:rPr>
          <w:sz w:val="22"/>
          <w:szCs w:val="22"/>
        </w:rPr>
        <w:t>mail (</w:t>
      </w:r>
      <w:r w:rsidRPr="007559AC">
        <w:rPr>
          <w:color w:val="222222"/>
          <w:sz w:val="22"/>
          <w:szCs w:val="22"/>
          <w:shd w:val="clear" w:color="auto" w:fill="FFFFFF"/>
        </w:rPr>
        <w:t>g</w:t>
      </w:r>
      <w:r w:rsidR="00FC1FFD">
        <w:rPr>
          <w:color w:val="222222"/>
          <w:sz w:val="22"/>
          <w:szCs w:val="22"/>
          <w:shd w:val="clear" w:color="auto" w:fill="FFFFFF"/>
        </w:rPr>
        <w:t>s</w:t>
      </w:r>
      <w:r w:rsidRPr="007559AC">
        <w:rPr>
          <w:color w:val="222222"/>
          <w:sz w:val="22"/>
          <w:szCs w:val="22"/>
          <w:shd w:val="clear" w:color="auto" w:fill="FFFFFF"/>
        </w:rPr>
        <w:t>-wudr-coordinator@usgs.gov</w:t>
      </w:r>
      <w:r w:rsidRPr="007559AC">
        <w:rPr>
          <w:color w:val="000000"/>
          <w:sz w:val="22"/>
          <w:szCs w:val="22"/>
        </w:rPr>
        <w:t>) and are posted for public use at http://water.usgs.gov/wausp/wudr/index.html.</w:t>
      </w:r>
    </w:p>
    <w:p w14:paraId="55B537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84473" w14:textId="77777777" w:rsidR="004A3DF6" w:rsidRPr="00C353E5" w:rsidRDefault="004A3DF6" w:rsidP="00EB17DE">
      <w:pPr>
        <w:tabs>
          <w:tab w:val="left" w:pos="3600"/>
        </w:tabs>
        <w:ind w:left="360"/>
        <w:rPr>
          <w:sz w:val="22"/>
          <w:szCs w:val="22"/>
        </w:rPr>
      </w:pPr>
      <w:r w:rsidRPr="00C353E5">
        <w:rPr>
          <w:sz w:val="22"/>
          <w:szCs w:val="22"/>
        </w:rPr>
        <w:t>The information is used solely for the purpose of this program and is not duplicated. The subject matter of each application and report are unique to each applicant each year. There is no similar information available which could be used or modified for this purpose.</w:t>
      </w:r>
    </w:p>
    <w:p w14:paraId="1656B5FD" w14:textId="77777777" w:rsidR="004A3DF6" w:rsidRPr="00C353E5" w:rsidRDefault="004A3DF6" w:rsidP="004A3DF6">
      <w:pPr>
        <w:rPr>
          <w:sz w:val="22"/>
          <w:szCs w:val="22"/>
        </w:rPr>
      </w:pP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828690" w14:textId="29B6E4F0" w:rsidR="004A3DF6" w:rsidRPr="00C353E5" w:rsidRDefault="004A3DF6" w:rsidP="00FC1FF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C353E5">
        <w:rPr>
          <w:sz w:val="22"/>
          <w:szCs w:val="22"/>
        </w:rPr>
        <w:t xml:space="preserve">The information collection will not impact small businesses or </w:t>
      </w:r>
      <w:r>
        <w:rPr>
          <w:sz w:val="22"/>
          <w:szCs w:val="22"/>
        </w:rPr>
        <w:t>entities as they are not eligible for application</w:t>
      </w:r>
      <w:r w:rsidRPr="00C353E5">
        <w:rPr>
          <w:sz w:val="22"/>
          <w:szCs w:val="22"/>
        </w:rPr>
        <w:t xml:space="preserve">. </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802ACA" w14:textId="25FE810B" w:rsidR="004A3DF6" w:rsidRPr="00C353E5" w:rsidRDefault="004A3DF6" w:rsidP="00FC1FFD">
      <w:pPr>
        <w:ind w:left="360"/>
        <w:rPr>
          <w:sz w:val="22"/>
          <w:szCs w:val="22"/>
        </w:rPr>
      </w:pPr>
      <w:r w:rsidRPr="00C353E5">
        <w:rPr>
          <w:sz w:val="22"/>
          <w:szCs w:val="22"/>
        </w:rPr>
        <w:t xml:space="preserve">Funding for the </w:t>
      </w:r>
      <w:r>
        <w:rPr>
          <w:sz w:val="22"/>
          <w:szCs w:val="22"/>
        </w:rPr>
        <w:t>WUDR</w:t>
      </w:r>
      <w:r w:rsidRPr="00C353E5">
        <w:rPr>
          <w:sz w:val="22"/>
          <w:szCs w:val="22"/>
        </w:rPr>
        <w:t xml:space="preserve"> is appropriated on a fiscal year basis as part of the USGS annual appropriation. The program priorities may change each year as directed by Congress</w:t>
      </w:r>
      <w:bookmarkStart w:id="0" w:name="_GoBack"/>
      <w:r w:rsidR="003771C1">
        <w:rPr>
          <w:sz w:val="22"/>
          <w:szCs w:val="22"/>
        </w:rPr>
        <w:t xml:space="preserve">. Annual </w:t>
      </w:r>
      <w:r w:rsidR="003771C1">
        <w:rPr>
          <w:sz w:val="22"/>
          <w:szCs w:val="22"/>
        </w:rPr>
        <w:lastRenderedPageBreak/>
        <w:t>Program Announcements will be used to evaluate which States receive funding to improve water use data and database improvement, any delay in this data collection will eliminate the possibility of funding this work and will negatively impact water availability studies at State, regional, and National levels; c</w:t>
      </w:r>
      <w:bookmarkEnd w:id="0"/>
      <w:r w:rsidRPr="00C353E5">
        <w:rPr>
          <w:sz w:val="22"/>
          <w:szCs w:val="22"/>
        </w:rPr>
        <w:t>onsequently, the issuance of announcements and submission of applications must be scheduled no less frequently than annually</w:t>
      </w:r>
      <w:r w:rsidR="0080052E">
        <w:rPr>
          <w:sz w:val="22"/>
          <w:szCs w:val="22"/>
        </w:rPr>
        <w:t xml:space="preserve"> in order to expend resources and meet the goals of the authorization.</w:t>
      </w:r>
    </w:p>
    <w:p w14:paraId="4F26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DF67036" w14:textId="77777777" w:rsidR="004A3DF6" w:rsidRDefault="004A3D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98B5243" w14:textId="77777777" w:rsidR="004A3DF6" w:rsidRDefault="004A3DF6" w:rsidP="00FC1FFD">
      <w:pPr>
        <w:tabs>
          <w:tab w:val="left" w:pos="360"/>
        </w:tabs>
        <w:ind w:left="360"/>
        <w:rPr>
          <w:sz w:val="22"/>
          <w:szCs w:val="22"/>
        </w:rPr>
      </w:pPr>
      <w:r w:rsidRPr="00C353E5">
        <w:rPr>
          <w:sz w:val="22"/>
          <w:szCs w:val="22"/>
        </w:rPr>
        <w:t>There are no circumstances that require us to collect the information in a manner inconsistent with OMB guidelines.</w:t>
      </w:r>
    </w:p>
    <w:p w14:paraId="45C2900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w:t>
      </w:r>
      <w:r w:rsidRPr="00082C1C">
        <w:rPr>
          <w:b/>
          <w:sz w:val="24"/>
          <w:szCs w:val="24"/>
        </w:rPr>
        <w:lastRenderedPageBreak/>
        <w:t>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7509D4" w14:textId="59F50304" w:rsidR="00FC1FFD" w:rsidRPr="00C353E5" w:rsidRDefault="00453654" w:rsidP="00FC1FFD">
      <w:pPr>
        <w:ind w:left="360"/>
        <w:rPr>
          <w:sz w:val="22"/>
          <w:szCs w:val="22"/>
        </w:rPr>
      </w:pPr>
      <w:r>
        <w:rPr>
          <w:sz w:val="24"/>
          <w:szCs w:val="24"/>
        </w:rPr>
        <w:t xml:space="preserve">The 60-day FRN was published </w:t>
      </w:r>
      <w:r w:rsidR="00100F74">
        <w:rPr>
          <w:sz w:val="24"/>
          <w:szCs w:val="24"/>
        </w:rPr>
        <w:t>7/23</w:t>
      </w:r>
      <w:r w:rsidR="004A3DF6">
        <w:rPr>
          <w:sz w:val="24"/>
          <w:szCs w:val="24"/>
        </w:rPr>
        <w:t>/15</w:t>
      </w:r>
      <w:r w:rsidR="008D6497">
        <w:rPr>
          <w:sz w:val="24"/>
          <w:szCs w:val="24"/>
        </w:rPr>
        <w:t xml:space="preserve"> at </w:t>
      </w:r>
      <w:r w:rsidR="00100F74" w:rsidRPr="00100F74">
        <w:rPr>
          <w:sz w:val="24"/>
          <w:szCs w:val="24"/>
        </w:rPr>
        <w:t>80</w:t>
      </w:r>
      <w:r w:rsidRPr="00100F74">
        <w:rPr>
          <w:sz w:val="24"/>
          <w:szCs w:val="24"/>
        </w:rPr>
        <w:t xml:space="preserve"> FR </w:t>
      </w:r>
      <w:r w:rsidR="00100F74" w:rsidRPr="00100F74">
        <w:rPr>
          <w:sz w:val="24"/>
          <w:szCs w:val="24"/>
        </w:rPr>
        <w:t>43792</w:t>
      </w:r>
      <w:r>
        <w:rPr>
          <w:sz w:val="24"/>
          <w:szCs w:val="24"/>
        </w:rPr>
        <w:t xml:space="preserve">. </w:t>
      </w:r>
      <w:r w:rsidR="00FC1FFD" w:rsidRPr="00C353E5">
        <w:rPr>
          <w:sz w:val="22"/>
          <w:szCs w:val="22"/>
        </w:rPr>
        <w:t xml:space="preserve">In that notice we solicited comments for 60 days, ending </w:t>
      </w:r>
      <w:r w:rsidR="00100F74">
        <w:rPr>
          <w:sz w:val="22"/>
          <w:szCs w:val="22"/>
        </w:rPr>
        <w:t>September 21</w:t>
      </w:r>
      <w:r w:rsidR="00FC1FFD">
        <w:rPr>
          <w:sz w:val="22"/>
          <w:szCs w:val="22"/>
        </w:rPr>
        <w:t>, 2015</w:t>
      </w:r>
      <w:r w:rsidR="00FC1FFD" w:rsidRPr="00C353E5">
        <w:rPr>
          <w:sz w:val="22"/>
          <w:szCs w:val="22"/>
        </w:rPr>
        <w:t>.</w:t>
      </w:r>
      <w:r w:rsidR="00FC1FFD">
        <w:rPr>
          <w:sz w:val="22"/>
          <w:szCs w:val="22"/>
        </w:rPr>
        <w:t xml:space="preserve"> No</w:t>
      </w:r>
      <w:r w:rsidR="00FC1FFD" w:rsidRPr="00C353E5">
        <w:rPr>
          <w:sz w:val="22"/>
          <w:szCs w:val="22"/>
        </w:rPr>
        <w:t xml:space="preserve"> comments </w:t>
      </w:r>
      <w:r w:rsidR="00FC1FFD">
        <w:rPr>
          <w:sz w:val="22"/>
          <w:szCs w:val="22"/>
        </w:rPr>
        <w:t xml:space="preserve">were received </w:t>
      </w:r>
      <w:r w:rsidR="00FC1FFD" w:rsidRPr="00C353E5">
        <w:rPr>
          <w:sz w:val="22"/>
          <w:szCs w:val="22"/>
        </w:rPr>
        <w:t xml:space="preserve">in response to this notice. </w:t>
      </w:r>
    </w:p>
    <w:p w14:paraId="05604554" w14:textId="77777777" w:rsidR="00453654" w:rsidRDefault="00453654" w:rsidP="00FC1F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771161B" w14:textId="4B2E6AA9" w:rsidR="00FC1FFD" w:rsidRDefault="00FC1FFD" w:rsidP="00FC1FFD">
      <w:pPr>
        <w:ind w:left="360"/>
        <w:rPr>
          <w:sz w:val="22"/>
          <w:szCs w:val="22"/>
        </w:rPr>
      </w:pPr>
      <w:r>
        <w:rPr>
          <w:sz w:val="22"/>
          <w:szCs w:val="22"/>
        </w:rPr>
        <w:t xml:space="preserve">WUDR contracted with the Interstate Council on Water Policy to host Stakeholder Listening Sessions with the State Water Resource agencies, 32 State agencies were represented at these meetings, below is the contact information for 3 of the participants who </w:t>
      </w:r>
      <w:r w:rsidR="00853FAF">
        <w:rPr>
          <w:sz w:val="22"/>
          <w:szCs w:val="22"/>
        </w:rPr>
        <w:t>participated in the Stakeholder meetings and provided</w:t>
      </w:r>
      <w:r>
        <w:rPr>
          <w:sz w:val="22"/>
          <w:szCs w:val="22"/>
        </w:rPr>
        <w:t xml:space="preserve"> feedback about the application process. Participants were asked for their input on the content, length, and format of the proposals for submission, interim reports, and final reports to </w:t>
      </w:r>
      <w:r w:rsidRPr="00C353E5">
        <w:rPr>
          <w:sz w:val="22"/>
          <w:szCs w:val="22"/>
        </w:rPr>
        <w:t>obtain their views on the burden that the grant application and reporting imposes</w:t>
      </w:r>
      <w:r>
        <w:rPr>
          <w:sz w:val="22"/>
          <w:szCs w:val="22"/>
        </w:rPr>
        <w:t>.</w:t>
      </w:r>
      <w:r w:rsidRPr="004F0EA3">
        <w:rPr>
          <w:sz w:val="22"/>
          <w:szCs w:val="22"/>
        </w:rPr>
        <w:t xml:space="preserve"> </w:t>
      </w:r>
      <w:r>
        <w:rPr>
          <w:sz w:val="22"/>
          <w:szCs w:val="22"/>
        </w:rPr>
        <w:t xml:space="preserve">The amounts of time needed are reflected in our burden times for reports and proposals. </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Style w:val="TableGrid"/>
        <w:tblW w:w="8910" w:type="dxa"/>
        <w:tblInd w:w="4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235"/>
      </w:tblGrid>
      <w:tr w:rsidR="007B7DCF" w14:paraId="08943458" w14:textId="77777777" w:rsidTr="00FC1FFD">
        <w:tc>
          <w:tcPr>
            <w:tcW w:w="4675" w:type="dxa"/>
          </w:tcPr>
          <w:p w14:paraId="2ED039FC" w14:textId="77777777" w:rsidR="00FC1FFD" w:rsidRDefault="00FC1FFD" w:rsidP="00FC1FFD">
            <w:r w:rsidRPr="007559AC">
              <w:t>Alabama Department of Economic Affairs – Office of Water Resources</w:t>
            </w:r>
          </w:p>
          <w:p w14:paraId="786C8B79" w14:textId="793DDF7D" w:rsidR="00FC1FFD" w:rsidRDefault="00FC1FFD" w:rsidP="00FC1FFD">
            <w:r w:rsidRPr="007559AC">
              <w:t>J. Brian Atkins</w:t>
            </w:r>
          </w:p>
          <w:p w14:paraId="0D74A116" w14:textId="77777777" w:rsidR="00FC1FFD" w:rsidRDefault="00FC1FFD" w:rsidP="00FC1FFD">
            <w:r w:rsidRPr="007559AC">
              <w:t>401 Adams Avenue, Suite 434, Montgomery, AL 36104</w:t>
            </w:r>
            <w:r w:rsidRPr="007559AC">
              <w:tab/>
            </w:r>
          </w:p>
          <w:p w14:paraId="3BA9C4EB" w14:textId="1BBBE7CF" w:rsidR="007B7DCF" w:rsidRPr="00FC1FFD" w:rsidRDefault="00FC1FFD" w:rsidP="00FC1FFD">
            <w:r w:rsidRPr="007559AC">
              <w:t>(334) 242-5497</w:t>
            </w:r>
          </w:p>
        </w:tc>
        <w:tc>
          <w:tcPr>
            <w:tcW w:w="4235" w:type="dxa"/>
          </w:tcPr>
          <w:p w14:paraId="0E732F01" w14:textId="77777777" w:rsidR="00FC1FFD" w:rsidRDefault="00FC1FFD" w:rsidP="00FC1FFD">
            <w:pPr>
              <w:ind w:left="5"/>
            </w:pPr>
            <w:r w:rsidRPr="000E6FCC">
              <w:t>Missouri Geological Survey</w:t>
            </w:r>
            <w:r w:rsidRPr="000E6FCC">
              <w:tab/>
            </w:r>
            <w:r w:rsidRPr="000E6FCC">
              <w:tab/>
            </w:r>
          </w:p>
          <w:p w14:paraId="73DEE891" w14:textId="77777777" w:rsidR="00FC1FFD" w:rsidRDefault="00FC1FFD" w:rsidP="00FC1FFD">
            <w:pPr>
              <w:ind w:left="5"/>
            </w:pPr>
            <w:r w:rsidRPr="000E6FCC">
              <w:t>Scott Kaden</w:t>
            </w:r>
          </w:p>
          <w:p w14:paraId="3E72A8FD" w14:textId="77777777" w:rsidR="00FC1FFD" w:rsidRDefault="00FC1FFD" w:rsidP="00FC1FFD">
            <w:pPr>
              <w:ind w:left="5"/>
            </w:pPr>
            <w:r w:rsidRPr="000E6FCC">
              <w:t>P</w:t>
            </w:r>
            <w:r>
              <w:t>.O. Box 250, Rolla MO 65402</w:t>
            </w:r>
            <w:r>
              <w:tab/>
            </w:r>
          </w:p>
          <w:p w14:paraId="498CED26" w14:textId="4FC9D81D" w:rsidR="00FC1FFD" w:rsidRDefault="00FC1FFD" w:rsidP="00FC1FFD">
            <w:pPr>
              <w:ind w:left="5"/>
            </w:pPr>
            <w:r>
              <w:t xml:space="preserve">(573) </w:t>
            </w:r>
            <w:r w:rsidRPr="000E6FCC">
              <w:t>368-2194</w:t>
            </w:r>
          </w:p>
          <w:p w14:paraId="7AF448A7" w14:textId="1101D5C9" w:rsidR="007B7DCF" w:rsidRDefault="007B7DCF" w:rsidP="00FC1F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
              <w:rPr>
                <w:sz w:val="24"/>
                <w:szCs w:val="24"/>
              </w:rPr>
            </w:pPr>
          </w:p>
        </w:tc>
      </w:tr>
      <w:tr w:rsidR="007B7DCF" w14:paraId="4C403CC2" w14:textId="77777777" w:rsidTr="00FC1FFD">
        <w:tc>
          <w:tcPr>
            <w:tcW w:w="4675" w:type="dxa"/>
          </w:tcPr>
          <w:p w14:paraId="6DE1DA5A" w14:textId="77777777" w:rsidR="00FC1FFD" w:rsidRDefault="00FC1FFD" w:rsidP="00FC1FFD">
            <w:r w:rsidRPr="000E6FCC">
              <w:t>Wisconsin Department of Natural Resources, Water Use Section</w:t>
            </w:r>
            <w:r w:rsidRPr="000E6FCC">
              <w:tab/>
            </w:r>
            <w:r w:rsidRPr="000E6FCC">
              <w:tab/>
            </w:r>
          </w:p>
          <w:p w14:paraId="0C82A47C" w14:textId="77777777" w:rsidR="00FC1FFD" w:rsidRDefault="00FC1FFD" w:rsidP="00FC1FFD">
            <w:r w:rsidRPr="000E6FCC">
              <w:t xml:space="preserve">Shaili Pfeiffer </w:t>
            </w:r>
          </w:p>
          <w:p w14:paraId="3EEE2EA8" w14:textId="77777777" w:rsidR="00FC1FFD" w:rsidRDefault="00FC1FFD" w:rsidP="00FC1FFD">
            <w:r>
              <w:t xml:space="preserve">PO Box 7921, Madison, WI 53707 </w:t>
            </w:r>
          </w:p>
          <w:p w14:paraId="38A8C93E" w14:textId="31CEB22F" w:rsidR="007B7DCF" w:rsidRDefault="00FC1FFD" w:rsidP="00FC1FFD">
            <w:pPr>
              <w:rPr>
                <w:sz w:val="24"/>
                <w:szCs w:val="24"/>
              </w:rPr>
            </w:pPr>
            <w:r>
              <w:t>(</w:t>
            </w:r>
            <w:r w:rsidRPr="000E6FCC">
              <w:t>608</w:t>
            </w:r>
            <w:r>
              <w:t xml:space="preserve">) </w:t>
            </w:r>
            <w:r w:rsidRPr="000E6FCC">
              <w:t>267-7630</w:t>
            </w:r>
          </w:p>
        </w:tc>
        <w:tc>
          <w:tcPr>
            <w:tcW w:w="4235" w:type="dxa"/>
          </w:tcPr>
          <w:p w14:paraId="3E3D2EFC"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1E9F1C" w14:textId="1DCAC9B2" w:rsidR="00FC1FF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619BEEFE" w14:textId="77777777" w:rsidR="00FC1FFD" w:rsidRPr="00C353E5" w:rsidRDefault="00FC1FFD" w:rsidP="00FC1FFD">
      <w:pPr>
        <w:rPr>
          <w:sz w:val="22"/>
          <w:szCs w:val="22"/>
        </w:rPr>
      </w:pPr>
    </w:p>
    <w:p w14:paraId="362C6043" w14:textId="540CB91C" w:rsidR="00FC1FFD" w:rsidRPr="00C353E5" w:rsidRDefault="00044D4D" w:rsidP="00FC1FF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N</w:t>
      </w:r>
      <w:r w:rsidR="00FC1FFD" w:rsidRPr="00C353E5">
        <w:rPr>
          <w:sz w:val="22"/>
          <w:szCs w:val="22"/>
        </w:rPr>
        <w:t>o payments or gifts are provided to the respondents.</w:t>
      </w:r>
    </w:p>
    <w:p w14:paraId="07A860F3" w14:textId="77777777" w:rsidR="00FC1FFD" w:rsidRPr="00082C1C" w:rsidRDefault="00FC1F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44D1406D" w:rsidR="00082C1C" w:rsidRDefault="00FC1FFD" w:rsidP="00FC1F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353E5">
        <w:rPr>
          <w:sz w:val="22"/>
          <w:szCs w:val="22"/>
        </w:rPr>
        <w:t>No assurance of confidentiality is provided.</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w:t>
      </w:r>
      <w:r w:rsidRPr="00082C1C">
        <w:rPr>
          <w:b/>
          <w:sz w:val="24"/>
          <w:szCs w:val="24"/>
        </w:rPr>
        <w:lastRenderedPageBreak/>
        <w:t>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88C1AA" w14:textId="268DE388" w:rsidR="00FC1FFD" w:rsidRPr="00C353E5" w:rsidRDefault="00FC1FFD" w:rsidP="00FC1FFD">
      <w:pPr>
        <w:ind w:left="360"/>
        <w:rPr>
          <w:sz w:val="22"/>
          <w:szCs w:val="22"/>
        </w:rPr>
      </w:pPr>
      <w:r w:rsidRPr="00C353E5">
        <w:rPr>
          <w:sz w:val="22"/>
          <w:szCs w:val="22"/>
        </w:rPr>
        <w:t>No sensitive questions are asked</w:t>
      </w:r>
      <w:r w:rsidR="00C846BC">
        <w:rPr>
          <w:sz w:val="22"/>
          <w:szCs w:val="22"/>
        </w:rPr>
        <w:t xml:space="preserve"> for this information collection</w:t>
      </w:r>
    </w:p>
    <w:p w14:paraId="2B6CBAC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09E76CF6" w14:textId="77777777" w:rsidR="00D94CBE" w:rsidRDefault="00D94CBE" w:rsidP="00D94CBE">
      <w:pPr>
        <w:rPr>
          <w:sz w:val="22"/>
          <w:szCs w:val="22"/>
        </w:rPr>
      </w:pPr>
    </w:p>
    <w:p w14:paraId="30957EB7" w14:textId="77777777" w:rsidR="00D94CBE" w:rsidRPr="00AA0EF1" w:rsidRDefault="00D94CBE" w:rsidP="00D94CBE">
      <w:pPr>
        <w:ind w:left="360"/>
        <w:rPr>
          <w:sz w:val="22"/>
          <w:szCs w:val="22"/>
        </w:rPr>
      </w:pPr>
      <w:r w:rsidRPr="00AA0EF1">
        <w:rPr>
          <w:sz w:val="22"/>
          <w:szCs w:val="22"/>
        </w:rPr>
        <w:t xml:space="preserve">Our estimates, in Table </w:t>
      </w:r>
      <w:r>
        <w:rPr>
          <w:sz w:val="22"/>
          <w:szCs w:val="22"/>
        </w:rPr>
        <w:t>1</w:t>
      </w:r>
      <w:r w:rsidRPr="00AA0EF1">
        <w:rPr>
          <w:sz w:val="22"/>
          <w:szCs w:val="22"/>
        </w:rPr>
        <w:t xml:space="preserve"> below, are based on our own knowledge plus the outreach described in item 8. </w:t>
      </w:r>
    </w:p>
    <w:p w14:paraId="722B0739" w14:textId="77777777" w:rsidR="00D94CBE" w:rsidRPr="00AA0EF1" w:rsidRDefault="00D94CBE" w:rsidP="00D94CBE">
      <w:pPr>
        <w:ind w:left="360"/>
        <w:rPr>
          <w:sz w:val="22"/>
          <w:szCs w:val="22"/>
        </w:rPr>
      </w:pPr>
    </w:p>
    <w:p w14:paraId="77C10041" w14:textId="2113A156" w:rsidR="00D94CBE" w:rsidRPr="00AA0EF1" w:rsidRDefault="00D94CBE" w:rsidP="00D94CBE">
      <w:pPr>
        <w:ind w:left="360"/>
        <w:rPr>
          <w:sz w:val="22"/>
          <w:szCs w:val="22"/>
        </w:rPr>
      </w:pPr>
      <w:r w:rsidRPr="00AA0EF1">
        <w:rPr>
          <w:b/>
          <w:i/>
          <w:sz w:val="22"/>
          <w:szCs w:val="22"/>
        </w:rPr>
        <w:t>Narrative</w:t>
      </w:r>
      <w:r>
        <w:rPr>
          <w:b/>
          <w:i/>
          <w:sz w:val="22"/>
          <w:szCs w:val="22"/>
        </w:rPr>
        <w:t>/Proposal</w:t>
      </w:r>
      <w:r w:rsidRPr="00AA0EF1">
        <w:rPr>
          <w:b/>
          <w:i/>
          <w:sz w:val="22"/>
          <w:szCs w:val="22"/>
        </w:rPr>
        <w:t xml:space="preserve"> Preparation</w:t>
      </w:r>
      <w:r w:rsidRPr="00AA0EF1">
        <w:rPr>
          <w:sz w:val="22"/>
          <w:szCs w:val="22"/>
        </w:rPr>
        <w:t>: We anticipate that it will take</w:t>
      </w:r>
      <w:r>
        <w:rPr>
          <w:sz w:val="22"/>
          <w:szCs w:val="22"/>
        </w:rPr>
        <w:t xml:space="preserve"> each applicant approximately 40</w:t>
      </w:r>
      <w:r w:rsidRPr="00AA0EF1">
        <w:rPr>
          <w:sz w:val="22"/>
          <w:szCs w:val="22"/>
        </w:rPr>
        <w:t xml:space="preserve"> hours to complete the project narrative and to provide any other relevant supporting documents</w:t>
      </w:r>
      <w:r>
        <w:rPr>
          <w:sz w:val="22"/>
          <w:szCs w:val="22"/>
        </w:rPr>
        <w:t xml:space="preserve"> as a proposal for assistance support</w:t>
      </w:r>
      <w:r w:rsidRPr="00AA0EF1">
        <w:rPr>
          <w:sz w:val="22"/>
          <w:szCs w:val="22"/>
        </w:rPr>
        <w:t xml:space="preserve"> (totaling </w:t>
      </w:r>
      <w:r>
        <w:rPr>
          <w:sz w:val="22"/>
          <w:szCs w:val="22"/>
        </w:rPr>
        <w:t>2,0</w:t>
      </w:r>
      <w:r w:rsidR="00CE4CBA">
        <w:rPr>
          <w:sz w:val="22"/>
          <w:szCs w:val="22"/>
        </w:rPr>
        <w:t>80</w:t>
      </w:r>
      <w:r w:rsidR="00D44040">
        <w:rPr>
          <w:sz w:val="22"/>
          <w:szCs w:val="22"/>
        </w:rPr>
        <w:t xml:space="preserve"> hours</w:t>
      </w:r>
      <w:r w:rsidRPr="00AA0EF1">
        <w:rPr>
          <w:sz w:val="22"/>
          <w:szCs w:val="22"/>
        </w:rPr>
        <w:t xml:space="preserve">). </w:t>
      </w:r>
    </w:p>
    <w:p w14:paraId="4233A2D7" w14:textId="77777777" w:rsidR="00D94CBE" w:rsidRPr="00AA0EF1" w:rsidRDefault="00D94CBE" w:rsidP="00D94CBE">
      <w:pPr>
        <w:ind w:left="360"/>
        <w:rPr>
          <w:sz w:val="22"/>
          <w:szCs w:val="22"/>
        </w:rPr>
      </w:pPr>
    </w:p>
    <w:p w14:paraId="51FAFB3B" w14:textId="420BA6D9" w:rsidR="00D94CBE" w:rsidRDefault="00C846BC" w:rsidP="00D94CBE">
      <w:pPr>
        <w:ind w:left="360"/>
        <w:rPr>
          <w:i/>
          <w:sz w:val="22"/>
          <w:szCs w:val="22"/>
        </w:rPr>
      </w:pPr>
      <w:r>
        <w:rPr>
          <w:b/>
          <w:i/>
          <w:sz w:val="22"/>
          <w:szCs w:val="22"/>
        </w:rPr>
        <w:t xml:space="preserve">Interim and </w:t>
      </w:r>
      <w:r w:rsidR="00D94CBE" w:rsidRPr="00AA0EF1">
        <w:rPr>
          <w:b/>
          <w:i/>
          <w:sz w:val="22"/>
          <w:szCs w:val="22"/>
        </w:rPr>
        <w:t>Final Report Preparation:</w:t>
      </w:r>
      <w:r w:rsidR="00D94CBE">
        <w:rPr>
          <w:sz w:val="22"/>
          <w:szCs w:val="22"/>
        </w:rPr>
        <w:t xml:space="preserve"> We</w:t>
      </w:r>
      <w:r w:rsidR="00D94CBE" w:rsidRPr="00AA0EF1">
        <w:rPr>
          <w:sz w:val="22"/>
          <w:szCs w:val="22"/>
        </w:rPr>
        <w:t xml:space="preserve"> anticipate awarding an averag</w:t>
      </w:r>
      <w:r w:rsidR="00D94CBE">
        <w:rPr>
          <w:sz w:val="22"/>
          <w:szCs w:val="22"/>
        </w:rPr>
        <w:t>e of 15 grants per year. The 15</w:t>
      </w:r>
      <w:r w:rsidR="00D94CBE" w:rsidRPr="00AA0EF1">
        <w:rPr>
          <w:sz w:val="22"/>
          <w:szCs w:val="22"/>
        </w:rPr>
        <w:t xml:space="preserve"> award recipients are required to submit </w:t>
      </w:r>
      <w:r w:rsidR="00D94CBE">
        <w:rPr>
          <w:sz w:val="22"/>
          <w:szCs w:val="22"/>
        </w:rPr>
        <w:t>a mid-term</w:t>
      </w:r>
      <w:r w:rsidR="00D94CBE" w:rsidRPr="00AA0EF1">
        <w:rPr>
          <w:sz w:val="22"/>
          <w:szCs w:val="22"/>
        </w:rPr>
        <w:t xml:space="preserve"> progress report </w:t>
      </w:r>
      <w:r w:rsidR="00D94CBE">
        <w:rPr>
          <w:sz w:val="22"/>
          <w:szCs w:val="22"/>
        </w:rPr>
        <w:t>and</w:t>
      </w:r>
      <w:r w:rsidR="00D94CBE" w:rsidRPr="00AA0EF1">
        <w:rPr>
          <w:sz w:val="22"/>
          <w:szCs w:val="22"/>
        </w:rPr>
        <w:t xml:space="preserve"> a final technical report</w:t>
      </w:r>
      <w:r w:rsidR="00D94CBE">
        <w:rPr>
          <w:sz w:val="22"/>
          <w:szCs w:val="22"/>
        </w:rPr>
        <w:t>. We estimate that it will take an average of 12</w:t>
      </w:r>
      <w:r w:rsidR="00D94CBE" w:rsidRPr="00AA0EF1">
        <w:rPr>
          <w:sz w:val="22"/>
          <w:szCs w:val="22"/>
        </w:rPr>
        <w:t xml:space="preserve"> hours </w:t>
      </w:r>
      <w:r w:rsidR="00D94CBE">
        <w:rPr>
          <w:sz w:val="22"/>
          <w:szCs w:val="22"/>
        </w:rPr>
        <w:t>to complete these reports</w:t>
      </w:r>
      <w:r w:rsidR="00CE4CBA">
        <w:rPr>
          <w:sz w:val="22"/>
          <w:szCs w:val="22"/>
        </w:rPr>
        <w:t>, 4 hours for the interim and 8 hours for the final</w:t>
      </w:r>
      <w:r w:rsidR="00D94CBE">
        <w:rPr>
          <w:sz w:val="22"/>
          <w:szCs w:val="22"/>
        </w:rPr>
        <w:t xml:space="preserve"> (totaling 180</w:t>
      </w:r>
      <w:r w:rsidR="00D44040">
        <w:rPr>
          <w:sz w:val="22"/>
          <w:szCs w:val="22"/>
        </w:rPr>
        <w:t xml:space="preserve"> hours</w:t>
      </w:r>
      <w:r w:rsidR="00D94CBE" w:rsidRPr="00AA0EF1">
        <w:rPr>
          <w:sz w:val="22"/>
          <w:szCs w:val="22"/>
        </w:rPr>
        <w:t>)</w:t>
      </w:r>
      <w:r w:rsidR="00D94CBE">
        <w:rPr>
          <w:sz w:val="22"/>
          <w:szCs w:val="22"/>
        </w:rPr>
        <w:t xml:space="preserve">. </w:t>
      </w:r>
    </w:p>
    <w:p w14:paraId="2484DA35" w14:textId="77777777" w:rsidR="00D94CBE" w:rsidRPr="003541C5" w:rsidRDefault="00D94CBE" w:rsidP="00D94CBE">
      <w:pPr>
        <w:ind w:left="360"/>
        <w:rPr>
          <w:sz w:val="22"/>
          <w:szCs w:val="22"/>
        </w:rPr>
      </w:pPr>
    </w:p>
    <w:p w14:paraId="17B3D994" w14:textId="072EDC0D" w:rsidR="00D94CBE" w:rsidRPr="00A923E2" w:rsidRDefault="00D94CBE" w:rsidP="00D94CBE">
      <w:pPr>
        <w:ind w:left="360"/>
        <w:rPr>
          <w:sz w:val="22"/>
          <w:szCs w:val="22"/>
        </w:rPr>
      </w:pPr>
      <w:r w:rsidRPr="00AA0EF1">
        <w:rPr>
          <w:sz w:val="22"/>
          <w:szCs w:val="22"/>
        </w:rPr>
        <w:t>We estimate that the total burden for this col</w:t>
      </w:r>
      <w:r>
        <w:rPr>
          <w:sz w:val="22"/>
          <w:szCs w:val="22"/>
        </w:rPr>
        <w:t>lection will be 2,</w:t>
      </w:r>
      <w:r w:rsidR="0024362C">
        <w:rPr>
          <w:sz w:val="22"/>
          <w:szCs w:val="22"/>
        </w:rPr>
        <w:t>260</w:t>
      </w:r>
      <w:r>
        <w:rPr>
          <w:sz w:val="22"/>
          <w:szCs w:val="22"/>
        </w:rPr>
        <w:t xml:space="preserve"> hours, as shown in Table 1 below (first </w:t>
      </w:r>
      <w:r w:rsidRPr="00A923E2">
        <w:rPr>
          <w:sz w:val="22"/>
          <w:szCs w:val="22"/>
        </w:rPr>
        <w:t>4 columns).</w:t>
      </w:r>
    </w:p>
    <w:p w14:paraId="69AED0B0" w14:textId="77777777" w:rsidR="00D94CBE" w:rsidRPr="00A923E2" w:rsidRDefault="00D94CBE" w:rsidP="00D94CBE">
      <w:pPr>
        <w:ind w:left="360"/>
        <w:rPr>
          <w:sz w:val="22"/>
        </w:rPr>
      </w:pPr>
    </w:p>
    <w:p w14:paraId="3CB2C0A6" w14:textId="63A4BDA1" w:rsidR="00D94CBE" w:rsidRDefault="00D94CBE" w:rsidP="00615522">
      <w:pPr>
        <w:ind w:left="360"/>
        <w:rPr>
          <w:sz w:val="22"/>
          <w:szCs w:val="22"/>
        </w:rPr>
      </w:pPr>
      <w:r w:rsidRPr="00615522">
        <w:rPr>
          <w:sz w:val="22"/>
          <w:szCs w:val="22"/>
        </w:rPr>
        <w:t xml:space="preserve">To estimate the dollar values of burden hours in Table 1, we used data from </w:t>
      </w:r>
      <w:r w:rsidR="00AF1917">
        <w:rPr>
          <w:sz w:val="22"/>
          <w:szCs w:val="22"/>
        </w:rPr>
        <w:t xml:space="preserve">Bureau of Labor Statistics, </w:t>
      </w:r>
      <w:r w:rsidR="00AF1917">
        <w:rPr>
          <w:i/>
          <w:sz w:val="22"/>
          <w:szCs w:val="22"/>
        </w:rPr>
        <w:t>Employer Costs for Employee Compensation,</w:t>
      </w:r>
      <w:r w:rsidR="00AF1917">
        <w:rPr>
          <w:sz w:val="22"/>
          <w:szCs w:val="22"/>
        </w:rPr>
        <w:t xml:space="preserve"> September 2015, </w:t>
      </w:r>
      <w:r w:rsidR="00AF1917" w:rsidRPr="00CE4CBA">
        <w:t xml:space="preserve">http://www.bls.gov/schedule/archives/ecec_nr.htm, </w:t>
      </w:r>
      <w:r w:rsidR="003506D9">
        <w:rPr>
          <w:sz w:val="22"/>
          <w:szCs w:val="22"/>
        </w:rPr>
        <w:t>average wage for State and L</w:t>
      </w:r>
      <w:r w:rsidR="00615522">
        <w:rPr>
          <w:sz w:val="22"/>
          <w:szCs w:val="22"/>
        </w:rPr>
        <w:t>ocal government</w:t>
      </w:r>
      <w:r w:rsidRPr="00615522">
        <w:rPr>
          <w:sz w:val="22"/>
          <w:szCs w:val="22"/>
        </w:rPr>
        <w:t xml:space="preserve"> mean hourly wages </w:t>
      </w:r>
      <w:r w:rsidR="00B45B33">
        <w:rPr>
          <w:sz w:val="22"/>
          <w:szCs w:val="22"/>
        </w:rPr>
        <w:t>(</w:t>
      </w:r>
      <w:r w:rsidR="00802EB6">
        <w:rPr>
          <w:sz w:val="22"/>
          <w:szCs w:val="22"/>
        </w:rPr>
        <w:t>$44.66)</w:t>
      </w:r>
      <w:r w:rsidRPr="00615522">
        <w:rPr>
          <w:sz w:val="22"/>
          <w:szCs w:val="22"/>
        </w:rPr>
        <w:t xml:space="preserve">to account for individuals </w:t>
      </w:r>
      <w:r w:rsidR="003506D9">
        <w:rPr>
          <w:sz w:val="22"/>
          <w:szCs w:val="22"/>
        </w:rPr>
        <w:t>from State Water Resource agencies</w:t>
      </w:r>
      <w:r w:rsidRPr="00615522">
        <w:rPr>
          <w:sz w:val="22"/>
          <w:szCs w:val="22"/>
        </w:rPr>
        <w:t xml:space="preserve">. </w:t>
      </w:r>
    </w:p>
    <w:p w14:paraId="4C1831E5" w14:textId="77777777" w:rsidR="00740AF4" w:rsidRDefault="00740AF4" w:rsidP="00E11A93">
      <w:pPr>
        <w:widowControl/>
        <w:autoSpaceDE/>
        <w:autoSpaceDN/>
        <w:adjustRightInd/>
        <w:rPr>
          <w:sz w:val="24"/>
          <w:szCs w:val="24"/>
        </w:rPr>
      </w:pPr>
    </w:p>
    <w:p w14:paraId="44FE88BB" w14:textId="77777777" w:rsidR="00C846BC" w:rsidRDefault="00C846BC" w:rsidP="00E11A93">
      <w:pPr>
        <w:widowControl/>
        <w:autoSpaceDE/>
        <w:autoSpaceDN/>
        <w:adjustRightInd/>
        <w:rPr>
          <w:sz w:val="24"/>
          <w:szCs w:val="24"/>
        </w:rPr>
      </w:pPr>
    </w:p>
    <w:p w14:paraId="73D056AE" w14:textId="77777777" w:rsidR="00C846BC" w:rsidRDefault="00C846BC" w:rsidP="00E11A93">
      <w:pPr>
        <w:widowControl/>
        <w:autoSpaceDE/>
        <w:autoSpaceDN/>
        <w:adjustRightInd/>
        <w:rPr>
          <w:sz w:val="24"/>
          <w:szCs w:val="24"/>
        </w:rPr>
      </w:pPr>
    </w:p>
    <w:p w14:paraId="1A9A4EDE" w14:textId="77777777" w:rsidR="00C846BC" w:rsidRDefault="00C846BC" w:rsidP="00E11A93">
      <w:pPr>
        <w:widowControl/>
        <w:autoSpaceDE/>
        <w:autoSpaceDN/>
        <w:adjustRightInd/>
        <w:rPr>
          <w:sz w:val="24"/>
          <w:szCs w:val="24"/>
        </w:rPr>
      </w:pPr>
    </w:p>
    <w:p w14:paraId="2CD065A7" w14:textId="77777777" w:rsidR="00C846BC" w:rsidRDefault="00C846BC" w:rsidP="00E11A93">
      <w:pPr>
        <w:widowControl/>
        <w:autoSpaceDE/>
        <w:autoSpaceDN/>
        <w:adjustRightInd/>
        <w:rPr>
          <w:sz w:val="24"/>
          <w:szCs w:val="24"/>
        </w:rPr>
      </w:pPr>
    </w:p>
    <w:p w14:paraId="51D88AB0" w14:textId="77AED964" w:rsidR="00C846BC" w:rsidRDefault="00C846BC" w:rsidP="00E11A93">
      <w:pPr>
        <w:widowControl/>
        <w:autoSpaceDE/>
        <w:autoSpaceDN/>
        <w:adjustRightInd/>
        <w:rPr>
          <w:sz w:val="24"/>
          <w:szCs w:val="24"/>
        </w:rPr>
      </w:pPr>
      <w:r>
        <w:rPr>
          <w:sz w:val="24"/>
          <w:szCs w:val="24"/>
        </w:rPr>
        <w:t>Table 1</w:t>
      </w:r>
      <w:r w:rsidR="000E42E3">
        <w:rPr>
          <w:sz w:val="24"/>
          <w:szCs w:val="24"/>
        </w:rPr>
        <w:t>: State Government Costs</w:t>
      </w:r>
    </w:p>
    <w:tbl>
      <w:tblPr>
        <w:tblStyle w:val="TableGrid"/>
        <w:tblW w:w="0" w:type="auto"/>
        <w:tblInd w:w="468" w:type="dxa"/>
        <w:tblLook w:val="04A0" w:firstRow="1" w:lastRow="0" w:firstColumn="1" w:lastColumn="0" w:noHBand="0" w:noVBand="1"/>
      </w:tblPr>
      <w:tblGrid>
        <w:gridCol w:w="3240"/>
        <w:gridCol w:w="1350"/>
        <w:gridCol w:w="1530"/>
        <w:gridCol w:w="1147"/>
        <w:gridCol w:w="1615"/>
      </w:tblGrid>
      <w:tr w:rsidR="00740AF4" w14:paraId="3F54C53D" w14:textId="77777777" w:rsidTr="003506D9">
        <w:tc>
          <w:tcPr>
            <w:tcW w:w="3240" w:type="dxa"/>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350" w:type="dxa"/>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5DFEED00" w14:textId="6FBD508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147" w:type="dxa"/>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F007351" w14:textId="1609F445" w:rsidR="00740AF4" w:rsidRDefault="00842B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Value of Burden Hours</w:t>
            </w:r>
          </w:p>
        </w:tc>
      </w:tr>
      <w:tr w:rsidR="00740AF4" w14:paraId="23ADE0FB" w14:textId="77777777" w:rsidTr="003506D9">
        <w:tc>
          <w:tcPr>
            <w:tcW w:w="3240" w:type="dxa"/>
          </w:tcPr>
          <w:p w14:paraId="321F94B2" w14:textId="7FE38C54" w:rsidR="00740AF4" w:rsidRPr="00615522" w:rsidRDefault="00D94C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5522">
              <w:t>State Water Resource Agency -</w:t>
            </w:r>
            <w:r w:rsidR="00B9425D" w:rsidRPr="00615522">
              <w:t xml:space="preserve"> reads instructions</w:t>
            </w:r>
          </w:p>
        </w:tc>
        <w:tc>
          <w:tcPr>
            <w:tcW w:w="1350" w:type="dxa"/>
          </w:tcPr>
          <w:p w14:paraId="00983AD9" w14:textId="330469FE" w:rsidR="00740AF4" w:rsidRPr="00615522" w:rsidRDefault="00FC1F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5522">
              <w:t>5</w:t>
            </w:r>
            <w:r w:rsidR="00100F74">
              <w:t>2</w:t>
            </w:r>
          </w:p>
        </w:tc>
        <w:tc>
          <w:tcPr>
            <w:tcW w:w="1530" w:type="dxa"/>
          </w:tcPr>
          <w:p w14:paraId="6B164390" w14:textId="46DC5CA1" w:rsidR="00740AF4" w:rsidRPr="00615522" w:rsidRDefault="00FC1F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5522">
              <w:t>60</w:t>
            </w:r>
          </w:p>
        </w:tc>
        <w:tc>
          <w:tcPr>
            <w:tcW w:w="1147" w:type="dxa"/>
          </w:tcPr>
          <w:p w14:paraId="502AD603" w14:textId="3C0EBB47" w:rsidR="00740AF4" w:rsidRPr="00615522" w:rsidRDefault="00FC1F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5522">
              <w:t>5</w:t>
            </w:r>
            <w:r w:rsidR="00100F74">
              <w:t>2</w:t>
            </w:r>
          </w:p>
        </w:tc>
        <w:tc>
          <w:tcPr>
            <w:tcW w:w="1615" w:type="dxa"/>
          </w:tcPr>
          <w:p w14:paraId="16610949" w14:textId="30F8293E" w:rsidR="00740AF4" w:rsidRPr="00615522" w:rsidRDefault="00615522" w:rsidP="00802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r w:rsidR="00CE4CBA">
              <w:t>2,</w:t>
            </w:r>
            <w:r w:rsidR="00802EB6">
              <w:t>322</w:t>
            </w:r>
          </w:p>
        </w:tc>
      </w:tr>
      <w:tr w:rsidR="00740AF4" w14:paraId="32331283" w14:textId="77777777" w:rsidTr="003506D9">
        <w:tc>
          <w:tcPr>
            <w:tcW w:w="3240" w:type="dxa"/>
          </w:tcPr>
          <w:p w14:paraId="609CBE25" w14:textId="3568DFEE" w:rsidR="00740AF4" w:rsidRPr="00615522" w:rsidRDefault="00D94CBE" w:rsidP="00D94C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5522">
              <w:t>State Water Resource Agency -</w:t>
            </w:r>
            <w:r w:rsidR="00B9425D" w:rsidRPr="00615522">
              <w:t xml:space="preserve"> completes </w:t>
            </w:r>
            <w:r w:rsidRPr="00615522">
              <w:t>application</w:t>
            </w:r>
          </w:p>
        </w:tc>
        <w:tc>
          <w:tcPr>
            <w:tcW w:w="1350" w:type="dxa"/>
          </w:tcPr>
          <w:p w14:paraId="78377DC9" w14:textId="304AD419" w:rsidR="00740AF4" w:rsidRPr="00615522" w:rsidRDefault="00FC1F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5522">
              <w:t>5</w:t>
            </w:r>
            <w:r w:rsidR="00100F74">
              <w:t>2</w:t>
            </w:r>
          </w:p>
        </w:tc>
        <w:tc>
          <w:tcPr>
            <w:tcW w:w="1530" w:type="dxa"/>
          </w:tcPr>
          <w:p w14:paraId="03E17AE3" w14:textId="4660CB3B" w:rsidR="00740AF4" w:rsidRPr="00615522" w:rsidRDefault="00D94C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5522">
              <w:t>2,340</w:t>
            </w:r>
          </w:p>
        </w:tc>
        <w:tc>
          <w:tcPr>
            <w:tcW w:w="1147" w:type="dxa"/>
          </w:tcPr>
          <w:p w14:paraId="7C341B78" w14:textId="7B2BFC69" w:rsidR="00740AF4" w:rsidRPr="00615522" w:rsidRDefault="00100F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2,028</w:t>
            </w:r>
          </w:p>
        </w:tc>
        <w:tc>
          <w:tcPr>
            <w:tcW w:w="1615" w:type="dxa"/>
          </w:tcPr>
          <w:p w14:paraId="760ED5F5" w14:textId="3B52FA87" w:rsidR="00740AF4" w:rsidRPr="00615522" w:rsidRDefault="00615522" w:rsidP="00802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r w:rsidR="00802EB6">
              <w:t>90,570</w:t>
            </w:r>
          </w:p>
        </w:tc>
      </w:tr>
      <w:tr w:rsidR="00D94CBE" w14:paraId="2ADA4CFF" w14:textId="77777777" w:rsidTr="003506D9">
        <w:trPr>
          <w:trHeight w:val="70"/>
        </w:trPr>
        <w:tc>
          <w:tcPr>
            <w:tcW w:w="3240" w:type="dxa"/>
          </w:tcPr>
          <w:p w14:paraId="6C5A04D4" w14:textId="168EA1E4" w:rsidR="00D94CBE" w:rsidRPr="00615522" w:rsidRDefault="00D94CBE" w:rsidP="00BD06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5522">
              <w:t xml:space="preserve">State Water Resources Agency </w:t>
            </w:r>
            <w:r w:rsidR="003506D9">
              <w:t>-</w:t>
            </w:r>
            <w:r w:rsidR="00BD060D">
              <w:t xml:space="preserve"> Interim</w:t>
            </w:r>
            <w:r w:rsidRPr="00615522">
              <w:t xml:space="preserve"> Reports</w:t>
            </w:r>
          </w:p>
        </w:tc>
        <w:tc>
          <w:tcPr>
            <w:tcW w:w="1350" w:type="dxa"/>
          </w:tcPr>
          <w:p w14:paraId="54781FAB" w14:textId="38049026" w:rsidR="00D94CBE" w:rsidRPr="00615522" w:rsidRDefault="00D94C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5522">
              <w:t>15</w:t>
            </w:r>
          </w:p>
        </w:tc>
        <w:tc>
          <w:tcPr>
            <w:tcW w:w="1530" w:type="dxa"/>
          </w:tcPr>
          <w:p w14:paraId="1F63B745" w14:textId="1436CB21" w:rsidR="00D94CBE" w:rsidRPr="00615522" w:rsidRDefault="00CE4C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240</w:t>
            </w:r>
          </w:p>
        </w:tc>
        <w:tc>
          <w:tcPr>
            <w:tcW w:w="1147" w:type="dxa"/>
          </w:tcPr>
          <w:p w14:paraId="4F7A84DE" w14:textId="4D357321" w:rsidR="00D94CBE" w:rsidRPr="00615522" w:rsidRDefault="00CE4C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60</w:t>
            </w:r>
          </w:p>
        </w:tc>
        <w:tc>
          <w:tcPr>
            <w:tcW w:w="1615" w:type="dxa"/>
          </w:tcPr>
          <w:p w14:paraId="2A481855" w14:textId="7961E00F" w:rsidR="00D94CBE" w:rsidRPr="00615522" w:rsidRDefault="00615522" w:rsidP="00CE4C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r w:rsidR="00CE4CBA">
              <w:t>2,6</w:t>
            </w:r>
            <w:r w:rsidR="00802EB6">
              <w:t>80</w:t>
            </w:r>
          </w:p>
        </w:tc>
      </w:tr>
      <w:tr w:rsidR="00BD060D" w14:paraId="0EC25638" w14:textId="77777777" w:rsidTr="003506D9">
        <w:trPr>
          <w:trHeight w:val="70"/>
        </w:trPr>
        <w:tc>
          <w:tcPr>
            <w:tcW w:w="3240" w:type="dxa"/>
          </w:tcPr>
          <w:p w14:paraId="507262EE" w14:textId="10B5CC30" w:rsidR="00BD060D" w:rsidRDefault="00BD060D" w:rsidP="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State Water Resources Agency –</w:t>
            </w:r>
          </w:p>
          <w:p w14:paraId="06B9E64A" w14:textId="296716CB" w:rsidR="00BD060D" w:rsidRPr="00615522" w:rsidRDefault="00BD060D" w:rsidP="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Final Reports</w:t>
            </w:r>
          </w:p>
        </w:tc>
        <w:tc>
          <w:tcPr>
            <w:tcW w:w="1350" w:type="dxa"/>
          </w:tcPr>
          <w:p w14:paraId="24C46878" w14:textId="14D2315C" w:rsidR="00BD060D" w:rsidRPr="00615522" w:rsidRDefault="00CE4C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15</w:t>
            </w:r>
          </w:p>
        </w:tc>
        <w:tc>
          <w:tcPr>
            <w:tcW w:w="1530" w:type="dxa"/>
          </w:tcPr>
          <w:p w14:paraId="1DE8974B" w14:textId="5CF10983" w:rsidR="00BD060D" w:rsidRPr="00615522" w:rsidRDefault="00CE4CBA" w:rsidP="00CE4C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480</w:t>
            </w:r>
          </w:p>
        </w:tc>
        <w:tc>
          <w:tcPr>
            <w:tcW w:w="1147" w:type="dxa"/>
          </w:tcPr>
          <w:p w14:paraId="7F00C799" w14:textId="3ADE3168" w:rsidR="00BD060D" w:rsidRPr="00615522" w:rsidRDefault="00CE4C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120</w:t>
            </w:r>
          </w:p>
        </w:tc>
        <w:tc>
          <w:tcPr>
            <w:tcW w:w="1615" w:type="dxa"/>
          </w:tcPr>
          <w:p w14:paraId="5BF630FE" w14:textId="3ADDA98B" w:rsidR="00BD060D" w:rsidRDefault="00CE4CBA" w:rsidP="00802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w:t>
            </w:r>
            <w:r w:rsidR="00802EB6">
              <w:t>359</w:t>
            </w:r>
          </w:p>
        </w:tc>
      </w:tr>
      <w:tr w:rsidR="00615522" w:rsidRPr="00615522" w14:paraId="5E5CA797" w14:textId="77777777" w:rsidTr="00DB333F">
        <w:trPr>
          <w:trHeight w:val="70"/>
        </w:trPr>
        <w:tc>
          <w:tcPr>
            <w:tcW w:w="6120" w:type="dxa"/>
            <w:gridSpan w:val="3"/>
          </w:tcPr>
          <w:p w14:paraId="3ADB8563" w14:textId="78428550" w:rsidR="00615522" w:rsidRPr="00615522" w:rsidRDefault="00615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615522">
              <w:rPr>
                <w:b/>
              </w:rPr>
              <w:t>Total</w:t>
            </w:r>
            <w:r w:rsidR="003506D9">
              <w:rPr>
                <w:b/>
              </w:rPr>
              <w:t xml:space="preserve"> Burden Cost</w:t>
            </w:r>
            <w:r w:rsidR="00842B4C">
              <w:rPr>
                <w:b/>
              </w:rPr>
              <w:t xml:space="preserve"> to State Water Agencies</w:t>
            </w:r>
          </w:p>
        </w:tc>
        <w:tc>
          <w:tcPr>
            <w:tcW w:w="1147" w:type="dxa"/>
          </w:tcPr>
          <w:p w14:paraId="1298ECF3" w14:textId="7CCE205F" w:rsidR="00615522" w:rsidRPr="00615522" w:rsidRDefault="00615522" w:rsidP="002436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615522">
              <w:rPr>
                <w:b/>
              </w:rPr>
              <w:t>2,</w:t>
            </w:r>
            <w:r w:rsidR="0024362C">
              <w:rPr>
                <w:b/>
              </w:rPr>
              <w:t>260</w:t>
            </w:r>
          </w:p>
        </w:tc>
        <w:tc>
          <w:tcPr>
            <w:tcW w:w="1615" w:type="dxa"/>
          </w:tcPr>
          <w:p w14:paraId="0FC6F2C8" w14:textId="64BE0A58" w:rsidR="00615522" w:rsidRPr="00615522" w:rsidRDefault="00615522" w:rsidP="00802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w:t>
            </w:r>
            <w:r w:rsidR="00802EB6">
              <w:rPr>
                <w:b/>
              </w:rPr>
              <w:t>100,931</w:t>
            </w:r>
          </w:p>
        </w:tc>
      </w:tr>
    </w:tbl>
    <w:p w14:paraId="417A88AB" w14:textId="77777777" w:rsidR="00BE0F05"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B3C477" w14:textId="77777777" w:rsidR="00FC1FFD" w:rsidRPr="00F27E2F" w:rsidRDefault="00FC1FFD" w:rsidP="00FC1FF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2"/>
          <w:szCs w:val="22"/>
        </w:rPr>
      </w:pPr>
      <w:r w:rsidRPr="00C353E5">
        <w:rPr>
          <w:sz w:val="22"/>
          <w:szCs w:val="22"/>
        </w:rPr>
        <w:lastRenderedPageBreak/>
        <w:t>We have identified no reporting and recordkeeping “non-hour cost” burdens associated with this proposed collection of information.</w:t>
      </w:r>
    </w:p>
    <w:p w14:paraId="3B4680E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0043F120" w14:textId="77777777" w:rsidR="0084783A" w:rsidRDefault="008478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1D93269" w14:textId="77777777" w:rsidR="00AF49B0" w:rsidRPr="00A923E2" w:rsidRDefault="00AF49B0" w:rsidP="00AF49B0">
      <w:pPr>
        <w:ind w:left="360"/>
        <w:rPr>
          <w:sz w:val="22"/>
          <w:szCs w:val="22"/>
        </w:rPr>
      </w:pPr>
      <w:r w:rsidRPr="00A923E2">
        <w:rPr>
          <w:sz w:val="22"/>
          <w:szCs w:val="22"/>
        </w:rPr>
        <w:t xml:space="preserve">The estimated annual cost to the Federal </w:t>
      </w:r>
      <w:r w:rsidRPr="00624766">
        <w:rPr>
          <w:sz w:val="22"/>
          <w:szCs w:val="22"/>
        </w:rPr>
        <w:t>Government is $182</w:t>
      </w:r>
      <w:r>
        <w:rPr>
          <w:sz w:val="22"/>
          <w:szCs w:val="22"/>
        </w:rPr>
        <w:t>,077</w:t>
      </w:r>
      <w:r w:rsidRPr="00A923E2">
        <w:rPr>
          <w:sz w:val="18"/>
          <w:szCs w:val="18"/>
        </w:rPr>
        <w:t xml:space="preserve"> </w:t>
      </w:r>
      <w:r w:rsidRPr="00A923E2">
        <w:rPr>
          <w:sz w:val="22"/>
          <w:szCs w:val="22"/>
        </w:rPr>
        <w:t xml:space="preserve">as itemized in Table 2, below.  The table shows Federal Staff and grade level performing various tasks associated with this collection of information and time spent processing and reviewing information received as a result of this collection. Primary USGS staff involved are the Contracting Officer, </w:t>
      </w:r>
      <w:r>
        <w:rPr>
          <w:sz w:val="22"/>
          <w:szCs w:val="22"/>
        </w:rPr>
        <w:t>Staff Support</w:t>
      </w:r>
      <w:r w:rsidRPr="00A923E2">
        <w:rPr>
          <w:sz w:val="22"/>
          <w:szCs w:val="22"/>
        </w:rPr>
        <w:t xml:space="preserve">, and Program </w:t>
      </w:r>
      <w:r>
        <w:rPr>
          <w:sz w:val="22"/>
          <w:szCs w:val="22"/>
        </w:rPr>
        <w:t>Coordinator</w:t>
      </w:r>
      <w:r w:rsidRPr="00A923E2">
        <w:rPr>
          <w:sz w:val="22"/>
          <w:szCs w:val="22"/>
        </w:rPr>
        <w:t xml:space="preserve"> for developing the program announcement, organizing the proposals, completing all logistics for the peer panel meetings to review proposals, notifying recipients of awards, preparing requisitions, making awards, and requesting and reviewing required reports.  Grade levels, time, and annual costs for each of the three individuals are provided below. Several USGS scientific staff also serves as panel members; these panel members spend </w:t>
      </w:r>
      <w:r>
        <w:rPr>
          <w:sz w:val="22"/>
          <w:szCs w:val="22"/>
        </w:rPr>
        <w:t>80</w:t>
      </w:r>
      <w:r w:rsidRPr="00A923E2">
        <w:rPr>
          <w:sz w:val="22"/>
          <w:szCs w:val="22"/>
        </w:rPr>
        <w:t xml:space="preserve"> hours on average per person for reviews, meeting participation, and travel.  We have provided an aggregated grade level and annual cost below for USGS panel members. </w:t>
      </w:r>
    </w:p>
    <w:p w14:paraId="746FC2FA" w14:textId="77777777" w:rsidR="00AF49B0" w:rsidRPr="00A923E2" w:rsidRDefault="00AF49B0" w:rsidP="00AF49B0">
      <w:pPr>
        <w:tabs>
          <w:tab w:val="left" w:pos="3464"/>
        </w:tabs>
        <w:ind w:left="360"/>
        <w:rPr>
          <w:sz w:val="22"/>
          <w:szCs w:val="22"/>
        </w:rPr>
      </w:pPr>
    </w:p>
    <w:p w14:paraId="7E97F30B" w14:textId="659172ED" w:rsidR="00AF49B0" w:rsidRPr="00A923E2" w:rsidRDefault="00AF49B0" w:rsidP="00AF49B0">
      <w:pPr>
        <w:ind w:left="360"/>
        <w:rPr>
          <w:sz w:val="22"/>
          <w:szCs w:val="22"/>
        </w:rPr>
      </w:pPr>
      <w:r w:rsidRPr="00A923E2">
        <w:rPr>
          <w:sz w:val="22"/>
          <w:szCs w:val="22"/>
        </w:rPr>
        <w:t>We used the Office of Personnel Management Salary Table 20</w:t>
      </w:r>
      <w:r>
        <w:rPr>
          <w:sz w:val="22"/>
          <w:szCs w:val="22"/>
        </w:rPr>
        <w:t>15</w:t>
      </w:r>
      <w:r w:rsidRPr="00A923E2">
        <w:rPr>
          <w:sz w:val="22"/>
          <w:szCs w:val="22"/>
        </w:rPr>
        <w:t>-DCB</w:t>
      </w:r>
      <w:r>
        <w:rPr>
          <w:sz w:val="22"/>
          <w:szCs w:val="22"/>
        </w:rPr>
        <w:t xml:space="preserve"> (</w:t>
      </w:r>
      <w:r w:rsidRPr="00624766">
        <w:rPr>
          <w:sz w:val="22"/>
          <w:szCs w:val="22"/>
        </w:rPr>
        <w:t>https://www.opm.gov/policy-data-oversight/pay-leave/salaries-wages/salary-tables/pdf/2015/DCB_h.pdf</w:t>
      </w:r>
      <w:r w:rsidRPr="00A923E2">
        <w:rPr>
          <w:sz w:val="22"/>
          <w:szCs w:val="22"/>
        </w:rPr>
        <w:t>) to determine the hourly rate. We multiplied the hourly rate by 1.5 to account for</w:t>
      </w:r>
      <w:r w:rsidR="00A363C2">
        <w:rPr>
          <w:sz w:val="22"/>
          <w:szCs w:val="22"/>
        </w:rPr>
        <w:t xml:space="preserve"> overhead costs</w:t>
      </w:r>
      <w:r w:rsidRPr="00A923E2">
        <w:rPr>
          <w:sz w:val="22"/>
          <w:szCs w:val="22"/>
        </w:rPr>
        <w:t>.</w:t>
      </w:r>
    </w:p>
    <w:p w14:paraId="2653E183" w14:textId="77777777" w:rsidR="00AF49B0" w:rsidRPr="00A923E2" w:rsidRDefault="00AF49B0" w:rsidP="00AF49B0">
      <w:pPr>
        <w:ind w:left="360"/>
        <w:rPr>
          <w:sz w:val="22"/>
          <w:szCs w:val="22"/>
        </w:rPr>
      </w:pPr>
    </w:p>
    <w:p w14:paraId="7AFF2372" w14:textId="77777777" w:rsidR="00AF49B0" w:rsidRPr="00A923E2" w:rsidRDefault="00AF49B0" w:rsidP="00AF49B0">
      <w:pPr>
        <w:ind w:left="360"/>
        <w:rPr>
          <w:sz w:val="22"/>
          <w:szCs w:val="22"/>
        </w:rPr>
      </w:pPr>
      <w:r w:rsidRPr="00A923E2">
        <w:rPr>
          <w:sz w:val="22"/>
          <w:szCs w:val="22"/>
        </w:rPr>
        <w:t>In addition to the salaries and benefits, we estimate that $</w:t>
      </w:r>
      <w:r>
        <w:rPr>
          <w:sz w:val="22"/>
          <w:szCs w:val="22"/>
        </w:rPr>
        <w:t>20</w:t>
      </w:r>
      <w:r w:rsidRPr="00A923E2">
        <w:rPr>
          <w:sz w:val="22"/>
          <w:szCs w:val="22"/>
        </w:rPr>
        <w:t>,000 for holding the proposal review panel meetings required each fiscal year for transportation and per diem for outside peer reviewers and USGS staff (no salaries or stipends are paid to non-federal personnel that participate on the panel reviews</w:t>
      </w:r>
      <w:r>
        <w:rPr>
          <w:sz w:val="22"/>
          <w:szCs w:val="22"/>
        </w:rPr>
        <w:t>)</w:t>
      </w:r>
      <w:r w:rsidRPr="00A923E2">
        <w:rPr>
          <w:sz w:val="22"/>
          <w:szCs w:val="22"/>
        </w:rPr>
        <w:t>.  USGS facilities are used for panel meetings, so no room rental fees are incurred.</w:t>
      </w:r>
    </w:p>
    <w:p w14:paraId="4985F938" w14:textId="77777777" w:rsidR="0084783A" w:rsidRDefault="008478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3B6B3B6" w14:textId="32CBF202" w:rsidR="000E42E3" w:rsidRDefault="000E42E3">
      <w:pPr>
        <w:widowControl/>
        <w:autoSpaceDE/>
        <w:autoSpaceDN/>
        <w:adjustRightInd/>
        <w:rPr>
          <w:b/>
          <w:sz w:val="24"/>
          <w:szCs w:val="24"/>
        </w:rPr>
      </w:pPr>
      <w:r>
        <w:rPr>
          <w:b/>
          <w:sz w:val="24"/>
          <w:szCs w:val="24"/>
        </w:rPr>
        <w:br w:type="page"/>
      </w:r>
    </w:p>
    <w:p w14:paraId="551010CA" w14:textId="6460FBF5" w:rsidR="0084783A" w:rsidRPr="000E42E3" w:rsidRDefault="000E42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42E3">
        <w:rPr>
          <w:sz w:val="24"/>
          <w:szCs w:val="24"/>
        </w:rPr>
        <w:lastRenderedPageBreak/>
        <w:t>Table 2: Federal Costs</w:t>
      </w:r>
    </w:p>
    <w:tbl>
      <w:tblPr>
        <w:tblpPr w:leftFromText="180" w:rightFromText="180" w:vertAnchor="text" w:horzAnchor="margin" w:tblpXSpec="center" w:tblpY="85"/>
        <w:tblW w:w="8748" w:type="dxa"/>
        <w:tblLayout w:type="fixed"/>
        <w:tblLook w:val="0000" w:firstRow="0" w:lastRow="0" w:firstColumn="0" w:lastColumn="0" w:noHBand="0" w:noVBand="0"/>
      </w:tblPr>
      <w:tblGrid>
        <w:gridCol w:w="2717"/>
        <w:gridCol w:w="995"/>
        <w:gridCol w:w="1284"/>
        <w:gridCol w:w="1409"/>
        <w:gridCol w:w="1172"/>
        <w:gridCol w:w="1171"/>
      </w:tblGrid>
      <w:tr w:rsidR="00AF49B0" w:rsidRPr="00A923E2" w14:paraId="14CFDAAE" w14:textId="77777777" w:rsidTr="00F67D6B">
        <w:trPr>
          <w:trHeight w:val="1313"/>
          <w:tblHeader/>
        </w:trPr>
        <w:tc>
          <w:tcPr>
            <w:tcW w:w="2717" w:type="dxa"/>
            <w:tcBorders>
              <w:top w:val="single" w:sz="4" w:space="0" w:color="auto"/>
              <w:left w:val="single" w:sz="4" w:space="0" w:color="auto"/>
              <w:bottom w:val="single" w:sz="4" w:space="0" w:color="auto"/>
              <w:right w:val="single" w:sz="4" w:space="0" w:color="auto"/>
            </w:tcBorders>
            <w:shd w:val="clear" w:color="auto" w:fill="003366"/>
            <w:vAlign w:val="bottom"/>
          </w:tcPr>
          <w:p w14:paraId="1DA8E597" w14:textId="0A267F96" w:rsidR="00AF49B0" w:rsidRPr="00A923E2" w:rsidRDefault="00AF49B0" w:rsidP="00AF49B0">
            <w:pPr>
              <w:jc w:val="center"/>
              <w:rPr>
                <w:b/>
                <w:bCs/>
              </w:rPr>
            </w:pPr>
            <w:r w:rsidRPr="00740AF4">
              <w:rPr>
                <w:rFonts w:ascii="Arial" w:hAnsi="Arial" w:cs="Arial"/>
                <w:color w:val="FFFFFF"/>
                <w:sz w:val="24"/>
                <w:szCs w:val="24"/>
              </w:rPr>
              <w:t xml:space="preserve">Federal Govt cost  </w:t>
            </w:r>
          </w:p>
        </w:tc>
        <w:tc>
          <w:tcPr>
            <w:tcW w:w="995" w:type="dxa"/>
            <w:tcBorders>
              <w:top w:val="single" w:sz="4" w:space="0" w:color="auto"/>
              <w:left w:val="nil"/>
              <w:bottom w:val="single" w:sz="4" w:space="0" w:color="auto"/>
              <w:right w:val="single" w:sz="4" w:space="0" w:color="auto"/>
            </w:tcBorders>
            <w:shd w:val="clear" w:color="auto" w:fill="003366"/>
            <w:vAlign w:val="bottom"/>
          </w:tcPr>
          <w:p w14:paraId="0DF0DE93" w14:textId="3AE08D4B" w:rsidR="00AF49B0" w:rsidRPr="00A923E2" w:rsidRDefault="00AF49B0" w:rsidP="00AF49B0">
            <w:pPr>
              <w:jc w:val="center"/>
              <w:rPr>
                <w:b/>
                <w:bCs/>
              </w:rPr>
            </w:pPr>
            <w:r w:rsidRPr="00740AF4">
              <w:rPr>
                <w:rFonts w:ascii="Arial" w:hAnsi="Arial" w:cs="Arial"/>
                <w:color w:val="FFFFFF"/>
                <w:sz w:val="24"/>
                <w:szCs w:val="24"/>
              </w:rPr>
              <w:t>Year 1</w:t>
            </w:r>
          </w:p>
        </w:tc>
        <w:tc>
          <w:tcPr>
            <w:tcW w:w="1284" w:type="dxa"/>
            <w:tcBorders>
              <w:top w:val="single" w:sz="4" w:space="0" w:color="auto"/>
              <w:left w:val="nil"/>
              <w:bottom w:val="single" w:sz="4" w:space="0" w:color="auto"/>
              <w:right w:val="single" w:sz="4" w:space="0" w:color="auto"/>
            </w:tcBorders>
            <w:shd w:val="clear" w:color="auto" w:fill="003366"/>
            <w:vAlign w:val="bottom"/>
          </w:tcPr>
          <w:p w14:paraId="6C9777CE" w14:textId="5EBFDBAA" w:rsidR="00AF49B0" w:rsidRPr="00A923E2" w:rsidRDefault="00AF49B0" w:rsidP="00AF49B0">
            <w:pPr>
              <w:jc w:val="center"/>
              <w:rPr>
                <w:b/>
                <w:bCs/>
              </w:rPr>
            </w:pPr>
            <w:r>
              <w:rPr>
                <w:rFonts w:ascii="Arial" w:hAnsi="Arial" w:cs="Arial"/>
                <w:color w:val="FFFFFF"/>
                <w:sz w:val="24"/>
                <w:szCs w:val="24"/>
              </w:rPr>
              <w:t>Hourly Rate</w:t>
            </w:r>
            <w:r w:rsidRPr="00740AF4">
              <w:rPr>
                <w:rFonts w:ascii="Arial" w:hAnsi="Arial" w:cs="Arial"/>
                <w:color w:val="FFFFFF"/>
                <w:sz w:val="24"/>
                <w:szCs w:val="24"/>
              </w:rPr>
              <w:t> </w:t>
            </w:r>
          </w:p>
        </w:tc>
        <w:tc>
          <w:tcPr>
            <w:tcW w:w="1409" w:type="dxa"/>
            <w:tcBorders>
              <w:top w:val="single" w:sz="4" w:space="0" w:color="auto"/>
              <w:left w:val="nil"/>
              <w:bottom w:val="single" w:sz="4" w:space="0" w:color="auto"/>
              <w:right w:val="single" w:sz="4" w:space="0" w:color="auto"/>
            </w:tcBorders>
            <w:shd w:val="clear" w:color="auto" w:fill="003366"/>
            <w:vAlign w:val="bottom"/>
          </w:tcPr>
          <w:p w14:paraId="583F4D13" w14:textId="2AF97EF9" w:rsidR="00AF49B0" w:rsidRPr="00A923E2" w:rsidRDefault="00AF49B0" w:rsidP="00AF49B0">
            <w:pPr>
              <w:jc w:val="center"/>
              <w:rPr>
                <w:b/>
                <w:bCs/>
              </w:rPr>
            </w:pPr>
            <w:r>
              <w:rPr>
                <w:rFonts w:ascii="Arial" w:hAnsi="Arial" w:cs="Arial"/>
                <w:color w:val="FFFFFF"/>
                <w:sz w:val="24"/>
                <w:szCs w:val="24"/>
              </w:rPr>
              <w:t>Annual Hours by Fed</w:t>
            </w:r>
            <w:r w:rsidRPr="00740AF4">
              <w:rPr>
                <w:rFonts w:ascii="Arial" w:hAnsi="Arial" w:cs="Arial"/>
                <w:color w:val="FFFFFF"/>
                <w:sz w:val="24"/>
                <w:szCs w:val="24"/>
              </w:rPr>
              <w:t xml:space="preserve"> </w:t>
            </w:r>
          </w:p>
        </w:tc>
        <w:tc>
          <w:tcPr>
            <w:tcW w:w="1172" w:type="dxa"/>
            <w:tcBorders>
              <w:top w:val="single" w:sz="4" w:space="0" w:color="auto"/>
              <w:left w:val="nil"/>
              <w:bottom w:val="single" w:sz="4" w:space="0" w:color="auto"/>
              <w:right w:val="single" w:sz="4" w:space="0" w:color="auto"/>
            </w:tcBorders>
            <w:shd w:val="clear" w:color="auto" w:fill="003366"/>
            <w:vAlign w:val="bottom"/>
          </w:tcPr>
          <w:p w14:paraId="0F7CC60B" w14:textId="5CEDEE04" w:rsidR="00AF49B0" w:rsidRPr="00A923E2" w:rsidRDefault="00AF49B0" w:rsidP="00AF49B0">
            <w:pPr>
              <w:jc w:val="center"/>
              <w:rPr>
                <w:b/>
                <w:bCs/>
              </w:rPr>
            </w:pPr>
            <w:r>
              <w:rPr>
                <w:rFonts w:ascii="Arial" w:hAnsi="Arial" w:cs="Arial"/>
                <w:color w:val="FFFFFF"/>
                <w:sz w:val="24"/>
                <w:szCs w:val="24"/>
              </w:rPr>
              <w:t>Fully Loaded Rate</w:t>
            </w:r>
            <w:r w:rsidRPr="00740AF4">
              <w:rPr>
                <w:rFonts w:ascii="Arial" w:hAnsi="Arial" w:cs="Arial"/>
                <w:color w:val="FFFFFF"/>
                <w:sz w:val="24"/>
                <w:szCs w:val="24"/>
              </w:rPr>
              <w:t xml:space="preserve"> </w:t>
            </w:r>
          </w:p>
        </w:tc>
        <w:tc>
          <w:tcPr>
            <w:tcW w:w="1171" w:type="dxa"/>
            <w:tcBorders>
              <w:top w:val="single" w:sz="4" w:space="0" w:color="auto"/>
              <w:left w:val="nil"/>
              <w:bottom w:val="single" w:sz="4" w:space="0" w:color="auto"/>
              <w:right w:val="single" w:sz="4" w:space="0" w:color="auto"/>
            </w:tcBorders>
            <w:shd w:val="clear" w:color="auto" w:fill="003366"/>
            <w:vAlign w:val="bottom"/>
          </w:tcPr>
          <w:p w14:paraId="40C65C4D" w14:textId="24529D37" w:rsidR="00AF49B0" w:rsidRPr="00A923E2" w:rsidRDefault="00AF49B0" w:rsidP="00AF49B0">
            <w:pPr>
              <w:jc w:val="center"/>
              <w:rPr>
                <w:b/>
                <w:bCs/>
              </w:rPr>
            </w:pPr>
            <w:r>
              <w:rPr>
                <w:rFonts w:ascii="Arial" w:hAnsi="Arial" w:cs="Arial"/>
                <w:color w:val="FFFFFF"/>
                <w:sz w:val="24"/>
                <w:szCs w:val="24"/>
              </w:rPr>
              <w:t>Total Labor Value</w:t>
            </w:r>
            <w:r w:rsidRPr="00740AF4">
              <w:rPr>
                <w:rFonts w:ascii="Arial" w:hAnsi="Arial" w:cs="Arial"/>
                <w:color w:val="FFFFFF"/>
                <w:sz w:val="24"/>
                <w:szCs w:val="24"/>
              </w:rPr>
              <w:t xml:space="preserve"> </w:t>
            </w:r>
          </w:p>
        </w:tc>
      </w:tr>
      <w:tr w:rsidR="00AF49B0" w:rsidRPr="00A923E2" w14:paraId="6BFE5B51" w14:textId="77777777" w:rsidTr="00F67D6B">
        <w:trPr>
          <w:trHeight w:val="553"/>
          <w:tblHeader/>
        </w:trPr>
        <w:tc>
          <w:tcPr>
            <w:tcW w:w="2717" w:type="dxa"/>
            <w:tcBorders>
              <w:top w:val="single" w:sz="4" w:space="0" w:color="auto"/>
              <w:left w:val="single" w:sz="4" w:space="0" w:color="auto"/>
              <w:bottom w:val="single" w:sz="4" w:space="0" w:color="auto"/>
              <w:right w:val="single" w:sz="4" w:space="0" w:color="auto"/>
            </w:tcBorders>
            <w:shd w:val="clear" w:color="auto" w:fill="auto"/>
            <w:vAlign w:val="center"/>
          </w:tcPr>
          <w:p w14:paraId="0504FD7C" w14:textId="77777777" w:rsidR="00AF49B0" w:rsidRPr="00A923E2" w:rsidRDefault="00AF49B0" w:rsidP="00AF49B0">
            <w:r>
              <w:t>WUDR Program Coordinator</w:t>
            </w:r>
          </w:p>
        </w:tc>
        <w:tc>
          <w:tcPr>
            <w:tcW w:w="995" w:type="dxa"/>
            <w:tcBorders>
              <w:top w:val="single" w:sz="4" w:space="0" w:color="auto"/>
              <w:left w:val="nil"/>
              <w:bottom w:val="single" w:sz="4" w:space="0" w:color="auto"/>
              <w:right w:val="single" w:sz="4" w:space="0" w:color="auto"/>
            </w:tcBorders>
            <w:shd w:val="clear" w:color="auto" w:fill="auto"/>
            <w:vAlign w:val="center"/>
          </w:tcPr>
          <w:p w14:paraId="2B7D4156" w14:textId="77777777" w:rsidR="00AF49B0" w:rsidRPr="00A923E2" w:rsidRDefault="00AF49B0" w:rsidP="00AF49B0">
            <w:pPr>
              <w:jc w:val="center"/>
            </w:pPr>
            <w:r w:rsidRPr="00A923E2">
              <w:t>GS 14/</w:t>
            </w:r>
            <w:r>
              <w:t>3</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7F40380F" w14:textId="77777777" w:rsidR="00AF49B0" w:rsidRPr="00A923E2" w:rsidRDefault="00AF49B0" w:rsidP="00AF49B0">
            <w:pPr>
              <w:jc w:val="center"/>
            </w:pPr>
            <w:r w:rsidRPr="00A923E2">
              <w:t>$</w:t>
            </w:r>
            <w:r>
              <w:t>54.85</w:t>
            </w:r>
            <w:r w:rsidRPr="00A923E2">
              <w:t xml:space="preserve"> </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5DB3A403" w14:textId="32A70E05" w:rsidR="00AF49B0" w:rsidRPr="00A923E2" w:rsidRDefault="00AF49B0" w:rsidP="00AF49B0">
            <w:pPr>
              <w:jc w:val="center"/>
            </w:pPr>
            <w:r>
              <w:t>1044</w:t>
            </w:r>
          </w:p>
        </w:tc>
        <w:tc>
          <w:tcPr>
            <w:tcW w:w="1172" w:type="dxa"/>
            <w:tcBorders>
              <w:top w:val="single" w:sz="4" w:space="0" w:color="auto"/>
              <w:left w:val="nil"/>
              <w:bottom w:val="single" w:sz="4" w:space="0" w:color="auto"/>
              <w:right w:val="single" w:sz="4" w:space="0" w:color="auto"/>
            </w:tcBorders>
            <w:shd w:val="clear" w:color="auto" w:fill="auto"/>
            <w:vAlign w:val="center"/>
          </w:tcPr>
          <w:p w14:paraId="4FA7FE00" w14:textId="3C9C40D8" w:rsidR="00AF49B0" w:rsidRPr="00A923E2" w:rsidRDefault="00AF49B0" w:rsidP="00AF49B0">
            <w:pPr>
              <w:jc w:val="center"/>
            </w:pPr>
            <w:r>
              <w:t>$82.28</w:t>
            </w:r>
          </w:p>
        </w:tc>
        <w:tc>
          <w:tcPr>
            <w:tcW w:w="1171" w:type="dxa"/>
            <w:tcBorders>
              <w:top w:val="single" w:sz="4" w:space="0" w:color="auto"/>
              <w:left w:val="nil"/>
              <w:bottom w:val="single" w:sz="4" w:space="0" w:color="auto"/>
              <w:right w:val="single" w:sz="4" w:space="0" w:color="auto"/>
            </w:tcBorders>
            <w:shd w:val="clear" w:color="auto" w:fill="auto"/>
            <w:vAlign w:val="center"/>
          </w:tcPr>
          <w:p w14:paraId="7AC829F3" w14:textId="77777777" w:rsidR="00AF49B0" w:rsidRPr="00A923E2" w:rsidRDefault="00AF49B0" w:rsidP="00AF49B0">
            <w:pPr>
              <w:jc w:val="center"/>
            </w:pPr>
            <w:r w:rsidRPr="00A923E2">
              <w:t>$</w:t>
            </w:r>
            <w:r>
              <w:t>85,900</w:t>
            </w:r>
          </w:p>
        </w:tc>
      </w:tr>
      <w:tr w:rsidR="00AF49B0" w:rsidRPr="00A923E2" w14:paraId="37FB6468" w14:textId="77777777" w:rsidTr="00F67D6B">
        <w:trPr>
          <w:trHeight w:val="502"/>
          <w:tblHeader/>
        </w:trPr>
        <w:tc>
          <w:tcPr>
            <w:tcW w:w="2717" w:type="dxa"/>
            <w:tcBorders>
              <w:top w:val="single" w:sz="4" w:space="0" w:color="auto"/>
              <w:left w:val="single" w:sz="4" w:space="0" w:color="auto"/>
              <w:bottom w:val="single" w:sz="6" w:space="0" w:color="auto"/>
              <w:right w:val="single" w:sz="4" w:space="0" w:color="auto"/>
            </w:tcBorders>
            <w:shd w:val="clear" w:color="auto" w:fill="auto"/>
            <w:vAlign w:val="center"/>
          </w:tcPr>
          <w:p w14:paraId="18021F00" w14:textId="77777777" w:rsidR="00AF49B0" w:rsidRPr="00A923E2" w:rsidRDefault="00AF49B0" w:rsidP="00AF49B0">
            <w:r>
              <w:t>Hydrologist – Staff Support</w:t>
            </w:r>
          </w:p>
        </w:tc>
        <w:tc>
          <w:tcPr>
            <w:tcW w:w="995" w:type="dxa"/>
            <w:tcBorders>
              <w:top w:val="single" w:sz="4" w:space="0" w:color="auto"/>
              <w:left w:val="nil"/>
              <w:bottom w:val="single" w:sz="6" w:space="0" w:color="auto"/>
              <w:right w:val="single" w:sz="4" w:space="0" w:color="auto"/>
            </w:tcBorders>
            <w:shd w:val="clear" w:color="auto" w:fill="auto"/>
            <w:vAlign w:val="center"/>
          </w:tcPr>
          <w:p w14:paraId="246BFE1F" w14:textId="77777777" w:rsidR="00AF49B0" w:rsidRPr="00A923E2" w:rsidRDefault="00AF49B0" w:rsidP="00AF49B0">
            <w:pPr>
              <w:jc w:val="center"/>
            </w:pPr>
            <w:r>
              <w:t>GS 12</w:t>
            </w:r>
            <w:r w:rsidRPr="00A923E2">
              <w:t>/</w:t>
            </w:r>
            <w:r>
              <w:t>8</w:t>
            </w:r>
          </w:p>
        </w:tc>
        <w:tc>
          <w:tcPr>
            <w:tcW w:w="1284" w:type="dxa"/>
            <w:tcBorders>
              <w:top w:val="single" w:sz="4" w:space="0" w:color="auto"/>
              <w:left w:val="nil"/>
              <w:bottom w:val="single" w:sz="6" w:space="0" w:color="auto"/>
              <w:right w:val="single" w:sz="4" w:space="0" w:color="auto"/>
            </w:tcBorders>
            <w:shd w:val="clear" w:color="auto" w:fill="auto"/>
            <w:vAlign w:val="center"/>
          </w:tcPr>
          <w:p w14:paraId="5E00AACD" w14:textId="77777777" w:rsidR="00AF49B0" w:rsidRPr="00A923E2" w:rsidRDefault="00AF49B0" w:rsidP="00AF49B0">
            <w:pPr>
              <w:jc w:val="center"/>
            </w:pPr>
            <w:r w:rsidRPr="00A923E2">
              <w:t>$</w:t>
            </w:r>
            <w:r>
              <w:t>45.14</w:t>
            </w:r>
          </w:p>
        </w:tc>
        <w:tc>
          <w:tcPr>
            <w:tcW w:w="1409" w:type="dxa"/>
            <w:tcBorders>
              <w:top w:val="single" w:sz="4" w:space="0" w:color="auto"/>
              <w:left w:val="nil"/>
              <w:bottom w:val="single" w:sz="6" w:space="0" w:color="auto"/>
              <w:right w:val="single" w:sz="4" w:space="0" w:color="auto"/>
            </w:tcBorders>
            <w:shd w:val="clear" w:color="auto" w:fill="auto"/>
            <w:vAlign w:val="center"/>
          </w:tcPr>
          <w:p w14:paraId="5AA55582" w14:textId="4DD1B773" w:rsidR="00AF49B0" w:rsidRPr="00A923E2" w:rsidRDefault="00AF49B0" w:rsidP="00AF49B0">
            <w:pPr>
              <w:jc w:val="center"/>
            </w:pPr>
            <w:r>
              <w:t>400</w:t>
            </w:r>
          </w:p>
        </w:tc>
        <w:tc>
          <w:tcPr>
            <w:tcW w:w="1172" w:type="dxa"/>
            <w:tcBorders>
              <w:top w:val="single" w:sz="4" w:space="0" w:color="auto"/>
              <w:left w:val="nil"/>
              <w:bottom w:val="single" w:sz="6" w:space="0" w:color="auto"/>
              <w:right w:val="single" w:sz="4" w:space="0" w:color="auto"/>
            </w:tcBorders>
            <w:shd w:val="clear" w:color="auto" w:fill="auto"/>
            <w:vAlign w:val="center"/>
          </w:tcPr>
          <w:p w14:paraId="13CE50AB" w14:textId="51706473" w:rsidR="00AF49B0" w:rsidRPr="00A923E2" w:rsidRDefault="00AF49B0" w:rsidP="00AF49B0">
            <w:pPr>
              <w:jc w:val="center"/>
            </w:pPr>
            <w:r>
              <w:t>$67.71</w:t>
            </w:r>
          </w:p>
        </w:tc>
        <w:tc>
          <w:tcPr>
            <w:tcW w:w="1171" w:type="dxa"/>
            <w:tcBorders>
              <w:top w:val="single" w:sz="4" w:space="0" w:color="auto"/>
              <w:left w:val="nil"/>
              <w:bottom w:val="single" w:sz="6" w:space="0" w:color="auto"/>
              <w:right w:val="single" w:sz="4" w:space="0" w:color="auto"/>
            </w:tcBorders>
            <w:shd w:val="clear" w:color="auto" w:fill="auto"/>
            <w:vAlign w:val="center"/>
          </w:tcPr>
          <w:p w14:paraId="6CF96DEF" w14:textId="77777777" w:rsidR="00AF49B0" w:rsidRPr="00A923E2" w:rsidRDefault="00AF49B0" w:rsidP="00AF49B0">
            <w:pPr>
              <w:jc w:val="center"/>
            </w:pPr>
            <w:r>
              <w:t>$27,084</w:t>
            </w:r>
          </w:p>
        </w:tc>
      </w:tr>
      <w:tr w:rsidR="00AF49B0" w:rsidRPr="00A923E2" w14:paraId="2C333FB2" w14:textId="77777777" w:rsidTr="00F67D6B">
        <w:trPr>
          <w:trHeight w:val="515"/>
          <w:tblHeader/>
        </w:trPr>
        <w:tc>
          <w:tcPr>
            <w:tcW w:w="2717" w:type="dxa"/>
            <w:tcBorders>
              <w:top w:val="single" w:sz="4" w:space="0" w:color="auto"/>
              <w:left w:val="single" w:sz="4" w:space="0" w:color="auto"/>
              <w:bottom w:val="single" w:sz="6" w:space="0" w:color="auto"/>
              <w:right w:val="single" w:sz="4" w:space="0" w:color="auto"/>
            </w:tcBorders>
            <w:shd w:val="clear" w:color="auto" w:fill="auto"/>
            <w:vAlign w:val="center"/>
          </w:tcPr>
          <w:p w14:paraId="4247C9EA" w14:textId="77777777" w:rsidR="00AF49B0" w:rsidRPr="00A923E2" w:rsidRDefault="00AF49B0" w:rsidP="00AF49B0">
            <w:r w:rsidRPr="00A923E2">
              <w:t>Contracting Officer</w:t>
            </w:r>
          </w:p>
        </w:tc>
        <w:tc>
          <w:tcPr>
            <w:tcW w:w="995" w:type="dxa"/>
            <w:tcBorders>
              <w:top w:val="single" w:sz="4" w:space="0" w:color="auto"/>
              <w:left w:val="nil"/>
              <w:bottom w:val="single" w:sz="6" w:space="0" w:color="auto"/>
              <w:right w:val="single" w:sz="4" w:space="0" w:color="auto"/>
            </w:tcBorders>
            <w:shd w:val="clear" w:color="auto" w:fill="auto"/>
            <w:vAlign w:val="center"/>
          </w:tcPr>
          <w:p w14:paraId="5719F192" w14:textId="77777777" w:rsidR="00AF49B0" w:rsidRPr="00A923E2" w:rsidRDefault="00AF49B0" w:rsidP="00AF49B0">
            <w:pPr>
              <w:jc w:val="center"/>
            </w:pPr>
            <w:r w:rsidRPr="00A923E2">
              <w:t>GS 13/</w:t>
            </w:r>
            <w:r>
              <w:t>10</w:t>
            </w:r>
          </w:p>
        </w:tc>
        <w:tc>
          <w:tcPr>
            <w:tcW w:w="1284" w:type="dxa"/>
            <w:tcBorders>
              <w:top w:val="single" w:sz="4" w:space="0" w:color="auto"/>
              <w:left w:val="nil"/>
              <w:bottom w:val="single" w:sz="6" w:space="0" w:color="auto"/>
              <w:right w:val="single" w:sz="4" w:space="0" w:color="auto"/>
            </w:tcBorders>
            <w:shd w:val="clear" w:color="auto" w:fill="auto"/>
            <w:vAlign w:val="center"/>
          </w:tcPr>
          <w:p w14:paraId="19554688" w14:textId="77777777" w:rsidR="00AF49B0" w:rsidRPr="00A923E2" w:rsidRDefault="00AF49B0" w:rsidP="00AF49B0">
            <w:pPr>
              <w:jc w:val="center"/>
            </w:pPr>
            <w:r w:rsidRPr="00A923E2">
              <w:t>$5</w:t>
            </w:r>
            <w:r>
              <w:t>6.57</w:t>
            </w:r>
          </w:p>
        </w:tc>
        <w:tc>
          <w:tcPr>
            <w:tcW w:w="1409" w:type="dxa"/>
            <w:tcBorders>
              <w:top w:val="single" w:sz="4" w:space="0" w:color="auto"/>
              <w:left w:val="nil"/>
              <w:bottom w:val="single" w:sz="6" w:space="0" w:color="auto"/>
              <w:right w:val="single" w:sz="4" w:space="0" w:color="auto"/>
            </w:tcBorders>
            <w:shd w:val="clear" w:color="auto" w:fill="auto"/>
            <w:vAlign w:val="center"/>
          </w:tcPr>
          <w:p w14:paraId="777F96BC" w14:textId="01778442" w:rsidR="00AF49B0" w:rsidRPr="00A923E2" w:rsidRDefault="00AF49B0" w:rsidP="00AF49B0">
            <w:pPr>
              <w:jc w:val="center"/>
            </w:pPr>
            <w:r>
              <w:t>120</w:t>
            </w:r>
          </w:p>
        </w:tc>
        <w:tc>
          <w:tcPr>
            <w:tcW w:w="1172" w:type="dxa"/>
            <w:tcBorders>
              <w:top w:val="single" w:sz="4" w:space="0" w:color="auto"/>
              <w:left w:val="nil"/>
              <w:bottom w:val="single" w:sz="6" w:space="0" w:color="auto"/>
              <w:right w:val="single" w:sz="4" w:space="0" w:color="auto"/>
            </w:tcBorders>
            <w:shd w:val="clear" w:color="auto" w:fill="auto"/>
            <w:vAlign w:val="center"/>
          </w:tcPr>
          <w:p w14:paraId="74C6A780" w14:textId="5FCA82A4" w:rsidR="00AF49B0" w:rsidRPr="00A923E2" w:rsidRDefault="00AF49B0" w:rsidP="00AF49B0">
            <w:pPr>
              <w:jc w:val="center"/>
            </w:pPr>
            <w:r w:rsidRPr="00A923E2">
              <w:t>$</w:t>
            </w:r>
            <w:r>
              <w:t>84.86</w:t>
            </w:r>
          </w:p>
        </w:tc>
        <w:tc>
          <w:tcPr>
            <w:tcW w:w="1171" w:type="dxa"/>
            <w:tcBorders>
              <w:top w:val="single" w:sz="4" w:space="0" w:color="auto"/>
              <w:left w:val="nil"/>
              <w:bottom w:val="single" w:sz="6" w:space="0" w:color="auto"/>
              <w:right w:val="single" w:sz="4" w:space="0" w:color="auto"/>
            </w:tcBorders>
            <w:shd w:val="clear" w:color="auto" w:fill="auto"/>
            <w:vAlign w:val="center"/>
          </w:tcPr>
          <w:p w14:paraId="0414C76C" w14:textId="77777777" w:rsidR="00AF49B0" w:rsidRPr="00A923E2" w:rsidRDefault="00AF49B0" w:rsidP="00AF49B0">
            <w:pPr>
              <w:jc w:val="center"/>
            </w:pPr>
            <w:r>
              <w:t>$10,183</w:t>
            </w:r>
          </w:p>
        </w:tc>
      </w:tr>
      <w:tr w:rsidR="00AF49B0" w:rsidRPr="00A923E2" w14:paraId="260AC2D8" w14:textId="77777777" w:rsidTr="00F67D6B">
        <w:trPr>
          <w:trHeight w:val="45"/>
          <w:tblHeader/>
        </w:trPr>
        <w:tc>
          <w:tcPr>
            <w:tcW w:w="8748"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7B7080D1" w14:textId="54CD3DC4" w:rsidR="00AF49B0" w:rsidRPr="00A923E2" w:rsidRDefault="00AF49B0" w:rsidP="00AF49B0">
            <w:pPr>
              <w:jc w:val="center"/>
              <w:rPr>
                <w:b/>
              </w:rPr>
            </w:pPr>
          </w:p>
        </w:tc>
      </w:tr>
      <w:tr w:rsidR="00AF49B0" w:rsidRPr="00A923E2" w14:paraId="13369EC6" w14:textId="77777777" w:rsidTr="00AF49B0">
        <w:trPr>
          <w:trHeight w:val="538"/>
          <w:tblHeader/>
        </w:trPr>
        <w:tc>
          <w:tcPr>
            <w:tcW w:w="8748" w:type="dxa"/>
            <w:gridSpan w:val="6"/>
            <w:tcBorders>
              <w:top w:val="nil"/>
              <w:left w:val="single" w:sz="4" w:space="0" w:color="auto"/>
              <w:bottom w:val="single" w:sz="4" w:space="0" w:color="auto"/>
              <w:right w:val="single" w:sz="4" w:space="0" w:color="auto"/>
            </w:tcBorders>
            <w:shd w:val="clear" w:color="auto" w:fill="auto"/>
            <w:vAlign w:val="center"/>
          </w:tcPr>
          <w:p w14:paraId="3CFB63F6" w14:textId="300303E3" w:rsidR="00AF49B0" w:rsidRPr="00A923E2" w:rsidRDefault="00AF49B0" w:rsidP="00AF49B0">
            <w:pPr>
              <w:jc w:val="center"/>
            </w:pPr>
            <w:r>
              <w:t>Application Review Panel – Federal Members</w:t>
            </w:r>
            <w:r w:rsidR="00F67D6B">
              <w:t xml:space="preserve"> only</w:t>
            </w:r>
          </w:p>
        </w:tc>
      </w:tr>
      <w:tr w:rsidR="00AF49B0" w:rsidRPr="00A923E2" w14:paraId="7E11AC97" w14:textId="77777777" w:rsidTr="00F67D6B">
        <w:trPr>
          <w:trHeight w:val="520"/>
          <w:tblHeader/>
        </w:trPr>
        <w:tc>
          <w:tcPr>
            <w:tcW w:w="2717" w:type="dxa"/>
            <w:tcBorders>
              <w:top w:val="nil"/>
              <w:left w:val="single" w:sz="4" w:space="0" w:color="auto"/>
              <w:bottom w:val="single" w:sz="4" w:space="0" w:color="auto"/>
              <w:right w:val="single" w:sz="4" w:space="0" w:color="auto"/>
            </w:tcBorders>
            <w:shd w:val="clear" w:color="auto" w:fill="auto"/>
            <w:vAlign w:val="center"/>
          </w:tcPr>
          <w:p w14:paraId="3175D391" w14:textId="35F2D891" w:rsidR="00AF49B0" w:rsidRPr="00A923E2" w:rsidRDefault="00AF49B0" w:rsidP="00AF49B0">
            <w:r>
              <w:t>3</w:t>
            </w:r>
            <w:r w:rsidRPr="00A923E2">
              <w:t xml:space="preserve"> </w:t>
            </w:r>
            <w:r>
              <w:t>Hydrologists</w:t>
            </w:r>
            <w:r w:rsidRPr="00A923E2">
              <w:t xml:space="preserve"> (</w:t>
            </w:r>
            <w:r w:rsidR="00CE4CBA">
              <w:t>80</w:t>
            </w:r>
            <w:r w:rsidRPr="00A923E2">
              <w:t xml:space="preserve"> total annual hours each)</w:t>
            </w:r>
          </w:p>
        </w:tc>
        <w:tc>
          <w:tcPr>
            <w:tcW w:w="995" w:type="dxa"/>
            <w:tcBorders>
              <w:top w:val="nil"/>
              <w:left w:val="nil"/>
              <w:bottom w:val="single" w:sz="4" w:space="0" w:color="auto"/>
              <w:right w:val="single" w:sz="4" w:space="0" w:color="auto"/>
            </w:tcBorders>
            <w:shd w:val="clear" w:color="auto" w:fill="auto"/>
            <w:vAlign w:val="center"/>
          </w:tcPr>
          <w:p w14:paraId="10424004" w14:textId="77777777" w:rsidR="00AF49B0" w:rsidRPr="00A923E2" w:rsidRDefault="00AF49B0" w:rsidP="00AF49B0">
            <w:pPr>
              <w:jc w:val="center"/>
            </w:pPr>
            <w:r w:rsidRPr="00A923E2">
              <w:t>GS 1</w:t>
            </w:r>
            <w:r>
              <w:t>4</w:t>
            </w:r>
            <w:r w:rsidRPr="00A923E2">
              <w:t>/</w:t>
            </w:r>
            <w:r>
              <w:t>6</w:t>
            </w:r>
          </w:p>
        </w:tc>
        <w:tc>
          <w:tcPr>
            <w:tcW w:w="1284" w:type="dxa"/>
            <w:tcBorders>
              <w:top w:val="nil"/>
              <w:left w:val="nil"/>
              <w:bottom w:val="single" w:sz="4" w:space="0" w:color="auto"/>
              <w:right w:val="single" w:sz="4" w:space="0" w:color="auto"/>
            </w:tcBorders>
            <w:shd w:val="clear" w:color="auto" w:fill="auto"/>
            <w:vAlign w:val="center"/>
          </w:tcPr>
          <w:p w14:paraId="589E80DD" w14:textId="77777777" w:rsidR="00AF49B0" w:rsidRPr="00A923E2" w:rsidRDefault="00AF49B0" w:rsidP="00AF49B0">
            <w:pPr>
              <w:jc w:val="center"/>
            </w:pPr>
            <w:r w:rsidRPr="00A923E2">
              <w:t>$</w:t>
            </w:r>
            <w:r>
              <w:t>60.00</w:t>
            </w:r>
          </w:p>
        </w:tc>
        <w:tc>
          <w:tcPr>
            <w:tcW w:w="1409" w:type="dxa"/>
            <w:tcBorders>
              <w:top w:val="nil"/>
              <w:left w:val="nil"/>
              <w:bottom w:val="single" w:sz="4" w:space="0" w:color="auto"/>
              <w:right w:val="single" w:sz="4" w:space="0" w:color="auto"/>
            </w:tcBorders>
            <w:shd w:val="clear" w:color="auto" w:fill="auto"/>
            <w:vAlign w:val="center"/>
          </w:tcPr>
          <w:p w14:paraId="53C28CF4" w14:textId="3D582F02" w:rsidR="00AF49B0" w:rsidRPr="00A923E2" w:rsidRDefault="00AF49B0" w:rsidP="00AF49B0">
            <w:pPr>
              <w:jc w:val="center"/>
            </w:pPr>
            <w:r>
              <w:t>240</w:t>
            </w:r>
          </w:p>
        </w:tc>
        <w:tc>
          <w:tcPr>
            <w:tcW w:w="1172" w:type="dxa"/>
            <w:tcBorders>
              <w:top w:val="nil"/>
              <w:left w:val="nil"/>
              <w:bottom w:val="single" w:sz="4" w:space="0" w:color="auto"/>
              <w:right w:val="single" w:sz="4" w:space="0" w:color="auto"/>
            </w:tcBorders>
            <w:shd w:val="clear" w:color="auto" w:fill="auto"/>
            <w:vAlign w:val="center"/>
          </w:tcPr>
          <w:p w14:paraId="69A65158" w14:textId="227505ED" w:rsidR="00AF49B0" w:rsidRPr="00A923E2" w:rsidRDefault="00AF49B0" w:rsidP="00AF49B0">
            <w:pPr>
              <w:jc w:val="center"/>
            </w:pPr>
            <w:r>
              <w:t>$90.00</w:t>
            </w:r>
          </w:p>
        </w:tc>
        <w:tc>
          <w:tcPr>
            <w:tcW w:w="1171" w:type="dxa"/>
            <w:tcBorders>
              <w:top w:val="nil"/>
              <w:left w:val="nil"/>
              <w:bottom w:val="single" w:sz="4" w:space="0" w:color="auto"/>
              <w:right w:val="single" w:sz="4" w:space="0" w:color="auto"/>
            </w:tcBorders>
            <w:shd w:val="clear" w:color="auto" w:fill="auto"/>
            <w:vAlign w:val="center"/>
          </w:tcPr>
          <w:p w14:paraId="2C8B7B9B" w14:textId="77777777" w:rsidR="00AF49B0" w:rsidRPr="00A923E2" w:rsidRDefault="00AF49B0" w:rsidP="00AF49B0">
            <w:pPr>
              <w:jc w:val="center"/>
            </w:pPr>
            <w:r w:rsidRPr="00A923E2">
              <w:t>$</w:t>
            </w:r>
            <w:r>
              <w:t>21,600</w:t>
            </w:r>
          </w:p>
        </w:tc>
      </w:tr>
      <w:tr w:rsidR="00AF49B0" w:rsidRPr="00A923E2" w14:paraId="4ADC4477" w14:textId="77777777" w:rsidTr="00F67D6B">
        <w:trPr>
          <w:trHeight w:val="418"/>
          <w:tblHeader/>
        </w:trPr>
        <w:tc>
          <w:tcPr>
            <w:tcW w:w="2717" w:type="dxa"/>
            <w:tcBorders>
              <w:top w:val="nil"/>
              <w:left w:val="single" w:sz="4" w:space="0" w:color="auto"/>
              <w:bottom w:val="single" w:sz="4" w:space="0" w:color="auto"/>
              <w:right w:val="single" w:sz="4" w:space="0" w:color="auto"/>
            </w:tcBorders>
            <w:shd w:val="clear" w:color="auto" w:fill="auto"/>
            <w:vAlign w:val="center"/>
          </w:tcPr>
          <w:p w14:paraId="07172168" w14:textId="64C38185" w:rsidR="00AF49B0" w:rsidRPr="00A923E2" w:rsidRDefault="00AF49B0" w:rsidP="00AF49B0">
            <w:r>
              <w:t>2 Hydrologists</w:t>
            </w:r>
            <w:r w:rsidRPr="00A923E2">
              <w:t xml:space="preserve"> (</w:t>
            </w:r>
            <w:r w:rsidR="00CE4CBA">
              <w:t>80</w:t>
            </w:r>
            <w:r w:rsidRPr="00A923E2">
              <w:t xml:space="preserve"> total annual hours each)</w:t>
            </w:r>
          </w:p>
        </w:tc>
        <w:tc>
          <w:tcPr>
            <w:tcW w:w="995" w:type="dxa"/>
            <w:tcBorders>
              <w:top w:val="nil"/>
              <w:left w:val="nil"/>
              <w:bottom w:val="single" w:sz="4" w:space="0" w:color="auto"/>
              <w:right w:val="single" w:sz="4" w:space="0" w:color="auto"/>
            </w:tcBorders>
            <w:shd w:val="clear" w:color="auto" w:fill="auto"/>
            <w:vAlign w:val="center"/>
          </w:tcPr>
          <w:p w14:paraId="1D6952B3" w14:textId="77777777" w:rsidR="00AF49B0" w:rsidRPr="00A923E2" w:rsidRDefault="00AF49B0" w:rsidP="00AF49B0">
            <w:pPr>
              <w:jc w:val="center"/>
            </w:pPr>
            <w:r w:rsidRPr="00A923E2">
              <w:t>GS 1</w:t>
            </w:r>
            <w:r>
              <w:t>3</w:t>
            </w:r>
            <w:r w:rsidRPr="00A923E2">
              <w:t>/</w:t>
            </w:r>
            <w:r>
              <w:t>6</w:t>
            </w:r>
          </w:p>
        </w:tc>
        <w:tc>
          <w:tcPr>
            <w:tcW w:w="1284" w:type="dxa"/>
            <w:tcBorders>
              <w:top w:val="nil"/>
              <w:left w:val="nil"/>
              <w:bottom w:val="single" w:sz="4" w:space="0" w:color="auto"/>
              <w:right w:val="single" w:sz="4" w:space="0" w:color="auto"/>
            </w:tcBorders>
            <w:shd w:val="clear" w:color="auto" w:fill="auto"/>
            <w:vAlign w:val="center"/>
          </w:tcPr>
          <w:p w14:paraId="6C964E2E" w14:textId="77777777" w:rsidR="00AF49B0" w:rsidRPr="00A923E2" w:rsidRDefault="00AF49B0" w:rsidP="00AF49B0">
            <w:pPr>
              <w:jc w:val="center"/>
            </w:pPr>
            <w:r w:rsidRPr="00A923E2">
              <w:t>$</w:t>
            </w:r>
            <w:r>
              <w:t>50.77</w:t>
            </w:r>
          </w:p>
        </w:tc>
        <w:tc>
          <w:tcPr>
            <w:tcW w:w="1409" w:type="dxa"/>
            <w:tcBorders>
              <w:top w:val="nil"/>
              <w:left w:val="nil"/>
              <w:bottom w:val="single" w:sz="4" w:space="0" w:color="auto"/>
              <w:right w:val="single" w:sz="4" w:space="0" w:color="auto"/>
            </w:tcBorders>
            <w:shd w:val="clear" w:color="auto" w:fill="auto"/>
            <w:vAlign w:val="center"/>
          </w:tcPr>
          <w:p w14:paraId="5D421A8B" w14:textId="7B102602" w:rsidR="00AF49B0" w:rsidRPr="00A923E2" w:rsidRDefault="00AF49B0" w:rsidP="00AF49B0">
            <w:pPr>
              <w:jc w:val="center"/>
            </w:pPr>
            <w:r>
              <w:t>160</w:t>
            </w:r>
          </w:p>
        </w:tc>
        <w:tc>
          <w:tcPr>
            <w:tcW w:w="1172" w:type="dxa"/>
            <w:tcBorders>
              <w:top w:val="nil"/>
              <w:left w:val="nil"/>
              <w:bottom w:val="single" w:sz="4" w:space="0" w:color="auto"/>
              <w:right w:val="single" w:sz="4" w:space="0" w:color="auto"/>
            </w:tcBorders>
            <w:shd w:val="clear" w:color="auto" w:fill="auto"/>
            <w:vAlign w:val="center"/>
          </w:tcPr>
          <w:p w14:paraId="4C012C9F" w14:textId="7E711C0D" w:rsidR="00AF49B0" w:rsidRPr="00A923E2" w:rsidRDefault="00AF49B0" w:rsidP="00AF49B0">
            <w:pPr>
              <w:jc w:val="center"/>
            </w:pPr>
            <w:r w:rsidRPr="00A923E2">
              <w:t>$</w:t>
            </w:r>
            <w:r>
              <w:t>76.16</w:t>
            </w:r>
          </w:p>
        </w:tc>
        <w:tc>
          <w:tcPr>
            <w:tcW w:w="1171" w:type="dxa"/>
            <w:tcBorders>
              <w:top w:val="nil"/>
              <w:left w:val="nil"/>
              <w:bottom w:val="single" w:sz="4" w:space="0" w:color="auto"/>
              <w:right w:val="single" w:sz="4" w:space="0" w:color="auto"/>
            </w:tcBorders>
            <w:shd w:val="clear" w:color="auto" w:fill="auto"/>
            <w:vAlign w:val="center"/>
          </w:tcPr>
          <w:p w14:paraId="6419BFB4" w14:textId="77777777" w:rsidR="00AF49B0" w:rsidRPr="00A923E2" w:rsidRDefault="00AF49B0" w:rsidP="00AF49B0">
            <w:pPr>
              <w:jc w:val="center"/>
            </w:pPr>
            <w:r>
              <w:t>$12,186</w:t>
            </w:r>
          </w:p>
        </w:tc>
      </w:tr>
      <w:tr w:rsidR="00AF49B0" w:rsidRPr="00A923E2" w14:paraId="3F800401" w14:textId="77777777" w:rsidTr="00F67D6B">
        <w:trPr>
          <w:trHeight w:val="580"/>
          <w:tblHeader/>
        </w:trPr>
        <w:tc>
          <w:tcPr>
            <w:tcW w:w="2717" w:type="dxa"/>
            <w:tcBorders>
              <w:top w:val="single" w:sz="4" w:space="0" w:color="auto"/>
              <w:left w:val="single" w:sz="4" w:space="0" w:color="auto"/>
              <w:bottom w:val="single" w:sz="4" w:space="0" w:color="auto"/>
              <w:right w:val="single" w:sz="4" w:space="0" w:color="auto"/>
            </w:tcBorders>
            <w:shd w:val="clear" w:color="auto" w:fill="auto"/>
            <w:vAlign w:val="center"/>
          </w:tcPr>
          <w:p w14:paraId="7F3B6E88" w14:textId="1A753C85" w:rsidR="00AF49B0" w:rsidRPr="00A923E2" w:rsidRDefault="00AF49B0" w:rsidP="00CE4CBA">
            <w:r>
              <w:t>1</w:t>
            </w:r>
            <w:r w:rsidRPr="00A923E2">
              <w:t xml:space="preserve"> </w:t>
            </w:r>
            <w:r>
              <w:t>Hydrologist</w:t>
            </w:r>
            <w:r w:rsidRPr="00A923E2">
              <w:t xml:space="preserve">  </w:t>
            </w:r>
          </w:p>
        </w:tc>
        <w:tc>
          <w:tcPr>
            <w:tcW w:w="995" w:type="dxa"/>
            <w:tcBorders>
              <w:top w:val="single" w:sz="4" w:space="0" w:color="auto"/>
              <w:left w:val="nil"/>
              <w:bottom w:val="single" w:sz="4" w:space="0" w:color="auto"/>
              <w:right w:val="single" w:sz="4" w:space="0" w:color="auto"/>
            </w:tcBorders>
            <w:shd w:val="clear" w:color="auto" w:fill="auto"/>
            <w:vAlign w:val="center"/>
          </w:tcPr>
          <w:p w14:paraId="260C476D" w14:textId="77777777" w:rsidR="00AF49B0" w:rsidRPr="00A923E2" w:rsidRDefault="00AF49B0" w:rsidP="00AF49B0">
            <w:pPr>
              <w:jc w:val="center"/>
            </w:pPr>
            <w:r w:rsidRPr="00A923E2">
              <w:t>GS 1</w:t>
            </w:r>
            <w:r>
              <w:t>2</w:t>
            </w:r>
            <w:r w:rsidRPr="00A923E2">
              <w:t>/</w:t>
            </w:r>
            <w:r>
              <w:t>6</w:t>
            </w:r>
          </w:p>
        </w:tc>
        <w:tc>
          <w:tcPr>
            <w:tcW w:w="1284" w:type="dxa"/>
            <w:tcBorders>
              <w:top w:val="single" w:sz="4" w:space="0" w:color="auto"/>
              <w:left w:val="nil"/>
              <w:bottom w:val="single" w:sz="4" w:space="0" w:color="auto"/>
              <w:right w:val="single" w:sz="4" w:space="0" w:color="auto"/>
            </w:tcBorders>
            <w:shd w:val="clear" w:color="auto" w:fill="auto"/>
            <w:vAlign w:val="center"/>
          </w:tcPr>
          <w:p w14:paraId="401CE95A" w14:textId="77777777" w:rsidR="00AF49B0" w:rsidRPr="00A923E2" w:rsidRDefault="00AF49B0" w:rsidP="00AF49B0">
            <w:pPr>
              <w:jc w:val="center"/>
            </w:pPr>
            <w:r w:rsidRPr="00A923E2">
              <w:t>$</w:t>
            </w:r>
            <w:r>
              <w:t>42.70</w:t>
            </w:r>
          </w:p>
        </w:tc>
        <w:tc>
          <w:tcPr>
            <w:tcW w:w="1409" w:type="dxa"/>
            <w:tcBorders>
              <w:top w:val="single" w:sz="4" w:space="0" w:color="auto"/>
              <w:left w:val="nil"/>
              <w:bottom w:val="single" w:sz="4" w:space="0" w:color="auto"/>
              <w:right w:val="single" w:sz="4" w:space="0" w:color="auto"/>
            </w:tcBorders>
            <w:shd w:val="clear" w:color="auto" w:fill="auto"/>
            <w:vAlign w:val="center"/>
          </w:tcPr>
          <w:p w14:paraId="303109D9" w14:textId="358F031A" w:rsidR="00AF49B0" w:rsidRPr="00A923E2" w:rsidRDefault="00AF49B0" w:rsidP="00AF49B0">
            <w:pPr>
              <w:jc w:val="center"/>
            </w:pPr>
            <w:r>
              <w:t>80</w:t>
            </w:r>
          </w:p>
        </w:tc>
        <w:tc>
          <w:tcPr>
            <w:tcW w:w="1172" w:type="dxa"/>
            <w:tcBorders>
              <w:top w:val="single" w:sz="4" w:space="0" w:color="auto"/>
              <w:left w:val="nil"/>
              <w:bottom w:val="single" w:sz="4" w:space="0" w:color="auto"/>
              <w:right w:val="single" w:sz="4" w:space="0" w:color="auto"/>
            </w:tcBorders>
            <w:shd w:val="clear" w:color="auto" w:fill="auto"/>
            <w:vAlign w:val="center"/>
          </w:tcPr>
          <w:p w14:paraId="64538FBD" w14:textId="544E1F73" w:rsidR="00AF49B0" w:rsidRPr="00A923E2" w:rsidRDefault="00AF49B0" w:rsidP="00AF49B0">
            <w:pPr>
              <w:jc w:val="center"/>
            </w:pPr>
            <w:r w:rsidRPr="00A923E2">
              <w:t>$</w:t>
            </w:r>
            <w:r>
              <w:t>64.05</w:t>
            </w:r>
          </w:p>
        </w:tc>
        <w:tc>
          <w:tcPr>
            <w:tcW w:w="1171" w:type="dxa"/>
            <w:tcBorders>
              <w:top w:val="single" w:sz="4" w:space="0" w:color="auto"/>
              <w:left w:val="nil"/>
              <w:bottom w:val="single" w:sz="4" w:space="0" w:color="auto"/>
              <w:right w:val="single" w:sz="4" w:space="0" w:color="auto"/>
            </w:tcBorders>
            <w:shd w:val="clear" w:color="auto" w:fill="auto"/>
            <w:vAlign w:val="center"/>
          </w:tcPr>
          <w:p w14:paraId="74BE318E" w14:textId="77777777" w:rsidR="00AF49B0" w:rsidRPr="00A923E2" w:rsidRDefault="00AF49B0" w:rsidP="00AF49B0">
            <w:pPr>
              <w:jc w:val="center"/>
            </w:pPr>
            <w:r w:rsidRPr="00A923E2">
              <w:t>$</w:t>
            </w:r>
            <w:r>
              <w:t>5,124</w:t>
            </w:r>
          </w:p>
        </w:tc>
      </w:tr>
      <w:tr w:rsidR="00F67D6B" w:rsidRPr="00A923E2" w14:paraId="25126B29" w14:textId="77777777" w:rsidTr="00F67D6B">
        <w:trPr>
          <w:trHeight w:val="358"/>
          <w:tblHeader/>
        </w:trPr>
        <w:tc>
          <w:tcPr>
            <w:tcW w:w="64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26781A" w14:textId="5AB31F60" w:rsidR="00F67D6B" w:rsidRPr="00A923E2" w:rsidRDefault="00F67D6B" w:rsidP="00F67D6B">
            <w:pPr>
              <w:rPr>
                <w:b/>
              </w:rPr>
            </w:pPr>
            <w:r w:rsidRPr="00A923E2">
              <w:rPr>
                <w:b/>
              </w:rPr>
              <w:t>Federal Employee Salaries and Benefits (on average per year)</w:t>
            </w:r>
          </w:p>
        </w:tc>
        <w:tc>
          <w:tcPr>
            <w:tcW w:w="1172" w:type="dxa"/>
            <w:tcBorders>
              <w:top w:val="single" w:sz="4" w:space="0" w:color="auto"/>
              <w:left w:val="nil"/>
              <w:bottom w:val="single" w:sz="4" w:space="0" w:color="auto"/>
              <w:right w:val="single" w:sz="4" w:space="0" w:color="auto"/>
            </w:tcBorders>
            <w:shd w:val="clear" w:color="auto" w:fill="auto"/>
            <w:vAlign w:val="center"/>
          </w:tcPr>
          <w:p w14:paraId="37DA39D7" w14:textId="3680B469" w:rsidR="00F67D6B" w:rsidRPr="00A923E2" w:rsidRDefault="00F67D6B" w:rsidP="00F67D6B">
            <w:pPr>
              <w:jc w:val="center"/>
              <w:rPr>
                <w:b/>
              </w:rPr>
            </w:pPr>
          </w:p>
        </w:tc>
        <w:tc>
          <w:tcPr>
            <w:tcW w:w="1171" w:type="dxa"/>
            <w:tcBorders>
              <w:top w:val="single" w:sz="4" w:space="0" w:color="auto"/>
              <w:left w:val="nil"/>
              <w:bottom w:val="single" w:sz="4" w:space="0" w:color="auto"/>
              <w:right w:val="single" w:sz="4" w:space="0" w:color="auto"/>
            </w:tcBorders>
            <w:shd w:val="clear" w:color="auto" w:fill="auto"/>
            <w:vAlign w:val="center"/>
          </w:tcPr>
          <w:p w14:paraId="49E9B004" w14:textId="24C796F2" w:rsidR="00F67D6B" w:rsidRPr="00F67D6B" w:rsidRDefault="00F67D6B" w:rsidP="00F67D6B">
            <w:pPr>
              <w:jc w:val="center"/>
            </w:pPr>
            <w:r w:rsidRPr="00F67D6B">
              <w:t>$162,077</w:t>
            </w:r>
          </w:p>
        </w:tc>
      </w:tr>
      <w:tr w:rsidR="00F67D6B" w:rsidRPr="00AF49B0" w14:paraId="32B2CBF5" w14:textId="77777777" w:rsidTr="00D94CBE">
        <w:trPr>
          <w:trHeight w:val="115"/>
          <w:tblHeader/>
        </w:trPr>
        <w:tc>
          <w:tcPr>
            <w:tcW w:w="87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C4293" w14:textId="77777777" w:rsidR="00F67D6B" w:rsidRPr="00AF49B0" w:rsidRDefault="00F67D6B" w:rsidP="00F67D6B">
            <w:pPr>
              <w:rPr>
                <w:b/>
              </w:rPr>
            </w:pPr>
            <w:r w:rsidRPr="00AF49B0">
              <w:rPr>
                <w:b/>
              </w:rPr>
              <w:t>Other expenses to Federal Government</w:t>
            </w:r>
          </w:p>
        </w:tc>
      </w:tr>
      <w:tr w:rsidR="00F67D6B" w:rsidRPr="00AF49B0" w14:paraId="0A3E0A73" w14:textId="77777777" w:rsidTr="00D94CBE">
        <w:trPr>
          <w:trHeight w:val="115"/>
          <w:tblHeader/>
        </w:trPr>
        <w:tc>
          <w:tcPr>
            <w:tcW w:w="75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474595" w14:textId="77777777" w:rsidR="00F67D6B" w:rsidRPr="00AF49B0" w:rsidRDefault="00F67D6B" w:rsidP="00F67D6B">
            <w:r>
              <w:t xml:space="preserve">           Travel and per diem for Review Panel (Fed only)</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94514DC" w14:textId="454E44AA" w:rsidR="00F67D6B" w:rsidRPr="00AF49B0" w:rsidRDefault="00F67D6B" w:rsidP="00F67D6B">
            <w:pPr>
              <w:jc w:val="center"/>
            </w:pPr>
            <w:r w:rsidRPr="00AF49B0">
              <w:t>$</w:t>
            </w:r>
            <w:r w:rsidR="00E11A93">
              <w:t xml:space="preserve">  </w:t>
            </w:r>
            <w:r w:rsidRPr="00AF49B0">
              <w:t>20,000</w:t>
            </w:r>
          </w:p>
        </w:tc>
      </w:tr>
      <w:tr w:rsidR="00F67D6B" w:rsidRPr="00A923E2" w14:paraId="1922E1AD" w14:textId="77777777" w:rsidTr="00F67D6B">
        <w:trPr>
          <w:trHeight w:val="458"/>
          <w:tblHeader/>
        </w:trPr>
        <w:tc>
          <w:tcPr>
            <w:tcW w:w="64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A5D857" w14:textId="70C67F2D" w:rsidR="00F67D6B" w:rsidRPr="00F67D6B" w:rsidRDefault="00F67D6B" w:rsidP="00F67D6B">
            <w:pPr>
              <w:rPr>
                <w:b/>
              </w:rPr>
            </w:pPr>
            <w:r w:rsidRPr="00F67D6B">
              <w:rPr>
                <w:b/>
              </w:rPr>
              <w:t>Total Federal Government Cost</w:t>
            </w:r>
          </w:p>
        </w:tc>
        <w:tc>
          <w:tcPr>
            <w:tcW w:w="1172" w:type="dxa"/>
            <w:tcBorders>
              <w:top w:val="single" w:sz="4" w:space="0" w:color="auto"/>
              <w:left w:val="nil"/>
              <w:bottom w:val="single" w:sz="4" w:space="0" w:color="auto"/>
              <w:right w:val="single" w:sz="4" w:space="0" w:color="auto"/>
            </w:tcBorders>
            <w:shd w:val="clear" w:color="auto" w:fill="auto"/>
            <w:vAlign w:val="center"/>
          </w:tcPr>
          <w:p w14:paraId="4B695048" w14:textId="77777777" w:rsidR="00F67D6B" w:rsidRPr="00A923E2" w:rsidRDefault="00F67D6B" w:rsidP="00F67D6B">
            <w:pPr>
              <w:jc w:val="center"/>
            </w:pPr>
          </w:p>
        </w:tc>
        <w:tc>
          <w:tcPr>
            <w:tcW w:w="1171" w:type="dxa"/>
            <w:tcBorders>
              <w:top w:val="single" w:sz="4" w:space="0" w:color="auto"/>
              <w:left w:val="nil"/>
              <w:bottom w:val="single" w:sz="4" w:space="0" w:color="auto"/>
              <w:right w:val="single" w:sz="4" w:space="0" w:color="auto"/>
            </w:tcBorders>
            <w:shd w:val="clear" w:color="auto" w:fill="auto"/>
            <w:vAlign w:val="center"/>
          </w:tcPr>
          <w:p w14:paraId="2239A95C" w14:textId="0A09D7AA" w:rsidR="00F67D6B" w:rsidRPr="00A923E2" w:rsidRDefault="00F67D6B" w:rsidP="00F67D6B">
            <w:pPr>
              <w:jc w:val="center"/>
              <w:rPr>
                <w:b/>
              </w:rPr>
            </w:pPr>
            <w:r>
              <w:rPr>
                <w:b/>
              </w:rPr>
              <w:t>$182,077</w:t>
            </w:r>
          </w:p>
        </w:tc>
      </w:tr>
    </w:tbl>
    <w:p w14:paraId="3F4EF0DA" w14:textId="77777777" w:rsidR="00615522" w:rsidRDefault="00615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27AA659" w14:textId="77777777" w:rsidR="00615522" w:rsidRDefault="00615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A8A87B" w14:textId="0871A244" w:rsidR="0084783A" w:rsidRPr="00A923E2" w:rsidRDefault="0084783A" w:rsidP="0084783A">
      <w:pPr>
        <w:ind w:left="360"/>
        <w:rPr>
          <w:sz w:val="24"/>
          <w:szCs w:val="24"/>
        </w:rPr>
      </w:pPr>
      <w:r>
        <w:rPr>
          <w:sz w:val="24"/>
          <w:szCs w:val="24"/>
        </w:rPr>
        <w:t xml:space="preserve">This is </w:t>
      </w:r>
      <w:r w:rsidR="00A363C2">
        <w:rPr>
          <w:sz w:val="24"/>
          <w:szCs w:val="24"/>
        </w:rPr>
        <w:t>a new collection</w:t>
      </w:r>
      <w:r w:rsidR="00E11A93">
        <w:rPr>
          <w:sz w:val="24"/>
          <w:szCs w:val="24"/>
        </w:rPr>
        <w:t xml:space="preserve"> with new burden hours and value</w:t>
      </w:r>
      <w:r>
        <w:rPr>
          <w:sz w:val="24"/>
          <w:szCs w:val="24"/>
        </w:rPr>
        <w:t>.</w:t>
      </w:r>
    </w:p>
    <w:p w14:paraId="576FAF65" w14:textId="77777777" w:rsidR="0084783A" w:rsidRDefault="008478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F97CA6" w14:textId="2747A4DC" w:rsidR="0084783A" w:rsidRPr="00C353E5" w:rsidRDefault="0084783A" w:rsidP="0084783A">
      <w:pPr>
        <w:ind w:left="360"/>
        <w:rPr>
          <w:sz w:val="22"/>
          <w:szCs w:val="22"/>
        </w:rPr>
      </w:pPr>
      <w:r w:rsidRPr="00A923E2">
        <w:rPr>
          <w:sz w:val="22"/>
          <w:szCs w:val="22"/>
        </w:rPr>
        <w:t xml:space="preserve">This is </w:t>
      </w:r>
      <w:r w:rsidR="00E233EA">
        <w:rPr>
          <w:sz w:val="22"/>
          <w:szCs w:val="22"/>
        </w:rPr>
        <w:t>a new</w:t>
      </w:r>
      <w:r w:rsidRPr="00A923E2">
        <w:rPr>
          <w:sz w:val="22"/>
          <w:szCs w:val="22"/>
        </w:rPr>
        <w:t xml:space="preserve"> information collection without an ending date. No statistical analysis, tabulation, or publication is planned for this information.</w:t>
      </w:r>
    </w:p>
    <w:p w14:paraId="5670785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35AC80E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B1B4E" w14:textId="42CECD92" w:rsidR="00082C1C" w:rsidRDefault="00802EB6" w:rsidP="008478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expiration date is being displayed, so no exception is requested</w:t>
      </w:r>
      <w:r w:rsidR="0084783A">
        <w:rPr>
          <w:sz w:val="24"/>
          <w:szCs w:val="24"/>
        </w:rPr>
        <w:t>.</w:t>
      </w:r>
    </w:p>
    <w:p w14:paraId="1397CDB4" w14:textId="77777777" w:rsidR="0084783A" w:rsidRDefault="008478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5D31FA53" w14:textId="77777777" w:rsidR="0084783A" w:rsidRDefault="0084783A" w:rsidP="0084783A">
      <w:pPr>
        <w:rPr>
          <w:sz w:val="22"/>
          <w:szCs w:val="22"/>
        </w:rPr>
      </w:pPr>
    </w:p>
    <w:p w14:paraId="281F8B5B" w14:textId="12B1257F" w:rsidR="0084783A" w:rsidRPr="00C353E5" w:rsidRDefault="0084783A" w:rsidP="0084783A">
      <w:pPr>
        <w:ind w:left="360"/>
        <w:rPr>
          <w:sz w:val="22"/>
          <w:szCs w:val="22"/>
        </w:rPr>
      </w:pPr>
      <w:r w:rsidRPr="00C353E5">
        <w:rPr>
          <w:sz w:val="22"/>
          <w:szCs w:val="22"/>
        </w:rPr>
        <w:t>No exceptions to the certification are being made.</w:t>
      </w:r>
    </w:p>
    <w:p w14:paraId="6245BAE3" w14:textId="77777777" w:rsidR="0084783A" w:rsidRPr="00082C1C" w:rsidRDefault="008478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258F4" w14:textId="77777777" w:rsidR="001F5305" w:rsidRDefault="001F5305" w:rsidP="00082C1C">
      <w:r>
        <w:separator/>
      </w:r>
    </w:p>
  </w:endnote>
  <w:endnote w:type="continuationSeparator" w:id="0">
    <w:p w14:paraId="43E9B702" w14:textId="77777777" w:rsidR="001F5305" w:rsidRDefault="001F5305"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F44FAF" w:rsidRDefault="00F44FAF"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A93">
      <w:rPr>
        <w:rStyle w:val="PageNumber"/>
        <w:noProof/>
      </w:rPr>
      <w:t>10</w:t>
    </w:r>
    <w:r>
      <w:rPr>
        <w:rStyle w:val="PageNumber"/>
      </w:rPr>
      <w:fldChar w:fldCharType="end"/>
    </w:r>
  </w:p>
  <w:p w14:paraId="7310D9EE" w14:textId="77777777" w:rsidR="00F44FAF" w:rsidRDefault="00F44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F44FAF" w:rsidRPr="004513E4" w14:paraId="015A4A27" w14:textId="77777777" w:rsidTr="004A3DF6">
          <w:tc>
            <w:tcPr>
              <w:tcW w:w="6750" w:type="dxa"/>
            </w:tcPr>
            <w:p w14:paraId="6E8F3B04" w14:textId="7C6223C6" w:rsidR="00F44FAF" w:rsidRPr="004513E4" w:rsidRDefault="001F5305" w:rsidP="004A3DF6">
              <w:pPr>
                <w:pStyle w:val="Footer"/>
              </w:pPr>
              <w:r>
                <w:fldChar w:fldCharType="begin"/>
              </w:r>
              <w:r>
                <w:instrText xml:space="preserve"> FILENAME   \* MERGEFORMAT </w:instrText>
              </w:r>
              <w:r>
                <w:fldChar w:fldCharType="separate"/>
              </w:r>
              <w:r w:rsidR="00E11A93">
                <w:rPr>
                  <w:noProof/>
                </w:rPr>
                <w:t>1028-New  SS-A State water use 2016-01-06.docx</w:t>
              </w:r>
              <w:r>
                <w:rPr>
                  <w:noProof/>
                </w:rPr>
                <w:fldChar w:fldCharType="end"/>
              </w:r>
            </w:p>
          </w:tc>
          <w:tc>
            <w:tcPr>
              <w:tcW w:w="2600" w:type="dxa"/>
            </w:tcPr>
            <w:p w14:paraId="07D7EAE0" w14:textId="77777777" w:rsidR="00F44FAF" w:rsidRPr="004513E4" w:rsidRDefault="00F44FAF" w:rsidP="004A3DF6">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6D080A">
                <w:rPr>
                  <w:rFonts w:cs="Arial"/>
                  <w:noProof/>
                </w:rPr>
                <w:t>2</w:t>
              </w:r>
              <w:r w:rsidRPr="004513E4">
                <w:rPr>
                  <w:rFonts w:cs="Arial"/>
                </w:rPr>
                <w:fldChar w:fldCharType="end"/>
              </w:r>
            </w:p>
          </w:tc>
        </w:tr>
      </w:tbl>
      <w:p w14:paraId="7FDB652C" w14:textId="77777777" w:rsidR="00F44FAF" w:rsidRPr="004513E4" w:rsidRDefault="00F44FAF">
        <w:pPr>
          <w:pStyle w:val="Footer"/>
        </w:pPr>
      </w:p>
      <w:p w14:paraId="6836045D" w14:textId="1549CEA9" w:rsidR="00F44FAF" w:rsidRDefault="001F5305">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38F86" w14:textId="77777777" w:rsidR="001F5305" w:rsidRDefault="001F5305" w:rsidP="00082C1C">
      <w:r>
        <w:separator/>
      </w:r>
    </w:p>
  </w:footnote>
  <w:footnote w:type="continuationSeparator" w:id="0">
    <w:p w14:paraId="7E1A717E" w14:textId="77777777" w:rsidR="001F5305" w:rsidRDefault="001F5305"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44D4D"/>
    <w:rsid w:val="00070CA5"/>
    <w:rsid w:val="00082C1C"/>
    <w:rsid w:val="00097475"/>
    <w:rsid w:val="000E42E3"/>
    <w:rsid w:val="000F05EB"/>
    <w:rsid w:val="000F1C17"/>
    <w:rsid w:val="000F3AF1"/>
    <w:rsid w:val="00100F74"/>
    <w:rsid w:val="00162B02"/>
    <w:rsid w:val="001F5305"/>
    <w:rsid w:val="001F5824"/>
    <w:rsid w:val="00232184"/>
    <w:rsid w:val="0024362C"/>
    <w:rsid w:val="00265C98"/>
    <w:rsid w:val="00281337"/>
    <w:rsid w:val="00295103"/>
    <w:rsid w:val="002E03DF"/>
    <w:rsid w:val="002E25CC"/>
    <w:rsid w:val="003506D9"/>
    <w:rsid w:val="00352210"/>
    <w:rsid w:val="003771C1"/>
    <w:rsid w:val="00394F91"/>
    <w:rsid w:val="003B04B5"/>
    <w:rsid w:val="003C3292"/>
    <w:rsid w:val="00453654"/>
    <w:rsid w:val="004A3DF6"/>
    <w:rsid w:val="004A6DFA"/>
    <w:rsid w:val="004C5EAF"/>
    <w:rsid w:val="00525467"/>
    <w:rsid w:val="005809EC"/>
    <w:rsid w:val="005C04FB"/>
    <w:rsid w:val="005D39A7"/>
    <w:rsid w:val="005E0031"/>
    <w:rsid w:val="0060758B"/>
    <w:rsid w:val="00615522"/>
    <w:rsid w:val="00661045"/>
    <w:rsid w:val="006652EE"/>
    <w:rsid w:val="0069546D"/>
    <w:rsid w:val="006D080A"/>
    <w:rsid w:val="006E339F"/>
    <w:rsid w:val="00701C0C"/>
    <w:rsid w:val="00716D21"/>
    <w:rsid w:val="00732896"/>
    <w:rsid w:val="00737CB7"/>
    <w:rsid w:val="00740AF4"/>
    <w:rsid w:val="007851E9"/>
    <w:rsid w:val="00786057"/>
    <w:rsid w:val="007B7DCF"/>
    <w:rsid w:val="007D38CA"/>
    <w:rsid w:val="007E21B5"/>
    <w:rsid w:val="0080052E"/>
    <w:rsid w:val="00802EB6"/>
    <w:rsid w:val="0081259F"/>
    <w:rsid w:val="008139D5"/>
    <w:rsid w:val="00842B4C"/>
    <w:rsid w:val="0084783A"/>
    <w:rsid w:val="00853FAF"/>
    <w:rsid w:val="0089147A"/>
    <w:rsid w:val="008D6497"/>
    <w:rsid w:val="008F3E13"/>
    <w:rsid w:val="00901CDF"/>
    <w:rsid w:val="00944C21"/>
    <w:rsid w:val="0098113C"/>
    <w:rsid w:val="009B359F"/>
    <w:rsid w:val="00A11128"/>
    <w:rsid w:val="00A363C2"/>
    <w:rsid w:val="00A9089C"/>
    <w:rsid w:val="00A94C72"/>
    <w:rsid w:val="00A96E73"/>
    <w:rsid w:val="00AF1917"/>
    <w:rsid w:val="00AF49B0"/>
    <w:rsid w:val="00B45B33"/>
    <w:rsid w:val="00B9425D"/>
    <w:rsid w:val="00BD060D"/>
    <w:rsid w:val="00BE0F05"/>
    <w:rsid w:val="00C06B0E"/>
    <w:rsid w:val="00C846BC"/>
    <w:rsid w:val="00C91ED3"/>
    <w:rsid w:val="00CC08CF"/>
    <w:rsid w:val="00CD6020"/>
    <w:rsid w:val="00CE4CBA"/>
    <w:rsid w:val="00D06C48"/>
    <w:rsid w:val="00D077C2"/>
    <w:rsid w:val="00D214A7"/>
    <w:rsid w:val="00D44040"/>
    <w:rsid w:val="00D55D8F"/>
    <w:rsid w:val="00D94CBE"/>
    <w:rsid w:val="00DB046A"/>
    <w:rsid w:val="00DB333F"/>
    <w:rsid w:val="00DE1FFE"/>
    <w:rsid w:val="00DE7630"/>
    <w:rsid w:val="00E11A93"/>
    <w:rsid w:val="00E233EA"/>
    <w:rsid w:val="00E23D4A"/>
    <w:rsid w:val="00E6013B"/>
    <w:rsid w:val="00EB17DE"/>
    <w:rsid w:val="00ED16B4"/>
    <w:rsid w:val="00F44FAF"/>
    <w:rsid w:val="00F45D4E"/>
    <w:rsid w:val="00F67D6B"/>
    <w:rsid w:val="00F73931"/>
    <w:rsid w:val="00FC1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8F67414D-D6A1-43F4-9A47-A5145A4D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D6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37849"/>
    <w:rsid w:val="001D4C47"/>
    <w:rsid w:val="001F7195"/>
    <w:rsid w:val="00495B76"/>
    <w:rsid w:val="006E49A0"/>
    <w:rsid w:val="007763F7"/>
    <w:rsid w:val="00801EED"/>
    <w:rsid w:val="008B5D40"/>
    <w:rsid w:val="009B3C3E"/>
    <w:rsid w:val="00A454E6"/>
    <w:rsid w:val="00AB7D64"/>
    <w:rsid w:val="00B13ADB"/>
    <w:rsid w:val="00B6572E"/>
    <w:rsid w:val="00BB0C57"/>
    <w:rsid w:val="00BB2BA2"/>
    <w:rsid w:val="00D07D0A"/>
    <w:rsid w:val="00E36CCC"/>
    <w:rsid w:val="00E83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B1CDF-151B-4E91-AE04-0292A9BF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4</cp:revision>
  <cp:lastPrinted>2016-01-21T21:48:00Z</cp:lastPrinted>
  <dcterms:created xsi:type="dcterms:W3CDTF">2016-02-09T13:01:00Z</dcterms:created>
  <dcterms:modified xsi:type="dcterms:W3CDTF">2016-02-11T00:13:00Z</dcterms:modified>
</cp:coreProperties>
</file>