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A4E50" w14:textId="77777777" w:rsidR="000F5D39" w:rsidRPr="00F8039A" w:rsidRDefault="000F5D39" w:rsidP="000F5D39">
      <w:pPr>
        <w:jc w:val="center"/>
        <w:rPr>
          <w:b/>
        </w:rPr>
      </w:pPr>
    </w:p>
    <w:p w14:paraId="2B4A4E51" w14:textId="77777777" w:rsidR="000F5D39" w:rsidRPr="00F8039A" w:rsidRDefault="000F5D39" w:rsidP="000F5D39">
      <w:pPr>
        <w:jc w:val="center"/>
        <w:rPr>
          <w:b/>
        </w:rPr>
      </w:pPr>
    </w:p>
    <w:p w14:paraId="2B4A4E52" w14:textId="77777777" w:rsidR="000F5D39" w:rsidRPr="00F8039A" w:rsidRDefault="000F5D39" w:rsidP="000F5D39">
      <w:pPr>
        <w:jc w:val="center"/>
        <w:rPr>
          <w:b/>
        </w:rPr>
      </w:pPr>
    </w:p>
    <w:p w14:paraId="2B4A4E53" w14:textId="77777777" w:rsidR="000F5D39" w:rsidRPr="00F8039A" w:rsidRDefault="000F5D39" w:rsidP="000F5D39">
      <w:pPr>
        <w:pStyle w:val="ReportCover-Title"/>
        <w:rPr>
          <w:rFonts w:ascii="Times New Roman" w:hAnsi="Times New Roman"/>
          <w:color w:val="auto"/>
        </w:rPr>
      </w:pPr>
    </w:p>
    <w:p w14:paraId="2B4A4E54" w14:textId="77777777" w:rsidR="00FC13D4" w:rsidRPr="003A7CC4" w:rsidRDefault="00FC13D4" w:rsidP="00FC13D4">
      <w:pPr>
        <w:pStyle w:val="ReportCover-Title"/>
        <w:jc w:val="center"/>
        <w:rPr>
          <w:rFonts w:ascii="Arial" w:hAnsi="Arial" w:cs="Arial"/>
          <w:color w:val="auto"/>
        </w:rPr>
      </w:pPr>
      <w:r w:rsidRPr="003A7CC4">
        <w:rPr>
          <w:rFonts w:ascii="Arial" w:eastAsia="Arial Unicode MS" w:hAnsi="Arial" w:cs="Arial"/>
          <w:noProof/>
          <w:color w:val="auto"/>
        </w:rPr>
        <w:t xml:space="preserve">Permanency Innovations Initiative: Phase </w:t>
      </w:r>
      <w:r w:rsidR="00B50B22" w:rsidRPr="003A7CC4">
        <w:rPr>
          <w:rFonts w:ascii="Arial" w:eastAsia="Arial Unicode MS" w:hAnsi="Arial" w:cs="Arial"/>
          <w:noProof/>
          <w:color w:val="auto"/>
        </w:rPr>
        <w:t>4</w:t>
      </w:r>
    </w:p>
    <w:p w14:paraId="2B4A4E55" w14:textId="77777777" w:rsidR="000F5D39" w:rsidRPr="003A7CC4" w:rsidRDefault="000F5D39" w:rsidP="000F5D39">
      <w:pPr>
        <w:pStyle w:val="ReportCover-Title"/>
        <w:rPr>
          <w:rFonts w:ascii="Arial" w:hAnsi="Arial" w:cs="Arial"/>
          <w:color w:val="auto"/>
        </w:rPr>
      </w:pPr>
    </w:p>
    <w:p w14:paraId="2B4A4E56" w14:textId="77777777" w:rsidR="000F5D39" w:rsidRPr="003A7CC4" w:rsidRDefault="000F5D39" w:rsidP="000F5D39">
      <w:pPr>
        <w:pStyle w:val="ReportCover-Title"/>
        <w:rPr>
          <w:rFonts w:ascii="Arial" w:hAnsi="Arial" w:cs="Arial"/>
          <w:color w:val="auto"/>
        </w:rPr>
      </w:pPr>
    </w:p>
    <w:p w14:paraId="2B4A4E57" w14:textId="77777777" w:rsidR="000F5D39" w:rsidRPr="003A7CC4" w:rsidRDefault="000F5D39" w:rsidP="000F5D39">
      <w:pPr>
        <w:pStyle w:val="ReportCover-Title"/>
        <w:jc w:val="center"/>
        <w:rPr>
          <w:rFonts w:ascii="Arial" w:hAnsi="Arial" w:cs="Arial"/>
          <w:color w:val="auto"/>
          <w:sz w:val="32"/>
          <w:szCs w:val="32"/>
        </w:rPr>
      </w:pPr>
      <w:r w:rsidRPr="003A7CC4">
        <w:rPr>
          <w:rFonts w:ascii="Arial" w:hAnsi="Arial" w:cs="Arial"/>
          <w:color w:val="auto"/>
          <w:sz w:val="32"/>
          <w:szCs w:val="32"/>
        </w:rPr>
        <w:t>OMB Information Collection Request</w:t>
      </w:r>
    </w:p>
    <w:p w14:paraId="2B4A4E58" w14:textId="77777777" w:rsidR="004529BD" w:rsidRPr="003A7CC4" w:rsidRDefault="004529BD" w:rsidP="004529BD">
      <w:pPr>
        <w:pStyle w:val="ReportCover-Title"/>
        <w:jc w:val="center"/>
        <w:rPr>
          <w:rFonts w:ascii="Arial" w:hAnsi="Arial" w:cs="Arial"/>
          <w:color w:val="auto"/>
          <w:sz w:val="32"/>
          <w:szCs w:val="32"/>
        </w:rPr>
      </w:pPr>
      <w:r w:rsidRPr="003A7CC4">
        <w:rPr>
          <w:rFonts w:ascii="Arial" w:hAnsi="Arial" w:cs="Arial"/>
          <w:color w:val="auto"/>
          <w:sz w:val="32"/>
          <w:szCs w:val="32"/>
        </w:rPr>
        <w:t>0970 - 0408</w:t>
      </w:r>
    </w:p>
    <w:p w14:paraId="2B4A4E59" w14:textId="77777777" w:rsidR="000F5D39" w:rsidRPr="003A7CC4" w:rsidRDefault="000F5D39" w:rsidP="000F5D39">
      <w:pPr>
        <w:rPr>
          <w:rFonts w:ascii="Arial" w:hAnsi="Arial" w:cs="Arial"/>
          <w:szCs w:val="22"/>
        </w:rPr>
      </w:pPr>
    </w:p>
    <w:p w14:paraId="2B4A4E5A" w14:textId="77777777" w:rsidR="000F5D39" w:rsidRPr="003A7CC4" w:rsidRDefault="000F5D39" w:rsidP="000F5D39">
      <w:pPr>
        <w:pStyle w:val="ReportCover-Date"/>
        <w:jc w:val="center"/>
        <w:rPr>
          <w:rFonts w:ascii="Arial" w:hAnsi="Arial" w:cs="Arial"/>
          <w:color w:val="auto"/>
        </w:rPr>
      </w:pPr>
      <w:bookmarkStart w:id="0" w:name="_GoBack"/>
      <w:bookmarkEnd w:id="0"/>
    </w:p>
    <w:p w14:paraId="2B4A4E5B" w14:textId="77777777" w:rsidR="000F5D39" w:rsidRPr="003A7CC4" w:rsidRDefault="000F5D39" w:rsidP="000F5D39">
      <w:pPr>
        <w:pStyle w:val="ReportCover-Date"/>
        <w:spacing w:after="360" w:line="240" w:lineRule="auto"/>
        <w:jc w:val="center"/>
        <w:rPr>
          <w:rFonts w:ascii="Arial" w:hAnsi="Arial" w:cs="Arial"/>
          <w:color w:val="auto"/>
          <w:sz w:val="48"/>
          <w:szCs w:val="48"/>
        </w:rPr>
      </w:pPr>
      <w:r w:rsidRPr="003A7CC4">
        <w:rPr>
          <w:rFonts w:ascii="Arial" w:hAnsi="Arial" w:cs="Arial"/>
          <w:color w:val="auto"/>
          <w:sz w:val="48"/>
          <w:szCs w:val="48"/>
        </w:rPr>
        <w:t>Supporting Statement</w:t>
      </w:r>
    </w:p>
    <w:p w14:paraId="2B4A4E5C" w14:textId="77777777" w:rsidR="000F5D39" w:rsidRPr="003A7CC4" w:rsidRDefault="000F5D39" w:rsidP="000F5D39">
      <w:pPr>
        <w:pStyle w:val="ReportCover-Date"/>
        <w:spacing w:after="360" w:line="240" w:lineRule="auto"/>
        <w:jc w:val="center"/>
        <w:rPr>
          <w:rFonts w:ascii="Arial" w:hAnsi="Arial" w:cs="Arial"/>
          <w:color w:val="auto"/>
          <w:sz w:val="48"/>
          <w:szCs w:val="48"/>
        </w:rPr>
      </w:pPr>
      <w:r w:rsidRPr="003A7CC4">
        <w:rPr>
          <w:rFonts w:ascii="Arial" w:hAnsi="Arial" w:cs="Arial"/>
          <w:color w:val="auto"/>
          <w:sz w:val="48"/>
          <w:szCs w:val="48"/>
        </w:rPr>
        <w:t xml:space="preserve">Part </w:t>
      </w:r>
      <w:r w:rsidR="006F30E0" w:rsidRPr="003A7CC4">
        <w:rPr>
          <w:rFonts w:ascii="Arial" w:hAnsi="Arial" w:cs="Arial"/>
          <w:color w:val="auto"/>
          <w:sz w:val="48"/>
          <w:szCs w:val="48"/>
        </w:rPr>
        <w:t>B</w:t>
      </w:r>
    </w:p>
    <w:p w14:paraId="2B4A4E5D" w14:textId="41720361" w:rsidR="004529BD" w:rsidRPr="003A7CC4" w:rsidRDefault="009D76DC" w:rsidP="004529BD">
      <w:pPr>
        <w:pStyle w:val="ReportCover-Date"/>
        <w:jc w:val="center"/>
        <w:rPr>
          <w:rFonts w:ascii="Arial" w:hAnsi="Arial" w:cs="Arial"/>
          <w:color w:val="auto"/>
        </w:rPr>
      </w:pPr>
      <w:r>
        <w:rPr>
          <w:rFonts w:ascii="Arial" w:hAnsi="Arial" w:cs="Arial"/>
          <w:color w:val="auto"/>
        </w:rPr>
        <w:t>November</w:t>
      </w:r>
      <w:r w:rsidRPr="003A7CC4">
        <w:rPr>
          <w:rFonts w:ascii="Arial" w:hAnsi="Arial" w:cs="Arial"/>
          <w:color w:val="auto"/>
        </w:rPr>
        <w:t xml:space="preserve"> </w:t>
      </w:r>
      <w:r w:rsidR="00B50B22" w:rsidRPr="003A7CC4">
        <w:rPr>
          <w:rFonts w:ascii="Arial" w:hAnsi="Arial" w:cs="Arial"/>
          <w:color w:val="auto"/>
        </w:rPr>
        <w:t>2015</w:t>
      </w:r>
    </w:p>
    <w:p w14:paraId="2B4A4E5E" w14:textId="77777777" w:rsidR="000F5D39" w:rsidRPr="003A7CC4" w:rsidRDefault="000F5D39" w:rsidP="000F5D39">
      <w:pPr>
        <w:jc w:val="center"/>
        <w:rPr>
          <w:rFonts w:ascii="Arial" w:hAnsi="Arial" w:cs="Arial"/>
        </w:rPr>
      </w:pPr>
    </w:p>
    <w:p w14:paraId="2B4A4E5F" w14:textId="77777777" w:rsidR="000F5D39" w:rsidRPr="003A7CC4" w:rsidRDefault="000F5D39" w:rsidP="000F5D39">
      <w:pPr>
        <w:jc w:val="center"/>
        <w:rPr>
          <w:rFonts w:ascii="Arial" w:hAnsi="Arial" w:cs="Arial"/>
        </w:rPr>
      </w:pPr>
      <w:r w:rsidRPr="003A7CC4">
        <w:rPr>
          <w:rFonts w:ascii="Arial" w:hAnsi="Arial" w:cs="Arial"/>
        </w:rPr>
        <w:t>Submitted By:</w:t>
      </w:r>
    </w:p>
    <w:p w14:paraId="2B4A4E60" w14:textId="77777777" w:rsidR="000F5D39" w:rsidRPr="003A7CC4" w:rsidRDefault="000F5D39" w:rsidP="000F5D39">
      <w:pPr>
        <w:jc w:val="center"/>
        <w:rPr>
          <w:rFonts w:ascii="Arial" w:hAnsi="Arial" w:cs="Arial"/>
        </w:rPr>
      </w:pPr>
      <w:r w:rsidRPr="003A7CC4">
        <w:rPr>
          <w:rFonts w:ascii="Arial" w:hAnsi="Arial" w:cs="Arial"/>
        </w:rPr>
        <w:t>Office of Planning, Research and Evaluation</w:t>
      </w:r>
    </w:p>
    <w:p w14:paraId="2B4A4E61" w14:textId="77777777" w:rsidR="000F5D39" w:rsidRPr="003A7CC4" w:rsidRDefault="000F5D39" w:rsidP="000F5D39">
      <w:pPr>
        <w:jc w:val="center"/>
        <w:rPr>
          <w:rFonts w:ascii="Arial" w:hAnsi="Arial" w:cs="Arial"/>
        </w:rPr>
      </w:pPr>
      <w:r w:rsidRPr="003A7CC4">
        <w:rPr>
          <w:rFonts w:ascii="Arial" w:hAnsi="Arial" w:cs="Arial"/>
        </w:rPr>
        <w:t xml:space="preserve">Administration for Children and Families </w:t>
      </w:r>
    </w:p>
    <w:p w14:paraId="2B4A4E62" w14:textId="77777777" w:rsidR="000F5D39" w:rsidRPr="003A7CC4" w:rsidRDefault="000F5D39" w:rsidP="000F5D39">
      <w:pPr>
        <w:jc w:val="center"/>
        <w:rPr>
          <w:rFonts w:ascii="Arial" w:hAnsi="Arial" w:cs="Arial"/>
        </w:rPr>
      </w:pPr>
      <w:r w:rsidRPr="003A7CC4">
        <w:rPr>
          <w:rFonts w:ascii="Arial" w:hAnsi="Arial" w:cs="Arial"/>
        </w:rPr>
        <w:t>U.S. Department of Health and Human Services</w:t>
      </w:r>
    </w:p>
    <w:p w14:paraId="2B4A4E63" w14:textId="77777777" w:rsidR="000F5D39" w:rsidRPr="003A7CC4" w:rsidRDefault="000F5D39" w:rsidP="000F5D39">
      <w:pPr>
        <w:jc w:val="center"/>
        <w:rPr>
          <w:rFonts w:ascii="Arial" w:hAnsi="Arial" w:cs="Arial"/>
        </w:rPr>
      </w:pPr>
    </w:p>
    <w:p w14:paraId="2B4A4E64" w14:textId="77777777" w:rsidR="000F5D39" w:rsidRPr="003A7CC4" w:rsidRDefault="000F5D39" w:rsidP="000F5D39">
      <w:pPr>
        <w:jc w:val="center"/>
        <w:rPr>
          <w:rFonts w:ascii="Arial" w:hAnsi="Arial" w:cs="Arial"/>
        </w:rPr>
      </w:pPr>
      <w:r w:rsidRPr="003A7CC4">
        <w:rPr>
          <w:rFonts w:ascii="Arial" w:hAnsi="Arial" w:cs="Arial"/>
        </w:rPr>
        <w:t>7</w:t>
      </w:r>
      <w:r w:rsidRPr="003A7CC4">
        <w:rPr>
          <w:rFonts w:ascii="Arial" w:hAnsi="Arial" w:cs="Arial"/>
          <w:vertAlign w:val="superscript"/>
        </w:rPr>
        <w:t>th</w:t>
      </w:r>
      <w:r w:rsidRPr="003A7CC4">
        <w:rPr>
          <w:rFonts w:ascii="Arial" w:hAnsi="Arial" w:cs="Arial"/>
        </w:rPr>
        <w:t xml:space="preserve"> Floor, West Aerospace Building</w:t>
      </w:r>
    </w:p>
    <w:p w14:paraId="2B4A4E65" w14:textId="77777777" w:rsidR="000F5D39" w:rsidRPr="003A7CC4" w:rsidRDefault="000F5D39" w:rsidP="000F5D39">
      <w:pPr>
        <w:jc w:val="center"/>
        <w:rPr>
          <w:rFonts w:ascii="Arial" w:hAnsi="Arial" w:cs="Arial"/>
        </w:rPr>
      </w:pPr>
      <w:r w:rsidRPr="003A7CC4">
        <w:rPr>
          <w:rFonts w:ascii="Arial" w:hAnsi="Arial" w:cs="Arial"/>
        </w:rPr>
        <w:t>370 L’Enfant Promenade, SW</w:t>
      </w:r>
    </w:p>
    <w:p w14:paraId="2B4A4E66" w14:textId="77777777" w:rsidR="000F5D39" w:rsidRPr="003A7CC4" w:rsidRDefault="000F5D39" w:rsidP="000F5D39">
      <w:pPr>
        <w:jc w:val="center"/>
        <w:rPr>
          <w:rFonts w:ascii="Arial" w:hAnsi="Arial" w:cs="Arial"/>
        </w:rPr>
      </w:pPr>
      <w:r w:rsidRPr="003A7CC4">
        <w:rPr>
          <w:rFonts w:ascii="Arial" w:hAnsi="Arial" w:cs="Arial"/>
        </w:rPr>
        <w:t>Washington, D.C. 20447</w:t>
      </w:r>
    </w:p>
    <w:p w14:paraId="2B4A4E67" w14:textId="77777777" w:rsidR="000F5D39" w:rsidRPr="003A7CC4" w:rsidRDefault="000F5D39" w:rsidP="000F5D39">
      <w:pPr>
        <w:jc w:val="center"/>
        <w:rPr>
          <w:rFonts w:ascii="Arial" w:hAnsi="Arial" w:cs="Arial"/>
        </w:rPr>
      </w:pPr>
    </w:p>
    <w:p w14:paraId="2B4A4E68" w14:textId="77777777" w:rsidR="000F5D39" w:rsidRPr="003A7CC4" w:rsidRDefault="00FB20AC" w:rsidP="004529BD">
      <w:pPr>
        <w:jc w:val="center"/>
        <w:rPr>
          <w:rFonts w:ascii="Arial" w:hAnsi="Arial" w:cs="Arial"/>
        </w:rPr>
      </w:pPr>
      <w:r w:rsidRPr="003A7CC4">
        <w:rPr>
          <w:rFonts w:ascii="Arial" w:hAnsi="Arial" w:cs="Arial"/>
        </w:rPr>
        <w:t>Project Officer</w:t>
      </w:r>
      <w:r w:rsidR="000F5D39" w:rsidRPr="003A7CC4">
        <w:rPr>
          <w:rFonts w:ascii="Arial" w:hAnsi="Arial" w:cs="Arial"/>
        </w:rPr>
        <w:t>:</w:t>
      </w:r>
    </w:p>
    <w:p w14:paraId="2B4A4E69" w14:textId="77777777" w:rsidR="004529BD" w:rsidRPr="003A7CC4" w:rsidRDefault="004529BD" w:rsidP="004529BD">
      <w:pPr>
        <w:pStyle w:val="ReportCover-Date"/>
        <w:spacing w:after="0" w:line="240" w:lineRule="auto"/>
        <w:jc w:val="center"/>
        <w:rPr>
          <w:rFonts w:ascii="Arial" w:hAnsi="Arial" w:cs="Arial"/>
        </w:rPr>
      </w:pPr>
    </w:p>
    <w:p w14:paraId="2B4A4E6A" w14:textId="77777777" w:rsidR="000F5D39" w:rsidRPr="003A7CC4" w:rsidRDefault="004529BD" w:rsidP="004529BD">
      <w:pPr>
        <w:pStyle w:val="ReportCover-Date"/>
        <w:spacing w:after="0" w:line="240" w:lineRule="auto"/>
        <w:jc w:val="center"/>
        <w:rPr>
          <w:rFonts w:ascii="Arial" w:hAnsi="Arial" w:cs="Arial"/>
          <w:b w:val="0"/>
          <w:color w:val="auto"/>
        </w:rPr>
      </w:pPr>
      <w:r w:rsidRPr="003A7CC4">
        <w:rPr>
          <w:rFonts w:ascii="Arial" w:hAnsi="Arial" w:cs="Arial"/>
          <w:b w:val="0"/>
          <w:color w:val="auto"/>
        </w:rPr>
        <w:t>Maria Woolverton</w:t>
      </w:r>
    </w:p>
    <w:p w14:paraId="2B4A4E6B" w14:textId="77777777" w:rsidR="000F5D39" w:rsidRPr="003A7CC4" w:rsidRDefault="000F5D39" w:rsidP="000F5D39">
      <w:pPr>
        <w:jc w:val="center"/>
        <w:rPr>
          <w:rFonts w:ascii="Arial" w:hAnsi="Arial" w:cs="Arial"/>
          <w:b/>
        </w:rPr>
      </w:pPr>
    </w:p>
    <w:p w14:paraId="2B4A4E6C" w14:textId="77777777" w:rsidR="00986961" w:rsidRPr="003A7CC4" w:rsidRDefault="000F5D39" w:rsidP="004526EE">
      <w:pPr>
        <w:spacing w:line="240" w:lineRule="atLeast"/>
        <w:rPr>
          <w:u w:val="single"/>
        </w:rPr>
      </w:pPr>
      <w:r w:rsidRPr="003A7CC4">
        <w:rPr>
          <w:rFonts w:ascii="Arial" w:hAnsi="Arial" w:cs="Arial"/>
          <w:b/>
        </w:rPr>
        <w:br w:type="page"/>
      </w:r>
      <w:r w:rsidR="00E05A0A" w:rsidRPr="003A7CC4">
        <w:rPr>
          <w:b/>
        </w:rPr>
        <w:lastRenderedPageBreak/>
        <w:t>B1. Respondent Universe and Sampling Methods</w:t>
      </w:r>
    </w:p>
    <w:p w14:paraId="2B4A4E6D" w14:textId="77777777" w:rsidR="00B50B22" w:rsidRPr="003A7CC4" w:rsidRDefault="00B50B22" w:rsidP="00B50B22">
      <w:pPr>
        <w:spacing w:line="240" w:lineRule="atLeast"/>
        <w:ind w:left="720"/>
      </w:pPr>
    </w:p>
    <w:p w14:paraId="2B4A4E6E" w14:textId="08E617F0" w:rsidR="00B50B22" w:rsidRPr="003A7CC4" w:rsidRDefault="00B50B22" w:rsidP="00B50B22">
      <w:pPr>
        <w:spacing w:line="240" w:lineRule="atLeast"/>
      </w:pPr>
      <w:r w:rsidRPr="003A7CC4">
        <w:t>The participating sites for the CAPP study are</w:t>
      </w:r>
      <w:r w:rsidR="00F704C4" w:rsidRPr="003A7CC4">
        <w:t xml:space="preserve"> Fresno, Santa Clara, Humboldt</w:t>
      </w:r>
      <w:r w:rsidR="00502891" w:rsidRPr="003A7CC4">
        <w:t xml:space="preserve"> County</w:t>
      </w:r>
      <w:r w:rsidR="007051EB" w:rsidRPr="003A7CC4">
        <w:t xml:space="preserve"> child welfare agencies</w:t>
      </w:r>
      <w:r w:rsidR="00F704C4" w:rsidRPr="003A7CC4">
        <w:t xml:space="preserve">, and the Los Angeles </w:t>
      </w:r>
      <w:r w:rsidR="00502891" w:rsidRPr="003A7CC4">
        <w:t xml:space="preserve">County </w:t>
      </w:r>
      <w:r w:rsidR="00F704C4" w:rsidRPr="003A7CC4">
        <w:t xml:space="preserve">offices of Pomona and </w:t>
      </w:r>
      <w:proofErr w:type="spellStart"/>
      <w:r w:rsidR="00F704C4" w:rsidRPr="003A7CC4">
        <w:t>Wateridge</w:t>
      </w:r>
      <w:proofErr w:type="spellEnd"/>
      <w:r w:rsidR="00F704C4" w:rsidRPr="003A7CC4">
        <w:t>.</w:t>
      </w:r>
      <w:r w:rsidRPr="003A7CC4">
        <w:t xml:space="preserve"> </w:t>
      </w:r>
    </w:p>
    <w:p w14:paraId="2B4A4E6F" w14:textId="77777777" w:rsidR="00B50B22" w:rsidRPr="003A7CC4" w:rsidRDefault="00B50B22" w:rsidP="00B50B22">
      <w:pPr>
        <w:spacing w:line="240" w:lineRule="atLeast"/>
      </w:pPr>
    </w:p>
    <w:p w14:paraId="2B4A4E70" w14:textId="2914B398" w:rsidR="00B50B22" w:rsidRPr="003A7CC4" w:rsidRDefault="00B50B22" w:rsidP="00B50B22">
      <w:pPr>
        <w:spacing w:line="240" w:lineRule="atLeast"/>
      </w:pPr>
      <w:r w:rsidRPr="003A7CC4">
        <w:t xml:space="preserve">Each site will identify and create a list of all parent-legal guardians and caregivers who meet the eligibility criteria to complete a </w:t>
      </w:r>
      <w:r w:rsidR="00B966C4" w:rsidRPr="003A7CC4">
        <w:t xml:space="preserve">one-time </w:t>
      </w:r>
      <w:r w:rsidRPr="003A7CC4">
        <w:t xml:space="preserve">survey. </w:t>
      </w:r>
      <w:r w:rsidR="00017843" w:rsidRPr="003A7CC4">
        <w:rPr>
          <w:rFonts w:cs="ArialUnicodeMS"/>
        </w:rPr>
        <w:t>Eligible study participants include parent-legal guardians or foster caregivers of children who are assigned to social workers trained to implement the CAPP Child and Family Practice Model; have been part of cases served by a CAPP-trained social worker for 90 days or more; can speak and read English or Spanish; and are age 18 or older. Parent-legal guardians are in Family Reunification (FR) status, where a child in foster care and the parents from whom the child was removed are receiving services to reunify as a family. Caregivers are foster care providers caring for children in Permanent Placement (PP) status, where the child in foster care is not expected to reunify with a parent or parent or legal guardian, and services are targeted toward their status in foster care and achieving adoption, guardianship or another planned permanent living arrangement.</w:t>
      </w:r>
    </w:p>
    <w:p w14:paraId="4A431529" w14:textId="77777777" w:rsidR="00DF522B" w:rsidRPr="003A7CC4" w:rsidRDefault="00DF522B" w:rsidP="00B50B22">
      <w:pPr>
        <w:spacing w:line="240" w:lineRule="atLeast"/>
      </w:pPr>
    </w:p>
    <w:p w14:paraId="161012E3" w14:textId="77777777" w:rsidR="00DF522B" w:rsidRPr="003A7CC4" w:rsidRDefault="00DF522B" w:rsidP="00DF522B">
      <w:pPr>
        <w:spacing w:line="240" w:lineRule="atLeast"/>
      </w:pPr>
      <w:r w:rsidRPr="003A7CC4">
        <w:t>Westat will prepare survey packets for all survey participants. Surveys for each parent-legal guardian and caregiver in the study will be assigned a Survey ID consisting of a 3-part code that identifies the site, caseworker, and parent-legal guardian or foster caregiver. The code will appear on all pages of the informed consent and the survey so Westat can match the informed consent and survey should pages become separated. This system also is meant to ensure that each parent-legal guardian and each caregiver completes no more than one survey. The Local Survey Coordinator in each CAPP site will maintain a crosswalk linking the Survey ID to the: 1) social worker, and 2) parent-legal guardian or caregiver participant served by the caseworker.</w:t>
      </w:r>
    </w:p>
    <w:p w14:paraId="2B4A4E71" w14:textId="77777777" w:rsidR="00B50B22" w:rsidRPr="003A7CC4" w:rsidRDefault="00B50B22" w:rsidP="00B50B22">
      <w:pPr>
        <w:spacing w:line="240" w:lineRule="atLeast"/>
      </w:pPr>
    </w:p>
    <w:p w14:paraId="1E8B47E2" w14:textId="20EEAD4C" w:rsidR="009C66C4" w:rsidRPr="003A7CC4" w:rsidRDefault="00B50B22" w:rsidP="00B50B22">
      <w:pPr>
        <w:spacing w:line="240" w:lineRule="atLeast"/>
        <w:rPr>
          <w:b/>
          <w:i/>
        </w:rPr>
      </w:pPr>
      <w:r w:rsidRPr="003A7CC4">
        <w:rPr>
          <w:b/>
          <w:i/>
        </w:rPr>
        <w:t>Parent-Legal Guardian Sample</w:t>
      </w:r>
    </w:p>
    <w:p w14:paraId="7F7B0A15" w14:textId="77777777" w:rsidR="009C66C4" w:rsidRPr="003A7CC4" w:rsidRDefault="009C66C4" w:rsidP="00B50B22">
      <w:pPr>
        <w:spacing w:line="240" w:lineRule="atLeast"/>
      </w:pPr>
    </w:p>
    <w:p w14:paraId="2B4A4E72" w14:textId="332B6763" w:rsidR="00B50B22" w:rsidRPr="00DA5F42" w:rsidRDefault="009B5AF8" w:rsidP="00B50B22">
      <w:pPr>
        <w:spacing w:line="240" w:lineRule="atLeast"/>
      </w:pPr>
      <w:proofErr w:type="gramStart"/>
      <w:r w:rsidRPr="00DA5F42">
        <w:t>The</w:t>
      </w:r>
      <w:r w:rsidR="00B52F10">
        <w:t xml:space="preserve"> maximum</w:t>
      </w:r>
      <w:r w:rsidRPr="00DA5F42">
        <w:t xml:space="preserve"> total number of returned surveys for the combined parent-legal guardian and caregiver samples </w:t>
      </w:r>
      <w:r w:rsidR="00B52F10">
        <w:t>is estimated at</w:t>
      </w:r>
      <w:r w:rsidRPr="00DA5F42">
        <w:t xml:space="preserve"> 3,436</w:t>
      </w:r>
      <w:r w:rsidR="00B52F10">
        <w:t xml:space="preserve"> (1673 parent-legal guardian surveys and 1763 caregiver surveys)</w:t>
      </w:r>
      <w:r w:rsidR="00146870">
        <w:t xml:space="preserve"> </w:t>
      </w:r>
      <w:r w:rsidR="00451AA5" w:rsidRPr="00146870">
        <w:t xml:space="preserve"> </w:t>
      </w:r>
      <w:r w:rsidRPr="00146870">
        <w:t xml:space="preserve">In order to maximize the response rate and also stay at or below </w:t>
      </w:r>
      <w:r w:rsidR="00B52F10">
        <w:t>our estimated burden</w:t>
      </w:r>
      <w:r w:rsidR="00B52F10" w:rsidRPr="00146870">
        <w:t xml:space="preserve"> </w:t>
      </w:r>
      <w:r w:rsidRPr="00146870">
        <w:t>threshold</w:t>
      </w:r>
      <w:r w:rsidRPr="00146870">
        <w:rPr>
          <w:rFonts w:cs="ArialUnicodeMS"/>
        </w:rPr>
        <w:t>, the Los Angeles-</w:t>
      </w:r>
      <w:proofErr w:type="spellStart"/>
      <w:r w:rsidRPr="00146870">
        <w:rPr>
          <w:rFonts w:cs="ArialUnicodeMS"/>
        </w:rPr>
        <w:t>Wateridge</w:t>
      </w:r>
      <w:proofErr w:type="spellEnd"/>
      <w:r w:rsidRPr="00146870">
        <w:rPr>
          <w:rFonts w:cs="ArialUnicodeMS"/>
        </w:rPr>
        <w:t xml:space="preserve"> site will sample 50% of the eligible population </w:t>
      </w:r>
      <w:r w:rsidRPr="00146870">
        <w:t>by selecting one of the two offices that have FR and PP cases</w:t>
      </w:r>
      <w:r w:rsidRPr="00146870">
        <w:rPr>
          <w:rFonts w:cs="ArialUnicodeMS"/>
        </w:rPr>
        <w:t>.</w:t>
      </w:r>
      <w:proofErr w:type="gramEnd"/>
      <w:r w:rsidRPr="00146870">
        <w:rPr>
          <w:rFonts w:cs="ArialUnicodeMS"/>
        </w:rPr>
        <w:t xml:space="preserve"> O</w:t>
      </w:r>
      <w:r w:rsidR="004F0867">
        <w:rPr>
          <w:rFonts w:cs="ArialUnicodeMS"/>
        </w:rPr>
        <w:t xml:space="preserve">ther CAPP sites will sample 100% </w:t>
      </w:r>
      <w:r w:rsidRPr="00146870">
        <w:rPr>
          <w:rFonts w:cs="ArialUnicodeMS"/>
        </w:rPr>
        <w:t>of eligible parent-legal guardians. The estimated number</w:t>
      </w:r>
      <w:r w:rsidR="00F7614D">
        <w:rPr>
          <w:rFonts w:cs="ArialUnicodeMS"/>
        </w:rPr>
        <w:t>s</w:t>
      </w:r>
      <w:r w:rsidRPr="00146870">
        <w:rPr>
          <w:rFonts w:cs="ArialUnicodeMS"/>
        </w:rPr>
        <w:t xml:space="preserve"> of eligible parent-legal guardians in FR status for each CAPP site </w:t>
      </w:r>
      <w:proofErr w:type="gramStart"/>
      <w:r w:rsidRPr="00146870">
        <w:rPr>
          <w:rFonts w:cs="ArialUnicodeMS"/>
        </w:rPr>
        <w:t>are:</w:t>
      </w:r>
      <w:proofErr w:type="gramEnd"/>
      <w:r w:rsidRPr="00146870">
        <w:rPr>
          <w:rFonts w:cs="ArialUnicodeMS"/>
        </w:rPr>
        <w:t xml:space="preserve"> Fresno County = 531, Humboldt County = 115, Los Angeles-Pomona = 517, Los Angeles-</w:t>
      </w:r>
      <w:proofErr w:type="spellStart"/>
      <w:r w:rsidRPr="00146870">
        <w:rPr>
          <w:rFonts w:cs="ArialUnicodeMS"/>
        </w:rPr>
        <w:t>Wateridge</w:t>
      </w:r>
      <w:proofErr w:type="spellEnd"/>
      <w:r w:rsidRPr="00146870">
        <w:rPr>
          <w:rFonts w:cs="ArialUnicodeMS"/>
        </w:rPr>
        <w:t xml:space="preserve"> = 63</w:t>
      </w:r>
      <w:r w:rsidR="008D668A" w:rsidRPr="00146870">
        <w:rPr>
          <w:rFonts w:cs="ArialUnicodeMS"/>
        </w:rPr>
        <w:t>4</w:t>
      </w:r>
      <w:r w:rsidRPr="00146870">
        <w:rPr>
          <w:rFonts w:cs="ArialUnicodeMS"/>
        </w:rPr>
        <w:t xml:space="preserve">, and Santa Clara County = 434. </w:t>
      </w:r>
      <w:r w:rsidRPr="00146870">
        <w:t xml:space="preserve">Westat will disseminate surveys to the entire parent-legal guardian sample beginning February 1, 2016. </w:t>
      </w:r>
    </w:p>
    <w:p w14:paraId="2B8B3950" w14:textId="77777777" w:rsidR="00EC2387" w:rsidRPr="00DA5F42" w:rsidRDefault="00EC2387" w:rsidP="00EC2387">
      <w:pPr>
        <w:spacing w:line="240" w:lineRule="atLeast"/>
      </w:pPr>
    </w:p>
    <w:p w14:paraId="17227D85" w14:textId="708FD92E" w:rsidR="00EC2387" w:rsidRPr="00DA5F42" w:rsidRDefault="00EC2387" w:rsidP="00EC2387">
      <w:pPr>
        <w:spacing w:line="240" w:lineRule="atLeast"/>
      </w:pPr>
      <w:r w:rsidRPr="00DA5F42">
        <w:t>Westat will send the designated number of prepared parent-legal guardian survey packets to each CAPP site Local Survey Coordinator. Sealed parent-legal guardian survey packets will contain the combined informed consent and questionnaire, and a pre-addressed, postage-paid return envelope. The Survey ID and name of the social worker will be on a sticker on the outside of parent-legal guardian survey packets so Local Survey Coordinators can provide surveys to the correct survey distributor.</w:t>
      </w:r>
    </w:p>
    <w:p w14:paraId="2136076C" w14:textId="77777777" w:rsidR="00EC2387" w:rsidRPr="00DA5F42" w:rsidRDefault="00EC2387" w:rsidP="00EC2387">
      <w:pPr>
        <w:spacing w:line="240" w:lineRule="atLeast"/>
      </w:pPr>
    </w:p>
    <w:p w14:paraId="30C7853D" w14:textId="7B78558E" w:rsidR="00EC2387" w:rsidRPr="00DA5F42" w:rsidRDefault="00EC2387" w:rsidP="00EC2387">
      <w:pPr>
        <w:spacing w:line="240" w:lineRule="atLeast"/>
      </w:pPr>
      <w:r w:rsidRPr="00DA5F42">
        <w:lastRenderedPageBreak/>
        <w:t xml:space="preserve">The Local Survey Coordinator will provide survey packets to each selected CAPP-trained caseworker or other identified survey distributor who will hand-distribute survey packets to eligible parent-legal guardians during their next in-person contact. Since monthly contacts are required and each survey distributor will distribute a specified number of packets, it is anticipated that all surveys will be distributed within 2 to 4 weeks. The survey distributor will read the prepared script to the parent-legal guardian that briefly describes what is contained in the survey packet, instruct the parent-legal guardian how to complete and return the informed consent and survey, and that they may call Westat’s toll-free 800 number listed in the survey packet for questions and assistance completing the questionnaire or to take the survey by telephone. The script includes a list of potential questions from parent-legal guardians and acceptable answers the survey distributor can provide. See Attachment </w:t>
      </w:r>
      <w:r w:rsidR="008D668A" w:rsidRPr="00DA5F42">
        <w:t>B2b</w:t>
      </w:r>
      <w:r w:rsidRPr="00DA5F42">
        <w:t>: Parent-Legal Guardian Questionnaire Distributor Script and Attachment</w:t>
      </w:r>
      <w:r w:rsidR="008D668A" w:rsidRPr="00DA5F42">
        <w:t xml:space="preserve"> B2a</w:t>
      </w:r>
      <w:r w:rsidRPr="00DA5F42">
        <w:t>: Parent-Legal Guardian Questionnaire Distributor Script Spanish.</w:t>
      </w:r>
    </w:p>
    <w:p w14:paraId="714F482E" w14:textId="77777777" w:rsidR="00EC2387" w:rsidRPr="00DA5F42" w:rsidRDefault="00EC2387" w:rsidP="00EC2387">
      <w:pPr>
        <w:spacing w:line="240" w:lineRule="atLeast"/>
      </w:pPr>
    </w:p>
    <w:p w14:paraId="0990F072" w14:textId="42479BAA" w:rsidR="00EC2387" w:rsidRPr="00DA5F42" w:rsidRDefault="00EC2387" w:rsidP="00EC2387">
      <w:pPr>
        <w:spacing w:line="240" w:lineRule="atLeast"/>
      </w:pPr>
      <w:r w:rsidRPr="00DA5F42">
        <w:t xml:space="preserve">Survey distributors will indicate which surveys have been distributed by removing the sticker from the outside of the survey packet and placing it on the Survey Distribution Tracking Sheet. They will also record the name of the parent-legal guardian and distribution date. Each CAPP pilot site Local Survey Coordinator will collect Survey Distribution Tracking Sheets, enter information on the electronic Master Survey Tracking Sheet, and upload electronic files onto Westat’s secure server. </w:t>
      </w:r>
      <w:r w:rsidR="00112DB6" w:rsidRPr="00DA5F42">
        <w:t>A month after the start of the data collection, s</w:t>
      </w:r>
      <w:r w:rsidRPr="00DA5F42">
        <w:t>urvey distributors will hand out duplicate survey packets to parent-legal guardians who have not returned a completed questionnaire to Westat or completed the questionnaire by telephone</w:t>
      </w:r>
      <w:r w:rsidR="00112DB6" w:rsidRPr="00DA5F42">
        <w:t xml:space="preserve">. </w:t>
      </w:r>
    </w:p>
    <w:p w14:paraId="2B4A4E73" w14:textId="77777777" w:rsidR="00B50B22" w:rsidRPr="00DA5F42" w:rsidRDefault="00B50B22" w:rsidP="00B50B22">
      <w:pPr>
        <w:spacing w:line="240" w:lineRule="atLeast"/>
      </w:pPr>
    </w:p>
    <w:p w14:paraId="2E3EC0CA" w14:textId="32558198" w:rsidR="009C66C4" w:rsidRPr="00DA5F42" w:rsidRDefault="00B50B22" w:rsidP="00B50B22">
      <w:pPr>
        <w:spacing w:line="240" w:lineRule="atLeast"/>
        <w:rPr>
          <w:b/>
          <w:i/>
        </w:rPr>
      </w:pPr>
      <w:r w:rsidRPr="00DA5F42">
        <w:rPr>
          <w:b/>
          <w:i/>
        </w:rPr>
        <w:t>Foster Caregiver Sample</w:t>
      </w:r>
    </w:p>
    <w:p w14:paraId="1559621D" w14:textId="77777777" w:rsidR="009C66C4" w:rsidRPr="00DA5F42" w:rsidRDefault="009C66C4" w:rsidP="00B50B22">
      <w:pPr>
        <w:spacing w:line="240" w:lineRule="atLeast"/>
      </w:pPr>
    </w:p>
    <w:p w14:paraId="2B4A4E74" w14:textId="7FE39877" w:rsidR="00B50B22" w:rsidRPr="00DA5F42" w:rsidRDefault="00B50B22" w:rsidP="00B50B22">
      <w:pPr>
        <w:spacing w:line="240" w:lineRule="atLeast"/>
      </w:pPr>
      <w:r w:rsidRPr="00DA5F42">
        <w:t xml:space="preserve">Each site will send a CAPP Study Frequently Asked Questions (FAQ) letter by US Mail to all identified caregivers from the caseloads of the </w:t>
      </w:r>
      <w:r w:rsidR="00F84147" w:rsidRPr="00DA5F42">
        <w:t xml:space="preserve">selected </w:t>
      </w:r>
      <w:r w:rsidRPr="00DA5F42">
        <w:t xml:space="preserve">caseworkers to obtain passive consent for Westat to have access to their contact information. Each caregiver will receive the letter in English and Spanish. The letter will describe the study to eligible caregivers and indicate that their contact information will be shared with Westat for research purposes if they do not contact the </w:t>
      </w:r>
      <w:r w:rsidR="00F84147" w:rsidRPr="00DA5F42">
        <w:t>county</w:t>
      </w:r>
      <w:r w:rsidRPr="00DA5F42">
        <w:t xml:space="preserve"> by a certain due date. See Attachment </w:t>
      </w:r>
      <w:r w:rsidR="00BD2AA0" w:rsidRPr="00DA5F42">
        <w:t>B1a</w:t>
      </w:r>
      <w:r w:rsidRPr="00DA5F42">
        <w:t xml:space="preserve">: Study FAQ Letter for Caregivers </w:t>
      </w:r>
      <w:r w:rsidR="00BD2AA0" w:rsidRPr="00DA5F42">
        <w:t>8-15</w:t>
      </w:r>
      <w:r w:rsidRPr="00DA5F42">
        <w:t xml:space="preserve"> and Attachment </w:t>
      </w:r>
      <w:r w:rsidR="00BD2AA0" w:rsidRPr="00DA5F42">
        <w:t>B1b</w:t>
      </w:r>
      <w:r w:rsidRPr="00DA5F42">
        <w:t xml:space="preserve">: Study FAQ Letter for Caregivers Spanish </w:t>
      </w:r>
      <w:r w:rsidR="00BD2AA0" w:rsidRPr="00DA5F42">
        <w:t>8-15</w:t>
      </w:r>
      <w:r w:rsidRPr="00DA5F42">
        <w:t>. If the caregiver agrees to share contact information by way of passive consent, the local child welfare agency will include them in the pool of eligible caregivers to participate in the study. If a caregiver contacts their local child welfare agency and indicates that they do not want to share their contact information with Westat, their denial of consent will be recorded by the child welfare agency</w:t>
      </w:r>
      <w:r w:rsidR="00866EF5" w:rsidRPr="00DA5F42">
        <w:t xml:space="preserve"> and they will be excluded from the pool of eligible caregivers to participate in the study</w:t>
      </w:r>
      <w:r w:rsidRPr="00DA5F42">
        <w:t xml:space="preserve">. </w:t>
      </w:r>
    </w:p>
    <w:p w14:paraId="6FB9646F" w14:textId="77777777" w:rsidR="009B5AF8" w:rsidRPr="00DA5F42" w:rsidRDefault="009B5AF8" w:rsidP="00B50B22">
      <w:pPr>
        <w:spacing w:line="240" w:lineRule="atLeast"/>
      </w:pPr>
    </w:p>
    <w:p w14:paraId="0B212F94" w14:textId="183A8654" w:rsidR="009B5AF8" w:rsidRPr="00DA5F42" w:rsidRDefault="009B5AF8" w:rsidP="009B5AF8">
      <w:pPr>
        <w:autoSpaceDE w:val="0"/>
        <w:autoSpaceDN w:val="0"/>
        <w:adjustRightInd w:val="0"/>
        <w:rPr>
          <w:rFonts w:cs="ArialUnicodeMS"/>
        </w:rPr>
      </w:pPr>
      <w:r w:rsidRPr="00DA5F42">
        <w:t>Westat will disseminate surveys to all eligible</w:t>
      </w:r>
      <w:r w:rsidRPr="00DA5F42">
        <w:rPr>
          <w:rFonts w:cs="ArialUnicodeMS"/>
        </w:rPr>
        <w:t xml:space="preserve"> caregivers who passively consented</w:t>
      </w:r>
      <w:r w:rsidRPr="00DA5F42">
        <w:t xml:space="preserve"> starting March 1, 2016.  </w:t>
      </w:r>
      <w:r w:rsidRPr="00DA5F42">
        <w:rPr>
          <w:rFonts w:cs="ArialUnicodeMS"/>
        </w:rPr>
        <w:t xml:space="preserve">The estimated </w:t>
      </w:r>
      <w:proofErr w:type="gramStart"/>
      <w:r w:rsidRPr="00DA5F42">
        <w:rPr>
          <w:rFonts w:cs="ArialUnicodeMS"/>
        </w:rPr>
        <w:t>number of caregivers caring for children in PP status for each site are</w:t>
      </w:r>
      <w:proofErr w:type="gramEnd"/>
      <w:r w:rsidRPr="00DA5F42">
        <w:rPr>
          <w:rFonts w:cs="ArialUnicodeMS"/>
        </w:rPr>
        <w:t>: Fresno County = 711, Humboldt County = 121, Los Angeles-Pomona = 416, Los Angeles-</w:t>
      </w:r>
      <w:proofErr w:type="spellStart"/>
      <w:r w:rsidRPr="00DA5F42">
        <w:rPr>
          <w:rFonts w:cs="ArialUnicodeMS"/>
        </w:rPr>
        <w:t>Wateridge</w:t>
      </w:r>
      <w:proofErr w:type="spellEnd"/>
      <w:r w:rsidRPr="00DA5F42">
        <w:rPr>
          <w:rFonts w:cs="ArialUnicodeMS"/>
        </w:rPr>
        <w:t xml:space="preserve"> = 468, and Santa Clara County = </w:t>
      </w:r>
      <w:r w:rsidR="00654229" w:rsidRPr="00DA5F42">
        <w:rPr>
          <w:rFonts w:cs="ArialUnicodeMS"/>
        </w:rPr>
        <w:t>460</w:t>
      </w:r>
      <w:r w:rsidRPr="00DA5F42">
        <w:rPr>
          <w:rFonts w:cs="ArialUnicodeMS"/>
        </w:rPr>
        <w:t>.</w:t>
      </w:r>
      <w:r w:rsidR="004F0867">
        <w:rPr>
          <w:rFonts w:cs="ArialUnicodeMS"/>
        </w:rPr>
        <w:t xml:space="preserve"> </w:t>
      </w:r>
      <w:r w:rsidRPr="00DA5F42">
        <w:rPr>
          <w:rFonts w:cs="ArialUnicodeMS"/>
        </w:rPr>
        <w:t xml:space="preserve">Each CAPP Local Survey Coordinator will compile mailing addresses and telephone numbers for the identified caregivers, along with the name of the social worker and child’s first name and last initial. If the social worker works with more than one PP child in the caregiver’s home, </w:t>
      </w:r>
      <w:r w:rsidR="00C536D3" w:rsidRPr="00DA5F42">
        <w:rPr>
          <w:rFonts w:cs="ArialUnicodeMS"/>
        </w:rPr>
        <w:t>the list will contain</w:t>
      </w:r>
      <w:r w:rsidRPr="00DA5F42">
        <w:rPr>
          <w:rFonts w:cs="ArialUnicodeMS"/>
        </w:rPr>
        <w:t xml:space="preserve"> the oldest Permanent Placement (PP) child. The Local Survey Coordinator will upload caregiver information to </w:t>
      </w:r>
      <w:r w:rsidRPr="00DA5F42">
        <w:rPr>
          <w:rFonts w:cs="ArialUnicodeMS"/>
        </w:rPr>
        <w:lastRenderedPageBreak/>
        <w:t>Westat’s secure server. Westat will use the mailing addresses to send follow-up postcards</w:t>
      </w:r>
      <w:r w:rsidR="0083739E" w:rsidRPr="00DA5F42">
        <w:rPr>
          <w:rFonts w:cs="ArialUnicodeMS"/>
        </w:rPr>
        <w:t>, duplicate survey packets,</w:t>
      </w:r>
      <w:r w:rsidRPr="00DA5F42">
        <w:rPr>
          <w:rFonts w:cs="ArialUnicodeMS"/>
        </w:rPr>
        <w:t xml:space="preserve"> and if needed, contact caregivers via telephone</w:t>
      </w:r>
      <w:r w:rsidRPr="00DA5F42">
        <w:t>.</w:t>
      </w:r>
    </w:p>
    <w:p w14:paraId="2B4A4E77" w14:textId="77777777" w:rsidR="00240D0C" w:rsidRPr="00DA5F42" w:rsidRDefault="00240D0C" w:rsidP="004526EE">
      <w:pPr>
        <w:spacing w:line="240" w:lineRule="atLeast"/>
        <w:rPr>
          <w:b/>
        </w:rPr>
      </w:pPr>
    </w:p>
    <w:p w14:paraId="2115A75D" w14:textId="0D1C7B07" w:rsidR="009C66C4" w:rsidRPr="00DA5F42" w:rsidRDefault="00B50B22" w:rsidP="003516DD">
      <w:pPr>
        <w:spacing w:line="240" w:lineRule="atLeast"/>
      </w:pPr>
      <w:r w:rsidRPr="00DA5F42">
        <w:rPr>
          <w:b/>
          <w:i/>
        </w:rPr>
        <w:t>P</w:t>
      </w:r>
      <w:r w:rsidR="002E366B" w:rsidRPr="00DA5F42">
        <w:rPr>
          <w:b/>
          <w:i/>
        </w:rPr>
        <w:t>ower A</w:t>
      </w:r>
      <w:r w:rsidRPr="00DA5F42">
        <w:rPr>
          <w:b/>
          <w:i/>
        </w:rPr>
        <w:t>nalysis</w:t>
      </w:r>
      <w:r w:rsidRPr="00DA5F42">
        <w:t xml:space="preserve"> </w:t>
      </w:r>
    </w:p>
    <w:p w14:paraId="77948E42" w14:textId="77777777" w:rsidR="009C66C4" w:rsidRPr="00DA5F42" w:rsidRDefault="009C66C4" w:rsidP="003516DD">
      <w:pPr>
        <w:spacing w:line="240" w:lineRule="atLeast"/>
      </w:pPr>
    </w:p>
    <w:p w14:paraId="4F6EFECC" w14:textId="33BD0352" w:rsidR="00283814" w:rsidRPr="00DA5F42" w:rsidRDefault="00B4202A" w:rsidP="00283814">
      <w:pPr>
        <w:spacing w:line="240" w:lineRule="atLeast"/>
      </w:pPr>
      <w:r w:rsidRPr="00DA5F42">
        <w:t>There are two populations to consider that include parent-legal guardians and caregivers. These are divided into two subgroups by race</w:t>
      </w:r>
      <w:r w:rsidR="00AE5AFE">
        <w:t>,</w:t>
      </w:r>
      <w:r w:rsidRPr="00DA5F42">
        <w:t xml:space="preserve"> the first comprising African Americans (AA) and Native Americans (AI) and the second group comprising all other (O) races. There is an understanding that the CAPP initiative will help close the gap between the two groups for both parent-legal guardians and caregivers. However, since there are no baseline measurements of the pre-CAPP intervention and no comparisons over time, we cannot directly test the intervention. With a single comparison between the groups at a single time point, we can only test whether there is evidence for the existence of a difference between the race groups at the point in time in question for the outcome measure under scrutiny. We also cannot directly relate the presence or absence of a difference to the CAPP treatment. The measures we will be assessing are intended to inform intermediate goals and long term goals. For example, the tests performed can be used to establish a baseline measure between racial groups which may establish the ability to help draw more complex inferences over time than are possible by these single tests. Moreover, the population is also spread over several counties. Therefore, some clustering at the caseworker level may exist, but this analysis does not adjust for clustering.</w:t>
      </w:r>
    </w:p>
    <w:p w14:paraId="0E1E7D73" w14:textId="28EA59A4" w:rsidR="00283814" w:rsidRPr="00DA5F42" w:rsidRDefault="00283814" w:rsidP="00283814">
      <w:pPr>
        <w:spacing w:line="240" w:lineRule="atLeast"/>
      </w:pPr>
    </w:p>
    <w:p w14:paraId="5C91EB6A" w14:textId="77777777" w:rsidR="00B4202A" w:rsidRPr="00DA5F42" w:rsidRDefault="00B4202A" w:rsidP="00B4202A">
      <w:pPr>
        <w:contextualSpacing/>
      </w:pPr>
      <w:r w:rsidRPr="00DA5F42">
        <w:t xml:space="preserve">The two populations of parents-legal guardians and </w:t>
      </w:r>
      <w:proofErr w:type="gramStart"/>
      <w:r w:rsidRPr="00DA5F42">
        <w:t>caregiver,</w:t>
      </w:r>
      <w:proofErr w:type="gramEnd"/>
      <w:r w:rsidRPr="00DA5F42">
        <w:t xml:space="preserve"> are divided into the treatment group (comprising African Americans and Native Americans) and the control group (Whites and Other races). The treatment is aimed at reducing the disparities between the two groups for both parent-legal guardians and caregivers. </w:t>
      </w:r>
    </w:p>
    <w:p w14:paraId="650116C6" w14:textId="77777777" w:rsidR="00B4202A" w:rsidRPr="00DA5F42" w:rsidRDefault="00B4202A" w:rsidP="00B4202A">
      <w:pPr>
        <w:contextualSpacing/>
      </w:pPr>
    </w:p>
    <w:p w14:paraId="4A10D30A" w14:textId="183FFC31" w:rsidR="00992344" w:rsidRDefault="00B4202A" w:rsidP="00B52595">
      <w:pPr>
        <w:spacing w:line="240" w:lineRule="atLeast"/>
      </w:pPr>
      <w:r w:rsidRPr="00DA5F42">
        <w:t>We examined the power to detect differences in measures between treatment and control groups for our proposed sampling plan. The assumption is that a disparity measure is in the form of a five point scale (such as, for example, 1=Very much so … 5=Not at all),</w:t>
      </w:r>
      <w:r w:rsidR="009B5AF8" w:rsidRPr="00DA5F42">
        <w:t xml:space="preserve"> and we are considering the mean measure in the treatment and control groups. We assume that the standard deviation is 1, which is equivalent to one category on the scale. This is a conservative assumption in that we assume the responses are fairly variable within each group, making it harder to detect differences between them. We calculate</w:t>
      </w:r>
      <w:r w:rsidR="00B52595">
        <w:t>d</w:t>
      </w:r>
      <w:r w:rsidR="009B5AF8" w:rsidRPr="00DA5F42">
        <w:t xml:space="preserve"> the power to detect various differences between the two group means for the given sample size and also the minimum detectable difference at the given sample size at 80% power. </w:t>
      </w:r>
      <w:r w:rsidR="00B52595">
        <w:t>We have calculated the power assuming both a 60% response rate and a 75% response rate. We have budgeted for a 75% response rate in case of greater response than anticipated; however, based on the pilot study, we expect that a 60% response rate will be more likely. As evidenced by the power analyses, we will have the power to detect impacts at either 60% or 75% response rates.</w:t>
      </w:r>
      <w:r w:rsidR="006404D3" w:rsidRPr="00B52595">
        <w:rPr>
          <w:rStyle w:val="FootnoteReference"/>
        </w:rPr>
        <w:footnoteReference w:id="1"/>
      </w:r>
      <w:r w:rsidR="009B5AF8" w:rsidRPr="00B975A1">
        <w:t>.</w:t>
      </w:r>
      <w:r w:rsidR="00992344">
        <w:br w:type="page"/>
      </w:r>
    </w:p>
    <w:p w14:paraId="1131A8B3" w14:textId="2B93397A" w:rsidR="009B5AF8" w:rsidRPr="00B975A1" w:rsidRDefault="009B5AF8" w:rsidP="009B5AF8">
      <w:pPr>
        <w:pStyle w:val="ListParagraph"/>
        <w:ind w:left="0"/>
      </w:pPr>
      <w:r w:rsidRPr="00B975A1">
        <w:lastRenderedPageBreak/>
        <w:t>For the parent-legal guardian study, Table B1 presents the sample size by county:</w:t>
      </w:r>
    </w:p>
    <w:p w14:paraId="392186B6" w14:textId="77777777" w:rsidR="009B5AF8" w:rsidRPr="00B975A1" w:rsidRDefault="009B5AF8" w:rsidP="009B5AF8">
      <w:pPr>
        <w:pStyle w:val="ListParagraph"/>
        <w:ind w:left="0"/>
      </w:pPr>
    </w:p>
    <w:tbl>
      <w:tblPr>
        <w:tblStyle w:val="TableGrid"/>
        <w:tblW w:w="9288" w:type="dxa"/>
        <w:tblLayout w:type="fixed"/>
        <w:tblLook w:val="04A0" w:firstRow="1" w:lastRow="0" w:firstColumn="1" w:lastColumn="0" w:noHBand="0" w:noVBand="1"/>
      </w:tblPr>
      <w:tblGrid>
        <w:gridCol w:w="1188"/>
        <w:gridCol w:w="630"/>
        <w:gridCol w:w="810"/>
        <w:gridCol w:w="630"/>
        <w:gridCol w:w="810"/>
        <w:gridCol w:w="630"/>
        <w:gridCol w:w="810"/>
        <w:gridCol w:w="630"/>
        <w:gridCol w:w="810"/>
        <w:gridCol w:w="630"/>
        <w:gridCol w:w="810"/>
        <w:gridCol w:w="900"/>
      </w:tblGrid>
      <w:tr w:rsidR="00AF33E0" w:rsidRPr="003A7CC4" w14:paraId="0206A889" w14:textId="030ECB9F" w:rsidTr="00B33538">
        <w:tc>
          <w:tcPr>
            <w:tcW w:w="9288" w:type="dxa"/>
            <w:gridSpan w:val="12"/>
          </w:tcPr>
          <w:p w14:paraId="69A65645" w14:textId="1879CA1B" w:rsidR="00AF33E0" w:rsidRPr="00B975A1" w:rsidRDefault="00AF33E0" w:rsidP="008577F3">
            <w:pPr>
              <w:pStyle w:val="ListParagraph"/>
              <w:ind w:left="0"/>
              <w:rPr>
                <w:sz w:val="22"/>
                <w:szCs w:val="22"/>
              </w:rPr>
            </w:pPr>
            <w:r w:rsidRPr="00B975A1">
              <w:rPr>
                <w:sz w:val="22"/>
                <w:szCs w:val="22"/>
              </w:rPr>
              <w:t>Table B1. Parent-Legal Guardian Sample Sizes by County</w:t>
            </w:r>
          </w:p>
        </w:tc>
      </w:tr>
      <w:tr w:rsidR="00B33538" w:rsidRPr="003A7CC4" w14:paraId="1AFFB681" w14:textId="2D488829" w:rsidTr="00B33538">
        <w:tc>
          <w:tcPr>
            <w:tcW w:w="1188" w:type="dxa"/>
          </w:tcPr>
          <w:p w14:paraId="547C3708" w14:textId="77777777" w:rsidR="00AF33E0" w:rsidRPr="00B975A1" w:rsidRDefault="00AF33E0" w:rsidP="008577F3">
            <w:pPr>
              <w:pStyle w:val="ListParagraph"/>
              <w:ind w:left="0"/>
              <w:rPr>
                <w:rFonts w:ascii="Times New Roman" w:hAnsi="Times New Roman" w:cs="Times New Roman"/>
                <w:sz w:val="22"/>
                <w:szCs w:val="22"/>
              </w:rPr>
            </w:pPr>
          </w:p>
        </w:tc>
        <w:tc>
          <w:tcPr>
            <w:tcW w:w="1440" w:type="dxa"/>
            <w:gridSpan w:val="2"/>
          </w:tcPr>
          <w:p w14:paraId="3C580EA4" w14:textId="77777777" w:rsidR="00AF33E0" w:rsidRPr="00B975A1" w:rsidRDefault="00AF33E0" w:rsidP="008577F3">
            <w:pPr>
              <w:pStyle w:val="ListParagraph"/>
              <w:ind w:left="0"/>
              <w:jc w:val="center"/>
              <w:rPr>
                <w:rFonts w:ascii="Times New Roman" w:hAnsi="Times New Roman" w:cs="Times New Roman"/>
                <w:sz w:val="22"/>
                <w:szCs w:val="22"/>
              </w:rPr>
            </w:pPr>
            <w:r w:rsidRPr="00B975A1">
              <w:rPr>
                <w:sz w:val="22"/>
                <w:szCs w:val="22"/>
              </w:rPr>
              <w:t>Fresno</w:t>
            </w:r>
          </w:p>
        </w:tc>
        <w:tc>
          <w:tcPr>
            <w:tcW w:w="1440" w:type="dxa"/>
            <w:gridSpan w:val="2"/>
          </w:tcPr>
          <w:p w14:paraId="1936872B" w14:textId="77777777" w:rsidR="00AF33E0" w:rsidRPr="00B975A1" w:rsidRDefault="00AF33E0" w:rsidP="008577F3">
            <w:pPr>
              <w:pStyle w:val="ListParagraph"/>
              <w:ind w:left="0"/>
              <w:jc w:val="center"/>
              <w:rPr>
                <w:rFonts w:ascii="Times New Roman" w:hAnsi="Times New Roman" w:cs="Times New Roman"/>
                <w:sz w:val="22"/>
                <w:szCs w:val="22"/>
              </w:rPr>
            </w:pPr>
            <w:r w:rsidRPr="00B975A1">
              <w:rPr>
                <w:sz w:val="22"/>
                <w:szCs w:val="22"/>
              </w:rPr>
              <w:t>Humboldt</w:t>
            </w:r>
          </w:p>
        </w:tc>
        <w:tc>
          <w:tcPr>
            <w:tcW w:w="1440" w:type="dxa"/>
            <w:gridSpan w:val="2"/>
          </w:tcPr>
          <w:p w14:paraId="5BEC2B13" w14:textId="77777777" w:rsidR="00AF33E0" w:rsidRPr="00B975A1" w:rsidRDefault="00AF33E0" w:rsidP="008577F3">
            <w:pPr>
              <w:pStyle w:val="ListParagraph"/>
              <w:ind w:left="0"/>
              <w:jc w:val="center"/>
              <w:rPr>
                <w:rFonts w:ascii="Times New Roman" w:hAnsi="Times New Roman" w:cs="Times New Roman"/>
                <w:sz w:val="22"/>
                <w:szCs w:val="22"/>
              </w:rPr>
            </w:pPr>
            <w:r w:rsidRPr="00B975A1">
              <w:rPr>
                <w:sz w:val="22"/>
                <w:szCs w:val="22"/>
              </w:rPr>
              <w:t>LA - Pomona</w:t>
            </w:r>
          </w:p>
        </w:tc>
        <w:tc>
          <w:tcPr>
            <w:tcW w:w="1440" w:type="dxa"/>
            <w:gridSpan w:val="2"/>
          </w:tcPr>
          <w:p w14:paraId="0E3D696C" w14:textId="77777777" w:rsidR="00AF33E0" w:rsidRPr="00B975A1" w:rsidRDefault="00AF33E0" w:rsidP="008577F3">
            <w:pPr>
              <w:pStyle w:val="ListParagraph"/>
              <w:ind w:left="0"/>
              <w:jc w:val="center"/>
              <w:rPr>
                <w:rFonts w:ascii="Times New Roman" w:hAnsi="Times New Roman" w:cs="Times New Roman"/>
                <w:sz w:val="22"/>
                <w:szCs w:val="22"/>
              </w:rPr>
            </w:pPr>
            <w:r w:rsidRPr="00B975A1">
              <w:rPr>
                <w:sz w:val="22"/>
                <w:szCs w:val="22"/>
              </w:rPr>
              <w:t xml:space="preserve">LA - </w:t>
            </w:r>
            <w:proofErr w:type="spellStart"/>
            <w:r w:rsidRPr="00B975A1">
              <w:rPr>
                <w:sz w:val="22"/>
                <w:szCs w:val="22"/>
              </w:rPr>
              <w:t>Wateridge</w:t>
            </w:r>
            <w:proofErr w:type="spellEnd"/>
          </w:p>
        </w:tc>
        <w:tc>
          <w:tcPr>
            <w:tcW w:w="1440" w:type="dxa"/>
            <w:gridSpan w:val="2"/>
          </w:tcPr>
          <w:p w14:paraId="65020ED4" w14:textId="77777777" w:rsidR="00AF33E0" w:rsidRPr="00B975A1" w:rsidRDefault="00AF33E0" w:rsidP="008577F3">
            <w:pPr>
              <w:pStyle w:val="ListParagraph"/>
              <w:ind w:left="0"/>
              <w:jc w:val="center"/>
              <w:rPr>
                <w:rFonts w:ascii="Times New Roman" w:hAnsi="Times New Roman" w:cs="Times New Roman"/>
                <w:sz w:val="22"/>
                <w:szCs w:val="22"/>
              </w:rPr>
            </w:pPr>
            <w:r w:rsidRPr="00B975A1">
              <w:rPr>
                <w:sz w:val="22"/>
                <w:szCs w:val="22"/>
              </w:rPr>
              <w:t>Santa Clara</w:t>
            </w:r>
          </w:p>
        </w:tc>
        <w:tc>
          <w:tcPr>
            <w:tcW w:w="900" w:type="dxa"/>
          </w:tcPr>
          <w:p w14:paraId="529C575F" w14:textId="134B1ED1" w:rsidR="00AF33E0" w:rsidRPr="00B975A1" w:rsidRDefault="00AF33E0" w:rsidP="00AF33E0">
            <w:pPr>
              <w:pStyle w:val="ListParagraph"/>
              <w:ind w:left="0"/>
              <w:jc w:val="center"/>
              <w:rPr>
                <w:rFonts w:ascii="Times New Roman" w:hAnsi="Times New Roman" w:cs="Times New Roman"/>
                <w:sz w:val="22"/>
                <w:szCs w:val="22"/>
              </w:rPr>
            </w:pPr>
            <w:r w:rsidRPr="00B975A1">
              <w:rPr>
                <w:sz w:val="22"/>
                <w:szCs w:val="22"/>
              </w:rPr>
              <w:t>Total Sample</w:t>
            </w:r>
          </w:p>
        </w:tc>
      </w:tr>
      <w:tr w:rsidR="00B33538" w:rsidRPr="003A7CC4" w14:paraId="7D2D5C62" w14:textId="52D0C67B" w:rsidTr="00B33538">
        <w:tc>
          <w:tcPr>
            <w:tcW w:w="1188" w:type="dxa"/>
          </w:tcPr>
          <w:p w14:paraId="5F094462" w14:textId="77777777" w:rsidR="00AF33E0" w:rsidRPr="00B975A1" w:rsidRDefault="00AF33E0" w:rsidP="008577F3">
            <w:pPr>
              <w:pStyle w:val="ListParagraph"/>
              <w:ind w:left="0"/>
              <w:rPr>
                <w:rFonts w:ascii="Times New Roman" w:hAnsi="Times New Roman" w:cs="Times New Roman"/>
                <w:sz w:val="22"/>
                <w:szCs w:val="22"/>
              </w:rPr>
            </w:pPr>
          </w:p>
        </w:tc>
        <w:tc>
          <w:tcPr>
            <w:tcW w:w="630" w:type="dxa"/>
            <w:vAlign w:val="bottom"/>
          </w:tcPr>
          <w:p w14:paraId="0191556C"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N</w:t>
            </w:r>
          </w:p>
        </w:tc>
        <w:tc>
          <w:tcPr>
            <w:tcW w:w="810" w:type="dxa"/>
            <w:vAlign w:val="bottom"/>
          </w:tcPr>
          <w:p w14:paraId="3F86C057"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w:t>
            </w:r>
          </w:p>
        </w:tc>
        <w:tc>
          <w:tcPr>
            <w:tcW w:w="630" w:type="dxa"/>
            <w:vAlign w:val="bottom"/>
          </w:tcPr>
          <w:p w14:paraId="2F8D949C"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N</w:t>
            </w:r>
          </w:p>
        </w:tc>
        <w:tc>
          <w:tcPr>
            <w:tcW w:w="810" w:type="dxa"/>
            <w:vAlign w:val="bottom"/>
          </w:tcPr>
          <w:p w14:paraId="658B0328"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w:t>
            </w:r>
          </w:p>
        </w:tc>
        <w:tc>
          <w:tcPr>
            <w:tcW w:w="630" w:type="dxa"/>
            <w:vAlign w:val="bottom"/>
          </w:tcPr>
          <w:p w14:paraId="2104F13F"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N</w:t>
            </w:r>
          </w:p>
        </w:tc>
        <w:tc>
          <w:tcPr>
            <w:tcW w:w="810" w:type="dxa"/>
            <w:vAlign w:val="bottom"/>
          </w:tcPr>
          <w:p w14:paraId="55A7BDF3"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w:t>
            </w:r>
          </w:p>
        </w:tc>
        <w:tc>
          <w:tcPr>
            <w:tcW w:w="630" w:type="dxa"/>
            <w:vAlign w:val="bottom"/>
          </w:tcPr>
          <w:p w14:paraId="1F2EF8BC"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N</w:t>
            </w:r>
          </w:p>
        </w:tc>
        <w:tc>
          <w:tcPr>
            <w:tcW w:w="810" w:type="dxa"/>
            <w:vAlign w:val="bottom"/>
          </w:tcPr>
          <w:p w14:paraId="6808F586"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w:t>
            </w:r>
          </w:p>
        </w:tc>
        <w:tc>
          <w:tcPr>
            <w:tcW w:w="630" w:type="dxa"/>
            <w:vAlign w:val="bottom"/>
          </w:tcPr>
          <w:p w14:paraId="3ABFFC7B"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N</w:t>
            </w:r>
          </w:p>
        </w:tc>
        <w:tc>
          <w:tcPr>
            <w:tcW w:w="810" w:type="dxa"/>
            <w:vAlign w:val="bottom"/>
          </w:tcPr>
          <w:p w14:paraId="7245DC9D"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w:t>
            </w:r>
          </w:p>
        </w:tc>
        <w:tc>
          <w:tcPr>
            <w:tcW w:w="900" w:type="dxa"/>
          </w:tcPr>
          <w:p w14:paraId="2E5B36E6" w14:textId="43E9E376" w:rsidR="00AF33E0" w:rsidRPr="00B975A1" w:rsidRDefault="00AF33E0" w:rsidP="00AF33E0">
            <w:pPr>
              <w:jc w:val="center"/>
              <w:rPr>
                <w:rFonts w:ascii="Times New Roman" w:hAnsi="Times New Roman" w:cs="Times New Roman"/>
                <w:color w:val="000000"/>
                <w:sz w:val="22"/>
                <w:szCs w:val="22"/>
              </w:rPr>
            </w:pPr>
            <w:r w:rsidRPr="00B975A1">
              <w:rPr>
                <w:color w:val="000000"/>
                <w:sz w:val="22"/>
                <w:szCs w:val="22"/>
              </w:rPr>
              <w:t>N</w:t>
            </w:r>
          </w:p>
        </w:tc>
      </w:tr>
      <w:tr w:rsidR="00B33538" w:rsidRPr="003A7CC4" w14:paraId="7B735D81" w14:textId="7C55E3B4" w:rsidTr="00B33538">
        <w:tc>
          <w:tcPr>
            <w:tcW w:w="1188" w:type="dxa"/>
            <w:vAlign w:val="bottom"/>
          </w:tcPr>
          <w:p w14:paraId="503E0447" w14:textId="77777777" w:rsidR="00AF33E0" w:rsidRPr="00B975A1" w:rsidRDefault="00AF33E0" w:rsidP="008577F3">
            <w:pPr>
              <w:rPr>
                <w:rFonts w:ascii="Times New Roman" w:eastAsia="Times New Roman" w:hAnsi="Times New Roman" w:cs="Times New Roman"/>
                <w:color w:val="000000"/>
                <w:sz w:val="22"/>
                <w:szCs w:val="22"/>
              </w:rPr>
            </w:pPr>
            <w:r w:rsidRPr="00B975A1">
              <w:rPr>
                <w:color w:val="000000"/>
                <w:sz w:val="22"/>
                <w:szCs w:val="22"/>
              </w:rPr>
              <w:t xml:space="preserve">Treatment group </w:t>
            </w:r>
          </w:p>
        </w:tc>
        <w:tc>
          <w:tcPr>
            <w:tcW w:w="630" w:type="dxa"/>
            <w:vAlign w:val="bottom"/>
          </w:tcPr>
          <w:p w14:paraId="7636E830"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170</w:t>
            </w:r>
          </w:p>
        </w:tc>
        <w:tc>
          <w:tcPr>
            <w:tcW w:w="810" w:type="dxa"/>
            <w:vAlign w:val="bottom"/>
          </w:tcPr>
          <w:p w14:paraId="337675D2"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32.0%</w:t>
            </w:r>
          </w:p>
        </w:tc>
        <w:tc>
          <w:tcPr>
            <w:tcW w:w="630" w:type="dxa"/>
            <w:vAlign w:val="bottom"/>
          </w:tcPr>
          <w:p w14:paraId="6292C0D8"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49</w:t>
            </w:r>
          </w:p>
        </w:tc>
        <w:tc>
          <w:tcPr>
            <w:tcW w:w="810" w:type="dxa"/>
            <w:vAlign w:val="bottom"/>
          </w:tcPr>
          <w:p w14:paraId="32FD0A37"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42.6%</w:t>
            </w:r>
          </w:p>
        </w:tc>
        <w:tc>
          <w:tcPr>
            <w:tcW w:w="630" w:type="dxa"/>
            <w:vAlign w:val="bottom"/>
          </w:tcPr>
          <w:p w14:paraId="307DC177"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149</w:t>
            </w:r>
          </w:p>
        </w:tc>
        <w:tc>
          <w:tcPr>
            <w:tcW w:w="810" w:type="dxa"/>
            <w:vAlign w:val="bottom"/>
          </w:tcPr>
          <w:p w14:paraId="6373B1C5"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28.8%</w:t>
            </w:r>
          </w:p>
        </w:tc>
        <w:tc>
          <w:tcPr>
            <w:tcW w:w="630" w:type="dxa"/>
            <w:vAlign w:val="bottom"/>
          </w:tcPr>
          <w:p w14:paraId="6877AD9A"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189</w:t>
            </w:r>
          </w:p>
        </w:tc>
        <w:tc>
          <w:tcPr>
            <w:tcW w:w="810" w:type="dxa"/>
            <w:vAlign w:val="bottom"/>
          </w:tcPr>
          <w:p w14:paraId="524BE162"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29.9%</w:t>
            </w:r>
          </w:p>
        </w:tc>
        <w:tc>
          <w:tcPr>
            <w:tcW w:w="630" w:type="dxa"/>
            <w:vAlign w:val="bottom"/>
          </w:tcPr>
          <w:p w14:paraId="441250C8"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94</w:t>
            </w:r>
          </w:p>
        </w:tc>
        <w:tc>
          <w:tcPr>
            <w:tcW w:w="810" w:type="dxa"/>
            <w:vAlign w:val="bottom"/>
          </w:tcPr>
          <w:p w14:paraId="0DB1DCE1"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21.7%</w:t>
            </w:r>
          </w:p>
        </w:tc>
        <w:tc>
          <w:tcPr>
            <w:tcW w:w="900" w:type="dxa"/>
            <w:vAlign w:val="bottom"/>
          </w:tcPr>
          <w:p w14:paraId="060D5B8B" w14:textId="0484D48B" w:rsidR="00AF33E0" w:rsidRPr="00B975A1" w:rsidRDefault="00AF33E0" w:rsidP="00B33538">
            <w:pPr>
              <w:jc w:val="center"/>
              <w:rPr>
                <w:rFonts w:ascii="Times New Roman" w:hAnsi="Times New Roman" w:cs="Times New Roman"/>
                <w:color w:val="000000"/>
                <w:sz w:val="22"/>
                <w:szCs w:val="22"/>
              </w:rPr>
            </w:pPr>
            <w:r w:rsidRPr="00B975A1">
              <w:rPr>
                <w:color w:val="000000"/>
                <w:sz w:val="22"/>
                <w:szCs w:val="22"/>
              </w:rPr>
              <w:t>651</w:t>
            </w:r>
          </w:p>
        </w:tc>
      </w:tr>
      <w:tr w:rsidR="00B33538" w:rsidRPr="003A7CC4" w14:paraId="68A66D1A" w14:textId="497D8D3B" w:rsidTr="00B33538">
        <w:tc>
          <w:tcPr>
            <w:tcW w:w="1188" w:type="dxa"/>
            <w:vAlign w:val="bottom"/>
          </w:tcPr>
          <w:p w14:paraId="13D71FCB" w14:textId="37FC6F5B" w:rsidR="00AF33E0" w:rsidRPr="00B975A1" w:rsidRDefault="00AF33E0" w:rsidP="00B33538">
            <w:pPr>
              <w:rPr>
                <w:rFonts w:ascii="Times New Roman" w:eastAsia="Times New Roman" w:hAnsi="Times New Roman" w:cs="Times New Roman"/>
                <w:color w:val="000000"/>
                <w:sz w:val="22"/>
                <w:szCs w:val="22"/>
              </w:rPr>
            </w:pPr>
            <w:r w:rsidRPr="00B975A1">
              <w:rPr>
                <w:color w:val="000000"/>
                <w:sz w:val="22"/>
                <w:szCs w:val="22"/>
              </w:rPr>
              <w:t>Control group</w:t>
            </w:r>
          </w:p>
        </w:tc>
        <w:tc>
          <w:tcPr>
            <w:tcW w:w="630" w:type="dxa"/>
            <w:vAlign w:val="bottom"/>
          </w:tcPr>
          <w:p w14:paraId="3EEB60E0"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361</w:t>
            </w:r>
          </w:p>
        </w:tc>
        <w:tc>
          <w:tcPr>
            <w:tcW w:w="810" w:type="dxa"/>
            <w:vAlign w:val="bottom"/>
          </w:tcPr>
          <w:p w14:paraId="66F038B4"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68.0%</w:t>
            </w:r>
          </w:p>
        </w:tc>
        <w:tc>
          <w:tcPr>
            <w:tcW w:w="630" w:type="dxa"/>
            <w:vAlign w:val="bottom"/>
          </w:tcPr>
          <w:p w14:paraId="28BC4E99"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66</w:t>
            </w:r>
          </w:p>
        </w:tc>
        <w:tc>
          <w:tcPr>
            <w:tcW w:w="810" w:type="dxa"/>
            <w:vAlign w:val="bottom"/>
          </w:tcPr>
          <w:p w14:paraId="5B200B10"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57.4%</w:t>
            </w:r>
          </w:p>
        </w:tc>
        <w:tc>
          <w:tcPr>
            <w:tcW w:w="630" w:type="dxa"/>
            <w:vAlign w:val="bottom"/>
          </w:tcPr>
          <w:p w14:paraId="77554997"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368</w:t>
            </w:r>
          </w:p>
        </w:tc>
        <w:tc>
          <w:tcPr>
            <w:tcW w:w="810" w:type="dxa"/>
            <w:vAlign w:val="bottom"/>
          </w:tcPr>
          <w:p w14:paraId="1DF50B76"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71.2%</w:t>
            </w:r>
          </w:p>
        </w:tc>
        <w:tc>
          <w:tcPr>
            <w:tcW w:w="630" w:type="dxa"/>
            <w:vAlign w:val="bottom"/>
          </w:tcPr>
          <w:p w14:paraId="5CC56D08"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444</w:t>
            </w:r>
          </w:p>
        </w:tc>
        <w:tc>
          <w:tcPr>
            <w:tcW w:w="810" w:type="dxa"/>
            <w:vAlign w:val="bottom"/>
          </w:tcPr>
          <w:p w14:paraId="1CF4AA78"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70.1%</w:t>
            </w:r>
          </w:p>
        </w:tc>
        <w:tc>
          <w:tcPr>
            <w:tcW w:w="630" w:type="dxa"/>
            <w:vAlign w:val="bottom"/>
          </w:tcPr>
          <w:p w14:paraId="713C79E9"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340</w:t>
            </w:r>
          </w:p>
        </w:tc>
        <w:tc>
          <w:tcPr>
            <w:tcW w:w="810" w:type="dxa"/>
            <w:vAlign w:val="bottom"/>
          </w:tcPr>
          <w:p w14:paraId="381DC1F4"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78.3%</w:t>
            </w:r>
          </w:p>
        </w:tc>
        <w:tc>
          <w:tcPr>
            <w:tcW w:w="900" w:type="dxa"/>
            <w:vAlign w:val="bottom"/>
          </w:tcPr>
          <w:p w14:paraId="709FF0F0" w14:textId="76DA83BA" w:rsidR="00AF33E0" w:rsidRPr="00B975A1" w:rsidRDefault="00AF33E0" w:rsidP="00B33538">
            <w:pPr>
              <w:jc w:val="center"/>
              <w:rPr>
                <w:rFonts w:ascii="Times New Roman" w:hAnsi="Times New Roman" w:cs="Times New Roman"/>
                <w:color w:val="000000"/>
                <w:sz w:val="22"/>
                <w:szCs w:val="22"/>
              </w:rPr>
            </w:pPr>
            <w:r w:rsidRPr="00B975A1">
              <w:rPr>
                <w:color w:val="000000"/>
                <w:sz w:val="22"/>
                <w:szCs w:val="22"/>
              </w:rPr>
              <w:t>1579</w:t>
            </w:r>
          </w:p>
        </w:tc>
      </w:tr>
      <w:tr w:rsidR="00B33538" w:rsidRPr="003A7CC4" w14:paraId="7AD45DE9" w14:textId="42EB2597" w:rsidTr="00B33538">
        <w:tc>
          <w:tcPr>
            <w:tcW w:w="1188" w:type="dxa"/>
            <w:vAlign w:val="bottom"/>
          </w:tcPr>
          <w:p w14:paraId="53B478E1" w14:textId="77777777" w:rsidR="00AF33E0" w:rsidRPr="00B975A1" w:rsidRDefault="00AF33E0" w:rsidP="008577F3">
            <w:pPr>
              <w:rPr>
                <w:rFonts w:ascii="Times New Roman" w:eastAsia="Times New Roman" w:hAnsi="Times New Roman" w:cs="Times New Roman"/>
                <w:color w:val="000000"/>
                <w:sz w:val="22"/>
                <w:szCs w:val="22"/>
              </w:rPr>
            </w:pPr>
            <w:r w:rsidRPr="00B975A1">
              <w:rPr>
                <w:color w:val="000000"/>
                <w:sz w:val="22"/>
                <w:szCs w:val="22"/>
              </w:rPr>
              <w:t xml:space="preserve">Total </w:t>
            </w:r>
          </w:p>
        </w:tc>
        <w:tc>
          <w:tcPr>
            <w:tcW w:w="630" w:type="dxa"/>
            <w:vAlign w:val="bottom"/>
          </w:tcPr>
          <w:p w14:paraId="4D8E21EF"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531</w:t>
            </w:r>
          </w:p>
        </w:tc>
        <w:tc>
          <w:tcPr>
            <w:tcW w:w="810" w:type="dxa"/>
            <w:vAlign w:val="bottom"/>
          </w:tcPr>
          <w:p w14:paraId="60B8B1A1"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100%</w:t>
            </w:r>
          </w:p>
        </w:tc>
        <w:tc>
          <w:tcPr>
            <w:tcW w:w="630" w:type="dxa"/>
            <w:vAlign w:val="bottom"/>
          </w:tcPr>
          <w:p w14:paraId="2883453B"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115</w:t>
            </w:r>
          </w:p>
        </w:tc>
        <w:tc>
          <w:tcPr>
            <w:tcW w:w="810" w:type="dxa"/>
            <w:vAlign w:val="bottom"/>
          </w:tcPr>
          <w:p w14:paraId="4F03B6CF"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100%</w:t>
            </w:r>
          </w:p>
        </w:tc>
        <w:tc>
          <w:tcPr>
            <w:tcW w:w="630" w:type="dxa"/>
            <w:vAlign w:val="bottom"/>
          </w:tcPr>
          <w:p w14:paraId="5C88FCE3"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517</w:t>
            </w:r>
          </w:p>
        </w:tc>
        <w:tc>
          <w:tcPr>
            <w:tcW w:w="810" w:type="dxa"/>
            <w:vAlign w:val="bottom"/>
          </w:tcPr>
          <w:p w14:paraId="0E5A7A91"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100%</w:t>
            </w:r>
          </w:p>
        </w:tc>
        <w:tc>
          <w:tcPr>
            <w:tcW w:w="630" w:type="dxa"/>
            <w:vAlign w:val="bottom"/>
          </w:tcPr>
          <w:p w14:paraId="401CC7F2"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633</w:t>
            </w:r>
          </w:p>
        </w:tc>
        <w:tc>
          <w:tcPr>
            <w:tcW w:w="810" w:type="dxa"/>
            <w:vAlign w:val="bottom"/>
          </w:tcPr>
          <w:p w14:paraId="2B2F5C64"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100%</w:t>
            </w:r>
          </w:p>
        </w:tc>
        <w:tc>
          <w:tcPr>
            <w:tcW w:w="630" w:type="dxa"/>
            <w:vAlign w:val="bottom"/>
          </w:tcPr>
          <w:p w14:paraId="52F83B20"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434</w:t>
            </w:r>
          </w:p>
        </w:tc>
        <w:tc>
          <w:tcPr>
            <w:tcW w:w="810" w:type="dxa"/>
            <w:vAlign w:val="bottom"/>
          </w:tcPr>
          <w:p w14:paraId="18010974" w14:textId="77777777" w:rsidR="00AF33E0" w:rsidRPr="00B975A1" w:rsidRDefault="00AF33E0" w:rsidP="00B33538">
            <w:pPr>
              <w:jc w:val="center"/>
              <w:rPr>
                <w:rFonts w:ascii="Times New Roman" w:eastAsia="Times New Roman" w:hAnsi="Times New Roman" w:cs="Times New Roman"/>
                <w:color w:val="000000"/>
                <w:sz w:val="22"/>
                <w:szCs w:val="22"/>
              </w:rPr>
            </w:pPr>
            <w:r w:rsidRPr="00B975A1">
              <w:rPr>
                <w:color w:val="000000"/>
                <w:sz w:val="22"/>
                <w:szCs w:val="22"/>
              </w:rPr>
              <w:t>100%</w:t>
            </w:r>
          </w:p>
        </w:tc>
        <w:tc>
          <w:tcPr>
            <w:tcW w:w="900" w:type="dxa"/>
          </w:tcPr>
          <w:p w14:paraId="520DFC2E" w14:textId="7EC7EDCB" w:rsidR="00AF33E0" w:rsidRPr="00B975A1" w:rsidRDefault="00AF33E0" w:rsidP="00AF33E0">
            <w:pPr>
              <w:jc w:val="center"/>
              <w:rPr>
                <w:rFonts w:ascii="Times New Roman" w:hAnsi="Times New Roman" w:cs="Times New Roman"/>
                <w:color w:val="000000"/>
                <w:sz w:val="22"/>
                <w:szCs w:val="22"/>
              </w:rPr>
            </w:pPr>
            <w:r w:rsidRPr="00B975A1">
              <w:rPr>
                <w:color w:val="000000"/>
                <w:sz w:val="22"/>
                <w:szCs w:val="22"/>
              </w:rPr>
              <w:t>2230</w:t>
            </w:r>
          </w:p>
        </w:tc>
      </w:tr>
    </w:tbl>
    <w:p w14:paraId="4023AB61" w14:textId="77777777" w:rsidR="009B5AF8" w:rsidRPr="00B975A1" w:rsidRDefault="009B5AF8" w:rsidP="009B5AF8">
      <w:pPr>
        <w:pStyle w:val="ListParagraph"/>
        <w:ind w:left="0"/>
      </w:pPr>
    </w:p>
    <w:p w14:paraId="4C76399B" w14:textId="77777777" w:rsidR="009B5AF8" w:rsidRPr="00B975A1" w:rsidRDefault="009B5AF8" w:rsidP="009B5AF8">
      <w:pPr>
        <w:pStyle w:val="ListParagraph"/>
        <w:ind w:left="0"/>
      </w:pPr>
      <w:r w:rsidRPr="00B975A1">
        <w:t>Table B2 presents the power calculations by county for the parent-legal guardian sample:</w:t>
      </w:r>
    </w:p>
    <w:p w14:paraId="6E8CDFEC" w14:textId="77777777" w:rsidR="009B5AF8" w:rsidRPr="00B975A1" w:rsidRDefault="009B5AF8" w:rsidP="009B5AF8">
      <w:pPr>
        <w:pStyle w:val="ListParagraph"/>
        <w:ind w:left="0"/>
      </w:pPr>
    </w:p>
    <w:tbl>
      <w:tblPr>
        <w:tblStyle w:val="TableGrid"/>
        <w:tblW w:w="0" w:type="auto"/>
        <w:tblLook w:val="04A0" w:firstRow="1" w:lastRow="0" w:firstColumn="1" w:lastColumn="0" w:noHBand="0" w:noVBand="1"/>
      </w:tblPr>
      <w:tblGrid>
        <w:gridCol w:w="1542"/>
        <w:gridCol w:w="1339"/>
        <w:gridCol w:w="1339"/>
        <w:gridCol w:w="1339"/>
        <w:gridCol w:w="1339"/>
        <w:gridCol w:w="1339"/>
        <w:gridCol w:w="1339"/>
      </w:tblGrid>
      <w:tr w:rsidR="0085746B" w:rsidRPr="003A7CC4" w14:paraId="57D74878" w14:textId="2E3E8569" w:rsidTr="005C7DFE">
        <w:trPr>
          <w:tblHeader/>
        </w:trPr>
        <w:tc>
          <w:tcPr>
            <w:tcW w:w="9576" w:type="dxa"/>
            <w:gridSpan w:val="7"/>
          </w:tcPr>
          <w:p w14:paraId="2F90E0D7" w14:textId="33876055" w:rsidR="0085746B" w:rsidRPr="00B975A1" w:rsidRDefault="0085746B" w:rsidP="005C7DFE">
            <w:pPr>
              <w:pStyle w:val="ListParagraph"/>
              <w:ind w:left="0"/>
              <w:rPr>
                <w:color w:val="000000"/>
              </w:rPr>
            </w:pPr>
            <w:r w:rsidRPr="00B975A1">
              <w:rPr>
                <w:color w:val="000000"/>
              </w:rPr>
              <w:t>Table B2. Parent-Legal Guardian Power Calculations by County</w:t>
            </w:r>
          </w:p>
        </w:tc>
      </w:tr>
      <w:tr w:rsidR="0085746B" w:rsidRPr="003A7CC4" w14:paraId="3E16F75E" w14:textId="77777777" w:rsidTr="005C7DFE">
        <w:trPr>
          <w:tblHeader/>
        </w:trPr>
        <w:tc>
          <w:tcPr>
            <w:tcW w:w="1542" w:type="dxa"/>
            <w:tcBorders>
              <w:right w:val="nil"/>
            </w:tcBorders>
          </w:tcPr>
          <w:p w14:paraId="57BAC4ED" w14:textId="77777777" w:rsidR="0085746B" w:rsidRPr="00B975A1" w:rsidRDefault="0085746B" w:rsidP="008577F3">
            <w:pPr>
              <w:pStyle w:val="ListParagraph"/>
              <w:ind w:left="0"/>
              <w:jc w:val="center"/>
              <w:rPr>
                <w:color w:val="000000"/>
              </w:rPr>
            </w:pPr>
          </w:p>
        </w:tc>
        <w:tc>
          <w:tcPr>
            <w:tcW w:w="4017" w:type="dxa"/>
            <w:gridSpan w:val="3"/>
            <w:tcBorders>
              <w:left w:val="nil"/>
            </w:tcBorders>
          </w:tcPr>
          <w:p w14:paraId="3321978F" w14:textId="2AC00C29" w:rsidR="0085746B" w:rsidRPr="00B975A1" w:rsidRDefault="0085746B" w:rsidP="008577F3">
            <w:pPr>
              <w:pStyle w:val="ListParagraph"/>
              <w:ind w:left="0"/>
              <w:jc w:val="center"/>
              <w:rPr>
                <w:color w:val="000000"/>
              </w:rPr>
            </w:pPr>
            <w:r>
              <w:rPr>
                <w:color w:val="000000"/>
              </w:rPr>
              <w:t>60% Response Rate</w:t>
            </w:r>
          </w:p>
        </w:tc>
        <w:tc>
          <w:tcPr>
            <w:tcW w:w="4017" w:type="dxa"/>
            <w:gridSpan w:val="3"/>
          </w:tcPr>
          <w:p w14:paraId="45DCAE49" w14:textId="249F581D" w:rsidR="0085746B" w:rsidRPr="00B975A1" w:rsidRDefault="0085746B" w:rsidP="008577F3">
            <w:pPr>
              <w:pStyle w:val="ListParagraph"/>
              <w:ind w:left="0"/>
              <w:jc w:val="center"/>
              <w:rPr>
                <w:color w:val="000000"/>
              </w:rPr>
            </w:pPr>
            <w:r>
              <w:rPr>
                <w:color w:val="000000"/>
              </w:rPr>
              <w:t>75% Response Rate</w:t>
            </w:r>
          </w:p>
        </w:tc>
      </w:tr>
      <w:tr w:rsidR="0085746B" w:rsidRPr="003A7CC4" w14:paraId="17732A0A" w14:textId="640E6DD2" w:rsidTr="005C7DFE">
        <w:trPr>
          <w:tblHeader/>
        </w:trPr>
        <w:tc>
          <w:tcPr>
            <w:tcW w:w="1542" w:type="dxa"/>
          </w:tcPr>
          <w:p w14:paraId="790416FB" w14:textId="77777777" w:rsidR="0085746B" w:rsidRPr="00B975A1" w:rsidRDefault="0085746B" w:rsidP="008577F3">
            <w:pPr>
              <w:pStyle w:val="ListParagraph"/>
              <w:ind w:left="0"/>
              <w:rPr>
                <w:rFonts w:ascii="Times New Roman" w:hAnsi="Times New Roman" w:cs="Times New Roman"/>
                <w:sz w:val="22"/>
                <w:szCs w:val="22"/>
              </w:rPr>
            </w:pPr>
            <w:r w:rsidRPr="00B975A1">
              <w:t>County</w:t>
            </w:r>
          </w:p>
        </w:tc>
        <w:tc>
          <w:tcPr>
            <w:tcW w:w="1339" w:type="dxa"/>
          </w:tcPr>
          <w:p w14:paraId="2CF290E6" w14:textId="77777777" w:rsidR="0085746B" w:rsidRPr="00B975A1" w:rsidRDefault="0085746B" w:rsidP="008577F3">
            <w:pPr>
              <w:pStyle w:val="ListParagraph"/>
              <w:ind w:left="0"/>
              <w:jc w:val="center"/>
              <w:rPr>
                <w:rFonts w:ascii="Times New Roman" w:hAnsi="Times New Roman" w:cs="Times New Roman"/>
                <w:sz w:val="22"/>
                <w:szCs w:val="22"/>
              </w:rPr>
            </w:pPr>
            <w:r w:rsidRPr="00B975A1">
              <w:rPr>
                <w:color w:val="000000"/>
                <w:sz w:val="22"/>
                <w:szCs w:val="22"/>
              </w:rPr>
              <w:t>Difference in group means</w:t>
            </w:r>
          </w:p>
        </w:tc>
        <w:tc>
          <w:tcPr>
            <w:tcW w:w="1339" w:type="dxa"/>
          </w:tcPr>
          <w:p w14:paraId="70AD88D1" w14:textId="77777777" w:rsidR="0085746B" w:rsidRPr="00B975A1" w:rsidRDefault="0085746B" w:rsidP="008577F3">
            <w:pPr>
              <w:pStyle w:val="ListParagraph"/>
              <w:ind w:left="0"/>
              <w:jc w:val="center"/>
              <w:rPr>
                <w:rFonts w:ascii="Times New Roman" w:hAnsi="Times New Roman" w:cs="Times New Roman"/>
                <w:sz w:val="22"/>
                <w:szCs w:val="22"/>
              </w:rPr>
            </w:pPr>
            <w:r w:rsidRPr="00B975A1">
              <w:rPr>
                <w:color w:val="000000"/>
                <w:sz w:val="22"/>
                <w:szCs w:val="22"/>
              </w:rPr>
              <w:t>Power to detect</w:t>
            </w:r>
          </w:p>
        </w:tc>
        <w:tc>
          <w:tcPr>
            <w:tcW w:w="1339" w:type="dxa"/>
          </w:tcPr>
          <w:p w14:paraId="4C669BC8" w14:textId="77777777" w:rsidR="0085746B" w:rsidRPr="00B975A1" w:rsidRDefault="0085746B" w:rsidP="008577F3">
            <w:pPr>
              <w:pStyle w:val="ListParagraph"/>
              <w:ind w:left="0"/>
              <w:jc w:val="center"/>
              <w:rPr>
                <w:rFonts w:ascii="Times New Roman" w:hAnsi="Times New Roman" w:cs="Times New Roman"/>
                <w:sz w:val="22"/>
                <w:szCs w:val="22"/>
              </w:rPr>
            </w:pPr>
            <w:r w:rsidRPr="00B975A1">
              <w:rPr>
                <w:color w:val="000000"/>
                <w:sz w:val="22"/>
                <w:szCs w:val="22"/>
              </w:rPr>
              <w:t>Minimum detectable difference at 80% power</w:t>
            </w:r>
          </w:p>
        </w:tc>
        <w:tc>
          <w:tcPr>
            <w:tcW w:w="1339" w:type="dxa"/>
          </w:tcPr>
          <w:p w14:paraId="742078CC" w14:textId="52DE2F91" w:rsidR="0085746B" w:rsidRPr="00B975A1" w:rsidRDefault="0085746B" w:rsidP="008577F3">
            <w:pPr>
              <w:pStyle w:val="ListParagraph"/>
              <w:ind w:left="0"/>
              <w:jc w:val="center"/>
              <w:rPr>
                <w:color w:val="000000"/>
                <w:sz w:val="22"/>
                <w:szCs w:val="22"/>
              </w:rPr>
            </w:pPr>
            <w:r w:rsidRPr="00B975A1">
              <w:rPr>
                <w:color w:val="000000"/>
                <w:sz w:val="22"/>
                <w:szCs w:val="22"/>
              </w:rPr>
              <w:t>Difference in group means</w:t>
            </w:r>
          </w:p>
        </w:tc>
        <w:tc>
          <w:tcPr>
            <w:tcW w:w="1339" w:type="dxa"/>
          </w:tcPr>
          <w:p w14:paraId="3A74FB9A" w14:textId="30D3AB43" w:rsidR="0085746B" w:rsidRPr="00B975A1" w:rsidRDefault="0085746B" w:rsidP="008577F3">
            <w:pPr>
              <w:pStyle w:val="ListParagraph"/>
              <w:ind w:left="0"/>
              <w:jc w:val="center"/>
              <w:rPr>
                <w:color w:val="000000"/>
                <w:sz w:val="22"/>
                <w:szCs w:val="22"/>
              </w:rPr>
            </w:pPr>
            <w:r w:rsidRPr="00B975A1">
              <w:rPr>
                <w:color w:val="000000"/>
                <w:sz w:val="22"/>
                <w:szCs w:val="22"/>
              </w:rPr>
              <w:t>Power to detect</w:t>
            </w:r>
          </w:p>
        </w:tc>
        <w:tc>
          <w:tcPr>
            <w:tcW w:w="1339" w:type="dxa"/>
          </w:tcPr>
          <w:p w14:paraId="189809B4" w14:textId="435DFE29" w:rsidR="0085746B" w:rsidRPr="00B975A1" w:rsidRDefault="0085746B" w:rsidP="008577F3">
            <w:pPr>
              <w:pStyle w:val="ListParagraph"/>
              <w:ind w:left="0"/>
              <w:jc w:val="center"/>
              <w:rPr>
                <w:color w:val="000000"/>
                <w:sz w:val="22"/>
                <w:szCs w:val="22"/>
              </w:rPr>
            </w:pPr>
            <w:r w:rsidRPr="00B975A1">
              <w:rPr>
                <w:color w:val="000000"/>
                <w:sz w:val="22"/>
                <w:szCs w:val="22"/>
              </w:rPr>
              <w:t>Minimum detectable difference at 80% power</w:t>
            </w:r>
          </w:p>
        </w:tc>
      </w:tr>
      <w:tr w:rsidR="00B11171" w:rsidRPr="003A7CC4" w14:paraId="606706E9" w14:textId="1BB8EDE6" w:rsidTr="005C7DFE">
        <w:trPr>
          <w:trHeight w:val="45"/>
        </w:trPr>
        <w:tc>
          <w:tcPr>
            <w:tcW w:w="1542" w:type="dxa"/>
            <w:vMerge w:val="restart"/>
          </w:tcPr>
          <w:p w14:paraId="38208811" w14:textId="77777777" w:rsidR="00B11171" w:rsidRPr="00B975A1" w:rsidRDefault="00B11171" w:rsidP="008577F3">
            <w:pPr>
              <w:pStyle w:val="ListParagraph"/>
              <w:ind w:left="0"/>
              <w:rPr>
                <w:rFonts w:ascii="Times New Roman" w:hAnsi="Times New Roman" w:cs="Times New Roman"/>
                <w:sz w:val="22"/>
                <w:szCs w:val="22"/>
              </w:rPr>
            </w:pPr>
            <w:r w:rsidRPr="00B975A1">
              <w:rPr>
                <w:sz w:val="22"/>
                <w:szCs w:val="22"/>
              </w:rPr>
              <w:t>Fresno</w:t>
            </w:r>
          </w:p>
        </w:tc>
        <w:tc>
          <w:tcPr>
            <w:tcW w:w="1339" w:type="dxa"/>
            <w:vAlign w:val="bottom"/>
          </w:tcPr>
          <w:p w14:paraId="5310C420"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0.5</w:t>
            </w:r>
          </w:p>
        </w:tc>
        <w:tc>
          <w:tcPr>
            <w:tcW w:w="1339" w:type="dxa"/>
            <w:vAlign w:val="bottom"/>
          </w:tcPr>
          <w:p w14:paraId="4540D232"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99.4%</w:t>
            </w:r>
          </w:p>
        </w:tc>
        <w:tc>
          <w:tcPr>
            <w:tcW w:w="1339" w:type="dxa"/>
            <w:vMerge w:val="restart"/>
          </w:tcPr>
          <w:p w14:paraId="62CCA872" w14:textId="77777777" w:rsidR="00B11171" w:rsidRPr="00B975A1" w:rsidRDefault="00B11171" w:rsidP="008577F3">
            <w:pPr>
              <w:pStyle w:val="ListParagraph"/>
              <w:ind w:left="0"/>
              <w:rPr>
                <w:rFonts w:ascii="Times New Roman" w:hAnsi="Times New Roman" w:cs="Times New Roman"/>
                <w:sz w:val="22"/>
                <w:szCs w:val="22"/>
              </w:rPr>
            </w:pPr>
            <w:r w:rsidRPr="00B975A1">
              <w:rPr>
                <w:color w:val="000000"/>
                <w:sz w:val="22"/>
                <w:szCs w:val="22"/>
              </w:rPr>
              <w:t>0.30</w:t>
            </w:r>
          </w:p>
        </w:tc>
        <w:tc>
          <w:tcPr>
            <w:tcW w:w="1339" w:type="dxa"/>
            <w:vAlign w:val="bottom"/>
          </w:tcPr>
          <w:p w14:paraId="1F83F2AD" w14:textId="43D33BBF" w:rsidR="00B11171" w:rsidRPr="00B975A1" w:rsidRDefault="00B11171" w:rsidP="00B11171">
            <w:pPr>
              <w:pStyle w:val="ListParagraph"/>
              <w:ind w:left="0"/>
              <w:jc w:val="right"/>
              <w:rPr>
                <w:color w:val="000000"/>
                <w:sz w:val="22"/>
                <w:szCs w:val="22"/>
              </w:rPr>
            </w:pPr>
            <w:r w:rsidRPr="00B975A1">
              <w:rPr>
                <w:color w:val="000000"/>
                <w:sz w:val="22"/>
                <w:szCs w:val="22"/>
              </w:rPr>
              <w:t>0.5</w:t>
            </w:r>
          </w:p>
        </w:tc>
        <w:tc>
          <w:tcPr>
            <w:tcW w:w="1339" w:type="dxa"/>
            <w:vAlign w:val="bottom"/>
          </w:tcPr>
          <w:p w14:paraId="552675D6" w14:textId="14031ED1" w:rsidR="00B11171" w:rsidRPr="00B975A1" w:rsidRDefault="007E32F2" w:rsidP="00B11171">
            <w:pPr>
              <w:pStyle w:val="ListParagraph"/>
              <w:ind w:left="0"/>
              <w:jc w:val="right"/>
              <w:rPr>
                <w:color w:val="000000"/>
                <w:sz w:val="22"/>
                <w:szCs w:val="22"/>
              </w:rPr>
            </w:pPr>
            <w:r>
              <w:rPr>
                <w:color w:val="000000"/>
                <w:sz w:val="22"/>
                <w:szCs w:val="22"/>
              </w:rPr>
              <w:t>99.9%</w:t>
            </w:r>
          </w:p>
        </w:tc>
        <w:tc>
          <w:tcPr>
            <w:tcW w:w="1339" w:type="dxa"/>
            <w:vMerge w:val="restart"/>
          </w:tcPr>
          <w:p w14:paraId="208B4A2D" w14:textId="24188956" w:rsidR="00B11171" w:rsidRPr="00B975A1" w:rsidRDefault="007E32F2" w:rsidP="00B11171">
            <w:pPr>
              <w:pStyle w:val="ListParagraph"/>
              <w:ind w:left="0"/>
              <w:rPr>
                <w:color w:val="000000"/>
                <w:sz w:val="22"/>
                <w:szCs w:val="22"/>
              </w:rPr>
            </w:pPr>
            <w:r>
              <w:rPr>
                <w:color w:val="000000"/>
                <w:sz w:val="22"/>
                <w:szCs w:val="22"/>
              </w:rPr>
              <w:t>0.27</w:t>
            </w:r>
          </w:p>
        </w:tc>
      </w:tr>
      <w:tr w:rsidR="00B11171" w:rsidRPr="003A7CC4" w14:paraId="64ED37A0" w14:textId="1AA96DFA" w:rsidTr="005C7DFE">
        <w:trPr>
          <w:trHeight w:val="45"/>
        </w:trPr>
        <w:tc>
          <w:tcPr>
            <w:tcW w:w="1542" w:type="dxa"/>
            <w:vMerge/>
          </w:tcPr>
          <w:p w14:paraId="6B810F41" w14:textId="7048DDA3"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51331F0F"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0.4</w:t>
            </w:r>
          </w:p>
        </w:tc>
        <w:tc>
          <w:tcPr>
            <w:tcW w:w="1339" w:type="dxa"/>
            <w:vAlign w:val="bottom"/>
          </w:tcPr>
          <w:p w14:paraId="313B5240"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95.4%</w:t>
            </w:r>
          </w:p>
        </w:tc>
        <w:tc>
          <w:tcPr>
            <w:tcW w:w="1339" w:type="dxa"/>
            <w:vMerge/>
          </w:tcPr>
          <w:p w14:paraId="4BCF25E2"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6D96DC1E" w14:textId="19A7EB00" w:rsidR="00B11171" w:rsidRPr="00B975A1" w:rsidRDefault="00B11171" w:rsidP="00B11171">
            <w:pPr>
              <w:pStyle w:val="ListParagraph"/>
              <w:ind w:left="0"/>
              <w:jc w:val="right"/>
              <w:rPr>
                <w:sz w:val="22"/>
                <w:szCs w:val="22"/>
              </w:rPr>
            </w:pPr>
            <w:r w:rsidRPr="00B975A1">
              <w:rPr>
                <w:color w:val="000000"/>
                <w:sz w:val="22"/>
                <w:szCs w:val="22"/>
              </w:rPr>
              <w:t>0.4</w:t>
            </w:r>
          </w:p>
        </w:tc>
        <w:tc>
          <w:tcPr>
            <w:tcW w:w="1339" w:type="dxa"/>
            <w:vAlign w:val="bottom"/>
          </w:tcPr>
          <w:p w14:paraId="319B6E46" w14:textId="56C1EDF3" w:rsidR="00B11171" w:rsidRPr="00B975A1" w:rsidRDefault="007E32F2" w:rsidP="00B11171">
            <w:pPr>
              <w:pStyle w:val="ListParagraph"/>
              <w:ind w:left="0"/>
              <w:jc w:val="right"/>
              <w:rPr>
                <w:sz w:val="22"/>
                <w:szCs w:val="22"/>
              </w:rPr>
            </w:pPr>
            <w:r>
              <w:rPr>
                <w:sz w:val="22"/>
                <w:szCs w:val="22"/>
              </w:rPr>
              <w:t>98.1%</w:t>
            </w:r>
          </w:p>
        </w:tc>
        <w:tc>
          <w:tcPr>
            <w:tcW w:w="1339" w:type="dxa"/>
            <w:vMerge/>
          </w:tcPr>
          <w:p w14:paraId="70ECCA30" w14:textId="77777777" w:rsidR="00B11171" w:rsidRPr="00B975A1" w:rsidRDefault="00B11171" w:rsidP="00B11171">
            <w:pPr>
              <w:pStyle w:val="ListParagraph"/>
              <w:ind w:left="0"/>
              <w:rPr>
                <w:sz w:val="22"/>
                <w:szCs w:val="22"/>
              </w:rPr>
            </w:pPr>
          </w:p>
        </w:tc>
      </w:tr>
      <w:tr w:rsidR="00B11171" w:rsidRPr="003A7CC4" w14:paraId="585B7BAB" w14:textId="47158062" w:rsidTr="005C7DFE">
        <w:trPr>
          <w:trHeight w:val="45"/>
        </w:trPr>
        <w:tc>
          <w:tcPr>
            <w:tcW w:w="1542" w:type="dxa"/>
            <w:vMerge/>
          </w:tcPr>
          <w:p w14:paraId="7B7BDDDF"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59FBB1AA"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0.3</w:t>
            </w:r>
          </w:p>
        </w:tc>
        <w:tc>
          <w:tcPr>
            <w:tcW w:w="1339" w:type="dxa"/>
            <w:vAlign w:val="bottom"/>
          </w:tcPr>
          <w:p w14:paraId="27DBB820"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80.2%</w:t>
            </w:r>
          </w:p>
        </w:tc>
        <w:tc>
          <w:tcPr>
            <w:tcW w:w="1339" w:type="dxa"/>
            <w:vMerge/>
          </w:tcPr>
          <w:p w14:paraId="333376A6"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1932F579" w14:textId="59EF25F5" w:rsidR="00B11171" w:rsidRPr="00B975A1" w:rsidRDefault="00B11171" w:rsidP="00B11171">
            <w:pPr>
              <w:pStyle w:val="ListParagraph"/>
              <w:ind w:left="0"/>
              <w:jc w:val="right"/>
              <w:rPr>
                <w:sz w:val="22"/>
                <w:szCs w:val="22"/>
              </w:rPr>
            </w:pPr>
            <w:r w:rsidRPr="00B975A1">
              <w:rPr>
                <w:color w:val="000000"/>
                <w:sz w:val="22"/>
                <w:szCs w:val="22"/>
              </w:rPr>
              <w:t>0.3</w:t>
            </w:r>
          </w:p>
        </w:tc>
        <w:tc>
          <w:tcPr>
            <w:tcW w:w="1339" w:type="dxa"/>
            <w:vAlign w:val="bottom"/>
          </w:tcPr>
          <w:p w14:paraId="2D651121" w14:textId="68D25BB1" w:rsidR="00B11171" w:rsidRPr="00B975A1" w:rsidRDefault="007E32F2" w:rsidP="00B11171">
            <w:pPr>
              <w:pStyle w:val="ListParagraph"/>
              <w:ind w:left="0"/>
              <w:jc w:val="right"/>
              <w:rPr>
                <w:sz w:val="22"/>
                <w:szCs w:val="22"/>
              </w:rPr>
            </w:pPr>
            <w:r>
              <w:rPr>
                <w:sz w:val="22"/>
                <w:szCs w:val="22"/>
              </w:rPr>
              <w:t>87.4%</w:t>
            </w:r>
          </w:p>
        </w:tc>
        <w:tc>
          <w:tcPr>
            <w:tcW w:w="1339" w:type="dxa"/>
            <w:vMerge/>
          </w:tcPr>
          <w:p w14:paraId="1EEB0D7D" w14:textId="77777777" w:rsidR="00B11171" w:rsidRPr="00B975A1" w:rsidRDefault="00B11171" w:rsidP="00B11171">
            <w:pPr>
              <w:pStyle w:val="ListParagraph"/>
              <w:ind w:left="0"/>
              <w:rPr>
                <w:sz w:val="22"/>
                <w:szCs w:val="22"/>
              </w:rPr>
            </w:pPr>
          </w:p>
        </w:tc>
      </w:tr>
      <w:tr w:rsidR="00B11171" w:rsidRPr="003A7CC4" w14:paraId="443DAAD0" w14:textId="3A713EBD" w:rsidTr="005C7DFE">
        <w:trPr>
          <w:trHeight w:val="45"/>
        </w:trPr>
        <w:tc>
          <w:tcPr>
            <w:tcW w:w="1542" w:type="dxa"/>
            <w:vMerge/>
          </w:tcPr>
          <w:p w14:paraId="48A44642"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61282479"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0.2</w:t>
            </w:r>
          </w:p>
        </w:tc>
        <w:tc>
          <w:tcPr>
            <w:tcW w:w="1339" w:type="dxa"/>
            <w:vAlign w:val="bottom"/>
          </w:tcPr>
          <w:p w14:paraId="5C0C0F45"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50.7%</w:t>
            </w:r>
          </w:p>
        </w:tc>
        <w:tc>
          <w:tcPr>
            <w:tcW w:w="1339" w:type="dxa"/>
            <w:vMerge/>
          </w:tcPr>
          <w:p w14:paraId="55B2B7AF"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3E6A341F" w14:textId="4690025E" w:rsidR="00B11171" w:rsidRPr="00B975A1" w:rsidRDefault="00B11171" w:rsidP="00B11171">
            <w:pPr>
              <w:pStyle w:val="ListParagraph"/>
              <w:ind w:left="0"/>
              <w:jc w:val="right"/>
              <w:rPr>
                <w:sz w:val="22"/>
                <w:szCs w:val="22"/>
              </w:rPr>
            </w:pPr>
            <w:r w:rsidRPr="00B975A1">
              <w:rPr>
                <w:color w:val="000000"/>
                <w:sz w:val="22"/>
                <w:szCs w:val="22"/>
              </w:rPr>
              <w:t>0.2</w:t>
            </w:r>
          </w:p>
        </w:tc>
        <w:tc>
          <w:tcPr>
            <w:tcW w:w="1339" w:type="dxa"/>
            <w:vAlign w:val="bottom"/>
          </w:tcPr>
          <w:p w14:paraId="045C5DD3" w14:textId="69147C06" w:rsidR="00B11171" w:rsidRPr="00B975A1" w:rsidRDefault="007E32F2" w:rsidP="00B11171">
            <w:pPr>
              <w:pStyle w:val="ListParagraph"/>
              <w:ind w:left="0"/>
              <w:jc w:val="right"/>
              <w:rPr>
                <w:sz w:val="22"/>
                <w:szCs w:val="22"/>
              </w:rPr>
            </w:pPr>
            <w:r>
              <w:rPr>
                <w:sz w:val="22"/>
                <w:szCs w:val="22"/>
              </w:rPr>
              <w:t>58.6%</w:t>
            </w:r>
          </w:p>
        </w:tc>
        <w:tc>
          <w:tcPr>
            <w:tcW w:w="1339" w:type="dxa"/>
            <w:vMerge/>
          </w:tcPr>
          <w:p w14:paraId="2580B9B2" w14:textId="77777777" w:rsidR="00B11171" w:rsidRPr="00B975A1" w:rsidRDefault="00B11171" w:rsidP="00B11171">
            <w:pPr>
              <w:pStyle w:val="ListParagraph"/>
              <w:ind w:left="0"/>
              <w:rPr>
                <w:sz w:val="22"/>
                <w:szCs w:val="22"/>
              </w:rPr>
            </w:pPr>
          </w:p>
        </w:tc>
      </w:tr>
      <w:tr w:rsidR="00B11171" w:rsidRPr="003A7CC4" w14:paraId="246292A0" w14:textId="56609DC1" w:rsidTr="005C7DFE">
        <w:trPr>
          <w:trHeight w:val="45"/>
        </w:trPr>
        <w:tc>
          <w:tcPr>
            <w:tcW w:w="1542" w:type="dxa"/>
            <w:vMerge/>
          </w:tcPr>
          <w:p w14:paraId="0CCEB92B"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71A264A9"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0.1</w:t>
            </w:r>
          </w:p>
        </w:tc>
        <w:tc>
          <w:tcPr>
            <w:tcW w:w="1339" w:type="dxa"/>
            <w:vAlign w:val="bottom"/>
          </w:tcPr>
          <w:p w14:paraId="7DFC9084"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20.8%</w:t>
            </w:r>
          </w:p>
        </w:tc>
        <w:tc>
          <w:tcPr>
            <w:tcW w:w="1339" w:type="dxa"/>
            <w:vMerge/>
          </w:tcPr>
          <w:p w14:paraId="5D411229"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400C829C" w14:textId="1DB7AC3D" w:rsidR="00B11171" w:rsidRPr="00B975A1" w:rsidRDefault="00B11171" w:rsidP="00B11171">
            <w:pPr>
              <w:pStyle w:val="ListParagraph"/>
              <w:ind w:left="0"/>
              <w:jc w:val="right"/>
              <w:rPr>
                <w:sz w:val="22"/>
                <w:szCs w:val="22"/>
              </w:rPr>
            </w:pPr>
            <w:r w:rsidRPr="00B975A1">
              <w:rPr>
                <w:color w:val="000000"/>
                <w:sz w:val="22"/>
                <w:szCs w:val="22"/>
              </w:rPr>
              <w:t>0.1</w:t>
            </w:r>
          </w:p>
        </w:tc>
        <w:tc>
          <w:tcPr>
            <w:tcW w:w="1339" w:type="dxa"/>
            <w:vAlign w:val="bottom"/>
          </w:tcPr>
          <w:p w14:paraId="0BF91005" w14:textId="51E6F381" w:rsidR="00B11171" w:rsidRPr="00B975A1" w:rsidRDefault="007E32F2" w:rsidP="00B11171">
            <w:pPr>
              <w:pStyle w:val="ListParagraph"/>
              <w:ind w:left="0"/>
              <w:jc w:val="right"/>
              <w:rPr>
                <w:sz w:val="22"/>
                <w:szCs w:val="22"/>
              </w:rPr>
            </w:pPr>
            <w:r>
              <w:rPr>
                <w:sz w:val="22"/>
                <w:szCs w:val="22"/>
              </w:rPr>
              <w:t>23.8%</w:t>
            </w:r>
          </w:p>
        </w:tc>
        <w:tc>
          <w:tcPr>
            <w:tcW w:w="1339" w:type="dxa"/>
            <w:vMerge/>
          </w:tcPr>
          <w:p w14:paraId="5390E8E0" w14:textId="77777777" w:rsidR="00B11171" w:rsidRPr="00B975A1" w:rsidRDefault="00B11171" w:rsidP="00B11171">
            <w:pPr>
              <w:pStyle w:val="ListParagraph"/>
              <w:ind w:left="0"/>
              <w:rPr>
                <w:sz w:val="22"/>
                <w:szCs w:val="22"/>
              </w:rPr>
            </w:pPr>
          </w:p>
        </w:tc>
      </w:tr>
      <w:tr w:rsidR="00B11171" w:rsidRPr="003A7CC4" w14:paraId="57C78497" w14:textId="7942CB90" w:rsidTr="005C7DFE">
        <w:trPr>
          <w:trHeight w:val="45"/>
        </w:trPr>
        <w:tc>
          <w:tcPr>
            <w:tcW w:w="1542" w:type="dxa"/>
            <w:vMerge w:val="restart"/>
          </w:tcPr>
          <w:p w14:paraId="749FD4E5" w14:textId="77777777" w:rsidR="00B11171" w:rsidRPr="00B975A1" w:rsidRDefault="00B11171" w:rsidP="008577F3">
            <w:pPr>
              <w:pStyle w:val="ListParagraph"/>
              <w:ind w:left="0"/>
              <w:rPr>
                <w:rFonts w:ascii="Times New Roman" w:hAnsi="Times New Roman" w:cs="Times New Roman"/>
                <w:sz w:val="22"/>
                <w:szCs w:val="22"/>
              </w:rPr>
            </w:pPr>
            <w:r w:rsidRPr="00B975A1">
              <w:rPr>
                <w:sz w:val="22"/>
                <w:szCs w:val="22"/>
              </w:rPr>
              <w:t>Humboldt</w:t>
            </w:r>
          </w:p>
        </w:tc>
        <w:tc>
          <w:tcPr>
            <w:tcW w:w="1339" w:type="dxa"/>
            <w:vAlign w:val="bottom"/>
          </w:tcPr>
          <w:p w14:paraId="32B74E0D"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0.5</w:t>
            </w:r>
          </w:p>
        </w:tc>
        <w:tc>
          <w:tcPr>
            <w:tcW w:w="1339" w:type="dxa"/>
            <w:vAlign w:val="bottom"/>
          </w:tcPr>
          <w:p w14:paraId="3D3A221D"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65.1%</w:t>
            </w:r>
          </w:p>
        </w:tc>
        <w:tc>
          <w:tcPr>
            <w:tcW w:w="1339" w:type="dxa"/>
            <w:vMerge w:val="restart"/>
          </w:tcPr>
          <w:p w14:paraId="7A3B80C2" w14:textId="77777777" w:rsidR="00B11171" w:rsidRPr="00B975A1" w:rsidRDefault="00B11171" w:rsidP="008577F3">
            <w:pPr>
              <w:pStyle w:val="ListParagraph"/>
              <w:ind w:left="0"/>
              <w:rPr>
                <w:rFonts w:ascii="Times New Roman" w:hAnsi="Times New Roman" w:cs="Times New Roman"/>
                <w:sz w:val="22"/>
                <w:szCs w:val="22"/>
              </w:rPr>
            </w:pPr>
            <w:r w:rsidRPr="00B975A1">
              <w:rPr>
                <w:color w:val="000000"/>
                <w:sz w:val="22"/>
                <w:szCs w:val="22"/>
              </w:rPr>
              <w:t>0.61</w:t>
            </w:r>
          </w:p>
        </w:tc>
        <w:tc>
          <w:tcPr>
            <w:tcW w:w="1339" w:type="dxa"/>
            <w:vAlign w:val="bottom"/>
          </w:tcPr>
          <w:p w14:paraId="58675D27" w14:textId="2A575CB4" w:rsidR="00B11171" w:rsidRPr="00B975A1" w:rsidRDefault="00B11171" w:rsidP="00B11171">
            <w:pPr>
              <w:pStyle w:val="ListParagraph"/>
              <w:ind w:left="0"/>
              <w:jc w:val="right"/>
              <w:rPr>
                <w:color w:val="000000"/>
                <w:sz w:val="22"/>
                <w:szCs w:val="22"/>
              </w:rPr>
            </w:pPr>
            <w:r w:rsidRPr="00B975A1">
              <w:rPr>
                <w:color w:val="000000"/>
                <w:sz w:val="22"/>
                <w:szCs w:val="22"/>
              </w:rPr>
              <w:t>0.5</w:t>
            </w:r>
          </w:p>
        </w:tc>
        <w:tc>
          <w:tcPr>
            <w:tcW w:w="1339" w:type="dxa"/>
            <w:vAlign w:val="bottom"/>
          </w:tcPr>
          <w:p w14:paraId="278F6D38" w14:textId="0B719636" w:rsidR="00B11171" w:rsidRPr="00B975A1" w:rsidRDefault="001128C3" w:rsidP="00B11171">
            <w:pPr>
              <w:pStyle w:val="ListParagraph"/>
              <w:ind w:left="0"/>
              <w:jc w:val="right"/>
              <w:rPr>
                <w:color w:val="000000"/>
                <w:sz w:val="22"/>
                <w:szCs w:val="22"/>
              </w:rPr>
            </w:pPr>
            <w:r>
              <w:rPr>
                <w:color w:val="000000"/>
                <w:sz w:val="22"/>
                <w:szCs w:val="22"/>
              </w:rPr>
              <w:t>74.0%</w:t>
            </w:r>
          </w:p>
        </w:tc>
        <w:tc>
          <w:tcPr>
            <w:tcW w:w="1339" w:type="dxa"/>
            <w:vMerge w:val="restart"/>
          </w:tcPr>
          <w:p w14:paraId="12884CA0" w14:textId="5838C841" w:rsidR="00B11171" w:rsidRPr="00B975A1" w:rsidRDefault="001128C3" w:rsidP="00B11171">
            <w:pPr>
              <w:pStyle w:val="ListParagraph"/>
              <w:ind w:left="0"/>
              <w:rPr>
                <w:color w:val="000000"/>
                <w:sz w:val="22"/>
                <w:szCs w:val="22"/>
              </w:rPr>
            </w:pPr>
            <w:r>
              <w:rPr>
                <w:color w:val="000000"/>
                <w:sz w:val="22"/>
                <w:szCs w:val="22"/>
              </w:rPr>
              <w:t>0.54</w:t>
            </w:r>
          </w:p>
        </w:tc>
      </w:tr>
      <w:tr w:rsidR="00B11171" w:rsidRPr="003A7CC4" w14:paraId="6CA51CEB" w14:textId="11F04C9A" w:rsidTr="005C7DFE">
        <w:trPr>
          <w:trHeight w:val="45"/>
        </w:trPr>
        <w:tc>
          <w:tcPr>
            <w:tcW w:w="1542" w:type="dxa"/>
            <w:vMerge/>
          </w:tcPr>
          <w:p w14:paraId="1C368746"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72F049EA"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0.4</w:t>
            </w:r>
          </w:p>
        </w:tc>
        <w:tc>
          <w:tcPr>
            <w:tcW w:w="1339" w:type="dxa"/>
            <w:vAlign w:val="bottom"/>
          </w:tcPr>
          <w:p w14:paraId="07508CC6"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49.3%</w:t>
            </w:r>
          </w:p>
        </w:tc>
        <w:tc>
          <w:tcPr>
            <w:tcW w:w="1339" w:type="dxa"/>
            <w:vMerge/>
          </w:tcPr>
          <w:p w14:paraId="383537A9"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55BE0EBF" w14:textId="748C363C" w:rsidR="00B11171" w:rsidRPr="00B975A1" w:rsidRDefault="00B11171" w:rsidP="00B11171">
            <w:pPr>
              <w:pStyle w:val="ListParagraph"/>
              <w:ind w:left="0"/>
              <w:jc w:val="right"/>
              <w:rPr>
                <w:sz w:val="22"/>
                <w:szCs w:val="22"/>
              </w:rPr>
            </w:pPr>
            <w:r w:rsidRPr="00B975A1">
              <w:rPr>
                <w:color w:val="000000"/>
                <w:sz w:val="22"/>
                <w:szCs w:val="22"/>
              </w:rPr>
              <w:t>0.4</w:t>
            </w:r>
          </w:p>
        </w:tc>
        <w:tc>
          <w:tcPr>
            <w:tcW w:w="1339" w:type="dxa"/>
            <w:vAlign w:val="bottom"/>
          </w:tcPr>
          <w:p w14:paraId="5C0CDAAA" w14:textId="1F9C4F2A" w:rsidR="00B11171" w:rsidRPr="00B975A1" w:rsidRDefault="001128C3" w:rsidP="00B11171">
            <w:pPr>
              <w:pStyle w:val="ListParagraph"/>
              <w:ind w:left="0"/>
              <w:jc w:val="right"/>
              <w:rPr>
                <w:sz w:val="22"/>
                <w:szCs w:val="22"/>
              </w:rPr>
            </w:pPr>
            <w:r>
              <w:rPr>
                <w:sz w:val="22"/>
                <w:szCs w:val="22"/>
              </w:rPr>
              <w:t>57.3%</w:t>
            </w:r>
          </w:p>
        </w:tc>
        <w:tc>
          <w:tcPr>
            <w:tcW w:w="1339" w:type="dxa"/>
            <w:vMerge/>
          </w:tcPr>
          <w:p w14:paraId="4AB76572" w14:textId="77777777" w:rsidR="00B11171" w:rsidRPr="00B975A1" w:rsidRDefault="00B11171" w:rsidP="00B11171">
            <w:pPr>
              <w:pStyle w:val="ListParagraph"/>
              <w:ind w:left="0"/>
              <w:rPr>
                <w:sz w:val="22"/>
                <w:szCs w:val="22"/>
              </w:rPr>
            </w:pPr>
          </w:p>
        </w:tc>
      </w:tr>
      <w:tr w:rsidR="00B11171" w:rsidRPr="003A7CC4" w14:paraId="1F911DE2" w14:textId="78BB9469" w:rsidTr="005C7DFE">
        <w:trPr>
          <w:trHeight w:val="45"/>
        </w:trPr>
        <w:tc>
          <w:tcPr>
            <w:tcW w:w="1542" w:type="dxa"/>
            <w:vMerge/>
          </w:tcPr>
          <w:p w14:paraId="15534B00"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3770FA92"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0.3</w:t>
            </w:r>
          </w:p>
        </w:tc>
        <w:tc>
          <w:tcPr>
            <w:tcW w:w="1339" w:type="dxa"/>
            <w:vAlign w:val="bottom"/>
          </w:tcPr>
          <w:p w14:paraId="04497607"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33.5%</w:t>
            </w:r>
          </w:p>
        </w:tc>
        <w:tc>
          <w:tcPr>
            <w:tcW w:w="1339" w:type="dxa"/>
            <w:vMerge/>
          </w:tcPr>
          <w:p w14:paraId="1141ACDC"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38B672B2" w14:textId="42099BA0" w:rsidR="00B11171" w:rsidRPr="00B975A1" w:rsidRDefault="00B11171" w:rsidP="00B11171">
            <w:pPr>
              <w:pStyle w:val="ListParagraph"/>
              <w:ind w:left="0"/>
              <w:jc w:val="right"/>
              <w:rPr>
                <w:sz w:val="22"/>
                <w:szCs w:val="22"/>
              </w:rPr>
            </w:pPr>
            <w:r w:rsidRPr="00B975A1">
              <w:rPr>
                <w:color w:val="000000"/>
                <w:sz w:val="22"/>
                <w:szCs w:val="22"/>
              </w:rPr>
              <w:t>0.3</w:t>
            </w:r>
          </w:p>
        </w:tc>
        <w:tc>
          <w:tcPr>
            <w:tcW w:w="1339" w:type="dxa"/>
            <w:vAlign w:val="bottom"/>
          </w:tcPr>
          <w:p w14:paraId="115F90C6" w14:textId="4A95C4EA" w:rsidR="00B11171" w:rsidRPr="00B975A1" w:rsidRDefault="001128C3" w:rsidP="00B11171">
            <w:pPr>
              <w:pStyle w:val="ListParagraph"/>
              <w:ind w:left="0"/>
              <w:jc w:val="right"/>
              <w:rPr>
                <w:sz w:val="22"/>
                <w:szCs w:val="22"/>
              </w:rPr>
            </w:pPr>
            <w:r>
              <w:rPr>
                <w:sz w:val="22"/>
                <w:szCs w:val="22"/>
              </w:rPr>
              <w:t>39.3%</w:t>
            </w:r>
          </w:p>
        </w:tc>
        <w:tc>
          <w:tcPr>
            <w:tcW w:w="1339" w:type="dxa"/>
            <w:vMerge/>
          </w:tcPr>
          <w:p w14:paraId="4F3983B8" w14:textId="77777777" w:rsidR="00B11171" w:rsidRPr="00B975A1" w:rsidRDefault="00B11171" w:rsidP="00B11171">
            <w:pPr>
              <w:pStyle w:val="ListParagraph"/>
              <w:ind w:left="0"/>
              <w:rPr>
                <w:sz w:val="22"/>
                <w:szCs w:val="22"/>
              </w:rPr>
            </w:pPr>
          </w:p>
        </w:tc>
      </w:tr>
      <w:tr w:rsidR="00B11171" w:rsidRPr="003A7CC4" w14:paraId="72480542" w14:textId="6C7F022F" w:rsidTr="005C7DFE">
        <w:trPr>
          <w:trHeight w:val="45"/>
        </w:trPr>
        <w:tc>
          <w:tcPr>
            <w:tcW w:w="1542" w:type="dxa"/>
            <w:vMerge/>
          </w:tcPr>
          <w:p w14:paraId="1D343627"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770E41D8"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0.2</w:t>
            </w:r>
          </w:p>
        </w:tc>
        <w:tc>
          <w:tcPr>
            <w:tcW w:w="1339" w:type="dxa"/>
            <w:vAlign w:val="bottom"/>
          </w:tcPr>
          <w:p w14:paraId="7900E6D6"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20.3%</w:t>
            </w:r>
          </w:p>
        </w:tc>
        <w:tc>
          <w:tcPr>
            <w:tcW w:w="1339" w:type="dxa"/>
            <w:vMerge/>
          </w:tcPr>
          <w:p w14:paraId="32A4AB2F"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1D171E8E" w14:textId="05A41E53" w:rsidR="00B11171" w:rsidRPr="00B975A1" w:rsidRDefault="00B11171" w:rsidP="00B11171">
            <w:pPr>
              <w:pStyle w:val="ListParagraph"/>
              <w:ind w:left="0"/>
              <w:jc w:val="right"/>
              <w:rPr>
                <w:sz w:val="22"/>
                <w:szCs w:val="22"/>
              </w:rPr>
            </w:pPr>
            <w:r w:rsidRPr="00B975A1">
              <w:rPr>
                <w:color w:val="000000"/>
                <w:sz w:val="22"/>
                <w:szCs w:val="22"/>
              </w:rPr>
              <w:t>0.2</w:t>
            </w:r>
          </w:p>
        </w:tc>
        <w:tc>
          <w:tcPr>
            <w:tcW w:w="1339" w:type="dxa"/>
            <w:vAlign w:val="bottom"/>
          </w:tcPr>
          <w:p w14:paraId="675A1EC6" w14:textId="6EB029DC" w:rsidR="00B11171" w:rsidRPr="00B975A1" w:rsidRDefault="001128C3" w:rsidP="00B11171">
            <w:pPr>
              <w:pStyle w:val="ListParagraph"/>
              <w:ind w:left="0"/>
              <w:jc w:val="right"/>
              <w:rPr>
                <w:sz w:val="22"/>
                <w:szCs w:val="22"/>
              </w:rPr>
            </w:pPr>
            <w:r>
              <w:rPr>
                <w:sz w:val="22"/>
                <w:szCs w:val="22"/>
              </w:rPr>
              <w:t>23.3%</w:t>
            </w:r>
          </w:p>
        </w:tc>
        <w:tc>
          <w:tcPr>
            <w:tcW w:w="1339" w:type="dxa"/>
            <w:vMerge/>
          </w:tcPr>
          <w:p w14:paraId="5F83A4D5" w14:textId="77777777" w:rsidR="00B11171" w:rsidRPr="00B975A1" w:rsidRDefault="00B11171" w:rsidP="00B11171">
            <w:pPr>
              <w:pStyle w:val="ListParagraph"/>
              <w:ind w:left="0"/>
              <w:rPr>
                <w:sz w:val="22"/>
                <w:szCs w:val="22"/>
              </w:rPr>
            </w:pPr>
          </w:p>
        </w:tc>
      </w:tr>
      <w:tr w:rsidR="00B11171" w:rsidRPr="003A7CC4" w14:paraId="372420F4" w14:textId="58575E76" w:rsidTr="005C7DFE">
        <w:trPr>
          <w:trHeight w:val="45"/>
        </w:trPr>
        <w:tc>
          <w:tcPr>
            <w:tcW w:w="1542" w:type="dxa"/>
            <w:vMerge/>
          </w:tcPr>
          <w:p w14:paraId="4FFEB75A"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79CCD3A1"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0.1</w:t>
            </w:r>
          </w:p>
        </w:tc>
        <w:tc>
          <w:tcPr>
            <w:tcW w:w="1339" w:type="dxa"/>
            <w:vAlign w:val="bottom"/>
          </w:tcPr>
          <w:p w14:paraId="41DFC2D2"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10.8%</w:t>
            </w:r>
          </w:p>
        </w:tc>
        <w:tc>
          <w:tcPr>
            <w:tcW w:w="1339" w:type="dxa"/>
            <w:vMerge/>
          </w:tcPr>
          <w:p w14:paraId="4041CB61"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4FB0498C" w14:textId="042BF76D" w:rsidR="00B11171" w:rsidRPr="00B975A1" w:rsidRDefault="00B11171" w:rsidP="00B11171">
            <w:pPr>
              <w:pStyle w:val="ListParagraph"/>
              <w:ind w:left="0"/>
              <w:jc w:val="right"/>
              <w:rPr>
                <w:sz w:val="22"/>
                <w:szCs w:val="22"/>
              </w:rPr>
            </w:pPr>
            <w:r w:rsidRPr="00B975A1">
              <w:rPr>
                <w:color w:val="000000"/>
                <w:sz w:val="22"/>
                <w:szCs w:val="22"/>
              </w:rPr>
              <w:t>0.1</w:t>
            </w:r>
          </w:p>
        </w:tc>
        <w:tc>
          <w:tcPr>
            <w:tcW w:w="1339" w:type="dxa"/>
            <w:vAlign w:val="bottom"/>
          </w:tcPr>
          <w:p w14:paraId="5F01F406" w14:textId="7742C97D" w:rsidR="00B11171" w:rsidRPr="00B975A1" w:rsidRDefault="001128C3" w:rsidP="00B11171">
            <w:pPr>
              <w:pStyle w:val="ListParagraph"/>
              <w:ind w:left="0"/>
              <w:jc w:val="right"/>
              <w:rPr>
                <w:sz w:val="22"/>
                <w:szCs w:val="22"/>
              </w:rPr>
            </w:pPr>
            <w:r>
              <w:rPr>
                <w:sz w:val="22"/>
                <w:szCs w:val="22"/>
              </w:rPr>
              <w:t>11.8%</w:t>
            </w:r>
          </w:p>
        </w:tc>
        <w:tc>
          <w:tcPr>
            <w:tcW w:w="1339" w:type="dxa"/>
            <w:vMerge/>
          </w:tcPr>
          <w:p w14:paraId="2ACFC1F7" w14:textId="77777777" w:rsidR="00B11171" w:rsidRPr="00B975A1" w:rsidRDefault="00B11171" w:rsidP="00B11171">
            <w:pPr>
              <w:pStyle w:val="ListParagraph"/>
              <w:ind w:left="0"/>
              <w:rPr>
                <w:sz w:val="22"/>
                <w:szCs w:val="22"/>
              </w:rPr>
            </w:pPr>
          </w:p>
        </w:tc>
      </w:tr>
      <w:tr w:rsidR="00B11171" w:rsidRPr="003A7CC4" w14:paraId="747B6E62" w14:textId="7F50E62F" w:rsidTr="005C7DFE">
        <w:trPr>
          <w:trHeight w:val="45"/>
        </w:trPr>
        <w:tc>
          <w:tcPr>
            <w:tcW w:w="1542" w:type="dxa"/>
            <w:vMerge w:val="restart"/>
          </w:tcPr>
          <w:p w14:paraId="00110CE2" w14:textId="77777777" w:rsidR="00B11171" w:rsidRPr="00B975A1" w:rsidRDefault="00B11171" w:rsidP="008577F3">
            <w:pPr>
              <w:pStyle w:val="ListParagraph"/>
              <w:ind w:left="0"/>
              <w:rPr>
                <w:rFonts w:ascii="Times New Roman" w:hAnsi="Times New Roman" w:cs="Times New Roman"/>
                <w:sz w:val="22"/>
                <w:szCs w:val="22"/>
              </w:rPr>
            </w:pPr>
            <w:r w:rsidRPr="00B975A1">
              <w:rPr>
                <w:sz w:val="22"/>
                <w:szCs w:val="22"/>
              </w:rPr>
              <w:t>LA - Pomona</w:t>
            </w:r>
          </w:p>
        </w:tc>
        <w:tc>
          <w:tcPr>
            <w:tcW w:w="1339" w:type="dxa"/>
            <w:vAlign w:val="bottom"/>
          </w:tcPr>
          <w:p w14:paraId="2927DE38"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0.5</w:t>
            </w:r>
          </w:p>
        </w:tc>
        <w:tc>
          <w:tcPr>
            <w:tcW w:w="1339" w:type="dxa"/>
            <w:vAlign w:val="bottom"/>
          </w:tcPr>
          <w:p w14:paraId="7984D2F3"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99.0%</w:t>
            </w:r>
          </w:p>
        </w:tc>
        <w:tc>
          <w:tcPr>
            <w:tcW w:w="1339" w:type="dxa"/>
            <w:vMerge w:val="restart"/>
          </w:tcPr>
          <w:p w14:paraId="779D9C20" w14:textId="77777777" w:rsidR="00B11171" w:rsidRPr="00B975A1" w:rsidRDefault="00B11171" w:rsidP="008577F3">
            <w:pPr>
              <w:pStyle w:val="ListParagraph"/>
              <w:ind w:left="0"/>
              <w:rPr>
                <w:rFonts w:ascii="Times New Roman" w:hAnsi="Times New Roman" w:cs="Times New Roman"/>
                <w:sz w:val="22"/>
                <w:szCs w:val="22"/>
              </w:rPr>
            </w:pPr>
            <w:r w:rsidRPr="00B975A1">
              <w:rPr>
                <w:color w:val="000000"/>
                <w:sz w:val="22"/>
                <w:szCs w:val="22"/>
              </w:rPr>
              <w:t>0.31</w:t>
            </w:r>
          </w:p>
        </w:tc>
        <w:tc>
          <w:tcPr>
            <w:tcW w:w="1339" w:type="dxa"/>
            <w:vAlign w:val="bottom"/>
          </w:tcPr>
          <w:p w14:paraId="2C15243C" w14:textId="25BFB697" w:rsidR="00B11171" w:rsidRPr="00B975A1" w:rsidRDefault="00B11171" w:rsidP="00B11171">
            <w:pPr>
              <w:pStyle w:val="ListParagraph"/>
              <w:ind w:left="0"/>
              <w:jc w:val="right"/>
              <w:rPr>
                <w:color w:val="000000"/>
                <w:sz w:val="22"/>
                <w:szCs w:val="22"/>
              </w:rPr>
            </w:pPr>
            <w:r w:rsidRPr="00B975A1">
              <w:rPr>
                <w:color w:val="000000"/>
                <w:sz w:val="22"/>
                <w:szCs w:val="22"/>
              </w:rPr>
              <w:t>0.5</w:t>
            </w:r>
          </w:p>
        </w:tc>
        <w:tc>
          <w:tcPr>
            <w:tcW w:w="1339" w:type="dxa"/>
            <w:vAlign w:val="bottom"/>
          </w:tcPr>
          <w:p w14:paraId="0F27A644" w14:textId="5E6F122D" w:rsidR="00B11171" w:rsidRPr="00B975A1" w:rsidRDefault="00D83DAA" w:rsidP="00B11171">
            <w:pPr>
              <w:pStyle w:val="ListParagraph"/>
              <w:ind w:left="0"/>
              <w:jc w:val="right"/>
              <w:rPr>
                <w:color w:val="000000"/>
                <w:sz w:val="22"/>
                <w:szCs w:val="22"/>
              </w:rPr>
            </w:pPr>
            <w:r>
              <w:rPr>
                <w:color w:val="000000"/>
                <w:sz w:val="22"/>
                <w:szCs w:val="22"/>
              </w:rPr>
              <w:t>99.8%</w:t>
            </w:r>
          </w:p>
        </w:tc>
        <w:tc>
          <w:tcPr>
            <w:tcW w:w="1339" w:type="dxa"/>
            <w:vMerge w:val="restart"/>
          </w:tcPr>
          <w:p w14:paraId="5D9BA7E3" w14:textId="45489555" w:rsidR="00B11171" w:rsidRPr="00B975A1" w:rsidRDefault="00D83DAA" w:rsidP="00B11171">
            <w:pPr>
              <w:pStyle w:val="ListParagraph"/>
              <w:ind w:left="0"/>
              <w:rPr>
                <w:color w:val="000000"/>
                <w:sz w:val="22"/>
                <w:szCs w:val="22"/>
              </w:rPr>
            </w:pPr>
            <w:r>
              <w:rPr>
                <w:color w:val="000000"/>
                <w:sz w:val="22"/>
                <w:szCs w:val="22"/>
              </w:rPr>
              <w:t>0.22</w:t>
            </w:r>
          </w:p>
        </w:tc>
      </w:tr>
      <w:tr w:rsidR="00B11171" w:rsidRPr="003A7CC4" w14:paraId="0D59CDA2" w14:textId="3784913F" w:rsidTr="005C7DFE">
        <w:trPr>
          <w:trHeight w:val="45"/>
        </w:trPr>
        <w:tc>
          <w:tcPr>
            <w:tcW w:w="1542" w:type="dxa"/>
            <w:vMerge/>
          </w:tcPr>
          <w:p w14:paraId="3E46A20F"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36C3E80D"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0.4</w:t>
            </w:r>
          </w:p>
        </w:tc>
        <w:tc>
          <w:tcPr>
            <w:tcW w:w="1339" w:type="dxa"/>
            <w:vAlign w:val="bottom"/>
          </w:tcPr>
          <w:p w14:paraId="14AA02F5"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93.8%</w:t>
            </w:r>
          </w:p>
        </w:tc>
        <w:tc>
          <w:tcPr>
            <w:tcW w:w="1339" w:type="dxa"/>
            <w:vMerge/>
          </w:tcPr>
          <w:p w14:paraId="59402860"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3F51D5C1" w14:textId="46CC75DA" w:rsidR="00B11171" w:rsidRPr="00B975A1" w:rsidRDefault="00B11171" w:rsidP="00B11171">
            <w:pPr>
              <w:pStyle w:val="ListParagraph"/>
              <w:ind w:left="0"/>
              <w:jc w:val="right"/>
              <w:rPr>
                <w:sz w:val="22"/>
                <w:szCs w:val="22"/>
              </w:rPr>
            </w:pPr>
            <w:r w:rsidRPr="00B975A1">
              <w:rPr>
                <w:color w:val="000000"/>
                <w:sz w:val="22"/>
                <w:szCs w:val="22"/>
              </w:rPr>
              <w:t>0.4</w:t>
            </w:r>
          </w:p>
        </w:tc>
        <w:tc>
          <w:tcPr>
            <w:tcW w:w="1339" w:type="dxa"/>
            <w:vAlign w:val="bottom"/>
          </w:tcPr>
          <w:p w14:paraId="618F367B" w14:textId="66193A3D" w:rsidR="00B11171" w:rsidRPr="00B975A1" w:rsidRDefault="00D83DAA" w:rsidP="00B11171">
            <w:pPr>
              <w:pStyle w:val="ListParagraph"/>
              <w:ind w:left="0"/>
              <w:jc w:val="right"/>
              <w:rPr>
                <w:sz w:val="22"/>
                <w:szCs w:val="22"/>
              </w:rPr>
            </w:pPr>
            <w:r>
              <w:rPr>
                <w:sz w:val="22"/>
                <w:szCs w:val="22"/>
              </w:rPr>
              <w:t>97.3%</w:t>
            </w:r>
          </w:p>
        </w:tc>
        <w:tc>
          <w:tcPr>
            <w:tcW w:w="1339" w:type="dxa"/>
            <w:vMerge/>
          </w:tcPr>
          <w:p w14:paraId="73C4F94C" w14:textId="77777777" w:rsidR="00B11171" w:rsidRPr="00B975A1" w:rsidRDefault="00B11171" w:rsidP="00B11171">
            <w:pPr>
              <w:pStyle w:val="ListParagraph"/>
              <w:ind w:left="0"/>
              <w:rPr>
                <w:sz w:val="22"/>
                <w:szCs w:val="22"/>
              </w:rPr>
            </w:pPr>
          </w:p>
        </w:tc>
      </w:tr>
      <w:tr w:rsidR="00B11171" w:rsidRPr="003A7CC4" w14:paraId="78D89049" w14:textId="669CC986" w:rsidTr="005C7DFE">
        <w:trPr>
          <w:trHeight w:val="45"/>
        </w:trPr>
        <w:tc>
          <w:tcPr>
            <w:tcW w:w="1542" w:type="dxa"/>
            <w:vMerge/>
          </w:tcPr>
          <w:p w14:paraId="493282C3"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31CF548C"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0.3</w:t>
            </w:r>
          </w:p>
        </w:tc>
        <w:tc>
          <w:tcPr>
            <w:tcW w:w="1339" w:type="dxa"/>
            <w:vAlign w:val="bottom"/>
          </w:tcPr>
          <w:p w14:paraId="79EB534D"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77.0%</w:t>
            </w:r>
          </w:p>
        </w:tc>
        <w:tc>
          <w:tcPr>
            <w:tcW w:w="1339" w:type="dxa"/>
            <w:vMerge/>
          </w:tcPr>
          <w:p w14:paraId="53E7A602"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3B61D630" w14:textId="2CD21279" w:rsidR="00B11171" w:rsidRPr="00B975A1" w:rsidRDefault="00B11171" w:rsidP="00B11171">
            <w:pPr>
              <w:pStyle w:val="ListParagraph"/>
              <w:ind w:left="0"/>
              <w:jc w:val="right"/>
              <w:rPr>
                <w:sz w:val="22"/>
                <w:szCs w:val="22"/>
              </w:rPr>
            </w:pPr>
            <w:r w:rsidRPr="00B975A1">
              <w:rPr>
                <w:color w:val="000000"/>
                <w:sz w:val="22"/>
                <w:szCs w:val="22"/>
              </w:rPr>
              <w:t>0.3</w:t>
            </w:r>
          </w:p>
        </w:tc>
        <w:tc>
          <w:tcPr>
            <w:tcW w:w="1339" w:type="dxa"/>
            <w:vAlign w:val="bottom"/>
          </w:tcPr>
          <w:p w14:paraId="398BA832" w14:textId="70DC1398" w:rsidR="00B11171" w:rsidRPr="00B975A1" w:rsidRDefault="00D83DAA" w:rsidP="00B11171">
            <w:pPr>
              <w:pStyle w:val="ListParagraph"/>
              <w:ind w:left="0"/>
              <w:jc w:val="right"/>
              <w:rPr>
                <w:sz w:val="22"/>
                <w:szCs w:val="22"/>
              </w:rPr>
            </w:pPr>
            <w:r>
              <w:rPr>
                <w:sz w:val="22"/>
                <w:szCs w:val="22"/>
              </w:rPr>
              <w:t>84.8%</w:t>
            </w:r>
          </w:p>
        </w:tc>
        <w:tc>
          <w:tcPr>
            <w:tcW w:w="1339" w:type="dxa"/>
            <w:vMerge/>
          </w:tcPr>
          <w:p w14:paraId="27EC0FB2" w14:textId="77777777" w:rsidR="00B11171" w:rsidRPr="00B975A1" w:rsidRDefault="00B11171" w:rsidP="00B11171">
            <w:pPr>
              <w:pStyle w:val="ListParagraph"/>
              <w:ind w:left="0"/>
              <w:rPr>
                <w:sz w:val="22"/>
                <w:szCs w:val="22"/>
              </w:rPr>
            </w:pPr>
          </w:p>
        </w:tc>
      </w:tr>
      <w:tr w:rsidR="00B11171" w:rsidRPr="003A7CC4" w14:paraId="62B50EB3" w14:textId="2622D65D" w:rsidTr="005C7DFE">
        <w:trPr>
          <w:trHeight w:val="45"/>
        </w:trPr>
        <w:tc>
          <w:tcPr>
            <w:tcW w:w="1542" w:type="dxa"/>
            <w:vMerge/>
          </w:tcPr>
          <w:p w14:paraId="27244080"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34CB2B45"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0.2</w:t>
            </w:r>
          </w:p>
        </w:tc>
        <w:tc>
          <w:tcPr>
            <w:tcW w:w="1339" w:type="dxa"/>
            <w:vAlign w:val="bottom"/>
          </w:tcPr>
          <w:p w14:paraId="7147B574"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47.8%</w:t>
            </w:r>
          </w:p>
        </w:tc>
        <w:tc>
          <w:tcPr>
            <w:tcW w:w="1339" w:type="dxa"/>
            <w:vMerge/>
          </w:tcPr>
          <w:p w14:paraId="6709169A"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7179E752" w14:textId="121B837A" w:rsidR="00B11171" w:rsidRPr="00B975A1" w:rsidRDefault="00B11171" w:rsidP="00B11171">
            <w:pPr>
              <w:pStyle w:val="ListParagraph"/>
              <w:ind w:left="0"/>
              <w:jc w:val="right"/>
              <w:rPr>
                <w:sz w:val="22"/>
                <w:szCs w:val="22"/>
              </w:rPr>
            </w:pPr>
            <w:r w:rsidRPr="00B975A1">
              <w:rPr>
                <w:color w:val="000000"/>
                <w:sz w:val="22"/>
                <w:szCs w:val="22"/>
              </w:rPr>
              <w:t>0.2</w:t>
            </w:r>
          </w:p>
        </w:tc>
        <w:tc>
          <w:tcPr>
            <w:tcW w:w="1339" w:type="dxa"/>
            <w:vAlign w:val="bottom"/>
          </w:tcPr>
          <w:p w14:paraId="178EDF48" w14:textId="45E89B77" w:rsidR="00B11171" w:rsidRPr="00B975A1" w:rsidRDefault="00D83DAA" w:rsidP="00B11171">
            <w:pPr>
              <w:pStyle w:val="ListParagraph"/>
              <w:ind w:left="0"/>
              <w:jc w:val="right"/>
              <w:rPr>
                <w:sz w:val="22"/>
                <w:szCs w:val="22"/>
              </w:rPr>
            </w:pPr>
            <w:r>
              <w:rPr>
                <w:sz w:val="22"/>
                <w:szCs w:val="22"/>
              </w:rPr>
              <w:t>55.5%</w:t>
            </w:r>
          </w:p>
        </w:tc>
        <w:tc>
          <w:tcPr>
            <w:tcW w:w="1339" w:type="dxa"/>
            <w:vMerge/>
          </w:tcPr>
          <w:p w14:paraId="21867831" w14:textId="77777777" w:rsidR="00B11171" w:rsidRPr="00B975A1" w:rsidRDefault="00B11171" w:rsidP="00B11171">
            <w:pPr>
              <w:pStyle w:val="ListParagraph"/>
              <w:ind w:left="0"/>
              <w:rPr>
                <w:sz w:val="22"/>
                <w:szCs w:val="22"/>
              </w:rPr>
            </w:pPr>
          </w:p>
        </w:tc>
      </w:tr>
      <w:tr w:rsidR="00B11171" w:rsidRPr="003A7CC4" w14:paraId="31C5A47D" w14:textId="3EBDB170" w:rsidTr="005C7DFE">
        <w:trPr>
          <w:trHeight w:val="45"/>
        </w:trPr>
        <w:tc>
          <w:tcPr>
            <w:tcW w:w="1542" w:type="dxa"/>
            <w:vMerge/>
          </w:tcPr>
          <w:p w14:paraId="5701D36D"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7C18D3BC"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0.1</w:t>
            </w:r>
          </w:p>
        </w:tc>
        <w:tc>
          <w:tcPr>
            <w:tcW w:w="1339" w:type="dxa"/>
            <w:vAlign w:val="bottom"/>
          </w:tcPr>
          <w:p w14:paraId="5F7FDD03"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19.8%</w:t>
            </w:r>
          </w:p>
        </w:tc>
        <w:tc>
          <w:tcPr>
            <w:tcW w:w="1339" w:type="dxa"/>
            <w:vMerge/>
          </w:tcPr>
          <w:p w14:paraId="474EB6BF"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25FE0013" w14:textId="448F98CA" w:rsidR="00B11171" w:rsidRPr="00B975A1" w:rsidRDefault="00B11171" w:rsidP="00B11171">
            <w:pPr>
              <w:pStyle w:val="ListParagraph"/>
              <w:ind w:left="0"/>
              <w:jc w:val="right"/>
              <w:rPr>
                <w:sz w:val="22"/>
                <w:szCs w:val="22"/>
              </w:rPr>
            </w:pPr>
            <w:r w:rsidRPr="00B975A1">
              <w:rPr>
                <w:color w:val="000000"/>
                <w:sz w:val="22"/>
                <w:szCs w:val="22"/>
              </w:rPr>
              <w:t>0.1</w:t>
            </w:r>
          </w:p>
        </w:tc>
        <w:tc>
          <w:tcPr>
            <w:tcW w:w="1339" w:type="dxa"/>
            <w:vAlign w:val="bottom"/>
          </w:tcPr>
          <w:p w14:paraId="4A115844" w14:textId="07A0F7A1" w:rsidR="00B11171" w:rsidRPr="00B975A1" w:rsidRDefault="00D83DAA" w:rsidP="00B11171">
            <w:pPr>
              <w:pStyle w:val="ListParagraph"/>
              <w:ind w:left="0"/>
              <w:jc w:val="right"/>
              <w:rPr>
                <w:sz w:val="22"/>
                <w:szCs w:val="22"/>
              </w:rPr>
            </w:pPr>
            <w:r>
              <w:rPr>
                <w:sz w:val="22"/>
                <w:szCs w:val="22"/>
              </w:rPr>
              <w:t>22.5%</w:t>
            </w:r>
          </w:p>
        </w:tc>
        <w:tc>
          <w:tcPr>
            <w:tcW w:w="1339" w:type="dxa"/>
            <w:vMerge/>
          </w:tcPr>
          <w:p w14:paraId="0E4CF407" w14:textId="77777777" w:rsidR="00B11171" w:rsidRPr="00B975A1" w:rsidRDefault="00B11171" w:rsidP="00B11171">
            <w:pPr>
              <w:pStyle w:val="ListParagraph"/>
              <w:ind w:left="0"/>
              <w:rPr>
                <w:sz w:val="22"/>
                <w:szCs w:val="22"/>
              </w:rPr>
            </w:pPr>
          </w:p>
        </w:tc>
      </w:tr>
      <w:tr w:rsidR="00B11171" w:rsidRPr="003A7CC4" w14:paraId="1E7AB003" w14:textId="393A57F5" w:rsidTr="005C7DFE">
        <w:trPr>
          <w:trHeight w:val="95"/>
        </w:trPr>
        <w:tc>
          <w:tcPr>
            <w:tcW w:w="1542" w:type="dxa"/>
            <w:vMerge w:val="restart"/>
          </w:tcPr>
          <w:p w14:paraId="064426DB" w14:textId="77777777" w:rsidR="00B11171" w:rsidRPr="00B975A1" w:rsidRDefault="00B11171" w:rsidP="008577F3">
            <w:pPr>
              <w:pStyle w:val="ListParagraph"/>
              <w:ind w:left="0"/>
              <w:rPr>
                <w:rFonts w:ascii="Times New Roman" w:hAnsi="Times New Roman" w:cs="Times New Roman"/>
                <w:sz w:val="22"/>
                <w:szCs w:val="22"/>
              </w:rPr>
            </w:pPr>
            <w:r w:rsidRPr="00B975A1">
              <w:rPr>
                <w:sz w:val="22"/>
                <w:szCs w:val="22"/>
              </w:rPr>
              <w:t xml:space="preserve">LA - </w:t>
            </w:r>
            <w:proofErr w:type="spellStart"/>
            <w:r w:rsidRPr="00B975A1">
              <w:rPr>
                <w:sz w:val="22"/>
                <w:szCs w:val="22"/>
              </w:rPr>
              <w:t>Wateridge</w:t>
            </w:r>
            <w:proofErr w:type="spellEnd"/>
          </w:p>
        </w:tc>
        <w:tc>
          <w:tcPr>
            <w:tcW w:w="1339" w:type="dxa"/>
            <w:vAlign w:val="bottom"/>
          </w:tcPr>
          <w:p w14:paraId="7F93520F"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0.5</w:t>
            </w:r>
          </w:p>
        </w:tc>
        <w:tc>
          <w:tcPr>
            <w:tcW w:w="1339" w:type="dxa"/>
            <w:vAlign w:val="bottom"/>
          </w:tcPr>
          <w:p w14:paraId="51BFF39F"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99.7%</w:t>
            </w:r>
          </w:p>
        </w:tc>
        <w:tc>
          <w:tcPr>
            <w:tcW w:w="1339" w:type="dxa"/>
            <w:vMerge w:val="restart"/>
          </w:tcPr>
          <w:p w14:paraId="4BF20370" w14:textId="77777777" w:rsidR="00B11171" w:rsidRPr="00B975A1" w:rsidRDefault="00B11171" w:rsidP="008577F3">
            <w:pPr>
              <w:pStyle w:val="ListParagraph"/>
              <w:ind w:left="0"/>
              <w:rPr>
                <w:rFonts w:ascii="Times New Roman" w:hAnsi="Times New Roman" w:cs="Times New Roman"/>
                <w:sz w:val="22"/>
                <w:szCs w:val="22"/>
              </w:rPr>
            </w:pPr>
            <w:r w:rsidRPr="00B975A1">
              <w:rPr>
                <w:color w:val="000000"/>
                <w:sz w:val="22"/>
                <w:szCs w:val="22"/>
              </w:rPr>
              <w:t>0.28</w:t>
            </w:r>
          </w:p>
        </w:tc>
        <w:tc>
          <w:tcPr>
            <w:tcW w:w="1339" w:type="dxa"/>
            <w:vAlign w:val="bottom"/>
          </w:tcPr>
          <w:p w14:paraId="1A4A67A7" w14:textId="53E5636F" w:rsidR="00B11171" w:rsidRPr="00B975A1" w:rsidRDefault="00B11171" w:rsidP="00B11171">
            <w:pPr>
              <w:pStyle w:val="ListParagraph"/>
              <w:ind w:left="0"/>
              <w:jc w:val="right"/>
              <w:rPr>
                <w:color w:val="000000"/>
                <w:sz w:val="22"/>
                <w:szCs w:val="22"/>
              </w:rPr>
            </w:pPr>
            <w:r w:rsidRPr="00B975A1">
              <w:rPr>
                <w:color w:val="000000"/>
                <w:sz w:val="22"/>
                <w:szCs w:val="22"/>
              </w:rPr>
              <w:t>0.5</w:t>
            </w:r>
          </w:p>
        </w:tc>
        <w:tc>
          <w:tcPr>
            <w:tcW w:w="1339" w:type="dxa"/>
            <w:vAlign w:val="bottom"/>
          </w:tcPr>
          <w:p w14:paraId="7A44EF2B" w14:textId="0C95C06A" w:rsidR="00B11171" w:rsidRPr="00B975A1" w:rsidRDefault="00D83DAA" w:rsidP="00B11171">
            <w:pPr>
              <w:pStyle w:val="ListParagraph"/>
              <w:ind w:left="0"/>
              <w:jc w:val="right"/>
              <w:rPr>
                <w:color w:val="000000"/>
                <w:sz w:val="22"/>
                <w:szCs w:val="22"/>
              </w:rPr>
            </w:pPr>
            <w:r>
              <w:rPr>
                <w:color w:val="000000"/>
                <w:sz w:val="22"/>
                <w:szCs w:val="22"/>
              </w:rPr>
              <w:t>&gt;99.9%</w:t>
            </w:r>
          </w:p>
        </w:tc>
        <w:tc>
          <w:tcPr>
            <w:tcW w:w="1339" w:type="dxa"/>
            <w:vMerge w:val="restart"/>
          </w:tcPr>
          <w:p w14:paraId="0E4D1A50" w14:textId="5C487B7E" w:rsidR="00B11171" w:rsidRPr="00B975A1" w:rsidRDefault="00D83DAA" w:rsidP="00B11171">
            <w:pPr>
              <w:pStyle w:val="ListParagraph"/>
              <w:ind w:left="0"/>
              <w:rPr>
                <w:color w:val="000000"/>
                <w:sz w:val="22"/>
                <w:szCs w:val="22"/>
              </w:rPr>
            </w:pPr>
            <w:r>
              <w:rPr>
                <w:color w:val="000000"/>
                <w:sz w:val="22"/>
                <w:szCs w:val="22"/>
              </w:rPr>
              <w:t>0.25</w:t>
            </w:r>
          </w:p>
        </w:tc>
      </w:tr>
      <w:tr w:rsidR="00B11171" w:rsidRPr="003A7CC4" w14:paraId="2B3FA9DE" w14:textId="3EF72D67" w:rsidTr="005C7DFE">
        <w:trPr>
          <w:trHeight w:val="92"/>
        </w:trPr>
        <w:tc>
          <w:tcPr>
            <w:tcW w:w="1542" w:type="dxa"/>
            <w:vMerge/>
          </w:tcPr>
          <w:p w14:paraId="63BF3223"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38F35AC2"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0.4</w:t>
            </w:r>
          </w:p>
        </w:tc>
        <w:tc>
          <w:tcPr>
            <w:tcW w:w="1339" w:type="dxa"/>
            <w:vAlign w:val="bottom"/>
          </w:tcPr>
          <w:p w14:paraId="6AED897C"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97.2%</w:t>
            </w:r>
          </w:p>
        </w:tc>
        <w:tc>
          <w:tcPr>
            <w:tcW w:w="1339" w:type="dxa"/>
            <w:vMerge/>
          </w:tcPr>
          <w:p w14:paraId="35C03F0D"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7EA4B96B" w14:textId="2224824D" w:rsidR="00B11171" w:rsidRPr="00B975A1" w:rsidRDefault="00B11171" w:rsidP="00B11171">
            <w:pPr>
              <w:pStyle w:val="ListParagraph"/>
              <w:ind w:left="0"/>
              <w:jc w:val="right"/>
              <w:rPr>
                <w:sz w:val="22"/>
                <w:szCs w:val="22"/>
              </w:rPr>
            </w:pPr>
            <w:r w:rsidRPr="00B975A1">
              <w:rPr>
                <w:color w:val="000000"/>
                <w:sz w:val="22"/>
                <w:szCs w:val="22"/>
              </w:rPr>
              <w:t>0.4</w:t>
            </w:r>
          </w:p>
        </w:tc>
        <w:tc>
          <w:tcPr>
            <w:tcW w:w="1339" w:type="dxa"/>
            <w:vAlign w:val="bottom"/>
          </w:tcPr>
          <w:p w14:paraId="066A88DF" w14:textId="68035083" w:rsidR="00B11171" w:rsidRPr="00B975A1" w:rsidRDefault="00D83DAA" w:rsidP="00B11171">
            <w:pPr>
              <w:pStyle w:val="ListParagraph"/>
              <w:ind w:left="0"/>
              <w:jc w:val="right"/>
              <w:rPr>
                <w:sz w:val="22"/>
                <w:szCs w:val="22"/>
              </w:rPr>
            </w:pPr>
            <w:r>
              <w:rPr>
                <w:sz w:val="22"/>
                <w:szCs w:val="22"/>
              </w:rPr>
              <w:t>99.0%</w:t>
            </w:r>
          </w:p>
        </w:tc>
        <w:tc>
          <w:tcPr>
            <w:tcW w:w="1339" w:type="dxa"/>
            <w:vMerge/>
          </w:tcPr>
          <w:p w14:paraId="2B95A70E" w14:textId="77777777" w:rsidR="00B11171" w:rsidRPr="00B975A1" w:rsidRDefault="00B11171" w:rsidP="00B11171">
            <w:pPr>
              <w:pStyle w:val="ListParagraph"/>
              <w:ind w:left="0"/>
              <w:rPr>
                <w:sz w:val="22"/>
                <w:szCs w:val="22"/>
              </w:rPr>
            </w:pPr>
          </w:p>
        </w:tc>
      </w:tr>
      <w:tr w:rsidR="00B11171" w:rsidRPr="003A7CC4" w14:paraId="11C3606E" w14:textId="27368760" w:rsidTr="005C7DFE">
        <w:trPr>
          <w:trHeight w:val="92"/>
        </w:trPr>
        <w:tc>
          <w:tcPr>
            <w:tcW w:w="1542" w:type="dxa"/>
            <w:vMerge/>
          </w:tcPr>
          <w:p w14:paraId="446482D0"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5EFB453F"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0.3</w:t>
            </w:r>
          </w:p>
        </w:tc>
        <w:tc>
          <w:tcPr>
            <w:tcW w:w="1339" w:type="dxa"/>
            <w:vAlign w:val="bottom"/>
          </w:tcPr>
          <w:p w14:paraId="689C5A00"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84.7%</w:t>
            </w:r>
          </w:p>
        </w:tc>
        <w:tc>
          <w:tcPr>
            <w:tcW w:w="1339" w:type="dxa"/>
            <w:vMerge/>
          </w:tcPr>
          <w:p w14:paraId="5135A337"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55B6FDD7" w14:textId="6DA789CE" w:rsidR="00B11171" w:rsidRPr="00B975A1" w:rsidRDefault="00B11171" w:rsidP="00B11171">
            <w:pPr>
              <w:pStyle w:val="ListParagraph"/>
              <w:ind w:left="0"/>
              <w:jc w:val="right"/>
              <w:rPr>
                <w:sz w:val="22"/>
                <w:szCs w:val="22"/>
              </w:rPr>
            </w:pPr>
            <w:r w:rsidRPr="00B975A1">
              <w:rPr>
                <w:color w:val="000000"/>
                <w:sz w:val="22"/>
                <w:szCs w:val="22"/>
              </w:rPr>
              <w:t>0.3</w:t>
            </w:r>
          </w:p>
        </w:tc>
        <w:tc>
          <w:tcPr>
            <w:tcW w:w="1339" w:type="dxa"/>
            <w:vAlign w:val="bottom"/>
          </w:tcPr>
          <w:p w14:paraId="7E0A7C6E" w14:textId="62349FA8" w:rsidR="00B11171" w:rsidRPr="00B975A1" w:rsidRDefault="00D83DAA" w:rsidP="00B11171">
            <w:pPr>
              <w:pStyle w:val="ListParagraph"/>
              <w:ind w:left="0"/>
              <w:jc w:val="right"/>
              <w:rPr>
                <w:sz w:val="22"/>
                <w:szCs w:val="22"/>
              </w:rPr>
            </w:pPr>
            <w:r>
              <w:rPr>
                <w:sz w:val="22"/>
                <w:szCs w:val="22"/>
              </w:rPr>
              <w:t>91.1%</w:t>
            </w:r>
          </w:p>
        </w:tc>
        <w:tc>
          <w:tcPr>
            <w:tcW w:w="1339" w:type="dxa"/>
            <w:vMerge/>
          </w:tcPr>
          <w:p w14:paraId="71F425B2" w14:textId="77777777" w:rsidR="00B11171" w:rsidRPr="00B975A1" w:rsidRDefault="00B11171" w:rsidP="00B11171">
            <w:pPr>
              <w:pStyle w:val="ListParagraph"/>
              <w:ind w:left="0"/>
              <w:rPr>
                <w:sz w:val="22"/>
                <w:szCs w:val="22"/>
              </w:rPr>
            </w:pPr>
          </w:p>
        </w:tc>
      </w:tr>
      <w:tr w:rsidR="00B11171" w:rsidRPr="003A7CC4" w14:paraId="17A9906F" w14:textId="3E5703DE" w:rsidTr="005C7DFE">
        <w:trPr>
          <w:trHeight w:val="92"/>
        </w:trPr>
        <w:tc>
          <w:tcPr>
            <w:tcW w:w="1542" w:type="dxa"/>
            <w:vMerge/>
          </w:tcPr>
          <w:p w14:paraId="0F572193"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1CAFAE11"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0.2</w:t>
            </w:r>
          </w:p>
        </w:tc>
        <w:tc>
          <w:tcPr>
            <w:tcW w:w="1339" w:type="dxa"/>
            <w:vAlign w:val="bottom"/>
          </w:tcPr>
          <w:p w14:paraId="1AB5755B"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55.3%</w:t>
            </w:r>
          </w:p>
        </w:tc>
        <w:tc>
          <w:tcPr>
            <w:tcW w:w="1339" w:type="dxa"/>
            <w:vMerge/>
          </w:tcPr>
          <w:p w14:paraId="3E63D9DC"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5446BF2E" w14:textId="4F5E88C4" w:rsidR="00B11171" w:rsidRPr="00B975A1" w:rsidRDefault="00B11171" w:rsidP="00B11171">
            <w:pPr>
              <w:pStyle w:val="ListParagraph"/>
              <w:ind w:left="0"/>
              <w:jc w:val="right"/>
              <w:rPr>
                <w:sz w:val="22"/>
                <w:szCs w:val="22"/>
              </w:rPr>
            </w:pPr>
            <w:r w:rsidRPr="00B975A1">
              <w:rPr>
                <w:color w:val="000000"/>
                <w:sz w:val="22"/>
                <w:szCs w:val="22"/>
              </w:rPr>
              <w:t>0.2</w:t>
            </w:r>
          </w:p>
        </w:tc>
        <w:tc>
          <w:tcPr>
            <w:tcW w:w="1339" w:type="dxa"/>
            <w:vAlign w:val="bottom"/>
          </w:tcPr>
          <w:p w14:paraId="0A43C41A" w14:textId="17DDE9B8" w:rsidR="00B11171" w:rsidRPr="00B975A1" w:rsidRDefault="00D83DAA" w:rsidP="00B11171">
            <w:pPr>
              <w:pStyle w:val="ListParagraph"/>
              <w:ind w:left="0"/>
              <w:jc w:val="right"/>
              <w:rPr>
                <w:sz w:val="22"/>
                <w:szCs w:val="22"/>
              </w:rPr>
            </w:pPr>
            <w:r>
              <w:rPr>
                <w:sz w:val="22"/>
                <w:szCs w:val="22"/>
              </w:rPr>
              <w:t>63.6%</w:t>
            </w:r>
          </w:p>
        </w:tc>
        <w:tc>
          <w:tcPr>
            <w:tcW w:w="1339" w:type="dxa"/>
            <w:vMerge/>
          </w:tcPr>
          <w:p w14:paraId="2B3C2C33" w14:textId="77777777" w:rsidR="00B11171" w:rsidRPr="00B975A1" w:rsidRDefault="00B11171" w:rsidP="00B11171">
            <w:pPr>
              <w:pStyle w:val="ListParagraph"/>
              <w:ind w:left="0"/>
              <w:rPr>
                <w:sz w:val="22"/>
                <w:szCs w:val="22"/>
              </w:rPr>
            </w:pPr>
          </w:p>
        </w:tc>
      </w:tr>
      <w:tr w:rsidR="00B11171" w:rsidRPr="003A7CC4" w14:paraId="7062A969" w14:textId="3E785E1E" w:rsidTr="005C7DFE">
        <w:trPr>
          <w:trHeight w:val="92"/>
        </w:trPr>
        <w:tc>
          <w:tcPr>
            <w:tcW w:w="1542" w:type="dxa"/>
            <w:vMerge/>
          </w:tcPr>
          <w:p w14:paraId="5F16BF0D"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06AC2F91"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0.1</w:t>
            </w:r>
          </w:p>
        </w:tc>
        <w:tc>
          <w:tcPr>
            <w:tcW w:w="1339" w:type="dxa"/>
            <w:vAlign w:val="bottom"/>
          </w:tcPr>
          <w:p w14:paraId="16A978FD"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22.5%</w:t>
            </w:r>
          </w:p>
        </w:tc>
        <w:tc>
          <w:tcPr>
            <w:tcW w:w="1339" w:type="dxa"/>
            <w:vMerge/>
          </w:tcPr>
          <w:p w14:paraId="7E9334EF"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47198F82" w14:textId="78B19473" w:rsidR="00B11171" w:rsidRPr="00B975A1" w:rsidRDefault="00B11171" w:rsidP="00B11171">
            <w:pPr>
              <w:pStyle w:val="ListParagraph"/>
              <w:ind w:left="0"/>
              <w:jc w:val="right"/>
              <w:rPr>
                <w:sz w:val="22"/>
                <w:szCs w:val="22"/>
              </w:rPr>
            </w:pPr>
            <w:r w:rsidRPr="00B975A1">
              <w:rPr>
                <w:color w:val="000000"/>
                <w:sz w:val="22"/>
                <w:szCs w:val="22"/>
              </w:rPr>
              <w:t>0.1</w:t>
            </w:r>
          </w:p>
        </w:tc>
        <w:tc>
          <w:tcPr>
            <w:tcW w:w="1339" w:type="dxa"/>
            <w:vAlign w:val="bottom"/>
          </w:tcPr>
          <w:p w14:paraId="38FE136D" w14:textId="375BEAB9" w:rsidR="00B11171" w:rsidRPr="00B975A1" w:rsidRDefault="00D83DAA" w:rsidP="00B11171">
            <w:pPr>
              <w:pStyle w:val="ListParagraph"/>
              <w:ind w:left="0"/>
              <w:jc w:val="right"/>
              <w:rPr>
                <w:sz w:val="22"/>
                <w:szCs w:val="22"/>
              </w:rPr>
            </w:pPr>
            <w:r>
              <w:rPr>
                <w:sz w:val="22"/>
                <w:szCs w:val="22"/>
              </w:rPr>
              <w:t>25.8%</w:t>
            </w:r>
          </w:p>
        </w:tc>
        <w:tc>
          <w:tcPr>
            <w:tcW w:w="1339" w:type="dxa"/>
            <w:vMerge/>
          </w:tcPr>
          <w:p w14:paraId="2ABF8A94" w14:textId="77777777" w:rsidR="00B11171" w:rsidRPr="00B975A1" w:rsidRDefault="00B11171" w:rsidP="00B11171">
            <w:pPr>
              <w:pStyle w:val="ListParagraph"/>
              <w:ind w:left="0"/>
              <w:rPr>
                <w:sz w:val="22"/>
                <w:szCs w:val="22"/>
              </w:rPr>
            </w:pPr>
          </w:p>
        </w:tc>
      </w:tr>
      <w:tr w:rsidR="00B11171" w:rsidRPr="003A7CC4" w14:paraId="64D27E30" w14:textId="113415E7" w:rsidTr="005C7DFE">
        <w:trPr>
          <w:trHeight w:val="45"/>
        </w:trPr>
        <w:tc>
          <w:tcPr>
            <w:tcW w:w="1542" w:type="dxa"/>
            <w:vMerge w:val="restart"/>
          </w:tcPr>
          <w:p w14:paraId="140A1343" w14:textId="77777777" w:rsidR="00B11171" w:rsidRPr="00B975A1" w:rsidRDefault="00B11171" w:rsidP="008577F3">
            <w:pPr>
              <w:pStyle w:val="ListParagraph"/>
              <w:ind w:left="0"/>
              <w:rPr>
                <w:rFonts w:ascii="Times New Roman" w:hAnsi="Times New Roman" w:cs="Times New Roman"/>
                <w:sz w:val="22"/>
                <w:szCs w:val="22"/>
              </w:rPr>
            </w:pPr>
            <w:r w:rsidRPr="00B975A1">
              <w:rPr>
                <w:sz w:val="22"/>
                <w:szCs w:val="22"/>
              </w:rPr>
              <w:t>Santa Clara</w:t>
            </w:r>
          </w:p>
        </w:tc>
        <w:tc>
          <w:tcPr>
            <w:tcW w:w="1339" w:type="dxa"/>
            <w:vAlign w:val="bottom"/>
          </w:tcPr>
          <w:p w14:paraId="6191BD64"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0.5</w:t>
            </w:r>
          </w:p>
        </w:tc>
        <w:tc>
          <w:tcPr>
            <w:tcW w:w="1339" w:type="dxa"/>
            <w:vAlign w:val="bottom"/>
          </w:tcPr>
          <w:p w14:paraId="2F1B8D2E"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95.2%</w:t>
            </w:r>
          </w:p>
        </w:tc>
        <w:tc>
          <w:tcPr>
            <w:tcW w:w="1339" w:type="dxa"/>
            <w:vMerge w:val="restart"/>
          </w:tcPr>
          <w:p w14:paraId="4F03EE1C" w14:textId="77777777" w:rsidR="00B11171" w:rsidRPr="00B975A1" w:rsidRDefault="00B11171" w:rsidP="008577F3">
            <w:pPr>
              <w:pStyle w:val="ListParagraph"/>
              <w:ind w:left="0"/>
              <w:rPr>
                <w:rFonts w:ascii="Times New Roman" w:hAnsi="Times New Roman" w:cs="Times New Roman"/>
                <w:sz w:val="22"/>
                <w:szCs w:val="22"/>
              </w:rPr>
            </w:pPr>
            <w:r w:rsidRPr="00B975A1">
              <w:rPr>
                <w:color w:val="000000"/>
                <w:sz w:val="22"/>
                <w:szCs w:val="22"/>
              </w:rPr>
              <w:t>0.38</w:t>
            </w:r>
          </w:p>
        </w:tc>
        <w:tc>
          <w:tcPr>
            <w:tcW w:w="1339" w:type="dxa"/>
            <w:vAlign w:val="bottom"/>
          </w:tcPr>
          <w:p w14:paraId="2324FBF7" w14:textId="4F990A65" w:rsidR="00B11171" w:rsidRPr="00B975A1" w:rsidRDefault="00B11171" w:rsidP="00B11171">
            <w:pPr>
              <w:pStyle w:val="ListParagraph"/>
              <w:ind w:left="0"/>
              <w:jc w:val="right"/>
              <w:rPr>
                <w:color w:val="000000"/>
                <w:sz w:val="22"/>
                <w:szCs w:val="22"/>
              </w:rPr>
            </w:pPr>
            <w:r w:rsidRPr="00B975A1">
              <w:rPr>
                <w:color w:val="000000"/>
                <w:sz w:val="22"/>
                <w:szCs w:val="22"/>
              </w:rPr>
              <w:t>0.5</w:t>
            </w:r>
          </w:p>
        </w:tc>
        <w:tc>
          <w:tcPr>
            <w:tcW w:w="1339" w:type="dxa"/>
            <w:vAlign w:val="bottom"/>
          </w:tcPr>
          <w:p w14:paraId="48302FA3" w14:textId="63B68B21" w:rsidR="00B11171" w:rsidRPr="00B975A1" w:rsidRDefault="00D83DAA" w:rsidP="00B11171">
            <w:pPr>
              <w:pStyle w:val="ListParagraph"/>
              <w:ind w:left="0"/>
              <w:jc w:val="right"/>
              <w:rPr>
                <w:color w:val="000000"/>
                <w:sz w:val="22"/>
                <w:szCs w:val="22"/>
              </w:rPr>
            </w:pPr>
            <w:r>
              <w:rPr>
                <w:color w:val="000000"/>
                <w:sz w:val="22"/>
                <w:szCs w:val="22"/>
              </w:rPr>
              <w:t>98.1%</w:t>
            </w:r>
          </w:p>
        </w:tc>
        <w:tc>
          <w:tcPr>
            <w:tcW w:w="1339" w:type="dxa"/>
            <w:vMerge w:val="restart"/>
          </w:tcPr>
          <w:p w14:paraId="1638F2FF" w14:textId="22E1CBA4" w:rsidR="00B11171" w:rsidRPr="00B975A1" w:rsidRDefault="00D83DAA" w:rsidP="00B11171">
            <w:pPr>
              <w:pStyle w:val="ListParagraph"/>
              <w:ind w:left="0"/>
              <w:rPr>
                <w:color w:val="000000"/>
                <w:sz w:val="22"/>
                <w:szCs w:val="22"/>
              </w:rPr>
            </w:pPr>
            <w:r>
              <w:rPr>
                <w:color w:val="000000"/>
                <w:sz w:val="22"/>
                <w:szCs w:val="22"/>
              </w:rPr>
              <w:t>0.33</w:t>
            </w:r>
          </w:p>
        </w:tc>
      </w:tr>
      <w:tr w:rsidR="00B11171" w:rsidRPr="003A7CC4" w14:paraId="00633FF2" w14:textId="21CEDD55" w:rsidTr="005C7DFE">
        <w:trPr>
          <w:trHeight w:val="45"/>
        </w:trPr>
        <w:tc>
          <w:tcPr>
            <w:tcW w:w="1542" w:type="dxa"/>
            <w:vMerge/>
          </w:tcPr>
          <w:p w14:paraId="7A3FE55B"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004EBFCF"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0.4</w:t>
            </w:r>
          </w:p>
        </w:tc>
        <w:tc>
          <w:tcPr>
            <w:tcW w:w="1339" w:type="dxa"/>
            <w:vAlign w:val="bottom"/>
          </w:tcPr>
          <w:p w14:paraId="68212351"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84.1%</w:t>
            </w:r>
          </w:p>
        </w:tc>
        <w:tc>
          <w:tcPr>
            <w:tcW w:w="1339" w:type="dxa"/>
            <w:vMerge/>
          </w:tcPr>
          <w:p w14:paraId="5A54C054"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09B45943" w14:textId="3D309FE1" w:rsidR="00B11171" w:rsidRPr="00B975A1" w:rsidRDefault="00B11171" w:rsidP="00B11171">
            <w:pPr>
              <w:pStyle w:val="ListParagraph"/>
              <w:ind w:left="0"/>
              <w:jc w:val="right"/>
              <w:rPr>
                <w:sz w:val="22"/>
                <w:szCs w:val="22"/>
              </w:rPr>
            </w:pPr>
            <w:r w:rsidRPr="00B975A1">
              <w:rPr>
                <w:color w:val="000000"/>
                <w:sz w:val="22"/>
                <w:szCs w:val="22"/>
              </w:rPr>
              <w:t>0.4</w:t>
            </w:r>
          </w:p>
        </w:tc>
        <w:tc>
          <w:tcPr>
            <w:tcW w:w="1339" w:type="dxa"/>
            <w:vAlign w:val="bottom"/>
          </w:tcPr>
          <w:p w14:paraId="5388C74A" w14:textId="6D046294" w:rsidR="00B11171" w:rsidRPr="00B975A1" w:rsidRDefault="00D83DAA" w:rsidP="00B11171">
            <w:pPr>
              <w:pStyle w:val="ListParagraph"/>
              <w:ind w:left="0"/>
              <w:jc w:val="right"/>
              <w:rPr>
                <w:sz w:val="22"/>
                <w:szCs w:val="22"/>
              </w:rPr>
            </w:pPr>
            <w:r>
              <w:rPr>
                <w:sz w:val="22"/>
                <w:szCs w:val="22"/>
              </w:rPr>
              <w:t>90.8%</w:t>
            </w:r>
          </w:p>
        </w:tc>
        <w:tc>
          <w:tcPr>
            <w:tcW w:w="1339" w:type="dxa"/>
            <w:vMerge/>
          </w:tcPr>
          <w:p w14:paraId="180DBE4D" w14:textId="77777777" w:rsidR="00B11171" w:rsidRPr="00B975A1" w:rsidRDefault="00B11171" w:rsidP="008577F3">
            <w:pPr>
              <w:pStyle w:val="ListParagraph"/>
              <w:ind w:left="0"/>
              <w:rPr>
                <w:sz w:val="22"/>
                <w:szCs w:val="22"/>
              </w:rPr>
            </w:pPr>
          </w:p>
        </w:tc>
      </w:tr>
      <w:tr w:rsidR="00B11171" w:rsidRPr="003A7CC4" w14:paraId="232BEAE9" w14:textId="624A6131" w:rsidTr="005C7DFE">
        <w:trPr>
          <w:trHeight w:val="45"/>
        </w:trPr>
        <w:tc>
          <w:tcPr>
            <w:tcW w:w="1542" w:type="dxa"/>
            <w:vMerge/>
          </w:tcPr>
          <w:p w14:paraId="7A98C9D4"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5283BC95"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0.3</w:t>
            </w:r>
          </w:p>
        </w:tc>
        <w:tc>
          <w:tcPr>
            <w:tcW w:w="1339" w:type="dxa"/>
            <w:vAlign w:val="bottom"/>
          </w:tcPr>
          <w:p w14:paraId="22E67DDE"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63.3%</w:t>
            </w:r>
          </w:p>
        </w:tc>
        <w:tc>
          <w:tcPr>
            <w:tcW w:w="1339" w:type="dxa"/>
            <w:vMerge/>
          </w:tcPr>
          <w:p w14:paraId="7F776A09"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7FB177BD" w14:textId="0D7256C1" w:rsidR="00B11171" w:rsidRPr="00B975A1" w:rsidRDefault="00B11171" w:rsidP="00B11171">
            <w:pPr>
              <w:pStyle w:val="ListParagraph"/>
              <w:ind w:left="0"/>
              <w:jc w:val="right"/>
              <w:rPr>
                <w:sz w:val="22"/>
                <w:szCs w:val="22"/>
              </w:rPr>
            </w:pPr>
            <w:r w:rsidRPr="00B975A1">
              <w:rPr>
                <w:color w:val="000000"/>
                <w:sz w:val="22"/>
                <w:szCs w:val="22"/>
              </w:rPr>
              <w:t>0.3</w:t>
            </w:r>
          </w:p>
        </w:tc>
        <w:tc>
          <w:tcPr>
            <w:tcW w:w="1339" w:type="dxa"/>
            <w:vAlign w:val="bottom"/>
          </w:tcPr>
          <w:p w14:paraId="0BAFEF89" w14:textId="5C46AFB1" w:rsidR="00B11171" w:rsidRPr="00B975A1" w:rsidRDefault="00D83DAA" w:rsidP="00B11171">
            <w:pPr>
              <w:pStyle w:val="ListParagraph"/>
              <w:ind w:left="0"/>
              <w:jc w:val="right"/>
              <w:rPr>
                <w:sz w:val="22"/>
                <w:szCs w:val="22"/>
              </w:rPr>
            </w:pPr>
            <w:r>
              <w:rPr>
                <w:sz w:val="22"/>
                <w:szCs w:val="22"/>
              </w:rPr>
              <w:t>72.1%</w:t>
            </w:r>
          </w:p>
        </w:tc>
        <w:tc>
          <w:tcPr>
            <w:tcW w:w="1339" w:type="dxa"/>
            <w:vMerge/>
          </w:tcPr>
          <w:p w14:paraId="5A7F911B" w14:textId="77777777" w:rsidR="00B11171" w:rsidRPr="00B975A1" w:rsidRDefault="00B11171" w:rsidP="008577F3">
            <w:pPr>
              <w:pStyle w:val="ListParagraph"/>
              <w:ind w:left="0"/>
              <w:rPr>
                <w:sz w:val="22"/>
                <w:szCs w:val="22"/>
              </w:rPr>
            </w:pPr>
          </w:p>
        </w:tc>
      </w:tr>
      <w:tr w:rsidR="00B11171" w:rsidRPr="003A7CC4" w14:paraId="504BAE1F" w14:textId="6AEE9FC2" w:rsidTr="005C7DFE">
        <w:trPr>
          <w:trHeight w:val="45"/>
        </w:trPr>
        <w:tc>
          <w:tcPr>
            <w:tcW w:w="1542" w:type="dxa"/>
            <w:vMerge/>
          </w:tcPr>
          <w:p w14:paraId="66DFA810"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2D3F493A"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0.2</w:t>
            </w:r>
          </w:p>
        </w:tc>
        <w:tc>
          <w:tcPr>
            <w:tcW w:w="1339" w:type="dxa"/>
            <w:vAlign w:val="bottom"/>
          </w:tcPr>
          <w:p w14:paraId="6FE9009F"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37.3%</w:t>
            </w:r>
          </w:p>
        </w:tc>
        <w:tc>
          <w:tcPr>
            <w:tcW w:w="1339" w:type="dxa"/>
            <w:vMerge/>
          </w:tcPr>
          <w:p w14:paraId="58C9C9B3"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2A99D3F4" w14:textId="7676DFAF" w:rsidR="00B11171" w:rsidRPr="00B975A1" w:rsidRDefault="00B11171" w:rsidP="00B11171">
            <w:pPr>
              <w:pStyle w:val="ListParagraph"/>
              <w:ind w:left="0"/>
              <w:jc w:val="right"/>
              <w:rPr>
                <w:sz w:val="22"/>
                <w:szCs w:val="22"/>
              </w:rPr>
            </w:pPr>
            <w:r w:rsidRPr="00B975A1">
              <w:rPr>
                <w:color w:val="000000"/>
                <w:sz w:val="22"/>
                <w:szCs w:val="22"/>
              </w:rPr>
              <w:t>0.2</w:t>
            </w:r>
          </w:p>
        </w:tc>
        <w:tc>
          <w:tcPr>
            <w:tcW w:w="1339" w:type="dxa"/>
            <w:vAlign w:val="bottom"/>
          </w:tcPr>
          <w:p w14:paraId="48C4FE6F" w14:textId="1ECEF0BF" w:rsidR="00B11171" w:rsidRPr="00B975A1" w:rsidRDefault="00D83DAA" w:rsidP="00B11171">
            <w:pPr>
              <w:pStyle w:val="ListParagraph"/>
              <w:ind w:left="0"/>
              <w:jc w:val="right"/>
              <w:rPr>
                <w:sz w:val="22"/>
                <w:szCs w:val="22"/>
              </w:rPr>
            </w:pPr>
            <w:r>
              <w:rPr>
                <w:sz w:val="22"/>
                <w:szCs w:val="22"/>
              </w:rPr>
              <w:t>43.7%</w:t>
            </w:r>
          </w:p>
        </w:tc>
        <w:tc>
          <w:tcPr>
            <w:tcW w:w="1339" w:type="dxa"/>
            <w:vMerge/>
          </w:tcPr>
          <w:p w14:paraId="5F73C558" w14:textId="77777777" w:rsidR="00B11171" w:rsidRPr="00B975A1" w:rsidRDefault="00B11171" w:rsidP="008577F3">
            <w:pPr>
              <w:pStyle w:val="ListParagraph"/>
              <w:ind w:left="0"/>
              <w:rPr>
                <w:sz w:val="22"/>
                <w:szCs w:val="22"/>
              </w:rPr>
            </w:pPr>
          </w:p>
        </w:tc>
      </w:tr>
      <w:tr w:rsidR="00B11171" w:rsidRPr="003A7CC4" w14:paraId="6C6C0E80" w14:textId="7766A226" w:rsidTr="005C7DFE">
        <w:trPr>
          <w:trHeight w:val="45"/>
        </w:trPr>
        <w:tc>
          <w:tcPr>
            <w:tcW w:w="1542" w:type="dxa"/>
            <w:vMerge/>
          </w:tcPr>
          <w:p w14:paraId="0263A9CA"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44756BA5"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0.1</w:t>
            </w:r>
          </w:p>
        </w:tc>
        <w:tc>
          <w:tcPr>
            <w:tcW w:w="1339" w:type="dxa"/>
            <w:vAlign w:val="bottom"/>
          </w:tcPr>
          <w:p w14:paraId="67AF7ACC" w14:textId="77777777" w:rsidR="00B11171" w:rsidRPr="00B975A1" w:rsidRDefault="00B11171" w:rsidP="008577F3">
            <w:pPr>
              <w:jc w:val="right"/>
              <w:rPr>
                <w:rFonts w:ascii="Times New Roman" w:eastAsia="Times New Roman" w:hAnsi="Times New Roman" w:cs="Times New Roman"/>
                <w:color w:val="000000"/>
                <w:sz w:val="22"/>
                <w:szCs w:val="22"/>
              </w:rPr>
            </w:pPr>
            <w:r w:rsidRPr="00B975A1">
              <w:rPr>
                <w:color w:val="000000"/>
                <w:sz w:val="22"/>
                <w:szCs w:val="22"/>
              </w:rPr>
              <w:t>16.3%</w:t>
            </w:r>
          </w:p>
        </w:tc>
        <w:tc>
          <w:tcPr>
            <w:tcW w:w="1339" w:type="dxa"/>
            <w:vMerge/>
          </w:tcPr>
          <w:p w14:paraId="5206DD7E" w14:textId="77777777" w:rsidR="00B11171" w:rsidRPr="00B975A1" w:rsidRDefault="00B11171" w:rsidP="008577F3">
            <w:pPr>
              <w:pStyle w:val="ListParagraph"/>
              <w:ind w:left="0"/>
              <w:rPr>
                <w:rFonts w:ascii="Times New Roman" w:hAnsi="Times New Roman" w:cs="Times New Roman"/>
                <w:sz w:val="22"/>
                <w:szCs w:val="22"/>
              </w:rPr>
            </w:pPr>
          </w:p>
        </w:tc>
        <w:tc>
          <w:tcPr>
            <w:tcW w:w="1339" w:type="dxa"/>
            <w:vAlign w:val="bottom"/>
          </w:tcPr>
          <w:p w14:paraId="3D4C07AF" w14:textId="497037E8" w:rsidR="00B11171" w:rsidRPr="00B975A1" w:rsidRDefault="00B11171" w:rsidP="00B11171">
            <w:pPr>
              <w:pStyle w:val="ListParagraph"/>
              <w:ind w:left="0"/>
              <w:jc w:val="right"/>
              <w:rPr>
                <w:sz w:val="22"/>
                <w:szCs w:val="22"/>
              </w:rPr>
            </w:pPr>
            <w:r w:rsidRPr="00B975A1">
              <w:rPr>
                <w:color w:val="000000"/>
                <w:sz w:val="22"/>
                <w:szCs w:val="22"/>
              </w:rPr>
              <w:t>0.1</w:t>
            </w:r>
          </w:p>
        </w:tc>
        <w:tc>
          <w:tcPr>
            <w:tcW w:w="1339" w:type="dxa"/>
            <w:vAlign w:val="bottom"/>
          </w:tcPr>
          <w:p w14:paraId="6B0C03CA" w14:textId="03F681E4" w:rsidR="00B11171" w:rsidRPr="00B975A1" w:rsidRDefault="00D83DAA" w:rsidP="00B11171">
            <w:pPr>
              <w:pStyle w:val="ListParagraph"/>
              <w:ind w:left="0"/>
              <w:jc w:val="right"/>
              <w:rPr>
                <w:sz w:val="22"/>
                <w:szCs w:val="22"/>
              </w:rPr>
            </w:pPr>
            <w:r>
              <w:rPr>
                <w:sz w:val="22"/>
                <w:szCs w:val="22"/>
              </w:rPr>
              <w:t>18.4%</w:t>
            </w:r>
          </w:p>
        </w:tc>
        <w:tc>
          <w:tcPr>
            <w:tcW w:w="1339" w:type="dxa"/>
            <w:vMerge/>
          </w:tcPr>
          <w:p w14:paraId="37677C33" w14:textId="77777777" w:rsidR="00B11171" w:rsidRPr="00B975A1" w:rsidRDefault="00B11171" w:rsidP="008577F3">
            <w:pPr>
              <w:pStyle w:val="ListParagraph"/>
              <w:ind w:left="0"/>
              <w:rPr>
                <w:sz w:val="22"/>
                <w:szCs w:val="22"/>
              </w:rPr>
            </w:pPr>
          </w:p>
        </w:tc>
      </w:tr>
    </w:tbl>
    <w:p w14:paraId="34A4556F" w14:textId="027CF8AF" w:rsidR="009B5AF8" w:rsidRPr="00B975A1" w:rsidRDefault="009B5AF8" w:rsidP="009B5AF8">
      <w:pPr>
        <w:pStyle w:val="ListParagraph"/>
        <w:ind w:left="0"/>
      </w:pPr>
      <w:r w:rsidRPr="00B975A1">
        <w:lastRenderedPageBreak/>
        <w:t>As can be seen, we have the least power in Humboldt, which has the smallest population, but even there, we can detect a difference of 0.61</w:t>
      </w:r>
      <w:r w:rsidR="00992344">
        <w:t xml:space="preserve"> or 0.54</w:t>
      </w:r>
      <w:r w:rsidRPr="00B975A1">
        <w:t>, less than one unit on the scale, at 80% power.</w:t>
      </w:r>
    </w:p>
    <w:p w14:paraId="1F6E4A95" w14:textId="77777777" w:rsidR="009B5AF8" w:rsidRPr="00B975A1" w:rsidRDefault="009B5AF8" w:rsidP="009B5AF8">
      <w:pPr>
        <w:pStyle w:val="ListParagraph"/>
        <w:ind w:left="0"/>
      </w:pPr>
    </w:p>
    <w:p w14:paraId="65300600" w14:textId="77777777" w:rsidR="009B5AF8" w:rsidRPr="00B975A1" w:rsidRDefault="009B5AF8" w:rsidP="009B5AF8">
      <w:pPr>
        <w:pStyle w:val="ListParagraph"/>
        <w:ind w:left="0"/>
      </w:pPr>
      <w:r w:rsidRPr="00B975A1">
        <w:t>For the caregiver study, Table B3 presents the sample size by county:</w:t>
      </w:r>
    </w:p>
    <w:p w14:paraId="7E631FF6" w14:textId="77777777" w:rsidR="009B5AF8" w:rsidRPr="00B975A1" w:rsidRDefault="009B5AF8" w:rsidP="009B5AF8">
      <w:pPr>
        <w:pStyle w:val="ListParagraph"/>
        <w:ind w:left="0"/>
      </w:pPr>
    </w:p>
    <w:tbl>
      <w:tblPr>
        <w:tblStyle w:val="TableGrid"/>
        <w:tblW w:w="9472" w:type="dxa"/>
        <w:jc w:val="center"/>
        <w:tblInd w:w="-67" w:type="dxa"/>
        <w:tblLayout w:type="fixed"/>
        <w:tblLook w:val="04A0" w:firstRow="1" w:lastRow="0" w:firstColumn="1" w:lastColumn="0" w:noHBand="0" w:noVBand="1"/>
      </w:tblPr>
      <w:tblGrid>
        <w:gridCol w:w="1192"/>
        <w:gridCol w:w="630"/>
        <w:gridCol w:w="810"/>
        <w:gridCol w:w="630"/>
        <w:gridCol w:w="810"/>
        <w:gridCol w:w="630"/>
        <w:gridCol w:w="810"/>
        <w:gridCol w:w="630"/>
        <w:gridCol w:w="810"/>
        <w:gridCol w:w="630"/>
        <w:gridCol w:w="810"/>
        <w:gridCol w:w="1080"/>
      </w:tblGrid>
      <w:tr w:rsidR="00AF33E0" w:rsidRPr="003A7CC4" w14:paraId="6F59A079" w14:textId="1A577293" w:rsidTr="003072B1">
        <w:trPr>
          <w:jc w:val="center"/>
        </w:trPr>
        <w:tc>
          <w:tcPr>
            <w:tcW w:w="9472" w:type="dxa"/>
            <w:gridSpan w:val="12"/>
          </w:tcPr>
          <w:p w14:paraId="27D3324B" w14:textId="1963BB02" w:rsidR="00AF33E0" w:rsidRPr="00B975A1" w:rsidRDefault="00AF33E0" w:rsidP="008577F3">
            <w:pPr>
              <w:pStyle w:val="ListParagraph"/>
              <w:ind w:left="0"/>
              <w:rPr>
                <w:sz w:val="22"/>
                <w:szCs w:val="22"/>
              </w:rPr>
            </w:pPr>
            <w:r w:rsidRPr="00B975A1">
              <w:rPr>
                <w:sz w:val="22"/>
                <w:szCs w:val="22"/>
              </w:rPr>
              <w:t>Table B3. Caregiver Sample Sizes by County</w:t>
            </w:r>
          </w:p>
        </w:tc>
      </w:tr>
      <w:tr w:rsidR="00B33538" w:rsidRPr="003A7CC4" w14:paraId="621501BD" w14:textId="6C3D2642" w:rsidTr="003072B1">
        <w:trPr>
          <w:jc w:val="center"/>
        </w:trPr>
        <w:tc>
          <w:tcPr>
            <w:tcW w:w="1192" w:type="dxa"/>
          </w:tcPr>
          <w:p w14:paraId="5C6E3C17" w14:textId="77777777" w:rsidR="00AF33E0" w:rsidRPr="00B975A1" w:rsidRDefault="00AF33E0" w:rsidP="008577F3">
            <w:pPr>
              <w:pStyle w:val="ListParagraph"/>
              <w:ind w:left="0"/>
              <w:rPr>
                <w:rFonts w:ascii="Times New Roman" w:hAnsi="Times New Roman" w:cs="Times New Roman"/>
                <w:sz w:val="22"/>
                <w:szCs w:val="22"/>
              </w:rPr>
            </w:pPr>
          </w:p>
        </w:tc>
        <w:tc>
          <w:tcPr>
            <w:tcW w:w="1440" w:type="dxa"/>
            <w:gridSpan w:val="2"/>
          </w:tcPr>
          <w:p w14:paraId="0C041B0C" w14:textId="77777777" w:rsidR="00AF33E0" w:rsidRPr="00B975A1" w:rsidRDefault="00AF33E0" w:rsidP="008577F3">
            <w:pPr>
              <w:pStyle w:val="ListParagraph"/>
              <w:ind w:left="0"/>
              <w:jc w:val="center"/>
              <w:rPr>
                <w:rFonts w:ascii="Times New Roman" w:hAnsi="Times New Roman" w:cs="Times New Roman"/>
                <w:sz w:val="22"/>
                <w:szCs w:val="22"/>
              </w:rPr>
            </w:pPr>
            <w:r w:rsidRPr="00B975A1">
              <w:rPr>
                <w:sz w:val="22"/>
                <w:szCs w:val="22"/>
              </w:rPr>
              <w:t>Fresno</w:t>
            </w:r>
          </w:p>
        </w:tc>
        <w:tc>
          <w:tcPr>
            <w:tcW w:w="1440" w:type="dxa"/>
            <w:gridSpan w:val="2"/>
          </w:tcPr>
          <w:p w14:paraId="148E42ED" w14:textId="77777777" w:rsidR="00AF33E0" w:rsidRPr="00B975A1" w:rsidRDefault="00AF33E0" w:rsidP="008577F3">
            <w:pPr>
              <w:pStyle w:val="ListParagraph"/>
              <w:ind w:left="0"/>
              <w:jc w:val="center"/>
              <w:rPr>
                <w:rFonts w:ascii="Times New Roman" w:hAnsi="Times New Roman" w:cs="Times New Roman"/>
                <w:sz w:val="22"/>
                <w:szCs w:val="22"/>
              </w:rPr>
            </w:pPr>
            <w:r w:rsidRPr="00B975A1">
              <w:rPr>
                <w:sz w:val="22"/>
                <w:szCs w:val="22"/>
              </w:rPr>
              <w:t>Humboldt</w:t>
            </w:r>
          </w:p>
        </w:tc>
        <w:tc>
          <w:tcPr>
            <w:tcW w:w="1440" w:type="dxa"/>
            <w:gridSpan w:val="2"/>
          </w:tcPr>
          <w:p w14:paraId="30AA2DFA" w14:textId="77777777" w:rsidR="00AF33E0" w:rsidRPr="00B975A1" w:rsidRDefault="00AF33E0" w:rsidP="008577F3">
            <w:pPr>
              <w:pStyle w:val="ListParagraph"/>
              <w:ind w:left="0"/>
              <w:jc w:val="center"/>
              <w:rPr>
                <w:rFonts w:ascii="Times New Roman" w:hAnsi="Times New Roman" w:cs="Times New Roman"/>
                <w:sz w:val="22"/>
                <w:szCs w:val="22"/>
              </w:rPr>
            </w:pPr>
            <w:r w:rsidRPr="00B975A1">
              <w:rPr>
                <w:sz w:val="22"/>
                <w:szCs w:val="22"/>
              </w:rPr>
              <w:t>LA - Pomona</w:t>
            </w:r>
          </w:p>
        </w:tc>
        <w:tc>
          <w:tcPr>
            <w:tcW w:w="1440" w:type="dxa"/>
            <w:gridSpan w:val="2"/>
          </w:tcPr>
          <w:p w14:paraId="0BB2AC49" w14:textId="77777777" w:rsidR="00AF33E0" w:rsidRPr="00B975A1" w:rsidRDefault="00AF33E0" w:rsidP="008577F3">
            <w:pPr>
              <w:pStyle w:val="ListParagraph"/>
              <w:ind w:left="0"/>
              <w:jc w:val="center"/>
              <w:rPr>
                <w:rFonts w:ascii="Times New Roman" w:hAnsi="Times New Roman" w:cs="Times New Roman"/>
                <w:sz w:val="22"/>
                <w:szCs w:val="22"/>
              </w:rPr>
            </w:pPr>
            <w:r w:rsidRPr="00B975A1">
              <w:rPr>
                <w:sz w:val="22"/>
                <w:szCs w:val="22"/>
              </w:rPr>
              <w:t xml:space="preserve">LA - </w:t>
            </w:r>
            <w:proofErr w:type="spellStart"/>
            <w:r w:rsidRPr="00B975A1">
              <w:rPr>
                <w:sz w:val="22"/>
                <w:szCs w:val="22"/>
              </w:rPr>
              <w:t>Wateridge</w:t>
            </w:r>
            <w:proofErr w:type="spellEnd"/>
          </w:p>
        </w:tc>
        <w:tc>
          <w:tcPr>
            <w:tcW w:w="1440" w:type="dxa"/>
            <w:gridSpan w:val="2"/>
          </w:tcPr>
          <w:p w14:paraId="6088258A" w14:textId="77777777" w:rsidR="00AF33E0" w:rsidRPr="00B975A1" w:rsidRDefault="00AF33E0" w:rsidP="008577F3">
            <w:pPr>
              <w:pStyle w:val="ListParagraph"/>
              <w:ind w:left="0"/>
              <w:jc w:val="center"/>
              <w:rPr>
                <w:rFonts w:ascii="Times New Roman" w:hAnsi="Times New Roman" w:cs="Times New Roman"/>
                <w:sz w:val="22"/>
                <w:szCs w:val="22"/>
              </w:rPr>
            </w:pPr>
            <w:r w:rsidRPr="00B975A1">
              <w:rPr>
                <w:sz w:val="22"/>
                <w:szCs w:val="22"/>
              </w:rPr>
              <w:t>Santa Clara</w:t>
            </w:r>
          </w:p>
        </w:tc>
        <w:tc>
          <w:tcPr>
            <w:tcW w:w="1080" w:type="dxa"/>
          </w:tcPr>
          <w:p w14:paraId="00F1A8F8" w14:textId="73A5EAF6" w:rsidR="00AF33E0" w:rsidRPr="00B975A1" w:rsidRDefault="00AF33E0" w:rsidP="008577F3">
            <w:pPr>
              <w:pStyle w:val="ListParagraph"/>
              <w:ind w:left="0"/>
              <w:jc w:val="center"/>
              <w:rPr>
                <w:rFonts w:ascii="Times New Roman" w:hAnsi="Times New Roman" w:cs="Times New Roman"/>
                <w:sz w:val="22"/>
                <w:szCs w:val="22"/>
              </w:rPr>
            </w:pPr>
            <w:r w:rsidRPr="00B975A1">
              <w:rPr>
                <w:sz w:val="22"/>
                <w:szCs w:val="22"/>
              </w:rPr>
              <w:t>Total Sample</w:t>
            </w:r>
          </w:p>
        </w:tc>
      </w:tr>
      <w:tr w:rsidR="00B33538" w:rsidRPr="003A7CC4" w14:paraId="522A8D32" w14:textId="51EBD04A" w:rsidTr="003072B1">
        <w:trPr>
          <w:jc w:val="center"/>
        </w:trPr>
        <w:tc>
          <w:tcPr>
            <w:tcW w:w="1192" w:type="dxa"/>
          </w:tcPr>
          <w:p w14:paraId="5AF08AFF" w14:textId="77777777" w:rsidR="00AF33E0" w:rsidRPr="00B975A1" w:rsidRDefault="00AF33E0" w:rsidP="008577F3">
            <w:pPr>
              <w:pStyle w:val="ListParagraph"/>
              <w:ind w:left="0"/>
              <w:rPr>
                <w:rFonts w:ascii="Times New Roman" w:hAnsi="Times New Roman" w:cs="Times New Roman"/>
                <w:sz w:val="22"/>
                <w:szCs w:val="22"/>
              </w:rPr>
            </w:pPr>
          </w:p>
        </w:tc>
        <w:tc>
          <w:tcPr>
            <w:tcW w:w="630" w:type="dxa"/>
            <w:vAlign w:val="bottom"/>
          </w:tcPr>
          <w:p w14:paraId="59114296"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N</w:t>
            </w:r>
          </w:p>
        </w:tc>
        <w:tc>
          <w:tcPr>
            <w:tcW w:w="810" w:type="dxa"/>
            <w:vAlign w:val="bottom"/>
          </w:tcPr>
          <w:p w14:paraId="06344831"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w:t>
            </w:r>
          </w:p>
        </w:tc>
        <w:tc>
          <w:tcPr>
            <w:tcW w:w="630" w:type="dxa"/>
            <w:vAlign w:val="bottom"/>
          </w:tcPr>
          <w:p w14:paraId="1EC22F28"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N</w:t>
            </w:r>
          </w:p>
        </w:tc>
        <w:tc>
          <w:tcPr>
            <w:tcW w:w="810" w:type="dxa"/>
            <w:vAlign w:val="bottom"/>
          </w:tcPr>
          <w:p w14:paraId="1A97E395"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w:t>
            </w:r>
          </w:p>
        </w:tc>
        <w:tc>
          <w:tcPr>
            <w:tcW w:w="630" w:type="dxa"/>
            <w:vAlign w:val="bottom"/>
          </w:tcPr>
          <w:p w14:paraId="50027AA2"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N</w:t>
            </w:r>
          </w:p>
        </w:tc>
        <w:tc>
          <w:tcPr>
            <w:tcW w:w="810" w:type="dxa"/>
            <w:vAlign w:val="bottom"/>
          </w:tcPr>
          <w:p w14:paraId="0A2778D7"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w:t>
            </w:r>
          </w:p>
        </w:tc>
        <w:tc>
          <w:tcPr>
            <w:tcW w:w="630" w:type="dxa"/>
            <w:vAlign w:val="bottom"/>
          </w:tcPr>
          <w:p w14:paraId="2753775F"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N</w:t>
            </w:r>
          </w:p>
        </w:tc>
        <w:tc>
          <w:tcPr>
            <w:tcW w:w="810" w:type="dxa"/>
            <w:vAlign w:val="bottom"/>
          </w:tcPr>
          <w:p w14:paraId="481731E1"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w:t>
            </w:r>
          </w:p>
        </w:tc>
        <w:tc>
          <w:tcPr>
            <w:tcW w:w="630" w:type="dxa"/>
            <w:vAlign w:val="bottom"/>
          </w:tcPr>
          <w:p w14:paraId="3CE171AF"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N</w:t>
            </w:r>
          </w:p>
        </w:tc>
        <w:tc>
          <w:tcPr>
            <w:tcW w:w="810" w:type="dxa"/>
            <w:vAlign w:val="bottom"/>
          </w:tcPr>
          <w:p w14:paraId="2FD32476" w14:textId="77777777" w:rsidR="00AF33E0" w:rsidRPr="00B975A1" w:rsidRDefault="00AF33E0" w:rsidP="008577F3">
            <w:pPr>
              <w:jc w:val="center"/>
              <w:rPr>
                <w:rFonts w:ascii="Times New Roman" w:eastAsia="Times New Roman" w:hAnsi="Times New Roman" w:cs="Times New Roman"/>
                <w:color w:val="000000"/>
                <w:sz w:val="22"/>
                <w:szCs w:val="22"/>
              </w:rPr>
            </w:pPr>
            <w:r w:rsidRPr="00B975A1">
              <w:rPr>
                <w:color w:val="000000"/>
                <w:sz w:val="22"/>
                <w:szCs w:val="22"/>
              </w:rPr>
              <w:t>%</w:t>
            </w:r>
          </w:p>
        </w:tc>
        <w:tc>
          <w:tcPr>
            <w:tcW w:w="1080" w:type="dxa"/>
          </w:tcPr>
          <w:p w14:paraId="5EA28870" w14:textId="77777777" w:rsidR="00AF33E0" w:rsidRPr="00B975A1" w:rsidRDefault="00AF33E0" w:rsidP="008577F3">
            <w:pPr>
              <w:jc w:val="center"/>
              <w:rPr>
                <w:rFonts w:ascii="Times New Roman" w:hAnsi="Times New Roman" w:cs="Times New Roman"/>
                <w:color w:val="000000"/>
                <w:sz w:val="22"/>
                <w:szCs w:val="22"/>
              </w:rPr>
            </w:pPr>
          </w:p>
        </w:tc>
      </w:tr>
      <w:tr w:rsidR="00B33538" w:rsidRPr="003A7CC4" w14:paraId="02DF2153" w14:textId="1C592906" w:rsidTr="003072B1">
        <w:trPr>
          <w:jc w:val="center"/>
        </w:trPr>
        <w:tc>
          <w:tcPr>
            <w:tcW w:w="1192" w:type="dxa"/>
            <w:vAlign w:val="bottom"/>
          </w:tcPr>
          <w:p w14:paraId="45779832" w14:textId="77777777" w:rsidR="00AF33E0" w:rsidRPr="00B975A1" w:rsidRDefault="00AF33E0" w:rsidP="008577F3">
            <w:pPr>
              <w:rPr>
                <w:rFonts w:ascii="Times New Roman" w:eastAsia="Times New Roman" w:hAnsi="Times New Roman" w:cs="Times New Roman"/>
                <w:color w:val="000000"/>
                <w:sz w:val="22"/>
                <w:szCs w:val="22"/>
              </w:rPr>
            </w:pPr>
            <w:r w:rsidRPr="00B975A1">
              <w:rPr>
                <w:color w:val="000000"/>
                <w:sz w:val="22"/>
                <w:szCs w:val="22"/>
              </w:rPr>
              <w:t xml:space="preserve">Treatment group </w:t>
            </w:r>
          </w:p>
        </w:tc>
        <w:tc>
          <w:tcPr>
            <w:tcW w:w="630" w:type="dxa"/>
          </w:tcPr>
          <w:p w14:paraId="1816989F" w14:textId="77777777" w:rsidR="00AF33E0" w:rsidRPr="00B975A1" w:rsidRDefault="00AF33E0" w:rsidP="008577F3">
            <w:pPr>
              <w:jc w:val="center"/>
              <w:rPr>
                <w:rFonts w:ascii="Times New Roman" w:hAnsi="Times New Roman" w:cs="Times New Roman"/>
                <w:sz w:val="22"/>
                <w:szCs w:val="22"/>
              </w:rPr>
            </w:pPr>
            <w:r w:rsidRPr="00B975A1">
              <w:rPr>
                <w:sz w:val="22"/>
                <w:szCs w:val="22"/>
              </w:rPr>
              <w:t>250</w:t>
            </w:r>
          </w:p>
        </w:tc>
        <w:tc>
          <w:tcPr>
            <w:tcW w:w="810" w:type="dxa"/>
          </w:tcPr>
          <w:p w14:paraId="35E9D92A" w14:textId="77777777" w:rsidR="00AF33E0" w:rsidRPr="00B975A1" w:rsidRDefault="00AF33E0" w:rsidP="008577F3">
            <w:pPr>
              <w:jc w:val="center"/>
              <w:rPr>
                <w:rFonts w:ascii="Times New Roman" w:hAnsi="Times New Roman" w:cs="Times New Roman"/>
                <w:sz w:val="22"/>
                <w:szCs w:val="22"/>
              </w:rPr>
            </w:pPr>
            <w:r w:rsidRPr="00B975A1">
              <w:rPr>
                <w:sz w:val="22"/>
                <w:szCs w:val="22"/>
              </w:rPr>
              <w:t>35.2%</w:t>
            </w:r>
          </w:p>
        </w:tc>
        <w:tc>
          <w:tcPr>
            <w:tcW w:w="630" w:type="dxa"/>
          </w:tcPr>
          <w:p w14:paraId="673CEC15" w14:textId="77777777" w:rsidR="00AF33E0" w:rsidRPr="00B975A1" w:rsidRDefault="00AF33E0" w:rsidP="008577F3">
            <w:pPr>
              <w:jc w:val="center"/>
              <w:rPr>
                <w:rFonts w:ascii="Times New Roman" w:hAnsi="Times New Roman" w:cs="Times New Roman"/>
                <w:sz w:val="22"/>
                <w:szCs w:val="22"/>
              </w:rPr>
            </w:pPr>
            <w:r w:rsidRPr="00B975A1">
              <w:rPr>
                <w:sz w:val="22"/>
                <w:szCs w:val="22"/>
              </w:rPr>
              <w:t>52</w:t>
            </w:r>
          </w:p>
        </w:tc>
        <w:tc>
          <w:tcPr>
            <w:tcW w:w="810" w:type="dxa"/>
          </w:tcPr>
          <w:p w14:paraId="2739DAF1" w14:textId="77777777" w:rsidR="00AF33E0" w:rsidRPr="00B975A1" w:rsidRDefault="00AF33E0" w:rsidP="008577F3">
            <w:pPr>
              <w:jc w:val="center"/>
              <w:rPr>
                <w:rFonts w:ascii="Times New Roman" w:hAnsi="Times New Roman" w:cs="Times New Roman"/>
                <w:sz w:val="22"/>
                <w:szCs w:val="22"/>
              </w:rPr>
            </w:pPr>
            <w:r w:rsidRPr="00B975A1">
              <w:rPr>
                <w:sz w:val="22"/>
                <w:szCs w:val="22"/>
              </w:rPr>
              <w:t>43.0%</w:t>
            </w:r>
          </w:p>
        </w:tc>
        <w:tc>
          <w:tcPr>
            <w:tcW w:w="630" w:type="dxa"/>
          </w:tcPr>
          <w:p w14:paraId="719105F2" w14:textId="77777777" w:rsidR="00AF33E0" w:rsidRPr="00B975A1" w:rsidRDefault="00AF33E0" w:rsidP="008577F3">
            <w:pPr>
              <w:jc w:val="center"/>
              <w:rPr>
                <w:rFonts w:ascii="Times New Roman" w:hAnsi="Times New Roman" w:cs="Times New Roman"/>
                <w:sz w:val="22"/>
                <w:szCs w:val="22"/>
              </w:rPr>
            </w:pPr>
            <w:r w:rsidRPr="00B975A1">
              <w:rPr>
                <w:sz w:val="22"/>
                <w:szCs w:val="22"/>
              </w:rPr>
              <w:t>141</w:t>
            </w:r>
          </w:p>
        </w:tc>
        <w:tc>
          <w:tcPr>
            <w:tcW w:w="810" w:type="dxa"/>
          </w:tcPr>
          <w:p w14:paraId="639E102B" w14:textId="77777777" w:rsidR="00AF33E0" w:rsidRPr="00B975A1" w:rsidRDefault="00AF33E0" w:rsidP="008577F3">
            <w:pPr>
              <w:jc w:val="center"/>
              <w:rPr>
                <w:rFonts w:ascii="Times New Roman" w:hAnsi="Times New Roman" w:cs="Times New Roman"/>
                <w:sz w:val="22"/>
                <w:szCs w:val="22"/>
              </w:rPr>
            </w:pPr>
            <w:r w:rsidRPr="00B975A1">
              <w:rPr>
                <w:sz w:val="22"/>
                <w:szCs w:val="22"/>
              </w:rPr>
              <w:t>33.9%</w:t>
            </w:r>
          </w:p>
        </w:tc>
        <w:tc>
          <w:tcPr>
            <w:tcW w:w="630" w:type="dxa"/>
          </w:tcPr>
          <w:p w14:paraId="41DF3A2E" w14:textId="77777777" w:rsidR="00AF33E0" w:rsidRPr="00B975A1" w:rsidRDefault="00AF33E0" w:rsidP="008577F3">
            <w:pPr>
              <w:jc w:val="center"/>
              <w:rPr>
                <w:rFonts w:ascii="Times New Roman" w:hAnsi="Times New Roman" w:cs="Times New Roman"/>
                <w:sz w:val="22"/>
                <w:szCs w:val="22"/>
              </w:rPr>
            </w:pPr>
            <w:r w:rsidRPr="00B975A1">
              <w:rPr>
                <w:sz w:val="22"/>
                <w:szCs w:val="22"/>
              </w:rPr>
              <w:t>163</w:t>
            </w:r>
          </w:p>
        </w:tc>
        <w:tc>
          <w:tcPr>
            <w:tcW w:w="810" w:type="dxa"/>
          </w:tcPr>
          <w:p w14:paraId="2BC7DA84" w14:textId="77777777" w:rsidR="00AF33E0" w:rsidRPr="00B975A1" w:rsidRDefault="00AF33E0" w:rsidP="008577F3">
            <w:pPr>
              <w:jc w:val="center"/>
              <w:rPr>
                <w:rFonts w:ascii="Times New Roman" w:hAnsi="Times New Roman" w:cs="Times New Roman"/>
                <w:sz w:val="22"/>
                <w:szCs w:val="22"/>
              </w:rPr>
            </w:pPr>
            <w:r w:rsidRPr="00B975A1">
              <w:rPr>
                <w:sz w:val="22"/>
                <w:szCs w:val="22"/>
              </w:rPr>
              <w:t>34.8%</w:t>
            </w:r>
          </w:p>
        </w:tc>
        <w:tc>
          <w:tcPr>
            <w:tcW w:w="630" w:type="dxa"/>
          </w:tcPr>
          <w:p w14:paraId="2D16D1B2" w14:textId="77777777" w:rsidR="00AF33E0" w:rsidRPr="00B975A1" w:rsidRDefault="00AF33E0" w:rsidP="008577F3">
            <w:pPr>
              <w:jc w:val="center"/>
              <w:rPr>
                <w:rFonts w:ascii="Times New Roman" w:hAnsi="Times New Roman" w:cs="Times New Roman"/>
                <w:sz w:val="22"/>
                <w:szCs w:val="22"/>
              </w:rPr>
            </w:pPr>
            <w:r w:rsidRPr="00B975A1">
              <w:rPr>
                <w:sz w:val="22"/>
                <w:szCs w:val="22"/>
              </w:rPr>
              <w:t>84</w:t>
            </w:r>
          </w:p>
        </w:tc>
        <w:tc>
          <w:tcPr>
            <w:tcW w:w="810" w:type="dxa"/>
          </w:tcPr>
          <w:p w14:paraId="5F77680A" w14:textId="77777777" w:rsidR="00AF33E0" w:rsidRPr="00B975A1" w:rsidRDefault="00AF33E0" w:rsidP="008577F3">
            <w:pPr>
              <w:jc w:val="center"/>
              <w:rPr>
                <w:rFonts w:ascii="Times New Roman" w:hAnsi="Times New Roman" w:cs="Times New Roman"/>
                <w:sz w:val="22"/>
                <w:szCs w:val="22"/>
              </w:rPr>
            </w:pPr>
            <w:r w:rsidRPr="00B975A1">
              <w:rPr>
                <w:sz w:val="22"/>
                <w:szCs w:val="22"/>
              </w:rPr>
              <w:t>18.3%</w:t>
            </w:r>
          </w:p>
        </w:tc>
        <w:tc>
          <w:tcPr>
            <w:tcW w:w="1080" w:type="dxa"/>
          </w:tcPr>
          <w:p w14:paraId="23879A15" w14:textId="44CCAD82" w:rsidR="00AF33E0" w:rsidRPr="00B975A1" w:rsidRDefault="00AF33E0" w:rsidP="008577F3">
            <w:pPr>
              <w:jc w:val="center"/>
              <w:rPr>
                <w:rFonts w:ascii="Times New Roman" w:hAnsi="Times New Roman" w:cs="Times New Roman"/>
                <w:sz w:val="22"/>
                <w:szCs w:val="22"/>
              </w:rPr>
            </w:pPr>
            <w:r w:rsidRPr="00B975A1">
              <w:rPr>
                <w:sz w:val="22"/>
                <w:szCs w:val="22"/>
              </w:rPr>
              <w:t>690</w:t>
            </w:r>
          </w:p>
        </w:tc>
      </w:tr>
      <w:tr w:rsidR="00B33538" w:rsidRPr="003A7CC4" w14:paraId="31A0E1DA" w14:textId="242ED55F" w:rsidTr="003072B1">
        <w:trPr>
          <w:jc w:val="center"/>
        </w:trPr>
        <w:tc>
          <w:tcPr>
            <w:tcW w:w="1192" w:type="dxa"/>
            <w:vAlign w:val="bottom"/>
          </w:tcPr>
          <w:p w14:paraId="450E30E3" w14:textId="77777777" w:rsidR="00AF33E0" w:rsidRPr="00B975A1" w:rsidRDefault="00AF33E0" w:rsidP="008577F3">
            <w:pPr>
              <w:rPr>
                <w:rFonts w:ascii="Times New Roman" w:eastAsia="Times New Roman" w:hAnsi="Times New Roman" w:cs="Times New Roman"/>
                <w:color w:val="000000"/>
                <w:sz w:val="22"/>
                <w:szCs w:val="22"/>
              </w:rPr>
            </w:pPr>
            <w:r w:rsidRPr="00B975A1">
              <w:rPr>
                <w:color w:val="000000"/>
                <w:sz w:val="22"/>
                <w:szCs w:val="22"/>
              </w:rPr>
              <w:t xml:space="preserve">Control group </w:t>
            </w:r>
          </w:p>
        </w:tc>
        <w:tc>
          <w:tcPr>
            <w:tcW w:w="630" w:type="dxa"/>
          </w:tcPr>
          <w:p w14:paraId="4C765619" w14:textId="77777777" w:rsidR="00AF33E0" w:rsidRPr="00B975A1" w:rsidRDefault="00AF33E0" w:rsidP="008577F3">
            <w:pPr>
              <w:jc w:val="center"/>
              <w:rPr>
                <w:rFonts w:ascii="Times New Roman" w:hAnsi="Times New Roman" w:cs="Times New Roman"/>
                <w:sz w:val="22"/>
                <w:szCs w:val="22"/>
              </w:rPr>
            </w:pPr>
            <w:r w:rsidRPr="00B975A1">
              <w:rPr>
                <w:sz w:val="22"/>
                <w:szCs w:val="22"/>
              </w:rPr>
              <w:t>461</w:t>
            </w:r>
          </w:p>
        </w:tc>
        <w:tc>
          <w:tcPr>
            <w:tcW w:w="810" w:type="dxa"/>
          </w:tcPr>
          <w:p w14:paraId="72D1E18F" w14:textId="77777777" w:rsidR="00AF33E0" w:rsidRPr="00B975A1" w:rsidRDefault="00AF33E0" w:rsidP="008577F3">
            <w:pPr>
              <w:jc w:val="center"/>
              <w:rPr>
                <w:rFonts w:ascii="Times New Roman" w:hAnsi="Times New Roman" w:cs="Times New Roman"/>
                <w:sz w:val="22"/>
                <w:szCs w:val="22"/>
              </w:rPr>
            </w:pPr>
            <w:r w:rsidRPr="00B975A1">
              <w:rPr>
                <w:sz w:val="22"/>
                <w:szCs w:val="22"/>
              </w:rPr>
              <w:t>64.8%</w:t>
            </w:r>
          </w:p>
        </w:tc>
        <w:tc>
          <w:tcPr>
            <w:tcW w:w="630" w:type="dxa"/>
          </w:tcPr>
          <w:p w14:paraId="78C71B0A" w14:textId="77777777" w:rsidR="00AF33E0" w:rsidRPr="00B975A1" w:rsidRDefault="00AF33E0" w:rsidP="008577F3">
            <w:pPr>
              <w:jc w:val="center"/>
              <w:rPr>
                <w:rFonts w:ascii="Times New Roman" w:hAnsi="Times New Roman" w:cs="Times New Roman"/>
                <w:sz w:val="22"/>
                <w:szCs w:val="22"/>
              </w:rPr>
            </w:pPr>
            <w:r w:rsidRPr="00B975A1">
              <w:rPr>
                <w:sz w:val="22"/>
                <w:szCs w:val="22"/>
              </w:rPr>
              <w:t>69</w:t>
            </w:r>
          </w:p>
        </w:tc>
        <w:tc>
          <w:tcPr>
            <w:tcW w:w="810" w:type="dxa"/>
          </w:tcPr>
          <w:p w14:paraId="096544A6" w14:textId="77777777" w:rsidR="00AF33E0" w:rsidRPr="00B975A1" w:rsidRDefault="00AF33E0" w:rsidP="008577F3">
            <w:pPr>
              <w:jc w:val="center"/>
              <w:rPr>
                <w:rFonts w:ascii="Times New Roman" w:hAnsi="Times New Roman" w:cs="Times New Roman"/>
                <w:sz w:val="22"/>
                <w:szCs w:val="22"/>
              </w:rPr>
            </w:pPr>
            <w:r w:rsidRPr="00B975A1">
              <w:rPr>
                <w:sz w:val="22"/>
                <w:szCs w:val="22"/>
              </w:rPr>
              <w:t>57.0%</w:t>
            </w:r>
          </w:p>
        </w:tc>
        <w:tc>
          <w:tcPr>
            <w:tcW w:w="630" w:type="dxa"/>
          </w:tcPr>
          <w:p w14:paraId="0D074B15" w14:textId="77777777" w:rsidR="00AF33E0" w:rsidRPr="00B975A1" w:rsidRDefault="00AF33E0" w:rsidP="008577F3">
            <w:pPr>
              <w:jc w:val="center"/>
              <w:rPr>
                <w:rFonts w:ascii="Times New Roman" w:hAnsi="Times New Roman" w:cs="Times New Roman"/>
                <w:sz w:val="22"/>
                <w:szCs w:val="22"/>
              </w:rPr>
            </w:pPr>
            <w:r w:rsidRPr="00B975A1">
              <w:rPr>
                <w:sz w:val="22"/>
                <w:szCs w:val="22"/>
              </w:rPr>
              <w:t>275</w:t>
            </w:r>
          </w:p>
        </w:tc>
        <w:tc>
          <w:tcPr>
            <w:tcW w:w="810" w:type="dxa"/>
          </w:tcPr>
          <w:p w14:paraId="6BD80FA3" w14:textId="77777777" w:rsidR="00AF33E0" w:rsidRPr="00B975A1" w:rsidRDefault="00AF33E0" w:rsidP="008577F3">
            <w:pPr>
              <w:jc w:val="center"/>
              <w:rPr>
                <w:rFonts w:ascii="Times New Roman" w:hAnsi="Times New Roman" w:cs="Times New Roman"/>
                <w:sz w:val="22"/>
                <w:szCs w:val="22"/>
              </w:rPr>
            </w:pPr>
            <w:r w:rsidRPr="00B975A1">
              <w:rPr>
                <w:sz w:val="22"/>
                <w:szCs w:val="22"/>
              </w:rPr>
              <w:t>66.1%</w:t>
            </w:r>
          </w:p>
        </w:tc>
        <w:tc>
          <w:tcPr>
            <w:tcW w:w="630" w:type="dxa"/>
          </w:tcPr>
          <w:p w14:paraId="5ADCC418" w14:textId="77777777" w:rsidR="00AF33E0" w:rsidRPr="00B975A1" w:rsidRDefault="00AF33E0" w:rsidP="008577F3">
            <w:pPr>
              <w:jc w:val="center"/>
              <w:rPr>
                <w:rFonts w:ascii="Times New Roman" w:hAnsi="Times New Roman" w:cs="Times New Roman"/>
                <w:sz w:val="22"/>
                <w:szCs w:val="22"/>
              </w:rPr>
            </w:pPr>
            <w:r w:rsidRPr="00B975A1">
              <w:rPr>
                <w:sz w:val="22"/>
                <w:szCs w:val="22"/>
              </w:rPr>
              <w:t>305</w:t>
            </w:r>
          </w:p>
        </w:tc>
        <w:tc>
          <w:tcPr>
            <w:tcW w:w="810" w:type="dxa"/>
          </w:tcPr>
          <w:p w14:paraId="625BAB80" w14:textId="77777777" w:rsidR="00AF33E0" w:rsidRPr="00B975A1" w:rsidRDefault="00AF33E0" w:rsidP="008577F3">
            <w:pPr>
              <w:jc w:val="center"/>
              <w:rPr>
                <w:rFonts w:ascii="Times New Roman" w:hAnsi="Times New Roman" w:cs="Times New Roman"/>
                <w:sz w:val="22"/>
                <w:szCs w:val="22"/>
              </w:rPr>
            </w:pPr>
            <w:r w:rsidRPr="00B975A1">
              <w:rPr>
                <w:sz w:val="22"/>
                <w:szCs w:val="22"/>
              </w:rPr>
              <w:t>65.2%</w:t>
            </w:r>
          </w:p>
        </w:tc>
        <w:tc>
          <w:tcPr>
            <w:tcW w:w="630" w:type="dxa"/>
          </w:tcPr>
          <w:p w14:paraId="71CF4515" w14:textId="77777777" w:rsidR="00AF33E0" w:rsidRPr="00B975A1" w:rsidRDefault="00AF33E0" w:rsidP="008577F3">
            <w:pPr>
              <w:jc w:val="center"/>
              <w:rPr>
                <w:rFonts w:ascii="Times New Roman" w:hAnsi="Times New Roman" w:cs="Times New Roman"/>
                <w:sz w:val="22"/>
                <w:szCs w:val="22"/>
              </w:rPr>
            </w:pPr>
            <w:r w:rsidRPr="00B975A1">
              <w:rPr>
                <w:sz w:val="22"/>
                <w:szCs w:val="22"/>
              </w:rPr>
              <w:t>376</w:t>
            </w:r>
          </w:p>
        </w:tc>
        <w:tc>
          <w:tcPr>
            <w:tcW w:w="810" w:type="dxa"/>
          </w:tcPr>
          <w:p w14:paraId="379A32F0" w14:textId="77777777" w:rsidR="00AF33E0" w:rsidRPr="00B975A1" w:rsidRDefault="00AF33E0" w:rsidP="008577F3">
            <w:pPr>
              <w:jc w:val="center"/>
              <w:rPr>
                <w:rFonts w:ascii="Times New Roman" w:hAnsi="Times New Roman" w:cs="Times New Roman"/>
                <w:sz w:val="22"/>
                <w:szCs w:val="22"/>
              </w:rPr>
            </w:pPr>
            <w:r w:rsidRPr="00B975A1">
              <w:rPr>
                <w:sz w:val="22"/>
                <w:szCs w:val="22"/>
              </w:rPr>
              <w:t>81.7%</w:t>
            </w:r>
          </w:p>
        </w:tc>
        <w:tc>
          <w:tcPr>
            <w:tcW w:w="1080" w:type="dxa"/>
          </w:tcPr>
          <w:p w14:paraId="33BC6AC4" w14:textId="7B293960" w:rsidR="00AF33E0" w:rsidRPr="00B975A1" w:rsidRDefault="00AF33E0" w:rsidP="008577F3">
            <w:pPr>
              <w:jc w:val="center"/>
              <w:rPr>
                <w:rFonts w:ascii="Times New Roman" w:hAnsi="Times New Roman" w:cs="Times New Roman"/>
                <w:sz w:val="22"/>
                <w:szCs w:val="22"/>
              </w:rPr>
            </w:pPr>
            <w:r w:rsidRPr="00B975A1">
              <w:rPr>
                <w:sz w:val="22"/>
                <w:szCs w:val="22"/>
              </w:rPr>
              <w:t>1486</w:t>
            </w:r>
          </w:p>
        </w:tc>
      </w:tr>
      <w:tr w:rsidR="00B33538" w:rsidRPr="003A7CC4" w14:paraId="172531EB" w14:textId="5E589F18" w:rsidTr="003072B1">
        <w:trPr>
          <w:jc w:val="center"/>
        </w:trPr>
        <w:tc>
          <w:tcPr>
            <w:tcW w:w="1192" w:type="dxa"/>
            <w:vAlign w:val="bottom"/>
          </w:tcPr>
          <w:p w14:paraId="040538AC" w14:textId="77777777" w:rsidR="00AF33E0" w:rsidRPr="00B975A1" w:rsidRDefault="00AF33E0" w:rsidP="008577F3">
            <w:pPr>
              <w:rPr>
                <w:rFonts w:ascii="Times New Roman" w:eastAsia="Times New Roman" w:hAnsi="Times New Roman" w:cs="Times New Roman"/>
                <w:color w:val="000000"/>
                <w:sz w:val="22"/>
                <w:szCs w:val="22"/>
              </w:rPr>
            </w:pPr>
            <w:r w:rsidRPr="00B975A1">
              <w:rPr>
                <w:color w:val="000000"/>
                <w:sz w:val="22"/>
                <w:szCs w:val="22"/>
              </w:rPr>
              <w:t xml:space="preserve">Total </w:t>
            </w:r>
          </w:p>
        </w:tc>
        <w:tc>
          <w:tcPr>
            <w:tcW w:w="630" w:type="dxa"/>
          </w:tcPr>
          <w:p w14:paraId="575BD51B" w14:textId="77777777" w:rsidR="00AF33E0" w:rsidRPr="00B975A1" w:rsidRDefault="00AF33E0" w:rsidP="008577F3">
            <w:pPr>
              <w:jc w:val="center"/>
              <w:rPr>
                <w:rFonts w:ascii="Times New Roman" w:hAnsi="Times New Roman" w:cs="Times New Roman"/>
                <w:sz w:val="22"/>
                <w:szCs w:val="22"/>
              </w:rPr>
            </w:pPr>
            <w:r w:rsidRPr="00B975A1">
              <w:rPr>
                <w:sz w:val="22"/>
                <w:szCs w:val="22"/>
              </w:rPr>
              <w:t>711</w:t>
            </w:r>
          </w:p>
        </w:tc>
        <w:tc>
          <w:tcPr>
            <w:tcW w:w="810" w:type="dxa"/>
          </w:tcPr>
          <w:p w14:paraId="790B569B" w14:textId="77777777" w:rsidR="00AF33E0" w:rsidRPr="00B975A1" w:rsidRDefault="00AF33E0" w:rsidP="008577F3">
            <w:pPr>
              <w:jc w:val="center"/>
              <w:rPr>
                <w:rFonts w:ascii="Times New Roman" w:hAnsi="Times New Roman" w:cs="Times New Roman"/>
                <w:sz w:val="22"/>
                <w:szCs w:val="22"/>
              </w:rPr>
            </w:pPr>
            <w:r w:rsidRPr="00B975A1">
              <w:rPr>
                <w:sz w:val="22"/>
                <w:szCs w:val="22"/>
              </w:rPr>
              <w:t>100%</w:t>
            </w:r>
          </w:p>
        </w:tc>
        <w:tc>
          <w:tcPr>
            <w:tcW w:w="630" w:type="dxa"/>
          </w:tcPr>
          <w:p w14:paraId="4306646E" w14:textId="77777777" w:rsidR="00AF33E0" w:rsidRPr="00B975A1" w:rsidRDefault="00AF33E0" w:rsidP="008577F3">
            <w:pPr>
              <w:jc w:val="center"/>
              <w:rPr>
                <w:rFonts w:ascii="Times New Roman" w:hAnsi="Times New Roman" w:cs="Times New Roman"/>
                <w:sz w:val="22"/>
                <w:szCs w:val="22"/>
              </w:rPr>
            </w:pPr>
            <w:r w:rsidRPr="00B975A1">
              <w:rPr>
                <w:sz w:val="22"/>
                <w:szCs w:val="22"/>
              </w:rPr>
              <w:t>121</w:t>
            </w:r>
          </w:p>
        </w:tc>
        <w:tc>
          <w:tcPr>
            <w:tcW w:w="810" w:type="dxa"/>
          </w:tcPr>
          <w:p w14:paraId="6747ADFE" w14:textId="77777777" w:rsidR="00AF33E0" w:rsidRPr="00B975A1" w:rsidRDefault="00AF33E0" w:rsidP="008577F3">
            <w:pPr>
              <w:jc w:val="center"/>
              <w:rPr>
                <w:rFonts w:ascii="Times New Roman" w:hAnsi="Times New Roman" w:cs="Times New Roman"/>
                <w:sz w:val="22"/>
                <w:szCs w:val="22"/>
              </w:rPr>
            </w:pPr>
            <w:r w:rsidRPr="00B975A1">
              <w:rPr>
                <w:sz w:val="22"/>
                <w:szCs w:val="22"/>
              </w:rPr>
              <w:t>100%</w:t>
            </w:r>
          </w:p>
        </w:tc>
        <w:tc>
          <w:tcPr>
            <w:tcW w:w="630" w:type="dxa"/>
          </w:tcPr>
          <w:p w14:paraId="43EAE7E7" w14:textId="77777777" w:rsidR="00AF33E0" w:rsidRPr="00B975A1" w:rsidRDefault="00AF33E0" w:rsidP="008577F3">
            <w:pPr>
              <w:jc w:val="center"/>
              <w:rPr>
                <w:rFonts w:ascii="Times New Roman" w:hAnsi="Times New Roman" w:cs="Times New Roman"/>
                <w:sz w:val="22"/>
                <w:szCs w:val="22"/>
              </w:rPr>
            </w:pPr>
            <w:r w:rsidRPr="00B975A1">
              <w:rPr>
                <w:sz w:val="22"/>
                <w:szCs w:val="22"/>
              </w:rPr>
              <w:t>416</w:t>
            </w:r>
          </w:p>
        </w:tc>
        <w:tc>
          <w:tcPr>
            <w:tcW w:w="810" w:type="dxa"/>
          </w:tcPr>
          <w:p w14:paraId="25CF61B6" w14:textId="77777777" w:rsidR="00AF33E0" w:rsidRPr="00B975A1" w:rsidRDefault="00AF33E0" w:rsidP="008577F3">
            <w:pPr>
              <w:jc w:val="center"/>
              <w:rPr>
                <w:rFonts w:ascii="Times New Roman" w:hAnsi="Times New Roman" w:cs="Times New Roman"/>
                <w:sz w:val="22"/>
                <w:szCs w:val="22"/>
              </w:rPr>
            </w:pPr>
            <w:r w:rsidRPr="00B975A1">
              <w:rPr>
                <w:sz w:val="22"/>
                <w:szCs w:val="22"/>
              </w:rPr>
              <w:t>100%</w:t>
            </w:r>
          </w:p>
        </w:tc>
        <w:tc>
          <w:tcPr>
            <w:tcW w:w="630" w:type="dxa"/>
          </w:tcPr>
          <w:p w14:paraId="1FE43FF6" w14:textId="77777777" w:rsidR="00AF33E0" w:rsidRPr="00B975A1" w:rsidRDefault="00AF33E0" w:rsidP="008577F3">
            <w:pPr>
              <w:jc w:val="center"/>
              <w:rPr>
                <w:rFonts w:ascii="Times New Roman" w:hAnsi="Times New Roman" w:cs="Times New Roman"/>
                <w:sz w:val="22"/>
                <w:szCs w:val="22"/>
              </w:rPr>
            </w:pPr>
            <w:r w:rsidRPr="00B975A1">
              <w:rPr>
                <w:sz w:val="22"/>
                <w:szCs w:val="22"/>
              </w:rPr>
              <w:t>468</w:t>
            </w:r>
          </w:p>
        </w:tc>
        <w:tc>
          <w:tcPr>
            <w:tcW w:w="810" w:type="dxa"/>
          </w:tcPr>
          <w:p w14:paraId="127686BA" w14:textId="77777777" w:rsidR="00AF33E0" w:rsidRPr="00B975A1" w:rsidRDefault="00AF33E0" w:rsidP="008577F3">
            <w:pPr>
              <w:jc w:val="center"/>
              <w:rPr>
                <w:rFonts w:ascii="Times New Roman" w:hAnsi="Times New Roman" w:cs="Times New Roman"/>
                <w:sz w:val="22"/>
                <w:szCs w:val="22"/>
              </w:rPr>
            </w:pPr>
            <w:r w:rsidRPr="00B975A1">
              <w:rPr>
                <w:sz w:val="22"/>
                <w:szCs w:val="22"/>
              </w:rPr>
              <w:t>100%</w:t>
            </w:r>
          </w:p>
        </w:tc>
        <w:tc>
          <w:tcPr>
            <w:tcW w:w="630" w:type="dxa"/>
          </w:tcPr>
          <w:p w14:paraId="681B568C" w14:textId="77777777" w:rsidR="00AF33E0" w:rsidRPr="00B975A1" w:rsidRDefault="00AF33E0" w:rsidP="008577F3">
            <w:pPr>
              <w:jc w:val="center"/>
              <w:rPr>
                <w:rFonts w:ascii="Times New Roman" w:hAnsi="Times New Roman" w:cs="Times New Roman"/>
                <w:sz w:val="22"/>
                <w:szCs w:val="22"/>
              </w:rPr>
            </w:pPr>
            <w:r w:rsidRPr="00B975A1">
              <w:rPr>
                <w:sz w:val="22"/>
                <w:szCs w:val="22"/>
              </w:rPr>
              <w:t>460</w:t>
            </w:r>
          </w:p>
        </w:tc>
        <w:tc>
          <w:tcPr>
            <w:tcW w:w="810" w:type="dxa"/>
          </w:tcPr>
          <w:p w14:paraId="7BD435E9" w14:textId="77777777" w:rsidR="00AF33E0" w:rsidRPr="00B975A1" w:rsidRDefault="00AF33E0" w:rsidP="008577F3">
            <w:pPr>
              <w:jc w:val="center"/>
              <w:rPr>
                <w:rFonts w:ascii="Times New Roman" w:hAnsi="Times New Roman" w:cs="Times New Roman"/>
                <w:sz w:val="22"/>
                <w:szCs w:val="22"/>
              </w:rPr>
            </w:pPr>
            <w:r w:rsidRPr="00B975A1">
              <w:rPr>
                <w:sz w:val="22"/>
                <w:szCs w:val="22"/>
              </w:rPr>
              <w:t>100%</w:t>
            </w:r>
          </w:p>
        </w:tc>
        <w:tc>
          <w:tcPr>
            <w:tcW w:w="1080" w:type="dxa"/>
          </w:tcPr>
          <w:p w14:paraId="08DC36E9" w14:textId="3F33E45E" w:rsidR="00AF33E0" w:rsidRPr="00B975A1" w:rsidRDefault="00AF33E0" w:rsidP="008577F3">
            <w:pPr>
              <w:jc w:val="center"/>
              <w:rPr>
                <w:rFonts w:ascii="Times New Roman" w:hAnsi="Times New Roman" w:cs="Times New Roman"/>
                <w:sz w:val="22"/>
                <w:szCs w:val="22"/>
              </w:rPr>
            </w:pPr>
            <w:r w:rsidRPr="00B975A1">
              <w:rPr>
                <w:sz w:val="22"/>
                <w:szCs w:val="22"/>
              </w:rPr>
              <w:t>2176</w:t>
            </w:r>
          </w:p>
        </w:tc>
      </w:tr>
    </w:tbl>
    <w:p w14:paraId="08F8CB08" w14:textId="77777777" w:rsidR="009B5AF8" w:rsidRPr="00B975A1" w:rsidRDefault="009B5AF8" w:rsidP="009B5AF8">
      <w:pPr>
        <w:pStyle w:val="ListParagraph"/>
        <w:ind w:left="0"/>
      </w:pPr>
    </w:p>
    <w:p w14:paraId="4B91B065" w14:textId="77777777" w:rsidR="009B5AF8" w:rsidRPr="00B975A1" w:rsidRDefault="009B5AF8" w:rsidP="009B5AF8">
      <w:pPr>
        <w:pStyle w:val="ListParagraph"/>
        <w:ind w:left="0"/>
      </w:pPr>
    </w:p>
    <w:p w14:paraId="7BE7900D" w14:textId="77777777" w:rsidR="008C3379" w:rsidRPr="00B975A1" w:rsidRDefault="008C3379">
      <w:r w:rsidRPr="00B975A1">
        <w:br w:type="page"/>
      </w:r>
    </w:p>
    <w:p w14:paraId="2F28FF44" w14:textId="74E7CE70" w:rsidR="009B5AF8" w:rsidRPr="00B975A1" w:rsidRDefault="009B5AF8" w:rsidP="009B5AF8">
      <w:pPr>
        <w:pStyle w:val="ListParagraph"/>
        <w:ind w:left="0"/>
      </w:pPr>
      <w:r w:rsidRPr="00B975A1">
        <w:lastRenderedPageBreak/>
        <w:t>Table B4 presents the power calculations by county for the caregiver sample:</w:t>
      </w:r>
    </w:p>
    <w:p w14:paraId="52D58EBF" w14:textId="77777777" w:rsidR="009B5AF8" w:rsidRPr="00B975A1" w:rsidRDefault="009B5AF8" w:rsidP="009B5AF8">
      <w:pPr>
        <w:pStyle w:val="ListParagraph"/>
        <w:ind w:left="0"/>
      </w:pPr>
    </w:p>
    <w:tbl>
      <w:tblPr>
        <w:tblStyle w:val="TableGrid"/>
        <w:tblW w:w="0" w:type="auto"/>
        <w:tblLook w:val="04A0" w:firstRow="1" w:lastRow="0" w:firstColumn="1" w:lastColumn="0" w:noHBand="0" w:noVBand="1"/>
      </w:tblPr>
      <w:tblGrid>
        <w:gridCol w:w="1538"/>
        <w:gridCol w:w="1339"/>
        <w:gridCol w:w="1340"/>
        <w:gridCol w:w="1340"/>
        <w:gridCol w:w="1339"/>
        <w:gridCol w:w="1340"/>
        <w:gridCol w:w="1340"/>
      </w:tblGrid>
      <w:tr w:rsidR="005C7DFE" w:rsidRPr="003A7CC4" w14:paraId="47626CF3" w14:textId="02C2BA47" w:rsidTr="001B2935">
        <w:tc>
          <w:tcPr>
            <w:tcW w:w="9576" w:type="dxa"/>
            <w:gridSpan w:val="7"/>
          </w:tcPr>
          <w:p w14:paraId="0370EB12" w14:textId="356D1C53" w:rsidR="005C7DFE" w:rsidRPr="00B975A1" w:rsidRDefault="005C7DFE" w:rsidP="008577F3">
            <w:pPr>
              <w:pStyle w:val="ListParagraph"/>
              <w:ind w:left="0"/>
              <w:rPr>
                <w:color w:val="000000"/>
                <w:sz w:val="22"/>
                <w:szCs w:val="22"/>
              </w:rPr>
            </w:pPr>
            <w:r w:rsidRPr="00B975A1">
              <w:rPr>
                <w:color w:val="000000"/>
                <w:sz w:val="22"/>
                <w:szCs w:val="22"/>
              </w:rPr>
              <w:t>Table B4. Caregiver Power Calculations by County</w:t>
            </w:r>
          </w:p>
        </w:tc>
      </w:tr>
      <w:tr w:rsidR="005C7DFE" w:rsidRPr="003A7CC4" w14:paraId="2E85A95D" w14:textId="77777777" w:rsidTr="005C7DFE">
        <w:tc>
          <w:tcPr>
            <w:tcW w:w="1538" w:type="dxa"/>
            <w:tcBorders>
              <w:right w:val="nil"/>
            </w:tcBorders>
          </w:tcPr>
          <w:p w14:paraId="5FB80814" w14:textId="77777777" w:rsidR="005C7DFE" w:rsidRPr="00B975A1" w:rsidRDefault="005C7DFE" w:rsidP="008577F3">
            <w:pPr>
              <w:pStyle w:val="ListParagraph"/>
              <w:ind w:left="0"/>
              <w:rPr>
                <w:color w:val="000000"/>
                <w:sz w:val="22"/>
                <w:szCs w:val="22"/>
              </w:rPr>
            </w:pPr>
          </w:p>
        </w:tc>
        <w:tc>
          <w:tcPr>
            <w:tcW w:w="4019" w:type="dxa"/>
            <w:gridSpan w:val="3"/>
            <w:tcBorders>
              <w:left w:val="nil"/>
            </w:tcBorders>
          </w:tcPr>
          <w:p w14:paraId="321AD0D7" w14:textId="5D0B786A" w:rsidR="005C7DFE" w:rsidRPr="00B975A1" w:rsidRDefault="005C7DFE" w:rsidP="005C7DFE">
            <w:pPr>
              <w:pStyle w:val="ListParagraph"/>
              <w:ind w:left="0"/>
              <w:jc w:val="center"/>
              <w:rPr>
                <w:color w:val="000000"/>
                <w:sz w:val="22"/>
                <w:szCs w:val="22"/>
              </w:rPr>
            </w:pPr>
            <w:r>
              <w:rPr>
                <w:color w:val="000000"/>
              </w:rPr>
              <w:t>60% Response Rate</w:t>
            </w:r>
          </w:p>
        </w:tc>
        <w:tc>
          <w:tcPr>
            <w:tcW w:w="4019" w:type="dxa"/>
            <w:gridSpan w:val="3"/>
          </w:tcPr>
          <w:p w14:paraId="1786EED9" w14:textId="1C176FEC" w:rsidR="005C7DFE" w:rsidRPr="00B975A1" w:rsidRDefault="005C7DFE" w:rsidP="005C7DFE">
            <w:pPr>
              <w:pStyle w:val="ListParagraph"/>
              <w:ind w:left="0"/>
              <w:jc w:val="center"/>
              <w:rPr>
                <w:color w:val="000000"/>
                <w:sz w:val="22"/>
                <w:szCs w:val="22"/>
              </w:rPr>
            </w:pPr>
            <w:r>
              <w:rPr>
                <w:color w:val="000000"/>
              </w:rPr>
              <w:t>75% Response Rate</w:t>
            </w:r>
          </w:p>
        </w:tc>
      </w:tr>
      <w:tr w:rsidR="005C7DFE" w:rsidRPr="003A7CC4" w14:paraId="1C5AAF6A" w14:textId="1DF6CAA4" w:rsidTr="005C7DFE">
        <w:tc>
          <w:tcPr>
            <w:tcW w:w="1538" w:type="dxa"/>
          </w:tcPr>
          <w:p w14:paraId="25FA73FB" w14:textId="77777777" w:rsidR="005C7DFE" w:rsidRPr="00B975A1" w:rsidRDefault="005C7DFE" w:rsidP="008577F3">
            <w:pPr>
              <w:pStyle w:val="ListParagraph"/>
              <w:ind w:left="0"/>
              <w:rPr>
                <w:rFonts w:ascii="Times New Roman" w:hAnsi="Times New Roman" w:cs="Times New Roman"/>
                <w:sz w:val="22"/>
                <w:szCs w:val="22"/>
              </w:rPr>
            </w:pPr>
            <w:r w:rsidRPr="00B975A1">
              <w:rPr>
                <w:sz w:val="22"/>
                <w:szCs w:val="22"/>
              </w:rPr>
              <w:t>County</w:t>
            </w:r>
          </w:p>
        </w:tc>
        <w:tc>
          <w:tcPr>
            <w:tcW w:w="1339" w:type="dxa"/>
          </w:tcPr>
          <w:p w14:paraId="14402586" w14:textId="77777777" w:rsidR="005C7DFE" w:rsidRPr="00B975A1" w:rsidRDefault="005C7DFE" w:rsidP="008577F3">
            <w:pPr>
              <w:pStyle w:val="ListParagraph"/>
              <w:ind w:left="0"/>
              <w:jc w:val="center"/>
              <w:rPr>
                <w:rFonts w:ascii="Times New Roman" w:hAnsi="Times New Roman" w:cs="Times New Roman"/>
                <w:sz w:val="22"/>
                <w:szCs w:val="22"/>
              </w:rPr>
            </w:pPr>
            <w:r w:rsidRPr="00B975A1">
              <w:rPr>
                <w:color w:val="000000"/>
                <w:sz w:val="22"/>
                <w:szCs w:val="22"/>
              </w:rPr>
              <w:t>Difference in group means</w:t>
            </w:r>
          </w:p>
        </w:tc>
        <w:tc>
          <w:tcPr>
            <w:tcW w:w="1340" w:type="dxa"/>
          </w:tcPr>
          <w:p w14:paraId="7BEC4823" w14:textId="77777777" w:rsidR="005C7DFE" w:rsidRPr="00B975A1" w:rsidRDefault="005C7DFE" w:rsidP="008577F3">
            <w:pPr>
              <w:pStyle w:val="ListParagraph"/>
              <w:ind w:left="0"/>
              <w:jc w:val="center"/>
              <w:rPr>
                <w:rFonts w:ascii="Times New Roman" w:hAnsi="Times New Roman" w:cs="Times New Roman"/>
                <w:sz w:val="22"/>
                <w:szCs w:val="22"/>
              </w:rPr>
            </w:pPr>
            <w:r w:rsidRPr="00B975A1">
              <w:rPr>
                <w:color w:val="000000"/>
                <w:sz w:val="22"/>
                <w:szCs w:val="22"/>
              </w:rPr>
              <w:t>Power to detect</w:t>
            </w:r>
          </w:p>
        </w:tc>
        <w:tc>
          <w:tcPr>
            <w:tcW w:w="1340" w:type="dxa"/>
          </w:tcPr>
          <w:p w14:paraId="32986B57" w14:textId="77777777" w:rsidR="005C7DFE" w:rsidRPr="00B975A1" w:rsidRDefault="005C7DFE" w:rsidP="008577F3">
            <w:pPr>
              <w:pStyle w:val="ListParagraph"/>
              <w:ind w:left="0"/>
              <w:jc w:val="center"/>
              <w:rPr>
                <w:rFonts w:ascii="Times New Roman" w:hAnsi="Times New Roman" w:cs="Times New Roman"/>
                <w:sz w:val="22"/>
                <w:szCs w:val="22"/>
              </w:rPr>
            </w:pPr>
            <w:r w:rsidRPr="00B975A1">
              <w:rPr>
                <w:color w:val="000000"/>
                <w:sz w:val="22"/>
                <w:szCs w:val="22"/>
              </w:rPr>
              <w:t>Minimum detectable difference at 80% power</w:t>
            </w:r>
          </w:p>
        </w:tc>
        <w:tc>
          <w:tcPr>
            <w:tcW w:w="1339" w:type="dxa"/>
          </w:tcPr>
          <w:p w14:paraId="62384E5F" w14:textId="6C102333" w:rsidR="005C7DFE" w:rsidRPr="00B975A1" w:rsidRDefault="005C7DFE" w:rsidP="008577F3">
            <w:pPr>
              <w:pStyle w:val="ListParagraph"/>
              <w:ind w:left="0"/>
              <w:jc w:val="center"/>
              <w:rPr>
                <w:color w:val="000000"/>
                <w:sz w:val="22"/>
                <w:szCs w:val="22"/>
              </w:rPr>
            </w:pPr>
            <w:r w:rsidRPr="00B975A1">
              <w:rPr>
                <w:color w:val="000000"/>
                <w:sz w:val="22"/>
                <w:szCs w:val="22"/>
              </w:rPr>
              <w:t>Difference in group means</w:t>
            </w:r>
          </w:p>
        </w:tc>
        <w:tc>
          <w:tcPr>
            <w:tcW w:w="1340" w:type="dxa"/>
          </w:tcPr>
          <w:p w14:paraId="1D914C7D" w14:textId="422341E1" w:rsidR="005C7DFE" w:rsidRPr="00B975A1" w:rsidRDefault="005C7DFE" w:rsidP="008577F3">
            <w:pPr>
              <w:pStyle w:val="ListParagraph"/>
              <w:ind w:left="0"/>
              <w:jc w:val="center"/>
              <w:rPr>
                <w:color w:val="000000"/>
                <w:sz w:val="22"/>
                <w:szCs w:val="22"/>
              </w:rPr>
            </w:pPr>
            <w:r w:rsidRPr="00B975A1">
              <w:rPr>
                <w:color w:val="000000"/>
                <w:sz w:val="22"/>
                <w:szCs w:val="22"/>
              </w:rPr>
              <w:t>Power to detect</w:t>
            </w:r>
          </w:p>
        </w:tc>
        <w:tc>
          <w:tcPr>
            <w:tcW w:w="1340" w:type="dxa"/>
          </w:tcPr>
          <w:p w14:paraId="1FC8A96D" w14:textId="5DA33339" w:rsidR="005C7DFE" w:rsidRPr="00B975A1" w:rsidRDefault="005C7DFE" w:rsidP="008577F3">
            <w:pPr>
              <w:pStyle w:val="ListParagraph"/>
              <w:ind w:left="0"/>
              <w:jc w:val="center"/>
              <w:rPr>
                <w:color w:val="000000"/>
                <w:sz w:val="22"/>
                <w:szCs w:val="22"/>
              </w:rPr>
            </w:pPr>
            <w:r w:rsidRPr="00B975A1">
              <w:rPr>
                <w:color w:val="000000"/>
                <w:sz w:val="22"/>
                <w:szCs w:val="22"/>
              </w:rPr>
              <w:t>Minimum detectable difference at 80% power</w:t>
            </w:r>
          </w:p>
        </w:tc>
      </w:tr>
      <w:tr w:rsidR="00154404" w:rsidRPr="003A7CC4" w14:paraId="0A334E50" w14:textId="7018811A" w:rsidTr="00154404">
        <w:trPr>
          <w:trHeight w:val="45"/>
        </w:trPr>
        <w:tc>
          <w:tcPr>
            <w:tcW w:w="1538" w:type="dxa"/>
            <w:vMerge w:val="restart"/>
          </w:tcPr>
          <w:p w14:paraId="5E0841EF" w14:textId="77777777" w:rsidR="00154404" w:rsidRPr="00B975A1" w:rsidRDefault="00154404" w:rsidP="008577F3">
            <w:pPr>
              <w:pStyle w:val="ListParagraph"/>
              <w:ind w:left="0"/>
              <w:rPr>
                <w:rFonts w:ascii="Times New Roman" w:hAnsi="Times New Roman" w:cs="Times New Roman"/>
                <w:sz w:val="22"/>
                <w:szCs w:val="22"/>
              </w:rPr>
            </w:pPr>
            <w:r w:rsidRPr="00B975A1">
              <w:rPr>
                <w:sz w:val="22"/>
                <w:szCs w:val="22"/>
              </w:rPr>
              <w:t>Fresno</w:t>
            </w:r>
          </w:p>
        </w:tc>
        <w:tc>
          <w:tcPr>
            <w:tcW w:w="1339" w:type="dxa"/>
            <w:vAlign w:val="bottom"/>
          </w:tcPr>
          <w:p w14:paraId="7DD65226"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0.5</w:t>
            </w:r>
          </w:p>
        </w:tc>
        <w:tc>
          <w:tcPr>
            <w:tcW w:w="1340" w:type="dxa"/>
            <w:vAlign w:val="bottom"/>
          </w:tcPr>
          <w:p w14:paraId="221A8454"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&gt;99.99%</w:t>
            </w:r>
          </w:p>
        </w:tc>
        <w:tc>
          <w:tcPr>
            <w:tcW w:w="1340" w:type="dxa"/>
            <w:vMerge w:val="restart"/>
          </w:tcPr>
          <w:p w14:paraId="6E533C0A" w14:textId="77777777" w:rsidR="00154404" w:rsidRPr="00B975A1" w:rsidRDefault="00154404" w:rsidP="008577F3">
            <w:pPr>
              <w:pStyle w:val="ListParagraph"/>
              <w:ind w:left="0"/>
              <w:rPr>
                <w:rFonts w:ascii="Times New Roman" w:hAnsi="Times New Roman" w:cs="Times New Roman"/>
                <w:sz w:val="22"/>
                <w:szCs w:val="22"/>
              </w:rPr>
            </w:pPr>
            <w:r w:rsidRPr="00B975A1">
              <w:rPr>
                <w:color w:val="000000"/>
                <w:sz w:val="22"/>
                <w:szCs w:val="22"/>
              </w:rPr>
              <w:t>0.25</w:t>
            </w:r>
          </w:p>
        </w:tc>
        <w:tc>
          <w:tcPr>
            <w:tcW w:w="1339" w:type="dxa"/>
            <w:vAlign w:val="bottom"/>
          </w:tcPr>
          <w:p w14:paraId="5F19BB29" w14:textId="4AF5AEC5" w:rsidR="00154404" w:rsidRPr="00B975A1" w:rsidRDefault="00154404" w:rsidP="00154404">
            <w:pPr>
              <w:pStyle w:val="ListParagraph"/>
              <w:ind w:left="0"/>
              <w:jc w:val="right"/>
              <w:rPr>
                <w:color w:val="000000"/>
                <w:sz w:val="22"/>
                <w:szCs w:val="22"/>
              </w:rPr>
            </w:pPr>
            <w:r w:rsidRPr="00B975A1">
              <w:rPr>
                <w:color w:val="000000"/>
                <w:sz w:val="22"/>
                <w:szCs w:val="22"/>
              </w:rPr>
              <w:t>0.5</w:t>
            </w:r>
          </w:p>
        </w:tc>
        <w:tc>
          <w:tcPr>
            <w:tcW w:w="1340" w:type="dxa"/>
            <w:vAlign w:val="bottom"/>
          </w:tcPr>
          <w:p w14:paraId="51EA6372" w14:textId="05BA46D3" w:rsidR="00154404" w:rsidRPr="00B975A1" w:rsidRDefault="00154404" w:rsidP="00154404">
            <w:pPr>
              <w:pStyle w:val="ListParagraph"/>
              <w:ind w:left="0"/>
              <w:jc w:val="right"/>
              <w:rPr>
                <w:color w:val="000000"/>
                <w:sz w:val="22"/>
                <w:szCs w:val="22"/>
              </w:rPr>
            </w:pPr>
            <w:r w:rsidRPr="00B975A1">
              <w:rPr>
                <w:color w:val="000000"/>
                <w:sz w:val="22"/>
                <w:szCs w:val="22"/>
              </w:rPr>
              <w:t>&gt;99.99%</w:t>
            </w:r>
          </w:p>
        </w:tc>
        <w:tc>
          <w:tcPr>
            <w:tcW w:w="1340" w:type="dxa"/>
            <w:vMerge w:val="restart"/>
          </w:tcPr>
          <w:p w14:paraId="771DBFB9" w14:textId="0C0470EF" w:rsidR="00154404" w:rsidRPr="00B975A1" w:rsidRDefault="00154404" w:rsidP="008577F3">
            <w:pPr>
              <w:pStyle w:val="ListParagraph"/>
              <w:ind w:left="0"/>
              <w:rPr>
                <w:color w:val="000000"/>
                <w:sz w:val="22"/>
                <w:szCs w:val="22"/>
              </w:rPr>
            </w:pPr>
            <w:r>
              <w:rPr>
                <w:color w:val="000000"/>
                <w:sz w:val="22"/>
                <w:szCs w:val="22"/>
              </w:rPr>
              <w:t>0.23</w:t>
            </w:r>
          </w:p>
        </w:tc>
      </w:tr>
      <w:tr w:rsidR="00154404" w:rsidRPr="003A7CC4" w14:paraId="312CF209" w14:textId="4B511105" w:rsidTr="00154404">
        <w:trPr>
          <w:trHeight w:val="45"/>
        </w:trPr>
        <w:tc>
          <w:tcPr>
            <w:tcW w:w="1538" w:type="dxa"/>
            <w:vMerge/>
          </w:tcPr>
          <w:p w14:paraId="6D4FFE25"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30D5BC4A"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0.4</w:t>
            </w:r>
          </w:p>
        </w:tc>
        <w:tc>
          <w:tcPr>
            <w:tcW w:w="1340" w:type="dxa"/>
            <w:vAlign w:val="bottom"/>
          </w:tcPr>
          <w:p w14:paraId="12A53D79"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98.9%</w:t>
            </w:r>
          </w:p>
        </w:tc>
        <w:tc>
          <w:tcPr>
            <w:tcW w:w="1340" w:type="dxa"/>
            <w:vMerge/>
          </w:tcPr>
          <w:p w14:paraId="68341595"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7681035D" w14:textId="4E3E8585" w:rsidR="00154404" w:rsidRPr="00B975A1" w:rsidRDefault="00154404" w:rsidP="00154404">
            <w:pPr>
              <w:pStyle w:val="ListParagraph"/>
              <w:ind w:left="0"/>
              <w:jc w:val="right"/>
              <w:rPr>
                <w:sz w:val="22"/>
                <w:szCs w:val="22"/>
              </w:rPr>
            </w:pPr>
            <w:r w:rsidRPr="00B975A1">
              <w:rPr>
                <w:color w:val="000000"/>
                <w:sz w:val="22"/>
                <w:szCs w:val="22"/>
              </w:rPr>
              <w:t>0.4</w:t>
            </w:r>
          </w:p>
        </w:tc>
        <w:tc>
          <w:tcPr>
            <w:tcW w:w="1340" w:type="dxa"/>
            <w:vAlign w:val="bottom"/>
          </w:tcPr>
          <w:p w14:paraId="1E69EA7B" w14:textId="2B0AB960" w:rsidR="00154404" w:rsidRPr="00B975A1" w:rsidRDefault="00154404" w:rsidP="00154404">
            <w:pPr>
              <w:pStyle w:val="ListParagraph"/>
              <w:ind w:left="0"/>
              <w:jc w:val="right"/>
              <w:rPr>
                <w:sz w:val="22"/>
                <w:szCs w:val="22"/>
              </w:rPr>
            </w:pPr>
            <w:r>
              <w:rPr>
                <w:sz w:val="22"/>
                <w:szCs w:val="22"/>
              </w:rPr>
              <w:t>99.7%</w:t>
            </w:r>
          </w:p>
        </w:tc>
        <w:tc>
          <w:tcPr>
            <w:tcW w:w="1340" w:type="dxa"/>
            <w:vMerge/>
          </w:tcPr>
          <w:p w14:paraId="0006CD8E" w14:textId="77777777" w:rsidR="00154404" w:rsidRPr="00B975A1" w:rsidRDefault="00154404" w:rsidP="008577F3">
            <w:pPr>
              <w:pStyle w:val="ListParagraph"/>
              <w:ind w:left="0"/>
              <w:rPr>
                <w:sz w:val="22"/>
                <w:szCs w:val="22"/>
              </w:rPr>
            </w:pPr>
          </w:p>
        </w:tc>
      </w:tr>
      <w:tr w:rsidR="00154404" w:rsidRPr="003A7CC4" w14:paraId="4B5800D0" w14:textId="200860CF" w:rsidTr="00154404">
        <w:trPr>
          <w:trHeight w:val="45"/>
        </w:trPr>
        <w:tc>
          <w:tcPr>
            <w:tcW w:w="1538" w:type="dxa"/>
            <w:vMerge/>
          </w:tcPr>
          <w:p w14:paraId="244E153E"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6291BA6C"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0.3</w:t>
            </w:r>
          </w:p>
        </w:tc>
        <w:tc>
          <w:tcPr>
            <w:tcW w:w="1340" w:type="dxa"/>
            <w:vAlign w:val="bottom"/>
          </w:tcPr>
          <w:p w14:paraId="0BA9A558"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90.5%</w:t>
            </w:r>
          </w:p>
        </w:tc>
        <w:tc>
          <w:tcPr>
            <w:tcW w:w="1340" w:type="dxa"/>
            <w:vMerge/>
          </w:tcPr>
          <w:p w14:paraId="0638C7DC"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7BB5A11E" w14:textId="4F9523DF" w:rsidR="00154404" w:rsidRPr="00B975A1" w:rsidRDefault="00154404" w:rsidP="00154404">
            <w:pPr>
              <w:pStyle w:val="ListParagraph"/>
              <w:ind w:left="0"/>
              <w:jc w:val="right"/>
              <w:rPr>
                <w:sz w:val="22"/>
                <w:szCs w:val="22"/>
              </w:rPr>
            </w:pPr>
            <w:r w:rsidRPr="00B975A1">
              <w:rPr>
                <w:color w:val="000000"/>
                <w:sz w:val="22"/>
                <w:szCs w:val="22"/>
              </w:rPr>
              <w:t>0.3</w:t>
            </w:r>
          </w:p>
        </w:tc>
        <w:tc>
          <w:tcPr>
            <w:tcW w:w="1340" w:type="dxa"/>
            <w:vAlign w:val="bottom"/>
          </w:tcPr>
          <w:p w14:paraId="3D088E30" w14:textId="55764FFF" w:rsidR="00154404" w:rsidRPr="00B975A1" w:rsidRDefault="00154404" w:rsidP="00154404">
            <w:pPr>
              <w:pStyle w:val="ListParagraph"/>
              <w:ind w:left="0"/>
              <w:jc w:val="right"/>
              <w:rPr>
                <w:sz w:val="22"/>
                <w:szCs w:val="22"/>
              </w:rPr>
            </w:pPr>
            <w:r>
              <w:rPr>
                <w:sz w:val="22"/>
                <w:szCs w:val="22"/>
              </w:rPr>
              <w:t>95.2%</w:t>
            </w:r>
          </w:p>
        </w:tc>
        <w:tc>
          <w:tcPr>
            <w:tcW w:w="1340" w:type="dxa"/>
            <w:vMerge/>
          </w:tcPr>
          <w:p w14:paraId="7C769CB8" w14:textId="77777777" w:rsidR="00154404" w:rsidRPr="00B975A1" w:rsidRDefault="00154404" w:rsidP="008577F3">
            <w:pPr>
              <w:pStyle w:val="ListParagraph"/>
              <w:ind w:left="0"/>
              <w:rPr>
                <w:sz w:val="22"/>
                <w:szCs w:val="22"/>
              </w:rPr>
            </w:pPr>
          </w:p>
        </w:tc>
      </w:tr>
      <w:tr w:rsidR="00154404" w:rsidRPr="003A7CC4" w14:paraId="65984D6D" w14:textId="6D673D2C" w:rsidTr="00154404">
        <w:trPr>
          <w:trHeight w:val="45"/>
        </w:trPr>
        <w:tc>
          <w:tcPr>
            <w:tcW w:w="1538" w:type="dxa"/>
            <w:vMerge/>
          </w:tcPr>
          <w:p w14:paraId="0A2406C1"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2323CFC4"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0.2</w:t>
            </w:r>
          </w:p>
        </w:tc>
        <w:tc>
          <w:tcPr>
            <w:tcW w:w="1340" w:type="dxa"/>
            <w:vAlign w:val="bottom"/>
          </w:tcPr>
          <w:p w14:paraId="2FE647C7"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62.7%</w:t>
            </w:r>
          </w:p>
        </w:tc>
        <w:tc>
          <w:tcPr>
            <w:tcW w:w="1340" w:type="dxa"/>
            <w:vMerge/>
          </w:tcPr>
          <w:p w14:paraId="305C7243"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62341DD0" w14:textId="278DF2B6" w:rsidR="00154404" w:rsidRPr="00B975A1" w:rsidRDefault="00154404" w:rsidP="00154404">
            <w:pPr>
              <w:pStyle w:val="ListParagraph"/>
              <w:ind w:left="0"/>
              <w:jc w:val="right"/>
              <w:rPr>
                <w:sz w:val="22"/>
                <w:szCs w:val="22"/>
              </w:rPr>
            </w:pPr>
            <w:r w:rsidRPr="00B975A1">
              <w:rPr>
                <w:color w:val="000000"/>
                <w:sz w:val="22"/>
                <w:szCs w:val="22"/>
              </w:rPr>
              <w:t>0.2</w:t>
            </w:r>
          </w:p>
        </w:tc>
        <w:tc>
          <w:tcPr>
            <w:tcW w:w="1340" w:type="dxa"/>
            <w:vAlign w:val="bottom"/>
          </w:tcPr>
          <w:p w14:paraId="198932BA" w14:textId="36E7C55A" w:rsidR="00154404" w:rsidRPr="00B975A1" w:rsidRDefault="00154404" w:rsidP="00154404">
            <w:pPr>
              <w:pStyle w:val="ListParagraph"/>
              <w:ind w:left="0"/>
              <w:jc w:val="right"/>
              <w:rPr>
                <w:sz w:val="22"/>
                <w:szCs w:val="22"/>
              </w:rPr>
            </w:pPr>
            <w:r>
              <w:rPr>
                <w:sz w:val="22"/>
                <w:szCs w:val="22"/>
              </w:rPr>
              <w:t>71.2%</w:t>
            </w:r>
          </w:p>
        </w:tc>
        <w:tc>
          <w:tcPr>
            <w:tcW w:w="1340" w:type="dxa"/>
            <w:vMerge/>
          </w:tcPr>
          <w:p w14:paraId="2CA2A444" w14:textId="77777777" w:rsidR="00154404" w:rsidRPr="00B975A1" w:rsidRDefault="00154404" w:rsidP="008577F3">
            <w:pPr>
              <w:pStyle w:val="ListParagraph"/>
              <w:ind w:left="0"/>
              <w:rPr>
                <w:sz w:val="22"/>
                <w:szCs w:val="22"/>
              </w:rPr>
            </w:pPr>
          </w:p>
        </w:tc>
      </w:tr>
      <w:tr w:rsidR="00154404" w:rsidRPr="003A7CC4" w14:paraId="420B8087" w14:textId="7684921A" w:rsidTr="00154404">
        <w:trPr>
          <w:trHeight w:val="45"/>
        </w:trPr>
        <w:tc>
          <w:tcPr>
            <w:tcW w:w="1538" w:type="dxa"/>
            <w:vMerge/>
          </w:tcPr>
          <w:p w14:paraId="1EDF4DAE"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77B3C215"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0.1</w:t>
            </w:r>
          </w:p>
        </w:tc>
        <w:tc>
          <w:tcPr>
            <w:tcW w:w="1340" w:type="dxa"/>
            <w:vAlign w:val="bottom"/>
          </w:tcPr>
          <w:p w14:paraId="46299079"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25.5%</w:t>
            </w:r>
          </w:p>
        </w:tc>
        <w:tc>
          <w:tcPr>
            <w:tcW w:w="1340" w:type="dxa"/>
            <w:vMerge/>
          </w:tcPr>
          <w:p w14:paraId="43983A90"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3D87676D" w14:textId="0BA4FBA6" w:rsidR="00154404" w:rsidRPr="00B975A1" w:rsidRDefault="00154404" w:rsidP="00154404">
            <w:pPr>
              <w:pStyle w:val="ListParagraph"/>
              <w:ind w:left="0"/>
              <w:jc w:val="right"/>
              <w:rPr>
                <w:sz w:val="22"/>
                <w:szCs w:val="22"/>
              </w:rPr>
            </w:pPr>
            <w:r w:rsidRPr="00B975A1">
              <w:rPr>
                <w:color w:val="000000"/>
                <w:sz w:val="22"/>
                <w:szCs w:val="22"/>
              </w:rPr>
              <w:t>0.1</w:t>
            </w:r>
          </w:p>
        </w:tc>
        <w:tc>
          <w:tcPr>
            <w:tcW w:w="1340" w:type="dxa"/>
            <w:vAlign w:val="bottom"/>
          </w:tcPr>
          <w:p w14:paraId="246B3995" w14:textId="748ACDC2" w:rsidR="00154404" w:rsidRPr="00B975A1" w:rsidRDefault="00154404" w:rsidP="00154404">
            <w:pPr>
              <w:pStyle w:val="ListParagraph"/>
              <w:ind w:left="0"/>
              <w:jc w:val="right"/>
              <w:rPr>
                <w:sz w:val="22"/>
                <w:szCs w:val="22"/>
              </w:rPr>
            </w:pPr>
            <w:r>
              <w:rPr>
                <w:sz w:val="22"/>
                <w:szCs w:val="22"/>
              </w:rPr>
              <w:t>29.4%</w:t>
            </w:r>
          </w:p>
        </w:tc>
        <w:tc>
          <w:tcPr>
            <w:tcW w:w="1340" w:type="dxa"/>
            <w:vMerge/>
          </w:tcPr>
          <w:p w14:paraId="56E5E1A3" w14:textId="77777777" w:rsidR="00154404" w:rsidRPr="00B975A1" w:rsidRDefault="00154404" w:rsidP="008577F3">
            <w:pPr>
              <w:pStyle w:val="ListParagraph"/>
              <w:ind w:left="0"/>
              <w:rPr>
                <w:sz w:val="22"/>
                <w:szCs w:val="22"/>
              </w:rPr>
            </w:pPr>
          </w:p>
        </w:tc>
      </w:tr>
      <w:tr w:rsidR="00154404" w:rsidRPr="003A7CC4" w14:paraId="5F9F8BA4" w14:textId="4C0DFD29" w:rsidTr="00154404">
        <w:trPr>
          <w:trHeight w:val="45"/>
        </w:trPr>
        <w:tc>
          <w:tcPr>
            <w:tcW w:w="1538" w:type="dxa"/>
            <w:vMerge w:val="restart"/>
          </w:tcPr>
          <w:p w14:paraId="4E4E8931" w14:textId="77777777" w:rsidR="00154404" w:rsidRPr="00B975A1" w:rsidRDefault="00154404" w:rsidP="008577F3">
            <w:pPr>
              <w:pStyle w:val="ListParagraph"/>
              <w:ind w:left="0"/>
              <w:rPr>
                <w:rFonts w:ascii="Times New Roman" w:hAnsi="Times New Roman" w:cs="Times New Roman"/>
                <w:sz w:val="22"/>
                <w:szCs w:val="22"/>
              </w:rPr>
            </w:pPr>
            <w:r w:rsidRPr="00B975A1">
              <w:rPr>
                <w:sz w:val="22"/>
                <w:szCs w:val="22"/>
              </w:rPr>
              <w:t>Humboldt</w:t>
            </w:r>
          </w:p>
        </w:tc>
        <w:tc>
          <w:tcPr>
            <w:tcW w:w="1339" w:type="dxa"/>
            <w:vAlign w:val="bottom"/>
          </w:tcPr>
          <w:p w14:paraId="35F207F3"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0.5</w:t>
            </w:r>
          </w:p>
        </w:tc>
        <w:tc>
          <w:tcPr>
            <w:tcW w:w="1340" w:type="dxa"/>
            <w:vAlign w:val="bottom"/>
          </w:tcPr>
          <w:p w14:paraId="2127C561"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67.4%</w:t>
            </w:r>
          </w:p>
        </w:tc>
        <w:tc>
          <w:tcPr>
            <w:tcW w:w="1340" w:type="dxa"/>
            <w:vMerge w:val="restart"/>
          </w:tcPr>
          <w:p w14:paraId="0DCBD463" w14:textId="77777777" w:rsidR="00154404" w:rsidRPr="00B975A1" w:rsidRDefault="00154404" w:rsidP="008577F3">
            <w:pPr>
              <w:pStyle w:val="ListParagraph"/>
              <w:ind w:left="0"/>
              <w:rPr>
                <w:rFonts w:ascii="Times New Roman" w:hAnsi="Times New Roman" w:cs="Times New Roman"/>
                <w:sz w:val="22"/>
                <w:szCs w:val="22"/>
              </w:rPr>
            </w:pPr>
            <w:r w:rsidRPr="00B975A1">
              <w:rPr>
                <w:color w:val="000000"/>
                <w:sz w:val="22"/>
                <w:szCs w:val="22"/>
              </w:rPr>
              <w:t>0.59</w:t>
            </w:r>
          </w:p>
        </w:tc>
        <w:tc>
          <w:tcPr>
            <w:tcW w:w="1339" w:type="dxa"/>
            <w:vAlign w:val="bottom"/>
          </w:tcPr>
          <w:p w14:paraId="66F024AC" w14:textId="5356C660" w:rsidR="00154404" w:rsidRPr="00B975A1" w:rsidRDefault="00154404" w:rsidP="00154404">
            <w:pPr>
              <w:pStyle w:val="ListParagraph"/>
              <w:ind w:left="0"/>
              <w:jc w:val="right"/>
              <w:rPr>
                <w:color w:val="000000"/>
                <w:sz w:val="22"/>
                <w:szCs w:val="22"/>
              </w:rPr>
            </w:pPr>
            <w:r w:rsidRPr="00B975A1">
              <w:rPr>
                <w:color w:val="000000"/>
                <w:sz w:val="22"/>
                <w:szCs w:val="22"/>
              </w:rPr>
              <w:t>0.5</w:t>
            </w:r>
          </w:p>
        </w:tc>
        <w:tc>
          <w:tcPr>
            <w:tcW w:w="1340" w:type="dxa"/>
            <w:vAlign w:val="bottom"/>
          </w:tcPr>
          <w:p w14:paraId="76DDE1EB" w14:textId="216D320E" w:rsidR="00154404" w:rsidRPr="00B975A1" w:rsidRDefault="00154404" w:rsidP="00154404">
            <w:pPr>
              <w:pStyle w:val="ListParagraph"/>
              <w:ind w:left="0"/>
              <w:jc w:val="right"/>
              <w:rPr>
                <w:color w:val="000000"/>
                <w:sz w:val="22"/>
                <w:szCs w:val="22"/>
              </w:rPr>
            </w:pPr>
            <w:r>
              <w:rPr>
                <w:color w:val="000000"/>
                <w:sz w:val="22"/>
                <w:szCs w:val="22"/>
              </w:rPr>
              <w:t>75.7%</w:t>
            </w:r>
          </w:p>
        </w:tc>
        <w:tc>
          <w:tcPr>
            <w:tcW w:w="1340" w:type="dxa"/>
            <w:vMerge w:val="restart"/>
          </w:tcPr>
          <w:p w14:paraId="4FB5EAA8" w14:textId="0D7E7EFE" w:rsidR="00154404" w:rsidRPr="00B975A1" w:rsidRDefault="00154404" w:rsidP="008577F3">
            <w:pPr>
              <w:pStyle w:val="ListParagraph"/>
              <w:ind w:left="0"/>
              <w:rPr>
                <w:color w:val="000000"/>
                <w:sz w:val="22"/>
                <w:szCs w:val="22"/>
              </w:rPr>
            </w:pPr>
            <w:r>
              <w:rPr>
                <w:color w:val="000000"/>
                <w:sz w:val="22"/>
                <w:szCs w:val="22"/>
              </w:rPr>
              <w:t>0.53</w:t>
            </w:r>
          </w:p>
        </w:tc>
      </w:tr>
      <w:tr w:rsidR="00154404" w:rsidRPr="003A7CC4" w14:paraId="1A289CF1" w14:textId="10F803EE" w:rsidTr="00154404">
        <w:trPr>
          <w:trHeight w:val="45"/>
        </w:trPr>
        <w:tc>
          <w:tcPr>
            <w:tcW w:w="1538" w:type="dxa"/>
            <w:vMerge/>
          </w:tcPr>
          <w:p w14:paraId="06BCFCD5"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1B3C1A39"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0.4</w:t>
            </w:r>
          </w:p>
        </w:tc>
        <w:tc>
          <w:tcPr>
            <w:tcW w:w="1340" w:type="dxa"/>
            <w:vAlign w:val="bottom"/>
          </w:tcPr>
          <w:p w14:paraId="6BC6C1F0"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51.2%</w:t>
            </w:r>
          </w:p>
        </w:tc>
        <w:tc>
          <w:tcPr>
            <w:tcW w:w="1340" w:type="dxa"/>
            <w:vMerge/>
          </w:tcPr>
          <w:p w14:paraId="430B0E19"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2E0FD9AB" w14:textId="43053E1F" w:rsidR="00154404" w:rsidRPr="00B975A1" w:rsidRDefault="00154404" w:rsidP="00154404">
            <w:pPr>
              <w:pStyle w:val="ListParagraph"/>
              <w:ind w:left="0"/>
              <w:jc w:val="right"/>
              <w:rPr>
                <w:sz w:val="22"/>
                <w:szCs w:val="22"/>
              </w:rPr>
            </w:pPr>
            <w:r w:rsidRPr="00B975A1">
              <w:rPr>
                <w:color w:val="000000"/>
                <w:sz w:val="22"/>
                <w:szCs w:val="22"/>
              </w:rPr>
              <w:t>0.4</w:t>
            </w:r>
          </w:p>
        </w:tc>
        <w:tc>
          <w:tcPr>
            <w:tcW w:w="1340" w:type="dxa"/>
            <w:vAlign w:val="bottom"/>
          </w:tcPr>
          <w:p w14:paraId="26A1F776" w14:textId="75260385" w:rsidR="00154404" w:rsidRPr="00B975A1" w:rsidRDefault="00154404" w:rsidP="00154404">
            <w:pPr>
              <w:pStyle w:val="ListParagraph"/>
              <w:ind w:left="0"/>
              <w:jc w:val="right"/>
              <w:rPr>
                <w:sz w:val="22"/>
                <w:szCs w:val="22"/>
              </w:rPr>
            </w:pPr>
            <w:r>
              <w:rPr>
                <w:sz w:val="22"/>
                <w:szCs w:val="22"/>
              </w:rPr>
              <w:t>59.1%</w:t>
            </w:r>
          </w:p>
        </w:tc>
        <w:tc>
          <w:tcPr>
            <w:tcW w:w="1340" w:type="dxa"/>
            <w:vMerge/>
          </w:tcPr>
          <w:p w14:paraId="15BB6D39" w14:textId="77777777" w:rsidR="00154404" w:rsidRPr="00B975A1" w:rsidRDefault="00154404" w:rsidP="008577F3">
            <w:pPr>
              <w:pStyle w:val="ListParagraph"/>
              <w:ind w:left="0"/>
              <w:rPr>
                <w:sz w:val="22"/>
                <w:szCs w:val="22"/>
              </w:rPr>
            </w:pPr>
          </w:p>
        </w:tc>
      </w:tr>
      <w:tr w:rsidR="00154404" w:rsidRPr="003A7CC4" w14:paraId="66047BF1" w14:textId="5259DA2E" w:rsidTr="00154404">
        <w:trPr>
          <w:trHeight w:val="45"/>
        </w:trPr>
        <w:tc>
          <w:tcPr>
            <w:tcW w:w="1538" w:type="dxa"/>
            <w:vMerge/>
          </w:tcPr>
          <w:p w14:paraId="23198472"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24FADA6A"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0.3</w:t>
            </w:r>
          </w:p>
        </w:tc>
        <w:tc>
          <w:tcPr>
            <w:tcW w:w="1340" w:type="dxa"/>
            <w:vAlign w:val="bottom"/>
          </w:tcPr>
          <w:p w14:paraId="4699D58C"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34.9%</w:t>
            </w:r>
          </w:p>
        </w:tc>
        <w:tc>
          <w:tcPr>
            <w:tcW w:w="1340" w:type="dxa"/>
            <w:vMerge/>
          </w:tcPr>
          <w:p w14:paraId="16A228D0"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72270C47" w14:textId="3B2CFEA8" w:rsidR="00154404" w:rsidRPr="00B975A1" w:rsidRDefault="00154404" w:rsidP="00154404">
            <w:pPr>
              <w:pStyle w:val="ListParagraph"/>
              <w:ind w:left="0"/>
              <w:jc w:val="right"/>
              <w:rPr>
                <w:sz w:val="22"/>
                <w:szCs w:val="22"/>
              </w:rPr>
            </w:pPr>
            <w:r w:rsidRPr="00B975A1">
              <w:rPr>
                <w:color w:val="000000"/>
                <w:sz w:val="22"/>
                <w:szCs w:val="22"/>
              </w:rPr>
              <w:t>0.3</w:t>
            </w:r>
          </w:p>
        </w:tc>
        <w:tc>
          <w:tcPr>
            <w:tcW w:w="1340" w:type="dxa"/>
            <w:vAlign w:val="bottom"/>
          </w:tcPr>
          <w:p w14:paraId="2BC20D49" w14:textId="4E620D9C" w:rsidR="00154404" w:rsidRPr="00B975A1" w:rsidRDefault="00154404" w:rsidP="00154404">
            <w:pPr>
              <w:pStyle w:val="ListParagraph"/>
              <w:ind w:left="0"/>
              <w:jc w:val="right"/>
              <w:rPr>
                <w:sz w:val="22"/>
                <w:szCs w:val="22"/>
              </w:rPr>
            </w:pPr>
            <w:r>
              <w:rPr>
                <w:sz w:val="22"/>
                <w:szCs w:val="22"/>
              </w:rPr>
              <w:t>40.5%</w:t>
            </w:r>
          </w:p>
        </w:tc>
        <w:tc>
          <w:tcPr>
            <w:tcW w:w="1340" w:type="dxa"/>
            <w:vMerge/>
          </w:tcPr>
          <w:p w14:paraId="5C13F292" w14:textId="77777777" w:rsidR="00154404" w:rsidRPr="00B975A1" w:rsidRDefault="00154404" w:rsidP="008577F3">
            <w:pPr>
              <w:pStyle w:val="ListParagraph"/>
              <w:ind w:left="0"/>
              <w:rPr>
                <w:sz w:val="22"/>
                <w:szCs w:val="22"/>
              </w:rPr>
            </w:pPr>
          </w:p>
        </w:tc>
      </w:tr>
      <w:tr w:rsidR="00154404" w:rsidRPr="003A7CC4" w14:paraId="055C7C09" w14:textId="044DBF68" w:rsidTr="00154404">
        <w:trPr>
          <w:trHeight w:val="45"/>
        </w:trPr>
        <w:tc>
          <w:tcPr>
            <w:tcW w:w="1538" w:type="dxa"/>
            <w:vMerge/>
          </w:tcPr>
          <w:p w14:paraId="5513B839"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708F3D38"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0.2</w:t>
            </w:r>
          </w:p>
        </w:tc>
        <w:tc>
          <w:tcPr>
            <w:tcW w:w="1340" w:type="dxa"/>
            <w:vAlign w:val="bottom"/>
          </w:tcPr>
          <w:p w14:paraId="422C775E"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21.0%</w:t>
            </w:r>
          </w:p>
        </w:tc>
        <w:tc>
          <w:tcPr>
            <w:tcW w:w="1340" w:type="dxa"/>
            <w:vMerge/>
          </w:tcPr>
          <w:p w14:paraId="3EEC2BE3"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5D856B20" w14:textId="4832533D" w:rsidR="00154404" w:rsidRPr="00B975A1" w:rsidRDefault="00154404" w:rsidP="00154404">
            <w:pPr>
              <w:pStyle w:val="ListParagraph"/>
              <w:ind w:left="0"/>
              <w:jc w:val="right"/>
              <w:rPr>
                <w:sz w:val="22"/>
                <w:szCs w:val="22"/>
              </w:rPr>
            </w:pPr>
            <w:r w:rsidRPr="00B975A1">
              <w:rPr>
                <w:color w:val="000000"/>
                <w:sz w:val="22"/>
                <w:szCs w:val="22"/>
              </w:rPr>
              <w:t>0.2</w:t>
            </w:r>
          </w:p>
        </w:tc>
        <w:tc>
          <w:tcPr>
            <w:tcW w:w="1340" w:type="dxa"/>
            <w:vAlign w:val="bottom"/>
          </w:tcPr>
          <w:p w14:paraId="4A68AC59" w14:textId="22B10319" w:rsidR="00154404" w:rsidRPr="00B975A1" w:rsidRDefault="00154404" w:rsidP="00154404">
            <w:pPr>
              <w:pStyle w:val="ListParagraph"/>
              <w:ind w:left="0"/>
              <w:jc w:val="right"/>
              <w:rPr>
                <w:sz w:val="22"/>
                <w:szCs w:val="22"/>
              </w:rPr>
            </w:pPr>
            <w:r>
              <w:rPr>
                <w:sz w:val="22"/>
                <w:szCs w:val="22"/>
              </w:rPr>
              <w:t>24.0%</w:t>
            </w:r>
          </w:p>
        </w:tc>
        <w:tc>
          <w:tcPr>
            <w:tcW w:w="1340" w:type="dxa"/>
            <w:vMerge/>
          </w:tcPr>
          <w:p w14:paraId="35B4AFA1" w14:textId="77777777" w:rsidR="00154404" w:rsidRPr="00B975A1" w:rsidRDefault="00154404" w:rsidP="008577F3">
            <w:pPr>
              <w:pStyle w:val="ListParagraph"/>
              <w:ind w:left="0"/>
              <w:rPr>
                <w:sz w:val="22"/>
                <w:szCs w:val="22"/>
              </w:rPr>
            </w:pPr>
          </w:p>
        </w:tc>
      </w:tr>
      <w:tr w:rsidR="00154404" w:rsidRPr="003A7CC4" w14:paraId="6A3ACCCE" w14:textId="6FC28BD3" w:rsidTr="00154404">
        <w:trPr>
          <w:trHeight w:val="45"/>
        </w:trPr>
        <w:tc>
          <w:tcPr>
            <w:tcW w:w="1538" w:type="dxa"/>
            <w:vMerge/>
          </w:tcPr>
          <w:p w14:paraId="480F0D35"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047A7CFB"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0.1</w:t>
            </w:r>
          </w:p>
        </w:tc>
        <w:tc>
          <w:tcPr>
            <w:tcW w:w="1340" w:type="dxa"/>
            <w:vAlign w:val="bottom"/>
          </w:tcPr>
          <w:p w14:paraId="6A194AAD"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11.0%</w:t>
            </w:r>
          </w:p>
        </w:tc>
        <w:tc>
          <w:tcPr>
            <w:tcW w:w="1340" w:type="dxa"/>
            <w:vMerge/>
          </w:tcPr>
          <w:p w14:paraId="6752B01A"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51837DE0" w14:textId="4DB02DB1" w:rsidR="00154404" w:rsidRPr="00B975A1" w:rsidRDefault="00154404" w:rsidP="00154404">
            <w:pPr>
              <w:pStyle w:val="ListParagraph"/>
              <w:ind w:left="0"/>
              <w:jc w:val="right"/>
              <w:rPr>
                <w:sz w:val="22"/>
                <w:szCs w:val="22"/>
              </w:rPr>
            </w:pPr>
            <w:r w:rsidRPr="00B975A1">
              <w:rPr>
                <w:color w:val="000000"/>
                <w:sz w:val="22"/>
                <w:szCs w:val="22"/>
              </w:rPr>
              <w:t>0.1</w:t>
            </w:r>
          </w:p>
        </w:tc>
        <w:tc>
          <w:tcPr>
            <w:tcW w:w="1340" w:type="dxa"/>
            <w:vAlign w:val="bottom"/>
          </w:tcPr>
          <w:p w14:paraId="5CB4133C" w14:textId="7BD09F5C" w:rsidR="00154404" w:rsidRPr="00B975A1" w:rsidRDefault="00154404" w:rsidP="00154404">
            <w:pPr>
              <w:pStyle w:val="ListParagraph"/>
              <w:ind w:left="0"/>
              <w:jc w:val="right"/>
              <w:rPr>
                <w:sz w:val="22"/>
                <w:szCs w:val="22"/>
              </w:rPr>
            </w:pPr>
            <w:r>
              <w:rPr>
                <w:sz w:val="22"/>
                <w:szCs w:val="22"/>
              </w:rPr>
              <w:t>12.0%</w:t>
            </w:r>
          </w:p>
        </w:tc>
        <w:tc>
          <w:tcPr>
            <w:tcW w:w="1340" w:type="dxa"/>
            <w:vMerge/>
          </w:tcPr>
          <w:p w14:paraId="157B23C7" w14:textId="77777777" w:rsidR="00154404" w:rsidRPr="00B975A1" w:rsidRDefault="00154404" w:rsidP="008577F3">
            <w:pPr>
              <w:pStyle w:val="ListParagraph"/>
              <w:ind w:left="0"/>
              <w:rPr>
                <w:sz w:val="22"/>
                <w:szCs w:val="22"/>
              </w:rPr>
            </w:pPr>
          </w:p>
        </w:tc>
      </w:tr>
      <w:tr w:rsidR="00154404" w:rsidRPr="003A7CC4" w14:paraId="56B41A7C" w14:textId="30184204" w:rsidTr="00154404">
        <w:trPr>
          <w:trHeight w:val="45"/>
        </w:trPr>
        <w:tc>
          <w:tcPr>
            <w:tcW w:w="1538" w:type="dxa"/>
            <w:vMerge w:val="restart"/>
          </w:tcPr>
          <w:p w14:paraId="6CCFE23C" w14:textId="77777777" w:rsidR="00154404" w:rsidRPr="00B975A1" w:rsidRDefault="00154404" w:rsidP="008577F3">
            <w:pPr>
              <w:pStyle w:val="ListParagraph"/>
              <w:ind w:left="0"/>
              <w:rPr>
                <w:rFonts w:ascii="Times New Roman" w:hAnsi="Times New Roman" w:cs="Times New Roman"/>
                <w:sz w:val="22"/>
                <w:szCs w:val="22"/>
              </w:rPr>
            </w:pPr>
            <w:r w:rsidRPr="00B975A1">
              <w:rPr>
                <w:sz w:val="22"/>
                <w:szCs w:val="22"/>
              </w:rPr>
              <w:t>LA - Pomona</w:t>
            </w:r>
          </w:p>
        </w:tc>
        <w:tc>
          <w:tcPr>
            <w:tcW w:w="1339" w:type="dxa"/>
            <w:vAlign w:val="bottom"/>
          </w:tcPr>
          <w:p w14:paraId="7E270B1C"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0.5</w:t>
            </w:r>
          </w:p>
        </w:tc>
        <w:tc>
          <w:tcPr>
            <w:tcW w:w="1340" w:type="dxa"/>
            <w:vAlign w:val="bottom"/>
          </w:tcPr>
          <w:p w14:paraId="3AE21FFE"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98.2%</w:t>
            </w:r>
          </w:p>
        </w:tc>
        <w:tc>
          <w:tcPr>
            <w:tcW w:w="1340" w:type="dxa"/>
            <w:vMerge w:val="restart"/>
          </w:tcPr>
          <w:p w14:paraId="0FF21FA1" w14:textId="77777777" w:rsidR="00154404" w:rsidRPr="00B975A1" w:rsidRDefault="00154404" w:rsidP="008577F3">
            <w:pPr>
              <w:pStyle w:val="ListParagraph"/>
              <w:ind w:left="0"/>
              <w:rPr>
                <w:rFonts w:ascii="Times New Roman" w:hAnsi="Times New Roman" w:cs="Times New Roman"/>
                <w:sz w:val="22"/>
                <w:szCs w:val="22"/>
              </w:rPr>
            </w:pPr>
            <w:r w:rsidRPr="00B975A1">
              <w:rPr>
                <w:color w:val="000000"/>
                <w:sz w:val="22"/>
                <w:szCs w:val="22"/>
              </w:rPr>
              <w:t>0.33</w:t>
            </w:r>
          </w:p>
        </w:tc>
        <w:tc>
          <w:tcPr>
            <w:tcW w:w="1339" w:type="dxa"/>
            <w:vAlign w:val="bottom"/>
          </w:tcPr>
          <w:p w14:paraId="37FD9543" w14:textId="7AD5B3AB" w:rsidR="00154404" w:rsidRPr="00B975A1" w:rsidRDefault="00154404" w:rsidP="00154404">
            <w:pPr>
              <w:pStyle w:val="ListParagraph"/>
              <w:ind w:left="0"/>
              <w:jc w:val="right"/>
              <w:rPr>
                <w:color w:val="000000"/>
                <w:sz w:val="22"/>
                <w:szCs w:val="22"/>
              </w:rPr>
            </w:pPr>
            <w:r w:rsidRPr="00B975A1">
              <w:rPr>
                <w:color w:val="000000"/>
                <w:sz w:val="22"/>
                <w:szCs w:val="22"/>
              </w:rPr>
              <w:t>0.5</w:t>
            </w:r>
          </w:p>
        </w:tc>
        <w:tc>
          <w:tcPr>
            <w:tcW w:w="1340" w:type="dxa"/>
            <w:vAlign w:val="bottom"/>
          </w:tcPr>
          <w:p w14:paraId="19F2132C" w14:textId="0D76F712" w:rsidR="00154404" w:rsidRPr="00B975A1" w:rsidRDefault="0067402C" w:rsidP="00154404">
            <w:pPr>
              <w:pStyle w:val="ListParagraph"/>
              <w:ind w:left="0"/>
              <w:jc w:val="right"/>
              <w:rPr>
                <w:color w:val="000000"/>
                <w:sz w:val="22"/>
                <w:szCs w:val="22"/>
              </w:rPr>
            </w:pPr>
            <w:r>
              <w:rPr>
                <w:color w:val="000000"/>
                <w:sz w:val="22"/>
                <w:szCs w:val="22"/>
              </w:rPr>
              <w:t>99.4%</w:t>
            </w:r>
          </w:p>
        </w:tc>
        <w:tc>
          <w:tcPr>
            <w:tcW w:w="1340" w:type="dxa"/>
            <w:vMerge w:val="restart"/>
          </w:tcPr>
          <w:p w14:paraId="2DA95A30" w14:textId="36E59D69" w:rsidR="00154404" w:rsidRPr="00B975A1" w:rsidRDefault="0067402C" w:rsidP="008577F3">
            <w:pPr>
              <w:pStyle w:val="ListParagraph"/>
              <w:ind w:left="0"/>
              <w:rPr>
                <w:color w:val="000000"/>
                <w:sz w:val="22"/>
                <w:szCs w:val="22"/>
              </w:rPr>
            </w:pPr>
            <w:r>
              <w:rPr>
                <w:color w:val="000000"/>
                <w:sz w:val="22"/>
                <w:szCs w:val="22"/>
              </w:rPr>
              <w:t>0.30</w:t>
            </w:r>
          </w:p>
        </w:tc>
      </w:tr>
      <w:tr w:rsidR="00154404" w:rsidRPr="003A7CC4" w14:paraId="009AE448" w14:textId="54F5A8E5" w:rsidTr="00154404">
        <w:trPr>
          <w:trHeight w:val="45"/>
        </w:trPr>
        <w:tc>
          <w:tcPr>
            <w:tcW w:w="1538" w:type="dxa"/>
            <w:vMerge/>
          </w:tcPr>
          <w:p w14:paraId="5668ED53"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126560AC"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0.4</w:t>
            </w:r>
          </w:p>
        </w:tc>
        <w:tc>
          <w:tcPr>
            <w:tcW w:w="1340" w:type="dxa"/>
            <w:vAlign w:val="bottom"/>
          </w:tcPr>
          <w:p w14:paraId="563A5FF4"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91.0%</w:t>
            </w:r>
          </w:p>
        </w:tc>
        <w:tc>
          <w:tcPr>
            <w:tcW w:w="1340" w:type="dxa"/>
            <w:vMerge/>
          </w:tcPr>
          <w:p w14:paraId="187FF9B2"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2EDEF853" w14:textId="735A9530" w:rsidR="00154404" w:rsidRPr="00B975A1" w:rsidRDefault="00154404" w:rsidP="00154404">
            <w:pPr>
              <w:pStyle w:val="ListParagraph"/>
              <w:ind w:left="0"/>
              <w:jc w:val="right"/>
              <w:rPr>
                <w:sz w:val="22"/>
                <w:szCs w:val="22"/>
              </w:rPr>
            </w:pPr>
            <w:r w:rsidRPr="00B975A1">
              <w:rPr>
                <w:color w:val="000000"/>
                <w:sz w:val="22"/>
                <w:szCs w:val="22"/>
              </w:rPr>
              <w:t>0.4</w:t>
            </w:r>
          </w:p>
        </w:tc>
        <w:tc>
          <w:tcPr>
            <w:tcW w:w="1340" w:type="dxa"/>
            <w:vAlign w:val="bottom"/>
          </w:tcPr>
          <w:p w14:paraId="13EA4F92" w14:textId="27F116C0" w:rsidR="00154404" w:rsidRPr="00B975A1" w:rsidRDefault="0067402C" w:rsidP="00154404">
            <w:pPr>
              <w:pStyle w:val="ListParagraph"/>
              <w:ind w:left="0"/>
              <w:jc w:val="right"/>
              <w:rPr>
                <w:sz w:val="22"/>
                <w:szCs w:val="22"/>
              </w:rPr>
            </w:pPr>
            <w:r>
              <w:rPr>
                <w:sz w:val="22"/>
                <w:szCs w:val="22"/>
              </w:rPr>
              <w:t>95.5%</w:t>
            </w:r>
          </w:p>
        </w:tc>
        <w:tc>
          <w:tcPr>
            <w:tcW w:w="1340" w:type="dxa"/>
            <w:vMerge/>
          </w:tcPr>
          <w:p w14:paraId="6F5D41A4" w14:textId="77777777" w:rsidR="00154404" w:rsidRPr="00B975A1" w:rsidRDefault="00154404" w:rsidP="008577F3">
            <w:pPr>
              <w:pStyle w:val="ListParagraph"/>
              <w:ind w:left="0"/>
              <w:rPr>
                <w:sz w:val="22"/>
                <w:szCs w:val="22"/>
              </w:rPr>
            </w:pPr>
          </w:p>
        </w:tc>
      </w:tr>
      <w:tr w:rsidR="00154404" w:rsidRPr="003A7CC4" w14:paraId="2C77CBB5" w14:textId="67AC125C" w:rsidTr="00154404">
        <w:trPr>
          <w:trHeight w:val="45"/>
        </w:trPr>
        <w:tc>
          <w:tcPr>
            <w:tcW w:w="1538" w:type="dxa"/>
            <w:vMerge/>
          </w:tcPr>
          <w:p w14:paraId="51343DA0"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5C2D080E"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0.3</w:t>
            </w:r>
          </w:p>
        </w:tc>
        <w:tc>
          <w:tcPr>
            <w:tcW w:w="1340" w:type="dxa"/>
            <w:vAlign w:val="bottom"/>
          </w:tcPr>
          <w:p w14:paraId="469AD9BA"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72.4%</w:t>
            </w:r>
          </w:p>
        </w:tc>
        <w:tc>
          <w:tcPr>
            <w:tcW w:w="1340" w:type="dxa"/>
            <w:vMerge/>
          </w:tcPr>
          <w:p w14:paraId="3D9F89D7"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26BA3AF0" w14:textId="751A4C31" w:rsidR="00154404" w:rsidRPr="00B975A1" w:rsidRDefault="00154404" w:rsidP="00154404">
            <w:pPr>
              <w:pStyle w:val="ListParagraph"/>
              <w:ind w:left="0"/>
              <w:jc w:val="right"/>
              <w:rPr>
                <w:sz w:val="22"/>
                <w:szCs w:val="22"/>
              </w:rPr>
            </w:pPr>
            <w:r w:rsidRPr="00B975A1">
              <w:rPr>
                <w:color w:val="000000"/>
                <w:sz w:val="22"/>
                <w:szCs w:val="22"/>
              </w:rPr>
              <w:t>0.3</w:t>
            </w:r>
          </w:p>
        </w:tc>
        <w:tc>
          <w:tcPr>
            <w:tcW w:w="1340" w:type="dxa"/>
            <w:vAlign w:val="bottom"/>
          </w:tcPr>
          <w:p w14:paraId="27EAF086" w14:textId="670299D7" w:rsidR="00154404" w:rsidRPr="00B975A1" w:rsidRDefault="0067402C" w:rsidP="00154404">
            <w:pPr>
              <w:pStyle w:val="ListParagraph"/>
              <w:ind w:left="0"/>
              <w:jc w:val="right"/>
              <w:rPr>
                <w:sz w:val="22"/>
                <w:szCs w:val="22"/>
              </w:rPr>
            </w:pPr>
            <w:r>
              <w:rPr>
                <w:sz w:val="22"/>
                <w:szCs w:val="22"/>
              </w:rPr>
              <w:t>80.5%</w:t>
            </w:r>
          </w:p>
        </w:tc>
        <w:tc>
          <w:tcPr>
            <w:tcW w:w="1340" w:type="dxa"/>
            <w:vMerge/>
          </w:tcPr>
          <w:p w14:paraId="4F492EE9" w14:textId="77777777" w:rsidR="00154404" w:rsidRPr="00B975A1" w:rsidRDefault="00154404" w:rsidP="008577F3">
            <w:pPr>
              <w:pStyle w:val="ListParagraph"/>
              <w:ind w:left="0"/>
              <w:rPr>
                <w:sz w:val="22"/>
                <w:szCs w:val="22"/>
              </w:rPr>
            </w:pPr>
          </w:p>
        </w:tc>
      </w:tr>
      <w:tr w:rsidR="00154404" w:rsidRPr="003A7CC4" w14:paraId="28B87714" w14:textId="4599722B" w:rsidTr="00154404">
        <w:trPr>
          <w:trHeight w:val="45"/>
        </w:trPr>
        <w:tc>
          <w:tcPr>
            <w:tcW w:w="1538" w:type="dxa"/>
            <w:vMerge/>
          </w:tcPr>
          <w:p w14:paraId="0ACEA6FD"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34E8EF48"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0.2</w:t>
            </w:r>
          </w:p>
        </w:tc>
        <w:tc>
          <w:tcPr>
            <w:tcW w:w="1340" w:type="dxa"/>
            <w:vAlign w:val="bottom"/>
          </w:tcPr>
          <w:p w14:paraId="67307FE9"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44.0%</w:t>
            </w:r>
          </w:p>
        </w:tc>
        <w:tc>
          <w:tcPr>
            <w:tcW w:w="1340" w:type="dxa"/>
            <w:vMerge/>
          </w:tcPr>
          <w:p w14:paraId="4AA7F6EB"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63E24BD8" w14:textId="0CE9FA73" w:rsidR="00154404" w:rsidRPr="00B975A1" w:rsidRDefault="00154404" w:rsidP="00154404">
            <w:pPr>
              <w:pStyle w:val="ListParagraph"/>
              <w:ind w:left="0"/>
              <w:jc w:val="right"/>
              <w:rPr>
                <w:sz w:val="22"/>
                <w:szCs w:val="22"/>
              </w:rPr>
            </w:pPr>
            <w:r w:rsidRPr="00B975A1">
              <w:rPr>
                <w:color w:val="000000"/>
                <w:sz w:val="22"/>
                <w:szCs w:val="22"/>
              </w:rPr>
              <w:t>0.2</w:t>
            </w:r>
          </w:p>
        </w:tc>
        <w:tc>
          <w:tcPr>
            <w:tcW w:w="1340" w:type="dxa"/>
            <w:vAlign w:val="bottom"/>
          </w:tcPr>
          <w:p w14:paraId="3353EE86" w14:textId="69D4C1FE" w:rsidR="00154404" w:rsidRPr="00B975A1" w:rsidRDefault="0067402C" w:rsidP="00154404">
            <w:pPr>
              <w:pStyle w:val="ListParagraph"/>
              <w:ind w:left="0"/>
              <w:jc w:val="right"/>
              <w:rPr>
                <w:sz w:val="22"/>
                <w:szCs w:val="22"/>
              </w:rPr>
            </w:pPr>
            <w:r>
              <w:rPr>
                <w:sz w:val="22"/>
                <w:szCs w:val="22"/>
              </w:rPr>
              <w:t>51.0%</w:t>
            </w:r>
          </w:p>
        </w:tc>
        <w:tc>
          <w:tcPr>
            <w:tcW w:w="1340" w:type="dxa"/>
            <w:vMerge/>
          </w:tcPr>
          <w:p w14:paraId="2ABDA713" w14:textId="77777777" w:rsidR="00154404" w:rsidRPr="00B975A1" w:rsidRDefault="00154404" w:rsidP="008577F3">
            <w:pPr>
              <w:pStyle w:val="ListParagraph"/>
              <w:ind w:left="0"/>
              <w:rPr>
                <w:sz w:val="22"/>
                <w:szCs w:val="22"/>
              </w:rPr>
            </w:pPr>
          </w:p>
        </w:tc>
      </w:tr>
      <w:tr w:rsidR="00154404" w:rsidRPr="003A7CC4" w14:paraId="006C032D" w14:textId="48BF5A5F" w:rsidTr="00154404">
        <w:trPr>
          <w:trHeight w:val="45"/>
        </w:trPr>
        <w:tc>
          <w:tcPr>
            <w:tcW w:w="1538" w:type="dxa"/>
            <w:vMerge/>
          </w:tcPr>
          <w:p w14:paraId="47BD0EB6"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3AEA2ACB"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0.1</w:t>
            </w:r>
          </w:p>
        </w:tc>
        <w:tc>
          <w:tcPr>
            <w:tcW w:w="1340" w:type="dxa"/>
            <w:vAlign w:val="bottom"/>
          </w:tcPr>
          <w:p w14:paraId="44787CF2"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18.5%</w:t>
            </w:r>
          </w:p>
        </w:tc>
        <w:tc>
          <w:tcPr>
            <w:tcW w:w="1340" w:type="dxa"/>
            <w:vMerge/>
          </w:tcPr>
          <w:p w14:paraId="5D5E2987"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28684F41" w14:textId="0739D0FE" w:rsidR="00154404" w:rsidRPr="00B975A1" w:rsidRDefault="00154404" w:rsidP="00154404">
            <w:pPr>
              <w:pStyle w:val="ListParagraph"/>
              <w:ind w:left="0"/>
              <w:jc w:val="right"/>
              <w:rPr>
                <w:sz w:val="22"/>
                <w:szCs w:val="22"/>
              </w:rPr>
            </w:pPr>
            <w:r w:rsidRPr="00B975A1">
              <w:rPr>
                <w:color w:val="000000"/>
                <w:sz w:val="22"/>
                <w:szCs w:val="22"/>
              </w:rPr>
              <w:t>0.1</w:t>
            </w:r>
          </w:p>
        </w:tc>
        <w:tc>
          <w:tcPr>
            <w:tcW w:w="1340" w:type="dxa"/>
            <w:vAlign w:val="bottom"/>
          </w:tcPr>
          <w:p w14:paraId="2F7A0ED1" w14:textId="222314E7" w:rsidR="00154404" w:rsidRPr="00B975A1" w:rsidRDefault="0067402C" w:rsidP="00154404">
            <w:pPr>
              <w:pStyle w:val="ListParagraph"/>
              <w:ind w:left="0"/>
              <w:jc w:val="right"/>
              <w:rPr>
                <w:sz w:val="22"/>
                <w:szCs w:val="22"/>
              </w:rPr>
            </w:pPr>
            <w:r>
              <w:rPr>
                <w:sz w:val="22"/>
                <w:szCs w:val="22"/>
              </w:rPr>
              <w:t>20.9%</w:t>
            </w:r>
          </w:p>
        </w:tc>
        <w:tc>
          <w:tcPr>
            <w:tcW w:w="1340" w:type="dxa"/>
            <w:vMerge/>
          </w:tcPr>
          <w:p w14:paraId="6FFAB983" w14:textId="77777777" w:rsidR="00154404" w:rsidRPr="00B975A1" w:rsidRDefault="00154404" w:rsidP="008577F3">
            <w:pPr>
              <w:pStyle w:val="ListParagraph"/>
              <w:ind w:left="0"/>
              <w:rPr>
                <w:sz w:val="22"/>
                <w:szCs w:val="22"/>
              </w:rPr>
            </w:pPr>
          </w:p>
        </w:tc>
      </w:tr>
      <w:tr w:rsidR="00154404" w:rsidRPr="003A7CC4" w14:paraId="400DF4E7" w14:textId="00ABCFFA" w:rsidTr="00154404">
        <w:trPr>
          <w:trHeight w:val="95"/>
        </w:trPr>
        <w:tc>
          <w:tcPr>
            <w:tcW w:w="1538" w:type="dxa"/>
            <w:vMerge w:val="restart"/>
          </w:tcPr>
          <w:p w14:paraId="4AC294BD" w14:textId="77777777" w:rsidR="00154404" w:rsidRPr="00B975A1" w:rsidRDefault="00154404" w:rsidP="008577F3">
            <w:pPr>
              <w:pStyle w:val="ListParagraph"/>
              <w:ind w:left="0"/>
              <w:rPr>
                <w:rFonts w:ascii="Times New Roman" w:hAnsi="Times New Roman" w:cs="Times New Roman"/>
                <w:sz w:val="22"/>
                <w:szCs w:val="22"/>
              </w:rPr>
            </w:pPr>
            <w:r w:rsidRPr="00B975A1">
              <w:rPr>
                <w:sz w:val="22"/>
                <w:szCs w:val="22"/>
              </w:rPr>
              <w:t xml:space="preserve">LA - </w:t>
            </w:r>
            <w:proofErr w:type="spellStart"/>
            <w:r w:rsidRPr="00B975A1">
              <w:rPr>
                <w:sz w:val="22"/>
                <w:szCs w:val="22"/>
              </w:rPr>
              <w:t>Wateridge</w:t>
            </w:r>
            <w:proofErr w:type="spellEnd"/>
          </w:p>
        </w:tc>
        <w:tc>
          <w:tcPr>
            <w:tcW w:w="1339" w:type="dxa"/>
            <w:vAlign w:val="bottom"/>
          </w:tcPr>
          <w:p w14:paraId="25D0E3C4"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0.5</w:t>
            </w:r>
          </w:p>
        </w:tc>
        <w:tc>
          <w:tcPr>
            <w:tcW w:w="1340" w:type="dxa"/>
            <w:vAlign w:val="bottom"/>
          </w:tcPr>
          <w:p w14:paraId="59BE919F"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99.0%</w:t>
            </w:r>
          </w:p>
        </w:tc>
        <w:tc>
          <w:tcPr>
            <w:tcW w:w="1340" w:type="dxa"/>
            <w:vMerge w:val="restart"/>
          </w:tcPr>
          <w:p w14:paraId="7EE55C2C" w14:textId="77777777" w:rsidR="00154404" w:rsidRPr="00B975A1" w:rsidRDefault="00154404" w:rsidP="008577F3">
            <w:pPr>
              <w:pStyle w:val="ListParagraph"/>
              <w:ind w:left="0"/>
              <w:rPr>
                <w:rFonts w:ascii="Times New Roman" w:hAnsi="Times New Roman" w:cs="Times New Roman"/>
                <w:sz w:val="22"/>
                <w:szCs w:val="22"/>
              </w:rPr>
            </w:pPr>
            <w:r w:rsidRPr="00B975A1">
              <w:rPr>
                <w:color w:val="000000"/>
                <w:sz w:val="22"/>
                <w:szCs w:val="22"/>
              </w:rPr>
              <w:t>0.31</w:t>
            </w:r>
          </w:p>
        </w:tc>
        <w:tc>
          <w:tcPr>
            <w:tcW w:w="1339" w:type="dxa"/>
            <w:vAlign w:val="bottom"/>
          </w:tcPr>
          <w:p w14:paraId="783B69BA" w14:textId="50135120" w:rsidR="00154404" w:rsidRPr="00B975A1" w:rsidRDefault="00154404" w:rsidP="00154404">
            <w:pPr>
              <w:pStyle w:val="ListParagraph"/>
              <w:ind w:left="0"/>
              <w:jc w:val="right"/>
              <w:rPr>
                <w:color w:val="000000"/>
                <w:sz w:val="22"/>
                <w:szCs w:val="22"/>
              </w:rPr>
            </w:pPr>
            <w:r w:rsidRPr="00B975A1">
              <w:rPr>
                <w:color w:val="000000"/>
                <w:sz w:val="22"/>
                <w:szCs w:val="22"/>
              </w:rPr>
              <w:t>0.5</w:t>
            </w:r>
          </w:p>
        </w:tc>
        <w:tc>
          <w:tcPr>
            <w:tcW w:w="1340" w:type="dxa"/>
            <w:vAlign w:val="bottom"/>
          </w:tcPr>
          <w:p w14:paraId="5BFCA24F" w14:textId="3C04465E" w:rsidR="00154404" w:rsidRPr="00B975A1" w:rsidRDefault="00846D38" w:rsidP="00154404">
            <w:pPr>
              <w:pStyle w:val="ListParagraph"/>
              <w:ind w:left="0"/>
              <w:jc w:val="right"/>
              <w:rPr>
                <w:color w:val="000000"/>
                <w:sz w:val="22"/>
                <w:szCs w:val="22"/>
              </w:rPr>
            </w:pPr>
            <w:r>
              <w:rPr>
                <w:color w:val="000000"/>
                <w:sz w:val="22"/>
                <w:szCs w:val="22"/>
              </w:rPr>
              <w:t>99.8%</w:t>
            </w:r>
          </w:p>
        </w:tc>
        <w:tc>
          <w:tcPr>
            <w:tcW w:w="1340" w:type="dxa"/>
            <w:vMerge w:val="restart"/>
          </w:tcPr>
          <w:p w14:paraId="5A56672F" w14:textId="122243F3" w:rsidR="00154404" w:rsidRPr="00B975A1" w:rsidRDefault="00846D38" w:rsidP="008577F3">
            <w:pPr>
              <w:pStyle w:val="ListParagraph"/>
              <w:ind w:left="0"/>
              <w:rPr>
                <w:color w:val="000000"/>
                <w:sz w:val="22"/>
                <w:szCs w:val="22"/>
              </w:rPr>
            </w:pPr>
            <w:r>
              <w:rPr>
                <w:color w:val="000000"/>
                <w:sz w:val="22"/>
                <w:szCs w:val="22"/>
              </w:rPr>
              <w:t>0.28</w:t>
            </w:r>
          </w:p>
        </w:tc>
      </w:tr>
      <w:tr w:rsidR="00154404" w:rsidRPr="003A7CC4" w14:paraId="532C9BE5" w14:textId="3FC16D36" w:rsidTr="00154404">
        <w:trPr>
          <w:trHeight w:val="92"/>
        </w:trPr>
        <w:tc>
          <w:tcPr>
            <w:tcW w:w="1538" w:type="dxa"/>
            <w:vMerge/>
          </w:tcPr>
          <w:p w14:paraId="72791190"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29A3C4BD"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0.4</w:t>
            </w:r>
          </w:p>
        </w:tc>
        <w:tc>
          <w:tcPr>
            <w:tcW w:w="1340" w:type="dxa"/>
            <w:vAlign w:val="bottom"/>
          </w:tcPr>
          <w:p w14:paraId="0ABF5111"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93.9%</w:t>
            </w:r>
          </w:p>
        </w:tc>
        <w:tc>
          <w:tcPr>
            <w:tcW w:w="1340" w:type="dxa"/>
            <w:vMerge/>
          </w:tcPr>
          <w:p w14:paraId="6895BAD0"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219610B8" w14:textId="101C22F4" w:rsidR="00154404" w:rsidRPr="00B975A1" w:rsidRDefault="00154404" w:rsidP="00154404">
            <w:pPr>
              <w:pStyle w:val="ListParagraph"/>
              <w:ind w:left="0"/>
              <w:jc w:val="right"/>
              <w:rPr>
                <w:sz w:val="22"/>
                <w:szCs w:val="22"/>
              </w:rPr>
            </w:pPr>
            <w:r w:rsidRPr="00B975A1">
              <w:rPr>
                <w:color w:val="000000"/>
                <w:sz w:val="22"/>
                <w:szCs w:val="22"/>
              </w:rPr>
              <w:t>0.4</w:t>
            </w:r>
          </w:p>
        </w:tc>
        <w:tc>
          <w:tcPr>
            <w:tcW w:w="1340" w:type="dxa"/>
            <w:vAlign w:val="bottom"/>
          </w:tcPr>
          <w:p w14:paraId="37F52464" w14:textId="0B0C6988" w:rsidR="00154404" w:rsidRPr="00B975A1" w:rsidRDefault="00846D38" w:rsidP="00154404">
            <w:pPr>
              <w:pStyle w:val="ListParagraph"/>
              <w:ind w:left="0"/>
              <w:jc w:val="right"/>
              <w:rPr>
                <w:sz w:val="22"/>
                <w:szCs w:val="22"/>
              </w:rPr>
            </w:pPr>
            <w:r>
              <w:rPr>
                <w:sz w:val="22"/>
                <w:szCs w:val="22"/>
              </w:rPr>
              <w:t>97.2%</w:t>
            </w:r>
          </w:p>
        </w:tc>
        <w:tc>
          <w:tcPr>
            <w:tcW w:w="1340" w:type="dxa"/>
            <w:vMerge/>
          </w:tcPr>
          <w:p w14:paraId="7A878E93" w14:textId="77777777" w:rsidR="00154404" w:rsidRPr="00B975A1" w:rsidRDefault="00154404" w:rsidP="008577F3">
            <w:pPr>
              <w:pStyle w:val="ListParagraph"/>
              <w:ind w:left="0"/>
              <w:rPr>
                <w:sz w:val="22"/>
                <w:szCs w:val="22"/>
              </w:rPr>
            </w:pPr>
          </w:p>
        </w:tc>
      </w:tr>
      <w:tr w:rsidR="00154404" w:rsidRPr="003A7CC4" w14:paraId="1213DBA4" w14:textId="3D759510" w:rsidTr="00154404">
        <w:trPr>
          <w:trHeight w:val="92"/>
        </w:trPr>
        <w:tc>
          <w:tcPr>
            <w:tcW w:w="1538" w:type="dxa"/>
            <w:vMerge/>
          </w:tcPr>
          <w:p w14:paraId="71659454"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60F8492F"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0.3</w:t>
            </w:r>
          </w:p>
        </w:tc>
        <w:tc>
          <w:tcPr>
            <w:tcW w:w="1340" w:type="dxa"/>
            <w:vAlign w:val="bottom"/>
          </w:tcPr>
          <w:p w14:paraId="301C74DB"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77.2%</w:t>
            </w:r>
          </w:p>
        </w:tc>
        <w:tc>
          <w:tcPr>
            <w:tcW w:w="1340" w:type="dxa"/>
            <w:vMerge/>
          </w:tcPr>
          <w:p w14:paraId="4EBBB4CC"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0B793CB3" w14:textId="22759474" w:rsidR="00154404" w:rsidRPr="00B975A1" w:rsidRDefault="00154404" w:rsidP="00154404">
            <w:pPr>
              <w:pStyle w:val="ListParagraph"/>
              <w:ind w:left="0"/>
              <w:jc w:val="right"/>
              <w:rPr>
                <w:sz w:val="22"/>
                <w:szCs w:val="22"/>
              </w:rPr>
            </w:pPr>
            <w:r w:rsidRPr="00B975A1">
              <w:rPr>
                <w:color w:val="000000"/>
                <w:sz w:val="22"/>
                <w:szCs w:val="22"/>
              </w:rPr>
              <w:t>0.3</w:t>
            </w:r>
          </w:p>
        </w:tc>
        <w:tc>
          <w:tcPr>
            <w:tcW w:w="1340" w:type="dxa"/>
            <w:vAlign w:val="bottom"/>
          </w:tcPr>
          <w:p w14:paraId="5DCA7C3D" w14:textId="763930AA" w:rsidR="00154404" w:rsidRPr="00B975A1" w:rsidRDefault="00846D38" w:rsidP="00154404">
            <w:pPr>
              <w:pStyle w:val="ListParagraph"/>
              <w:ind w:left="0"/>
              <w:jc w:val="right"/>
              <w:rPr>
                <w:sz w:val="22"/>
                <w:szCs w:val="22"/>
              </w:rPr>
            </w:pPr>
            <w:r>
              <w:rPr>
                <w:sz w:val="22"/>
                <w:szCs w:val="22"/>
              </w:rPr>
              <w:t>84.8%</w:t>
            </w:r>
          </w:p>
        </w:tc>
        <w:tc>
          <w:tcPr>
            <w:tcW w:w="1340" w:type="dxa"/>
            <w:vMerge/>
          </w:tcPr>
          <w:p w14:paraId="62E463CC" w14:textId="77777777" w:rsidR="00154404" w:rsidRPr="00B975A1" w:rsidRDefault="00154404" w:rsidP="008577F3">
            <w:pPr>
              <w:pStyle w:val="ListParagraph"/>
              <w:ind w:left="0"/>
              <w:rPr>
                <w:sz w:val="22"/>
                <w:szCs w:val="22"/>
              </w:rPr>
            </w:pPr>
          </w:p>
        </w:tc>
      </w:tr>
      <w:tr w:rsidR="00154404" w:rsidRPr="003A7CC4" w14:paraId="4EE4B273" w14:textId="6ED572E8" w:rsidTr="00154404">
        <w:trPr>
          <w:trHeight w:val="92"/>
        </w:trPr>
        <w:tc>
          <w:tcPr>
            <w:tcW w:w="1538" w:type="dxa"/>
            <w:vMerge/>
          </w:tcPr>
          <w:p w14:paraId="1EDDDAC7"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401EC09C"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0.2</w:t>
            </w:r>
          </w:p>
        </w:tc>
        <w:tc>
          <w:tcPr>
            <w:tcW w:w="1340" w:type="dxa"/>
            <w:vAlign w:val="bottom"/>
          </w:tcPr>
          <w:p w14:paraId="76D002FA"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48.0%</w:t>
            </w:r>
          </w:p>
        </w:tc>
        <w:tc>
          <w:tcPr>
            <w:tcW w:w="1340" w:type="dxa"/>
            <w:vMerge/>
          </w:tcPr>
          <w:p w14:paraId="250F16A6"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1BFBE623" w14:textId="13CCE742" w:rsidR="00154404" w:rsidRPr="00B975A1" w:rsidRDefault="00154404" w:rsidP="00154404">
            <w:pPr>
              <w:pStyle w:val="ListParagraph"/>
              <w:ind w:left="0"/>
              <w:jc w:val="right"/>
              <w:rPr>
                <w:sz w:val="22"/>
                <w:szCs w:val="22"/>
              </w:rPr>
            </w:pPr>
            <w:r w:rsidRPr="00B975A1">
              <w:rPr>
                <w:color w:val="000000"/>
                <w:sz w:val="22"/>
                <w:szCs w:val="22"/>
              </w:rPr>
              <w:t>0.2</w:t>
            </w:r>
          </w:p>
        </w:tc>
        <w:tc>
          <w:tcPr>
            <w:tcW w:w="1340" w:type="dxa"/>
            <w:vAlign w:val="bottom"/>
          </w:tcPr>
          <w:p w14:paraId="5DF754A2" w14:textId="0B0CD4AF" w:rsidR="00154404" w:rsidRPr="00B975A1" w:rsidRDefault="00846D38" w:rsidP="00154404">
            <w:pPr>
              <w:pStyle w:val="ListParagraph"/>
              <w:ind w:left="0"/>
              <w:jc w:val="right"/>
              <w:rPr>
                <w:sz w:val="22"/>
                <w:szCs w:val="22"/>
              </w:rPr>
            </w:pPr>
            <w:r>
              <w:rPr>
                <w:sz w:val="22"/>
                <w:szCs w:val="22"/>
              </w:rPr>
              <w:t>55.4%</w:t>
            </w:r>
          </w:p>
        </w:tc>
        <w:tc>
          <w:tcPr>
            <w:tcW w:w="1340" w:type="dxa"/>
            <w:vMerge/>
          </w:tcPr>
          <w:p w14:paraId="0DA61A68" w14:textId="77777777" w:rsidR="00154404" w:rsidRPr="00B975A1" w:rsidRDefault="00154404" w:rsidP="008577F3">
            <w:pPr>
              <w:pStyle w:val="ListParagraph"/>
              <w:ind w:left="0"/>
              <w:rPr>
                <w:sz w:val="22"/>
                <w:szCs w:val="22"/>
              </w:rPr>
            </w:pPr>
          </w:p>
        </w:tc>
      </w:tr>
      <w:tr w:rsidR="00154404" w:rsidRPr="003A7CC4" w14:paraId="6E1FD55F" w14:textId="384FBF74" w:rsidTr="00154404">
        <w:trPr>
          <w:trHeight w:val="92"/>
        </w:trPr>
        <w:tc>
          <w:tcPr>
            <w:tcW w:w="1538" w:type="dxa"/>
            <w:vMerge/>
          </w:tcPr>
          <w:p w14:paraId="369EBEF1"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0310033D"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0.1</w:t>
            </w:r>
          </w:p>
        </w:tc>
        <w:tc>
          <w:tcPr>
            <w:tcW w:w="1340" w:type="dxa"/>
            <w:vAlign w:val="bottom"/>
          </w:tcPr>
          <w:p w14:paraId="1858ECEA"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19.8%</w:t>
            </w:r>
          </w:p>
        </w:tc>
        <w:tc>
          <w:tcPr>
            <w:tcW w:w="1340" w:type="dxa"/>
            <w:vMerge/>
          </w:tcPr>
          <w:p w14:paraId="268597DE"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25B04E42" w14:textId="36D07C89" w:rsidR="00154404" w:rsidRPr="00B975A1" w:rsidRDefault="00154404" w:rsidP="00154404">
            <w:pPr>
              <w:pStyle w:val="ListParagraph"/>
              <w:ind w:left="0"/>
              <w:jc w:val="right"/>
              <w:rPr>
                <w:sz w:val="22"/>
                <w:szCs w:val="22"/>
              </w:rPr>
            </w:pPr>
            <w:r w:rsidRPr="00B975A1">
              <w:rPr>
                <w:color w:val="000000"/>
                <w:sz w:val="22"/>
                <w:szCs w:val="22"/>
              </w:rPr>
              <w:t>0.1</w:t>
            </w:r>
          </w:p>
        </w:tc>
        <w:tc>
          <w:tcPr>
            <w:tcW w:w="1340" w:type="dxa"/>
            <w:vAlign w:val="bottom"/>
          </w:tcPr>
          <w:p w14:paraId="07C99E45" w14:textId="0647F8D9" w:rsidR="00154404" w:rsidRPr="00B975A1" w:rsidRDefault="00846D38" w:rsidP="00154404">
            <w:pPr>
              <w:pStyle w:val="ListParagraph"/>
              <w:ind w:left="0"/>
              <w:jc w:val="right"/>
              <w:rPr>
                <w:sz w:val="22"/>
                <w:szCs w:val="22"/>
              </w:rPr>
            </w:pPr>
            <w:r>
              <w:rPr>
                <w:sz w:val="22"/>
                <w:szCs w:val="22"/>
              </w:rPr>
              <w:t>22.5%</w:t>
            </w:r>
          </w:p>
        </w:tc>
        <w:tc>
          <w:tcPr>
            <w:tcW w:w="1340" w:type="dxa"/>
            <w:vMerge/>
          </w:tcPr>
          <w:p w14:paraId="66709D67" w14:textId="77777777" w:rsidR="00154404" w:rsidRPr="00B975A1" w:rsidRDefault="00154404" w:rsidP="008577F3">
            <w:pPr>
              <w:pStyle w:val="ListParagraph"/>
              <w:ind w:left="0"/>
              <w:rPr>
                <w:sz w:val="22"/>
                <w:szCs w:val="22"/>
              </w:rPr>
            </w:pPr>
          </w:p>
        </w:tc>
      </w:tr>
      <w:tr w:rsidR="00154404" w:rsidRPr="003A7CC4" w14:paraId="4B99C0D3" w14:textId="09537793" w:rsidTr="00154404">
        <w:trPr>
          <w:trHeight w:val="45"/>
        </w:trPr>
        <w:tc>
          <w:tcPr>
            <w:tcW w:w="1538" w:type="dxa"/>
            <w:vMerge w:val="restart"/>
          </w:tcPr>
          <w:p w14:paraId="5649806B" w14:textId="77777777" w:rsidR="00154404" w:rsidRPr="00B975A1" w:rsidRDefault="00154404" w:rsidP="008577F3">
            <w:pPr>
              <w:pStyle w:val="ListParagraph"/>
              <w:ind w:left="0"/>
              <w:rPr>
                <w:rFonts w:ascii="Times New Roman" w:hAnsi="Times New Roman" w:cs="Times New Roman"/>
                <w:sz w:val="22"/>
                <w:szCs w:val="22"/>
              </w:rPr>
            </w:pPr>
            <w:r w:rsidRPr="00B975A1">
              <w:rPr>
                <w:sz w:val="22"/>
                <w:szCs w:val="22"/>
              </w:rPr>
              <w:t>Santa Clara</w:t>
            </w:r>
          </w:p>
        </w:tc>
        <w:tc>
          <w:tcPr>
            <w:tcW w:w="1339" w:type="dxa"/>
            <w:vAlign w:val="bottom"/>
          </w:tcPr>
          <w:p w14:paraId="5CD059B8"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0.5</w:t>
            </w:r>
          </w:p>
        </w:tc>
        <w:tc>
          <w:tcPr>
            <w:tcW w:w="1340" w:type="dxa"/>
            <w:vAlign w:val="bottom"/>
          </w:tcPr>
          <w:p w14:paraId="400EC14F"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93.9%</w:t>
            </w:r>
          </w:p>
        </w:tc>
        <w:tc>
          <w:tcPr>
            <w:tcW w:w="1340" w:type="dxa"/>
            <w:vMerge w:val="restart"/>
          </w:tcPr>
          <w:p w14:paraId="111AC8E5" w14:textId="77777777" w:rsidR="00154404" w:rsidRPr="00B975A1" w:rsidRDefault="00154404" w:rsidP="008577F3">
            <w:pPr>
              <w:pStyle w:val="ListParagraph"/>
              <w:ind w:left="0"/>
              <w:rPr>
                <w:rFonts w:ascii="Times New Roman" w:hAnsi="Times New Roman" w:cs="Times New Roman"/>
                <w:sz w:val="22"/>
                <w:szCs w:val="22"/>
              </w:rPr>
            </w:pPr>
            <w:r w:rsidRPr="00B975A1">
              <w:rPr>
                <w:color w:val="000000"/>
                <w:sz w:val="22"/>
                <w:szCs w:val="22"/>
              </w:rPr>
              <w:t>0.39</w:t>
            </w:r>
          </w:p>
        </w:tc>
        <w:tc>
          <w:tcPr>
            <w:tcW w:w="1339" w:type="dxa"/>
            <w:vAlign w:val="bottom"/>
          </w:tcPr>
          <w:p w14:paraId="45496D0E" w14:textId="77465807" w:rsidR="00154404" w:rsidRPr="00B975A1" w:rsidRDefault="00154404" w:rsidP="00154404">
            <w:pPr>
              <w:pStyle w:val="ListParagraph"/>
              <w:ind w:left="0"/>
              <w:jc w:val="right"/>
              <w:rPr>
                <w:color w:val="000000"/>
                <w:sz w:val="22"/>
                <w:szCs w:val="22"/>
              </w:rPr>
            </w:pPr>
            <w:r w:rsidRPr="00B975A1">
              <w:rPr>
                <w:color w:val="000000"/>
                <w:sz w:val="22"/>
                <w:szCs w:val="22"/>
              </w:rPr>
              <w:t>0.5</w:t>
            </w:r>
          </w:p>
        </w:tc>
        <w:tc>
          <w:tcPr>
            <w:tcW w:w="1340" w:type="dxa"/>
            <w:vAlign w:val="bottom"/>
          </w:tcPr>
          <w:p w14:paraId="34A4F08D" w14:textId="54E33294" w:rsidR="00154404" w:rsidRPr="00B975A1" w:rsidRDefault="0083105C" w:rsidP="00154404">
            <w:pPr>
              <w:pStyle w:val="ListParagraph"/>
              <w:ind w:left="0"/>
              <w:jc w:val="right"/>
              <w:rPr>
                <w:color w:val="000000"/>
                <w:sz w:val="22"/>
                <w:szCs w:val="22"/>
              </w:rPr>
            </w:pPr>
            <w:r>
              <w:rPr>
                <w:color w:val="000000"/>
                <w:sz w:val="22"/>
                <w:szCs w:val="22"/>
              </w:rPr>
              <w:t>97.4%</w:t>
            </w:r>
          </w:p>
        </w:tc>
        <w:tc>
          <w:tcPr>
            <w:tcW w:w="1340" w:type="dxa"/>
            <w:vMerge w:val="restart"/>
          </w:tcPr>
          <w:p w14:paraId="621EFF3E" w14:textId="42C0DA3A" w:rsidR="00154404" w:rsidRPr="00B975A1" w:rsidRDefault="0083105C" w:rsidP="008577F3">
            <w:pPr>
              <w:pStyle w:val="ListParagraph"/>
              <w:ind w:left="0"/>
              <w:rPr>
                <w:color w:val="000000"/>
                <w:sz w:val="22"/>
                <w:szCs w:val="22"/>
              </w:rPr>
            </w:pPr>
            <w:r>
              <w:rPr>
                <w:color w:val="000000"/>
                <w:sz w:val="22"/>
                <w:szCs w:val="22"/>
              </w:rPr>
              <w:t>0.35</w:t>
            </w:r>
          </w:p>
        </w:tc>
      </w:tr>
      <w:tr w:rsidR="00154404" w:rsidRPr="003A7CC4" w14:paraId="101CB126" w14:textId="5A32DA3E" w:rsidTr="00154404">
        <w:trPr>
          <w:trHeight w:val="45"/>
        </w:trPr>
        <w:tc>
          <w:tcPr>
            <w:tcW w:w="1538" w:type="dxa"/>
            <w:vMerge/>
          </w:tcPr>
          <w:p w14:paraId="64872B01"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3089A2BA"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0.4</w:t>
            </w:r>
          </w:p>
        </w:tc>
        <w:tc>
          <w:tcPr>
            <w:tcW w:w="1340" w:type="dxa"/>
            <w:vAlign w:val="bottom"/>
          </w:tcPr>
          <w:p w14:paraId="2B34797C"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81.8%</w:t>
            </w:r>
          </w:p>
        </w:tc>
        <w:tc>
          <w:tcPr>
            <w:tcW w:w="1340" w:type="dxa"/>
            <w:vMerge/>
          </w:tcPr>
          <w:p w14:paraId="17256191"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16D7D2B4" w14:textId="60ABF097" w:rsidR="00154404" w:rsidRPr="00B975A1" w:rsidRDefault="00154404" w:rsidP="00154404">
            <w:pPr>
              <w:pStyle w:val="ListParagraph"/>
              <w:ind w:left="0"/>
              <w:jc w:val="right"/>
              <w:rPr>
                <w:sz w:val="22"/>
                <w:szCs w:val="22"/>
              </w:rPr>
            </w:pPr>
            <w:r w:rsidRPr="00B975A1">
              <w:rPr>
                <w:color w:val="000000"/>
                <w:sz w:val="22"/>
                <w:szCs w:val="22"/>
              </w:rPr>
              <w:t>0.4</w:t>
            </w:r>
          </w:p>
        </w:tc>
        <w:tc>
          <w:tcPr>
            <w:tcW w:w="1340" w:type="dxa"/>
            <w:vAlign w:val="bottom"/>
          </w:tcPr>
          <w:p w14:paraId="2BCA1CF4" w14:textId="2B18367A" w:rsidR="00154404" w:rsidRPr="00B975A1" w:rsidRDefault="0083105C" w:rsidP="00154404">
            <w:pPr>
              <w:pStyle w:val="ListParagraph"/>
              <w:ind w:left="0"/>
              <w:jc w:val="right"/>
              <w:rPr>
                <w:sz w:val="22"/>
                <w:szCs w:val="22"/>
              </w:rPr>
            </w:pPr>
            <w:r>
              <w:rPr>
                <w:sz w:val="22"/>
                <w:szCs w:val="22"/>
              </w:rPr>
              <w:t>88.9%</w:t>
            </w:r>
          </w:p>
        </w:tc>
        <w:tc>
          <w:tcPr>
            <w:tcW w:w="1340" w:type="dxa"/>
            <w:vMerge/>
          </w:tcPr>
          <w:p w14:paraId="6BEB6BDD" w14:textId="77777777" w:rsidR="00154404" w:rsidRPr="00B975A1" w:rsidRDefault="00154404" w:rsidP="008577F3">
            <w:pPr>
              <w:pStyle w:val="ListParagraph"/>
              <w:ind w:left="0"/>
              <w:rPr>
                <w:sz w:val="22"/>
                <w:szCs w:val="22"/>
              </w:rPr>
            </w:pPr>
          </w:p>
        </w:tc>
      </w:tr>
      <w:tr w:rsidR="00154404" w:rsidRPr="003A7CC4" w14:paraId="310DF4B4" w14:textId="4195FA57" w:rsidTr="00154404">
        <w:trPr>
          <w:trHeight w:val="45"/>
        </w:trPr>
        <w:tc>
          <w:tcPr>
            <w:tcW w:w="1538" w:type="dxa"/>
            <w:vMerge/>
          </w:tcPr>
          <w:p w14:paraId="37C4BE7F"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11CCD0C0"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0.3</w:t>
            </w:r>
          </w:p>
        </w:tc>
        <w:tc>
          <w:tcPr>
            <w:tcW w:w="1340" w:type="dxa"/>
            <w:vAlign w:val="bottom"/>
          </w:tcPr>
          <w:p w14:paraId="79711B94"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60.6%</w:t>
            </w:r>
          </w:p>
        </w:tc>
        <w:tc>
          <w:tcPr>
            <w:tcW w:w="1340" w:type="dxa"/>
            <w:vMerge/>
          </w:tcPr>
          <w:p w14:paraId="033C0810"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512A2279" w14:textId="3F39A7D9" w:rsidR="00154404" w:rsidRPr="00B975A1" w:rsidRDefault="00154404" w:rsidP="00154404">
            <w:pPr>
              <w:pStyle w:val="ListParagraph"/>
              <w:ind w:left="0"/>
              <w:jc w:val="right"/>
              <w:rPr>
                <w:sz w:val="22"/>
                <w:szCs w:val="22"/>
              </w:rPr>
            </w:pPr>
            <w:r w:rsidRPr="00B975A1">
              <w:rPr>
                <w:color w:val="000000"/>
                <w:sz w:val="22"/>
                <w:szCs w:val="22"/>
              </w:rPr>
              <w:t>0.3</w:t>
            </w:r>
          </w:p>
        </w:tc>
        <w:tc>
          <w:tcPr>
            <w:tcW w:w="1340" w:type="dxa"/>
            <w:vAlign w:val="bottom"/>
          </w:tcPr>
          <w:p w14:paraId="4A7BE8C6" w14:textId="5AEEB093" w:rsidR="00154404" w:rsidRPr="00B975A1" w:rsidRDefault="0083105C" w:rsidP="00154404">
            <w:pPr>
              <w:pStyle w:val="ListParagraph"/>
              <w:ind w:left="0"/>
              <w:jc w:val="right"/>
              <w:rPr>
                <w:sz w:val="22"/>
                <w:szCs w:val="22"/>
              </w:rPr>
            </w:pPr>
            <w:r>
              <w:rPr>
                <w:sz w:val="22"/>
                <w:szCs w:val="22"/>
              </w:rPr>
              <w:t>69.3%</w:t>
            </w:r>
          </w:p>
        </w:tc>
        <w:tc>
          <w:tcPr>
            <w:tcW w:w="1340" w:type="dxa"/>
            <w:vMerge/>
          </w:tcPr>
          <w:p w14:paraId="31B1BB97" w14:textId="77777777" w:rsidR="00154404" w:rsidRPr="00B975A1" w:rsidRDefault="00154404" w:rsidP="008577F3">
            <w:pPr>
              <w:pStyle w:val="ListParagraph"/>
              <w:ind w:left="0"/>
              <w:rPr>
                <w:sz w:val="22"/>
                <w:szCs w:val="22"/>
              </w:rPr>
            </w:pPr>
          </w:p>
        </w:tc>
      </w:tr>
      <w:tr w:rsidR="00154404" w:rsidRPr="003A7CC4" w14:paraId="2BF9C47B" w14:textId="0A765D7C" w:rsidTr="00154404">
        <w:trPr>
          <w:trHeight w:val="45"/>
        </w:trPr>
        <w:tc>
          <w:tcPr>
            <w:tcW w:w="1538" w:type="dxa"/>
            <w:vMerge/>
          </w:tcPr>
          <w:p w14:paraId="7F715B48"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3AC7CB59"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0.2</w:t>
            </w:r>
          </w:p>
        </w:tc>
        <w:tc>
          <w:tcPr>
            <w:tcW w:w="1340" w:type="dxa"/>
            <w:vAlign w:val="bottom"/>
          </w:tcPr>
          <w:p w14:paraId="1DD0E848"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35.6%</w:t>
            </w:r>
          </w:p>
        </w:tc>
        <w:tc>
          <w:tcPr>
            <w:tcW w:w="1340" w:type="dxa"/>
            <w:vMerge/>
          </w:tcPr>
          <w:p w14:paraId="726BC88D"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42CEB9EB" w14:textId="21E90541" w:rsidR="00154404" w:rsidRPr="00B975A1" w:rsidRDefault="00154404" w:rsidP="00154404">
            <w:pPr>
              <w:pStyle w:val="ListParagraph"/>
              <w:ind w:left="0"/>
              <w:jc w:val="right"/>
              <w:rPr>
                <w:sz w:val="22"/>
                <w:szCs w:val="22"/>
              </w:rPr>
            </w:pPr>
            <w:r w:rsidRPr="00B975A1">
              <w:rPr>
                <w:color w:val="000000"/>
                <w:sz w:val="22"/>
                <w:szCs w:val="22"/>
              </w:rPr>
              <w:t>0.2</w:t>
            </w:r>
          </w:p>
        </w:tc>
        <w:tc>
          <w:tcPr>
            <w:tcW w:w="1340" w:type="dxa"/>
            <w:vAlign w:val="bottom"/>
          </w:tcPr>
          <w:p w14:paraId="5833817E" w14:textId="11F8D178" w:rsidR="00154404" w:rsidRPr="00B975A1" w:rsidRDefault="0083105C" w:rsidP="00154404">
            <w:pPr>
              <w:pStyle w:val="ListParagraph"/>
              <w:ind w:left="0"/>
              <w:jc w:val="right"/>
              <w:rPr>
                <w:sz w:val="22"/>
                <w:szCs w:val="22"/>
              </w:rPr>
            </w:pPr>
            <w:r>
              <w:rPr>
                <w:sz w:val="22"/>
                <w:szCs w:val="22"/>
              </w:rPr>
              <w:t>41.6%</w:t>
            </w:r>
          </w:p>
        </w:tc>
        <w:tc>
          <w:tcPr>
            <w:tcW w:w="1340" w:type="dxa"/>
            <w:vMerge/>
          </w:tcPr>
          <w:p w14:paraId="79ED186A" w14:textId="77777777" w:rsidR="00154404" w:rsidRPr="00B975A1" w:rsidRDefault="00154404" w:rsidP="008577F3">
            <w:pPr>
              <w:pStyle w:val="ListParagraph"/>
              <w:ind w:left="0"/>
              <w:rPr>
                <w:sz w:val="22"/>
                <w:szCs w:val="22"/>
              </w:rPr>
            </w:pPr>
          </w:p>
        </w:tc>
      </w:tr>
      <w:tr w:rsidR="00154404" w:rsidRPr="003A7CC4" w14:paraId="74E11275" w14:textId="17CE8775" w:rsidTr="00154404">
        <w:trPr>
          <w:trHeight w:val="45"/>
        </w:trPr>
        <w:tc>
          <w:tcPr>
            <w:tcW w:w="1538" w:type="dxa"/>
            <w:vMerge/>
          </w:tcPr>
          <w:p w14:paraId="27F374E2"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41D7BF8B"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0.1</w:t>
            </w:r>
          </w:p>
        </w:tc>
        <w:tc>
          <w:tcPr>
            <w:tcW w:w="1340" w:type="dxa"/>
            <w:vAlign w:val="bottom"/>
          </w:tcPr>
          <w:p w14:paraId="0CDC0F3E" w14:textId="77777777" w:rsidR="00154404" w:rsidRPr="00B975A1" w:rsidRDefault="00154404" w:rsidP="008577F3">
            <w:pPr>
              <w:jc w:val="right"/>
              <w:rPr>
                <w:rFonts w:ascii="Times New Roman" w:eastAsia="Times New Roman" w:hAnsi="Times New Roman" w:cs="Times New Roman"/>
                <w:color w:val="000000"/>
                <w:sz w:val="22"/>
                <w:szCs w:val="22"/>
              </w:rPr>
            </w:pPr>
            <w:r w:rsidRPr="00B975A1">
              <w:rPr>
                <w:color w:val="000000"/>
                <w:sz w:val="22"/>
                <w:szCs w:val="22"/>
              </w:rPr>
              <w:t>15.7%</w:t>
            </w:r>
          </w:p>
        </w:tc>
        <w:tc>
          <w:tcPr>
            <w:tcW w:w="1340" w:type="dxa"/>
            <w:vMerge/>
          </w:tcPr>
          <w:p w14:paraId="71416588" w14:textId="77777777" w:rsidR="00154404" w:rsidRPr="00B975A1" w:rsidRDefault="00154404" w:rsidP="008577F3">
            <w:pPr>
              <w:pStyle w:val="ListParagraph"/>
              <w:ind w:left="0"/>
              <w:rPr>
                <w:rFonts w:ascii="Times New Roman" w:hAnsi="Times New Roman" w:cs="Times New Roman"/>
                <w:sz w:val="22"/>
                <w:szCs w:val="22"/>
              </w:rPr>
            </w:pPr>
          </w:p>
        </w:tc>
        <w:tc>
          <w:tcPr>
            <w:tcW w:w="1339" w:type="dxa"/>
            <w:vAlign w:val="bottom"/>
          </w:tcPr>
          <w:p w14:paraId="37C1999E" w14:textId="037B44CA" w:rsidR="00154404" w:rsidRPr="00B975A1" w:rsidRDefault="00154404" w:rsidP="00154404">
            <w:pPr>
              <w:pStyle w:val="ListParagraph"/>
              <w:ind w:left="0"/>
              <w:jc w:val="right"/>
              <w:rPr>
                <w:sz w:val="22"/>
                <w:szCs w:val="22"/>
              </w:rPr>
            </w:pPr>
            <w:r w:rsidRPr="00B975A1">
              <w:rPr>
                <w:color w:val="000000"/>
                <w:sz w:val="22"/>
                <w:szCs w:val="22"/>
              </w:rPr>
              <w:t>0.1</w:t>
            </w:r>
          </w:p>
        </w:tc>
        <w:tc>
          <w:tcPr>
            <w:tcW w:w="1340" w:type="dxa"/>
            <w:vAlign w:val="bottom"/>
          </w:tcPr>
          <w:p w14:paraId="355EDF90" w14:textId="1188A8CF" w:rsidR="00154404" w:rsidRPr="00B975A1" w:rsidRDefault="0083105C" w:rsidP="00154404">
            <w:pPr>
              <w:pStyle w:val="ListParagraph"/>
              <w:ind w:left="0"/>
              <w:jc w:val="right"/>
              <w:rPr>
                <w:sz w:val="22"/>
                <w:szCs w:val="22"/>
              </w:rPr>
            </w:pPr>
            <w:r>
              <w:rPr>
                <w:sz w:val="22"/>
                <w:szCs w:val="22"/>
              </w:rPr>
              <w:t>17.7%</w:t>
            </w:r>
          </w:p>
        </w:tc>
        <w:tc>
          <w:tcPr>
            <w:tcW w:w="1340" w:type="dxa"/>
            <w:vMerge/>
          </w:tcPr>
          <w:p w14:paraId="692F4B06" w14:textId="77777777" w:rsidR="00154404" w:rsidRPr="00B975A1" w:rsidRDefault="00154404" w:rsidP="008577F3">
            <w:pPr>
              <w:pStyle w:val="ListParagraph"/>
              <w:ind w:left="0"/>
              <w:rPr>
                <w:sz w:val="22"/>
                <w:szCs w:val="22"/>
              </w:rPr>
            </w:pPr>
          </w:p>
        </w:tc>
      </w:tr>
    </w:tbl>
    <w:p w14:paraId="798DFCAD" w14:textId="77777777" w:rsidR="009B5AF8" w:rsidRPr="00B975A1" w:rsidRDefault="009B5AF8" w:rsidP="009B5AF8">
      <w:pPr>
        <w:pStyle w:val="ListParagraph"/>
        <w:ind w:left="0"/>
      </w:pPr>
    </w:p>
    <w:p w14:paraId="2B4A4EA5" w14:textId="77777777" w:rsidR="007A0CB9" w:rsidRPr="003A7CC4" w:rsidRDefault="007A0CB9" w:rsidP="004526EE">
      <w:pPr>
        <w:spacing w:line="240" w:lineRule="atLeast"/>
        <w:rPr>
          <w:b/>
        </w:rPr>
      </w:pPr>
    </w:p>
    <w:p w14:paraId="2B4A4EA6" w14:textId="77777777" w:rsidR="003A6D69" w:rsidRPr="003A7CC4" w:rsidRDefault="003A6D69" w:rsidP="00556042">
      <w:pPr>
        <w:keepNext/>
        <w:spacing w:line="240" w:lineRule="atLeast"/>
        <w:rPr>
          <w:b/>
        </w:rPr>
      </w:pPr>
      <w:r w:rsidRPr="003A7CC4">
        <w:rPr>
          <w:b/>
        </w:rPr>
        <w:t>B2. Procedures for Collection of Information</w:t>
      </w:r>
    </w:p>
    <w:p w14:paraId="2B4A4EA7" w14:textId="77777777" w:rsidR="00F147E7" w:rsidRPr="003A7CC4" w:rsidRDefault="00F147E7" w:rsidP="001D1C55">
      <w:pPr>
        <w:spacing w:line="240" w:lineRule="atLeast"/>
      </w:pPr>
    </w:p>
    <w:p w14:paraId="2B4A4EA8" w14:textId="77777777" w:rsidR="00B50B22" w:rsidRPr="003A7CC4" w:rsidRDefault="00B50B22" w:rsidP="00B50B22">
      <w:pPr>
        <w:spacing w:line="240" w:lineRule="atLeast"/>
        <w:rPr>
          <w:b/>
          <w:i/>
        </w:rPr>
      </w:pPr>
      <w:r w:rsidRPr="003A7CC4">
        <w:rPr>
          <w:b/>
          <w:i/>
        </w:rPr>
        <w:t>Parent-Legal Guardian Survey Administration</w:t>
      </w:r>
    </w:p>
    <w:p w14:paraId="18A87BAF" w14:textId="77777777" w:rsidR="002E366B" w:rsidRPr="003A7CC4" w:rsidRDefault="002E366B" w:rsidP="00B50B22">
      <w:pPr>
        <w:spacing w:line="240" w:lineRule="atLeast"/>
        <w:rPr>
          <w:b/>
          <w:i/>
        </w:rPr>
      </w:pPr>
    </w:p>
    <w:p w14:paraId="2B4A4EA9" w14:textId="1F6B597E" w:rsidR="00B50B22" w:rsidRPr="003A7CC4" w:rsidRDefault="00B50B22" w:rsidP="00B50B22">
      <w:pPr>
        <w:spacing w:line="240" w:lineRule="atLeast"/>
      </w:pPr>
      <w:r w:rsidRPr="003A7CC4">
        <w:t xml:space="preserve">Westat will send the designated number of prepared parent-legal guardian survey packets to each CAPP site Local Survey Coordinator. Sealed parent-legal guardian survey packets will contain the combined informed consent and </w:t>
      </w:r>
      <w:r w:rsidR="00B966C4" w:rsidRPr="003A7CC4">
        <w:t xml:space="preserve">survey </w:t>
      </w:r>
      <w:r w:rsidRPr="003A7CC4">
        <w:t>questionnaire</w:t>
      </w:r>
      <w:r w:rsidR="003C7F93" w:rsidRPr="003A7CC4">
        <w:t xml:space="preserve"> in English and Spanish</w:t>
      </w:r>
      <w:r w:rsidRPr="003A7CC4">
        <w:t>, and a pre-addressed, postage-paid return envelope. The Survey ID and name of the social worker will be on a sticker on the outside of parent-legal guardian survey packets so Local Survey Coordinators can provide surveys to the correct survey distributor.</w:t>
      </w:r>
    </w:p>
    <w:p w14:paraId="2B4A4EAA" w14:textId="77777777" w:rsidR="00B50B22" w:rsidRPr="003A7CC4" w:rsidRDefault="00B50B22" w:rsidP="00B50B22">
      <w:pPr>
        <w:spacing w:line="240" w:lineRule="atLeast"/>
      </w:pPr>
    </w:p>
    <w:p w14:paraId="2B4A4EAB" w14:textId="529AB869" w:rsidR="00B50B22" w:rsidRPr="003A7CC4" w:rsidRDefault="00B50B22" w:rsidP="00B50B22">
      <w:pPr>
        <w:spacing w:line="240" w:lineRule="atLeast"/>
        <w:rPr>
          <w:bCs/>
        </w:rPr>
      </w:pPr>
      <w:r w:rsidRPr="003A7CC4">
        <w:t>The Local Survey Coordinator will provide survey packets to each selected CAPP-trained caseworker or other identified survey distributor who will hand-distribute survey packets to eligible parent-legal guardians. The survey packets will be handed to eligible parent-legal guardians as they are met by the survey distributor during the next in-person cont</w:t>
      </w:r>
      <w:r w:rsidR="007E3873" w:rsidRPr="003A7CC4">
        <w:t>act</w:t>
      </w:r>
      <w:r w:rsidRPr="003A7CC4">
        <w:t xml:space="preserve">. </w:t>
      </w:r>
      <w:r w:rsidRPr="003A7CC4">
        <w:rPr>
          <w:bCs/>
        </w:rPr>
        <w:t xml:space="preserve">The survey distributor will read the prepared script to the parent-legal guardian that briefly describes what is contained in the survey packet, instruct the parent-legal guardian how to complete and return the informed consent and survey, and that they may call Westat’s toll-free 800 number listed in the survey packet for questions and assistance completing the </w:t>
      </w:r>
      <w:r w:rsidR="00B966C4" w:rsidRPr="003A7CC4">
        <w:rPr>
          <w:bCs/>
        </w:rPr>
        <w:t xml:space="preserve">survey </w:t>
      </w:r>
      <w:r w:rsidRPr="003A7CC4">
        <w:rPr>
          <w:bCs/>
        </w:rPr>
        <w:t xml:space="preserve">or to take the survey by telephone. The script includes a list of potential questions from parent-legal guardians and acceptable answers the survey distributor can provide. See </w:t>
      </w:r>
      <w:r w:rsidRPr="00B975A1">
        <w:t xml:space="preserve">Attachment </w:t>
      </w:r>
      <w:r w:rsidR="00BD2AA0" w:rsidRPr="00B975A1">
        <w:t>B2a</w:t>
      </w:r>
      <w:r w:rsidRPr="00B975A1">
        <w:t>: Parent-Legal Guardian Questionnaire Distributor Script</w:t>
      </w:r>
      <w:r w:rsidR="00BD2AA0" w:rsidRPr="00B975A1">
        <w:t xml:space="preserve"> 8-15 and Attachment B2b: Parent-Legal Guardian Questionnaire Distributor Script Spanish 8-15</w:t>
      </w:r>
      <w:r w:rsidRPr="00B975A1">
        <w:t>.</w:t>
      </w:r>
    </w:p>
    <w:p w14:paraId="2B4A4EAC" w14:textId="77777777" w:rsidR="00B50B22" w:rsidRPr="003A7CC4" w:rsidRDefault="00B50B22" w:rsidP="00B50B22">
      <w:pPr>
        <w:spacing w:line="240" w:lineRule="atLeast"/>
      </w:pPr>
    </w:p>
    <w:p w14:paraId="2B4A4EAD" w14:textId="14A17F98" w:rsidR="00B50B22" w:rsidRPr="003A7CC4" w:rsidRDefault="00B50B22" w:rsidP="00B50B22">
      <w:pPr>
        <w:spacing w:line="240" w:lineRule="atLeast"/>
      </w:pPr>
      <w:r w:rsidRPr="003A7CC4">
        <w:t xml:space="preserve">Survey distributors will indicate which surveys have been distributed by removing the sticker from the outside of the survey packet and placing it on the Survey Distribution Tracking Sheet. They will record the name of the parent-legal guardian and distribution date. </w:t>
      </w:r>
      <w:r w:rsidR="00AB0B8E" w:rsidRPr="003A7CC4">
        <w:t xml:space="preserve">Survey distributors will also record the names of who they have approached who did not want to complete the survey in order to better understand rates of refusal. </w:t>
      </w:r>
      <w:r w:rsidRPr="003A7CC4">
        <w:t>Each CAPP site Local Survey Coordinator will collect Survey Distribution Tracking Sheets, enter information on the electronic Master Survey Tracking Sheet, and upload electronic files onto Westat’s secure server. Westat will track surveys disseminated compared to surveys received or administered via telephone.</w:t>
      </w:r>
      <w:r w:rsidR="00A67D9B" w:rsidRPr="003A7CC4">
        <w:t xml:space="preserve"> As needed, Westat will provide </w:t>
      </w:r>
      <w:r w:rsidR="00B4202A" w:rsidRPr="003A7CC4">
        <w:t xml:space="preserve">two sets of </w:t>
      </w:r>
      <w:r w:rsidR="00A67D9B" w:rsidRPr="003A7CC4">
        <w:t>duplicate packets to Local Survey Coordinators for survey distributors to disseminate to respondents who did not mail back the original questionnaire. Duplicate packets will have the same codes as the original packets.</w:t>
      </w:r>
    </w:p>
    <w:p w14:paraId="2B4A4EAE" w14:textId="77777777" w:rsidR="00B50B22" w:rsidRPr="003A7CC4" w:rsidRDefault="00B50B22" w:rsidP="00B50B22">
      <w:pPr>
        <w:spacing w:line="240" w:lineRule="atLeast"/>
      </w:pPr>
    </w:p>
    <w:p w14:paraId="2B4A4EAF" w14:textId="2F5E9241" w:rsidR="00B50B22" w:rsidRPr="003A7CC4" w:rsidRDefault="00B50B22" w:rsidP="00B50B22">
      <w:pPr>
        <w:spacing w:line="240" w:lineRule="atLeast"/>
      </w:pPr>
      <w:r w:rsidRPr="003A7CC4">
        <w:t>The informed consent includes instructions for each parent-legal guardian to indicate a name and address to mail a</w:t>
      </w:r>
      <w:r w:rsidR="00A33A14" w:rsidRPr="003A7CC4">
        <w:t xml:space="preserve"> token of appreciation</w:t>
      </w:r>
      <w:r w:rsidR="007051EB" w:rsidRPr="003A7CC4">
        <w:t xml:space="preserve"> </w:t>
      </w:r>
      <w:r w:rsidRPr="003A7CC4">
        <w:t xml:space="preserve">consisting of a $50.00 Visa gift card. Westat will mail the </w:t>
      </w:r>
      <w:r w:rsidR="00A33A14" w:rsidRPr="003A7CC4">
        <w:t xml:space="preserve">token of </w:t>
      </w:r>
      <w:r w:rsidR="007051EB" w:rsidRPr="003A7CC4">
        <w:t>appreciation</w:t>
      </w:r>
      <w:r w:rsidRPr="003A7CC4">
        <w:t xml:space="preserve"> upon receipt of the paper-and-pencil </w:t>
      </w:r>
      <w:r w:rsidR="00B966C4" w:rsidRPr="003A7CC4">
        <w:t xml:space="preserve">survey </w:t>
      </w:r>
      <w:r w:rsidRPr="003A7CC4">
        <w:t>questionnaire or administration of the questionnaire via telephone.</w:t>
      </w:r>
    </w:p>
    <w:p w14:paraId="2B4A4EB0" w14:textId="77777777" w:rsidR="00B50B22" w:rsidRPr="003A7CC4" w:rsidRDefault="00B50B22" w:rsidP="00B50B22">
      <w:pPr>
        <w:spacing w:line="240" w:lineRule="atLeast"/>
      </w:pPr>
    </w:p>
    <w:p w14:paraId="2B4A4EB1" w14:textId="77777777" w:rsidR="00B50B22" w:rsidRPr="003A7CC4" w:rsidRDefault="00B50B22" w:rsidP="00B50B22">
      <w:pPr>
        <w:spacing w:line="240" w:lineRule="atLeast"/>
        <w:rPr>
          <w:b/>
          <w:i/>
        </w:rPr>
      </w:pPr>
      <w:r w:rsidRPr="003A7CC4">
        <w:rPr>
          <w:b/>
          <w:i/>
        </w:rPr>
        <w:t>Caregiver Survey Administration</w:t>
      </w:r>
    </w:p>
    <w:p w14:paraId="129DAEA3" w14:textId="77777777" w:rsidR="002E366B" w:rsidRPr="003A7CC4" w:rsidRDefault="002E366B" w:rsidP="00B50B22">
      <w:pPr>
        <w:spacing w:line="240" w:lineRule="atLeast"/>
        <w:rPr>
          <w:b/>
          <w:i/>
        </w:rPr>
      </w:pPr>
    </w:p>
    <w:p w14:paraId="2B4A4EB2" w14:textId="08CE87E5" w:rsidR="00B50B22" w:rsidRPr="003A7CC4" w:rsidRDefault="00B4202A" w:rsidP="00B50B22">
      <w:pPr>
        <w:spacing w:line="240" w:lineRule="atLeast"/>
      </w:pPr>
      <w:r w:rsidRPr="003A7CC4">
        <w:t>Based upon CAPP’s experience in the pilot study and subsequent IRB approval, Westat will prepare the initial mailing of caregiver survey packets.</w:t>
      </w:r>
      <w:r w:rsidR="00B50B22" w:rsidRPr="003A7CC4">
        <w:t xml:space="preserve"> Caregiver survey packets will contain the combined informed consent and </w:t>
      </w:r>
      <w:r w:rsidR="003C7F93" w:rsidRPr="003A7CC4">
        <w:t>questionnaire in English and Spanish</w:t>
      </w:r>
      <w:r w:rsidR="00B50B22" w:rsidRPr="003A7CC4">
        <w:t xml:space="preserve">, and a pre-addressed, postage-paid return envelope. Caregiver questionnaires will have a space for </w:t>
      </w:r>
      <w:r w:rsidRPr="003A7CC4">
        <w:t>Westat</w:t>
      </w:r>
      <w:r w:rsidR="00B50B22" w:rsidRPr="003A7CC4">
        <w:t xml:space="preserve"> to place a sticker naming the social worker from </w:t>
      </w:r>
      <w:r w:rsidRPr="003A7CC4">
        <w:t>the</w:t>
      </w:r>
      <w:r w:rsidR="00B50B22" w:rsidRPr="003A7CC4">
        <w:t xml:space="preserve"> selected case and the PP child they work with in the caregiver’s home. If the social worker works with more than one PP child in the caregiver’s home, the sticker will name the oldest PP child. </w:t>
      </w:r>
      <w:r w:rsidR="00B63750" w:rsidRPr="003A7CC4">
        <w:t>This includes placing the sticker naming the social worker from whom they selected the case and the PP child they work with in the caregiver’s home. Names on stickers will be taken from the</w:t>
      </w:r>
      <w:r w:rsidR="007A142E" w:rsidRPr="003A7CC4">
        <w:t xml:space="preserve"> contact information the</w:t>
      </w:r>
      <w:r w:rsidR="00B63750" w:rsidRPr="003A7CC4">
        <w:t xml:space="preserve"> Local Survey Coordinator</w:t>
      </w:r>
      <w:r w:rsidR="007A142E" w:rsidRPr="003A7CC4">
        <w:t xml:space="preserve"> uploads to the Westat secure site</w:t>
      </w:r>
      <w:r w:rsidR="00B63750" w:rsidRPr="003A7CC4">
        <w:t>.</w:t>
      </w:r>
    </w:p>
    <w:p w14:paraId="213F8846" w14:textId="77777777" w:rsidR="00B63750" w:rsidRPr="003A7CC4" w:rsidRDefault="00B63750" w:rsidP="00B50B22">
      <w:pPr>
        <w:spacing w:line="240" w:lineRule="atLeast"/>
      </w:pPr>
    </w:p>
    <w:p w14:paraId="2B4A4EB4" w14:textId="0215DAF1" w:rsidR="00B50B22" w:rsidRPr="003A7CC4" w:rsidRDefault="00B50B22" w:rsidP="00B50B22">
      <w:pPr>
        <w:spacing w:line="240" w:lineRule="atLeast"/>
        <w:rPr>
          <w:bCs/>
        </w:rPr>
      </w:pPr>
      <w:r w:rsidRPr="003A7CC4">
        <w:lastRenderedPageBreak/>
        <w:t>As with the parent-legal guardian survey, the informed consent instructs caregivers to</w:t>
      </w:r>
      <w:r w:rsidRPr="003A7CC4">
        <w:rPr>
          <w:bCs/>
        </w:rPr>
        <w:t xml:space="preserve"> call Westat’s toll-free </w:t>
      </w:r>
      <w:r w:rsidR="009D2805" w:rsidRPr="003A7CC4">
        <w:rPr>
          <w:bCs/>
        </w:rPr>
        <w:t>1-</w:t>
      </w:r>
      <w:r w:rsidRPr="003A7CC4">
        <w:rPr>
          <w:bCs/>
        </w:rPr>
        <w:t xml:space="preserve">800 number listed on the informed consent form in the survey packet for questions and assistance completing the survey or to take the survey by telephone. </w:t>
      </w:r>
    </w:p>
    <w:p w14:paraId="2B4A4EB5" w14:textId="77777777" w:rsidR="00B50B22" w:rsidRPr="003A7CC4" w:rsidRDefault="00B50B22" w:rsidP="00B50B22">
      <w:pPr>
        <w:spacing w:line="240" w:lineRule="atLeast"/>
        <w:rPr>
          <w:bCs/>
        </w:rPr>
      </w:pPr>
    </w:p>
    <w:p w14:paraId="2B4A4EB6" w14:textId="36B5333B" w:rsidR="00B50B22" w:rsidRPr="003A7CC4" w:rsidRDefault="00B50B22" w:rsidP="00B50B22">
      <w:pPr>
        <w:spacing w:line="240" w:lineRule="atLeast"/>
      </w:pPr>
      <w:r w:rsidRPr="003A7CC4">
        <w:t xml:space="preserve">Westat will track surveys disseminated compared to surveys received and completed via telephone. As part of caregiver identification, each site will have compiled mailing addresses and telephone numbers for each of their identified caregivers, pending passive consent, and upload contact information to Westat’s secure server. </w:t>
      </w:r>
      <w:r w:rsidRPr="003A7CC4">
        <w:rPr>
          <w:bCs/>
        </w:rPr>
        <w:t>Approximately t</w:t>
      </w:r>
      <w:r w:rsidRPr="003A7CC4">
        <w:t>wo weeks after initial mailing, Westat will send</w:t>
      </w:r>
      <w:r w:rsidR="00C03248" w:rsidRPr="003A7CC4">
        <w:t xml:space="preserve"> </w:t>
      </w:r>
      <w:r w:rsidR="00DA699E" w:rsidRPr="003A7CC4">
        <w:t xml:space="preserve">a </w:t>
      </w:r>
      <w:r w:rsidR="00C03248" w:rsidRPr="003A7CC4">
        <w:t xml:space="preserve">reminder </w:t>
      </w:r>
      <w:r w:rsidR="007A142E" w:rsidRPr="003A7CC4">
        <w:t xml:space="preserve">postcard </w:t>
      </w:r>
      <w:r w:rsidR="00C03248" w:rsidRPr="003A7CC4">
        <w:t>to all</w:t>
      </w:r>
      <w:r w:rsidRPr="003A7CC4">
        <w:t xml:space="preserve"> study</w:t>
      </w:r>
      <w:r w:rsidR="007A142E" w:rsidRPr="003A7CC4">
        <w:t xml:space="preserve">-eligible </w:t>
      </w:r>
      <w:r w:rsidRPr="003A7CC4">
        <w:t xml:space="preserve">caregivers at their mailing address. See Attachment </w:t>
      </w:r>
      <w:r w:rsidR="00216B18" w:rsidRPr="00B975A1">
        <w:t>B</w:t>
      </w:r>
      <w:r w:rsidRPr="00B975A1">
        <w:t>3: Caregiver Reminder Postcard</w:t>
      </w:r>
      <w:r w:rsidR="00216B18" w:rsidRPr="00B975A1">
        <w:t xml:space="preserve"> English-Spanish 8-15</w:t>
      </w:r>
      <w:r w:rsidRPr="00B975A1">
        <w:t xml:space="preserve"> for an example of postcard text.</w:t>
      </w:r>
      <w:r w:rsidRPr="003A7CC4">
        <w:t xml:space="preserve"> Approximately four weeks after the initial mailing, Westat will mail duplicate surveys to study caregivers who did not return the initial survey. Approximately six weeks after the initial mailing, </w:t>
      </w:r>
      <w:r w:rsidR="00DA699E" w:rsidRPr="003A7CC4">
        <w:t xml:space="preserve">if a sufficient number of questionnaires </w:t>
      </w:r>
      <w:r w:rsidR="009D2805" w:rsidRPr="003A7CC4">
        <w:t>have</w:t>
      </w:r>
      <w:r w:rsidR="00DA699E" w:rsidRPr="003A7CC4">
        <w:t xml:space="preserve"> not been received to conduct rigorous analyses, </w:t>
      </w:r>
      <w:r w:rsidRPr="003A7CC4">
        <w:t xml:space="preserve">Westat will conduct a final round of telephone reminders to study caregivers who did not respond to the survey. The telephone reminder will include an option to administer the survey by telephone at </w:t>
      </w:r>
      <w:r w:rsidR="00B966C4" w:rsidRPr="003A7CC4">
        <w:t>their convenience.</w:t>
      </w:r>
    </w:p>
    <w:p w14:paraId="2B4A4EB7" w14:textId="77777777" w:rsidR="00B50B22" w:rsidRPr="003A7CC4" w:rsidRDefault="00B50B22" w:rsidP="00B50B22">
      <w:pPr>
        <w:spacing w:line="240" w:lineRule="atLeast"/>
      </w:pPr>
    </w:p>
    <w:p w14:paraId="2B4A4EB8" w14:textId="3E7708ED" w:rsidR="00B50B22" w:rsidRPr="003A7CC4" w:rsidRDefault="00B50B22" w:rsidP="00B50B22">
      <w:pPr>
        <w:spacing w:line="240" w:lineRule="atLeast"/>
      </w:pPr>
      <w:r w:rsidRPr="003A7CC4">
        <w:t>The informed consent includes instructions for each caregiver to indicate a name and address to mail a</w:t>
      </w:r>
      <w:r w:rsidR="00A33A14" w:rsidRPr="003A7CC4">
        <w:t xml:space="preserve"> token of appreciation</w:t>
      </w:r>
      <w:r w:rsidRPr="003A7CC4">
        <w:t xml:space="preserve"> consisting of a $50.00 Visa gift card. Westat will mail the </w:t>
      </w:r>
      <w:r w:rsidR="00A33A14" w:rsidRPr="003A7CC4">
        <w:t>token of appreciation</w:t>
      </w:r>
      <w:r w:rsidRPr="003A7CC4">
        <w:t xml:space="preserve"> upon receipt of the paper-and-pencil </w:t>
      </w:r>
      <w:r w:rsidR="00B966C4" w:rsidRPr="003A7CC4">
        <w:t xml:space="preserve">survey </w:t>
      </w:r>
      <w:r w:rsidRPr="003A7CC4">
        <w:t>questionnaire or administration of the questionnaire via telephone.</w:t>
      </w:r>
    </w:p>
    <w:p w14:paraId="2B4A4EB9" w14:textId="77777777" w:rsidR="00EA32E9" w:rsidRPr="003A7CC4" w:rsidRDefault="00EA32E9" w:rsidP="004526EE">
      <w:pPr>
        <w:spacing w:line="240" w:lineRule="atLeast"/>
      </w:pPr>
    </w:p>
    <w:p w14:paraId="2B4A4EBA" w14:textId="77777777" w:rsidR="003A6D69" w:rsidRPr="003A7CC4" w:rsidRDefault="003A6D69" w:rsidP="004526EE">
      <w:pPr>
        <w:spacing w:line="240" w:lineRule="atLeast"/>
        <w:rPr>
          <w:b/>
        </w:rPr>
      </w:pPr>
      <w:r w:rsidRPr="003A7CC4">
        <w:rPr>
          <w:b/>
        </w:rPr>
        <w:t>B3. Methods to Maximize Response Rates and Deal with Nonresponse</w:t>
      </w:r>
    </w:p>
    <w:p w14:paraId="2B4A4EBB" w14:textId="77777777" w:rsidR="003A6D69" w:rsidRPr="003A7CC4" w:rsidRDefault="003A6D69" w:rsidP="004526EE">
      <w:pPr>
        <w:spacing w:line="240" w:lineRule="atLeast"/>
        <w:rPr>
          <w:b/>
          <w:i/>
        </w:rPr>
      </w:pPr>
    </w:p>
    <w:p w14:paraId="2B4A4EBC" w14:textId="77777777" w:rsidR="003A6D69" w:rsidRPr="003A7CC4" w:rsidRDefault="003A6D69" w:rsidP="004526EE">
      <w:pPr>
        <w:spacing w:line="240" w:lineRule="atLeast"/>
        <w:ind w:left="180"/>
        <w:rPr>
          <w:b/>
        </w:rPr>
      </w:pPr>
      <w:r w:rsidRPr="003A7CC4">
        <w:rPr>
          <w:b/>
          <w:i/>
        </w:rPr>
        <w:t>Expected Response Rates</w:t>
      </w:r>
    </w:p>
    <w:p w14:paraId="2B4A4EBD" w14:textId="77777777" w:rsidR="00B64EB1" w:rsidRPr="003A7CC4" w:rsidRDefault="00B64EB1" w:rsidP="004526EE">
      <w:pPr>
        <w:spacing w:line="240" w:lineRule="atLeast"/>
      </w:pPr>
    </w:p>
    <w:p w14:paraId="1DB09B37" w14:textId="7E6AB321" w:rsidR="00BE7F1A" w:rsidRPr="003A7CC4" w:rsidRDefault="00BE7F1A" w:rsidP="00BE7F1A">
      <w:r w:rsidRPr="003A7CC4">
        <w:t xml:space="preserve">Mail surveys provide a relatively inexpensive </w:t>
      </w:r>
      <w:r w:rsidR="000A32F7" w:rsidRPr="003A7CC4">
        <w:t xml:space="preserve">approach to gathering information from a </w:t>
      </w:r>
      <w:r w:rsidRPr="003A7CC4">
        <w:t>widely</w:t>
      </w:r>
      <w:r w:rsidR="000A32F7" w:rsidRPr="003A7CC4">
        <w:t xml:space="preserve"> </w:t>
      </w:r>
      <w:r w:rsidRPr="003A7CC4">
        <w:t xml:space="preserve">dispersed survey sample, </w:t>
      </w:r>
      <w:r w:rsidR="000A32F7" w:rsidRPr="003A7CC4">
        <w:t xml:space="preserve">and have the added benefits of eliminating interviewer bias and </w:t>
      </w:r>
      <w:r w:rsidRPr="003A7CC4">
        <w:t>allow</w:t>
      </w:r>
      <w:r w:rsidR="000A32F7" w:rsidRPr="003A7CC4">
        <w:t>ing</w:t>
      </w:r>
      <w:r w:rsidRPr="003A7CC4">
        <w:t xml:space="preserve"> respondents to </w:t>
      </w:r>
      <w:r w:rsidR="000A32F7" w:rsidRPr="003A7CC4">
        <w:t xml:space="preserve">complete the survey at their convenience. However, having the leisure of completing the survey at any time may cause some potential respondents to forget to complete the survey all-together. Furthermore, some respondents may complete the survey but not go through the extra step of sending the survey back to the researchers.  </w:t>
      </w:r>
    </w:p>
    <w:p w14:paraId="4C046DFC" w14:textId="77777777" w:rsidR="00BE7F1A" w:rsidRPr="003A7CC4" w:rsidRDefault="00BE7F1A" w:rsidP="00520F8F"/>
    <w:p w14:paraId="1459C20E" w14:textId="4CB86EAF" w:rsidR="00BE7F1A" w:rsidRPr="003A7CC4" w:rsidRDefault="000A32F7" w:rsidP="00520F8F">
      <w:r w:rsidRPr="003A7CC4">
        <w:t xml:space="preserve">Another challenge to the response rates is the </w:t>
      </w:r>
      <w:r w:rsidR="00BE7F1A" w:rsidRPr="003A7CC4">
        <w:t xml:space="preserve">historical challenges in surveying this </w:t>
      </w:r>
      <w:r w:rsidR="00520F8F" w:rsidRPr="003A7CC4">
        <w:t>population</w:t>
      </w:r>
      <w:r w:rsidR="00BE7F1A" w:rsidRPr="003A7CC4">
        <w:t xml:space="preserve">. </w:t>
      </w:r>
      <w:r w:rsidR="00DF0492" w:rsidRPr="003A7CC4">
        <w:t>Low-income groups are hard to locate</w:t>
      </w:r>
      <w:r w:rsidR="00520F8F" w:rsidRPr="003A7CC4">
        <w:t xml:space="preserve"> as they are more mobile and </w:t>
      </w:r>
      <w:r w:rsidR="00DF0492" w:rsidRPr="003A7CC4">
        <w:t>more likely to live in multifamily households.</w:t>
      </w:r>
      <w:r w:rsidR="00225F59" w:rsidRPr="003A7CC4">
        <w:t xml:space="preserve"> </w:t>
      </w:r>
      <w:r w:rsidR="00520F8F" w:rsidRPr="003A7CC4">
        <w:t xml:space="preserve"> This will potentially imp</w:t>
      </w:r>
      <w:r w:rsidR="00BE7F1A" w:rsidRPr="003A7CC4">
        <w:t xml:space="preserve">act the number of mail surveys that reach potential respondents. </w:t>
      </w:r>
      <w:r w:rsidR="007A142E" w:rsidRPr="003A7CC4">
        <w:t xml:space="preserve"> For example, pilot results yielded an overall response rate of 50% for parent-legal guardians and 70% for caregivers.</w:t>
      </w:r>
    </w:p>
    <w:p w14:paraId="289B445D" w14:textId="77777777" w:rsidR="00520F8F" w:rsidRPr="003A7CC4" w:rsidRDefault="00520F8F" w:rsidP="00593AC8"/>
    <w:p w14:paraId="2B4A4EBF" w14:textId="665E1674" w:rsidR="00D91D40" w:rsidRPr="003A7CC4" w:rsidRDefault="00617600" w:rsidP="001A6DC5">
      <w:pPr>
        <w:spacing w:line="240" w:lineRule="atLeast"/>
      </w:pPr>
      <w:r w:rsidRPr="00B975A1">
        <w:t xml:space="preserve">Considering all of </w:t>
      </w:r>
      <w:r w:rsidR="007A142E" w:rsidRPr="00B975A1">
        <w:t>the challenges outlined above</w:t>
      </w:r>
      <w:r w:rsidRPr="00B975A1">
        <w:t xml:space="preserve"> and the pilot results, the expected overall response rate for the Parent-Legal Guardian Survey is 50% and the Caregiver Survey is 70%</w:t>
      </w:r>
      <w:r w:rsidR="00B52595">
        <w:t xml:space="preserve">. </w:t>
      </w:r>
    </w:p>
    <w:p w14:paraId="755F6AC2" w14:textId="77777777" w:rsidR="00617600" w:rsidRPr="003A7CC4" w:rsidRDefault="00617600" w:rsidP="001A6DC5">
      <w:pPr>
        <w:spacing w:line="240" w:lineRule="atLeast"/>
      </w:pPr>
    </w:p>
    <w:p w14:paraId="2B4A4EC0" w14:textId="77777777" w:rsidR="009172DB" w:rsidRPr="003A7CC4" w:rsidRDefault="00720718" w:rsidP="004526EE">
      <w:pPr>
        <w:spacing w:line="240" w:lineRule="atLeast"/>
        <w:ind w:left="180"/>
        <w:rPr>
          <w:b/>
          <w:i/>
        </w:rPr>
      </w:pPr>
      <w:r w:rsidRPr="003A7CC4">
        <w:rPr>
          <w:b/>
          <w:i/>
        </w:rPr>
        <w:t>Dealing with Nonresponse</w:t>
      </w:r>
    </w:p>
    <w:p w14:paraId="2B4A4EC1" w14:textId="77777777" w:rsidR="00B64EB1" w:rsidRPr="003A7CC4" w:rsidRDefault="00B64EB1" w:rsidP="004526EE">
      <w:pPr>
        <w:keepNext/>
        <w:spacing w:line="240" w:lineRule="atLeast"/>
        <w:rPr>
          <w:u w:val="single"/>
        </w:rPr>
      </w:pPr>
    </w:p>
    <w:p w14:paraId="2B4A4EC2" w14:textId="717E2EDC" w:rsidR="00B966C4" w:rsidRPr="003A7CC4" w:rsidRDefault="00331127" w:rsidP="004526EE">
      <w:pPr>
        <w:spacing w:line="240" w:lineRule="atLeast"/>
      </w:pPr>
      <w:r w:rsidRPr="003A7CC4">
        <w:t>To overcome possible nonresponse</w:t>
      </w:r>
      <w:r w:rsidR="0061496B" w:rsidRPr="003A7CC4">
        <w:t>,</w:t>
      </w:r>
      <w:r w:rsidRPr="003A7CC4">
        <w:t xml:space="preserve"> </w:t>
      </w:r>
      <w:r w:rsidR="0061496B" w:rsidRPr="003A7CC4">
        <w:t>the contractor</w:t>
      </w:r>
      <w:r w:rsidRPr="003A7CC4">
        <w:t xml:space="preserve"> is using </w:t>
      </w:r>
      <w:r w:rsidR="00DA699E" w:rsidRPr="003A7CC4">
        <w:t xml:space="preserve">survey distributors – either the parent-legal guardian’s caseworker or another familiar staff member – </w:t>
      </w:r>
      <w:r w:rsidR="00E70030" w:rsidRPr="003A7CC4">
        <w:t xml:space="preserve">who </w:t>
      </w:r>
      <w:r w:rsidR="00DA699E" w:rsidRPr="003A7CC4">
        <w:t>know the</w:t>
      </w:r>
      <w:r w:rsidR="006708E1" w:rsidRPr="003A7CC4">
        <w:t xml:space="preserve"> participant</w:t>
      </w:r>
      <w:r w:rsidR="0098328B" w:rsidRPr="003A7CC4">
        <w:t>s</w:t>
      </w:r>
      <w:r w:rsidR="00DA699E" w:rsidRPr="003A7CC4">
        <w:t xml:space="preserve"> and </w:t>
      </w:r>
      <w:r w:rsidR="00DA699E" w:rsidRPr="003A7CC4">
        <w:lastRenderedPageBreak/>
        <w:t>have the opportunity to approach them in-person</w:t>
      </w:r>
      <w:r w:rsidR="00CE708B" w:rsidRPr="003A7CC4">
        <w:t>;</w:t>
      </w:r>
      <w:r w:rsidR="006708E1" w:rsidRPr="003A7CC4">
        <w:t xml:space="preserve"> and</w:t>
      </w:r>
      <w:r w:rsidR="00CE708B" w:rsidRPr="003A7CC4">
        <w:t xml:space="preserve"> </w:t>
      </w:r>
      <w:r w:rsidR="00DA699E" w:rsidRPr="003A7CC4">
        <w:t>2</w:t>
      </w:r>
      <w:r w:rsidR="00CE708B" w:rsidRPr="003A7CC4">
        <w:t>)</w:t>
      </w:r>
      <w:r w:rsidR="002C4073" w:rsidRPr="003A7CC4">
        <w:t xml:space="preserve"> </w:t>
      </w:r>
      <w:r w:rsidR="006708E1" w:rsidRPr="003A7CC4">
        <w:t xml:space="preserve">are available to make multiple attempts at data collection. </w:t>
      </w:r>
      <w:r w:rsidR="00B966C4" w:rsidRPr="003A7CC4">
        <w:t xml:space="preserve">The contractor will send reminder </w:t>
      </w:r>
      <w:r w:rsidR="00DA699E" w:rsidRPr="003A7CC4">
        <w:t>communications</w:t>
      </w:r>
      <w:r w:rsidR="00B966C4" w:rsidRPr="003A7CC4">
        <w:t xml:space="preserve"> as well as duplicate surveys to potential </w:t>
      </w:r>
      <w:r w:rsidR="000F7081" w:rsidRPr="003A7CC4">
        <w:t xml:space="preserve">caregiver </w:t>
      </w:r>
      <w:r w:rsidR="00B966C4" w:rsidRPr="003A7CC4">
        <w:t xml:space="preserve">respondents at their mailing address and </w:t>
      </w:r>
      <w:r w:rsidR="000F7081" w:rsidRPr="003A7CC4">
        <w:t xml:space="preserve">potentially </w:t>
      </w:r>
      <w:r w:rsidR="00B966C4" w:rsidRPr="003A7CC4">
        <w:t xml:space="preserve">call potential respondents who do not return the survey. The telephone reminder will include informing potential respondents of the option to administer the survey by telephone at their convenience. </w:t>
      </w:r>
      <w:r w:rsidR="006708E1" w:rsidRPr="003A7CC4">
        <w:t>Respondents will also be assured as to th</w:t>
      </w:r>
      <w:r w:rsidR="00B966C4" w:rsidRPr="003A7CC4">
        <w:t xml:space="preserve">e privacy of their information. </w:t>
      </w:r>
    </w:p>
    <w:p w14:paraId="2B4A4EC3" w14:textId="77777777" w:rsidR="00B966C4" w:rsidRPr="003A7CC4" w:rsidRDefault="00B966C4" w:rsidP="004526EE">
      <w:pPr>
        <w:spacing w:line="240" w:lineRule="atLeast"/>
      </w:pPr>
    </w:p>
    <w:p w14:paraId="2B4A4EC4" w14:textId="1B7CFC49" w:rsidR="00B966C4" w:rsidRPr="003A7CC4" w:rsidRDefault="00B966C4" w:rsidP="004526EE">
      <w:pPr>
        <w:spacing w:line="240" w:lineRule="atLeast"/>
      </w:pPr>
      <w:r w:rsidRPr="003A7CC4">
        <w:t>Additionally, the informed consent form instructs caregivers to</w:t>
      </w:r>
      <w:r w:rsidRPr="003A7CC4">
        <w:rPr>
          <w:bCs/>
        </w:rPr>
        <w:t xml:space="preserve"> call Westat’s toll-free </w:t>
      </w:r>
      <w:r w:rsidR="009D2805" w:rsidRPr="003A7CC4">
        <w:rPr>
          <w:bCs/>
        </w:rPr>
        <w:t>1-</w:t>
      </w:r>
      <w:r w:rsidRPr="003A7CC4">
        <w:rPr>
          <w:bCs/>
        </w:rPr>
        <w:t>800 number listed on the informed consent form in the survey packet for questions and assistance completing the survey or to take the survey by telephone.</w:t>
      </w:r>
    </w:p>
    <w:p w14:paraId="2B4A4EC5" w14:textId="77777777" w:rsidR="00B966C4" w:rsidRPr="003A7CC4" w:rsidRDefault="00B966C4" w:rsidP="004526EE">
      <w:pPr>
        <w:spacing w:line="240" w:lineRule="atLeast"/>
      </w:pPr>
    </w:p>
    <w:p w14:paraId="2B4A4EC6" w14:textId="77777777" w:rsidR="00331127" w:rsidRPr="003A7CC4" w:rsidRDefault="00331127" w:rsidP="004526EE">
      <w:pPr>
        <w:spacing w:line="240" w:lineRule="atLeast"/>
      </w:pPr>
    </w:p>
    <w:p w14:paraId="2B4A4EC7" w14:textId="77777777" w:rsidR="00EC6101" w:rsidRPr="003A7CC4" w:rsidRDefault="00EC6101" w:rsidP="004526EE">
      <w:pPr>
        <w:autoSpaceDE w:val="0"/>
        <w:autoSpaceDN w:val="0"/>
        <w:adjustRightInd w:val="0"/>
        <w:spacing w:line="240" w:lineRule="atLeast"/>
        <w:ind w:left="180"/>
        <w:rPr>
          <w:b/>
          <w:i/>
        </w:rPr>
      </w:pPr>
      <w:r w:rsidRPr="003A7CC4">
        <w:rPr>
          <w:b/>
          <w:i/>
        </w:rPr>
        <w:t>Maximizing Response Rates</w:t>
      </w:r>
    </w:p>
    <w:p w14:paraId="2B4A4EC8" w14:textId="77777777" w:rsidR="00B64EB1" w:rsidRPr="003A7CC4" w:rsidRDefault="00B64EB1" w:rsidP="004526EE">
      <w:pPr>
        <w:spacing w:line="240" w:lineRule="atLeast"/>
      </w:pPr>
    </w:p>
    <w:p w14:paraId="2B4A4EC9" w14:textId="26A1CF94" w:rsidR="00EC6101" w:rsidRPr="003A7CC4" w:rsidRDefault="007A142E" w:rsidP="004526EE">
      <w:pPr>
        <w:spacing w:line="240" w:lineRule="atLeast"/>
      </w:pPr>
      <w:r w:rsidRPr="003A7CC4">
        <w:t xml:space="preserve">PII </w:t>
      </w:r>
      <w:r w:rsidR="00D16121" w:rsidRPr="003A7CC4">
        <w:t xml:space="preserve">is </w:t>
      </w:r>
      <w:r w:rsidR="00D01878" w:rsidRPr="003A7CC4">
        <w:t xml:space="preserve">offering a token of appreciation to </w:t>
      </w:r>
      <w:r w:rsidR="00AB2B26" w:rsidRPr="003A7CC4">
        <w:t>respondents</w:t>
      </w:r>
      <w:r w:rsidR="00D01878" w:rsidRPr="003A7CC4">
        <w:t xml:space="preserve"> to encourage them to participate in the </w:t>
      </w:r>
      <w:r w:rsidR="00AB2B26" w:rsidRPr="003A7CC4">
        <w:t>data collection</w:t>
      </w:r>
      <w:r w:rsidR="007F37F9" w:rsidRPr="003A7CC4">
        <w:t xml:space="preserve"> (see Section A9)</w:t>
      </w:r>
      <w:r w:rsidR="00D01878" w:rsidRPr="00B975A1">
        <w:t>.</w:t>
      </w:r>
      <w:r w:rsidR="00EF69EB" w:rsidRPr="003A7CC4">
        <w:t xml:space="preserve"> </w:t>
      </w:r>
      <w:r w:rsidRPr="003A7CC4">
        <w:t>Westat will distribute incentives to all participants who return a usable survey.</w:t>
      </w:r>
    </w:p>
    <w:p w14:paraId="2B4A4ECB" w14:textId="77777777" w:rsidR="00F20419" w:rsidRPr="003A7CC4" w:rsidRDefault="00F20419" w:rsidP="004526EE">
      <w:pPr>
        <w:spacing w:line="240" w:lineRule="atLeast"/>
      </w:pPr>
    </w:p>
    <w:p w14:paraId="2B4A4ECC" w14:textId="77777777" w:rsidR="00E05A0A" w:rsidRPr="003A7CC4" w:rsidRDefault="00E05A0A" w:rsidP="004526EE">
      <w:pPr>
        <w:spacing w:line="240" w:lineRule="atLeast"/>
        <w:rPr>
          <w:b/>
        </w:rPr>
      </w:pPr>
      <w:r w:rsidRPr="003A7CC4">
        <w:rPr>
          <w:b/>
        </w:rPr>
        <w:t xml:space="preserve">B4. Tests of Procedures or Methods to be </w:t>
      </w:r>
      <w:proofErr w:type="gramStart"/>
      <w:r w:rsidRPr="003A7CC4">
        <w:rPr>
          <w:b/>
        </w:rPr>
        <w:t>Undertaken</w:t>
      </w:r>
      <w:proofErr w:type="gramEnd"/>
    </w:p>
    <w:p w14:paraId="2B4A4ECD" w14:textId="77777777" w:rsidR="00083B11" w:rsidRPr="003A7CC4" w:rsidRDefault="00083B11" w:rsidP="004526EE">
      <w:pPr>
        <w:spacing w:line="240" w:lineRule="atLeast"/>
      </w:pPr>
    </w:p>
    <w:p w14:paraId="5B45EC2F" w14:textId="5AD70601" w:rsidR="00D40603" w:rsidRPr="003A7CC4" w:rsidRDefault="00B50B22" w:rsidP="00D40603">
      <w:pPr>
        <w:spacing w:line="240" w:lineRule="atLeast"/>
      </w:pPr>
      <w:r w:rsidRPr="003A7CC4">
        <w:t>CAPP</w:t>
      </w:r>
      <w:r w:rsidR="00E70030" w:rsidRPr="003A7CC4">
        <w:t xml:space="preserve"> conduct</w:t>
      </w:r>
      <w:r w:rsidR="00A922D1" w:rsidRPr="003A7CC4">
        <w:t>ed</w:t>
      </w:r>
      <w:r w:rsidR="005B6DA4" w:rsidRPr="003A7CC4">
        <w:t xml:space="preserve"> a </w:t>
      </w:r>
      <w:r w:rsidRPr="003A7CC4">
        <w:t>pilot test</w:t>
      </w:r>
      <w:r w:rsidR="00331127" w:rsidRPr="003A7CC4">
        <w:t xml:space="preserve"> </w:t>
      </w:r>
      <w:r w:rsidR="005B6DA4" w:rsidRPr="003A7CC4">
        <w:t xml:space="preserve">on </w:t>
      </w:r>
      <w:r w:rsidR="00BE7F1A" w:rsidRPr="003A7CC4">
        <w:t>the study</w:t>
      </w:r>
      <w:r w:rsidR="00331127" w:rsidRPr="003A7CC4">
        <w:t xml:space="preserve"> procedures</w:t>
      </w:r>
      <w:r w:rsidR="00BE7F1A" w:rsidRPr="003A7CC4">
        <w:t xml:space="preserve"> in order to determine if they work as effectively as intended. </w:t>
      </w:r>
      <w:r w:rsidR="003629BD">
        <w:t>The pilot was conducted as approved under the ACF/OPRE generic clearance, Pre-testing of Evaluation Surveys (0970-0355).</w:t>
      </w:r>
      <w:r w:rsidR="003629BD" w:rsidRPr="00165142">
        <w:t xml:space="preserve"> </w:t>
      </w:r>
      <w:r w:rsidR="00331127" w:rsidRPr="003A7CC4">
        <w:t xml:space="preserve"> </w:t>
      </w:r>
      <w:r w:rsidR="00D40603" w:rsidRPr="003A7CC4">
        <w:t>Santa Clara County and Los Angeles-Pomona each randomly select</w:t>
      </w:r>
      <w:r w:rsidR="00A922D1" w:rsidRPr="003A7CC4">
        <w:t>ed</w:t>
      </w:r>
      <w:r w:rsidR="00D40603" w:rsidRPr="003A7CC4">
        <w:t xml:space="preserve"> 5 CAPP-trained caseworkers for a total of 10 caseworkers. The sites</w:t>
      </w:r>
      <w:r w:rsidR="000C43EC">
        <w:t xml:space="preserve"> </w:t>
      </w:r>
      <w:r w:rsidR="00D40603" w:rsidRPr="003A7CC4">
        <w:t>identif</w:t>
      </w:r>
      <w:r w:rsidR="00A922D1" w:rsidRPr="003A7CC4">
        <w:t>ied</w:t>
      </w:r>
      <w:r w:rsidR="00D40603" w:rsidRPr="003A7CC4">
        <w:t xml:space="preserve"> and create</w:t>
      </w:r>
      <w:r w:rsidR="00A922D1" w:rsidRPr="003A7CC4">
        <w:t>d</w:t>
      </w:r>
      <w:r w:rsidR="00D40603" w:rsidRPr="003A7CC4">
        <w:t xml:space="preserve"> a list of all participants that met eligibility criteria. </w:t>
      </w:r>
      <w:r w:rsidR="00BE7F1A" w:rsidRPr="003A7CC4">
        <w:t xml:space="preserve">The pilot study </w:t>
      </w:r>
      <w:r w:rsidR="00D40603" w:rsidRPr="003A7CC4">
        <w:t>involve</w:t>
      </w:r>
      <w:r w:rsidR="00A922D1" w:rsidRPr="003A7CC4">
        <w:t>d</w:t>
      </w:r>
      <w:r w:rsidR="00D40603" w:rsidRPr="003A7CC4">
        <w:t xml:space="preserve"> surveying 14 parent-legal guardians and 14 caregivers at each of the two sites, for a total sample of 28 parent-legal guardians and 28 caregivers. Parent-legal guardians w</w:t>
      </w:r>
      <w:r w:rsidR="00A922D1" w:rsidRPr="003A7CC4">
        <w:t>er</w:t>
      </w:r>
      <w:r w:rsidR="00D40603" w:rsidRPr="003A7CC4">
        <w:t xml:space="preserve">e a convenience sample. Caregivers </w:t>
      </w:r>
      <w:r w:rsidR="00A922D1" w:rsidRPr="003A7CC4">
        <w:t>were</w:t>
      </w:r>
      <w:r w:rsidR="00D40603" w:rsidRPr="003A7CC4">
        <w:t xml:space="preserve"> a random sample from the list of eligible participants.</w:t>
      </w:r>
    </w:p>
    <w:p w14:paraId="2482B1B3" w14:textId="77777777" w:rsidR="00D40603" w:rsidRPr="003A7CC4" w:rsidRDefault="00D40603" w:rsidP="004526EE">
      <w:pPr>
        <w:spacing w:line="240" w:lineRule="atLeast"/>
      </w:pPr>
    </w:p>
    <w:p w14:paraId="2B4A4ECE" w14:textId="7E7EA8D9" w:rsidR="000E5BA6" w:rsidRPr="003A7CC4" w:rsidRDefault="00E70030" w:rsidP="004526EE">
      <w:pPr>
        <w:spacing w:line="240" w:lineRule="atLeast"/>
      </w:pPr>
      <w:r w:rsidRPr="003A7CC4">
        <w:t xml:space="preserve"> </w:t>
      </w:r>
    </w:p>
    <w:p w14:paraId="2B4A4ECF" w14:textId="77777777" w:rsidR="00F20419" w:rsidRPr="003A7CC4" w:rsidRDefault="00F20419" w:rsidP="004526EE">
      <w:pPr>
        <w:spacing w:line="240" w:lineRule="atLeast"/>
      </w:pPr>
    </w:p>
    <w:p w14:paraId="2B4A4ED0" w14:textId="77777777" w:rsidR="00E05A0A" w:rsidRPr="003A7CC4" w:rsidRDefault="00E05A0A" w:rsidP="004526EE">
      <w:pPr>
        <w:spacing w:line="240" w:lineRule="atLeast"/>
        <w:rPr>
          <w:b/>
        </w:rPr>
      </w:pPr>
      <w:r w:rsidRPr="003A7CC4">
        <w:rPr>
          <w:b/>
        </w:rPr>
        <w:t>B5. In</w:t>
      </w:r>
      <w:r w:rsidR="00FB773B" w:rsidRPr="003A7CC4">
        <w:rPr>
          <w:b/>
        </w:rPr>
        <w:t>d</w:t>
      </w:r>
      <w:r w:rsidRPr="003A7CC4">
        <w:rPr>
          <w:b/>
        </w:rPr>
        <w:t>ividual Consulted on Statistical Aspects and Individuals Collecting and/or Analyzing Data</w:t>
      </w:r>
    </w:p>
    <w:p w14:paraId="2B4A4ED1" w14:textId="77777777" w:rsidR="005C4AC6" w:rsidRPr="003A7CC4" w:rsidRDefault="005C4AC6" w:rsidP="004526EE">
      <w:pPr>
        <w:spacing w:line="240" w:lineRule="atLeast"/>
      </w:pPr>
    </w:p>
    <w:p w14:paraId="2B4A4ED2" w14:textId="77777777" w:rsidR="00B64EB1" w:rsidRPr="004526EE" w:rsidRDefault="00FB773B" w:rsidP="004526EE">
      <w:pPr>
        <w:spacing w:line="240" w:lineRule="atLeast"/>
      </w:pPr>
      <w:r w:rsidRPr="003A7CC4">
        <w:t xml:space="preserve">The team is led by Maria Woolverton, project officer; </w:t>
      </w:r>
      <w:r w:rsidR="00444262" w:rsidRPr="003A7CC4">
        <w:t>George Gabel</w:t>
      </w:r>
      <w:r w:rsidRPr="003A7CC4">
        <w:t xml:space="preserve">, project director for the PII evaluation; and Mark Testa, principal investigator for the evaluation. Additional </w:t>
      </w:r>
      <w:proofErr w:type="gramStart"/>
      <w:r w:rsidRPr="003A7CC4">
        <w:t>staff consulted on statistical issues at Westat include</w:t>
      </w:r>
      <w:proofErr w:type="gramEnd"/>
      <w:r w:rsidRPr="003A7CC4">
        <w:t xml:space="preserve"> </w:t>
      </w:r>
      <w:r w:rsidR="00B25FA8" w:rsidRPr="003A7CC4">
        <w:t xml:space="preserve">John Rogers and </w:t>
      </w:r>
      <w:r w:rsidRPr="003A7CC4">
        <w:t>Barnali Das, senior statistician</w:t>
      </w:r>
      <w:r w:rsidR="00B25FA8" w:rsidRPr="003A7CC4">
        <w:t>s</w:t>
      </w:r>
      <w:r w:rsidRPr="003A7CC4">
        <w:t>.</w:t>
      </w:r>
    </w:p>
    <w:sectPr w:rsidR="00B64EB1" w:rsidRPr="004526EE" w:rsidSect="0052073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F0B48" w14:textId="77777777" w:rsidR="003619D7" w:rsidRDefault="003619D7">
      <w:r>
        <w:separator/>
      </w:r>
    </w:p>
  </w:endnote>
  <w:endnote w:type="continuationSeparator" w:id="0">
    <w:p w14:paraId="59745EA1" w14:textId="77777777" w:rsidR="003619D7" w:rsidRDefault="0036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64740"/>
      <w:docPartObj>
        <w:docPartGallery w:val="Page Numbers (Bottom of Page)"/>
        <w:docPartUnique/>
      </w:docPartObj>
    </w:sdtPr>
    <w:sdtEndPr>
      <w:rPr>
        <w:noProof/>
      </w:rPr>
    </w:sdtEndPr>
    <w:sdtContent>
      <w:p w14:paraId="03717F5B" w14:textId="1E6A1685" w:rsidR="001B2935" w:rsidRDefault="001B2935">
        <w:pPr>
          <w:pStyle w:val="Footer"/>
          <w:jc w:val="center"/>
        </w:pPr>
        <w:r>
          <w:fldChar w:fldCharType="begin"/>
        </w:r>
        <w:r>
          <w:instrText xml:space="preserve"> PAGE   \* MERGEFORMAT </w:instrText>
        </w:r>
        <w:r>
          <w:fldChar w:fldCharType="separate"/>
        </w:r>
        <w:r w:rsidR="002E360D">
          <w:rPr>
            <w:noProof/>
          </w:rPr>
          <w:t>1</w:t>
        </w:r>
        <w:r>
          <w:rPr>
            <w:noProof/>
          </w:rPr>
          <w:fldChar w:fldCharType="end"/>
        </w:r>
      </w:p>
    </w:sdtContent>
  </w:sdt>
  <w:p w14:paraId="2B4A4EE8" w14:textId="77777777" w:rsidR="001B2935" w:rsidRDefault="001B2935"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70521" w14:textId="77777777" w:rsidR="003619D7" w:rsidRDefault="003619D7">
      <w:r>
        <w:separator/>
      </w:r>
    </w:p>
  </w:footnote>
  <w:footnote w:type="continuationSeparator" w:id="0">
    <w:p w14:paraId="12DA4199" w14:textId="77777777" w:rsidR="003619D7" w:rsidRDefault="003619D7">
      <w:r>
        <w:continuationSeparator/>
      </w:r>
    </w:p>
  </w:footnote>
  <w:footnote w:id="1">
    <w:p w14:paraId="2D6AE4E1" w14:textId="69BA95B3" w:rsidR="001B2935" w:rsidRDefault="001B2935">
      <w:pPr>
        <w:pStyle w:val="FootnoteText"/>
      </w:pPr>
      <w:r>
        <w:rPr>
          <w:rStyle w:val="FootnoteReference"/>
        </w:rPr>
        <w:footnoteRef/>
      </w:r>
      <w:r>
        <w:t xml:space="preserve"> </w:t>
      </w:r>
      <w:r w:rsidRPr="006404D3">
        <w:t>Please see section B3 (Methods to Maximize Response Rates and Deal with Nonr</w:t>
      </w:r>
      <w:r>
        <w:t>esponse) for an explanation of our assumption of a 6</w:t>
      </w:r>
      <w:r w:rsidRPr="006404D3">
        <w:t>0% response rate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D6865"/>
    <w:multiLevelType w:val="hybridMultilevel"/>
    <w:tmpl w:val="91F85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19E466C"/>
    <w:multiLevelType w:val="hybridMultilevel"/>
    <w:tmpl w:val="788C0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64F1B"/>
    <w:multiLevelType w:val="hybridMultilevel"/>
    <w:tmpl w:val="1716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A275D7"/>
    <w:multiLevelType w:val="hybridMultilevel"/>
    <w:tmpl w:val="184A2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E60B89"/>
    <w:multiLevelType w:val="hybridMultilevel"/>
    <w:tmpl w:val="C9C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31DAB"/>
    <w:multiLevelType w:val="hybridMultilevel"/>
    <w:tmpl w:val="BE8475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D72ED7"/>
    <w:multiLevelType w:val="hybridMultilevel"/>
    <w:tmpl w:val="58DA3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E84FFC"/>
    <w:multiLevelType w:val="hybridMultilevel"/>
    <w:tmpl w:val="2E3E5EB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2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EF1748"/>
    <w:multiLevelType w:val="hybridMultilevel"/>
    <w:tmpl w:val="BA20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F37DBA"/>
    <w:multiLevelType w:val="hybridMultilevel"/>
    <w:tmpl w:val="9834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A46904"/>
    <w:multiLevelType w:val="hybridMultilevel"/>
    <w:tmpl w:val="B05EB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C8246C"/>
    <w:multiLevelType w:val="hybridMultilevel"/>
    <w:tmpl w:val="FE104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7"/>
  </w:num>
  <w:num w:numId="4">
    <w:abstractNumId w:val="7"/>
  </w:num>
  <w:num w:numId="5">
    <w:abstractNumId w:val="9"/>
  </w:num>
  <w:num w:numId="6">
    <w:abstractNumId w:val="20"/>
  </w:num>
  <w:num w:numId="7">
    <w:abstractNumId w:val="18"/>
  </w:num>
  <w:num w:numId="8">
    <w:abstractNumId w:val="10"/>
  </w:num>
  <w:num w:numId="9">
    <w:abstractNumId w:val="11"/>
  </w:num>
  <w:num w:numId="10">
    <w:abstractNumId w:val="2"/>
  </w:num>
  <w:num w:numId="11">
    <w:abstractNumId w:val="0"/>
  </w:num>
  <w:num w:numId="12">
    <w:abstractNumId w:val="3"/>
  </w:num>
  <w:num w:numId="13">
    <w:abstractNumId w:val="21"/>
  </w:num>
  <w:num w:numId="14">
    <w:abstractNumId w:val="5"/>
  </w:num>
  <w:num w:numId="15">
    <w:abstractNumId w:val="6"/>
  </w:num>
  <w:num w:numId="16">
    <w:abstractNumId w:val="25"/>
  </w:num>
  <w:num w:numId="17">
    <w:abstractNumId w:val="14"/>
  </w:num>
  <w:num w:numId="18">
    <w:abstractNumId w:val="12"/>
  </w:num>
  <w:num w:numId="19">
    <w:abstractNumId w:val="13"/>
  </w:num>
  <w:num w:numId="20">
    <w:abstractNumId w:val="19"/>
  </w:num>
  <w:num w:numId="21">
    <w:abstractNumId w:val="15"/>
  </w:num>
  <w:num w:numId="22">
    <w:abstractNumId w:val="16"/>
  </w:num>
  <w:num w:numId="23">
    <w:abstractNumId w:val="24"/>
  </w:num>
  <w:num w:numId="24">
    <w:abstractNumId w:val="22"/>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231B"/>
    <w:rsid w:val="00006FC3"/>
    <w:rsid w:val="000127FC"/>
    <w:rsid w:val="00012F8F"/>
    <w:rsid w:val="00017843"/>
    <w:rsid w:val="00021C25"/>
    <w:rsid w:val="00025015"/>
    <w:rsid w:val="00033224"/>
    <w:rsid w:val="00035996"/>
    <w:rsid w:val="0004404A"/>
    <w:rsid w:val="00047908"/>
    <w:rsid w:val="00047C47"/>
    <w:rsid w:val="00051BD3"/>
    <w:rsid w:val="00052826"/>
    <w:rsid w:val="0005344D"/>
    <w:rsid w:val="00057C13"/>
    <w:rsid w:val="00066CA2"/>
    <w:rsid w:val="00071372"/>
    <w:rsid w:val="000730B2"/>
    <w:rsid w:val="000824E7"/>
    <w:rsid w:val="00083B11"/>
    <w:rsid w:val="00091C59"/>
    <w:rsid w:val="00094D83"/>
    <w:rsid w:val="0009634F"/>
    <w:rsid w:val="000969F9"/>
    <w:rsid w:val="000A32F7"/>
    <w:rsid w:val="000B5EA8"/>
    <w:rsid w:val="000C32A4"/>
    <w:rsid w:val="000C43EC"/>
    <w:rsid w:val="000C48B9"/>
    <w:rsid w:val="000D0CBC"/>
    <w:rsid w:val="000D1020"/>
    <w:rsid w:val="000D53DF"/>
    <w:rsid w:val="000D5B84"/>
    <w:rsid w:val="000D660B"/>
    <w:rsid w:val="000D6739"/>
    <w:rsid w:val="000E5BA6"/>
    <w:rsid w:val="000F10CE"/>
    <w:rsid w:val="000F4494"/>
    <w:rsid w:val="000F5D39"/>
    <w:rsid w:val="000F7081"/>
    <w:rsid w:val="000F733A"/>
    <w:rsid w:val="000F76C6"/>
    <w:rsid w:val="00103805"/>
    <w:rsid w:val="00110251"/>
    <w:rsid w:val="0011239B"/>
    <w:rsid w:val="001128C3"/>
    <w:rsid w:val="00112DB6"/>
    <w:rsid w:val="001135ED"/>
    <w:rsid w:val="00133145"/>
    <w:rsid w:val="00133274"/>
    <w:rsid w:val="00143440"/>
    <w:rsid w:val="00146870"/>
    <w:rsid w:val="00153AEA"/>
    <w:rsid w:val="00154404"/>
    <w:rsid w:val="00154BC4"/>
    <w:rsid w:val="0015547B"/>
    <w:rsid w:val="0016012E"/>
    <w:rsid w:val="00160C1C"/>
    <w:rsid w:val="00165DF9"/>
    <w:rsid w:val="0017659A"/>
    <w:rsid w:val="001779C2"/>
    <w:rsid w:val="00181111"/>
    <w:rsid w:val="00183C0F"/>
    <w:rsid w:val="00185F4D"/>
    <w:rsid w:val="00191565"/>
    <w:rsid w:val="0019719B"/>
    <w:rsid w:val="001A0558"/>
    <w:rsid w:val="001A1662"/>
    <w:rsid w:val="001A4C77"/>
    <w:rsid w:val="001A6DC5"/>
    <w:rsid w:val="001B09FC"/>
    <w:rsid w:val="001B2935"/>
    <w:rsid w:val="001C4D60"/>
    <w:rsid w:val="001C64E3"/>
    <w:rsid w:val="001D1C55"/>
    <w:rsid w:val="001D2CA9"/>
    <w:rsid w:val="001D7ECC"/>
    <w:rsid w:val="001E249E"/>
    <w:rsid w:val="001E44A2"/>
    <w:rsid w:val="001E5E96"/>
    <w:rsid w:val="001E6B92"/>
    <w:rsid w:val="001F4853"/>
    <w:rsid w:val="001F4BA3"/>
    <w:rsid w:val="001F4BAB"/>
    <w:rsid w:val="001F7FE7"/>
    <w:rsid w:val="00202AFB"/>
    <w:rsid w:val="0020382F"/>
    <w:rsid w:val="00205424"/>
    <w:rsid w:val="00214A2A"/>
    <w:rsid w:val="00215A3E"/>
    <w:rsid w:val="00215E55"/>
    <w:rsid w:val="00216B18"/>
    <w:rsid w:val="002231FA"/>
    <w:rsid w:val="002253DD"/>
    <w:rsid w:val="00225F59"/>
    <w:rsid w:val="0023409D"/>
    <w:rsid w:val="002347A5"/>
    <w:rsid w:val="00234AD2"/>
    <w:rsid w:val="00234E8D"/>
    <w:rsid w:val="00235A6D"/>
    <w:rsid w:val="00236746"/>
    <w:rsid w:val="0023766F"/>
    <w:rsid w:val="00240D0C"/>
    <w:rsid w:val="0024618F"/>
    <w:rsid w:val="00246BA9"/>
    <w:rsid w:val="00252C91"/>
    <w:rsid w:val="00253148"/>
    <w:rsid w:val="0025452D"/>
    <w:rsid w:val="00262595"/>
    <w:rsid w:val="00270ED1"/>
    <w:rsid w:val="00274B53"/>
    <w:rsid w:val="00277670"/>
    <w:rsid w:val="00280804"/>
    <w:rsid w:val="002809B1"/>
    <w:rsid w:val="00283814"/>
    <w:rsid w:val="00292B70"/>
    <w:rsid w:val="00295635"/>
    <w:rsid w:val="002A1F68"/>
    <w:rsid w:val="002A256E"/>
    <w:rsid w:val="002B0840"/>
    <w:rsid w:val="002B2065"/>
    <w:rsid w:val="002B4DBE"/>
    <w:rsid w:val="002B7B73"/>
    <w:rsid w:val="002B7C83"/>
    <w:rsid w:val="002C1DED"/>
    <w:rsid w:val="002C3D75"/>
    <w:rsid w:val="002C4073"/>
    <w:rsid w:val="002C451B"/>
    <w:rsid w:val="002D2F2A"/>
    <w:rsid w:val="002D3B2D"/>
    <w:rsid w:val="002D6C08"/>
    <w:rsid w:val="002E1630"/>
    <w:rsid w:val="002E1EC7"/>
    <w:rsid w:val="002E277D"/>
    <w:rsid w:val="002E360D"/>
    <w:rsid w:val="002E366B"/>
    <w:rsid w:val="002E5B22"/>
    <w:rsid w:val="002F40A3"/>
    <w:rsid w:val="00302A13"/>
    <w:rsid w:val="0030395F"/>
    <w:rsid w:val="003072B1"/>
    <w:rsid w:val="0031400C"/>
    <w:rsid w:val="003143B8"/>
    <w:rsid w:val="00316360"/>
    <w:rsid w:val="00316D71"/>
    <w:rsid w:val="00320712"/>
    <w:rsid w:val="00321ED6"/>
    <w:rsid w:val="0032220B"/>
    <w:rsid w:val="00327244"/>
    <w:rsid w:val="0033016E"/>
    <w:rsid w:val="00331127"/>
    <w:rsid w:val="00335872"/>
    <w:rsid w:val="00336E02"/>
    <w:rsid w:val="00336FC7"/>
    <w:rsid w:val="00341B21"/>
    <w:rsid w:val="00341D19"/>
    <w:rsid w:val="00342173"/>
    <w:rsid w:val="003516DD"/>
    <w:rsid w:val="0035337F"/>
    <w:rsid w:val="003619D7"/>
    <w:rsid w:val="00361DA1"/>
    <w:rsid w:val="00361E2D"/>
    <w:rsid w:val="003629BD"/>
    <w:rsid w:val="0037156C"/>
    <w:rsid w:val="00373052"/>
    <w:rsid w:val="00374DAB"/>
    <w:rsid w:val="00383361"/>
    <w:rsid w:val="003965E2"/>
    <w:rsid w:val="003A6D69"/>
    <w:rsid w:val="003A71EC"/>
    <w:rsid w:val="003A727D"/>
    <w:rsid w:val="003A7CC4"/>
    <w:rsid w:val="003B0011"/>
    <w:rsid w:val="003B0CB2"/>
    <w:rsid w:val="003B275A"/>
    <w:rsid w:val="003B4D60"/>
    <w:rsid w:val="003B7726"/>
    <w:rsid w:val="003C2D01"/>
    <w:rsid w:val="003C3AAF"/>
    <w:rsid w:val="003C7F93"/>
    <w:rsid w:val="003D3201"/>
    <w:rsid w:val="003D503F"/>
    <w:rsid w:val="003D5231"/>
    <w:rsid w:val="003D7E3E"/>
    <w:rsid w:val="003E3886"/>
    <w:rsid w:val="003E4A7C"/>
    <w:rsid w:val="003F219F"/>
    <w:rsid w:val="003F705F"/>
    <w:rsid w:val="0040265F"/>
    <w:rsid w:val="004108A3"/>
    <w:rsid w:val="00415ED7"/>
    <w:rsid w:val="00423E62"/>
    <w:rsid w:val="0042449D"/>
    <w:rsid w:val="0042788E"/>
    <w:rsid w:val="0043022A"/>
    <w:rsid w:val="00432225"/>
    <w:rsid w:val="0043692D"/>
    <w:rsid w:val="004425FA"/>
    <w:rsid w:val="00444262"/>
    <w:rsid w:val="00451AA5"/>
    <w:rsid w:val="00452097"/>
    <w:rsid w:val="004526EE"/>
    <w:rsid w:val="004529BD"/>
    <w:rsid w:val="004554B1"/>
    <w:rsid w:val="00455686"/>
    <w:rsid w:val="00456862"/>
    <w:rsid w:val="00456E2F"/>
    <w:rsid w:val="00463457"/>
    <w:rsid w:val="00475D34"/>
    <w:rsid w:val="00482DDE"/>
    <w:rsid w:val="00490055"/>
    <w:rsid w:val="004914D1"/>
    <w:rsid w:val="00492400"/>
    <w:rsid w:val="00495E3A"/>
    <w:rsid w:val="00495F6E"/>
    <w:rsid w:val="004A0B8E"/>
    <w:rsid w:val="004A1360"/>
    <w:rsid w:val="004A7BBB"/>
    <w:rsid w:val="004B587E"/>
    <w:rsid w:val="004B6149"/>
    <w:rsid w:val="004B6390"/>
    <w:rsid w:val="004C0771"/>
    <w:rsid w:val="004C4030"/>
    <w:rsid w:val="004C7517"/>
    <w:rsid w:val="004D35CC"/>
    <w:rsid w:val="004D5B39"/>
    <w:rsid w:val="004D6CA9"/>
    <w:rsid w:val="004E06C4"/>
    <w:rsid w:val="004E4779"/>
    <w:rsid w:val="004E4E6D"/>
    <w:rsid w:val="004F0867"/>
    <w:rsid w:val="004F0CCA"/>
    <w:rsid w:val="004F3175"/>
    <w:rsid w:val="004F4E1D"/>
    <w:rsid w:val="004F5981"/>
    <w:rsid w:val="0050071B"/>
    <w:rsid w:val="00500993"/>
    <w:rsid w:val="00502891"/>
    <w:rsid w:val="005046F0"/>
    <w:rsid w:val="00505987"/>
    <w:rsid w:val="00511DB7"/>
    <w:rsid w:val="00516F6E"/>
    <w:rsid w:val="00520737"/>
    <w:rsid w:val="00520F8F"/>
    <w:rsid w:val="00522157"/>
    <w:rsid w:val="00524DFB"/>
    <w:rsid w:val="005321AF"/>
    <w:rsid w:val="00534ABB"/>
    <w:rsid w:val="005353B7"/>
    <w:rsid w:val="005355DA"/>
    <w:rsid w:val="00541024"/>
    <w:rsid w:val="00542834"/>
    <w:rsid w:val="00542CDA"/>
    <w:rsid w:val="00546201"/>
    <w:rsid w:val="00551DDF"/>
    <w:rsid w:val="005547FA"/>
    <w:rsid w:val="00554CF8"/>
    <w:rsid w:val="00556042"/>
    <w:rsid w:val="005625D9"/>
    <w:rsid w:val="005720EC"/>
    <w:rsid w:val="00582C8C"/>
    <w:rsid w:val="005843FA"/>
    <w:rsid w:val="00591889"/>
    <w:rsid w:val="00593AC8"/>
    <w:rsid w:val="005967C7"/>
    <w:rsid w:val="005A57F9"/>
    <w:rsid w:val="005A5F70"/>
    <w:rsid w:val="005A64C5"/>
    <w:rsid w:val="005A774C"/>
    <w:rsid w:val="005B3572"/>
    <w:rsid w:val="005B6AE6"/>
    <w:rsid w:val="005B6DA4"/>
    <w:rsid w:val="005C032B"/>
    <w:rsid w:val="005C42E0"/>
    <w:rsid w:val="005C4AC6"/>
    <w:rsid w:val="005C5FAB"/>
    <w:rsid w:val="005C7DFE"/>
    <w:rsid w:val="005D34D8"/>
    <w:rsid w:val="005D424D"/>
    <w:rsid w:val="005D4FD5"/>
    <w:rsid w:val="005D5365"/>
    <w:rsid w:val="005D79D5"/>
    <w:rsid w:val="005E17E2"/>
    <w:rsid w:val="005E1FC0"/>
    <w:rsid w:val="005E3343"/>
    <w:rsid w:val="005E5347"/>
    <w:rsid w:val="005F12BD"/>
    <w:rsid w:val="005F2061"/>
    <w:rsid w:val="005F4D42"/>
    <w:rsid w:val="00602AB5"/>
    <w:rsid w:val="00602D0D"/>
    <w:rsid w:val="00603C2C"/>
    <w:rsid w:val="00607351"/>
    <w:rsid w:val="0061131A"/>
    <w:rsid w:val="0061496B"/>
    <w:rsid w:val="00617600"/>
    <w:rsid w:val="00627F78"/>
    <w:rsid w:val="00630F27"/>
    <w:rsid w:val="00637514"/>
    <w:rsid w:val="006404D3"/>
    <w:rsid w:val="0064692A"/>
    <w:rsid w:val="00651DBA"/>
    <w:rsid w:val="00654229"/>
    <w:rsid w:val="00657424"/>
    <w:rsid w:val="00660E9B"/>
    <w:rsid w:val="00666CD9"/>
    <w:rsid w:val="006705F5"/>
    <w:rsid w:val="006708E1"/>
    <w:rsid w:val="006718B2"/>
    <w:rsid w:val="0067402C"/>
    <w:rsid w:val="006800B2"/>
    <w:rsid w:val="00684D18"/>
    <w:rsid w:val="00685D58"/>
    <w:rsid w:val="00692B0A"/>
    <w:rsid w:val="006944B2"/>
    <w:rsid w:val="006A4A45"/>
    <w:rsid w:val="006B2530"/>
    <w:rsid w:val="006B6845"/>
    <w:rsid w:val="006C3978"/>
    <w:rsid w:val="006C3E69"/>
    <w:rsid w:val="006D7595"/>
    <w:rsid w:val="006E69CF"/>
    <w:rsid w:val="006F30E0"/>
    <w:rsid w:val="0070030A"/>
    <w:rsid w:val="00701045"/>
    <w:rsid w:val="00703A64"/>
    <w:rsid w:val="007051EB"/>
    <w:rsid w:val="007063C2"/>
    <w:rsid w:val="0071001F"/>
    <w:rsid w:val="00710837"/>
    <w:rsid w:val="00710ED9"/>
    <w:rsid w:val="00714E7E"/>
    <w:rsid w:val="0071636D"/>
    <w:rsid w:val="00720718"/>
    <w:rsid w:val="0072204D"/>
    <w:rsid w:val="00731708"/>
    <w:rsid w:val="007318E7"/>
    <w:rsid w:val="007327DE"/>
    <w:rsid w:val="00742340"/>
    <w:rsid w:val="00746E66"/>
    <w:rsid w:val="0074759C"/>
    <w:rsid w:val="00752252"/>
    <w:rsid w:val="00752A04"/>
    <w:rsid w:val="00762593"/>
    <w:rsid w:val="00772457"/>
    <w:rsid w:val="00774286"/>
    <w:rsid w:val="00776E88"/>
    <w:rsid w:val="00784137"/>
    <w:rsid w:val="00797270"/>
    <w:rsid w:val="007A0CB9"/>
    <w:rsid w:val="007A142E"/>
    <w:rsid w:val="007B4653"/>
    <w:rsid w:val="007C2534"/>
    <w:rsid w:val="007C3895"/>
    <w:rsid w:val="007C5E68"/>
    <w:rsid w:val="007C6294"/>
    <w:rsid w:val="007D0A80"/>
    <w:rsid w:val="007D2D14"/>
    <w:rsid w:val="007E1AAA"/>
    <w:rsid w:val="007E32F2"/>
    <w:rsid w:val="007E3873"/>
    <w:rsid w:val="007F1FF0"/>
    <w:rsid w:val="007F37F9"/>
    <w:rsid w:val="007F429C"/>
    <w:rsid w:val="007F68DD"/>
    <w:rsid w:val="007F6F25"/>
    <w:rsid w:val="007F7CE0"/>
    <w:rsid w:val="0080680E"/>
    <w:rsid w:val="008102A5"/>
    <w:rsid w:val="00816398"/>
    <w:rsid w:val="008172E0"/>
    <w:rsid w:val="008200B0"/>
    <w:rsid w:val="00827AE3"/>
    <w:rsid w:val="0083105C"/>
    <w:rsid w:val="008320E3"/>
    <w:rsid w:val="0083739E"/>
    <w:rsid w:val="0084229D"/>
    <w:rsid w:val="0084413A"/>
    <w:rsid w:val="00845AD3"/>
    <w:rsid w:val="00846D38"/>
    <w:rsid w:val="008539CD"/>
    <w:rsid w:val="0085746B"/>
    <w:rsid w:val="008577F3"/>
    <w:rsid w:val="00857EA8"/>
    <w:rsid w:val="00866EF5"/>
    <w:rsid w:val="0087234E"/>
    <w:rsid w:val="00874DE5"/>
    <w:rsid w:val="0087681F"/>
    <w:rsid w:val="00885BA2"/>
    <w:rsid w:val="008862A6"/>
    <w:rsid w:val="00890533"/>
    <w:rsid w:val="00890BB4"/>
    <w:rsid w:val="00891EAF"/>
    <w:rsid w:val="008948EB"/>
    <w:rsid w:val="008A3B58"/>
    <w:rsid w:val="008A44C0"/>
    <w:rsid w:val="008A45CD"/>
    <w:rsid w:val="008A468D"/>
    <w:rsid w:val="008A47FF"/>
    <w:rsid w:val="008A5B53"/>
    <w:rsid w:val="008B1B33"/>
    <w:rsid w:val="008B1ECC"/>
    <w:rsid w:val="008B4AB7"/>
    <w:rsid w:val="008B752E"/>
    <w:rsid w:val="008B7F2C"/>
    <w:rsid w:val="008C048B"/>
    <w:rsid w:val="008C3379"/>
    <w:rsid w:val="008D3579"/>
    <w:rsid w:val="008D3C49"/>
    <w:rsid w:val="008D668A"/>
    <w:rsid w:val="008E6065"/>
    <w:rsid w:val="008E6A84"/>
    <w:rsid w:val="008F1427"/>
    <w:rsid w:val="008F1C4F"/>
    <w:rsid w:val="008F2864"/>
    <w:rsid w:val="008F3198"/>
    <w:rsid w:val="008F3288"/>
    <w:rsid w:val="008F33CB"/>
    <w:rsid w:val="008F49EB"/>
    <w:rsid w:val="0090332F"/>
    <w:rsid w:val="00910A7E"/>
    <w:rsid w:val="009145D1"/>
    <w:rsid w:val="00916738"/>
    <w:rsid w:val="009172DB"/>
    <w:rsid w:val="00922247"/>
    <w:rsid w:val="00932D71"/>
    <w:rsid w:val="00940417"/>
    <w:rsid w:val="009438F1"/>
    <w:rsid w:val="00943ECC"/>
    <w:rsid w:val="00945CD6"/>
    <w:rsid w:val="00947DFE"/>
    <w:rsid w:val="009648CE"/>
    <w:rsid w:val="00966BCA"/>
    <w:rsid w:val="0096717F"/>
    <w:rsid w:val="009736EC"/>
    <w:rsid w:val="00975A21"/>
    <w:rsid w:val="00975FCD"/>
    <w:rsid w:val="00980AAC"/>
    <w:rsid w:val="0098328B"/>
    <w:rsid w:val="009832AB"/>
    <w:rsid w:val="009841E9"/>
    <w:rsid w:val="00984ABE"/>
    <w:rsid w:val="00986961"/>
    <w:rsid w:val="00990C29"/>
    <w:rsid w:val="009918E7"/>
    <w:rsid w:val="00992344"/>
    <w:rsid w:val="009945DD"/>
    <w:rsid w:val="009A3E90"/>
    <w:rsid w:val="009A5DB2"/>
    <w:rsid w:val="009B5AF8"/>
    <w:rsid w:val="009C033E"/>
    <w:rsid w:val="009C1CDF"/>
    <w:rsid w:val="009C4B61"/>
    <w:rsid w:val="009C66C4"/>
    <w:rsid w:val="009C7573"/>
    <w:rsid w:val="009D2805"/>
    <w:rsid w:val="009D471C"/>
    <w:rsid w:val="009D47D2"/>
    <w:rsid w:val="009D4EB8"/>
    <w:rsid w:val="009D6D48"/>
    <w:rsid w:val="009D76DC"/>
    <w:rsid w:val="009E64AA"/>
    <w:rsid w:val="009F6B9B"/>
    <w:rsid w:val="00A00AA6"/>
    <w:rsid w:val="00A10C01"/>
    <w:rsid w:val="00A14476"/>
    <w:rsid w:val="00A30220"/>
    <w:rsid w:val="00A308F9"/>
    <w:rsid w:val="00A3259D"/>
    <w:rsid w:val="00A32CD5"/>
    <w:rsid w:val="00A33A14"/>
    <w:rsid w:val="00A34DA8"/>
    <w:rsid w:val="00A35E23"/>
    <w:rsid w:val="00A4759E"/>
    <w:rsid w:val="00A52179"/>
    <w:rsid w:val="00A531DC"/>
    <w:rsid w:val="00A53E9B"/>
    <w:rsid w:val="00A57505"/>
    <w:rsid w:val="00A65F75"/>
    <w:rsid w:val="00A67D9B"/>
    <w:rsid w:val="00A737E0"/>
    <w:rsid w:val="00A7391B"/>
    <w:rsid w:val="00A922D1"/>
    <w:rsid w:val="00A94BB7"/>
    <w:rsid w:val="00A96C9B"/>
    <w:rsid w:val="00AA0873"/>
    <w:rsid w:val="00AA29C0"/>
    <w:rsid w:val="00AB0B8E"/>
    <w:rsid w:val="00AB2B26"/>
    <w:rsid w:val="00AC2049"/>
    <w:rsid w:val="00AC4338"/>
    <w:rsid w:val="00AD35FB"/>
    <w:rsid w:val="00AD56DF"/>
    <w:rsid w:val="00AD7DBA"/>
    <w:rsid w:val="00AE0A6B"/>
    <w:rsid w:val="00AE29B3"/>
    <w:rsid w:val="00AE5AFE"/>
    <w:rsid w:val="00AE6246"/>
    <w:rsid w:val="00AF33E0"/>
    <w:rsid w:val="00AF5AE2"/>
    <w:rsid w:val="00B002FA"/>
    <w:rsid w:val="00B017F0"/>
    <w:rsid w:val="00B026A2"/>
    <w:rsid w:val="00B07391"/>
    <w:rsid w:val="00B11171"/>
    <w:rsid w:val="00B14396"/>
    <w:rsid w:val="00B16057"/>
    <w:rsid w:val="00B17743"/>
    <w:rsid w:val="00B25FA8"/>
    <w:rsid w:val="00B27FE3"/>
    <w:rsid w:val="00B30873"/>
    <w:rsid w:val="00B3309F"/>
    <w:rsid w:val="00B33538"/>
    <w:rsid w:val="00B4202A"/>
    <w:rsid w:val="00B458DB"/>
    <w:rsid w:val="00B45F77"/>
    <w:rsid w:val="00B471F2"/>
    <w:rsid w:val="00B50B22"/>
    <w:rsid w:val="00B52595"/>
    <w:rsid w:val="00B52F10"/>
    <w:rsid w:val="00B56417"/>
    <w:rsid w:val="00B60D35"/>
    <w:rsid w:val="00B627F6"/>
    <w:rsid w:val="00B63750"/>
    <w:rsid w:val="00B64EB1"/>
    <w:rsid w:val="00B74705"/>
    <w:rsid w:val="00B7607E"/>
    <w:rsid w:val="00B779F1"/>
    <w:rsid w:val="00B82AEB"/>
    <w:rsid w:val="00B83B49"/>
    <w:rsid w:val="00B8685E"/>
    <w:rsid w:val="00B905D6"/>
    <w:rsid w:val="00B92D1D"/>
    <w:rsid w:val="00B94D5C"/>
    <w:rsid w:val="00B953F0"/>
    <w:rsid w:val="00B966C4"/>
    <w:rsid w:val="00B96B41"/>
    <w:rsid w:val="00B975A1"/>
    <w:rsid w:val="00BA6A8B"/>
    <w:rsid w:val="00BA7C85"/>
    <w:rsid w:val="00BC75E1"/>
    <w:rsid w:val="00BD12D4"/>
    <w:rsid w:val="00BD255E"/>
    <w:rsid w:val="00BD2AA0"/>
    <w:rsid w:val="00BD4CFB"/>
    <w:rsid w:val="00BE04E7"/>
    <w:rsid w:val="00BE0948"/>
    <w:rsid w:val="00BE17F5"/>
    <w:rsid w:val="00BE7228"/>
    <w:rsid w:val="00BE7F1A"/>
    <w:rsid w:val="00C03248"/>
    <w:rsid w:val="00C0453D"/>
    <w:rsid w:val="00C110D5"/>
    <w:rsid w:val="00C12B95"/>
    <w:rsid w:val="00C12D2D"/>
    <w:rsid w:val="00C158D2"/>
    <w:rsid w:val="00C23E8D"/>
    <w:rsid w:val="00C26054"/>
    <w:rsid w:val="00C34189"/>
    <w:rsid w:val="00C35102"/>
    <w:rsid w:val="00C35DD0"/>
    <w:rsid w:val="00C40C2A"/>
    <w:rsid w:val="00C40E85"/>
    <w:rsid w:val="00C420F5"/>
    <w:rsid w:val="00C51A89"/>
    <w:rsid w:val="00C5243F"/>
    <w:rsid w:val="00C536D3"/>
    <w:rsid w:val="00C56EA9"/>
    <w:rsid w:val="00C614D3"/>
    <w:rsid w:val="00C622F1"/>
    <w:rsid w:val="00C62B44"/>
    <w:rsid w:val="00C648BF"/>
    <w:rsid w:val="00C7122A"/>
    <w:rsid w:val="00CC178D"/>
    <w:rsid w:val="00CC2858"/>
    <w:rsid w:val="00CC414F"/>
    <w:rsid w:val="00CD1A77"/>
    <w:rsid w:val="00CD25A2"/>
    <w:rsid w:val="00CD32B3"/>
    <w:rsid w:val="00CD6341"/>
    <w:rsid w:val="00CE6A5F"/>
    <w:rsid w:val="00CE6EFF"/>
    <w:rsid w:val="00CE708B"/>
    <w:rsid w:val="00CF5912"/>
    <w:rsid w:val="00CF68B9"/>
    <w:rsid w:val="00D012A6"/>
    <w:rsid w:val="00D01878"/>
    <w:rsid w:val="00D0321E"/>
    <w:rsid w:val="00D03B98"/>
    <w:rsid w:val="00D054B4"/>
    <w:rsid w:val="00D05C0E"/>
    <w:rsid w:val="00D06D5F"/>
    <w:rsid w:val="00D0748C"/>
    <w:rsid w:val="00D07CD6"/>
    <w:rsid w:val="00D16121"/>
    <w:rsid w:val="00D175F0"/>
    <w:rsid w:val="00D208FE"/>
    <w:rsid w:val="00D230FE"/>
    <w:rsid w:val="00D23968"/>
    <w:rsid w:val="00D34A4E"/>
    <w:rsid w:val="00D34AC5"/>
    <w:rsid w:val="00D40459"/>
    <w:rsid w:val="00D40603"/>
    <w:rsid w:val="00D519D9"/>
    <w:rsid w:val="00D62825"/>
    <w:rsid w:val="00D65EC6"/>
    <w:rsid w:val="00D7254C"/>
    <w:rsid w:val="00D75D88"/>
    <w:rsid w:val="00D800F0"/>
    <w:rsid w:val="00D80794"/>
    <w:rsid w:val="00D82CAE"/>
    <w:rsid w:val="00D83DAA"/>
    <w:rsid w:val="00D91D40"/>
    <w:rsid w:val="00DA411F"/>
    <w:rsid w:val="00DA5A1C"/>
    <w:rsid w:val="00DA5E2F"/>
    <w:rsid w:val="00DA5F42"/>
    <w:rsid w:val="00DA640A"/>
    <w:rsid w:val="00DA699E"/>
    <w:rsid w:val="00DA704C"/>
    <w:rsid w:val="00DB5333"/>
    <w:rsid w:val="00DB6EAE"/>
    <w:rsid w:val="00DC1D1B"/>
    <w:rsid w:val="00DC3FC5"/>
    <w:rsid w:val="00DC47F9"/>
    <w:rsid w:val="00DD1254"/>
    <w:rsid w:val="00DD15F3"/>
    <w:rsid w:val="00DD1852"/>
    <w:rsid w:val="00DE31B9"/>
    <w:rsid w:val="00DF0492"/>
    <w:rsid w:val="00DF522B"/>
    <w:rsid w:val="00DF71DB"/>
    <w:rsid w:val="00E0146D"/>
    <w:rsid w:val="00E05A0A"/>
    <w:rsid w:val="00E06156"/>
    <w:rsid w:val="00E11C26"/>
    <w:rsid w:val="00E15101"/>
    <w:rsid w:val="00E1740E"/>
    <w:rsid w:val="00E20AC2"/>
    <w:rsid w:val="00E315BF"/>
    <w:rsid w:val="00E359FD"/>
    <w:rsid w:val="00E36C0C"/>
    <w:rsid w:val="00E36F9F"/>
    <w:rsid w:val="00E40865"/>
    <w:rsid w:val="00E40CBE"/>
    <w:rsid w:val="00E41D46"/>
    <w:rsid w:val="00E44D53"/>
    <w:rsid w:val="00E546F0"/>
    <w:rsid w:val="00E70030"/>
    <w:rsid w:val="00E7118A"/>
    <w:rsid w:val="00E71AFF"/>
    <w:rsid w:val="00E72E9A"/>
    <w:rsid w:val="00E81805"/>
    <w:rsid w:val="00E8384D"/>
    <w:rsid w:val="00EA32E9"/>
    <w:rsid w:val="00EB19D3"/>
    <w:rsid w:val="00EB213E"/>
    <w:rsid w:val="00EB3BB6"/>
    <w:rsid w:val="00EB5B54"/>
    <w:rsid w:val="00EC2387"/>
    <w:rsid w:val="00EC329F"/>
    <w:rsid w:val="00EC6101"/>
    <w:rsid w:val="00EC6463"/>
    <w:rsid w:val="00ED014E"/>
    <w:rsid w:val="00ED714E"/>
    <w:rsid w:val="00EE0B36"/>
    <w:rsid w:val="00EE38EE"/>
    <w:rsid w:val="00EE7A8A"/>
    <w:rsid w:val="00EF69EB"/>
    <w:rsid w:val="00EF7101"/>
    <w:rsid w:val="00F06827"/>
    <w:rsid w:val="00F147E7"/>
    <w:rsid w:val="00F20419"/>
    <w:rsid w:val="00F2119B"/>
    <w:rsid w:val="00F22AE7"/>
    <w:rsid w:val="00F22BE9"/>
    <w:rsid w:val="00F25090"/>
    <w:rsid w:val="00F30EB6"/>
    <w:rsid w:val="00F318CB"/>
    <w:rsid w:val="00F374AA"/>
    <w:rsid w:val="00F47B0B"/>
    <w:rsid w:val="00F52CAE"/>
    <w:rsid w:val="00F56220"/>
    <w:rsid w:val="00F60568"/>
    <w:rsid w:val="00F614C6"/>
    <w:rsid w:val="00F63E62"/>
    <w:rsid w:val="00F655F4"/>
    <w:rsid w:val="00F704C4"/>
    <w:rsid w:val="00F7220E"/>
    <w:rsid w:val="00F73374"/>
    <w:rsid w:val="00F74220"/>
    <w:rsid w:val="00F7614D"/>
    <w:rsid w:val="00F7750F"/>
    <w:rsid w:val="00F8039A"/>
    <w:rsid w:val="00F84147"/>
    <w:rsid w:val="00F85A67"/>
    <w:rsid w:val="00F957D9"/>
    <w:rsid w:val="00F95F02"/>
    <w:rsid w:val="00FA1827"/>
    <w:rsid w:val="00FA36DD"/>
    <w:rsid w:val="00FA36E4"/>
    <w:rsid w:val="00FA3F5F"/>
    <w:rsid w:val="00FB20AC"/>
    <w:rsid w:val="00FB2E27"/>
    <w:rsid w:val="00FB6C63"/>
    <w:rsid w:val="00FB7247"/>
    <w:rsid w:val="00FB773B"/>
    <w:rsid w:val="00FC04C5"/>
    <w:rsid w:val="00FC13D4"/>
    <w:rsid w:val="00FC1A2D"/>
    <w:rsid w:val="00FD1B70"/>
    <w:rsid w:val="00FD34BF"/>
    <w:rsid w:val="00FD5DA1"/>
    <w:rsid w:val="00FD6C74"/>
    <w:rsid w:val="00FD7600"/>
    <w:rsid w:val="00FE0F80"/>
    <w:rsid w:val="00FE1C8E"/>
    <w:rsid w:val="00FF16A7"/>
    <w:rsid w:val="00FF3048"/>
    <w:rsid w:val="00FF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C64E3"/>
    <w:pPr>
      <w:keepNext/>
      <w:spacing w:after="2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basedOn w:val="DefaultParagraphFont"/>
    <w:link w:val="Footer"/>
    <w:uiPriority w:val="99"/>
    <w:rsid w:val="000F5D39"/>
    <w:rPr>
      <w:sz w:val="24"/>
      <w:szCs w:val="24"/>
    </w:rPr>
  </w:style>
  <w:style w:type="character" w:customStyle="1" w:styleId="HeaderChar">
    <w:name w:val="Header Char"/>
    <w:basedOn w:val="DefaultParagraphFont"/>
    <w:link w:val="Header"/>
    <w:rsid w:val="00FE1C8E"/>
    <w:rPr>
      <w:sz w:val="24"/>
      <w:szCs w:val="24"/>
    </w:rPr>
  </w:style>
  <w:style w:type="paragraph" w:styleId="ListParagraph">
    <w:name w:val="List Paragraph"/>
    <w:basedOn w:val="Normal"/>
    <w:uiPriority w:val="34"/>
    <w:qFormat/>
    <w:rsid w:val="00F2119B"/>
    <w:pPr>
      <w:ind w:left="720"/>
      <w:contextualSpacing/>
    </w:pPr>
  </w:style>
  <w:style w:type="table" w:styleId="TableGrid">
    <w:name w:val="Table Grid"/>
    <w:basedOn w:val="TableNormal"/>
    <w:uiPriority w:val="59"/>
    <w:rsid w:val="00E408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slast">
    <w:name w:val="paragraphsslast"/>
    <w:basedOn w:val="Normal"/>
    <w:uiPriority w:val="99"/>
    <w:rsid w:val="009C1CDF"/>
    <w:pPr>
      <w:spacing w:after="480"/>
      <w:ind w:firstLine="432"/>
      <w:jc w:val="both"/>
    </w:pPr>
    <w:rPr>
      <w:rFonts w:eastAsiaTheme="minorHAnsi"/>
    </w:rPr>
  </w:style>
  <w:style w:type="paragraph" w:styleId="FootnoteText">
    <w:name w:val="footnote text"/>
    <w:basedOn w:val="Normal"/>
    <w:link w:val="FootnoteTextChar"/>
    <w:rsid w:val="005F12BD"/>
    <w:rPr>
      <w:sz w:val="20"/>
      <w:szCs w:val="20"/>
    </w:rPr>
  </w:style>
  <w:style w:type="character" w:customStyle="1" w:styleId="FootnoteTextChar">
    <w:name w:val="Footnote Text Char"/>
    <w:basedOn w:val="DefaultParagraphFont"/>
    <w:link w:val="FootnoteText"/>
    <w:rsid w:val="005F12BD"/>
  </w:style>
  <w:style w:type="character" w:styleId="FootnoteReference">
    <w:name w:val="footnote reference"/>
    <w:basedOn w:val="DefaultParagraphFont"/>
    <w:rsid w:val="005F12BD"/>
    <w:rPr>
      <w:vertAlign w:val="superscript"/>
    </w:rPr>
  </w:style>
  <w:style w:type="character" w:customStyle="1" w:styleId="Heading1Char">
    <w:name w:val="Heading 1 Char"/>
    <w:basedOn w:val="DefaultParagraphFont"/>
    <w:link w:val="Heading1"/>
    <w:rsid w:val="001C64E3"/>
    <w:rPr>
      <w:b/>
      <w:bCs/>
      <w:sz w:val="24"/>
      <w:szCs w:val="24"/>
    </w:rPr>
  </w:style>
  <w:style w:type="paragraph" w:styleId="Revision">
    <w:name w:val="Revision"/>
    <w:hidden/>
    <w:uiPriority w:val="99"/>
    <w:semiHidden/>
    <w:rsid w:val="006705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C64E3"/>
    <w:pPr>
      <w:keepNext/>
      <w:spacing w:after="2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basedOn w:val="DefaultParagraphFont"/>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EC329F"/>
    <w:rPr>
      <w:color w:val="0000FF"/>
      <w:u w:val="single"/>
    </w:rPr>
  </w:style>
  <w:style w:type="character" w:styleId="CommentReference">
    <w:name w:val="annotation reference"/>
    <w:basedOn w:val="DefaultParagraphFont"/>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basedOn w:val="CommentText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basedOn w:val="DefaultParagraphFont"/>
    <w:link w:val="Footer"/>
    <w:uiPriority w:val="99"/>
    <w:rsid w:val="000F5D39"/>
    <w:rPr>
      <w:sz w:val="24"/>
      <w:szCs w:val="24"/>
    </w:rPr>
  </w:style>
  <w:style w:type="character" w:customStyle="1" w:styleId="HeaderChar">
    <w:name w:val="Header Char"/>
    <w:basedOn w:val="DefaultParagraphFont"/>
    <w:link w:val="Header"/>
    <w:rsid w:val="00FE1C8E"/>
    <w:rPr>
      <w:sz w:val="24"/>
      <w:szCs w:val="24"/>
    </w:rPr>
  </w:style>
  <w:style w:type="paragraph" w:styleId="ListParagraph">
    <w:name w:val="List Paragraph"/>
    <w:basedOn w:val="Normal"/>
    <w:uiPriority w:val="34"/>
    <w:qFormat/>
    <w:rsid w:val="00F2119B"/>
    <w:pPr>
      <w:ind w:left="720"/>
      <w:contextualSpacing/>
    </w:pPr>
  </w:style>
  <w:style w:type="table" w:styleId="TableGrid">
    <w:name w:val="Table Grid"/>
    <w:basedOn w:val="TableNormal"/>
    <w:uiPriority w:val="59"/>
    <w:rsid w:val="00E408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slast">
    <w:name w:val="paragraphsslast"/>
    <w:basedOn w:val="Normal"/>
    <w:uiPriority w:val="99"/>
    <w:rsid w:val="009C1CDF"/>
    <w:pPr>
      <w:spacing w:after="480"/>
      <w:ind w:firstLine="432"/>
      <w:jc w:val="both"/>
    </w:pPr>
    <w:rPr>
      <w:rFonts w:eastAsiaTheme="minorHAnsi"/>
    </w:rPr>
  </w:style>
  <w:style w:type="paragraph" w:styleId="FootnoteText">
    <w:name w:val="footnote text"/>
    <w:basedOn w:val="Normal"/>
    <w:link w:val="FootnoteTextChar"/>
    <w:rsid w:val="005F12BD"/>
    <w:rPr>
      <w:sz w:val="20"/>
      <w:szCs w:val="20"/>
    </w:rPr>
  </w:style>
  <w:style w:type="character" w:customStyle="1" w:styleId="FootnoteTextChar">
    <w:name w:val="Footnote Text Char"/>
    <w:basedOn w:val="DefaultParagraphFont"/>
    <w:link w:val="FootnoteText"/>
    <w:rsid w:val="005F12BD"/>
  </w:style>
  <w:style w:type="character" w:styleId="FootnoteReference">
    <w:name w:val="footnote reference"/>
    <w:basedOn w:val="DefaultParagraphFont"/>
    <w:rsid w:val="005F12BD"/>
    <w:rPr>
      <w:vertAlign w:val="superscript"/>
    </w:rPr>
  </w:style>
  <w:style w:type="character" w:customStyle="1" w:styleId="Heading1Char">
    <w:name w:val="Heading 1 Char"/>
    <w:basedOn w:val="DefaultParagraphFont"/>
    <w:link w:val="Heading1"/>
    <w:rsid w:val="001C64E3"/>
    <w:rPr>
      <w:b/>
      <w:bCs/>
      <w:sz w:val="24"/>
      <w:szCs w:val="24"/>
    </w:rPr>
  </w:style>
  <w:style w:type="paragraph" w:styleId="Revision">
    <w:name w:val="Revision"/>
    <w:hidden/>
    <w:uiPriority w:val="99"/>
    <w:semiHidden/>
    <w:rsid w:val="006705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152">
      <w:bodyDiv w:val="1"/>
      <w:marLeft w:val="0"/>
      <w:marRight w:val="0"/>
      <w:marTop w:val="0"/>
      <w:marBottom w:val="0"/>
      <w:divBdr>
        <w:top w:val="none" w:sz="0" w:space="0" w:color="auto"/>
        <w:left w:val="none" w:sz="0" w:space="0" w:color="auto"/>
        <w:bottom w:val="none" w:sz="0" w:space="0" w:color="auto"/>
        <w:right w:val="none" w:sz="0" w:space="0" w:color="auto"/>
      </w:divBdr>
    </w:div>
    <w:div w:id="242418694">
      <w:bodyDiv w:val="1"/>
      <w:marLeft w:val="0"/>
      <w:marRight w:val="0"/>
      <w:marTop w:val="0"/>
      <w:marBottom w:val="0"/>
      <w:divBdr>
        <w:top w:val="none" w:sz="0" w:space="0" w:color="auto"/>
        <w:left w:val="none" w:sz="0" w:space="0" w:color="auto"/>
        <w:bottom w:val="none" w:sz="0" w:space="0" w:color="auto"/>
        <w:right w:val="none" w:sz="0" w:space="0" w:color="auto"/>
      </w:divBdr>
    </w:div>
    <w:div w:id="466092539">
      <w:bodyDiv w:val="1"/>
      <w:marLeft w:val="0"/>
      <w:marRight w:val="0"/>
      <w:marTop w:val="0"/>
      <w:marBottom w:val="0"/>
      <w:divBdr>
        <w:top w:val="none" w:sz="0" w:space="0" w:color="auto"/>
        <w:left w:val="none" w:sz="0" w:space="0" w:color="auto"/>
        <w:bottom w:val="none" w:sz="0" w:space="0" w:color="auto"/>
        <w:right w:val="none" w:sz="0" w:space="0" w:color="auto"/>
      </w:divBdr>
    </w:div>
    <w:div w:id="652833255">
      <w:bodyDiv w:val="1"/>
      <w:marLeft w:val="0"/>
      <w:marRight w:val="0"/>
      <w:marTop w:val="0"/>
      <w:marBottom w:val="0"/>
      <w:divBdr>
        <w:top w:val="none" w:sz="0" w:space="0" w:color="auto"/>
        <w:left w:val="none" w:sz="0" w:space="0" w:color="auto"/>
        <w:bottom w:val="none" w:sz="0" w:space="0" w:color="auto"/>
        <w:right w:val="none" w:sz="0" w:space="0" w:color="auto"/>
      </w:divBdr>
    </w:div>
    <w:div w:id="741677932">
      <w:bodyDiv w:val="1"/>
      <w:marLeft w:val="0"/>
      <w:marRight w:val="0"/>
      <w:marTop w:val="0"/>
      <w:marBottom w:val="0"/>
      <w:divBdr>
        <w:top w:val="none" w:sz="0" w:space="0" w:color="auto"/>
        <w:left w:val="none" w:sz="0" w:space="0" w:color="auto"/>
        <w:bottom w:val="none" w:sz="0" w:space="0" w:color="auto"/>
        <w:right w:val="none" w:sz="0" w:space="0" w:color="auto"/>
      </w:divBdr>
    </w:div>
    <w:div w:id="13566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6" ma:contentTypeDescription="Create a new document." ma:contentTypeScope="" ma:versionID="9ae689ee3f2ee5d35a7fa3eb04d7aa57">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0d6d5144f3133d808860c3ff26474fa6"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7C9DB-C8A5-4D51-8610-4BEEC46D260E}">
  <ds:schemaRefs>
    <ds:schemaRef ds:uri="http://schemas.microsoft.com/office/2006/metadata/properties"/>
    <ds:schemaRef ds:uri="http://schemas.microsoft.com/office/infopath/2007/PartnerControls"/>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079419D8-FC55-43C7-8C1B-3AAC841288A6}">
  <ds:schemaRefs>
    <ds:schemaRef ds:uri="http://schemas.microsoft.com/sharepoint/v3/contenttype/forms"/>
  </ds:schemaRefs>
</ds:datastoreItem>
</file>

<file path=customXml/itemProps3.xml><?xml version="1.0" encoding="utf-8"?>
<ds:datastoreItem xmlns:ds="http://schemas.openxmlformats.org/officeDocument/2006/customXml" ds:itemID="{07742334-F2FF-478F-9A32-BFD3693A2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DD84D-F8D6-4486-9FF2-EE85402E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3561</Words>
  <Characters>19429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cp:lastModifiedBy>
  <cp:revision>8</cp:revision>
  <cp:lastPrinted>2014-06-11T15:23:00Z</cp:lastPrinted>
  <dcterms:created xsi:type="dcterms:W3CDTF">2015-11-05T21:02:00Z</dcterms:created>
  <dcterms:modified xsi:type="dcterms:W3CDTF">2015-11-09T15:16:00Z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