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7315" w:rsidRDefault="00393751" w:rsidP="00D774E2">
      <w:pPr>
        <w:tabs>
          <w:tab w:val="center" w:pos="4680"/>
        </w:tabs>
        <w:jc w:val="center"/>
        <w:rPr>
          <w:rStyle w:val="Strong"/>
        </w:rPr>
      </w:pPr>
      <w:r w:rsidRPr="00407A2C">
        <w:rPr>
          <w:rStyle w:val="Strong"/>
        </w:rPr>
        <w:t>Supporting Statement</w:t>
      </w:r>
      <w:r w:rsidR="007B7315">
        <w:rPr>
          <w:rStyle w:val="Strong"/>
        </w:rPr>
        <w:t xml:space="preserve"> Part A</w:t>
      </w:r>
    </w:p>
    <w:p w:rsidR="00393751" w:rsidRPr="00407A2C" w:rsidRDefault="00393751" w:rsidP="00D774E2">
      <w:pPr>
        <w:tabs>
          <w:tab w:val="center" w:pos="4680"/>
        </w:tabs>
        <w:jc w:val="center"/>
        <w:rPr>
          <w:rStyle w:val="Strong"/>
        </w:rPr>
      </w:pPr>
      <w:r w:rsidRPr="00407A2C">
        <w:rPr>
          <w:rStyle w:val="Strong"/>
        </w:rPr>
        <w:t>Subpart D</w:t>
      </w:r>
      <w:r w:rsidR="007B7315">
        <w:rPr>
          <w:rStyle w:val="Strong"/>
        </w:rPr>
        <w:t xml:space="preserve"> </w:t>
      </w:r>
      <w:r w:rsidRPr="00407A2C">
        <w:rPr>
          <w:rStyle w:val="Strong"/>
        </w:rPr>
        <w:t>-</w:t>
      </w:r>
      <w:r w:rsidR="007B7315">
        <w:rPr>
          <w:rStyle w:val="Strong"/>
        </w:rPr>
        <w:t xml:space="preserve"> </w:t>
      </w:r>
      <w:r w:rsidRPr="00407A2C">
        <w:rPr>
          <w:rStyle w:val="Strong"/>
        </w:rPr>
        <w:t>Private Contracts</w:t>
      </w:r>
      <w:r w:rsidR="007B7315">
        <w:rPr>
          <w:rStyle w:val="Strong"/>
        </w:rPr>
        <w:t xml:space="preserve"> </w:t>
      </w:r>
      <w:r w:rsidRPr="00407A2C">
        <w:rPr>
          <w:rStyle w:val="Strong"/>
        </w:rPr>
        <w:t>and Supporting Regulations Contained in</w:t>
      </w:r>
    </w:p>
    <w:p w:rsidR="00393751" w:rsidRDefault="00393751" w:rsidP="00D774E2">
      <w:pPr>
        <w:tabs>
          <w:tab w:val="center" w:pos="4680"/>
        </w:tabs>
        <w:jc w:val="center"/>
        <w:rPr>
          <w:rStyle w:val="Strong"/>
        </w:rPr>
      </w:pPr>
      <w:r w:rsidRPr="00407A2C">
        <w:rPr>
          <w:rStyle w:val="Strong"/>
        </w:rPr>
        <w:t>42 CFR 405.410, 405.430, 405.435, 405.440, 405.445,</w:t>
      </w:r>
      <w:r w:rsidR="007B7315">
        <w:rPr>
          <w:rStyle w:val="Strong"/>
        </w:rPr>
        <w:t xml:space="preserve"> </w:t>
      </w:r>
      <w:r w:rsidR="00BB7CAD">
        <w:rPr>
          <w:rStyle w:val="Strong"/>
        </w:rPr>
        <w:t>a</w:t>
      </w:r>
      <w:r w:rsidR="00533EBD" w:rsidRPr="00407A2C">
        <w:rPr>
          <w:rStyle w:val="Strong"/>
        </w:rPr>
        <w:t xml:space="preserve">nd </w:t>
      </w:r>
      <w:r w:rsidRPr="00407A2C">
        <w:rPr>
          <w:rStyle w:val="Strong"/>
        </w:rPr>
        <w:t>405.</w:t>
      </w:r>
      <w:r w:rsidR="00533EBD" w:rsidRPr="00407A2C">
        <w:rPr>
          <w:rStyle w:val="Strong"/>
        </w:rPr>
        <w:t>455</w:t>
      </w:r>
    </w:p>
    <w:p w:rsidR="00BB7CAD" w:rsidRPr="00407A2C" w:rsidRDefault="00BB7CAD" w:rsidP="00D774E2">
      <w:pPr>
        <w:tabs>
          <w:tab w:val="center" w:pos="4680"/>
        </w:tabs>
        <w:jc w:val="center"/>
        <w:rPr>
          <w:rStyle w:val="Strong"/>
        </w:rPr>
      </w:pPr>
      <w:r>
        <w:rPr>
          <w:rStyle w:val="Strong"/>
        </w:rPr>
        <w:t>CMS-R-234 (O</w:t>
      </w:r>
      <w:r w:rsidR="005B0656">
        <w:rPr>
          <w:rStyle w:val="Strong"/>
        </w:rPr>
        <w:t>MB</w:t>
      </w:r>
      <w:r>
        <w:rPr>
          <w:rStyle w:val="Strong"/>
        </w:rPr>
        <w:t xml:space="preserve"> 0938-</w:t>
      </w:r>
      <w:r w:rsidR="007B7315">
        <w:rPr>
          <w:rStyle w:val="Strong"/>
        </w:rPr>
        <w:t>0730)</w:t>
      </w:r>
    </w:p>
    <w:p w:rsidR="00393751" w:rsidRPr="00D774E2" w:rsidRDefault="00393751" w:rsidP="00D774E2">
      <w:pPr>
        <w:tabs>
          <w:tab w:val="center" w:pos="4680"/>
        </w:tabs>
        <w:rPr>
          <w:szCs w:val="24"/>
        </w:rPr>
      </w:pPr>
      <w:r w:rsidRPr="00D774E2">
        <w:rPr>
          <w:szCs w:val="24"/>
        </w:rPr>
        <w:tab/>
      </w:r>
    </w:p>
    <w:p w:rsidR="001919A9" w:rsidRPr="00D774E2" w:rsidRDefault="00D774E2" w:rsidP="0071165F">
      <w:pPr>
        <w:ind w:left="720"/>
        <w:rPr>
          <w:szCs w:val="24"/>
        </w:rPr>
      </w:pPr>
      <w:r w:rsidRPr="00F14A2A">
        <w:rPr>
          <w:szCs w:val="24"/>
        </w:rPr>
        <w:t xml:space="preserve">This package is associated with a </w:t>
      </w:r>
      <w:r w:rsidR="00071A88">
        <w:rPr>
          <w:szCs w:val="24"/>
        </w:rPr>
        <w:t xml:space="preserve">November </w:t>
      </w:r>
      <w:r w:rsidR="00F14A2A" w:rsidRPr="00F14A2A">
        <w:rPr>
          <w:szCs w:val="24"/>
        </w:rPr>
        <w:t>1</w:t>
      </w:r>
      <w:r w:rsidR="00071A88">
        <w:rPr>
          <w:szCs w:val="24"/>
        </w:rPr>
        <w:t>6</w:t>
      </w:r>
      <w:r w:rsidRPr="00F14A2A">
        <w:rPr>
          <w:szCs w:val="24"/>
        </w:rPr>
        <w:t>, 2015</w:t>
      </w:r>
      <w:r w:rsidR="00EB417C" w:rsidRPr="00F14A2A">
        <w:rPr>
          <w:szCs w:val="24"/>
        </w:rPr>
        <w:t>,</w:t>
      </w:r>
      <w:r w:rsidRPr="00F14A2A">
        <w:rPr>
          <w:szCs w:val="24"/>
        </w:rPr>
        <w:t xml:space="preserve"> </w:t>
      </w:r>
      <w:r w:rsidR="00071A88">
        <w:rPr>
          <w:szCs w:val="24"/>
        </w:rPr>
        <w:t>final rule</w:t>
      </w:r>
      <w:r w:rsidRPr="00F14A2A">
        <w:rPr>
          <w:szCs w:val="24"/>
        </w:rPr>
        <w:t xml:space="preserve"> </w:t>
      </w:r>
      <w:r w:rsidR="00071A88">
        <w:rPr>
          <w:szCs w:val="24"/>
        </w:rPr>
        <w:t xml:space="preserve">(80 FR 70886) </w:t>
      </w:r>
      <w:r w:rsidRPr="00F14A2A">
        <w:rPr>
          <w:szCs w:val="24"/>
        </w:rPr>
        <w:t>(CMS-1631-</w:t>
      </w:r>
      <w:r w:rsidR="00071A88">
        <w:rPr>
          <w:szCs w:val="24"/>
        </w:rPr>
        <w:t>FC</w:t>
      </w:r>
      <w:r w:rsidRPr="00F14A2A">
        <w:rPr>
          <w:szCs w:val="24"/>
        </w:rPr>
        <w:t>; RIN 0938-AS40).</w:t>
      </w:r>
    </w:p>
    <w:p w:rsidR="001919A9" w:rsidRPr="00D774E2" w:rsidRDefault="001919A9" w:rsidP="00D774E2">
      <w:pPr>
        <w:ind w:firstLine="720"/>
        <w:rPr>
          <w:szCs w:val="24"/>
        </w:rPr>
      </w:pPr>
    </w:p>
    <w:p w:rsidR="00393751" w:rsidRPr="007B7315" w:rsidRDefault="00393751" w:rsidP="00D774E2">
      <w:pPr>
        <w:ind w:firstLine="720"/>
        <w:rPr>
          <w:b/>
          <w:szCs w:val="24"/>
        </w:rPr>
      </w:pPr>
      <w:r w:rsidRPr="007B7315">
        <w:rPr>
          <w:b/>
          <w:szCs w:val="24"/>
        </w:rPr>
        <w:t>Background</w:t>
      </w:r>
    </w:p>
    <w:p w:rsidR="00393751" w:rsidRPr="008623B4" w:rsidRDefault="00393751" w:rsidP="00D774E2">
      <w:pPr>
        <w:rPr>
          <w:szCs w:val="24"/>
        </w:rPr>
      </w:pPr>
    </w:p>
    <w:p w:rsidR="00393751" w:rsidRPr="008623B4" w:rsidRDefault="00393751" w:rsidP="00D774E2">
      <w:pPr>
        <w:tabs>
          <w:tab w:val="center" w:pos="4680"/>
        </w:tabs>
        <w:ind w:left="720"/>
        <w:rPr>
          <w:szCs w:val="24"/>
        </w:rPr>
      </w:pPr>
      <w:r w:rsidRPr="008623B4">
        <w:rPr>
          <w:szCs w:val="24"/>
        </w:rPr>
        <w:tab/>
        <w:t xml:space="preserve">Section 4507 of </w:t>
      </w:r>
      <w:r w:rsidR="00451546">
        <w:rPr>
          <w:szCs w:val="24"/>
        </w:rPr>
        <w:t xml:space="preserve">the </w:t>
      </w:r>
      <w:r w:rsidRPr="008623B4">
        <w:rPr>
          <w:szCs w:val="24"/>
        </w:rPr>
        <w:t>B</w:t>
      </w:r>
      <w:r w:rsidR="006076B0">
        <w:rPr>
          <w:szCs w:val="24"/>
        </w:rPr>
        <w:t>alanced</w:t>
      </w:r>
      <w:r w:rsidR="00574E8A">
        <w:rPr>
          <w:szCs w:val="24"/>
        </w:rPr>
        <w:t xml:space="preserve"> </w:t>
      </w:r>
      <w:r w:rsidRPr="008623B4">
        <w:rPr>
          <w:szCs w:val="24"/>
        </w:rPr>
        <w:t>B</w:t>
      </w:r>
      <w:r w:rsidR="00574E8A">
        <w:rPr>
          <w:szCs w:val="24"/>
        </w:rPr>
        <w:t xml:space="preserve">udget </w:t>
      </w:r>
      <w:r w:rsidRPr="008623B4">
        <w:rPr>
          <w:szCs w:val="24"/>
        </w:rPr>
        <w:t>A</w:t>
      </w:r>
      <w:r w:rsidR="00574E8A">
        <w:rPr>
          <w:szCs w:val="24"/>
        </w:rPr>
        <w:t xml:space="preserve">ct </w:t>
      </w:r>
      <w:r w:rsidR="00451546">
        <w:rPr>
          <w:szCs w:val="24"/>
        </w:rPr>
        <w:t xml:space="preserve">of </w:t>
      </w:r>
      <w:r w:rsidRPr="008623B4">
        <w:rPr>
          <w:szCs w:val="24"/>
        </w:rPr>
        <w:t xml:space="preserve">1997 </w:t>
      </w:r>
      <w:r w:rsidR="00451546">
        <w:rPr>
          <w:szCs w:val="24"/>
        </w:rPr>
        <w:t xml:space="preserve">(BBA 1997) </w:t>
      </w:r>
      <w:r w:rsidRPr="008623B4">
        <w:rPr>
          <w:szCs w:val="24"/>
        </w:rPr>
        <w:t xml:space="preserve">amended section 1802 of the Social Security Act </w:t>
      </w:r>
      <w:r w:rsidR="00451546">
        <w:rPr>
          <w:szCs w:val="24"/>
        </w:rPr>
        <w:t xml:space="preserve">(the Act) </w:t>
      </w:r>
      <w:r w:rsidRPr="008623B4">
        <w:rPr>
          <w:szCs w:val="24"/>
        </w:rPr>
        <w:t xml:space="preserve">to permit certain physicians and practitioners to opt-out of Medicare and to provide through private contracts services that would otherwise be covered by Medicare. Under such contracts the mandatory claims submission and limiting charge rules of section 1848(g) of the Act would not apply. Subpart D and the Supporting Regulations contained in 42 CFR 405.410, 405.430, 405.435, 405.440, 405.445, and 405.455, counters the effect of certain provisions of Medicare law that, absent section 4507 of BBA 1997, preclude physicians and practitioners from contracting privately with Medicare beneficiaries to pay without regard to Medicare limits.  </w:t>
      </w:r>
    </w:p>
    <w:p w:rsidR="00393751" w:rsidRPr="008623B4" w:rsidRDefault="00393751" w:rsidP="00D774E2">
      <w:pPr>
        <w:rPr>
          <w:szCs w:val="24"/>
        </w:rPr>
      </w:pPr>
    </w:p>
    <w:p w:rsidR="00393751" w:rsidRPr="007B7315" w:rsidRDefault="007B7315" w:rsidP="00D774E2">
      <w:pPr>
        <w:rPr>
          <w:b/>
          <w:szCs w:val="24"/>
          <w:u w:val="single"/>
        </w:rPr>
      </w:pPr>
      <w:r w:rsidRPr="007B7315">
        <w:rPr>
          <w:b/>
          <w:szCs w:val="24"/>
        </w:rPr>
        <w:t>A</w:t>
      </w:r>
      <w:r w:rsidR="00393751" w:rsidRPr="007B7315">
        <w:rPr>
          <w:b/>
          <w:szCs w:val="24"/>
        </w:rPr>
        <w:t>.</w:t>
      </w:r>
      <w:r w:rsidR="00393751" w:rsidRPr="007B7315">
        <w:rPr>
          <w:b/>
          <w:szCs w:val="24"/>
        </w:rPr>
        <w:tab/>
        <w:t>Justification</w:t>
      </w:r>
    </w:p>
    <w:p w:rsidR="00393751" w:rsidRPr="008623B4" w:rsidRDefault="00393751" w:rsidP="00D774E2">
      <w:pPr>
        <w:rPr>
          <w:szCs w:val="24"/>
        </w:rPr>
      </w:pPr>
    </w:p>
    <w:p w:rsidR="00393751" w:rsidRPr="008623B4" w:rsidRDefault="00393751" w:rsidP="00C239AC">
      <w:pPr>
        <w:numPr>
          <w:ilvl w:val="0"/>
          <w:numId w:val="2"/>
        </w:numPr>
        <w:ind w:left="0" w:firstLine="0"/>
        <w:rPr>
          <w:szCs w:val="24"/>
        </w:rPr>
      </w:pPr>
      <w:r w:rsidRPr="00407A2C">
        <w:rPr>
          <w:szCs w:val="24"/>
        </w:rPr>
        <w:t>Need and Legal Basis</w:t>
      </w:r>
    </w:p>
    <w:p w:rsidR="00393751" w:rsidRPr="008623B4" w:rsidRDefault="00393751" w:rsidP="00D774E2">
      <w:pPr>
        <w:rPr>
          <w:szCs w:val="24"/>
        </w:rPr>
      </w:pPr>
    </w:p>
    <w:p w:rsidR="00393751" w:rsidRPr="008623B4" w:rsidRDefault="00393751" w:rsidP="00D774E2">
      <w:pPr>
        <w:ind w:left="720"/>
        <w:rPr>
          <w:szCs w:val="24"/>
        </w:rPr>
      </w:pPr>
      <w:r w:rsidRPr="008623B4">
        <w:rPr>
          <w:szCs w:val="24"/>
        </w:rPr>
        <w:t>Under the law (i.e., section 4507 of BBA 1997), we are required to permit certain physicians and practitioners to opt out of Medicare and furnish covered services to Medicare beneficiaries through private contracts.</w:t>
      </w:r>
    </w:p>
    <w:p w:rsidR="00393751" w:rsidRPr="008623B4" w:rsidRDefault="00393751" w:rsidP="00D774E2">
      <w:pPr>
        <w:ind w:firstLine="720"/>
        <w:rPr>
          <w:szCs w:val="24"/>
        </w:rPr>
      </w:pPr>
    </w:p>
    <w:p w:rsidR="00393751" w:rsidRPr="006266F7" w:rsidRDefault="00393751" w:rsidP="00C239AC">
      <w:pPr>
        <w:numPr>
          <w:ilvl w:val="0"/>
          <w:numId w:val="2"/>
        </w:numPr>
        <w:ind w:left="0" w:firstLine="0"/>
        <w:rPr>
          <w:szCs w:val="24"/>
        </w:rPr>
      </w:pPr>
      <w:r w:rsidRPr="006266F7">
        <w:rPr>
          <w:szCs w:val="24"/>
        </w:rPr>
        <w:t>Information Users</w:t>
      </w:r>
    </w:p>
    <w:p w:rsidR="00393751" w:rsidRPr="008623B4" w:rsidRDefault="00393751" w:rsidP="00D774E2">
      <w:pPr>
        <w:ind w:left="1440"/>
        <w:rPr>
          <w:szCs w:val="24"/>
        </w:rPr>
      </w:pPr>
    </w:p>
    <w:p w:rsidR="00393751" w:rsidRPr="008623B4" w:rsidRDefault="00393751" w:rsidP="00D774E2">
      <w:pPr>
        <w:ind w:left="720"/>
        <w:rPr>
          <w:szCs w:val="24"/>
        </w:rPr>
      </w:pPr>
      <w:r w:rsidRPr="008623B4">
        <w:rPr>
          <w:szCs w:val="24"/>
        </w:rPr>
        <w:t>Physicians and/or practitioners use these information collection requirements to comply with the law</w:t>
      </w:r>
      <w:r w:rsidR="00A8205F">
        <w:rPr>
          <w:szCs w:val="24"/>
        </w:rPr>
        <w:t>.  In addition, Medicare contractor</w:t>
      </w:r>
      <w:r w:rsidRPr="008623B4">
        <w:rPr>
          <w:szCs w:val="24"/>
        </w:rPr>
        <w:t>s use this information to determine if benefits should be paid or continued.</w:t>
      </w:r>
    </w:p>
    <w:p w:rsidR="00393751" w:rsidRPr="008623B4" w:rsidRDefault="00393751" w:rsidP="00D774E2">
      <w:pPr>
        <w:rPr>
          <w:szCs w:val="24"/>
        </w:rPr>
      </w:pPr>
    </w:p>
    <w:p w:rsidR="00393751" w:rsidRPr="006266F7" w:rsidRDefault="008623B4" w:rsidP="00C239AC">
      <w:pPr>
        <w:numPr>
          <w:ilvl w:val="0"/>
          <w:numId w:val="2"/>
        </w:numPr>
        <w:ind w:left="0" w:firstLine="0"/>
        <w:rPr>
          <w:szCs w:val="24"/>
        </w:rPr>
      </w:pPr>
      <w:r w:rsidRPr="006266F7">
        <w:rPr>
          <w:szCs w:val="24"/>
        </w:rPr>
        <w:t>Use of Information Technology</w:t>
      </w:r>
    </w:p>
    <w:p w:rsidR="00393751" w:rsidRPr="008623B4" w:rsidRDefault="00393751" w:rsidP="00D774E2">
      <w:pPr>
        <w:ind w:left="720"/>
        <w:rPr>
          <w:szCs w:val="24"/>
        </w:rPr>
      </w:pPr>
    </w:p>
    <w:p w:rsidR="00393751" w:rsidRPr="008623B4" w:rsidRDefault="00393751" w:rsidP="00D774E2">
      <w:pPr>
        <w:ind w:left="720"/>
        <w:rPr>
          <w:szCs w:val="24"/>
        </w:rPr>
      </w:pPr>
      <w:r w:rsidRPr="008623B4">
        <w:rPr>
          <w:szCs w:val="24"/>
        </w:rPr>
        <w:t xml:space="preserve">These requirements do </w:t>
      </w:r>
      <w:r w:rsidR="00801CEA">
        <w:rPr>
          <w:szCs w:val="24"/>
        </w:rPr>
        <w:t xml:space="preserve">not lend themselves to </w:t>
      </w:r>
      <w:r w:rsidRPr="008623B4">
        <w:rPr>
          <w:szCs w:val="24"/>
        </w:rPr>
        <w:t>information technology.</w:t>
      </w:r>
    </w:p>
    <w:p w:rsidR="00393751" w:rsidRPr="008623B4" w:rsidRDefault="00393751" w:rsidP="00D774E2">
      <w:pPr>
        <w:rPr>
          <w:szCs w:val="24"/>
        </w:rPr>
      </w:pPr>
    </w:p>
    <w:p w:rsidR="00393751" w:rsidRPr="006266F7" w:rsidRDefault="00393751" w:rsidP="00C239AC">
      <w:pPr>
        <w:numPr>
          <w:ilvl w:val="0"/>
          <w:numId w:val="2"/>
        </w:numPr>
        <w:ind w:left="0" w:firstLine="0"/>
        <w:rPr>
          <w:szCs w:val="24"/>
        </w:rPr>
      </w:pPr>
      <w:r w:rsidRPr="006266F7">
        <w:rPr>
          <w:szCs w:val="24"/>
        </w:rPr>
        <w:t>Duplication of</w:t>
      </w:r>
      <w:r w:rsidR="00801CEA" w:rsidRPr="006266F7">
        <w:rPr>
          <w:szCs w:val="24"/>
        </w:rPr>
        <w:t xml:space="preserve"> Efforts</w:t>
      </w:r>
    </w:p>
    <w:p w:rsidR="00393751" w:rsidRPr="008623B4" w:rsidRDefault="00393751" w:rsidP="00D774E2">
      <w:pPr>
        <w:ind w:left="1440"/>
        <w:rPr>
          <w:szCs w:val="24"/>
        </w:rPr>
      </w:pPr>
    </w:p>
    <w:p w:rsidR="00393751" w:rsidRPr="008623B4" w:rsidRDefault="00393751" w:rsidP="00D774E2">
      <w:pPr>
        <w:ind w:left="720"/>
        <w:rPr>
          <w:szCs w:val="24"/>
        </w:rPr>
      </w:pPr>
      <w:r w:rsidRPr="008623B4">
        <w:rPr>
          <w:szCs w:val="24"/>
        </w:rPr>
        <w:t>There are no other information collections that duplicate this effort.</w:t>
      </w:r>
    </w:p>
    <w:p w:rsidR="00393751" w:rsidRPr="008623B4" w:rsidRDefault="00393751" w:rsidP="00D774E2">
      <w:pPr>
        <w:rPr>
          <w:szCs w:val="24"/>
        </w:rPr>
      </w:pPr>
    </w:p>
    <w:p w:rsidR="00393751" w:rsidRPr="006266F7" w:rsidRDefault="00393751" w:rsidP="00C239AC">
      <w:pPr>
        <w:numPr>
          <w:ilvl w:val="0"/>
          <w:numId w:val="2"/>
        </w:numPr>
        <w:ind w:left="0" w:firstLine="0"/>
        <w:rPr>
          <w:szCs w:val="24"/>
        </w:rPr>
      </w:pPr>
      <w:r w:rsidRPr="006266F7">
        <w:rPr>
          <w:szCs w:val="24"/>
        </w:rPr>
        <w:t>Small Businesses</w:t>
      </w:r>
    </w:p>
    <w:p w:rsidR="00393751" w:rsidRPr="008623B4" w:rsidRDefault="00393751" w:rsidP="00D774E2">
      <w:pPr>
        <w:rPr>
          <w:szCs w:val="24"/>
        </w:rPr>
      </w:pPr>
    </w:p>
    <w:p w:rsidR="00393751" w:rsidRPr="008623B4" w:rsidRDefault="00393751" w:rsidP="00D774E2">
      <w:pPr>
        <w:tabs>
          <w:tab w:val="left" w:pos="-1440"/>
        </w:tabs>
        <w:ind w:left="720"/>
        <w:rPr>
          <w:szCs w:val="24"/>
        </w:rPr>
      </w:pPr>
      <w:r w:rsidRPr="008623B4">
        <w:rPr>
          <w:szCs w:val="24"/>
        </w:rPr>
        <w:t xml:space="preserve">This data collection was carefully reviewed to minimize paperwork burden and capture only essential information.  These requirements do not have a significant impact on small </w:t>
      </w:r>
      <w:r w:rsidRPr="008623B4">
        <w:rPr>
          <w:szCs w:val="24"/>
        </w:rPr>
        <w:lastRenderedPageBreak/>
        <w:t>businesses.</w:t>
      </w:r>
    </w:p>
    <w:p w:rsidR="00393751" w:rsidRPr="008623B4" w:rsidRDefault="00393751" w:rsidP="00D774E2">
      <w:pPr>
        <w:rPr>
          <w:szCs w:val="24"/>
        </w:rPr>
      </w:pPr>
    </w:p>
    <w:p w:rsidR="00393751" w:rsidRPr="008623B4" w:rsidRDefault="00393751" w:rsidP="00C239AC">
      <w:pPr>
        <w:numPr>
          <w:ilvl w:val="0"/>
          <w:numId w:val="2"/>
        </w:numPr>
        <w:ind w:left="0" w:firstLine="0"/>
        <w:rPr>
          <w:szCs w:val="24"/>
        </w:rPr>
      </w:pPr>
      <w:r w:rsidRPr="006266F7">
        <w:rPr>
          <w:szCs w:val="24"/>
        </w:rPr>
        <w:t>Less Frequent Collection</w:t>
      </w:r>
    </w:p>
    <w:p w:rsidR="00393751" w:rsidRPr="008623B4" w:rsidRDefault="00393751" w:rsidP="00D774E2">
      <w:pPr>
        <w:ind w:firstLine="720"/>
        <w:rPr>
          <w:szCs w:val="24"/>
        </w:rPr>
      </w:pPr>
    </w:p>
    <w:p w:rsidR="00393751" w:rsidRPr="008623B4" w:rsidRDefault="00393751" w:rsidP="00D774E2">
      <w:pPr>
        <w:ind w:left="720"/>
        <w:rPr>
          <w:szCs w:val="24"/>
        </w:rPr>
      </w:pPr>
      <w:r w:rsidRPr="008623B4">
        <w:rPr>
          <w:szCs w:val="24"/>
        </w:rPr>
        <w:t>If this information was collected less frequently, CMS would be out of compliance with the law.</w:t>
      </w:r>
    </w:p>
    <w:p w:rsidR="00393751" w:rsidRPr="008623B4" w:rsidRDefault="00393751" w:rsidP="00D774E2">
      <w:pPr>
        <w:rPr>
          <w:szCs w:val="24"/>
        </w:rPr>
      </w:pPr>
    </w:p>
    <w:p w:rsidR="00393751" w:rsidRPr="008623B4" w:rsidRDefault="00393751" w:rsidP="00C239AC">
      <w:pPr>
        <w:numPr>
          <w:ilvl w:val="0"/>
          <w:numId w:val="2"/>
        </w:numPr>
        <w:ind w:left="0" w:firstLine="0"/>
        <w:rPr>
          <w:szCs w:val="24"/>
        </w:rPr>
      </w:pPr>
      <w:r w:rsidRPr="006266F7">
        <w:rPr>
          <w:szCs w:val="24"/>
        </w:rPr>
        <w:t>Special Circumstances</w:t>
      </w:r>
    </w:p>
    <w:p w:rsidR="00393751" w:rsidRPr="008623B4" w:rsidRDefault="00393751" w:rsidP="00D774E2">
      <w:pPr>
        <w:ind w:firstLine="720"/>
        <w:rPr>
          <w:szCs w:val="24"/>
        </w:rPr>
      </w:pPr>
    </w:p>
    <w:p w:rsidR="00393751" w:rsidRPr="008623B4" w:rsidRDefault="00393751" w:rsidP="00D774E2">
      <w:pPr>
        <w:ind w:left="720"/>
        <w:rPr>
          <w:szCs w:val="24"/>
        </w:rPr>
      </w:pPr>
      <w:r w:rsidRPr="008623B4">
        <w:rPr>
          <w:szCs w:val="24"/>
        </w:rPr>
        <w:t>The collection of information does not require any special circumstances.</w:t>
      </w:r>
    </w:p>
    <w:p w:rsidR="00393751" w:rsidRPr="008623B4" w:rsidRDefault="00393751" w:rsidP="00D774E2">
      <w:pPr>
        <w:rPr>
          <w:szCs w:val="24"/>
        </w:rPr>
      </w:pPr>
    </w:p>
    <w:p w:rsidR="00393751" w:rsidRPr="008623B4" w:rsidRDefault="00393751" w:rsidP="00C239AC">
      <w:pPr>
        <w:numPr>
          <w:ilvl w:val="0"/>
          <w:numId w:val="2"/>
        </w:numPr>
        <w:ind w:left="0" w:firstLine="0"/>
        <w:rPr>
          <w:szCs w:val="24"/>
        </w:rPr>
      </w:pPr>
      <w:r w:rsidRPr="006266F7">
        <w:rPr>
          <w:szCs w:val="24"/>
        </w:rPr>
        <w:t>Federal Register Notice/Outside Consultation</w:t>
      </w:r>
    </w:p>
    <w:p w:rsidR="00393751" w:rsidRPr="008623B4" w:rsidRDefault="00393751" w:rsidP="00D774E2">
      <w:pPr>
        <w:ind w:left="720"/>
        <w:rPr>
          <w:szCs w:val="24"/>
        </w:rPr>
      </w:pPr>
    </w:p>
    <w:p w:rsidR="00167A12" w:rsidRPr="00E130E9" w:rsidRDefault="00167A12" w:rsidP="00167A1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rsidRPr="000F7B34">
        <w:t>The NPRM serv</w:t>
      </w:r>
      <w:r w:rsidR="00CC44B1">
        <w:t>ed</w:t>
      </w:r>
      <w:r w:rsidRPr="000F7B34">
        <w:t xml:space="preserve"> as the 60-day Federal Register notice which published on July </w:t>
      </w:r>
      <w:r w:rsidR="000F7B34" w:rsidRPr="000F7B34">
        <w:t>15</w:t>
      </w:r>
      <w:r w:rsidRPr="000F7B34">
        <w:t xml:space="preserve">, 2015 (80 FR </w:t>
      </w:r>
      <w:r w:rsidR="00EF716D">
        <w:t>41685</w:t>
      </w:r>
      <w:r w:rsidRPr="000F7B34">
        <w:t>).</w:t>
      </w:r>
      <w:r w:rsidRPr="00E130E9">
        <w:t xml:space="preserve"> </w:t>
      </w:r>
      <w:r w:rsidRPr="000F7B34">
        <w:t xml:space="preserve">The NPRM was placed on public inspection on July </w:t>
      </w:r>
      <w:r w:rsidR="000F7B34" w:rsidRPr="000F7B34">
        <w:t>8</w:t>
      </w:r>
      <w:r w:rsidRPr="000F7B34">
        <w:t xml:space="preserve"> whereby comments </w:t>
      </w:r>
      <w:r w:rsidR="00CC44B1">
        <w:t xml:space="preserve">were </w:t>
      </w:r>
      <w:r w:rsidRPr="000F7B34">
        <w:t xml:space="preserve">due </w:t>
      </w:r>
      <w:r w:rsidR="00CC44B1">
        <w:t xml:space="preserve">on </w:t>
      </w:r>
      <w:r w:rsidRPr="000F7B34">
        <w:t xml:space="preserve">Sept </w:t>
      </w:r>
      <w:r w:rsidR="000F7B34" w:rsidRPr="000F7B34">
        <w:t>8</w:t>
      </w:r>
      <w:r w:rsidRPr="000F7B34">
        <w:t>.</w:t>
      </w:r>
      <w:r w:rsidRPr="00E130E9">
        <w:t xml:space="preserve"> </w:t>
      </w:r>
      <w:r w:rsidR="00CC44B1">
        <w:t>No PRA-related comments were received.</w:t>
      </w:r>
    </w:p>
    <w:p w:rsidR="00393751" w:rsidRDefault="00393751" w:rsidP="00D774E2">
      <w:pPr>
        <w:ind w:left="720"/>
        <w:rPr>
          <w:szCs w:val="24"/>
        </w:rPr>
      </w:pPr>
    </w:p>
    <w:p w:rsidR="00CC44B1" w:rsidRDefault="00CC44B1" w:rsidP="00D774E2">
      <w:pPr>
        <w:ind w:left="720"/>
        <w:rPr>
          <w:szCs w:val="24"/>
        </w:rPr>
      </w:pPr>
      <w:r>
        <w:rPr>
          <w:szCs w:val="24"/>
        </w:rPr>
        <w:t xml:space="preserve">The final rule is serving as the 30-day Federal Register notice (November 16, 2015; 80 FR 70886). </w:t>
      </w:r>
      <w:r w:rsidR="006A51CF" w:rsidRPr="000F7B34">
        <w:t xml:space="preserve">The </w:t>
      </w:r>
      <w:r w:rsidR="006A51CF">
        <w:t xml:space="preserve">final rule </w:t>
      </w:r>
      <w:r w:rsidR="006A51CF" w:rsidRPr="000F7B34">
        <w:t xml:space="preserve">was placed on public inspection on </w:t>
      </w:r>
      <w:r w:rsidR="006A51CF">
        <w:t>October 30</w:t>
      </w:r>
      <w:r w:rsidR="006A51CF" w:rsidRPr="000F7B34">
        <w:t xml:space="preserve"> whereby comments </w:t>
      </w:r>
      <w:r w:rsidR="00CF6F8C">
        <w:t xml:space="preserve">are </w:t>
      </w:r>
      <w:r w:rsidR="006A51CF" w:rsidRPr="000F7B34">
        <w:t xml:space="preserve">due </w:t>
      </w:r>
      <w:r w:rsidR="00CF6F8C">
        <w:t>on/by December 29, 2015.</w:t>
      </w:r>
    </w:p>
    <w:p w:rsidR="00CC44B1" w:rsidRPr="000C73C4" w:rsidRDefault="00CC44B1" w:rsidP="00D774E2">
      <w:pPr>
        <w:ind w:left="720"/>
        <w:rPr>
          <w:szCs w:val="24"/>
        </w:rPr>
      </w:pPr>
    </w:p>
    <w:p w:rsidR="00393751" w:rsidRPr="008623B4" w:rsidRDefault="00393751" w:rsidP="00D774E2">
      <w:pPr>
        <w:ind w:left="720"/>
        <w:rPr>
          <w:szCs w:val="24"/>
        </w:rPr>
      </w:pPr>
      <w:r w:rsidRPr="000C73C4">
        <w:rPr>
          <w:szCs w:val="24"/>
        </w:rPr>
        <w:t>Since these requirements have been in place for several years, we have not sought any additional outside consultations.</w:t>
      </w:r>
    </w:p>
    <w:p w:rsidR="00393751" w:rsidRPr="008623B4" w:rsidRDefault="00393751" w:rsidP="00D774E2">
      <w:pPr>
        <w:ind w:firstLine="720"/>
        <w:rPr>
          <w:szCs w:val="24"/>
        </w:rPr>
      </w:pPr>
    </w:p>
    <w:p w:rsidR="00393751" w:rsidRPr="008623B4" w:rsidRDefault="00393751" w:rsidP="00C239AC">
      <w:pPr>
        <w:numPr>
          <w:ilvl w:val="0"/>
          <w:numId w:val="2"/>
        </w:numPr>
        <w:ind w:left="0" w:firstLine="0"/>
        <w:rPr>
          <w:szCs w:val="24"/>
        </w:rPr>
      </w:pPr>
      <w:r w:rsidRPr="006266F7">
        <w:rPr>
          <w:szCs w:val="24"/>
        </w:rPr>
        <w:t>Payment/Gift To Respondent</w:t>
      </w:r>
    </w:p>
    <w:p w:rsidR="00393751" w:rsidRPr="008623B4" w:rsidRDefault="00393751" w:rsidP="00D774E2">
      <w:pPr>
        <w:ind w:firstLine="720"/>
        <w:rPr>
          <w:szCs w:val="24"/>
        </w:rPr>
      </w:pPr>
    </w:p>
    <w:p w:rsidR="00393751" w:rsidRPr="008623B4" w:rsidRDefault="00393751" w:rsidP="00D774E2">
      <w:pPr>
        <w:ind w:left="720"/>
        <w:rPr>
          <w:szCs w:val="24"/>
        </w:rPr>
      </w:pPr>
      <w:r w:rsidRPr="008623B4">
        <w:rPr>
          <w:szCs w:val="24"/>
        </w:rPr>
        <w:t>The collection of information does not provide for any payment or gifts.</w:t>
      </w:r>
    </w:p>
    <w:p w:rsidR="00393751" w:rsidRPr="008623B4" w:rsidRDefault="00393751" w:rsidP="00D774E2">
      <w:pPr>
        <w:rPr>
          <w:szCs w:val="24"/>
        </w:rPr>
      </w:pPr>
    </w:p>
    <w:p w:rsidR="00393751" w:rsidRPr="008623B4" w:rsidRDefault="00393751" w:rsidP="00C239AC">
      <w:pPr>
        <w:numPr>
          <w:ilvl w:val="0"/>
          <w:numId w:val="2"/>
        </w:numPr>
        <w:ind w:left="0" w:firstLine="0"/>
        <w:rPr>
          <w:szCs w:val="24"/>
        </w:rPr>
      </w:pPr>
      <w:r w:rsidRPr="006266F7">
        <w:rPr>
          <w:szCs w:val="24"/>
        </w:rPr>
        <w:t>Confidentiality</w:t>
      </w:r>
    </w:p>
    <w:p w:rsidR="00393751" w:rsidRPr="008623B4" w:rsidRDefault="00393751" w:rsidP="00D774E2">
      <w:pPr>
        <w:ind w:firstLine="720"/>
        <w:rPr>
          <w:szCs w:val="24"/>
        </w:rPr>
      </w:pPr>
    </w:p>
    <w:p w:rsidR="00393751" w:rsidRPr="008623B4" w:rsidRDefault="00393751" w:rsidP="00D774E2">
      <w:pPr>
        <w:ind w:left="720"/>
        <w:rPr>
          <w:szCs w:val="24"/>
        </w:rPr>
      </w:pPr>
      <w:r w:rsidRPr="008623B4">
        <w:rPr>
          <w:szCs w:val="24"/>
        </w:rPr>
        <w:t>Confidentiality of this information is assured.</w:t>
      </w:r>
    </w:p>
    <w:p w:rsidR="00393751" w:rsidRPr="008623B4" w:rsidRDefault="00393751" w:rsidP="00D774E2">
      <w:pPr>
        <w:rPr>
          <w:szCs w:val="24"/>
        </w:rPr>
      </w:pPr>
    </w:p>
    <w:p w:rsidR="00393751" w:rsidRPr="008623B4" w:rsidRDefault="00393751" w:rsidP="00C239AC">
      <w:pPr>
        <w:numPr>
          <w:ilvl w:val="0"/>
          <w:numId w:val="2"/>
        </w:numPr>
        <w:ind w:left="0" w:firstLine="0"/>
        <w:rPr>
          <w:szCs w:val="24"/>
        </w:rPr>
      </w:pPr>
      <w:r w:rsidRPr="006266F7">
        <w:rPr>
          <w:szCs w:val="24"/>
        </w:rPr>
        <w:t>Sensitive Questions</w:t>
      </w:r>
    </w:p>
    <w:p w:rsidR="00393751" w:rsidRPr="008623B4" w:rsidRDefault="00393751" w:rsidP="00D774E2">
      <w:pPr>
        <w:ind w:firstLine="720"/>
        <w:rPr>
          <w:szCs w:val="24"/>
        </w:rPr>
      </w:pPr>
    </w:p>
    <w:p w:rsidR="00393751" w:rsidRPr="008623B4" w:rsidRDefault="00393751" w:rsidP="00D774E2">
      <w:pPr>
        <w:ind w:left="720"/>
        <w:rPr>
          <w:szCs w:val="24"/>
        </w:rPr>
      </w:pPr>
      <w:r w:rsidRPr="008623B4">
        <w:rPr>
          <w:szCs w:val="24"/>
        </w:rPr>
        <w:t>There are no sensitive questions.</w:t>
      </w:r>
    </w:p>
    <w:p w:rsidR="00393751" w:rsidRPr="008623B4" w:rsidRDefault="00393751" w:rsidP="00D774E2">
      <w:pPr>
        <w:rPr>
          <w:szCs w:val="24"/>
        </w:rPr>
      </w:pPr>
    </w:p>
    <w:p w:rsidR="00393751" w:rsidRPr="008623B4" w:rsidRDefault="00801CEA" w:rsidP="00C239AC">
      <w:pPr>
        <w:numPr>
          <w:ilvl w:val="0"/>
          <w:numId w:val="2"/>
        </w:numPr>
        <w:ind w:left="0" w:firstLine="0"/>
        <w:rPr>
          <w:szCs w:val="24"/>
        </w:rPr>
      </w:pPr>
      <w:r w:rsidRPr="006266F7">
        <w:rPr>
          <w:szCs w:val="24"/>
        </w:rPr>
        <w:t>Burden Estimate (</w:t>
      </w:r>
      <w:r w:rsidR="00393751" w:rsidRPr="006266F7">
        <w:rPr>
          <w:szCs w:val="24"/>
        </w:rPr>
        <w:t>Hours &amp; Wages)</w:t>
      </w:r>
    </w:p>
    <w:p w:rsidR="00393751" w:rsidRDefault="00393751" w:rsidP="00D774E2">
      <w:pPr>
        <w:rPr>
          <w:szCs w:val="24"/>
        </w:rPr>
      </w:pPr>
    </w:p>
    <w:p w:rsidR="0095761F" w:rsidRPr="0095761F" w:rsidRDefault="0095761F" w:rsidP="00A63FB6">
      <w:pPr>
        <w:ind w:left="720"/>
        <w:rPr>
          <w:i/>
          <w:szCs w:val="24"/>
        </w:rPr>
      </w:pPr>
      <w:r w:rsidRPr="0095761F">
        <w:rPr>
          <w:i/>
          <w:szCs w:val="24"/>
        </w:rPr>
        <w:t>Wage Estimates</w:t>
      </w:r>
    </w:p>
    <w:p w:rsidR="0095761F" w:rsidRDefault="0095761F" w:rsidP="00D774E2">
      <w:pPr>
        <w:rPr>
          <w:szCs w:val="24"/>
        </w:rPr>
      </w:pPr>
    </w:p>
    <w:p w:rsidR="0095761F" w:rsidRDefault="0095761F" w:rsidP="00C918AA">
      <w:pPr>
        <w:ind w:left="720"/>
        <w:rPr>
          <w:rFonts w:eastAsia="Calibri"/>
          <w:szCs w:val="24"/>
        </w:rPr>
      </w:pPr>
      <w:r w:rsidRPr="00533D25">
        <w:rPr>
          <w:rFonts w:eastAsia="Calibri"/>
          <w:szCs w:val="24"/>
        </w:rPr>
        <w:t>To derive average costs, we used data from the U.S. Bureau of Labor Statistics’ May 2014 National Occupational Employment and Wage Estimates for all salary estimates (</w:t>
      </w:r>
      <w:hyperlink r:id="rId9" w:history="1">
        <w:r w:rsidRPr="00533D25">
          <w:rPr>
            <w:rFonts w:eastAsia="Calibri"/>
            <w:color w:val="0000FF"/>
            <w:szCs w:val="24"/>
            <w:u w:val="single"/>
          </w:rPr>
          <w:t>www.bls.gov/oes/current/oes_nat.htm</w:t>
        </w:r>
      </w:hyperlink>
      <w:r w:rsidRPr="00533D25">
        <w:rPr>
          <w:rFonts w:eastAsia="Calibri"/>
          <w:szCs w:val="24"/>
          <w:u w:val="single"/>
        </w:rPr>
        <w:t xml:space="preserve"> </w:t>
      </w:r>
      <w:r w:rsidRPr="00533D25">
        <w:rPr>
          <w:rFonts w:eastAsia="Calibri"/>
          <w:szCs w:val="24"/>
        </w:rPr>
        <w:t xml:space="preserve">). In this regard, </w:t>
      </w:r>
      <w:r w:rsidR="004A559D">
        <w:rPr>
          <w:rFonts w:eastAsia="Calibri"/>
          <w:szCs w:val="24"/>
        </w:rPr>
        <w:t>the following t</w:t>
      </w:r>
      <w:r w:rsidRPr="00533D25">
        <w:rPr>
          <w:rFonts w:eastAsia="Calibri"/>
          <w:szCs w:val="24"/>
        </w:rPr>
        <w:t>able presents the mean hourly wage, the cost of fringe benefits, and the adjusted hourly wage.</w:t>
      </w:r>
    </w:p>
    <w:p w:rsidR="00C918AA" w:rsidRPr="00533D25" w:rsidRDefault="00C918AA" w:rsidP="00C918AA">
      <w:pPr>
        <w:ind w:firstLine="720"/>
        <w:rPr>
          <w:rFonts w:eastAsia="Calibr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1809"/>
        <w:gridCol w:w="1733"/>
        <w:gridCol w:w="1738"/>
        <w:gridCol w:w="1767"/>
      </w:tblGrid>
      <w:tr w:rsidR="0095761F" w:rsidRPr="00533D25" w:rsidTr="00F76F4F">
        <w:tc>
          <w:tcPr>
            <w:tcW w:w="1809" w:type="dxa"/>
            <w:shd w:val="clear" w:color="auto" w:fill="auto"/>
          </w:tcPr>
          <w:p w:rsidR="0095761F" w:rsidRPr="00533D25" w:rsidRDefault="0095761F" w:rsidP="00F76F4F">
            <w:pPr>
              <w:keepNext/>
              <w:rPr>
                <w:rFonts w:eastAsia="Calibri"/>
                <w:szCs w:val="24"/>
              </w:rPr>
            </w:pPr>
            <w:r w:rsidRPr="00533D25">
              <w:rPr>
                <w:rFonts w:eastAsia="Calibri"/>
                <w:szCs w:val="24"/>
              </w:rPr>
              <w:lastRenderedPageBreak/>
              <w:t>Occupation Title</w:t>
            </w:r>
          </w:p>
        </w:tc>
        <w:tc>
          <w:tcPr>
            <w:tcW w:w="1809" w:type="dxa"/>
            <w:shd w:val="clear" w:color="auto" w:fill="auto"/>
          </w:tcPr>
          <w:p w:rsidR="0095761F" w:rsidRPr="00533D25" w:rsidRDefault="0095761F" w:rsidP="00F76F4F">
            <w:pPr>
              <w:keepNext/>
              <w:rPr>
                <w:rFonts w:eastAsia="Calibri"/>
                <w:szCs w:val="24"/>
              </w:rPr>
            </w:pPr>
            <w:r w:rsidRPr="00533D25">
              <w:rPr>
                <w:rFonts w:eastAsia="Calibri"/>
                <w:szCs w:val="24"/>
              </w:rPr>
              <w:t>Occupation Code</w:t>
            </w:r>
          </w:p>
        </w:tc>
        <w:tc>
          <w:tcPr>
            <w:tcW w:w="1733" w:type="dxa"/>
            <w:shd w:val="clear" w:color="auto" w:fill="auto"/>
          </w:tcPr>
          <w:p w:rsidR="0095761F" w:rsidRPr="00533D25" w:rsidRDefault="0095761F" w:rsidP="00F76F4F">
            <w:pPr>
              <w:keepNext/>
              <w:rPr>
                <w:rFonts w:eastAsia="Calibri"/>
                <w:szCs w:val="24"/>
              </w:rPr>
            </w:pPr>
            <w:r w:rsidRPr="00533D25">
              <w:rPr>
                <w:rFonts w:eastAsia="Calibri"/>
                <w:szCs w:val="24"/>
              </w:rPr>
              <w:t>Mean Hourly Wage ($/hr)</w:t>
            </w:r>
          </w:p>
        </w:tc>
        <w:tc>
          <w:tcPr>
            <w:tcW w:w="1738" w:type="dxa"/>
            <w:shd w:val="clear" w:color="auto" w:fill="auto"/>
          </w:tcPr>
          <w:p w:rsidR="0095761F" w:rsidRPr="00533D25" w:rsidRDefault="0095761F" w:rsidP="00F76F4F">
            <w:pPr>
              <w:keepNext/>
              <w:rPr>
                <w:rFonts w:eastAsia="Calibri"/>
                <w:szCs w:val="24"/>
              </w:rPr>
            </w:pPr>
            <w:r w:rsidRPr="00533D25">
              <w:rPr>
                <w:rFonts w:eastAsia="Calibri"/>
                <w:szCs w:val="24"/>
              </w:rPr>
              <w:t>Fringe Benefit ($/hr)</w:t>
            </w:r>
          </w:p>
        </w:tc>
        <w:tc>
          <w:tcPr>
            <w:tcW w:w="1767" w:type="dxa"/>
            <w:shd w:val="clear" w:color="auto" w:fill="auto"/>
          </w:tcPr>
          <w:p w:rsidR="0095761F" w:rsidRPr="00533D25" w:rsidRDefault="0095761F" w:rsidP="00F76F4F">
            <w:pPr>
              <w:keepNext/>
              <w:rPr>
                <w:rFonts w:eastAsia="Calibri"/>
                <w:szCs w:val="24"/>
              </w:rPr>
            </w:pPr>
            <w:r w:rsidRPr="00533D25">
              <w:rPr>
                <w:rFonts w:eastAsia="Calibri"/>
                <w:szCs w:val="24"/>
              </w:rPr>
              <w:t>Adjusted Hourly Wage ($/hr)</w:t>
            </w:r>
          </w:p>
        </w:tc>
      </w:tr>
      <w:tr w:rsidR="0095761F" w:rsidRPr="00533D25" w:rsidTr="00F76F4F">
        <w:tc>
          <w:tcPr>
            <w:tcW w:w="1809" w:type="dxa"/>
            <w:shd w:val="clear" w:color="auto" w:fill="auto"/>
          </w:tcPr>
          <w:p w:rsidR="0095761F" w:rsidRPr="00533D25" w:rsidRDefault="0095761F" w:rsidP="00F76F4F">
            <w:pPr>
              <w:keepNext/>
              <w:rPr>
                <w:rFonts w:eastAsia="Calibri"/>
                <w:szCs w:val="24"/>
              </w:rPr>
            </w:pPr>
            <w:r w:rsidRPr="00533D25">
              <w:rPr>
                <w:rFonts w:eastAsia="Calibri"/>
                <w:szCs w:val="24"/>
              </w:rPr>
              <w:t>Medical Secretaries</w:t>
            </w:r>
          </w:p>
        </w:tc>
        <w:tc>
          <w:tcPr>
            <w:tcW w:w="1809" w:type="dxa"/>
            <w:shd w:val="clear" w:color="auto" w:fill="auto"/>
          </w:tcPr>
          <w:p w:rsidR="0095761F" w:rsidRPr="00533D25" w:rsidRDefault="0095761F" w:rsidP="00F76F4F">
            <w:pPr>
              <w:keepNext/>
              <w:rPr>
                <w:rFonts w:eastAsia="Calibri"/>
                <w:szCs w:val="24"/>
              </w:rPr>
            </w:pPr>
            <w:r w:rsidRPr="00533D25">
              <w:rPr>
                <w:rFonts w:eastAsia="Calibri"/>
                <w:szCs w:val="24"/>
              </w:rPr>
              <w:t>43-6013</w:t>
            </w:r>
          </w:p>
        </w:tc>
        <w:tc>
          <w:tcPr>
            <w:tcW w:w="1733" w:type="dxa"/>
            <w:shd w:val="clear" w:color="auto" w:fill="auto"/>
          </w:tcPr>
          <w:p w:rsidR="0095761F" w:rsidRPr="00533D25" w:rsidRDefault="0095761F" w:rsidP="00F76F4F">
            <w:pPr>
              <w:keepNext/>
              <w:rPr>
                <w:rFonts w:eastAsia="Calibri"/>
                <w:szCs w:val="24"/>
              </w:rPr>
            </w:pPr>
            <w:r w:rsidRPr="00533D25">
              <w:rPr>
                <w:rFonts w:eastAsia="Calibri"/>
                <w:szCs w:val="24"/>
              </w:rPr>
              <w:t>16.12</w:t>
            </w:r>
          </w:p>
        </w:tc>
        <w:tc>
          <w:tcPr>
            <w:tcW w:w="1738" w:type="dxa"/>
            <w:shd w:val="clear" w:color="auto" w:fill="auto"/>
          </w:tcPr>
          <w:p w:rsidR="0095761F" w:rsidRPr="00533D25" w:rsidRDefault="0095761F" w:rsidP="00F76F4F">
            <w:pPr>
              <w:keepNext/>
              <w:rPr>
                <w:rFonts w:eastAsia="Calibri"/>
                <w:szCs w:val="24"/>
              </w:rPr>
            </w:pPr>
            <w:r w:rsidRPr="00533D25">
              <w:rPr>
                <w:rFonts w:eastAsia="Calibri"/>
                <w:szCs w:val="24"/>
              </w:rPr>
              <w:t>16.12</w:t>
            </w:r>
          </w:p>
        </w:tc>
        <w:tc>
          <w:tcPr>
            <w:tcW w:w="1767" w:type="dxa"/>
            <w:shd w:val="clear" w:color="auto" w:fill="auto"/>
          </w:tcPr>
          <w:p w:rsidR="0095761F" w:rsidRPr="00533D25" w:rsidRDefault="0095761F" w:rsidP="00F76F4F">
            <w:pPr>
              <w:keepNext/>
              <w:rPr>
                <w:rFonts w:eastAsia="Calibri"/>
                <w:szCs w:val="24"/>
              </w:rPr>
            </w:pPr>
            <w:r w:rsidRPr="00533D25">
              <w:rPr>
                <w:rFonts w:eastAsia="Calibri"/>
                <w:szCs w:val="24"/>
              </w:rPr>
              <w:t>32.24</w:t>
            </w:r>
          </w:p>
        </w:tc>
      </w:tr>
    </w:tbl>
    <w:p w:rsidR="0095761F" w:rsidRPr="00533D25" w:rsidRDefault="0095761F" w:rsidP="00C918AA">
      <w:pPr>
        <w:spacing w:before="240"/>
        <w:ind w:left="720"/>
        <w:rPr>
          <w:rFonts w:eastAsia="Calibri"/>
          <w:b/>
          <w:szCs w:val="24"/>
        </w:rPr>
      </w:pPr>
      <w:r w:rsidRPr="00533D25">
        <w:rPr>
          <w:rFonts w:eastAsia="Calibri"/>
          <w:szCs w:val="24"/>
        </w:rPr>
        <w:t>Except where noted, we are adjusting our employee hourly wage estimates by a factor of 100 percent. This is necessarily a rough adjustment, both because fringe benefits and overhead costs vary significantly from employer to employer, and because methods of estimating these costs vary widely from study to study. Nonetheless, there is no practical alternative and we believe that doubling the hourly wage to estimate total cost is a reasonably accurate estimation method.</w:t>
      </w:r>
    </w:p>
    <w:p w:rsidR="0095761F" w:rsidRDefault="0095761F" w:rsidP="00D774E2">
      <w:pPr>
        <w:rPr>
          <w:szCs w:val="24"/>
        </w:rPr>
      </w:pPr>
    </w:p>
    <w:p w:rsidR="0095761F" w:rsidRPr="0095761F" w:rsidRDefault="0095761F" w:rsidP="0095761F">
      <w:pPr>
        <w:ind w:left="720"/>
        <w:rPr>
          <w:i/>
          <w:szCs w:val="24"/>
        </w:rPr>
      </w:pPr>
      <w:r w:rsidRPr="0095761F">
        <w:rPr>
          <w:i/>
          <w:szCs w:val="24"/>
        </w:rPr>
        <w:t>Burden Estimates</w:t>
      </w:r>
    </w:p>
    <w:p w:rsidR="0095761F" w:rsidRPr="008623B4" w:rsidRDefault="0095761F" w:rsidP="00D774E2">
      <w:pPr>
        <w:rPr>
          <w:szCs w:val="24"/>
        </w:rPr>
      </w:pPr>
    </w:p>
    <w:p w:rsidR="005B0656" w:rsidRPr="0095761F" w:rsidRDefault="005B0656" w:rsidP="00D774E2">
      <w:pPr>
        <w:tabs>
          <w:tab w:val="left" w:pos="-1440"/>
        </w:tabs>
        <w:ind w:firstLine="720"/>
        <w:rPr>
          <w:i/>
          <w:szCs w:val="24"/>
          <w:u w:val="single"/>
        </w:rPr>
      </w:pPr>
      <w:r w:rsidRPr="0095761F">
        <w:rPr>
          <w:bCs/>
          <w:i/>
          <w:szCs w:val="24"/>
          <w:u w:val="single"/>
        </w:rPr>
        <w:t>§</w:t>
      </w:r>
      <w:r w:rsidRPr="0095761F">
        <w:rPr>
          <w:i/>
          <w:szCs w:val="24"/>
          <w:u w:val="single"/>
        </w:rPr>
        <w:t xml:space="preserve"> 405.410 Conditions for properly opting-out of Medicare</w:t>
      </w:r>
    </w:p>
    <w:p w:rsidR="005B0656" w:rsidRPr="00407A2C" w:rsidRDefault="005B0656" w:rsidP="00D774E2">
      <w:pPr>
        <w:tabs>
          <w:tab w:val="left" w:pos="-1440"/>
        </w:tabs>
        <w:ind w:left="1440" w:hanging="1440"/>
        <w:rPr>
          <w:szCs w:val="24"/>
        </w:rPr>
      </w:pPr>
    </w:p>
    <w:p w:rsidR="005B0656" w:rsidRPr="008623B4" w:rsidRDefault="005B0656" w:rsidP="00D774E2">
      <w:pPr>
        <w:ind w:left="720"/>
        <w:rPr>
          <w:szCs w:val="24"/>
        </w:rPr>
      </w:pPr>
      <w:r w:rsidRPr="00407A2C">
        <w:rPr>
          <w:szCs w:val="24"/>
        </w:rPr>
        <w:t>Section 405.410(a)</w:t>
      </w:r>
      <w:r w:rsidRPr="008623B4">
        <w:rPr>
          <w:szCs w:val="24"/>
        </w:rPr>
        <w:t xml:space="preserve"> states that each private contract between a physician or a practitioner and a Medicare beneficiary must meet the specifications of </w:t>
      </w:r>
      <w:r w:rsidRPr="008623B4">
        <w:rPr>
          <w:bCs/>
          <w:szCs w:val="24"/>
        </w:rPr>
        <w:t>§</w:t>
      </w:r>
      <w:r w:rsidRPr="008623B4">
        <w:rPr>
          <w:szCs w:val="24"/>
        </w:rPr>
        <w:t> 405.415.</w:t>
      </w:r>
    </w:p>
    <w:p w:rsidR="005B0656" w:rsidRPr="008623B4" w:rsidRDefault="005B0656" w:rsidP="00D774E2">
      <w:pPr>
        <w:ind w:left="720"/>
        <w:rPr>
          <w:szCs w:val="24"/>
        </w:rPr>
      </w:pPr>
    </w:p>
    <w:p w:rsidR="005B0656" w:rsidRPr="008623B4" w:rsidRDefault="005B0656" w:rsidP="00D774E2">
      <w:pPr>
        <w:ind w:left="720"/>
        <w:rPr>
          <w:szCs w:val="24"/>
        </w:rPr>
      </w:pPr>
      <w:r w:rsidRPr="008623B4">
        <w:rPr>
          <w:szCs w:val="24"/>
        </w:rPr>
        <w:t>The burden associated with these requirements is the time to 1) draft, and 2) read, sign, photocopy and retain the private contract.  It is</w:t>
      </w:r>
      <w:r>
        <w:rPr>
          <w:szCs w:val="24"/>
        </w:rPr>
        <w:t xml:space="preserve"> estimated that it will take 600</w:t>
      </w:r>
      <w:r w:rsidRPr="008623B4">
        <w:rPr>
          <w:szCs w:val="24"/>
        </w:rPr>
        <w:t xml:space="preserve"> physicians/practitioners 2 hours each to cre</w:t>
      </w:r>
      <w:r>
        <w:rPr>
          <w:szCs w:val="24"/>
        </w:rPr>
        <w:t>ate a contract for a total of 12</w:t>
      </w:r>
      <w:r w:rsidRPr="008623B4">
        <w:rPr>
          <w:szCs w:val="24"/>
        </w:rPr>
        <w:t>00 hours.  It is estimated that it will take 10 minutes each to read, sign, photocopy and retain the private contract for 25,000 beneficiaries for a total of 4,167 hours.  T</w:t>
      </w:r>
      <w:r>
        <w:rPr>
          <w:szCs w:val="24"/>
        </w:rPr>
        <w:t>he burden for these ICRs total 5,3</w:t>
      </w:r>
      <w:r w:rsidRPr="008623B4">
        <w:rPr>
          <w:szCs w:val="24"/>
        </w:rPr>
        <w:t>67 hours.</w:t>
      </w:r>
    </w:p>
    <w:p w:rsidR="005B0656" w:rsidRPr="008623B4" w:rsidRDefault="005B0656" w:rsidP="00D774E2">
      <w:pPr>
        <w:ind w:left="720"/>
        <w:rPr>
          <w:szCs w:val="24"/>
          <w:u w:val="single"/>
        </w:rPr>
      </w:pPr>
    </w:p>
    <w:p w:rsidR="005B0656" w:rsidRPr="008623B4" w:rsidRDefault="005B0656" w:rsidP="00D774E2">
      <w:pPr>
        <w:ind w:left="720"/>
        <w:rPr>
          <w:szCs w:val="24"/>
        </w:rPr>
      </w:pPr>
      <w:r w:rsidRPr="00407A2C">
        <w:rPr>
          <w:szCs w:val="24"/>
        </w:rPr>
        <w:t>Section 405.410(b)</w:t>
      </w:r>
      <w:r w:rsidRPr="008623B4">
        <w:rPr>
          <w:szCs w:val="24"/>
        </w:rPr>
        <w:t xml:space="preserve"> states that the physician or practitioner must</w:t>
      </w:r>
      <w:r>
        <w:rPr>
          <w:szCs w:val="24"/>
        </w:rPr>
        <w:t xml:space="preserve"> submit to each Medicare contractor</w:t>
      </w:r>
      <w:r w:rsidRPr="008623B4">
        <w:rPr>
          <w:szCs w:val="24"/>
        </w:rPr>
        <w:t xml:space="preserve"> with which he or she files claims an affidavit that meets the specifications of </w:t>
      </w:r>
      <w:r w:rsidRPr="008623B4">
        <w:rPr>
          <w:bCs/>
          <w:szCs w:val="24"/>
        </w:rPr>
        <w:t>§</w:t>
      </w:r>
      <w:r w:rsidRPr="008623B4">
        <w:rPr>
          <w:szCs w:val="24"/>
        </w:rPr>
        <w:t> 405.420.</w:t>
      </w:r>
    </w:p>
    <w:p w:rsidR="005B0656" w:rsidRPr="008623B4" w:rsidRDefault="005B0656" w:rsidP="00D774E2">
      <w:pPr>
        <w:ind w:left="720"/>
        <w:rPr>
          <w:szCs w:val="24"/>
        </w:rPr>
      </w:pPr>
    </w:p>
    <w:p w:rsidR="005B0656" w:rsidRPr="008623B4" w:rsidRDefault="005B0656" w:rsidP="00D774E2">
      <w:pPr>
        <w:ind w:left="720"/>
        <w:rPr>
          <w:szCs w:val="24"/>
        </w:rPr>
      </w:pPr>
      <w:r w:rsidRPr="008623B4">
        <w:rPr>
          <w:szCs w:val="24"/>
        </w:rPr>
        <w:t>The burden associated with these requirements is the burden to draft, sign and submit the a</w:t>
      </w:r>
      <w:r>
        <w:rPr>
          <w:szCs w:val="24"/>
        </w:rPr>
        <w:t>ffidavit to the Medicare contractor</w:t>
      </w:r>
      <w:r w:rsidRPr="008623B4">
        <w:rPr>
          <w:szCs w:val="24"/>
        </w:rPr>
        <w:t>.  It is</w:t>
      </w:r>
      <w:r>
        <w:rPr>
          <w:szCs w:val="24"/>
        </w:rPr>
        <w:t xml:space="preserve"> estimated that it will take 150</w:t>
      </w:r>
      <w:r w:rsidRPr="008623B4">
        <w:rPr>
          <w:szCs w:val="24"/>
        </w:rPr>
        <w:t xml:space="preserve"> physicians/practitioners approximatel</w:t>
      </w:r>
      <w:r>
        <w:rPr>
          <w:szCs w:val="24"/>
        </w:rPr>
        <w:t>y 2 hours each for a total of 3</w:t>
      </w:r>
      <w:r w:rsidRPr="008623B4">
        <w:rPr>
          <w:szCs w:val="24"/>
        </w:rPr>
        <w:t>00 burden hours.</w:t>
      </w:r>
    </w:p>
    <w:p w:rsidR="005B0656" w:rsidRPr="008623B4" w:rsidRDefault="005B0656" w:rsidP="00D774E2">
      <w:pPr>
        <w:rPr>
          <w:bCs/>
          <w:szCs w:val="24"/>
        </w:rPr>
      </w:pPr>
    </w:p>
    <w:p w:rsidR="005B0656" w:rsidRPr="0095761F" w:rsidRDefault="005B0656" w:rsidP="00D774E2">
      <w:pPr>
        <w:ind w:firstLine="720"/>
        <w:rPr>
          <w:i/>
          <w:szCs w:val="24"/>
          <w:u w:val="single"/>
        </w:rPr>
      </w:pPr>
      <w:r w:rsidRPr="0095761F">
        <w:rPr>
          <w:bCs/>
          <w:i/>
          <w:szCs w:val="24"/>
          <w:u w:val="single"/>
        </w:rPr>
        <w:t>§</w:t>
      </w:r>
      <w:r w:rsidRPr="0095761F">
        <w:rPr>
          <w:i/>
          <w:szCs w:val="24"/>
          <w:u w:val="single"/>
        </w:rPr>
        <w:t xml:space="preserve"> 405.445 Cancellation of opt-out and early termination of opt-out</w:t>
      </w:r>
    </w:p>
    <w:p w:rsidR="005B0656" w:rsidRPr="008623B4" w:rsidRDefault="005B0656" w:rsidP="00D774E2">
      <w:pPr>
        <w:ind w:left="720"/>
        <w:rPr>
          <w:szCs w:val="24"/>
          <w:u w:val="single"/>
        </w:rPr>
      </w:pPr>
    </w:p>
    <w:p w:rsidR="005B0656" w:rsidRDefault="005B0656" w:rsidP="00D774E2">
      <w:pPr>
        <w:ind w:left="720"/>
        <w:rPr>
          <w:rStyle w:val="p1"/>
          <w:szCs w:val="24"/>
        </w:rPr>
      </w:pPr>
      <w:r>
        <w:rPr>
          <w:szCs w:val="24"/>
        </w:rPr>
        <w:t xml:space="preserve">Section 405.445(a) states that a physician or practitioner </w:t>
      </w:r>
      <w:r>
        <w:rPr>
          <w:rFonts w:eastAsia="Calibri"/>
        </w:rPr>
        <w:t xml:space="preserve">may cancel opt-out </w:t>
      </w:r>
      <w:r w:rsidRPr="008E617F">
        <w:rPr>
          <w:rFonts w:eastAsia="Calibri"/>
        </w:rPr>
        <w:t xml:space="preserve">by submitting a written </w:t>
      </w:r>
      <w:r>
        <w:rPr>
          <w:rFonts w:eastAsia="Calibri"/>
        </w:rPr>
        <w:t xml:space="preserve">notice to each contractor to which he or she would file claims absent the opt-out, not later than 30 days before the end of the current 2-year opt-out period, indicating </w:t>
      </w:r>
      <w:r w:rsidRPr="008E617F">
        <w:rPr>
          <w:rStyle w:val="p1"/>
          <w:szCs w:val="24"/>
          <w:specVanish w:val="0"/>
        </w:rPr>
        <w:t xml:space="preserve">that the physician or practitioner does not want to extend the application of </w:t>
      </w:r>
      <w:r>
        <w:rPr>
          <w:rStyle w:val="p1"/>
          <w:szCs w:val="24"/>
          <w:specVanish w:val="0"/>
        </w:rPr>
        <w:t xml:space="preserve">the opt-out </w:t>
      </w:r>
      <w:r w:rsidRPr="008E617F">
        <w:rPr>
          <w:rStyle w:val="p1"/>
          <w:szCs w:val="24"/>
          <w:specVanish w:val="0"/>
        </w:rPr>
        <w:t>affidavit for a subsequent 2-year period</w:t>
      </w:r>
      <w:r>
        <w:rPr>
          <w:rStyle w:val="p1"/>
          <w:szCs w:val="24"/>
          <w:specVanish w:val="0"/>
        </w:rPr>
        <w:t xml:space="preserve">. </w:t>
      </w:r>
      <w:r w:rsidRPr="004D395E">
        <w:rPr>
          <w:rFonts w:eastAsia="Calibri"/>
        </w:rPr>
        <w:t xml:space="preserve"> </w:t>
      </w:r>
    </w:p>
    <w:p w:rsidR="005B0656" w:rsidRDefault="005B0656" w:rsidP="00D774E2">
      <w:pPr>
        <w:ind w:left="720"/>
        <w:rPr>
          <w:rStyle w:val="p1"/>
          <w:szCs w:val="24"/>
        </w:rPr>
      </w:pPr>
    </w:p>
    <w:p w:rsidR="005B0656" w:rsidRPr="00CD13B2" w:rsidRDefault="005B0656" w:rsidP="00D774E2">
      <w:pPr>
        <w:ind w:left="720"/>
        <w:rPr>
          <w:szCs w:val="24"/>
        </w:rPr>
      </w:pPr>
      <w:r w:rsidRPr="00CD13B2">
        <w:rPr>
          <w:szCs w:val="24"/>
        </w:rPr>
        <w:t>The burden associated with this new requirement is the tim</w:t>
      </w:r>
      <w:r>
        <w:rPr>
          <w:szCs w:val="24"/>
        </w:rPr>
        <w:t xml:space="preserve">e to draft, sign and submit the </w:t>
      </w:r>
      <w:r w:rsidRPr="00CD13B2">
        <w:rPr>
          <w:szCs w:val="24"/>
        </w:rPr>
        <w:t xml:space="preserve">writing to the Medicare contractor.  We estimate it will take 60 physicians/practitioners approximately 10 minutes each for a total of 10 burden hours. </w:t>
      </w:r>
    </w:p>
    <w:p w:rsidR="005B0656" w:rsidRDefault="005B0656" w:rsidP="00D774E2">
      <w:pPr>
        <w:rPr>
          <w:szCs w:val="24"/>
        </w:rPr>
      </w:pPr>
    </w:p>
    <w:p w:rsidR="005B0656" w:rsidRPr="008623B4" w:rsidRDefault="005B0656" w:rsidP="00D774E2">
      <w:pPr>
        <w:ind w:left="720"/>
        <w:rPr>
          <w:szCs w:val="24"/>
        </w:rPr>
      </w:pPr>
      <w:r w:rsidRPr="006266F7">
        <w:rPr>
          <w:szCs w:val="24"/>
        </w:rPr>
        <w:t>Section 405.445(b)(2)</w:t>
      </w:r>
      <w:r w:rsidRPr="008623B4">
        <w:rPr>
          <w:szCs w:val="24"/>
        </w:rPr>
        <w:t xml:space="preserve"> states that a physician or practitioner </w:t>
      </w:r>
      <w:r>
        <w:rPr>
          <w:szCs w:val="24"/>
        </w:rPr>
        <w:t>must notify all Medicare contractor</w:t>
      </w:r>
      <w:r w:rsidRPr="008623B4">
        <w:rPr>
          <w:szCs w:val="24"/>
        </w:rPr>
        <w:t>s with which he or she filed an affidavit of the termination of the opt-out no later than 90 days after the effective date of the opt-out period.</w:t>
      </w:r>
    </w:p>
    <w:p w:rsidR="005B0656" w:rsidRPr="008623B4" w:rsidRDefault="005B0656" w:rsidP="00D774E2">
      <w:pPr>
        <w:ind w:left="720"/>
        <w:rPr>
          <w:szCs w:val="24"/>
        </w:rPr>
      </w:pPr>
    </w:p>
    <w:p w:rsidR="005B0656" w:rsidRPr="008623B4" w:rsidRDefault="005B0656" w:rsidP="00D774E2">
      <w:pPr>
        <w:ind w:left="720"/>
        <w:rPr>
          <w:szCs w:val="24"/>
        </w:rPr>
      </w:pPr>
      <w:r w:rsidRPr="008623B4">
        <w:rPr>
          <w:szCs w:val="24"/>
        </w:rPr>
        <w:t>The burden associated with this requirement is the time for the physician/practitione</w:t>
      </w:r>
      <w:r>
        <w:rPr>
          <w:szCs w:val="24"/>
        </w:rPr>
        <w:t>r to notify all Medicare contractor</w:t>
      </w:r>
      <w:r w:rsidRPr="008623B4">
        <w:rPr>
          <w:szCs w:val="24"/>
        </w:rPr>
        <w:t>s of the affidavit.  It is estimated that it will take 60 physicians/practitioners 10 minutes each for a total of 10 hours.</w:t>
      </w:r>
    </w:p>
    <w:p w:rsidR="005B0656" w:rsidRPr="008623B4" w:rsidRDefault="005B0656" w:rsidP="00D774E2">
      <w:pPr>
        <w:ind w:left="720"/>
        <w:rPr>
          <w:szCs w:val="24"/>
          <w:u w:val="single"/>
        </w:rPr>
      </w:pPr>
    </w:p>
    <w:p w:rsidR="005B0656" w:rsidRPr="008623B4" w:rsidRDefault="005B0656" w:rsidP="00D774E2">
      <w:pPr>
        <w:ind w:left="720"/>
        <w:rPr>
          <w:szCs w:val="24"/>
        </w:rPr>
      </w:pPr>
      <w:r w:rsidRPr="006266F7">
        <w:rPr>
          <w:szCs w:val="24"/>
        </w:rPr>
        <w:t>Section 405.445(b)(4)</w:t>
      </w:r>
      <w:r w:rsidRPr="008623B4">
        <w:rPr>
          <w:szCs w:val="24"/>
        </w:rPr>
        <w:t xml:space="preserve"> states that a physician or practitioner must notify all beneficiaries with whom the physician or practitioner entered into private contracts of the physician’s decision to terminate opt-out and of the beneficiaries’ right to have claims filed on their behalf with Medicare for the services furnished during the period between the effective date of the opt-out and the effective date of the termination of the opt-out period.</w:t>
      </w:r>
    </w:p>
    <w:p w:rsidR="005B0656" w:rsidRPr="008623B4" w:rsidRDefault="005B0656" w:rsidP="00D774E2">
      <w:pPr>
        <w:ind w:left="720"/>
        <w:rPr>
          <w:szCs w:val="24"/>
        </w:rPr>
      </w:pPr>
    </w:p>
    <w:p w:rsidR="005B0656" w:rsidRPr="008623B4" w:rsidRDefault="005B0656" w:rsidP="00D774E2">
      <w:pPr>
        <w:ind w:left="720"/>
        <w:rPr>
          <w:szCs w:val="24"/>
        </w:rPr>
      </w:pPr>
      <w:r w:rsidRPr="008623B4">
        <w:rPr>
          <w:szCs w:val="24"/>
        </w:rPr>
        <w:t>The burden associated with this requirement is the time for the physician/practitioner to notify all beneficiaries of his or her decision to terminate opt-out and of the beneficiaries’ right to have claims filed on their behalf with Medicare. It is estimated that it will take 60 physicians/practitioners each 2 hours to notify their beneficiaries via bulk mailings for a total of 120 hours.</w:t>
      </w:r>
    </w:p>
    <w:p w:rsidR="005B0656" w:rsidRPr="008623B4" w:rsidRDefault="005B0656" w:rsidP="00D774E2">
      <w:pPr>
        <w:rPr>
          <w:bCs/>
          <w:szCs w:val="24"/>
        </w:rPr>
      </w:pPr>
    </w:p>
    <w:p w:rsidR="005B0656" w:rsidRPr="0095761F" w:rsidRDefault="005B0656" w:rsidP="00D774E2">
      <w:pPr>
        <w:ind w:firstLine="720"/>
        <w:rPr>
          <w:i/>
          <w:szCs w:val="24"/>
          <w:u w:val="single"/>
        </w:rPr>
      </w:pPr>
      <w:r w:rsidRPr="0095761F">
        <w:rPr>
          <w:bCs/>
          <w:i/>
          <w:szCs w:val="24"/>
          <w:u w:val="single"/>
        </w:rPr>
        <w:t>§</w:t>
      </w:r>
      <w:r w:rsidRPr="0095761F">
        <w:rPr>
          <w:i/>
          <w:szCs w:val="24"/>
          <w:u w:val="single"/>
        </w:rPr>
        <w:t xml:space="preserve"> 405.455 Application to Medicare+Choice contracts</w:t>
      </w:r>
    </w:p>
    <w:p w:rsidR="005B0656" w:rsidRPr="008623B4" w:rsidRDefault="005B0656" w:rsidP="00D774E2">
      <w:pPr>
        <w:ind w:left="720"/>
        <w:rPr>
          <w:szCs w:val="24"/>
          <w:u w:val="single"/>
        </w:rPr>
      </w:pPr>
    </w:p>
    <w:p w:rsidR="005B0656" w:rsidRPr="008623B4" w:rsidRDefault="005B0656" w:rsidP="00D774E2">
      <w:pPr>
        <w:ind w:left="720"/>
        <w:rPr>
          <w:szCs w:val="24"/>
        </w:rPr>
      </w:pPr>
      <w:r w:rsidRPr="006266F7">
        <w:rPr>
          <w:szCs w:val="24"/>
        </w:rPr>
        <w:t>Section 405.455(a)</w:t>
      </w:r>
      <w:r w:rsidRPr="008623B4">
        <w:rPr>
          <w:szCs w:val="24"/>
        </w:rPr>
        <w:t xml:space="preserve"> states that an organization that has a contract with CMS to provide one or more Medicare+Choice (M+C) plans to beneficiaries must acquire and maintain i</w:t>
      </w:r>
      <w:r>
        <w:rPr>
          <w:szCs w:val="24"/>
        </w:rPr>
        <w:t>nformation from Medicare contractor</w:t>
      </w:r>
      <w:r w:rsidRPr="008623B4">
        <w:rPr>
          <w:szCs w:val="24"/>
        </w:rPr>
        <w:t xml:space="preserve">s on physicians and practitioners who have opted-out of Medicare. </w:t>
      </w:r>
    </w:p>
    <w:p w:rsidR="005B0656" w:rsidRPr="008623B4" w:rsidRDefault="005B0656" w:rsidP="00D774E2">
      <w:pPr>
        <w:ind w:left="720"/>
        <w:rPr>
          <w:szCs w:val="24"/>
        </w:rPr>
      </w:pPr>
    </w:p>
    <w:p w:rsidR="005B0656" w:rsidRPr="008623B4" w:rsidRDefault="005B0656" w:rsidP="00D774E2">
      <w:pPr>
        <w:ind w:left="720"/>
        <w:rPr>
          <w:szCs w:val="24"/>
        </w:rPr>
      </w:pPr>
      <w:r w:rsidRPr="008623B4">
        <w:rPr>
          <w:szCs w:val="24"/>
        </w:rPr>
        <w:t>The burden associated with these requirements is the time associated with acquiring and maintaining informat</w:t>
      </w:r>
      <w:r>
        <w:rPr>
          <w:szCs w:val="24"/>
        </w:rPr>
        <w:t>ion provided by Medicare contractor</w:t>
      </w:r>
      <w:r w:rsidRPr="008623B4">
        <w:rPr>
          <w:szCs w:val="24"/>
        </w:rPr>
        <w:t>s on physicians and practitioners who have opted out of Medicare.  It is estimated that 500 organizations will spend 1 hour annually to acquire and maintain this information for a total of 500 hours.  The organizations will make this information available to beneficiaries via telephone inquiries.  The total burden for these ICRs is 500 hours.</w:t>
      </w:r>
    </w:p>
    <w:p w:rsidR="005B0656" w:rsidRPr="008623B4" w:rsidRDefault="005B0656" w:rsidP="00D774E2">
      <w:pPr>
        <w:tabs>
          <w:tab w:val="left" w:pos="-1440"/>
        </w:tabs>
        <w:ind w:left="1440" w:hanging="720"/>
        <w:rPr>
          <w:szCs w:val="24"/>
        </w:rPr>
      </w:pPr>
    </w:p>
    <w:p w:rsidR="005B0656" w:rsidRPr="0095761F" w:rsidRDefault="005B0656" w:rsidP="00D774E2">
      <w:pPr>
        <w:tabs>
          <w:tab w:val="left" w:pos="-1440"/>
        </w:tabs>
        <w:ind w:left="1440" w:hanging="720"/>
        <w:rPr>
          <w:szCs w:val="24"/>
          <w:u w:val="single"/>
        </w:rPr>
      </w:pPr>
      <w:r w:rsidRPr="0095761F">
        <w:rPr>
          <w:szCs w:val="24"/>
          <w:u w:val="single"/>
        </w:rPr>
        <w:t>ICRs without burden:</w:t>
      </w:r>
    </w:p>
    <w:p w:rsidR="005B0656" w:rsidRPr="008623B4" w:rsidRDefault="005B0656" w:rsidP="00D774E2">
      <w:pPr>
        <w:ind w:left="720"/>
        <w:rPr>
          <w:szCs w:val="24"/>
        </w:rPr>
      </w:pPr>
    </w:p>
    <w:p w:rsidR="005B0656" w:rsidRPr="008623B4" w:rsidRDefault="005B0656" w:rsidP="00D774E2">
      <w:pPr>
        <w:ind w:left="720"/>
        <w:rPr>
          <w:szCs w:val="24"/>
        </w:rPr>
      </w:pPr>
      <w:r w:rsidRPr="008623B4">
        <w:rPr>
          <w:szCs w:val="24"/>
        </w:rPr>
        <w:t>The ICR below is subject to the Act.  However, we believe the burden associated with this ICR is exempt since the burden is imposed by 405.410 and meets the specifications in 405.420.</w:t>
      </w:r>
    </w:p>
    <w:p w:rsidR="005B0656" w:rsidRPr="008623B4" w:rsidRDefault="005B0656" w:rsidP="00D774E2">
      <w:pPr>
        <w:tabs>
          <w:tab w:val="left" w:pos="-1440"/>
        </w:tabs>
        <w:rPr>
          <w:szCs w:val="24"/>
        </w:rPr>
      </w:pPr>
    </w:p>
    <w:p w:rsidR="005B0656" w:rsidRPr="0095761F" w:rsidRDefault="005B0656" w:rsidP="00D774E2">
      <w:pPr>
        <w:tabs>
          <w:tab w:val="left" w:pos="-1440"/>
        </w:tabs>
        <w:rPr>
          <w:szCs w:val="24"/>
          <w:u w:val="single"/>
        </w:rPr>
      </w:pPr>
      <w:r w:rsidRPr="0095761F">
        <w:rPr>
          <w:szCs w:val="24"/>
        </w:rPr>
        <w:tab/>
      </w:r>
      <w:r w:rsidRPr="0095761F">
        <w:rPr>
          <w:szCs w:val="24"/>
          <w:u w:val="single"/>
        </w:rPr>
        <w:t>Currently approved ICRs:</w:t>
      </w:r>
    </w:p>
    <w:p w:rsidR="005B0656" w:rsidRPr="008623B4" w:rsidRDefault="005B0656" w:rsidP="00D774E2">
      <w:pPr>
        <w:ind w:left="720"/>
        <w:rPr>
          <w:szCs w:val="24"/>
        </w:rPr>
      </w:pPr>
    </w:p>
    <w:p w:rsidR="005B0656" w:rsidRPr="008623B4" w:rsidRDefault="005B0656" w:rsidP="00D774E2">
      <w:pPr>
        <w:ind w:left="720"/>
        <w:rPr>
          <w:szCs w:val="24"/>
        </w:rPr>
      </w:pPr>
      <w:r w:rsidRPr="008623B4">
        <w:rPr>
          <w:szCs w:val="24"/>
        </w:rPr>
        <w:t xml:space="preserve">While the ICRs below are subject to the Act; the burden associated with this requirement is captured in the CMS-1500, Health Insurance Claim </w:t>
      </w:r>
      <w:r>
        <w:rPr>
          <w:szCs w:val="24"/>
        </w:rPr>
        <w:t>Form</w:t>
      </w:r>
      <w:r w:rsidR="00ED2E9B">
        <w:rPr>
          <w:szCs w:val="24"/>
        </w:rPr>
        <w:t xml:space="preserve"> (</w:t>
      </w:r>
      <w:r w:rsidR="00ED2E9B" w:rsidRPr="008623B4">
        <w:rPr>
          <w:szCs w:val="24"/>
        </w:rPr>
        <w:t xml:space="preserve">OMB </w:t>
      </w:r>
      <w:r w:rsidR="00ED2E9B">
        <w:rPr>
          <w:szCs w:val="24"/>
        </w:rPr>
        <w:t xml:space="preserve">Control </w:t>
      </w:r>
      <w:r w:rsidR="00ED2E9B" w:rsidRPr="008623B4">
        <w:rPr>
          <w:szCs w:val="24"/>
        </w:rPr>
        <w:t>Number 0938-0999</w:t>
      </w:r>
      <w:r w:rsidR="00ED2E9B">
        <w:rPr>
          <w:szCs w:val="24"/>
        </w:rPr>
        <w:t>)</w:t>
      </w:r>
      <w:r>
        <w:rPr>
          <w:szCs w:val="24"/>
        </w:rPr>
        <w:t>.</w:t>
      </w:r>
    </w:p>
    <w:p w:rsidR="005B0656" w:rsidRPr="008623B4" w:rsidRDefault="005B0656" w:rsidP="00D774E2">
      <w:pPr>
        <w:rPr>
          <w:bCs/>
          <w:szCs w:val="24"/>
        </w:rPr>
      </w:pPr>
    </w:p>
    <w:p w:rsidR="005B0656" w:rsidRPr="0095761F" w:rsidRDefault="005B0656" w:rsidP="00D774E2">
      <w:pPr>
        <w:ind w:firstLine="720"/>
        <w:rPr>
          <w:i/>
          <w:szCs w:val="24"/>
          <w:u w:val="single"/>
        </w:rPr>
      </w:pPr>
      <w:r w:rsidRPr="0095761F">
        <w:rPr>
          <w:bCs/>
          <w:i/>
          <w:szCs w:val="24"/>
          <w:u w:val="single"/>
        </w:rPr>
        <w:t>§</w:t>
      </w:r>
      <w:r w:rsidRPr="0095761F">
        <w:rPr>
          <w:i/>
          <w:szCs w:val="24"/>
          <w:u w:val="single"/>
        </w:rPr>
        <w:t xml:space="preserve"> 405.430 Failure to properly opt-out</w:t>
      </w:r>
    </w:p>
    <w:p w:rsidR="005B0656" w:rsidRPr="008623B4" w:rsidRDefault="005B0656" w:rsidP="00D774E2">
      <w:pPr>
        <w:ind w:left="720"/>
        <w:rPr>
          <w:szCs w:val="24"/>
          <w:u w:val="single"/>
        </w:rPr>
      </w:pPr>
    </w:p>
    <w:p w:rsidR="005B0656" w:rsidRPr="008623B4" w:rsidRDefault="005B0656" w:rsidP="00D774E2">
      <w:pPr>
        <w:ind w:left="720"/>
        <w:rPr>
          <w:szCs w:val="24"/>
        </w:rPr>
      </w:pPr>
      <w:r w:rsidRPr="006266F7">
        <w:rPr>
          <w:szCs w:val="24"/>
        </w:rPr>
        <w:t>Section 405.430(b)(2)</w:t>
      </w:r>
      <w:r w:rsidRPr="008623B4">
        <w:rPr>
          <w:szCs w:val="24"/>
        </w:rPr>
        <w:t xml:space="preserve"> states that the physician or practitioner must submit claims to Medicare for all Medicare-covered items and services furnished to Medicare beneficiaries.</w:t>
      </w:r>
    </w:p>
    <w:p w:rsidR="005B0656" w:rsidRPr="008623B4" w:rsidRDefault="005B0656" w:rsidP="00D774E2">
      <w:pPr>
        <w:rPr>
          <w:bCs/>
          <w:szCs w:val="24"/>
        </w:rPr>
      </w:pPr>
    </w:p>
    <w:p w:rsidR="005B0656" w:rsidRPr="006266F7" w:rsidRDefault="005B0656" w:rsidP="00D774E2">
      <w:pPr>
        <w:ind w:firstLine="720"/>
        <w:rPr>
          <w:szCs w:val="24"/>
        </w:rPr>
      </w:pPr>
      <w:r w:rsidRPr="006266F7">
        <w:rPr>
          <w:bCs/>
          <w:szCs w:val="24"/>
        </w:rPr>
        <w:t>§</w:t>
      </w:r>
      <w:r w:rsidRPr="006266F7">
        <w:rPr>
          <w:szCs w:val="24"/>
        </w:rPr>
        <w:t xml:space="preserve"> 405.435 Failure to maintain opt-out</w:t>
      </w:r>
    </w:p>
    <w:p w:rsidR="005B0656" w:rsidRPr="008623B4" w:rsidRDefault="005B0656" w:rsidP="00D774E2">
      <w:pPr>
        <w:ind w:left="720"/>
        <w:rPr>
          <w:szCs w:val="24"/>
          <w:u w:val="single"/>
        </w:rPr>
      </w:pPr>
    </w:p>
    <w:p w:rsidR="005B0656" w:rsidRPr="008623B4" w:rsidRDefault="005B0656" w:rsidP="00D774E2">
      <w:pPr>
        <w:ind w:left="720"/>
        <w:rPr>
          <w:szCs w:val="24"/>
        </w:rPr>
      </w:pPr>
      <w:r w:rsidRPr="006266F7">
        <w:rPr>
          <w:szCs w:val="24"/>
        </w:rPr>
        <w:t>Section 405.435(b)(3)</w:t>
      </w:r>
      <w:r w:rsidRPr="008623B4">
        <w:rPr>
          <w:szCs w:val="24"/>
        </w:rPr>
        <w:t xml:space="preserve"> states that the physician or practitioner must submit claims to Medicare for all Medicare-covered items and services furnished to Medicare beneficiaries.</w:t>
      </w:r>
    </w:p>
    <w:p w:rsidR="005B0656" w:rsidRPr="008623B4" w:rsidRDefault="005B0656" w:rsidP="00D774E2">
      <w:pPr>
        <w:rPr>
          <w:bCs/>
          <w:szCs w:val="24"/>
        </w:rPr>
      </w:pPr>
    </w:p>
    <w:p w:rsidR="005B0656" w:rsidRPr="0095761F" w:rsidRDefault="005B0656" w:rsidP="00D774E2">
      <w:pPr>
        <w:ind w:firstLine="720"/>
        <w:rPr>
          <w:i/>
          <w:szCs w:val="24"/>
          <w:u w:val="single"/>
        </w:rPr>
      </w:pPr>
      <w:r w:rsidRPr="0095761F">
        <w:rPr>
          <w:bCs/>
          <w:i/>
          <w:szCs w:val="24"/>
          <w:u w:val="single"/>
        </w:rPr>
        <w:t>§</w:t>
      </w:r>
      <w:r w:rsidRPr="0095761F">
        <w:rPr>
          <w:i/>
          <w:szCs w:val="24"/>
          <w:u w:val="single"/>
        </w:rPr>
        <w:t xml:space="preserve"> 405.440 Emergency and urgent care services</w:t>
      </w:r>
    </w:p>
    <w:p w:rsidR="005B0656" w:rsidRPr="008623B4" w:rsidRDefault="005B0656" w:rsidP="00D774E2">
      <w:pPr>
        <w:ind w:left="720"/>
        <w:rPr>
          <w:szCs w:val="24"/>
          <w:u w:val="single"/>
        </w:rPr>
      </w:pPr>
    </w:p>
    <w:p w:rsidR="005B0656" w:rsidRPr="008623B4" w:rsidRDefault="005B0656" w:rsidP="00D774E2">
      <w:pPr>
        <w:ind w:left="720"/>
        <w:rPr>
          <w:szCs w:val="24"/>
        </w:rPr>
      </w:pPr>
      <w:r w:rsidRPr="006266F7">
        <w:rPr>
          <w:szCs w:val="24"/>
        </w:rPr>
        <w:t>Section 405.440(b)(1)</w:t>
      </w:r>
      <w:r w:rsidRPr="008623B4">
        <w:rPr>
          <w:szCs w:val="24"/>
        </w:rPr>
        <w:t xml:space="preserve"> states that when a physician or practitioner furnishes emergency or urgent care services to a Medicare beneficiary with whom the physician or practitioner has not previously entered into a private contract, the physician or practitioner must submit a claim to Medicare in accordance with both 42 CFR Part 424 and Medicare instruction (including but not limited to complying with proper coding of emergency or urgent care services furnished by physicians and practitioners who have opted-out of Medicare).</w:t>
      </w:r>
    </w:p>
    <w:p w:rsidR="005B0656" w:rsidRDefault="005B0656" w:rsidP="00D774E2">
      <w:pPr>
        <w:ind w:left="720"/>
        <w:rPr>
          <w:szCs w:val="24"/>
        </w:rPr>
      </w:pPr>
    </w:p>
    <w:p w:rsidR="005B0656" w:rsidRPr="005B0656" w:rsidRDefault="005B0656" w:rsidP="00D774E2">
      <w:pPr>
        <w:ind w:left="720"/>
        <w:rPr>
          <w:i/>
          <w:szCs w:val="24"/>
        </w:rPr>
      </w:pPr>
      <w:r w:rsidRPr="005B0656">
        <w:rPr>
          <w:i/>
          <w:szCs w:val="24"/>
        </w:rPr>
        <w:t>Summary</w:t>
      </w:r>
    </w:p>
    <w:p w:rsidR="005B0656" w:rsidRDefault="005B0656" w:rsidP="00D774E2">
      <w:pPr>
        <w:ind w:left="720"/>
        <w:rPr>
          <w:szCs w:val="24"/>
        </w:rPr>
      </w:pPr>
    </w:p>
    <w:p w:rsidR="00393751" w:rsidRPr="008623B4" w:rsidRDefault="00393751" w:rsidP="00D774E2">
      <w:pPr>
        <w:ind w:left="720"/>
        <w:rPr>
          <w:szCs w:val="24"/>
        </w:rPr>
      </w:pPr>
      <w:r w:rsidRPr="008623B4">
        <w:rPr>
          <w:szCs w:val="24"/>
        </w:rPr>
        <w:t>The following chart summarizes the burden associated with the information collectio</w:t>
      </w:r>
      <w:r w:rsidR="00801CEA">
        <w:rPr>
          <w:szCs w:val="24"/>
        </w:rPr>
        <w:t xml:space="preserve">n requirements detailed in the </w:t>
      </w:r>
      <w:r w:rsidRPr="008623B4">
        <w:rPr>
          <w:szCs w:val="24"/>
        </w:rPr>
        <w:t>need and legal basis section of this document.</w:t>
      </w:r>
    </w:p>
    <w:p w:rsidR="001A71BA" w:rsidRPr="008623B4" w:rsidRDefault="001A71BA" w:rsidP="00D774E2">
      <w:pPr>
        <w:rPr>
          <w:szCs w:val="24"/>
        </w:rPr>
      </w:pPr>
    </w:p>
    <w:p w:rsidR="00393751" w:rsidRPr="007B7315" w:rsidRDefault="00393751" w:rsidP="00D774E2">
      <w:pPr>
        <w:pStyle w:val="Title"/>
        <w:spacing w:before="0" w:after="0"/>
        <w:rPr>
          <w:sz w:val="24"/>
          <w:szCs w:val="24"/>
        </w:rPr>
      </w:pPr>
      <w:r w:rsidRPr="007B7315">
        <w:rPr>
          <w:sz w:val="24"/>
          <w:szCs w:val="24"/>
        </w:rPr>
        <w:t>Estimated Annual Burden</w:t>
      </w:r>
    </w:p>
    <w:tbl>
      <w:tblPr>
        <w:tblW w:w="0" w:type="auto"/>
        <w:tblInd w:w="120" w:type="dxa"/>
        <w:tblLayout w:type="fixed"/>
        <w:tblCellMar>
          <w:left w:w="120" w:type="dxa"/>
          <w:right w:w="120" w:type="dxa"/>
        </w:tblCellMar>
        <w:tblLook w:val="0000" w:firstRow="0" w:lastRow="0" w:firstColumn="0" w:lastColumn="0" w:noHBand="0" w:noVBand="0"/>
      </w:tblPr>
      <w:tblGrid>
        <w:gridCol w:w="3060"/>
        <w:gridCol w:w="1620"/>
        <w:gridCol w:w="2340"/>
        <w:gridCol w:w="2340"/>
      </w:tblGrid>
      <w:tr w:rsidR="00393751" w:rsidRPr="008623B4" w:rsidTr="00407A2C">
        <w:trPr>
          <w:cantSplit/>
          <w:tblHeader/>
        </w:trPr>
        <w:tc>
          <w:tcPr>
            <w:tcW w:w="3060" w:type="dxa"/>
            <w:tcBorders>
              <w:top w:val="single" w:sz="7" w:space="0" w:color="000000"/>
              <w:left w:val="single" w:sz="7" w:space="0" w:color="000000"/>
              <w:bottom w:val="single" w:sz="7" w:space="0" w:color="000000"/>
              <w:right w:val="single" w:sz="7" w:space="0" w:color="000000"/>
            </w:tcBorders>
          </w:tcPr>
          <w:p w:rsidR="00393751" w:rsidRPr="008623B4" w:rsidRDefault="00393751" w:rsidP="00D774E2">
            <w:pPr>
              <w:spacing w:line="120" w:lineRule="exact"/>
              <w:rPr>
                <w:szCs w:val="24"/>
              </w:rPr>
            </w:pPr>
          </w:p>
          <w:p w:rsidR="00393751" w:rsidRPr="008623B4" w:rsidRDefault="00393751" w:rsidP="00D774E2">
            <w:pPr>
              <w:keepNext/>
              <w:keepLines/>
              <w:rPr>
                <w:szCs w:val="24"/>
              </w:rPr>
            </w:pPr>
            <w:r w:rsidRPr="008623B4">
              <w:rPr>
                <w:szCs w:val="24"/>
              </w:rPr>
              <w:t>CFR Section</w:t>
            </w:r>
          </w:p>
        </w:tc>
        <w:tc>
          <w:tcPr>
            <w:tcW w:w="1620" w:type="dxa"/>
            <w:tcBorders>
              <w:top w:val="single" w:sz="7" w:space="0" w:color="000000"/>
              <w:left w:val="single" w:sz="7" w:space="0" w:color="000000"/>
              <w:bottom w:val="single" w:sz="7" w:space="0" w:color="000000"/>
              <w:right w:val="single" w:sz="7" w:space="0" w:color="000000"/>
            </w:tcBorders>
          </w:tcPr>
          <w:p w:rsidR="00393751" w:rsidRPr="008623B4" w:rsidRDefault="00393751" w:rsidP="00D774E2">
            <w:pPr>
              <w:spacing w:line="120" w:lineRule="exact"/>
              <w:rPr>
                <w:szCs w:val="24"/>
              </w:rPr>
            </w:pPr>
          </w:p>
          <w:p w:rsidR="00393751" w:rsidRPr="008623B4" w:rsidRDefault="00393751" w:rsidP="00D774E2">
            <w:pPr>
              <w:keepNext/>
              <w:keepLines/>
              <w:rPr>
                <w:szCs w:val="24"/>
              </w:rPr>
            </w:pPr>
            <w:r w:rsidRPr="008623B4">
              <w:rPr>
                <w:szCs w:val="24"/>
              </w:rPr>
              <w:t>Responses</w:t>
            </w:r>
          </w:p>
        </w:tc>
        <w:tc>
          <w:tcPr>
            <w:tcW w:w="2340" w:type="dxa"/>
            <w:tcBorders>
              <w:top w:val="single" w:sz="7" w:space="0" w:color="000000"/>
              <w:left w:val="single" w:sz="7" w:space="0" w:color="000000"/>
              <w:bottom w:val="single" w:sz="7" w:space="0" w:color="000000"/>
              <w:right w:val="single" w:sz="7" w:space="0" w:color="000000"/>
            </w:tcBorders>
          </w:tcPr>
          <w:p w:rsidR="00393751" w:rsidRPr="008623B4" w:rsidRDefault="00393751" w:rsidP="00D774E2">
            <w:pPr>
              <w:spacing w:line="120" w:lineRule="exact"/>
              <w:rPr>
                <w:szCs w:val="24"/>
              </w:rPr>
            </w:pPr>
          </w:p>
          <w:p w:rsidR="00393751" w:rsidRPr="008623B4" w:rsidRDefault="00393751" w:rsidP="00D774E2">
            <w:pPr>
              <w:keepNext/>
              <w:keepLines/>
              <w:rPr>
                <w:szCs w:val="24"/>
              </w:rPr>
            </w:pPr>
            <w:r w:rsidRPr="008623B4">
              <w:rPr>
                <w:szCs w:val="24"/>
              </w:rPr>
              <w:t>Average Burden per response</w:t>
            </w:r>
          </w:p>
        </w:tc>
        <w:tc>
          <w:tcPr>
            <w:tcW w:w="2340" w:type="dxa"/>
            <w:tcBorders>
              <w:top w:val="single" w:sz="7" w:space="0" w:color="000000"/>
              <w:left w:val="single" w:sz="7" w:space="0" w:color="000000"/>
              <w:bottom w:val="single" w:sz="7" w:space="0" w:color="000000"/>
              <w:right w:val="single" w:sz="7" w:space="0" w:color="000000"/>
            </w:tcBorders>
          </w:tcPr>
          <w:p w:rsidR="00393751" w:rsidRPr="008623B4" w:rsidRDefault="00393751" w:rsidP="00D774E2">
            <w:pPr>
              <w:spacing w:line="120" w:lineRule="exact"/>
              <w:rPr>
                <w:szCs w:val="24"/>
              </w:rPr>
            </w:pPr>
          </w:p>
          <w:p w:rsidR="00393751" w:rsidRPr="008623B4" w:rsidRDefault="00393751" w:rsidP="00D774E2">
            <w:pPr>
              <w:keepNext/>
              <w:keepLines/>
              <w:rPr>
                <w:szCs w:val="24"/>
              </w:rPr>
            </w:pPr>
            <w:r w:rsidRPr="008623B4">
              <w:rPr>
                <w:szCs w:val="24"/>
              </w:rPr>
              <w:t>Annual Burden Hours</w:t>
            </w:r>
          </w:p>
        </w:tc>
      </w:tr>
      <w:tr w:rsidR="00393751" w:rsidRPr="008623B4">
        <w:tc>
          <w:tcPr>
            <w:tcW w:w="3060" w:type="dxa"/>
            <w:tcBorders>
              <w:top w:val="single" w:sz="7" w:space="0" w:color="000000"/>
              <w:left w:val="single" w:sz="7" w:space="0" w:color="000000"/>
              <w:bottom w:val="single" w:sz="7" w:space="0" w:color="000000"/>
              <w:right w:val="single" w:sz="7" w:space="0" w:color="000000"/>
            </w:tcBorders>
          </w:tcPr>
          <w:p w:rsidR="00393751" w:rsidRPr="008623B4" w:rsidRDefault="00393751" w:rsidP="00D774E2">
            <w:pPr>
              <w:spacing w:line="120" w:lineRule="exact"/>
              <w:rPr>
                <w:szCs w:val="24"/>
              </w:rPr>
            </w:pPr>
          </w:p>
          <w:p w:rsidR="00393751" w:rsidRPr="008623B4" w:rsidRDefault="00393751" w:rsidP="00D774E2">
            <w:pPr>
              <w:keepNext/>
              <w:keepLines/>
              <w:rPr>
                <w:szCs w:val="24"/>
              </w:rPr>
            </w:pPr>
          </w:p>
          <w:p w:rsidR="00393751" w:rsidRPr="008623B4" w:rsidRDefault="00393751" w:rsidP="00D774E2">
            <w:pPr>
              <w:keepNext/>
              <w:keepLines/>
              <w:rPr>
                <w:szCs w:val="24"/>
              </w:rPr>
            </w:pPr>
            <w:r w:rsidRPr="008623B4">
              <w:rPr>
                <w:szCs w:val="24"/>
              </w:rPr>
              <w:t>405.410(a)</w:t>
            </w:r>
          </w:p>
          <w:p w:rsidR="00393751" w:rsidRPr="008623B4" w:rsidRDefault="00393751" w:rsidP="00D774E2">
            <w:pPr>
              <w:keepNext/>
              <w:keepLines/>
              <w:rPr>
                <w:szCs w:val="24"/>
              </w:rPr>
            </w:pPr>
            <w:r w:rsidRPr="008623B4">
              <w:rPr>
                <w:szCs w:val="24"/>
              </w:rPr>
              <w:t>- draft document</w:t>
            </w:r>
          </w:p>
          <w:p w:rsidR="00393751" w:rsidRPr="008623B4" w:rsidRDefault="00393751" w:rsidP="00D774E2">
            <w:pPr>
              <w:keepNext/>
              <w:keepLines/>
              <w:rPr>
                <w:szCs w:val="24"/>
              </w:rPr>
            </w:pPr>
            <w:r w:rsidRPr="008623B4">
              <w:rPr>
                <w:szCs w:val="24"/>
              </w:rPr>
              <w:t>- read, sign, photocopy,        retain document</w:t>
            </w:r>
          </w:p>
          <w:p w:rsidR="00393751" w:rsidRPr="00843F34" w:rsidRDefault="00393751" w:rsidP="00D774E2">
            <w:pPr>
              <w:keepNext/>
              <w:keepLines/>
              <w:rPr>
                <w:b/>
                <w:i/>
                <w:szCs w:val="24"/>
              </w:rPr>
            </w:pPr>
            <w:r w:rsidRPr="00843F34">
              <w:rPr>
                <w:b/>
                <w:i/>
                <w:szCs w:val="24"/>
              </w:rPr>
              <w:t>Sub-total</w:t>
            </w:r>
          </w:p>
          <w:p w:rsidR="00393751" w:rsidRDefault="003E1ADB" w:rsidP="00D774E2">
            <w:pPr>
              <w:keepNext/>
              <w:keepLines/>
              <w:rPr>
                <w:szCs w:val="24"/>
              </w:rPr>
            </w:pPr>
            <w:r>
              <w:rPr>
                <w:szCs w:val="24"/>
              </w:rPr>
              <w:t>Part 405, subpart D</w:t>
            </w:r>
          </w:p>
          <w:p w:rsidR="00B074C3" w:rsidRPr="008623B4" w:rsidRDefault="00B074C3" w:rsidP="00D774E2">
            <w:pPr>
              <w:keepNext/>
              <w:keepLines/>
              <w:rPr>
                <w:szCs w:val="24"/>
              </w:rPr>
            </w:pPr>
            <w:r>
              <w:rPr>
                <w:szCs w:val="24"/>
              </w:rPr>
              <w:t>405.445(a)</w:t>
            </w:r>
          </w:p>
          <w:p w:rsidR="00393751" w:rsidRPr="008623B4" w:rsidRDefault="00393751" w:rsidP="00D774E2">
            <w:pPr>
              <w:keepNext/>
              <w:keepLines/>
              <w:rPr>
                <w:szCs w:val="24"/>
              </w:rPr>
            </w:pPr>
            <w:r w:rsidRPr="008623B4">
              <w:rPr>
                <w:szCs w:val="24"/>
              </w:rPr>
              <w:t>405.445(b)(2)</w:t>
            </w:r>
          </w:p>
          <w:p w:rsidR="00393751" w:rsidRPr="008623B4" w:rsidRDefault="00393751" w:rsidP="00D774E2">
            <w:pPr>
              <w:keepNext/>
              <w:keepLines/>
              <w:rPr>
                <w:szCs w:val="24"/>
              </w:rPr>
            </w:pPr>
            <w:r w:rsidRPr="008623B4">
              <w:rPr>
                <w:szCs w:val="24"/>
              </w:rPr>
              <w:t>405.445(b)(4)</w:t>
            </w:r>
          </w:p>
          <w:p w:rsidR="00393751" w:rsidRPr="008623B4" w:rsidRDefault="00393751" w:rsidP="00D774E2">
            <w:pPr>
              <w:keepNext/>
              <w:keepLines/>
              <w:rPr>
                <w:szCs w:val="24"/>
              </w:rPr>
            </w:pPr>
            <w:r w:rsidRPr="008623B4">
              <w:rPr>
                <w:szCs w:val="24"/>
              </w:rPr>
              <w:t>405.455(a)</w:t>
            </w:r>
          </w:p>
          <w:p w:rsidR="00393751" w:rsidRPr="00937C9E" w:rsidRDefault="00393751" w:rsidP="00D774E2">
            <w:pPr>
              <w:keepNext/>
              <w:keepLines/>
              <w:rPr>
                <w:b/>
                <w:szCs w:val="24"/>
              </w:rPr>
            </w:pPr>
            <w:r w:rsidRPr="00937C9E">
              <w:rPr>
                <w:b/>
                <w:szCs w:val="24"/>
              </w:rPr>
              <w:t>Total</w:t>
            </w:r>
          </w:p>
        </w:tc>
        <w:tc>
          <w:tcPr>
            <w:tcW w:w="1620" w:type="dxa"/>
            <w:tcBorders>
              <w:top w:val="single" w:sz="7" w:space="0" w:color="000000"/>
              <w:left w:val="single" w:sz="7" w:space="0" w:color="000000"/>
              <w:bottom w:val="single" w:sz="7" w:space="0" w:color="000000"/>
              <w:right w:val="single" w:sz="7" w:space="0" w:color="000000"/>
            </w:tcBorders>
          </w:tcPr>
          <w:p w:rsidR="00393751" w:rsidRPr="008623B4" w:rsidRDefault="00393751" w:rsidP="00D774E2">
            <w:pPr>
              <w:spacing w:line="120" w:lineRule="exact"/>
              <w:rPr>
                <w:szCs w:val="24"/>
              </w:rPr>
            </w:pPr>
          </w:p>
          <w:p w:rsidR="00393751" w:rsidRPr="008623B4" w:rsidRDefault="00393751" w:rsidP="00D774E2">
            <w:pPr>
              <w:keepNext/>
              <w:keepLines/>
              <w:rPr>
                <w:szCs w:val="24"/>
              </w:rPr>
            </w:pPr>
          </w:p>
          <w:p w:rsidR="00393751" w:rsidRPr="008623B4" w:rsidRDefault="00393751" w:rsidP="00D774E2">
            <w:pPr>
              <w:keepNext/>
              <w:keepLines/>
              <w:rPr>
                <w:szCs w:val="24"/>
              </w:rPr>
            </w:pPr>
          </w:p>
          <w:p w:rsidR="00393751" w:rsidRPr="008623B4" w:rsidRDefault="00393751" w:rsidP="00D774E2">
            <w:pPr>
              <w:keepNext/>
              <w:keepLines/>
              <w:rPr>
                <w:szCs w:val="24"/>
              </w:rPr>
            </w:pPr>
            <w:r w:rsidRPr="008623B4">
              <w:rPr>
                <w:szCs w:val="24"/>
              </w:rPr>
              <w:t>(600)</w:t>
            </w:r>
          </w:p>
          <w:p w:rsidR="00393751" w:rsidRPr="008623B4" w:rsidRDefault="00393751" w:rsidP="00D774E2">
            <w:pPr>
              <w:keepNext/>
              <w:keepLines/>
              <w:rPr>
                <w:szCs w:val="24"/>
              </w:rPr>
            </w:pPr>
            <w:r w:rsidRPr="008623B4">
              <w:rPr>
                <w:szCs w:val="24"/>
              </w:rPr>
              <w:t>(25,000)</w:t>
            </w:r>
          </w:p>
          <w:p w:rsidR="00393751" w:rsidRPr="008623B4" w:rsidRDefault="00393751" w:rsidP="00D774E2">
            <w:pPr>
              <w:keepNext/>
              <w:keepLines/>
              <w:rPr>
                <w:szCs w:val="24"/>
              </w:rPr>
            </w:pPr>
          </w:p>
          <w:p w:rsidR="00393751" w:rsidRPr="00843F34" w:rsidRDefault="00393751" w:rsidP="00D774E2">
            <w:pPr>
              <w:keepNext/>
              <w:keepLines/>
              <w:rPr>
                <w:b/>
                <w:i/>
                <w:szCs w:val="24"/>
              </w:rPr>
            </w:pPr>
            <w:r w:rsidRPr="00843F34">
              <w:rPr>
                <w:b/>
                <w:i/>
                <w:szCs w:val="24"/>
              </w:rPr>
              <w:t>25,600</w:t>
            </w:r>
          </w:p>
          <w:p w:rsidR="00393751" w:rsidRPr="008623B4" w:rsidRDefault="00D77E75" w:rsidP="00D774E2">
            <w:pPr>
              <w:keepNext/>
              <w:keepLines/>
              <w:rPr>
                <w:szCs w:val="24"/>
              </w:rPr>
            </w:pPr>
            <w:r>
              <w:rPr>
                <w:szCs w:val="24"/>
              </w:rPr>
              <w:t>15</w:t>
            </w:r>
            <w:r w:rsidR="00393751" w:rsidRPr="008623B4">
              <w:rPr>
                <w:szCs w:val="24"/>
              </w:rPr>
              <w:t>0</w:t>
            </w:r>
          </w:p>
          <w:p w:rsidR="00B074C3" w:rsidRDefault="00B074C3" w:rsidP="00D774E2">
            <w:pPr>
              <w:keepNext/>
              <w:keepLines/>
              <w:rPr>
                <w:szCs w:val="24"/>
              </w:rPr>
            </w:pPr>
            <w:r>
              <w:rPr>
                <w:szCs w:val="24"/>
              </w:rPr>
              <w:t>60</w:t>
            </w:r>
          </w:p>
          <w:p w:rsidR="00393751" w:rsidRPr="008623B4" w:rsidRDefault="00393751" w:rsidP="00D774E2">
            <w:pPr>
              <w:keepNext/>
              <w:keepLines/>
              <w:rPr>
                <w:szCs w:val="24"/>
              </w:rPr>
            </w:pPr>
            <w:r w:rsidRPr="008623B4">
              <w:rPr>
                <w:szCs w:val="24"/>
              </w:rPr>
              <w:t>60</w:t>
            </w:r>
          </w:p>
          <w:p w:rsidR="00393751" w:rsidRPr="008623B4" w:rsidRDefault="00393751" w:rsidP="00D774E2">
            <w:pPr>
              <w:keepNext/>
              <w:keepLines/>
              <w:rPr>
                <w:szCs w:val="24"/>
              </w:rPr>
            </w:pPr>
            <w:r w:rsidRPr="008623B4">
              <w:rPr>
                <w:szCs w:val="24"/>
              </w:rPr>
              <w:t>60</w:t>
            </w:r>
          </w:p>
          <w:p w:rsidR="00393751" w:rsidRPr="008623B4" w:rsidRDefault="00393751" w:rsidP="00D774E2">
            <w:pPr>
              <w:keepNext/>
              <w:keepLines/>
              <w:rPr>
                <w:szCs w:val="24"/>
              </w:rPr>
            </w:pPr>
            <w:r w:rsidRPr="008623B4">
              <w:rPr>
                <w:szCs w:val="24"/>
              </w:rPr>
              <w:t xml:space="preserve">500 </w:t>
            </w:r>
          </w:p>
          <w:p w:rsidR="00393751" w:rsidRPr="00937C9E" w:rsidRDefault="00393751" w:rsidP="007C1E15">
            <w:pPr>
              <w:keepNext/>
              <w:keepLines/>
              <w:rPr>
                <w:b/>
                <w:szCs w:val="24"/>
              </w:rPr>
            </w:pPr>
            <w:r w:rsidRPr="00937C9E">
              <w:rPr>
                <w:b/>
                <w:szCs w:val="24"/>
              </w:rPr>
              <w:t>26,</w:t>
            </w:r>
            <w:r w:rsidR="007C1E15">
              <w:rPr>
                <w:b/>
                <w:szCs w:val="24"/>
              </w:rPr>
              <w:t>430</w:t>
            </w:r>
            <w:bookmarkStart w:id="0" w:name="_GoBack"/>
            <w:bookmarkEnd w:id="0"/>
          </w:p>
        </w:tc>
        <w:tc>
          <w:tcPr>
            <w:tcW w:w="2340" w:type="dxa"/>
            <w:tcBorders>
              <w:top w:val="single" w:sz="7" w:space="0" w:color="000000"/>
              <w:left w:val="single" w:sz="7" w:space="0" w:color="000000"/>
              <w:bottom w:val="single" w:sz="7" w:space="0" w:color="000000"/>
              <w:right w:val="single" w:sz="7" w:space="0" w:color="000000"/>
            </w:tcBorders>
          </w:tcPr>
          <w:p w:rsidR="00393751" w:rsidRPr="008623B4" w:rsidRDefault="00393751" w:rsidP="00D774E2">
            <w:pPr>
              <w:spacing w:line="120" w:lineRule="exact"/>
              <w:rPr>
                <w:szCs w:val="24"/>
              </w:rPr>
            </w:pPr>
          </w:p>
          <w:p w:rsidR="00393751" w:rsidRPr="008623B4" w:rsidRDefault="00393751" w:rsidP="00D774E2">
            <w:pPr>
              <w:keepNext/>
              <w:keepLines/>
              <w:rPr>
                <w:szCs w:val="24"/>
              </w:rPr>
            </w:pPr>
          </w:p>
          <w:p w:rsidR="00393751" w:rsidRPr="008623B4" w:rsidRDefault="00393751" w:rsidP="00D774E2">
            <w:pPr>
              <w:keepNext/>
              <w:keepLines/>
              <w:rPr>
                <w:szCs w:val="24"/>
              </w:rPr>
            </w:pPr>
          </w:p>
          <w:p w:rsidR="00393751" w:rsidRPr="008623B4" w:rsidRDefault="00393751" w:rsidP="00D774E2">
            <w:pPr>
              <w:keepNext/>
              <w:keepLines/>
              <w:rPr>
                <w:szCs w:val="24"/>
              </w:rPr>
            </w:pPr>
            <w:r w:rsidRPr="008623B4">
              <w:rPr>
                <w:szCs w:val="24"/>
              </w:rPr>
              <w:t>2 hours</w:t>
            </w:r>
          </w:p>
          <w:p w:rsidR="00393751" w:rsidRPr="008623B4" w:rsidRDefault="00393751" w:rsidP="00D774E2">
            <w:pPr>
              <w:keepNext/>
              <w:keepLines/>
              <w:rPr>
                <w:szCs w:val="24"/>
              </w:rPr>
            </w:pPr>
            <w:r w:rsidRPr="008623B4">
              <w:rPr>
                <w:szCs w:val="24"/>
              </w:rPr>
              <w:t>10 minutes</w:t>
            </w:r>
          </w:p>
          <w:p w:rsidR="00393751" w:rsidRPr="008623B4" w:rsidRDefault="00393751" w:rsidP="00D774E2">
            <w:pPr>
              <w:keepNext/>
              <w:keepLines/>
              <w:rPr>
                <w:szCs w:val="24"/>
              </w:rPr>
            </w:pPr>
          </w:p>
          <w:p w:rsidR="00393751" w:rsidRPr="008623B4" w:rsidRDefault="00393751" w:rsidP="00D774E2">
            <w:pPr>
              <w:keepNext/>
              <w:keepLines/>
              <w:rPr>
                <w:szCs w:val="24"/>
              </w:rPr>
            </w:pPr>
          </w:p>
          <w:p w:rsidR="00393751" w:rsidRPr="008623B4" w:rsidRDefault="00393751" w:rsidP="00D774E2">
            <w:pPr>
              <w:keepNext/>
              <w:keepLines/>
              <w:rPr>
                <w:szCs w:val="24"/>
              </w:rPr>
            </w:pPr>
            <w:r w:rsidRPr="008623B4">
              <w:rPr>
                <w:szCs w:val="24"/>
              </w:rPr>
              <w:t>2 hours</w:t>
            </w:r>
          </w:p>
          <w:p w:rsidR="00B074C3" w:rsidRDefault="00B074C3" w:rsidP="00D774E2">
            <w:pPr>
              <w:keepNext/>
              <w:keepLines/>
              <w:rPr>
                <w:szCs w:val="24"/>
              </w:rPr>
            </w:pPr>
            <w:r>
              <w:rPr>
                <w:szCs w:val="24"/>
              </w:rPr>
              <w:t>10 minutes</w:t>
            </w:r>
          </w:p>
          <w:p w:rsidR="00393751" w:rsidRPr="008623B4" w:rsidRDefault="00393751" w:rsidP="00D774E2">
            <w:pPr>
              <w:keepNext/>
              <w:keepLines/>
              <w:rPr>
                <w:szCs w:val="24"/>
              </w:rPr>
            </w:pPr>
            <w:r w:rsidRPr="008623B4">
              <w:rPr>
                <w:szCs w:val="24"/>
              </w:rPr>
              <w:t>10 minutes</w:t>
            </w:r>
          </w:p>
          <w:p w:rsidR="00393751" w:rsidRPr="008623B4" w:rsidRDefault="00393751" w:rsidP="00D774E2">
            <w:pPr>
              <w:keepNext/>
              <w:keepLines/>
              <w:rPr>
                <w:szCs w:val="24"/>
              </w:rPr>
            </w:pPr>
            <w:r w:rsidRPr="008623B4">
              <w:rPr>
                <w:szCs w:val="24"/>
              </w:rPr>
              <w:t>2 hours</w:t>
            </w:r>
          </w:p>
          <w:p w:rsidR="00393751" w:rsidRPr="008623B4" w:rsidRDefault="00393751" w:rsidP="00D774E2">
            <w:pPr>
              <w:keepNext/>
              <w:keepLines/>
              <w:rPr>
                <w:szCs w:val="24"/>
              </w:rPr>
            </w:pPr>
            <w:r w:rsidRPr="008623B4">
              <w:rPr>
                <w:szCs w:val="24"/>
              </w:rPr>
              <w:t>1 hour</w:t>
            </w:r>
          </w:p>
        </w:tc>
        <w:tc>
          <w:tcPr>
            <w:tcW w:w="2340" w:type="dxa"/>
            <w:tcBorders>
              <w:top w:val="single" w:sz="7" w:space="0" w:color="000000"/>
              <w:left w:val="single" w:sz="7" w:space="0" w:color="000000"/>
              <w:bottom w:val="single" w:sz="7" w:space="0" w:color="000000"/>
              <w:right w:val="single" w:sz="7" w:space="0" w:color="000000"/>
            </w:tcBorders>
          </w:tcPr>
          <w:p w:rsidR="00393751" w:rsidRPr="008623B4" w:rsidRDefault="00393751" w:rsidP="00D774E2">
            <w:pPr>
              <w:spacing w:line="120" w:lineRule="exact"/>
              <w:rPr>
                <w:szCs w:val="24"/>
              </w:rPr>
            </w:pPr>
          </w:p>
          <w:p w:rsidR="00393751" w:rsidRPr="008623B4" w:rsidRDefault="00393751" w:rsidP="00D774E2">
            <w:pPr>
              <w:keepNext/>
              <w:keepLines/>
              <w:rPr>
                <w:szCs w:val="24"/>
              </w:rPr>
            </w:pPr>
          </w:p>
          <w:p w:rsidR="00393751" w:rsidRPr="008623B4" w:rsidRDefault="00393751" w:rsidP="00D774E2">
            <w:pPr>
              <w:keepNext/>
              <w:keepLines/>
              <w:rPr>
                <w:szCs w:val="24"/>
              </w:rPr>
            </w:pPr>
          </w:p>
          <w:p w:rsidR="00393751" w:rsidRPr="008623B4" w:rsidRDefault="00393751" w:rsidP="00D774E2">
            <w:pPr>
              <w:keepNext/>
              <w:keepLines/>
              <w:rPr>
                <w:szCs w:val="24"/>
              </w:rPr>
            </w:pPr>
            <w:r w:rsidRPr="008623B4">
              <w:rPr>
                <w:szCs w:val="24"/>
              </w:rPr>
              <w:t>(1</w:t>
            </w:r>
            <w:r w:rsidR="00BC48F9">
              <w:rPr>
                <w:szCs w:val="24"/>
              </w:rPr>
              <w:t>,</w:t>
            </w:r>
            <w:r w:rsidRPr="008623B4">
              <w:rPr>
                <w:szCs w:val="24"/>
              </w:rPr>
              <w:t>200 hours)</w:t>
            </w:r>
          </w:p>
          <w:p w:rsidR="00393751" w:rsidRPr="008623B4" w:rsidRDefault="00393751" w:rsidP="00D774E2">
            <w:pPr>
              <w:keepNext/>
              <w:keepLines/>
              <w:rPr>
                <w:szCs w:val="24"/>
              </w:rPr>
            </w:pPr>
            <w:r w:rsidRPr="008623B4">
              <w:rPr>
                <w:szCs w:val="24"/>
              </w:rPr>
              <w:t>(4,167 hours)</w:t>
            </w:r>
          </w:p>
          <w:p w:rsidR="00393751" w:rsidRPr="008623B4" w:rsidRDefault="00393751" w:rsidP="00D774E2">
            <w:pPr>
              <w:keepNext/>
              <w:keepLines/>
              <w:rPr>
                <w:szCs w:val="24"/>
              </w:rPr>
            </w:pPr>
          </w:p>
          <w:p w:rsidR="00393751" w:rsidRPr="00843F34" w:rsidRDefault="00393751" w:rsidP="00D774E2">
            <w:pPr>
              <w:keepNext/>
              <w:keepLines/>
              <w:rPr>
                <w:b/>
                <w:i/>
                <w:szCs w:val="24"/>
              </w:rPr>
            </w:pPr>
            <w:r w:rsidRPr="00843F34">
              <w:rPr>
                <w:b/>
                <w:i/>
                <w:szCs w:val="24"/>
              </w:rPr>
              <w:t>5,367 hours</w:t>
            </w:r>
          </w:p>
          <w:p w:rsidR="00393751" w:rsidRPr="008623B4" w:rsidRDefault="00D77E75" w:rsidP="00D774E2">
            <w:pPr>
              <w:keepNext/>
              <w:keepLines/>
              <w:rPr>
                <w:szCs w:val="24"/>
              </w:rPr>
            </w:pPr>
            <w:r>
              <w:rPr>
                <w:szCs w:val="24"/>
              </w:rPr>
              <w:t>3</w:t>
            </w:r>
            <w:r w:rsidR="00393751" w:rsidRPr="008623B4">
              <w:rPr>
                <w:szCs w:val="24"/>
              </w:rPr>
              <w:t>00 hours</w:t>
            </w:r>
            <w:r w:rsidR="0022301D">
              <w:rPr>
                <w:szCs w:val="24"/>
              </w:rPr>
              <w:t xml:space="preserve"> (revised)</w:t>
            </w:r>
          </w:p>
          <w:p w:rsidR="00B074C3" w:rsidRDefault="0022301D" w:rsidP="00D774E2">
            <w:pPr>
              <w:keepNext/>
              <w:keepLines/>
              <w:rPr>
                <w:szCs w:val="24"/>
              </w:rPr>
            </w:pPr>
            <w:r w:rsidRPr="0022301D">
              <w:rPr>
                <w:szCs w:val="24"/>
              </w:rPr>
              <w:t>1</w:t>
            </w:r>
            <w:r w:rsidR="00B074C3" w:rsidRPr="0022301D">
              <w:rPr>
                <w:szCs w:val="24"/>
              </w:rPr>
              <w:t>0 hours</w:t>
            </w:r>
            <w:r>
              <w:rPr>
                <w:szCs w:val="24"/>
              </w:rPr>
              <w:t xml:space="preserve"> (added)</w:t>
            </w:r>
          </w:p>
          <w:p w:rsidR="00393751" w:rsidRPr="008623B4" w:rsidRDefault="00393751" w:rsidP="00D774E2">
            <w:pPr>
              <w:keepNext/>
              <w:keepLines/>
              <w:rPr>
                <w:szCs w:val="24"/>
              </w:rPr>
            </w:pPr>
            <w:r w:rsidRPr="008623B4">
              <w:rPr>
                <w:szCs w:val="24"/>
              </w:rPr>
              <w:t>10 hours</w:t>
            </w:r>
          </w:p>
          <w:p w:rsidR="00393751" w:rsidRPr="008623B4" w:rsidRDefault="00393751" w:rsidP="00D774E2">
            <w:pPr>
              <w:keepNext/>
              <w:keepLines/>
              <w:rPr>
                <w:szCs w:val="24"/>
              </w:rPr>
            </w:pPr>
            <w:r w:rsidRPr="008623B4">
              <w:rPr>
                <w:szCs w:val="24"/>
              </w:rPr>
              <w:t>120 hours</w:t>
            </w:r>
          </w:p>
          <w:p w:rsidR="00393751" w:rsidRPr="008623B4" w:rsidRDefault="00393751" w:rsidP="00D774E2">
            <w:pPr>
              <w:keepNext/>
              <w:keepLines/>
              <w:rPr>
                <w:szCs w:val="24"/>
              </w:rPr>
            </w:pPr>
            <w:r w:rsidRPr="008623B4">
              <w:rPr>
                <w:szCs w:val="24"/>
              </w:rPr>
              <w:t>500 hours</w:t>
            </w:r>
          </w:p>
          <w:p w:rsidR="00393751" w:rsidRPr="00937C9E" w:rsidRDefault="00D77E75" w:rsidP="00D774E2">
            <w:pPr>
              <w:keepNext/>
              <w:keepLines/>
              <w:rPr>
                <w:b/>
                <w:szCs w:val="24"/>
              </w:rPr>
            </w:pPr>
            <w:r w:rsidRPr="00937C9E">
              <w:rPr>
                <w:b/>
                <w:szCs w:val="24"/>
              </w:rPr>
              <w:t>6,</w:t>
            </w:r>
            <w:r w:rsidR="00BB6E03">
              <w:rPr>
                <w:b/>
                <w:szCs w:val="24"/>
              </w:rPr>
              <w:t>30</w:t>
            </w:r>
            <w:r w:rsidR="00393751" w:rsidRPr="00937C9E">
              <w:rPr>
                <w:b/>
                <w:szCs w:val="24"/>
              </w:rPr>
              <w:t>7 hours</w:t>
            </w:r>
          </w:p>
        </w:tc>
      </w:tr>
    </w:tbl>
    <w:p w:rsidR="00393751" w:rsidRPr="008623B4" w:rsidRDefault="00393751" w:rsidP="00D774E2">
      <w:pPr>
        <w:keepLines/>
        <w:rPr>
          <w:szCs w:val="24"/>
        </w:rPr>
      </w:pPr>
    </w:p>
    <w:p w:rsidR="00393751" w:rsidRPr="008623B4" w:rsidRDefault="002E5F72" w:rsidP="00D774E2">
      <w:pPr>
        <w:ind w:left="720"/>
        <w:rPr>
          <w:szCs w:val="24"/>
        </w:rPr>
      </w:pPr>
      <w:r>
        <w:rPr>
          <w:szCs w:val="24"/>
        </w:rPr>
        <w:t xml:space="preserve">We </w:t>
      </w:r>
      <w:r w:rsidR="00393751" w:rsidRPr="008623B4">
        <w:rPr>
          <w:szCs w:val="24"/>
        </w:rPr>
        <w:t>estimate that it w</w:t>
      </w:r>
      <w:r>
        <w:rPr>
          <w:szCs w:val="24"/>
        </w:rPr>
        <w:t xml:space="preserve">ill </w:t>
      </w:r>
      <w:r w:rsidR="00393751" w:rsidRPr="008623B4">
        <w:rPr>
          <w:szCs w:val="24"/>
        </w:rPr>
        <w:t>cost the pu</w:t>
      </w:r>
      <w:r w:rsidR="00B074C3">
        <w:rPr>
          <w:szCs w:val="24"/>
        </w:rPr>
        <w:t>blic $</w:t>
      </w:r>
      <w:r w:rsidR="009C6E47" w:rsidRPr="009C6E47">
        <w:rPr>
          <w:szCs w:val="24"/>
        </w:rPr>
        <w:t>203,337.68</w:t>
      </w:r>
      <w:r w:rsidR="00B074C3">
        <w:rPr>
          <w:szCs w:val="24"/>
        </w:rPr>
        <w:t xml:space="preserve"> (6,3</w:t>
      </w:r>
      <w:r w:rsidR="00860DED">
        <w:rPr>
          <w:szCs w:val="24"/>
        </w:rPr>
        <w:t>0</w:t>
      </w:r>
      <w:r w:rsidR="00B074C3">
        <w:rPr>
          <w:szCs w:val="24"/>
        </w:rPr>
        <w:t xml:space="preserve">7 hours </w:t>
      </w:r>
      <w:r w:rsidR="00500B31">
        <w:rPr>
          <w:szCs w:val="24"/>
        </w:rPr>
        <w:t>x</w:t>
      </w:r>
      <w:r w:rsidR="00B074C3">
        <w:rPr>
          <w:szCs w:val="24"/>
        </w:rPr>
        <w:t xml:space="preserve"> $</w:t>
      </w:r>
      <w:r w:rsidR="00C239AC">
        <w:rPr>
          <w:szCs w:val="24"/>
        </w:rPr>
        <w:t>32.24</w:t>
      </w:r>
      <w:r w:rsidR="00500B31">
        <w:rPr>
          <w:szCs w:val="24"/>
        </w:rPr>
        <w:t>/hr</w:t>
      </w:r>
      <w:r w:rsidR="00393751" w:rsidRPr="008623B4">
        <w:rPr>
          <w:szCs w:val="24"/>
        </w:rPr>
        <w:t>) to comply with these information collection requirements.</w:t>
      </w:r>
    </w:p>
    <w:p w:rsidR="00393751" w:rsidRPr="008623B4" w:rsidRDefault="00393751" w:rsidP="00D774E2">
      <w:pPr>
        <w:rPr>
          <w:szCs w:val="24"/>
        </w:rPr>
      </w:pPr>
    </w:p>
    <w:p w:rsidR="00393751" w:rsidRPr="008623B4" w:rsidRDefault="00393751" w:rsidP="00C239AC">
      <w:pPr>
        <w:numPr>
          <w:ilvl w:val="0"/>
          <w:numId w:val="2"/>
        </w:numPr>
        <w:ind w:left="0" w:firstLine="0"/>
        <w:rPr>
          <w:szCs w:val="24"/>
        </w:rPr>
      </w:pPr>
      <w:r w:rsidRPr="006266F7">
        <w:rPr>
          <w:szCs w:val="24"/>
        </w:rPr>
        <w:t>Capital Costs (Maintenance of Capital Costs)</w:t>
      </w:r>
    </w:p>
    <w:p w:rsidR="00393751" w:rsidRPr="008623B4" w:rsidRDefault="00393751" w:rsidP="00D774E2">
      <w:pPr>
        <w:ind w:left="720"/>
        <w:rPr>
          <w:szCs w:val="24"/>
        </w:rPr>
      </w:pPr>
    </w:p>
    <w:p w:rsidR="00393751" w:rsidRPr="008623B4" w:rsidRDefault="00393751" w:rsidP="00D774E2">
      <w:pPr>
        <w:ind w:left="720"/>
        <w:rPr>
          <w:szCs w:val="24"/>
        </w:rPr>
      </w:pPr>
      <w:r w:rsidRPr="008623B4">
        <w:rPr>
          <w:szCs w:val="24"/>
        </w:rPr>
        <w:t>There are no capital costs.</w:t>
      </w:r>
    </w:p>
    <w:p w:rsidR="00393751" w:rsidRPr="008623B4" w:rsidRDefault="00393751" w:rsidP="00D774E2">
      <w:pPr>
        <w:rPr>
          <w:szCs w:val="24"/>
        </w:rPr>
      </w:pPr>
    </w:p>
    <w:p w:rsidR="00393751" w:rsidRPr="008623B4" w:rsidRDefault="00393751" w:rsidP="004857A1">
      <w:pPr>
        <w:numPr>
          <w:ilvl w:val="0"/>
          <w:numId w:val="2"/>
        </w:numPr>
        <w:ind w:left="0" w:firstLine="0"/>
        <w:rPr>
          <w:szCs w:val="24"/>
        </w:rPr>
      </w:pPr>
      <w:r w:rsidRPr="006266F7">
        <w:rPr>
          <w:szCs w:val="24"/>
        </w:rPr>
        <w:t>Cost to Federal Government</w:t>
      </w:r>
    </w:p>
    <w:p w:rsidR="00393751" w:rsidRPr="008623B4" w:rsidRDefault="00393751" w:rsidP="00D774E2">
      <w:pPr>
        <w:ind w:firstLine="720"/>
        <w:rPr>
          <w:szCs w:val="24"/>
        </w:rPr>
      </w:pPr>
    </w:p>
    <w:p w:rsidR="00393751" w:rsidRPr="008623B4" w:rsidRDefault="00393751" w:rsidP="00D774E2">
      <w:pPr>
        <w:ind w:left="720"/>
        <w:rPr>
          <w:szCs w:val="24"/>
        </w:rPr>
      </w:pPr>
      <w:r w:rsidRPr="008623B4">
        <w:rPr>
          <w:szCs w:val="24"/>
        </w:rPr>
        <w:t>There are no additional costs to the federal government.  These requirements are a part of normal business practices.</w:t>
      </w:r>
    </w:p>
    <w:p w:rsidR="00393751" w:rsidRPr="008623B4" w:rsidRDefault="00393751" w:rsidP="00EB2CCB">
      <w:pPr>
        <w:rPr>
          <w:szCs w:val="24"/>
        </w:rPr>
      </w:pPr>
    </w:p>
    <w:p w:rsidR="00393751" w:rsidRPr="008623B4" w:rsidRDefault="00801CEA" w:rsidP="004857A1">
      <w:pPr>
        <w:numPr>
          <w:ilvl w:val="0"/>
          <w:numId w:val="2"/>
        </w:numPr>
        <w:ind w:left="0" w:firstLine="0"/>
        <w:rPr>
          <w:szCs w:val="24"/>
        </w:rPr>
      </w:pPr>
      <w:r w:rsidRPr="006266F7">
        <w:rPr>
          <w:szCs w:val="24"/>
        </w:rPr>
        <w:t xml:space="preserve">Changes to </w:t>
      </w:r>
      <w:r w:rsidR="00393751" w:rsidRPr="006266F7">
        <w:rPr>
          <w:szCs w:val="24"/>
        </w:rPr>
        <w:t>Burden</w:t>
      </w:r>
    </w:p>
    <w:p w:rsidR="00393751" w:rsidRDefault="00393751" w:rsidP="00EB2CCB">
      <w:pPr>
        <w:ind w:left="720"/>
        <w:rPr>
          <w:szCs w:val="24"/>
        </w:rPr>
      </w:pPr>
    </w:p>
    <w:p w:rsidR="004830E9" w:rsidRPr="004830E9" w:rsidRDefault="004830E9" w:rsidP="00EB2CCB">
      <w:pPr>
        <w:ind w:left="720"/>
        <w:rPr>
          <w:i/>
          <w:szCs w:val="24"/>
        </w:rPr>
      </w:pPr>
      <w:r w:rsidRPr="004830E9">
        <w:rPr>
          <w:i/>
          <w:szCs w:val="24"/>
        </w:rPr>
        <w:t>Burden Adjustments</w:t>
      </w:r>
    </w:p>
    <w:p w:rsidR="004830E9" w:rsidRDefault="004830E9" w:rsidP="00EB2CCB">
      <w:pPr>
        <w:ind w:left="720"/>
        <w:rPr>
          <w:szCs w:val="24"/>
        </w:rPr>
      </w:pPr>
    </w:p>
    <w:p w:rsidR="004830E9" w:rsidRDefault="004830E9" w:rsidP="00EB2CCB">
      <w:pPr>
        <w:ind w:left="720"/>
        <w:rPr>
          <w:szCs w:val="24"/>
        </w:rPr>
      </w:pPr>
      <w:r>
        <w:rPr>
          <w:szCs w:val="24"/>
        </w:rPr>
        <w:t>Our cost estimate has been adjusted by accounting for the current BLS wage estimates and by factoring in our 100% fringe benefit adjustment.</w:t>
      </w:r>
    </w:p>
    <w:p w:rsidR="004830E9" w:rsidRDefault="004830E9" w:rsidP="00EB2CCB">
      <w:pPr>
        <w:ind w:left="720"/>
        <w:rPr>
          <w:szCs w:val="24"/>
        </w:rPr>
      </w:pPr>
    </w:p>
    <w:p w:rsidR="004830E9" w:rsidRPr="004830E9" w:rsidRDefault="004830E9" w:rsidP="00EB2CCB">
      <w:pPr>
        <w:ind w:left="720"/>
        <w:rPr>
          <w:i/>
          <w:szCs w:val="24"/>
        </w:rPr>
      </w:pPr>
      <w:r w:rsidRPr="004830E9">
        <w:rPr>
          <w:i/>
          <w:szCs w:val="24"/>
        </w:rPr>
        <w:t>Program Changes</w:t>
      </w:r>
    </w:p>
    <w:p w:rsidR="004830E9" w:rsidRDefault="004830E9" w:rsidP="00EB2CCB">
      <w:pPr>
        <w:ind w:left="720"/>
        <w:rPr>
          <w:szCs w:val="24"/>
        </w:rPr>
      </w:pPr>
    </w:p>
    <w:p w:rsidR="00265A91" w:rsidRDefault="00265A91" w:rsidP="00EB2CCB">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Cs w:val="24"/>
        </w:rPr>
      </w:pPr>
      <w:r w:rsidRPr="00533D25">
        <w:rPr>
          <w:szCs w:val="24"/>
        </w:rPr>
        <w:t>Section 106(a) of MACRA indicates that valid opt-out affidavits filed on or after June 16, 2015, automatically renew every 2 years.  Previously, physicians and practitioners wanting to renew their opt-out were required to file new valid affidavits with their Medicare Administrative Contractors (MAC).</w:t>
      </w:r>
    </w:p>
    <w:p w:rsidR="00EB2CCB" w:rsidRPr="00533D25" w:rsidRDefault="00EB2CCB" w:rsidP="00EB2CCB">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Cs w:val="24"/>
        </w:rPr>
      </w:pPr>
    </w:p>
    <w:p w:rsidR="00265A91" w:rsidRDefault="00265A91" w:rsidP="00EB2CCB">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Cs w:val="24"/>
        </w:rPr>
      </w:pPr>
      <w:r w:rsidRPr="00533D25">
        <w:rPr>
          <w:szCs w:val="24"/>
        </w:rPr>
        <w:t xml:space="preserve">To be consistent with section 106(a), we </w:t>
      </w:r>
      <w:r w:rsidR="004748C1">
        <w:rPr>
          <w:szCs w:val="24"/>
        </w:rPr>
        <w:t xml:space="preserve">have revised </w:t>
      </w:r>
      <w:r w:rsidRPr="00533D25">
        <w:rPr>
          <w:szCs w:val="24"/>
        </w:rPr>
        <w:t>42 CFR part 405, subpart D governing the submission of opt-out affidavits.  We estimate that 150 physicians/practitioners will submit new affidavits at 2 hr per submission or 300 hr (total). Previously, we estimated that 600 physicians/practitioners would submit renewal affidavits at 2 hr per submission or 1,200 hr (total). In this regard, the burden will decrease by -900 hr (300 hr - 1,200 hr) when physicians and practitioners no longer need to submit renewal affidavits starting on June 16, 2017. We also estimate that a Medical Secretary will perform this duty at $</w:t>
      </w:r>
      <w:r w:rsidR="00C918AA" w:rsidRPr="00533D25">
        <w:rPr>
          <w:rFonts w:eastAsia="Calibri"/>
          <w:szCs w:val="24"/>
        </w:rPr>
        <w:t>32.24</w:t>
      </w:r>
      <w:r w:rsidRPr="00533D25">
        <w:rPr>
          <w:szCs w:val="24"/>
        </w:rPr>
        <w:t>/hr for a savings of -$29,016 (-900 hr x $</w:t>
      </w:r>
      <w:r w:rsidR="00C918AA" w:rsidRPr="00533D25">
        <w:rPr>
          <w:rFonts w:eastAsia="Calibri"/>
          <w:szCs w:val="24"/>
        </w:rPr>
        <w:t>32.24</w:t>
      </w:r>
      <w:r w:rsidRPr="00533D25">
        <w:rPr>
          <w:szCs w:val="24"/>
        </w:rPr>
        <w:t>/hr).</w:t>
      </w:r>
    </w:p>
    <w:p w:rsidR="00EB2CCB" w:rsidRPr="00533D25" w:rsidRDefault="00EB2CCB" w:rsidP="00EB2CCB">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Cs w:val="24"/>
        </w:rPr>
      </w:pPr>
    </w:p>
    <w:p w:rsidR="00265A91" w:rsidRPr="00533D25" w:rsidRDefault="00265A91" w:rsidP="00EB2CCB">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Cs w:val="24"/>
        </w:rPr>
      </w:pPr>
      <w:r w:rsidRPr="00533D25">
        <w:rPr>
          <w:szCs w:val="24"/>
        </w:rPr>
        <w:t>Under §405.445(a), physicians and practitioners that file valid opt-out affidavits on or after June 16, 2015 and do not want to extend their opt-out status at the end of a 2 year opt-out period may cancel by notifying us at least 30 days prior to the start of the next 2 year opt-out period.  The burden associated with this new requirement is the time to draft, sign and submit the writing to the MAC.  We estimate it will take 60 physicians/practitioners approximately 10 minutes each for a total of 10 burden hours. We also estimate that a Medical Secretary will perform this duty at $</w:t>
      </w:r>
      <w:r w:rsidR="00C918AA" w:rsidRPr="00533D25">
        <w:rPr>
          <w:rFonts w:eastAsia="Calibri"/>
          <w:szCs w:val="24"/>
        </w:rPr>
        <w:t>32.24</w:t>
      </w:r>
      <w:r w:rsidRPr="00533D25">
        <w:rPr>
          <w:szCs w:val="24"/>
        </w:rPr>
        <w:t>/hr for a cost of $322.40 (10 hr x $</w:t>
      </w:r>
      <w:r w:rsidR="00C918AA" w:rsidRPr="00533D25">
        <w:rPr>
          <w:rFonts w:eastAsia="Calibri"/>
          <w:szCs w:val="24"/>
        </w:rPr>
        <w:t>32.24</w:t>
      </w:r>
      <w:r w:rsidRPr="00533D25">
        <w:rPr>
          <w:szCs w:val="24"/>
        </w:rPr>
        <w:t>/hr).</w:t>
      </w:r>
    </w:p>
    <w:p w:rsidR="00393751" w:rsidRDefault="00393751" w:rsidP="00EB2CCB">
      <w:pPr>
        <w:ind w:firstLine="720"/>
        <w:rPr>
          <w:szCs w:val="24"/>
        </w:rPr>
      </w:pPr>
    </w:p>
    <w:p w:rsidR="00265A91" w:rsidRPr="00265A91" w:rsidRDefault="00265A91" w:rsidP="00EB2CCB">
      <w:pPr>
        <w:ind w:firstLine="720"/>
        <w:rPr>
          <w:i/>
          <w:szCs w:val="24"/>
        </w:rPr>
      </w:pPr>
      <w:r w:rsidRPr="00265A91">
        <w:rPr>
          <w:i/>
          <w:szCs w:val="24"/>
        </w:rPr>
        <w:t>Summary</w:t>
      </w:r>
    </w:p>
    <w:p w:rsidR="00265A91" w:rsidRDefault="00265A91" w:rsidP="00EB2CCB">
      <w:pPr>
        <w:ind w:firstLine="720"/>
        <w:rPr>
          <w:szCs w:val="24"/>
        </w:rPr>
      </w:pPr>
    </w:p>
    <w:tbl>
      <w:tblPr>
        <w:tblW w:w="95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33"/>
        <w:gridCol w:w="783"/>
        <w:gridCol w:w="1306"/>
        <w:gridCol w:w="1225"/>
        <w:gridCol w:w="1103"/>
        <w:gridCol w:w="1116"/>
        <w:gridCol w:w="1137"/>
        <w:gridCol w:w="1473"/>
      </w:tblGrid>
      <w:tr w:rsidR="00265A91" w:rsidRPr="00533D25" w:rsidTr="00F76F4F">
        <w:trPr>
          <w:cantSplit/>
          <w:jc w:val="center"/>
        </w:trPr>
        <w:tc>
          <w:tcPr>
            <w:tcW w:w="1433" w:type="dxa"/>
            <w:vAlign w:val="bottom"/>
          </w:tcPr>
          <w:p w:rsidR="00265A91" w:rsidRPr="00533D25" w:rsidRDefault="00265A91" w:rsidP="00EB2CCB">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eastAsia="Calibri"/>
                <w:b/>
                <w:sz w:val="20"/>
              </w:rPr>
            </w:pPr>
            <w:r w:rsidRPr="00533D25">
              <w:rPr>
                <w:rFonts w:eastAsia="Calibri"/>
                <w:b/>
                <w:bCs/>
                <w:color w:val="000000"/>
                <w:sz w:val="20"/>
              </w:rPr>
              <w:t>Section(s) in title 42 of the CFR</w:t>
            </w:r>
          </w:p>
        </w:tc>
        <w:tc>
          <w:tcPr>
            <w:tcW w:w="783" w:type="dxa"/>
          </w:tcPr>
          <w:p w:rsidR="00265A91" w:rsidRPr="00533D25" w:rsidRDefault="00265A91" w:rsidP="00EB2CCB">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eastAsia="Calibri"/>
                <w:b/>
                <w:bCs/>
                <w:color w:val="000000"/>
                <w:sz w:val="20"/>
              </w:rPr>
            </w:pPr>
            <w:r w:rsidRPr="00533D25">
              <w:rPr>
                <w:rFonts w:eastAsia="Calibri"/>
                <w:b/>
                <w:bCs/>
                <w:color w:val="000000"/>
                <w:sz w:val="20"/>
              </w:rPr>
              <w:t>OMB No. (CMS ID No.)</w:t>
            </w:r>
          </w:p>
        </w:tc>
        <w:tc>
          <w:tcPr>
            <w:tcW w:w="1306" w:type="dxa"/>
            <w:vAlign w:val="bottom"/>
          </w:tcPr>
          <w:p w:rsidR="00265A91" w:rsidRPr="00533D25" w:rsidRDefault="00265A91" w:rsidP="00EB2CCB">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eastAsia="Calibri"/>
                <w:b/>
                <w:sz w:val="20"/>
              </w:rPr>
            </w:pPr>
            <w:r w:rsidRPr="00533D25">
              <w:rPr>
                <w:rFonts w:eastAsia="Calibri"/>
                <w:b/>
                <w:bCs/>
                <w:color w:val="000000"/>
                <w:sz w:val="20"/>
              </w:rPr>
              <w:t>Respondents</w:t>
            </w:r>
          </w:p>
        </w:tc>
        <w:tc>
          <w:tcPr>
            <w:tcW w:w="1225" w:type="dxa"/>
            <w:vAlign w:val="bottom"/>
          </w:tcPr>
          <w:p w:rsidR="00265A91" w:rsidRPr="00533D25" w:rsidRDefault="00265A91" w:rsidP="00EB2CCB">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eastAsia="Calibri"/>
                <w:b/>
                <w:sz w:val="20"/>
              </w:rPr>
            </w:pPr>
            <w:r w:rsidRPr="00533D25">
              <w:rPr>
                <w:rFonts w:eastAsia="Calibri"/>
                <w:b/>
                <w:bCs/>
                <w:color w:val="000000"/>
                <w:sz w:val="20"/>
              </w:rPr>
              <w:t>Responses (total)</w:t>
            </w:r>
          </w:p>
        </w:tc>
        <w:tc>
          <w:tcPr>
            <w:tcW w:w="1103" w:type="dxa"/>
            <w:vAlign w:val="bottom"/>
          </w:tcPr>
          <w:p w:rsidR="00265A91" w:rsidRPr="00533D25" w:rsidRDefault="00265A91" w:rsidP="00EB2CCB">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eastAsia="Calibri"/>
                <w:b/>
                <w:sz w:val="20"/>
              </w:rPr>
            </w:pPr>
            <w:r w:rsidRPr="00533D25">
              <w:rPr>
                <w:rFonts w:eastAsia="Calibri"/>
                <w:b/>
                <w:bCs/>
                <w:color w:val="000000"/>
                <w:sz w:val="20"/>
              </w:rPr>
              <w:t>Burden per Response</w:t>
            </w:r>
          </w:p>
        </w:tc>
        <w:tc>
          <w:tcPr>
            <w:tcW w:w="1116" w:type="dxa"/>
            <w:vAlign w:val="bottom"/>
          </w:tcPr>
          <w:p w:rsidR="00265A91" w:rsidRPr="00533D25" w:rsidRDefault="00265A91" w:rsidP="00EB2CCB">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eastAsia="Calibri"/>
                <w:b/>
                <w:sz w:val="20"/>
              </w:rPr>
            </w:pPr>
            <w:r w:rsidRPr="00533D25">
              <w:rPr>
                <w:rFonts w:eastAsia="Calibri"/>
                <w:b/>
                <w:bCs/>
                <w:color w:val="000000"/>
                <w:sz w:val="20"/>
              </w:rPr>
              <w:t>Total Annual Burden (hr)</w:t>
            </w:r>
          </w:p>
        </w:tc>
        <w:tc>
          <w:tcPr>
            <w:tcW w:w="1137" w:type="dxa"/>
            <w:vAlign w:val="bottom"/>
          </w:tcPr>
          <w:p w:rsidR="00265A91" w:rsidRPr="00533D25" w:rsidRDefault="00265A91" w:rsidP="00EB2CCB">
            <w:pPr>
              <w:jc w:val="center"/>
              <w:rPr>
                <w:rFonts w:eastAsia="Calibri"/>
                <w:b/>
                <w:bCs/>
                <w:color w:val="000000"/>
                <w:sz w:val="20"/>
              </w:rPr>
            </w:pPr>
            <w:r w:rsidRPr="00533D25">
              <w:rPr>
                <w:rFonts w:eastAsia="Calibri"/>
                <w:b/>
                <w:bCs/>
                <w:color w:val="000000"/>
                <w:sz w:val="20"/>
              </w:rPr>
              <w:t>Labor</w:t>
            </w:r>
          </w:p>
          <w:p w:rsidR="00265A91" w:rsidRPr="00533D25" w:rsidRDefault="00265A91" w:rsidP="00EB2CCB">
            <w:pPr>
              <w:jc w:val="center"/>
              <w:rPr>
                <w:rFonts w:eastAsia="Calibri"/>
                <w:b/>
                <w:bCs/>
                <w:color w:val="000000"/>
                <w:sz w:val="20"/>
              </w:rPr>
            </w:pPr>
            <w:r w:rsidRPr="00533D25">
              <w:rPr>
                <w:rFonts w:eastAsia="Calibri"/>
                <w:b/>
                <w:bCs/>
                <w:color w:val="000000"/>
                <w:sz w:val="20"/>
              </w:rPr>
              <w:t>Rate for</w:t>
            </w:r>
          </w:p>
          <w:p w:rsidR="00265A91" w:rsidRPr="00533D25" w:rsidRDefault="00265A91" w:rsidP="00EB2CCB">
            <w:pPr>
              <w:jc w:val="center"/>
              <w:rPr>
                <w:rFonts w:eastAsia="Calibri"/>
                <w:b/>
                <w:bCs/>
                <w:color w:val="000000"/>
                <w:sz w:val="20"/>
              </w:rPr>
            </w:pPr>
            <w:r w:rsidRPr="00533D25">
              <w:rPr>
                <w:rFonts w:eastAsia="Calibri"/>
                <w:b/>
                <w:bCs/>
                <w:color w:val="000000"/>
                <w:sz w:val="20"/>
              </w:rPr>
              <w:t>Reporting</w:t>
            </w:r>
          </w:p>
          <w:p w:rsidR="00265A91" w:rsidRPr="00533D25" w:rsidRDefault="00265A91" w:rsidP="00EB2CCB">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eastAsia="Calibri"/>
                <w:b/>
                <w:sz w:val="20"/>
              </w:rPr>
            </w:pPr>
            <w:r w:rsidRPr="00533D25">
              <w:rPr>
                <w:rFonts w:eastAsia="Calibri"/>
                <w:b/>
                <w:bCs/>
                <w:color w:val="000000"/>
                <w:sz w:val="20"/>
              </w:rPr>
              <w:t>($/hr)</w:t>
            </w:r>
          </w:p>
        </w:tc>
        <w:tc>
          <w:tcPr>
            <w:tcW w:w="1473" w:type="dxa"/>
            <w:vAlign w:val="bottom"/>
          </w:tcPr>
          <w:p w:rsidR="00265A91" w:rsidRPr="00533D25" w:rsidRDefault="00265A91" w:rsidP="00EB2CCB">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eastAsia="Calibri"/>
                <w:b/>
                <w:sz w:val="20"/>
              </w:rPr>
            </w:pPr>
            <w:r w:rsidRPr="00533D25">
              <w:rPr>
                <w:rFonts w:eastAsia="Calibri"/>
                <w:b/>
                <w:sz w:val="20"/>
              </w:rPr>
              <w:t>Total Cost</w:t>
            </w:r>
          </w:p>
          <w:p w:rsidR="00265A91" w:rsidRPr="00533D25" w:rsidRDefault="00265A91" w:rsidP="00EB2CCB">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eastAsia="Calibri"/>
                <w:b/>
                <w:sz w:val="20"/>
              </w:rPr>
            </w:pPr>
            <w:r w:rsidRPr="00533D25">
              <w:rPr>
                <w:rFonts w:eastAsia="Calibri"/>
                <w:b/>
                <w:sz w:val="20"/>
              </w:rPr>
              <w:t>($)</w:t>
            </w:r>
          </w:p>
        </w:tc>
      </w:tr>
      <w:tr w:rsidR="00265A91" w:rsidRPr="00533D25" w:rsidTr="00F76F4F">
        <w:trPr>
          <w:cantSplit/>
          <w:jc w:val="center"/>
        </w:trPr>
        <w:tc>
          <w:tcPr>
            <w:tcW w:w="1433" w:type="dxa"/>
            <w:vAlign w:val="center"/>
          </w:tcPr>
          <w:p w:rsidR="00265A91" w:rsidRPr="00533D25" w:rsidRDefault="00265A91" w:rsidP="00EB2CCB">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rPr>
                <w:rFonts w:eastAsia="Calibri"/>
                <w:bCs/>
                <w:color w:val="000000"/>
                <w:sz w:val="20"/>
              </w:rPr>
            </w:pPr>
            <w:r w:rsidRPr="00533D25">
              <w:rPr>
                <w:rFonts w:eastAsia="Calibri"/>
                <w:bCs/>
                <w:color w:val="000000"/>
                <w:sz w:val="20"/>
              </w:rPr>
              <w:t>Part 405, subpart D</w:t>
            </w:r>
          </w:p>
        </w:tc>
        <w:tc>
          <w:tcPr>
            <w:tcW w:w="783" w:type="dxa"/>
            <w:vAlign w:val="center"/>
          </w:tcPr>
          <w:p w:rsidR="00265A91" w:rsidRPr="00533D25" w:rsidRDefault="00265A91" w:rsidP="00EB2CCB">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eastAsia="Calibri"/>
                <w:bCs/>
                <w:color w:val="000000"/>
                <w:sz w:val="20"/>
              </w:rPr>
            </w:pPr>
            <w:r w:rsidRPr="00533D25">
              <w:rPr>
                <w:rFonts w:eastAsia="Calibri"/>
                <w:bCs/>
                <w:color w:val="000000"/>
                <w:sz w:val="20"/>
              </w:rPr>
              <w:t>0938-0730 (CMS-R-234)</w:t>
            </w:r>
          </w:p>
        </w:tc>
        <w:tc>
          <w:tcPr>
            <w:tcW w:w="1306" w:type="dxa"/>
            <w:vAlign w:val="center"/>
          </w:tcPr>
          <w:p w:rsidR="00265A91" w:rsidRPr="00533D25" w:rsidRDefault="00265A91" w:rsidP="00EB2CCB">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eastAsia="Calibri"/>
                <w:bCs/>
                <w:color w:val="000000"/>
                <w:sz w:val="20"/>
              </w:rPr>
            </w:pPr>
            <w:r w:rsidRPr="00533D25">
              <w:rPr>
                <w:rFonts w:eastAsia="Calibri"/>
                <w:bCs/>
                <w:color w:val="000000"/>
                <w:sz w:val="20"/>
              </w:rPr>
              <w:t>-450</w:t>
            </w:r>
          </w:p>
        </w:tc>
        <w:tc>
          <w:tcPr>
            <w:tcW w:w="1225" w:type="dxa"/>
            <w:vAlign w:val="center"/>
          </w:tcPr>
          <w:p w:rsidR="00265A91" w:rsidRPr="00533D25" w:rsidRDefault="00265A91" w:rsidP="00EB2CCB">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eastAsia="Calibri"/>
                <w:bCs/>
                <w:color w:val="000000"/>
                <w:sz w:val="20"/>
              </w:rPr>
            </w:pPr>
            <w:r w:rsidRPr="00533D25">
              <w:rPr>
                <w:rFonts w:eastAsia="Calibri"/>
                <w:bCs/>
                <w:color w:val="000000"/>
                <w:sz w:val="20"/>
              </w:rPr>
              <w:t>-450</w:t>
            </w:r>
          </w:p>
        </w:tc>
        <w:tc>
          <w:tcPr>
            <w:tcW w:w="1103" w:type="dxa"/>
            <w:vAlign w:val="center"/>
          </w:tcPr>
          <w:p w:rsidR="00265A91" w:rsidRPr="00533D25" w:rsidRDefault="00265A91" w:rsidP="00EB2CCB">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eastAsia="Calibri"/>
                <w:bCs/>
                <w:color w:val="000000"/>
                <w:sz w:val="20"/>
              </w:rPr>
            </w:pPr>
            <w:r w:rsidRPr="00533D25">
              <w:rPr>
                <w:rFonts w:eastAsia="Calibri"/>
                <w:bCs/>
                <w:color w:val="000000"/>
                <w:sz w:val="20"/>
              </w:rPr>
              <w:t>2 hr</w:t>
            </w:r>
          </w:p>
        </w:tc>
        <w:tc>
          <w:tcPr>
            <w:tcW w:w="1116" w:type="dxa"/>
            <w:vAlign w:val="center"/>
          </w:tcPr>
          <w:p w:rsidR="00265A91" w:rsidRPr="00533D25" w:rsidRDefault="00265A91" w:rsidP="00EB2CCB">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eastAsia="Calibri"/>
                <w:bCs/>
                <w:color w:val="000000"/>
                <w:sz w:val="20"/>
              </w:rPr>
            </w:pPr>
            <w:r w:rsidRPr="00533D25">
              <w:rPr>
                <w:rFonts w:eastAsia="Calibri"/>
                <w:bCs/>
                <w:color w:val="000000"/>
                <w:sz w:val="20"/>
              </w:rPr>
              <w:t>-900</w:t>
            </w:r>
          </w:p>
        </w:tc>
        <w:tc>
          <w:tcPr>
            <w:tcW w:w="1137" w:type="dxa"/>
            <w:vAlign w:val="center"/>
          </w:tcPr>
          <w:p w:rsidR="00265A91" w:rsidRPr="00533D25" w:rsidRDefault="00C918AA" w:rsidP="00EB2CCB">
            <w:pPr>
              <w:jc w:val="center"/>
              <w:rPr>
                <w:rFonts w:eastAsia="Calibri"/>
                <w:bCs/>
                <w:color w:val="000000"/>
                <w:sz w:val="20"/>
              </w:rPr>
            </w:pPr>
            <w:r w:rsidRPr="00533D25">
              <w:rPr>
                <w:rFonts w:eastAsia="Calibri"/>
                <w:szCs w:val="24"/>
              </w:rPr>
              <w:t>32.24</w:t>
            </w:r>
          </w:p>
        </w:tc>
        <w:tc>
          <w:tcPr>
            <w:tcW w:w="1473" w:type="dxa"/>
            <w:vAlign w:val="center"/>
          </w:tcPr>
          <w:p w:rsidR="00265A91" w:rsidRPr="00533D25" w:rsidRDefault="00265A91" w:rsidP="00132649">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eastAsia="Calibri"/>
                <w:sz w:val="20"/>
              </w:rPr>
            </w:pPr>
            <w:r w:rsidRPr="00533D25">
              <w:rPr>
                <w:rFonts w:eastAsia="Calibri"/>
                <w:sz w:val="20"/>
              </w:rPr>
              <w:t>-</w:t>
            </w:r>
            <w:r w:rsidR="00132649" w:rsidRPr="00132649">
              <w:rPr>
                <w:rFonts w:eastAsia="Calibri"/>
                <w:sz w:val="20"/>
              </w:rPr>
              <w:t>29,016</w:t>
            </w:r>
          </w:p>
        </w:tc>
      </w:tr>
      <w:tr w:rsidR="00265A91" w:rsidRPr="00533D25" w:rsidTr="00F76F4F">
        <w:trPr>
          <w:cantSplit/>
          <w:jc w:val="center"/>
        </w:trPr>
        <w:tc>
          <w:tcPr>
            <w:tcW w:w="1433" w:type="dxa"/>
            <w:vAlign w:val="center"/>
          </w:tcPr>
          <w:p w:rsidR="00265A91" w:rsidRPr="00533D25" w:rsidRDefault="00265A91" w:rsidP="00EB2CCB">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rPr>
                <w:rFonts w:eastAsia="Calibri"/>
                <w:bCs/>
                <w:color w:val="000000"/>
                <w:sz w:val="20"/>
              </w:rPr>
            </w:pPr>
            <w:r w:rsidRPr="00533D25">
              <w:rPr>
                <w:rFonts w:eastAsia="Calibri"/>
                <w:bCs/>
                <w:color w:val="000000"/>
                <w:sz w:val="20"/>
              </w:rPr>
              <w:t>405.445(a)</w:t>
            </w:r>
          </w:p>
        </w:tc>
        <w:tc>
          <w:tcPr>
            <w:tcW w:w="783" w:type="dxa"/>
            <w:vAlign w:val="center"/>
          </w:tcPr>
          <w:p w:rsidR="00265A91" w:rsidRPr="00533D25" w:rsidRDefault="00265A91" w:rsidP="00EB2CCB">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eastAsia="Calibri"/>
                <w:bCs/>
                <w:color w:val="000000"/>
                <w:sz w:val="20"/>
              </w:rPr>
            </w:pPr>
            <w:r w:rsidRPr="00533D25">
              <w:rPr>
                <w:rFonts w:eastAsia="Calibri"/>
                <w:bCs/>
                <w:color w:val="000000"/>
                <w:sz w:val="20"/>
              </w:rPr>
              <w:t>0938-0730 (CMS-R-234)</w:t>
            </w:r>
          </w:p>
        </w:tc>
        <w:tc>
          <w:tcPr>
            <w:tcW w:w="1306" w:type="dxa"/>
            <w:vAlign w:val="center"/>
          </w:tcPr>
          <w:p w:rsidR="00265A91" w:rsidRPr="00533D25" w:rsidRDefault="00265A91" w:rsidP="00EB2CCB">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eastAsia="Calibri"/>
                <w:bCs/>
                <w:color w:val="000000"/>
                <w:sz w:val="20"/>
              </w:rPr>
            </w:pPr>
            <w:r w:rsidRPr="00533D25">
              <w:rPr>
                <w:rFonts w:eastAsia="Calibri"/>
                <w:bCs/>
                <w:color w:val="000000"/>
                <w:sz w:val="20"/>
              </w:rPr>
              <w:t>60</w:t>
            </w:r>
          </w:p>
        </w:tc>
        <w:tc>
          <w:tcPr>
            <w:tcW w:w="1225" w:type="dxa"/>
            <w:vAlign w:val="center"/>
          </w:tcPr>
          <w:p w:rsidR="00265A91" w:rsidRPr="00533D25" w:rsidRDefault="00265A91" w:rsidP="00EB2CCB">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eastAsia="Calibri"/>
                <w:bCs/>
                <w:color w:val="000000"/>
                <w:sz w:val="20"/>
              </w:rPr>
            </w:pPr>
            <w:r w:rsidRPr="00533D25">
              <w:rPr>
                <w:rFonts w:eastAsia="Calibri"/>
                <w:bCs/>
                <w:color w:val="000000"/>
                <w:sz w:val="20"/>
              </w:rPr>
              <w:t>60</w:t>
            </w:r>
          </w:p>
        </w:tc>
        <w:tc>
          <w:tcPr>
            <w:tcW w:w="1103" w:type="dxa"/>
            <w:vAlign w:val="center"/>
          </w:tcPr>
          <w:p w:rsidR="00265A91" w:rsidRPr="00533D25" w:rsidRDefault="00265A91" w:rsidP="00EB2CCB">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eastAsia="Calibri"/>
                <w:bCs/>
                <w:color w:val="000000"/>
                <w:sz w:val="20"/>
              </w:rPr>
            </w:pPr>
            <w:r w:rsidRPr="00533D25">
              <w:rPr>
                <w:rFonts w:eastAsia="Calibri"/>
                <w:bCs/>
                <w:color w:val="000000"/>
                <w:sz w:val="20"/>
              </w:rPr>
              <w:t>10 min</w:t>
            </w:r>
          </w:p>
        </w:tc>
        <w:tc>
          <w:tcPr>
            <w:tcW w:w="1116" w:type="dxa"/>
            <w:vAlign w:val="center"/>
          </w:tcPr>
          <w:p w:rsidR="00265A91" w:rsidRPr="00533D25" w:rsidRDefault="00265A91" w:rsidP="00EB2CCB">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eastAsia="Calibri"/>
                <w:bCs/>
                <w:color w:val="000000"/>
                <w:sz w:val="20"/>
              </w:rPr>
            </w:pPr>
            <w:r w:rsidRPr="00533D25">
              <w:rPr>
                <w:rFonts w:eastAsia="Calibri"/>
                <w:bCs/>
                <w:color w:val="000000"/>
                <w:sz w:val="20"/>
              </w:rPr>
              <w:t>10</w:t>
            </w:r>
          </w:p>
        </w:tc>
        <w:tc>
          <w:tcPr>
            <w:tcW w:w="1137" w:type="dxa"/>
            <w:vAlign w:val="center"/>
          </w:tcPr>
          <w:p w:rsidR="00265A91" w:rsidRPr="00533D25" w:rsidRDefault="00C918AA" w:rsidP="00EB2CCB">
            <w:pPr>
              <w:jc w:val="center"/>
              <w:rPr>
                <w:rFonts w:eastAsia="Calibri"/>
                <w:bCs/>
                <w:color w:val="000000"/>
                <w:sz w:val="20"/>
              </w:rPr>
            </w:pPr>
            <w:r w:rsidRPr="00533D25">
              <w:rPr>
                <w:rFonts w:eastAsia="Calibri"/>
                <w:szCs w:val="24"/>
              </w:rPr>
              <w:t>32.24</w:t>
            </w:r>
          </w:p>
        </w:tc>
        <w:tc>
          <w:tcPr>
            <w:tcW w:w="1473" w:type="dxa"/>
            <w:vAlign w:val="center"/>
          </w:tcPr>
          <w:p w:rsidR="00265A91" w:rsidRPr="00533D25" w:rsidRDefault="00694839" w:rsidP="00EB2CCB">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eastAsia="Calibri"/>
                <w:sz w:val="20"/>
              </w:rPr>
            </w:pPr>
            <w:r>
              <w:rPr>
                <w:rFonts w:eastAsia="Calibri"/>
                <w:sz w:val="20"/>
              </w:rPr>
              <w:t>322.40</w:t>
            </w:r>
          </w:p>
        </w:tc>
      </w:tr>
    </w:tbl>
    <w:p w:rsidR="00265A91" w:rsidRDefault="00265A91" w:rsidP="00EB2CCB">
      <w:pPr>
        <w:ind w:firstLine="720"/>
        <w:rPr>
          <w:szCs w:val="24"/>
        </w:rPr>
      </w:pPr>
    </w:p>
    <w:p w:rsidR="004E5E10" w:rsidRDefault="003E1ADB" w:rsidP="00EB2CCB">
      <w:pPr>
        <w:keepNext/>
        <w:keepLines/>
        <w:ind w:left="720"/>
        <w:rPr>
          <w:szCs w:val="24"/>
        </w:rPr>
      </w:pPr>
      <w:r w:rsidRPr="00935F06">
        <w:rPr>
          <w:szCs w:val="24"/>
        </w:rPr>
        <w:t>For</w:t>
      </w:r>
      <w:r w:rsidR="005176BA" w:rsidRPr="00935F06">
        <w:rPr>
          <w:szCs w:val="24"/>
        </w:rPr>
        <w:t xml:space="preserve"> Part 405, subpart D, the </w:t>
      </w:r>
      <w:r w:rsidR="004748C1">
        <w:rPr>
          <w:szCs w:val="24"/>
        </w:rPr>
        <w:t>November 16</w:t>
      </w:r>
      <w:r w:rsidRPr="00935F06">
        <w:rPr>
          <w:szCs w:val="24"/>
        </w:rPr>
        <w:t xml:space="preserve">, 2015, </w:t>
      </w:r>
      <w:r w:rsidR="004748C1">
        <w:rPr>
          <w:szCs w:val="24"/>
        </w:rPr>
        <w:t xml:space="preserve">final rule </w:t>
      </w:r>
      <w:r w:rsidRPr="00935F06">
        <w:rPr>
          <w:szCs w:val="24"/>
        </w:rPr>
        <w:t>reduce</w:t>
      </w:r>
      <w:r w:rsidR="004748C1">
        <w:rPr>
          <w:szCs w:val="24"/>
        </w:rPr>
        <w:t>s</w:t>
      </w:r>
      <w:r w:rsidRPr="00935F06">
        <w:rPr>
          <w:szCs w:val="24"/>
        </w:rPr>
        <w:t xml:space="preserve"> </w:t>
      </w:r>
      <w:r w:rsidR="005176BA" w:rsidRPr="00935F06">
        <w:rPr>
          <w:szCs w:val="24"/>
        </w:rPr>
        <w:t>respondent burden by -</w:t>
      </w:r>
      <w:r w:rsidR="005176BA">
        <w:rPr>
          <w:szCs w:val="24"/>
        </w:rPr>
        <w:t>900 h</w:t>
      </w:r>
      <w:r w:rsidR="004E5E10">
        <w:rPr>
          <w:szCs w:val="24"/>
        </w:rPr>
        <w:t xml:space="preserve">r (aggregate) </w:t>
      </w:r>
      <w:r w:rsidR="005176BA">
        <w:rPr>
          <w:szCs w:val="24"/>
        </w:rPr>
        <w:t xml:space="preserve">since </w:t>
      </w:r>
      <w:r w:rsidR="004E5E10">
        <w:rPr>
          <w:szCs w:val="24"/>
        </w:rPr>
        <w:t xml:space="preserve">our </w:t>
      </w:r>
      <w:r w:rsidR="005176BA">
        <w:rPr>
          <w:szCs w:val="24"/>
        </w:rPr>
        <w:t>currently approved burden estimates 1,200 hr and we now estimate 300 hr</w:t>
      </w:r>
      <w:r w:rsidR="004E5E10">
        <w:rPr>
          <w:szCs w:val="24"/>
        </w:rPr>
        <w:t xml:space="preserve"> since respondents w</w:t>
      </w:r>
      <w:r w:rsidR="004748C1">
        <w:rPr>
          <w:szCs w:val="24"/>
        </w:rPr>
        <w:t xml:space="preserve">ill </w:t>
      </w:r>
      <w:r w:rsidR="004E5E10">
        <w:rPr>
          <w:szCs w:val="24"/>
        </w:rPr>
        <w:t xml:space="preserve">no longer be required to </w:t>
      </w:r>
      <w:r w:rsidR="004E5E10" w:rsidRPr="00533D25">
        <w:rPr>
          <w:szCs w:val="24"/>
        </w:rPr>
        <w:t xml:space="preserve">submit </w:t>
      </w:r>
      <w:r w:rsidR="004E5E10">
        <w:rPr>
          <w:szCs w:val="24"/>
        </w:rPr>
        <w:t xml:space="preserve">a </w:t>
      </w:r>
      <w:r w:rsidR="004E5E10" w:rsidRPr="00533D25">
        <w:rPr>
          <w:szCs w:val="24"/>
        </w:rPr>
        <w:t>renewal affidavit</w:t>
      </w:r>
      <w:r w:rsidR="004E5E10">
        <w:rPr>
          <w:szCs w:val="24"/>
        </w:rPr>
        <w:t>.</w:t>
      </w:r>
    </w:p>
    <w:p w:rsidR="003E1ADB" w:rsidRDefault="003E1ADB" w:rsidP="00EB2CCB">
      <w:pPr>
        <w:ind w:firstLine="720"/>
        <w:rPr>
          <w:szCs w:val="24"/>
        </w:rPr>
      </w:pPr>
    </w:p>
    <w:p w:rsidR="003E1ADB" w:rsidRDefault="004E5E10" w:rsidP="00C918AA">
      <w:pPr>
        <w:ind w:left="720"/>
        <w:rPr>
          <w:szCs w:val="24"/>
        </w:rPr>
      </w:pPr>
      <w:r>
        <w:rPr>
          <w:szCs w:val="24"/>
        </w:rPr>
        <w:t>With regard to §</w:t>
      </w:r>
      <w:r w:rsidR="00C57F5B">
        <w:rPr>
          <w:szCs w:val="24"/>
        </w:rPr>
        <w:t>405.445(a)</w:t>
      </w:r>
      <w:r>
        <w:rPr>
          <w:szCs w:val="24"/>
        </w:rPr>
        <w:t xml:space="preserve"> and the requirement to notify CMS</w:t>
      </w:r>
      <w:r w:rsidR="00C57F5B">
        <w:rPr>
          <w:szCs w:val="24"/>
        </w:rPr>
        <w:t xml:space="preserve">, the </w:t>
      </w:r>
      <w:r w:rsidR="004748C1">
        <w:rPr>
          <w:szCs w:val="24"/>
        </w:rPr>
        <w:t xml:space="preserve">final rule </w:t>
      </w:r>
      <w:r w:rsidR="00C57F5B">
        <w:rPr>
          <w:szCs w:val="24"/>
        </w:rPr>
        <w:t>add</w:t>
      </w:r>
      <w:r w:rsidR="004748C1">
        <w:rPr>
          <w:szCs w:val="24"/>
        </w:rPr>
        <w:t>s</w:t>
      </w:r>
      <w:r w:rsidR="00C57F5B">
        <w:rPr>
          <w:szCs w:val="24"/>
        </w:rPr>
        <w:t xml:space="preserve"> 10 hr</w:t>
      </w:r>
      <w:r>
        <w:rPr>
          <w:szCs w:val="24"/>
        </w:rPr>
        <w:t xml:space="preserve"> (aggregate) to the respondent burden</w:t>
      </w:r>
      <w:r w:rsidR="00C57F5B">
        <w:rPr>
          <w:szCs w:val="24"/>
        </w:rPr>
        <w:t>.</w:t>
      </w:r>
    </w:p>
    <w:p w:rsidR="005176BA" w:rsidRPr="008623B4" w:rsidRDefault="005176BA" w:rsidP="00EB2CCB">
      <w:pPr>
        <w:ind w:firstLine="720"/>
        <w:rPr>
          <w:szCs w:val="24"/>
        </w:rPr>
      </w:pPr>
    </w:p>
    <w:p w:rsidR="00393751" w:rsidRPr="008623B4" w:rsidRDefault="00801CEA" w:rsidP="004857A1">
      <w:pPr>
        <w:numPr>
          <w:ilvl w:val="0"/>
          <w:numId w:val="2"/>
        </w:numPr>
        <w:ind w:left="0" w:firstLine="0"/>
        <w:rPr>
          <w:szCs w:val="24"/>
        </w:rPr>
      </w:pPr>
      <w:r w:rsidRPr="006266F7">
        <w:rPr>
          <w:szCs w:val="24"/>
        </w:rPr>
        <w:t>Publication/</w:t>
      </w:r>
      <w:r w:rsidR="00393751" w:rsidRPr="006266F7">
        <w:rPr>
          <w:szCs w:val="24"/>
        </w:rPr>
        <w:t>Tabulation Dates</w:t>
      </w:r>
    </w:p>
    <w:p w:rsidR="00393751" w:rsidRPr="008623B4" w:rsidRDefault="00393751" w:rsidP="00D774E2">
      <w:pPr>
        <w:ind w:left="720"/>
        <w:rPr>
          <w:szCs w:val="24"/>
        </w:rPr>
      </w:pPr>
    </w:p>
    <w:p w:rsidR="00393751" w:rsidRPr="008623B4" w:rsidRDefault="00393751" w:rsidP="00D774E2">
      <w:pPr>
        <w:ind w:left="720"/>
        <w:rPr>
          <w:szCs w:val="24"/>
        </w:rPr>
      </w:pPr>
      <w:r w:rsidRPr="008623B4">
        <w:rPr>
          <w:szCs w:val="24"/>
        </w:rPr>
        <w:t>There are no plans to publish the information for statistical use.</w:t>
      </w:r>
    </w:p>
    <w:p w:rsidR="00393751" w:rsidRPr="008623B4" w:rsidRDefault="00393751" w:rsidP="00D774E2">
      <w:pPr>
        <w:rPr>
          <w:szCs w:val="24"/>
        </w:rPr>
      </w:pPr>
    </w:p>
    <w:p w:rsidR="00393751" w:rsidRPr="008623B4" w:rsidRDefault="00393751" w:rsidP="004857A1">
      <w:pPr>
        <w:numPr>
          <w:ilvl w:val="0"/>
          <w:numId w:val="2"/>
        </w:numPr>
        <w:ind w:left="0" w:firstLine="0"/>
        <w:rPr>
          <w:szCs w:val="24"/>
        </w:rPr>
      </w:pPr>
      <w:r w:rsidRPr="006266F7">
        <w:rPr>
          <w:szCs w:val="24"/>
        </w:rPr>
        <w:t>Expiration Date</w:t>
      </w:r>
    </w:p>
    <w:p w:rsidR="00393751" w:rsidRPr="008623B4" w:rsidRDefault="00393751" w:rsidP="00D774E2">
      <w:pPr>
        <w:ind w:firstLine="720"/>
        <w:rPr>
          <w:szCs w:val="24"/>
        </w:rPr>
      </w:pPr>
    </w:p>
    <w:p w:rsidR="00393751" w:rsidRPr="008623B4" w:rsidRDefault="00393751" w:rsidP="00D774E2">
      <w:pPr>
        <w:ind w:left="720"/>
        <w:rPr>
          <w:szCs w:val="24"/>
        </w:rPr>
      </w:pPr>
      <w:r w:rsidRPr="008623B4">
        <w:rPr>
          <w:szCs w:val="24"/>
        </w:rPr>
        <w:t>These information collection requirements do not lend themselves to an expiration date, therefore, this item does not apply.</w:t>
      </w:r>
    </w:p>
    <w:p w:rsidR="00393751" w:rsidRPr="008623B4" w:rsidRDefault="00393751" w:rsidP="00D774E2">
      <w:pPr>
        <w:rPr>
          <w:szCs w:val="24"/>
        </w:rPr>
      </w:pPr>
    </w:p>
    <w:p w:rsidR="00393751" w:rsidRPr="008623B4" w:rsidRDefault="00393751" w:rsidP="004857A1">
      <w:pPr>
        <w:numPr>
          <w:ilvl w:val="0"/>
          <w:numId w:val="2"/>
        </w:numPr>
        <w:ind w:left="0" w:firstLine="0"/>
        <w:rPr>
          <w:szCs w:val="24"/>
        </w:rPr>
      </w:pPr>
      <w:r w:rsidRPr="008C0944">
        <w:rPr>
          <w:szCs w:val="24"/>
        </w:rPr>
        <w:t>Certification Statement</w:t>
      </w:r>
    </w:p>
    <w:p w:rsidR="00393751" w:rsidRPr="008623B4" w:rsidRDefault="00393751" w:rsidP="00D774E2">
      <w:pPr>
        <w:ind w:firstLine="720"/>
        <w:rPr>
          <w:szCs w:val="24"/>
        </w:rPr>
      </w:pPr>
    </w:p>
    <w:p w:rsidR="00393751" w:rsidRPr="008623B4" w:rsidRDefault="00393751" w:rsidP="00D774E2">
      <w:pPr>
        <w:ind w:left="720"/>
        <w:rPr>
          <w:szCs w:val="24"/>
        </w:rPr>
      </w:pPr>
      <w:r w:rsidRPr="008623B4">
        <w:rPr>
          <w:szCs w:val="24"/>
        </w:rPr>
        <w:t>There are no exceptions to the certification statement.</w:t>
      </w:r>
    </w:p>
    <w:p w:rsidR="00393751" w:rsidRPr="008623B4" w:rsidRDefault="00393751" w:rsidP="00D774E2">
      <w:pPr>
        <w:rPr>
          <w:szCs w:val="24"/>
        </w:rPr>
      </w:pPr>
    </w:p>
    <w:p w:rsidR="00393751" w:rsidRPr="007B7315" w:rsidRDefault="007B7315" w:rsidP="00D774E2">
      <w:pPr>
        <w:rPr>
          <w:b/>
          <w:szCs w:val="24"/>
          <w:u w:val="single"/>
        </w:rPr>
      </w:pPr>
      <w:r w:rsidRPr="007B7315">
        <w:rPr>
          <w:b/>
          <w:szCs w:val="24"/>
        </w:rPr>
        <w:t>B</w:t>
      </w:r>
      <w:r w:rsidR="00393751" w:rsidRPr="007B7315">
        <w:rPr>
          <w:b/>
          <w:szCs w:val="24"/>
        </w:rPr>
        <w:t>.</w:t>
      </w:r>
      <w:r w:rsidR="00393751" w:rsidRPr="007B7315">
        <w:rPr>
          <w:b/>
          <w:szCs w:val="24"/>
        </w:rPr>
        <w:tab/>
        <w:t>Collection of Information Employing Statistical Methods</w:t>
      </w:r>
    </w:p>
    <w:p w:rsidR="00393751" w:rsidRPr="008623B4" w:rsidRDefault="00393751" w:rsidP="00D774E2">
      <w:pPr>
        <w:ind w:firstLine="720"/>
        <w:rPr>
          <w:szCs w:val="24"/>
        </w:rPr>
      </w:pPr>
    </w:p>
    <w:p w:rsidR="00393751" w:rsidRDefault="00393751" w:rsidP="00D774E2">
      <w:pPr>
        <w:ind w:left="720"/>
        <w:rPr>
          <w:szCs w:val="24"/>
        </w:rPr>
      </w:pPr>
      <w:r w:rsidRPr="008623B4">
        <w:rPr>
          <w:szCs w:val="24"/>
        </w:rPr>
        <w:t>These information collection requirements do not employ statistical methods.</w:t>
      </w:r>
    </w:p>
    <w:p w:rsidR="007B7315" w:rsidRPr="008623B4" w:rsidRDefault="007B7315" w:rsidP="00D774E2">
      <w:pPr>
        <w:ind w:left="720"/>
        <w:rPr>
          <w:szCs w:val="24"/>
        </w:rPr>
      </w:pPr>
    </w:p>
    <w:sectPr w:rsidR="007B7315" w:rsidRPr="008623B4">
      <w:footerReference w:type="default" r:id="rId10"/>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501C" w:rsidRDefault="00B8501C">
      <w:r>
        <w:separator/>
      </w:r>
    </w:p>
  </w:endnote>
  <w:endnote w:type="continuationSeparator" w:id="0">
    <w:p w:rsidR="00B8501C" w:rsidRDefault="00B850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2B7B" w:rsidRDefault="00482B7B">
    <w:pPr>
      <w:spacing w:line="240" w:lineRule="exact"/>
    </w:pPr>
  </w:p>
  <w:p w:rsidR="00482B7B" w:rsidRDefault="00482B7B">
    <w:pPr>
      <w:framePr w:w="9361" w:wrap="notBeside" w:vAnchor="text" w:hAnchor="text" w:x="1" w:y="1"/>
      <w:jc w:val="center"/>
    </w:pPr>
    <w:r>
      <w:fldChar w:fldCharType="begin"/>
    </w:r>
    <w:r>
      <w:instrText xml:space="preserve">PAGE </w:instrText>
    </w:r>
    <w:r>
      <w:fldChar w:fldCharType="separate"/>
    </w:r>
    <w:r w:rsidR="007C1E15">
      <w:rPr>
        <w:noProof/>
      </w:rPr>
      <w:t>6</w:t>
    </w:r>
    <w:r>
      <w:fldChar w:fldCharType="end"/>
    </w:r>
  </w:p>
  <w:p w:rsidR="00482B7B" w:rsidRDefault="00482B7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501C" w:rsidRDefault="00B8501C">
      <w:r>
        <w:separator/>
      </w:r>
    </w:p>
  </w:footnote>
  <w:footnote w:type="continuationSeparator" w:id="0">
    <w:p w:rsidR="00B8501C" w:rsidRDefault="00B8501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263441"/>
    <w:multiLevelType w:val="singleLevel"/>
    <w:tmpl w:val="E0244AAC"/>
    <w:lvl w:ilvl="0">
      <w:start w:val="1"/>
      <w:numFmt w:val="upperLetter"/>
      <w:lvlText w:val="%1."/>
      <w:lvlJc w:val="left"/>
      <w:pPr>
        <w:tabs>
          <w:tab w:val="num" w:pos="720"/>
        </w:tabs>
        <w:ind w:left="720" w:hanging="720"/>
      </w:pPr>
      <w:rPr>
        <w:rFonts w:hint="default"/>
      </w:rPr>
    </w:lvl>
  </w:abstractNum>
  <w:abstractNum w:abstractNumId="1">
    <w:nsid w:val="44553D71"/>
    <w:multiLevelType w:val="hybridMultilevel"/>
    <w:tmpl w:val="E8B280B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3EBD"/>
    <w:rsid w:val="00013BBC"/>
    <w:rsid w:val="00071A88"/>
    <w:rsid w:val="0009231F"/>
    <w:rsid w:val="000C73C4"/>
    <w:rsid w:val="000F7B34"/>
    <w:rsid w:val="001118B4"/>
    <w:rsid w:val="00130594"/>
    <w:rsid w:val="00132649"/>
    <w:rsid w:val="001437F5"/>
    <w:rsid w:val="00162861"/>
    <w:rsid w:val="00163EBD"/>
    <w:rsid w:val="00167A12"/>
    <w:rsid w:val="001919A9"/>
    <w:rsid w:val="001A71BA"/>
    <w:rsid w:val="001D3897"/>
    <w:rsid w:val="0022301D"/>
    <w:rsid w:val="00265A91"/>
    <w:rsid w:val="002D7246"/>
    <w:rsid w:val="002E5F72"/>
    <w:rsid w:val="003055BA"/>
    <w:rsid w:val="00350481"/>
    <w:rsid w:val="00356533"/>
    <w:rsid w:val="003728C1"/>
    <w:rsid w:val="00393751"/>
    <w:rsid w:val="003C0E2A"/>
    <w:rsid w:val="003E1ADB"/>
    <w:rsid w:val="003E474B"/>
    <w:rsid w:val="00405E6B"/>
    <w:rsid w:val="00407A2C"/>
    <w:rsid w:val="00426458"/>
    <w:rsid w:val="00451546"/>
    <w:rsid w:val="00467C2E"/>
    <w:rsid w:val="004748C1"/>
    <w:rsid w:val="00482B7B"/>
    <w:rsid w:val="004830E9"/>
    <w:rsid w:val="004857A1"/>
    <w:rsid w:val="004A559D"/>
    <w:rsid w:val="004E5E10"/>
    <w:rsid w:val="00500B31"/>
    <w:rsid w:val="00505B5E"/>
    <w:rsid w:val="005176BA"/>
    <w:rsid w:val="00520892"/>
    <w:rsid w:val="00533EBD"/>
    <w:rsid w:val="00574E8A"/>
    <w:rsid w:val="00585C8A"/>
    <w:rsid w:val="005B0656"/>
    <w:rsid w:val="005D3D27"/>
    <w:rsid w:val="005E32DB"/>
    <w:rsid w:val="006076B0"/>
    <w:rsid w:val="006266F7"/>
    <w:rsid w:val="006416F7"/>
    <w:rsid w:val="00694839"/>
    <w:rsid w:val="006A51CF"/>
    <w:rsid w:val="006F5A69"/>
    <w:rsid w:val="0071165F"/>
    <w:rsid w:val="00733DD5"/>
    <w:rsid w:val="007360DF"/>
    <w:rsid w:val="00773171"/>
    <w:rsid w:val="00777FE5"/>
    <w:rsid w:val="007826B5"/>
    <w:rsid w:val="00782AC6"/>
    <w:rsid w:val="00790395"/>
    <w:rsid w:val="007B7315"/>
    <w:rsid w:val="007C1E15"/>
    <w:rsid w:val="007C3D45"/>
    <w:rsid w:val="00801CEA"/>
    <w:rsid w:val="00803743"/>
    <w:rsid w:val="00843F34"/>
    <w:rsid w:val="0085212F"/>
    <w:rsid w:val="00860DED"/>
    <w:rsid w:val="008623B4"/>
    <w:rsid w:val="008C0944"/>
    <w:rsid w:val="008C2A23"/>
    <w:rsid w:val="008E0A8F"/>
    <w:rsid w:val="008F17B5"/>
    <w:rsid w:val="00935F06"/>
    <w:rsid w:val="00937C9E"/>
    <w:rsid w:val="0095761F"/>
    <w:rsid w:val="00967614"/>
    <w:rsid w:val="00981653"/>
    <w:rsid w:val="009C6E47"/>
    <w:rsid w:val="009F3C18"/>
    <w:rsid w:val="00A001C5"/>
    <w:rsid w:val="00A360D8"/>
    <w:rsid w:val="00A40F39"/>
    <w:rsid w:val="00A623B7"/>
    <w:rsid w:val="00A63FB6"/>
    <w:rsid w:val="00A8205F"/>
    <w:rsid w:val="00AA5810"/>
    <w:rsid w:val="00B074C3"/>
    <w:rsid w:val="00B8501C"/>
    <w:rsid w:val="00BB6E03"/>
    <w:rsid w:val="00BB7CAD"/>
    <w:rsid w:val="00BC48F9"/>
    <w:rsid w:val="00C239AC"/>
    <w:rsid w:val="00C57F5B"/>
    <w:rsid w:val="00C918AA"/>
    <w:rsid w:val="00CC20A2"/>
    <w:rsid w:val="00CC44B1"/>
    <w:rsid w:val="00CD13B2"/>
    <w:rsid w:val="00CF6F8C"/>
    <w:rsid w:val="00D54A4C"/>
    <w:rsid w:val="00D774E2"/>
    <w:rsid w:val="00D77E75"/>
    <w:rsid w:val="00E04A71"/>
    <w:rsid w:val="00E27B03"/>
    <w:rsid w:val="00EB2CCB"/>
    <w:rsid w:val="00EB417C"/>
    <w:rsid w:val="00ED2E9B"/>
    <w:rsid w:val="00EF716D"/>
    <w:rsid w:val="00F01E90"/>
    <w:rsid w:val="00F14A2A"/>
    <w:rsid w:val="00FD06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snapToGrid w:val="0"/>
      <w:sz w:val="24"/>
    </w:rPr>
  </w:style>
  <w:style w:type="paragraph" w:styleId="Heading1">
    <w:name w:val="heading 1"/>
    <w:basedOn w:val="Normal"/>
    <w:next w:val="Normal"/>
    <w:link w:val="Heading1Char"/>
    <w:qFormat/>
    <w:rsid w:val="00407A2C"/>
    <w:pPr>
      <w:keepNext/>
      <w:spacing w:before="240" w:after="60"/>
      <w:outlineLvl w:val="0"/>
    </w:pPr>
    <w:rPr>
      <w:rFonts w:asciiTheme="majorHAnsi" w:eastAsiaTheme="majorEastAsia" w:hAnsiTheme="majorHAnsi" w:cstheme="majorBid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alloonText">
    <w:name w:val="Balloon Text"/>
    <w:basedOn w:val="Normal"/>
    <w:link w:val="BalloonTextChar"/>
    <w:rsid w:val="00E27B03"/>
    <w:rPr>
      <w:rFonts w:ascii="Tahoma" w:hAnsi="Tahoma" w:cs="Tahoma"/>
      <w:sz w:val="16"/>
      <w:szCs w:val="16"/>
    </w:rPr>
  </w:style>
  <w:style w:type="character" w:customStyle="1" w:styleId="BalloonTextChar">
    <w:name w:val="Balloon Text Char"/>
    <w:link w:val="BalloonText"/>
    <w:rsid w:val="00E27B03"/>
    <w:rPr>
      <w:rFonts w:ascii="Tahoma" w:hAnsi="Tahoma" w:cs="Tahoma"/>
      <w:snapToGrid w:val="0"/>
      <w:sz w:val="16"/>
      <w:szCs w:val="16"/>
    </w:rPr>
  </w:style>
  <w:style w:type="character" w:styleId="Strong">
    <w:name w:val="Strong"/>
    <w:basedOn w:val="DefaultParagraphFont"/>
    <w:qFormat/>
    <w:rsid w:val="00407A2C"/>
    <w:rPr>
      <w:b/>
      <w:bCs/>
    </w:rPr>
  </w:style>
  <w:style w:type="character" w:customStyle="1" w:styleId="Heading1Char">
    <w:name w:val="Heading 1 Char"/>
    <w:basedOn w:val="DefaultParagraphFont"/>
    <w:link w:val="Heading1"/>
    <w:rsid w:val="00407A2C"/>
    <w:rPr>
      <w:rFonts w:asciiTheme="majorHAnsi" w:eastAsiaTheme="majorEastAsia" w:hAnsiTheme="majorHAnsi" w:cstheme="majorBidi"/>
      <w:b/>
      <w:bCs/>
      <w:snapToGrid w:val="0"/>
      <w:kern w:val="32"/>
      <w:sz w:val="32"/>
      <w:szCs w:val="32"/>
    </w:rPr>
  </w:style>
  <w:style w:type="paragraph" w:styleId="Title">
    <w:name w:val="Title"/>
    <w:basedOn w:val="Normal"/>
    <w:next w:val="Normal"/>
    <w:link w:val="TitleChar"/>
    <w:qFormat/>
    <w:rsid w:val="00407A2C"/>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rsid w:val="00407A2C"/>
    <w:rPr>
      <w:rFonts w:asciiTheme="majorHAnsi" w:eastAsiaTheme="majorEastAsia" w:hAnsiTheme="majorHAnsi" w:cstheme="majorBidi"/>
      <w:b/>
      <w:bCs/>
      <w:snapToGrid w:val="0"/>
      <w:kern w:val="28"/>
      <w:sz w:val="32"/>
      <w:szCs w:val="32"/>
    </w:rPr>
  </w:style>
  <w:style w:type="character" w:customStyle="1" w:styleId="p1">
    <w:name w:val="p1"/>
    <w:basedOn w:val="DefaultParagraphFont"/>
    <w:rsid w:val="00CD13B2"/>
    <w:rPr>
      <w:vanish w:val="0"/>
      <w:webHidden w:val="0"/>
      <w:specVanish w:val="0"/>
    </w:rPr>
  </w:style>
  <w:style w:type="paragraph" w:styleId="Header">
    <w:name w:val="header"/>
    <w:basedOn w:val="Normal"/>
    <w:link w:val="HeaderChar"/>
    <w:rsid w:val="005B0656"/>
    <w:pPr>
      <w:tabs>
        <w:tab w:val="center" w:pos="4680"/>
        <w:tab w:val="right" w:pos="9360"/>
      </w:tabs>
    </w:pPr>
  </w:style>
  <w:style w:type="character" w:customStyle="1" w:styleId="HeaderChar">
    <w:name w:val="Header Char"/>
    <w:basedOn w:val="DefaultParagraphFont"/>
    <w:link w:val="Header"/>
    <w:rsid w:val="005B0656"/>
    <w:rPr>
      <w:snapToGrid w:val="0"/>
      <w:sz w:val="24"/>
    </w:rPr>
  </w:style>
  <w:style w:type="paragraph" w:styleId="Footer">
    <w:name w:val="footer"/>
    <w:basedOn w:val="Normal"/>
    <w:link w:val="FooterChar"/>
    <w:rsid w:val="005B0656"/>
    <w:pPr>
      <w:tabs>
        <w:tab w:val="center" w:pos="4680"/>
        <w:tab w:val="right" w:pos="9360"/>
      </w:tabs>
    </w:pPr>
  </w:style>
  <w:style w:type="character" w:customStyle="1" w:styleId="FooterChar">
    <w:name w:val="Footer Char"/>
    <w:basedOn w:val="DefaultParagraphFont"/>
    <w:link w:val="Footer"/>
    <w:rsid w:val="005B0656"/>
    <w:rPr>
      <w:snapToGrid w:val="0"/>
      <w:sz w:val="24"/>
    </w:rPr>
  </w:style>
  <w:style w:type="character" w:styleId="CommentReference">
    <w:name w:val="annotation reference"/>
    <w:basedOn w:val="DefaultParagraphFont"/>
    <w:rsid w:val="007C3D45"/>
    <w:rPr>
      <w:sz w:val="16"/>
      <w:szCs w:val="16"/>
    </w:rPr>
  </w:style>
  <w:style w:type="paragraph" w:styleId="CommentText">
    <w:name w:val="annotation text"/>
    <w:basedOn w:val="Normal"/>
    <w:link w:val="CommentTextChar"/>
    <w:rsid w:val="007C3D45"/>
    <w:rPr>
      <w:sz w:val="20"/>
    </w:rPr>
  </w:style>
  <w:style w:type="character" w:customStyle="1" w:styleId="CommentTextChar">
    <w:name w:val="Comment Text Char"/>
    <w:basedOn w:val="DefaultParagraphFont"/>
    <w:link w:val="CommentText"/>
    <w:rsid w:val="007C3D45"/>
    <w:rPr>
      <w:snapToGrid w:val="0"/>
    </w:rPr>
  </w:style>
  <w:style w:type="paragraph" w:styleId="CommentSubject">
    <w:name w:val="annotation subject"/>
    <w:basedOn w:val="CommentText"/>
    <w:next w:val="CommentText"/>
    <w:link w:val="CommentSubjectChar"/>
    <w:rsid w:val="007C3D45"/>
    <w:rPr>
      <w:b/>
      <w:bCs/>
    </w:rPr>
  </w:style>
  <w:style w:type="character" w:customStyle="1" w:styleId="CommentSubjectChar">
    <w:name w:val="Comment Subject Char"/>
    <w:basedOn w:val="CommentTextChar"/>
    <w:link w:val="CommentSubject"/>
    <w:rsid w:val="007C3D45"/>
    <w:rPr>
      <w:b/>
      <w:bCs/>
      <w:snapToGrid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snapToGrid w:val="0"/>
      <w:sz w:val="24"/>
    </w:rPr>
  </w:style>
  <w:style w:type="paragraph" w:styleId="Heading1">
    <w:name w:val="heading 1"/>
    <w:basedOn w:val="Normal"/>
    <w:next w:val="Normal"/>
    <w:link w:val="Heading1Char"/>
    <w:qFormat/>
    <w:rsid w:val="00407A2C"/>
    <w:pPr>
      <w:keepNext/>
      <w:spacing w:before="240" w:after="60"/>
      <w:outlineLvl w:val="0"/>
    </w:pPr>
    <w:rPr>
      <w:rFonts w:asciiTheme="majorHAnsi" w:eastAsiaTheme="majorEastAsia" w:hAnsiTheme="majorHAnsi" w:cstheme="majorBid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alloonText">
    <w:name w:val="Balloon Text"/>
    <w:basedOn w:val="Normal"/>
    <w:link w:val="BalloonTextChar"/>
    <w:rsid w:val="00E27B03"/>
    <w:rPr>
      <w:rFonts w:ascii="Tahoma" w:hAnsi="Tahoma" w:cs="Tahoma"/>
      <w:sz w:val="16"/>
      <w:szCs w:val="16"/>
    </w:rPr>
  </w:style>
  <w:style w:type="character" w:customStyle="1" w:styleId="BalloonTextChar">
    <w:name w:val="Balloon Text Char"/>
    <w:link w:val="BalloonText"/>
    <w:rsid w:val="00E27B03"/>
    <w:rPr>
      <w:rFonts w:ascii="Tahoma" w:hAnsi="Tahoma" w:cs="Tahoma"/>
      <w:snapToGrid w:val="0"/>
      <w:sz w:val="16"/>
      <w:szCs w:val="16"/>
    </w:rPr>
  </w:style>
  <w:style w:type="character" w:styleId="Strong">
    <w:name w:val="Strong"/>
    <w:basedOn w:val="DefaultParagraphFont"/>
    <w:qFormat/>
    <w:rsid w:val="00407A2C"/>
    <w:rPr>
      <w:b/>
      <w:bCs/>
    </w:rPr>
  </w:style>
  <w:style w:type="character" w:customStyle="1" w:styleId="Heading1Char">
    <w:name w:val="Heading 1 Char"/>
    <w:basedOn w:val="DefaultParagraphFont"/>
    <w:link w:val="Heading1"/>
    <w:rsid w:val="00407A2C"/>
    <w:rPr>
      <w:rFonts w:asciiTheme="majorHAnsi" w:eastAsiaTheme="majorEastAsia" w:hAnsiTheme="majorHAnsi" w:cstheme="majorBidi"/>
      <w:b/>
      <w:bCs/>
      <w:snapToGrid w:val="0"/>
      <w:kern w:val="32"/>
      <w:sz w:val="32"/>
      <w:szCs w:val="32"/>
    </w:rPr>
  </w:style>
  <w:style w:type="paragraph" w:styleId="Title">
    <w:name w:val="Title"/>
    <w:basedOn w:val="Normal"/>
    <w:next w:val="Normal"/>
    <w:link w:val="TitleChar"/>
    <w:qFormat/>
    <w:rsid w:val="00407A2C"/>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rsid w:val="00407A2C"/>
    <w:rPr>
      <w:rFonts w:asciiTheme="majorHAnsi" w:eastAsiaTheme="majorEastAsia" w:hAnsiTheme="majorHAnsi" w:cstheme="majorBidi"/>
      <w:b/>
      <w:bCs/>
      <w:snapToGrid w:val="0"/>
      <w:kern w:val="28"/>
      <w:sz w:val="32"/>
      <w:szCs w:val="32"/>
    </w:rPr>
  </w:style>
  <w:style w:type="character" w:customStyle="1" w:styleId="p1">
    <w:name w:val="p1"/>
    <w:basedOn w:val="DefaultParagraphFont"/>
    <w:rsid w:val="00CD13B2"/>
    <w:rPr>
      <w:vanish w:val="0"/>
      <w:webHidden w:val="0"/>
      <w:specVanish w:val="0"/>
    </w:rPr>
  </w:style>
  <w:style w:type="paragraph" w:styleId="Header">
    <w:name w:val="header"/>
    <w:basedOn w:val="Normal"/>
    <w:link w:val="HeaderChar"/>
    <w:rsid w:val="005B0656"/>
    <w:pPr>
      <w:tabs>
        <w:tab w:val="center" w:pos="4680"/>
        <w:tab w:val="right" w:pos="9360"/>
      </w:tabs>
    </w:pPr>
  </w:style>
  <w:style w:type="character" w:customStyle="1" w:styleId="HeaderChar">
    <w:name w:val="Header Char"/>
    <w:basedOn w:val="DefaultParagraphFont"/>
    <w:link w:val="Header"/>
    <w:rsid w:val="005B0656"/>
    <w:rPr>
      <w:snapToGrid w:val="0"/>
      <w:sz w:val="24"/>
    </w:rPr>
  </w:style>
  <w:style w:type="paragraph" w:styleId="Footer">
    <w:name w:val="footer"/>
    <w:basedOn w:val="Normal"/>
    <w:link w:val="FooterChar"/>
    <w:rsid w:val="005B0656"/>
    <w:pPr>
      <w:tabs>
        <w:tab w:val="center" w:pos="4680"/>
        <w:tab w:val="right" w:pos="9360"/>
      </w:tabs>
    </w:pPr>
  </w:style>
  <w:style w:type="character" w:customStyle="1" w:styleId="FooterChar">
    <w:name w:val="Footer Char"/>
    <w:basedOn w:val="DefaultParagraphFont"/>
    <w:link w:val="Footer"/>
    <w:rsid w:val="005B0656"/>
    <w:rPr>
      <w:snapToGrid w:val="0"/>
      <w:sz w:val="24"/>
    </w:rPr>
  </w:style>
  <w:style w:type="character" w:styleId="CommentReference">
    <w:name w:val="annotation reference"/>
    <w:basedOn w:val="DefaultParagraphFont"/>
    <w:rsid w:val="007C3D45"/>
    <w:rPr>
      <w:sz w:val="16"/>
      <w:szCs w:val="16"/>
    </w:rPr>
  </w:style>
  <w:style w:type="paragraph" w:styleId="CommentText">
    <w:name w:val="annotation text"/>
    <w:basedOn w:val="Normal"/>
    <w:link w:val="CommentTextChar"/>
    <w:rsid w:val="007C3D45"/>
    <w:rPr>
      <w:sz w:val="20"/>
    </w:rPr>
  </w:style>
  <w:style w:type="character" w:customStyle="1" w:styleId="CommentTextChar">
    <w:name w:val="Comment Text Char"/>
    <w:basedOn w:val="DefaultParagraphFont"/>
    <w:link w:val="CommentText"/>
    <w:rsid w:val="007C3D45"/>
    <w:rPr>
      <w:snapToGrid w:val="0"/>
    </w:rPr>
  </w:style>
  <w:style w:type="paragraph" w:styleId="CommentSubject">
    <w:name w:val="annotation subject"/>
    <w:basedOn w:val="CommentText"/>
    <w:next w:val="CommentText"/>
    <w:link w:val="CommentSubjectChar"/>
    <w:rsid w:val="007C3D45"/>
    <w:rPr>
      <w:b/>
      <w:bCs/>
    </w:rPr>
  </w:style>
  <w:style w:type="character" w:customStyle="1" w:styleId="CommentSubjectChar">
    <w:name w:val="Comment Subject Char"/>
    <w:basedOn w:val="CommentTextChar"/>
    <w:link w:val="CommentSubject"/>
    <w:rsid w:val="007C3D45"/>
    <w:rPr>
      <w:b/>
      <w:bCs/>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bls.gov/oes/current/oes_n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E9BEA2-4E96-4819-9537-ABEAF454C3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7</Pages>
  <Words>2025</Words>
  <Characters>11543</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HCFA</Company>
  <LinksUpToDate>false</LinksUpToDate>
  <CharactersWithSpaces>13541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HCFA Software Control</dc:creator>
  <cp:lastModifiedBy>Mitch Bryman</cp:lastModifiedBy>
  <cp:revision>14</cp:revision>
  <cp:lastPrinted>2015-07-07T17:58:00Z</cp:lastPrinted>
  <dcterms:created xsi:type="dcterms:W3CDTF">2015-07-15T14:10:00Z</dcterms:created>
  <dcterms:modified xsi:type="dcterms:W3CDTF">2015-11-16T19:11:00Z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491510399</vt:i4>
  </property>
  <property fmtid="{D5CDD505-2E9C-101B-9397-08002B2CF9AE}" pid="4" name="_EmailSubject">
    <vt:lpwstr>PRA Package (CMS-R-234) Due by Noon on June 18 &gt; CMS-1631-P, Revisions to Payment Policies under the Physician Fee Schedule and Other Revisions to Part B for CY 2016</vt:lpwstr>
  </property>
  <property fmtid="{D5CDD505-2E9C-101B-9397-08002B2CF9AE}" pid="5" name="_AuthorEmailDisplayName">
    <vt:lpwstr>Grabau, Frederick W. (CMS/CM)</vt:lpwstr>
  </property>
  <property fmtid="{D5CDD505-2E9C-101B-9397-08002B2CF9AE}" pid="6" name="_PreviousAdHocReviewCycleID">
    <vt:i4>1964861648</vt:i4>
  </property>
  <property fmtid="{D5CDD505-2E9C-101B-9397-08002B2CF9AE}" pid="7" name="_AuthorEmail">
    <vt:lpwstr>Frederick.Grabau@cms.hhs.gov</vt:lpwstr>
  </property>
  <property fmtid="{D5CDD505-2E9C-101B-9397-08002B2CF9AE}" pid="8" name="_ReviewingToolsShownOnce">
    <vt:lpwstr/>
  </property>
</Properties>
</file>