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F8B" w:rsidRDefault="003F7F8B" w:rsidP="003F7F8B">
      <w:pPr>
        <w:jc w:val="center"/>
        <w:rPr>
          <w:rFonts w:ascii="Times New Roman" w:hAnsi="Times New Roman"/>
          <w:b/>
          <w:sz w:val="28"/>
        </w:rPr>
      </w:pPr>
    </w:p>
    <w:p w:rsidR="00EA574F" w:rsidRDefault="00EA574F" w:rsidP="003F7F8B">
      <w:pPr>
        <w:jc w:val="center"/>
        <w:rPr>
          <w:rFonts w:ascii="Times New Roman" w:hAnsi="Times New Roman"/>
          <w:b/>
          <w:sz w:val="28"/>
        </w:rPr>
      </w:pPr>
    </w:p>
    <w:p w:rsidR="00EA574F" w:rsidRDefault="00EA574F" w:rsidP="003F7F8B">
      <w:pPr>
        <w:jc w:val="center"/>
        <w:rPr>
          <w:rFonts w:ascii="Times New Roman" w:hAnsi="Times New Roman"/>
          <w:b/>
          <w:sz w:val="28"/>
        </w:rPr>
      </w:pPr>
    </w:p>
    <w:p w:rsidR="00EA574F" w:rsidRPr="004D3807" w:rsidRDefault="00EA574F" w:rsidP="003F7F8B">
      <w:pPr>
        <w:jc w:val="center"/>
        <w:rPr>
          <w:rFonts w:ascii="Times New Roman" w:hAnsi="Times New Roman"/>
          <w:b/>
          <w:sz w:val="28"/>
        </w:rPr>
      </w:pPr>
    </w:p>
    <w:p w:rsidR="003F7F8B" w:rsidRPr="004D3807" w:rsidRDefault="003F7F8B" w:rsidP="003F7F8B">
      <w:pPr>
        <w:jc w:val="center"/>
        <w:rPr>
          <w:rFonts w:ascii="Times New Roman" w:hAnsi="Times New Roman"/>
          <w:b/>
          <w:sz w:val="32"/>
          <w:szCs w:val="32"/>
        </w:rPr>
      </w:pPr>
      <w:r w:rsidRPr="004D3807">
        <w:rPr>
          <w:rFonts w:ascii="Times New Roman" w:hAnsi="Times New Roman"/>
          <w:b/>
          <w:sz w:val="32"/>
          <w:szCs w:val="32"/>
        </w:rPr>
        <w:t>Supporting Statement A For:</w:t>
      </w:r>
    </w:p>
    <w:p w:rsidR="003F7F8B" w:rsidRPr="004D3807" w:rsidRDefault="003F7F8B" w:rsidP="003F7F8B">
      <w:pPr>
        <w:jc w:val="center"/>
        <w:rPr>
          <w:rFonts w:ascii="Times New Roman" w:hAnsi="Times New Roman"/>
          <w:b/>
          <w:sz w:val="32"/>
          <w:szCs w:val="32"/>
        </w:rPr>
      </w:pPr>
    </w:p>
    <w:p w:rsidR="003F7F8B" w:rsidRPr="004D3807" w:rsidRDefault="003F7F8B" w:rsidP="003F7F8B">
      <w:pPr>
        <w:jc w:val="center"/>
        <w:rPr>
          <w:rFonts w:ascii="Times New Roman" w:hAnsi="Times New Roman"/>
          <w:b/>
          <w:sz w:val="32"/>
          <w:szCs w:val="32"/>
        </w:rPr>
      </w:pPr>
    </w:p>
    <w:p w:rsidR="003F7F8B" w:rsidRPr="004D3807" w:rsidRDefault="003F7F8B" w:rsidP="003F7F8B">
      <w:pPr>
        <w:jc w:val="center"/>
        <w:rPr>
          <w:rFonts w:ascii="Times New Roman" w:hAnsi="Times New Roman"/>
          <w:b/>
          <w:sz w:val="32"/>
          <w:szCs w:val="32"/>
        </w:rPr>
      </w:pPr>
      <w:r w:rsidRPr="004D3807">
        <w:rPr>
          <w:rFonts w:ascii="Times New Roman" w:hAnsi="Times New Roman"/>
          <w:sz w:val="32"/>
          <w:szCs w:val="32"/>
        </w:rPr>
        <w:t>Evaluation of the Science Education Partnership Award (SEPA) Program</w:t>
      </w:r>
    </w:p>
    <w:p w:rsidR="003F7F8B" w:rsidRPr="004D3807" w:rsidRDefault="003F7F8B" w:rsidP="003F7F8B">
      <w:pPr>
        <w:jc w:val="center"/>
        <w:rPr>
          <w:rFonts w:ascii="Times New Roman" w:hAnsi="Times New Roman"/>
          <w:b/>
          <w:sz w:val="28"/>
          <w:szCs w:val="28"/>
        </w:rPr>
      </w:pPr>
    </w:p>
    <w:p w:rsidR="003F7F8B" w:rsidRPr="004D3807" w:rsidRDefault="003F7F8B" w:rsidP="003F7F8B">
      <w:pPr>
        <w:jc w:val="center"/>
        <w:rPr>
          <w:rFonts w:ascii="Times New Roman" w:hAnsi="Times New Roman"/>
          <w:b/>
          <w:szCs w:val="24"/>
        </w:rPr>
      </w:pPr>
    </w:p>
    <w:p w:rsidR="003F7F8B" w:rsidRPr="004D3807" w:rsidRDefault="003F7F8B" w:rsidP="003F7F8B">
      <w:pPr>
        <w:jc w:val="center"/>
        <w:rPr>
          <w:rFonts w:ascii="Times New Roman" w:hAnsi="Times New Roman"/>
          <w:b/>
          <w:sz w:val="28"/>
          <w:szCs w:val="28"/>
        </w:rPr>
      </w:pPr>
    </w:p>
    <w:p w:rsidR="003F7F8B" w:rsidRPr="004D3807" w:rsidRDefault="00E20492" w:rsidP="003F7F8B">
      <w:pPr>
        <w:jc w:val="center"/>
        <w:rPr>
          <w:rFonts w:ascii="Times New Roman" w:hAnsi="Times New Roman"/>
          <w:sz w:val="28"/>
          <w:szCs w:val="28"/>
        </w:rPr>
      </w:pPr>
      <w:r>
        <w:rPr>
          <w:rFonts w:ascii="Times New Roman" w:hAnsi="Times New Roman"/>
          <w:sz w:val="28"/>
          <w:szCs w:val="28"/>
        </w:rPr>
        <w:t>November</w:t>
      </w:r>
      <w:r w:rsidR="00CE1126">
        <w:rPr>
          <w:rFonts w:ascii="Times New Roman" w:hAnsi="Times New Roman"/>
          <w:sz w:val="28"/>
          <w:szCs w:val="28"/>
        </w:rPr>
        <w:t xml:space="preserve"> 17</w:t>
      </w:r>
      <w:r w:rsidR="003F7F8B" w:rsidRPr="004D3807">
        <w:rPr>
          <w:rFonts w:ascii="Times New Roman" w:hAnsi="Times New Roman"/>
          <w:sz w:val="28"/>
          <w:szCs w:val="28"/>
        </w:rPr>
        <w:t>, 2015</w:t>
      </w:r>
    </w:p>
    <w:p w:rsidR="003F7F8B" w:rsidRPr="004D3807" w:rsidRDefault="003F7F8B" w:rsidP="003F7F8B">
      <w:pPr>
        <w:jc w:val="center"/>
        <w:rPr>
          <w:rFonts w:ascii="Times New Roman" w:hAnsi="Times New Roman"/>
          <w:b/>
          <w:sz w:val="28"/>
          <w:szCs w:val="28"/>
        </w:rPr>
      </w:pPr>
    </w:p>
    <w:p w:rsidR="003F7F8B" w:rsidRPr="004D3807" w:rsidRDefault="003F7F8B" w:rsidP="003F7F8B">
      <w:pPr>
        <w:jc w:val="center"/>
        <w:rPr>
          <w:rFonts w:ascii="Times New Roman" w:hAnsi="Times New Roman"/>
          <w:b/>
          <w:sz w:val="28"/>
          <w:szCs w:val="28"/>
        </w:rPr>
      </w:pPr>
    </w:p>
    <w:p w:rsidR="003F7F8B" w:rsidRPr="004D3807" w:rsidRDefault="003F7F8B" w:rsidP="003F7F8B">
      <w:pPr>
        <w:rPr>
          <w:rFonts w:ascii="Times New Roman" w:hAnsi="Times New Roman"/>
          <w:sz w:val="28"/>
          <w:szCs w:val="28"/>
        </w:rPr>
      </w:pPr>
    </w:p>
    <w:p w:rsidR="003F7F8B" w:rsidRPr="004D3807" w:rsidRDefault="003F7F8B" w:rsidP="003F7F8B">
      <w:pPr>
        <w:jc w:val="center"/>
        <w:rPr>
          <w:rFonts w:ascii="Times New Roman" w:hAnsi="Times New Roman"/>
          <w:sz w:val="28"/>
          <w:szCs w:val="28"/>
        </w:rPr>
      </w:pPr>
      <w:r w:rsidRPr="004D3807">
        <w:rPr>
          <w:rFonts w:ascii="Times New Roman" w:hAnsi="Times New Roman"/>
          <w:sz w:val="28"/>
          <w:szCs w:val="28"/>
        </w:rPr>
        <w:t>Tony Beck, Ph.D.</w:t>
      </w:r>
    </w:p>
    <w:p w:rsidR="003F7F8B" w:rsidRPr="004D3807" w:rsidRDefault="003F7F8B" w:rsidP="003F7F8B">
      <w:pPr>
        <w:jc w:val="center"/>
        <w:rPr>
          <w:rFonts w:ascii="Times New Roman" w:hAnsi="Times New Roman"/>
          <w:sz w:val="28"/>
          <w:szCs w:val="28"/>
        </w:rPr>
      </w:pPr>
      <w:r w:rsidRPr="004D3807">
        <w:rPr>
          <w:rFonts w:ascii="Times New Roman" w:hAnsi="Times New Roman"/>
          <w:sz w:val="28"/>
          <w:szCs w:val="28"/>
        </w:rPr>
        <w:t>Office of Science Education/SEPA</w:t>
      </w:r>
    </w:p>
    <w:p w:rsidR="003F7F8B" w:rsidRPr="004D3807" w:rsidRDefault="003F7F8B" w:rsidP="003F7F8B">
      <w:pPr>
        <w:jc w:val="center"/>
        <w:rPr>
          <w:rFonts w:ascii="Times New Roman" w:hAnsi="Times New Roman"/>
          <w:sz w:val="28"/>
          <w:szCs w:val="28"/>
        </w:rPr>
      </w:pPr>
      <w:r w:rsidRPr="004D3807">
        <w:rPr>
          <w:rFonts w:ascii="Times New Roman" w:hAnsi="Times New Roman"/>
          <w:sz w:val="28"/>
          <w:szCs w:val="28"/>
        </w:rPr>
        <w:t>Office of Research Infrastructure Programs (ORIP)</w:t>
      </w:r>
    </w:p>
    <w:p w:rsidR="003F7F8B" w:rsidRPr="004D3807" w:rsidRDefault="003F7F8B" w:rsidP="003F7F8B">
      <w:pPr>
        <w:jc w:val="center"/>
        <w:rPr>
          <w:rFonts w:ascii="Times New Roman" w:hAnsi="Times New Roman"/>
          <w:sz w:val="28"/>
          <w:szCs w:val="28"/>
        </w:rPr>
      </w:pPr>
      <w:r w:rsidRPr="004D3807">
        <w:rPr>
          <w:rFonts w:ascii="Times New Roman" w:hAnsi="Times New Roman"/>
          <w:sz w:val="28"/>
          <w:szCs w:val="28"/>
        </w:rPr>
        <w:t>Division of Program Coordination, Planning, and Strategic Initiatives (DPCPSI)</w:t>
      </w:r>
    </w:p>
    <w:p w:rsidR="003F7F8B" w:rsidRPr="004D3807" w:rsidRDefault="003F7F8B" w:rsidP="003F7F8B">
      <w:pPr>
        <w:jc w:val="center"/>
        <w:rPr>
          <w:rFonts w:ascii="Times New Roman" w:hAnsi="Times New Roman"/>
          <w:sz w:val="28"/>
          <w:szCs w:val="28"/>
        </w:rPr>
      </w:pPr>
      <w:r w:rsidRPr="004D3807">
        <w:rPr>
          <w:rFonts w:ascii="Times New Roman" w:hAnsi="Times New Roman"/>
          <w:sz w:val="28"/>
          <w:szCs w:val="28"/>
        </w:rPr>
        <w:t>Office of the Director</w:t>
      </w:r>
    </w:p>
    <w:p w:rsidR="003F7F8B" w:rsidRPr="004D3807" w:rsidRDefault="003F7F8B" w:rsidP="003F7F8B">
      <w:pPr>
        <w:jc w:val="center"/>
        <w:rPr>
          <w:rFonts w:ascii="Times New Roman" w:hAnsi="Times New Roman"/>
          <w:sz w:val="28"/>
          <w:szCs w:val="28"/>
        </w:rPr>
      </w:pPr>
      <w:r w:rsidRPr="004D3807">
        <w:rPr>
          <w:rFonts w:ascii="Times New Roman" w:hAnsi="Times New Roman"/>
          <w:sz w:val="28"/>
          <w:szCs w:val="28"/>
        </w:rPr>
        <w:t>National Institutes of Health</w:t>
      </w:r>
    </w:p>
    <w:p w:rsidR="003F7F8B" w:rsidRPr="004D3807" w:rsidRDefault="003F7F8B" w:rsidP="003F7F8B">
      <w:pPr>
        <w:jc w:val="center"/>
        <w:rPr>
          <w:rFonts w:ascii="Times New Roman" w:hAnsi="Times New Roman"/>
          <w:sz w:val="28"/>
          <w:szCs w:val="28"/>
        </w:rPr>
      </w:pPr>
      <w:r w:rsidRPr="004D3807">
        <w:rPr>
          <w:rFonts w:ascii="Times New Roman" w:hAnsi="Times New Roman"/>
          <w:sz w:val="28"/>
          <w:szCs w:val="28"/>
        </w:rPr>
        <w:t>6701 Democracy Blvd, Room 206</w:t>
      </w:r>
    </w:p>
    <w:p w:rsidR="003F7F8B" w:rsidRPr="004D3807" w:rsidRDefault="003F7F8B" w:rsidP="003F7F8B">
      <w:pPr>
        <w:jc w:val="center"/>
        <w:rPr>
          <w:rFonts w:ascii="Times New Roman" w:hAnsi="Times New Roman"/>
          <w:sz w:val="28"/>
          <w:szCs w:val="28"/>
        </w:rPr>
      </w:pPr>
      <w:r w:rsidRPr="004D3807">
        <w:rPr>
          <w:rFonts w:ascii="Times New Roman" w:hAnsi="Times New Roman"/>
          <w:sz w:val="28"/>
          <w:szCs w:val="28"/>
        </w:rPr>
        <w:t>Bethesda, MD 20892</w:t>
      </w:r>
    </w:p>
    <w:p w:rsidR="003F7F8B" w:rsidRPr="004D3807" w:rsidRDefault="003F7F8B" w:rsidP="003F7F8B">
      <w:pPr>
        <w:tabs>
          <w:tab w:val="left" w:pos="3600"/>
        </w:tabs>
        <w:ind w:left="3600"/>
        <w:jc w:val="center"/>
        <w:rPr>
          <w:rFonts w:ascii="Times New Roman" w:hAnsi="Times New Roman"/>
          <w:sz w:val="28"/>
          <w:szCs w:val="28"/>
        </w:rPr>
      </w:pPr>
    </w:p>
    <w:p w:rsidR="003F7F8B" w:rsidRPr="004D3807" w:rsidRDefault="003F7F8B" w:rsidP="003F7F8B">
      <w:pPr>
        <w:jc w:val="center"/>
        <w:rPr>
          <w:rFonts w:ascii="Times New Roman" w:hAnsi="Times New Roman"/>
          <w:sz w:val="28"/>
          <w:szCs w:val="28"/>
        </w:rPr>
      </w:pPr>
      <w:r w:rsidRPr="004D3807">
        <w:rPr>
          <w:rFonts w:ascii="Times New Roman" w:hAnsi="Times New Roman"/>
          <w:sz w:val="28"/>
          <w:szCs w:val="28"/>
        </w:rPr>
        <w:t>Telephone: 301-435-0805</w:t>
      </w:r>
    </w:p>
    <w:p w:rsidR="003F7F8B" w:rsidRPr="004D3807" w:rsidRDefault="003F7F8B" w:rsidP="003F7F8B">
      <w:pPr>
        <w:jc w:val="center"/>
        <w:rPr>
          <w:rFonts w:ascii="Times New Roman" w:hAnsi="Times New Roman"/>
          <w:sz w:val="28"/>
          <w:szCs w:val="28"/>
        </w:rPr>
      </w:pPr>
      <w:r w:rsidRPr="004D3807">
        <w:rPr>
          <w:rFonts w:ascii="Times New Roman" w:hAnsi="Times New Roman"/>
          <w:sz w:val="28"/>
          <w:szCs w:val="28"/>
        </w:rPr>
        <w:t xml:space="preserve">E-mail: </w:t>
      </w:r>
      <w:hyperlink r:id="rId9" w:history="1">
        <w:r w:rsidRPr="004D3807">
          <w:rPr>
            <w:rFonts w:ascii="Times New Roman" w:hAnsi="Times New Roman"/>
            <w:color w:val="0000FF"/>
            <w:sz w:val="28"/>
            <w:szCs w:val="28"/>
            <w:u w:val="single"/>
          </w:rPr>
          <w:t>beckl@mail.nih.gov</w:t>
        </w:r>
      </w:hyperlink>
    </w:p>
    <w:p w:rsidR="003F7F8B" w:rsidRPr="004D3807" w:rsidRDefault="003F7F8B" w:rsidP="003F7F8B">
      <w:pPr>
        <w:tabs>
          <w:tab w:val="left" w:pos="3600"/>
        </w:tabs>
        <w:ind w:left="3600"/>
        <w:jc w:val="center"/>
        <w:rPr>
          <w:rFonts w:ascii="Times New Roman" w:hAnsi="Times New Roman"/>
          <w:sz w:val="28"/>
          <w:szCs w:val="28"/>
        </w:rPr>
      </w:pPr>
    </w:p>
    <w:p w:rsidR="003F7F8B" w:rsidRPr="004D3807" w:rsidRDefault="003F7F8B" w:rsidP="003F7F8B">
      <w:pPr>
        <w:jc w:val="center"/>
        <w:rPr>
          <w:rFonts w:ascii="Times New Roman" w:hAnsi="Times New Roman"/>
        </w:rPr>
      </w:pPr>
    </w:p>
    <w:p w:rsidR="003F7F8B" w:rsidRPr="003F7F8B" w:rsidRDefault="003F7F8B" w:rsidP="003F7F8B">
      <w:pPr>
        <w:jc w:val="center"/>
        <w:rPr>
          <w:szCs w:val="22"/>
        </w:rPr>
      </w:pPr>
    </w:p>
    <w:p w:rsidR="003F7F8B" w:rsidRPr="004B2505" w:rsidRDefault="003F7F8B" w:rsidP="003F7F8B">
      <w:pPr>
        <w:tabs>
          <w:tab w:val="left" w:pos="3510"/>
        </w:tabs>
        <w:jc w:val="center"/>
        <w:rPr>
          <w:rFonts w:ascii="Times New Roman" w:hAnsi="Times New Roman"/>
          <w:b/>
          <w:szCs w:val="24"/>
        </w:rPr>
      </w:pPr>
      <w:r w:rsidRPr="003F7F8B">
        <w:br w:type="page"/>
      </w:r>
      <w:bookmarkStart w:id="0" w:name="_Toc5610271"/>
      <w:r w:rsidRPr="004B2505">
        <w:rPr>
          <w:rFonts w:ascii="Times New Roman" w:hAnsi="Times New Roman"/>
          <w:b/>
          <w:szCs w:val="24"/>
        </w:rPr>
        <w:lastRenderedPageBreak/>
        <w:t>Table of Contents</w:t>
      </w:r>
    </w:p>
    <w:p w:rsidR="00E1241A" w:rsidRPr="003F7F8B" w:rsidRDefault="00E1241A" w:rsidP="003F7F8B">
      <w:pPr>
        <w:tabs>
          <w:tab w:val="left" w:pos="3510"/>
        </w:tabs>
        <w:jc w:val="center"/>
        <w:rPr>
          <w:b/>
          <w:szCs w:val="24"/>
        </w:rPr>
      </w:pPr>
    </w:p>
    <w:p w:rsidR="00EA574F" w:rsidRPr="009846CE" w:rsidRDefault="00EA574F" w:rsidP="009846CE">
      <w:pPr>
        <w:pStyle w:val="TOC1"/>
        <w:tabs>
          <w:tab w:val="clear" w:pos="1440"/>
        </w:tabs>
        <w:spacing w:after="120"/>
        <w:rPr>
          <w:rStyle w:val="Hyperlink"/>
          <w:rFonts w:ascii="Times New Roman" w:hAnsi="Times New Roman"/>
          <w:noProof/>
          <w:szCs w:val="24"/>
        </w:rPr>
      </w:pPr>
      <w:r w:rsidRPr="009846CE">
        <w:rPr>
          <w:rFonts w:ascii="Times New Roman" w:hAnsi="Times New Roman"/>
          <w:caps/>
          <w:noProof/>
          <w:szCs w:val="24"/>
        </w:rPr>
        <w:tab/>
      </w:r>
      <w:r w:rsidRPr="001B03B2">
        <w:rPr>
          <w:rFonts w:ascii="Times New Roman" w:hAnsi="Times New Roman"/>
          <w:noProof/>
          <w:szCs w:val="24"/>
        </w:rPr>
        <w:t>Supporting Statement A. Justification</w:t>
      </w:r>
      <w:r w:rsidRPr="009846CE">
        <w:rPr>
          <w:rFonts w:ascii="Times New Roman" w:hAnsi="Times New Roman"/>
          <w:noProof/>
          <w:webHidden/>
          <w:szCs w:val="24"/>
        </w:rPr>
        <w:tab/>
      </w:r>
      <w:r w:rsidRPr="009846CE">
        <w:rPr>
          <w:rFonts w:ascii="Times New Roman" w:hAnsi="Times New Roman"/>
          <w:noProof/>
          <w:webHidden/>
          <w:szCs w:val="24"/>
        </w:rPr>
        <w:tab/>
        <w:t>1</w:t>
      </w:r>
    </w:p>
    <w:p w:rsidR="00EA574F" w:rsidRPr="009846CE" w:rsidRDefault="00EA574F" w:rsidP="009846CE">
      <w:pPr>
        <w:pStyle w:val="TOC2"/>
        <w:spacing w:after="120"/>
        <w:rPr>
          <w:rFonts w:ascii="Times New Roman" w:eastAsiaTheme="minorEastAsia" w:hAnsi="Times New Roman"/>
          <w:noProof/>
          <w:szCs w:val="24"/>
        </w:rPr>
      </w:pPr>
      <w:r w:rsidRPr="001B03B2">
        <w:rPr>
          <w:rFonts w:ascii="Times New Roman" w:hAnsi="Times New Roman"/>
          <w:noProof/>
          <w:szCs w:val="24"/>
        </w:rPr>
        <w:t>Introduction</w:t>
      </w:r>
      <w:r w:rsidRPr="009846CE">
        <w:rPr>
          <w:rFonts w:ascii="Times New Roman" w:hAnsi="Times New Roman"/>
          <w:noProof/>
          <w:webHidden/>
          <w:szCs w:val="24"/>
        </w:rPr>
        <w:tab/>
      </w:r>
      <w:r w:rsidRPr="009846CE">
        <w:rPr>
          <w:rFonts w:ascii="Times New Roman" w:hAnsi="Times New Roman"/>
          <w:noProof/>
          <w:webHidden/>
          <w:szCs w:val="24"/>
        </w:rPr>
        <w:tab/>
        <w:t>1</w:t>
      </w:r>
    </w:p>
    <w:p w:rsidR="00EA574F" w:rsidRPr="009846CE" w:rsidRDefault="00EA574F" w:rsidP="009846CE">
      <w:pPr>
        <w:pStyle w:val="TOC2"/>
        <w:spacing w:after="120"/>
        <w:rPr>
          <w:rStyle w:val="Hyperlink"/>
          <w:rFonts w:ascii="Times New Roman" w:hAnsi="Times New Roman"/>
          <w:noProof/>
          <w:szCs w:val="24"/>
        </w:rPr>
      </w:pPr>
      <w:r w:rsidRPr="001B03B2">
        <w:rPr>
          <w:rFonts w:ascii="Times New Roman" w:hAnsi="Times New Roman"/>
          <w:noProof/>
          <w:szCs w:val="24"/>
        </w:rPr>
        <w:t>Overview of the SEPA Program</w:t>
      </w:r>
      <w:r w:rsidRPr="009846CE">
        <w:rPr>
          <w:rFonts w:ascii="Times New Roman" w:hAnsi="Times New Roman"/>
          <w:noProof/>
          <w:webHidden/>
          <w:szCs w:val="24"/>
        </w:rPr>
        <w:tab/>
      </w:r>
      <w:r w:rsidRPr="009846CE">
        <w:rPr>
          <w:rFonts w:ascii="Times New Roman" w:hAnsi="Times New Roman"/>
          <w:noProof/>
          <w:webHidden/>
          <w:szCs w:val="24"/>
        </w:rPr>
        <w:tab/>
        <w:t>2</w:t>
      </w:r>
    </w:p>
    <w:p w:rsidR="00EA574F" w:rsidRPr="009846CE" w:rsidRDefault="00EA574F" w:rsidP="00EA574F">
      <w:pPr>
        <w:pStyle w:val="TOC1"/>
        <w:tabs>
          <w:tab w:val="clear" w:pos="1440"/>
        </w:tabs>
        <w:rPr>
          <w:rFonts w:ascii="Times New Roman" w:eastAsiaTheme="minorEastAsia" w:hAnsi="Times New Roman"/>
          <w:noProof/>
          <w:szCs w:val="24"/>
        </w:rPr>
      </w:pPr>
      <w:r w:rsidRPr="001B03B2">
        <w:rPr>
          <w:rFonts w:ascii="Times New Roman" w:hAnsi="Times New Roman"/>
          <w:noProof/>
          <w:szCs w:val="24"/>
        </w:rPr>
        <w:t>A.1.</w:t>
      </w:r>
      <w:r w:rsidRPr="009846CE">
        <w:rPr>
          <w:rFonts w:ascii="Times New Roman" w:eastAsiaTheme="minorEastAsia" w:hAnsi="Times New Roman"/>
          <w:noProof/>
          <w:szCs w:val="24"/>
        </w:rPr>
        <w:tab/>
      </w:r>
      <w:r w:rsidRPr="001B03B2">
        <w:rPr>
          <w:rFonts w:ascii="Times New Roman" w:hAnsi="Times New Roman"/>
          <w:noProof/>
          <w:szCs w:val="24"/>
        </w:rPr>
        <w:t>Circumstances Making the Collection of Information Necessary</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3</w:t>
      </w:r>
    </w:p>
    <w:p w:rsidR="00EA574F" w:rsidRPr="009846CE" w:rsidRDefault="00EA574F" w:rsidP="009846CE">
      <w:pPr>
        <w:pStyle w:val="TOC1"/>
        <w:tabs>
          <w:tab w:val="clear" w:pos="1440"/>
        </w:tabs>
        <w:spacing w:after="120"/>
        <w:rPr>
          <w:rFonts w:ascii="Times New Roman" w:eastAsiaTheme="minorEastAsia" w:hAnsi="Times New Roman"/>
          <w:noProof/>
          <w:szCs w:val="24"/>
        </w:rPr>
      </w:pPr>
      <w:r w:rsidRPr="001B03B2">
        <w:rPr>
          <w:rFonts w:ascii="Times New Roman" w:hAnsi="Times New Roman"/>
          <w:noProof/>
          <w:szCs w:val="24"/>
        </w:rPr>
        <w:t>A.2.</w:t>
      </w:r>
      <w:r w:rsidRPr="009846CE">
        <w:rPr>
          <w:rFonts w:ascii="Times New Roman" w:eastAsiaTheme="minorEastAsia" w:hAnsi="Times New Roman"/>
          <w:noProof/>
          <w:szCs w:val="24"/>
        </w:rPr>
        <w:tab/>
      </w:r>
      <w:r w:rsidRPr="001B03B2">
        <w:rPr>
          <w:rFonts w:ascii="Times New Roman" w:hAnsi="Times New Roman"/>
          <w:noProof/>
          <w:szCs w:val="24"/>
        </w:rPr>
        <w:t>Purpose and Use of the Information Collection</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3</w:t>
      </w:r>
    </w:p>
    <w:p w:rsidR="00EA574F" w:rsidRPr="009846CE" w:rsidRDefault="00EA574F" w:rsidP="00EA574F">
      <w:pPr>
        <w:pStyle w:val="TOC2"/>
        <w:rPr>
          <w:rFonts w:ascii="Times New Roman" w:eastAsiaTheme="minorEastAsia" w:hAnsi="Times New Roman"/>
          <w:noProof/>
          <w:szCs w:val="24"/>
        </w:rPr>
      </w:pPr>
      <w:r w:rsidRPr="001B03B2">
        <w:rPr>
          <w:rFonts w:ascii="Times New Roman" w:hAnsi="Times New Roman"/>
          <w:noProof/>
          <w:szCs w:val="24"/>
        </w:rPr>
        <w:t>A.2.1.</w:t>
      </w:r>
      <w:r w:rsidRPr="009846CE">
        <w:rPr>
          <w:rFonts w:ascii="Times New Roman" w:eastAsiaTheme="minorEastAsia" w:hAnsi="Times New Roman"/>
          <w:noProof/>
          <w:szCs w:val="24"/>
        </w:rPr>
        <w:tab/>
      </w:r>
      <w:r w:rsidRPr="001B03B2">
        <w:rPr>
          <w:rFonts w:ascii="Times New Roman" w:hAnsi="Times New Roman"/>
          <w:noProof/>
          <w:szCs w:val="24"/>
        </w:rPr>
        <w:t>Research Questions</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4</w:t>
      </w:r>
    </w:p>
    <w:p w:rsidR="00EA574F" w:rsidRPr="009846CE" w:rsidRDefault="00EA574F" w:rsidP="009846CE">
      <w:pPr>
        <w:pStyle w:val="TOC2"/>
        <w:spacing w:after="120"/>
        <w:rPr>
          <w:rFonts w:ascii="Times New Roman" w:eastAsiaTheme="minorEastAsia" w:hAnsi="Times New Roman"/>
          <w:noProof/>
          <w:szCs w:val="24"/>
        </w:rPr>
      </w:pPr>
      <w:r w:rsidRPr="001B03B2">
        <w:rPr>
          <w:rFonts w:ascii="Times New Roman" w:hAnsi="Times New Roman"/>
          <w:noProof/>
          <w:szCs w:val="24"/>
        </w:rPr>
        <w:t>A.2.2.</w:t>
      </w:r>
      <w:r w:rsidRPr="009846CE">
        <w:rPr>
          <w:rFonts w:ascii="Times New Roman" w:eastAsiaTheme="minorEastAsia" w:hAnsi="Times New Roman"/>
          <w:noProof/>
          <w:szCs w:val="24"/>
        </w:rPr>
        <w:tab/>
      </w:r>
      <w:r w:rsidRPr="001B03B2">
        <w:rPr>
          <w:rFonts w:ascii="Times New Roman" w:hAnsi="Times New Roman"/>
          <w:noProof/>
          <w:szCs w:val="24"/>
        </w:rPr>
        <w:t>Overview of Data Collection Modes</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4</w:t>
      </w:r>
    </w:p>
    <w:p w:rsidR="00EA574F" w:rsidRPr="009846CE" w:rsidRDefault="00EA574F" w:rsidP="00EA574F">
      <w:pPr>
        <w:pStyle w:val="TOC1"/>
        <w:tabs>
          <w:tab w:val="clear" w:pos="1440"/>
        </w:tabs>
        <w:rPr>
          <w:rFonts w:ascii="Times New Roman" w:eastAsiaTheme="minorEastAsia" w:hAnsi="Times New Roman"/>
          <w:noProof/>
          <w:szCs w:val="24"/>
        </w:rPr>
      </w:pPr>
      <w:r w:rsidRPr="001B03B2">
        <w:rPr>
          <w:rFonts w:ascii="Times New Roman" w:hAnsi="Times New Roman"/>
          <w:noProof/>
          <w:szCs w:val="24"/>
        </w:rPr>
        <w:t>A.3.</w:t>
      </w:r>
      <w:r w:rsidRPr="009846CE">
        <w:rPr>
          <w:rFonts w:ascii="Times New Roman" w:eastAsiaTheme="minorEastAsia" w:hAnsi="Times New Roman"/>
          <w:noProof/>
          <w:szCs w:val="24"/>
        </w:rPr>
        <w:tab/>
      </w:r>
      <w:r w:rsidRPr="001B03B2">
        <w:rPr>
          <w:rFonts w:ascii="Times New Roman" w:hAnsi="Times New Roman"/>
          <w:noProof/>
          <w:szCs w:val="24"/>
        </w:rPr>
        <w:t>Use of Information Technology and Burden Reduction</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7</w:t>
      </w:r>
    </w:p>
    <w:p w:rsidR="00EA574F" w:rsidRPr="009846CE" w:rsidRDefault="00EA574F" w:rsidP="00EA574F">
      <w:pPr>
        <w:pStyle w:val="TOC1"/>
        <w:tabs>
          <w:tab w:val="clear" w:pos="1440"/>
        </w:tabs>
        <w:rPr>
          <w:rFonts w:ascii="Times New Roman" w:eastAsiaTheme="minorEastAsia" w:hAnsi="Times New Roman"/>
          <w:noProof/>
          <w:szCs w:val="24"/>
        </w:rPr>
      </w:pPr>
      <w:r w:rsidRPr="001B03B2">
        <w:rPr>
          <w:rFonts w:ascii="Times New Roman" w:hAnsi="Times New Roman"/>
          <w:noProof/>
          <w:szCs w:val="24"/>
        </w:rPr>
        <w:t>A.4.</w:t>
      </w:r>
      <w:r w:rsidRPr="009846CE">
        <w:rPr>
          <w:rFonts w:ascii="Times New Roman" w:eastAsiaTheme="minorEastAsia" w:hAnsi="Times New Roman"/>
          <w:noProof/>
          <w:szCs w:val="24"/>
        </w:rPr>
        <w:tab/>
      </w:r>
      <w:r w:rsidRPr="001B03B2">
        <w:rPr>
          <w:rFonts w:ascii="Times New Roman" w:hAnsi="Times New Roman"/>
          <w:noProof/>
          <w:szCs w:val="24"/>
        </w:rPr>
        <w:t>Efforts to Identify Duplication and Use of Similar Information</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12</w:t>
      </w:r>
    </w:p>
    <w:p w:rsidR="00EA574F" w:rsidRPr="009846CE" w:rsidRDefault="00EA574F" w:rsidP="00EA574F">
      <w:pPr>
        <w:pStyle w:val="TOC1"/>
        <w:tabs>
          <w:tab w:val="clear" w:pos="1440"/>
        </w:tabs>
        <w:rPr>
          <w:rFonts w:ascii="Times New Roman" w:eastAsiaTheme="minorEastAsia" w:hAnsi="Times New Roman"/>
          <w:noProof/>
          <w:szCs w:val="24"/>
        </w:rPr>
      </w:pPr>
      <w:r w:rsidRPr="001B03B2">
        <w:rPr>
          <w:rFonts w:ascii="Times New Roman" w:hAnsi="Times New Roman"/>
          <w:noProof/>
          <w:szCs w:val="24"/>
        </w:rPr>
        <w:t>A.5.</w:t>
      </w:r>
      <w:r w:rsidRPr="009846CE">
        <w:rPr>
          <w:rFonts w:ascii="Times New Roman" w:eastAsiaTheme="minorEastAsia" w:hAnsi="Times New Roman"/>
          <w:noProof/>
          <w:szCs w:val="24"/>
        </w:rPr>
        <w:tab/>
      </w:r>
      <w:r w:rsidRPr="001B03B2">
        <w:rPr>
          <w:rFonts w:ascii="Times New Roman" w:hAnsi="Times New Roman"/>
          <w:noProof/>
          <w:szCs w:val="24"/>
        </w:rPr>
        <w:t>Impact on Small Businesses and Other Small Entities</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12</w:t>
      </w:r>
    </w:p>
    <w:p w:rsidR="00EA574F" w:rsidRPr="009846CE" w:rsidRDefault="00EA574F" w:rsidP="00EA574F">
      <w:pPr>
        <w:pStyle w:val="TOC1"/>
        <w:tabs>
          <w:tab w:val="clear" w:pos="1440"/>
        </w:tabs>
        <w:rPr>
          <w:rFonts w:ascii="Times New Roman" w:eastAsiaTheme="minorEastAsia" w:hAnsi="Times New Roman"/>
          <w:noProof/>
          <w:szCs w:val="24"/>
        </w:rPr>
      </w:pPr>
      <w:r w:rsidRPr="001B03B2">
        <w:rPr>
          <w:rFonts w:ascii="Times New Roman" w:hAnsi="Times New Roman"/>
          <w:noProof/>
          <w:szCs w:val="24"/>
        </w:rPr>
        <w:t>A.6.</w:t>
      </w:r>
      <w:r w:rsidRPr="009846CE">
        <w:rPr>
          <w:rFonts w:ascii="Times New Roman" w:eastAsiaTheme="minorEastAsia" w:hAnsi="Times New Roman"/>
          <w:noProof/>
          <w:szCs w:val="24"/>
        </w:rPr>
        <w:tab/>
      </w:r>
      <w:r w:rsidRPr="001B03B2">
        <w:rPr>
          <w:rFonts w:ascii="Times New Roman" w:hAnsi="Times New Roman"/>
          <w:noProof/>
          <w:szCs w:val="24"/>
        </w:rPr>
        <w:t>Consequences of Collecting the Information Less Frequently</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13</w:t>
      </w:r>
    </w:p>
    <w:p w:rsidR="00EA574F" w:rsidRPr="009846CE" w:rsidRDefault="00EA574F" w:rsidP="00EA574F">
      <w:pPr>
        <w:pStyle w:val="TOC1"/>
        <w:tabs>
          <w:tab w:val="clear" w:pos="1440"/>
        </w:tabs>
        <w:rPr>
          <w:rFonts w:ascii="Times New Roman" w:eastAsiaTheme="minorEastAsia" w:hAnsi="Times New Roman"/>
          <w:noProof/>
          <w:szCs w:val="24"/>
        </w:rPr>
      </w:pPr>
      <w:r w:rsidRPr="001B03B2">
        <w:rPr>
          <w:rFonts w:ascii="Times New Roman" w:hAnsi="Times New Roman"/>
          <w:noProof/>
          <w:szCs w:val="24"/>
        </w:rPr>
        <w:t>A.7.</w:t>
      </w:r>
      <w:r w:rsidRPr="009846CE">
        <w:rPr>
          <w:rFonts w:ascii="Times New Roman" w:eastAsiaTheme="minorEastAsia" w:hAnsi="Times New Roman"/>
          <w:noProof/>
          <w:szCs w:val="24"/>
        </w:rPr>
        <w:tab/>
      </w:r>
      <w:r w:rsidRPr="001B03B2">
        <w:rPr>
          <w:rFonts w:ascii="Times New Roman" w:hAnsi="Times New Roman"/>
          <w:noProof/>
          <w:szCs w:val="24"/>
        </w:rPr>
        <w:t>Special Circumstances Relating to the Guidelines in 5 CFR 1320.5</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13</w:t>
      </w:r>
    </w:p>
    <w:p w:rsidR="00EA574F" w:rsidRPr="009846CE" w:rsidRDefault="00EA574F" w:rsidP="00EA574F">
      <w:pPr>
        <w:pStyle w:val="TOC1"/>
        <w:tabs>
          <w:tab w:val="clear" w:pos="1440"/>
        </w:tabs>
        <w:rPr>
          <w:rFonts w:ascii="Times New Roman" w:eastAsiaTheme="minorEastAsia" w:hAnsi="Times New Roman"/>
          <w:noProof/>
          <w:szCs w:val="24"/>
        </w:rPr>
      </w:pPr>
      <w:r w:rsidRPr="001B03B2">
        <w:rPr>
          <w:rFonts w:ascii="Times New Roman" w:hAnsi="Times New Roman"/>
          <w:noProof/>
          <w:szCs w:val="24"/>
        </w:rPr>
        <w:t>A.8.</w:t>
      </w:r>
      <w:r w:rsidRPr="009846CE">
        <w:rPr>
          <w:rFonts w:ascii="Times New Roman" w:eastAsiaTheme="minorEastAsia" w:hAnsi="Times New Roman"/>
          <w:noProof/>
          <w:szCs w:val="24"/>
        </w:rPr>
        <w:tab/>
      </w:r>
      <w:r w:rsidRPr="001B03B2">
        <w:rPr>
          <w:rFonts w:ascii="Times New Roman" w:hAnsi="Times New Roman"/>
          <w:noProof/>
          <w:szCs w:val="24"/>
        </w:rPr>
        <w:t>Comments in Response to Federal Register Notice and Efforts to Consult Outside Agency</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13</w:t>
      </w:r>
    </w:p>
    <w:p w:rsidR="00EA574F" w:rsidRPr="009846CE" w:rsidRDefault="00EA574F" w:rsidP="00EA574F">
      <w:pPr>
        <w:pStyle w:val="TOC1"/>
        <w:tabs>
          <w:tab w:val="clear" w:pos="1440"/>
        </w:tabs>
        <w:rPr>
          <w:rFonts w:ascii="Times New Roman" w:eastAsiaTheme="minorEastAsia" w:hAnsi="Times New Roman"/>
          <w:noProof/>
          <w:szCs w:val="24"/>
        </w:rPr>
      </w:pPr>
      <w:r w:rsidRPr="001B03B2">
        <w:rPr>
          <w:rFonts w:ascii="Times New Roman" w:hAnsi="Times New Roman"/>
          <w:noProof/>
          <w:szCs w:val="24"/>
        </w:rPr>
        <w:t>A.9.</w:t>
      </w:r>
      <w:r w:rsidRPr="009846CE">
        <w:rPr>
          <w:rFonts w:ascii="Times New Roman" w:eastAsiaTheme="minorEastAsia" w:hAnsi="Times New Roman"/>
          <w:noProof/>
          <w:szCs w:val="24"/>
        </w:rPr>
        <w:tab/>
      </w:r>
      <w:r w:rsidRPr="001B03B2">
        <w:rPr>
          <w:rFonts w:ascii="Times New Roman" w:hAnsi="Times New Roman"/>
          <w:noProof/>
          <w:szCs w:val="24"/>
        </w:rPr>
        <w:t>Explanation of Any Payment of Gift to Respondents</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14</w:t>
      </w:r>
    </w:p>
    <w:p w:rsidR="00EA574F" w:rsidRPr="009846CE" w:rsidRDefault="00EA574F" w:rsidP="00EA574F">
      <w:pPr>
        <w:pStyle w:val="TOC1"/>
        <w:tabs>
          <w:tab w:val="clear" w:pos="1440"/>
        </w:tabs>
        <w:rPr>
          <w:rFonts w:ascii="Times New Roman" w:eastAsiaTheme="minorEastAsia" w:hAnsi="Times New Roman"/>
          <w:noProof/>
          <w:szCs w:val="24"/>
        </w:rPr>
      </w:pPr>
      <w:r w:rsidRPr="001B03B2">
        <w:rPr>
          <w:rFonts w:ascii="Times New Roman" w:hAnsi="Times New Roman"/>
          <w:noProof/>
          <w:szCs w:val="24"/>
        </w:rPr>
        <w:t>A.10.</w:t>
      </w:r>
      <w:r w:rsidRPr="009846CE">
        <w:rPr>
          <w:rFonts w:ascii="Times New Roman" w:eastAsiaTheme="minorEastAsia" w:hAnsi="Times New Roman"/>
          <w:noProof/>
          <w:szCs w:val="24"/>
        </w:rPr>
        <w:tab/>
      </w:r>
      <w:r w:rsidRPr="001B03B2">
        <w:rPr>
          <w:rFonts w:ascii="Times New Roman" w:hAnsi="Times New Roman"/>
          <w:noProof/>
          <w:szCs w:val="24"/>
        </w:rPr>
        <w:t>Assurance of Confidentiality Provided to Respondents</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14</w:t>
      </w:r>
    </w:p>
    <w:p w:rsidR="00EA574F" w:rsidRPr="009846CE" w:rsidRDefault="00EA574F" w:rsidP="00EA574F">
      <w:pPr>
        <w:pStyle w:val="TOC1"/>
        <w:tabs>
          <w:tab w:val="clear" w:pos="1440"/>
        </w:tabs>
        <w:rPr>
          <w:rFonts w:ascii="Times New Roman" w:eastAsiaTheme="minorEastAsia" w:hAnsi="Times New Roman"/>
          <w:noProof/>
          <w:szCs w:val="24"/>
        </w:rPr>
      </w:pPr>
      <w:r w:rsidRPr="001B03B2">
        <w:rPr>
          <w:rFonts w:ascii="Times New Roman" w:hAnsi="Times New Roman"/>
          <w:noProof/>
          <w:szCs w:val="24"/>
        </w:rPr>
        <w:t>A.11.</w:t>
      </w:r>
      <w:r w:rsidRPr="009846CE">
        <w:rPr>
          <w:rFonts w:ascii="Times New Roman" w:eastAsiaTheme="minorEastAsia" w:hAnsi="Times New Roman"/>
          <w:noProof/>
          <w:szCs w:val="24"/>
        </w:rPr>
        <w:tab/>
      </w:r>
      <w:r w:rsidRPr="001B03B2">
        <w:rPr>
          <w:rFonts w:ascii="Times New Roman" w:hAnsi="Times New Roman"/>
          <w:noProof/>
          <w:szCs w:val="24"/>
        </w:rPr>
        <w:t>Justification of Sensitive Questions</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15</w:t>
      </w:r>
    </w:p>
    <w:p w:rsidR="00EA574F" w:rsidRPr="009846CE" w:rsidRDefault="00EA574F" w:rsidP="00EA574F">
      <w:pPr>
        <w:pStyle w:val="TOC1"/>
        <w:tabs>
          <w:tab w:val="clear" w:pos="1440"/>
        </w:tabs>
        <w:rPr>
          <w:rFonts w:ascii="Times New Roman" w:eastAsiaTheme="minorEastAsia" w:hAnsi="Times New Roman"/>
          <w:noProof/>
          <w:szCs w:val="24"/>
        </w:rPr>
      </w:pPr>
      <w:r w:rsidRPr="001B03B2">
        <w:rPr>
          <w:rFonts w:ascii="Times New Roman" w:hAnsi="Times New Roman"/>
          <w:noProof/>
          <w:szCs w:val="24"/>
        </w:rPr>
        <w:t>A.12.</w:t>
      </w:r>
      <w:r w:rsidRPr="009846CE">
        <w:rPr>
          <w:rFonts w:ascii="Times New Roman" w:eastAsiaTheme="minorEastAsia" w:hAnsi="Times New Roman"/>
          <w:noProof/>
          <w:szCs w:val="24"/>
        </w:rPr>
        <w:tab/>
      </w:r>
      <w:r w:rsidRPr="001B03B2">
        <w:rPr>
          <w:rFonts w:ascii="Times New Roman" w:hAnsi="Times New Roman"/>
          <w:noProof/>
          <w:szCs w:val="24"/>
        </w:rPr>
        <w:t>Estimates of Hour Burden Including Annualized Hourly Costs</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16</w:t>
      </w:r>
    </w:p>
    <w:p w:rsidR="00EA574F" w:rsidRPr="009846CE" w:rsidRDefault="00EA574F" w:rsidP="00EA574F">
      <w:pPr>
        <w:pStyle w:val="TOC1"/>
        <w:tabs>
          <w:tab w:val="clear" w:pos="1440"/>
        </w:tabs>
        <w:rPr>
          <w:rFonts w:ascii="Times New Roman" w:eastAsiaTheme="minorEastAsia" w:hAnsi="Times New Roman"/>
          <w:noProof/>
          <w:szCs w:val="24"/>
        </w:rPr>
      </w:pPr>
      <w:r w:rsidRPr="001B03B2">
        <w:rPr>
          <w:rFonts w:ascii="Times New Roman" w:hAnsi="Times New Roman"/>
          <w:noProof/>
          <w:szCs w:val="24"/>
        </w:rPr>
        <w:t>A.13.</w:t>
      </w:r>
      <w:r w:rsidRPr="009846CE">
        <w:rPr>
          <w:rFonts w:ascii="Times New Roman" w:eastAsiaTheme="minorEastAsia" w:hAnsi="Times New Roman"/>
          <w:noProof/>
          <w:szCs w:val="24"/>
        </w:rPr>
        <w:tab/>
      </w:r>
      <w:r w:rsidRPr="001B03B2">
        <w:rPr>
          <w:rFonts w:ascii="Times New Roman" w:hAnsi="Times New Roman"/>
          <w:noProof/>
          <w:szCs w:val="24"/>
        </w:rPr>
        <w:t>Estimate of Other Total Annual Cost Burden to Respondents or Record Keepers</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18</w:t>
      </w:r>
    </w:p>
    <w:p w:rsidR="00EA574F" w:rsidRPr="009846CE" w:rsidRDefault="00EA574F" w:rsidP="00EA574F">
      <w:pPr>
        <w:pStyle w:val="TOC1"/>
        <w:tabs>
          <w:tab w:val="clear" w:pos="1440"/>
        </w:tabs>
        <w:rPr>
          <w:rFonts w:ascii="Times New Roman" w:eastAsiaTheme="minorEastAsia" w:hAnsi="Times New Roman"/>
          <w:noProof/>
          <w:szCs w:val="24"/>
        </w:rPr>
      </w:pPr>
      <w:r w:rsidRPr="001B03B2">
        <w:rPr>
          <w:rFonts w:ascii="Times New Roman" w:hAnsi="Times New Roman"/>
          <w:noProof/>
          <w:szCs w:val="24"/>
        </w:rPr>
        <w:t>A.14.</w:t>
      </w:r>
      <w:r w:rsidRPr="009846CE">
        <w:rPr>
          <w:rFonts w:ascii="Times New Roman" w:eastAsiaTheme="minorEastAsia" w:hAnsi="Times New Roman"/>
          <w:noProof/>
          <w:szCs w:val="24"/>
        </w:rPr>
        <w:tab/>
      </w:r>
      <w:r w:rsidRPr="001B03B2">
        <w:rPr>
          <w:rFonts w:ascii="Times New Roman" w:hAnsi="Times New Roman"/>
          <w:noProof/>
          <w:szCs w:val="24"/>
        </w:rPr>
        <w:t>Annualized Cost to the Federal Government</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18</w:t>
      </w:r>
    </w:p>
    <w:p w:rsidR="00EA574F" w:rsidRPr="009846CE" w:rsidRDefault="00EA574F" w:rsidP="00EA574F">
      <w:pPr>
        <w:pStyle w:val="TOC1"/>
        <w:tabs>
          <w:tab w:val="clear" w:pos="1440"/>
        </w:tabs>
        <w:rPr>
          <w:rFonts w:ascii="Times New Roman" w:eastAsiaTheme="minorEastAsia" w:hAnsi="Times New Roman"/>
          <w:noProof/>
          <w:szCs w:val="24"/>
        </w:rPr>
      </w:pPr>
      <w:r w:rsidRPr="001B03B2">
        <w:rPr>
          <w:rFonts w:ascii="Times New Roman" w:hAnsi="Times New Roman"/>
          <w:noProof/>
          <w:szCs w:val="24"/>
        </w:rPr>
        <w:t>A.15.</w:t>
      </w:r>
      <w:r w:rsidRPr="009846CE">
        <w:rPr>
          <w:rFonts w:ascii="Times New Roman" w:eastAsiaTheme="minorEastAsia" w:hAnsi="Times New Roman"/>
          <w:noProof/>
          <w:szCs w:val="24"/>
        </w:rPr>
        <w:tab/>
      </w:r>
      <w:r w:rsidRPr="001B03B2">
        <w:rPr>
          <w:rFonts w:ascii="Times New Roman" w:hAnsi="Times New Roman"/>
          <w:noProof/>
          <w:szCs w:val="24"/>
        </w:rPr>
        <w:t>Explanation for Program Changes or Adjustments</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19</w:t>
      </w:r>
    </w:p>
    <w:p w:rsidR="00EA574F" w:rsidRPr="009846CE" w:rsidRDefault="00EA574F" w:rsidP="009846CE">
      <w:pPr>
        <w:pStyle w:val="TOC1"/>
        <w:tabs>
          <w:tab w:val="clear" w:pos="1440"/>
        </w:tabs>
        <w:spacing w:after="120"/>
        <w:rPr>
          <w:rFonts w:ascii="Times New Roman" w:eastAsiaTheme="minorEastAsia" w:hAnsi="Times New Roman"/>
          <w:noProof/>
          <w:szCs w:val="24"/>
        </w:rPr>
      </w:pPr>
      <w:r w:rsidRPr="001B03B2">
        <w:rPr>
          <w:rFonts w:ascii="Times New Roman" w:hAnsi="Times New Roman"/>
          <w:noProof/>
          <w:szCs w:val="24"/>
        </w:rPr>
        <w:t>A.16.</w:t>
      </w:r>
      <w:r w:rsidRPr="009846CE">
        <w:rPr>
          <w:rFonts w:ascii="Times New Roman" w:eastAsiaTheme="minorEastAsia" w:hAnsi="Times New Roman"/>
          <w:noProof/>
          <w:szCs w:val="24"/>
        </w:rPr>
        <w:tab/>
      </w:r>
      <w:r w:rsidRPr="001B03B2">
        <w:rPr>
          <w:rFonts w:ascii="Times New Roman" w:hAnsi="Times New Roman"/>
          <w:noProof/>
          <w:szCs w:val="24"/>
        </w:rPr>
        <w:t>Plans for Tabulation and Publication and Project Time Schedule</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20</w:t>
      </w:r>
    </w:p>
    <w:p w:rsidR="00EA574F" w:rsidRPr="009846CE" w:rsidRDefault="00EA574F" w:rsidP="00EA574F">
      <w:pPr>
        <w:pStyle w:val="TOC2"/>
        <w:tabs>
          <w:tab w:val="clear" w:pos="2160"/>
        </w:tabs>
        <w:ind w:left="2430" w:hanging="990"/>
        <w:rPr>
          <w:rFonts w:ascii="Times New Roman" w:eastAsiaTheme="minorEastAsia" w:hAnsi="Times New Roman"/>
          <w:noProof/>
          <w:szCs w:val="24"/>
        </w:rPr>
      </w:pPr>
      <w:r w:rsidRPr="001B03B2">
        <w:rPr>
          <w:rFonts w:ascii="Times New Roman" w:hAnsi="Times New Roman"/>
          <w:noProof/>
          <w:szCs w:val="24"/>
        </w:rPr>
        <w:t>A.16.1.</w:t>
      </w:r>
      <w:r w:rsidRPr="009846CE">
        <w:rPr>
          <w:rFonts w:ascii="Times New Roman" w:eastAsiaTheme="minorEastAsia" w:hAnsi="Times New Roman"/>
          <w:noProof/>
          <w:szCs w:val="24"/>
        </w:rPr>
        <w:tab/>
      </w:r>
      <w:r w:rsidRPr="001B03B2">
        <w:rPr>
          <w:rFonts w:ascii="Times New Roman" w:hAnsi="Times New Roman"/>
          <w:noProof/>
          <w:szCs w:val="24"/>
        </w:rPr>
        <w:t>Analysis of the Study Data</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20</w:t>
      </w:r>
    </w:p>
    <w:p w:rsidR="00EA574F" w:rsidRPr="009846CE" w:rsidRDefault="00EA574F" w:rsidP="00EA574F">
      <w:pPr>
        <w:pStyle w:val="TOC2"/>
        <w:tabs>
          <w:tab w:val="clear" w:pos="2160"/>
        </w:tabs>
        <w:ind w:left="2430" w:hanging="990"/>
        <w:rPr>
          <w:rFonts w:ascii="Times New Roman" w:eastAsiaTheme="minorEastAsia" w:hAnsi="Times New Roman"/>
          <w:noProof/>
          <w:szCs w:val="24"/>
        </w:rPr>
      </w:pPr>
      <w:r w:rsidRPr="001B03B2">
        <w:rPr>
          <w:rFonts w:ascii="Times New Roman" w:hAnsi="Times New Roman"/>
          <w:noProof/>
          <w:szCs w:val="24"/>
        </w:rPr>
        <w:t>A.16.2.</w:t>
      </w:r>
      <w:r w:rsidRPr="009846CE">
        <w:rPr>
          <w:rFonts w:ascii="Times New Roman" w:eastAsiaTheme="minorEastAsia" w:hAnsi="Times New Roman"/>
          <w:noProof/>
          <w:szCs w:val="24"/>
        </w:rPr>
        <w:tab/>
      </w:r>
      <w:r w:rsidRPr="001B03B2">
        <w:rPr>
          <w:rFonts w:ascii="Times New Roman" w:hAnsi="Times New Roman"/>
          <w:noProof/>
          <w:szCs w:val="24"/>
        </w:rPr>
        <w:t>Products of the Study</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20</w:t>
      </w:r>
    </w:p>
    <w:p w:rsidR="00EA574F" w:rsidRPr="009846CE" w:rsidRDefault="00EA574F" w:rsidP="00EA574F">
      <w:pPr>
        <w:pStyle w:val="TOC2"/>
        <w:tabs>
          <w:tab w:val="clear" w:pos="2160"/>
        </w:tabs>
        <w:ind w:left="2430" w:hanging="990"/>
        <w:rPr>
          <w:rFonts w:ascii="Times New Roman" w:eastAsiaTheme="minorEastAsia" w:hAnsi="Times New Roman"/>
          <w:noProof/>
          <w:szCs w:val="24"/>
        </w:rPr>
      </w:pPr>
      <w:r w:rsidRPr="001B03B2">
        <w:rPr>
          <w:rFonts w:ascii="Times New Roman" w:hAnsi="Times New Roman"/>
          <w:noProof/>
          <w:szCs w:val="24"/>
        </w:rPr>
        <w:t>A.16.3.</w:t>
      </w:r>
      <w:r w:rsidRPr="009846CE">
        <w:rPr>
          <w:rFonts w:ascii="Times New Roman" w:eastAsiaTheme="minorEastAsia" w:hAnsi="Times New Roman"/>
          <w:noProof/>
          <w:szCs w:val="24"/>
        </w:rPr>
        <w:tab/>
      </w:r>
      <w:r w:rsidRPr="001B03B2">
        <w:rPr>
          <w:rFonts w:ascii="Times New Roman" w:hAnsi="Times New Roman"/>
          <w:noProof/>
          <w:szCs w:val="24"/>
        </w:rPr>
        <w:t>Methods of Dissemination</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21</w:t>
      </w:r>
    </w:p>
    <w:p w:rsidR="00EA574F" w:rsidRPr="009846CE" w:rsidRDefault="00EA574F" w:rsidP="00EA574F">
      <w:pPr>
        <w:pStyle w:val="TOC2"/>
        <w:tabs>
          <w:tab w:val="clear" w:pos="2160"/>
        </w:tabs>
        <w:ind w:left="2430" w:hanging="990"/>
        <w:rPr>
          <w:rFonts w:ascii="Times New Roman" w:eastAsiaTheme="minorEastAsia" w:hAnsi="Times New Roman"/>
          <w:noProof/>
          <w:szCs w:val="24"/>
        </w:rPr>
      </w:pPr>
      <w:r w:rsidRPr="001B03B2">
        <w:rPr>
          <w:rFonts w:ascii="Times New Roman" w:hAnsi="Times New Roman"/>
          <w:noProof/>
          <w:szCs w:val="24"/>
        </w:rPr>
        <w:t>A.16.4.</w:t>
      </w:r>
      <w:r w:rsidRPr="009846CE">
        <w:rPr>
          <w:rFonts w:ascii="Times New Roman" w:eastAsiaTheme="minorEastAsia" w:hAnsi="Times New Roman"/>
          <w:noProof/>
          <w:szCs w:val="24"/>
        </w:rPr>
        <w:tab/>
      </w:r>
      <w:r w:rsidRPr="001B03B2">
        <w:rPr>
          <w:rFonts w:ascii="Times New Roman" w:hAnsi="Times New Roman"/>
          <w:noProof/>
          <w:szCs w:val="24"/>
        </w:rPr>
        <w:t>Use of Results</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21</w:t>
      </w:r>
    </w:p>
    <w:p w:rsidR="00EA574F" w:rsidRPr="009846CE" w:rsidRDefault="00EA574F" w:rsidP="00DE432A">
      <w:pPr>
        <w:pStyle w:val="TOC2"/>
        <w:tabs>
          <w:tab w:val="clear" w:pos="2160"/>
        </w:tabs>
        <w:spacing w:after="120"/>
        <w:ind w:left="2430" w:hanging="990"/>
        <w:rPr>
          <w:rFonts w:ascii="Times New Roman" w:eastAsiaTheme="minorEastAsia" w:hAnsi="Times New Roman"/>
          <w:noProof/>
          <w:szCs w:val="24"/>
        </w:rPr>
      </w:pPr>
      <w:r w:rsidRPr="001B03B2">
        <w:rPr>
          <w:rFonts w:ascii="Times New Roman" w:hAnsi="Times New Roman"/>
          <w:noProof/>
          <w:szCs w:val="24"/>
        </w:rPr>
        <w:t>A.16.5.</w:t>
      </w:r>
      <w:r w:rsidRPr="009846CE">
        <w:rPr>
          <w:rFonts w:ascii="Times New Roman" w:eastAsiaTheme="minorEastAsia" w:hAnsi="Times New Roman"/>
          <w:noProof/>
          <w:szCs w:val="24"/>
        </w:rPr>
        <w:tab/>
      </w:r>
      <w:r w:rsidRPr="001B03B2">
        <w:rPr>
          <w:rFonts w:ascii="Times New Roman" w:hAnsi="Times New Roman"/>
          <w:noProof/>
          <w:szCs w:val="24"/>
        </w:rPr>
        <w:t>Project Time Schedule</w:t>
      </w:r>
      <w:r w:rsidRPr="009846CE">
        <w:rPr>
          <w:rFonts w:ascii="Times New Roman" w:hAnsi="Times New Roman"/>
          <w:noProof/>
          <w:webHidden/>
          <w:szCs w:val="24"/>
        </w:rPr>
        <w:tab/>
      </w:r>
      <w:r w:rsidR="009846CE" w:rsidRPr="009846CE">
        <w:rPr>
          <w:rFonts w:ascii="Times New Roman" w:hAnsi="Times New Roman"/>
          <w:noProof/>
          <w:webHidden/>
          <w:szCs w:val="24"/>
        </w:rPr>
        <w:tab/>
      </w:r>
      <w:r w:rsidRPr="009846CE">
        <w:rPr>
          <w:rFonts w:ascii="Times New Roman" w:hAnsi="Times New Roman"/>
          <w:noProof/>
          <w:webHidden/>
          <w:szCs w:val="24"/>
        </w:rPr>
        <w:t>22</w:t>
      </w:r>
    </w:p>
    <w:p w:rsidR="00EA574F" w:rsidRPr="009846CE" w:rsidRDefault="00EA574F" w:rsidP="00EA574F">
      <w:pPr>
        <w:pStyle w:val="TOC1"/>
        <w:rPr>
          <w:rFonts w:ascii="Times New Roman" w:eastAsiaTheme="minorEastAsia" w:hAnsi="Times New Roman"/>
          <w:noProof/>
          <w:szCs w:val="24"/>
        </w:rPr>
      </w:pPr>
      <w:r w:rsidRPr="001B03B2">
        <w:rPr>
          <w:rFonts w:ascii="Times New Roman" w:hAnsi="Times New Roman"/>
          <w:noProof/>
          <w:szCs w:val="24"/>
        </w:rPr>
        <w:t>A.17.</w:t>
      </w:r>
      <w:r w:rsidRPr="009846CE">
        <w:rPr>
          <w:rFonts w:ascii="Times New Roman" w:eastAsiaTheme="minorEastAsia" w:hAnsi="Times New Roman"/>
          <w:noProof/>
          <w:szCs w:val="24"/>
        </w:rPr>
        <w:tab/>
      </w:r>
      <w:r w:rsidRPr="001B03B2">
        <w:rPr>
          <w:rFonts w:ascii="Times New Roman" w:hAnsi="Times New Roman"/>
          <w:noProof/>
          <w:szCs w:val="24"/>
        </w:rPr>
        <w:t>Reason(s) Display of OMB Expiration Date is Inappropriate</w:t>
      </w:r>
      <w:r w:rsidRPr="009846CE">
        <w:rPr>
          <w:rFonts w:ascii="Times New Roman" w:hAnsi="Times New Roman"/>
          <w:noProof/>
          <w:webHidden/>
          <w:szCs w:val="24"/>
        </w:rPr>
        <w:tab/>
      </w:r>
      <w:r w:rsidR="00E03A89">
        <w:rPr>
          <w:rFonts w:ascii="Times New Roman" w:hAnsi="Times New Roman"/>
          <w:noProof/>
          <w:webHidden/>
          <w:szCs w:val="24"/>
        </w:rPr>
        <w:tab/>
      </w:r>
      <w:r w:rsidRPr="009846CE">
        <w:rPr>
          <w:rFonts w:ascii="Times New Roman" w:hAnsi="Times New Roman"/>
          <w:noProof/>
          <w:webHidden/>
          <w:szCs w:val="24"/>
        </w:rPr>
        <w:t>23</w:t>
      </w:r>
    </w:p>
    <w:p w:rsidR="00EA574F" w:rsidRPr="009846CE" w:rsidRDefault="00EA574F" w:rsidP="00EA574F">
      <w:pPr>
        <w:pStyle w:val="TOC1"/>
        <w:rPr>
          <w:rFonts w:ascii="Times New Roman" w:eastAsiaTheme="minorEastAsia" w:hAnsi="Times New Roman"/>
          <w:noProof/>
          <w:szCs w:val="24"/>
        </w:rPr>
      </w:pPr>
      <w:r w:rsidRPr="001B03B2">
        <w:rPr>
          <w:rFonts w:ascii="Times New Roman" w:hAnsi="Times New Roman"/>
          <w:noProof/>
          <w:szCs w:val="24"/>
        </w:rPr>
        <w:t>A.18.</w:t>
      </w:r>
      <w:r w:rsidRPr="009846CE">
        <w:rPr>
          <w:rFonts w:ascii="Times New Roman" w:eastAsiaTheme="minorEastAsia" w:hAnsi="Times New Roman"/>
          <w:noProof/>
          <w:szCs w:val="24"/>
        </w:rPr>
        <w:tab/>
      </w:r>
      <w:r w:rsidRPr="001B03B2">
        <w:rPr>
          <w:rFonts w:ascii="Times New Roman" w:hAnsi="Times New Roman"/>
          <w:noProof/>
          <w:szCs w:val="24"/>
        </w:rPr>
        <w:t>Exceptions to Certification for Paperwork Reduction Act Submissions</w:t>
      </w:r>
      <w:r w:rsidRPr="009846CE">
        <w:rPr>
          <w:rFonts w:ascii="Times New Roman" w:hAnsi="Times New Roman"/>
          <w:noProof/>
          <w:webHidden/>
          <w:szCs w:val="24"/>
        </w:rPr>
        <w:tab/>
      </w:r>
      <w:r w:rsidR="00E03A89">
        <w:rPr>
          <w:rFonts w:ascii="Times New Roman" w:hAnsi="Times New Roman"/>
          <w:noProof/>
          <w:webHidden/>
          <w:szCs w:val="24"/>
        </w:rPr>
        <w:tab/>
      </w:r>
      <w:r w:rsidRPr="009846CE">
        <w:rPr>
          <w:rFonts w:ascii="Times New Roman" w:hAnsi="Times New Roman"/>
          <w:noProof/>
          <w:webHidden/>
          <w:szCs w:val="24"/>
        </w:rPr>
        <w:t>23</w:t>
      </w:r>
    </w:p>
    <w:p w:rsidR="003F7F8B" w:rsidRPr="009846CE" w:rsidRDefault="003F7F8B" w:rsidP="003F7F8B">
      <w:pPr>
        <w:tabs>
          <w:tab w:val="left" w:pos="720"/>
          <w:tab w:val="right" w:leader="dot" w:pos="9504"/>
        </w:tabs>
        <w:rPr>
          <w:rFonts w:ascii="Times New Roman" w:hAnsi="Times New Roman"/>
          <w:caps/>
          <w:noProof/>
          <w:szCs w:val="24"/>
        </w:rPr>
      </w:pPr>
    </w:p>
    <w:p w:rsidR="00615510" w:rsidRPr="009846CE" w:rsidRDefault="00615510" w:rsidP="00615510">
      <w:pPr>
        <w:pStyle w:val="TOC1"/>
        <w:tabs>
          <w:tab w:val="clear" w:pos="1440"/>
          <w:tab w:val="left" w:pos="2070"/>
        </w:tabs>
        <w:rPr>
          <w:rFonts w:ascii="Times New Roman" w:eastAsiaTheme="minorEastAsia" w:hAnsi="Times New Roman"/>
          <w:noProof/>
          <w:szCs w:val="24"/>
        </w:rPr>
      </w:pPr>
      <w:r w:rsidRPr="001B03B2">
        <w:rPr>
          <w:rFonts w:ascii="Times New Roman" w:hAnsi="Times New Roman"/>
          <w:noProof/>
          <w:szCs w:val="24"/>
        </w:rPr>
        <w:t>Exhibit A.12-1.</w:t>
      </w:r>
      <w:r w:rsidRPr="009846CE">
        <w:rPr>
          <w:rFonts w:ascii="Times New Roman" w:eastAsiaTheme="minorEastAsia" w:hAnsi="Times New Roman"/>
          <w:noProof/>
          <w:szCs w:val="24"/>
        </w:rPr>
        <w:tab/>
      </w:r>
      <w:r w:rsidRPr="001B03B2">
        <w:rPr>
          <w:rFonts w:ascii="Times New Roman" w:hAnsi="Times New Roman"/>
          <w:noProof/>
          <w:szCs w:val="24"/>
        </w:rPr>
        <w:t>Estimates of Annualized Burden Hours</w:t>
      </w:r>
      <w:r w:rsidRPr="009846CE">
        <w:rPr>
          <w:rFonts w:ascii="Times New Roman" w:hAnsi="Times New Roman"/>
          <w:noProof/>
          <w:webHidden/>
          <w:szCs w:val="24"/>
        </w:rPr>
        <w:tab/>
      </w:r>
      <w:r w:rsidRPr="009846CE">
        <w:rPr>
          <w:rFonts w:ascii="Times New Roman" w:hAnsi="Times New Roman"/>
          <w:noProof/>
          <w:webHidden/>
          <w:szCs w:val="24"/>
        </w:rPr>
        <w:tab/>
      </w:r>
      <w:r w:rsidR="009846CE" w:rsidRPr="009846CE">
        <w:rPr>
          <w:rFonts w:ascii="Times New Roman" w:hAnsi="Times New Roman"/>
          <w:noProof/>
          <w:webHidden/>
          <w:szCs w:val="24"/>
        </w:rPr>
        <w:t>17</w:t>
      </w:r>
    </w:p>
    <w:p w:rsidR="00615510" w:rsidRPr="009846CE" w:rsidRDefault="00615510" w:rsidP="00615510">
      <w:pPr>
        <w:pStyle w:val="TOC1"/>
        <w:tabs>
          <w:tab w:val="clear" w:pos="1440"/>
          <w:tab w:val="left" w:pos="2070"/>
        </w:tabs>
        <w:rPr>
          <w:rFonts w:ascii="Times New Roman" w:eastAsiaTheme="minorEastAsia" w:hAnsi="Times New Roman"/>
          <w:noProof/>
          <w:szCs w:val="24"/>
        </w:rPr>
      </w:pPr>
      <w:r w:rsidRPr="001B03B2">
        <w:rPr>
          <w:rFonts w:ascii="Times New Roman" w:hAnsi="Times New Roman"/>
          <w:noProof/>
          <w:szCs w:val="24"/>
        </w:rPr>
        <w:t>Exhibit A.12-2.</w:t>
      </w:r>
      <w:r w:rsidRPr="009846CE">
        <w:rPr>
          <w:rFonts w:ascii="Times New Roman" w:eastAsiaTheme="minorEastAsia" w:hAnsi="Times New Roman"/>
          <w:noProof/>
          <w:szCs w:val="24"/>
        </w:rPr>
        <w:tab/>
      </w:r>
      <w:r w:rsidRPr="001B03B2">
        <w:rPr>
          <w:rFonts w:ascii="Times New Roman" w:hAnsi="Times New Roman"/>
          <w:noProof/>
          <w:szCs w:val="24"/>
        </w:rPr>
        <w:t xml:space="preserve">Estimates </w:t>
      </w:r>
      <w:r w:rsidR="009846CE" w:rsidRPr="001B03B2">
        <w:rPr>
          <w:rFonts w:ascii="Times New Roman" w:hAnsi="Times New Roman"/>
          <w:noProof/>
          <w:szCs w:val="24"/>
        </w:rPr>
        <w:t xml:space="preserve">of </w:t>
      </w:r>
      <w:r w:rsidRPr="001B03B2">
        <w:rPr>
          <w:rFonts w:ascii="Times New Roman" w:hAnsi="Times New Roman"/>
          <w:noProof/>
          <w:szCs w:val="24"/>
        </w:rPr>
        <w:t>Annualized Cost to Respondents</w:t>
      </w:r>
      <w:r w:rsidRPr="009846CE">
        <w:rPr>
          <w:rFonts w:ascii="Times New Roman" w:hAnsi="Times New Roman"/>
          <w:noProof/>
          <w:webHidden/>
          <w:szCs w:val="24"/>
        </w:rPr>
        <w:tab/>
      </w:r>
      <w:r w:rsidRPr="009846CE">
        <w:rPr>
          <w:rFonts w:ascii="Times New Roman" w:hAnsi="Times New Roman"/>
          <w:noProof/>
          <w:webHidden/>
          <w:szCs w:val="24"/>
        </w:rPr>
        <w:tab/>
      </w:r>
      <w:r w:rsidR="009846CE" w:rsidRPr="009846CE">
        <w:rPr>
          <w:rFonts w:ascii="Times New Roman" w:hAnsi="Times New Roman"/>
          <w:noProof/>
          <w:webHidden/>
          <w:szCs w:val="24"/>
        </w:rPr>
        <w:t>18</w:t>
      </w:r>
    </w:p>
    <w:p w:rsidR="00615510" w:rsidRPr="009846CE" w:rsidRDefault="00615510" w:rsidP="00615510">
      <w:pPr>
        <w:pStyle w:val="TOC1"/>
        <w:tabs>
          <w:tab w:val="clear" w:pos="1440"/>
          <w:tab w:val="left" w:pos="2070"/>
        </w:tabs>
        <w:rPr>
          <w:rFonts w:ascii="Times New Roman" w:eastAsiaTheme="minorEastAsia" w:hAnsi="Times New Roman"/>
          <w:noProof/>
          <w:szCs w:val="24"/>
        </w:rPr>
      </w:pPr>
      <w:r w:rsidRPr="001B03B2">
        <w:rPr>
          <w:rFonts w:ascii="Times New Roman" w:hAnsi="Times New Roman"/>
          <w:noProof/>
          <w:szCs w:val="24"/>
        </w:rPr>
        <w:t>Exhibit A.14-1.</w:t>
      </w:r>
      <w:r w:rsidRPr="009846CE">
        <w:rPr>
          <w:rFonts w:ascii="Times New Roman" w:eastAsiaTheme="minorEastAsia" w:hAnsi="Times New Roman"/>
          <w:noProof/>
          <w:szCs w:val="24"/>
        </w:rPr>
        <w:tab/>
      </w:r>
      <w:r w:rsidRPr="001B03B2">
        <w:rPr>
          <w:rFonts w:ascii="Times New Roman" w:hAnsi="Times New Roman"/>
          <w:noProof/>
          <w:szCs w:val="24"/>
        </w:rPr>
        <w:t>Annual Cost to the Federal Government</w:t>
      </w:r>
      <w:r w:rsidRPr="009846CE">
        <w:rPr>
          <w:rFonts w:ascii="Times New Roman" w:hAnsi="Times New Roman"/>
          <w:noProof/>
          <w:webHidden/>
          <w:szCs w:val="24"/>
        </w:rPr>
        <w:tab/>
      </w:r>
      <w:r w:rsidRPr="009846CE">
        <w:rPr>
          <w:rFonts w:ascii="Times New Roman" w:hAnsi="Times New Roman"/>
          <w:noProof/>
          <w:webHidden/>
          <w:szCs w:val="24"/>
        </w:rPr>
        <w:tab/>
      </w:r>
      <w:r w:rsidR="009846CE" w:rsidRPr="009846CE">
        <w:rPr>
          <w:rFonts w:ascii="Times New Roman" w:hAnsi="Times New Roman"/>
          <w:noProof/>
          <w:webHidden/>
          <w:szCs w:val="24"/>
        </w:rPr>
        <w:t>19</w:t>
      </w:r>
    </w:p>
    <w:p w:rsidR="00615510" w:rsidRPr="009846CE" w:rsidRDefault="00615510" w:rsidP="00615510">
      <w:pPr>
        <w:pStyle w:val="TOC1"/>
        <w:tabs>
          <w:tab w:val="clear" w:pos="1440"/>
          <w:tab w:val="left" w:pos="2070"/>
        </w:tabs>
        <w:rPr>
          <w:rFonts w:ascii="Times New Roman" w:eastAsiaTheme="minorEastAsia" w:hAnsi="Times New Roman"/>
          <w:noProof/>
          <w:szCs w:val="24"/>
        </w:rPr>
      </w:pPr>
      <w:r w:rsidRPr="001B03B2">
        <w:rPr>
          <w:rFonts w:ascii="Times New Roman" w:hAnsi="Times New Roman"/>
          <w:noProof/>
          <w:szCs w:val="24"/>
        </w:rPr>
        <w:t>Exhibit A.16-1.</w:t>
      </w:r>
      <w:r w:rsidRPr="009846CE">
        <w:rPr>
          <w:rFonts w:ascii="Times New Roman" w:eastAsiaTheme="minorEastAsia" w:hAnsi="Times New Roman"/>
          <w:noProof/>
          <w:szCs w:val="24"/>
        </w:rPr>
        <w:tab/>
      </w:r>
      <w:r w:rsidRPr="001B03B2">
        <w:rPr>
          <w:rFonts w:ascii="Times New Roman" w:hAnsi="Times New Roman"/>
          <w:noProof/>
          <w:szCs w:val="24"/>
        </w:rPr>
        <w:t>Project Time Table</w:t>
      </w:r>
      <w:r w:rsidRPr="009846CE">
        <w:rPr>
          <w:rFonts w:ascii="Times New Roman" w:hAnsi="Times New Roman"/>
          <w:noProof/>
          <w:webHidden/>
          <w:szCs w:val="24"/>
        </w:rPr>
        <w:tab/>
      </w:r>
      <w:r w:rsidRPr="009846CE">
        <w:rPr>
          <w:rFonts w:ascii="Times New Roman" w:hAnsi="Times New Roman"/>
          <w:noProof/>
          <w:webHidden/>
          <w:szCs w:val="24"/>
        </w:rPr>
        <w:tab/>
      </w:r>
      <w:r w:rsidR="009846CE" w:rsidRPr="009846CE">
        <w:rPr>
          <w:rFonts w:ascii="Times New Roman" w:hAnsi="Times New Roman"/>
          <w:noProof/>
          <w:webHidden/>
          <w:szCs w:val="24"/>
        </w:rPr>
        <w:t>22</w:t>
      </w:r>
    </w:p>
    <w:p w:rsidR="003F7F8B" w:rsidRPr="003F7F8B" w:rsidRDefault="003F7F8B" w:rsidP="006D7938">
      <w:pPr>
        <w:tabs>
          <w:tab w:val="left" w:pos="1710"/>
          <w:tab w:val="left" w:pos="2070"/>
          <w:tab w:val="left" w:pos="2160"/>
          <w:tab w:val="right" w:leader="dot" w:pos="8208"/>
          <w:tab w:val="left" w:pos="8640"/>
        </w:tabs>
        <w:jc w:val="center"/>
        <w:rPr>
          <w:color w:val="000000"/>
          <w:szCs w:val="24"/>
        </w:rPr>
      </w:pPr>
      <w:r w:rsidRPr="003F7F8B">
        <w:rPr>
          <w:b/>
          <w:caps/>
          <w:noProof/>
          <w:color w:val="FF0000"/>
          <w:sz w:val="20"/>
        </w:rPr>
        <w:br w:type="page"/>
      </w:r>
      <w:r w:rsidRPr="003F7F8B">
        <w:rPr>
          <w:b/>
          <w:caps/>
          <w:noProof/>
          <w:color w:val="000000"/>
          <w:szCs w:val="24"/>
        </w:rPr>
        <w:lastRenderedPageBreak/>
        <w:t>Attachments</w:t>
      </w:r>
    </w:p>
    <w:p w:rsidR="00BB4064" w:rsidRPr="00BB4064" w:rsidRDefault="00BB4064" w:rsidP="00BB4064">
      <w:pPr>
        <w:tabs>
          <w:tab w:val="left" w:pos="3510"/>
        </w:tabs>
        <w:jc w:val="center"/>
        <w:rPr>
          <w:rFonts w:ascii="Times New Roman" w:hAnsi="Times New Roman"/>
          <w:sz w:val="22"/>
          <w:szCs w:val="22"/>
        </w:rPr>
      </w:pPr>
    </w:p>
    <w:p w:rsidR="00BB4064" w:rsidRPr="00BB4064" w:rsidRDefault="00BB4064" w:rsidP="00BB4064">
      <w:pPr>
        <w:tabs>
          <w:tab w:val="left" w:pos="3510"/>
        </w:tabs>
        <w:jc w:val="center"/>
        <w:rPr>
          <w:rFonts w:ascii="Times New Roman" w:hAnsi="Times New Roman"/>
          <w:sz w:val="22"/>
          <w:szCs w:val="22"/>
        </w:rPr>
      </w:pPr>
    </w:p>
    <w:p w:rsidR="00BB4064" w:rsidRPr="00BB4064" w:rsidRDefault="00BB4064" w:rsidP="00BB4064">
      <w:pPr>
        <w:tabs>
          <w:tab w:val="left" w:pos="990"/>
          <w:tab w:val="right" w:leader="dot" w:pos="9000"/>
          <w:tab w:val="right" w:pos="9360"/>
        </w:tabs>
        <w:spacing w:before="120" w:after="120"/>
        <w:ind w:left="720" w:hanging="720"/>
        <w:rPr>
          <w:rFonts w:ascii="Times New Roman" w:hAnsi="Times New Roman"/>
          <w:noProof/>
          <w:sz w:val="22"/>
          <w:szCs w:val="22"/>
        </w:rPr>
      </w:pPr>
      <w:r w:rsidRPr="00BB4064">
        <w:rPr>
          <w:rFonts w:ascii="Times New Roman" w:hAnsi="Times New Roman"/>
          <w:noProof/>
          <w:sz w:val="22"/>
          <w:szCs w:val="22"/>
        </w:rPr>
        <w:t>1.</w:t>
      </w:r>
      <w:r w:rsidRPr="00BB4064">
        <w:rPr>
          <w:rFonts w:ascii="Times New Roman" w:hAnsi="Times New Roman"/>
          <w:noProof/>
          <w:sz w:val="22"/>
          <w:szCs w:val="22"/>
        </w:rPr>
        <w:tab/>
        <w:t>PI Web Survey</w:t>
      </w:r>
    </w:p>
    <w:p w:rsidR="00BB4064" w:rsidRPr="00BB4064" w:rsidRDefault="00BB4064" w:rsidP="00BB4064">
      <w:pPr>
        <w:tabs>
          <w:tab w:val="left" w:pos="990"/>
          <w:tab w:val="right" w:leader="dot" w:pos="9000"/>
          <w:tab w:val="right" w:pos="9360"/>
        </w:tabs>
        <w:spacing w:before="120" w:after="120"/>
        <w:ind w:left="720" w:hanging="720"/>
        <w:rPr>
          <w:rFonts w:ascii="Times New Roman" w:hAnsi="Times New Roman"/>
          <w:noProof/>
          <w:sz w:val="22"/>
          <w:szCs w:val="22"/>
        </w:rPr>
      </w:pPr>
      <w:r w:rsidRPr="00BB4064">
        <w:rPr>
          <w:rFonts w:ascii="Times New Roman" w:hAnsi="Times New Roman"/>
          <w:noProof/>
          <w:sz w:val="22"/>
          <w:szCs w:val="22"/>
        </w:rPr>
        <w:t>2.</w:t>
      </w:r>
      <w:r w:rsidRPr="00BB4064">
        <w:rPr>
          <w:rFonts w:ascii="Times New Roman" w:hAnsi="Times New Roman"/>
          <w:noProof/>
          <w:sz w:val="22"/>
          <w:szCs w:val="22"/>
        </w:rPr>
        <w:tab/>
        <w:t>Partner Web Survey</w:t>
      </w:r>
    </w:p>
    <w:p w:rsidR="00BB4064" w:rsidRDefault="00BB4064" w:rsidP="00BB4064">
      <w:pPr>
        <w:tabs>
          <w:tab w:val="left" w:pos="990"/>
          <w:tab w:val="right" w:leader="dot" w:pos="9000"/>
          <w:tab w:val="right" w:pos="9360"/>
        </w:tabs>
        <w:spacing w:before="120" w:after="120"/>
        <w:ind w:left="720" w:hanging="720"/>
        <w:rPr>
          <w:rFonts w:ascii="Times New Roman" w:hAnsi="Times New Roman"/>
          <w:noProof/>
          <w:sz w:val="22"/>
          <w:szCs w:val="22"/>
        </w:rPr>
      </w:pPr>
      <w:r w:rsidRPr="00BB4064">
        <w:rPr>
          <w:rFonts w:ascii="Times New Roman" w:hAnsi="Times New Roman"/>
          <w:noProof/>
          <w:sz w:val="22"/>
          <w:szCs w:val="22"/>
        </w:rPr>
        <w:t>3.</w:t>
      </w:r>
      <w:r w:rsidRPr="00BB4064">
        <w:rPr>
          <w:rFonts w:ascii="Times New Roman" w:hAnsi="Times New Roman"/>
          <w:noProof/>
          <w:sz w:val="22"/>
          <w:szCs w:val="22"/>
        </w:rPr>
        <w:tab/>
        <w:t xml:space="preserve">PI </w:t>
      </w:r>
      <w:r w:rsidR="00E20492">
        <w:rPr>
          <w:rFonts w:ascii="Times New Roman" w:hAnsi="Times New Roman"/>
          <w:noProof/>
          <w:sz w:val="22"/>
          <w:szCs w:val="22"/>
        </w:rPr>
        <w:t xml:space="preserve">Telephone </w:t>
      </w:r>
      <w:r w:rsidRPr="00BB4064">
        <w:rPr>
          <w:rFonts w:ascii="Times New Roman" w:hAnsi="Times New Roman"/>
          <w:noProof/>
          <w:sz w:val="22"/>
          <w:szCs w:val="22"/>
        </w:rPr>
        <w:t>Interview Protocol</w:t>
      </w:r>
    </w:p>
    <w:p w:rsidR="00E20492"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 xml:space="preserve">4. </w:t>
      </w:r>
      <w:r>
        <w:rPr>
          <w:rFonts w:ascii="Times New Roman" w:hAnsi="Times New Roman"/>
          <w:noProof/>
          <w:sz w:val="22"/>
          <w:szCs w:val="22"/>
        </w:rPr>
        <w:tab/>
        <w:t>PI Site Visit Interview Protocol</w:t>
      </w:r>
    </w:p>
    <w:p w:rsid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5</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 xml:space="preserve">Partner </w:t>
      </w:r>
      <w:r>
        <w:rPr>
          <w:rFonts w:ascii="Times New Roman" w:hAnsi="Times New Roman"/>
          <w:noProof/>
          <w:sz w:val="22"/>
          <w:szCs w:val="22"/>
        </w:rPr>
        <w:t xml:space="preserve">Telephone </w:t>
      </w:r>
      <w:r w:rsidR="00BB4064" w:rsidRPr="00BB4064">
        <w:rPr>
          <w:rFonts w:ascii="Times New Roman" w:hAnsi="Times New Roman"/>
          <w:noProof/>
          <w:sz w:val="22"/>
          <w:szCs w:val="22"/>
        </w:rPr>
        <w:t>Interview Protocol</w:t>
      </w:r>
    </w:p>
    <w:p w:rsidR="00E20492"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6.</w:t>
      </w:r>
      <w:r>
        <w:rPr>
          <w:rFonts w:ascii="Times New Roman" w:hAnsi="Times New Roman"/>
          <w:noProof/>
          <w:sz w:val="22"/>
          <w:szCs w:val="22"/>
        </w:rPr>
        <w:tab/>
        <w:t>Partner Site Visit Interview Protocol</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7</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Key Staff Interview Protocol</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8</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 xml:space="preserve">Key </w:t>
      </w:r>
      <w:r w:rsidR="00EA574F">
        <w:rPr>
          <w:rFonts w:ascii="Times New Roman" w:hAnsi="Times New Roman"/>
          <w:noProof/>
          <w:sz w:val="22"/>
          <w:szCs w:val="22"/>
        </w:rPr>
        <w:t>Evaluator</w:t>
      </w:r>
      <w:r w:rsidR="00BB4064" w:rsidRPr="00BB4064">
        <w:rPr>
          <w:rFonts w:ascii="Times New Roman" w:hAnsi="Times New Roman"/>
          <w:noProof/>
          <w:sz w:val="22"/>
          <w:szCs w:val="22"/>
        </w:rPr>
        <w:t xml:space="preserve"> Interview Protocol</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9</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E-Mail Announcement to PIs</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10</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E-Mail Announcement to Partners</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11</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E-Mail Announcement to Site Visit Participants</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12</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E-Mail Invitation Letter - PI Web Survey</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13</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E-Mail Invitation Letter - Partner Survey</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14</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E-Mail Reminder - PI Web Survey</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15</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E-Mail Reminder - Partner Web Survey</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16</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Telephone Reminder - PI Web Survey</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17</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Telephone Reminder - Partner Web Survey</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18</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Site Visit Interview Consent Form</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19</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IRB Approval Letter</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20</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 xml:space="preserve">E-Mail Invitation Letter - PI </w:t>
      </w:r>
      <w:r w:rsidR="00684314">
        <w:rPr>
          <w:rFonts w:ascii="Times New Roman" w:hAnsi="Times New Roman"/>
          <w:noProof/>
          <w:sz w:val="22"/>
          <w:szCs w:val="22"/>
        </w:rPr>
        <w:t xml:space="preserve">Telephone </w:t>
      </w:r>
      <w:r w:rsidR="00BB4064" w:rsidRPr="00BB4064">
        <w:rPr>
          <w:rFonts w:ascii="Times New Roman" w:hAnsi="Times New Roman"/>
          <w:noProof/>
          <w:sz w:val="22"/>
          <w:szCs w:val="22"/>
        </w:rPr>
        <w:t>Interview</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21</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 xml:space="preserve">E-Mail Invitation Letter - Partner </w:t>
      </w:r>
      <w:r w:rsidR="00684314">
        <w:rPr>
          <w:rFonts w:ascii="Times New Roman" w:hAnsi="Times New Roman"/>
          <w:noProof/>
          <w:sz w:val="22"/>
          <w:szCs w:val="22"/>
        </w:rPr>
        <w:t xml:space="preserve">Telephone </w:t>
      </w:r>
      <w:r w:rsidR="00BB4064" w:rsidRPr="00BB4064">
        <w:rPr>
          <w:rFonts w:ascii="Times New Roman" w:hAnsi="Times New Roman"/>
          <w:noProof/>
          <w:sz w:val="22"/>
          <w:szCs w:val="22"/>
        </w:rPr>
        <w:t>Interview</w:t>
      </w:r>
    </w:p>
    <w:p w:rsidR="00BB4064" w:rsidRPr="00BB4064" w:rsidRDefault="00684314"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22</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E-Mail Reminder - PI Interview</w:t>
      </w:r>
    </w:p>
    <w:p w:rsidR="00BB4064" w:rsidRPr="00BB4064" w:rsidRDefault="00684314"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23</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E-Mail Reminder - Partner Interview</w:t>
      </w:r>
    </w:p>
    <w:p w:rsidR="00BB4064" w:rsidRPr="00BB4064" w:rsidRDefault="00684314"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24</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Telephone Reminder - PI Interview</w:t>
      </w:r>
    </w:p>
    <w:p w:rsidR="00BB4064" w:rsidRPr="00BB4064" w:rsidRDefault="00684314"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25</w:t>
      </w:r>
      <w:r w:rsidR="00BB4064" w:rsidRPr="00BB4064">
        <w:rPr>
          <w:rFonts w:ascii="Times New Roman" w:hAnsi="Times New Roman"/>
          <w:noProof/>
          <w:sz w:val="22"/>
          <w:szCs w:val="22"/>
        </w:rPr>
        <w:t>.</w:t>
      </w:r>
      <w:r w:rsidR="00BB4064" w:rsidRPr="00BB4064">
        <w:rPr>
          <w:rFonts w:ascii="Times New Roman" w:hAnsi="Times New Roman"/>
          <w:noProof/>
          <w:sz w:val="22"/>
          <w:szCs w:val="22"/>
        </w:rPr>
        <w:tab/>
        <w:t>Telephone Reminder - Partner Interview</w:t>
      </w:r>
    </w:p>
    <w:p w:rsidR="00BB4064" w:rsidRPr="00BB4064" w:rsidRDefault="00684314"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26</w:t>
      </w:r>
      <w:r w:rsidR="00BB4064" w:rsidRPr="00BB4064">
        <w:rPr>
          <w:rFonts w:ascii="Times New Roman" w:hAnsi="Times New Roman"/>
          <w:noProof/>
          <w:sz w:val="22"/>
          <w:szCs w:val="22"/>
        </w:rPr>
        <w:t xml:space="preserve">. </w:t>
      </w:r>
      <w:r w:rsidR="00BB4064" w:rsidRPr="00BB4064">
        <w:rPr>
          <w:rFonts w:ascii="Times New Roman" w:hAnsi="Times New Roman"/>
          <w:noProof/>
          <w:sz w:val="22"/>
          <w:szCs w:val="22"/>
        </w:rPr>
        <w:tab/>
        <w:t>Telephone Script to Schedule the</w:t>
      </w:r>
      <w:r>
        <w:rPr>
          <w:rFonts w:ascii="Times New Roman" w:hAnsi="Times New Roman"/>
          <w:noProof/>
          <w:sz w:val="22"/>
          <w:szCs w:val="22"/>
        </w:rPr>
        <w:t xml:space="preserve"> Telephone</w:t>
      </w:r>
      <w:r w:rsidR="00BB4064" w:rsidRPr="00BB4064">
        <w:rPr>
          <w:rFonts w:ascii="Times New Roman" w:hAnsi="Times New Roman"/>
          <w:noProof/>
          <w:sz w:val="22"/>
          <w:szCs w:val="22"/>
        </w:rPr>
        <w:t xml:space="preserve"> Interview</w:t>
      </w:r>
    </w:p>
    <w:p w:rsidR="00684314" w:rsidRPr="00BB4064" w:rsidRDefault="00684314" w:rsidP="0068431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27</w:t>
      </w:r>
      <w:r w:rsidRPr="00BB4064">
        <w:rPr>
          <w:rFonts w:ascii="Times New Roman" w:hAnsi="Times New Roman"/>
          <w:noProof/>
          <w:sz w:val="22"/>
          <w:szCs w:val="22"/>
        </w:rPr>
        <w:t xml:space="preserve">. </w:t>
      </w:r>
      <w:r w:rsidRPr="00BB4064">
        <w:rPr>
          <w:rFonts w:ascii="Times New Roman" w:hAnsi="Times New Roman"/>
          <w:noProof/>
          <w:sz w:val="22"/>
          <w:szCs w:val="22"/>
        </w:rPr>
        <w:tab/>
        <w:t xml:space="preserve">Telephone Script to Schedule the </w:t>
      </w:r>
      <w:r>
        <w:rPr>
          <w:rFonts w:ascii="Times New Roman" w:hAnsi="Times New Roman"/>
          <w:noProof/>
          <w:sz w:val="22"/>
          <w:szCs w:val="22"/>
        </w:rPr>
        <w:t xml:space="preserve">Site Visit </w:t>
      </w:r>
      <w:r w:rsidRPr="00BB4064">
        <w:rPr>
          <w:rFonts w:ascii="Times New Roman" w:hAnsi="Times New Roman"/>
          <w:noProof/>
          <w:sz w:val="22"/>
          <w:szCs w:val="22"/>
        </w:rPr>
        <w:t>Interview</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28</w:t>
      </w:r>
      <w:r w:rsidR="00BB4064" w:rsidRPr="00BB4064">
        <w:rPr>
          <w:rFonts w:ascii="Times New Roman" w:hAnsi="Times New Roman"/>
          <w:noProof/>
          <w:sz w:val="22"/>
          <w:szCs w:val="22"/>
        </w:rPr>
        <w:t xml:space="preserve">. </w:t>
      </w:r>
      <w:r w:rsidR="00BB4064" w:rsidRPr="00BB4064">
        <w:rPr>
          <w:rFonts w:ascii="Times New Roman" w:hAnsi="Times New Roman"/>
          <w:noProof/>
          <w:sz w:val="22"/>
          <w:szCs w:val="22"/>
        </w:rPr>
        <w:tab/>
        <w:t>NIH Privacy Act Systems of Record</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29</w:t>
      </w:r>
      <w:r w:rsidR="00BB4064" w:rsidRPr="00BB4064">
        <w:rPr>
          <w:rFonts w:ascii="Times New Roman" w:hAnsi="Times New Roman"/>
          <w:noProof/>
          <w:sz w:val="22"/>
          <w:szCs w:val="22"/>
        </w:rPr>
        <w:t xml:space="preserve">. </w:t>
      </w:r>
      <w:r w:rsidR="00BB4064" w:rsidRPr="00BB4064">
        <w:rPr>
          <w:rFonts w:ascii="Times New Roman" w:hAnsi="Times New Roman"/>
          <w:noProof/>
          <w:sz w:val="22"/>
          <w:szCs w:val="22"/>
        </w:rPr>
        <w:tab/>
        <w:t>E-Mail Follow-Up Reminder to Schedule Telephone Interview</w:t>
      </w:r>
    </w:p>
    <w:p w:rsidR="00BB4064" w:rsidRPr="00BB4064" w:rsidRDefault="00E20492" w:rsidP="00BB4064">
      <w:pPr>
        <w:tabs>
          <w:tab w:val="left" w:pos="990"/>
          <w:tab w:val="right" w:leader="dot" w:pos="9000"/>
          <w:tab w:val="right" w:pos="9360"/>
        </w:tabs>
        <w:spacing w:before="120" w:after="120"/>
        <w:ind w:left="720" w:hanging="720"/>
        <w:rPr>
          <w:rFonts w:ascii="Times New Roman" w:hAnsi="Times New Roman"/>
          <w:noProof/>
          <w:sz w:val="22"/>
          <w:szCs w:val="22"/>
        </w:rPr>
      </w:pPr>
      <w:r>
        <w:rPr>
          <w:rFonts w:ascii="Times New Roman" w:hAnsi="Times New Roman"/>
          <w:noProof/>
          <w:sz w:val="22"/>
          <w:szCs w:val="22"/>
        </w:rPr>
        <w:t>30</w:t>
      </w:r>
      <w:r w:rsidR="00BB4064" w:rsidRPr="00BB4064">
        <w:rPr>
          <w:rFonts w:ascii="Times New Roman" w:hAnsi="Times New Roman"/>
          <w:noProof/>
          <w:sz w:val="22"/>
          <w:szCs w:val="22"/>
        </w:rPr>
        <w:t xml:space="preserve">. </w:t>
      </w:r>
      <w:r w:rsidR="00BB4064" w:rsidRPr="00BB4064">
        <w:rPr>
          <w:rFonts w:ascii="Times New Roman" w:hAnsi="Times New Roman"/>
          <w:noProof/>
          <w:sz w:val="22"/>
          <w:szCs w:val="22"/>
        </w:rPr>
        <w:tab/>
        <w:t>E-Mail Confirmation for Telephone Interview</w:t>
      </w:r>
    </w:p>
    <w:p w:rsidR="003F7F8B" w:rsidRPr="003F7F8B" w:rsidRDefault="003F7F8B" w:rsidP="003F7F8B">
      <w:pPr>
        <w:tabs>
          <w:tab w:val="left" w:pos="2160"/>
          <w:tab w:val="right" w:leader="dot" w:pos="8208"/>
          <w:tab w:val="left" w:pos="8640"/>
        </w:tabs>
        <w:ind w:left="2160" w:right="1800" w:hanging="720"/>
        <w:rPr>
          <w:noProof/>
          <w:szCs w:val="22"/>
        </w:rPr>
      </w:pPr>
    </w:p>
    <w:p w:rsidR="003F7F8B" w:rsidRPr="003F7F8B" w:rsidRDefault="003F7F8B" w:rsidP="003F7F8B">
      <w:pPr>
        <w:keepNext/>
        <w:spacing w:line="360" w:lineRule="auto"/>
        <w:jc w:val="center"/>
        <w:rPr>
          <w:rFonts w:ascii="Franklin Gothic Medium" w:hAnsi="Franklin Gothic Medium"/>
          <w:b/>
          <w:bCs/>
          <w:color w:val="324162"/>
          <w:szCs w:val="24"/>
        </w:rPr>
        <w:sectPr w:rsidR="003F7F8B" w:rsidRPr="003F7F8B" w:rsidSect="003F7F8B">
          <w:footerReference w:type="even" r:id="rId10"/>
          <w:footerReference w:type="first" r:id="rId11"/>
          <w:pgSz w:w="12240" w:h="15840" w:code="1"/>
          <w:pgMar w:top="1350" w:right="1440" w:bottom="1350" w:left="1440" w:header="720" w:footer="432" w:gutter="0"/>
          <w:pgNumType w:start="0"/>
          <w:cols w:space="720"/>
          <w:noEndnote/>
        </w:sectPr>
      </w:pPr>
    </w:p>
    <w:p w:rsidR="003F7F8B" w:rsidRPr="003F7F8B" w:rsidRDefault="003F7F8B" w:rsidP="003F7F8B">
      <w:pPr>
        <w:keepNext/>
        <w:spacing w:line="360" w:lineRule="auto"/>
        <w:jc w:val="center"/>
        <w:rPr>
          <w:rFonts w:ascii="Franklin Gothic Medium" w:hAnsi="Franklin Gothic Medium"/>
          <w:b/>
          <w:bCs/>
          <w:caps/>
          <w:color w:val="324162"/>
          <w:szCs w:val="24"/>
        </w:rPr>
      </w:pPr>
      <w:r w:rsidRPr="003F7F8B">
        <w:rPr>
          <w:rFonts w:ascii="Franklin Gothic Medium" w:hAnsi="Franklin Gothic Medium"/>
          <w:b/>
          <w:bCs/>
          <w:color w:val="324162"/>
          <w:szCs w:val="24"/>
        </w:rPr>
        <w:lastRenderedPageBreak/>
        <w:t>Request for OMB Clearance</w:t>
      </w:r>
    </w:p>
    <w:p w:rsidR="003F7F8B" w:rsidRPr="00615510" w:rsidRDefault="003F7F8B" w:rsidP="00615510">
      <w:pPr>
        <w:keepNext/>
        <w:spacing w:line="360" w:lineRule="auto"/>
        <w:jc w:val="center"/>
        <w:rPr>
          <w:rFonts w:ascii="Franklin Gothic Medium" w:hAnsi="Franklin Gothic Medium"/>
          <w:b/>
          <w:bCs/>
          <w:color w:val="324162"/>
          <w:szCs w:val="24"/>
        </w:rPr>
      </w:pPr>
      <w:r w:rsidRPr="00615510">
        <w:rPr>
          <w:rFonts w:ascii="Franklin Gothic Medium" w:hAnsi="Franklin Gothic Medium"/>
          <w:b/>
          <w:bCs/>
          <w:color w:val="324162"/>
          <w:szCs w:val="24"/>
        </w:rPr>
        <w:t>Evaluation of the Science Education Partnership Award (SEPA) Program</w:t>
      </w:r>
    </w:p>
    <w:p w:rsidR="003F7F8B" w:rsidRPr="003F7F8B" w:rsidRDefault="003F7F8B" w:rsidP="003F7F8B">
      <w:pPr>
        <w:keepNext/>
        <w:spacing w:line="360" w:lineRule="auto"/>
        <w:jc w:val="center"/>
        <w:rPr>
          <w:rFonts w:ascii="Franklin Gothic Medium" w:hAnsi="Franklin Gothic Medium"/>
          <w:b/>
          <w:bCs/>
          <w:caps/>
          <w:color w:val="324162"/>
          <w:szCs w:val="24"/>
        </w:rPr>
      </w:pPr>
      <w:r w:rsidRPr="003F7F8B">
        <w:rPr>
          <w:rFonts w:ascii="Franklin Gothic Medium" w:hAnsi="Franklin Gothic Medium"/>
          <w:b/>
          <w:bCs/>
          <w:color w:val="324162"/>
          <w:szCs w:val="24"/>
        </w:rPr>
        <w:t>Supporting Statement for Paperwork Reduction Act Submission</w:t>
      </w:r>
    </w:p>
    <w:p w:rsidR="003F7F8B" w:rsidRPr="003F7F8B" w:rsidRDefault="003F7F8B" w:rsidP="003F7F8B">
      <w:pPr>
        <w:spacing w:line="360" w:lineRule="auto"/>
        <w:rPr>
          <w:b/>
          <w:szCs w:val="24"/>
        </w:rPr>
      </w:pPr>
    </w:p>
    <w:p w:rsidR="003F7F8B" w:rsidRPr="003F7F8B" w:rsidRDefault="003F7F8B" w:rsidP="003F7F8B">
      <w:pPr>
        <w:pStyle w:val="Heading1"/>
        <w:jc w:val="center"/>
      </w:pPr>
      <w:bookmarkStart w:id="1" w:name="_Toc144549910"/>
      <w:bookmarkStart w:id="2" w:name="_Toc417456657"/>
      <w:bookmarkStart w:id="3" w:name="_Toc417539920"/>
      <w:bookmarkStart w:id="4" w:name="_Toc417540070"/>
      <w:bookmarkStart w:id="5" w:name="_Toc99178777"/>
      <w:r w:rsidRPr="003F7F8B">
        <w:t>Supporting Statement A. Justification</w:t>
      </w:r>
      <w:bookmarkEnd w:id="1"/>
      <w:bookmarkEnd w:id="2"/>
      <w:bookmarkEnd w:id="3"/>
      <w:bookmarkEnd w:id="4"/>
    </w:p>
    <w:p w:rsidR="003F7F8B" w:rsidRPr="003F7F8B" w:rsidRDefault="003F7F8B" w:rsidP="003F7F8B">
      <w:pPr>
        <w:spacing w:line="360" w:lineRule="auto"/>
        <w:rPr>
          <w:b/>
        </w:rPr>
      </w:pPr>
    </w:p>
    <w:p w:rsidR="003F7F8B" w:rsidRPr="003F7F8B" w:rsidRDefault="003F7F8B" w:rsidP="003F7F8B">
      <w:pPr>
        <w:pStyle w:val="Heading2"/>
      </w:pPr>
      <w:bookmarkStart w:id="6" w:name="_Toc144549911"/>
      <w:bookmarkStart w:id="7" w:name="_Toc417456658"/>
      <w:bookmarkStart w:id="8" w:name="_Toc417539921"/>
      <w:bookmarkStart w:id="9" w:name="_Toc417540071"/>
      <w:r w:rsidRPr="003F7F8B">
        <w:t>Introduction</w:t>
      </w:r>
      <w:bookmarkEnd w:id="6"/>
      <w:bookmarkEnd w:id="7"/>
      <w:bookmarkEnd w:id="8"/>
      <w:bookmarkEnd w:id="9"/>
    </w:p>
    <w:p w:rsidR="003F7F8B" w:rsidRDefault="003F7F8B" w:rsidP="003F7F8B">
      <w:pPr>
        <w:pStyle w:val="L1-FlLSp12"/>
      </w:pPr>
      <w:r w:rsidRPr="003F7F8B">
        <w:t xml:space="preserve">This is a request for clearance of a new collection titled “Evaluation of the Science Education Partnership Award </w:t>
      </w:r>
      <w:r w:rsidR="00EA574F" w:rsidRPr="003F7F8B">
        <w:t>(SEPA)</w:t>
      </w:r>
      <w:r w:rsidR="00EA574F">
        <w:t xml:space="preserve"> </w:t>
      </w:r>
      <w:r w:rsidRPr="003F7F8B">
        <w:t>Program</w:t>
      </w:r>
      <w:r w:rsidR="00477D49">
        <w:t>.</w:t>
      </w:r>
      <w:r w:rsidRPr="003F7F8B">
        <w:t xml:space="preserve">” The Science Education Partnership Award Program of the National Institutes of Health (NIH) resides </w:t>
      </w:r>
      <w:r w:rsidRPr="003F7F8B">
        <w:rPr>
          <w:rFonts w:eastAsia="Batang"/>
        </w:rPr>
        <w:t>within the Office of Research Infrastructure Program of the Division of Program Coordination, Planning, and Strategic Initiatives.</w:t>
      </w:r>
      <w:r w:rsidRPr="003F7F8B">
        <w:t xml:space="preserve"> The program provides 5-year grants for PK-12 educational projects, science centers, and museum exhibits to increase students’ interest in pursuing science-related careers, deliver topical and interactive information about NIH-funded medical research, and cultivate an understanding about healthy living habits among the general public. SEPA is undertaking an evaluation to examine the extent to which SEPA grants awarded from 2004 through 2014 have met goals related to project structure, partnership formation, and evaluation quality. The evaluation will utilize archival grant project data (e.g., SEPA solicitations, project proposals, annual and final reports, and summative evaluations). The evaluation will also collect new data to 1) determine the extent to which the SEPA portfolio is aligned with the program’s overall </w:t>
      </w:r>
      <w:r w:rsidR="00333DF5">
        <w:t>goals; (2) assess how the SEPA P</w:t>
      </w:r>
      <w:r w:rsidRPr="003F7F8B">
        <w:t>rogram has contributed to the creation and/or enrichment of beneficial productive partnerships; and (3)</w:t>
      </w:r>
      <w:r w:rsidR="00333DF5">
        <w:t> </w:t>
      </w:r>
      <w:r w:rsidRPr="003F7F8B">
        <w:t xml:space="preserve">determine the extent to which the SEPA </w:t>
      </w:r>
      <w:r w:rsidR="00333DF5">
        <w:t>P</w:t>
      </w:r>
      <w:r w:rsidRPr="003F7F8B">
        <w:t>rogram is generating a rigorous evidence-based system that provides high-quality evaluations to inform the knowledge base. The goal of this process evaluation is to provide SEPA, program staff, NIH, and other interested stakeholders with information about  how the program is operating, the extent to which projects address the program’s multiple goals</w:t>
      </w:r>
      <w:r w:rsidR="00333DF5">
        <w:t>,</w:t>
      </w:r>
      <w:r w:rsidRPr="003F7F8B">
        <w:t xml:space="preserve"> and the extent to which project-level evaluations are informing and enhancing the quality of work in the field. </w:t>
      </w:r>
      <w:bookmarkStart w:id="10" w:name="_Toc144549912"/>
      <w:bookmarkStart w:id="11" w:name="_Toc443881742"/>
      <w:bookmarkStart w:id="12" w:name="_Toc451592231"/>
      <w:bookmarkStart w:id="13" w:name="_Toc5610272"/>
      <w:bookmarkStart w:id="14" w:name="_Toc99178778"/>
      <w:bookmarkEnd w:id="0"/>
      <w:bookmarkEnd w:id="5"/>
    </w:p>
    <w:p w:rsidR="003F7F8B" w:rsidRDefault="003F7F8B" w:rsidP="003F7F8B">
      <w:pPr>
        <w:pStyle w:val="L1-FlLSp12"/>
      </w:pPr>
    </w:p>
    <w:p w:rsidR="003F7F8B" w:rsidRPr="003F7F8B" w:rsidRDefault="003F7F8B" w:rsidP="003F7F8B">
      <w:pPr>
        <w:pStyle w:val="L1-FlLSp12"/>
      </w:pPr>
    </w:p>
    <w:p w:rsidR="003F7F8B" w:rsidRPr="003F7F8B" w:rsidRDefault="003F7F8B" w:rsidP="003F7F8B">
      <w:pPr>
        <w:pStyle w:val="Heading2"/>
      </w:pPr>
      <w:bookmarkStart w:id="15" w:name="_Toc417456659"/>
      <w:bookmarkStart w:id="16" w:name="_Toc417539922"/>
      <w:bookmarkStart w:id="17" w:name="_Toc417540072"/>
      <w:bookmarkEnd w:id="10"/>
      <w:r w:rsidRPr="003F7F8B">
        <w:lastRenderedPageBreak/>
        <w:t>Overview of the SEPA Program</w:t>
      </w:r>
      <w:bookmarkEnd w:id="15"/>
      <w:bookmarkEnd w:id="16"/>
      <w:bookmarkEnd w:id="17"/>
      <w:r w:rsidRPr="003F7F8B">
        <w:t xml:space="preserve"> </w:t>
      </w:r>
    </w:p>
    <w:p w:rsidR="003F7F8B" w:rsidRPr="003F7F8B" w:rsidRDefault="003F7F8B" w:rsidP="003F7F8B">
      <w:pPr>
        <w:pStyle w:val="L1-FlLSp12"/>
      </w:pPr>
      <w:r w:rsidRPr="003F7F8B">
        <w:t xml:space="preserve">The </w:t>
      </w:r>
      <w:r w:rsidR="00333DF5">
        <w:t xml:space="preserve">NIH </w:t>
      </w:r>
      <w:r w:rsidRPr="003F7F8B">
        <w:t xml:space="preserve">SEPA Program provides 5-year grants for PK-12 educational projects, science centers, and museum exhibits to increase students’ interest in pursuing science-related careers, deliver topical and interactive information about NIH-funded medical research, and cultivate an understanding about healthy living habits among the general public. The program was founded in 1991 in response to the six National Education Goals set forth by President George H.W. Bush. These goals challenged educators to improve the quality of education in the United States based on the philosophy that every child can learn and that learning is a lifelong process. The SEPA </w:t>
      </w:r>
      <w:r w:rsidR="00333DF5">
        <w:t>P</w:t>
      </w:r>
      <w:r w:rsidRPr="003F7F8B">
        <w:t>rogram is currently NIH’s premier investment in PK-12 education and provides a pathway for translating medical and biomedical advancements into practice.</w:t>
      </w:r>
    </w:p>
    <w:p w:rsidR="003F7F8B" w:rsidRPr="003F7F8B" w:rsidRDefault="003F7F8B" w:rsidP="003F7F8B">
      <w:pPr>
        <w:pStyle w:val="L1-FlLSp12"/>
      </w:pPr>
    </w:p>
    <w:p w:rsidR="003F7F8B" w:rsidRPr="003F7F8B" w:rsidRDefault="003F7F8B" w:rsidP="003F7F8B">
      <w:pPr>
        <w:pStyle w:val="L1-FlLSp12"/>
      </w:pPr>
      <w:r w:rsidRPr="003F7F8B">
        <w:t>The</w:t>
      </w:r>
      <w:r w:rsidR="00333DF5">
        <w:t xml:space="preserve"> overarching goals of the SEPA P</w:t>
      </w:r>
      <w:r w:rsidRPr="003F7F8B">
        <w:t>rogram are as follows:</w:t>
      </w:r>
    </w:p>
    <w:p w:rsidR="003F7F8B" w:rsidRPr="003F7F8B" w:rsidRDefault="003F7F8B" w:rsidP="003F7F8B">
      <w:pPr>
        <w:pStyle w:val="L1-FlLSp12"/>
      </w:pPr>
    </w:p>
    <w:p w:rsidR="003F7F8B" w:rsidRPr="00E1241A" w:rsidRDefault="003F7F8B" w:rsidP="003F7F8B">
      <w:pPr>
        <w:pStyle w:val="N1-1stBullet"/>
        <w:rPr>
          <w:sz w:val="24"/>
          <w:szCs w:val="24"/>
        </w:rPr>
      </w:pPr>
      <w:r w:rsidRPr="00E1241A">
        <w:rPr>
          <w:sz w:val="24"/>
          <w:szCs w:val="24"/>
        </w:rPr>
        <w:t>Support development of innovative and inquiry-based science education curricula and materials for PK-12 students from underserved, rural, and disadvantaged communities to encourage these students to become interested in science and pursue careers in basic and medical research;</w:t>
      </w:r>
    </w:p>
    <w:p w:rsidR="003F7F8B" w:rsidRPr="00E1241A" w:rsidRDefault="003F7F8B" w:rsidP="003F7F8B">
      <w:pPr>
        <w:pStyle w:val="N1-1stBullet"/>
        <w:rPr>
          <w:sz w:val="24"/>
          <w:szCs w:val="24"/>
        </w:rPr>
      </w:pPr>
      <w:r w:rsidRPr="00E1241A">
        <w:rPr>
          <w:sz w:val="24"/>
          <w:szCs w:val="24"/>
        </w:rPr>
        <w:t>Educate the PK-12 community and the general public on topical and health-related issues such as stem cells and regenerative medicine, ethics of medical research and vaccine development, emerging infectious diseases, and the clinical trials process and patient safeguards; and</w:t>
      </w:r>
    </w:p>
    <w:p w:rsidR="003F7F8B" w:rsidRPr="00E1241A" w:rsidRDefault="003F7F8B" w:rsidP="003F7F8B">
      <w:pPr>
        <w:pStyle w:val="N1-1stBullet"/>
        <w:rPr>
          <w:sz w:val="24"/>
          <w:szCs w:val="24"/>
        </w:rPr>
      </w:pPr>
      <w:r w:rsidRPr="00E1241A">
        <w:rPr>
          <w:sz w:val="24"/>
          <w:szCs w:val="24"/>
        </w:rPr>
        <w:t>Provide public education and community outreach to students, teachers, and families about NIH-funded research and the clinical trials process.</w:t>
      </w:r>
    </w:p>
    <w:p w:rsidR="003F7F8B" w:rsidRPr="003F7F8B" w:rsidRDefault="003F7F8B" w:rsidP="003F7F8B">
      <w:pPr>
        <w:pStyle w:val="L1-FlLSp12"/>
      </w:pPr>
    </w:p>
    <w:p w:rsidR="003F7F8B" w:rsidRPr="003F7F8B" w:rsidRDefault="003F7F8B" w:rsidP="003F7F8B">
      <w:pPr>
        <w:pStyle w:val="L1-FlLSp12"/>
      </w:pPr>
      <w:r w:rsidRPr="003F7F8B">
        <w:t>Key features of the SEPA Program include addressing issues in the medical and biomedical fields and encouraging traditionally underserved populations to participate in the sciences. Although many organizations have answered the call to improve science education, understanding, and engagement, SEPA stands apart due to its unique focus on medicine and biomedicine. Within these fields, SEPA encourages and supports partnerships among scientists, clinicians, and educators to increase and diversify the population in the STEM and health career pipelines. Indeed</w:t>
      </w:r>
      <w:r w:rsidR="00333DF5">
        <w:t>,</w:t>
      </w:r>
      <w:r w:rsidRPr="003F7F8B">
        <w:t xml:space="preserve"> this emphasis on partnerships is a key feature of the program. In addition, the </w:t>
      </w:r>
      <w:r w:rsidRPr="003F7F8B">
        <w:lastRenderedPageBreak/>
        <w:t xml:space="preserve">program aims to improve PK-12 STEM education and public understanding of, and support for, NIH-funded medical research. </w:t>
      </w:r>
    </w:p>
    <w:p w:rsidR="003F7F8B" w:rsidRPr="003F7F8B" w:rsidRDefault="003F7F8B" w:rsidP="003F7F8B">
      <w:pPr>
        <w:pStyle w:val="L1-FlLSp12"/>
      </w:pPr>
    </w:p>
    <w:p w:rsidR="003F7F8B" w:rsidRPr="003F7F8B" w:rsidRDefault="003F7F8B" w:rsidP="003F7F8B">
      <w:pPr>
        <w:pStyle w:val="L1-FlLSp12"/>
      </w:pPr>
      <w:r w:rsidRPr="003F7F8B">
        <w:t xml:space="preserve">SEPA draws on research and opportunities across NIH to achieve its goals. Three programs in particular have shared a unique relationship with SEPA grants: the Institutional Development Award (IDeA), Research Center in Minority Institutions (RCMI), and the Clinical and Translational Science Award (CTSA). The IDeA program promotes health-related research and enhances the competitiveness of investigators at institutions located in states in which the aggregate success rate for grant applications to NIH has historically been low. The RCMI program enhances the research capacity and infrastructure at minority colleges and universities that offer doctorates in health. The CTSA program </w:t>
      </w:r>
      <w:r w:rsidRPr="003F7F8B">
        <w:rPr>
          <w:lang w:val="en"/>
        </w:rPr>
        <w:t>is designed to strengthen and support the entire spectrum of translational research from scientific discovery to improved patient care.</w:t>
      </w:r>
    </w:p>
    <w:p w:rsidR="003F7F8B" w:rsidRPr="003F7F8B" w:rsidRDefault="003F7F8B" w:rsidP="003F7F8B">
      <w:pPr>
        <w:pStyle w:val="L1-FlLSp12"/>
      </w:pPr>
    </w:p>
    <w:p w:rsidR="003F7F8B" w:rsidRPr="003F7F8B" w:rsidRDefault="003F7F8B" w:rsidP="003F7F8B">
      <w:pPr>
        <w:pStyle w:val="Heading2"/>
      </w:pPr>
      <w:bookmarkStart w:id="18" w:name="_Toc144549913"/>
      <w:bookmarkStart w:id="19" w:name="_Toc417456660"/>
      <w:bookmarkStart w:id="20" w:name="_Toc417539923"/>
      <w:bookmarkStart w:id="21" w:name="_Toc417540073"/>
      <w:bookmarkEnd w:id="11"/>
      <w:bookmarkEnd w:id="12"/>
      <w:bookmarkEnd w:id="13"/>
      <w:bookmarkEnd w:id="14"/>
      <w:r w:rsidRPr="003F7F8B">
        <w:t>A.1.</w:t>
      </w:r>
      <w:r w:rsidRPr="003F7F8B">
        <w:tab/>
        <w:t>Circumstances Making the Collection of Information Necessary</w:t>
      </w:r>
      <w:bookmarkEnd w:id="18"/>
      <w:bookmarkEnd w:id="19"/>
      <w:bookmarkEnd w:id="20"/>
      <w:bookmarkEnd w:id="21"/>
    </w:p>
    <w:p w:rsidR="00F31A3D" w:rsidRPr="00E45A8E" w:rsidRDefault="00F31A3D" w:rsidP="00F31A3D">
      <w:pPr>
        <w:pStyle w:val="L1-FlLSp12"/>
        <w:rPr>
          <w:lang w:val="en"/>
        </w:rPr>
      </w:pPr>
      <w:r w:rsidRPr="00E45A8E">
        <w:t xml:space="preserve">The Office of Research Infrastructure Programs (ORIP), within the </w:t>
      </w:r>
      <w:r w:rsidRPr="00E45A8E">
        <w:rPr>
          <w:rFonts w:eastAsia="Batang"/>
        </w:rPr>
        <w:t>Division of Program Coordination, Planning, and Strategic Initiatives (DPCPSI)</w:t>
      </w:r>
      <w:r>
        <w:t xml:space="preserve"> and </w:t>
      </w:r>
      <w:r w:rsidRPr="00E45A8E">
        <w:t xml:space="preserve">the Office of the Director of the National Institutes of Health, was formed in 2011 under the </w:t>
      </w:r>
      <w:r w:rsidRPr="00E45A8E">
        <w:rPr>
          <w:lang w:val="en"/>
        </w:rPr>
        <w:t xml:space="preserve">Consolidated Appropriations Act of 2012 (H.R. 2055; </w:t>
      </w:r>
      <w:r w:rsidRPr="00E45A8E">
        <w:rPr>
          <w:bCs/>
        </w:rPr>
        <w:t xml:space="preserve">Report </w:t>
      </w:r>
      <w:r w:rsidRPr="00E45A8E">
        <w:t>112-74</w:t>
      </w:r>
      <w:r w:rsidRPr="00E45A8E">
        <w:rPr>
          <w:lang w:val="en"/>
        </w:rPr>
        <w:t>). The ORIP is authorized to provide direct funds to various research and evaluation efforts</w:t>
      </w:r>
      <w:r>
        <w:rPr>
          <w:lang w:val="en"/>
        </w:rPr>
        <w:t xml:space="preserve"> in order to </w:t>
      </w:r>
      <w:r w:rsidRPr="00E45A8E">
        <w:rPr>
          <w:lang w:val="en"/>
        </w:rPr>
        <w:t>support</w:t>
      </w:r>
      <w:r>
        <w:rPr>
          <w:lang w:val="en"/>
        </w:rPr>
        <w:t xml:space="preserve"> its mission of </w:t>
      </w:r>
      <w:r w:rsidRPr="00EC62A9">
        <w:rPr>
          <w:lang w:val="en"/>
        </w:rPr>
        <w:t xml:space="preserve">supporting </w:t>
      </w:r>
      <w:r w:rsidRPr="00EC62A9">
        <w:t>research and other activities to advance medical research in all disease areas and across the basic, translational, and clinical research continuum</w:t>
      </w:r>
      <w:r w:rsidRPr="00EC62A9">
        <w:rPr>
          <w:lang w:val="en"/>
        </w:rPr>
        <w:t xml:space="preserve">. </w:t>
      </w:r>
      <w:r w:rsidRPr="00E45A8E">
        <w:rPr>
          <w:lang w:val="en"/>
        </w:rPr>
        <w:t xml:space="preserve">ORIP has requested </w:t>
      </w:r>
      <w:r>
        <w:rPr>
          <w:lang w:val="en"/>
        </w:rPr>
        <w:t xml:space="preserve">that SEPA </w:t>
      </w:r>
      <w:r w:rsidRPr="00E45A8E">
        <w:rPr>
          <w:lang w:val="en"/>
        </w:rPr>
        <w:t xml:space="preserve">conduct an evaluation of its program </w:t>
      </w:r>
      <w:r>
        <w:rPr>
          <w:lang w:val="en"/>
        </w:rPr>
        <w:t>and the portfolio of projects and initiatives funded by the program</w:t>
      </w:r>
      <w:r w:rsidRPr="00E45A8E">
        <w:rPr>
          <w:lang w:val="en"/>
        </w:rPr>
        <w:t xml:space="preserve">. </w:t>
      </w:r>
      <w:r w:rsidR="002B16CD">
        <w:rPr>
          <w:lang w:val="en"/>
        </w:rPr>
        <w:t xml:space="preserve">Westat </w:t>
      </w:r>
      <w:r w:rsidR="002B16CD">
        <w:rPr>
          <w:bCs/>
        </w:rPr>
        <w:t>will conduct the evaluation via a review of grant documents and through administration of two surveys and collection of interview data from a subset of projects. F</w:t>
      </w:r>
      <w:r>
        <w:rPr>
          <w:bCs/>
        </w:rPr>
        <w:t>indings will be used to assess the annual NIH investment in the SEPA program and provide NIH with evidence and data that will help it make effective decisions regarding program improvements and funding activities</w:t>
      </w:r>
      <w:r>
        <w:t xml:space="preserve">.  </w:t>
      </w:r>
    </w:p>
    <w:p w:rsidR="00F31A3D" w:rsidRPr="00E45A8E" w:rsidRDefault="00F31A3D" w:rsidP="00F31A3D">
      <w:pPr>
        <w:pStyle w:val="L1-FlLSp12"/>
        <w:rPr>
          <w:lang w:val="en"/>
        </w:rPr>
      </w:pPr>
    </w:p>
    <w:p w:rsidR="003F7F8B" w:rsidRDefault="003F7F8B" w:rsidP="003F7F8B">
      <w:pPr>
        <w:pStyle w:val="L1-FlLSp12"/>
      </w:pPr>
      <w:r w:rsidRPr="003F7F8B">
        <w:t>To determine whether and how best to evaluate the program, in 2009, Westat conducted a SEPA feasibility study</w:t>
      </w:r>
      <w:r w:rsidR="00333DF5">
        <w:t>. That study showed that</w:t>
      </w:r>
      <w:r w:rsidRPr="003F7F8B">
        <w:t xml:space="preserve"> it would be feasible to evaluate the SEPA </w:t>
      </w:r>
      <w:r w:rsidR="00EA574F">
        <w:t>P</w:t>
      </w:r>
      <w:r w:rsidRPr="003F7F8B">
        <w:t xml:space="preserve">rogram and </w:t>
      </w:r>
      <w:r w:rsidRPr="003F7F8B">
        <w:lastRenderedPageBreak/>
        <w:t>that the findings of a SEPA evaluation would be extremely valuable for both the program and the field. The current evaluation draws heavily on th</w:t>
      </w:r>
      <w:r w:rsidR="00333DF5">
        <w:t>e</w:t>
      </w:r>
      <w:r w:rsidRPr="003F7F8B">
        <w:t xml:space="preserve"> feasibility study</w:t>
      </w:r>
      <w:r w:rsidR="00333DF5">
        <w:t>,</w:t>
      </w:r>
      <w:r w:rsidRPr="003F7F8B">
        <w:t xml:space="preserve"> which created a solid foundation for</w:t>
      </w:r>
      <w:r w:rsidR="00333DF5">
        <w:t xml:space="preserve"> it</w:t>
      </w:r>
      <w:r w:rsidRPr="003F7F8B">
        <w:t xml:space="preserve">. The evaluation proposes to use a range of approaches—document review, case studies, review of the literature, and discussions with experts—to examine the status of the program and to provide a multi-faceted examination of program implementation in light of the design, strategies, and key features of SEPA projects funded between 2004 and 2014. </w:t>
      </w:r>
    </w:p>
    <w:p w:rsidR="003F7F8B" w:rsidRPr="003F7F8B" w:rsidRDefault="003F7F8B" w:rsidP="003F7F8B">
      <w:pPr>
        <w:pStyle w:val="L1-FlLSp12"/>
      </w:pPr>
    </w:p>
    <w:p w:rsidR="003F7F8B" w:rsidRPr="003F7F8B" w:rsidRDefault="003F7F8B" w:rsidP="003F7F8B">
      <w:pPr>
        <w:pStyle w:val="Heading2"/>
      </w:pPr>
      <w:bookmarkStart w:id="22" w:name="_Toc144549914"/>
      <w:bookmarkStart w:id="23" w:name="_Toc417456661"/>
      <w:bookmarkStart w:id="24" w:name="_Toc417539924"/>
      <w:bookmarkStart w:id="25" w:name="_Toc417540074"/>
      <w:bookmarkStart w:id="26" w:name="_Toc443881744"/>
      <w:bookmarkStart w:id="27" w:name="_Toc451592233"/>
      <w:bookmarkStart w:id="28" w:name="_Toc5610274"/>
      <w:bookmarkStart w:id="29" w:name="_Toc99178780"/>
      <w:r w:rsidRPr="003F7F8B">
        <w:t>A.2.</w:t>
      </w:r>
      <w:r w:rsidRPr="003F7F8B">
        <w:tab/>
        <w:t>Purpose and Use of the Information Collection</w:t>
      </w:r>
      <w:bookmarkEnd w:id="22"/>
      <w:bookmarkEnd w:id="23"/>
      <w:bookmarkEnd w:id="24"/>
      <w:bookmarkEnd w:id="25"/>
    </w:p>
    <w:p w:rsidR="003F7F8B" w:rsidRDefault="003F7F8B" w:rsidP="003F7F8B">
      <w:pPr>
        <w:pStyle w:val="L1-FlLSp12"/>
      </w:pPr>
      <w:r w:rsidRPr="003F7F8B">
        <w:t xml:space="preserve">The primary purpose of this data collection is to provide SEPA with information about the extent to which SEPA grants awarded since 2004 have met program goals related to project structure, partnership formation, and evaluation quality. SEPA will use the results to better understand its portfolio of projects, particularly the extent to which SEPA grantees are fulfilling the mission and goals of the program, how well the program has fulfilled its goal of enhancing and creating partnerships among SEPA projects, and whether the program has encouraged the use of more rigorous evidence-based evaluations. Information collected will be used to provide analytical and policy support to SEPA, </w:t>
      </w:r>
      <w:r w:rsidR="00333DF5">
        <w:t xml:space="preserve">and </w:t>
      </w:r>
      <w:r w:rsidRPr="003F7F8B">
        <w:t xml:space="preserve">assist NIH in making decisions about future SEPA programming, funding, and other initiatives designed to improve science education partnerships. Evaluation data may also provide information for NIH’s Government Performance and Results Act (GPRA) report. </w:t>
      </w:r>
    </w:p>
    <w:p w:rsidR="003F7F8B" w:rsidRPr="003F7F8B" w:rsidRDefault="003F7F8B" w:rsidP="003F7F8B">
      <w:pPr>
        <w:spacing w:line="360" w:lineRule="auto"/>
        <w:rPr>
          <w:szCs w:val="24"/>
        </w:rPr>
      </w:pPr>
    </w:p>
    <w:p w:rsidR="003F7F8B" w:rsidRPr="003F7F8B" w:rsidRDefault="003F7F8B" w:rsidP="00EA574F">
      <w:pPr>
        <w:pStyle w:val="Heading3"/>
      </w:pPr>
      <w:bookmarkStart w:id="30" w:name="_Toc144549998"/>
      <w:bookmarkStart w:id="31" w:name="_Toc417456662"/>
      <w:bookmarkStart w:id="32" w:name="_Toc417540075"/>
      <w:bookmarkStart w:id="33" w:name="_Toc144549915"/>
      <w:r w:rsidRPr="003F7F8B">
        <w:t>A.2.1.</w:t>
      </w:r>
      <w:r w:rsidRPr="003F7F8B">
        <w:tab/>
      </w:r>
      <w:bookmarkEnd w:id="30"/>
      <w:r w:rsidRPr="003F7F8B">
        <w:t>Research Questions</w:t>
      </w:r>
      <w:bookmarkEnd w:id="31"/>
      <w:bookmarkEnd w:id="32"/>
    </w:p>
    <w:bookmarkEnd w:id="33"/>
    <w:p w:rsidR="003F7F8B" w:rsidRPr="003F7F8B" w:rsidRDefault="003F7F8B" w:rsidP="003F7F8B">
      <w:pPr>
        <w:pStyle w:val="L1-FlLSp12"/>
      </w:pPr>
      <w:r w:rsidRPr="003F7F8B">
        <w:t>The evaluation addresses the following questions:</w:t>
      </w:r>
    </w:p>
    <w:p w:rsidR="003F7F8B" w:rsidRPr="003F7F8B" w:rsidRDefault="003F7F8B" w:rsidP="003F7F8B">
      <w:pPr>
        <w:pStyle w:val="L1-FlLSp12"/>
      </w:pPr>
    </w:p>
    <w:p w:rsidR="003F7F8B" w:rsidRPr="00E1241A" w:rsidRDefault="003F7F8B" w:rsidP="003F7F8B">
      <w:pPr>
        <w:pStyle w:val="N3-3rdBullet"/>
        <w:rPr>
          <w:sz w:val="24"/>
          <w:szCs w:val="24"/>
        </w:rPr>
      </w:pPr>
      <w:r w:rsidRPr="00E1241A">
        <w:rPr>
          <w:sz w:val="24"/>
          <w:szCs w:val="24"/>
        </w:rPr>
        <w:t>Is the SEPA portfolio aligned with the program’s overall goals?</w:t>
      </w:r>
    </w:p>
    <w:p w:rsidR="003F7F8B" w:rsidRPr="00E1241A" w:rsidRDefault="003F7F8B" w:rsidP="003F7F8B">
      <w:pPr>
        <w:pStyle w:val="N2-2ndBullet"/>
        <w:numPr>
          <w:ilvl w:val="0"/>
          <w:numId w:val="6"/>
        </w:numPr>
        <w:rPr>
          <w:rFonts w:ascii="Times New Roman" w:hAnsi="Times New Roman"/>
          <w:szCs w:val="24"/>
        </w:rPr>
      </w:pPr>
      <w:r w:rsidRPr="00E1241A">
        <w:rPr>
          <w:rFonts w:ascii="Times New Roman" w:hAnsi="Times New Roman"/>
          <w:szCs w:val="24"/>
        </w:rPr>
        <w:t>Specifically, questions regarding the portfolio directly address the extent to which the grants awarded under SEPA are aligned with its intended designs and goals.</w:t>
      </w:r>
    </w:p>
    <w:p w:rsidR="003F7F8B" w:rsidRPr="00E1241A" w:rsidRDefault="003F7F8B" w:rsidP="003F7F8B">
      <w:pPr>
        <w:pStyle w:val="N3-3rdBullet"/>
        <w:ind w:left="1152"/>
        <w:rPr>
          <w:sz w:val="24"/>
          <w:szCs w:val="24"/>
        </w:rPr>
      </w:pPr>
      <w:r w:rsidRPr="00E1241A">
        <w:rPr>
          <w:sz w:val="24"/>
          <w:szCs w:val="24"/>
        </w:rPr>
        <w:t xml:space="preserve">Has the SEPA </w:t>
      </w:r>
      <w:r w:rsidR="00333DF5">
        <w:rPr>
          <w:sz w:val="24"/>
          <w:szCs w:val="24"/>
        </w:rPr>
        <w:t>P</w:t>
      </w:r>
      <w:r w:rsidRPr="00E1241A">
        <w:rPr>
          <w:sz w:val="24"/>
          <w:szCs w:val="24"/>
        </w:rPr>
        <w:t>rogram contributed to the creation and/or enrichment of beneficial and productive partnerships?</w:t>
      </w:r>
    </w:p>
    <w:p w:rsidR="003F7F8B" w:rsidRPr="00E1241A" w:rsidRDefault="003F7F8B" w:rsidP="003F7F8B">
      <w:pPr>
        <w:pStyle w:val="N2-2ndBullet"/>
        <w:numPr>
          <w:ilvl w:val="0"/>
          <w:numId w:val="6"/>
        </w:numPr>
        <w:rPr>
          <w:rFonts w:ascii="Times New Roman" w:hAnsi="Times New Roman"/>
          <w:szCs w:val="24"/>
        </w:rPr>
      </w:pPr>
      <w:r w:rsidRPr="00E1241A">
        <w:rPr>
          <w:rFonts w:ascii="Times New Roman" w:hAnsi="Times New Roman"/>
          <w:szCs w:val="24"/>
        </w:rPr>
        <w:lastRenderedPageBreak/>
        <w:t>The examination of the SEPA-facilitated partnerships addresses the extent to which partnerships and collaborations are functioning as key resources that advance the field of STEM education and are integrating the dissemination of findings to the STEM education and biomedical research fields.</w:t>
      </w:r>
    </w:p>
    <w:p w:rsidR="003F7F8B" w:rsidRPr="00E1241A" w:rsidRDefault="00333DF5" w:rsidP="003F7F8B">
      <w:pPr>
        <w:pStyle w:val="N3-3rdBullet"/>
        <w:ind w:left="1152"/>
        <w:rPr>
          <w:sz w:val="24"/>
          <w:szCs w:val="24"/>
        </w:rPr>
      </w:pPr>
      <w:r>
        <w:rPr>
          <w:sz w:val="24"/>
          <w:szCs w:val="24"/>
        </w:rPr>
        <w:t>Is the SEPA P</w:t>
      </w:r>
      <w:r w:rsidR="003F7F8B" w:rsidRPr="00E1241A">
        <w:rPr>
          <w:sz w:val="24"/>
          <w:szCs w:val="24"/>
        </w:rPr>
        <w:t>rogram generating a rigorous evidence-based system that provides high-quality evaluations to inform the knowledge base?</w:t>
      </w:r>
    </w:p>
    <w:p w:rsidR="003F7F8B" w:rsidRPr="00E1241A" w:rsidRDefault="003F7F8B" w:rsidP="003F7F8B">
      <w:pPr>
        <w:pStyle w:val="N2-2ndBullet"/>
        <w:numPr>
          <w:ilvl w:val="0"/>
          <w:numId w:val="6"/>
        </w:numPr>
        <w:rPr>
          <w:rFonts w:ascii="Times New Roman" w:hAnsi="Times New Roman"/>
          <w:szCs w:val="24"/>
        </w:rPr>
      </w:pPr>
      <w:r w:rsidRPr="00E1241A">
        <w:rPr>
          <w:rFonts w:ascii="Times New Roman" w:hAnsi="Times New Roman"/>
          <w:szCs w:val="24"/>
        </w:rPr>
        <w:t xml:space="preserve">The examination of rigor of individual project evaluations will assess the extent to which the SEPA </w:t>
      </w:r>
      <w:r w:rsidR="00333DF5">
        <w:rPr>
          <w:rFonts w:ascii="Times New Roman" w:hAnsi="Times New Roman"/>
          <w:szCs w:val="24"/>
        </w:rPr>
        <w:t>P</w:t>
      </w:r>
      <w:r w:rsidRPr="00E1241A">
        <w:rPr>
          <w:rFonts w:ascii="Times New Roman" w:hAnsi="Times New Roman"/>
          <w:szCs w:val="24"/>
        </w:rPr>
        <w:t>rogram evaluations are generating evidence that meet the standards of scientific rigor.</w:t>
      </w:r>
    </w:p>
    <w:p w:rsidR="003F7F8B" w:rsidRPr="003F7F8B" w:rsidRDefault="003F7F8B" w:rsidP="003F7F8B">
      <w:pPr>
        <w:spacing w:line="360" w:lineRule="auto"/>
        <w:rPr>
          <w:szCs w:val="24"/>
        </w:rPr>
      </w:pPr>
    </w:p>
    <w:p w:rsidR="003F7F8B" w:rsidRPr="003F7F8B" w:rsidRDefault="003F7F8B" w:rsidP="003F7F8B">
      <w:pPr>
        <w:pStyle w:val="Heading3"/>
      </w:pPr>
      <w:bookmarkStart w:id="34" w:name="_Toc417456663"/>
      <w:bookmarkStart w:id="35" w:name="_Toc417540076"/>
      <w:r w:rsidRPr="003F7F8B">
        <w:t>A.2.2.</w:t>
      </w:r>
      <w:r w:rsidRPr="003F7F8B">
        <w:tab/>
        <w:t>Overview of Data Collection Modes</w:t>
      </w:r>
      <w:bookmarkEnd w:id="34"/>
      <w:bookmarkEnd w:id="35"/>
    </w:p>
    <w:p w:rsidR="003F7F8B" w:rsidRDefault="003F7F8B" w:rsidP="003F7F8B">
      <w:pPr>
        <w:pStyle w:val="L1-FlLSp12"/>
      </w:pPr>
      <w:r w:rsidRPr="003F7F8B">
        <w:t xml:space="preserve">Westat will collect information about program implementation associated with SEPA awards using a range of data collection methods, including two surveys and four interviews conducted during site visits, which are subject to this clearance request. The application will focus on these components, but the full range of data collection activities are briefly described below: </w:t>
      </w:r>
    </w:p>
    <w:p w:rsidR="003F7F8B" w:rsidRPr="003F7F8B" w:rsidRDefault="003F7F8B" w:rsidP="003F7F8B">
      <w:pPr>
        <w:pStyle w:val="N1-1stBullet"/>
      </w:pPr>
      <w:r w:rsidRPr="003F7F8B">
        <w:t xml:space="preserve">Review of existing documents (e.g., SEPA solicitations, proposals, annual and final reports, and summative evaluations) to provide a description of the SEPA projects funded during the past 10 years in terms of their purpose, activities, target population, delivery mechanisms, and outcomes; </w:t>
      </w:r>
    </w:p>
    <w:p w:rsidR="003F7F8B" w:rsidRPr="003F7F8B" w:rsidRDefault="003F7F8B" w:rsidP="003F7F8B">
      <w:pPr>
        <w:pStyle w:val="N1-1stBullet"/>
      </w:pPr>
      <w:r w:rsidRPr="003F7F8B">
        <w:t>Semi-structured interviews with NIH leadership and staff involved in SEPA to obtain their perspectives on how the purpose and implementation of SEPA projects have evolved over time;</w:t>
      </w:r>
    </w:p>
    <w:p w:rsidR="003F7F8B" w:rsidRPr="003F7F8B" w:rsidRDefault="00EA574F" w:rsidP="003F7F8B">
      <w:pPr>
        <w:pStyle w:val="N1-1stBullet"/>
      </w:pPr>
      <w:r>
        <w:t>Principal i</w:t>
      </w:r>
      <w:r w:rsidR="00333DF5">
        <w:t>nvestigator (</w:t>
      </w:r>
      <w:r w:rsidR="003F7F8B" w:rsidRPr="003F7F8B">
        <w:t>PI</w:t>
      </w:r>
      <w:r w:rsidR="00333DF5">
        <w:t>)</w:t>
      </w:r>
      <w:r w:rsidR="003F7F8B" w:rsidRPr="003F7F8B">
        <w:t xml:space="preserve"> survey to obtain information about the contributions of individual partners and the extent to which partnerships are being/have been sustained, issues associated with the project’s evaluation component, and the range of outcomes associated with the project; </w:t>
      </w:r>
    </w:p>
    <w:p w:rsidR="003F7F8B" w:rsidRPr="003F7F8B" w:rsidRDefault="003F7F8B" w:rsidP="003F7F8B">
      <w:pPr>
        <w:pStyle w:val="N1-1stBullet"/>
      </w:pPr>
      <w:r w:rsidRPr="003F7F8B">
        <w:t xml:space="preserve">Partner survey to obtain partners’ perspectives on their SEPA experiences and contributions; </w:t>
      </w:r>
    </w:p>
    <w:p w:rsidR="003F7F8B" w:rsidRPr="003F7F8B" w:rsidRDefault="003F7F8B" w:rsidP="003F7F8B">
      <w:pPr>
        <w:pStyle w:val="N1-1stBullet"/>
      </w:pPr>
      <w:r w:rsidRPr="003F7F8B">
        <w:t xml:space="preserve">Case studies to engage a broader population of stakeholders and beneficiaries in deeper discussions about the extent to which projects are aligned with the goals of the SEPA </w:t>
      </w:r>
      <w:r w:rsidR="00EA574F">
        <w:t>P</w:t>
      </w:r>
      <w:r w:rsidRPr="003F7F8B">
        <w:t>rogram, the outcomes associated with SEPA projects, the types of contributions made by partners, issues impinging on the quality of the evaluation, and the extent to which projects and their partnerships are being sustained; and</w:t>
      </w:r>
    </w:p>
    <w:p w:rsidR="003F7F8B" w:rsidRPr="003F7F8B" w:rsidRDefault="003F7F8B" w:rsidP="003F7F8B">
      <w:pPr>
        <w:pStyle w:val="N1-1stBullet"/>
      </w:pPr>
      <w:r w:rsidRPr="003F7F8B">
        <w:t xml:space="preserve">Rigor review of eligible project evaluations to assess the extent to which the SEPA portfolio has sufficiently high quality evaluation designs capable of generating evidence for the field. </w:t>
      </w:r>
    </w:p>
    <w:p w:rsidR="003F7F8B" w:rsidRPr="003F7F8B" w:rsidRDefault="003F7F8B" w:rsidP="003F7F8B">
      <w:pPr>
        <w:pStyle w:val="L1-FlLSp12"/>
      </w:pPr>
    </w:p>
    <w:p w:rsidR="003F7F8B" w:rsidRPr="003F7F8B" w:rsidRDefault="003F7F8B" w:rsidP="003F7F8B">
      <w:pPr>
        <w:pStyle w:val="Heading4"/>
      </w:pPr>
      <w:r w:rsidRPr="003F7F8B">
        <w:lastRenderedPageBreak/>
        <w:t>PI and Partner Surveys</w:t>
      </w:r>
    </w:p>
    <w:p w:rsidR="003F7F8B" w:rsidRPr="003F7F8B" w:rsidRDefault="003F7F8B" w:rsidP="003F7F8B">
      <w:pPr>
        <w:pStyle w:val="L1-FlLSp12"/>
      </w:pPr>
      <w:r w:rsidRPr="003F7F8B">
        <w:t>The purpose of the PI and partner surveys is to allow for a broad-based assessment of the implementation and contributions of the projects funded during the past 10 years (2004 through 2014). The surveys will also allow for an examination of the range of factors that facilitated and hindered the efforts of the overall project and individual partner organizations. The online surveys will be administered to PIs and their formally named partners for 156 projects funded during the last 10 years.</w:t>
      </w:r>
    </w:p>
    <w:p w:rsidR="003F7F8B" w:rsidRPr="003F7F8B" w:rsidRDefault="003F7F8B" w:rsidP="003F7F8B">
      <w:pPr>
        <w:pStyle w:val="L1-FlLSp12"/>
      </w:pPr>
    </w:p>
    <w:p w:rsidR="003F7F8B" w:rsidRPr="003F7F8B" w:rsidRDefault="003F7F8B" w:rsidP="003F7F8B">
      <w:pPr>
        <w:pStyle w:val="L1-FlLSp12"/>
      </w:pPr>
      <w:r w:rsidRPr="003F7F8B">
        <w:t>The development of these surveys was informed by existing construct maps, as well as feedback from the SEPA management team and the members of the SEPA Advisory Committee. The PI survey collects information on (1) the characteristics of the PI</w:t>
      </w:r>
      <w:r w:rsidR="00333DF5">
        <w:t>,</w:t>
      </w:r>
      <w:r w:rsidRPr="003F7F8B">
        <w:t xml:space="preserve"> (2) the experiences of PIs</w:t>
      </w:r>
      <w:r w:rsidR="00333DF5">
        <w:t>,</w:t>
      </w:r>
      <w:r w:rsidRPr="003F7F8B">
        <w:t xml:space="preserve"> (3) the contributions of individual partners and the extent to which partnerships are being sustained</w:t>
      </w:r>
      <w:r w:rsidR="00333DF5">
        <w:t>,</w:t>
      </w:r>
      <w:r w:rsidRPr="003F7F8B">
        <w:t xml:space="preserve"> (4)</w:t>
      </w:r>
      <w:r w:rsidR="00333DF5">
        <w:t> </w:t>
      </w:r>
      <w:r w:rsidRPr="003F7F8B">
        <w:t>issues associated with the project’s evaluation component</w:t>
      </w:r>
      <w:r w:rsidR="00333DF5">
        <w:t>,</w:t>
      </w:r>
      <w:r w:rsidRPr="003F7F8B">
        <w:t xml:space="preserve"> and (5) the range of outcomes associated with the project. The partner survey collects information on (1) the characteristics of the individual responding to the survey</w:t>
      </w:r>
      <w:r w:rsidR="00333DF5">
        <w:t>,</w:t>
      </w:r>
      <w:r w:rsidRPr="003F7F8B">
        <w:t xml:space="preserve"> (2) the characteristics of the partner organizations</w:t>
      </w:r>
      <w:r w:rsidR="00333DF5">
        <w:t>,</w:t>
      </w:r>
      <w:r w:rsidRPr="003F7F8B">
        <w:t xml:space="preserve"> (3)</w:t>
      </w:r>
      <w:r w:rsidR="00333DF5">
        <w:t> </w:t>
      </w:r>
      <w:r w:rsidRPr="003F7F8B">
        <w:t>the roles and contributions of partner organizations</w:t>
      </w:r>
      <w:r w:rsidR="00333DF5">
        <w:t>,</w:t>
      </w:r>
      <w:r w:rsidRPr="003F7F8B">
        <w:t xml:space="preserve"> (4) the management of partnerships; (5)</w:t>
      </w:r>
      <w:r w:rsidR="00333DF5">
        <w:t> </w:t>
      </w:r>
      <w:r w:rsidRPr="003F7F8B">
        <w:t>benefits of partnerships</w:t>
      </w:r>
      <w:r w:rsidR="00333DF5">
        <w:t>,</w:t>
      </w:r>
      <w:r w:rsidRPr="003F7F8B">
        <w:t xml:space="preserve"> and (6) the extent to which partnerships are being sustained following the conclusion of the SEPA grant.  Both surveys will include a combination of close-ended and open-ended items. </w:t>
      </w:r>
    </w:p>
    <w:p w:rsidR="003F7F8B" w:rsidRPr="003F7F8B" w:rsidRDefault="003F7F8B" w:rsidP="003F7F8B">
      <w:pPr>
        <w:pStyle w:val="L1-FlLSp12"/>
      </w:pPr>
    </w:p>
    <w:p w:rsidR="003F7F8B" w:rsidRPr="003F7F8B" w:rsidRDefault="003F7F8B" w:rsidP="003F7F8B">
      <w:pPr>
        <w:pStyle w:val="L1-FlLSp12"/>
      </w:pPr>
      <w:r w:rsidRPr="003F7F8B">
        <w:t xml:space="preserve">Screen shots of the online PI and </w:t>
      </w:r>
      <w:r w:rsidR="00EA574F">
        <w:t>p</w:t>
      </w:r>
      <w:r w:rsidRPr="003F7F8B">
        <w:t xml:space="preserve">artner </w:t>
      </w:r>
      <w:r w:rsidR="00EA574F">
        <w:t>s</w:t>
      </w:r>
      <w:r w:rsidRPr="003F7F8B">
        <w:t xml:space="preserve">urvey items are provided in </w:t>
      </w:r>
      <w:r w:rsidRPr="003F7F8B">
        <w:rPr>
          <w:b/>
        </w:rPr>
        <w:t>Attachments 1-2</w:t>
      </w:r>
      <w:r w:rsidRPr="003F7F8B">
        <w:t xml:space="preserve">.  </w:t>
      </w:r>
    </w:p>
    <w:p w:rsidR="003F7F8B" w:rsidRPr="003F7F8B" w:rsidRDefault="003F7F8B" w:rsidP="003F7F8B">
      <w:pPr>
        <w:pStyle w:val="L1-FlLSp12"/>
      </w:pPr>
    </w:p>
    <w:p w:rsidR="003F7F8B" w:rsidRPr="003F7F8B" w:rsidRDefault="003F7F8B" w:rsidP="003F7F8B">
      <w:pPr>
        <w:pStyle w:val="Heading4"/>
      </w:pPr>
      <w:r w:rsidRPr="003F7F8B">
        <w:t>Case Studies</w:t>
      </w:r>
    </w:p>
    <w:p w:rsidR="003F7F8B" w:rsidRPr="003F7F8B" w:rsidRDefault="003F7F8B" w:rsidP="003F7F8B">
      <w:pPr>
        <w:pStyle w:val="L1-FlLSp12"/>
      </w:pPr>
      <w:r w:rsidRPr="003F7F8B">
        <w:t xml:space="preserve">We plan </w:t>
      </w:r>
      <w:r w:rsidR="00333DF5">
        <w:t>t</w:t>
      </w:r>
      <w:r w:rsidRPr="003F7F8B">
        <w:t xml:space="preserve">o conduct case studies of select SEPA projects to obtain more detailed information on partnerships, the rigor of study designs, and project outcomes. Information for case studies will be provided primarily through telephone interviews with PIs and partners as well as through three site visits. Descriptions of the telephone interviews and site visits follow. </w:t>
      </w:r>
    </w:p>
    <w:p w:rsidR="003F7F8B" w:rsidRPr="003F7F8B" w:rsidRDefault="003F7F8B" w:rsidP="003F7F8B">
      <w:pPr>
        <w:pStyle w:val="L1-FlLSp12"/>
      </w:pPr>
    </w:p>
    <w:p w:rsidR="003F7F8B" w:rsidRPr="003F7F8B" w:rsidRDefault="003F7F8B" w:rsidP="003F7F8B">
      <w:pPr>
        <w:pStyle w:val="Heading4"/>
      </w:pPr>
      <w:r w:rsidRPr="003F7F8B">
        <w:lastRenderedPageBreak/>
        <w:t xml:space="preserve">PI and Partner Telephone Interviews </w:t>
      </w:r>
    </w:p>
    <w:p w:rsidR="003F7F8B" w:rsidRPr="003F7F8B" w:rsidRDefault="003F7F8B" w:rsidP="003F7F8B">
      <w:pPr>
        <w:pStyle w:val="L1-FlLSp12"/>
      </w:pPr>
      <w:r w:rsidRPr="003F7F8B">
        <w:t>While the surveys will obtain broad-based data from all SEPA projects funded in the past 10 years, the telephone interviews will be used to obtain a more detailed understanding of the implementation and contributions of approximately 40 of the 156 projects funded in the last 10 years. The scope and purpose of the interviews have been discussed with both the SEPA management team and members of the SEPA Advisory Committee. Of particular interest will be examining how partners were selected, the role(s) of project partners, partner contributions, and the range of factors that facilitated or hindered partners’ work on their SEPA projects. The PI interviews will also delve more deeply into projects’ experiences in conducting their evidence-based evaluation and what they learned from participating in the evaluation. The partner interviews will p</w:t>
      </w:r>
      <w:r w:rsidR="00333DF5">
        <w:t>robe for their</w:t>
      </w:r>
      <w:r w:rsidRPr="003F7F8B">
        <w:t xml:space="preserve"> views about various aspects of the project partnership and its impacts, including information about their implementation experiences, contributions to the project, and whether and how partnerships have been sustained. Although telephone interviews will cover the same topics across projects, some items will be tailored to specific respondents and/or types of grant (e.g., curriculum projects versus projects that are developing museum exhibits) to delve more deeply into areas that emerged from the document review and/or PI/partner surveys.</w:t>
      </w:r>
    </w:p>
    <w:p w:rsidR="004B2505" w:rsidRDefault="004B2505" w:rsidP="003F7F8B">
      <w:pPr>
        <w:pStyle w:val="L1-FlLSp12"/>
      </w:pPr>
    </w:p>
    <w:p w:rsidR="003F7F8B" w:rsidRPr="003F7F8B" w:rsidRDefault="003F7F8B" w:rsidP="003F7F8B">
      <w:pPr>
        <w:pStyle w:val="L1-FlLSp12"/>
      </w:pPr>
      <w:r w:rsidRPr="003F7F8B">
        <w:t xml:space="preserve">Copies of the PI and Partner Interview Protocols are provided in </w:t>
      </w:r>
      <w:r w:rsidRPr="003F7F8B">
        <w:rPr>
          <w:b/>
        </w:rPr>
        <w:t xml:space="preserve">Attachments </w:t>
      </w:r>
      <w:r w:rsidR="00762906">
        <w:rPr>
          <w:b/>
        </w:rPr>
        <w:t>3 and 5</w:t>
      </w:r>
      <w:r w:rsidRPr="003F7F8B">
        <w:t xml:space="preserve">. </w:t>
      </w:r>
    </w:p>
    <w:p w:rsidR="003F7F8B" w:rsidRPr="003F7F8B" w:rsidRDefault="003F7F8B" w:rsidP="003F7F8B">
      <w:pPr>
        <w:pStyle w:val="L1-FlLSp12"/>
      </w:pPr>
    </w:p>
    <w:p w:rsidR="003F7F8B" w:rsidRPr="003F7F8B" w:rsidRDefault="003F7F8B" w:rsidP="003F7F8B">
      <w:pPr>
        <w:pStyle w:val="Heading4"/>
      </w:pPr>
      <w:r w:rsidRPr="003F7F8B">
        <w:t>Project Site Visits</w:t>
      </w:r>
    </w:p>
    <w:p w:rsidR="003F7F8B" w:rsidRPr="003F7F8B" w:rsidRDefault="003F7F8B" w:rsidP="003F7F8B">
      <w:pPr>
        <w:pStyle w:val="L1-FlLSp12"/>
      </w:pPr>
      <w:r w:rsidRPr="003F7F8B">
        <w:t xml:space="preserve">For six to nine SEPA projects, we will conduct three site visits (in lieu of the telephone interviews) and will schedule time to spend with two to three projects per visit. Site visits will allow us to conduct observations of specific activities and conduct face-to-face interviews with PIs, partners, evaluators, and other project stakeholders. The purpose of these site visits will be to engage a broader group of stakeholders in deeper discussions about the extent to which projects are aligned with the goals of the SEPA </w:t>
      </w:r>
      <w:r w:rsidR="00333DF5">
        <w:t>P</w:t>
      </w:r>
      <w:r w:rsidRPr="003F7F8B">
        <w:t xml:space="preserve">rogram, the outcomes associated with SEPA projects, the types of contributions made by partners, issues impinging on the rigor of the evaluation, and the extent to which projects and their partnerships are being sustained. </w:t>
      </w:r>
    </w:p>
    <w:p w:rsidR="003F7F8B" w:rsidRPr="003F7F8B" w:rsidRDefault="003F7F8B" w:rsidP="003F7F8B">
      <w:pPr>
        <w:pStyle w:val="L1-FlLSp12"/>
      </w:pPr>
    </w:p>
    <w:p w:rsidR="003F7F8B" w:rsidRPr="003F7F8B" w:rsidRDefault="003F7F8B" w:rsidP="003F7F8B">
      <w:pPr>
        <w:pStyle w:val="L1-FlLSp12"/>
      </w:pPr>
      <w:r w:rsidRPr="003F7F8B">
        <w:lastRenderedPageBreak/>
        <w:t xml:space="preserve">Copies of the site visit interview protocols are provided in </w:t>
      </w:r>
      <w:r w:rsidRPr="003F7F8B">
        <w:rPr>
          <w:b/>
        </w:rPr>
        <w:t>Attachments</w:t>
      </w:r>
      <w:r w:rsidR="00762906">
        <w:rPr>
          <w:b/>
        </w:rPr>
        <w:t xml:space="preserve"> 4, 6, 7, and 8</w:t>
      </w:r>
      <w:r w:rsidRPr="003F7F8B">
        <w:t xml:space="preserve">.  </w:t>
      </w:r>
    </w:p>
    <w:p w:rsidR="003F7F8B" w:rsidRPr="003F7F8B" w:rsidRDefault="003F7F8B" w:rsidP="003F7F8B">
      <w:pPr>
        <w:spacing w:line="360" w:lineRule="auto"/>
        <w:rPr>
          <w:szCs w:val="24"/>
        </w:rPr>
      </w:pPr>
    </w:p>
    <w:p w:rsidR="003F7F8B" w:rsidRPr="003F7F8B" w:rsidRDefault="003F7F8B" w:rsidP="003F7F8B">
      <w:pPr>
        <w:pStyle w:val="Heading2"/>
      </w:pPr>
      <w:bookmarkStart w:id="36" w:name="_Toc144549916"/>
      <w:bookmarkStart w:id="37" w:name="_Toc417456664"/>
      <w:bookmarkStart w:id="38" w:name="_Toc417539925"/>
      <w:bookmarkStart w:id="39" w:name="_Toc417540077"/>
      <w:bookmarkStart w:id="40" w:name="_Toc443881745"/>
      <w:bookmarkStart w:id="41" w:name="_Toc451592234"/>
      <w:bookmarkStart w:id="42" w:name="_Toc5610275"/>
      <w:bookmarkStart w:id="43" w:name="_Toc99178781"/>
      <w:bookmarkEnd w:id="26"/>
      <w:bookmarkEnd w:id="27"/>
      <w:bookmarkEnd w:id="28"/>
      <w:bookmarkEnd w:id="29"/>
      <w:r w:rsidRPr="003F7F8B">
        <w:t>A.3.</w:t>
      </w:r>
      <w:r w:rsidRPr="003F7F8B">
        <w:tab/>
        <w:t>Use of Information Technology and Burden Reduction</w:t>
      </w:r>
      <w:bookmarkEnd w:id="36"/>
      <w:bookmarkEnd w:id="37"/>
      <w:bookmarkEnd w:id="38"/>
      <w:bookmarkEnd w:id="39"/>
    </w:p>
    <w:p w:rsidR="003F7F8B" w:rsidRDefault="003F7F8B" w:rsidP="003F7F8B">
      <w:pPr>
        <w:pStyle w:val="L1-FlLSp12"/>
      </w:pPr>
      <w:r w:rsidRPr="003F7F8B">
        <w:t xml:space="preserve">The evaluation study will utilize three different modes of data collection: web-based surveys, telephone interviews, and site visit interviews. The following sections make reference to the following three stakeholder groups from which data will be collected: </w:t>
      </w:r>
    </w:p>
    <w:p w:rsidR="003F7F8B" w:rsidRPr="003F7F8B" w:rsidRDefault="003F7F8B" w:rsidP="003F7F8B">
      <w:pPr>
        <w:pStyle w:val="L1-FlLSp12"/>
      </w:pPr>
    </w:p>
    <w:p w:rsidR="003F7F8B" w:rsidRPr="00E1241A" w:rsidRDefault="003F7F8B" w:rsidP="003F7F8B">
      <w:pPr>
        <w:pStyle w:val="N3-3rdBullet"/>
        <w:numPr>
          <w:ilvl w:val="0"/>
          <w:numId w:val="7"/>
        </w:numPr>
        <w:rPr>
          <w:sz w:val="24"/>
          <w:szCs w:val="24"/>
        </w:rPr>
      </w:pPr>
      <w:r w:rsidRPr="00E1241A">
        <w:rPr>
          <w:b/>
          <w:sz w:val="24"/>
          <w:szCs w:val="24"/>
        </w:rPr>
        <w:t>Principal Investigators (PIs):</w:t>
      </w:r>
      <w:r w:rsidRPr="00E1241A">
        <w:rPr>
          <w:sz w:val="24"/>
          <w:szCs w:val="24"/>
        </w:rPr>
        <w:t xml:space="preserve"> The SEPA researchers comprise the PIs of all SEPA projects funded from 2004 through 2014. Based on our current document review of SEPA project materials, we have determined that there have been 156 SEPA projects funded between 2004 and 2014. Thus, the number of PIs that will be invited to participate for the PI survey will be 156. Additionally, a subsample of 40 project PIs will be invited to participate in individual telephone/in-person interviews to gain more in-depth information about their SEPA projects as part of the plan to conduct case studies. </w:t>
      </w:r>
    </w:p>
    <w:p w:rsidR="003F7F8B" w:rsidRPr="00E1241A" w:rsidRDefault="003F7F8B" w:rsidP="00E1241A">
      <w:pPr>
        <w:pStyle w:val="N3-3rdBullet"/>
        <w:numPr>
          <w:ilvl w:val="0"/>
          <w:numId w:val="7"/>
        </w:numPr>
        <w:rPr>
          <w:sz w:val="24"/>
          <w:szCs w:val="24"/>
        </w:rPr>
      </w:pPr>
      <w:r w:rsidRPr="00E1241A">
        <w:rPr>
          <w:b/>
          <w:sz w:val="24"/>
          <w:szCs w:val="24"/>
        </w:rPr>
        <w:t>SEPA</w:t>
      </w:r>
      <w:r w:rsidRPr="00E1241A">
        <w:rPr>
          <w:sz w:val="24"/>
          <w:szCs w:val="24"/>
        </w:rPr>
        <w:t xml:space="preserve"> </w:t>
      </w:r>
      <w:r w:rsidRPr="00E1241A">
        <w:rPr>
          <w:b/>
          <w:sz w:val="24"/>
          <w:szCs w:val="24"/>
        </w:rPr>
        <w:t>Project Partners</w:t>
      </w:r>
      <w:r w:rsidRPr="00333DF5">
        <w:rPr>
          <w:b/>
          <w:sz w:val="24"/>
          <w:szCs w:val="24"/>
        </w:rPr>
        <w:t>:</w:t>
      </w:r>
      <w:r w:rsidRPr="00E1241A">
        <w:rPr>
          <w:sz w:val="24"/>
          <w:szCs w:val="24"/>
        </w:rPr>
        <w:t xml:space="preserve"> All partners of the 156 SEPA projects from 2004 through 2014 will be invited to participate in the partner survey. It is expected that SEPA projects will have on average two partners associated with the project for a total of approximately 312 prospective partners eligible to participate in the partner survey. Additionally, partners of the 40 projects selected for case studies will be invited to participate in the partner interviews. It is expect that SEPA projects will have an average of two partners per project for a total of approximately 80 prospective partners eligible for the partner interview. </w:t>
      </w:r>
    </w:p>
    <w:p w:rsidR="003F7F8B" w:rsidRPr="00E1241A" w:rsidRDefault="003F7F8B" w:rsidP="00E1241A">
      <w:pPr>
        <w:pStyle w:val="N3-3rdBullet"/>
        <w:numPr>
          <w:ilvl w:val="0"/>
          <w:numId w:val="7"/>
        </w:numPr>
        <w:rPr>
          <w:sz w:val="24"/>
          <w:szCs w:val="24"/>
        </w:rPr>
      </w:pPr>
      <w:r w:rsidRPr="00E1241A">
        <w:rPr>
          <w:b/>
          <w:sz w:val="24"/>
          <w:szCs w:val="24"/>
        </w:rPr>
        <w:t>Key Project Staff</w:t>
      </w:r>
      <w:r w:rsidRPr="00333DF5">
        <w:rPr>
          <w:b/>
          <w:sz w:val="24"/>
          <w:szCs w:val="24"/>
        </w:rPr>
        <w:t xml:space="preserve">: </w:t>
      </w:r>
      <w:r w:rsidRPr="00E1241A">
        <w:rPr>
          <w:sz w:val="24"/>
          <w:szCs w:val="24"/>
        </w:rPr>
        <w:t>We will visit two to three SEPA project</w:t>
      </w:r>
      <w:r w:rsidR="00333DF5">
        <w:rPr>
          <w:sz w:val="24"/>
          <w:szCs w:val="24"/>
        </w:rPr>
        <w:t>s</w:t>
      </w:r>
      <w:r w:rsidRPr="00E1241A">
        <w:rPr>
          <w:sz w:val="24"/>
          <w:szCs w:val="24"/>
        </w:rPr>
        <w:t xml:space="preserve"> during each of the three planned site visits. The site visits will include interviews with the PI and partners but will also include interviews with other key project staff such as the evaluator and other individuals identified as key by the project PI. The number of key project staff at each site who will participate in the interviews is expected to be between 5 and 10 individuals.</w:t>
      </w:r>
    </w:p>
    <w:p w:rsidR="003F7F8B" w:rsidRPr="003F7F8B" w:rsidRDefault="003F7F8B" w:rsidP="003F7F8B">
      <w:pPr>
        <w:pStyle w:val="L1-FlLSp12"/>
      </w:pPr>
    </w:p>
    <w:p w:rsidR="003F7F8B" w:rsidRPr="003F7F8B" w:rsidRDefault="003F7F8B" w:rsidP="003F7F8B">
      <w:pPr>
        <w:pStyle w:val="Heading4"/>
      </w:pPr>
      <w:r w:rsidRPr="003F7F8B">
        <w:t>Web-based Surveys</w:t>
      </w:r>
    </w:p>
    <w:p w:rsidR="003F7F8B" w:rsidRPr="003F7F8B" w:rsidRDefault="00EA574F" w:rsidP="003F7F8B">
      <w:pPr>
        <w:pStyle w:val="L1-FlLSp12"/>
      </w:pPr>
      <w:r>
        <w:t xml:space="preserve">We have developed online versions for the PI and partner survey </w:t>
      </w:r>
      <w:r w:rsidR="003F7F8B" w:rsidRPr="003F7F8B">
        <w:t>(</w:t>
      </w:r>
      <w:r w:rsidR="003F7F8B" w:rsidRPr="003F7F8B">
        <w:rPr>
          <w:b/>
        </w:rPr>
        <w:t>Attachments 1-2</w:t>
      </w:r>
      <w:r w:rsidR="003F7F8B" w:rsidRPr="003F7F8B">
        <w:t>). Once OMB clearance has been obtained, we will launch the PI and partner surveys by sending respondents an e-mail with information about the evaluation (</w:t>
      </w:r>
      <w:r w:rsidR="003F7F8B" w:rsidRPr="003F7F8B">
        <w:rPr>
          <w:b/>
        </w:rPr>
        <w:t>Attachment</w:t>
      </w:r>
      <w:r w:rsidR="00333DF5">
        <w:rPr>
          <w:b/>
        </w:rPr>
        <w:t>s</w:t>
      </w:r>
      <w:r w:rsidR="003F7F8B" w:rsidRPr="003F7F8B">
        <w:rPr>
          <w:b/>
        </w:rPr>
        <w:t xml:space="preserve"> </w:t>
      </w:r>
      <w:r w:rsidR="00762906">
        <w:rPr>
          <w:b/>
        </w:rPr>
        <w:t>9-10</w:t>
      </w:r>
      <w:r w:rsidR="003F7F8B" w:rsidRPr="003F7F8B">
        <w:t xml:space="preserve">) and a generic </w:t>
      </w:r>
      <w:r w:rsidR="003F7F8B" w:rsidRPr="003F7F8B">
        <w:lastRenderedPageBreak/>
        <w:t>letter from NIH (to be drafted by Westat and revised by NIH as necessary) requesting participation in the survey, instructions about how to log into the survey, and respondent-specific password</w:t>
      </w:r>
      <w:r w:rsidR="00333DF5">
        <w:t>s</w:t>
      </w:r>
      <w:r w:rsidR="003F7F8B" w:rsidRPr="003F7F8B">
        <w:t xml:space="preserve"> for use to access their survey</w:t>
      </w:r>
      <w:r w:rsidR="00333DF5">
        <w:t>s</w:t>
      </w:r>
      <w:r w:rsidR="003F7F8B" w:rsidRPr="003F7F8B">
        <w:t xml:space="preserve"> (</w:t>
      </w:r>
      <w:r w:rsidR="003F7F8B" w:rsidRPr="003F7F8B">
        <w:rPr>
          <w:b/>
        </w:rPr>
        <w:t>Attachment</w:t>
      </w:r>
      <w:r w:rsidR="00333DF5">
        <w:rPr>
          <w:b/>
        </w:rPr>
        <w:t>s</w:t>
      </w:r>
      <w:r w:rsidR="003F7F8B" w:rsidRPr="003F7F8B">
        <w:rPr>
          <w:b/>
        </w:rPr>
        <w:t xml:space="preserve"> </w:t>
      </w:r>
      <w:r w:rsidR="00762906">
        <w:rPr>
          <w:b/>
        </w:rPr>
        <w:t>12-13</w:t>
      </w:r>
      <w:r w:rsidR="003F7F8B" w:rsidRPr="003F7F8B">
        <w:t xml:space="preserve">). Once a project’s PI survey has been completed, we will administer the partner survey on a rolling basis to each of the identified partners. Staggering the administration of the partner survey until the PI survey is complete will enable us to use the PI survey responses to confirm the correct names and e-mail addresses for individuals from partner organizations </w:t>
      </w:r>
      <w:r w:rsidR="00333DF5">
        <w:t xml:space="preserve">that will be </w:t>
      </w:r>
      <w:r w:rsidR="003F7F8B" w:rsidRPr="003F7F8B">
        <w:t>used to send partners the survey.</w:t>
      </w:r>
    </w:p>
    <w:p w:rsidR="003F7F8B" w:rsidRPr="003F7F8B" w:rsidRDefault="003F7F8B" w:rsidP="003F7F8B">
      <w:pPr>
        <w:pStyle w:val="L1-FlLSp12"/>
      </w:pPr>
    </w:p>
    <w:p w:rsidR="003F7F8B" w:rsidRPr="003F7F8B" w:rsidRDefault="003F7F8B" w:rsidP="003F7F8B">
      <w:pPr>
        <w:pStyle w:val="L1-FlLSp12"/>
      </w:pPr>
      <w:r w:rsidRPr="003F7F8B">
        <w:t>Since we need detailed information on all SEPA projects funded during the period covered by the process evaluation, PIs who have led multiple SEPA projects in the past 10 years will be asked to complete a separate survey for each project. Data from the document review and PI survey will provide information about which partners were associated with each SEPA project. In cases where projects use the same partners, we will discuss with SEPA staff steps to minimize respondent burden.</w:t>
      </w:r>
    </w:p>
    <w:p w:rsidR="00FD6DDC" w:rsidRDefault="00FD6DDC" w:rsidP="003F7F8B">
      <w:pPr>
        <w:pStyle w:val="L1-FlLSp12"/>
      </w:pPr>
    </w:p>
    <w:p w:rsidR="003F7F8B" w:rsidRPr="003F7F8B" w:rsidRDefault="003F7F8B" w:rsidP="003F7F8B">
      <w:pPr>
        <w:pStyle w:val="L1-FlLSp12"/>
      </w:pPr>
      <w:r w:rsidRPr="003F7F8B">
        <w:t>We are proposing that PIs and project partners be given 30 days to complete their surveys, although significant time will likely be needed for follow-up with nonrespondents. Westat will monitor the collection status of individual respondents and send generic e-mail reminders to remind nonrespondents of the need to complete the survey in a timely manner (</w:t>
      </w:r>
      <w:r w:rsidRPr="003F7F8B">
        <w:rPr>
          <w:b/>
        </w:rPr>
        <w:t xml:space="preserve">Attachments </w:t>
      </w:r>
      <w:r w:rsidR="00A35582">
        <w:rPr>
          <w:b/>
        </w:rPr>
        <w:t>14-15</w:t>
      </w:r>
      <w:r w:rsidRPr="003F7F8B">
        <w:t>). At the end of the collection cy</w:t>
      </w:r>
      <w:r w:rsidR="00EA574F">
        <w:t>cle, Westat will generate thank-</w:t>
      </w:r>
      <w:r w:rsidRPr="003F7F8B">
        <w:t>you e-mails to acknowledge that respondents have successfully submitted a survey.</w:t>
      </w:r>
    </w:p>
    <w:p w:rsidR="003F7F8B" w:rsidRPr="003F7F8B" w:rsidRDefault="003F7F8B" w:rsidP="003F7F8B">
      <w:pPr>
        <w:pStyle w:val="L1-FlLSp12"/>
      </w:pPr>
    </w:p>
    <w:p w:rsidR="003F7F8B" w:rsidRPr="003F7F8B" w:rsidRDefault="003F7F8B" w:rsidP="003F7F8B">
      <w:pPr>
        <w:pStyle w:val="L1-FlLSp12"/>
      </w:pPr>
      <w:r w:rsidRPr="003F7F8B">
        <w:t xml:space="preserve">Throughout the data collection period, survey respondents will have direct phone and e-mail access to Westat staff who are familiar with the surveys to ask questions or request support. The surveys will be designed to comply with the requirements outlined in the Section 508 Amendment to the Rehabilitation Act of 1973 (e.g., each survey and help document will be tested to ensure that the items are compatible with text reading browsers). The web surveys will be designed to allow users to save partially completed surveys so that respondents can continue entering data where they left off, without loss of already submitted information. We will safeguard data that have been entered using a schedule that combines incremental daily and full weekly backups. To assure data are kept confidential, Westat will maintain a unique login and </w:t>
      </w:r>
      <w:r w:rsidRPr="003F7F8B">
        <w:lastRenderedPageBreak/>
        <w:t>password for each user. Once data are submitted, they will be stored in a database to facilitate retrieval by either standard report formats or ad hoc database queries.</w:t>
      </w:r>
    </w:p>
    <w:p w:rsidR="003F7F8B" w:rsidRPr="003F7F8B" w:rsidRDefault="003F7F8B" w:rsidP="003F7F8B">
      <w:pPr>
        <w:pStyle w:val="L1-FlLSp12"/>
      </w:pPr>
    </w:p>
    <w:p w:rsidR="003F7F8B" w:rsidRPr="003F7F8B" w:rsidRDefault="003F7F8B" w:rsidP="003F7F8B">
      <w:pPr>
        <w:pStyle w:val="L1-FlLSp12"/>
      </w:pPr>
      <w:r w:rsidRPr="003F7F8B">
        <w:t xml:space="preserve">Based on our experience, we anticipate three potential challenges with the PI and partner surveys. The first will be locating respondents for some projects that ended </w:t>
      </w:r>
      <w:r w:rsidR="00333DF5">
        <w:t>5</w:t>
      </w:r>
      <w:r w:rsidRPr="003F7F8B">
        <w:t xml:space="preserve"> or more years ago. We are anticipating the contact information for at least some PIs and partners will be outdated and that Internet searches and conversations with SEPA staff will be required to locate th</w:t>
      </w:r>
      <w:r w:rsidR="00333DF5">
        <w:t>o</w:t>
      </w:r>
      <w:r w:rsidRPr="003F7F8B">
        <w:t>se individuals. Second, given the amount of time that has passed, respondents for some older SEPA projects may have difficulty recalling some information. Finally, for the partner surveys, additional follow-up may be required to identify the most appropriate respondent</w:t>
      </w:r>
      <w:r w:rsidR="00333DF5">
        <w:t>s</w:t>
      </w:r>
      <w:r w:rsidRPr="003F7F8B">
        <w:t xml:space="preserve"> and/or to encourage their participation.</w:t>
      </w:r>
    </w:p>
    <w:p w:rsidR="003F7F8B" w:rsidRPr="003F7F8B" w:rsidRDefault="003F7F8B" w:rsidP="003F7F8B">
      <w:pPr>
        <w:pStyle w:val="L1-FlLSp12"/>
      </w:pPr>
    </w:p>
    <w:p w:rsidR="003F7F8B" w:rsidRPr="003F7F8B" w:rsidRDefault="003F7F8B" w:rsidP="003F7F8B">
      <w:pPr>
        <w:pStyle w:val="L1-FlLSp12"/>
        <w:rPr>
          <w:color w:val="000000"/>
        </w:rPr>
      </w:pPr>
      <w:r w:rsidRPr="003F7F8B">
        <w:t>Westat will use SurveyBuilder, proprietary Westat software, which supports creating customized surveys. The web survey data will be downloaded directly from the platform in Excel; the database will be titled “SEPA Survey Database.” The web survey database will allow monitoring of the data and creating reports on completed responses. The software package SPPS will be used for descriptive analyses</w:t>
      </w:r>
      <w:r w:rsidR="00333DF5">
        <w:t>,</w:t>
      </w:r>
      <w:r w:rsidRPr="003F7F8B">
        <w:t xml:space="preserve"> while the software programs </w:t>
      </w:r>
      <w:r w:rsidRPr="003F7F8B">
        <w:rPr>
          <w:color w:val="000000"/>
        </w:rPr>
        <w:t xml:space="preserve">UCINET and NodeXL will be used for social networking analyses. </w:t>
      </w:r>
    </w:p>
    <w:p w:rsidR="003F7F8B" w:rsidRPr="003F7F8B" w:rsidRDefault="003F7F8B" w:rsidP="003F7F8B">
      <w:pPr>
        <w:pStyle w:val="L1-FlLSp12"/>
      </w:pPr>
    </w:p>
    <w:p w:rsidR="003F7F8B" w:rsidRPr="003F7F8B" w:rsidRDefault="003F7F8B" w:rsidP="003F7F8B">
      <w:pPr>
        <w:pStyle w:val="Heading4"/>
      </w:pPr>
      <w:r w:rsidRPr="003F7F8B">
        <w:t>Telephone Interviews</w:t>
      </w:r>
    </w:p>
    <w:p w:rsidR="003F7F8B" w:rsidRPr="003F7F8B" w:rsidRDefault="003F7F8B" w:rsidP="003F7F8B">
      <w:pPr>
        <w:pStyle w:val="L1-FlLSp12"/>
      </w:pPr>
      <w:r w:rsidRPr="003F7F8B">
        <w:t>We will conduct semistructured interviews with the PIs (</w:t>
      </w:r>
      <w:r w:rsidRPr="003F7F8B">
        <w:rPr>
          <w:b/>
        </w:rPr>
        <w:t>Attachment 3</w:t>
      </w:r>
      <w:r w:rsidRPr="003F7F8B">
        <w:t>) and partners (</w:t>
      </w:r>
      <w:r w:rsidRPr="003F7F8B">
        <w:rPr>
          <w:b/>
        </w:rPr>
        <w:t xml:space="preserve">Attachment </w:t>
      </w:r>
      <w:r w:rsidR="00A35582">
        <w:rPr>
          <w:b/>
        </w:rPr>
        <w:t>5</w:t>
      </w:r>
      <w:r w:rsidRPr="003F7F8B">
        <w:t xml:space="preserve">) of 40 of the 156 projects funded over the last 10 years. Projects will be selected using findings from the document review and the surveys, and on recommendations from the SEPA program officer. Our goal will be to identify 20 projects that established successful partnerships and 20 projects where partnerships were less successful. As specified in the solicitation, the sample will also include partnerships among SEPA projects, </w:t>
      </w:r>
      <w:r w:rsidR="00333DF5">
        <w:t>among</w:t>
      </w:r>
      <w:r w:rsidRPr="003F7F8B">
        <w:t xml:space="preserve"> SEPA projects and CTSAs, IDeA state</w:t>
      </w:r>
      <w:r w:rsidR="00333DF5">
        <w:t>-</w:t>
      </w:r>
      <w:r w:rsidRPr="003F7F8B">
        <w:t xml:space="preserve">based </w:t>
      </w:r>
      <w:r w:rsidR="00333DF5">
        <w:t>IDeA Networks for Biomedical Research Excellence (</w:t>
      </w:r>
      <w:r w:rsidRPr="003F7F8B">
        <w:t>INBRE</w:t>
      </w:r>
      <w:r w:rsidR="00333DF5">
        <w:t>)</w:t>
      </w:r>
      <w:r w:rsidRPr="003F7F8B">
        <w:t xml:space="preserve"> or </w:t>
      </w:r>
      <w:r w:rsidR="00333DF5">
        <w:t>Centers of Biomedical Research (</w:t>
      </w:r>
      <w:r w:rsidRPr="003F7F8B">
        <w:t>COBRE</w:t>
      </w:r>
      <w:r w:rsidR="00333DF5">
        <w:t>)</w:t>
      </w:r>
      <w:r w:rsidRPr="003F7F8B">
        <w:t xml:space="preserve"> projects, and with STEM </w:t>
      </w:r>
      <w:r w:rsidR="00333DF5">
        <w:t>e</w:t>
      </w:r>
      <w:r w:rsidRPr="003F7F8B">
        <w:t>d</w:t>
      </w:r>
      <w:r w:rsidR="00333DF5">
        <w:t>ucation</w:t>
      </w:r>
      <w:r w:rsidRPr="003F7F8B">
        <w:t xml:space="preserve"> entities within and outside of NIH.  The final selection of case study sites will be made in collaboration with the SEPA program officer.</w:t>
      </w:r>
    </w:p>
    <w:p w:rsidR="003F7F8B" w:rsidRPr="003F7F8B" w:rsidRDefault="003F7F8B" w:rsidP="003F7F8B">
      <w:pPr>
        <w:pStyle w:val="L1-FlLSp12"/>
      </w:pPr>
    </w:p>
    <w:p w:rsidR="003F7F8B" w:rsidRPr="003F7F8B" w:rsidRDefault="003F7F8B" w:rsidP="003F7F8B">
      <w:pPr>
        <w:pStyle w:val="L1-FlLSp12"/>
      </w:pPr>
      <w:r w:rsidRPr="003F7F8B">
        <w:t>A Telephone Interview Guide, labeled with the respondent’s ID number, will be used to conduct each interview. While the interviewers may record notes and comments on the Telephone Interview Guide itself, the interview data will be collected via digital audio tape. Individuals participating in the telephone interview will be asked to provide verbal consent to have the interview recorded.</w:t>
      </w:r>
      <w:r w:rsidRPr="003F7F8B">
        <w:rPr>
          <w:color w:val="1F497D"/>
        </w:rPr>
        <w:t xml:space="preserve"> </w:t>
      </w:r>
      <w:r w:rsidRPr="003F7F8B">
        <w:t>Each interview will be recorded on a digital file labeled with the respondent’s ID number; each audio file will have a standardized unique file name: “SEPA –I</w:t>
      </w:r>
      <w:r w:rsidRPr="003F7F8B">
        <w:rPr>
          <w:i/>
        </w:rPr>
        <w:t>##”</w:t>
      </w:r>
      <w:r w:rsidRPr="003F7F8B">
        <w:t xml:space="preserve"> where “I” stands for Interview and “</w:t>
      </w:r>
      <w:r w:rsidRPr="003F7F8B">
        <w:rPr>
          <w:i/>
        </w:rPr>
        <w:t xml:space="preserve">##” </w:t>
      </w:r>
      <w:r w:rsidRPr="003F7F8B">
        <w:t>is the unique ID number for the interview respondent (</w:t>
      </w:r>
      <w:r w:rsidR="00333DF5">
        <w:t>e.g.</w:t>
      </w:r>
      <w:r w:rsidRPr="003F7F8B">
        <w:t xml:space="preserve">, SEPA-I99). Interview transcripts will be stored as Word documents and will use the same naming convention used for the telephone interview audio file; </w:t>
      </w:r>
      <w:r w:rsidR="00333DF5">
        <w:t xml:space="preserve">i.e., </w:t>
      </w:r>
      <w:r w:rsidR="00EA574F">
        <w:t>“</w:t>
      </w:r>
      <w:r w:rsidRPr="003F7F8B">
        <w:t>SEPA-I##</w:t>
      </w:r>
      <w:r w:rsidR="00333DF5">
        <w:t>.</w:t>
      </w:r>
      <w:r w:rsidRPr="003F7F8B">
        <w:t xml:space="preserve">” The file name extension will distinguish between the audio file (.wav) and the Word document (.docx). Management and analysis of the interview data, including monitoring activity and response rates, will be performed utilizing Excel. </w:t>
      </w:r>
    </w:p>
    <w:p w:rsidR="003F7F8B" w:rsidRPr="003F7F8B" w:rsidRDefault="003F7F8B" w:rsidP="003F7F8B">
      <w:pPr>
        <w:pStyle w:val="L1-FlLSp12"/>
      </w:pPr>
    </w:p>
    <w:p w:rsidR="003F7F8B" w:rsidRPr="003F7F8B" w:rsidRDefault="003F7F8B" w:rsidP="003F7F8B">
      <w:pPr>
        <w:pStyle w:val="Heading4"/>
      </w:pPr>
      <w:r w:rsidRPr="003F7F8B">
        <w:t>Project Site Visits</w:t>
      </w:r>
    </w:p>
    <w:p w:rsidR="003F7F8B" w:rsidRPr="003F7F8B" w:rsidRDefault="003F7F8B" w:rsidP="003F7F8B">
      <w:pPr>
        <w:pStyle w:val="L1-FlLSp12"/>
      </w:pPr>
      <w:r w:rsidRPr="003F7F8B">
        <w:t>We will conduct site visits (in lieu of the telephone interviews) for six to nine SEPA projects to allow for observations of specific activities and to conduct face-to-face interviews with PIs, partners, evaluators, and other project stakeholders. SEPA sites will be selected based on similar section criteria as the PI/partner interviews (i.e., balance of projects with successful and less successful partnerships</w:t>
      </w:r>
      <w:r w:rsidR="00333DF5">
        <w:t>;</w:t>
      </w:r>
      <w:r w:rsidRPr="003F7F8B">
        <w:t xml:space="preserve"> projects with partnerships with other SEPA projects</w:t>
      </w:r>
      <w:r w:rsidR="00333DF5">
        <w:t>;</w:t>
      </w:r>
      <w:r w:rsidRPr="003F7F8B">
        <w:t xml:space="preserve"> CTSA, IDeA, IMBRE, or COBRE projects</w:t>
      </w:r>
      <w:r w:rsidR="00333DF5">
        <w:t>;</w:t>
      </w:r>
      <w:r w:rsidRPr="003F7F8B">
        <w:t xml:space="preserve"> organizations within and outside of NIH</w:t>
      </w:r>
      <w:r w:rsidR="00EA574F">
        <w:t>;</w:t>
      </w:r>
      <w:r w:rsidRPr="003F7F8B">
        <w:t xml:space="preserve"> and</w:t>
      </w:r>
      <w:r w:rsidR="00EA574F">
        <w:t xml:space="preserve"> recommendations from the SEPA </w:t>
      </w:r>
      <w:r w:rsidR="009846CE">
        <w:t>P</w:t>
      </w:r>
      <w:r w:rsidR="009846CE" w:rsidRPr="003F7F8B">
        <w:t>rogram</w:t>
      </w:r>
      <w:r w:rsidRPr="003F7F8B">
        <w:t xml:space="preserve"> </w:t>
      </w:r>
      <w:r w:rsidR="009846CE">
        <w:t>O</w:t>
      </w:r>
      <w:r w:rsidR="009846CE" w:rsidRPr="003F7F8B">
        <w:t>fficer</w:t>
      </w:r>
      <w:r w:rsidRPr="003F7F8B">
        <w:t xml:space="preserve">). </w:t>
      </w:r>
    </w:p>
    <w:p w:rsidR="003F7F8B" w:rsidRPr="003F7F8B" w:rsidRDefault="003F7F8B" w:rsidP="003F7F8B">
      <w:pPr>
        <w:pStyle w:val="L1-FlLSp12"/>
      </w:pPr>
    </w:p>
    <w:p w:rsidR="003F7F8B" w:rsidRPr="003F7F8B" w:rsidRDefault="003F7F8B" w:rsidP="003F7F8B">
      <w:pPr>
        <w:pStyle w:val="L1-FlLSp12"/>
      </w:pPr>
      <w:r w:rsidRPr="003F7F8B">
        <w:t xml:space="preserve">Site visits will begin </w:t>
      </w:r>
      <w:r w:rsidR="00333DF5">
        <w:t xml:space="preserve">in </w:t>
      </w:r>
      <w:r w:rsidRPr="003F7F8B">
        <w:t xml:space="preserve">April 2016 once a preliminary analysis of key elements from the PI and partner surveys has been conducted (to inform the selection of the projects that will be visited). Prior to each site visit, a member of the SEPA evaluation team will contact the project PI to request any additional background materials that can be shared with members of the site visit team. The purpose will be to enhance site visit team members’ understanding of a project’s characteristics, partners’ contributions, approach, anticipated outcomes, and unique challenges prior to the actual visit. </w:t>
      </w:r>
    </w:p>
    <w:p w:rsidR="003F7F8B" w:rsidRPr="003F7F8B" w:rsidRDefault="003F7F8B" w:rsidP="003F7F8B">
      <w:pPr>
        <w:pStyle w:val="L1-FlLSp12"/>
      </w:pPr>
    </w:p>
    <w:p w:rsidR="003F7F8B" w:rsidRPr="003F7F8B" w:rsidRDefault="003F7F8B" w:rsidP="003F7F8B">
      <w:pPr>
        <w:pStyle w:val="L1-FlLSp12"/>
      </w:pPr>
      <w:r w:rsidRPr="003F7F8B">
        <w:t>The agenda for site visits, list of staff who will be interviewed, and topics that will be addressed during site visits will be developed</w:t>
      </w:r>
      <w:r w:rsidR="00EA574F">
        <w:t xml:space="preserve"> in consultation with the SEPA </w:t>
      </w:r>
      <w:r w:rsidR="009846CE">
        <w:t>P</w:t>
      </w:r>
      <w:r w:rsidR="009846CE" w:rsidRPr="003F7F8B">
        <w:t>rogram</w:t>
      </w:r>
      <w:r w:rsidRPr="003F7F8B">
        <w:t xml:space="preserve"> </w:t>
      </w:r>
      <w:r w:rsidR="00EA574F">
        <w:t>Offic</w:t>
      </w:r>
      <w:r w:rsidRPr="003F7F8B">
        <w:t>er and members of the SEPA Advisory Committee. During the site visits, it will be important to adequately capture relevant differences in perspectives by selecting persons in pivotal roles</w:t>
      </w:r>
      <w:r w:rsidR="00333DF5">
        <w:t xml:space="preserve"> to be </w:t>
      </w:r>
      <w:r w:rsidR="00333DF5" w:rsidRPr="003F7F8B">
        <w:t>interviewees</w:t>
      </w:r>
      <w:r w:rsidRPr="003F7F8B">
        <w:t>. However, the exact number and composition of the interviewees may vary somewhat from project to project. At a minimum, the list of interviewees will likely include (1)</w:t>
      </w:r>
      <w:r w:rsidR="00333DF5">
        <w:t> </w:t>
      </w:r>
      <w:r w:rsidRPr="003F7F8B">
        <w:t>the project PI</w:t>
      </w:r>
      <w:r w:rsidR="00333DF5">
        <w:t>,</w:t>
      </w:r>
      <w:r w:rsidRPr="003F7F8B">
        <w:t xml:space="preserve"> (2) representatives from each partner organization</w:t>
      </w:r>
      <w:r w:rsidR="00333DF5">
        <w:t>,</w:t>
      </w:r>
      <w:r w:rsidRPr="003F7F8B">
        <w:t xml:space="preserve"> (3) other key project staff in the lead organization</w:t>
      </w:r>
      <w:r w:rsidR="00333DF5">
        <w:t>,</w:t>
      </w:r>
      <w:r w:rsidRPr="003F7F8B">
        <w:t xml:space="preserve"> and (4) the project evaluator. Individual interviews will be conducted with the PI, project partner(s), and the evaluator. </w:t>
      </w:r>
      <w:r w:rsidR="00A35582">
        <w:t xml:space="preserve">The interviews </w:t>
      </w:r>
      <w:r w:rsidR="00DD1E74">
        <w:t xml:space="preserve">with these respective cohorts </w:t>
      </w:r>
      <w:r w:rsidR="00A35582">
        <w:t>will be conducted by Westat researchers using the PI Site Visit Interview Protocol (</w:t>
      </w:r>
      <w:r w:rsidR="00A35582" w:rsidRPr="00F7529F">
        <w:rPr>
          <w:b/>
        </w:rPr>
        <w:t>Attachment 4</w:t>
      </w:r>
      <w:r w:rsidR="00A35582">
        <w:t>), Partner Site Visit Interview Protocol (</w:t>
      </w:r>
      <w:r w:rsidR="00A35582" w:rsidRPr="00F7529F">
        <w:rPr>
          <w:b/>
        </w:rPr>
        <w:t>Attachment 6</w:t>
      </w:r>
      <w:r w:rsidR="00A35582">
        <w:t>), and the Evaluator Interview Protocol (</w:t>
      </w:r>
      <w:r w:rsidR="00A35582" w:rsidRPr="00F7529F">
        <w:rPr>
          <w:b/>
        </w:rPr>
        <w:t>Attachment 8</w:t>
      </w:r>
      <w:r w:rsidR="00DD1E74">
        <w:t>)</w:t>
      </w:r>
      <w:r w:rsidR="00A35582">
        <w:t xml:space="preserve">. </w:t>
      </w:r>
      <w:r w:rsidRPr="003F7F8B">
        <w:t>We will conduct a focus group interview with project staff identified as key by the PI.</w:t>
      </w:r>
      <w:r w:rsidRPr="003F7F8B">
        <w:rPr>
          <w:vertAlign w:val="superscript"/>
        </w:rPr>
        <w:footnoteReference w:id="1"/>
      </w:r>
      <w:r w:rsidRPr="003F7F8B">
        <w:t xml:space="preserve"> </w:t>
      </w:r>
      <w:r w:rsidRPr="003F7F8B">
        <w:rPr>
          <w:vertAlign w:val="superscript"/>
        </w:rPr>
        <w:footnoteReference w:id="2"/>
      </w:r>
      <w:r w:rsidRPr="003F7F8B">
        <w:t xml:space="preserve"> The focus groups will be conducted by Westat researchers using the Key Staff Interview Guide (</w:t>
      </w:r>
      <w:r w:rsidRPr="003F7F8B">
        <w:rPr>
          <w:b/>
        </w:rPr>
        <w:t xml:space="preserve">Attachment </w:t>
      </w:r>
      <w:r w:rsidR="00A35582">
        <w:rPr>
          <w:b/>
        </w:rPr>
        <w:t>7</w:t>
      </w:r>
      <w:r w:rsidRPr="003F7F8B">
        <w:t>). As with the telephone interviews, the site visit sessions will be recorded and data will be captured via digital audio tape. Individuals who choose to participate in interviews conducted during site visits will sign an informed consent form prior to participation (</w:t>
      </w:r>
      <w:r w:rsidRPr="003F7F8B">
        <w:rPr>
          <w:b/>
        </w:rPr>
        <w:t xml:space="preserve">Attachment </w:t>
      </w:r>
      <w:r w:rsidR="00A35582">
        <w:rPr>
          <w:b/>
        </w:rPr>
        <w:t>18</w:t>
      </w:r>
      <w:r w:rsidRPr="003F7F8B">
        <w:t>). Each site visit will have a unique digital file</w:t>
      </w:r>
      <w:r w:rsidR="00EA574F">
        <w:t>,</w:t>
      </w:r>
      <w:r w:rsidRPr="003F7F8B">
        <w:t xml:space="preserve"> titled “SEPA-SV01.wav” where “SV” stands for </w:t>
      </w:r>
      <w:r w:rsidR="00EA574F">
        <w:t>s</w:t>
      </w:r>
      <w:r w:rsidRPr="003F7F8B">
        <w:t xml:space="preserve">ite </w:t>
      </w:r>
      <w:r w:rsidR="00EA574F">
        <w:t>v</w:t>
      </w:r>
      <w:r w:rsidRPr="003F7F8B">
        <w:t>isit. The site visit audio files will be stored following the same process as for the telephone interviews; the files will be stored as Word documents and follow the same naming convention. The transcribed Word documents will be titled “SEPA-SV01.docx</w:t>
      </w:r>
      <w:r w:rsidR="00EA574F">
        <w:t>.</w:t>
      </w:r>
      <w:r w:rsidRPr="003F7F8B">
        <w:t xml:space="preserve">” Also, as with the telephone interview data, management and analysis of the site visit data will be performed using Excel. </w:t>
      </w:r>
    </w:p>
    <w:p w:rsidR="003F7F8B" w:rsidRPr="003F7F8B" w:rsidRDefault="003F7F8B" w:rsidP="003F7F8B">
      <w:pPr>
        <w:pStyle w:val="L1-FlLSp12"/>
      </w:pPr>
    </w:p>
    <w:p w:rsidR="003F7F8B" w:rsidRPr="003F7F8B" w:rsidRDefault="003F7F8B" w:rsidP="003F7F8B">
      <w:pPr>
        <w:pStyle w:val="L1-FlLSp12"/>
      </w:pPr>
      <w:r w:rsidRPr="003F7F8B">
        <w:t>SEPA submitted a Privacy Impact Assessment (PIA) describing the system that will be used to store, process, and transmit information related to the study including surveys and interviews fo</w:t>
      </w:r>
      <w:r w:rsidR="008072C7">
        <w:t>r which clearance is requested</w:t>
      </w:r>
      <w:r w:rsidRPr="003F7F8B">
        <w:t>.</w:t>
      </w:r>
    </w:p>
    <w:p w:rsidR="003F7F8B" w:rsidRPr="003F7F8B" w:rsidRDefault="003F7F8B" w:rsidP="003F7F8B">
      <w:pPr>
        <w:pStyle w:val="L1-FlLSp12"/>
      </w:pPr>
    </w:p>
    <w:p w:rsidR="003F7F8B" w:rsidRPr="003F7F8B" w:rsidRDefault="003F7F8B" w:rsidP="003F7F8B">
      <w:pPr>
        <w:pStyle w:val="Heading2"/>
      </w:pPr>
      <w:bookmarkStart w:id="44" w:name="_Toc144549917"/>
      <w:bookmarkStart w:id="45" w:name="_Toc417456665"/>
      <w:bookmarkStart w:id="46" w:name="_Toc417539926"/>
      <w:bookmarkStart w:id="47" w:name="_Toc417540078"/>
      <w:bookmarkStart w:id="48" w:name="_Toc443881746"/>
      <w:bookmarkStart w:id="49" w:name="_Toc451592235"/>
      <w:bookmarkStart w:id="50" w:name="_Toc5610276"/>
      <w:bookmarkStart w:id="51" w:name="_Toc99178782"/>
      <w:bookmarkEnd w:id="40"/>
      <w:bookmarkEnd w:id="41"/>
      <w:bookmarkEnd w:id="42"/>
      <w:bookmarkEnd w:id="43"/>
      <w:r w:rsidRPr="003F7F8B">
        <w:lastRenderedPageBreak/>
        <w:t>A.4.</w:t>
      </w:r>
      <w:r w:rsidRPr="003F7F8B">
        <w:tab/>
        <w:t>Efforts to Identify Duplication and Use of Similar Information</w:t>
      </w:r>
      <w:bookmarkEnd w:id="44"/>
      <w:bookmarkEnd w:id="45"/>
      <w:bookmarkEnd w:id="46"/>
      <w:bookmarkEnd w:id="47"/>
    </w:p>
    <w:p w:rsidR="003F7F8B" w:rsidRPr="003F7F8B" w:rsidRDefault="003F7F8B" w:rsidP="003F7F8B">
      <w:pPr>
        <w:pStyle w:val="L1-FlLSp12"/>
      </w:pPr>
      <w:bookmarkStart w:id="52" w:name="_Toc417456666"/>
      <w:r w:rsidRPr="003F7F8B">
        <w:t>This information is a one-time collection for each of the respondent groups. No respondents will be asked the same questions twice at any point in the study</w:t>
      </w:r>
      <w:r w:rsidR="00333DF5">
        <w:t>,</w:t>
      </w:r>
      <w:r w:rsidRPr="003F7F8B">
        <w:t xml:space="preserve"> and the study will not be repeated at any point in the future. However, an estimated 40 PIs and 80 project partners will be asked to respond to a web survey as well as a telephone interview</w:t>
      </w:r>
      <w:r w:rsidR="00DD1E74">
        <w:t xml:space="preserve"> or site visit interview</w:t>
      </w:r>
      <w:r w:rsidRPr="003F7F8B">
        <w:t>. PIs and project partners from SEPA projects participating in the site visits will be interviewed as part of the site visit and will not be asked to participate in the PI and partner telephone interviews. The goals of each data collection methodology employed are significantly different</w:t>
      </w:r>
      <w:r w:rsidR="00333DF5">
        <w:t>,</w:t>
      </w:r>
      <w:r w:rsidRPr="003F7F8B">
        <w:t xml:space="preserve"> and no piece of information will be collected twice. Moreover, the contractor and SEPA are maximizing use of archival and administrative records to avoid burdening study participants and keeping instruments as short as possible.</w:t>
      </w:r>
      <w:bookmarkEnd w:id="52"/>
      <w:r w:rsidRPr="003F7F8B">
        <w:t xml:space="preserve"> </w:t>
      </w:r>
    </w:p>
    <w:p w:rsidR="003F7F8B" w:rsidRPr="003F7F8B" w:rsidRDefault="003F7F8B" w:rsidP="003F7F8B">
      <w:pPr>
        <w:pStyle w:val="L1-FlLSp12"/>
      </w:pPr>
    </w:p>
    <w:p w:rsidR="003F7F8B" w:rsidRPr="003F7F8B" w:rsidRDefault="003F7F8B" w:rsidP="003F7F8B">
      <w:pPr>
        <w:pStyle w:val="Heading2"/>
      </w:pPr>
      <w:bookmarkStart w:id="53" w:name="_Toc144549918"/>
      <w:bookmarkStart w:id="54" w:name="_Toc417456667"/>
      <w:bookmarkStart w:id="55" w:name="_Toc417539927"/>
      <w:bookmarkStart w:id="56" w:name="_Toc417540079"/>
      <w:bookmarkEnd w:id="48"/>
      <w:bookmarkEnd w:id="49"/>
      <w:bookmarkEnd w:id="50"/>
      <w:bookmarkEnd w:id="51"/>
      <w:r w:rsidRPr="003F7F8B">
        <w:t>A.5.</w:t>
      </w:r>
      <w:r w:rsidRPr="003F7F8B">
        <w:tab/>
        <w:t>Impact on Small Businesses and Other Small Entities</w:t>
      </w:r>
      <w:bookmarkEnd w:id="53"/>
      <w:bookmarkEnd w:id="54"/>
      <w:bookmarkEnd w:id="55"/>
      <w:bookmarkEnd w:id="56"/>
    </w:p>
    <w:p w:rsidR="003F7F8B" w:rsidRPr="003F7F8B" w:rsidRDefault="003F7F8B" w:rsidP="003F7F8B">
      <w:pPr>
        <w:pStyle w:val="L1-FlLSp12"/>
      </w:pPr>
      <w:r w:rsidRPr="003F7F8B">
        <w:t xml:space="preserve">No small businesses or small entities will be involved in this study. </w:t>
      </w:r>
    </w:p>
    <w:p w:rsidR="003F7F8B" w:rsidRPr="003F7F8B" w:rsidRDefault="003F7F8B" w:rsidP="003F7F8B">
      <w:pPr>
        <w:pStyle w:val="L1-FlLSp12"/>
      </w:pPr>
    </w:p>
    <w:p w:rsidR="003F7F8B" w:rsidRPr="003F7F8B" w:rsidRDefault="003F7F8B" w:rsidP="003F7F8B">
      <w:pPr>
        <w:pStyle w:val="Heading2"/>
      </w:pPr>
      <w:bookmarkStart w:id="57" w:name="_Toc144549919"/>
      <w:bookmarkStart w:id="58" w:name="_Toc417456668"/>
      <w:bookmarkStart w:id="59" w:name="_Toc417539928"/>
      <w:bookmarkStart w:id="60" w:name="_Toc417540080"/>
      <w:bookmarkStart w:id="61" w:name="_Toc443881748"/>
      <w:bookmarkStart w:id="62" w:name="_Toc451592237"/>
      <w:bookmarkStart w:id="63" w:name="_Toc5610278"/>
      <w:bookmarkStart w:id="64" w:name="_Toc99178784"/>
      <w:r w:rsidRPr="003F7F8B">
        <w:t>A.6.</w:t>
      </w:r>
      <w:r w:rsidRPr="003F7F8B">
        <w:tab/>
        <w:t>Consequences of Collecting the Information Less Frequently</w:t>
      </w:r>
      <w:bookmarkEnd w:id="57"/>
      <w:bookmarkEnd w:id="58"/>
      <w:bookmarkEnd w:id="59"/>
      <w:bookmarkEnd w:id="60"/>
    </w:p>
    <w:p w:rsidR="003F7F8B" w:rsidRPr="003F7F8B" w:rsidRDefault="003F7F8B" w:rsidP="003F7F8B">
      <w:pPr>
        <w:pStyle w:val="L1-FlLSp12"/>
      </w:pPr>
      <w:r w:rsidRPr="003F7F8B">
        <w:t>If the data for this evaluation are not collected, SEPA will be unable to assess the extent to which SEPA grants awarded since 2004 have met program goals related to project structure, partnership formation, and evaluation quality. SEPA will not be able to collect information that could potentially be used to provide analytical and policy support to SEPA</w:t>
      </w:r>
      <w:r w:rsidR="00EA574F">
        <w:t>,</w:t>
      </w:r>
      <w:r w:rsidRPr="003F7F8B">
        <w:t xml:space="preserve"> nor could it assist NIH in making decisions about current SEPA programming, future funding, and other initiatives to improve science education partnerships. </w:t>
      </w:r>
    </w:p>
    <w:p w:rsidR="003F7F8B" w:rsidRPr="003F7F8B" w:rsidRDefault="003F7F8B" w:rsidP="003F7F8B">
      <w:pPr>
        <w:pStyle w:val="L1-FlLSp12"/>
      </w:pPr>
    </w:p>
    <w:p w:rsidR="003F7F8B" w:rsidRPr="003F7F8B" w:rsidRDefault="003F7F8B" w:rsidP="003F7F8B">
      <w:pPr>
        <w:pStyle w:val="Heading2"/>
      </w:pPr>
      <w:bookmarkStart w:id="65" w:name="_Toc144549920"/>
      <w:bookmarkStart w:id="66" w:name="_Toc417456669"/>
      <w:bookmarkStart w:id="67" w:name="_Toc417539929"/>
      <w:bookmarkStart w:id="68" w:name="_Toc417540081"/>
      <w:bookmarkStart w:id="69" w:name="OLE_LINK7"/>
      <w:bookmarkStart w:id="70" w:name="OLE_LINK8"/>
      <w:bookmarkEnd w:id="61"/>
      <w:bookmarkEnd w:id="62"/>
      <w:bookmarkEnd w:id="63"/>
      <w:bookmarkEnd w:id="64"/>
      <w:r w:rsidRPr="003F7F8B">
        <w:t>A.7.</w:t>
      </w:r>
      <w:r w:rsidRPr="003F7F8B">
        <w:tab/>
        <w:t>Special Circumstances Relating to the Guidelines in 5 CFR 1320.5</w:t>
      </w:r>
      <w:bookmarkEnd w:id="65"/>
      <w:bookmarkEnd w:id="66"/>
      <w:bookmarkEnd w:id="67"/>
      <w:bookmarkEnd w:id="68"/>
    </w:p>
    <w:p w:rsidR="003F7F8B" w:rsidRPr="003F7F8B" w:rsidRDefault="003F7F8B" w:rsidP="003F7F8B">
      <w:pPr>
        <w:pStyle w:val="L1-FlLSp12"/>
      </w:pPr>
      <w:r w:rsidRPr="003F7F8B">
        <w:t>The study is consistent with the information collection guidelines in 5 CFR 1320.5.</w:t>
      </w:r>
    </w:p>
    <w:p w:rsidR="003F7F8B" w:rsidRPr="003F7F8B" w:rsidRDefault="003F7F8B" w:rsidP="003F7F8B">
      <w:pPr>
        <w:pStyle w:val="L1-FlLSp12"/>
      </w:pPr>
    </w:p>
    <w:p w:rsidR="003F7F8B" w:rsidRPr="003F7F8B" w:rsidRDefault="003F7F8B" w:rsidP="003F7F8B">
      <w:pPr>
        <w:pStyle w:val="Heading2"/>
      </w:pPr>
      <w:bookmarkStart w:id="71" w:name="_Toc144549921"/>
      <w:bookmarkStart w:id="72" w:name="_Toc417456670"/>
      <w:bookmarkStart w:id="73" w:name="_Toc417539930"/>
      <w:bookmarkStart w:id="74" w:name="_Toc417540082"/>
      <w:bookmarkEnd w:id="69"/>
      <w:bookmarkEnd w:id="70"/>
      <w:r w:rsidRPr="003F7F8B">
        <w:t>A.8.</w:t>
      </w:r>
      <w:r w:rsidRPr="003F7F8B">
        <w:tab/>
        <w:t>Comments in Response to Federal Register Notice and Efforts to Consult Outside Agency</w:t>
      </w:r>
      <w:bookmarkEnd w:id="71"/>
      <w:bookmarkEnd w:id="72"/>
      <w:bookmarkEnd w:id="73"/>
      <w:bookmarkEnd w:id="74"/>
    </w:p>
    <w:p w:rsidR="002D5E41" w:rsidRDefault="002D5E41" w:rsidP="002D5E41">
      <w:pPr>
        <w:pStyle w:val="L1-FlLSp12"/>
        <w:rPr>
          <w:color w:val="000000"/>
        </w:rPr>
      </w:pPr>
      <w:r w:rsidRPr="00B138EB">
        <w:t xml:space="preserve">The 60-Day </w:t>
      </w:r>
      <w:r w:rsidRPr="008539B0">
        <w:t>Federal Register</w:t>
      </w:r>
      <w:r w:rsidRPr="00B138EB">
        <w:t xml:space="preserve"> notice soliciting comments on this study prior to initial submission to OMB was published on </w:t>
      </w:r>
      <w:r>
        <w:t>June 3, 2015</w:t>
      </w:r>
      <w:r w:rsidRPr="00B138EB">
        <w:t xml:space="preserve">, Vol. </w:t>
      </w:r>
      <w:r>
        <w:t>80</w:t>
      </w:r>
      <w:r w:rsidRPr="00B138EB">
        <w:t xml:space="preserve">, P. </w:t>
      </w:r>
      <w:r>
        <w:t>31610-31611</w:t>
      </w:r>
      <w:r>
        <w:rPr>
          <w:color w:val="000000"/>
        </w:rPr>
        <w:t xml:space="preserve">. </w:t>
      </w:r>
      <w:r w:rsidR="00CE1297">
        <w:t>We did not receive any comments to the notice.</w:t>
      </w:r>
      <w:r>
        <w:t xml:space="preserve"> </w:t>
      </w:r>
    </w:p>
    <w:p w:rsidR="001C64C4" w:rsidRPr="003F7F8B" w:rsidRDefault="001C64C4" w:rsidP="003F7F8B">
      <w:pPr>
        <w:pStyle w:val="L1-FlLSp12"/>
      </w:pPr>
    </w:p>
    <w:p w:rsidR="003F7F8B" w:rsidRDefault="003F7F8B" w:rsidP="003F7F8B">
      <w:pPr>
        <w:pStyle w:val="L1-FlLSp12"/>
      </w:pPr>
      <w:r w:rsidRPr="003F7F8B">
        <w:t>All protocols underwent multiple rounds of review by the SEPA management team as well as review by members of the SEPA Advisory Committee. Advisory Committee members are experts in the field of survey design, statistical analyses, formal and informal STEM educational programs, and formal and informal educational evaluation. Their names and contact information are provided in Supporting Statement B, Section B.5.</w:t>
      </w:r>
      <w:bookmarkStart w:id="75" w:name="_Toc443881750"/>
      <w:bookmarkStart w:id="76" w:name="_Toc451592239"/>
      <w:bookmarkStart w:id="77" w:name="_Toc5610280"/>
      <w:bookmarkStart w:id="78" w:name="_Toc99178786"/>
    </w:p>
    <w:p w:rsidR="00EA574F" w:rsidRPr="003F7F8B" w:rsidRDefault="00EA574F" w:rsidP="003F7F8B">
      <w:pPr>
        <w:pStyle w:val="L1-FlLSp12"/>
      </w:pPr>
    </w:p>
    <w:p w:rsidR="003F7F8B" w:rsidRPr="003F7F8B" w:rsidRDefault="003F7F8B" w:rsidP="003F7F8B">
      <w:pPr>
        <w:pStyle w:val="L1-FlLSp12"/>
      </w:pPr>
      <w:r w:rsidRPr="003F7F8B">
        <w:t xml:space="preserve">Westat plans </w:t>
      </w:r>
      <w:r w:rsidR="00EA574F">
        <w:t>t</w:t>
      </w:r>
      <w:r w:rsidRPr="003F7F8B">
        <w:t xml:space="preserve">o conduct pilot tests of the web surveys and interview protocols with participants at the NIH Sci Ed meeting that will take place from May 20 </w:t>
      </w:r>
      <w:r w:rsidR="00333DF5">
        <w:t>to</w:t>
      </w:r>
      <w:r w:rsidRPr="003F7F8B">
        <w:t xml:space="preserve"> 23, 2015. Pilot test informants will be a convenience sample comp</w:t>
      </w:r>
      <w:r w:rsidR="00333DF5">
        <w:t>o</w:t>
      </w:r>
      <w:r w:rsidRPr="003F7F8B">
        <w:t>sed of NIH Sci Ed meeting attendees (comprising SEPA project PIs and partners). Pilot test informants will be asked to assist in reviewing the protocols in the following areas: the clarity of language used (e.g., eliminating double-barreled questions)</w:t>
      </w:r>
      <w:r w:rsidR="00EA574F">
        <w:t>,</w:t>
      </w:r>
      <w:r w:rsidRPr="003F7F8B">
        <w:t xml:space="preserve"> consistency across protocols</w:t>
      </w:r>
      <w:r w:rsidR="00EA574F">
        <w:t>,</w:t>
      </w:r>
      <w:r w:rsidRPr="003F7F8B">
        <w:t xml:space="preserve"> </w:t>
      </w:r>
      <w:r w:rsidR="00333DF5">
        <w:t xml:space="preserve">and </w:t>
      </w:r>
      <w:r w:rsidRPr="003F7F8B">
        <w:t>reduction of response burden. A full report of the pilot test results will be written up and be used to revise the web surveys and interview protocols accordingly.</w:t>
      </w:r>
    </w:p>
    <w:p w:rsidR="003F7F8B" w:rsidRPr="003F7F8B" w:rsidRDefault="003F7F8B" w:rsidP="003F7F8B">
      <w:pPr>
        <w:pStyle w:val="L1-FlLSp12"/>
      </w:pPr>
    </w:p>
    <w:p w:rsidR="003F7F8B" w:rsidRPr="003F7F8B" w:rsidRDefault="003F7F8B" w:rsidP="003F7F8B">
      <w:pPr>
        <w:pStyle w:val="Heading2"/>
      </w:pPr>
      <w:bookmarkStart w:id="79" w:name="_Toc144549923"/>
      <w:bookmarkStart w:id="80" w:name="_Toc417456671"/>
      <w:bookmarkStart w:id="81" w:name="_Toc417539931"/>
      <w:bookmarkStart w:id="82" w:name="_Toc417540083"/>
      <w:bookmarkEnd w:id="75"/>
      <w:bookmarkEnd w:id="76"/>
      <w:bookmarkEnd w:id="77"/>
      <w:bookmarkEnd w:id="78"/>
      <w:r w:rsidRPr="003F7F8B">
        <w:t>A.9.</w:t>
      </w:r>
      <w:r w:rsidRPr="003F7F8B">
        <w:tab/>
        <w:t>Explanation of Any Payment of Gift to Respondents</w:t>
      </w:r>
      <w:bookmarkEnd w:id="79"/>
      <w:bookmarkEnd w:id="80"/>
      <w:bookmarkEnd w:id="81"/>
      <w:bookmarkEnd w:id="82"/>
    </w:p>
    <w:p w:rsidR="003F7F8B" w:rsidRPr="003F7F8B" w:rsidRDefault="003F7F8B" w:rsidP="003F7F8B">
      <w:pPr>
        <w:pStyle w:val="L1-FlLSp12"/>
      </w:pPr>
      <w:r w:rsidRPr="003F7F8B">
        <w:t>This information collection does not involve payment or gifts to respondents.</w:t>
      </w:r>
    </w:p>
    <w:p w:rsidR="003F7F8B" w:rsidRPr="003F7F8B" w:rsidRDefault="003F7F8B" w:rsidP="003F7F8B">
      <w:pPr>
        <w:pStyle w:val="L1-FlLSp12"/>
      </w:pPr>
    </w:p>
    <w:p w:rsidR="003F7F8B" w:rsidRPr="003F7F8B" w:rsidRDefault="003F7F8B" w:rsidP="003F7F8B">
      <w:pPr>
        <w:pStyle w:val="Heading2"/>
      </w:pPr>
      <w:bookmarkStart w:id="83" w:name="_Toc144549924"/>
      <w:bookmarkStart w:id="84" w:name="_Toc417456672"/>
      <w:bookmarkStart w:id="85" w:name="_Toc417539932"/>
      <w:bookmarkStart w:id="86" w:name="_Toc417540084"/>
      <w:r w:rsidRPr="003F7F8B">
        <w:t>A.10.</w:t>
      </w:r>
      <w:r w:rsidRPr="003F7F8B">
        <w:tab/>
        <w:t>Assurance of Confidentiality Provided to Respondents</w:t>
      </w:r>
      <w:bookmarkEnd w:id="83"/>
      <w:bookmarkEnd w:id="84"/>
      <w:bookmarkEnd w:id="85"/>
      <w:bookmarkEnd w:id="86"/>
    </w:p>
    <w:p w:rsidR="003F7F8B" w:rsidRPr="003F7F8B" w:rsidRDefault="003F7F8B" w:rsidP="003F7F8B">
      <w:pPr>
        <w:pStyle w:val="L1-FlLSp12"/>
      </w:pPr>
      <w:r w:rsidRPr="003F7F8B">
        <w:t xml:space="preserve">Prospective participants (PIs, project partners, evaluators, and key project staff) will receive </w:t>
      </w:r>
      <w:r w:rsidR="00333DF5">
        <w:br/>
      </w:r>
      <w:r w:rsidRPr="003F7F8B">
        <w:t>e-mail notifications, invitations</w:t>
      </w:r>
      <w:r w:rsidR="00333DF5">
        <w:t>,</w:t>
      </w:r>
      <w:r w:rsidRPr="003F7F8B">
        <w:t xml:space="preserve"> and reminders announcing the evaluation, explaining its </w:t>
      </w:r>
      <w:r w:rsidRPr="003F7F8B">
        <w:lastRenderedPageBreak/>
        <w:t>purpose, detailing the evaluation topics, and describing both the voluntary nature of participation and assurance that the data will be kept private to the extent required by law. The following steps outline the procedures for contacting prospective participants to ensure compliance and maximize response rates.</w:t>
      </w:r>
    </w:p>
    <w:p w:rsidR="003F7F8B" w:rsidRPr="003F7F8B" w:rsidRDefault="003F7F8B" w:rsidP="003F7F8B">
      <w:pPr>
        <w:pStyle w:val="L1-FlLSp12"/>
      </w:pPr>
    </w:p>
    <w:p w:rsidR="003F7F8B" w:rsidRPr="003F7F8B" w:rsidRDefault="003F7F8B" w:rsidP="003F7F8B">
      <w:pPr>
        <w:pStyle w:val="L1-FlLSp12"/>
      </w:pPr>
      <w:r w:rsidRPr="003F7F8B">
        <w:t>All proposed e-mails will include language stating that all collected information will be kept private and not disclosed in any identifiable form to anyone but the researchers conducting the study, except as otherwise required by law. Individuals who choose to participate in the web-based survey and the telephone interview will be providing implicit consent by their participation. Individuals participating in the telephone interview will be asked to provide verbal consent to have the interview audio recorded (</w:t>
      </w:r>
      <w:r w:rsidRPr="003F7F8B">
        <w:rPr>
          <w:b/>
        </w:rPr>
        <w:t>Attachments 3</w:t>
      </w:r>
      <w:r w:rsidR="00A35582">
        <w:rPr>
          <w:b/>
        </w:rPr>
        <w:t xml:space="preserve"> and 5</w:t>
      </w:r>
      <w:r w:rsidRPr="003F7F8B">
        <w:t>).</w:t>
      </w:r>
      <w:r w:rsidRPr="003F7F8B">
        <w:rPr>
          <w:color w:val="1F497D"/>
        </w:rPr>
        <w:t xml:space="preserve"> </w:t>
      </w:r>
      <w:r w:rsidRPr="003F7F8B">
        <w:t>Individuals who choose to participate in the site visits will sign an informed consent form prior to participation (</w:t>
      </w:r>
      <w:r w:rsidRPr="003F7F8B">
        <w:rPr>
          <w:b/>
        </w:rPr>
        <w:t xml:space="preserve">Attachment </w:t>
      </w:r>
      <w:r w:rsidR="00A35582">
        <w:rPr>
          <w:b/>
        </w:rPr>
        <w:t>18</w:t>
      </w:r>
      <w:r w:rsidRPr="003F7F8B">
        <w:t xml:space="preserve">). This information collection is covered by the NIH Privacy Act Systems of Record 09-25-0156, “Records of Participants in Programs and Respondents in Surveys Used to Evaluate Programs of the Public Health Service, HHS/PHS/NIH/OD” published in the Federal Register on 9/26/2002, </w:t>
      </w:r>
      <w:r w:rsidR="00333DF5">
        <w:t>v</w:t>
      </w:r>
      <w:r w:rsidRPr="003F7F8B">
        <w:t xml:space="preserve">ol. 67, </w:t>
      </w:r>
      <w:r w:rsidR="00333DF5">
        <w:t>p</w:t>
      </w:r>
      <w:r w:rsidRPr="003F7F8B">
        <w:t>. 60743. All study personnel will adhere to the provisions stipulated within that announcement (</w:t>
      </w:r>
      <w:r w:rsidRPr="003F7F8B">
        <w:rPr>
          <w:b/>
        </w:rPr>
        <w:t xml:space="preserve">Attachment </w:t>
      </w:r>
      <w:r w:rsidR="00A35582">
        <w:rPr>
          <w:b/>
        </w:rPr>
        <w:t>28</w:t>
      </w:r>
      <w:r w:rsidRPr="003F7F8B">
        <w:t>).</w:t>
      </w:r>
    </w:p>
    <w:p w:rsidR="003F7F8B" w:rsidRPr="003F7F8B" w:rsidRDefault="003F7F8B" w:rsidP="003F7F8B">
      <w:pPr>
        <w:pStyle w:val="L1-FlLSp12"/>
      </w:pPr>
    </w:p>
    <w:p w:rsidR="003F7F8B" w:rsidRPr="003F7F8B" w:rsidRDefault="003F7F8B" w:rsidP="003F7F8B">
      <w:pPr>
        <w:pStyle w:val="L1-FlLSp12"/>
      </w:pPr>
      <w:r w:rsidRPr="003F7F8B">
        <w:t>As the target population is not vulnerable and the questions are not personal or intrusive, risks to participants are expected to be minimal. The Westat IRB designated the SEPA Evaluation Study as exempt from IRB review (</w:t>
      </w:r>
      <w:r w:rsidRPr="003F7F8B">
        <w:rPr>
          <w:b/>
        </w:rPr>
        <w:t xml:space="preserve">Attachment </w:t>
      </w:r>
      <w:r w:rsidR="00A35582">
        <w:rPr>
          <w:b/>
        </w:rPr>
        <w:t>19</w:t>
      </w:r>
      <w:r w:rsidRPr="003F7F8B">
        <w:t>).</w:t>
      </w:r>
      <w:r w:rsidRPr="003F7F8B">
        <w:rPr>
          <w:color w:val="FF0000"/>
        </w:rPr>
        <w:t xml:space="preserve">  </w:t>
      </w:r>
    </w:p>
    <w:p w:rsidR="003F7F8B" w:rsidRPr="003F7F8B" w:rsidRDefault="003F7F8B" w:rsidP="003F7F8B">
      <w:pPr>
        <w:pStyle w:val="L1-FlLSp12"/>
      </w:pPr>
    </w:p>
    <w:p w:rsidR="003F7F8B" w:rsidRPr="003F7F8B" w:rsidRDefault="003F7F8B" w:rsidP="003F7F8B">
      <w:pPr>
        <w:pStyle w:val="L1-FlLSp12"/>
      </w:pPr>
      <w:r w:rsidRPr="003F7F8B">
        <w:t>Study personnel have obtained proper security</w:t>
      </w:r>
      <w:r w:rsidRPr="003F7F8B">
        <w:rPr>
          <w:color w:val="FF0000"/>
        </w:rPr>
        <w:t xml:space="preserve"> </w:t>
      </w:r>
      <w:r w:rsidRPr="003F7F8B">
        <w:t>clearances and are required to adhere to strict professional survey standards and have signed a nondisclosure</w:t>
      </w:r>
      <w:r w:rsidRPr="003F7F8B">
        <w:rPr>
          <w:color w:val="FF0000"/>
        </w:rPr>
        <w:t xml:space="preserve"> </w:t>
      </w:r>
      <w:r w:rsidRPr="003F7F8B">
        <w:t>agreement as a condition of their employment. Web-based, audio-based, computer-based</w:t>
      </w:r>
      <w:r w:rsidR="00333DF5">
        <w:t>,</w:t>
      </w:r>
      <w:r w:rsidRPr="003F7F8B">
        <w:t xml:space="preserve"> and any hard copy data collection forms will</w:t>
      </w:r>
      <w:r w:rsidRPr="003F7F8B">
        <w:rPr>
          <w:color w:val="FF0000"/>
        </w:rPr>
        <w:t xml:space="preserve"> </w:t>
      </w:r>
      <w:r w:rsidRPr="003F7F8B">
        <w:t>be maintained in a secure area for receipt and processing. All data files on multi-user systems will be</w:t>
      </w:r>
      <w:r w:rsidRPr="003F7F8B">
        <w:rPr>
          <w:color w:val="FF0000"/>
        </w:rPr>
        <w:t xml:space="preserve"> </w:t>
      </w:r>
      <w:r w:rsidRPr="003F7F8B">
        <w:t>under the control of a database manager and will be subject to controlled access only by authorized</w:t>
      </w:r>
      <w:r w:rsidRPr="003F7F8B">
        <w:rPr>
          <w:color w:val="FF0000"/>
        </w:rPr>
        <w:t xml:space="preserve"> </w:t>
      </w:r>
      <w:r w:rsidRPr="003F7F8B">
        <w:t>personnel. Personal identifying information (PII) will be maintained separately from completed data</w:t>
      </w:r>
      <w:r w:rsidRPr="003F7F8B">
        <w:rPr>
          <w:color w:val="FF0000"/>
        </w:rPr>
        <w:t xml:space="preserve"> </w:t>
      </w:r>
      <w:r w:rsidRPr="003F7F8B">
        <w:t>collection forms and from computerized data files used for analysis. Final reports will be based on aggregate data in which individuals are not identified.</w:t>
      </w:r>
    </w:p>
    <w:p w:rsidR="003F7F8B" w:rsidRPr="003F7F8B" w:rsidRDefault="003F7F8B" w:rsidP="003F7F8B">
      <w:pPr>
        <w:pStyle w:val="L1-FlLSp12"/>
      </w:pPr>
    </w:p>
    <w:p w:rsidR="003F7F8B" w:rsidRPr="003F7F8B" w:rsidRDefault="003F7F8B" w:rsidP="003F7F8B">
      <w:pPr>
        <w:pStyle w:val="L1-FlLSp12"/>
      </w:pPr>
      <w:r w:rsidRPr="003F7F8B">
        <w:lastRenderedPageBreak/>
        <w:t xml:space="preserve">After the data collection is completed, all hard copy collected information and study materials will be stored in a locked, secure facility for </w:t>
      </w:r>
      <w:r w:rsidR="005A6B56">
        <w:t>2</w:t>
      </w:r>
      <w:r w:rsidRPr="003F7F8B">
        <w:t xml:space="preserve"> years and then will be shredded.  Electronic data will be password protected and stored by the data management contractor, and </w:t>
      </w:r>
      <w:r w:rsidR="00EA574F" w:rsidRPr="003F7F8B">
        <w:t xml:space="preserve">also </w:t>
      </w:r>
      <w:r w:rsidRPr="003F7F8B">
        <w:t xml:space="preserve">will be destroyed after </w:t>
      </w:r>
      <w:r w:rsidR="005A6B56">
        <w:t>2</w:t>
      </w:r>
      <w:r w:rsidRPr="003F7F8B">
        <w:t xml:space="preserve"> years.  </w:t>
      </w:r>
    </w:p>
    <w:p w:rsidR="003F7F8B" w:rsidRPr="003F7F8B" w:rsidRDefault="003F7F8B" w:rsidP="003F7F8B">
      <w:pPr>
        <w:pStyle w:val="L1-FlLSp12"/>
      </w:pPr>
    </w:p>
    <w:p w:rsidR="003F7F8B" w:rsidRPr="003F7F8B" w:rsidRDefault="003F7F8B" w:rsidP="003F7F8B">
      <w:pPr>
        <w:pStyle w:val="Heading2"/>
      </w:pPr>
      <w:bookmarkStart w:id="87" w:name="_Toc144549925"/>
      <w:bookmarkStart w:id="88" w:name="_Toc417456673"/>
      <w:bookmarkStart w:id="89" w:name="_Toc417539933"/>
      <w:bookmarkStart w:id="90" w:name="_Toc417540085"/>
      <w:r w:rsidRPr="003F7F8B">
        <w:t>A.11.</w:t>
      </w:r>
      <w:r w:rsidRPr="003F7F8B">
        <w:tab/>
        <w:t>Justification of Sensitive Questions</w:t>
      </w:r>
      <w:bookmarkEnd w:id="87"/>
      <w:bookmarkEnd w:id="88"/>
      <w:bookmarkEnd w:id="89"/>
      <w:bookmarkEnd w:id="90"/>
    </w:p>
    <w:p w:rsidR="003F7F8B" w:rsidRPr="003F7F8B" w:rsidRDefault="003F7F8B" w:rsidP="003F7F8B">
      <w:pPr>
        <w:pStyle w:val="L1-FlLSp12"/>
      </w:pPr>
      <w:r w:rsidRPr="003F7F8B">
        <w:t>Personal identifiable information</w:t>
      </w:r>
      <w:r w:rsidR="00EA574F">
        <w:t xml:space="preserve"> </w:t>
      </w:r>
      <w:r w:rsidRPr="003F7F8B">
        <w:t xml:space="preserve">is collected in the form of the participant’s name, race, ethnicity, gender, level of education, discipline of highest degree, prior funding history, professional affiliation, e-mail address, and phone number, which is needed to contact prospective participants. This information will be obtained primarily from archival sources. In the PI </w:t>
      </w:r>
      <w:r w:rsidR="005A6B56">
        <w:t>s</w:t>
      </w:r>
      <w:r w:rsidRPr="003F7F8B">
        <w:t xml:space="preserve">urvey, we will collect the names of additional partners not listed in the archival data. The purpose of collecting partner names will be to use them to contact partners for participation in the partner survey as well as the partner interview. No other sensitive information will be collected as part of the data collection. </w:t>
      </w:r>
    </w:p>
    <w:p w:rsidR="003F7F8B" w:rsidRPr="003F7F8B" w:rsidRDefault="003F7F8B" w:rsidP="003F7F8B">
      <w:pPr>
        <w:pStyle w:val="L1-FlLSp12"/>
      </w:pPr>
    </w:p>
    <w:p w:rsidR="003F7F8B" w:rsidRPr="003F7F8B" w:rsidRDefault="003F7F8B" w:rsidP="003F7F8B">
      <w:pPr>
        <w:pStyle w:val="Heading2"/>
      </w:pPr>
      <w:bookmarkStart w:id="91" w:name="_Toc144549926"/>
      <w:bookmarkStart w:id="92" w:name="_Toc417456674"/>
      <w:bookmarkStart w:id="93" w:name="_Toc417539934"/>
      <w:bookmarkStart w:id="94" w:name="_Toc417540086"/>
      <w:r w:rsidRPr="003F7F8B">
        <w:t>A.12.</w:t>
      </w:r>
      <w:r w:rsidRPr="003F7F8B">
        <w:tab/>
        <w:t>Estimates of Hour Burden Including Annualized Hourly Costs</w:t>
      </w:r>
      <w:bookmarkEnd w:id="91"/>
      <w:bookmarkEnd w:id="92"/>
      <w:bookmarkEnd w:id="93"/>
      <w:bookmarkEnd w:id="94"/>
    </w:p>
    <w:p w:rsidR="003F7F8B" w:rsidRPr="003F7F8B" w:rsidRDefault="003F7F8B" w:rsidP="003F7F8B">
      <w:pPr>
        <w:pStyle w:val="L1-FlLSp12"/>
      </w:pPr>
      <w:r w:rsidRPr="003F7F8B">
        <w:t xml:space="preserve">Data collection activities will occur over a </w:t>
      </w:r>
      <w:r w:rsidR="005A6B56">
        <w:t>1-</w:t>
      </w:r>
      <w:r w:rsidRPr="003F7F8B">
        <w:t>year period for an estimated 558</w:t>
      </w:r>
      <w:r w:rsidR="00DD1E74">
        <w:t xml:space="preserve"> unique</w:t>
      </w:r>
      <w:r w:rsidRPr="003F7F8B">
        <w:t xml:space="preserve"> participants and includes completion of a web-based survey, </w:t>
      </w:r>
      <w:r w:rsidR="00B04A10">
        <w:t xml:space="preserve">and </w:t>
      </w:r>
      <w:r w:rsidRPr="003F7F8B">
        <w:t>participation in a telephone interview or site visit</w:t>
      </w:r>
      <w:r w:rsidR="009848E6">
        <w:t xml:space="preserve"> interview</w:t>
      </w:r>
      <w:r w:rsidRPr="003F7F8B">
        <w:t xml:space="preserve"> in a subset of 40 projects. The total population of 558 participants </w:t>
      </w:r>
      <w:r w:rsidR="00B04A10">
        <w:t xml:space="preserve">is </w:t>
      </w:r>
      <w:r w:rsidRPr="003F7F8B">
        <w:t>comp</w:t>
      </w:r>
      <w:r w:rsidR="00EA574F">
        <w:t>ri</w:t>
      </w:r>
      <w:r w:rsidR="005A6B56">
        <w:t>se</w:t>
      </w:r>
      <w:r w:rsidR="00B04A10">
        <w:t>d</w:t>
      </w:r>
      <w:r w:rsidRPr="003F7F8B">
        <w:t xml:space="preserve"> </w:t>
      </w:r>
      <w:r w:rsidR="00B04A10">
        <w:t xml:space="preserve">of </w:t>
      </w:r>
      <w:r w:rsidRPr="003F7F8B">
        <w:t xml:space="preserve">156 PIs, approximately 312 project partners (assuming an average of two partners per project), and up to </w:t>
      </w:r>
      <w:r w:rsidR="00B04A10">
        <w:t xml:space="preserve">a total of </w:t>
      </w:r>
      <w:r w:rsidRPr="003F7F8B">
        <w:t xml:space="preserve">90 key staff </w:t>
      </w:r>
      <w:r w:rsidR="00B04A10">
        <w:t xml:space="preserve">from the subset of </w:t>
      </w:r>
      <w:r w:rsidR="00B04A10" w:rsidRPr="003F7F8B">
        <w:t>project</w:t>
      </w:r>
      <w:r w:rsidR="00B04A10">
        <w:t>s we will study more closely</w:t>
      </w:r>
      <w:r w:rsidR="00B04A10" w:rsidRPr="003F7F8B">
        <w:t xml:space="preserve"> </w:t>
      </w:r>
      <w:r w:rsidRPr="003F7F8B">
        <w:t>(evaluators and other key project staff</w:t>
      </w:r>
      <w:r w:rsidR="00B04A10">
        <w:t xml:space="preserve"> are included in this group</w:t>
      </w:r>
      <w:r w:rsidRPr="003F7F8B">
        <w:t xml:space="preserve">). </w:t>
      </w:r>
      <w:r w:rsidR="00B04A10">
        <w:t>The</w:t>
      </w:r>
      <w:r w:rsidR="00B04A10" w:rsidRPr="003F7F8B">
        <w:t xml:space="preserve"> </w:t>
      </w:r>
      <w:r w:rsidRPr="003F7F8B">
        <w:t xml:space="preserve">PIs and project partners from </w:t>
      </w:r>
      <w:r w:rsidR="00DD1E74">
        <w:t>all</w:t>
      </w:r>
      <w:r w:rsidR="00DD1E74" w:rsidRPr="003F7F8B">
        <w:t xml:space="preserve"> </w:t>
      </w:r>
      <w:r w:rsidRPr="003F7F8B">
        <w:t>156 SEPA projects</w:t>
      </w:r>
      <w:r w:rsidR="00DD1E74">
        <w:t xml:space="preserve"> (156 PIs and 312 project partners)</w:t>
      </w:r>
      <w:r w:rsidRPr="003F7F8B">
        <w:t xml:space="preserve"> will be invited to participate in the web survey (</w:t>
      </w:r>
      <w:r w:rsidRPr="003F7F8B">
        <w:rPr>
          <w:b/>
        </w:rPr>
        <w:t xml:space="preserve">Attachments </w:t>
      </w:r>
      <w:r w:rsidR="00A35582">
        <w:rPr>
          <w:b/>
        </w:rPr>
        <w:t>12-13</w:t>
      </w:r>
      <w:r w:rsidRPr="003F7F8B">
        <w:t xml:space="preserve">). </w:t>
      </w:r>
      <w:r w:rsidR="00DD1E74">
        <w:t xml:space="preserve">Of the 156 SEPA projects, a subsample of 40 SEPA projects will be selected for telephone </w:t>
      </w:r>
      <w:r w:rsidR="00B04A10">
        <w:t>or</w:t>
      </w:r>
      <w:r w:rsidR="00DD1E74">
        <w:t xml:space="preserve"> in-person</w:t>
      </w:r>
      <w:r w:rsidR="009848E6">
        <w:t xml:space="preserve"> onsite</w:t>
      </w:r>
      <w:r w:rsidR="00DD1E74">
        <w:t xml:space="preserve"> interviews. </w:t>
      </w:r>
      <w:r w:rsidRPr="003F7F8B">
        <w:t xml:space="preserve">PIs and their project partners from </w:t>
      </w:r>
      <w:r w:rsidR="0092722D">
        <w:t>this</w:t>
      </w:r>
      <w:r w:rsidR="00DD1E74">
        <w:t xml:space="preserve"> </w:t>
      </w:r>
      <w:r w:rsidRPr="003F7F8B">
        <w:t>sample of 40 SEPA projects</w:t>
      </w:r>
      <w:r w:rsidR="00DD1E74">
        <w:t xml:space="preserve"> (40 PIs and 80 project partners)</w:t>
      </w:r>
      <w:r w:rsidRPr="003F7F8B">
        <w:t xml:space="preserve"> will be invited to participate in the telephone/in-person interviews (</w:t>
      </w:r>
      <w:r w:rsidR="00F05E2C">
        <w:rPr>
          <w:b/>
        </w:rPr>
        <w:t xml:space="preserve">Attachments </w:t>
      </w:r>
      <w:r w:rsidR="00A35582">
        <w:rPr>
          <w:b/>
        </w:rPr>
        <w:t>20-21</w:t>
      </w:r>
      <w:r w:rsidRPr="003F7F8B">
        <w:t xml:space="preserve">). </w:t>
      </w:r>
      <w:r w:rsidR="00B04A10">
        <w:t>We</w:t>
      </w:r>
      <w:r w:rsidR="00B04A10" w:rsidRPr="003F7F8B">
        <w:t xml:space="preserve"> </w:t>
      </w:r>
      <w:r w:rsidRPr="003F7F8B">
        <w:t xml:space="preserve">will </w:t>
      </w:r>
      <w:r w:rsidR="00B04A10">
        <w:t xml:space="preserve">conduct </w:t>
      </w:r>
      <w:r w:rsidRPr="003F7F8B">
        <w:t xml:space="preserve"> </w:t>
      </w:r>
      <w:r w:rsidR="00B04A10">
        <w:t xml:space="preserve">up to </w:t>
      </w:r>
      <w:r w:rsidRPr="003F7F8B">
        <w:t>three site visits during which we will travel to six to nine project</w:t>
      </w:r>
      <w:r w:rsidR="00E0171F">
        <w:t xml:space="preserve"> sites</w:t>
      </w:r>
      <w:r w:rsidR="00B04A10">
        <w:t>. During these site visits, we anticipate interviewing a total of</w:t>
      </w:r>
      <w:r w:rsidR="00F7529F">
        <w:t xml:space="preserve"> 112</w:t>
      </w:r>
      <w:r w:rsidR="0084149B" w:rsidRPr="003F7F8B">
        <w:t xml:space="preserve"> </w:t>
      </w:r>
      <w:r w:rsidRPr="003F7F8B">
        <w:t>participants</w:t>
      </w:r>
      <w:r w:rsidR="0084149B">
        <w:t xml:space="preserve"> (6 PIs, </w:t>
      </w:r>
      <w:r w:rsidR="00F7529F">
        <w:t>6</w:t>
      </w:r>
      <w:r w:rsidR="0084149B">
        <w:t xml:space="preserve"> project partners, and up to </w:t>
      </w:r>
      <w:r w:rsidR="00F7529F">
        <w:t>90</w:t>
      </w:r>
      <w:r w:rsidR="0084149B">
        <w:t xml:space="preserve"> key staff personel </w:t>
      </w:r>
      <w:r w:rsidR="0084149B">
        <w:lastRenderedPageBreak/>
        <w:t>and evaluators)</w:t>
      </w:r>
      <w:r w:rsidRPr="003F7F8B">
        <w:t xml:space="preserve"> </w:t>
      </w:r>
      <w:r w:rsidR="00EA574F">
        <w:t xml:space="preserve">who </w:t>
      </w:r>
      <w:r w:rsidRPr="003F7F8B">
        <w:t>will be invited to participate in</w:t>
      </w:r>
      <w:r w:rsidR="009848E6">
        <w:t xml:space="preserve"> onsite</w:t>
      </w:r>
      <w:r w:rsidRPr="003F7F8B">
        <w:t xml:space="preserve"> face-to-face interviews or focus groups (</w:t>
      </w:r>
      <w:r w:rsidRPr="003F7F8B">
        <w:rPr>
          <w:b/>
        </w:rPr>
        <w:t>Attachment</w:t>
      </w:r>
      <w:r w:rsidR="0092722D">
        <w:rPr>
          <w:b/>
        </w:rPr>
        <w:t>s</w:t>
      </w:r>
      <w:r w:rsidRPr="003F7F8B">
        <w:rPr>
          <w:b/>
        </w:rPr>
        <w:t xml:space="preserve"> </w:t>
      </w:r>
      <w:r w:rsidR="00A35582">
        <w:rPr>
          <w:b/>
        </w:rPr>
        <w:t>2</w:t>
      </w:r>
      <w:r w:rsidR="00684314">
        <w:rPr>
          <w:b/>
        </w:rPr>
        <w:t>7</w:t>
      </w:r>
      <w:r w:rsidRPr="003F7F8B">
        <w:t xml:space="preserve">). The estimated time for completing the PI and </w:t>
      </w:r>
      <w:r w:rsidR="00EA574F">
        <w:t>p</w:t>
      </w:r>
      <w:r w:rsidRPr="003F7F8B">
        <w:t xml:space="preserve">artner </w:t>
      </w:r>
      <w:r w:rsidR="005A6B56">
        <w:t>w</w:t>
      </w:r>
      <w:r w:rsidRPr="003F7F8B">
        <w:t xml:space="preserve">eb </w:t>
      </w:r>
      <w:r w:rsidR="005A6B56">
        <w:t>s</w:t>
      </w:r>
      <w:r w:rsidRPr="003F7F8B">
        <w:t>urveys is 30 minutes apiece, each</w:t>
      </w:r>
      <w:r w:rsidR="00684314">
        <w:t xml:space="preserve"> </w:t>
      </w:r>
      <w:r w:rsidR="00B04A10">
        <w:t xml:space="preserve">PI and Partner </w:t>
      </w:r>
      <w:r w:rsidR="00684314">
        <w:t>telephone</w:t>
      </w:r>
      <w:r w:rsidRPr="003F7F8B">
        <w:t xml:space="preserve"> interview is estimated </w:t>
      </w:r>
      <w:r w:rsidR="00B04A10">
        <w:t>to take</w:t>
      </w:r>
      <w:r w:rsidR="00B04A10" w:rsidRPr="003F7F8B">
        <w:t xml:space="preserve"> </w:t>
      </w:r>
      <w:r w:rsidRPr="003F7F8B">
        <w:t>60 minutes</w:t>
      </w:r>
      <w:r w:rsidR="00B04A10">
        <w:t xml:space="preserve">.  To allow for more in-depth discussion, interviews conducted during site visits are estimated at </w:t>
      </w:r>
      <w:r w:rsidRPr="003F7F8B">
        <w:t>90 minutes</w:t>
      </w:r>
      <w:r w:rsidR="00F22B9D">
        <w:t xml:space="preserve"> </w:t>
      </w:r>
      <w:r w:rsidR="0099495C">
        <w:t>for PIs and project partners and 90 minutes for other key staff (60 minutes for key staff identified by PIs and 30 minutes for evaluators)</w:t>
      </w:r>
      <w:r w:rsidRPr="003F7F8B">
        <w:t xml:space="preserve">. Administration of the Site Visit </w:t>
      </w:r>
      <w:r w:rsidR="005A6B56">
        <w:t>Interview</w:t>
      </w:r>
      <w:r w:rsidRPr="003F7F8B">
        <w:t xml:space="preserve"> Consent</w:t>
      </w:r>
      <w:r w:rsidR="005A6B56">
        <w:t xml:space="preserve"> Form</w:t>
      </w:r>
      <w:r w:rsidRPr="003F7F8B">
        <w:t xml:space="preserve"> (</w:t>
      </w:r>
      <w:r w:rsidRPr="003F7F8B">
        <w:rPr>
          <w:b/>
        </w:rPr>
        <w:t xml:space="preserve">Attachment </w:t>
      </w:r>
      <w:r w:rsidR="00A35582">
        <w:rPr>
          <w:b/>
        </w:rPr>
        <w:t>18</w:t>
      </w:r>
      <w:r w:rsidRPr="003F7F8B">
        <w:t>)</w:t>
      </w:r>
      <w:r w:rsidR="00684314">
        <w:t xml:space="preserve">, </w:t>
      </w:r>
      <w:r w:rsidRPr="003F7F8B">
        <w:t xml:space="preserve">the Telephone Script to Schedule the </w:t>
      </w:r>
      <w:r w:rsidR="00684314">
        <w:t xml:space="preserve">Telephone </w:t>
      </w:r>
      <w:r w:rsidRPr="003F7F8B">
        <w:t>Interview (</w:t>
      </w:r>
      <w:r w:rsidRPr="003F7F8B">
        <w:rPr>
          <w:b/>
        </w:rPr>
        <w:t xml:space="preserve">Attachment </w:t>
      </w:r>
      <w:r w:rsidR="00A35582">
        <w:rPr>
          <w:b/>
        </w:rPr>
        <w:t>27</w:t>
      </w:r>
      <w:r w:rsidRPr="003F7F8B">
        <w:t>)</w:t>
      </w:r>
      <w:r w:rsidR="00684314">
        <w:t>, and the Telephone Script to Schedule the Site Visit Interview</w:t>
      </w:r>
      <w:r w:rsidRPr="003F7F8B">
        <w:t xml:space="preserve"> </w:t>
      </w:r>
      <w:r w:rsidR="00215826">
        <w:t xml:space="preserve">are </w:t>
      </w:r>
      <w:r w:rsidRPr="003F7F8B">
        <w:t>estimated at 5 minutes each. The estimate of the total and annualized burden is 523 hours</w:t>
      </w:r>
      <w:r w:rsidR="005A6B56">
        <w:t>,</w:t>
      </w:r>
      <w:r w:rsidRPr="003F7F8B">
        <w:t xml:space="preserve"> as summarized in Exhibit A</w:t>
      </w:r>
      <w:r w:rsidR="005A6B56">
        <w:t>.</w:t>
      </w:r>
      <w:r w:rsidRPr="003F7F8B">
        <w:t>12-1.</w:t>
      </w:r>
      <w:r w:rsidR="00E12C7B">
        <w:rPr>
          <w:rStyle w:val="FootnoteReference"/>
        </w:rPr>
        <w:footnoteReference w:id="3"/>
      </w:r>
      <w:r w:rsidRPr="003F7F8B">
        <w:t xml:space="preserve"> </w:t>
      </w:r>
    </w:p>
    <w:p w:rsidR="003F7F8B" w:rsidRPr="003F7F8B" w:rsidRDefault="003F7F8B" w:rsidP="003F7F8B">
      <w:pPr>
        <w:spacing w:line="360" w:lineRule="auto"/>
        <w:rPr>
          <w:szCs w:val="24"/>
        </w:rPr>
      </w:pPr>
    </w:p>
    <w:p w:rsidR="003F7F8B" w:rsidRPr="001009AE" w:rsidRDefault="003F7F8B" w:rsidP="001009AE">
      <w:pPr>
        <w:pStyle w:val="TT-TableTitle"/>
      </w:pPr>
      <w:bookmarkStart w:id="95" w:name="_Toc144548568"/>
      <w:bookmarkStart w:id="96" w:name="_Toc144549938"/>
      <w:bookmarkStart w:id="97" w:name="_Toc417456675"/>
      <w:bookmarkStart w:id="98" w:name="_Toc417471294"/>
      <w:r w:rsidRPr="001009AE">
        <w:t>Exhibit A</w:t>
      </w:r>
      <w:r w:rsidR="005A6B56">
        <w:t>.</w:t>
      </w:r>
      <w:r w:rsidRPr="001009AE">
        <w:t>12-1.</w:t>
      </w:r>
      <w:r w:rsidRPr="001009AE">
        <w:tab/>
      </w:r>
      <w:bookmarkEnd w:id="95"/>
      <w:bookmarkEnd w:id="96"/>
      <w:r w:rsidRPr="001009AE">
        <w:t>Estimates of Annualized Burden Hours</w:t>
      </w:r>
      <w:bookmarkEnd w:id="97"/>
      <w:bookmarkEnd w:id="98"/>
      <w:r w:rsidRPr="001009AE">
        <w:t xml:space="preserve"> </w:t>
      </w:r>
    </w:p>
    <w:p w:rsidR="003F7F8B" w:rsidRPr="003F7F8B" w:rsidRDefault="003F7F8B" w:rsidP="003F7F8B">
      <w:pPr>
        <w:keepNext/>
        <w:tabs>
          <w:tab w:val="left" w:pos="1800"/>
        </w:tabs>
        <w:ind w:left="1800" w:hanging="1800"/>
        <w:outlineLvl w:val="0"/>
        <w:rPr>
          <w:rFonts w:ascii="Arial" w:hAnsi="Arial"/>
          <w:b/>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160"/>
        <w:gridCol w:w="1530"/>
        <w:gridCol w:w="1440"/>
        <w:gridCol w:w="1530"/>
        <w:gridCol w:w="1260"/>
      </w:tblGrid>
      <w:tr w:rsidR="003F7F8B" w:rsidRPr="003F7F8B" w:rsidTr="003F7F8B">
        <w:tc>
          <w:tcPr>
            <w:tcW w:w="1530" w:type="dxa"/>
            <w:vAlign w:val="bottom"/>
          </w:tcPr>
          <w:p w:rsidR="003F7F8B" w:rsidRPr="003F7F8B" w:rsidRDefault="003F7F8B" w:rsidP="005A6B56">
            <w:pPr>
              <w:spacing w:line="240" w:lineRule="auto"/>
              <w:jc w:val="center"/>
              <w:rPr>
                <w:rFonts w:ascii="Times New Roman" w:hAnsi="Times New Roman"/>
                <w:b/>
                <w:szCs w:val="24"/>
              </w:rPr>
            </w:pPr>
            <w:r w:rsidRPr="003F7F8B">
              <w:rPr>
                <w:rFonts w:ascii="Times New Roman" w:hAnsi="Times New Roman"/>
                <w:b/>
                <w:szCs w:val="24"/>
              </w:rPr>
              <w:t xml:space="preserve">Type of </w:t>
            </w:r>
            <w:r w:rsidR="005A6B56">
              <w:rPr>
                <w:rFonts w:ascii="Times New Roman" w:hAnsi="Times New Roman"/>
                <w:b/>
                <w:szCs w:val="24"/>
              </w:rPr>
              <w:t>r</w:t>
            </w:r>
            <w:r w:rsidRPr="003F7F8B">
              <w:rPr>
                <w:rFonts w:ascii="Times New Roman" w:hAnsi="Times New Roman"/>
                <w:b/>
                <w:szCs w:val="24"/>
              </w:rPr>
              <w:t>espondent</w:t>
            </w:r>
          </w:p>
        </w:tc>
        <w:tc>
          <w:tcPr>
            <w:tcW w:w="2160" w:type="dxa"/>
            <w:vAlign w:val="bottom"/>
          </w:tcPr>
          <w:p w:rsidR="003F7F8B" w:rsidRPr="003F7F8B" w:rsidRDefault="003F7F8B" w:rsidP="005A6B56">
            <w:pPr>
              <w:spacing w:line="240" w:lineRule="auto"/>
              <w:jc w:val="center"/>
              <w:rPr>
                <w:rFonts w:ascii="Times New Roman" w:hAnsi="Times New Roman"/>
                <w:b/>
                <w:szCs w:val="24"/>
              </w:rPr>
            </w:pPr>
            <w:r w:rsidRPr="003F7F8B">
              <w:rPr>
                <w:rFonts w:ascii="Times New Roman" w:hAnsi="Times New Roman"/>
                <w:b/>
                <w:szCs w:val="24"/>
              </w:rPr>
              <w:t xml:space="preserve">Data </w:t>
            </w:r>
            <w:r w:rsidR="005A6B56">
              <w:rPr>
                <w:rFonts w:ascii="Times New Roman" w:hAnsi="Times New Roman"/>
                <w:b/>
                <w:szCs w:val="24"/>
              </w:rPr>
              <w:t>c</w:t>
            </w:r>
            <w:r w:rsidRPr="003F7F8B">
              <w:rPr>
                <w:rFonts w:ascii="Times New Roman" w:hAnsi="Times New Roman"/>
                <w:b/>
                <w:szCs w:val="24"/>
              </w:rPr>
              <w:t xml:space="preserve">ollection </w:t>
            </w:r>
            <w:r w:rsidR="005A6B56">
              <w:rPr>
                <w:rFonts w:ascii="Times New Roman" w:hAnsi="Times New Roman"/>
                <w:b/>
                <w:szCs w:val="24"/>
              </w:rPr>
              <w:t>t</w:t>
            </w:r>
            <w:r w:rsidRPr="003F7F8B">
              <w:rPr>
                <w:rFonts w:ascii="Times New Roman" w:hAnsi="Times New Roman"/>
                <w:b/>
                <w:szCs w:val="24"/>
              </w:rPr>
              <w:t>ype</w:t>
            </w:r>
          </w:p>
        </w:tc>
        <w:tc>
          <w:tcPr>
            <w:tcW w:w="1530" w:type="dxa"/>
            <w:shd w:val="clear" w:color="auto" w:fill="auto"/>
            <w:vAlign w:val="bottom"/>
          </w:tcPr>
          <w:p w:rsidR="003F7F8B" w:rsidRPr="003F7F8B" w:rsidRDefault="003F7F8B" w:rsidP="003F7F8B">
            <w:pPr>
              <w:spacing w:line="240" w:lineRule="auto"/>
              <w:jc w:val="center"/>
              <w:rPr>
                <w:rFonts w:ascii="Times New Roman" w:hAnsi="Times New Roman"/>
                <w:b/>
                <w:szCs w:val="24"/>
              </w:rPr>
            </w:pPr>
            <w:r w:rsidRPr="003F7F8B">
              <w:rPr>
                <w:rFonts w:ascii="Times New Roman" w:hAnsi="Times New Roman"/>
                <w:b/>
                <w:szCs w:val="24"/>
              </w:rPr>
              <w:t>Number of</w:t>
            </w:r>
          </w:p>
          <w:p w:rsidR="003F7F8B" w:rsidRPr="003F7F8B" w:rsidRDefault="005A6B56" w:rsidP="003F7F8B">
            <w:pPr>
              <w:widowControl w:val="0"/>
              <w:spacing w:line="240" w:lineRule="auto"/>
              <w:jc w:val="center"/>
              <w:rPr>
                <w:rFonts w:ascii="Times New Roman" w:hAnsi="Times New Roman"/>
                <w:b/>
                <w:snapToGrid w:val="0"/>
                <w:szCs w:val="24"/>
              </w:rPr>
            </w:pPr>
            <w:r>
              <w:rPr>
                <w:rFonts w:ascii="Times New Roman" w:hAnsi="Times New Roman"/>
                <w:b/>
                <w:snapToGrid w:val="0"/>
                <w:szCs w:val="24"/>
              </w:rPr>
              <w:t>r</w:t>
            </w:r>
            <w:r w:rsidR="003F7F8B" w:rsidRPr="003F7F8B">
              <w:rPr>
                <w:rFonts w:ascii="Times New Roman" w:hAnsi="Times New Roman"/>
                <w:b/>
                <w:snapToGrid w:val="0"/>
                <w:szCs w:val="24"/>
              </w:rPr>
              <w:t>espondents</w:t>
            </w:r>
          </w:p>
        </w:tc>
        <w:tc>
          <w:tcPr>
            <w:tcW w:w="1440" w:type="dxa"/>
            <w:shd w:val="clear" w:color="auto" w:fill="auto"/>
            <w:vAlign w:val="bottom"/>
          </w:tcPr>
          <w:p w:rsidR="003F7F8B" w:rsidRPr="003F7F8B" w:rsidRDefault="003F7F8B" w:rsidP="003F7F8B">
            <w:pPr>
              <w:spacing w:line="240" w:lineRule="auto"/>
              <w:jc w:val="center"/>
              <w:rPr>
                <w:rFonts w:ascii="Times New Roman" w:hAnsi="Times New Roman"/>
                <w:b/>
                <w:szCs w:val="24"/>
              </w:rPr>
            </w:pPr>
            <w:r w:rsidRPr="003F7F8B">
              <w:rPr>
                <w:rFonts w:ascii="Times New Roman" w:hAnsi="Times New Roman"/>
                <w:b/>
                <w:szCs w:val="24"/>
              </w:rPr>
              <w:t>Number of</w:t>
            </w:r>
          </w:p>
          <w:p w:rsidR="003F7F8B" w:rsidRPr="003F7F8B" w:rsidRDefault="005A6B56" w:rsidP="005A6B56">
            <w:pPr>
              <w:widowControl w:val="0"/>
              <w:spacing w:line="240" w:lineRule="auto"/>
              <w:jc w:val="center"/>
              <w:rPr>
                <w:rFonts w:ascii="Times New Roman" w:hAnsi="Times New Roman"/>
                <w:b/>
                <w:snapToGrid w:val="0"/>
                <w:szCs w:val="24"/>
              </w:rPr>
            </w:pPr>
            <w:r>
              <w:rPr>
                <w:rFonts w:ascii="Times New Roman" w:hAnsi="Times New Roman"/>
                <w:b/>
                <w:snapToGrid w:val="0"/>
                <w:szCs w:val="24"/>
              </w:rPr>
              <w:t>r</w:t>
            </w:r>
            <w:r w:rsidR="003F7F8B" w:rsidRPr="003F7F8B">
              <w:rPr>
                <w:rFonts w:ascii="Times New Roman" w:hAnsi="Times New Roman"/>
                <w:b/>
                <w:snapToGrid w:val="0"/>
                <w:szCs w:val="24"/>
              </w:rPr>
              <w:t xml:space="preserve">esponses </w:t>
            </w:r>
            <w:r>
              <w:rPr>
                <w:rFonts w:ascii="Times New Roman" w:hAnsi="Times New Roman"/>
                <w:b/>
                <w:snapToGrid w:val="0"/>
                <w:szCs w:val="24"/>
              </w:rPr>
              <w:t>p</w:t>
            </w:r>
            <w:r w:rsidR="003F7F8B" w:rsidRPr="003F7F8B">
              <w:rPr>
                <w:rFonts w:ascii="Times New Roman" w:hAnsi="Times New Roman"/>
                <w:b/>
                <w:snapToGrid w:val="0"/>
                <w:szCs w:val="24"/>
              </w:rPr>
              <w:t xml:space="preserve">er </w:t>
            </w:r>
            <w:r>
              <w:rPr>
                <w:rFonts w:ascii="Times New Roman" w:hAnsi="Times New Roman"/>
                <w:b/>
                <w:snapToGrid w:val="0"/>
                <w:szCs w:val="24"/>
              </w:rPr>
              <w:t>r</w:t>
            </w:r>
            <w:r w:rsidR="003F7F8B" w:rsidRPr="003F7F8B">
              <w:rPr>
                <w:rFonts w:ascii="Times New Roman" w:hAnsi="Times New Roman"/>
                <w:b/>
                <w:snapToGrid w:val="0"/>
                <w:szCs w:val="24"/>
              </w:rPr>
              <w:t>espondent</w:t>
            </w:r>
          </w:p>
        </w:tc>
        <w:tc>
          <w:tcPr>
            <w:tcW w:w="1530" w:type="dxa"/>
            <w:shd w:val="clear" w:color="auto" w:fill="auto"/>
            <w:vAlign w:val="bottom"/>
          </w:tcPr>
          <w:p w:rsidR="003F7F8B" w:rsidRPr="003F7F8B" w:rsidRDefault="003F7F8B" w:rsidP="003F7F8B">
            <w:pPr>
              <w:widowControl w:val="0"/>
              <w:spacing w:line="240" w:lineRule="auto"/>
              <w:jc w:val="center"/>
              <w:rPr>
                <w:rFonts w:ascii="Times New Roman" w:hAnsi="Times New Roman"/>
                <w:b/>
                <w:snapToGrid w:val="0"/>
                <w:szCs w:val="24"/>
              </w:rPr>
            </w:pPr>
            <w:r w:rsidRPr="003F7F8B">
              <w:rPr>
                <w:rFonts w:ascii="Times New Roman" w:hAnsi="Times New Roman"/>
                <w:b/>
                <w:snapToGrid w:val="0"/>
                <w:szCs w:val="24"/>
              </w:rPr>
              <w:t xml:space="preserve">Average </w:t>
            </w:r>
            <w:r w:rsidR="005A6B56">
              <w:rPr>
                <w:rFonts w:ascii="Times New Roman" w:hAnsi="Times New Roman"/>
                <w:b/>
                <w:snapToGrid w:val="0"/>
                <w:szCs w:val="24"/>
              </w:rPr>
              <w:t>b</w:t>
            </w:r>
            <w:r w:rsidRPr="003F7F8B">
              <w:rPr>
                <w:rFonts w:ascii="Times New Roman" w:hAnsi="Times New Roman"/>
                <w:b/>
                <w:snapToGrid w:val="0"/>
                <w:szCs w:val="24"/>
              </w:rPr>
              <w:t xml:space="preserve">urden per </w:t>
            </w:r>
            <w:r w:rsidR="005A6B56">
              <w:rPr>
                <w:rFonts w:ascii="Times New Roman" w:hAnsi="Times New Roman"/>
                <w:b/>
                <w:snapToGrid w:val="0"/>
                <w:szCs w:val="24"/>
              </w:rPr>
              <w:t>r</w:t>
            </w:r>
            <w:r w:rsidRPr="003F7F8B">
              <w:rPr>
                <w:rFonts w:ascii="Times New Roman" w:hAnsi="Times New Roman"/>
                <w:b/>
                <w:snapToGrid w:val="0"/>
                <w:szCs w:val="24"/>
              </w:rPr>
              <w:t>esponse</w:t>
            </w:r>
          </w:p>
          <w:p w:rsidR="003F7F8B" w:rsidRPr="003F7F8B" w:rsidRDefault="003F7F8B" w:rsidP="003F7F8B">
            <w:pPr>
              <w:widowControl w:val="0"/>
              <w:spacing w:line="240" w:lineRule="auto"/>
              <w:jc w:val="center"/>
              <w:rPr>
                <w:rFonts w:ascii="Times New Roman" w:hAnsi="Times New Roman"/>
                <w:b/>
                <w:snapToGrid w:val="0"/>
                <w:szCs w:val="24"/>
              </w:rPr>
            </w:pPr>
            <w:r w:rsidRPr="003F7F8B">
              <w:rPr>
                <w:rFonts w:ascii="Times New Roman" w:hAnsi="Times New Roman"/>
                <w:b/>
                <w:snapToGrid w:val="0"/>
                <w:szCs w:val="24"/>
              </w:rPr>
              <w:t>(in minutes)</w:t>
            </w:r>
          </w:p>
        </w:tc>
        <w:tc>
          <w:tcPr>
            <w:tcW w:w="1260" w:type="dxa"/>
            <w:shd w:val="clear" w:color="auto" w:fill="auto"/>
            <w:vAlign w:val="bottom"/>
          </w:tcPr>
          <w:p w:rsidR="003F7F8B" w:rsidRPr="003F7F8B" w:rsidRDefault="003F7F8B" w:rsidP="005A6B56">
            <w:pPr>
              <w:widowControl w:val="0"/>
              <w:spacing w:line="240" w:lineRule="auto"/>
              <w:jc w:val="center"/>
              <w:rPr>
                <w:rFonts w:ascii="Times New Roman" w:hAnsi="Times New Roman"/>
                <w:b/>
                <w:snapToGrid w:val="0"/>
                <w:szCs w:val="24"/>
              </w:rPr>
            </w:pPr>
            <w:r w:rsidRPr="003F7F8B">
              <w:rPr>
                <w:rFonts w:ascii="Times New Roman" w:hAnsi="Times New Roman"/>
                <w:b/>
                <w:snapToGrid w:val="0"/>
                <w:szCs w:val="24"/>
              </w:rPr>
              <w:t xml:space="preserve">Total </w:t>
            </w:r>
            <w:r w:rsidR="005A6B56">
              <w:rPr>
                <w:rFonts w:ascii="Times New Roman" w:hAnsi="Times New Roman"/>
                <w:b/>
                <w:snapToGrid w:val="0"/>
                <w:szCs w:val="24"/>
              </w:rPr>
              <w:t>a</w:t>
            </w:r>
            <w:r w:rsidRPr="003F7F8B">
              <w:rPr>
                <w:rFonts w:ascii="Times New Roman" w:hAnsi="Times New Roman"/>
                <w:b/>
                <w:snapToGrid w:val="0"/>
                <w:szCs w:val="24"/>
              </w:rPr>
              <w:t xml:space="preserve">nnual </w:t>
            </w:r>
            <w:r w:rsidR="005A6B56">
              <w:rPr>
                <w:rFonts w:ascii="Times New Roman" w:hAnsi="Times New Roman"/>
                <w:b/>
                <w:snapToGrid w:val="0"/>
                <w:szCs w:val="24"/>
              </w:rPr>
              <w:t>b</w:t>
            </w:r>
            <w:r w:rsidRPr="003F7F8B">
              <w:rPr>
                <w:rFonts w:ascii="Times New Roman" w:hAnsi="Times New Roman"/>
                <w:b/>
                <w:snapToGrid w:val="0"/>
                <w:szCs w:val="24"/>
              </w:rPr>
              <w:t xml:space="preserve">urden </w:t>
            </w:r>
            <w:r w:rsidR="005A6B56">
              <w:rPr>
                <w:rFonts w:ascii="Times New Roman" w:hAnsi="Times New Roman"/>
                <w:b/>
                <w:snapToGrid w:val="0"/>
                <w:szCs w:val="24"/>
              </w:rPr>
              <w:t>h</w:t>
            </w:r>
            <w:r w:rsidRPr="003F7F8B">
              <w:rPr>
                <w:rFonts w:ascii="Times New Roman" w:hAnsi="Times New Roman"/>
                <w:b/>
                <w:snapToGrid w:val="0"/>
                <w:szCs w:val="24"/>
              </w:rPr>
              <w:t>ours</w:t>
            </w:r>
          </w:p>
        </w:tc>
      </w:tr>
      <w:tr w:rsidR="003F7F8B" w:rsidRPr="003F7F8B" w:rsidTr="003F7F8B">
        <w:tc>
          <w:tcPr>
            <w:tcW w:w="1530" w:type="dxa"/>
            <w:vMerge w:val="restart"/>
            <w:vAlign w:val="center"/>
          </w:tcPr>
          <w:p w:rsidR="003F7F8B" w:rsidRPr="003F7F8B" w:rsidRDefault="003F7F8B" w:rsidP="003F7F8B">
            <w:pPr>
              <w:widowControl w:val="0"/>
              <w:spacing w:line="240" w:lineRule="auto"/>
              <w:rPr>
                <w:rFonts w:ascii="Times New Roman" w:hAnsi="Times New Roman"/>
                <w:snapToGrid w:val="0"/>
                <w:szCs w:val="24"/>
              </w:rPr>
            </w:pPr>
            <w:r w:rsidRPr="003F7F8B">
              <w:rPr>
                <w:rFonts w:ascii="Times New Roman" w:hAnsi="Times New Roman"/>
                <w:snapToGrid w:val="0"/>
                <w:szCs w:val="24"/>
              </w:rPr>
              <w:t>PI</w:t>
            </w:r>
          </w:p>
        </w:tc>
        <w:tc>
          <w:tcPr>
            <w:tcW w:w="2160" w:type="dxa"/>
          </w:tcPr>
          <w:p w:rsidR="003F7F8B" w:rsidRPr="003F7F8B" w:rsidRDefault="005A6B56" w:rsidP="003F7F8B">
            <w:pPr>
              <w:widowControl w:val="0"/>
              <w:spacing w:line="240" w:lineRule="auto"/>
              <w:jc w:val="both"/>
              <w:rPr>
                <w:rFonts w:ascii="Times New Roman" w:hAnsi="Times New Roman"/>
                <w:snapToGrid w:val="0"/>
                <w:szCs w:val="24"/>
              </w:rPr>
            </w:pPr>
            <w:r w:rsidRPr="003F7F8B">
              <w:rPr>
                <w:rFonts w:ascii="Times New Roman" w:hAnsi="Times New Roman"/>
                <w:snapToGrid w:val="0"/>
                <w:szCs w:val="24"/>
              </w:rPr>
              <w:t>Web survey</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156</w:t>
            </w:r>
          </w:p>
        </w:tc>
        <w:tc>
          <w:tcPr>
            <w:tcW w:w="144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1</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30</w:t>
            </w:r>
          </w:p>
        </w:tc>
        <w:tc>
          <w:tcPr>
            <w:tcW w:w="126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78</w:t>
            </w:r>
          </w:p>
        </w:tc>
      </w:tr>
      <w:tr w:rsidR="003F7F8B" w:rsidRPr="003F7F8B" w:rsidTr="003F7F8B">
        <w:tc>
          <w:tcPr>
            <w:tcW w:w="1530" w:type="dxa"/>
            <w:vMerge/>
          </w:tcPr>
          <w:p w:rsidR="003F7F8B" w:rsidRPr="003F7F8B" w:rsidRDefault="003F7F8B" w:rsidP="003F7F8B">
            <w:pPr>
              <w:widowControl w:val="0"/>
              <w:spacing w:line="240" w:lineRule="auto"/>
              <w:jc w:val="both"/>
              <w:rPr>
                <w:rFonts w:ascii="Times New Roman" w:hAnsi="Times New Roman"/>
                <w:snapToGrid w:val="0"/>
                <w:szCs w:val="24"/>
              </w:rPr>
            </w:pPr>
          </w:p>
        </w:tc>
        <w:tc>
          <w:tcPr>
            <w:tcW w:w="2160" w:type="dxa"/>
          </w:tcPr>
          <w:p w:rsidR="003F7F8B" w:rsidRPr="003F7F8B" w:rsidRDefault="003F7F8B" w:rsidP="005A6B56">
            <w:pPr>
              <w:widowControl w:val="0"/>
              <w:spacing w:line="240" w:lineRule="auto"/>
              <w:rPr>
                <w:rFonts w:ascii="Times New Roman" w:hAnsi="Times New Roman"/>
                <w:snapToGrid w:val="0"/>
                <w:szCs w:val="24"/>
              </w:rPr>
            </w:pPr>
            <w:r w:rsidRPr="003F7F8B">
              <w:rPr>
                <w:rFonts w:ascii="Times New Roman" w:hAnsi="Times New Roman"/>
                <w:snapToGrid w:val="0"/>
                <w:szCs w:val="24"/>
              </w:rPr>
              <w:t xml:space="preserve">Telephone </w:t>
            </w:r>
            <w:r w:rsidR="005A6B56">
              <w:rPr>
                <w:rFonts w:ascii="Times New Roman" w:hAnsi="Times New Roman"/>
                <w:snapToGrid w:val="0"/>
                <w:szCs w:val="24"/>
              </w:rPr>
              <w:t>s</w:t>
            </w:r>
            <w:r w:rsidRPr="003F7F8B">
              <w:rPr>
                <w:rFonts w:ascii="Times New Roman" w:hAnsi="Times New Roman"/>
                <w:snapToGrid w:val="0"/>
                <w:szCs w:val="24"/>
              </w:rPr>
              <w:t xml:space="preserve">cript to </w:t>
            </w:r>
            <w:r w:rsidR="005A6B56">
              <w:rPr>
                <w:rFonts w:ascii="Times New Roman" w:hAnsi="Times New Roman"/>
                <w:snapToGrid w:val="0"/>
                <w:szCs w:val="24"/>
              </w:rPr>
              <w:t>s</w:t>
            </w:r>
            <w:r w:rsidRPr="003F7F8B">
              <w:rPr>
                <w:rFonts w:ascii="Times New Roman" w:hAnsi="Times New Roman"/>
                <w:snapToGrid w:val="0"/>
                <w:szCs w:val="24"/>
              </w:rPr>
              <w:t xml:space="preserve">chedule </w:t>
            </w:r>
            <w:r w:rsidR="005A6B56">
              <w:rPr>
                <w:rFonts w:ascii="Times New Roman" w:hAnsi="Times New Roman"/>
                <w:snapToGrid w:val="0"/>
                <w:szCs w:val="24"/>
              </w:rPr>
              <w:t>i</w:t>
            </w:r>
            <w:r w:rsidRPr="003F7F8B">
              <w:rPr>
                <w:rFonts w:ascii="Times New Roman" w:hAnsi="Times New Roman"/>
                <w:snapToGrid w:val="0"/>
                <w:szCs w:val="24"/>
              </w:rPr>
              <w:t>nterview</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34</w:t>
            </w:r>
          </w:p>
        </w:tc>
        <w:tc>
          <w:tcPr>
            <w:tcW w:w="144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1</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5</w:t>
            </w:r>
          </w:p>
        </w:tc>
        <w:tc>
          <w:tcPr>
            <w:tcW w:w="126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3</w:t>
            </w:r>
          </w:p>
        </w:tc>
      </w:tr>
      <w:tr w:rsidR="003F7F8B" w:rsidRPr="003F7F8B" w:rsidTr="003F7F8B">
        <w:tc>
          <w:tcPr>
            <w:tcW w:w="1530" w:type="dxa"/>
            <w:vMerge/>
          </w:tcPr>
          <w:p w:rsidR="003F7F8B" w:rsidRPr="003F7F8B" w:rsidRDefault="003F7F8B" w:rsidP="003F7F8B">
            <w:pPr>
              <w:widowControl w:val="0"/>
              <w:spacing w:line="240" w:lineRule="auto"/>
              <w:jc w:val="both"/>
              <w:rPr>
                <w:rFonts w:ascii="Times New Roman" w:hAnsi="Times New Roman"/>
                <w:snapToGrid w:val="0"/>
                <w:szCs w:val="24"/>
              </w:rPr>
            </w:pPr>
          </w:p>
        </w:tc>
        <w:tc>
          <w:tcPr>
            <w:tcW w:w="2160" w:type="dxa"/>
          </w:tcPr>
          <w:p w:rsidR="003F7F8B" w:rsidRPr="003F7F8B" w:rsidRDefault="005A6B56" w:rsidP="003F7F8B">
            <w:pPr>
              <w:widowControl w:val="0"/>
              <w:spacing w:line="240" w:lineRule="auto"/>
              <w:jc w:val="both"/>
              <w:rPr>
                <w:rFonts w:ascii="Times New Roman" w:hAnsi="Times New Roman"/>
                <w:snapToGrid w:val="0"/>
                <w:szCs w:val="24"/>
              </w:rPr>
            </w:pPr>
            <w:r w:rsidRPr="003F7F8B">
              <w:rPr>
                <w:rFonts w:ascii="Times New Roman" w:hAnsi="Times New Roman"/>
                <w:snapToGrid w:val="0"/>
                <w:szCs w:val="24"/>
              </w:rPr>
              <w:t>Telephone interview</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34</w:t>
            </w:r>
          </w:p>
        </w:tc>
        <w:tc>
          <w:tcPr>
            <w:tcW w:w="144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1</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60</w:t>
            </w:r>
          </w:p>
        </w:tc>
        <w:tc>
          <w:tcPr>
            <w:tcW w:w="126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34</w:t>
            </w:r>
          </w:p>
        </w:tc>
      </w:tr>
      <w:tr w:rsidR="003F7F8B" w:rsidRPr="003F7F8B" w:rsidTr="003F7F8B">
        <w:tc>
          <w:tcPr>
            <w:tcW w:w="1530" w:type="dxa"/>
            <w:vMerge/>
          </w:tcPr>
          <w:p w:rsidR="003F7F8B" w:rsidRPr="003F7F8B" w:rsidRDefault="003F7F8B" w:rsidP="003F7F8B">
            <w:pPr>
              <w:widowControl w:val="0"/>
              <w:spacing w:line="240" w:lineRule="auto"/>
              <w:jc w:val="both"/>
              <w:rPr>
                <w:rFonts w:ascii="Times New Roman" w:hAnsi="Times New Roman"/>
                <w:snapToGrid w:val="0"/>
                <w:szCs w:val="24"/>
              </w:rPr>
            </w:pPr>
          </w:p>
        </w:tc>
        <w:tc>
          <w:tcPr>
            <w:tcW w:w="2160" w:type="dxa"/>
          </w:tcPr>
          <w:p w:rsidR="003F7F8B" w:rsidRPr="003F7F8B" w:rsidRDefault="003F7F8B" w:rsidP="005A6B56">
            <w:pPr>
              <w:widowControl w:val="0"/>
              <w:spacing w:line="240" w:lineRule="auto"/>
              <w:rPr>
                <w:rFonts w:ascii="Times New Roman" w:hAnsi="Times New Roman"/>
                <w:snapToGrid w:val="0"/>
                <w:szCs w:val="24"/>
              </w:rPr>
            </w:pPr>
            <w:r w:rsidRPr="003F7F8B">
              <w:rPr>
                <w:rFonts w:ascii="Times New Roman" w:hAnsi="Times New Roman"/>
                <w:snapToGrid w:val="0"/>
                <w:szCs w:val="24"/>
              </w:rPr>
              <w:t xml:space="preserve">Telephone </w:t>
            </w:r>
            <w:r w:rsidR="005A6B56">
              <w:rPr>
                <w:rFonts w:ascii="Times New Roman" w:hAnsi="Times New Roman"/>
                <w:snapToGrid w:val="0"/>
                <w:szCs w:val="24"/>
              </w:rPr>
              <w:t>s</w:t>
            </w:r>
            <w:r w:rsidRPr="003F7F8B">
              <w:rPr>
                <w:rFonts w:ascii="Times New Roman" w:hAnsi="Times New Roman"/>
                <w:snapToGrid w:val="0"/>
                <w:szCs w:val="24"/>
              </w:rPr>
              <w:t xml:space="preserve">cript to </w:t>
            </w:r>
            <w:r w:rsidR="005A6B56">
              <w:rPr>
                <w:rFonts w:ascii="Times New Roman" w:hAnsi="Times New Roman"/>
                <w:snapToGrid w:val="0"/>
                <w:szCs w:val="24"/>
              </w:rPr>
              <w:t>s</w:t>
            </w:r>
            <w:r w:rsidRPr="003F7F8B">
              <w:rPr>
                <w:rFonts w:ascii="Times New Roman" w:hAnsi="Times New Roman"/>
                <w:snapToGrid w:val="0"/>
                <w:szCs w:val="24"/>
              </w:rPr>
              <w:t xml:space="preserve">chedule </w:t>
            </w:r>
            <w:r w:rsidR="005A6B56">
              <w:rPr>
                <w:rFonts w:ascii="Times New Roman" w:hAnsi="Times New Roman"/>
                <w:snapToGrid w:val="0"/>
                <w:szCs w:val="24"/>
              </w:rPr>
              <w:t>s</w:t>
            </w:r>
            <w:r w:rsidRPr="003F7F8B">
              <w:rPr>
                <w:rFonts w:ascii="Times New Roman" w:hAnsi="Times New Roman"/>
                <w:snapToGrid w:val="0"/>
                <w:szCs w:val="24"/>
              </w:rPr>
              <w:t xml:space="preserve">ite </w:t>
            </w:r>
            <w:r w:rsidR="005A6B56">
              <w:rPr>
                <w:rFonts w:ascii="Times New Roman" w:hAnsi="Times New Roman"/>
                <w:snapToGrid w:val="0"/>
                <w:szCs w:val="24"/>
              </w:rPr>
              <w:t>v</w:t>
            </w:r>
            <w:r w:rsidRPr="003F7F8B">
              <w:rPr>
                <w:rFonts w:ascii="Times New Roman" w:hAnsi="Times New Roman"/>
                <w:snapToGrid w:val="0"/>
                <w:szCs w:val="24"/>
              </w:rPr>
              <w:t>isit</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34</w:t>
            </w:r>
          </w:p>
        </w:tc>
        <w:tc>
          <w:tcPr>
            <w:tcW w:w="144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1</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5</w:t>
            </w:r>
          </w:p>
        </w:tc>
        <w:tc>
          <w:tcPr>
            <w:tcW w:w="126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3</w:t>
            </w:r>
          </w:p>
        </w:tc>
      </w:tr>
      <w:tr w:rsidR="003F7F8B" w:rsidRPr="003F7F8B" w:rsidTr="003F7F8B">
        <w:tc>
          <w:tcPr>
            <w:tcW w:w="1530" w:type="dxa"/>
            <w:vMerge/>
          </w:tcPr>
          <w:p w:rsidR="003F7F8B" w:rsidRPr="003F7F8B" w:rsidRDefault="003F7F8B" w:rsidP="003F7F8B">
            <w:pPr>
              <w:widowControl w:val="0"/>
              <w:spacing w:line="240" w:lineRule="auto"/>
              <w:jc w:val="both"/>
              <w:rPr>
                <w:rFonts w:ascii="Times New Roman" w:hAnsi="Times New Roman"/>
                <w:snapToGrid w:val="0"/>
                <w:szCs w:val="24"/>
              </w:rPr>
            </w:pPr>
          </w:p>
        </w:tc>
        <w:tc>
          <w:tcPr>
            <w:tcW w:w="2160" w:type="dxa"/>
          </w:tcPr>
          <w:p w:rsidR="003F7F8B" w:rsidRPr="003F7F8B" w:rsidRDefault="005A6B56" w:rsidP="003F7F8B">
            <w:pPr>
              <w:widowControl w:val="0"/>
              <w:spacing w:line="240" w:lineRule="auto"/>
              <w:rPr>
                <w:rFonts w:ascii="Times New Roman" w:hAnsi="Times New Roman"/>
                <w:snapToGrid w:val="0"/>
                <w:szCs w:val="24"/>
              </w:rPr>
            </w:pPr>
            <w:r w:rsidRPr="003F7F8B">
              <w:rPr>
                <w:rFonts w:ascii="Times New Roman" w:hAnsi="Times New Roman"/>
                <w:snapToGrid w:val="0"/>
                <w:szCs w:val="24"/>
              </w:rPr>
              <w:t>Site visit interview</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6</w:t>
            </w:r>
          </w:p>
        </w:tc>
        <w:tc>
          <w:tcPr>
            <w:tcW w:w="144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1</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90</w:t>
            </w:r>
          </w:p>
        </w:tc>
        <w:tc>
          <w:tcPr>
            <w:tcW w:w="126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9</w:t>
            </w:r>
          </w:p>
        </w:tc>
      </w:tr>
      <w:tr w:rsidR="003F7F8B" w:rsidRPr="003F7F8B" w:rsidTr="003F7F8B">
        <w:tc>
          <w:tcPr>
            <w:tcW w:w="1530" w:type="dxa"/>
            <w:vMerge w:val="restart"/>
            <w:vAlign w:val="center"/>
          </w:tcPr>
          <w:p w:rsidR="003F7F8B" w:rsidRPr="003F7F8B" w:rsidRDefault="003F7F8B" w:rsidP="003F7F8B">
            <w:pPr>
              <w:widowControl w:val="0"/>
              <w:spacing w:line="240" w:lineRule="auto"/>
              <w:rPr>
                <w:rFonts w:ascii="Times New Roman" w:hAnsi="Times New Roman"/>
                <w:snapToGrid w:val="0"/>
                <w:szCs w:val="24"/>
              </w:rPr>
            </w:pPr>
            <w:r w:rsidRPr="003F7F8B">
              <w:rPr>
                <w:rFonts w:ascii="Times New Roman" w:hAnsi="Times New Roman"/>
                <w:snapToGrid w:val="0"/>
                <w:szCs w:val="24"/>
              </w:rPr>
              <w:t>Project partner</w:t>
            </w:r>
          </w:p>
          <w:p w:rsidR="003F7F8B" w:rsidRPr="003F7F8B" w:rsidRDefault="003F7F8B" w:rsidP="003F7F8B">
            <w:pPr>
              <w:widowControl w:val="0"/>
              <w:spacing w:line="240" w:lineRule="auto"/>
              <w:rPr>
                <w:rFonts w:ascii="Times New Roman" w:hAnsi="Times New Roman"/>
                <w:snapToGrid w:val="0"/>
                <w:szCs w:val="24"/>
              </w:rPr>
            </w:pPr>
          </w:p>
        </w:tc>
        <w:tc>
          <w:tcPr>
            <w:tcW w:w="2160" w:type="dxa"/>
          </w:tcPr>
          <w:p w:rsidR="003F7F8B" w:rsidRPr="003F7F8B" w:rsidRDefault="005A6B56" w:rsidP="003F7F8B">
            <w:pPr>
              <w:widowControl w:val="0"/>
              <w:spacing w:line="240" w:lineRule="auto"/>
              <w:jc w:val="both"/>
              <w:rPr>
                <w:rFonts w:ascii="Times New Roman" w:hAnsi="Times New Roman"/>
                <w:snapToGrid w:val="0"/>
                <w:szCs w:val="24"/>
              </w:rPr>
            </w:pPr>
            <w:r w:rsidRPr="003F7F8B">
              <w:rPr>
                <w:rFonts w:ascii="Times New Roman" w:hAnsi="Times New Roman"/>
                <w:snapToGrid w:val="0"/>
                <w:szCs w:val="24"/>
              </w:rPr>
              <w:t>Web survey</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312</w:t>
            </w:r>
          </w:p>
        </w:tc>
        <w:tc>
          <w:tcPr>
            <w:tcW w:w="144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1</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30</w:t>
            </w:r>
          </w:p>
        </w:tc>
        <w:tc>
          <w:tcPr>
            <w:tcW w:w="126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156</w:t>
            </w:r>
          </w:p>
        </w:tc>
      </w:tr>
      <w:tr w:rsidR="003F7F8B" w:rsidRPr="003F7F8B" w:rsidTr="003F7F8B">
        <w:tc>
          <w:tcPr>
            <w:tcW w:w="1530" w:type="dxa"/>
            <w:vMerge/>
          </w:tcPr>
          <w:p w:rsidR="003F7F8B" w:rsidRPr="003F7F8B" w:rsidRDefault="003F7F8B" w:rsidP="003F7F8B">
            <w:pPr>
              <w:widowControl w:val="0"/>
              <w:spacing w:line="240" w:lineRule="auto"/>
              <w:jc w:val="both"/>
              <w:rPr>
                <w:rFonts w:ascii="Times New Roman" w:hAnsi="Times New Roman"/>
                <w:snapToGrid w:val="0"/>
                <w:szCs w:val="24"/>
              </w:rPr>
            </w:pPr>
          </w:p>
        </w:tc>
        <w:tc>
          <w:tcPr>
            <w:tcW w:w="2160" w:type="dxa"/>
          </w:tcPr>
          <w:p w:rsidR="003F7F8B" w:rsidRPr="003F7F8B" w:rsidRDefault="003F7F8B" w:rsidP="005A6B56">
            <w:pPr>
              <w:widowControl w:val="0"/>
              <w:spacing w:line="240" w:lineRule="auto"/>
              <w:rPr>
                <w:rFonts w:ascii="Times New Roman" w:hAnsi="Times New Roman"/>
                <w:snapToGrid w:val="0"/>
                <w:szCs w:val="24"/>
              </w:rPr>
            </w:pPr>
            <w:r w:rsidRPr="003F7F8B">
              <w:rPr>
                <w:rFonts w:ascii="Times New Roman" w:hAnsi="Times New Roman"/>
                <w:snapToGrid w:val="0"/>
                <w:szCs w:val="24"/>
              </w:rPr>
              <w:t xml:space="preserve">Telephone </w:t>
            </w:r>
            <w:r w:rsidR="005A6B56">
              <w:rPr>
                <w:rFonts w:ascii="Times New Roman" w:hAnsi="Times New Roman"/>
                <w:snapToGrid w:val="0"/>
                <w:szCs w:val="24"/>
              </w:rPr>
              <w:t>s</w:t>
            </w:r>
            <w:r w:rsidRPr="003F7F8B">
              <w:rPr>
                <w:rFonts w:ascii="Times New Roman" w:hAnsi="Times New Roman"/>
                <w:snapToGrid w:val="0"/>
                <w:szCs w:val="24"/>
              </w:rPr>
              <w:t xml:space="preserve">cript to </w:t>
            </w:r>
            <w:r w:rsidR="005A6B56">
              <w:rPr>
                <w:rFonts w:ascii="Times New Roman" w:hAnsi="Times New Roman"/>
                <w:snapToGrid w:val="0"/>
                <w:szCs w:val="24"/>
              </w:rPr>
              <w:t>s</w:t>
            </w:r>
            <w:r w:rsidRPr="003F7F8B">
              <w:rPr>
                <w:rFonts w:ascii="Times New Roman" w:hAnsi="Times New Roman"/>
                <w:snapToGrid w:val="0"/>
                <w:szCs w:val="24"/>
              </w:rPr>
              <w:t xml:space="preserve">chedule </w:t>
            </w:r>
            <w:r w:rsidR="005A6B56">
              <w:rPr>
                <w:rFonts w:ascii="Times New Roman" w:hAnsi="Times New Roman"/>
                <w:snapToGrid w:val="0"/>
                <w:szCs w:val="24"/>
              </w:rPr>
              <w:t>i</w:t>
            </w:r>
            <w:r w:rsidRPr="003F7F8B">
              <w:rPr>
                <w:rFonts w:ascii="Times New Roman" w:hAnsi="Times New Roman"/>
                <w:snapToGrid w:val="0"/>
                <w:szCs w:val="24"/>
              </w:rPr>
              <w:t>nterview</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74</w:t>
            </w:r>
          </w:p>
        </w:tc>
        <w:tc>
          <w:tcPr>
            <w:tcW w:w="144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1</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5</w:t>
            </w:r>
          </w:p>
        </w:tc>
        <w:tc>
          <w:tcPr>
            <w:tcW w:w="126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7</w:t>
            </w:r>
          </w:p>
        </w:tc>
      </w:tr>
      <w:tr w:rsidR="003F7F8B" w:rsidRPr="003F7F8B" w:rsidTr="003F7F8B">
        <w:tc>
          <w:tcPr>
            <w:tcW w:w="1530" w:type="dxa"/>
            <w:vMerge/>
          </w:tcPr>
          <w:p w:rsidR="003F7F8B" w:rsidRPr="003F7F8B" w:rsidRDefault="003F7F8B" w:rsidP="003F7F8B">
            <w:pPr>
              <w:widowControl w:val="0"/>
              <w:spacing w:line="240" w:lineRule="auto"/>
              <w:jc w:val="both"/>
              <w:rPr>
                <w:rFonts w:ascii="Times New Roman" w:hAnsi="Times New Roman"/>
                <w:snapToGrid w:val="0"/>
                <w:szCs w:val="24"/>
              </w:rPr>
            </w:pPr>
          </w:p>
        </w:tc>
        <w:tc>
          <w:tcPr>
            <w:tcW w:w="2160" w:type="dxa"/>
          </w:tcPr>
          <w:p w:rsidR="003F7F8B" w:rsidRPr="003F7F8B" w:rsidRDefault="005A6B56" w:rsidP="003F7F8B">
            <w:pPr>
              <w:widowControl w:val="0"/>
              <w:spacing w:line="240" w:lineRule="auto"/>
              <w:jc w:val="both"/>
              <w:rPr>
                <w:rFonts w:ascii="Times New Roman" w:hAnsi="Times New Roman"/>
                <w:snapToGrid w:val="0"/>
                <w:szCs w:val="24"/>
              </w:rPr>
            </w:pPr>
            <w:r w:rsidRPr="003F7F8B">
              <w:rPr>
                <w:rFonts w:ascii="Times New Roman" w:hAnsi="Times New Roman"/>
                <w:snapToGrid w:val="0"/>
                <w:szCs w:val="24"/>
              </w:rPr>
              <w:t>Telephone interview</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74</w:t>
            </w:r>
          </w:p>
        </w:tc>
        <w:tc>
          <w:tcPr>
            <w:tcW w:w="144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1</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60</w:t>
            </w:r>
          </w:p>
        </w:tc>
        <w:tc>
          <w:tcPr>
            <w:tcW w:w="126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74</w:t>
            </w:r>
          </w:p>
        </w:tc>
      </w:tr>
      <w:tr w:rsidR="003F7F8B" w:rsidRPr="003F7F8B" w:rsidTr="003F7F8B">
        <w:tc>
          <w:tcPr>
            <w:tcW w:w="1530" w:type="dxa"/>
            <w:vMerge/>
          </w:tcPr>
          <w:p w:rsidR="003F7F8B" w:rsidRPr="003F7F8B" w:rsidRDefault="003F7F8B" w:rsidP="003F7F8B">
            <w:pPr>
              <w:widowControl w:val="0"/>
              <w:spacing w:line="240" w:lineRule="auto"/>
              <w:jc w:val="both"/>
              <w:rPr>
                <w:rFonts w:ascii="Times New Roman" w:hAnsi="Times New Roman"/>
                <w:snapToGrid w:val="0"/>
                <w:szCs w:val="24"/>
              </w:rPr>
            </w:pPr>
          </w:p>
        </w:tc>
        <w:tc>
          <w:tcPr>
            <w:tcW w:w="2160" w:type="dxa"/>
          </w:tcPr>
          <w:p w:rsidR="003F7F8B" w:rsidRPr="003F7F8B" w:rsidRDefault="003F7F8B" w:rsidP="005A6B56">
            <w:pPr>
              <w:widowControl w:val="0"/>
              <w:spacing w:line="240" w:lineRule="auto"/>
              <w:rPr>
                <w:rFonts w:ascii="Times New Roman" w:hAnsi="Times New Roman"/>
                <w:snapToGrid w:val="0"/>
                <w:szCs w:val="24"/>
              </w:rPr>
            </w:pPr>
            <w:r w:rsidRPr="003F7F8B">
              <w:rPr>
                <w:rFonts w:ascii="Times New Roman" w:hAnsi="Times New Roman"/>
                <w:snapToGrid w:val="0"/>
                <w:szCs w:val="24"/>
              </w:rPr>
              <w:t xml:space="preserve">Telephone </w:t>
            </w:r>
            <w:r w:rsidR="005A6B56">
              <w:rPr>
                <w:rFonts w:ascii="Times New Roman" w:hAnsi="Times New Roman"/>
                <w:snapToGrid w:val="0"/>
                <w:szCs w:val="24"/>
              </w:rPr>
              <w:t>s</w:t>
            </w:r>
            <w:r w:rsidRPr="003F7F8B">
              <w:rPr>
                <w:rFonts w:ascii="Times New Roman" w:hAnsi="Times New Roman"/>
                <w:snapToGrid w:val="0"/>
                <w:szCs w:val="24"/>
              </w:rPr>
              <w:t xml:space="preserve">cript to </w:t>
            </w:r>
            <w:r w:rsidR="005A6B56">
              <w:rPr>
                <w:rFonts w:ascii="Times New Roman" w:hAnsi="Times New Roman"/>
                <w:snapToGrid w:val="0"/>
                <w:szCs w:val="24"/>
              </w:rPr>
              <w:t>s</w:t>
            </w:r>
            <w:r w:rsidRPr="003F7F8B">
              <w:rPr>
                <w:rFonts w:ascii="Times New Roman" w:hAnsi="Times New Roman"/>
                <w:snapToGrid w:val="0"/>
                <w:szCs w:val="24"/>
              </w:rPr>
              <w:t xml:space="preserve">chedule </w:t>
            </w:r>
            <w:r w:rsidR="005A6B56">
              <w:rPr>
                <w:rFonts w:ascii="Times New Roman" w:hAnsi="Times New Roman"/>
                <w:snapToGrid w:val="0"/>
                <w:szCs w:val="24"/>
              </w:rPr>
              <w:t>s</w:t>
            </w:r>
            <w:r w:rsidRPr="003F7F8B">
              <w:rPr>
                <w:rFonts w:ascii="Times New Roman" w:hAnsi="Times New Roman"/>
                <w:snapToGrid w:val="0"/>
                <w:szCs w:val="24"/>
              </w:rPr>
              <w:t xml:space="preserve">ite </w:t>
            </w:r>
            <w:r w:rsidR="005A6B56">
              <w:rPr>
                <w:rFonts w:ascii="Times New Roman" w:hAnsi="Times New Roman"/>
                <w:snapToGrid w:val="0"/>
                <w:szCs w:val="24"/>
              </w:rPr>
              <w:t>v</w:t>
            </w:r>
            <w:r w:rsidRPr="003F7F8B">
              <w:rPr>
                <w:rFonts w:ascii="Times New Roman" w:hAnsi="Times New Roman"/>
                <w:snapToGrid w:val="0"/>
                <w:szCs w:val="24"/>
              </w:rPr>
              <w:t>isit</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74</w:t>
            </w:r>
          </w:p>
        </w:tc>
        <w:tc>
          <w:tcPr>
            <w:tcW w:w="144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1</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5</w:t>
            </w:r>
          </w:p>
        </w:tc>
        <w:tc>
          <w:tcPr>
            <w:tcW w:w="126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7</w:t>
            </w:r>
          </w:p>
        </w:tc>
      </w:tr>
      <w:tr w:rsidR="003F7F8B" w:rsidRPr="003F7F8B" w:rsidTr="003F7F8B">
        <w:tc>
          <w:tcPr>
            <w:tcW w:w="1530" w:type="dxa"/>
            <w:vMerge/>
          </w:tcPr>
          <w:p w:rsidR="003F7F8B" w:rsidRPr="003F7F8B" w:rsidRDefault="003F7F8B" w:rsidP="003F7F8B">
            <w:pPr>
              <w:widowControl w:val="0"/>
              <w:spacing w:line="240" w:lineRule="auto"/>
              <w:jc w:val="both"/>
              <w:rPr>
                <w:rFonts w:ascii="Times New Roman" w:hAnsi="Times New Roman"/>
                <w:snapToGrid w:val="0"/>
                <w:szCs w:val="24"/>
              </w:rPr>
            </w:pPr>
          </w:p>
        </w:tc>
        <w:tc>
          <w:tcPr>
            <w:tcW w:w="2160" w:type="dxa"/>
          </w:tcPr>
          <w:p w:rsidR="003F7F8B" w:rsidRPr="003F7F8B" w:rsidRDefault="005A6B56" w:rsidP="003F7F8B">
            <w:pPr>
              <w:widowControl w:val="0"/>
              <w:spacing w:line="240" w:lineRule="auto"/>
              <w:rPr>
                <w:rFonts w:ascii="Times New Roman" w:hAnsi="Times New Roman"/>
                <w:snapToGrid w:val="0"/>
                <w:szCs w:val="24"/>
              </w:rPr>
            </w:pPr>
            <w:r w:rsidRPr="003F7F8B">
              <w:rPr>
                <w:rFonts w:ascii="Times New Roman" w:hAnsi="Times New Roman"/>
                <w:snapToGrid w:val="0"/>
                <w:szCs w:val="24"/>
              </w:rPr>
              <w:t>Site visit interview</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6</w:t>
            </w:r>
          </w:p>
        </w:tc>
        <w:tc>
          <w:tcPr>
            <w:tcW w:w="144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1</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90</w:t>
            </w:r>
          </w:p>
        </w:tc>
        <w:tc>
          <w:tcPr>
            <w:tcW w:w="126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9</w:t>
            </w:r>
          </w:p>
        </w:tc>
      </w:tr>
      <w:tr w:rsidR="003F7F8B" w:rsidRPr="003F7F8B" w:rsidTr="003F7F8B">
        <w:tc>
          <w:tcPr>
            <w:tcW w:w="1530" w:type="dxa"/>
            <w:vMerge w:val="restart"/>
          </w:tcPr>
          <w:p w:rsidR="003F7F8B" w:rsidRPr="003F7F8B" w:rsidRDefault="003F7F8B" w:rsidP="003F7F8B">
            <w:pPr>
              <w:spacing w:line="240" w:lineRule="auto"/>
              <w:rPr>
                <w:rFonts w:ascii="Times New Roman" w:hAnsi="Times New Roman"/>
                <w:szCs w:val="24"/>
              </w:rPr>
            </w:pPr>
            <w:r w:rsidRPr="003F7F8B">
              <w:rPr>
                <w:rFonts w:ascii="Times New Roman" w:hAnsi="Times New Roman"/>
                <w:szCs w:val="24"/>
              </w:rPr>
              <w:t>Other key staff</w:t>
            </w:r>
          </w:p>
        </w:tc>
        <w:tc>
          <w:tcPr>
            <w:tcW w:w="2160" w:type="dxa"/>
          </w:tcPr>
          <w:p w:rsidR="003F7F8B" w:rsidRPr="003F7F8B" w:rsidRDefault="003F7F8B" w:rsidP="005A6B56">
            <w:pPr>
              <w:widowControl w:val="0"/>
              <w:spacing w:line="240" w:lineRule="auto"/>
              <w:rPr>
                <w:rFonts w:ascii="Times New Roman" w:hAnsi="Times New Roman"/>
                <w:snapToGrid w:val="0"/>
                <w:szCs w:val="24"/>
              </w:rPr>
            </w:pPr>
            <w:r w:rsidRPr="003F7F8B">
              <w:rPr>
                <w:rFonts w:ascii="Times New Roman" w:hAnsi="Times New Roman"/>
                <w:snapToGrid w:val="0"/>
                <w:szCs w:val="24"/>
              </w:rPr>
              <w:t xml:space="preserve">Telephone </w:t>
            </w:r>
            <w:r w:rsidR="005A6B56">
              <w:rPr>
                <w:rFonts w:ascii="Times New Roman" w:hAnsi="Times New Roman"/>
                <w:snapToGrid w:val="0"/>
                <w:szCs w:val="24"/>
              </w:rPr>
              <w:t>s</w:t>
            </w:r>
            <w:r w:rsidRPr="003F7F8B">
              <w:rPr>
                <w:rFonts w:ascii="Times New Roman" w:hAnsi="Times New Roman"/>
                <w:snapToGrid w:val="0"/>
                <w:szCs w:val="24"/>
              </w:rPr>
              <w:t xml:space="preserve">cript to </w:t>
            </w:r>
            <w:r w:rsidR="005A6B56">
              <w:rPr>
                <w:rFonts w:ascii="Times New Roman" w:hAnsi="Times New Roman"/>
                <w:snapToGrid w:val="0"/>
                <w:szCs w:val="24"/>
              </w:rPr>
              <w:t>s</w:t>
            </w:r>
            <w:r w:rsidRPr="003F7F8B">
              <w:rPr>
                <w:rFonts w:ascii="Times New Roman" w:hAnsi="Times New Roman"/>
                <w:snapToGrid w:val="0"/>
                <w:szCs w:val="24"/>
              </w:rPr>
              <w:t xml:space="preserve">chedule </w:t>
            </w:r>
            <w:r w:rsidR="005A6B56">
              <w:rPr>
                <w:rFonts w:ascii="Times New Roman" w:hAnsi="Times New Roman"/>
                <w:snapToGrid w:val="0"/>
                <w:szCs w:val="24"/>
              </w:rPr>
              <w:t>s</w:t>
            </w:r>
            <w:r w:rsidRPr="003F7F8B">
              <w:rPr>
                <w:rFonts w:ascii="Times New Roman" w:hAnsi="Times New Roman"/>
                <w:snapToGrid w:val="0"/>
                <w:szCs w:val="24"/>
              </w:rPr>
              <w:t xml:space="preserve">ite </w:t>
            </w:r>
            <w:r w:rsidR="005A6B56">
              <w:rPr>
                <w:rFonts w:ascii="Times New Roman" w:hAnsi="Times New Roman"/>
                <w:snapToGrid w:val="0"/>
                <w:szCs w:val="24"/>
              </w:rPr>
              <w:t>v</w:t>
            </w:r>
            <w:r w:rsidRPr="003F7F8B">
              <w:rPr>
                <w:rFonts w:ascii="Times New Roman" w:hAnsi="Times New Roman"/>
                <w:snapToGrid w:val="0"/>
                <w:szCs w:val="24"/>
              </w:rPr>
              <w:t>isit</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90</w:t>
            </w:r>
          </w:p>
        </w:tc>
        <w:tc>
          <w:tcPr>
            <w:tcW w:w="144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1</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5</w:t>
            </w:r>
          </w:p>
        </w:tc>
        <w:tc>
          <w:tcPr>
            <w:tcW w:w="126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8</w:t>
            </w:r>
          </w:p>
        </w:tc>
      </w:tr>
      <w:tr w:rsidR="003F7F8B" w:rsidRPr="003F7F8B" w:rsidTr="00A50F30">
        <w:tc>
          <w:tcPr>
            <w:tcW w:w="1530" w:type="dxa"/>
            <w:vMerge/>
          </w:tcPr>
          <w:p w:rsidR="003F7F8B" w:rsidRPr="003F7F8B" w:rsidRDefault="003F7F8B" w:rsidP="003F7F8B">
            <w:pPr>
              <w:spacing w:line="240" w:lineRule="auto"/>
              <w:rPr>
                <w:rFonts w:ascii="Times New Roman" w:hAnsi="Times New Roman"/>
                <w:szCs w:val="24"/>
              </w:rPr>
            </w:pPr>
          </w:p>
        </w:tc>
        <w:tc>
          <w:tcPr>
            <w:tcW w:w="2160" w:type="dxa"/>
          </w:tcPr>
          <w:p w:rsidR="003F7F8B" w:rsidRPr="003F7F8B" w:rsidRDefault="005A6B56" w:rsidP="003F7F8B">
            <w:pPr>
              <w:widowControl w:val="0"/>
              <w:spacing w:line="240" w:lineRule="auto"/>
              <w:rPr>
                <w:rFonts w:ascii="Times New Roman" w:hAnsi="Times New Roman"/>
                <w:snapToGrid w:val="0"/>
                <w:szCs w:val="24"/>
              </w:rPr>
            </w:pPr>
            <w:r w:rsidRPr="003F7F8B">
              <w:rPr>
                <w:rFonts w:ascii="Times New Roman" w:hAnsi="Times New Roman"/>
                <w:snapToGrid w:val="0"/>
                <w:szCs w:val="24"/>
              </w:rPr>
              <w:t>Site visit interview</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90</w:t>
            </w:r>
          </w:p>
        </w:tc>
        <w:tc>
          <w:tcPr>
            <w:tcW w:w="144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1</w:t>
            </w:r>
          </w:p>
        </w:tc>
        <w:tc>
          <w:tcPr>
            <w:tcW w:w="153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90</w:t>
            </w:r>
          </w:p>
        </w:tc>
        <w:tc>
          <w:tcPr>
            <w:tcW w:w="1260" w:type="dxa"/>
            <w:shd w:val="clear" w:color="auto" w:fill="auto"/>
            <w:vAlign w:val="center"/>
          </w:tcPr>
          <w:p w:rsidR="003F7F8B" w:rsidRPr="003F7F8B" w:rsidRDefault="003F7F8B" w:rsidP="003F7F8B">
            <w:pPr>
              <w:widowControl w:val="0"/>
              <w:tabs>
                <w:tab w:val="decimal" w:pos="732"/>
              </w:tabs>
              <w:spacing w:line="240" w:lineRule="auto"/>
              <w:jc w:val="both"/>
              <w:rPr>
                <w:rFonts w:ascii="Times New Roman" w:hAnsi="Times New Roman"/>
                <w:snapToGrid w:val="0"/>
                <w:szCs w:val="24"/>
              </w:rPr>
            </w:pPr>
            <w:r w:rsidRPr="003F7F8B">
              <w:rPr>
                <w:rFonts w:ascii="Times New Roman" w:hAnsi="Times New Roman"/>
                <w:snapToGrid w:val="0"/>
                <w:szCs w:val="24"/>
              </w:rPr>
              <w:t>135</w:t>
            </w:r>
          </w:p>
        </w:tc>
      </w:tr>
      <w:tr w:rsidR="00A50F30" w:rsidRPr="003F7F8B" w:rsidTr="00A50F30">
        <w:tc>
          <w:tcPr>
            <w:tcW w:w="1530" w:type="dxa"/>
          </w:tcPr>
          <w:p w:rsidR="00A50F30" w:rsidRPr="00A50F30" w:rsidRDefault="00A50F30" w:rsidP="003F7F8B">
            <w:pPr>
              <w:spacing w:line="240" w:lineRule="auto"/>
              <w:rPr>
                <w:rFonts w:ascii="Times New Roman" w:hAnsi="Times New Roman"/>
                <w:b/>
                <w:szCs w:val="24"/>
              </w:rPr>
            </w:pPr>
            <w:r w:rsidRPr="00A50F30">
              <w:rPr>
                <w:rFonts w:ascii="Times New Roman" w:hAnsi="Times New Roman"/>
                <w:b/>
                <w:szCs w:val="24"/>
              </w:rPr>
              <w:lastRenderedPageBreak/>
              <w:t>Total</w:t>
            </w:r>
          </w:p>
        </w:tc>
        <w:tc>
          <w:tcPr>
            <w:tcW w:w="2160" w:type="dxa"/>
            <w:shd w:val="pct20" w:color="auto" w:fill="auto"/>
          </w:tcPr>
          <w:p w:rsidR="00A50F30" w:rsidRPr="003F7F8B" w:rsidRDefault="00A50F30" w:rsidP="003F7F8B">
            <w:pPr>
              <w:widowControl w:val="0"/>
              <w:spacing w:line="240" w:lineRule="auto"/>
              <w:rPr>
                <w:rFonts w:ascii="Times New Roman" w:hAnsi="Times New Roman"/>
                <w:snapToGrid w:val="0"/>
                <w:szCs w:val="24"/>
              </w:rPr>
            </w:pPr>
          </w:p>
        </w:tc>
        <w:tc>
          <w:tcPr>
            <w:tcW w:w="1530" w:type="dxa"/>
            <w:shd w:val="pct20" w:color="auto" w:fill="auto"/>
            <w:vAlign w:val="center"/>
          </w:tcPr>
          <w:p w:rsidR="00A50F30" w:rsidRPr="003F7F8B" w:rsidRDefault="00A50F30" w:rsidP="003F7F8B">
            <w:pPr>
              <w:widowControl w:val="0"/>
              <w:tabs>
                <w:tab w:val="decimal" w:pos="732"/>
              </w:tabs>
              <w:spacing w:line="240" w:lineRule="auto"/>
              <w:jc w:val="both"/>
              <w:rPr>
                <w:rFonts w:ascii="Times New Roman" w:hAnsi="Times New Roman"/>
                <w:snapToGrid w:val="0"/>
                <w:szCs w:val="24"/>
              </w:rPr>
            </w:pPr>
          </w:p>
        </w:tc>
        <w:tc>
          <w:tcPr>
            <w:tcW w:w="1440" w:type="dxa"/>
            <w:tcBorders>
              <w:bottom w:val="single" w:sz="4" w:space="0" w:color="auto"/>
            </w:tcBorders>
            <w:shd w:val="clear" w:color="auto" w:fill="auto"/>
            <w:vAlign w:val="center"/>
          </w:tcPr>
          <w:p w:rsidR="00A50F30" w:rsidRPr="00A50F30" w:rsidRDefault="00A50F30" w:rsidP="003F7F8B">
            <w:pPr>
              <w:widowControl w:val="0"/>
              <w:tabs>
                <w:tab w:val="decimal" w:pos="732"/>
              </w:tabs>
              <w:spacing w:line="240" w:lineRule="auto"/>
              <w:jc w:val="both"/>
              <w:rPr>
                <w:rFonts w:ascii="Times New Roman" w:hAnsi="Times New Roman"/>
                <w:b/>
                <w:snapToGrid w:val="0"/>
                <w:szCs w:val="24"/>
              </w:rPr>
            </w:pPr>
            <w:r w:rsidRPr="00A50F30">
              <w:rPr>
                <w:rFonts w:ascii="Times New Roman" w:hAnsi="Times New Roman"/>
                <w:b/>
                <w:snapToGrid w:val="0"/>
                <w:szCs w:val="24"/>
              </w:rPr>
              <w:t>558</w:t>
            </w:r>
          </w:p>
        </w:tc>
        <w:tc>
          <w:tcPr>
            <w:tcW w:w="1530" w:type="dxa"/>
            <w:tcBorders>
              <w:bottom w:val="single" w:sz="4" w:space="0" w:color="auto"/>
            </w:tcBorders>
            <w:shd w:val="pct20" w:color="auto" w:fill="auto"/>
            <w:vAlign w:val="center"/>
          </w:tcPr>
          <w:p w:rsidR="00A50F30" w:rsidRPr="003F7F8B" w:rsidRDefault="00A50F30" w:rsidP="003F7F8B">
            <w:pPr>
              <w:widowControl w:val="0"/>
              <w:tabs>
                <w:tab w:val="decimal" w:pos="732"/>
              </w:tabs>
              <w:spacing w:line="240" w:lineRule="auto"/>
              <w:jc w:val="both"/>
              <w:rPr>
                <w:rFonts w:ascii="Times New Roman" w:hAnsi="Times New Roman"/>
                <w:snapToGrid w:val="0"/>
                <w:szCs w:val="24"/>
              </w:rPr>
            </w:pPr>
          </w:p>
        </w:tc>
        <w:tc>
          <w:tcPr>
            <w:tcW w:w="1260" w:type="dxa"/>
            <w:shd w:val="clear" w:color="auto" w:fill="auto"/>
            <w:vAlign w:val="center"/>
          </w:tcPr>
          <w:p w:rsidR="00A50F30" w:rsidRPr="00A50F30" w:rsidRDefault="00A50F30" w:rsidP="003F7F8B">
            <w:pPr>
              <w:widowControl w:val="0"/>
              <w:tabs>
                <w:tab w:val="decimal" w:pos="732"/>
              </w:tabs>
              <w:spacing w:line="240" w:lineRule="auto"/>
              <w:jc w:val="both"/>
              <w:rPr>
                <w:rFonts w:ascii="Times New Roman" w:hAnsi="Times New Roman"/>
                <w:b/>
                <w:snapToGrid w:val="0"/>
                <w:szCs w:val="24"/>
              </w:rPr>
            </w:pPr>
            <w:r w:rsidRPr="00A50F30">
              <w:rPr>
                <w:rFonts w:ascii="Times New Roman" w:hAnsi="Times New Roman"/>
                <w:b/>
                <w:snapToGrid w:val="0"/>
                <w:szCs w:val="24"/>
              </w:rPr>
              <w:t>523</w:t>
            </w:r>
          </w:p>
        </w:tc>
      </w:tr>
    </w:tbl>
    <w:p w:rsidR="00A50F30" w:rsidRDefault="00A50F30" w:rsidP="003F7F8B">
      <w:pPr>
        <w:pStyle w:val="L1-FlLSp12"/>
      </w:pPr>
    </w:p>
    <w:p w:rsidR="00A50F30" w:rsidRDefault="00A50F30" w:rsidP="003F7F8B">
      <w:pPr>
        <w:pStyle w:val="L1-FlLSp12"/>
      </w:pPr>
    </w:p>
    <w:p w:rsidR="003F7F8B" w:rsidRPr="003F7F8B" w:rsidRDefault="003F7F8B" w:rsidP="003F7F8B">
      <w:pPr>
        <w:pStyle w:val="L1-FlLSp12"/>
      </w:pPr>
      <w:bookmarkStart w:id="99" w:name="_GoBack"/>
      <w:bookmarkEnd w:id="99"/>
      <w:r w:rsidRPr="003F7F8B">
        <w:t xml:space="preserve">The cost burden to web survey respondents is essentially the time required to read the instructions and complete the survey. The cost burden to participants in the telephone interview is the time to schedule and participate in the interview. The cost burden to the site visit participants is essentially the time to read and sign the Informed Consent </w:t>
      </w:r>
      <w:r w:rsidR="00EA574F">
        <w:t xml:space="preserve">Form </w:t>
      </w:r>
      <w:r w:rsidRPr="003F7F8B">
        <w:t>and to participate in the site visit interview. The total annualized cost to the respondents is estimated to be $19,</w:t>
      </w:r>
      <w:r w:rsidR="00BB1699">
        <w:t>843, calculated at $37.94</w:t>
      </w:r>
      <w:r w:rsidRPr="003F7F8B">
        <w:t xml:space="preserve"> per hour, the hourly rate for a medical scientist (U.S., Department of Labor, </w:t>
      </w:r>
      <w:r w:rsidR="00DC22E5">
        <w:t>Bureau of Labor Statistics, 201</w:t>
      </w:r>
      <w:r w:rsidR="00BB1699">
        <w:t>4</w:t>
      </w:r>
      <w:r w:rsidR="00EB426F">
        <w:rPr>
          <w:rStyle w:val="FootnoteReference"/>
        </w:rPr>
        <w:footnoteReference w:id="4"/>
      </w:r>
      <w:r w:rsidRPr="003F7F8B">
        <w:t>). The costs are summarized in Exhibit A</w:t>
      </w:r>
      <w:r w:rsidR="005A6B56">
        <w:t>.</w:t>
      </w:r>
      <w:r w:rsidRPr="003F7F8B">
        <w:t>12-2.</w:t>
      </w:r>
    </w:p>
    <w:p w:rsidR="003F7F8B" w:rsidRPr="003F7F8B" w:rsidRDefault="003F7F8B" w:rsidP="003F7F8B">
      <w:pPr>
        <w:spacing w:line="360" w:lineRule="auto"/>
        <w:rPr>
          <w:szCs w:val="24"/>
        </w:rPr>
      </w:pPr>
    </w:p>
    <w:p w:rsidR="003F7F8B" w:rsidRDefault="003F7F8B" w:rsidP="001009AE">
      <w:pPr>
        <w:pStyle w:val="TT-TableTitle"/>
      </w:pPr>
      <w:bookmarkStart w:id="100" w:name="_Toc417456676"/>
      <w:bookmarkStart w:id="101" w:name="_Toc417457742"/>
      <w:bookmarkStart w:id="102" w:name="_Toc417471295"/>
      <w:r w:rsidRPr="003F7F8B">
        <w:t>Exhibit A</w:t>
      </w:r>
      <w:r w:rsidR="005A6B56">
        <w:t>.</w:t>
      </w:r>
      <w:r w:rsidRPr="003F7F8B">
        <w:t>12-2.</w:t>
      </w:r>
      <w:r w:rsidRPr="003F7F8B">
        <w:tab/>
        <w:t xml:space="preserve">Estimates </w:t>
      </w:r>
      <w:r w:rsidR="00EA574F">
        <w:t xml:space="preserve">of </w:t>
      </w:r>
      <w:r w:rsidRPr="003F7F8B">
        <w:t>Annualized Cost to Respondents</w:t>
      </w:r>
      <w:bookmarkEnd w:id="100"/>
      <w:bookmarkEnd w:id="101"/>
      <w:bookmarkEnd w:id="102"/>
    </w:p>
    <w:p w:rsidR="00E1241A" w:rsidRPr="003F7F8B" w:rsidRDefault="00E1241A" w:rsidP="001009AE">
      <w:pPr>
        <w:pStyle w:val="TT-TableTitle"/>
      </w:pPr>
    </w:p>
    <w:tbl>
      <w:tblPr>
        <w:tblW w:w="92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440"/>
        <w:gridCol w:w="3341"/>
        <w:gridCol w:w="1500"/>
        <w:gridCol w:w="1500"/>
        <w:gridCol w:w="1500"/>
      </w:tblGrid>
      <w:tr w:rsidR="005A6B56" w:rsidRPr="003F7F8B" w:rsidTr="005A6B56">
        <w:tc>
          <w:tcPr>
            <w:tcW w:w="1440" w:type="dxa"/>
            <w:vAlign w:val="bottom"/>
          </w:tcPr>
          <w:p w:rsidR="005A6B56" w:rsidRPr="003F7F8B" w:rsidRDefault="005A6B56" w:rsidP="005A6B56">
            <w:pPr>
              <w:spacing w:line="240" w:lineRule="auto"/>
              <w:jc w:val="center"/>
              <w:rPr>
                <w:rFonts w:ascii="Times New Roman" w:hAnsi="Times New Roman"/>
                <w:b/>
                <w:szCs w:val="24"/>
              </w:rPr>
            </w:pPr>
            <w:bookmarkStart w:id="103" w:name="A13"/>
            <w:bookmarkStart w:id="104" w:name="_Toc443881756"/>
            <w:bookmarkStart w:id="105" w:name="_Toc451592243"/>
            <w:bookmarkStart w:id="106" w:name="_Toc5610284"/>
            <w:bookmarkStart w:id="107" w:name="_Toc99178790"/>
            <w:r w:rsidRPr="003F7F8B">
              <w:rPr>
                <w:rFonts w:ascii="Times New Roman" w:hAnsi="Times New Roman"/>
                <w:b/>
                <w:szCs w:val="24"/>
              </w:rPr>
              <w:t xml:space="preserve">Type of </w:t>
            </w:r>
            <w:r>
              <w:rPr>
                <w:rFonts w:ascii="Times New Roman" w:hAnsi="Times New Roman"/>
                <w:b/>
                <w:szCs w:val="24"/>
              </w:rPr>
              <w:t>r</w:t>
            </w:r>
            <w:r w:rsidRPr="003F7F8B">
              <w:rPr>
                <w:rFonts w:ascii="Times New Roman" w:hAnsi="Times New Roman"/>
                <w:b/>
                <w:szCs w:val="24"/>
              </w:rPr>
              <w:t>espondent</w:t>
            </w:r>
          </w:p>
        </w:tc>
        <w:tc>
          <w:tcPr>
            <w:tcW w:w="3341" w:type="dxa"/>
            <w:vAlign w:val="bottom"/>
          </w:tcPr>
          <w:p w:rsidR="005A6B56" w:rsidRPr="003F7F8B" w:rsidRDefault="005A6B56" w:rsidP="005A6B56">
            <w:pPr>
              <w:spacing w:line="240" w:lineRule="auto"/>
              <w:jc w:val="center"/>
              <w:rPr>
                <w:rFonts w:ascii="Times New Roman" w:hAnsi="Times New Roman"/>
                <w:b/>
                <w:szCs w:val="24"/>
              </w:rPr>
            </w:pPr>
            <w:r w:rsidRPr="003F7F8B">
              <w:rPr>
                <w:rFonts w:ascii="Times New Roman" w:hAnsi="Times New Roman"/>
                <w:b/>
                <w:szCs w:val="24"/>
              </w:rPr>
              <w:t xml:space="preserve">Data </w:t>
            </w:r>
            <w:r>
              <w:rPr>
                <w:rFonts w:ascii="Times New Roman" w:hAnsi="Times New Roman"/>
                <w:b/>
                <w:szCs w:val="24"/>
              </w:rPr>
              <w:t>c</w:t>
            </w:r>
            <w:r w:rsidRPr="003F7F8B">
              <w:rPr>
                <w:rFonts w:ascii="Times New Roman" w:hAnsi="Times New Roman"/>
                <w:b/>
                <w:szCs w:val="24"/>
              </w:rPr>
              <w:t xml:space="preserve">ollection </w:t>
            </w:r>
            <w:r>
              <w:rPr>
                <w:rFonts w:ascii="Times New Roman" w:hAnsi="Times New Roman"/>
                <w:b/>
                <w:szCs w:val="24"/>
              </w:rPr>
              <w:t>t</w:t>
            </w:r>
            <w:r w:rsidRPr="003F7F8B">
              <w:rPr>
                <w:rFonts w:ascii="Times New Roman" w:hAnsi="Times New Roman"/>
                <w:b/>
                <w:szCs w:val="24"/>
              </w:rPr>
              <w:t>ype</w:t>
            </w:r>
          </w:p>
        </w:tc>
        <w:tc>
          <w:tcPr>
            <w:tcW w:w="1500" w:type="dxa"/>
            <w:shd w:val="clear" w:color="auto" w:fill="auto"/>
            <w:vAlign w:val="bottom"/>
          </w:tcPr>
          <w:p w:rsidR="005A6B56" w:rsidRPr="003F7F8B" w:rsidRDefault="005A6B56" w:rsidP="003F7F8B">
            <w:pPr>
              <w:spacing w:line="240" w:lineRule="auto"/>
              <w:jc w:val="center"/>
              <w:rPr>
                <w:rFonts w:ascii="Times New Roman" w:hAnsi="Times New Roman"/>
                <w:b/>
                <w:szCs w:val="24"/>
              </w:rPr>
            </w:pPr>
            <w:r w:rsidRPr="003F7F8B">
              <w:rPr>
                <w:rFonts w:ascii="Times New Roman" w:hAnsi="Times New Roman"/>
                <w:b/>
                <w:szCs w:val="24"/>
              </w:rPr>
              <w:t>Number of</w:t>
            </w:r>
          </w:p>
          <w:p w:rsidR="005A6B56" w:rsidRPr="003F7F8B" w:rsidRDefault="005A6B56" w:rsidP="003F7F8B">
            <w:pPr>
              <w:widowControl w:val="0"/>
              <w:spacing w:line="240" w:lineRule="auto"/>
              <w:jc w:val="center"/>
              <w:rPr>
                <w:rFonts w:ascii="Times New Roman" w:hAnsi="Times New Roman"/>
                <w:b/>
                <w:snapToGrid w:val="0"/>
                <w:szCs w:val="24"/>
              </w:rPr>
            </w:pPr>
            <w:r>
              <w:rPr>
                <w:rFonts w:ascii="Times New Roman" w:hAnsi="Times New Roman"/>
                <w:b/>
                <w:snapToGrid w:val="0"/>
                <w:szCs w:val="24"/>
              </w:rPr>
              <w:t>r</w:t>
            </w:r>
            <w:r w:rsidRPr="003F7F8B">
              <w:rPr>
                <w:rFonts w:ascii="Times New Roman" w:hAnsi="Times New Roman"/>
                <w:b/>
                <w:snapToGrid w:val="0"/>
                <w:szCs w:val="24"/>
              </w:rPr>
              <w:t>espondents</w:t>
            </w:r>
          </w:p>
        </w:tc>
        <w:tc>
          <w:tcPr>
            <w:tcW w:w="1500" w:type="dxa"/>
            <w:shd w:val="clear" w:color="auto" w:fill="auto"/>
            <w:vAlign w:val="bottom"/>
          </w:tcPr>
          <w:p w:rsidR="005A6B56" w:rsidRPr="003F7F8B" w:rsidRDefault="005A6B56" w:rsidP="005A6B56">
            <w:pPr>
              <w:widowControl w:val="0"/>
              <w:spacing w:line="240" w:lineRule="auto"/>
              <w:jc w:val="center"/>
              <w:rPr>
                <w:rFonts w:ascii="Times New Roman" w:hAnsi="Times New Roman"/>
                <w:b/>
                <w:snapToGrid w:val="0"/>
                <w:szCs w:val="24"/>
              </w:rPr>
            </w:pPr>
            <w:r w:rsidRPr="003F7F8B">
              <w:rPr>
                <w:rFonts w:ascii="Times New Roman" w:hAnsi="Times New Roman"/>
                <w:b/>
                <w:snapToGrid w:val="0"/>
                <w:szCs w:val="24"/>
              </w:rPr>
              <w:t xml:space="preserve">Total </w:t>
            </w:r>
            <w:r w:rsidRPr="003F7F8B">
              <w:rPr>
                <w:rFonts w:ascii="Times New Roman" w:hAnsi="Times New Roman"/>
                <w:b/>
                <w:snapToGrid w:val="0"/>
                <w:szCs w:val="24"/>
              </w:rPr>
              <w:br/>
            </w:r>
            <w:r>
              <w:rPr>
                <w:rFonts w:ascii="Times New Roman" w:hAnsi="Times New Roman"/>
                <w:b/>
                <w:snapToGrid w:val="0"/>
                <w:szCs w:val="24"/>
              </w:rPr>
              <w:t>a</w:t>
            </w:r>
            <w:r w:rsidRPr="003F7F8B">
              <w:rPr>
                <w:rFonts w:ascii="Times New Roman" w:hAnsi="Times New Roman"/>
                <w:b/>
                <w:snapToGrid w:val="0"/>
                <w:szCs w:val="24"/>
              </w:rPr>
              <w:t xml:space="preserve">nnual </w:t>
            </w:r>
            <w:r>
              <w:rPr>
                <w:rFonts w:ascii="Times New Roman" w:hAnsi="Times New Roman"/>
                <w:b/>
                <w:snapToGrid w:val="0"/>
                <w:szCs w:val="24"/>
              </w:rPr>
              <w:t>b</w:t>
            </w:r>
            <w:r w:rsidRPr="003F7F8B">
              <w:rPr>
                <w:rFonts w:ascii="Times New Roman" w:hAnsi="Times New Roman"/>
                <w:b/>
                <w:snapToGrid w:val="0"/>
                <w:szCs w:val="24"/>
              </w:rPr>
              <w:t xml:space="preserve">urden </w:t>
            </w:r>
            <w:r>
              <w:rPr>
                <w:rFonts w:ascii="Times New Roman" w:hAnsi="Times New Roman"/>
                <w:b/>
                <w:snapToGrid w:val="0"/>
                <w:szCs w:val="24"/>
              </w:rPr>
              <w:br/>
              <w:t>h</w:t>
            </w:r>
            <w:r w:rsidRPr="003F7F8B">
              <w:rPr>
                <w:rFonts w:ascii="Times New Roman" w:hAnsi="Times New Roman"/>
                <w:b/>
                <w:snapToGrid w:val="0"/>
                <w:szCs w:val="24"/>
              </w:rPr>
              <w:t>ours</w:t>
            </w:r>
          </w:p>
        </w:tc>
        <w:tc>
          <w:tcPr>
            <w:tcW w:w="1500" w:type="dxa"/>
            <w:shd w:val="clear" w:color="auto" w:fill="auto"/>
            <w:vAlign w:val="bottom"/>
          </w:tcPr>
          <w:p w:rsidR="005A6B56" w:rsidRPr="003F7F8B" w:rsidRDefault="005A6B56" w:rsidP="003F7F8B">
            <w:pPr>
              <w:spacing w:line="240" w:lineRule="auto"/>
              <w:jc w:val="center"/>
              <w:rPr>
                <w:rFonts w:ascii="Times New Roman" w:hAnsi="Times New Roman"/>
                <w:b/>
                <w:szCs w:val="24"/>
              </w:rPr>
            </w:pPr>
            <w:r w:rsidRPr="003F7F8B">
              <w:rPr>
                <w:rFonts w:ascii="Times New Roman" w:hAnsi="Times New Roman"/>
                <w:b/>
                <w:szCs w:val="24"/>
              </w:rPr>
              <w:t xml:space="preserve">Total </w:t>
            </w:r>
            <w:r>
              <w:rPr>
                <w:rFonts w:ascii="Times New Roman" w:hAnsi="Times New Roman"/>
                <w:b/>
                <w:szCs w:val="24"/>
              </w:rPr>
              <w:t>r</w:t>
            </w:r>
            <w:r w:rsidRPr="003F7F8B">
              <w:rPr>
                <w:rFonts w:ascii="Times New Roman" w:hAnsi="Times New Roman"/>
                <w:b/>
                <w:szCs w:val="24"/>
              </w:rPr>
              <w:t>espondent</w:t>
            </w:r>
          </w:p>
          <w:p w:rsidR="005A6B56" w:rsidRPr="003F7F8B" w:rsidRDefault="005A6B56" w:rsidP="003F7F8B">
            <w:pPr>
              <w:spacing w:line="240" w:lineRule="auto"/>
              <w:jc w:val="center"/>
              <w:rPr>
                <w:rFonts w:ascii="Times New Roman" w:hAnsi="Times New Roman"/>
                <w:b/>
                <w:szCs w:val="24"/>
              </w:rPr>
            </w:pPr>
            <w:r>
              <w:rPr>
                <w:rFonts w:ascii="Times New Roman" w:hAnsi="Times New Roman"/>
                <w:b/>
                <w:szCs w:val="24"/>
              </w:rPr>
              <w:t>c</w:t>
            </w:r>
            <w:r w:rsidRPr="003F7F8B">
              <w:rPr>
                <w:rFonts w:ascii="Times New Roman" w:hAnsi="Times New Roman"/>
                <w:b/>
                <w:szCs w:val="24"/>
              </w:rPr>
              <w:t>ost</w:t>
            </w:r>
          </w:p>
        </w:tc>
      </w:tr>
      <w:tr w:rsidR="005A6B56" w:rsidRPr="003F7F8B" w:rsidTr="005A6B56">
        <w:tc>
          <w:tcPr>
            <w:tcW w:w="1440" w:type="dxa"/>
            <w:vMerge w:val="restart"/>
            <w:vAlign w:val="center"/>
          </w:tcPr>
          <w:p w:rsidR="005A6B56" w:rsidRPr="003F7F8B" w:rsidRDefault="005A6B56" w:rsidP="003F7F8B">
            <w:pPr>
              <w:widowControl w:val="0"/>
              <w:spacing w:line="240" w:lineRule="auto"/>
              <w:rPr>
                <w:rFonts w:ascii="Times New Roman" w:hAnsi="Times New Roman"/>
                <w:snapToGrid w:val="0"/>
                <w:szCs w:val="24"/>
              </w:rPr>
            </w:pPr>
            <w:r w:rsidRPr="003F7F8B">
              <w:rPr>
                <w:rFonts w:ascii="Times New Roman" w:hAnsi="Times New Roman"/>
                <w:snapToGrid w:val="0"/>
                <w:szCs w:val="24"/>
              </w:rPr>
              <w:t>PI</w:t>
            </w:r>
          </w:p>
          <w:p w:rsidR="005A6B56" w:rsidRPr="003F7F8B" w:rsidRDefault="005A6B56" w:rsidP="003F7F8B">
            <w:pPr>
              <w:widowControl w:val="0"/>
              <w:spacing w:line="240" w:lineRule="auto"/>
              <w:rPr>
                <w:rFonts w:ascii="Times New Roman" w:hAnsi="Times New Roman"/>
                <w:snapToGrid w:val="0"/>
                <w:szCs w:val="24"/>
              </w:rPr>
            </w:pPr>
          </w:p>
        </w:tc>
        <w:tc>
          <w:tcPr>
            <w:tcW w:w="3341" w:type="dxa"/>
          </w:tcPr>
          <w:p w:rsidR="005A6B56" w:rsidRPr="003F7F8B" w:rsidRDefault="005A6B56" w:rsidP="003F7F8B">
            <w:pPr>
              <w:widowControl w:val="0"/>
              <w:spacing w:line="240" w:lineRule="auto"/>
              <w:jc w:val="both"/>
              <w:rPr>
                <w:rFonts w:ascii="Times New Roman" w:hAnsi="Times New Roman"/>
                <w:snapToGrid w:val="0"/>
                <w:szCs w:val="24"/>
              </w:rPr>
            </w:pPr>
            <w:r w:rsidRPr="003F7F8B">
              <w:rPr>
                <w:rFonts w:ascii="Times New Roman" w:hAnsi="Times New Roman"/>
                <w:snapToGrid w:val="0"/>
                <w:szCs w:val="24"/>
              </w:rPr>
              <w:t>Web survey</w:t>
            </w:r>
          </w:p>
        </w:tc>
        <w:tc>
          <w:tcPr>
            <w:tcW w:w="1500" w:type="dxa"/>
            <w:shd w:val="clear" w:color="auto" w:fill="auto"/>
            <w:vAlign w:val="center"/>
          </w:tcPr>
          <w:p w:rsidR="005A6B56" w:rsidRPr="003F7F8B" w:rsidRDefault="005A6B56" w:rsidP="003F7F8B">
            <w:pPr>
              <w:widowControl w:val="0"/>
              <w:tabs>
                <w:tab w:val="decimal" w:pos="864"/>
              </w:tabs>
              <w:spacing w:line="240" w:lineRule="auto"/>
              <w:jc w:val="both"/>
              <w:rPr>
                <w:rFonts w:ascii="Times New Roman" w:hAnsi="Times New Roman"/>
                <w:snapToGrid w:val="0"/>
                <w:szCs w:val="24"/>
              </w:rPr>
            </w:pPr>
            <w:r w:rsidRPr="003F7F8B">
              <w:rPr>
                <w:rFonts w:ascii="Times New Roman" w:hAnsi="Times New Roman"/>
                <w:snapToGrid w:val="0"/>
                <w:szCs w:val="24"/>
              </w:rPr>
              <w:t>156</w:t>
            </w:r>
          </w:p>
        </w:tc>
        <w:tc>
          <w:tcPr>
            <w:tcW w:w="1500" w:type="dxa"/>
            <w:shd w:val="clear" w:color="auto" w:fill="auto"/>
            <w:vAlign w:val="center"/>
          </w:tcPr>
          <w:p w:rsidR="005A6B56" w:rsidRPr="003F7F8B" w:rsidRDefault="005A6B56" w:rsidP="003F7F8B">
            <w:pPr>
              <w:widowControl w:val="0"/>
              <w:tabs>
                <w:tab w:val="decimal" w:pos="702"/>
              </w:tabs>
              <w:spacing w:line="240" w:lineRule="auto"/>
              <w:jc w:val="both"/>
              <w:rPr>
                <w:rFonts w:ascii="Times New Roman" w:hAnsi="Times New Roman"/>
                <w:snapToGrid w:val="0"/>
                <w:szCs w:val="24"/>
              </w:rPr>
            </w:pPr>
            <w:r w:rsidRPr="003F7F8B">
              <w:rPr>
                <w:rFonts w:ascii="Times New Roman" w:hAnsi="Times New Roman"/>
                <w:snapToGrid w:val="0"/>
                <w:szCs w:val="24"/>
              </w:rPr>
              <w:t>78</w:t>
            </w:r>
          </w:p>
        </w:tc>
        <w:tc>
          <w:tcPr>
            <w:tcW w:w="1500" w:type="dxa"/>
            <w:shd w:val="clear" w:color="auto" w:fill="auto"/>
            <w:vAlign w:val="center"/>
          </w:tcPr>
          <w:p w:rsidR="005A6B56" w:rsidRPr="003F7F8B" w:rsidRDefault="00EB426F" w:rsidP="003F7F8B">
            <w:pPr>
              <w:tabs>
                <w:tab w:val="decimal" w:pos="946"/>
              </w:tabs>
              <w:jc w:val="both"/>
              <w:rPr>
                <w:rFonts w:ascii="Times New Roman" w:hAnsi="Times New Roman"/>
                <w:color w:val="000000"/>
                <w:szCs w:val="24"/>
              </w:rPr>
            </w:pPr>
            <w:r>
              <w:rPr>
                <w:rFonts w:ascii="Times New Roman" w:hAnsi="Times New Roman"/>
                <w:color w:val="000000"/>
                <w:szCs w:val="24"/>
              </w:rPr>
              <w:t>$2,959</w:t>
            </w:r>
          </w:p>
        </w:tc>
      </w:tr>
      <w:tr w:rsidR="005A6B56" w:rsidRPr="003F7F8B" w:rsidTr="005A6B56">
        <w:tc>
          <w:tcPr>
            <w:tcW w:w="1440" w:type="dxa"/>
            <w:vMerge/>
          </w:tcPr>
          <w:p w:rsidR="005A6B56" w:rsidRPr="003F7F8B" w:rsidRDefault="005A6B56" w:rsidP="003F7F8B">
            <w:pPr>
              <w:widowControl w:val="0"/>
              <w:spacing w:line="240" w:lineRule="auto"/>
              <w:jc w:val="both"/>
              <w:rPr>
                <w:rFonts w:ascii="Times New Roman" w:hAnsi="Times New Roman"/>
                <w:snapToGrid w:val="0"/>
                <w:szCs w:val="24"/>
              </w:rPr>
            </w:pPr>
          </w:p>
        </w:tc>
        <w:tc>
          <w:tcPr>
            <w:tcW w:w="3341" w:type="dxa"/>
          </w:tcPr>
          <w:p w:rsidR="005A6B56" w:rsidRPr="003F7F8B" w:rsidRDefault="005A6B56" w:rsidP="005A6B56">
            <w:pPr>
              <w:widowControl w:val="0"/>
              <w:spacing w:line="240" w:lineRule="auto"/>
              <w:rPr>
                <w:rFonts w:ascii="Times New Roman" w:hAnsi="Times New Roman"/>
                <w:snapToGrid w:val="0"/>
                <w:szCs w:val="24"/>
              </w:rPr>
            </w:pPr>
            <w:r w:rsidRPr="003F7F8B">
              <w:rPr>
                <w:rFonts w:ascii="Times New Roman" w:hAnsi="Times New Roman"/>
                <w:snapToGrid w:val="0"/>
                <w:szCs w:val="24"/>
              </w:rPr>
              <w:t xml:space="preserve">Telephone </w:t>
            </w:r>
            <w:r>
              <w:rPr>
                <w:rFonts w:ascii="Times New Roman" w:hAnsi="Times New Roman"/>
                <w:snapToGrid w:val="0"/>
                <w:szCs w:val="24"/>
              </w:rPr>
              <w:t>s</w:t>
            </w:r>
            <w:r w:rsidRPr="003F7F8B">
              <w:rPr>
                <w:rFonts w:ascii="Times New Roman" w:hAnsi="Times New Roman"/>
                <w:snapToGrid w:val="0"/>
                <w:szCs w:val="24"/>
              </w:rPr>
              <w:t xml:space="preserve">cript to </w:t>
            </w:r>
            <w:r>
              <w:rPr>
                <w:rFonts w:ascii="Times New Roman" w:hAnsi="Times New Roman"/>
                <w:snapToGrid w:val="0"/>
                <w:szCs w:val="24"/>
              </w:rPr>
              <w:t>s</w:t>
            </w:r>
            <w:r w:rsidRPr="003F7F8B">
              <w:rPr>
                <w:rFonts w:ascii="Times New Roman" w:hAnsi="Times New Roman"/>
                <w:snapToGrid w:val="0"/>
                <w:szCs w:val="24"/>
              </w:rPr>
              <w:t xml:space="preserve">chedule </w:t>
            </w:r>
            <w:r>
              <w:rPr>
                <w:rFonts w:ascii="Times New Roman" w:hAnsi="Times New Roman"/>
                <w:snapToGrid w:val="0"/>
                <w:szCs w:val="24"/>
              </w:rPr>
              <w:t>i</w:t>
            </w:r>
            <w:r w:rsidRPr="003F7F8B">
              <w:rPr>
                <w:rFonts w:ascii="Times New Roman" w:hAnsi="Times New Roman"/>
                <w:snapToGrid w:val="0"/>
                <w:szCs w:val="24"/>
              </w:rPr>
              <w:t>nterview</w:t>
            </w:r>
          </w:p>
        </w:tc>
        <w:tc>
          <w:tcPr>
            <w:tcW w:w="1500" w:type="dxa"/>
            <w:shd w:val="clear" w:color="auto" w:fill="auto"/>
            <w:vAlign w:val="center"/>
          </w:tcPr>
          <w:p w:rsidR="005A6B56" w:rsidRPr="003F7F8B" w:rsidRDefault="005A6B56" w:rsidP="003F7F8B">
            <w:pPr>
              <w:widowControl w:val="0"/>
              <w:tabs>
                <w:tab w:val="decimal" w:pos="864"/>
              </w:tabs>
              <w:spacing w:line="240" w:lineRule="auto"/>
              <w:jc w:val="both"/>
              <w:rPr>
                <w:rFonts w:ascii="Times New Roman" w:hAnsi="Times New Roman"/>
                <w:snapToGrid w:val="0"/>
                <w:szCs w:val="24"/>
              </w:rPr>
            </w:pPr>
            <w:r w:rsidRPr="003F7F8B">
              <w:rPr>
                <w:rFonts w:ascii="Times New Roman" w:hAnsi="Times New Roman"/>
                <w:snapToGrid w:val="0"/>
                <w:szCs w:val="24"/>
              </w:rPr>
              <w:t>34</w:t>
            </w:r>
          </w:p>
        </w:tc>
        <w:tc>
          <w:tcPr>
            <w:tcW w:w="1500" w:type="dxa"/>
            <w:shd w:val="clear" w:color="auto" w:fill="auto"/>
            <w:vAlign w:val="center"/>
          </w:tcPr>
          <w:p w:rsidR="005A6B56" w:rsidRPr="003F7F8B" w:rsidRDefault="005A6B56" w:rsidP="003F7F8B">
            <w:pPr>
              <w:widowControl w:val="0"/>
              <w:tabs>
                <w:tab w:val="decimal" w:pos="702"/>
              </w:tabs>
              <w:spacing w:line="240" w:lineRule="auto"/>
              <w:jc w:val="both"/>
              <w:rPr>
                <w:rFonts w:ascii="Times New Roman" w:hAnsi="Times New Roman"/>
                <w:snapToGrid w:val="0"/>
                <w:szCs w:val="24"/>
              </w:rPr>
            </w:pPr>
            <w:r w:rsidRPr="003F7F8B">
              <w:rPr>
                <w:rFonts w:ascii="Times New Roman" w:hAnsi="Times New Roman"/>
                <w:snapToGrid w:val="0"/>
                <w:szCs w:val="24"/>
              </w:rPr>
              <w:t>3</w:t>
            </w:r>
          </w:p>
        </w:tc>
        <w:tc>
          <w:tcPr>
            <w:tcW w:w="1500" w:type="dxa"/>
            <w:shd w:val="clear" w:color="auto" w:fill="auto"/>
            <w:vAlign w:val="center"/>
          </w:tcPr>
          <w:p w:rsidR="005A6B56" w:rsidRPr="003F7F8B" w:rsidRDefault="00EB426F" w:rsidP="003F7F8B">
            <w:pPr>
              <w:tabs>
                <w:tab w:val="decimal" w:pos="946"/>
              </w:tabs>
              <w:jc w:val="both"/>
              <w:rPr>
                <w:rFonts w:ascii="Times New Roman" w:hAnsi="Times New Roman"/>
                <w:color w:val="000000"/>
                <w:szCs w:val="24"/>
              </w:rPr>
            </w:pPr>
            <w:r>
              <w:rPr>
                <w:rFonts w:ascii="Times New Roman" w:hAnsi="Times New Roman"/>
                <w:color w:val="000000"/>
                <w:szCs w:val="24"/>
              </w:rPr>
              <w:t>$114</w:t>
            </w:r>
          </w:p>
        </w:tc>
      </w:tr>
      <w:tr w:rsidR="005A6B56" w:rsidRPr="003F7F8B" w:rsidTr="005A6B56">
        <w:tc>
          <w:tcPr>
            <w:tcW w:w="1440" w:type="dxa"/>
            <w:vMerge/>
          </w:tcPr>
          <w:p w:rsidR="005A6B56" w:rsidRPr="003F7F8B" w:rsidRDefault="005A6B56" w:rsidP="003F7F8B">
            <w:pPr>
              <w:widowControl w:val="0"/>
              <w:spacing w:line="240" w:lineRule="auto"/>
              <w:jc w:val="both"/>
              <w:rPr>
                <w:rFonts w:ascii="Times New Roman" w:hAnsi="Times New Roman"/>
                <w:snapToGrid w:val="0"/>
                <w:szCs w:val="24"/>
              </w:rPr>
            </w:pPr>
          </w:p>
        </w:tc>
        <w:tc>
          <w:tcPr>
            <w:tcW w:w="3341" w:type="dxa"/>
          </w:tcPr>
          <w:p w:rsidR="005A6B56" w:rsidRPr="003F7F8B" w:rsidRDefault="005A6B56" w:rsidP="003F7F8B">
            <w:pPr>
              <w:widowControl w:val="0"/>
              <w:spacing w:line="240" w:lineRule="auto"/>
              <w:jc w:val="both"/>
              <w:rPr>
                <w:rFonts w:ascii="Times New Roman" w:hAnsi="Times New Roman"/>
                <w:snapToGrid w:val="0"/>
                <w:szCs w:val="24"/>
              </w:rPr>
            </w:pPr>
            <w:r w:rsidRPr="003F7F8B">
              <w:rPr>
                <w:rFonts w:ascii="Times New Roman" w:hAnsi="Times New Roman"/>
                <w:snapToGrid w:val="0"/>
                <w:szCs w:val="24"/>
              </w:rPr>
              <w:t>Telephone interview</w:t>
            </w:r>
          </w:p>
        </w:tc>
        <w:tc>
          <w:tcPr>
            <w:tcW w:w="1500" w:type="dxa"/>
            <w:shd w:val="clear" w:color="auto" w:fill="auto"/>
            <w:vAlign w:val="center"/>
          </w:tcPr>
          <w:p w:rsidR="005A6B56" w:rsidRPr="003F7F8B" w:rsidRDefault="005A6B56" w:rsidP="003F7F8B">
            <w:pPr>
              <w:widowControl w:val="0"/>
              <w:tabs>
                <w:tab w:val="decimal" w:pos="864"/>
              </w:tabs>
              <w:spacing w:line="240" w:lineRule="auto"/>
              <w:jc w:val="both"/>
              <w:rPr>
                <w:rFonts w:ascii="Times New Roman" w:hAnsi="Times New Roman"/>
                <w:snapToGrid w:val="0"/>
                <w:szCs w:val="24"/>
              </w:rPr>
            </w:pPr>
            <w:r w:rsidRPr="003F7F8B">
              <w:rPr>
                <w:rFonts w:ascii="Times New Roman" w:hAnsi="Times New Roman"/>
                <w:snapToGrid w:val="0"/>
                <w:szCs w:val="24"/>
              </w:rPr>
              <w:t>34</w:t>
            </w:r>
          </w:p>
        </w:tc>
        <w:tc>
          <w:tcPr>
            <w:tcW w:w="1500" w:type="dxa"/>
            <w:shd w:val="clear" w:color="auto" w:fill="auto"/>
            <w:vAlign w:val="center"/>
          </w:tcPr>
          <w:p w:rsidR="005A6B56" w:rsidRPr="003F7F8B" w:rsidRDefault="005A6B56" w:rsidP="003F7F8B">
            <w:pPr>
              <w:widowControl w:val="0"/>
              <w:tabs>
                <w:tab w:val="decimal" w:pos="702"/>
              </w:tabs>
              <w:spacing w:line="240" w:lineRule="auto"/>
              <w:jc w:val="both"/>
              <w:rPr>
                <w:rFonts w:ascii="Times New Roman" w:hAnsi="Times New Roman"/>
                <w:snapToGrid w:val="0"/>
                <w:szCs w:val="24"/>
              </w:rPr>
            </w:pPr>
            <w:r w:rsidRPr="003F7F8B">
              <w:rPr>
                <w:rFonts w:ascii="Times New Roman" w:hAnsi="Times New Roman"/>
                <w:snapToGrid w:val="0"/>
                <w:szCs w:val="24"/>
              </w:rPr>
              <w:t>34</w:t>
            </w:r>
          </w:p>
        </w:tc>
        <w:tc>
          <w:tcPr>
            <w:tcW w:w="1500" w:type="dxa"/>
            <w:shd w:val="clear" w:color="auto" w:fill="auto"/>
            <w:vAlign w:val="center"/>
          </w:tcPr>
          <w:p w:rsidR="005A6B56" w:rsidRPr="003F7F8B" w:rsidRDefault="00EB426F" w:rsidP="003F7F8B">
            <w:pPr>
              <w:tabs>
                <w:tab w:val="decimal" w:pos="946"/>
              </w:tabs>
              <w:jc w:val="both"/>
              <w:rPr>
                <w:rFonts w:ascii="Times New Roman" w:hAnsi="Times New Roman"/>
                <w:color w:val="000000"/>
                <w:szCs w:val="24"/>
              </w:rPr>
            </w:pPr>
            <w:r>
              <w:rPr>
                <w:rFonts w:ascii="Times New Roman" w:hAnsi="Times New Roman"/>
                <w:color w:val="000000"/>
                <w:szCs w:val="24"/>
              </w:rPr>
              <w:t>$1,289</w:t>
            </w:r>
          </w:p>
        </w:tc>
      </w:tr>
      <w:tr w:rsidR="005A6B56" w:rsidRPr="003F7F8B" w:rsidTr="005A6B56">
        <w:tc>
          <w:tcPr>
            <w:tcW w:w="1440" w:type="dxa"/>
            <w:vMerge/>
          </w:tcPr>
          <w:p w:rsidR="005A6B56" w:rsidRPr="003F7F8B" w:rsidRDefault="005A6B56" w:rsidP="003F7F8B">
            <w:pPr>
              <w:widowControl w:val="0"/>
              <w:spacing w:line="240" w:lineRule="auto"/>
              <w:jc w:val="both"/>
              <w:rPr>
                <w:rFonts w:ascii="Times New Roman" w:hAnsi="Times New Roman"/>
                <w:snapToGrid w:val="0"/>
                <w:szCs w:val="24"/>
              </w:rPr>
            </w:pPr>
          </w:p>
        </w:tc>
        <w:tc>
          <w:tcPr>
            <w:tcW w:w="3341" w:type="dxa"/>
          </w:tcPr>
          <w:p w:rsidR="005A6B56" w:rsidRPr="003F7F8B" w:rsidRDefault="005A6B56" w:rsidP="005A6B56">
            <w:pPr>
              <w:widowControl w:val="0"/>
              <w:spacing w:line="240" w:lineRule="auto"/>
              <w:rPr>
                <w:rFonts w:ascii="Times New Roman" w:hAnsi="Times New Roman"/>
                <w:snapToGrid w:val="0"/>
                <w:szCs w:val="24"/>
              </w:rPr>
            </w:pPr>
            <w:r w:rsidRPr="003F7F8B">
              <w:rPr>
                <w:rFonts w:ascii="Times New Roman" w:hAnsi="Times New Roman"/>
                <w:snapToGrid w:val="0"/>
                <w:szCs w:val="24"/>
              </w:rPr>
              <w:t xml:space="preserve">Telephone </w:t>
            </w:r>
            <w:r>
              <w:rPr>
                <w:rFonts w:ascii="Times New Roman" w:hAnsi="Times New Roman"/>
                <w:snapToGrid w:val="0"/>
                <w:szCs w:val="24"/>
              </w:rPr>
              <w:t>s</w:t>
            </w:r>
            <w:r w:rsidRPr="003F7F8B">
              <w:rPr>
                <w:rFonts w:ascii="Times New Roman" w:hAnsi="Times New Roman"/>
                <w:snapToGrid w:val="0"/>
                <w:szCs w:val="24"/>
              </w:rPr>
              <w:t xml:space="preserve">cript to </w:t>
            </w:r>
            <w:r>
              <w:rPr>
                <w:rFonts w:ascii="Times New Roman" w:hAnsi="Times New Roman"/>
                <w:snapToGrid w:val="0"/>
                <w:szCs w:val="24"/>
              </w:rPr>
              <w:t>s</w:t>
            </w:r>
            <w:r w:rsidRPr="003F7F8B">
              <w:rPr>
                <w:rFonts w:ascii="Times New Roman" w:hAnsi="Times New Roman"/>
                <w:snapToGrid w:val="0"/>
                <w:szCs w:val="24"/>
              </w:rPr>
              <w:t xml:space="preserve">chedule </w:t>
            </w:r>
            <w:r>
              <w:rPr>
                <w:rFonts w:ascii="Times New Roman" w:hAnsi="Times New Roman"/>
                <w:snapToGrid w:val="0"/>
                <w:szCs w:val="24"/>
              </w:rPr>
              <w:t>s</w:t>
            </w:r>
            <w:r w:rsidRPr="003F7F8B">
              <w:rPr>
                <w:rFonts w:ascii="Times New Roman" w:hAnsi="Times New Roman"/>
                <w:snapToGrid w:val="0"/>
                <w:szCs w:val="24"/>
              </w:rPr>
              <w:t xml:space="preserve">ite </w:t>
            </w:r>
            <w:r>
              <w:rPr>
                <w:rFonts w:ascii="Times New Roman" w:hAnsi="Times New Roman"/>
                <w:snapToGrid w:val="0"/>
                <w:szCs w:val="24"/>
              </w:rPr>
              <w:t>v</w:t>
            </w:r>
            <w:r w:rsidRPr="003F7F8B">
              <w:rPr>
                <w:rFonts w:ascii="Times New Roman" w:hAnsi="Times New Roman"/>
                <w:snapToGrid w:val="0"/>
                <w:szCs w:val="24"/>
              </w:rPr>
              <w:t>isit</w:t>
            </w:r>
          </w:p>
        </w:tc>
        <w:tc>
          <w:tcPr>
            <w:tcW w:w="1500" w:type="dxa"/>
            <w:shd w:val="clear" w:color="auto" w:fill="auto"/>
            <w:vAlign w:val="center"/>
          </w:tcPr>
          <w:p w:rsidR="005A6B56" w:rsidRPr="003F7F8B" w:rsidRDefault="005A6B56" w:rsidP="003F7F8B">
            <w:pPr>
              <w:widowControl w:val="0"/>
              <w:tabs>
                <w:tab w:val="decimal" w:pos="864"/>
              </w:tabs>
              <w:spacing w:line="240" w:lineRule="auto"/>
              <w:jc w:val="both"/>
              <w:rPr>
                <w:rFonts w:ascii="Times New Roman" w:hAnsi="Times New Roman"/>
                <w:snapToGrid w:val="0"/>
                <w:szCs w:val="24"/>
              </w:rPr>
            </w:pPr>
            <w:r w:rsidRPr="003F7F8B">
              <w:rPr>
                <w:rFonts w:ascii="Times New Roman" w:hAnsi="Times New Roman"/>
                <w:snapToGrid w:val="0"/>
                <w:szCs w:val="24"/>
              </w:rPr>
              <w:t>34</w:t>
            </w:r>
          </w:p>
        </w:tc>
        <w:tc>
          <w:tcPr>
            <w:tcW w:w="1500" w:type="dxa"/>
            <w:shd w:val="clear" w:color="auto" w:fill="auto"/>
            <w:vAlign w:val="center"/>
          </w:tcPr>
          <w:p w:rsidR="005A6B56" w:rsidRPr="003F7F8B" w:rsidRDefault="005A6B56" w:rsidP="003F7F8B">
            <w:pPr>
              <w:widowControl w:val="0"/>
              <w:tabs>
                <w:tab w:val="decimal" w:pos="702"/>
              </w:tabs>
              <w:spacing w:line="240" w:lineRule="auto"/>
              <w:jc w:val="both"/>
              <w:rPr>
                <w:rFonts w:ascii="Times New Roman" w:hAnsi="Times New Roman"/>
                <w:snapToGrid w:val="0"/>
                <w:szCs w:val="24"/>
              </w:rPr>
            </w:pPr>
            <w:r w:rsidRPr="003F7F8B">
              <w:rPr>
                <w:rFonts w:ascii="Times New Roman" w:hAnsi="Times New Roman"/>
                <w:snapToGrid w:val="0"/>
                <w:szCs w:val="24"/>
              </w:rPr>
              <w:t>3</w:t>
            </w:r>
          </w:p>
        </w:tc>
        <w:tc>
          <w:tcPr>
            <w:tcW w:w="1500" w:type="dxa"/>
            <w:shd w:val="clear" w:color="auto" w:fill="auto"/>
            <w:vAlign w:val="center"/>
          </w:tcPr>
          <w:p w:rsidR="005A6B56" w:rsidRPr="003F7F8B" w:rsidRDefault="00EB426F" w:rsidP="003F7F8B">
            <w:pPr>
              <w:tabs>
                <w:tab w:val="decimal" w:pos="946"/>
              </w:tabs>
              <w:jc w:val="both"/>
              <w:rPr>
                <w:rFonts w:ascii="Times New Roman" w:hAnsi="Times New Roman"/>
                <w:color w:val="000000"/>
                <w:szCs w:val="24"/>
              </w:rPr>
            </w:pPr>
            <w:r>
              <w:rPr>
                <w:rFonts w:ascii="Times New Roman" w:hAnsi="Times New Roman"/>
                <w:color w:val="000000"/>
                <w:szCs w:val="24"/>
              </w:rPr>
              <w:t>$114</w:t>
            </w:r>
          </w:p>
        </w:tc>
      </w:tr>
      <w:tr w:rsidR="005A6B56" w:rsidRPr="003F7F8B" w:rsidTr="005A6B56">
        <w:tc>
          <w:tcPr>
            <w:tcW w:w="1440" w:type="dxa"/>
            <w:vMerge/>
          </w:tcPr>
          <w:p w:rsidR="005A6B56" w:rsidRPr="003F7F8B" w:rsidRDefault="005A6B56" w:rsidP="003F7F8B">
            <w:pPr>
              <w:widowControl w:val="0"/>
              <w:spacing w:line="240" w:lineRule="auto"/>
              <w:jc w:val="both"/>
              <w:rPr>
                <w:rFonts w:ascii="Times New Roman" w:hAnsi="Times New Roman"/>
                <w:snapToGrid w:val="0"/>
                <w:szCs w:val="24"/>
              </w:rPr>
            </w:pPr>
          </w:p>
        </w:tc>
        <w:tc>
          <w:tcPr>
            <w:tcW w:w="3341" w:type="dxa"/>
          </w:tcPr>
          <w:p w:rsidR="005A6B56" w:rsidRPr="003F7F8B" w:rsidRDefault="005A6B56" w:rsidP="003F7F8B">
            <w:pPr>
              <w:widowControl w:val="0"/>
              <w:spacing w:line="240" w:lineRule="auto"/>
              <w:rPr>
                <w:rFonts w:ascii="Times New Roman" w:hAnsi="Times New Roman"/>
                <w:snapToGrid w:val="0"/>
                <w:szCs w:val="24"/>
              </w:rPr>
            </w:pPr>
            <w:r w:rsidRPr="003F7F8B">
              <w:rPr>
                <w:rFonts w:ascii="Times New Roman" w:hAnsi="Times New Roman"/>
                <w:snapToGrid w:val="0"/>
                <w:szCs w:val="24"/>
              </w:rPr>
              <w:t>Site visit interview</w:t>
            </w:r>
          </w:p>
        </w:tc>
        <w:tc>
          <w:tcPr>
            <w:tcW w:w="1500" w:type="dxa"/>
            <w:shd w:val="clear" w:color="auto" w:fill="auto"/>
            <w:vAlign w:val="center"/>
          </w:tcPr>
          <w:p w:rsidR="005A6B56" w:rsidRPr="003F7F8B" w:rsidRDefault="005A6B56" w:rsidP="003F7F8B">
            <w:pPr>
              <w:widowControl w:val="0"/>
              <w:tabs>
                <w:tab w:val="decimal" w:pos="864"/>
              </w:tabs>
              <w:spacing w:line="240" w:lineRule="auto"/>
              <w:jc w:val="both"/>
              <w:rPr>
                <w:rFonts w:ascii="Times New Roman" w:hAnsi="Times New Roman"/>
                <w:snapToGrid w:val="0"/>
                <w:szCs w:val="24"/>
              </w:rPr>
            </w:pPr>
            <w:r w:rsidRPr="003F7F8B">
              <w:rPr>
                <w:rFonts w:ascii="Times New Roman" w:hAnsi="Times New Roman"/>
                <w:snapToGrid w:val="0"/>
                <w:szCs w:val="24"/>
              </w:rPr>
              <w:t>6</w:t>
            </w:r>
          </w:p>
        </w:tc>
        <w:tc>
          <w:tcPr>
            <w:tcW w:w="1500" w:type="dxa"/>
            <w:shd w:val="clear" w:color="auto" w:fill="auto"/>
            <w:vAlign w:val="center"/>
          </w:tcPr>
          <w:p w:rsidR="005A6B56" w:rsidRPr="003F7F8B" w:rsidRDefault="005A6B56" w:rsidP="003F7F8B">
            <w:pPr>
              <w:widowControl w:val="0"/>
              <w:tabs>
                <w:tab w:val="decimal" w:pos="702"/>
              </w:tabs>
              <w:spacing w:line="240" w:lineRule="auto"/>
              <w:jc w:val="both"/>
              <w:rPr>
                <w:rFonts w:ascii="Times New Roman" w:hAnsi="Times New Roman"/>
                <w:snapToGrid w:val="0"/>
                <w:szCs w:val="24"/>
              </w:rPr>
            </w:pPr>
            <w:r w:rsidRPr="003F7F8B">
              <w:rPr>
                <w:rFonts w:ascii="Times New Roman" w:hAnsi="Times New Roman"/>
                <w:snapToGrid w:val="0"/>
                <w:szCs w:val="24"/>
              </w:rPr>
              <w:t>9</w:t>
            </w:r>
          </w:p>
        </w:tc>
        <w:tc>
          <w:tcPr>
            <w:tcW w:w="1500" w:type="dxa"/>
            <w:shd w:val="clear" w:color="auto" w:fill="auto"/>
            <w:vAlign w:val="center"/>
          </w:tcPr>
          <w:p w:rsidR="005A6B56" w:rsidRPr="003F7F8B" w:rsidRDefault="00EB426F" w:rsidP="003F7F8B">
            <w:pPr>
              <w:tabs>
                <w:tab w:val="decimal" w:pos="946"/>
              </w:tabs>
              <w:jc w:val="both"/>
              <w:rPr>
                <w:rFonts w:ascii="Times New Roman" w:hAnsi="Times New Roman"/>
                <w:color w:val="000000"/>
                <w:szCs w:val="24"/>
              </w:rPr>
            </w:pPr>
            <w:r>
              <w:rPr>
                <w:rFonts w:ascii="Times New Roman" w:hAnsi="Times New Roman"/>
                <w:color w:val="000000"/>
                <w:szCs w:val="24"/>
              </w:rPr>
              <w:t>$341</w:t>
            </w:r>
          </w:p>
        </w:tc>
      </w:tr>
      <w:tr w:rsidR="005A6B56" w:rsidRPr="003F7F8B" w:rsidTr="005A6B56">
        <w:tc>
          <w:tcPr>
            <w:tcW w:w="1440" w:type="dxa"/>
            <w:vMerge w:val="restart"/>
            <w:vAlign w:val="center"/>
          </w:tcPr>
          <w:p w:rsidR="005A6B56" w:rsidRPr="003F7F8B" w:rsidRDefault="005A6B56" w:rsidP="003F7F8B">
            <w:pPr>
              <w:widowControl w:val="0"/>
              <w:spacing w:line="240" w:lineRule="auto"/>
              <w:rPr>
                <w:rFonts w:ascii="Times New Roman" w:hAnsi="Times New Roman"/>
                <w:snapToGrid w:val="0"/>
                <w:szCs w:val="24"/>
              </w:rPr>
            </w:pPr>
            <w:r w:rsidRPr="003F7F8B">
              <w:rPr>
                <w:rFonts w:ascii="Times New Roman" w:hAnsi="Times New Roman"/>
                <w:snapToGrid w:val="0"/>
                <w:szCs w:val="24"/>
              </w:rPr>
              <w:t>Project partner</w:t>
            </w:r>
          </w:p>
          <w:p w:rsidR="005A6B56" w:rsidRPr="003F7F8B" w:rsidRDefault="005A6B56" w:rsidP="003F7F8B">
            <w:pPr>
              <w:widowControl w:val="0"/>
              <w:spacing w:line="240" w:lineRule="auto"/>
              <w:rPr>
                <w:rFonts w:ascii="Times New Roman" w:hAnsi="Times New Roman"/>
                <w:snapToGrid w:val="0"/>
                <w:szCs w:val="24"/>
              </w:rPr>
            </w:pPr>
          </w:p>
        </w:tc>
        <w:tc>
          <w:tcPr>
            <w:tcW w:w="3341" w:type="dxa"/>
          </w:tcPr>
          <w:p w:rsidR="005A6B56" w:rsidRPr="003F7F8B" w:rsidRDefault="005A6B56" w:rsidP="003F7F8B">
            <w:pPr>
              <w:widowControl w:val="0"/>
              <w:spacing w:line="240" w:lineRule="auto"/>
              <w:jc w:val="both"/>
              <w:rPr>
                <w:rFonts w:ascii="Times New Roman" w:hAnsi="Times New Roman"/>
                <w:snapToGrid w:val="0"/>
                <w:szCs w:val="24"/>
              </w:rPr>
            </w:pPr>
            <w:r w:rsidRPr="003F7F8B">
              <w:rPr>
                <w:rFonts w:ascii="Times New Roman" w:hAnsi="Times New Roman"/>
                <w:snapToGrid w:val="0"/>
                <w:szCs w:val="24"/>
              </w:rPr>
              <w:t>Web survey</w:t>
            </w:r>
          </w:p>
        </w:tc>
        <w:tc>
          <w:tcPr>
            <w:tcW w:w="1500" w:type="dxa"/>
            <w:shd w:val="clear" w:color="auto" w:fill="auto"/>
            <w:vAlign w:val="center"/>
          </w:tcPr>
          <w:p w:rsidR="005A6B56" w:rsidRPr="003F7F8B" w:rsidRDefault="005A6B56" w:rsidP="003F7F8B">
            <w:pPr>
              <w:widowControl w:val="0"/>
              <w:tabs>
                <w:tab w:val="decimal" w:pos="864"/>
              </w:tabs>
              <w:spacing w:line="240" w:lineRule="auto"/>
              <w:jc w:val="both"/>
              <w:rPr>
                <w:rFonts w:ascii="Times New Roman" w:hAnsi="Times New Roman"/>
                <w:snapToGrid w:val="0"/>
                <w:szCs w:val="24"/>
              </w:rPr>
            </w:pPr>
            <w:r w:rsidRPr="003F7F8B">
              <w:rPr>
                <w:rFonts w:ascii="Times New Roman" w:hAnsi="Times New Roman"/>
                <w:snapToGrid w:val="0"/>
                <w:szCs w:val="24"/>
              </w:rPr>
              <w:t>312</w:t>
            </w:r>
          </w:p>
        </w:tc>
        <w:tc>
          <w:tcPr>
            <w:tcW w:w="1500" w:type="dxa"/>
            <w:shd w:val="clear" w:color="auto" w:fill="auto"/>
            <w:vAlign w:val="center"/>
          </w:tcPr>
          <w:p w:rsidR="005A6B56" w:rsidRPr="003F7F8B" w:rsidRDefault="005A6B56" w:rsidP="003F7F8B">
            <w:pPr>
              <w:widowControl w:val="0"/>
              <w:tabs>
                <w:tab w:val="decimal" w:pos="702"/>
              </w:tabs>
              <w:spacing w:line="240" w:lineRule="auto"/>
              <w:jc w:val="both"/>
              <w:rPr>
                <w:rFonts w:ascii="Times New Roman" w:hAnsi="Times New Roman"/>
                <w:snapToGrid w:val="0"/>
                <w:szCs w:val="24"/>
              </w:rPr>
            </w:pPr>
            <w:r w:rsidRPr="003F7F8B">
              <w:rPr>
                <w:rFonts w:ascii="Times New Roman" w:hAnsi="Times New Roman"/>
                <w:snapToGrid w:val="0"/>
                <w:szCs w:val="24"/>
              </w:rPr>
              <w:t>156</w:t>
            </w:r>
          </w:p>
        </w:tc>
        <w:tc>
          <w:tcPr>
            <w:tcW w:w="1500" w:type="dxa"/>
            <w:shd w:val="clear" w:color="auto" w:fill="auto"/>
            <w:vAlign w:val="center"/>
          </w:tcPr>
          <w:p w:rsidR="005A6B56" w:rsidRPr="003F7F8B" w:rsidRDefault="00EB426F" w:rsidP="003F7F8B">
            <w:pPr>
              <w:tabs>
                <w:tab w:val="decimal" w:pos="946"/>
              </w:tabs>
              <w:jc w:val="both"/>
              <w:rPr>
                <w:rFonts w:ascii="Times New Roman" w:hAnsi="Times New Roman"/>
                <w:color w:val="000000"/>
                <w:szCs w:val="24"/>
              </w:rPr>
            </w:pPr>
            <w:r>
              <w:rPr>
                <w:rFonts w:ascii="Times New Roman" w:hAnsi="Times New Roman"/>
                <w:color w:val="000000"/>
                <w:szCs w:val="24"/>
              </w:rPr>
              <w:t>$5,919</w:t>
            </w:r>
          </w:p>
        </w:tc>
      </w:tr>
      <w:tr w:rsidR="005A6B56" w:rsidRPr="003F7F8B" w:rsidTr="005A6B56">
        <w:tc>
          <w:tcPr>
            <w:tcW w:w="1440" w:type="dxa"/>
            <w:vMerge/>
          </w:tcPr>
          <w:p w:rsidR="005A6B56" w:rsidRPr="003F7F8B" w:rsidRDefault="005A6B56" w:rsidP="003F7F8B">
            <w:pPr>
              <w:widowControl w:val="0"/>
              <w:spacing w:line="240" w:lineRule="auto"/>
              <w:jc w:val="both"/>
              <w:rPr>
                <w:rFonts w:ascii="Times New Roman" w:hAnsi="Times New Roman"/>
                <w:snapToGrid w:val="0"/>
                <w:szCs w:val="24"/>
              </w:rPr>
            </w:pPr>
          </w:p>
        </w:tc>
        <w:tc>
          <w:tcPr>
            <w:tcW w:w="3341" w:type="dxa"/>
          </w:tcPr>
          <w:p w:rsidR="005A6B56" w:rsidRPr="003F7F8B" w:rsidRDefault="005A6B56" w:rsidP="005A6B56">
            <w:pPr>
              <w:widowControl w:val="0"/>
              <w:spacing w:line="240" w:lineRule="auto"/>
              <w:rPr>
                <w:rFonts w:ascii="Times New Roman" w:hAnsi="Times New Roman"/>
                <w:snapToGrid w:val="0"/>
                <w:szCs w:val="24"/>
              </w:rPr>
            </w:pPr>
            <w:r w:rsidRPr="003F7F8B">
              <w:rPr>
                <w:rFonts w:ascii="Times New Roman" w:hAnsi="Times New Roman"/>
                <w:snapToGrid w:val="0"/>
                <w:szCs w:val="24"/>
              </w:rPr>
              <w:t xml:space="preserve">Telephone </w:t>
            </w:r>
            <w:r>
              <w:rPr>
                <w:rFonts w:ascii="Times New Roman" w:hAnsi="Times New Roman"/>
                <w:snapToGrid w:val="0"/>
                <w:szCs w:val="24"/>
              </w:rPr>
              <w:t>s</w:t>
            </w:r>
            <w:r w:rsidRPr="003F7F8B">
              <w:rPr>
                <w:rFonts w:ascii="Times New Roman" w:hAnsi="Times New Roman"/>
                <w:snapToGrid w:val="0"/>
                <w:szCs w:val="24"/>
              </w:rPr>
              <w:t xml:space="preserve">cript to </w:t>
            </w:r>
            <w:r>
              <w:rPr>
                <w:rFonts w:ascii="Times New Roman" w:hAnsi="Times New Roman"/>
                <w:snapToGrid w:val="0"/>
                <w:szCs w:val="24"/>
              </w:rPr>
              <w:t>s</w:t>
            </w:r>
            <w:r w:rsidRPr="003F7F8B">
              <w:rPr>
                <w:rFonts w:ascii="Times New Roman" w:hAnsi="Times New Roman"/>
                <w:snapToGrid w:val="0"/>
                <w:szCs w:val="24"/>
              </w:rPr>
              <w:t xml:space="preserve">chedule </w:t>
            </w:r>
            <w:r>
              <w:rPr>
                <w:rFonts w:ascii="Times New Roman" w:hAnsi="Times New Roman"/>
                <w:snapToGrid w:val="0"/>
                <w:szCs w:val="24"/>
              </w:rPr>
              <w:t>i</w:t>
            </w:r>
            <w:r w:rsidRPr="003F7F8B">
              <w:rPr>
                <w:rFonts w:ascii="Times New Roman" w:hAnsi="Times New Roman"/>
                <w:snapToGrid w:val="0"/>
                <w:szCs w:val="24"/>
              </w:rPr>
              <w:t>nterview</w:t>
            </w:r>
          </w:p>
        </w:tc>
        <w:tc>
          <w:tcPr>
            <w:tcW w:w="1500" w:type="dxa"/>
            <w:shd w:val="clear" w:color="auto" w:fill="auto"/>
            <w:vAlign w:val="center"/>
          </w:tcPr>
          <w:p w:rsidR="005A6B56" w:rsidRPr="003F7F8B" w:rsidRDefault="005A6B56" w:rsidP="003F7F8B">
            <w:pPr>
              <w:widowControl w:val="0"/>
              <w:tabs>
                <w:tab w:val="decimal" w:pos="864"/>
              </w:tabs>
              <w:spacing w:line="240" w:lineRule="auto"/>
              <w:jc w:val="both"/>
              <w:rPr>
                <w:rFonts w:ascii="Times New Roman" w:hAnsi="Times New Roman"/>
                <w:snapToGrid w:val="0"/>
                <w:szCs w:val="24"/>
              </w:rPr>
            </w:pPr>
            <w:r w:rsidRPr="003F7F8B">
              <w:rPr>
                <w:rFonts w:ascii="Times New Roman" w:hAnsi="Times New Roman"/>
                <w:snapToGrid w:val="0"/>
                <w:szCs w:val="24"/>
              </w:rPr>
              <w:t>74</w:t>
            </w:r>
          </w:p>
        </w:tc>
        <w:tc>
          <w:tcPr>
            <w:tcW w:w="1500" w:type="dxa"/>
            <w:shd w:val="clear" w:color="auto" w:fill="auto"/>
            <w:vAlign w:val="center"/>
          </w:tcPr>
          <w:p w:rsidR="005A6B56" w:rsidRPr="003F7F8B" w:rsidRDefault="005A6B56" w:rsidP="003F7F8B">
            <w:pPr>
              <w:widowControl w:val="0"/>
              <w:tabs>
                <w:tab w:val="decimal" w:pos="702"/>
              </w:tabs>
              <w:spacing w:line="240" w:lineRule="auto"/>
              <w:jc w:val="both"/>
              <w:rPr>
                <w:rFonts w:ascii="Times New Roman" w:hAnsi="Times New Roman"/>
                <w:snapToGrid w:val="0"/>
                <w:szCs w:val="24"/>
              </w:rPr>
            </w:pPr>
            <w:r w:rsidRPr="003F7F8B">
              <w:rPr>
                <w:rFonts w:ascii="Times New Roman" w:hAnsi="Times New Roman"/>
                <w:snapToGrid w:val="0"/>
                <w:szCs w:val="24"/>
              </w:rPr>
              <w:t>7</w:t>
            </w:r>
          </w:p>
        </w:tc>
        <w:tc>
          <w:tcPr>
            <w:tcW w:w="1500" w:type="dxa"/>
            <w:shd w:val="clear" w:color="auto" w:fill="auto"/>
            <w:vAlign w:val="center"/>
          </w:tcPr>
          <w:p w:rsidR="005A6B56" w:rsidRPr="003F7F8B" w:rsidRDefault="00EB426F" w:rsidP="003F7F8B">
            <w:pPr>
              <w:tabs>
                <w:tab w:val="decimal" w:pos="946"/>
              </w:tabs>
              <w:jc w:val="both"/>
              <w:rPr>
                <w:rFonts w:ascii="Times New Roman" w:hAnsi="Times New Roman"/>
                <w:color w:val="000000"/>
                <w:szCs w:val="24"/>
              </w:rPr>
            </w:pPr>
            <w:r>
              <w:rPr>
                <w:rFonts w:ascii="Times New Roman" w:hAnsi="Times New Roman"/>
                <w:color w:val="000000"/>
                <w:szCs w:val="24"/>
              </w:rPr>
              <w:t>$266</w:t>
            </w:r>
          </w:p>
        </w:tc>
      </w:tr>
      <w:tr w:rsidR="005A6B56" w:rsidRPr="003F7F8B" w:rsidTr="005A6B56">
        <w:tc>
          <w:tcPr>
            <w:tcW w:w="1440" w:type="dxa"/>
            <w:vMerge/>
          </w:tcPr>
          <w:p w:rsidR="005A6B56" w:rsidRPr="003F7F8B" w:rsidRDefault="005A6B56" w:rsidP="003F7F8B">
            <w:pPr>
              <w:widowControl w:val="0"/>
              <w:spacing w:line="240" w:lineRule="auto"/>
              <w:jc w:val="both"/>
              <w:rPr>
                <w:rFonts w:ascii="Times New Roman" w:hAnsi="Times New Roman"/>
                <w:snapToGrid w:val="0"/>
                <w:szCs w:val="24"/>
              </w:rPr>
            </w:pPr>
          </w:p>
        </w:tc>
        <w:tc>
          <w:tcPr>
            <w:tcW w:w="3341" w:type="dxa"/>
          </w:tcPr>
          <w:p w:rsidR="005A6B56" w:rsidRPr="003F7F8B" w:rsidRDefault="005A6B56" w:rsidP="003F7F8B">
            <w:pPr>
              <w:widowControl w:val="0"/>
              <w:spacing w:line="240" w:lineRule="auto"/>
              <w:jc w:val="both"/>
              <w:rPr>
                <w:rFonts w:ascii="Times New Roman" w:hAnsi="Times New Roman"/>
                <w:snapToGrid w:val="0"/>
                <w:szCs w:val="24"/>
              </w:rPr>
            </w:pPr>
            <w:r w:rsidRPr="003F7F8B">
              <w:rPr>
                <w:rFonts w:ascii="Times New Roman" w:hAnsi="Times New Roman"/>
                <w:snapToGrid w:val="0"/>
                <w:szCs w:val="24"/>
              </w:rPr>
              <w:t>Telephone interview</w:t>
            </w:r>
          </w:p>
        </w:tc>
        <w:tc>
          <w:tcPr>
            <w:tcW w:w="1500" w:type="dxa"/>
            <w:shd w:val="clear" w:color="auto" w:fill="auto"/>
            <w:vAlign w:val="center"/>
          </w:tcPr>
          <w:p w:rsidR="005A6B56" w:rsidRPr="003F7F8B" w:rsidRDefault="005A6B56" w:rsidP="003F7F8B">
            <w:pPr>
              <w:widowControl w:val="0"/>
              <w:tabs>
                <w:tab w:val="decimal" w:pos="864"/>
              </w:tabs>
              <w:spacing w:line="240" w:lineRule="auto"/>
              <w:jc w:val="both"/>
              <w:rPr>
                <w:rFonts w:ascii="Times New Roman" w:hAnsi="Times New Roman"/>
                <w:snapToGrid w:val="0"/>
                <w:szCs w:val="24"/>
              </w:rPr>
            </w:pPr>
            <w:r w:rsidRPr="003F7F8B">
              <w:rPr>
                <w:rFonts w:ascii="Times New Roman" w:hAnsi="Times New Roman"/>
                <w:snapToGrid w:val="0"/>
                <w:szCs w:val="24"/>
              </w:rPr>
              <w:t>74</w:t>
            </w:r>
          </w:p>
        </w:tc>
        <w:tc>
          <w:tcPr>
            <w:tcW w:w="1500" w:type="dxa"/>
            <w:shd w:val="clear" w:color="auto" w:fill="auto"/>
            <w:vAlign w:val="center"/>
          </w:tcPr>
          <w:p w:rsidR="005A6B56" w:rsidRPr="003F7F8B" w:rsidRDefault="005A6B56" w:rsidP="003F7F8B">
            <w:pPr>
              <w:widowControl w:val="0"/>
              <w:tabs>
                <w:tab w:val="decimal" w:pos="702"/>
              </w:tabs>
              <w:spacing w:line="240" w:lineRule="auto"/>
              <w:jc w:val="both"/>
              <w:rPr>
                <w:rFonts w:ascii="Times New Roman" w:hAnsi="Times New Roman"/>
                <w:snapToGrid w:val="0"/>
                <w:szCs w:val="24"/>
              </w:rPr>
            </w:pPr>
            <w:r w:rsidRPr="003F7F8B">
              <w:rPr>
                <w:rFonts w:ascii="Times New Roman" w:hAnsi="Times New Roman"/>
                <w:snapToGrid w:val="0"/>
                <w:szCs w:val="24"/>
              </w:rPr>
              <w:t>74</w:t>
            </w:r>
          </w:p>
        </w:tc>
        <w:tc>
          <w:tcPr>
            <w:tcW w:w="1500" w:type="dxa"/>
            <w:shd w:val="clear" w:color="auto" w:fill="auto"/>
            <w:vAlign w:val="center"/>
          </w:tcPr>
          <w:p w:rsidR="005A6B56" w:rsidRPr="003F7F8B" w:rsidRDefault="00EB426F" w:rsidP="003F7F8B">
            <w:pPr>
              <w:tabs>
                <w:tab w:val="decimal" w:pos="946"/>
              </w:tabs>
              <w:jc w:val="both"/>
              <w:rPr>
                <w:rFonts w:ascii="Times New Roman" w:hAnsi="Times New Roman"/>
                <w:color w:val="000000"/>
                <w:szCs w:val="24"/>
              </w:rPr>
            </w:pPr>
            <w:r>
              <w:rPr>
                <w:rFonts w:ascii="Times New Roman" w:hAnsi="Times New Roman"/>
                <w:color w:val="000000"/>
                <w:szCs w:val="24"/>
              </w:rPr>
              <w:t>$2,808</w:t>
            </w:r>
          </w:p>
        </w:tc>
      </w:tr>
      <w:tr w:rsidR="005A6B56" w:rsidRPr="003F7F8B" w:rsidTr="005A6B56">
        <w:tc>
          <w:tcPr>
            <w:tcW w:w="1440" w:type="dxa"/>
            <w:vMerge/>
          </w:tcPr>
          <w:p w:rsidR="005A6B56" w:rsidRPr="003F7F8B" w:rsidRDefault="005A6B56" w:rsidP="003F7F8B">
            <w:pPr>
              <w:widowControl w:val="0"/>
              <w:spacing w:line="240" w:lineRule="auto"/>
              <w:jc w:val="both"/>
              <w:rPr>
                <w:rFonts w:ascii="Times New Roman" w:hAnsi="Times New Roman"/>
                <w:snapToGrid w:val="0"/>
                <w:szCs w:val="24"/>
              </w:rPr>
            </w:pPr>
          </w:p>
        </w:tc>
        <w:tc>
          <w:tcPr>
            <w:tcW w:w="3341" w:type="dxa"/>
          </w:tcPr>
          <w:p w:rsidR="005A6B56" w:rsidRPr="003F7F8B" w:rsidRDefault="005A6B56" w:rsidP="005A6B56">
            <w:pPr>
              <w:widowControl w:val="0"/>
              <w:spacing w:line="240" w:lineRule="auto"/>
              <w:rPr>
                <w:rFonts w:ascii="Times New Roman" w:hAnsi="Times New Roman"/>
                <w:snapToGrid w:val="0"/>
                <w:szCs w:val="24"/>
              </w:rPr>
            </w:pPr>
            <w:r w:rsidRPr="003F7F8B">
              <w:rPr>
                <w:rFonts w:ascii="Times New Roman" w:hAnsi="Times New Roman"/>
                <w:snapToGrid w:val="0"/>
                <w:szCs w:val="24"/>
              </w:rPr>
              <w:t xml:space="preserve">Telephone </w:t>
            </w:r>
            <w:r>
              <w:rPr>
                <w:rFonts w:ascii="Times New Roman" w:hAnsi="Times New Roman"/>
                <w:snapToGrid w:val="0"/>
                <w:szCs w:val="24"/>
              </w:rPr>
              <w:t>s</w:t>
            </w:r>
            <w:r w:rsidRPr="003F7F8B">
              <w:rPr>
                <w:rFonts w:ascii="Times New Roman" w:hAnsi="Times New Roman"/>
                <w:snapToGrid w:val="0"/>
                <w:szCs w:val="24"/>
              </w:rPr>
              <w:t xml:space="preserve">cript to </w:t>
            </w:r>
            <w:r>
              <w:rPr>
                <w:rFonts w:ascii="Times New Roman" w:hAnsi="Times New Roman"/>
                <w:snapToGrid w:val="0"/>
                <w:szCs w:val="24"/>
              </w:rPr>
              <w:t>s</w:t>
            </w:r>
            <w:r w:rsidRPr="003F7F8B">
              <w:rPr>
                <w:rFonts w:ascii="Times New Roman" w:hAnsi="Times New Roman"/>
                <w:snapToGrid w:val="0"/>
                <w:szCs w:val="24"/>
              </w:rPr>
              <w:t xml:space="preserve">chedule </w:t>
            </w:r>
            <w:r>
              <w:rPr>
                <w:rFonts w:ascii="Times New Roman" w:hAnsi="Times New Roman"/>
                <w:snapToGrid w:val="0"/>
                <w:szCs w:val="24"/>
              </w:rPr>
              <w:t>s</w:t>
            </w:r>
            <w:r w:rsidRPr="003F7F8B">
              <w:rPr>
                <w:rFonts w:ascii="Times New Roman" w:hAnsi="Times New Roman"/>
                <w:snapToGrid w:val="0"/>
                <w:szCs w:val="24"/>
              </w:rPr>
              <w:t xml:space="preserve">ite </w:t>
            </w:r>
            <w:r>
              <w:rPr>
                <w:rFonts w:ascii="Times New Roman" w:hAnsi="Times New Roman"/>
                <w:snapToGrid w:val="0"/>
                <w:szCs w:val="24"/>
              </w:rPr>
              <w:t>v</w:t>
            </w:r>
            <w:r w:rsidRPr="003F7F8B">
              <w:rPr>
                <w:rFonts w:ascii="Times New Roman" w:hAnsi="Times New Roman"/>
                <w:snapToGrid w:val="0"/>
                <w:szCs w:val="24"/>
              </w:rPr>
              <w:t>isit</w:t>
            </w:r>
          </w:p>
        </w:tc>
        <w:tc>
          <w:tcPr>
            <w:tcW w:w="1500" w:type="dxa"/>
            <w:shd w:val="clear" w:color="auto" w:fill="auto"/>
            <w:vAlign w:val="center"/>
          </w:tcPr>
          <w:p w:rsidR="005A6B56" w:rsidRPr="003F7F8B" w:rsidRDefault="005A6B56" w:rsidP="003F7F8B">
            <w:pPr>
              <w:widowControl w:val="0"/>
              <w:tabs>
                <w:tab w:val="decimal" w:pos="864"/>
              </w:tabs>
              <w:spacing w:line="240" w:lineRule="auto"/>
              <w:jc w:val="both"/>
              <w:rPr>
                <w:rFonts w:ascii="Times New Roman" w:hAnsi="Times New Roman"/>
                <w:snapToGrid w:val="0"/>
                <w:szCs w:val="24"/>
              </w:rPr>
            </w:pPr>
            <w:r w:rsidRPr="003F7F8B">
              <w:rPr>
                <w:rFonts w:ascii="Times New Roman" w:hAnsi="Times New Roman"/>
                <w:snapToGrid w:val="0"/>
                <w:szCs w:val="24"/>
              </w:rPr>
              <w:t>74</w:t>
            </w:r>
          </w:p>
        </w:tc>
        <w:tc>
          <w:tcPr>
            <w:tcW w:w="1500" w:type="dxa"/>
            <w:shd w:val="clear" w:color="auto" w:fill="auto"/>
            <w:vAlign w:val="center"/>
          </w:tcPr>
          <w:p w:rsidR="005A6B56" w:rsidRPr="003F7F8B" w:rsidRDefault="005A6B56" w:rsidP="003F7F8B">
            <w:pPr>
              <w:widowControl w:val="0"/>
              <w:tabs>
                <w:tab w:val="decimal" w:pos="702"/>
              </w:tabs>
              <w:spacing w:line="240" w:lineRule="auto"/>
              <w:jc w:val="both"/>
              <w:rPr>
                <w:rFonts w:ascii="Times New Roman" w:hAnsi="Times New Roman"/>
                <w:snapToGrid w:val="0"/>
                <w:szCs w:val="24"/>
              </w:rPr>
            </w:pPr>
            <w:r w:rsidRPr="003F7F8B">
              <w:rPr>
                <w:rFonts w:ascii="Times New Roman" w:hAnsi="Times New Roman"/>
                <w:snapToGrid w:val="0"/>
                <w:szCs w:val="24"/>
              </w:rPr>
              <w:t>7</w:t>
            </w:r>
          </w:p>
        </w:tc>
        <w:tc>
          <w:tcPr>
            <w:tcW w:w="1500" w:type="dxa"/>
            <w:shd w:val="clear" w:color="auto" w:fill="auto"/>
            <w:vAlign w:val="center"/>
          </w:tcPr>
          <w:p w:rsidR="005A6B56" w:rsidRPr="003F7F8B" w:rsidRDefault="00EB426F" w:rsidP="003F7F8B">
            <w:pPr>
              <w:tabs>
                <w:tab w:val="decimal" w:pos="946"/>
              </w:tabs>
              <w:jc w:val="both"/>
              <w:rPr>
                <w:rFonts w:ascii="Times New Roman" w:hAnsi="Times New Roman"/>
                <w:color w:val="000000"/>
                <w:szCs w:val="24"/>
              </w:rPr>
            </w:pPr>
            <w:r>
              <w:rPr>
                <w:rFonts w:ascii="Times New Roman" w:hAnsi="Times New Roman"/>
                <w:color w:val="000000"/>
                <w:szCs w:val="24"/>
              </w:rPr>
              <w:t>$266</w:t>
            </w:r>
          </w:p>
        </w:tc>
      </w:tr>
      <w:tr w:rsidR="005A6B56" w:rsidRPr="003F7F8B" w:rsidTr="005A6B56">
        <w:tc>
          <w:tcPr>
            <w:tcW w:w="1440" w:type="dxa"/>
            <w:vMerge/>
          </w:tcPr>
          <w:p w:rsidR="005A6B56" w:rsidRPr="003F7F8B" w:rsidRDefault="005A6B56" w:rsidP="003F7F8B">
            <w:pPr>
              <w:widowControl w:val="0"/>
              <w:spacing w:line="240" w:lineRule="auto"/>
              <w:jc w:val="both"/>
              <w:rPr>
                <w:rFonts w:ascii="Times New Roman" w:hAnsi="Times New Roman"/>
                <w:snapToGrid w:val="0"/>
                <w:szCs w:val="24"/>
              </w:rPr>
            </w:pPr>
          </w:p>
        </w:tc>
        <w:tc>
          <w:tcPr>
            <w:tcW w:w="3341" w:type="dxa"/>
          </w:tcPr>
          <w:p w:rsidR="005A6B56" w:rsidRPr="003F7F8B" w:rsidRDefault="005A6B56" w:rsidP="003F7F8B">
            <w:pPr>
              <w:widowControl w:val="0"/>
              <w:spacing w:line="240" w:lineRule="auto"/>
              <w:rPr>
                <w:rFonts w:ascii="Times New Roman" w:hAnsi="Times New Roman"/>
                <w:snapToGrid w:val="0"/>
                <w:szCs w:val="24"/>
              </w:rPr>
            </w:pPr>
            <w:r w:rsidRPr="003F7F8B">
              <w:rPr>
                <w:rFonts w:ascii="Times New Roman" w:hAnsi="Times New Roman"/>
                <w:snapToGrid w:val="0"/>
                <w:szCs w:val="24"/>
              </w:rPr>
              <w:t>Site visit interview</w:t>
            </w:r>
          </w:p>
        </w:tc>
        <w:tc>
          <w:tcPr>
            <w:tcW w:w="1500" w:type="dxa"/>
            <w:shd w:val="clear" w:color="auto" w:fill="auto"/>
            <w:vAlign w:val="center"/>
          </w:tcPr>
          <w:p w:rsidR="005A6B56" w:rsidRPr="003F7F8B" w:rsidRDefault="005A6B56" w:rsidP="003F7F8B">
            <w:pPr>
              <w:widowControl w:val="0"/>
              <w:tabs>
                <w:tab w:val="decimal" w:pos="864"/>
              </w:tabs>
              <w:spacing w:line="240" w:lineRule="auto"/>
              <w:jc w:val="both"/>
              <w:rPr>
                <w:rFonts w:ascii="Times New Roman" w:hAnsi="Times New Roman"/>
                <w:snapToGrid w:val="0"/>
                <w:szCs w:val="24"/>
              </w:rPr>
            </w:pPr>
            <w:r w:rsidRPr="003F7F8B">
              <w:rPr>
                <w:rFonts w:ascii="Times New Roman" w:hAnsi="Times New Roman"/>
                <w:snapToGrid w:val="0"/>
                <w:szCs w:val="24"/>
              </w:rPr>
              <w:t>6</w:t>
            </w:r>
          </w:p>
        </w:tc>
        <w:tc>
          <w:tcPr>
            <w:tcW w:w="1500" w:type="dxa"/>
            <w:shd w:val="clear" w:color="auto" w:fill="auto"/>
            <w:vAlign w:val="center"/>
          </w:tcPr>
          <w:p w:rsidR="005A6B56" w:rsidRPr="003F7F8B" w:rsidRDefault="005A6B56" w:rsidP="003F7F8B">
            <w:pPr>
              <w:widowControl w:val="0"/>
              <w:tabs>
                <w:tab w:val="decimal" w:pos="702"/>
              </w:tabs>
              <w:spacing w:line="240" w:lineRule="auto"/>
              <w:jc w:val="both"/>
              <w:rPr>
                <w:rFonts w:ascii="Times New Roman" w:hAnsi="Times New Roman"/>
                <w:snapToGrid w:val="0"/>
                <w:szCs w:val="24"/>
              </w:rPr>
            </w:pPr>
            <w:r w:rsidRPr="003F7F8B">
              <w:rPr>
                <w:rFonts w:ascii="Times New Roman" w:hAnsi="Times New Roman"/>
                <w:snapToGrid w:val="0"/>
                <w:szCs w:val="24"/>
              </w:rPr>
              <w:t>9</w:t>
            </w:r>
          </w:p>
        </w:tc>
        <w:tc>
          <w:tcPr>
            <w:tcW w:w="1500" w:type="dxa"/>
            <w:shd w:val="clear" w:color="auto" w:fill="auto"/>
            <w:vAlign w:val="center"/>
          </w:tcPr>
          <w:p w:rsidR="005A6B56" w:rsidRPr="003F7F8B" w:rsidRDefault="00EB426F" w:rsidP="003F7F8B">
            <w:pPr>
              <w:tabs>
                <w:tab w:val="decimal" w:pos="946"/>
              </w:tabs>
              <w:jc w:val="both"/>
              <w:rPr>
                <w:rFonts w:ascii="Times New Roman" w:hAnsi="Times New Roman"/>
                <w:color w:val="000000"/>
                <w:szCs w:val="24"/>
              </w:rPr>
            </w:pPr>
            <w:r>
              <w:rPr>
                <w:rFonts w:ascii="Times New Roman" w:hAnsi="Times New Roman"/>
                <w:color w:val="000000"/>
                <w:szCs w:val="24"/>
              </w:rPr>
              <w:t>$341</w:t>
            </w:r>
          </w:p>
        </w:tc>
      </w:tr>
      <w:tr w:rsidR="005A6B56" w:rsidRPr="003F7F8B" w:rsidTr="005A6B56">
        <w:tc>
          <w:tcPr>
            <w:tcW w:w="1440" w:type="dxa"/>
            <w:vMerge w:val="restart"/>
          </w:tcPr>
          <w:p w:rsidR="005A6B56" w:rsidRPr="003F7F8B" w:rsidRDefault="005A6B56" w:rsidP="003F7F8B">
            <w:pPr>
              <w:spacing w:line="240" w:lineRule="auto"/>
              <w:rPr>
                <w:rFonts w:ascii="Times New Roman" w:hAnsi="Times New Roman"/>
                <w:szCs w:val="24"/>
              </w:rPr>
            </w:pPr>
            <w:r w:rsidRPr="003F7F8B">
              <w:rPr>
                <w:rFonts w:ascii="Times New Roman" w:hAnsi="Times New Roman"/>
                <w:szCs w:val="24"/>
              </w:rPr>
              <w:t>Other key staff</w:t>
            </w:r>
          </w:p>
        </w:tc>
        <w:tc>
          <w:tcPr>
            <w:tcW w:w="3341" w:type="dxa"/>
          </w:tcPr>
          <w:p w:rsidR="005A6B56" w:rsidRPr="003F7F8B" w:rsidRDefault="005A6B56" w:rsidP="005A6B56">
            <w:pPr>
              <w:widowControl w:val="0"/>
              <w:spacing w:line="240" w:lineRule="auto"/>
              <w:rPr>
                <w:rFonts w:ascii="Times New Roman" w:hAnsi="Times New Roman"/>
                <w:snapToGrid w:val="0"/>
                <w:szCs w:val="24"/>
              </w:rPr>
            </w:pPr>
            <w:r w:rsidRPr="003F7F8B">
              <w:rPr>
                <w:rFonts w:ascii="Times New Roman" w:hAnsi="Times New Roman"/>
                <w:snapToGrid w:val="0"/>
                <w:szCs w:val="24"/>
              </w:rPr>
              <w:t xml:space="preserve">Telephone </w:t>
            </w:r>
            <w:r>
              <w:rPr>
                <w:rFonts w:ascii="Times New Roman" w:hAnsi="Times New Roman"/>
                <w:snapToGrid w:val="0"/>
                <w:szCs w:val="24"/>
              </w:rPr>
              <w:t>s</w:t>
            </w:r>
            <w:r w:rsidRPr="003F7F8B">
              <w:rPr>
                <w:rFonts w:ascii="Times New Roman" w:hAnsi="Times New Roman"/>
                <w:snapToGrid w:val="0"/>
                <w:szCs w:val="24"/>
              </w:rPr>
              <w:t xml:space="preserve">cript to </w:t>
            </w:r>
            <w:r>
              <w:rPr>
                <w:rFonts w:ascii="Times New Roman" w:hAnsi="Times New Roman"/>
                <w:snapToGrid w:val="0"/>
                <w:szCs w:val="24"/>
              </w:rPr>
              <w:t>s</w:t>
            </w:r>
            <w:r w:rsidRPr="003F7F8B">
              <w:rPr>
                <w:rFonts w:ascii="Times New Roman" w:hAnsi="Times New Roman"/>
                <w:snapToGrid w:val="0"/>
                <w:szCs w:val="24"/>
              </w:rPr>
              <w:t xml:space="preserve">chedule </w:t>
            </w:r>
            <w:r>
              <w:rPr>
                <w:rFonts w:ascii="Times New Roman" w:hAnsi="Times New Roman"/>
                <w:snapToGrid w:val="0"/>
                <w:szCs w:val="24"/>
              </w:rPr>
              <w:t>s</w:t>
            </w:r>
            <w:r w:rsidRPr="003F7F8B">
              <w:rPr>
                <w:rFonts w:ascii="Times New Roman" w:hAnsi="Times New Roman"/>
                <w:snapToGrid w:val="0"/>
                <w:szCs w:val="24"/>
              </w:rPr>
              <w:t xml:space="preserve">ite </w:t>
            </w:r>
            <w:r>
              <w:rPr>
                <w:rFonts w:ascii="Times New Roman" w:hAnsi="Times New Roman"/>
                <w:snapToGrid w:val="0"/>
                <w:szCs w:val="24"/>
              </w:rPr>
              <w:t>v</w:t>
            </w:r>
            <w:r w:rsidRPr="003F7F8B">
              <w:rPr>
                <w:rFonts w:ascii="Times New Roman" w:hAnsi="Times New Roman"/>
                <w:snapToGrid w:val="0"/>
                <w:szCs w:val="24"/>
              </w:rPr>
              <w:t>isit</w:t>
            </w:r>
          </w:p>
        </w:tc>
        <w:tc>
          <w:tcPr>
            <w:tcW w:w="1500" w:type="dxa"/>
            <w:shd w:val="clear" w:color="auto" w:fill="auto"/>
            <w:vAlign w:val="center"/>
          </w:tcPr>
          <w:p w:rsidR="005A6B56" w:rsidRPr="003F7F8B" w:rsidRDefault="005A6B56" w:rsidP="003F7F8B">
            <w:pPr>
              <w:widowControl w:val="0"/>
              <w:tabs>
                <w:tab w:val="decimal" w:pos="864"/>
              </w:tabs>
              <w:spacing w:line="240" w:lineRule="auto"/>
              <w:jc w:val="both"/>
              <w:rPr>
                <w:rFonts w:ascii="Times New Roman" w:hAnsi="Times New Roman"/>
                <w:snapToGrid w:val="0"/>
                <w:szCs w:val="24"/>
              </w:rPr>
            </w:pPr>
            <w:r w:rsidRPr="003F7F8B">
              <w:rPr>
                <w:rFonts w:ascii="Times New Roman" w:hAnsi="Times New Roman"/>
                <w:snapToGrid w:val="0"/>
                <w:szCs w:val="24"/>
              </w:rPr>
              <w:t>90</w:t>
            </w:r>
          </w:p>
        </w:tc>
        <w:tc>
          <w:tcPr>
            <w:tcW w:w="1500" w:type="dxa"/>
            <w:shd w:val="clear" w:color="auto" w:fill="auto"/>
            <w:vAlign w:val="center"/>
          </w:tcPr>
          <w:p w:rsidR="005A6B56" w:rsidRPr="003F7F8B" w:rsidRDefault="005A6B56" w:rsidP="003F7F8B">
            <w:pPr>
              <w:widowControl w:val="0"/>
              <w:tabs>
                <w:tab w:val="decimal" w:pos="702"/>
              </w:tabs>
              <w:spacing w:line="240" w:lineRule="auto"/>
              <w:jc w:val="both"/>
              <w:rPr>
                <w:rFonts w:ascii="Times New Roman" w:hAnsi="Times New Roman"/>
                <w:snapToGrid w:val="0"/>
                <w:szCs w:val="24"/>
              </w:rPr>
            </w:pPr>
            <w:r w:rsidRPr="003F7F8B">
              <w:rPr>
                <w:rFonts w:ascii="Times New Roman" w:hAnsi="Times New Roman"/>
                <w:snapToGrid w:val="0"/>
                <w:szCs w:val="24"/>
              </w:rPr>
              <w:t>8</w:t>
            </w:r>
          </w:p>
        </w:tc>
        <w:tc>
          <w:tcPr>
            <w:tcW w:w="1500" w:type="dxa"/>
            <w:shd w:val="clear" w:color="auto" w:fill="auto"/>
            <w:vAlign w:val="center"/>
          </w:tcPr>
          <w:p w:rsidR="005A6B56" w:rsidRPr="003F7F8B" w:rsidRDefault="00EB426F" w:rsidP="003F7F8B">
            <w:pPr>
              <w:tabs>
                <w:tab w:val="decimal" w:pos="946"/>
              </w:tabs>
              <w:jc w:val="both"/>
              <w:rPr>
                <w:rFonts w:ascii="Times New Roman" w:hAnsi="Times New Roman"/>
                <w:color w:val="000000"/>
                <w:szCs w:val="24"/>
              </w:rPr>
            </w:pPr>
            <w:r>
              <w:rPr>
                <w:rFonts w:ascii="Times New Roman" w:hAnsi="Times New Roman"/>
                <w:color w:val="000000"/>
                <w:szCs w:val="24"/>
              </w:rPr>
              <w:t>$304</w:t>
            </w:r>
          </w:p>
        </w:tc>
      </w:tr>
      <w:tr w:rsidR="005A6B56" w:rsidRPr="003F7F8B" w:rsidTr="005A6B56">
        <w:tc>
          <w:tcPr>
            <w:tcW w:w="1440" w:type="dxa"/>
            <w:vMerge/>
          </w:tcPr>
          <w:p w:rsidR="005A6B56" w:rsidRPr="003F7F8B" w:rsidRDefault="005A6B56" w:rsidP="003F7F8B">
            <w:pPr>
              <w:spacing w:line="240" w:lineRule="auto"/>
              <w:rPr>
                <w:rFonts w:ascii="Times New Roman" w:hAnsi="Times New Roman"/>
                <w:szCs w:val="24"/>
              </w:rPr>
            </w:pPr>
          </w:p>
        </w:tc>
        <w:tc>
          <w:tcPr>
            <w:tcW w:w="3341" w:type="dxa"/>
          </w:tcPr>
          <w:p w:rsidR="005A6B56" w:rsidRPr="003F7F8B" w:rsidRDefault="005A6B56" w:rsidP="003F7F8B">
            <w:pPr>
              <w:widowControl w:val="0"/>
              <w:spacing w:line="240" w:lineRule="auto"/>
              <w:rPr>
                <w:rFonts w:ascii="Times New Roman" w:hAnsi="Times New Roman"/>
                <w:snapToGrid w:val="0"/>
                <w:szCs w:val="24"/>
              </w:rPr>
            </w:pPr>
            <w:r w:rsidRPr="003F7F8B">
              <w:rPr>
                <w:rFonts w:ascii="Times New Roman" w:hAnsi="Times New Roman"/>
                <w:snapToGrid w:val="0"/>
                <w:szCs w:val="24"/>
              </w:rPr>
              <w:t>Site visit interview</w:t>
            </w:r>
          </w:p>
        </w:tc>
        <w:tc>
          <w:tcPr>
            <w:tcW w:w="1500" w:type="dxa"/>
            <w:shd w:val="clear" w:color="auto" w:fill="auto"/>
            <w:vAlign w:val="center"/>
          </w:tcPr>
          <w:p w:rsidR="005A6B56" w:rsidRPr="003F7F8B" w:rsidRDefault="005A6B56" w:rsidP="003F7F8B">
            <w:pPr>
              <w:widowControl w:val="0"/>
              <w:tabs>
                <w:tab w:val="decimal" w:pos="864"/>
              </w:tabs>
              <w:spacing w:line="240" w:lineRule="auto"/>
              <w:jc w:val="both"/>
              <w:rPr>
                <w:rFonts w:ascii="Times New Roman" w:hAnsi="Times New Roman"/>
                <w:snapToGrid w:val="0"/>
                <w:szCs w:val="24"/>
              </w:rPr>
            </w:pPr>
            <w:r w:rsidRPr="003F7F8B">
              <w:rPr>
                <w:rFonts w:ascii="Times New Roman" w:hAnsi="Times New Roman"/>
                <w:snapToGrid w:val="0"/>
                <w:szCs w:val="24"/>
              </w:rPr>
              <w:t>90</w:t>
            </w:r>
          </w:p>
        </w:tc>
        <w:tc>
          <w:tcPr>
            <w:tcW w:w="1500" w:type="dxa"/>
            <w:shd w:val="clear" w:color="auto" w:fill="auto"/>
            <w:vAlign w:val="center"/>
          </w:tcPr>
          <w:p w:rsidR="005A6B56" w:rsidRPr="003F7F8B" w:rsidRDefault="005A6B56" w:rsidP="003F7F8B">
            <w:pPr>
              <w:widowControl w:val="0"/>
              <w:tabs>
                <w:tab w:val="decimal" w:pos="702"/>
              </w:tabs>
              <w:spacing w:line="240" w:lineRule="auto"/>
              <w:jc w:val="both"/>
              <w:rPr>
                <w:rFonts w:ascii="Times New Roman" w:hAnsi="Times New Roman"/>
                <w:snapToGrid w:val="0"/>
                <w:szCs w:val="24"/>
              </w:rPr>
            </w:pPr>
            <w:r w:rsidRPr="003F7F8B">
              <w:rPr>
                <w:rFonts w:ascii="Times New Roman" w:hAnsi="Times New Roman"/>
                <w:snapToGrid w:val="0"/>
                <w:szCs w:val="24"/>
              </w:rPr>
              <w:t>135</w:t>
            </w:r>
          </w:p>
        </w:tc>
        <w:tc>
          <w:tcPr>
            <w:tcW w:w="1500" w:type="dxa"/>
            <w:shd w:val="clear" w:color="auto" w:fill="auto"/>
            <w:vAlign w:val="center"/>
          </w:tcPr>
          <w:p w:rsidR="005A6B56" w:rsidRPr="003F7F8B" w:rsidRDefault="00EB426F" w:rsidP="003F7F8B">
            <w:pPr>
              <w:tabs>
                <w:tab w:val="decimal" w:pos="946"/>
              </w:tabs>
              <w:jc w:val="both"/>
              <w:rPr>
                <w:rFonts w:ascii="Times New Roman" w:hAnsi="Times New Roman"/>
                <w:color w:val="000000"/>
                <w:szCs w:val="24"/>
              </w:rPr>
            </w:pPr>
            <w:r>
              <w:rPr>
                <w:rFonts w:ascii="Times New Roman" w:hAnsi="Times New Roman"/>
                <w:color w:val="000000"/>
                <w:szCs w:val="24"/>
              </w:rPr>
              <w:t>$5,122</w:t>
            </w:r>
          </w:p>
        </w:tc>
      </w:tr>
      <w:tr w:rsidR="005A6B56" w:rsidRPr="003F7F8B" w:rsidTr="005A6B56">
        <w:tc>
          <w:tcPr>
            <w:tcW w:w="4781" w:type="dxa"/>
            <w:gridSpan w:val="2"/>
            <w:vAlign w:val="center"/>
          </w:tcPr>
          <w:p w:rsidR="005A6B56" w:rsidRPr="003F7F8B" w:rsidRDefault="005A6B56" w:rsidP="003F7F8B">
            <w:pPr>
              <w:widowControl w:val="0"/>
              <w:spacing w:line="240" w:lineRule="auto"/>
              <w:jc w:val="center"/>
              <w:rPr>
                <w:rFonts w:ascii="Times New Roman" w:hAnsi="Times New Roman"/>
                <w:b/>
                <w:snapToGrid w:val="0"/>
                <w:szCs w:val="24"/>
              </w:rPr>
            </w:pPr>
            <w:r w:rsidRPr="003F7F8B">
              <w:rPr>
                <w:rFonts w:ascii="Times New Roman" w:hAnsi="Times New Roman"/>
                <w:b/>
                <w:snapToGrid w:val="0"/>
                <w:szCs w:val="24"/>
              </w:rPr>
              <w:t>Total</w:t>
            </w:r>
          </w:p>
        </w:tc>
        <w:tc>
          <w:tcPr>
            <w:tcW w:w="1500" w:type="dxa"/>
            <w:shd w:val="clear" w:color="auto" w:fill="auto"/>
            <w:vAlign w:val="center"/>
          </w:tcPr>
          <w:p w:rsidR="005A6B56" w:rsidRPr="003F7F8B" w:rsidRDefault="005A6B56" w:rsidP="003F7F8B">
            <w:pPr>
              <w:widowControl w:val="0"/>
              <w:tabs>
                <w:tab w:val="decimal" w:pos="864"/>
              </w:tabs>
              <w:spacing w:line="240" w:lineRule="auto"/>
              <w:jc w:val="both"/>
              <w:rPr>
                <w:rFonts w:ascii="Times New Roman" w:hAnsi="Times New Roman"/>
                <w:b/>
                <w:snapToGrid w:val="0"/>
                <w:szCs w:val="24"/>
              </w:rPr>
            </w:pPr>
            <w:r w:rsidRPr="003F7F8B">
              <w:rPr>
                <w:rFonts w:ascii="Times New Roman" w:hAnsi="Times New Roman"/>
                <w:b/>
                <w:snapToGrid w:val="0"/>
                <w:szCs w:val="24"/>
              </w:rPr>
              <w:t>558</w:t>
            </w:r>
          </w:p>
        </w:tc>
        <w:tc>
          <w:tcPr>
            <w:tcW w:w="1500" w:type="dxa"/>
            <w:shd w:val="clear" w:color="auto" w:fill="auto"/>
            <w:vAlign w:val="center"/>
          </w:tcPr>
          <w:p w:rsidR="005A6B56" w:rsidRPr="003F7F8B" w:rsidRDefault="005A6B56" w:rsidP="003F7F8B">
            <w:pPr>
              <w:widowControl w:val="0"/>
              <w:tabs>
                <w:tab w:val="decimal" w:pos="702"/>
              </w:tabs>
              <w:spacing w:line="240" w:lineRule="auto"/>
              <w:jc w:val="both"/>
              <w:rPr>
                <w:rFonts w:ascii="Times New Roman" w:hAnsi="Times New Roman"/>
                <w:b/>
                <w:snapToGrid w:val="0"/>
                <w:szCs w:val="24"/>
              </w:rPr>
            </w:pPr>
            <w:r w:rsidRPr="003F7F8B">
              <w:rPr>
                <w:rFonts w:ascii="Times New Roman" w:hAnsi="Times New Roman"/>
                <w:b/>
                <w:snapToGrid w:val="0"/>
                <w:szCs w:val="24"/>
              </w:rPr>
              <w:t>523</w:t>
            </w:r>
          </w:p>
        </w:tc>
        <w:tc>
          <w:tcPr>
            <w:tcW w:w="1500" w:type="dxa"/>
            <w:shd w:val="clear" w:color="auto" w:fill="auto"/>
            <w:vAlign w:val="center"/>
          </w:tcPr>
          <w:p w:rsidR="005A6B56" w:rsidRPr="003F7F8B" w:rsidRDefault="00EB426F" w:rsidP="003F7F8B">
            <w:pPr>
              <w:tabs>
                <w:tab w:val="decimal" w:pos="946"/>
              </w:tabs>
              <w:jc w:val="both"/>
              <w:rPr>
                <w:rFonts w:ascii="Times New Roman" w:hAnsi="Times New Roman"/>
                <w:b/>
                <w:color w:val="000000"/>
                <w:szCs w:val="24"/>
              </w:rPr>
            </w:pPr>
            <w:r>
              <w:rPr>
                <w:rFonts w:ascii="Times New Roman" w:hAnsi="Times New Roman"/>
                <w:b/>
                <w:color w:val="000000"/>
                <w:szCs w:val="24"/>
              </w:rPr>
              <w:t>$19,843</w:t>
            </w:r>
          </w:p>
        </w:tc>
      </w:tr>
    </w:tbl>
    <w:p w:rsidR="003F7F8B" w:rsidRPr="003F7F8B" w:rsidRDefault="003F7F8B" w:rsidP="003F7F8B">
      <w:pPr>
        <w:spacing w:line="360" w:lineRule="auto"/>
        <w:ind w:firstLine="1152"/>
        <w:rPr>
          <w:szCs w:val="24"/>
        </w:rPr>
      </w:pPr>
    </w:p>
    <w:p w:rsidR="003F7F8B" w:rsidRPr="003F7F8B" w:rsidRDefault="003F7F8B" w:rsidP="003F7F8B">
      <w:pPr>
        <w:pStyle w:val="Heading2"/>
      </w:pPr>
      <w:bookmarkStart w:id="108" w:name="_Toc144549943"/>
      <w:bookmarkStart w:id="109" w:name="_Toc417456677"/>
      <w:bookmarkStart w:id="110" w:name="_Toc417539935"/>
      <w:bookmarkStart w:id="111" w:name="_Toc417540087"/>
      <w:bookmarkEnd w:id="103"/>
      <w:bookmarkEnd w:id="104"/>
      <w:bookmarkEnd w:id="105"/>
      <w:bookmarkEnd w:id="106"/>
      <w:bookmarkEnd w:id="107"/>
      <w:r w:rsidRPr="003F7F8B">
        <w:lastRenderedPageBreak/>
        <w:t>A.13.</w:t>
      </w:r>
      <w:r w:rsidRPr="003F7F8B">
        <w:tab/>
        <w:t>Estimate of Other Total Annual Cost Burden to Respondents or Record Keepers</w:t>
      </w:r>
      <w:bookmarkEnd w:id="108"/>
      <w:bookmarkEnd w:id="109"/>
      <w:bookmarkEnd w:id="110"/>
      <w:bookmarkEnd w:id="111"/>
    </w:p>
    <w:p w:rsidR="003F7F8B" w:rsidRPr="003F7F8B" w:rsidRDefault="003F7F8B" w:rsidP="003F7F8B">
      <w:pPr>
        <w:pStyle w:val="L1-FlLSp12"/>
        <w:rPr>
          <w:b/>
        </w:rPr>
      </w:pPr>
      <w:r w:rsidRPr="003F7F8B">
        <w:rPr>
          <w:snapToGrid w:val="0"/>
        </w:rPr>
        <w:t>There are no direct costs to respondents other than their time to participate in the study.</w:t>
      </w:r>
    </w:p>
    <w:p w:rsidR="003F7F8B" w:rsidRPr="003F7F8B" w:rsidRDefault="003F7F8B" w:rsidP="003F7F8B">
      <w:pPr>
        <w:pStyle w:val="L1-FlLSp12"/>
      </w:pPr>
    </w:p>
    <w:p w:rsidR="003F7F8B" w:rsidRPr="003F7F8B" w:rsidRDefault="003F7F8B" w:rsidP="003F7F8B">
      <w:pPr>
        <w:pStyle w:val="Heading2"/>
      </w:pPr>
      <w:bookmarkStart w:id="112" w:name="_Toc144549944"/>
      <w:bookmarkStart w:id="113" w:name="_Toc417456678"/>
      <w:bookmarkStart w:id="114" w:name="_Toc417539936"/>
      <w:bookmarkStart w:id="115" w:name="_Toc417540088"/>
      <w:r w:rsidRPr="003F7F8B">
        <w:t>A.14.</w:t>
      </w:r>
      <w:r w:rsidRPr="003F7F8B">
        <w:tab/>
        <w:t>Annualized Cost to the Federal Government</w:t>
      </w:r>
      <w:bookmarkEnd w:id="112"/>
      <w:bookmarkEnd w:id="113"/>
      <w:bookmarkEnd w:id="114"/>
      <w:bookmarkEnd w:id="115"/>
    </w:p>
    <w:p w:rsidR="003F7F8B" w:rsidRPr="003F7F8B" w:rsidRDefault="003F7F8B" w:rsidP="003F7F8B">
      <w:pPr>
        <w:pStyle w:val="L1-FlLSp12"/>
      </w:pPr>
      <w:bookmarkStart w:id="116" w:name="_Toc443881758"/>
      <w:bookmarkStart w:id="117" w:name="_Toc451592245"/>
      <w:bookmarkStart w:id="118" w:name="_Toc5610286"/>
      <w:bookmarkStart w:id="119" w:name="_Toc99178792"/>
      <w:r w:rsidRPr="003F7F8B">
        <w:t xml:space="preserve">The costs to the federal government include </w:t>
      </w:r>
      <w:r w:rsidR="00BE2034">
        <w:t xml:space="preserve">SEPA FTE costs and </w:t>
      </w:r>
      <w:r w:rsidRPr="003F7F8B">
        <w:t xml:space="preserve">contractor costs to develop the PI and </w:t>
      </w:r>
      <w:r w:rsidR="005A6B56">
        <w:t>p</w:t>
      </w:r>
      <w:r w:rsidRPr="003F7F8B">
        <w:t xml:space="preserve">artner web surveys and four case study interview protocols, costs to conduct the data collection and analysis, and costs to prepare presentations and a summary report. These activities are spread over 30 months and cost approximately </w:t>
      </w:r>
      <w:r w:rsidR="00846640">
        <w:rPr>
          <w:b/>
        </w:rPr>
        <w:t>$733,081</w:t>
      </w:r>
      <w:r w:rsidRPr="003F7F8B">
        <w:t xml:space="preserve">. </w:t>
      </w:r>
      <w:r w:rsidR="00846640" w:rsidRPr="00AE2AE5">
        <w:rPr>
          <w:color w:val="000000"/>
        </w:rPr>
        <w:t>Federal employee hourly rate was calculated from OPM’s Sa</w:t>
      </w:r>
      <w:r w:rsidR="00846640">
        <w:rPr>
          <w:color w:val="000000"/>
        </w:rPr>
        <w:t>lary Table 2015</w:t>
      </w:r>
      <w:r w:rsidR="00846640" w:rsidRPr="00AE2AE5">
        <w:rPr>
          <w:color w:val="000000"/>
        </w:rPr>
        <w:t>-DCB for</w:t>
      </w:r>
      <w:r w:rsidR="00846640">
        <w:rPr>
          <w:color w:val="000000"/>
        </w:rPr>
        <w:t xml:space="preserve"> salaries effective January 2015. The hourly wage for a GS-14-1</w:t>
      </w:r>
      <w:r w:rsidR="00846640" w:rsidRPr="00AE2AE5">
        <w:rPr>
          <w:color w:val="000000"/>
        </w:rPr>
        <w:t xml:space="preserve"> was used. </w:t>
      </w:r>
      <w:r w:rsidRPr="003F7F8B">
        <w:t>Westat’s costs are based on labor spread over six staff:  Project Director/Principal Investigator, Senior Advisor, Senior Programmer, Quantitative Analyst Manager, Survey Task Leader</w:t>
      </w:r>
      <w:r w:rsidR="005A6B56">
        <w:t>,</w:t>
      </w:r>
      <w:r w:rsidRPr="003F7F8B">
        <w:t xml:space="preserve"> and Case Study Task Leader. It is estimated that the fully loaded </w:t>
      </w:r>
      <w:r w:rsidR="00846640">
        <w:t>30-month (length of project period)</w:t>
      </w:r>
      <w:r w:rsidRPr="003F7F8B">
        <w:t xml:space="preserve"> amount for these six staff </w:t>
      </w:r>
      <w:r w:rsidR="00846640">
        <w:t>will be (1) $270, 603</w:t>
      </w:r>
      <w:r w:rsidRPr="003F7F8B">
        <w:t xml:space="preserve"> for the Project Director/Principal Investigator at</w:t>
      </w:r>
      <w:r w:rsidR="00846640">
        <w:t xml:space="preserve"> approximately 0.25 FTE; (2) $128,503</w:t>
      </w:r>
      <w:r w:rsidRPr="003F7F8B">
        <w:t xml:space="preserve"> for the Senior Advisor a</w:t>
      </w:r>
      <w:r w:rsidR="00846640">
        <w:t>t approximately 0.12 FTE; $12,096</w:t>
      </w:r>
      <w:r w:rsidRPr="003F7F8B">
        <w:t xml:space="preserve"> for the Senior Programmer at approxi</w:t>
      </w:r>
      <w:r w:rsidR="00846640">
        <w:t>mately 0.01 FTE; $71,925</w:t>
      </w:r>
      <w:r w:rsidRPr="003F7F8B">
        <w:t xml:space="preserve"> for the Quantitative Analyst Manager at</w:t>
      </w:r>
      <w:r w:rsidR="00846640">
        <w:t xml:space="preserve"> approximately 0.10 FTE; $128,288</w:t>
      </w:r>
      <w:r w:rsidRPr="003F7F8B">
        <w:t xml:space="preserve"> for the Survey Task Leader at app</w:t>
      </w:r>
      <w:r w:rsidR="00846640">
        <w:t>roximately 0.21 FTE; and $89,468</w:t>
      </w:r>
      <w:r w:rsidRPr="003F7F8B">
        <w:t xml:space="preserve"> for the Case Study Task Leader at approximately 0.15 FTE.</w:t>
      </w:r>
    </w:p>
    <w:p w:rsidR="003F7F8B" w:rsidRPr="003F7F8B" w:rsidRDefault="003F7F8B" w:rsidP="003F7F8B">
      <w:pPr>
        <w:pStyle w:val="L1-FlLSp12"/>
      </w:pPr>
    </w:p>
    <w:p w:rsidR="003F7F8B" w:rsidRPr="003F7F8B" w:rsidRDefault="003F7F8B" w:rsidP="003F7F8B">
      <w:pPr>
        <w:pStyle w:val="L1-FlLSp12"/>
      </w:pPr>
      <w:r w:rsidRPr="003F7F8B">
        <w:t xml:space="preserve">It is therefore estimated that the study will require about .84 FTE total per year spread over six staff totaling approximately </w:t>
      </w:r>
      <w:r w:rsidR="00E60C13">
        <w:rPr>
          <w:b/>
        </w:rPr>
        <w:t>$32</w:t>
      </w:r>
      <w:r w:rsidRPr="003F7F8B">
        <w:rPr>
          <w:b/>
        </w:rPr>
        <w:t>0,352</w:t>
      </w:r>
      <w:r w:rsidRPr="003F7F8B">
        <w:t xml:space="preserve"> per year</w:t>
      </w:r>
      <w:r w:rsidR="00DD3D5F">
        <w:t xml:space="preserve">, </w:t>
      </w:r>
      <w:r w:rsidR="0094284C">
        <w:t xml:space="preserve">as </w:t>
      </w:r>
      <w:r w:rsidR="00DD3D5F">
        <w:t>summarized in Exhibit A.14-1</w:t>
      </w:r>
      <w:r w:rsidRPr="003F7F8B">
        <w:t xml:space="preserve">. These expenses are related to directing contractors, overseeing and solving problems as they arise, developing materials, supervising data collection, </w:t>
      </w:r>
      <w:r w:rsidR="00EA574F">
        <w:t xml:space="preserve">performing </w:t>
      </w:r>
      <w:r w:rsidRPr="003F7F8B">
        <w:t>data analysis, and prepar</w:t>
      </w:r>
      <w:r w:rsidR="00EA574F">
        <w:t>ing</w:t>
      </w:r>
      <w:r w:rsidRPr="003F7F8B">
        <w:t xml:space="preserve"> manuscripts and presentations. </w:t>
      </w:r>
    </w:p>
    <w:p w:rsidR="003F7F8B" w:rsidRPr="003F7F8B" w:rsidRDefault="003F7F8B" w:rsidP="003F7F8B">
      <w:pPr>
        <w:pStyle w:val="L1-FlLSp12"/>
      </w:pPr>
    </w:p>
    <w:p w:rsidR="003F7F8B" w:rsidRDefault="003F7F8B" w:rsidP="001009AE">
      <w:pPr>
        <w:pStyle w:val="TT-TableTitle"/>
      </w:pPr>
      <w:bookmarkStart w:id="120" w:name="_Toc417471296"/>
      <w:r w:rsidRPr="003F7F8B">
        <w:t>Exhibit A</w:t>
      </w:r>
      <w:r w:rsidR="005A6B56">
        <w:t>.</w:t>
      </w:r>
      <w:r w:rsidRPr="003F7F8B">
        <w:t>14-1</w:t>
      </w:r>
      <w:r>
        <w:t>.</w:t>
      </w:r>
      <w:r>
        <w:tab/>
      </w:r>
      <w:r w:rsidRPr="003F7F8B">
        <w:t>Annual</w:t>
      </w:r>
      <w:r w:rsidR="00CE1126">
        <w:t>ized</w:t>
      </w:r>
      <w:r w:rsidRPr="003F7F8B">
        <w:t xml:space="preserve"> Cost to the Federal Government</w:t>
      </w:r>
      <w:bookmarkEnd w:id="120"/>
    </w:p>
    <w:p w:rsidR="00E1241A" w:rsidRDefault="00E1241A" w:rsidP="001009AE">
      <w:pPr>
        <w:pStyle w:val="TT-TableTitle"/>
      </w:pPr>
    </w:p>
    <w:tbl>
      <w:tblPr>
        <w:tblW w:w="10332" w:type="dxa"/>
        <w:tblInd w:w="-465" w:type="dxa"/>
        <w:tblCellMar>
          <w:left w:w="0" w:type="dxa"/>
          <w:right w:w="0" w:type="dxa"/>
        </w:tblCellMar>
        <w:tblLook w:val="04A0" w:firstRow="1" w:lastRow="0" w:firstColumn="1" w:lastColumn="0" w:noHBand="0" w:noVBand="1"/>
      </w:tblPr>
      <w:tblGrid>
        <w:gridCol w:w="3543"/>
        <w:gridCol w:w="1440"/>
        <w:gridCol w:w="1260"/>
        <w:gridCol w:w="1363"/>
        <w:gridCol w:w="1363"/>
        <w:gridCol w:w="1363"/>
      </w:tblGrid>
      <w:tr w:rsidR="00CE1126" w:rsidTr="004C3654">
        <w:trPr>
          <w:trHeight w:val="900"/>
        </w:trPr>
        <w:tc>
          <w:tcPr>
            <w:tcW w:w="354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CE1126" w:rsidRPr="004C3654" w:rsidRDefault="00CE1126" w:rsidP="00CE1126">
            <w:pPr>
              <w:jc w:val="center"/>
              <w:rPr>
                <w:rFonts w:eastAsia="Calibri"/>
                <w:b/>
                <w:bCs/>
                <w:color w:val="000000"/>
                <w:sz w:val="22"/>
                <w:szCs w:val="22"/>
              </w:rPr>
            </w:pPr>
            <w:r w:rsidRPr="004C3654">
              <w:rPr>
                <w:b/>
                <w:bCs/>
                <w:color w:val="000000"/>
                <w:sz w:val="22"/>
                <w:szCs w:val="22"/>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CE1126" w:rsidRPr="004C3654" w:rsidRDefault="00CE1126" w:rsidP="00CE1126">
            <w:pPr>
              <w:jc w:val="center"/>
              <w:rPr>
                <w:rFonts w:eastAsia="Calibri"/>
                <w:b/>
                <w:bCs/>
                <w:color w:val="1F497D"/>
                <w:sz w:val="22"/>
                <w:szCs w:val="22"/>
              </w:rPr>
            </w:pPr>
          </w:p>
          <w:p w:rsidR="00CE1126" w:rsidRPr="004C3654" w:rsidRDefault="00CE1126" w:rsidP="00CE1126">
            <w:pPr>
              <w:jc w:val="center"/>
              <w:rPr>
                <w:rFonts w:eastAsia="Calibri"/>
                <w:b/>
                <w:bCs/>
                <w:color w:val="000000"/>
                <w:sz w:val="22"/>
                <w:szCs w:val="22"/>
              </w:rPr>
            </w:pPr>
            <w:r w:rsidRPr="004C3654">
              <w:rPr>
                <w:b/>
                <w:bCs/>
                <w:color w:val="000000"/>
                <w:sz w:val="22"/>
                <w:szCs w:val="22"/>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E1126" w:rsidRPr="004C3654" w:rsidRDefault="00CE1126" w:rsidP="00CE1126">
            <w:pPr>
              <w:jc w:val="center"/>
              <w:rPr>
                <w:rFonts w:eastAsia="Calibri"/>
                <w:b/>
                <w:bCs/>
                <w:sz w:val="22"/>
                <w:szCs w:val="22"/>
              </w:rPr>
            </w:pPr>
            <w:r w:rsidRPr="004C3654">
              <w:rPr>
                <w:b/>
                <w:bCs/>
                <w:sz w:val="22"/>
                <w:szCs w:val="22"/>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E1126" w:rsidRPr="004C3654" w:rsidRDefault="00CE1126" w:rsidP="00CE1126">
            <w:pPr>
              <w:jc w:val="center"/>
              <w:rPr>
                <w:rFonts w:eastAsia="Calibri"/>
                <w:b/>
                <w:bCs/>
                <w:sz w:val="22"/>
                <w:szCs w:val="22"/>
              </w:rPr>
            </w:pPr>
            <w:r w:rsidRPr="004C3654">
              <w:rPr>
                <w:b/>
                <w:bCs/>
                <w:sz w:val="22"/>
                <w:szCs w:val="22"/>
              </w:rPr>
              <w:t>% of Effort</w:t>
            </w:r>
          </w:p>
        </w:tc>
        <w:tc>
          <w:tcPr>
            <w:tcW w:w="1363" w:type="dxa"/>
            <w:tcBorders>
              <w:top w:val="single" w:sz="8" w:space="0" w:color="auto"/>
              <w:left w:val="nil"/>
              <w:bottom w:val="single" w:sz="8" w:space="0" w:color="auto"/>
              <w:right w:val="single" w:sz="8" w:space="0" w:color="auto"/>
            </w:tcBorders>
            <w:shd w:val="clear" w:color="auto" w:fill="auto"/>
          </w:tcPr>
          <w:p w:rsidR="00CE1126" w:rsidRPr="004C3654" w:rsidRDefault="00CE1126" w:rsidP="00CE1126">
            <w:pPr>
              <w:jc w:val="center"/>
              <w:rPr>
                <w:b/>
                <w:bCs/>
                <w:sz w:val="22"/>
                <w:szCs w:val="22"/>
              </w:rPr>
            </w:pPr>
            <w:r w:rsidRPr="004C3654">
              <w:rPr>
                <w:b/>
                <w:bCs/>
                <w:sz w:val="22"/>
                <w:szCs w:val="22"/>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CE1126" w:rsidRPr="004C3654" w:rsidRDefault="00CE1126" w:rsidP="00CE1126">
            <w:pPr>
              <w:jc w:val="center"/>
              <w:rPr>
                <w:b/>
                <w:bCs/>
                <w:sz w:val="22"/>
                <w:szCs w:val="22"/>
              </w:rPr>
            </w:pPr>
            <w:r w:rsidRPr="004C3654">
              <w:rPr>
                <w:b/>
                <w:bCs/>
                <w:sz w:val="22"/>
                <w:szCs w:val="22"/>
              </w:rPr>
              <w:t>Total Cost to Gov’t</w:t>
            </w:r>
            <w:r w:rsidR="004C3654">
              <w:rPr>
                <w:b/>
                <w:bCs/>
                <w:sz w:val="22"/>
                <w:szCs w:val="22"/>
              </w:rPr>
              <w:t>-30 Month Total</w:t>
            </w:r>
          </w:p>
        </w:tc>
      </w:tr>
      <w:tr w:rsidR="00CE1126" w:rsidTr="00846640">
        <w:trPr>
          <w:trHeight w:val="300"/>
        </w:trPr>
        <w:tc>
          <w:tcPr>
            <w:tcW w:w="3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E1126" w:rsidRPr="004C3654" w:rsidRDefault="00CE1126" w:rsidP="00CE1126">
            <w:pPr>
              <w:rPr>
                <w:rFonts w:eastAsia="Calibri"/>
                <w:b/>
                <w:color w:val="000000"/>
                <w:sz w:val="22"/>
                <w:szCs w:val="22"/>
              </w:rPr>
            </w:pPr>
            <w:r w:rsidRPr="004C3654">
              <w:rPr>
                <w:rFonts w:eastAsia="Calibri"/>
                <w:b/>
                <w:color w:val="000000"/>
                <w:sz w:val="22"/>
                <w:szCs w:val="22"/>
              </w:rPr>
              <w:lastRenderedPageBreak/>
              <w:t>Federal Oversight</w:t>
            </w:r>
          </w:p>
        </w:tc>
        <w:tc>
          <w:tcPr>
            <w:tcW w:w="1440" w:type="dxa"/>
            <w:tcBorders>
              <w:top w:val="nil"/>
              <w:left w:val="nil"/>
              <w:bottom w:val="single" w:sz="8" w:space="0" w:color="auto"/>
              <w:right w:val="single" w:sz="8" w:space="0" w:color="auto"/>
            </w:tcBorders>
            <w:vAlign w:val="bottom"/>
          </w:tcPr>
          <w:p w:rsidR="00CE1126" w:rsidRPr="004C3654" w:rsidRDefault="004C3654" w:rsidP="00846640">
            <w:pPr>
              <w:jc w:val="center"/>
              <w:rPr>
                <w:rFonts w:eastAsia="Calibri"/>
                <w:sz w:val="22"/>
                <w:szCs w:val="22"/>
              </w:rPr>
            </w:pPr>
            <w:r w:rsidRPr="004C3654">
              <w:rPr>
                <w:rFonts w:eastAsia="Calibri"/>
                <w:sz w:val="22"/>
                <w:szCs w:val="22"/>
              </w:rPr>
              <w:t>14</w:t>
            </w:r>
            <w:r>
              <w:rPr>
                <w:rFonts w:eastAsia="Calibri"/>
                <w:sz w:val="22"/>
                <w:szCs w:val="22"/>
              </w:rPr>
              <w:t>/1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E1126" w:rsidRPr="004C3654" w:rsidRDefault="004C3654" w:rsidP="00846640">
            <w:pPr>
              <w:jc w:val="center"/>
              <w:rPr>
                <w:sz w:val="22"/>
                <w:szCs w:val="22"/>
              </w:rPr>
            </w:pPr>
            <w:r>
              <w:rPr>
                <w:sz w:val="22"/>
                <w:szCs w:val="22"/>
              </w:rPr>
              <w:t>$107,325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E1126" w:rsidRPr="004C3654" w:rsidRDefault="004C3654" w:rsidP="00846640">
            <w:pPr>
              <w:jc w:val="center"/>
              <w:rPr>
                <w:sz w:val="22"/>
                <w:szCs w:val="22"/>
              </w:rPr>
            </w:pPr>
            <w:r>
              <w:rPr>
                <w:sz w:val="22"/>
                <w:szCs w:val="22"/>
              </w:rPr>
              <w:t>.10 FTE</w:t>
            </w:r>
          </w:p>
        </w:tc>
        <w:tc>
          <w:tcPr>
            <w:tcW w:w="1363" w:type="dxa"/>
            <w:tcBorders>
              <w:top w:val="nil"/>
              <w:left w:val="nil"/>
              <w:bottom w:val="single" w:sz="8" w:space="0" w:color="auto"/>
              <w:right w:val="single" w:sz="8" w:space="0" w:color="auto"/>
            </w:tcBorders>
            <w:shd w:val="clear" w:color="auto" w:fill="BFBFBF" w:themeFill="background1" w:themeFillShade="BF"/>
            <w:vAlign w:val="bottom"/>
          </w:tcPr>
          <w:p w:rsidR="00CE1126" w:rsidRPr="004C3654" w:rsidRDefault="00CE1126" w:rsidP="00846640">
            <w:pPr>
              <w:jc w:val="center"/>
              <w:rPr>
                <w:sz w:val="22"/>
                <w:szCs w:val="22"/>
              </w:rPr>
            </w:pPr>
          </w:p>
        </w:tc>
        <w:tc>
          <w:tcPr>
            <w:tcW w:w="1363" w:type="dxa"/>
            <w:tcBorders>
              <w:top w:val="nil"/>
              <w:left w:val="nil"/>
              <w:bottom w:val="single" w:sz="8" w:space="0" w:color="auto"/>
              <w:right w:val="single" w:sz="8" w:space="0" w:color="auto"/>
            </w:tcBorders>
            <w:vAlign w:val="bottom"/>
          </w:tcPr>
          <w:p w:rsidR="00CE1126" w:rsidRPr="004C3654" w:rsidRDefault="004C3654" w:rsidP="00FD15AF">
            <w:pPr>
              <w:jc w:val="center"/>
              <w:rPr>
                <w:sz w:val="22"/>
                <w:szCs w:val="22"/>
              </w:rPr>
            </w:pPr>
            <w:r>
              <w:rPr>
                <w:sz w:val="22"/>
                <w:szCs w:val="22"/>
              </w:rPr>
              <w:t>$</w:t>
            </w:r>
            <w:r w:rsidR="00FD15AF">
              <w:rPr>
                <w:sz w:val="22"/>
                <w:szCs w:val="22"/>
              </w:rPr>
              <w:t>26,831</w:t>
            </w:r>
          </w:p>
        </w:tc>
      </w:tr>
      <w:tr w:rsidR="00CE1126" w:rsidTr="00846640">
        <w:trPr>
          <w:trHeight w:val="300"/>
        </w:trPr>
        <w:tc>
          <w:tcPr>
            <w:tcW w:w="3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E1126" w:rsidRPr="004C3654" w:rsidRDefault="00CE1126" w:rsidP="00CE1126">
            <w:pPr>
              <w:rPr>
                <w:rFonts w:eastAsia="Calibri"/>
                <w:sz w:val="22"/>
                <w:szCs w:val="22"/>
              </w:rPr>
            </w:pPr>
          </w:p>
        </w:tc>
        <w:tc>
          <w:tcPr>
            <w:tcW w:w="1440" w:type="dxa"/>
            <w:tcBorders>
              <w:top w:val="nil"/>
              <w:left w:val="nil"/>
              <w:bottom w:val="single" w:sz="8" w:space="0" w:color="auto"/>
              <w:right w:val="single" w:sz="8" w:space="0" w:color="auto"/>
            </w:tcBorders>
            <w:vAlign w:val="bottom"/>
          </w:tcPr>
          <w:p w:rsidR="00CE1126" w:rsidRPr="004C3654" w:rsidRDefault="00CE1126" w:rsidP="00846640">
            <w:pPr>
              <w:jc w:val="cente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E1126" w:rsidRPr="004C3654" w:rsidRDefault="00CE1126" w:rsidP="00846640">
            <w:pPr>
              <w:jc w:val="cente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E1126" w:rsidRPr="004C3654" w:rsidRDefault="00CE1126" w:rsidP="00846640">
            <w:pPr>
              <w:jc w:val="cente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vAlign w:val="bottom"/>
          </w:tcPr>
          <w:p w:rsidR="00CE1126" w:rsidRPr="004C3654" w:rsidRDefault="00CE1126" w:rsidP="00846640">
            <w:pPr>
              <w:jc w:val="center"/>
              <w:rPr>
                <w:sz w:val="22"/>
                <w:szCs w:val="22"/>
              </w:rPr>
            </w:pPr>
          </w:p>
        </w:tc>
        <w:tc>
          <w:tcPr>
            <w:tcW w:w="1363" w:type="dxa"/>
            <w:tcBorders>
              <w:top w:val="nil"/>
              <w:left w:val="nil"/>
              <w:bottom w:val="single" w:sz="8" w:space="0" w:color="auto"/>
              <w:right w:val="single" w:sz="8" w:space="0" w:color="auto"/>
            </w:tcBorders>
            <w:vAlign w:val="bottom"/>
          </w:tcPr>
          <w:p w:rsidR="00CE1126" w:rsidRPr="004C3654" w:rsidRDefault="00CE1126" w:rsidP="00846640">
            <w:pPr>
              <w:jc w:val="center"/>
              <w:rPr>
                <w:sz w:val="22"/>
                <w:szCs w:val="22"/>
              </w:rPr>
            </w:pPr>
          </w:p>
        </w:tc>
      </w:tr>
      <w:tr w:rsidR="00CE1126" w:rsidTr="00846640">
        <w:trPr>
          <w:trHeight w:val="300"/>
        </w:trPr>
        <w:tc>
          <w:tcPr>
            <w:tcW w:w="3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E1126" w:rsidRPr="004C3654" w:rsidRDefault="00CE1126" w:rsidP="00CE1126">
            <w:pPr>
              <w:rPr>
                <w:rFonts w:eastAsia="Calibri"/>
                <w:sz w:val="22"/>
                <w:szCs w:val="22"/>
              </w:rPr>
            </w:pPr>
          </w:p>
        </w:tc>
        <w:tc>
          <w:tcPr>
            <w:tcW w:w="1440" w:type="dxa"/>
            <w:tcBorders>
              <w:top w:val="nil"/>
              <w:left w:val="nil"/>
              <w:bottom w:val="single" w:sz="8" w:space="0" w:color="auto"/>
              <w:right w:val="single" w:sz="8" w:space="0" w:color="auto"/>
            </w:tcBorders>
            <w:vAlign w:val="bottom"/>
          </w:tcPr>
          <w:p w:rsidR="00CE1126" w:rsidRPr="004C3654" w:rsidRDefault="00CE1126" w:rsidP="00846640">
            <w:pPr>
              <w:jc w:val="cente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E1126" w:rsidRPr="004C3654" w:rsidRDefault="00CE1126" w:rsidP="00846640">
            <w:pPr>
              <w:jc w:val="cente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E1126" w:rsidRPr="004C3654" w:rsidRDefault="00CE1126" w:rsidP="00846640">
            <w:pPr>
              <w:jc w:val="cente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vAlign w:val="bottom"/>
          </w:tcPr>
          <w:p w:rsidR="00CE1126" w:rsidRPr="004C3654" w:rsidRDefault="00CE1126" w:rsidP="00846640">
            <w:pPr>
              <w:jc w:val="center"/>
              <w:rPr>
                <w:sz w:val="22"/>
                <w:szCs w:val="22"/>
              </w:rPr>
            </w:pPr>
          </w:p>
        </w:tc>
        <w:tc>
          <w:tcPr>
            <w:tcW w:w="1363" w:type="dxa"/>
            <w:tcBorders>
              <w:top w:val="nil"/>
              <w:left w:val="nil"/>
              <w:bottom w:val="single" w:sz="8" w:space="0" w:color="auto"/>
              <w:right w:val="single" w:sz="8" w:space="0" w:color="auto"/>
            </w:tcBorders>
            <w:vAlign w:val="bottom"/>
          </w:tcPr>
          <w:p w:rsidR="00CE1126" w:rsidRPr="004C3654" w:rsidRDefault="00CE1126" w:rsidP="00846640">
            <w:pPr>
              <w:jc w:val="center"/>
              <w:rPr>
                <w:sz w:val="22"/>
                <w:szCs w:val="22"/>
              </w:rPr>
            </w:pPr>
          </w:p>
        </w:tc>
      </w:tr>
      <w:tr w:rsidR="00CE1126" w:rsidTr="00846640">
        <w:trPr>
          <w:trHeight w:val="300"/>
        </w:trPr>
        <w:tc>
          <w:tcPr>
            <w:tcW w:w="3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E1126" w:rsidRPr="004C3654" w:rsidRDefault="00CE1126" w:rsidP="00CE1126">
            <w:pPr>
              <w:rPr>
                <w:rFonts w:eastAsia="Calibri"/>
                <w:sz w:val="22"/>
                <w:szCs w:val="22"/>
              </w:rPr>
            </w:pPr>
          </w:p>
        </w:tc>
        <w:tc>
          <w:tcPr>
            <w:tcW w:w="1440" w:type="dxa"/>
            <w:tcBorders>
              <w:top w:val="nil"/>
              <w:left w:val="nil"/>
              <w:bottom w:val="single" w:sz="8" w:space="0" w:color="auto"/>
              <w:right w:val="single" w:sz="8" w:space="0" w:color="auto"/>
            </w:tcBorders>
            <w:vAlign w:val="bottom"/>
          </w:tcPr>
          <w:p w:rsidR="00CE1126" w:rsidRPr="004C3654" w:rsidRDefault="00CE1126" w:rsidP="00846640">
            <w:pPr>
              <w:jc w:val="cente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E1126" w:rsidRPr="004C3654" w:rsidRDefault="00CE1126" w:rsidP="00846640">
            <w:pPr>
              <w:jc w:val="cente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E1126" w:rsidRPr="004C3654" w:rsidRDefault="00CE1126" w:rsidP="00846640">
            <w:pPr>
              <w:jc w:val="cente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vAlign w:val="bottom"/>
          </w:tcPr>
          <w:p w:rsidR="00CE1126" w:rsidRPr="004C3654" w:rsidRDefault="00CE1126" w:rsidP="00846640">
            <w:pPr>
              <w:jc w:val="center"/>
              <w:rPr>
                <w:sz w:val="22"/>
                <w:szCs w:val="22"/>
              </w:rPr>
            </w:pPr>
          </w:p>
        </w:tc>
        <w:tc>
          <w:tcPr>
            <w:tcW w:w="1363" w:type="dxa"/>
            <w:tcBorders>
              <w:top w:val="nil"/>
              <w:left w:val="nil"/>
              <w:bottom w:val="single" w:sz="8" w:space="0" w:color="auto"/>
              <w:right w:val="single" w:sz="8" w:space="0" w:color="auto"/>
            </w:tcBorders>
            <w:vAlign w:val="bottom"/>
          </w:tcPr>
          <w:p w:rsidR="00CE1126" w:rsidRPr="004C3654" w:rsidRDefault="00CE1126" w:rsidP="00846640">
            <w:pPr>
              <w:jc w:val="center"/>
              <w:rPr>
                <w:sz w:val="22"/>
                <w:szCs w:val="22"/>
              </w:rPr>
            </w:pPr>
          </w:p>
        </w:tc>
      </w:tr>
      <w:tr w:rsidR="00CE1126" w:rsidTr="00846640">
        <w:trPr>
          <w:trHeight w:val="300"/>
        </w:trPr>
        <w:tc>
          <w:tcPr>
            <w:tcW w:w="3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E1126" w:rsidRPr="004C3654" w:rsidRDefault="00CE1126" w:rsidP="00CE1126">
            <w:pPr>
              <w:rPr>
                <w:rFonts w:eastAsia="Calibri"/>
                <w:b/>
                <w:sz w:val="22"/>
                <w:szCs w:val="22"/>
              </w:rPr>
            </w:pPr>
            <w:r w:rsidRPr="004C3654">
              <w:rPr>
                <w:rFonts w:eastAsia="Calibri"/>
                <w:b/>
                <w:sz w:val="22"/>
                <w:szCs w:val="22"/>
              </w:rPr>
              <w:t>Contractor Cost</w:t>
            </w:r>
          </w:p>
        </w:tc>
        <w:tc>
          <w:tcPr>
            <w:tcW w:w="1440" w:type="dxa"/>
            <w:tcBorders>
              <w:top w:val="nil"/>
              <w:left w:val="nil"/>
              <w:bottom w:val="single" w:sz="8" w:space="0" w:color="auto"/>
              <w:right w:val="single" w:sz="8" w:space="0" w:color="auto"/>
            </w:tcBorders>
            <w:shd w:val="clear" w:color="auto" w:fill="BFBFBF" w:themeFill="background1" w:themeFillShade="BF"/>
            <w:vAlign w:val="bottom"/>
          </w:tcPr>
          <w:p w:rsidR="00CE1126" w:rsidRPr="004C3654" w:rsidRDefault="00CE1126" w:rsidP="00846640">
            <w:pPr>
              <w:jc w:val="cente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E1126" w:rsidRPr="004C3654" w:rsidRDefault="00CE1126" w:rsidP="00846640">
            <w:pPr>
              <w:jc w:val="cente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E1126" w:rsidRPr="004C3654" w:rsidRDefault="00CE1126" w:rsidP="00846640">
            <w:pPr>
              <w:jc w:val="center"/>
              <w:rPr>
                <w:rFonts w:eastAsia="Calibri"/>
                <w:sz w:val="22"/>
                <w:szCs w:val="22"/>
              </w:rPr>
            </w:pPr>
          </w:p>
        </w:tc>
        <w:tc>
          <w:tcPr>
            <w:tcW w:w="1363" w:type="dxa"/>
            <w:tcBorders>
              <w:top w:val="nil"/>
              <w:left w:val="nil"/>
              <w:bottom w:val="single" w:sz="8" w:space="0" w:color="auto"/>
              <w:right w:val="single" w:sz="8" w:space="0" w:color="auto"/>
            </w:tcBorders>
            <w:vAlign w:val="bottom"/>
          </w:tcPr>
          <w:p w:rsidR="00CE1126" w:rsidRPr="004C3654" w:rsidRDefault="00CE1126" w:rsidP="00846640">
            <w:pPr>
              <w:jc w:val="center"/>
              <w:rPr>
                <w:sz w:val="22"/>
                <w:szCs w:val="22"/>
              </w:rPr>
            </w:pPr>
          </w:p>
        </w:tc>
        <w:tc>
          <w:tcPr>
            <w:tcW w:w="1363" w:type="dxa"/>
            <w:tcBorders>
              <w:top w:val="nil"/>
              <w:left w:val="nil"/>
              <w:bottom w:val="single" w:sz="8" w:space="0" w:color="auto"/>
              <w:right w:val="single" w:sz="8" w:space="0" w:color="auto"/>
            </w:tcBorders>
            <w:vAlign w:val="bottom"/>
          </w:tcPr>
          <w:p w:rsidR="00CE1126" w:rsidRPr="004C3654" w:rsidRDefault="00CE1126" w:rsidP="00846640">
            <w:pPr>
              <w:jc w:val="center"/>
              <w:rPr>
                <w:sz w:val="22"/>
                <w:szCs w:val="22"/>
              </w:rPr>
            </w:pPr>
          </w:p>
        </w:tc>
      </w:tr>
      <w:tr w:rsidR="004C3654" w:rsidTr="00846640">
        <w:trPr>
          <w:trHeight w:val="300"/>
        </w:trPr>
        <w:tc>
          <w:tcPr>
            <w:tcW w:w="3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C3654" w:rsidRPr="004C3654" w:rsidRDefault="004C3654" w:rsidP="00E20492">
            <w:pPr>
              <w:spacing w:line="240" w:lineRule="auto"/>
              <w:ind w:left="216"/>
              <w:rPr>
                <w:bCs/>
                <w:sz w:val="22"/>
                <w:szCs w:val="22"/>
              </w:rPr>
            </w:pPr>
            <w:r w:rsidRPr="004C3654">
              <w:rPr>
                <w:bCs/>
                <w:sz w:val="22"/>
                <w:szCs w:val="22"/>
              </w:rPr>
              <w:t>Project Director/Principal Investigator</w:t>
            </w:r>
          </w:p>
        </w:tc>
        <w:tc>
          <w:tcPr>
            <w:tcW w:w="1440" w:type="dxa"/>
            <w:tcBorders>
              <w:top w:val="nil"/>
              <w:left w:val="nil"/>
              <w:bottom w:val="single" w:sz="8" w:space="0" w:color="auto"/>
              <w:right w:val="single" w:sz="8" w:space="0" w:color="auto"/>
            </w:tcBorders>
            <w:shd w:val="clear" w:color="auto" w:fill="BFBFBF" w:themeFill="background1" w:themeFillShade="BF"/>
            <w:vAlign w:val="bottom"/>
          </w:tcPr>
          <w:p w:rsidR="004C3654" w:rsidRPr="004C3654" w:rsidRDefault="004C3654" w:rsidP="00846640">
            <w:pPr>
              <w:jc w:val="cente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3654" w:rsidRPr="004C3654" w:rsidRDefault="004C3654" w:rsidP="00846640">
            <w:pPr>
              <w:jc w:val="cente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3654" w:rsidRPr="004C3654" w:rsidRDefault="004C3654" w:rsidP="00846640">
            <w:pPr>
              <w:jc w:val="center"/>
              <w:rPr>
                <w:rFonts w:eastAsia="Calibri"/>
                <w:sz w:val="22"/>
                <w:szCs w:val="22"/>
              </w:rPr>
            </w:pPr>
            <w:r>
              <w:rPr>
                <w:rFonts w:eastAsia="Calibri"/>
                <w:sz w:val="22"/>
                <w:szCs w:val="22"/>
              </w:rPr>
              <w:t>.25 FTE</w:t>
            </w:r>
          </w:p>
        </w:tc>
        <w:tc>
          <w:tcPr>
            <w:tcW w:w="1363" w:type="dxa"/>
            <w:tcBorders>
              <w:top w:val="nil"/>
              <w:left w:val="nil"/>
              <w:bottom w:val="single" w:sz="8" w:space="0" w:color="auto"/>
              <w:right w:val="single" w:sz="8" w:space="0" w:color="auto"/>
            </w:tcBorders>
            <w:vAlign w:val="bottom"/>
          </w:tcPr>
          <w:p w:rsidR="004C3654" w:rsidRPr="004C3654" w:rsidRDefault="004C3654" w:rsidP="00846640">
            <w:pPr>
              <w:jc w:val="center"/>
              <w:rPr>
                <w:sz w:val="22"/>
                <w:szCs w:val="22"/>
              </w:rPr>
            </w:pPr>
          </w:p>
        </w:tc>
        <w:tc>
          <w:tcPr>
            <w:tcW w:w="1363" w:type="dxa"/>
            <w:tcBorders>
              <w:top w:val="nil"/>
              <w:left w:val="nil"/>
              <w:bottom w:val="single" w:sz="8" w:space="0" w:color="auto"/>
              <w:right w:val="single" w:sz="8" w:space="0" w:color="auto"/>
            </w:tcBorders>
            <w:vAlign w:val="bottom"/>
          </w:tcPr>
          <w:p w:rsidR="004C3654" w:rsidRPr="004C3654" w:rsidRDefault="004C3654" w:rsidP="00846640">
            <w:pPr>
              <w:jc w:val="center"/>
              <w:rPr>
                <w:sz w:val="22"/>
                <w:szCs w:val="22"/>
              </w:rPr>
            </w:pPr>
            <w:r>
              <w:rPr>
                <w:sz w:val="22"/>
                <w:szCs w:val="22"/>
              </w:rPr>
              <w:t>$270,603</w:t>
            </w:r>
          </w:p>
        </w:tc>
      </w:tr>
      <w:tr w:rsidR="004C3654" w:rsidTr="00846640">
        <w:trPr>
          <w:trHeight w:val="300"/>
        </w:trPr>
        <w:tc>
          <w:tcPr>
            <w:tcW w:w="3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C3654" w:rsidRPr="004C3654" w:rsidRDefault="004C3654" w:rsidP="00E20492">
            <w:pPr>
              <w:spacing w:line="240" w:lineRule="auto"/>
              <w:ind w:left="216"/>
              <w:rPr>
                <w:bCs/>
                <w:sz w:val="22"/>
                <w:szCs w:val="22"/>
              </w:rPr>
            </w:pPr>
            <w:r w:rsidRPr="004C3654">
              <w:rPr>
                <w:sz w:val="22"/>
                <w:szCs w:val="22"/>
              </w:rPr>
              <w:t>Senior Advisor</w:t>
            </w:r>
          </w:p>
        </w:tc>
        <w:tc>
          <w:tcPr>
            <w:tcW w:w="1440" w:type="dxa"/>
            <w:tcBorders>
              <w:top w:val="nil"/>
              <w:left w:val="nil"/>
              <w:bottom w:val="single" w:sz="8" w:space="0" w:color="auto"/>
              <w:right w:val="single" w:sz="8" w:space="0" w:color="auto"/>
            </w:tcBorders>
            <w:shd w:val="clear" w:color="auto" w:fill="BFBFBF" w:themeFill="background1" w:themeFillShade="BF"/>
            <w:vAlign w:val="bottom"/>
          </w:tcPr>
          <w:p w:rsidR="004C3654" w:rsidRPr="004C3654" w:rsidRDefault="004C3654" w:rsidP="00846640">
            <w:pPr>
              <w:jc w:val="cente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3654" w:rsidRPr="004C3654" w:rsidRDefault="004C3654" w:rsidP="00846640">
            <w:pPr>
              <w:jc w:val="cente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3654" w:rsidRPr="004C3654" w:rsidRDefault="004C3654" w:rsidP="00846640">
            <w:pPr>
              <w:jc w:val="center"/>
              <w:rPr>
                <w:rFonts w:eastAsia="Calibri"/>
                <w:sz w:val="22"/>
                <w:szCs w:val="22"/>
              </w:rPr>
            </w:pPr>
            <w:r>
              <w:rPr>
                <w:rFonts w:eastAsia="Calibri"/>
                <w:sz w:val="22"/>
                <w:szCs w:val="22"/>
              </w:rPr>
              <w:t>.12 FTE</w:t>
            </w:r>
          </w:p>
        </w:tc>
        <w:tc>
          <w:tcPr>
            <w:tcW w:w="1363" w:type="dxa"/>
            <w:tcBorders>
              <w:top w:val="nil"/>
              <w:left w:val="nil"/>
              <w:bottom w:val="single" w:sz="8" w:space="0" w:color="auto"/>
              <w:right w:val="single" w:sz="8" w:space="0" w:color="auto"/>
            </w:tcBorders>
            <w:vAlign w:val="bottom"/>
          </w:tcPr>
          <w:p w:rsidR="004C3654" w:rsidRPr="004C3654" w:rsidRDefault="004C3654" w:rsidP="00846640">
            <w:pPr>
              <w:jc w:val="center"/>
              <w:rPr>
                <w:sz w:val="22"/>
                <w:szCs w:val="22"/>
              </w:rPr>
            </w:pPr>
          </w:p>
        </w:tc>
        <w:tc>
          <w:tcPr>
            <w:tcW w:w="1363" w:type="dxa"/>
            <w:tcBorders>
              <w:top w:val="nil"/>
              <w:left w:val="nil"/>
              <w:bottom w:val="single" w:sz="8" w:space="0" w:color="auto"/>
              <w:right w:val="single" w:sz="8" w:space="0" w:color="auto"/>
            </w:tcBorders>
            <w:vAlign w:val="bottom"/>
          </w:tcPr>
          <w:p w:rsidR="004C3654" w:rsidRPr="004C3654" w:rsidRDefault="004C3654" w:rsidP="00846640">
            <w:pPr>
              <w:jc w:val="center"/>
              <w:rPr>
                <w:sz w:val="22"/>
                <w:szCs w:val="22"/>
              </w:rPr>
            </w:pPr>
            <w:r>
              <w:rPr>
                <w:sz w:val="22"/>
                <w:szCs w:val="22"/>
              </w:rPr>
              <w:t>$128,503</w:t>
            </w:r>
          </w:p>
        </w:tc>
      </w:tr>
      <w:tr w:rsidR="004C3654" w:rsidTr="00846640">
        <w:trPr>
          <w:trHeight w:val="300"/>
        </w:trPr>
        <w:tc>
          <w:tcPr>
            <w:tcW w:w="3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C3654" w:rsidRPr="004C3654" w:rsidRDefault="004C3654" w:rsidP="00E20492">
            <w:pPr>
              <w:spacing w:line="240" w:lineRule="auto"/>
              <w:ind w:left="216"/>
              <w:rPr>
                <w:bCs/>
                <w:sz w:val="22"/>
                <w:szCs w:val="22"/>
              </w:rPr>
            </w:pPr>
            <w:r w:rsidRPr="004C3654">
              <w:rPr>
                <w:sz w:val="22"/>
                <w:szCs w:val="22"/>
              </w:rPr>
              <w:t>Senior Programmer</w:t>
            </w:r>
          </w:p>
        </w:tc>
        <w:tc>
          <w:tcPr>
            <w:tcW w:w="1440" w:type="dxa"/>
            <w:tcBorders>
              <w:top w:val="nil"/>
              <w:left w:val="nil"/>
              <w:bottom w:val="single" w:sz="8" w:space="0" w:color="auto"/>
              <w:right w:val="single" w:sz="8" w:space="0" w:color="auto"/>
            </w:tcBorders>
            <w:shd w:val="clear" w:color="auto" w:fill="BFBFBF" w:themeFill="background1" w:themeFillShade="BF"/>
            <w:vAlign w:val="bottom"/>
          </w:tcPr>
          <w:p w:rsidR="004C3654" w:rsidRPr="004C3654" w:rsidRDefault="004C3654" w:rsidP="00846640">
            <w:pPr>
              <w:jc w:val="cente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3654" w:rsidRPr="004C3654" w:rsidRDefault="004C3654" w:rsidP="00846640">
            <w:pPr>
              <w:jc w:val="cente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3654" w:rsidRPr="004C3654" w:rsidRDefault="004C3654" w:rsidP="00846640">
            <w:pPr>
              <w:jc w:val="center"/>
              <w:rPr>
                <w:rFonts w:eastAsia="Calibri"/>
                <w:sz w:val="22"/>
                <w:szCs w:val="22"/>
              </w:rPr>
            </w:pPr>
            <w:r>
              <w:rPr>
                <w:rFonts w:eastAsia="Calibri"/>
                <w:sz w:val="22"/>
                <w:szCs w:val="22"/>
              </w:rPr>
              <w:t>.01 FTE</w:t>
            </w:r>
          </w:p>
        </w:tc>
        <w:tc>
          <w:tcPr>
            <w:tcW w:w="1363" w:type="dxa"/>
            <w:tcBorders>
              <w:top w:val="nil"/>
              <w:left w:val="nil"/>
              <w:bottom w:val="single" w:sz="8" w:space="0" w:color="auto"/>
              <w:right w:val="single" w:sz="8" w:space="0" w:color="auto"/>
            </w:tcBorders>
            <w:vAlign w:val="bottom"/>
          </w:tcPr>
          <w:p w:rsidR="004C3654" w:rsidRPr="004C3654" w:rsidRDefault="004C3654" w:rsidP="00846640">
            <w:pPr>
              <w:jc w:val="center"/>
              <w:rPr>
                <w:sz w:val="22"/>
                <w:szCs w:val="22"/>
              </w:rPr>
            </w:pPr>
          </w:p>
        </w:tc>
        <w:tc>
          <w:tcPr>
            <w:tcW w:w="1363" w:type="dxa"/>
            <w:tcBorders>
              <w:top w:val="nil"/>
              <w:left w:val="nil"/>
              <w:bottom w:val="single" w:sz="8" w:space="0" w:color="auto"/>
              <w:right w:val="single" w:sz="8" w:space="0" w:color="auto"/>
            </w:tcBorders>
            <w:vAlign w:val="bottom"/>
          </w:tcPr>
          <w:p w:rsidR="004C3654" w:rsidRPr="004C3654" w:rsidRDefault="004C3654" w:rsidP="00846640">
            <w:pPr>
              <w:jc w:val="center"/>
              <w:rPr>
                <w:sz w:val="22"/>
                <w:szCs w:val="22"/>
              </w:rPr>
            </w:pPr>
            <w:r>
              <w:rPr>
                <w:sz w:val="22"/>
                <w:szCs w:val="22"/>
              </w:rPr>
              <w:t>$12,096</w:t>
            </w:r>
          </w:p>
        </w:tc>
      </w:tr>
      <w:tr w:rsidR="004C3654" w:rsidTr="00846640">
        <w:trPr>
          <w:trHeight w:val="300"/>
        </w:trPr>
        <w:tc>
          <w:tcPr>
            <w:tcW w:w="3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C3654" w:rsidRPr="004C3654" w:rsidRDefault="004C3654" w:rsidP="00E20492">
            <w:pPr>
              <w:spacing w:line="240" w:lineRule="auto"/>
              <w:ind w:left="216"/>
              <w:rPr>
                <w:bCs/>
                <w:sz w:val="22"/>
                <w:szCs w:val="22"/>
              </w:rPr>
            </w:pPr>
            <w:r w:rsidRPr="004C3654">
              <w:rPr>
                <w:sz w:val="22"/>
                <w:szCs w:val="22"/>
              </w:rPr>
              <w:t>Quantitative Analyst Manager</w:t>
            </w:r>
          </w:p>
        </w:tc>
        <w:tc>
          <w:tcPr>
            <w:tcW w:w="1440" w:type="dxa"/>
            <w:tcBorders>
              <w:top w:val="nil"/>
              <w:left w:val="nil"/>
              <w:bottom w:val="single" w:sz="8" w:space="0" w:color="auto"/>
              <w:right w:val="single" w:sz="8" w:space="0" w:color="auto"/>
            </w:tcBorders>
            <w:shd w:val="clear" w:color="auto" w:fill="BFBFBF" w:themeFill="background1" w:themeFillShade="BF"/>
            <w:vAlign w:val="bottom"/>
          </w:tcPr>
          <w:p w:rsidR="004C3654" w:rsidRPr="004C3654" w:rsidRDefault="004C3654" w:rsidP="00846640">
            <w:pPr>
              <w:jc w:val="cente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3654" w:rsidRPr="004C3654" w:rsidRDefault="004C3654" w:rsidP="00846640">
            <w:pPr>
              <w:jc w:val="cente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3654" w:rsidRPr="004C3654" w:rsidRDefault="004C3654" w:rsidP="00846640">
            <w:pPr>
              <w:jc w:val="center"/>
              <w:rPr>
                <w:rFonts w:eastAsia="Calibri"/>
                <w:sz w:val="22"/>
                <w:szCs w:val="22"/>
              </w:rPr>
            </w:pPr>
            <w:r>
              <w:rPr>
                <w:rFonts w:eastAsia="Calibri"/>
                <w:sz w:val="22"/>
                <w:szCs w:val="22"/>
              </w:rPr>
              <w:t>.10 FTE</w:t>
            </w:r>
          </w:p>
        </w:tc>
        <w:tc>
          <w:tcPr>
            <w:tcW w:w="1363" w:type="dxa"/>
            <w:tcBorders>
              <w:top w:val="nil"/>
              <w:left w:val="nil"/>
              <w:bottom w:val="single" w:sz="8" w:space="0" w:color="auto"/>
              <w:right w:val="single" w:sz="8" w:space="0" w:color="auto"/>
            </w:tcBorders>
            <w:vAlign w:val="bottom"/>
          </w:tcPr>
          <w:p w:rsidR="004C3654" w:rsidRPr="004C3654" w:rsidRDefault="004C3654" w:rsidP="00846640">
            <w:pPr>
              <w:jc w:val="center"/>
              <w:rPr>
                <w:sz w:val="22"/>
                <w:szCs w:val="22"/>
              </w:rPr>
            </w:pPr>
          </w:p>
        </w:tc>
        <w:tc>
          <w:tcPr>
            <w:tcW w:w="1363" w:type="dxa"/>
            <w:tcBorders>
              <w:top w:val="nil"/>
              <w:left w:val="nil"/>
              <w:bottom w:val="single" w:sz="8" w:space="0" w:color="auto"/>
              <w:right w:val="single" w:sz="8" w:space="0" w:color="auto"/>
            </w:tcBorders>
            <w:vAlign w:val="bottom"/>
          </w:tcPr>
          <w:p w:rsidR="004C3654" w:rsidRPr="004C3654" w:rsidRDefault="004C3654" w:rsidP="00846640">
            <w:pPr>
              <w:jc w:val="center"/>
              <w:rPr>
                <w:sz w:val="22"/>
                <w:szCs w:val="22"/>
              </w:rPr>
            </w:pPr>
            <w:r>
              <w:rPr>
                <w:sz w:val="22"/>
                <w:szCs w:val="22"/>
              </w:rPr>
              <w:t>$71,925</w:t>
            </w:r>
          </w:p>
        </w:tc>
      </w:tr>
      <w:tr w:rsidR="004C3654" w:rsidTr="00846640">
        <w:trPr>
          <w:trHeight w:val="300"/>
        </w:trPr>
        <w:tc>
          <w:tcPr>
            <w:tcW w:w="3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C3654" w:rsidRPr="004C3654" w:rsidRDefault="004C3654" w:rsidP="00E20492">
            <w:pPr>
              <w:spacing w:line="240" w:lineRule="auto"/>
              <w:ind w:left="216"/>
              <w:rPr>
                <w:bCs/>
                <w:sz w:val="22"/>
                <w:szCs w:val="22"/>
              </w:rPr>
            </w:pPr>
            <w:r w:rsidRPr="004C3654">
              <w:rPr>
                <w:sz w:val="22"/>
                <w:szCs w:val="22"/>
              </w:rPr>
              <w:t>Survey Task Leader</w:t>
            </w:r>
          </w:p>
        </w:tc>
        <w:tc>
          <w:tcPr>
            <w:tcW w:w="1440" w:type="dxa"/>
            <w:tcBorders>
              <w:top w:val="nil"/>
              <w:left w:val="nil"/>
              <w:bottom w:val="single" w:sz="8" w:space="0" w:color="auto"/>
              <w:right w:val="single" w:sz="8" w:space="0" w:color="auto"/>
            </w:tcBorders>
            <w:shd w:val="clear" w:color="auto" w:fill="BFBFBF" w:themeFill="background1" w:themeFillShade="BF"/>
            <w:vAlign w:val="bottom"/>
          </w:tcPr>
          <w:p w:rsidR="004C3654" w:rsidRPr="004C3654" w:rsidRDefault="004C3654" w:rsidP="00846640">
            <w:pPr>
              <w:jc w:val="cente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3654" w:rsidRPr="004C3654" w:rsidRDefault="004C3654" w:rsidP="00846640">
            <w:pPr>
              <w:jc w:val="cente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3654" w:rsidRPr="004C3654" w:rsidRDefault="004C3654" w:rsidP="00846640">
            <w:pPr>
              <w:jc w:val="center"/>
              <w:rPr>
                <w:rFonts w:eastAsia="Calibri"/>
                <w:sz w:val="22"/>
                <w:szCs w:val="22"/>
              </w:rPr>
            </w:pPr>
            <w:r>
              <w:rPr>
                <w:rFonts w:eastAsia="Calibri"/>
                <w:sz w:val="22"/>
                <w:szCs w:val="22"/>
              </w:rPr>
              <w:t>.21 FTE</w:t>
            </w:r>
          </w:p>
        </w:tc>
        <w:tc>
          <w:tcPr>
            <w:tcW w:w="1363" w:type="dxa"/>
            <w:tcBorders>
              <w:top w:val="nil"/>
              <w:left w:val="nil"/>
              <w:bottom w:val="single" w:sz="8" w:space="0" w:color="auto"/>
              <w:right w:val="single" w:sz="8" w:space="0" w:color="auto"/>
            </w:tcBorders>
            <w:vAlign w:val="bottom"/>
          </w:tcPr>
          <w:p w:rsidR="004C3654" w:rsidRPr="004C3654" w:rsidRDefault="004C3654" w:rsidP="00846640">
            <w:pPr>
              <w:jc w:val="center"/>
              <w:rPr>
                <w:sz w:val="22"/>
                <w:szCs w:val="22"/>
              </w:rPr>
            </w:pPr>
          </w:p>
        </w:tc>
        <w:tc>
          <w:tcPr>
            <w:tcW w:w="1363" w:type="dxa"/>
            <w:tcBorders>
              <w:top w:val="nil"/>
              <w:left w:val="nil"/>
              <w:bottom w:val="single" w:sz="8" w:space="0" w:color="auto"/>
              <w:right w:val="single" w:sz="8" w:space="0" w:color="auto"/>
            </w:tcBorders>
            <w:vAlign w:val="bottom"/>
          </w:tcPr>
          <w:p w:rsidR="004C3654" w:rsidRPr="004C3654" w:rsidRDefault="004C3654" w:rsidP="00846640">
            <w:pPr>
              <w:jc w:val="center"/>
              <w:rPr>
                <w:sz w:val="22"/>
                <w:szCs w:val="22"/>
              </w:rPr>
            </w:pPr>
            <w:r>
              <w:rPr>
                <w:sz w:val="22"/>
                <w:szCs w:val="22"/>
              </w:rPr>
              <w:t>$128,288</w:t>
            </w:r>
          </w:p>
        </w:tc>
      </w:tr>
      <w:tr w:rsidR="004C3654" w:rsidTr="00846640">
        <w:trPr>
          <w:trHeight w:val="300"/>
        </w:trPr>
        <w:tc>
          <w:tcPr>
            <w:tcW w:w="3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C3654" w:rsidRPr="004C3654" w:rsidRDefault="004C3654" w:rsidP="00E20492">
            <w:pPr>
              <w:spacing w:line="240" w:lineRule="auto"/>
              <w:ind w:left="216"/>
              <w:rPr>
                <w:bCs/>
                <w:sz w:val="22"/>
                <w:szCs w:val="22"/>
              </w:rPr>
            </w:pPr>
            <w:r w:rsidRPr="004C3654">
              <w:rPr>
                <w:sz w:val="22"/>
                <w:szCs w:val="22"/>
              </w:rPr>
              <w:t>Case Study Task Leader</w:t>
            </w:r>
          </w:p>
        </w:tc>
        <w:tc>
          <w:tcPr>
            <w:tcW w:w="1440" w:type="dxa"/>
            <w:tcBorders>
              <w:top w:val="nil"/>
              <w:left w:val="nil"/>
              <w:bottom w:val="single" w:sz="8" w:space="0" w:color="auto"/>
              <w:right w:val="single" w:sz="8" w:space="0" w:color="auto"/>
            </w:tcBorders>
            <w:shd w:val="clear" w:color="auto" w:fill="BFBFBF" w:themeFill="background1" w:themeFillShade="BF"/>
            <w:vAlign w:val="bottom"/>
          </w:tcPr>
          <w:p w:rsidR="004C3654" w:rsidRPr="004C3654" w:rsidRDefault="004C3654" w:rsidP="00846640">
            <w:pPr>
              <w:jc w:val="cente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3654" w:rsidRPr="004C3654" w:rsidRDefault="004C3654" w:rsidP="00846640">
            <w:pPr>
              <w:jc w:val="cente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3654" w:rsidRPr="004C3654" w:rsidRDefault="004C3654" w:rsidP="00846640">
            <w:pPr>
              <w:jc w:val="center"/>
              <w:rPr>
                <w:rFonts w:eastAsia="Calibri"/>
                <w:sz w:val="22"/>
                <w:szCs w:val="22"/>
              </w:rPr>
            </w:pPr>
            <w:r>
              <w:rPr>
                <w:rFonts w:eastAsia="Calibri"/>
                <w:sz w:val="22"/>
                <w:szCs w:val="22"/>
              </w:rPr>
              <w:t>.15 FTE</w:t>
            </w:r>
          </w:p>
        </w:tc>
        <w:tc>
          <w:tcPr>
            <w:tcW w:w="1363" w:type="dxa"/>
            <w:tcBorders>
              <w:top w:val="nil"/>
              <w:left w:val="nil"/>
              <w:bottom w:val="single" w:sz="8" w:space="0" w:color="auto"/>
              <w:right w:val="single" w:sz="8" w:space="0" w:color="auto"/>
            </w:tcBorders>
            <w:vAlign w:val="bottom"/>
          </w:tcPr>
          <w:p w:rsidR="004C3654" w:rsidRPr="004C3654" w:rsidRDefault="004C3654" w:rsidP="00846640">
            <w:pPr>
              <w:jc w:val="center"/>
              <w:rPr>
                <w:sz w:val="22"/>
                <w:szCs w:val="22"/>
              </w:rPr>
            </w:pPr>
          </w:p>
        </w:tc>
        <w:tc>
          <w:tcPr>
            <w:tcW w:w="1363" w:type="dxa"/>
            <w:tcBorders>
              <w:top w:val="nil"/>
              <w:left w:val="nil"/>
              <w:bottom w:val="single" w:sz="8" w:space="0" w:color="auto"/>
              <w:right w:val="single" w:sz="8" w:space="0" w:color="auto"/>
            </w:tcBorders>
            <w:vAlign w:val="bottom"/>
          </w:tcPr>
          <w:p w:rsidR="004C3654" w:rsidRPr="004C3654" w:rsidRDefault="004C3654" w:rsidP="00846640">
            <w:pPr>
              <w:jc w:val="center"/>
              <w:rPr>
                <w:sz w:val="22"/>
                <w:szCs w:val="22"/>
              </w:rPr>
            </w:pPr>
            <w:r>
              <w:rPr>
                <w:sz w:val="22"/>
                <w:szCs w:val="22"/>
              </w:rPr>
              <w:t>$89,468</w:t>
            </w:r>
          </w:p>
        </w:tc>
      </w:tr>
      <w:tr w:rsidR="00CE1126" w:rsidTr="00846640">
        <w:trPr>
          <w:trHeight w:val="300"/>
        </w:trPr>
        <w:tc>
          <w:tcPr>
            <w:tcW w:w="3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E1126" w:rsidRPr="004C3654" w:rsidRDefault="00CE1126" w:rsidP="00CE1126">
            <w:pPr>
              <w:rPr>
                <w:rFonts w:eastAsia="Calibri"/>
                <w:sz w:val="22"/>
                <w:szCs w:val="22"/>
              </w:rPr>
            </w:pPr>
            <w:r w:rsidRPr="004C3654">
              <w:rPr>
                <w:rFonts w:eastAsia="Calibri"/>
                <w:sz w:val="22"/>
                <w:szCs w:val="22"/>
              </w:rPr>
              <w:t>Travel</w:t>
            </w:r>
          </w:p>
        </w:tc>
        <w:tc>
          <w:tcPr>
            <w:tcW w:w="1440" w:type="dxa"/>
            <w:tcBorders>
              <w:top w:val="nil"/>
              <w:left w:val="nil"/>
              <w:bottom w:val="single" w:sz="8" w:space="0" w:color="auto"/>
              <w:right w:val="single" w:sz="8" w:space="0" w:color="auto"/>
            </w:tcBorders>
            <w:shd w:val="clear" w:color="auto" w:fill="BFBFBF" w:themeFill="background1" w:themeFillShade="BF"/>
            <w:vAlign w:val="bottom"/>
          </w:tcPr>
          <w:p w:rsidR="00CE1126" w:rsidRPr="004C3654" w:rsidRDefault="00CE1126" w:rsidP="00846640">
            <w:pPr>
              <w:jc w:val="center"/>
              <w:rPr>
                <w:rFonts w:eastAsia="Calibri"/>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CE1126" w:rsidRPr="004C3654" w:rsidRDefault="00CE1126" w:rsidP="00846640">
            <w:pPr>
              <w:jc w:val="cente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CE1126" w:rsidRPr="004C3654" w:rsidRDefault="00CE1126" w:rsidP="00846640">
            <w:pPr>
              <w:jc w:val="cente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vAlign w:val="bottom"/>
          </w:tcPr>
          <w:p w:rsidR="00CE1126" w:rsidRPr="004C3654" w:rsidRDefault="00CE1126" w:rsidP="00846640">
            <w:pPr>
              <w:jc w:val="center"/>
              <w:rPr>
                <w:sz w:val="22"/>
                <w:szCs w:val="22"/>
              </w:rPr>
            </w:pPr>
          </w:p>
        </w:tc>
        <w:tc>
          <w:tcPr>
            <w:tcW w:w="1363" w:type="dxa"/>
            <w:tcBorders>
              <w:top w:val="nil"/>
              <w:left w:val="nil"/>
              <w:bottom w:val="single" w:sz="8" w:space="0" w:color="auto"/>
              <w:right w:val="single" w:sz="8" w:space="0" w:color="auto"/>
            </w:tcBorders>
            <w:vAlign w:val="bottom"/>
          </w:tcPr>
          <w:p w:rsidR="00CE1126" w:rsidRPr="004C3654" w:rsidRDefault="00CE1126" w:rsidP="00846640">
            <w:pPr>
              <w:jc w:val="center"/>
              <w:rPr>
                <w:sz w:val="22"/>
                <w:szCs w:val="22"/>
              </w:rPr>
            </w:pPr>
          </w:p>
        </w:tc>
      </w:tr>
      <w:tr w:rsidR="00CE1126" w:rsidTr="00846640">
        <w:trPr>
          <w:trHeight w:val="300"/>
        </w:trPr>
        <w:tc>
          <w:tcPr>
            <w:tcW w:w="3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E1126" w:rsidRPr="004C3654" w:rsidRDefault="00CE1126" w:rsidP="00CE1126">
            <w:pPr>
              <w:rPr>
                <w:rFonts w:eastAsia="Calibri"/>
                <w:color w:val="1F497D"/>
                <w:sz w:val="22"/>
                <w:szCs w:val="22"/>
              </w:rPr>
            </w:pPr>
            <w:r w:rsidRPr="004C3654">
              <w:rPr>
                <w:rFonts w:eastAsia="Calibri"/>
                <w:sz w:val="22"/>
                <w:szCs w:val="22"/>
              </w:rPr>
              <w:t>Other Cost</w:t>
            </w:r>
          </w:p>
        </w:tc>
        <w:tc>
          <w:tcPr>
            <w:tcW w:w="1440" w:type="dxa"/>
            <w:tcBorders>
              <w:top w:val="nil"/>
              <w:left w:val="nil"/>
              <w:bottom w:val="single" w:sz="8" w:space="0" w:color="auto"/>
              <w:right w:val="single" w:sz="8" w:space="0" w:color="auto"/>
            </w:tcBorders>
            <w:shd w:val="clear" w:color="auto" w:fill="BFBFBF" w:themeFill="background1" w:themeFillShade="BF"/>
            <w:vAlign w:val="bottom"/>
          </w:tcPr>
          <w:p w:rsidR="00CE1126" w:rsidRPr="004C3654" w:rsidRDefault="00CE1126" w:rsidP="00846640">
            <w:pPr>
              <w:jc w:val="center"/>
              <w:rPr>
                <w:rFonts w:eastAsia="Calibri"/>
                <w:color w:val="000000"/>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CE1126" w:rsidRPr="004C3654" w:rsidRDefault="00CE1126" w:rsidP="00846640">
            <w:pPr>
              <w:jc w:val="cente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CE1126" w:rsidRPr="004C3654" w:rsidRDefault="00CE1126" w:rsidP="00846640">
            <w:pPr>
              <w:jc w:val="cente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vAlign w:val="bottom"/>
          </w:tcPr>
          <w:p w:rsidR="00CE1126" w:rsidRPr="004C3654" w:rsidRDefault="00CE1126" w:rsidP="00846640">
            <w:pPr>
              <w:jc w:val="center"/>
              <w:rPr>
                <w:rFonts w:eastAsia="Calibri"/>
                <w:sz w:val="22"/>
                <w:szCs w:val="22"/>
              </w:rPr>
            </w:pPr>
          </w:p>
        </w:tc>
        <w:tc>
          <w:tcPr>
            <w:tcW w:w="1363" w:type="dxa"/>
            <w:tcBorders>
              <w:top w:val="nil"/>
              <w:left w:val="nil"/>
              <w:bottom w:val="single" w:sz="8" w:space="0" w:color="auto"/>
              <w:right w:val="single" w:sz="8" w:space="0" w:color="auto"/>
            </w:tcBorders>
            <w:vAlign w:val="bottom"/>
          </w:tcPr>
          <w:p w:rsidR="00CE1126" w:rsidRPr="004C3654" w:rsidRDefault="00CE1126" w:rsidP="00846640">
            <w:pPr>
              <w:jc w:val="center"/>
              <w:rPr>
                <w:rFonts w:eastAsia="Calibri"/>
                <w:sz w:val="22"/>
                <w:szCs w:val="22"/>
              </w:rPr>
            </w:pPr>
          </w:p>
        </w:tc>
      </w:tr>
      <w:tr w:rsidR="00CE1126" w:rsidTr="00846640">
        <w:trPr>
          <w:trHeight w:val="300"/>
        </w:trPr>
        <w:tc>
          <w:tcPr>
            <w:tcW w:w="3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1126" w:rsidRPr="004C3654" w:rsidRDefault="00CE1126" w:rsidP="00CE1126">
            <w:pPr>
              <w:rPr>
                <w:rFonts w:eastAsia="Calibri"/>
                <w:bCs/>
                <w:color w:val="000000"/>
                <w:sz w:val="22"/>
                <w:szCs w:val="22"/>
              </w:rPr>
            </w:pPr>
          </w:p>
        </w:tc>
        <w:tc>
          <w:tcPr>
            <w:tcW w:w="1440" w:type="dxa"/>
            <w:tcBorders>
              <w:top w:val="nil"/>
              <w:left w:val="nil"/>
              <w:bottom w:val="single" w:sz="8" w:space="0" w:color="auto"/>
              <w:right w:val="single" w:sz="8" w:space="0" w:color="auto"/>
            </w:tcBorders>
            <w:shd w:val="clear" w:color="auto" w:fill="BFBFBF" w:themeFill="background1" w:themeFillShade="BF"/>
            <w:vAlign w:val="bottom"/>
          </w:tcPr>
          <w:p w:rsidR="00CE1126" w:rsidRPr="004C3654" w:rsidRDefault="00CE1126" w:rsidP="00846640">
            <w:pPr>
              <w:jc w:val="center"/>
              <w:rPr>
                <w:rFonts w:eastAsia="Calibri"/>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CE1126" w:rsidRPr="004C3654" w:rsidRDefault="00CE1126" w:rsidP="00846640">
            <w:pPr>
              <w:jc w:val="center"/>
              <w:rPr>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CE1126" w:rsidRPr="004C3654" w:rsidRDefault="00CE1126" w:rsidP="00846640">
            <w:pPr>
              <w:jc w:val="center"/>
              <w:rPr>
                <w:rFonts w:eastAsia="Calibri"/>
                <w:b/>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vAlign w:val="bottom"/>
          </w:tcPr>
          <w:p w:rsidR="00CE1126" w:rsidRPr="004C3654" w:rsidRDefault="00CE1126" w:rsidP="00846640">
            <w:pPr>
              <w:jc w:val="center"/>
              <w:rPr>
                <w:b/>
                <w:sz w:val="22"/>
                <w:szCs w:val="22"/>
              </w:rPr>
            </w:pPr>
          </w:p>
        </w:tc>
        <w:tc>
          <w:tcPr>
            <w:tcW w:w="1363" w:type="dxa"/>
            <w:tcBorders>
              <w:top w:val="nil"/>
              <w:left w:val="nil"/>
              <w:bottom w:val="single" w:sz="8" w:space="0" w:color="auto"/>
              <w:right w:val="single" w:sz="8" w:space="0" w:color="auto"/>
            </w:tcBorders>
            <w:vAlign w:val="bottom"/>
          </w:tcPr>
          <w:p w:rsidR="00CE1126" w:rsidRPr="004C3654" w:rsidRDefault="00CE1126" w:rsidP="00846640">
            <w:pPr>
              <w:jc w:val="center"/>
              <w:rPr>
                <w:b/>
                <w:sz w:val="22"/>
                <w:szCs w:val="22"/>
              </w:rPr>
            </w:pPr>
          </w:p>
        </w:tc>
      </w:tr>
      <w:tr w:rsidR="00CE1126" w:rsidRPr="00846640" w:rsidTr="00846640">
        <w:trPr>
          <w:trHeight w:val="300"/>
        </w:trPr>
        <w:tc>
          <w:tcPr>
            <w:tcW w:w="3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E1126" w:rsidRPr="00846640" w:rsidRDefault="004C3654" w:rsidP="00CE1126">
            <w:pPr>
              <w:rPr>
                <w:b/>
                <w:sz w:val="22"/>
                <w:szCs w:val="22"/>
              </w:rPr>
            </w:pPr>
            <w:r w:rsidRPr="00846640">
              <w:rPr>
                <w:b/>
                <w:sz w:val="22"/>
                <w:szCs w:val="22"/>
              </w:rPr>
              <w:t>Total</w:t>
            </w:r>
          </w:p>
        </w:tc>
        <w:tc>
          <w:tcPr>
            <w:tcW w:w="1440" w:type="dxa"/>
            <w:tcBorders>
              <w:top w:val="nil"/>
              <w:left w:val="nil"/>
              <w:bottom w:val="single" w:sz="8" w:space="0" w:color="auto"/>
              <w:right w:val="single" w:sz="8" w:space="0" w:color="auto"/>
            </w:tcBorders>
            <w:vAlign w:val="bottom"/>
          </w:tcPr>
          <w:p w:rsidR="00CE1126" w:rsidRPr="00846640" w:rsidRDefault="00CE1126" w:rsidP="00846640">
            <w:pPr>
              <w:jc w:val="center"/>
              <w:rPr>
                <w:rFonts w:eastAsia="Calibri"/>
                <w:b/>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1126" w:rsidRPr="00846640" w:rsidRDefault="00CE1126" w:rsidP="00846640">
            <w:pPr>
              <w:jc w:val="center"/>
              <w:rPr>
                <w:b/>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E1126" w:rsidRPr="00846640" w:rsidRDefault="00CE1126" w:rsidP="00846640">
            <w:pPr>
              <w:jc w:val="center"/>
              <w:rPr>
                <w:b/>
                <w:sz w:val="22"/>
                <w:szCs w:val="22"/>
              </w:rPr>
            </w:pPr>
          </w:p>
        </w:tc>
        <w:tc>
          <w:tcPr>
            <w:tcW w:w="1363" w:type="dxa"/>
            <w:tcBorders>
              <w:top w:val="nil"/>
              <w:left w:val="nil"/>
              <w:bottom w:val="single" w:sz="8" w:space="0" w:color="auto"/>
              <w:right w:val="single" w:sz="8" w:space="0" w:color="auto"/>
            </w:tcBorders>
            <w:vAlign w:val="bottom"/>
          </w:tcPr>
          <w:p w:rsidR="00CE1126" w:rsidRPr="00846640" w:rsidRDefault="00CE1126" w:rsidP="00846640">
            <w:pPr>
              <w:jc w:val="center"/>
              <w:rPr>
                <w:b/>
                <w:sz w:val="22"/>
                <w:szCs w:val="22"/>
              </w:rPr>
            </w:pPr>
          </w:p>
        </w:tc>
        <w:tc>
          <w:tcPr>
            <w:tcW w:w="1363" w:type="dxa"/>
            <w:tcBorders>
              <w:top w:val="nil"/>
              <w:left w:val="nil"/>
              <w:bottom w:val="single" w:sz="8" w:space="0" w:color="auto"/>
              <w:right w:val="single" w:sz="8" w:space="0" w:color="auto"/>
            </w:tcBorders>
            <w:vAlign w:val="bottom"/>
          </w:tcPr>
          <w:p w:rsidR="00CE1126" w:rsidRPr="00846640" w:rsidRDefault="00846640" w:rsidP="00846640">
            <w:pPr>
              <w:jc w:val="center"/>
              <w:rPr>
                <w:b/>
                <w:sz w:val="22"/>
                <w:szCs w:val="22"/>
              </w:rPr>
            </w:pPr>
            <w:r w:rsidRPr="00846640">
              <w:rPr>
                <w:b/>
                <w:sz w:val="22"/>
                <w:szCs w:val="22"/>
              </w:rPr>
              <w:t>$733,081</w:t>
            </w:r>
          </w:p>
        </w:tc>
      </w:tr>
    </w:tbl>
    <w:p w:rsidR="003F7F8B" w:rsidRPr="003F7F8B" w:rsidRDefault="003F7F8B" w:rsidP="003F7F8B">
      <w:pPr>
        <w:pStyle w:val="L1-FlLSp12"/>
      </w:pPr>
    </w:p>
    <w:p w:rsidR="003F7F8B" w:rsidRPr="003F7F8B" w:rsidRDefault="003F7F8B" w:rsidP="00EA574F">
      <w:pPr>
        <w:pStyle w:val="Heading2"/>
      </w:pPr>
      <w:bookmarkStart w:id="121" w:name="_Toc144549946"/>
      <w:bookmarkStart w:id="122" w:name="_Toc417456679"/>
      <w:bookmarkStart w:id="123" w:name="_Toc417539937"/>
      <w:bookmarkStart w:id="124" w:name="_Toc417540089"/>
      <w:bookmarkEnd w:id="116"/>
      <w:bookmarkEnd w:id="117"/>
      <w:bookmarkEnd w:id="118"/>
      <w:bookmarkEnd w:id="119"/>
      <w:r w:rsidRPr="003F7F8B">
        <w:t>A.15.</w:t>
      </w:r>
      <w:r w:rsidRPr="003F7F8B">
        <w:tab/>
        <w:t>Explanation for Program Changes or Adjustments</w:t>
      </w:r>
      <w:bookmarkEnd w:id="121"/>
      <w:bookmarkEnd w:id="122"/>
      <w:bookmarkEnd w:id="123"/>
      <w:bookmarkEnd w:id="124"/>
    </w:p>
    <w:p w:rsidR="003F7F8B" w:rsidRPr="003F7F8B" w:rsidRDefault="003F7F8B" w:rsidP="00EA574F">
      <w:pPr>
        <w:pStyle w:val="L1-FlLSp12"/>
      </w:pPr>
      <w:r w:rsidRPr="003F7F8B">
        <w:t xml:space="preserve">This is a new information collection.  </w:t>
      </w:r>
    </w:p>
    <w:p w:rsidR="003F7F8B" w:rsidRPr="003F7F8B" w:rsidRDefault="003F7F8B" w:rsidP="00EA574F">
      <w:pPr>
        <w:pStyle w:val="L1-FlLSp12"/>
      </w:pPr>
    </w:p>
    <w:p w:rsidR="003F7F8B" w:rsidRPr="003F7F8B" w:rsidRDefault="003F7F8B" w:rsidP="00EA574F">
      <w:pPr>
        <w:pStyle w:val="Heading2"/>
      </w:pPr>
      <w:bookmarkStart w:id="125" w:name="_Toc144549947"/>
      <w:bookmarkStart w:id="126" w:name="_Toc417456680"/>
      <w:bookmarkStart w:id="127" w:name="_Toc417539938"/>
      <w:bookmarkStart w:id="128" w:name="_Toc417540090"/>
      <w:bookmarkStart w:id="129" w:name="_Toc443881760"/>
      <w:bookmarkStart w:id="130" w:name="_Toc451592247"/>
      <w:bookmarkStart w:id="131" w:name="_Toc5610288"/>
      <w:bookmarkStart w:id="132" w:name="_Toc99178794"/>
      <w:r w:rsidRPr="003F7F8B">
        <w:t>A.16.</w:t>
      </w:r>
      <w:r w:rsidRPr="003F7F8B">
        <w:tab/>
        <w:t>Plans for Tabulation and Publication and Project Time Schedule</w:t>
      </w:r>
      <w:bookmarkEnd w:id="125"/>
      <w:bookmarkEnd w:id="126"/>
      <w:bookmarkEnd w:id="127"/>
      <w:bookmarkEnd w:id="128"/>
    </w:p>
    <w:p w:rsidR="003F7F8B" w:rsidRPr="003F7F8B" w:rsidRDefault="003F7F8B" w:rsidP="00EA574F">
      <w:pPr>
        <w:pStyle w:val="Heading3"/>
      </w:pPr>
      <w:bookmarkStart w:id="133" w:name="_Toc417456681"/>
      <w:bookmarkStart w:id="134" w:name="_Toc417539939"/>
      <w:bookmarkStart w:id="135" w:name="_Toc417540091"/>
      <w:bookmarkStart w:id="136" w:name="OLE_LINK1"/>
      <w:bookmarkStart w:id="137" w:name="OLE_LINK2"/>
      <w:r w:rsidRPr="003F7F8B">
        <w:t>A.16.1.</w:t>
      </w:r>
      <w:r w:rsidRPr="003F7F8B">
        <w:tab/>
        <w:t>Analysis of the Study Data</w:t>
      </w:r>
      <w:bookmarkEnd w:id="133"/>
      <w:bookmarkEnd w:id="134"/>
      <w:bookmarkEnd w:id="135"/>
    </w:p>
    <w:p w:rsidR="003F7F8B" w:rsidRPr="003F7F8B" w:rsidRDefault="003F7F8B" w:rsidP="00E1241A">
      <w:pPr>
        <w:pStyle w:val="L1-FlLSp12"/>
        <w:rPr>
          <w:rFonts w:cs="Garamond"/>
        </w:rPr>
      </w:pPr>
      <w:r w:rsidRPr="003F7F8B">
        <w:t>Most of the data analyses will consist of descriptive statistics (</w:t>
      </w:r>
      <w:r w:rsidR="005A6B56">
        <w:t>i.e.,</w:t>
      </w:r>
      <w:r w:rsidRPr="003F7F8B">
        <w:t xml:space="preserve"> percentages, means, medians, and standard deviations, as appropriate), cross-tabulations, and graphical summaries. The web-based survey analyses will be performed using SPSS version 20. The telephone interview and site visit analyses will be performed using Excel. </w:t>
      </w:r>
      <w:bookmarkEnd w:id="136"/>
      <w:bookmarkEnd w:id="137"/>
      <w:r w:rsidRPr="003F7F8B">
        <w:t xml:space="preserve">Social network analysis will be conducted using NodeXL and UCINET software to analyze the </w:t>
      </w:r>
      <w:r w:rsidRPr="003F7F8B">
        <w:rPr>
          <w:rFonts w:cs="Garamond"/>
        </w:rPr>
        <w:t>extent to which partners have formed formal or informal relationships that extend beyond those established through their SEPA project</w:t>
      </w:r>
      <w:r w:rsidR="00EA574F">
        <w:rPr>
          <w:rFonts w:cs="Garamond"/>
        </w:rPr>
        <w:t>,</w:t>
      </w:r>
      <w:r w:rsidRPr="003F7F8B">
        <w:t xml:space="preserve"> and analysis of interview transcripts will be conduct</w:t>
      </w:r>
      <w:r w:rsidR="00EA574F">
        <w:t>ed</w:t>
      </w:r>
      <w:r w:rsidRPr="003F7F8B">
        <w:t xml:space="preserve"> using </w:t>
      </w:r>
      <w:r w:rsidRPr="003F7F8B">
        <w:rPr>
          <w:rFonts w:cs="Garamond"/>
        </w:rPr>
        <w:t xml:space="preserve">NVivo </w:t>
      </w:r>
      <w:r w:rsidRPr="003F7F8B">
        <w:t>to generate themes related to central topics of interest to the evaluation.</w:t>
      </w:r>
    </w:p>
    <w:p w:rsidR="003F7F8B" w:rsidRPr="003F7F8B" w:rsidRDefault="003F7F8B" w:rsidP="003F7F8B">
      <w:pPr>
        <w:spacing w:line="360" w:lineRule="auto"/>
        <w:rPr>
          <w:szCs w:val="24"/>
        </w:rPr>
      </w:pPr>
    </w:p>
    <w:p w:rsidR="003F7F8B" w:rsidRPr="003F7F8B" w:rsidRDefault="003F7F8B" w:rsidP="00EA574F">
      <w:pPr>
        <w:pStyle w:val="Heading3"/>
      </w:pPr>
      <w:bookmarkStart w:id="138" w:name="_Toc417456682"/>
      <w:bookmarkStart w:id="139" w:name="_Toc417539940"/>
      <w:bookmarkStart w:id="140" w:name="_Toc417540092"/>
      <w:r w:rsidRPr="003F7F8B">
        <w:lastRenderedPageBreak/>
        <w:t>A.16.2.</w:t>
      </w:r>
      <w:r w:rsidRPr="003F7F8B">
        <w:tab/>
        <w:t>Products of the Study</w:t>
      </w:r>
      <w:bookmarkEnd w:id="138"/>
      <w:bookmarkEnd w:id="139"/>
      <w:bookmarkEnd w:id="140"/>
    </w:p>
    <w:p w:rsidR="003F7F8B" w:rsidRDefault="003F7F8B" w:rsidP="00E1241A">
      <w:pPr>
        <w:pStyle w:val="L1-FlLSp12"/>
      </w:pPr>
      <w:r w:rsidRPr="003F7F8B">
        <w:t>Products of the evaluation include a final report detailing the methodology, key findings, conclusions, and recommendations. The report will include an executive summary</w:t>
      </w:r>
      <w:r w:rsidR="005A6B56">
        <w:t>,</w:t>
      </w:r>
      <w:r w:rsidRPr="003F7F8B">
        <w:t xml:space="preserve"> be structured around the three evaluation questions</w:t>
      </w:r>
      <w:r w:rsidR="005A6B56">
        <w:t>,</w:t>
      </w:r>
      <w:r w:rsidRPr="003F7F8B">
        <w:t xml:space="preserve"> and include a discussion of the following topics: (1) the study questions</w:t>
      </w:r>
      <w:r w:rsidR="00EA574F">
        <w:t>,</w:t>
      </w:r>
      <w:r w:rsidRPr="003F7F8B">
        <w:t xml:space="preserve"> (2) the process used to develop and test data collection instruments</w:t>
      </w:r>
      <w:r w:rsidR="00EA574F">
        <w:t>,</w:t>
      </w:r>
      <w:r w:rsidRPr="003F7F8B">
        <w:t xml:space="preserve"> (3) data collection methods and analyses</w:t>
      </w:r>
      <w:r w:rsidR="00EA574F">
        <w:t>,</w:t>
      </w:r>
      <w:r w:rsidRPr="003F7F8B">
        <w:t xml:space="preserve"> (4) findings</w:t>
      </w:r>
      <w:r w:rsidR="00EA574F">
        <w:t>,</w:t>
      </w:r>
      <w:r w:rsidRPr="003F7F8B">
        <w:t xml:space="preserve"> (5) implications of the findings</w:t>
      </w:r>
      <w:r w:rsidR="00EA574F">
        <w:t>,</w:t>
      </w:r>
      <w:r w:rsidRPr="003F7F8B">
        <w:t xml:space="preserve"> and (6) recommendations for how to evaluate programs that are similar to SEPA. Data in the report will be presented via user-friendly graphs and tables to summarize textual analysis. Other products produced from the evaluation will include (1) a PowerPoint slide deck to present key findings at the 2017 Sci Ed meeting, which will include graphs, tables, and other relevant information; and (2) a searchable database of project characteristics and program activities that will be made available to SEPA. The database will assist SEPA staff in generating information about specific SEPA projects or program trends in response to questions from NIH and/or Congress.</w:t>
      </w:r>
    </w:p>
    <w:p w:rsidR="00EA574F" w:rsidRPr="003F7F8B" w:rsidRDefault="00EA574F" w:rsidP="00E1241A">
      <w:pPr>
        <w:pStyle w:val="L1-FlLSp12"/>
      </w:pPr>
    </w:p>
    <w:p w:rsidR="003F7F8B" w:rsidRPr="003F7F8B" w:rsidRDefault="003F7F8B" w:rsidP="00E1241A">
      <w:pPr>
        <w:pStyle w:val="L1-FlLSp12"/>
      </w:pPr>
      <w:r w:rsidRPr="003F7F8B">
        <w:t xml:space="preserve">Following preparation of a draft of the final report, we will convene a meeting of the SEPA Advisory Committee to solicit their input and then conduct a briefing for </w:t>
      </w:r>
      <w:r w:rsidR="005A6B56">
        <w:t xml:space="preserve">the Office of Research </w:t>
      </w:r>
      <w:r w:rsidR="00D943FC">
        <w:t>Infrastructure</w:t>
      </w:r>
      <w:r w:rsidR="005A6B56">
        <w:t xml:space="preserve"> Programs/Division of Coordination, Planning, and Strategic Initiatives (</w:t>
      </w:r>
      <w:r w:rsidRPr="003F7F8B">
        <w:t>ORIP/DPCPSI</w:t>
      </w:r>
      <w:r w:rsidR="005A6B56">
        <w:t>)</w:t>
      </w:r>
      <w:r w:rsidRPr="003F7F8B">
        <w:t xml:space="preserve"> officials, other federal government STEM officials, and invited parties. The briefing will present an overview of the study, a description of the evaluation design and data collection protocols, major findings, implications of the findings for public policy, and a brief description of recommendations related to evaluating programs with designs that are similar to SEPA.</w:t>
      </w:r>
    </w:p>
    <w:p w:rsidR="003F7F8B" w:rsidRPr="003F7F8B" w:rsidRDefault="003F7F8B" w:rsidP="003F7F8B">
      <w:pPr>
        <w:autoSpaceDE w:val="0"/>
        <w:autoSpaceDN w:val="0"/>
        <w:adjustRightInd w:val="0"/>
        <w:spacing w:line="360" w:lineRule="auto"/>
        <w:rPr>
          <w:szCs w:val="24"/>
        </w:rPr>
      </w:pPr>
    </w:p>
    <w:p w:rsidR="003F7F8B" w:rsidRPr="003F7F8B" w:rsidRDefault="003F7F8B" w:rsidP="00EA574F">
      <w:pPr>
        <w:pStyle w:val="Heading3"/>
      </w:pPr>
      <w:bookmarkStart w:id="141" w:name="_Toc417456683"/>
      <w:bookmarkStart w:id="142" w:name="_Toc417539941"/>
      <w:bookmarkStart w:id="143" w:name="_Toc417540093"/>
      <w:r w:rsidRPr="003F7F8B">
        <w:t>A.16.3.</w:t>
      </w:r>
      <w:r w:rsidRPr="003F7F8B">
        <w:tab/>
        <w:t>Methods of Dissemination</w:t>
      </w:r>
      <w:bookmarkEnd w:id="141"/>
      <w:bookmarkEnd w:id="142"/>
      <w:bookmarkEnd w:id="143"/>
    </w:p>
    <w:p w:rsidR="003F7F8B" w:rsidRPr="003F7F8B" w:rsidRDefault="003F7F8B" w:rsidP="00E1241A">
      <w:pPr>
        <w:pStyle w:val="L1-FlLSp12"/>
      </w:pPr>
      <w:r w:rsidRPr="003F7F8B">
        <w:t>Intended audiences for the results of the evaluation include the SEPA Advisory Committee and ORIP/DPCPSI officials, other federal government STEM officials, and invited parties. Evaluation researchers and other entities conducting evaluations may also be interested in the methods and instruments developed for this study.</w:t>
      </w:r>
    </w:p>
    <w:p w:rsidR="003F7F8B" w:rsidRPr="003F7F8B" w:rsidRDefault="003F7F8B" w:rsidP="00E1241A">
      <w:pPr>
        <w:pStyle w:val="L1-FlLSp12"/>
      </w:pPr>
    </w:p>
    <w:p w:rsidR="003F7F8B" w:rsidRPr="003F7F8B" w:rsidRDefault="003F7F8B" w:rsidP="00E1241A">
      <w:pPr>
        <w:pStyle w:val="L1-FlLSp12"/>
      </w:pPr>
      <w:r w:rsidRPr="003F7F8B">
        <w:lastRenderedPageBreak/>
        <w:t>Findings from the evaluation will be disseminated via the final report and an executive summary. In addition, SEPA staff may prepare presentations for national conferences and publish articles in peer-reviewed journals. The SEPA staff will work within NIH to disseminate the results.</w:t>
      </w:r>
    </w:p>
    <w:p w:rsidR="003F7F8B" w:rsidRPr="003F7F8B" w:rsidRDefault="003F7F8B" w:rsidP="00E1241A">
      <w:pPr>
        <w:pStyle w:val="L1-FlLSp12"/>
      </w:pPr>
    </w:p>
    <w:p w:rsidR="003F7F8B" w:rsidRPr="003F7F8B" w:rsidRDefault="003F7F8B" w:rsidP="00EA574F">
      <w:pPr>
        <w:pStyle w:val="Heading3"/>
      </w:pPr>
      <w:bookmarkStart w:id="144" w:name="_Toc417456684"/>
      <w:bookmarkStart w:id="145" w:name="_Toc417539942"/>
      <w:bookmarkStart w:id="146" w:name="_Toc417540094"/>
      <w:r w:rsidRPr="003F7F8B">
        <w:t>A.16.4.</w:t>
      </w:r>
      <w:r w:rsidRPr="003F7F8B">
        <w:tab/>
        <w:t>Use of Results</w:t>
      </w:r>
      <w:bookmarkEnd w:id="144"/>
      <w:bookmarkEnd w:id="145"/>
      <w:bookmarkEnd w:id="146"/>
    </w:p>
    <w:p w:rsidR="003F7F8B" w:rsidRPr="003F7F8B" w:rsidRDefault="003F7F8B" w:rsidP="00E1241A">
      <w:pPr>
        <w:pStyle w:val="L1-FlLSp12"/>
      </w:pPr>
      <w:r w:rsidRPr="003F7F8B">
        <w:rPr>
          <w:color w:val="000000"/>
        </w:rPr>
        <w:t xml:space="preserve">As stated earlier, </w:t>
      </w:r>
      <w:r w:rsidRPr="003F7F8B">
        <w:t xml:space="preserve">the primary purpose of this data collection is to provide SEPA with information on the extent to which grants awarded from 2004 through 2014 have met goals related to project activities, partnership formation, and evaluation quality. SEPA will use the results to better understand its SEPA portfolio, particularly the extent to which SEPA grantees are fulfilling the </w:t>
      </w:r>
      <w:r w:rsidR="00EA574F">
        <w:t>missions and goals of the SEPA P</w:t>
      </w:r>
      <w:r w:rsidRPr="003F7F8B">
        <w:t xml:space="preserve">rogram, how well the program has fulfilled its goal of enhancing and creating partnerships among SEPA projects, and whether the program has encouraged the use of more rigorous evidence-based evaluations. All information collected will be used to provide analytical and policy support to SEPA, assisting NIH in making decisions about current SEPA programming, future funding, and other initiatives to improve science education partnerships. </w:t>
      </w:r>
    </w:p>
    <w:p w:rsidR="00FD6DDC" w:rsidRDefault="00FD6DDC" w:rsidP="00EA574F">
      <w:pPr>
        <w:pStyle w:val="Heading3"/>
      </w:pPr>
      <w:bookmarkStart w:id="147" w:name="_Toc417456685"/>
      <w:bookmarkStart w:id="148" w:name="_Toc417539943"/>
      <w:bookmarkStart w:id="149" w:name="_Toc417540095"/>
    </w:p>
    <w:p w:rsidR="003F7F8B" w:rsidRPr="003F7F8B" w:rsidRDefault="003F7F8B" w:rsidP="00EA574F">
      <w:pPr>
        <w:pStyle w:val="Heading3"/>
      </w:pPr>
      <w:r w:rsidRPr="003F7F8B">
        <w:t>A.16.5.</w:t>
      </w:r>
      <w:r w:rsidRPr="003F7F8B">
        <w:tab/>
        <w:t>Project Time Schedule</w:t>
      </w:r>
      <w:bookmarkEnd w:id="147"/>
      <w:bookmarkEnd w:id="148"/>
      <w:bookmarkEnd w:id="149"/>
    </w:p>
    <w:p w:rsidR="003F7F8B" w:rsidRPr="003F7F8B" w:rsidRDefault="003F7F8B" w:rsidP="00E1241A">
      <w:pPr>
        <w:pStyle w:val="L1-FlLSp12"/>
      </w:pPr>
      <w:r w:rsidRPr="003F7F8B">
        <w:t>The study announcement will be sent from SEPA to PIs in early January 2016 and to partners in early March 2016. Data collection will occur in 2016, beginning with the PI web survey on January 22, the partner web survey on March 25, the PI and partner telephone interviews on August 7, and the site visits on August 28. The contract period will include fielding, analyzing, and disseminating findings from these studies.  Westat will be responsible for preparing the analytic databases and reports resulting from the study. The timetable for the data collection is shown in Exhibit A</w:t>
      </w:r>
      <w:r w:rsidR="005A6B56">
        <w:t>.</w:t>
      </w:r>
      <w:r w:rsidRPr="003F7F8B">
        <w:t>16-1.</w:t>
      </w:r>
    </w:p>
    <w:p w:rsidR="003F7F8B" w:rsidRPr="003F7F8B" w:rsidRDefault="003F7F8B" w:rsidP="003F7F8B">
      <w:pPr>
        <w:tabs>
          <w:tab w:val="left" w:pos="720"/>
        </w:tabs>
        <w:spacing w:line="360" w:lineRule="auto"/>
        <w:rPr>
          <w:szCs w:val="24"/>
        </w:rPr>
      </w:pPr>
    </w:p>
    <w:p w:rsidR="003F7F8B" w:rsidRPr="003F7F8B" w:rsidRDefault="003F7F8B" w:rsidP="001009AE">
      <w:pPr>
        <w:pStyle w:val="TT-TableTitle"/>
      </w:pPr>
      <w:bookmarkStart w:id="150" w:name="_Toc417456686"/>
      <w:bookmarkStart w:id="151" w:name="_Toc417457752"/>
      <w:bookmarkStart w:id="152" w:name="_Toc417471297"/>
      <w:r w:rsidRPr="003F7F8B">
        <w:t>Exhibit A</w:t>
      </w:r>
      <w:r w:rsidR="005A6B56">
        <w:t>.</w:t>
      </w:r>
      <w:r w:rsidRPr="003F7F8B">
        <w:t>16-1.</w:t>
      </w:r>
      <w:r w:rsidRPr="003F7F8B">
        <w:tab/>
        <w:t>Project Time Table</w:t>
      </w:r>
      <w:bookmarkEnd w:id="150"/>
      <w:bookmarkEnd w:id="151"/>
      <w:bookmarkEnd w:id="152"/>
      <w:r w:rsidRPr="003F7F8B">
        <w:t xml:space="preserve"> </w:t>
      </w:r>
    </w:p>
    <w:p w:rsidR="003F7F8B" w:rsidRPr="003F7F8B" w:rsidRDefault="003F7F8B" w:rsidP="001009AE">
      <w:pPr>
        <w:pStyle w:val="TT-TableTitle"/>
      </w:pP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6750"/>
        <w:gridCol w:w="2610"/>
      </w:tblGrid>
      <w:tr w:rsidR="003F7F8B" w:rsidRPr="00E1241A" w:rsidTr="00615510">
        <w:tc>
          <w:tcPr>
            <w:tcW w:w="6750" w:type="dxa"/>
            <w:shd w:val="clear" w:color="auto" w:fill="auto"/>
          </w:tcPr>
          <w:p w:rsidR="003F7F8B" w:rsidRPr="00E1241A" w:rsidRDefault="003F7F8B" w:rsidP="003F7F8B">
            <w:pPr>
              <w:spacing w:line="240" w:lineRule="auto"/>
              <w:rPr>
                <w:rFonts w:ascii="Times New Roman" w:hAnsi="Times New Roman"/>
                <w:b/>
                <w:szCs w:val="24"/>
              </w:rPr>
            </w:pPr>
            <w:r w:rsidRPr="00E1241A">
              <w:rPr>
                <w:rFonts w:ascii="Times New Roman" w:hAnsi="Times New Roman"/>
                <w:b/>
                <w:szCs w:val="24"/>
              </w:rPr>
              <w:t>Activity</w:t>
            </w:r>
          </w:p>
        </w:tc>
        <w:tc>
          <w:tcPr>
            <w:tcW w:w="2610" w:type="dxa"/>
            <w:shd w:val="clear" w:color="auto" w:fill="auto"/>
          </w:tcPr>
          <w:p w:rsidR="003F7F8B" w:rsidRPr="00E1241A" w:rsidRDefault="003F7F8B" w:rsidP="003F7F8B">
            <w:pPr>
              <w:spacing w:line="240" w:lineRule="auto"/>
              <w:rPr>
                <w:rFonts w:ascii="Times New Roman" w:hAnsi="Times New Roman"/>
                <w:b/>
                <w:szCs w:val="24"/>
              </w:rPr>
            </w:pPr>
            <w:r w:rsidRPr="00E1241A">
              <w:rPr>
                <w:rFonts w:ascii="Times New Roman" w:hAnsi="Times New Roman"/>
                <w:b/>
                <w:szCs w:val="24"/>
              </w:rPr>
              <w:t>Timeline</w:t>
            </w:r>
          </w:p>
        </w:tc>
      </w:tr>
      <w:tr w:rsidR="003F7F8B" w:rsidRPr="00E1241A" w:rsidTr="00615510">
        <w:tc>
          <w:tcPr>
            <w:tcW w:w="675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E-mail announcement sent to PIs</w:t>
            </w:r>
          </w:p>
        </w:tc>
        <w:tc>
          <w:tcPr>
            <w:tcW w:w="261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Early January 2016</w:t>
            </w:r>
          </w:p>
        </w:tc>
      </w:tr>
      <w:tr w:rsidR="003F7F8B" w:rsidRPr="00E1241A" w:rsidTr="00615510">
        <w:tc>
          <w:tcPr>
            <w:tcW w:w="675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t xml:space="preserve">E-mail invitation letter for PI </w:t>
            </w:r>
            <w:r w:rsidR="005A6B56">
              <w:rPr>
                <w:rFonts w:ascii="Times New Roman" w:hAnsi="Times New Roman"/>
                <w:szCs w:val="24"/>
              </w:rPr>
              <w:t>s</w:t>
            </w:r>
            <w:r w:rsidRPr="00E1241A">
              <w:rPr>
                <w:rFonts w:ascii="Times New Roman" w:hAnsi="Times New Roman"/>
                <w:szCs w:val="24"/>
              </w:rPr>
              <w:t xml:space="preserve">urvey to prospective participants and opening of online PI </w:t>
            </w:r>
            <w:r w:rsidR="005A6B56">
              <w:rPr>
                <w:rFonts w:ascii="Times New Roman" w:hAnsi="Times New Roman"/>
                <w:szCs w:val="24"/>
              </w:rPr>
              <w:t>s</w:t>
            </w:r>
            <w:r w:rsidRPr="00E1241A">
              <w:rPr>
                <w:rFonts w:ascii="Times New Roman" w:hAnsi="Times New Roman"/>
                <w:szCs w:val="24"/>
              </w:rPr>
              <w:t>urvey</w:t>
            </w:r>
          </w:p>
        </w:tc>
        <w:tc>
          <w:tcPr>
            <w:tcW w:w="261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January 22, 2016</w:t>
            </w:r>
          </w:p>
        </w:tc>
      </w:tr>
      <w:tr w:rsidR="003F7F8B" w:rsidRPr="00E1241A" w:rsidTr="00615510">
        <w:tc>
          <w:tcPr>
            <w:tcW w:w="675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lastRenderedPageBreak/>
              <w:t>Reminder e-mail notice sent to survey nonrespondents</w:t>
            </w:r>
          </w:p>
        </w:tc>
        <w:tc>
          <w:tcPr>
            <w:tcW w:w="261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 xml:space="preserve">Early February, 2016 </w:t>
            </w:r>
          </w:p>
        </w:tc>
      </w:tr>
      <w:tr w:rsidR="003F7F8B" w:rsidRPr="00E1241A" w:rsidTr="00615510">
        <w:tc>
          <w:tcPr>
            <w:tcW w:w="675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t>Telephone follow-up call to survey nonrespondents</w:t>
            </w:r>
          </w:p>
        </w:tc>
        <w:tc>
          <w:tcPr>
            <w:tcW w:w="261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 xml:space="preserve">Mid-February, 2016 </w:t>
            </w:r>
          </w:p>
        </w:tc>
      </w:tr>
      <w:tr w:rsidR="003F7F8B" w:rsidRPr="00E1241A" w:rsidTr="00615510">
        <w:tc>
          <w:tcPr>
            <w:tcW w:w="675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E-mail announcement sent to partners</w:t>
            </w:r>
          </w:p>
        </w:tc>
        <w:tc>
          <w:tcPr>
            <w:tcW w:w="261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Early March 2016</w:t>
            </w:r>
          </w:p>
        </w:tc>
      </w:tr>
      <w:tr w:rsidR="003F7F8B" w:rsidRPr="00E1241A" w:rsidTr="00615510">
        <w:tc>
          <w:tcPr>
            <w:tcW w:w="675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t xml:space="preserve">E-mail invitation letter for Partner </w:t>
            </w:r>
            <w:r w:rsidR="005A6B56">
              <w:rPr>
                <w:rFonts w:ascii="Times New Roman" w:hAnsi="Times New Roman"/>
                <w:szCs w:val="24"/>
              </w:rPr>
              <w:t>s</w:t>
            </w:r>
            <w:r w:rsidRPr="00E1241A">
              <w:rPr>
                <w:rFonts w:ascii="Times New Roman" w:hAnsi="Times New Roman"/>
                <w:szCs w:val="24"/>
              </w:rPr>
              <w:t xml:space="preserve">urvey to prospective participants and opening of online Partner </w:t>
            </w:r>
            <w:r w:rsidR="005A6B56">
              <w:rPr>
                <w:rFonts w:ascii="Times New Roman" w:hAnsi="Times New Roman"/>
                <w:szCs w:val="24"/>
              </w:rPr>
              <w:t>s</w:t>
            </w:r>
            <w:r w:rsidRPr="00E1241A">
              <w:rPr>
                <w:rFonts w:ascii="Times New Roman" w:hAnsi="Times New Roman"/>
                <w:szCs w:val="24"/>
              </w:rPr>
              <w:t>urvey</w:t>
            </w:r>
          </w:p>
        </w:tc>
        <w:tc>
          <w:tcPr>
            <w:tcW w:w="261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March 25, 2016</w:t>
            </w:r>
          </w:p>
        </w:tc>
      </w:tr>
      <w:tr w:rsidR="003F7F8B" w:rsidRPr="00E1241A" w:rsidTr="00615510">
        <w:tc>
          <w:tcPr>
            <w:tcW w:w="675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t>Reminder e-mail notice sent to survey nonrespondents</w:t>
            </w:r>
          </w:p>
        </w:tc>
        <w:tc>
          <w:tcPr>
            <w:tcW w:w="261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t xml:space="preserve">Early April 2016 </w:t>
            </w:r>
          </w:p>
        </w:tc>
      </w:tr>
      <w:tr w:rsidR="003F7F8B" w:rsidRPr="00E1241A" w:rsidTr="00615510">
        <w:tc>
          <w:tcPr>
            <w:tcW w:w="675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t>Telephone follow-up call to survey nonrespondents</w:t>
            </w:r>
          </w:p>
        </w:tc>
        <w:tc>
          <w:tcPr>
            <w:tcW w:w="261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t xml:space="preserve">Mid-April 2016 </w:t>
            </w:r>
          </w:p>
        </w:tc>
      </w:tr>
      <w:tr w:rsidR="003F7F8B" w:rsidRPr="00E1241A" w:rsidTr="00615510">
        <w:tc>
          <w:tcPr>
            <w:tcW w:w="675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Select PI/partner and site visit samples</w:t>
            </w:r>
          </w:p>
        </w:tc>
        <w:tc>
          <w:tcPr>
            <w:tcW w:w="261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t>Mid-April 2016</w:t>
            </w:r>
          </w:p>
        </w:tc>
      </w:tr>
      <w:tr w:rsidR="003F7F8B" w:rsidRPr="00E1241A" w:rsidTr="00615510">
        <w:tc>
          <w:tcPr>
            <w:tcW w:w="675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E-mail invitation letter for telephone interview to prospective participants</w:t>
            </w:r>
          </w:p>
        </w:tc>
        <w:tc>
          <w:tcPr>
            <w:tcW w:w="261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t>Mid-July 2016</w:t>
            </w:r>
          </w:p>
        </w:tc>
      </w:tr>
      <w:tr w:rsidR="003F7F8B" w:rsidRPr="00E1241A" w:rsidTr="00615510">
        <w:tc>
          <w:tcPr>
            <w:tcW w:w="675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Conduct telephone interviews</w:t>
            </w:r>
          </w:p>
        </w:tc>
        <w:tc>
          <w:tcPr>
            <w:tcW w:w="261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August 7, 2016</w:t>
            </w:r>
          </w:p>
        </w:tc>
      </w:tr>
      <w:tr w:rsidR="003F7F8B" w:rsidRPr="00E1241A" w:rsidTr="00615510">
        <w:tc>
          <w:tcPr>
            <w:tcW w:w="675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t>Reminder e-mail notices sent to telephone interview nonrespondents</w:t>
            </w:r>
          </w:p>
        </w:tc>
        <w:tc>
          <w:tcPr>
            <w:tcW w:w="261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Mid-August, 2016</w:t>
            </w:r>
          </w:p>
        </w:tc>
      </w:tr>
      <w:tr w:rsidR="003F7F8B" w:rsidRPr="00E1241A" w:rsidTr="00615510">
        <w:tc>
          <w:tcPr>
            <w:tcW w:w="675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t>Telephone follow-up call to telephone interview nonrespondents</w:t>
            </w:r>
          </w:p>
        </w:tc>
        <w:tc>
          <w:tcPr>
            <w:tcW w:w="261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t>Late August 2016</w:t>
            </w:r>
          </w:p>
        </w:tc>
      </w:tr>
      <w:tr w:rsidR="003F7F8B" w:rsidRPr="00E1241A" w:rsidTr="00615510">
        <w:tc>
          <w:tcPr>
            <w:tcW w:w="675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E-mail announcement sent to site visit participants</w:t>
            </w:r>
          </w:p>
        </w:tc>
        <w:tc>
          <w:tcPr>
            <w:tcW w:w="261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t>Early July 2016</w:t>
            </w:r>
          </w:p>
        </w:tc>
      </w:tr>
      <w:tr w:rsidR="003F7F8B" w:rsidRPr="00E1241A" w:rsidTr="00615510">
        <w:tc>
          <w:tcPr>
            <w:tcW w:w="675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E-mail invitation letter for site visit to prospective participants</w:t>
            </w:r>
          </w:p>
        </w:tc>
        <w:tc>
          <w:tcPr>
            <w:tcW w:w="261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t>Early August 2016</w:t>
            </w:r>
          </w:p>
        </w:tc>
      </w:tr>
      <w:tr w:rsidR="003F7F8B" w:rsidRPr="00E1241A" w:rsidTr="00615510">
        <w:tc>
          <w:tcPr>
            <w:tcW w:w="675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Conduct site visits</w:t>
            </w:r>
          </w:p>
        </w:tc>
        <w:tc>
          <w:tcPr>
            <w:tcW w:w="261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August 28, 2016</w:t>
            </w:r>
          </w:p>
        </w:tc>
      </w:tr>
      <w:tr w:rsidR="003F7F8B" w:rsidRPr="00E1241A" w:rsidTr="00615510">
        <w:tc>
          <w:tcPr>
            <w:tcW w:w="675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Data entry and cleaning</w:t>
            </w:r>
          </w:p>
        </w:tc>
        <w:tc>
          <w:tcPr>
            <w:tcW w:w="261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t>January-June 2016</w:t>
            </w:r>
          </w:p>
        </w:tc>
      </w:tr>
      <w:tr w:rsidR="003F7F8B" w:rsidRPr="00E1241A" w:rsidTr="00615510">
        <w:tc>
          <w:tcPr>
            <w:tcW w:w="675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Data preparation and analyses</w:t>
            </w:r>
          </w:p>
        </w:tc>
        <w:tc>
          <w:tcPr>
            <w:tcW w:w="261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t>February-June 2016</w:t>
            </w:r>
          </w:p>
        </w:tc>
      </w:tr>
      <w:tr w:rsidR="003F7F8B" w:rsidRPr="00E1241A" w:rsidTr="00615510">
        <w:tc>
          <w:tcPr>
            <w:tcW w:w="675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Preliminary report of findings</w:t>
            </w:r>
          </w:p>
        </w:tc>
        <w:tc>
          <w:tcPr>
            <w:tcW w:w="261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December 7, 2016</w:t>
            </w:r>
          </w:p>
        </w:tc>
      </w:tr>
      <w:tr w:rsidR="003F7F8B" w:rsidRPr="00E1241A" w:rsidTr="00615510">
        <w:tc>
          <w:tcPr>
            <w:tcW w:w="675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Draft of full report and executive summary</w:t>
            </w:r>
          </w:p>
        </w:tc>
        <w:tc>
          <w:tcPr>
            <w:tcW w:w="261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December 21, 2016</w:t>
            </w:r>
          </w:p>
        </w:tc>
      </w:tr>
      <w:tr w:rsidR="003F7F8B" w:rsidRPr="00E1241A" w:rsidTr="00615510">
        <w:tc>
          <w:tcPr>
            <w:tcW w:w="6750" w:type="dxa"/>
            <w:shd w:val="clear" w:color="auto" w:fill="auto"/>
          </w:tcPr>
          <w:p w:rsidR="003F7F8B" w:rsidRPr="00E1241A" w:rsidRDefault="003F7F8B" w:rsidP="005A6B56">
            <w:pPr>
              <w:spacing w:line="240" w:lineRule="auto"/>
              <w:rPr>
                <w:rFonts w:ascii="Times New Roman" w:hAnsi="Times New Roman"/>
                <w:szCs w:val="24"/>
              </w:rPr>
            </w:pPr>
            <w:r w:rsidRPr="00E1241A">
              <w:rPr>
                <w:rFonts w:ascii="Times New Roman" w:hAnsi="Times New Roman"/>
                <w:szCs w:val="24"/>
              </w:rPr>
              <w:t xml:space="preserve">Present to SEPA Advisory </w:t>
            </w:r>
            <w:r w:rsidR="005A6B56">
              <w:rPr>
                <w:rFonts w:ascii="Times New Roman" w:hAnsi="Times New Roman"/>
                <w:szCs w:val="24"/>
              </w:rPr>
              <w:t>C</w:t>
            </w:r>
            <w:r w:rsidRPr="00E1241A">
              <w:rPr>
                <w:rFonts w:ascii="Times New Roman" w:hAnsi="Times New Roman"/>
                <w:szCs w:val="24"/>
              </w:rPr>
              <w:t>ommittee and NIH officials</w:t>
            </w:r>
          </w:p>
        </w:tc>
        <w:tc>
          <w:tcPr>
            <w:tcW w:w="261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February 10, 2017</w:t>
            </w:r>
          </w:p>
        </w:tc>
      </w:tr>
      <w:tr w:rsidR="003F7F8B" w:rsidRPr="00E1241A" w:rsidTr="00615510">
        <w:tc>
          <w:tcPr>
            <w:tcW w:w="675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Final report (including full report and executive summary)</w:t>
            </w:r>
          </w:p>
        </w:tc>
        <w:tc>
          <w:tcPr>
            <w:tcW w:w="2610" w:type="dxa"/>
            <w:shd w:val="clear" w:color="auto" w:fill="auto"/>
          </w:tcPr>
          <w:p w:rsidR="003F7F8B" w:rsidRPr="00E1241A" w:rsidRDefault="003F7F8B" w:rsidP="003F7F8B">
            <w:pPr>
              <w:spacing w:line="240" w:lineRule="auto"/>
              <w:rPr>
                <w:rFonts w:ascii="Times New Roman" w:hAnsi="Times New Roman"/>
                <w:szCs w:val="24"/>
              </w:rPr>
            </w:pPr>
            <w:r w:rsidRPr="00E1241A">
              <w:rPr>
                <w:rFonts w:ascii="Times New Roman" w:hAnsi="Times New Roman"/>
                <w:szCs w:val="24"/>
              </w:rPr>
              <w:t>March 30, 2017</w:t>
            </w:r>
          </w:p>
        </w:tc>
      </w:tr>
    </w:tbl>
    <w:p w:rsidR="003F7F8B" w:rsidRPr="003F7F8B" w:rsidRDefault="003F7F8B" w:rsidP="003F7F8B">
      <w:pPr>
        <w:spacing w:line="360" w:lineRule="auto"/>
        <w:ind w:firstLine="1152"/>
        <w:rPr>
          <w:color w:val="000000"/>
          <w:szCs w:val="24"/>
        </w:rPr>
      </w:pPr>
    </w:p>
    <w:p w:rsidR="003F7F8B" w:rsidRPr="003F7F8B" w:rsidRDefault="003F7F8B" w:rsidP="00EA574F">
      <w:pPr>
        <w:pStyle w:val="Heading2"/>
      </w:pPr>
      <w:bookmarkStart w:id="153" w:name="_Toc144549948"/>
      <w:bookmarkStart w:id="154" w:name="_Toc417456687"/>
      <w:bookmarkStart w:id="155" w:name="_Toc417539944"/>
      <w:bookmarkStart w:id="156" w:name="_Toc417540096"/>
      <w:bookmarkEnd w:id="129"/>
      <w:bookmarkEnd w:id="130"/>
      <w:bookmarkEnd w:id="131"/>
      <w:bookmarkEnd w:id="132"/>
      <w:r w:rsidRPr="003F7F8B">
        <w:t>A.17.</w:t>
      </w:r>
      <w:r w:rsidRPr="003F7F8B">
        <w:tab/>
        <w:t>Reason(s) Display of OMB Expiration Date is Inappropriate</w:t>
      </w:r>
      <w:bookmarkEnd w:id="153"/>
      <w:bookmarkEnd w:id="154"/>
      <w:bookmarkEnd w:id="155"/>
      <w:bookmarkEnd w:id="156"/>
      <w:r w:rsidRPr="003F7F8B">
        <w:t xml:space="preserve"> </w:t>
      </w:r>
    </w:p>
    <w:p w:rsidR="003F7F8B" w:rsidRPr="003F7F8B" w:rsidRDefault="003F7F8B" w:rsidP="00E1241A">
      <w:pPr>
        <w:pStyle w:val="L1-FlLSp12"/>
      </w:pPr>
      <w:r w:rsidRPr="003F7F8B">
        <w:t xml:space="preserve">The SEPA Evaluation Study will not require exemption from displaying the expiration date of OMB approval. Any reproduction of the data collection instruments will prominently display the OMB approval number and expiration date.  </w:t>
      </w:r>
    </w:p>
    <w:p w:rsidR="003F7F8B" w:rsidRPr="003F7F8B" w:rsidRDefault="003F7F8B" w:rsidP="00E1241A">
      <w:pPr>
        <w:pStyle w:val="L1-FlLSp12"/>
      </w:pPr>
    </w:p>
    <w:p w:rsidR="003F7F8B" w:rsidRPr="003F7F8B" w:rsidRDefault="003F7F8B" w:rsidP="00EA574F">
      <w:pPr>
        <w:pStyle w:val="Heading2"/>
      </w:pPr>
      <w:bookmarkStart w:id="157" w:name="_Toc144549949"/>
      <w:bookmarkStart w:id="158" w:name="_Toc417456688"/>
      <w:bookmarkStart w:id="159" w:name="_Toc417539945"/>
      <w:bookmarkStart w:id="160" w:name="_Toc417540097"/>
      <w:r w:rsidRPr="003F7F8B">
        <w:t>A.18.</w:t>
      </w:r>
      <w:r w:rsidRPr="003F7F8B">
        <w:tab/>
        <w:t>Exceptions to Certification for Paperwork Reduction Act Submissions</w:t>
      </w:r>
      <w:bookmarkEnd w:id="157"/>
      <w:bookmarkEnd w:id="158"/>
      <w:bookmarkEnd w:id="159"/>
      <w:bookmarkEnd w:id="160"/>
      <w:r w:rsidRPr="003F7F8B">
        <w:t xml:space="preserve"> </w:t>
      </w:r>
    </w:p>
    <w:p w:rsidR="003F7F8B" w:rsidRPr="003F7F8B" w:rsidRDefault="003F7F8B" w:rsidP="00E1241A">
      <w:pPr>
        <w:pStyle w:val="L1-FlLSp12"/>
      </w:pPr>
      <w:r w:rsidRPr="003F7F8B">
        <w:t>The SEPA Evaluation Study does not require any exceptions to the Certificate for Paperwork Reduction Act (5 CFR 1320.9).</w:t>
      </w:r>
    </w:p>
    <w:sectPr w:rsidR="003F7F8B" w:rsidRPr="003F7F8B" w:rsidSect="00EA574F">
      <w:footerReference w:type="default" r:id="rId12"/>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9C8" w:rsidRDefault="001C39C8">
      <w:pPr>
        <w:spacing w:line="240" w:lineRule="auto"/>
      </w:pPr>
      <w:r>
        <w:separator/>
      </w:r>
    </w:p>
  </w:endnote>
  <w:endnote w:type="continuationSeparator" w:id="0">
    <w:p w:rsidR="001C39C8" w:rsidRDefault="001C39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8F6" w:rsidRDefault="008328F6" w:rsidP="00E124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8328F6" w:rsidRDefault="008328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8F6" w:rsidRDefault="008328F6" w:rsidP="00E1241A">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rsidR="008328F6" w:rsidRDefault="008328F6" w:rsidP="00E1241A">
    <w:pPr>
      <w:pStyle w:val="Footer"/>
      <w:jc w:val="center"/>
      <w:rPr>
        <w:color w:val="FF0000"/>
        <w:sz w:val="20"/>
      </w:rPr>
    </w:pPr>
    <w:r w:rsidRPr="00B11F8C">
      <w:rPr>
        <w:color w:val="FF0000"/>
        <w:sz w:val="20"/>
      </w:rPr>
      <w:fldChar w:fldCharType="begin"/>
    </w:r>
    <w:r w:rsidRPr="00B11F8C">
      <w:rPr>
        <w:color w:val="FF0000"/>
        <w:sz w:val="20"/>
      </w:rPr>
      <w:instrText xml:space="preserve"> FILENAME \p </w:instrText>
    </w:r>
    <w:r w:rsidRPr="00B11F8C">
      <w:rPr>
        <w:color w:val="FF0000"/>
        <w:sz w:val="20"/>
      </w:rPr>
      <w:fldChar w:fldCharType="separate"/>
    </w:r>
    <w:r>
      <w:rPr>
        <w:noProof/>
        <w:color w:val="FF0000"/>
        <w:sz w:val="20"/>
      </w:rPr>
      <w:t>S:\BGGRP\Staff\Sylvie Warren\My Documents\6266.01.01.05 - SEPA OMB CLEARANCE PACKGE\Supporting Statement A - Draft 2 (04-22-15).docx</w:t>
    </w:r>
    <w:r w:rsidRPr="00B11F8C">
      <w:rPr>
        <w:color w:val="FF0000"/>
        <w:sz w:val="20"/>
      </w:rPr>
      <w:fldChar w:fldCharType="end"/>
    </w:r>
  </w:p>
  <w:p w:rsidR="008328F6" w:rsidRPr="001A132D" w:rsidRDefault="008328F6" w:rsidP="00E1241A">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8F6" w:rsidRPr="00E1241A" w:rsidRDefault="008328F6" w:rsidP="00E1241A">
    <w:pPr>
      <w:pStyle w:val="Footer"/>
      <w:jc w:val="center"/>
      <w:rPr>
        <w:rFonts w:ascii="Times New Roman" w:hAnsi="Times New Roman"/>
        <w:sz w:val="22"/>
        <w:szCs w:val="22"/>
      </w:rPr>
    </w:pPr>
    <w:r w:rsidRPr="00E1241A">
      <w:rPr>
        <w:rFonts w:ascii="Times New Roman" w:hAnsi="Times New Roman"/>
        <w:sz w:val="22"/>
        <w:szCs w:val="22"/>
      </w:rPr>
      <w:fldChar w:fldCharType="begin"/>
    </w:r>
    <w:r w:rsidRPr="00E1241A">
      <w:rPr>
        <w:rFonts w:ascii="Times New Roman" w:hAnsi="Times New Roman"/>
        <w:sz w:val="22"/>
        <w:szCs w:val="22"/>
      </w:rPr>
      <w:instrText xml:space="preserve"> PAGE   \* MERGEFORMAT </w:instrText>
    </w:r>
    <w:r w:rsidRPr="00E1241A">
      <w:rPr>
        <w:rFonts w:ascii="Times New Roman" w:hAnsi="Times New Roman"/>
        <w:sz w:val="22"/>
        <w:szCs w:val="22"/>
      </w:rPr>
      <w:fldChar w:fldCharType="separate"/>
    </w:r>
    <w:r w:rsidR="00A50F30">
      <w:rPr>
        <w:rFonts w:ascii="Times New Roman" w:hAnsi="Times New Roman"/>
        <w:noProof/>
        <w:sz w:val="22"/>
        <w:szCs w:val="22"/>
      </w:rPr>
      <w:t>17</w:t>
    </w:r>
    <w:r w:rsidRPr="00E1241A">
      <w:rPr>
        <w:rFonts w:ascii="Times New Roman" w:hAnsi="Times New Roman"/>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9C8" w:rsidRDefault="001C39C8">
      <w:pPr>
        <w:spacing w:line="240" w:lineRule="auto"/>
      </w:pPr>
      <w:r>
        <w:separator/>
      </w:r>
    </w:p>
  </w:footnote>
  <w:footnote w:type="continuationSeparator" w:id="0">
    <w:p w:rsidR="001C39C8" w:rsidRDefault="001C39C8">
      <w:pPr>
        <w:spacing w:line="240" w:lineRule="auto"/>
      </w:pPr>
      <w:r>
        <w:continuationSeparator/>
      </w:r>
    </w:p>
  </w:footnote>
  <w:footnote w:id="1">
    <w:p w:rsidR="008328F6" w:rsidRPr="003F7F8B" w:rsidRDefault="008328F6" w:rsidP="003F7F8B">
      <w:pPr>
        <w:pStyle w:val="FootnoteText"/>
        <w:rPr>
          <w:rFonts w:ascii="Times New Roman" w:hAnsi="Times New Roman"/>
          <w:sz w:val="16"/>
          <w:szCs w:val="16"/>
        </w:rPr>
      </w:pPr>
      <w:r w:rsidRPr="003F7F8B">
        <w:rPr>
          <w:rStyle w:val="FootnoteReference"/>
          <w:rFonts w:ascii="Times New Roman" w:hAnsi="Times New Roman"/>
          <w:sz w:val="16"/>
          <w:szCs w:val="16"/>
        </w:rPr>
        <w:footnoteRef/>
      </w:r>
      <w:r w:rsidRPr="003F7F8B">
        <w:rPr>
          <w:rFonts w:ascii="Times New Roman" w:hAnsi="Times New Roman"/>
          <w:sz w:val="16"/>
          <w:szCs w:val="16"/>
        </w:rPr>
        <w:tab/>
        <w:t xml:space="preserve">Alternatively, we will explore the possibility for the site visits to coincide with regularly scheduled SEPA </w:t>
      </w:r>
      <w:r>
        <w:rPr>
          <w:rFonts w:ascii="Times New Roman" w:hAnsi="Times New Roman"/>
          <w:sz w:val="16"/>
          <w:szCs w:val="16"/>
        </w:rPr>
        <w:t>project director</w:t>
      </w:r>
      <w:r w:rsidRPr="003F7F8B">
        <w:rPr>
          <w:rFonts w:ascii="Times New Roman" w:hAnsi="Times New Roman"/>
          <w:sz w:val="16"/>
          <w:szCs w:val="16"/>
        </w:rPr>
        <w:t xml:space="preserve"> meetings to avoid additional travel burden on participants. This will depend on the timing of the meetings and whether a critical number of project staff will be attending the meeting.</w:t>
      </w:r>
    </w:p>
  </w:footnote>
  <w:footnote w:id="2">
    <w:p w:rsidR="008328F6" w:rsidRPr="003F7F8B" w:rsidRDefault="008328F6" w:rsidP="003F7F8B">
      <w:pPr>
        <w:pStyle w:val="FootnoteText"/>
        <w:rPr>
          <w:rFonts w:ascii="Times New Roman" w:hAnsi="Times New Roman"/>
          <w:sz w:val="16"/>
          <w:szCs w:val="16"/>
        </w:rPr>
      </w:pPr>
      <w:r w:rsidRPr="003F7F8B">
        <w:rPr>
          <w:rStyle w:val="FootnoteReference"/>
          <w:rFonts w:ascii="Times New Roman" w:hAnsi="Times New Roman"/>
          <w:sz w:val="16"/>
          <w:szCs w:val="16"/>
        </w:rPr>
        <w:footnoteRef/>
      </w:r>
      <w:r w:rsidRPr="003F7F8B">
        <w:rPr>
          <w:rFonts w:ascii="Times New Roman" w:hAnsi="Times New Roman"/>
          <w:sz w:val="16"/>
          <w:szCs w:val="16"/>
        </w:rPr>
        <w:tab/>
        <w:t>For participants who are not available during the site visit, we will conduct a separate telephone interview with</w:t>
      </w:r>
      <w:r>
        <w:rPr>
          <w:rFonts w:ascii="Times New Roman" w:hAnsi="Times New Roman"/>
          <w:sz w:val="16"/>
          <w:szCs w:val="16"/>
        </w:rPr>
        <w:t xml:space="preserve"> each</w:t>
      </w:r>
      <w:r w:rsidRPr="003F7F8B">
        <w:rPr>
          <w:rFonts w:ascii="Times New Roman" w:hAnsi="Times New Roman"/>
          <w:sz w:val="16"/>
          <w:szCs w:val="16"/>
        </w:rPr>
        <w:t xml:space="preserve">. </w:t>
      </w:r>
    </w:p>
  </w:footnote>
  <w:footnote w:id="3">
    <w:p w:rsidR="008328F6" w:rsidRDefault="008328F6">
      <w:pPr>
        <w:pStyle w:val="FootnoteText"/>
      </w:pPr>
      <w:r>
        <w:rPr>
          <w:rStyle w:val="FootnoteReference"/>
        </w:rPr>
        <w:footnoteRef/>
      </w:r>
      <w:r>
        <w:t xml:space="preserve"> </w:t>
      </w:r>
      <w:r w:rsidRPr="00F7529F">
        <w:rPr>
          <w:rFonts w:ascii="Times New Roman" w:hAnsi="Times New Roman"/>
          <w:sz w:val="16"/>
          <w:szCs w:val="16"/>
        </w:rPr>
        <w:t xml:space="preserve">Please note that in the table, the total number of unique respondents for the proposed data collection is 558 (156 PIs, 312 project partners, and 90 key staff personel). Since each cohort of respondents (e.g., PIs, partners) may be involved in more than one data collection, are listed under multiple data collection types (interview, survey, etc.) but are ee counted only once. Please note the total number of respondents is correct as indicated.   </w:t>
      </w:r>
    </w:p>
  </w:footnote>
  <w:footnote w:id="4">
    <w:p w:rsidR="008328F6" w:rsidRPr="00EB426F" w:rsidRDefault="008328F6" w:rsidP="00EB426F">
      <w:pPr>
        <w:pStyle w:val="FootnoteText"/>
        <w:rPr>
          <w:rFonts w:ascii="Times New Roman" w:hAnsi="Times New Roman"/>
          <w:sz w:val="16"/>
          <w:szCs w:val="16"/>
        </w:rPr>
      </w:pPr>
      <w:r w:rsidRPr="00EB426F">
        <w:rPr>
          <w:rStyle w:val="FootnoteReference"/>
          <w:rFonts w:ascii="Times New Roman" w:hAnsi="Times New Roman"/>
          <w:sz w:val="16"/>
          <w:szCs w:val="16"/>
        </w:rPr>
        <w:footnoteRef/>
      </w:r>
      <w:r w:rsidRPr="00EB426F">
        <w:rPr>
          <w:rFonts w:ascii="Times New Roman" w:hAnsi="Times New Roman"/>
          <w:sz w:val="16"/>
          <w:szCs w:val="16"/>
        </w:rPr>
        <w:t xml:space="preserve"> Bureau of Labor Statistics (2014, May). May 2014 National Occupational Employment and Wage Estimates United States. Retrieved from: </w:t>
      </w:r>
      <w:hyperlink r:id="rId1" w:anchor="19-0000" w:history="1">
        <w:r w:rsidRPr="00EB426F">
          <w:rPr>
            <w:rStyle w:val="Hyperlink"/>
            <w:rFonts w:ascii="Times New Roman" w:hAnsi="Times New Roman"/>
            <w:sz w:val="16"/>
            <w:szCs w:val="16"/>
          </w:rPr>
          <w:t>http://www.bls.gov/oes/current/oes_nat.htm#19-0000</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
    <w:nsid w:val="3E272F80"/>
    <w:multiLevelType w:val="hybridMultilevel"/>
    <w:tmpl w:val="E586F218"/>
    <w:lvl w:ilvl="0" w:tplc="16565150">
      <w:start w:val="1"/>
      <w:numFmt w:val="decimal"/>
      <w:pStyle w:val="N3-3rdBullet"/>
      <w:lvlText w:val="(%1)"/>
      <w:lvlJc w:val="left"/>
      <w:pPr>
        <w:tabs>
          <w:tab w:val="num" w:pos="1296"/>
        </w:tabs>
        <w:ind w:left="1296" w:hanging="576"/>
      </w:pPr>
      <w:rPr>
        <w:rFonts w:hint="default"/>
        <w:sz w:val="22"/>
      </w:rPr>
    </w:lvl>
    <w:lvl w:ilvl="1" w:tplc="04090019" w:tentative="1">
      <w:start w:val="1"/>
      <w:numFmt w:val="lowerLetter"/>
      <w:lvlText w:val="%2."/>
      <w:lvlJc w:val="left"/>
      <w:pPr>
        <w:tabs>
          <w:tab w:val="num" w:pos="432"/>
        </w:tabs>
        <w:ind w:left="432" w:hanging="360"/>
      </w:pPr>
    </w:lvl>
    <w:lvl w:ilvl="2" w:tplc="0409001B" w:tentative="1">
      <w:start w:val="1"/>
      <w:numFmt w:val="lowerRoman"/>
      <w:lvlText w:val="%3."/>
      <w:lvlJc w:val="right"/>
      <w:pPr>
        <w:tabs>
          <w:tab w:val="num" w:pos="1152"/>
        </w:tabs>
        <w:ind w:left="1152" w:hanging="180"/>
      </w:pPr>
    </w:lvl>
    <w:lvl w:ilvl="3" w:tplc="0409000F" w:tentative="1">
      <w:start w:val="1"/>
      <w:numFmt w:val="decimal"/>
      <w:lvlText w:val="%4."/>
      <w:lvlJc w:val="left"/>
      <w:pPr>
        <w:tabs>
          <w:tab w:val="num" w:pos="1872"/>
        </w:tabs>
        <w:ind w:left="1872" w:hanging="360"/>
      </w:pPr>
    </w:lvl>
    <w:lvl w:ilvl="4" w:tplc="04090019" w:tentative="1">
      <w:start w:val="1"/>
      <w:numFmt w:val="lowerLetter"/>
      <w:lvlText w:val="%5."/>
      <w:lvlJc w:val="left"/>
      <w:pPr>
        <w:tabs>
          <w:tab w:val="num" w:pos="2592"/>
        </w:tabs>
        <w:ind w:left="2592" w:hanging="360"/>
      </w:pPr>
    </w:lvl>
    <w:lvl w:ilvl="5" w:tplc="0409001B" w:tentative="1">
      <w:start w:val="1"/>
      <w:numFmt w:val="lowerRoman"/>
      <w:lvlText w:val="%6."/>
      <w:lvlJc w:val="right"/>
      <w:pPr>
        <w:tabs>
          <w:tab w:val="num" w:pos="3312"/>
        </w:tabs>
        <w:ind w:left="3312" w:hanging="180"/>
      </w:pPr>
    </w:lvl>
    <w:lvl w:ilvl="6" w:tplc="0409000F" w:tentative="1">
      <w:start w:val="1"/>
      <w:numFmt w:val="decimal"/>
      <w:lvlText w:val="%7."/>
      <w:lvlJc w:val="left"/>
      <w:pPr>
        <w:tabs>
          <w:tab w:val="num" w:pos="4032"/>
        </w:tabs>
        <w:ind w:left="4032" w:hanging="360"/>
      </w:pPr>
    </w:lvl>
    <w:lvl w:ilvl="7" w:tplc="04090019" w:tentative="1">
      <w:start w:val="1"/>
      <w:numFmt w:val="lowerLetter"/>
      <w:lvlText w:val="%8."/>
      <w:lvlJc w:val="left"/>
      <w:pPr>
        <w:tabs>
          <w:tab w:val="num" w:pos="4752"/>
        </w:tabs>
        <w:ind w:left="4752" w:hanging="360"/>
      </w:pPr>
    </w:lvl>
    <w:lvl w:ilvl="8" w:tplc="0409001B" w:tentative="1">
      <w:start w:val="1"/>
      <w:numFmt w:val="lowerRoman"/>
      <w:lvlText w:val="%9."/>
      <w:lvlJc w:val="right"/>
      <w:pPr>
        <w:tabs>
          <w:tab w:val="num" w:pos="5472"/>
        </w:tabs>
        <w:ind w:left="5472" w:hanging="180"/>
      </w:pPr>
    </w:lvl>
  </w:abstractNum>
  <w:abstractNum w:abstractNumId="3">
    <w:nsid w:val="3F8D40E6"/>
    <w:multiLevelType w:val="hybridMultilevel"/>
    <w:tmpl w:val="E2FA2EEC"/>
    <w:lvl w:ilvl="0" w:tplc="0E0A1914">
      <w:start w:val="1"/>
      <w:numFmt w:val="bullet"/>
      <w:lvlText w:val=""/>
      <w:lvlJc w:val="left"/>
      <w:pPr>
        <w:ind w:left="1512" w:hanging="360"/>
      </w:pPr>
      <w:rPr>
        <w:rFonts w:ascii="Symbol" w:hAnsi="Symbol" w:hint="default"/>
        <w:sz w:val="24"/>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nsid w:val="5F8C4E5A"/>
    <w:multiLevelType w:val="hybridMultilevel"/>
    <w:tmpl w:val="2B0233F8"/>
    <w:lvl w:ilvl="0" w:tplc="0FCECFE8">
      <w:start w:val="1"/>
      <w:numFmt w:val="bullet"/>
      <w:pStyle w:val="N1-1stBullet"/>
      <w:lvlText w:val=""/>
      <w:lvlJc w:val="left"/>
      <w:pPr>
        <w:tabs>
          <w:tab w:val="num" w:pos="1152"/>
        </w:tabs>
        <w:ind w:left="1152" w:hanging="576"/>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 w:numId="7">
    <w:abstractNumId w:val="2"/>
    <w:lvlOverride w:ilvl="0">
      <w:startOverride w:val="1"/>
    </w:lvlOverride>
  </w:num>
  <w:num w:numId="8">
    <w:abstractNumId w:val="2"/>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displayBackgroundShape/>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F8B"/>
    <w:rsid w:val="000350E9"/>
    <w:rsid w:val="00036AF4"/>
    <w:rsid w:val="00043871"/>
    <w:rsid w:val="000447C2"/>
    <w:rsid w:val="00047085"/>
    <w:rsid w:val="00051FAB"/>
    <w:rsid w:val="00057925"/>
    <w:rsid w:val="0006498E"/>
    <w:rsid w:val="00066207"/>
    <w:rsid w:val="00073632"/>
    <w:rsid w:val="00073F2D"/>
    <w:rsid w:val="00076495"/>
    <w:rsid w:val="00091A23"/>
    <w:rsid w:val="000C33DB"/>
    <w:rsid w:val="000D02CD"/>
    <w:rsid w:val="000D51B5"/>
    <w:rsid w:val="000E07BE"/>
    <w:rsid w:val="000F4CFB"/>
    <w:rsid w:val="001009AE"/>
    <w:rsid w:val="00101C84"/>
    <w:rsid w:val="00114C6E"/>
    <w:rsid w:val="00120A6B"/>
    <w:rsid w:val="00121A4A"/>
    <w:rsid w:val="00134EFB"/>
    <w:rsid w:val="00147D20"/>
    <w:rsid w:val="00152B01"/>
    <w:rsid w:val="00156208"/>
    <w:rsid w:val="001659AC"/>
    <w:rsid w:val="001768BA"/>
    <w:rsid w:val="00184A10"/>
    <w:rsid w:val="00190DF8"/>
    <w:rsid w:val="001A10A2"/>
    <w:rsid w:val="001B03B2"/>
    <w:rsid w:val="001B097C"/>
    <w:rsid w:val="001B6AA1"/>
    <w:rsid w:val="001C39C8"/>
    <w:rsid w:val="001C64C4"/>
    <w:rsid w:val="001C69DD"/>
    <w:rsid w:val="001D0187"/>
    <w:rsid w:val="001D1F70"/>
    <w:rsid w:val="001E3800"/>
    <w:rsid w:val="001E589E"/>
    <w:rsid w:val="001E5F24"/>
    <w:rsid w:val="001E6079"/>
    <w:rsid w:val="00203CA4"/>
    <w:rsid w:val="00203EFB"/>
    <w:rsid w:val="0020415E"/>
    <w:rsid w:val="00204785"/>
    <w:rsid w:val="0020526D"/>
    <w:rsid w:val="00212FFB"/>
    <w:rsid w:val="002143C2"/>
    <w:rsid w:val="00214B46"/>
    <w:rsid w:val="00215826"/>
    <w:rsid w:val="00266495"/>
    <w:rsid w:val="00267642"/>
    <w:rsid w:val="002747D9"/>
    <w:rsid w:val="00282312"/>
    <w:rsid w:val="002851B1"/>
    <w:rsid w:val="002A6821"/>
    <w:rsid w:val="002B16CD"/>
    <w:rsid w:val="002D1420"/>
    <w:rsid w:val="002D3E8C"/>
    <w:rsid w:val="002D5E41"/>
    <w:rsid w:val="002F0F19"/>
    <w:rsid w:val="002F5259"/>
    <w:rsid w:val="00302E5C"/>
    <w:rsid w:val="00304009"/>
    <w:rsid w:val="00315646"/>
    <w:rsid w:val="003215B2"/>
    <w:rsid w:val="00323FC9"/>
    <w:rsid w:val="003254F9"/>
    <w:rsid w:val="00333DF5"/>
    <w:rsid w:val="00383C29"/>
    <w:rsid w:val="00397B0B"/>
    <w:rsid w:val="003A33F2"/>
    <w:rsid w:val="003A4615"/>
    <w:rsid w:val="003A522C"/>
    <w:rsid w:val="003A6AB6"/>
    <w:rsid w:val="003C3199"/>
    <w:rsid w:val="003F7F8B"/>
    <w:rsid w:val="004144E2"/>
    <w:rsid w:val="00414B36"/>
    <w:rsid w:val="004153AF"/>
    <w:rsid w:val="00417779"/>
    <w:rsid w:val="00421E98"/>
    <w:rsid w:val="004273F4"/>
    <w:rsid w:val="0047041E"/>
    <w:rsid w:val="004762B0"/>
    <w:rsid w:val="00477D49"/>
    <w:rsid w:val="00481DB2"/>
    <w:rsid w:val="00493E51"/>
    <w:rsid w:val="004B2505"/>
    <w:rsid w:val="004B3AEF"/>
    <w:rsid w:val="004C3654"/>
    <w:rsid w:val="004D0D4C"/>
    <w:rsid w:val="004D3719"/>
    <w:rsid w:val="004D3807"/>
    <w:rsid w:val="004E7AC1"/>
    <w:rsid w:val="00517BD9"/>
    <w:rsid w:val="005444F4"/>
    <w:rsid w:val="005547B9"/>
    <w:rsid w:val="00575C11"/>
    <w:rsid w:val="00580B23"/>
    <w:rsid w:val="00593313"/>
    <w:rsid w:val="00596C37"/>
    <w:rsid w:val="005A6B56"/>
    <w:rsid w:val="005B7031"/>
    <w:rsid w:val="005D1174"/>
    <w:rsid w:val="005D46D8"/>
    <w:rsid w:val="005D5BBC"/>
    <w:rsid w:val="005E3AA1"/>
    <w:rsid w:val="005E53FF"/>
    <w:rsid w:val="005F33C9"/>
    <w:rsid w:val="005F4F41"/>
    <w:rsid w:val="005F5509"/>
    <w:rsid w:val="0060053D"/>
    <w:rsid w:val="00614494"/>
    <w:rsid w:val="00615510"/>
    <w:rsid w:val="006313A0"/>
    <w:rsid w:val="00644471"/>
    <w:rsid w:val="00651022"/>
    <w:rsid w:val="00672E8F"/>
    <w:rsid w:val="006756A3"/>
    <w:rsid w:val="0068253C"/>
    <w:rsid w:val="00683296"/>
    <w:rsid w:val="0068381B"/>
    <w:rsid w:val="00683820"/>
    <w:rsid w:val="00684314"/>
    <w:rsid w:val="006849A8"/>
    <w:rsid w:val="006901D7"/>
    <w:rsid w:val="006A0637"/>
    <w:rsid w:val="006A238C"/>
    <w:rsid w:val="006A46F6"/>
    <w:rsid w:val="006D367C"/>
    <w:rsid w:val="006D735C"/>
    <w:rsid w:val="006D7938"/>
    <w:rsid w:val="006E775D"/>
    <w:rsid w:val="0070039E"/>
    <w:rsid w:val="007035CD"/>
    <w:rsid w:val="00705A09"/>
    <w:rsid w:val="00707A44"/>
    <w:rsid w:val="00721588"/>
    <w:rsid w:val="0072337A"/>
    <w:rsid w:val="007304BD"/>
    <w:rsid w:val="00731A44"/>
    <w:rsid w:val="00741FAB"/>
    <w:rsid w:val="0074389B"/>
    <w:rsid w:val="00762906"/>
    <w:rsid w:val="00770E81"/>
    <w:rsid w:val="00774268"/>
    <w:rsid w:val="0077775D"/>
    <w:rsid w:val="00795760"/>
    <w:rsid w:val="007A4BF5"/>
    <w:rsid w:val="007A76FF"/>
    <w:rsid w:val="007A7CB3"/>
    <w:rsid w:val="007C0946"/>
    <w:rsid w:val="007C2D80"/>
    <w:rsid w:val="007C461F"/>
    <w:rsid w:val="008072C7"/>
    <w:rsid w:val="00820C97"/>
    <w:rsid w:val="008328F6"/>
    <w:rsid w:val="0084149B"/>
    <w:rsid w:val="00846640"/>
    <w:rsid w:val="008478CF"/>
    <w:rsid w:val="00850A8B"/>
    <w:rsid w:val="00853851"/>
    <w:rsid w:val="008539B0"/>
    <w:rsid w:val="008562F2"/>
    <w:rsid w:val="0086324B"/>
    <w:rsid w:val="008750B5"/>
    <w:rsid w:val="0088021E"/>
    <w:rsid w:val="008874B0"/>
    <w:rsid w:val="00887EC8"/>
    <w:rsid w:val="00894610"/>
    <w:rsid w:val="00895E95"/>
    <w:rsid w:val="008B577C"/>
    <w:rsid w:val="008D45A5"/>
    <w:rsid w:val="00912E77"/>
    <w:rsid w:val="00923737"/>
    <w:rsid w:val="00923C66"/>
    <w:rsid w:val="0092722D"/>
    <w:rsid w:val="009355F7"/>
    <w:rsid w:val="00940319"/>
    <w:rsid w:val="0094284C"/>
    <w:rsid w:val="00950A60"/>
    <w:rsid w:val="0095362B"/>
    <w:rsid w:val="0097142D"/>
    <w:rsid w:val="009846CE"/>
    <w:rsid w:val="009848E6"/>
    <w:rsid w:val="009871D3"/>
    <w:rsid w:val="00992616"/>
    <w:rsid w:val="00992641"/>
    <w:rsid w:val="009943A4"/>
    <w:rsid w:val="0099495C"/>
    <w:rsid w:val="009D254B"/>
    <w:rsid w:val="00A15A6F"/>
    <w:rsid w:val="00A26E08"/>
    <w:rsid w:val="00A35582"/>
    <w:rsid w:val="00A44935"/>
    <w:rsid w:val="00A5064E"/>
    <w:rsid w:val="00A50F30"/>
    <w:rsid w:val="00A668DB"/>
    <w:rsid w:val="00A755BD"/>
    <w:rsid w:val="00A75648"/>
    <w:rsid w:val="00A77D80"/>
    <w:rsid w:val="00A80085"/>
    <w:rsid w:val="00A80C12"/>
    <w:rsid w:val="00A877F4"/>
    <w:rsid w:val="00A9104B"/>
    <w:rsid w:val="00AC64BC"/>
    <w:rsid w:val="00AD5980"/>
    <w:rsid w:val="00AF1251"/>
    <w:rsid w:val="00AF3094"/>
    <w:rsid w:val="00B04A10"/>
    <w:rsid w:val="00B06CAC"/>
    <w:rsid w:val="00B118D4"/>
    <w:rsid w:val="00B11E90"/>
    <w:rsid w:val="00B231D1"/>
    <w:rsid w:val="00B54406"/>
    <w:rsid w:val="00B55900"/>
    <w:rsid w:val="00B55B95"/>
    <w:rsid w:val="00B66B98"/>
    <w:rsid w:val="00B70876"/>
    <w:rsid w:val="00B755EB"/>
    <w:rsid w:val="00B84D69"/>
    <w:rsid w:val="00B9677F"/>
    <w:rsid w:val="00BA4999"/>
    <w:rsid w:val="00BB06E9"/>
    <w:rsid w:val="00BB1699"/>
    <w:rsid w:val="00BB4064"/>
    <w:rsid w:val="00BB46EA"/>
    <w:rsid w:val="00BC6E81"/>
    <w:rsid w:val="00BD1970"/>
    <w:rsid w:val="00BD4AB9"/>
    <w:rsid w:val="00BE2034"/>
    <w:rsid w:val="00BF2625"/>
    <w:rsid w:val="00C02332"/>
    <w:rsid w:val="00C06140"/>
    <w:rsid w:val="00C07120"/>
    <w:rsid w:val="00C14B4C"/>
    <w:rsid w:val="00C16990"/>
    <w:rsid w:val="00C23317"/>
    <w:rsid w:val="00C274BD"/>
    <w:rsid w:val="00C31396"/>
    <w:rsid w:val="00C41ADD"/>
    <w:rsid w:val="00C44186"/>
    <w:rsid w:val="00C50612"/>
    <w:rsid w:val="00C61ED2"/>
    <w:rsid w:val="00C81152"/>
    <w:rsid w:val="00C9296E"/>
    <w:rsid w:val="00C9473F"/>
    <w:rsid w:val="00CB6421"/>
    <w:rsid w:val="00CD70C0"/>
    <w:rsid w:val="00CE1126"/>
    <w:rsid w:val="00CE1297"/>
    <w:rsid w:val="00CE54F8"/>
    <w:rsid w:val="00CE6820"/>
    <w:rsid w:val="00CF2F50"/>
    <w:rsid w:val="00D026CE"/>
    <w:rsid w:val="00D256B0"/>
    <w:rsid w:val="00D302BC"/>
    <w:rsid w:val="00D564BE"/>
    <w:rsid w:val="00D63563"/>
    <w:rsid w:val="00D943FC"/>
    <w:rsid w:val="00DB4B6E"/>
    <w:rsid w:val="00DC22E5"/>
    <w:rsid w:val="00DD1E74"/>
    <w:rsid w:val="00DD3D5F"/>
    <w:rsid w:val="00DD4E06"/>
    <w:rsid w:val="00DE432A"/>
    <w:rsid w:val="00DE658E"/>
    <w:rsid w:val="00DF435E"/>
    <w:rsid w:val="00E0171F"/>
    <w:rsid w:val="00E03A89"/>
    <w:rsid w:val="00E11D52"/>
    <w:rsid w:val="00E1241A"/>
    <w:rsid w:val="00E12C7B"/>
    <w:rsid w:val="00E1521A"/>
    <w:rsid w:val="00E20492"/>
    <w:rsid w:val="00E30E6D"/>
    <w:rsid w:val="00E314C7"/>
    <w:rsid w:val="00E33761"/>
    <w:rsid w:val="00E6096F"/>
    <w:rsid w:val="00E60C13"/>
    <w:rsid w:val="00E62BCD"/>
    <w:rsid w:val="00E65595"/>
    <w:rsid w:val="00E70DFB"/>
    <w:rsid w:val="00E90931"/>
    <w:rsid w:val="00E976F7"/>
    <w:rsid w:val="00EA574F"/>
    <w:rsid w:val="00EA6750"/>
    <w:rsid w:val="00EB426F"/>
    <w:rsid w:val="00EC17B6"/>
    <w:rsid w:val="00EC5256"/>
    <w:rsid w:val="00ED3B35"/>
    <w:rsid w:val="00EE593E"/>
    <w:rsid w:val="00EF4608"/>
    <w:rsid w:val="00F05E2C"/>
    <w:rsid w:val="00F22B9D"/>
    <w:rsid w:val="00F31A3D"/>
    <w:rsid w:val="00F54A25"/>
    <w:rsid w:val="00F71823"/>
    <w:rsid w:val="00F72113"/>
    <w:rsid w:val="00F7529F"/>
    <w:rsid w:val="00FA2A6C"/>
    <w:rsid w:val="00FB2FBC"/>
    <w:rsid w:val="00FD15AF"/>
    <w:rsid w:val="00FD6DD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3F7F8B"/>
    <w:pPr>
      <w:spacing w:after="360"/>
      <w:ind w:left="1152" w:hanging="1152"/>
      <w:jc w:val="left"/>
      <w:outlineLvl w:val="1"/>
    </w:pPr>
    <w:rPr>
      <w:rFonts w:ascii="Arial" w:hAnsi="Arial" w:cs="Arial"/>
      <w:sz w:val="32"/>
    </w:rPr>
  </w:style>
  <w:style w:type="paragraph" w:styleId="Heading3">
    <w:name w:val="heading 3"/>
    <w:aliases w:val="H3-Sec. Head"/>
    <w:basedOn w:val="Heading1"/>
    <w:next w:val="L1-FlLSp12"/>
    <w:qFormat/>
    <w:rsid w:val="003F7F8B"/>
    <w:pPr>
      <w:spacing w:after="360"/>
      <w:ind w:left="1152" w:hanging="1152"/>
      <w:jc w:val="left"/>
      <w:outlineLvl w:val="2"/>
    </w:pPr>
    <w:rPr>
      <w:rFonts w:ascii="Arial" w:hAnsi="Arial" w:cs="Arial"/>
      <w:sz w:val="28"/>
    </w:rPr>
  </w:style>
  <w:style w:type="paragraph" w:styleId="Heading4">
    <w:name w:val="heading 4"/>
    <w:aliases w:val="H4-Sec. Head,H4 Sec.Heading"/>
    <w:basedOn w:val="Heading1"/>
    <w:next w:val="L1-FlLSp12"/>
    <w:qFormat/>
    <w:rsid w:val="003F7F8B"/>
    <w:pPr>
      <w:spacing w:after="360"/>
      <w:ind w:left="1152" w:hanging="1152"/>
      <w:jc w:val="left"/>
      <w:outlineLvl w:val="3"/>
    </w:pPr>
    <w:rPr>
      <w:rFonts w:ascii="Times New Roman" w:hAnsi="Times New Roman"/>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paragraph" w:styleId="Heading8">
    <w:name w:val="heading 8"/>
    <w:basedOn w:val="Normal"/>
    <w:next w:val="Normal"/>
    <w:link w:val="Heading8Char"/>
    <w:qFormat/>
    <w:rsid w:val="003F7F8B"/>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link w:val="FootnoteTextChar"/>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link w:val="L1-FlLSp12Char"/>
    <w:rsid w:val="003F7F8B"/>
    <w:pPr>
      <w:tabs>
        <w:tab w:val="left" w:pos="1152"/>
      </w:tabs>
      <w:spacing w:line="360" w:lineRule="auto"/>
    </w:pPr>
    <w:rPr>
      <w:rFonts w:ascii="Times New Roman" w:hAnsi="Times New Roman"/>
      <w:szCs w:val="24"/>
    </w:r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3F7F8B"/>
    <w:pPr>
      <w:numPr>
        <w:numId w:val="5"/>
      </w:numPr>
      <w:spacing w:after="240"/>
    </w:pPr>
    <w:rPr>
      <w:rFonts w:ascii="Times New Roman" w:hAnsi="Times New Roman"/>
      <w:sz w:val="22"/>
      <w:szCs w:val="22"/>
    </w:rPr>
  </w:style>
  <w:style w:type="paragraph" w:customStyle="1" w:styleId="N2-2ndBullet">
    <w:name w:val="N2-2nd Bullet"/>
    <w:basedOn w:val="Normal"/>
    <w:rsid w:val="009D254B"/>
    <w:pPr>
      <w:numPr>
        <w:numId w:val="1"/>
      </w:numPr>
      <w:spacing w:after="240"/>
    </w:pPr>
  </w:style>
  <w:style w:type="paragraph" w:customStyle="1" w:styleId="N3-3rdBullet">
    <w:name w:val="N3-3rd Bullet"/>
    <w:basedOn w:val="Normal"/>
    <w:rsid w:val="003F7F8B"/>
    <w:pPr>
      <w:numPr>
        <w:numId w:val="2"/>
      </w:numPr>
      <w:spacing w:after="240"/>
    </w:pPr>
    <w:rPr>
      <w:rFonts w:ascii="Times New Roman" w:hAnsi="Times New Roman"/>
      <w:sz w:val="22"/>
      <w:szCs w:val="22"/>
    </w:rPr>
  </w:style>
  <w:style w:type="paragraph" w:customStyle="1" w:styleId="N4-4thBullet">
    <w:name w:val="N4-4th Bullet"/>
    <w:basedOn w:val="Normal"/>
    <w:rsid w:val="009D254B"/>
    <w:pPr>
      <w:numPr>
        <w:numId w:val="3"/>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1009AE"/>
    <w:pPr>
      <w:keepNext/>
      <w:tabs>
        <w:tab w:val="left" w:pos="1440"/>
      </w:tabs>
      <w:spacing w:line="240" w:lineRule="atLeast"/>
      <w:ind w:left="1440" w:hanging="1440"/>
    </w:pPr>
    <w:rPr>
      <w:rFonts w:ascii="Arial" w:hAnsi="Arial" w:cs="Arial"/>
      <w:b/>
      <w:sz w:val="24"/>
      <w:szCs w:val="24"/>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4"/>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ing8Char">
    <w:name w:val="Heading 8 Char"/>
    <w:basedOn w:val="DefaultParagraphFont"/>
    <w:link w:val="Heading8"/>
    <w:rsid w:val="003F7F8B"/>
    <w:rPr>
      <w:rFonts w:ascii="Garamond" w:hAnsi="Garamond"/>
      <w:b/>
      <w:sz w:val="24"/>
    </w:rPr>
  </w:style>
  <w:style w:type="character" w:styleId="CommentReference">
    <w:name w:val="annotation reference"/>
    <w:uiPriority w:val="99"/>
    <w:semiHidden/>
    <w:rsid w:val="003F7F8B"/>
    <w:rPr>
      <w:sz w:val="16"/>
    </w:rPr>
  </w:style>
  <w:style w:type="paragraph" w:styleId="CommentText">
    <w:name w:val="annotation text"/>
    <w:basedOn w:val="Normal"/>
    <w:link w:val="CommentTextChar"/>
    <w:uiPriority w:val="99"/>
    <w:semiHidden/>
    <w:rsid w:val="003F7F8B"/>
    <w:rPr>
      <w:sz w:val="20"/>
    </w:rPr>
  </w:style>
  <w:style w:type="character" w:customStyle="1" w:styleId="CommentTextChar">
    <w:name w:val="Comment Text Char"/>
    <w:basedOn w:val="DefaultParagraphFont"/>
    <w:link w:val="CommentText"/>
    <w:uiPriority w:val="99"/>
    <w:semiHidden/>
    <w:rsid w:val="003F7F8B"/>
    <w:rPr>
      <w:rFonts w:ascii="Garamond" w:hAnsi="Garamond"/>
    </w:rPr>
  </w:style>
  <w:style w:type="paragraph" w:styleId="Title">
    <w:name w:val="Title"/>
    <w:basedOn w:val="Normal"/>
    <w:link w:val="TitleChar"/>
    <w:qFormat/>
    <w:rsid w:val="003F7F8B"/>
    <w:pPr>
      <w:spacing w:line="240" w:lineRule="auto"/>
      <w:jc w:val="center"/>
    </w:pPr>
    <w:rPr>
      <w:b/>
    </w:rPr>
  </w:style>
  <w:style w:type="character" w:customStyle="1" w:styleId="TitleChar">
    <w:name w:val="Title Char"/>
    <w:basedOn w:val="DefaultParagraphFont"/>
    <w:link w:val="Title"/>
    <w:rsid w:val="003F7F8B"/>
    <w:rPr>
      <w:rFonts w:ascii="Garamond" w:hAnsi="Garamond"/>
      <w:b/>
      <w:sz w:val="24"/>
    </w:rPr>
  </w:style>
  <w:style w:type="paragraph" w:styleId="BodyText2">
    <w:name w:val="Body Text 2"/>
    <w:basedOn w:val="Normal"/>
    <w:link w:val="BodyText2Char"/>
    <w:rsid w:val="003F7F8B"/>
    <w:pPr>
      <w:spacing w:line="240" w:lineRule="auto"/>
      <w:ind w:left="360"/>
    </w:pPr>
  </w:style>
  <w:style w:type="character" w:customStyle="1" w:styleId="BodyText2Char">
    <w:name w:val="Body Text 2 Char"/>
    <w:basedOn w:val="DefaultParagraphFont"/>
    <w:link w:val="BodyText2"/>
    <w:rsid w:val="003F7F8B"/>
    <w:rPr>
      <w:rFonts w:ascii="Garamond" w:hAnsi="Garamond"/>
      <w:sz w:val="24"/>
    </w:rPr>
  </w:style>
  <w:style w:type="paragraph" w:styleId="BodyTextIndent2">
    <w:name w:val="Body Text Indent 2"/>
    <w:basedOn w:val="Normal"/>
    <w:link w:val="BodyTextIndent2Char"/>
    <w:rsid w:val="003F7F8B"/>
    <w:pPr>
      <w:spacing w:line="480" w:lineRule="auto"/>
      <w:ind w:left="360" w:firstLine="360"/>
    </w:pPr>
  </w:style>
  <w:style w:type="character" w:customStyle="1" w:styleId="BodyTextIndent2Char">
    <w:name w:val="Body Text Indent 2 Char"/>
    <w:basedOn w:val="DefaultParagraphFont"/>
    <w:link w:val="BodyTextIndent2"/>
    <w:rsid w:val="003F7F8B"/>
    <w:rPr>
      <w:rFonts w:ascii="Garamond" w:hAnsi="Garamond"/>
      <w:sz w:val="24"/>
    </w:rPr>
  </w:style>
  <w:style w:type="paragraph" w:styleId="BodyTextIndent3">
    <w:name w:val="Body Text Indent 3"/>
    <w:basedOn w:val="Normal"/>
    <w:link w:val="BodyTextIndent3Char"/>
    <w:rsid w:val="003F7F8B"/>
    <w:pPr>
      <w:tabs>
        <w:tab w:val="left" w:pos="990"/>
      </w:tabs>
      <w:spacing w:line="240" w:lineRule="auto"/>
      <w:ind w:left="990" w:hanging="990"/>
    </w:pPr>
  </w:style>
  <w:style w:type="character" w:customStyle="1" w:styleId="BodyTextIndent3Char">
    <w:name w:val="Body Text Indent 3 Char"/>
    <w:basedOn w:val="DefaultParagraphFont"/>
    <w:link w:val="BodyTextIndent3"/>
    <w:rsid w:val="003F7F8B"/>
    <w:rPr>
      <w:rFonts w:ascii="Garamond" w:hAnsi="Garamond"/>
      <w:sz w:val="24"/>
    </w:rPr>
  </w:style>
  <w:style w:type="paragraph" w:styleId="Subtitle">
    <w:name w:val="Subtitle"/>
    <w:basedOn w:val="Normal"/>
    <w:link w:val="SubtitleChar"/>
    <w:qFormat/>
    <w:rsid w:val="003F7F8B"/>
    <w:pPr>
      <w:tabs>
        <w:tab w:val="left" w:pos="360"/>
      </w:tabs>
      <w:spacing w:after="120" w:line="360" w:lineRule="atLeast"/>
    </w:pPr>
    <w:rPr>
      <w:b/>
    </w:rPr>
  </w:style>
  <w:style w:type="character" w:customStyle="1" w:styleId="SubtitleChar">
    <w:name w:val="Subtitle Char"/>
    <w:basedOn w:val="DefaultParagraphFont"/>
    <w:link w:val="Subtitle"/>
    <w:rsid w:val="003F7F8B"/>
    <w:rPr>
      <w:rFonts w:ascii="Garamond" w:hAnsi="Garamond"/>
      <w:b/>
      <w:sz w:val="24"/>
    </w:rPr>
  </w:style>
  <w:style w:type="paragraph" w:styleId="BodyTextIndent">
    <w:name w:val="Body Text Indent"/>
    <w:basedOn w:val="Normal"/>
    <w:link w:val="BodyTextIndentChar"/>
    <w:rsid w:val="003F7F8B"/>
    <w:pPr>
      <w:spacing w:before="240" w:after="120" w:line="360" w:lineRule="atLeast"/>
      <w:ind w:firstLine="720"/>
    </w:pPr>
  </w:style>
  <w:style w:type="character" w:customStyle="1" w:styleId="BodyTextIndentChar">
    <w:name w:val="Body Text Indent Char"/>
    <w:basedOn w:val="DefaultParagraphFont"/>
    <w:link w:val="BodyTextIndent"/>
    <w:rsid w:val="003F7F8B"/>
    <w:rPr>
      <w:rFonts w:ascii="Garamond" w:hAnsi="Garamond"/>
      <w:sz w:val="24"/>
    </w:rPr>
  </w:style>
  <w:style w:type="paragraph" w:styleId="DocumentMap">
    <w:name w:val="Document Map"/>
    <w:basedOn w:val="Normal"/>
    <w:link w:val="DocumentMapChar"/>
    <w:semiHidden/>
    <w:rsid w:val="003F7F8B"/>
    <w:pPr>
      <w:shd w:val="clear" w:color="auto" w:fill="000080"/>
    </w:pPr>
    <w:rPr>
      <w:rFonts w:ascii="Tahoma" w:hAnsi="Tahoma"/>
    </w:rPr>
  </w:style>
  <w:style w:type="character" w:customStyle="1" w:styleId="DocumentMapChar">
    <w:name w:val="Document Map Char"/>
    <w:basedOn w:val="DefaultParagraphFont"/>
    <w:link w:val="DocumentMap"/>
    <w:semiHidden/>
    <w:rsid w:val="003F7F8B"/>
    <w:rPr>
      <w:rFonts w:ascii="Tahoma" w:hAnsi="Tahoma"/>
      <w:sz w:val="24"/>
      <w:shd w:val="clear" w:color="auto" w:fill="000080"/>
    </w:rPr>
  </w:style>
  <w:style w:type="character" w:styleId="Hyperlink">
    <w:name w:val="Hyperlink"/>
    <w:uiPriority w:val="99"/>
    <w:rsid w:val="003F7F8B"/>
    <w:rPr>
      <w:color w:val="0000FF"/>
      <w:u w:val="single"/>
    </w:rPr>
  </w:style>
  <w:style w:type="paragraph" w:styleId="BodyText">
    <w:name w:val="Body Text"/>
    <w:basedOn w:val="Normal"/>
    <w:link w:val="BodyTextChar"/>
    <w:rsid w:val="003F7F8B"/>
    <w:pPr>
      <w:spacing w:after="120"/>
    </w:pPr>
  </w:style>
  <w:style w:type="character" w:customStyle="1" w:styleId="BodyTextChar">
    <w:name w:val="Body Text Char"/>
    <w:basedOn w:val="DefaultParagraphFont"/>
    <w:link w:val="BodyText"/>
    <w:rsid w:val="003F7F8B"/>
    <w:rPr>
      <w:rFonts w:ascii="Garamond" w:hAnsi="Garamond"/>
      <w:sz w:val="24"/>
    </w:rPr>
  </w:style>
  <w:style w:type="paragraph" w:customStyle="1" w:styleId="a">
    <w:name w:val="_"/>
    <w:rsid w:val="003F7F8B"/>
    <w:pPr>
      <w:widowControl w:val="0"/>
      <w:ind w:left="720"/>
    </w:pPr>
    <w:rPr>
      <w:snapToGrid w:val="0"/>
      <w:sz w:val="24"/>
    </w:rPr>
  </w:style>
  <w:style w:type="paragraph" w:customStyle="1" w:styleId="Default">
    <w:name w:val="Default"/>
    <w:rsid w:val="003F7F8B"/>
    <w:pPr>
      <w:autoSpaceDE w:val="0"/>
      <w:autoSpaceDN w:val="0"/>
      <w:adjustRightInd w:val="0"/>
    </w:pPr>
    <w:rPr>
      <w:color w:val="000000"/>
      <w:sz w:val="24"/>
      <w:szCs w:val="24"/>
    </w:rPr>
  </w:style>
  <w:style w:type="character" w:styleId="FollowedHyperlink">
    <w:name w:val="FollowedHyperlink"/>
    <w:rsid w:val="003F7F8B"/>
    <w:rPr>
      <w:color w:val="800080"/>
      <w:u w:val="single"/>
    </w:rPr>
  </w:style>
  <w:style w:type="paragraph" w:styleId="HTMLPreformatted">
    <w:name w:val="HTML Preformatted"/>
    <w:basedOn w:val="Normal"/>
    <w:link w:val="HTMLPreformattedChar"/>
    <w:rsid w:val="003F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3F7F8B"/>
    <w:rPr>
      <w:rFonts w:ascii="Courier New" w:hAnsi="Courier New" w:cs="Courier New"/>
    </w:rPr>
  </w:style>
  <w:style w:type="table" w:styleId="TableGrid">
    <w:name w:val="Table Grid"/>
    <w:basedOn w:val="TableNormal"/>
    <w:rsid w:val="003F7F8B"/>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F7F8B"/>
    <w:pPr>
      <w:spacing w:before="100" w:beforeAutospacing="1" w:after="100" w:afterAutospacing="1" w:line="240" w:lineRule="auto"/>
    </w:pPr>
    <w:rPr>
      <w:szCs w:val="24"/>
    </w:rPr>
  </w:style>
  <w:style w:type="paragraph" w:styleId="ListParagraph">
    <w:name w:val="List Paragraph"/>
    <w:basedOn w:val="Normal"/>
    <w:uiPriority w:val="34"/>
    <w:qFormat/>
    <w:rsid w:val="003F7F8B"/>
    <w:pPr>
      <w:ind w:left="720"/>
    </w:pPr>
  </w:style>
  <w:style w:type="paragraph" w:styleId="EndnoteText">
    <w:name w:val="endnote text"/>
    <w:basedOn w:val="Normal"/>
    <w:link w:val="EndnoteTextChar"/>
    <w:uiPriority w:val="99"/>
    <w:unhideWhenUsed/>
    <w:rsid w:val="003F7F8B"/>
    <w:pPr>
      <w:widowControl w:val="0"/>
      <w:spacing w:line="240" w:lineRule="auto"/>
    </w:pPr>
    <w:rPr>
      <w:snapToGrid w:val="0"/>
      <w:sz w:val="20"/>
    </w:rPr>
  </w:style>
  <w:style w:type="character" w:customStyle="1" w:styleId="EndnoteTextChar">
    <w:name w:val="Endnote Text Char"/>
    <w:basedOn w:val="DefaultParagraphFont"/>
    <w:link w:val="EndnoteText"/>
    <w:uiPriority w:val="99"/>
    <w:rsid w:val="003F7F8B"/>
    <w:rPr>
      <w:rFonts w:ascii="Garamond" w:hAnsi="Garamond"/>
      <w:snapToGrid w:val="0"/>
    </w:rPr>
  </w:style>
  <w:style w:type="character" w:styleId="EndnoteReference">
    <w:name w:val="endnote reference"/>
    <w:uiPriority w:val="99"/>
    <w:semiHidden/>
    <w:unhideWhenUsed/>
    <w:rsid w:val="003F7F8B"/>
    <w:rPr>
      <w:vertAlign w:val="superscript"/>
    </w:rPr>
  </w:style>
  <w:style w:type="character" w:customStyle="1" w:styleId="P1-StandParaChar">
    <w:name w:val="P1-Stand Para Char"/>
    <w:link w:val="P1-StandPara"/>
    <w:rsid w:val="003F7F8B"/>
    <w:rPr>
      <w:rFonts w:ascii="Garamond" w:hAnsi="Garamond"/>
      <w:sz w:val="24"/>
    </w:rPr>
  </w:style>
  <w:style w:type="character" w:customStyle="1" w:styleId="FootnoteTextChar">
    <w:name w:val="Footnote Text Char"/>
    <w:aliases w:val="F1 Char"/>
    <w:link w:val="FootnoteText"/>
    <w:semiHidden/>
    <w:rsid w:val="003F7F8B"/>
    <w:rPr>
      <w:rFonts w:ascii="Garamond" w:hAnsi="Garamond"/>
    </w:rPr>
  </w:style>
  <w:style w:type="paragraph" w:styleId="CommentSubject">
    <w:name w:val="annotation subject"/>
    <w:basedOn w:val="CommentText"/>
    <w:next w:val="CommentText"/>
    <w:link w:val="CommentSubjectChar"/>
    <w:uiPriority w:val="99"/>
    <w:semiHidden/>
    <w:unhideWhenUsed/>
    <w:rsid w:val="003F7F8B"/>
    <w:rPr>
      <w:b/>
      <w:bCs/>
    </w:rPr>
  </w:style>
  <w:style w:type="character" w:customStyle="1" w:styleId="CommentSubjectChar">
    <w:name w:val="Comment Subject Char"/>
    <w:basedOn w:val="CommentTextChar"/>
    <w:link w:val="CommentSubject"/>
    <w:uiPriority w:val="99"/>
    <w:semiHidden/>
    <w:rsid w:val="003F7F8B"/>
    <w:rPr>
      <w:rFonts w:ascii="Garamond" w:hAnsi="Garamond"/>
      <w:b/>
      <w:bCs/>
    </w:rPr>
  </w:style>
  <w:style w:type="character" w:customStyle="1" w:styleId="addatagreenchar">
    <w:name w:val="addatagreenchar"/>
    <w:rsid w:val="003F7F8B"/>
  </w:style>
  <w:style w:type="character" w:customStyle="1" w:styleId="addtitle1">
    <w:name w:val="addtitle1"/>
    <w:rsid w:val="003F7F8B"/>
  </w:style>
  <w:style w:type="paragraph" w:styleId="Revision">
    <w:name w:val="Revision"/>
    <w:hidden/>
    <w:uiPriority w:val="99"/>
    <w:semiHidden/>
    <w:rsid w:val="003F7F8B"/>
    <w:rPr>
      <w:sz w:val="22"/>
    </w:rPr>
  </w:style>
  <w:style w:type="paragraph" w:styleId="NoSpacing">
    <w:name w:val="No Spacing"/>
    <w:uiPriority w:val="1"/>
    <w:qFormat/>
    <w:rsid w:val="003F7F8B"/>
    <w:pPr>
      <w:jc w:val="both"/>
    </w:pPr>
    <w:rPr>
      <w:sz w:val="22"/>
    </w:rPr>
  </w:style>
  <w:style w:type="character" w:customStyle="1" w:styleId="L1-FlLSp12Char">
    <w:name w:val="L1-FlL Sp&amp;1/2 Char"/>
    <w:basedOn w:val="DefaultParagraphFont"/>
    <w:link w:val="L1-FlLSp12"/>
    <w:locked/>
    <w:rsid w:val="003F7F8B"/>
    <w:rPr>
      <w:sz w:val="24"/>
      <w:szCs w:val="24"/>
    </w:rPr>
  </w:style>
  <w:style w:type="paragraph" w:customStyle="1" w:styleId="Heading0">
    <w:name w:val="Heading 0"/>
    <w:aliases w:val="H0-Chap Head"/>
    <w:basedOn w:val="Heading1"/>
    <w:uiPriority w:val="99"/>
    <w:rsid w:val="003F7F8B"/>
    <w:pPr>
      <w:tabs>
        <w:tab w:val="clear" w:pos="1152"/>
      </w:tabs>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3F7F8B"/>
    <w:pPr>
      <w:spacing w:after="360"/>
      <w:ind w:left="1152" w:hanging="1152"/>
      <w:jc w:val="left"/>
      <w:outlineLvl w:val="1"/>
    </w:pPr>
    <w:rPr>
      <w:rFonts w:ascii="Arial" w:hAnsi="Arial" w:cs="Arial"/>
      <w:sz w:val="32"/>
    </w:rPr>
  </w:style>
  <w:style w:type="paragraph" w:styleId="Heading3">
    <w:name w:val="heading 3"/>
    <w:aliases w:val="H3-Sec. Head"/>
    <w:basedOn w:val="Heading1"/>
    <w:next w:val="L1-FlLSp12"/>
    <w:qFormat/>
    <w:rsid w:val="003F7F8B"/>
    <w:pPr>
      <w:spacing w:after="360"/>
      <w:ind w:left="1152" w:hanging="1152"/>
      <w:jc w:val="left"/>
      <w:outlineLvl w:val="2"/>
    </w:pPr>
    <w:rPr>
      <w:rFonts w:ascii="Arial" w:hAnsi="Arial" w:cs="Arial"/>
      <w:sz w:val="28"/>
    </w:rPr>
  </w:style>
  <w:style w:type="paragraph" w:styleId="Heading4">
    <w:name w:val="heading 4"/>
    <w:aliases w:val="H4-Sec. Head,H4 Sec.Heading"/>
    <w:basedOn w:val="Heading1"/>
    <w:next w:val="L1-FlLSp12"/>
    <w:qFormat/>
    <w:rsid w:val="003F7F8B"/>
    <w:pPr>
      <w:spacing w:after="360"/>
      <w:ind w:left="1152" w:hanging="1152"/>
      <w:jc w:val="left"/>
      <w:outlineLvl w:val="3"/>
    </w:pPr>
    <w:rPr>
      <w:rFonts w:ascii="Times New Roman" w:hAnsi="Times New Roman"/>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paragraph" w:styleId="Heading8">
    <w:name w:val="heading 8"/>
    <w:basedOn w:val="Normal"/>
    <w:next w:val="Normal"/>
    <w:link w:val="Heading8Char"/>
    <w:qFormat/>
    <w:rsid w:val="003F7F8B"/>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link w:val="FootnoteTextChar"/>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link w:val="L1-FlLSp12Char"/>
    <w:rsid w:val="003F7F8B"/>
    <w:pPr>
      <w:tabs>
        <w:tab w:val="left" w:pos="1152"/>
      </w:tabs>
      <w:spacing w:line="360" w:lineRule="auto"/>
    </w:pPr>
    <w:rPr>
      <w:rFonts w:ascii="Times New Roman" w:hAnsi="Times New Roman"/>
      <w:szCs w:val="24"/>
    </w:r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3F7F8B"/>
    <w:pPr>
      <w:numPr>
        <w:numId w:val="5"/>
      </w:numPr>
      <w:spacing w:after="240"/>
    </w:pPr>
    <w:rPr>
      <w:rFonts w:ascii="Times New Roman" w:hAnsi="Times New Roman"/>
      <w:sz w:val="22"/>
      <w:szCs w:val="22"/>
    </w:rPr>
  </w:style>
  <w:style w:type="paragraph" w:customStyle="1" w:styleId="N2-2ndBullet">
    <w:name w:val="N2-2nd Bullet"/>
    <w:basedOn w:val="Normal"/>
    <w:rsid w:val="009D254B"/>
    <w:pPr>
      <w:numPr>
        <w:numId w:val="1"/>
      </w:numPr>
      <w:spacing w:after="240"/>
    </w:pPr>
  </w:style>
  <w:style w:type="paragraph" w:customStyle="1" w:styleId="N3-3rdBullet">
    <w:name w:val="N3-3rd Bullet"/>
    <w:basedOn w:val="Normal"/>
    <w:rsid w:val="003F7F8B"/>
    <w:pPr>
      <w:numPr>
        <w:numId w:val="2"/>
      </w:numPr>
      <w:spacing w:after="240"/>
    </w:pPr>
    <w:rPr>
      <w:rFonts w:ascii="Times New Roman" w:hAnsi="Times New Roman"/>
      <w:sz w:val="22"/>
      <w:szCs w:val="22"/>
    </w:rPr>
  </w:style>
  <w:style w:type="paragraph" w:customStyle="1" w:styleId="N4-4thBullet">
    <w:name w:val="N4-4th Bullet"/>
    <w:basedOn w:val="Normal"/>
    <w:rsid w:val="009D254B"/>
    <w:pPr>
      <w:numPr>
        <w:numId w:val="3"/>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1009AE"/>
    <w:pPr>
      <w:keepNext/>
      <w:tabs>
        <w:tab w:val="left" w:pos="1440"/>
      </w:tabs>
      <w:spacing w:line="240" w:lineRule="atLeast"/>
      <w:ind w:left="1440" w:hanging="1440"/>
    </w:pPr>
    <w:rPr>
      <w:rFonts w:ascii="Arial" w:hAnsi="Arial" w:cs="Arial"/>
      <w:b/>
      <w:sz w:val="24"/>
      <w:szCs w:val="24"/>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4"/>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ing8Char">
    <w:name w:val="Heading 8 Char"/>
    <w:basedOn w:val="DefaultParagraphFont"/>
    <w:link w:val="Heading8"/>
    <w:rsid w:val="003F7F8B"/>
    <w:rPr>
      <w:rFonts w:ascii="Garamond" w:hAnsi="Garamond"/>
      <w:b/>
      <w:sz w:val="24"/>
    </w:rPr>
  </w:style>
  <w:style w:type="character" w:styleId="CommentReference">
    <w:name w:val="annotation reference"/>
    <w:uiPriority w:val="99"/>
    <w:semiHidden/>
    <w:rsid w:val="003F7F8B"/>
    <w:rPr>
      <w:sz w:val="16"/>
    </w:rPr>
  </w:style>
  <w:style w:type="paragraph" w:styleId="CommentText">
    <w:name w:val="annotation text"/>
    <w:basedOn w:val="Normal"/>
    <w:link w:val="CommentTextChar"/>
    <w:uiPriority w:val="99"/>
    <w:semiHidden/>
    <w:rsid w:val="003F7F8B"/>
    <w:rPr>
      <w:sz w:val="20"/>
    </w:rPr>
  </w:style>
  <w:style w:type="character" w:customStyle="1" w:styleId="CommentTextChar">
    <w:name w:val="Comment Text Char"/>
    <w:basedOn w:val="DefaultParagraphFont"/>
    <w:link w:val="CommentText"/>
    <w:uiPriority w:val="99"/>
    <w:semiHidden/>
    <w:rsid w:val="003F7F8B"/>
    <w:rPr>
      <w:rFonts w:ascii="Garamond" w:hAnsi="Garamond"/>
    </w:rPr>
  </w:style>
  <w:style w:type="paragraph" w:styleId="Title">
    <w:name w:val="Title"/>
    <w:basedOn w:val="Normal"/>
    <w:link w:val="TitleChar"/>
    <w:qFormat/>
    <w:rsid w:val="003F7F8B"/>
    <w:pPr>
      <w:spacing w:line="240" w:lineRule="auto"/>
      <w:jc w:val="center"/>
    </w:pPr>
    <w:rPr>
      <w:b/>
    </w:rPr>
  </w:style>
  <w:style w:type="character" w:customStyle="1" w:styleId="TitleChar">
    <w:name w:val="Title Char"/>
    <w:basedOn w:val="DefaultParagraphFont"/>
    <w:link w:val="Title"/>
    <w:rsid w:val="003F7F8B"/>
    <w:rPr>
      <w:rFonts w:ascii="Garamond" w:hAnsi="Garamond"/>
      <w:b/>
      <w:sz w:val="24"/>
    </w:rPr>
  </w:style>
  <w:style w:type="paragraph" w:styleId="BodyText2">
    <w:name w:val="Body Text 2"/>
    <w:basedOn w:val="Normal"/>
    <w:link w:val="BodyText2Char"/>
    <w:rsid w:val="003F7F8B"/>
    <w:pPr>
      <w:spacing w:line="240" w:lineRule="auto"/>
      <w:ind w:left="360"/>
    </w:pPr>
  </w:style>
  <w:style w:type="character" w:customStyle="1" w:styleId="BodyText2Char">
    <w:name w:val="Body Text 2 Char"/>
    <w:basedOn w:val="DefaultParagraphFont"/>
    <w:link w:val="BodyText2"/>
    <w:rsid w:val="003F7F8B"/>
    <w:rPr>
      <w:rFonts w:ascii="Garamond" w:hAnsi="Garamond"/>
      <w:sz w:val="24"/>
    </w:rPr>
  </w:style>
  <w:style w:type="paragraph" w:styleId="BodyTextIndent2">
    <w:name w:val="Body Text Indent 2"/>
    <w:basedOn w:val="Normal"/>
    <w:link w:val="BodyTextIndent2Char"/>
    <w:rsid w:val="003F7F8B"/>
    <w:pPr>
      <w:spacing w:line="480" w:lineRule="auto"/>
      <w:ind w:left="360" w:firstLine="360"/>
    </w:pPr>
  </w:style>
  <w:style w:type="character" w:customStyle="1" w:styleId="BodyTextIndent2Char">
    <w:name w:val="Body Text Indent 2 Char"/>
    <w:basedOn w:val="DefaultParagraphFont"/>
    <w:link w:val="BodyTextIndent2"/>
    <w:rsid w:val="003F7F8B"/>
    <w:rPr>
      <w:rFonts w:ascii="Garamond" w:hAnsi="Garamond"/>
      <w:sz w:val="24"/>
    </w:rPr>
  </w:style>
  <w:style w:type="paragraph" w:styleId="BodyTextIndent3">
    <w:name w:val="Body Text Indent 3"/>
    <w:basedOn w:val="Normal"/>
    <w:link w:val="BodyTextIndent3Char"/>
    <w:rsid w:val="003F7F8B"/>
    <w:pPr>
      <w:tabs>
        <w:tab w:val="left" w:pos="990"/>
      </w:tabs>
      <w:spacing w:line="240" w:lineRule="auto"/>
      <w:ind w:left="990" w:hanging="990"/>
    </w:pPr>
  </w:style>
  <w:style w:type="character" w:customStyle="1" w:styleId="BodyTextIndent3Char">
    <w:name w:val="Body Text Indent 3 Char"/>
    <w:basedOn w:val="DefaultParagraphFont"/>
    <w:link w:val="BodyTextIndent3"/>
    <w:rsid w:val="003F7F8B"/>
    <w:rPr>
      <w:rFonts w:ascii="Garamond" w:hAnsi="Garamond"/>
      <w:sz w:val="24"/>
    </w:rPr>
  </w:style>
  <w:style w:type="paragraph" w:styleId="Subtitle">
    <w:name w:val="Subtitle"/>
    <w:basedOn w:val="Normal"/>
    <w:link w:val="SubtitleChar"/>
    <w:qFormat/>
    <w:rsid w:val="003F7F8B"/>
    <w:pPr>
      <w:tabs>
        <w:tab w:val="left" w:pos="360"/>
      </w:tabs>
      <w:spacing w:after="120" w:line="360" w:lineRule="atLeast"/>
    </w:pPr>
    <w:rPr>
      <w:b/>
    </w:rPr>
  </w:style>
  <w:style w:type="character" w:customStyle="1" w:styleId="SubtitleChar">
    <w:name w:val="Subtitle Char"/>
    <w:basedOn w:val="DefaultParagraphFont"/>
    <w:link w:val="Subtitle"/>
    <w:rsid w:val="003F7F8B"/>
    <w:rPr>
      <w:rFonts w:ascii="Garamond" w:hAnsi="Garamond"/>
      <w:b/>
      <w:sz w:val="24"/>
    </w:rPr>
  </w:style>
  <w:style w:type="paragraph" w:styleId="BodyTextIndent">
    <w:name w:val="Body Text Indent"/>
    <w:basedOn w:val="Normal"/>
    <w:link w:val="BodyTextIndentChar"/>
    <w:rsid w:val="003F7F8B"/>
    <w:pPr>
      <w:spacing w:before="240" w:after="120" w:line="360" w:lineRule="atLeast"/>
      <w:ind w:firstLine="720"/>
    </w:pPr>
  </w:style>
  <w:style w:type="character" w:customStyle="1" w:styleId="BodyTextIndentChar">
    <w:name w:val="Body Text Indent Char"/>
    <w:basedOn w:val="DefaultParagraphFont"/>
    <w:link w:val="BodyTextIndent"/>
    <w:rsid w:val="003F7F8B"/>
    <w:rPr>
      <w:rFonts w:ascii="Garamond" w:hAnsi="Garamond"/>
      <w:sz w:val="24"/>
    </w:rPr>
  </w:style>
  <w:style w:type="paragraph" w:styleId="DocumentMap">
    <w:name w:val="Document Map"/>
    <w:basedOn w:val="Normal"/>
    <w:link w:val="DocumentMapChar"/>
    <w:semiHidden/>
    <w:rsid w:val="003F7F8B"/>
    <w:pPr>
      <w:shd w:val="clear" w:color="auto" w:fill="000080"/>
    </w:pPr>
    <w:rPr>
      <w:rFonts w:ascii="Tahoma" w:hAnsi="Tahoma"/>
    </w:rPr>
  </w:style>
  <w:style w:type="character" w:customStyle="1" w:styleId="DocumentMapChar">
    <w:name w:val="Document Map Char"/>
    <w:basedOn w:val="DefaultParagraphFont"/>
    <w:link w:val="DocumentMap"/>
    <w:semiHidden/>
    <w:rsid w:val="003F7F8B"/>
    <w:rPr>
      <w:rFonts w:ascii="Tahoma" w:hAnsi="Tahoma"/>
      <w:sz w:val="24"/>
      <w:shd w:val="clear" w:color="auto" w:fill="000080"/>
    </w:rPr>
  </w:style>
  <w:style w:type="character" w:styleId="Hyperlink">
    <w:name w:val="Hyperlink"/>
    <w:uiPriority w:val="99"/>
    <w:rsid w:val="003F7F8B"/>
    <w:rPr>
      <w:color w:val="0000FF"/>
      <w:u w:val="single"/>
    </w:rPr>
  </w:style>
  <w:style w:type="paragraph" w:styleId="BodyText">
    <w:name w:val="Body Text"/>
    <w:basedOn w:val="Normal"/>
    <w:link w:val="BodyTextChar"/>
    <w:rsid w:val="003F7F8B"/>
    <w:pPr>
      <w:spacing w:after="120"/>
    </w:pPr>
  </w:style>
  <w:style w:type="character" w:customStyle="1" w:styleId="BodyTextChar">
    <w:name w:val="Body Text Char"/>
    <w:basedOn w:val="DefaultParagraphFont"/>
    <w:link w:val="BodyText"/>
    <w:rsid w:val="003F7F8B"/>
    <w:rPr>
      <w:rFonts w:ascii="Garamond" w:hAnsi="Garamond"/>
      <w:sz w:val="24"/>
    </w:rPr>
  </w:style>
  <w:style w:type="paragraph" w:customStyle="1" w:styleId="a">
    <w:name w:val="_"/>
    <w:rsid w:val="003F7F8B"/>
    <w:pPr>
      <w:widowControl w:val="0"/>
      <w:ind w:left="720"/>
    </w:pPr>
    <w:rPr>
      <w:snapToGrid w:val="0"/>
      <w:sz w:val="24"/>
    </w:rPr>
  </w:style>
  <w:style w:type="paragraph" w:customStyle="1" w:styleId="Default">
    <w:name w:val="Default"/>
    <w:rsid w:val="003F7F8B"/>
    <w:pPr>
      <w:autoSpaceDE w:val="0"/>
      <w:autoSpaceDN w:val="0"/>
      <w:adjustRightInd w:val="0"/>
    </w:pPr>
    <w:rPr>
      <w:color w:val="000000"/>
      <w:sz w:val="24"/>
      <w:szCs w:val="24"/>
    </w:rPr>
  </w:style>
  <w:style w:type="character" w:styleId="FollowedHyperlink">
    <w:name w:val="FollowedHyperlink"/>
    <w:rsid w:val="003F7F8B"/>
    <w:rPr>
      <w:color w:val="800080"/>
      <w:u w:val="single"/>
    </w:rPr>
  </w:style>
  <w:style w:type="paragraph" w:styleId="HTMLPreformatted">
    <w:name w:val="HTML Preformatted"/>
    <w:basedOn w:val="Normal"/>
    <w:link w:val="HTMLPreformattedChar"/>
    <w:rsid w:val="003F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3F7F8B"/>
    <w:rPr>
      <w:rFonts w:ascii="Courier New" w:hAnsi="Courier New" w:cs="Courier New"/>
    </w:rPr>
  </w:style>
  <w:style w:type="table" w:styleId="TableGrid">
    <w:name w:val="Table Grid"/>
    <w:basedOn w:val="TableNormal"/>
    <w:rsid w:val="003F7F8B"/>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F7F8B"/>
    <w:pPr>
      <w:spacing w:before="100" w:beforeAutospacing="1" w:after="100" w:afterAutospacing="1" w:line="240" w:lineRule="auto"/>
    </w:pPr>
    <w:rPr>
      <w:szCs w:val="24"/>
    </w:rPr>
  </w:style>
  <w:style w:type="paragraph" w:styleId="ListParagraph">
    <w:name w:val="List Paragraph"/>
    <w:basedOn w:val="Normal"/>
    <w:uiPriority w:val="34"/>
    <w:qFormat/>
    <w:rsid w:val="003F7F8B"/>
    <w:pPr>
      <w:ind w:left="720"/>
    </w:pPr>
  </w:style>
  <w:style w:type="paragraph" w:styleId="EndnoteText">
    <w:name w:val="endnote text"/>
    <w:basedOn w:val="Normal"/>
    <w:link w:val="EndnoteTextChar"/>
    <w:uiPriority w:val="99"/>
    <w:unhideWhenUsed/>
    <w:rsid w:val="003F7F8B"/>
    <w:pPr>
      <w:widowControl w:val="0"/>
      <w:spacing w:line="240" w:lineRule="auto"/>
    </w:pPr>
    <w:rPr>
      <w:snapToGrid w:val="0"/>
      <w:sz w:val="20"/>
    </w:rPr>
  </w:style>
  <w:style w:type="character" w:customStyle="1" w:styleId="EndnoteTextChar">
    <w:name w:val="Endnote Text Char"/>
    <w:basedOn w:val="DefaultParagraphFont"/>
    <w:link w:val="EndnoteText"/>
    <w:uiPriority w:val="99"/>
    <w:rsid w:val="003F7F8B"/>
    <w:rPr>
      <w:rFonts w:ascii="Garamond" w:hAnsi="Garamond"/>
      <w:snapToGrid w:val="0"/>
    </w:rPr>
  </w:style>
  <w:style w:type="character" w:styleId="EndnoteReference">
    <w:name w:val="endnote reference"/>
    <w:uiPriority w:val="99"/>
    <w:semiHidden/>
    <w:unhideWhenUsed/>
    <w:rsid w:val="003F7F8B"/>
    <w:rPr>
      <w:vertAlign w:val="superscript"/>
    </w:rPr>
  </w:style>
  <w:style w:type="character" w:customStyle="1" w:styleId="P1-StandParaChar">
    <w:name w:val="P1-Stand Para Char"/>
    <w:link w:val="P1-StandPara"/>
    <w:rsid w:val="003F7F8B"/>
    <w:rPr>
      <w:rFonts w:ascii="Garamond" w:hAnsi="Garamond"/>
      <w:sz w:val="24"/>
    </w:rPr>
  </w:style>
  <w:style w:type="character" w:customStyle="1" w:styleId="FootnoteTextChar">
    <w:name w:val="Footnote Text Char"/>
    <w:aliases w:val="F1 Char"/>
    <w:link w:val="FootnoteText"/>
    <w:semiHidden/>
    <w:rsid w:val="003F7F8B"/>
    <w:rPr>
      <w:rFonts w:ascii="Garamond" w:hAnsi="Garamond"/>
    </w:rPr>
  </w:style>
  <w:style w:type="paragraph" w:styleId="CommentSubject">
    <w:name w:val="annotation subject"/>
    <w:basedOn w:val="CommentText"/>
    <w:next w:val="CommentText"/>
    <w:link w:val="CommentSubjectChar"/>
    <w:uiPriority w:val="99"/>
    <w:semiHidden/>
    <w:unhideWhenUsed/>
    <w:rsid w:val="003F7F8B"/>
    <w:rPr>
      <w:b/>
      <w:bCs/>
    </w:rPr>
  </w:style>
  <w:style w:type="character" w:customStyle="1" w:styleId="CommentSubjectChar">
    <w:name w:val="Comment Subject Char"/>
    <w:basedOn w:val="CommentTextChar"/>
    <w:link w:val="CommentSubject"/>
    <w:uiPriority w:val="99"/>
    <w:semiHidden/>
    <w:rsid w:val="003F7F8B"/>
    <w:rPr>
      <w:rFonts w:ascii="Garamond" w:hAnsi="Garamond"/>
      <w:b/>
      <w:bCs/>
    </w:rPr>
  </w:style>
  <w:style w:type="character" w:customStyle="1" w:styleId="addatagreenchar">
    <w:name w:val="addatagreenchar"/>
    <w:rsid w:val="003F7F8B"/>
  </w:style>
  <w:style w:type="character" w:customStyle="1" w:styleId="addtitle1">
    <w:name w:val="addtitle1"/>
    <w:rsid w:val="003F7F8B"/>
  </w:style>
  <w:style w:type="paragraph" w:styleId="Revision">
    <w:name w:val="Revision"/>
    <w:hidden/>
    <w:uiPriority w:val="99"/>
    <w:semiHidden/>
    <w:rsid w:val="003F7F8B"/>
    <w:rPr>
      <w:sz w:val="22"/>
    </w:rPr>
  </w:style>
  <w:style w:type="paragraph" w:styleId="NoSpacing">
    <w:name w:val="No Spacing"/>
    <w:uiPriority w:val="1"/>
    <w:qFormat/>
    <w:rsid w:val="003F7F8B"/>
    <w:pPr>
      <w:jc w:val="both"/>
    </w:pPr>
    <w:rPr>
      <w:sz w:val="22"/>
    </w:rPr>
  </w:style>
  <w:style w:type="character" w:customStyle="1" w:styleId="L1-FlLSp12Char">
    <w:name w:val="L1-FlL Sp&amp;1/2 Char"/>
    <w:basedOn w:val="DefaultParagraphFont"/>
    <w:link w:val="L1-FlLSp12"/>
    <w:locked/>
    <w:rsid w:val="003F7F8B"/>
    <w:rPr>
      <w:sz w:val="24"/>
      <w:szCs w:val="24"/>
    </w:rPr>
  </w:style>
  <w:style w:type="paragraph" w:customStyle="1" w:styleId="Heading0">
    <w:name w:val="Heading 0"/>
    <w:aliases w:val="H0-Chap Head"/>
    <w:basedOn w:val="Heading1"/>
    <w:uiPriority w:val="99"/>
    <w:rsid w:val="003F7F8B"/>
    <w:pPr>
      <w:tabs>
        <w:tab w:val="clear" w:pos="1152"/>
      </w:tabs>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31952">
      <w:bodyDiv w:val="1"/>
      <w:marLeft w:val="0"/>
      <w:marRight w:val="0"/>
      <w:marTop w:val="0"/>
      <w:marBottom w:val="0"/>
      <w:divBdr>
        <w:top w:val="none" w:sz="0" w:space="0" w:color="auto"/>
        <w:left w:val="none" w:sz="0" w:space="0" w:color="auto"/>
        <w:bottom w:val="none" w:sz="0" w:space="0" w:color="auto"/>
        <w:right w:val="none" w:sz="0" w:space="0" w:color="auto"/>
      </w:divBdr>
      <w:divsChild>
        <w:div w:id="396821616">
          <w:marLeft w:val="0"/>
          <w:marRight w:val="0"/>
          <w:marTop w:val="0"/>
          <w:marBottom w:val="0"/>
          <w:divBdr>
            <w:top w:val="none" w:sz="0" w:space="0" w:color="auto"/>
            <w:left w:val="none" w:sz="0" w:space="0" w:color="auto"/>
            <w:bottom w:val="none" w:sz="0" w:space="0" w:color="auto"/>
            <w:right w:val="none" w:sz="0" w:space="0" w:color="auto"/>
          </w:divBdr>
          <w:divsChild>
            <w:div w:id="1959490382">
              <w:marLeft w:val="0"/>
              <w:marRight w:val="0"/>
              <w:marTop w:val="0"/>
              <w:marBottom w:val="0"/>
              <w:divBdr>
                <w:top w:val="none" w:sz="0" w:space="0" w:color="auto"/>
                <w:left w:val="single" w:sz="6" w:space="0" w:color="E2E2E2"/>
                <w:bottom w:val="none" w:sz="0" w:space="0" w:color="auto"/>
                <w:right w:val="single" w:sz="6" w:space="0" w:color="E2E2E2"/>
              </w:divBdr>
              <w:divsChild>
                <w:div w:id="1043865458">
                  <w:marLeft w:val="0"/>
                  <w:marRight w:val="0"/>
                  <w:marTop w:val="0"/>
                  <w:marBottom w:val="0"/>
                  <w:divBdr>
                    <w:top w:val="none" w:sz="0" w:space="0" w:color="auto"/>
                    <w:left w:val="none" w:sz="0" w:space="0" w:color="auto"/>
                    <w:bottom w:val="none" w:sz="0" w:space="0" w:color="auto"/>
                    <w:right w:val="none" w:sz="0" w:space="0" w:color="auto"/>
                  </w:divBdr>
                  <w:divsChild>
                    <w:div w:id="605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eckl@mail.nih.gov"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B74CB-6C2D-496B-A26D-BD90A432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7640</Words>
  <Characters>43551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Warren</dc:creator>
  <cp:lastModifiedBy>Abdelmouti, Tawanda (NIH/NCI) [E]</cp:lastModifiedBy>
  <cp:revision>2</cp:revision>
  <cp:lastPrinted>2015-04-23T12:17:00Z</cp:lastPrinted>
  <dcterms:created xsi:type="dcterms:W3CDTF">2015-11-16T16:11:00Z</dcterms:created>
  <dcterms:modified xsi:type="dcterms:W3CDTF">2015-11-16T16:11:00Z</dcterms:modified>
</cp:coreProperties>
</file>