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BC2C1" w14:textId="77777777" w:rsidR="005E206B" w:rsidRPr="005E206B" w:rsidRDefault="005E206B" w:rsidP="00C40E33">
      <w:pPr>
        <w:rPr>
          <w:b/>
          <w:sz w:val="18"/>
          <w:szCs w:val="18"/>
        </w:rPr>
      </w:pPr>
    </w:p>
    <w:p w14:paraId="455B4D70" w14:textId="77777777" w:rsidR="003444D1" w:rsidRDefault="003444D1" w:rsidP="002F75FB">
      <w:pPr>
        <w:jc w:val="center"/>
        <w:rPr>
          <w:rFonts w:ascii="Arial" w:hAnsi="Arial" w:cs="Arial"/>
          <w:b/>
        </w:rPr>
      </w:pPr>
    </w:p>
    <w:p w14:paraId="5AB6AE08" w14:textId="77777777" w:rsidR="003444D1" w:rsidRDefault="003444D1" w:rsidP="002F75FB">
      <w:pPr>
        <w:jc w:val="center"/>
        <w:rPr>
          <w:rFonts w:ascii="Arial" w:hAnsi="Arial" w:cs="Arial"/>
          <w:b/>
        </w:rPr>
      </w:pPr>
    </w:p>
    <w:p w14:paraId="2D3F5BC6" w14:textId="77777777" w:rsidR="003444D1" w:rsidRDefault="003444D1" w:rsidP="002F75FB">
      <w:pPr>
        <w:jc w:val="center"/>
        <w:rPr>
          <w:rFonts w:ascii="Arial" w:hAnsi="Arial" w:cs="Arial"/>
          <w:b/>
        </w:rPr>
      </w:pPr>
    </w:p>
    <w:p w14:paraId="72B07FDC" w14:textId="77777777" w:rsidR="003444D1" w:rsidRDefault="003444D1" w:rsidP="002F75FB">
      <w:pPr>
        <w:jc w:val="center"/>
        <w:rPr>
          <w:rFonts w:ascii="Arial" w:hAnsi="Arial" w:cs="Arial"/>
          <w:b/>
        </w:rPr>
      </w:pPr>
    </w:p>
    <w:p w14:paraId="78261F51" w14:textId="77777777" w:rsidR="003444D1" w:rsidRDefault="003444D1" w:rsidP="002F75FB">
      <w:pPr>
        <w:jc w:val="center"/>
        <w:rPr>
          <w:rFonts w:ascii="Arial" w:hAnsi="Arial" w:cs="Arial"/>
          <w:b/>
        </w:rPr>
      </w:pPr>
    </w:p>
    <w:p w14:paraId="698C6521" w14:textId="77777777" w:rsidR="003444D1" w:rsidRDefault="003444D1" w:rsidP="002F75FB">
      <w:pPr>
        <w:jc w:val="center"/>
        <w:rPr>
          <w:rFonts w:ascii="Arial" w:hAnsi="Arial" w:cs="Arial"/>
          <w:b/>
        </w:rPr>
      </w:pPr>
    </w:p>
    <w:p w14:paraId="4A1082D2" w14:textId="77777777" w:rsidR="003444D1" w:rsidRDefault="003444D1" w:rsidP="002F75FB">
      <w:pPr>
        <w:jc w:val="center"/>
        <w:rPr>
          <w:rFonts w:ascii="Arial" w:hAnsi="Arial" w:cs="Arial"/>
          <w:b/>
        </w:rPr>
      </w:pPr>
    </w:p>
    <w:p w14:paraId="76779857" w14:textId="77777777" w:rsidR="003444D1" w:rsidRDefault="003444D1" w:rsidP="002F75FB">
      <w:pPr>
        <w:jc w:val="center"/>
        <w:rPr>
          <w:rFonts w:ascii="Arial" w:hAnsi="Arial" w:cs="Arial"/>
          <w:b/>
        </w:rPr>
      </w:pPr>
    </w:p>
    <w:p w14:paraId="651C2A94" w14:textId="77777777" w:rsidR="003444D1" w:rsidRDefault="003444D1" w:rsidP="002F75FB">
      <w:pPr>
        <w:jc w:val="center"/>
        <w:rPr>
          <w:rFonts w:ascii="Arial" w:hAnsi="Arial" w:cs="Arial"/>
          <w:b/>
        </w:rPr>
      </w:pPr>
    </w:p>
    <w:p w14:paraId="049A5C0A" w14:textId="77777777" w:rsidR="003444D1" w:rsidRDefault="003444D1" w:rsidP="002F75FB">
      <w:pPr>
        <w:jc w:val="center"/>
        <w:rPr>
          <w:rFonts w:ascii="Arial" w:hAnsi="Arial" w:cs="Arial"/>
          <w:b/>
        </w:rPr>
      </w:pPr>
    </w:p>
    <w:p w14:paraId="30C9B12B" w14:textId="77777777" w:rsidR="003444D1" w:rsidRDefault="003444D1" w:rsidP="002F75FB">
      <w:pPr>
        <w:jc w:val="center"/>
        <w:rPr>
          <w:rFonts w:ascii="Arial" w:hAnsi="Arial" w:cs="Arial"/>
          <w:b/>
        </w:rPr>
      </w:pPr>
    </w:p>
    <w:p w14:paraId="449E87AD" w14:textId="77777777" w:rsidR="003444D1" w:rsidRDefault="003444D1" w:rsidP="002F75FB">
      <w:pPr>
        <w:jc w:val="center"/>
        <w:rPr>
          <w:rFonts w:ascii="Arial" w:hAnsi="Arial" w:cs="Arial"/>
          <w:b/>
        </w:rPr>
      </w:pPr>
    </w:p>
    <w:p w14:paraId="10C7D583" w14:textId="77777777" w:rsidR="003444D1" w:rsidRDefault="003444D1" w:rsidP="002F75FB">
      <w:pPr>
        <w:jc w:val="center"/>
        <w:rPr>
          <w:rFonts w:ascii="Arial" w:hAnsi="Arial" w:cs="Arial"/>
          <w:b/>
        </w:rPr>
      </w:pPr>
    </w:p>
    <w:p w14:paraId="5D56B803" w14:textId="77777777" w:rsidR="003444D1" w:rsidRDefault="003444D1" w:rsidP="002F75FB">
      <w:pPr>
        <w:jc w:val="center"/>
        <w:rPr>
          <w:rFonts w:ascii="Arial" w:hAnsi="Arial" w:cs="Arial"/>
          <w:b/>
        </w:rPr>
      </w:pPr>
    </w:p>
    <w:p w14:paraId="62DE387C" w14:textId="77777777" w:rsidR="002F75FB" w:rsidRPr="00B73AA4" w:rsidRDefault="00E2147D" w:rsidP="002F75FB">
      <w:pPr>
        <w:jc w:val="center"/>
        <w:rPr>
          <w:rFonts w:ascii="Arial" w:hAnsi="Arial" w:cs="Arial"/>
          <w:b/>
        </w:rPr>
      </w:pPr>
      <w:r w:rsidRPr="00B73AA4">
        <w:rPr>
          <w:rFonts w:ascii="Arial" w:hAnsi="Arial" w:cs="Arial"/>
          <w:b/>
        </w:rPr>
        <w:t xml:space="preserve">Mini </w:t>
      </w:r>
      <w:r w:rsidR="0008711B" w:rsidRPr="00B73AA4">
        <w:rPr>
          <w:rFonts w:ascii="Arial" w:hAnsi="Arial" w:cs="Arial"/>
          <w:b/>
        </w:rPr>
        <w:t xml:space="preserve">Supporting Statement </w:t>
      </w:r>
      <w:r w:rsidR="00A10EA2" w:rsidRPr="00B73AA4">
        <w:rPr>
          <w:rFonts w:ascii="Arial" w:hAnsi="Arial" w:cs="Arial"/>
          <w:b/>
        </w:rPr>
        <w:t>A</w:t>
      </w:r>
      <w:bookmarkStart w:id="0" w:name="_Toc230515978"/>
      <w:r w:rsidR="002F75FB" w:rsidRPr="00B73AA4">
        <w:rPr>
          <w:rFonts w:ascii="Arial" w:hAnsi="Arial" w:cs="Arial"/>
          <w:b/>
        </w:rPr>
        <w:t xml:space="preserve"> For</w:t>
      </w:r>
    </w:p>
    <w:p w14:paraId="2918810C" w14:textId="77777777" w:rsidR="00E27CB3" w:rsidRDefault="00E27CB3" w:rsidP="00E27C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Generic Clearance “</w:t>
      </w:r>
      <w:r w:rsidRPr="002055AB">
        <w:rPr>
          <w:rFonts w:ascii="Arial" w:hAnsi="Arial" w:cs="Arial"/>
        </w:rPr>
        <w:t xml:space="preserve">Questionnaire Cognitive Interviewing and </w:t>
      </w:r>
    </w:p>
    <w:p w14:paraId="11153644" w14:textId="4F490EC2" w:rsidR="00E27CB3" w:rsidRDefault="00E27CB3" w:rsidP="00E27CB3">
      <w:pPr>
        <w:jc w:val="center"/>
        <w:rPr>
          <w:rFonts w:ascii="Arial" w:hAnsi="Arial" w:cs="Arial"/>
        </w:rPr>
      </w:pPr>
      <w:r w:rsidRPr="002055AB">
        <w:rPr>
          <w:rFonts w:ascii="Arial" w:hAnsi="Arial" w:cs="Arial"/>
        </w:rPr>
        <w:t>Pretesting</w:t>
      </w:r>
      <w:r>
        <w:rPr>
          <w:rFonts w:ascii="Arial" w:hAnsi="Arial" w:cs="Arial"/>
        </w:rPr>
        <w:t xml:space="preserve"> (NCI)” </w:t>
      </w:r>
    </w:p>
    <w:p w14:paraId="4655A92C" w14:textId="654ABCE8" w:rsidR="00DF7AF4" w:rsidRPr="00B73AA4" w:rsidRDefault="00E27CB3" w:rsidP="00E27C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OMB #</w:t>
      </w:r>
      <w:r w:rsidR="00DF7AF4" w:rsidRPr="00B73AA4">
        <w:rPr>
          <w:rFonts w:ascii="Arial" w:hAnsi="Arial" w:cs="Arial"/>
        </w:rPr>
        <w:t>0925-</w:t>
      </w:r>
      <w:r w:rsidR="009970D1">
        <w:rPr>
          <w:rFonts w:ascii="Arial" w:hAnsi="Arial" w:cs="Arial"/>
        </w:rPr>
        <w:t>0589</w:t>
      </w:r>
      <w:r w:rsidR="00DF7AF4" w:rsidRPr="00B73AA4">
        <w:rPr>
          <w:rFonts w:ascii="Arial" w:hAnsi="Arial" w:cs="Arial"/>
        </w:rPr>
        <w:t xml:space="preserve">, Expiration Date </w:t>
      </w:r>
      <w:r w:rsidR="009970D1" w:rsidRPr="009970D1">
        <w:rPr>
          <w:rFonts w:ascii="Arial" w:hAnsi="Arial" w:cs="Arial"/>
        </w:rPr>
        <w:t>07-31-2017</w:t>
      </w:r>
    </w:p>
    <w:p w14:paraId="5F47E150" w14:textId="77777777" w:rsidR="002F75FB" w:rsidRDefault="00546865" w:rsidP="002F75F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39B9C37" w14:textId="77777777" w:rsidR="003444D1" w:rsidRDefault="003444D1" w:rsidP="009B4522">
      <w:pPr>
        <w:rPr>
          <w:rFonts w:ascii="Arial" w:hAnsi="Arial" w:cs="Arial"/>
          <w:b/>
        </w:rPr>
      </w:pPr>
    </w:p>
    <w:p w14:paraId="63C4E83C" w14:textId="77777777" w:rsidR="003444D1" w:rsidRDefault="003444D1" w:rsidP="009B4522">
      <w:pPr>
        <w:rPr>
          <w:rFonts w:ascii="Arial" w:hAnsi="Arial" w:cs="Arial"/>
          <w:b/>
        </w:rPr>
      </w:pPr>
    </w:p>
    <w:p w14:paraId="140E221D" w14:textId="77777777" w:rsidR="003444D1" w:rsidRDefault="003444D1" w:rsidP="009B4522">
      <w:pPr>
        <w:rPr>
          <w:rFonts w:ascii="Arial" w:hAnsi="Arial" w:cs="Arial"/>
          <w:b/>
        </w:rPr>
      </w:pPr>
    </w:p>
    <w:p w14:paraId="7D3F5D9E" w14:textId="77777777" w:rsidR="003444D1" w:rsidRDefault="003444D1" w:rsidP="009B4522">
      <w:pPr>
        <w:rPr>
          <w:rFonts w:ascii="Arial" w:hAnsi="Arial" w:cs="Arial"/>
          <w:b/>
        </w:rPr>
      </w:pPr>
    </w:p>
    <w:p w14:paraId="02F76140" w14:textId="77777777" w:rsidR="003444D1" w:rsidRDefault="003444D1" w:rsidP="009B4522">
      <w:pPr>
        <w:rPr>
          <w:rFonts w:ascii="Arial" w:hAnsi="Arial" w:cs="Arial"/>
          <w:b/>
        </w:rPr>
      </w:pPr>
    </w:p>
    <w:p w14:paraId="675A889F" w14:textId="77777777" w:rsidR="003444D1" w:rsidRDefault="003444D1" w:rsidP="009B4522">
      <w:pPr>
        <w:rPr>
          <w:rFonts w:ascii="Arial" w:hAnsi="Arial" w:cs="Arial"/>
          <w:b/>
        </w:rPr>
      </w:pPr>
    </w:p>
    <w:p w14:paraId="17383AB2" w14:textId="77777777" w:rsidR="003444D1" w:rsidRDefault="003444D1" w:rsidP="009B4522">
      <w:pPr>
        <w:rPr>
          <w:rFonts w:ascii="Arial" w:hAnsi="Arial" w:cs="Arial"/>
          <w:b/>
        </w:rPr>
      </w:pPr>
    </w:p>
    <w:p w14:paraId="63307D9A" w14:textId="77777777" w:rsidR="003444D1" w:rsidRDefault="003444D1" w:rsidP="009B4522">
      <w:pPr>
        <w:rPr>
          <w:rFonts w:ascii="Arial" w:hAnsi="Arial" w:cs="Arial"/>
          <w:b/>
        </w:rPr>
      </w:pPr>
    </w:p>
    <w:p w14:paraId="564F6CF6" w14:textId="77777777" w:rsidR="003444D1" w:rsidRDefault="003444D1" w:rsidP="009B4522">
      <w:pPr>
        <w:rPr>
          <w:rFonts w:ascii="Arial" w:hAnsi="Arial" w:cs="Arial"/>
          <w:b/>
        </w:rPr>
      </w:pPr>
    </w:p>
    <w:p w14:paraId="40140869" w14:textId="77777777" w:rsidR="003444D1" w:rsidRDefault="003444D1" w:rsidP="009B4522">
      <w:pPr>
        <w:rPr>
          <w:rFonts w:ascii="Arial" w:hAnsi="Arial" w:cs="Arial"/>
          <w:b/>
        </w:rPr>
      </w:pPr>
    </w:p>
    <w:p w14:paraId="5B938553" w14:textId="77777777" w:rsidR="003444D1" w:rsidRDefault="003444D1" w:rsidP="009B4522">
      <w:pPr>
        <w:rPr>
          <w:rFonts w:ascii="Arial" w:hAnsi="Arial" w:cs="Arial"/>
          <w:b/>
        </w:rPr>
      </w:pPr>
    </w:p>
    <w:p w14:paraId="456EB18B" w14:textId="77777777" w:rsidR="003444D1" w:rsidRDefault="003444D1" w:rsidP="009B4522">
      <w:pPr>
        <w:rPr>
          <w:rFonts w:ascii="Arial" w:hAnsi="Arial" w:cs="Arial"/>
          <w:b/>
        </w:rPr>
      </w:pPr>
    </w:p>
    <w:p w14:paraId="429E0D05" w14:textId="77777777" w:rsidR="009B4522" w:rsidRPr="00E52041" w:rsidRDefault="009B4522" w:rsidP="009B4522">
      <w:pPr>
        <w:rPr>
          <w:rFonts w:ascii="Arial" w:hAnsi="Arial" w:cs="Arial"/>
          <w:b/>
          <w:color w:val="FF0000"/>
        </w:rPr>
      </w:pPr>
      <w:r w:rsidRPr="00E52041">
        <w:rPr>
          <w:rFonts w:ascii="Arial" w:hAnsi="Arial" w:cs="Arial"/>
          <w:b/>
        </w:rPr>
        <w:t xml:space="preserve">Title of Sub-Project: </w:t>
      </w:r>
      <w:r w:rsidR="001A28FA" w:rsidRPr="001A28FA">
        <w:rPr>
          <w:rFonts w:ascii="Arial" w:hAnsi="Arial" w:cs="Arial"/>
          <w:b/>
        </w:rPr>
        <w:t>Formative Research to Investigate a Web Panel and to Determine Feasibility of Web-Based Cognitive Pretesting</w:t>
      </w:r>
    </w:p>
    <w:p w14:paraId="44664565" w14:textId="77777777" w:rsidR="009B4522" w:rsidRPr="00E52041" w:rsidRDefault="009B4522" w:rsidP="009B4522">
      <w:pPr>
        <w:rPr>
          <w:rFonts w:ascii="Arial" w:hAnsi="Arial" w:cs="Arial"/>
          <w:b/>
          <w:color w:val="FF0000"/>
        </w:rPr>
      </w:pPr>
    </w:p>
    <w:p w14:paraId="2280FF99" w14:textId="77777777" w:rsidR="003444D1" w:rsidRDefault="003444D1" w:rsidP="009B4522">
      <w:pPr>
        <w:rPr>
          <w:rFonts w:ascii="Arial" w:hAnsi="Arial" w:cs="Arial"/>
          <w:b/>
          <w:color w:val="000000"/>
        </w:rPr>
      </w:pPr>
    </w:p>
    <w:p w14:paraId="49DA4422" w14:textId="77777777" w:rsidR="003444D1" w:rsidRDefault="003444D1" w:rsidP="009B4522">
      <w:pPr>
        <w:rPr>
          <w:rFonts w:ascii="Arial" w:hAnsi="Arial" w:cs="Arial"/>
          <w:b/>
          <w:color w:val="000000"/>
        </w:rPr>
      </w:pPr>
    </w:p>
    <w:p w14:paraId="5574A4FE" w14:textId="77777777" w:rsidR="003444D1" w:rsidRDefault="003444D1" w:rsidP="009B4522">
      <w:pPr>
        <w:rPr>
          <w:rFonts w:ascii="Arial" w:hAnsi="Arial" w:cs="Arial"/>
          <w:b/>
          <w:color w:val="000000"/>
        </w:rPr>
      </w:pPr>
    </w:p>
    <w:p w14:paraId="76EA798A" w14:textId="77777777" w:rsidR="003444D1" w:rsidRDefault="003444D1" w:rsidP="009B4522">
      <w:pPr>
        <w:rPr>
          <w:rFonts w:ascii="Arial" w:hAnsi="Arial" w:cs="Arial"/>
          <w:b/>
          <w:color w:val="000000"/>
        </w:rPr>
      </w:pPr>
    </w:p>
    <w:p w14:paraId="1C459819" w14:textId="77777777" w:rsidR="003444D1" w:rsidRDefault="003444D1" w:rsidP="009B4522">
      <w:pPr>
        <w:rPr>
          <w:rFonts w:ascii="Arial" w:hAnsi="Arial" w:cs="Arial"/>
          <w:b/>
          <w:color w:val="000000"/>
        </w:rPr>
      </w:pPr>
    </w:p>
    <w:p w14:paraId="34E8BF64" w14:textId="77777777" w:rsidR="003444D1" w:rsidRDefault="003444D1" w:rsidP="009B4522">
      <w:pPr>
        <w:rPr>
          <w:rFonts w:ascii="Arial" w:hAnsi="Arial" w:cs="Arial"/>
          <w:b/>
          <w:color w:val="000000"/>
        </w:rPr>
      </w:pPr>
    </w:p>
    <w:p w14:paraId="60031DAB" w14:textId="77777777" w:rsidR="003444D1" w:rsidRDefault="003444D1" w:rsidP="009B4522">
      <w:pPr>
        <w:rPr>
          <w:rFonts w:ascii="Arial" w:hAnsi="Arial" w:cs="Arial"/>
          <w:b/>
          <w:color w:val="000000"/>
        </w:rPr>
      </w:pPr>
    </w:p>
    <w:p w14:paraId="729607C1" w14:textId="77777777" w:rsidR="003444D1" w:rsidRDefault="003444D1" w:rsidP="009B4522">
      <w:pPr>
        <w:rPr>
          <w:rFonts w:ascii="Arial" w:hAnsi="Arial" w:cs="Arial"/>
          <w:b/>
          <w:color w:val="000000"/>
        </w:rPr>
      </w:pPr>
    </w:p>
    <w:p w14:paraId="00B460C4" w14:textId="77777777" w:rsidR="003444D1" w:rsidRDefault="003444D1" w:rsidP="009B4522">
      <w:pPr>
        <w:rPr>
          <w:rFonts w:ascii="Arial" w:hAnsi="Arial" w:cs="Arial"/>
          <w:b/>
          <w:color w:val="000000"/>
        </w:rPr>
      </w:pPr>
    </w:p>
    <w:p w14:paraId="22F0F72D" w14:textId="77777777" w:rsidR="009B4522" w:rsidRDefault="009B4522" w:rsidP="009B4522">
      <w:pPr>
        <w:rPr>
          <w:rFonts w:ascii="Arial" w:hAnsi="Arial" w:cs="Arial"/>
          <w:color w:val="000000"/>
        </w:rPr>
      </w:pPr>
      <w:r w:rsidRPr="00E52041">
        <w:rPr>
          <w:rFonts w:ascii="Arial" w:hAnsi="Arial" w:cs="Arial"/>
          <w:b/>
          <w:color w:val="000000"/>
        </w:rPr>
        <w:t xml:space="preserve">Dr. </w:t>
      </w:r>
      <w:r>
        <w:rPr>
          <w:rFonts w:ascii="Arial" w:hAnsi="Arial" w:cs="Arial"/>
          <w:b/>
          <w:color w:val="000000"/>
        </w:rPr>
        <w:t>Richard Moser</w:t>
      </w:r>
      <w:r w:rsidRPr="00E52041">
        <w:rPr>
          <w:rFonts w:ascii="Arial" w:hAnsi="Arial" w:cs="Arial"/>
          <w:b/>
          <w:color w:val="000000"/>
        </w:rPr>
        <w:t>, Program Director, Division of Cancer Control and Population Sciences,</w:t>
      </w:r>
      <w:r w:rsidRPr="00E52041">
        <w:rPr>
          <w:rFonts w:ascii="Arial" w:hAnsi="Arial" w:cs="Arial"/>
          <w:b/>
          <w:color w:val="FF0000"/>
        </w:rPr>
        <w:t xml:space="preserve"> </w:t>
      </w:r>
      <w:r w:rsidRPr="00E52041">
        <w:rPr>
          <w:rFonts w:ascii="Arial" w:hAnsi="Arial" w:cs="Arial"/>
          <w:color w:val="000000"/>
        </w:rPr>
        <w:t xml:space="preserve">National Cancer Institute, National Institutes of Health </w:t>
      </w:r>
    </w:p>
    <w:p w14:paraId="49AEFDD3" w14:textId="77777777" w:rsidR="00E27CB3" w:rsidRDefault="00E27CB3" w:rsidP="00081969">
      <w:pPr>
        <w:rPr>
          <w:rFonts w:ascii="Arial" w:hAnsi="Arial" w:cs="Arial"/>
          <w:b/>
        </w:rPr>
      </w:pPr>
    </w:p>
    <w:p w14:paraId="377FF150" w14:textId="1A4AFBEA" w:rsidR="003444D1" w:rsidRDefault="00896BB7" w:rsidP="000819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List of Attachments</w:t>
      </w:r>
    </w:p>
    <w:p w14:paraId="42596926" w14:textId="77777777" w:rsidR="003444D1" w:rsidRDefault="003444D1" w:rsidP="00081969">
      <w:pPr>
        <w:rPr>
          <w:rFonts w:ascii="Arial" w:hAnsi="Arial" w:cs="Arial"/>
          <w:b/>
        </w:rPr>
      </w:pPr>
    </w:p>
    <w:p w14:paraId="205F7C98" w14:textId="4F2F10F1" w:rsidR="009B4522" w:rsidRPr="009B4522" w:rsidRDefault="009B4522" w:rsidP="009B4522">
      <w:pPr>
        <w:rPr>
          <w:rFonts w:ascii="Arial" w:hAnsi="Arial" w:cs="Arial"/>
          <w:b/>
        </w:rPr>
      </w:pPr>
      <w:r w:rsidRPr="009B4522">
        <w:rPr>
          <w:rFonts w:ascii="Arial" w:hAnsi="Arial" w:cs="Arial"/>
          <w:b/>
        </w:rPr>
        <w:t xml:space="preserve">Appendix A: </w:t>
      </w:r>
      <w:r w:rsidR="004E7087" w:rsidRPr="009B4522">
        <w:rPr>
          <w:rFonts w:ascii="Arial" w:hAnsi="Arial" w:cs="Arial"/>
          <w:b/>
        </w:rPr>
        <w:t xml:space="preserve">Screenshots for Condition </w:t>
      </w:r>
      <w:r w:rsidR="004E7087">
        <w:rPr>
          <w:rFonts w:ascii="Arial" w:hAnsi="Arial" w:cs="Arial"/>
          <w:b/>
        </w:rPr>
        <w:t>1</w:t>
      </w:r>
    </w:p>
    <w:p w14:paraId="69BB3CE4" w14:textId="13365985" w:rsidR="009B4522" w:rsidRDefault="009B4522" w:rsidP="004E7087">
      <w:pPr>
        <w:rPr>
          <w:rFonts w:ascii="Arial" w:hAnsi="Arial" w:cs="Arial"/>
          <w:b/>
        </w:rPr>
      </w:pPr>
      <w:r w:rsidRPr="009B4522">
        <w:rPr>
          <w:rFonts w:ascii="Arial" w:hAnsi="Arial" w:cs="Arial"/>
          <w:b/>
        </w:rPr>
        <w:t xml:space="preserve">Appendix B: </w:t>
      </w:r>
      <w:r w:rsidR="004E7087" w:rsidRPr="009B4522">
        <w:rPr>
          <w:rFonts w:ascii="Arial" w:hAnsi="Arial" w:cs="Arial"/>
          <w:b/>
        </w:rPr>
        <w:t xml:space="preserve">Screenshots for Condition </w:t>
      </w:r>
      <w:r w:rsidR="004E7087">
        <w:rPr>
          <w:rFonts w:ascii="Arial" w:hAnsi="Arial" w:cs="Arial"/>
          <w:b/>
        </w:rPr>
        <w:t>2</w:t>
      </w:r>
    </w:p>
    <w:p w14:paraId="271507CD" w14:textId="3A5995B9" w:rsidR="004E7087" w:rsidRDefault="004E7087" w:rsidP="004E70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Appendix C: OHSRP Exemption</w:t>
      </w:r>
    </w:p>
    <w:p w14:paraId="4F1BE51F" w14:textId="77777777" w:rsidR="003444D1" w:rsidRDefault="003444D1" w:rsidP="00E2147D">
      <w:pPr>
        <w:spacing w:line="480" w:lineRule="auto"/>
        <w:rPr>
          <w:rFonts w:ascii="Arial" w:hAnsi="Arial" w:cs="Arial"/>
          <w:b/>
        </w:rPr>
      </w:pPr>
    </w:p>
    <w:p w14:paraId="7C31BE7C" w14:textId="77777777" w:rsidR="003444D1" w:rsidRDefault="003444D1" w:rsidP="00E2147D">
      <w:pPr>
        <w:spacing w:line="480" w:lineRule="auto"/>
        <w:rPr>
          <w:rFonts w:ascii="Arial" w:hAnsi="Arial" w:cs="Arial"/>
          <w:b/>
        </w:rPr>
      </w:pPr>
    </w:p>
    <w:p w14:paraId="1B658E4A" w14:textId="77777777" w:rsidR="003444D1" w:rsidRDefault="003444D1" w:rsidP="00E2147D">
      <w:pPr>
        <w:spacing w:line="480" w:lineRule="auto"/>
        <w:rPr>
          <w:rFonts w:ascii="Arial" w:hAnsi="Arial" w:cs="Arial"/>
          <w:b/>
        </w:rPr>
      </w:pPr>
    </w:p>
    <w:p w14:paraId="22106E72" w14:textId="77777777" w:rsidR="003444D1" w:rsidRDefault="003444D1" w:rsidP="00E2147D">
      <w:pPr>
        <w:spacing w:line="480" w:lineRule="auto"/>
        <w:rPr>
          <w:rFonts w:ascii="Arial" w:hAnsi="Arial" w:cs="Arial"/>
          <w:b/>
        </w:rPr>
      </w:pPr>
    </w:p>
    <w:p w14:paraId="6B69E2C7" w14:textId="77777777" w:rsidR="003444D1" w:rsidRDefault="003444D1" w:rsidP="00E2147D">
      <w:pPr>
        <w:spacing w:line="480" w:lineRule="auto"/>
        <w:rPr>
          <w:rFonts w:ascii="Arial" w:hAnsi="Arial" w:cs="Arial"/>
          <w:b/>
        </w:rPr>
      </w:pPr>
    </w:p>
    <w:p w14:paraId="582DE48D" w14:textId="77777777" w:rsidR="003444D1" w:rsidRDefault="003444D1" w:rsidP="00E2147D">
      <w:pPr>
        <w:spacing w:line="480" w:lineRule="auto"/>
        <w:rPr>
          <w:rFonts w:ascii="Arial" w:hAnsi="Arial" w:cs="Arial"/>
          <w:b/>
        </w:rPr>
      </w:pPr>
    </w:p>
    <w:p w14:paraId="73A5E397" w14:textId="77777777" w:rsidR="003444D1" w:rsidRDefault="003444D1" w:rsidP="00E2147D">
      <w:pPr>
        <w:spacing w:line="480" w:lineRule="auto"/>
        <w:rPr>
          <w:rFonts w:ascii="Arial" w:hAnsi="Arial" w:cs="Arial"/>
          <w:b/>
        </w:rPr>
      </w:pPr>
    </w:p>
    <w:p w14:paraId="3E19070D" w14:textId="77777777" w:rsidR="003444D1" w:rsidRDefault="003444D1" w:rsidP="00E2147D">
      <w:pPr>
        <w:spacing w:line="480" w:lineRule="auto"/>
        <w:rPr>
          <w:rFonts w:ascii="Arial" w:hAnsi="Arial" w:cs="Arial"/>
          <w:b/>
        </w:rPr>
      </w:pPr>
    </w:p>
    <w:p w14:paraId="6130467A" w14:textId="77777777" w:rsidR="003444D1" w:rsidRDefault="003444D1" w:rsidP="00E2147D">
      <w:pPr>
        <w:spacing w:line="480" w:lineRule="auto"/>
        <w:rPr>
          <w:rFonts w:ascii="Arial" w:hAnsi="Arial" w:cs="Arial"/>
          <w:b/>
        </w:rPr>
      </w:pPr>
    </w:p>
    <w:p w14:paraId="140C9E79" w14:textId="77777777" w:rsidR="003444D1" w:rsidRDefault="003444D1" w:rsidP="00E2147D">
      <w:pPr>
        <w:spacing w:line="480" w:lineRule="auto"/>
        <w:rPr>
          <w:rFonts w:ascii="Arial" w:hAnsi="Arial" w:cs="Arial"/>
          <w:b/>
        </w:rPr>
      </w:pPr>
    </w:p>
    <w:p w14:paraId="43284DDE" w14:textId="77777777" w:rsidR="003444D1" w:rsidRDefault="003444D1" w:rsidP="00E2147D">
      <w:pPr>
        <w:spacing w:line="480" w:lineRule="auto"/>
        <w:rPr>
          <w:rFonts w:ascii="Arial" w:hAnsi="Arial" w:cs="Arial"/>
          <w:b/>
        </w:rPr>
      </w:pPr>
    </w:p>
    <w:p w14:paraId="7C40032E" w14:textId="77777777" w:rsidR="003444D1" w:rsidRDefault="003444D1" w:rsidP="00E2147D">
      <w:pPr>
        <w:spacing w:line="480" w:lineRule="auto"/>
        <w:rPr>
          <w:rFonts w:ascii="Arial" w:hAnsi="Arial" w:cs="Arial"/>
          <w:b/>
        </w:rPr>
      </w:pPr>
    </w:p>
    <w:p w14:paraId="3EC6EB21" w14:textId="77777777" w:rsidR="003444D1" w:rsidRDefault="003444D1" w:rsidP="00E2147D">
      <w:pPr>
        <w:spacing w:line="480" w:lineRule="auto"/>
        <w:rPr>
          <w:rFonts w:ascii="Arial" w:hAnsi="Arial" w:cs="Arial"/>
          <w:b/>
        </w:rPr>
      </w:pPr>
    </w:p>
    <w:p w14:paraId="6D3E9E57" w14:textId="77777777" w:rsidR="00081969" w:rsidRDefault="00081969" w:rsidP="00E2147D">
      <w:pPr>
        <w:spacing w:line="480" w:lineRule="auto"/>
        <w:rPr>
          <w:rFonts w:ascii="Arial" w:hAnsi="Arial" w:cs="Arial"/>
          <w:b/>
        </w:rPr>
      </w:pPr>
    </w:p>
    <w:p w14:paraId="70372EB9" w14:textId="6179D97F" w:rsidR="003444D1" w:rsidRDefault="003444D1" w:rsidP="00E2147D">
      <w:pPr>
        <w:spacing w:line="480" w:lineRule="auto"/>
        <w:rPr>
          <w:rFonts w:ascii="Arial" w:hAnsi="Arial" w:cs="Arial"/>
          <w:b/>
        </w:rPr>
      </w:pPr>
    </w:p>
    <w:p w14:paraId="1A99CDAE" w14:textId="1B53C0C8" w:rsidR="004E7087" w:rsidRDefault="004E7087" w:rsidP="00E2147D">
      <w:pPr>
        <w:spacing w:line="480" w:lineRule="auto"/>
        <w:rPr>
          <w:rFonts w:ascii="Arial" w:hAnsi="Arial" w:cs="Arial"/>
          <w:b/>
        </w:rPr>
      </w:pPr>
    </w:p>
    <w:p w14:paraId="77177EDC" w14:textId="18673489" w:rsidR="004E7087" w:rsidRDefault="004E7087" w:rsidP="00E2147D">
      <w:pPr>
        <w:spacing w:line="480" w:lineRule="auto"/>
        <w:rPr>
          <w:rFonts w:ascii="Arial" w:hAnsi="Arial" w:cs="Arial"/>
          <w:b/>
        </w:rPr>
      </w:pPr>
    </w:p>
    <w:p w14:paraId="4A572850" w14:textId="74F274C9" w:rsidR="004E7087" w:rsidRDefault="004E7087" w:rsidP="00E2147D">
      <w:pPr>
        <w:spacing w:line="480" w:lineRule="auto"/>
        <w:rPr>
          <w:rFonts w:ascii="Arial" w:hAnsi="Arial" w:cs="Arial"/>
          <w:b/>
        </w:rPr>
      </w:pPr>
    </w:p>
    <w:p w14:paraId="147732E4" w14:textId="3CD556DD" w:rsidR="004E7087" w:rsidRDefault="004E7087" w:rsidP="00E2147D">
      <w:pPr>
        <w:spacing w:line="480" w:lineRule="auto"/>
        <w:rPr>
          <w:rFonts w:ascii="Arial" w:hAnsi="Arial" w:cs="Arial"/>
          <w:b/>
        </w:rPr>
      </w:pPr>
    </w:p>
    <w:p w14:paraId="5F72440F" w14:textId="403F9240" w:rsidR="004E7087" w:rsidRDefault="004E7087" w:rsidP="00E2147D">
      <w:pPr>
        <w:spacing w:line="480" w:lineRule="auto"/>
        <w:rPr>
          <w:rFonts w:ascii="Arial" w:hAnsi="Arial" w:cs="Arial"/>
          <w:b/>
        </w:rPr>
      </w:pPr>
    </w:p>
    <w:p w14:paraId="61DA7697" w14:textId="77777777" w:rsidR="004E7087" w:rsidRDefault="004E7087" w:rsidP="00E2147D">
      <w:pPr>
        <w:spacing w:line="480" w:lineRule="auto"/>
        <w:rPr>
          <w:rFonts w:ascii="Arial" w:hAnsi="Arial" w:cs="Arial"/>
          <w:b/>
        </w:rPr>
      </w:pPr>
    </w:p>
    <w:p w14:paraId="100851F7" w14:textId="77777777" w:rsidR="00E2147D" w:rsidRPr="00B73AA4" w:rsidRDefault="00E2147D" w:rsidP="00E2147D">
      <w:pPr>
        <w:spacing w:line="480" w:lineRule="auto"/>
        <w:rPr>
          <w:rFonts w:ascii="Arial" w:hAnsi="Arial" w:cs="Arial"/>
          <w:b/>
        </w:rPr>
      </w:pPr>
      <w:r w:rsidRPr="00B73AA4">
        <w:rPr>
          <w:rFonts w:ascii="Arial" w:hAnsi="Arial" w:cs="Arial"/>
          <w:b/>
        </w:rPr>
        <w:lastRenderedPageBreak/>
        <w:t>Section A.</w:t>
      </w:r>
      <w:r w:rsidR="009B4522">
        <w:rPr>
          <w:rFonts w:ascii="Arial" w:hAnsi="Arial" w:cs="Arial"/>
          <w:b/>
        </w:rPr>
        <w:t xml:space="preserve"> </w:t>
      </w:r>
    </w:p>
    <w:p w14:paraId="2A3D33CB" w14:textId="77777777" w:rsidR="0008711B" w:rsidRPr="00B73AA4" w:rsidRDefault="0008711B" w:rsidP="006F5F87">
      <w:pPr>
        <w:rPr>
          <w:rFonts w:ascii="Arial" w:hAnsi="Arial" w:cs="Arial"/>
          <w:b/>
        </w:rPr>
      </w:pPr>
      <w:r w:rsidRPr="00B73AA4">
        <w:rPr>
          <w:rFonts w:ascii="Arial" w:hAnsi="Arial" w:cs="Arial"/>
          <w:b/>
        </w:rPr>
        <w:t>A1. Circumstances Making the Collection of Information Necessary</w:t>
      </w:r>
      <w:bookmarkEnd w:id="0"/>
    </w:p>
    <w:p w14:paraId="08F8BC08" w14:textId="77777777" w:rsidR="00B537BF" w:rsidRDefault="00AC3E6F" w:rsidP="00C74932">
      <w:pPr>
        <w:widowControl w:val="0"/>
        <w:autoSpaceDE w:val="0"/>
        <w:autoSpaceDN w:val="0"/>
        <w:adjustRightInd w:val="0"/>
        <w:rPr>
          <w:color w:val="000000"/>
        </w:rPr>
      </w:pPr>
      <w:r w:rsidRPr="004179DE">
        <w:rPr>
          <w:color w:val="000000"/>
        </w:rPr>
        <w:t xml:space="preserve">Section 410 of the Public Health Service Act (42 USC </w:t>
      </w:r>
      <w:r w:rsidRPr="004179DE">
        <w:rPr>
          <w:i/>
          <w:iCs/>
          <w:color w:val="000000"/>
        </w:rPr>
        <w:t>§</w:t>
      </w:r>
      <w:r w:rsidRPr="004179DE">
        <w:rPr>
          <w:color w:val="000000"/>
        </w:rPr>
        <w:t xml:space="preserve"> 285) authorizes the collection of the information</w:t>
      </w:r>
      <w:r w:rsidR="00C40E33">
        <w:rPr>
          <w:color w:val="000000"/>
        </w:rPr>
        <w:t xml:space="preserve"> requested in this</w:t>
      </w:r>
      <w:r w:rsidR="002B62D7">
        <w:rPr>
          <w:color w:val="000000"/>
        </w:rPr>
        <w:t xml:space="preserve"> </w:t>
      </w:r>
      <w:r w:rsidR="00C72B6A">
        <w:rPr>
          <w:color w:val="000000"/>
        </w:rPr>
        <w:t>sub</w:t>
      </w:r>
      <w:r w:rsidR="00F74B4B">
        <w:rPr>
          <w:color w:val="000000"/>
        </w:rPr>
        <w:t>-</w:t>
      </w:r>
      <w:r w:rsidR="00C72B6A">
        <w:rPr>
          <w:color w:val="000000"/>
        </w:rPr>
        <w:t xml:space="preserve">study </w:t>
      </w:r>
      <w:r w:rsidR="002B62D7">
        <w:rPr>
          <w:color w:val="000000"/>
        </w:rPr>
        <w:t>clearance application.</w:t>
      </w:r>
      <w:r w:rsidR="00735605">
        <w:rPr>
          <w:color w:val="000000"/>
        </w:rPr>
        <w:t xml:space="preserve"> </w:t>
      </w:r>
      <w:r w:rsidR="00C74932">
        <w:rPr>
          <w:color w:val="000000"/>
        </w:rPr>
        <w:t xml:space="preserve">The information collection request falls under the </w:t>
      </w:r>
      <w:r w:rsidR="009B4522">
        <w:rPr>
          <w:color w:val="000000"/>
        </w:rPr>
        <w:t>Science of Research and Technology Branch</w:t>
      </w:r>
      <w:r w:rsidR="00C74932">
        <w:rPr>
          <w:color w:val="000000"/>
        </w:rPr>
        <w:t xml:space="preserve">, housed within the </w:t>
      </w:r>
      <w:r w:rsidR="00691F50">
        <w:rPr>
          <w:color w:val="000000"/>
        </w:rPr>
        <w:t>Behavioral</w:t>
      </w:r>
      <w:r w:rsidR="00C74932">
        <w:rPr>
          <w:color w:val="000000"/>
        </w:rPr>
        <w:t xml:space="preserve"> Research Program of the Division of Cancer Control and Population Sciences</w:t>
      </w:r>
      <w:r w:rsidR="009970D1">
        <w:rPr>
          <w:color w:val="000000"/>
        </w:rPr>
        <w:t xml:space="preserve"> (</w:t>
      </w:r>
      <w:r w:rsidR="009B4522">
        <w:rPr>
          <w:color w:val="000000"/>
        </w:rPr>
        <w:t>SRTB</w:t>
      </w:r>
      <w:r w:rsidR="00B42D8F">
        <w:rPr>
          <w:color w:val="000000"/>
        </w:rPr>
        <w:t>/B</w:t>
      </w:r>
      <w:r w:rsidR="009970D1">
        <w:rPr>
          <w:color w:val="000000"/>
        </w:rPr>
        <w:t>RP/DCCPS)</w:t>
      </w:r>
      <w:r w:rsidR="00C74932">
        <w:rPr>
          <w:color w:val="000000"/>
        </w:rPr>
        <w:t xml:space="preserve">. </w:t>
      </w:r>
    </w:p>
    <w:p w14:paraId="495224BF" w14:textId="77777777" w:rsidR="00BC3371" w:rsidRPr="009D7BB0" w:rsidRDefault="007A2393" w:rsidP="009D7BB0">
      <w:pPr>
        <w:widowControl w:val="0"/>
        <w:autoSpaceDE w:val="0"/>
        <w:autoSpaceDN w:val="0"/>
        <w:adjustRightInd w:val="0"/>
        <w:spacing w:before="240"/>
        <w:rPr>
          <w:color w:val="000000"/>
        </w:rPr>
      </w:pPr>
      <w:r>
        <w:rPr>
          <w:color w:val="000000"/>
        </w:rPr>
        <w:t xml:space="preserve">As per NCI Generic </w:t>
      </w:r>
      <w:r w:rsidR="00896BB7">
        <w:rPr>
          <w:color w:val="000000"/>
        </w:rPr>
        <w:t>C</w:t>
      </w:r>
      <w:r>
        <w:rPr>
          <w:color w:val="000000"/>
        </w:rPr>
        <w:t>learance</w:t>
      </w:r>
      <w:r w:rsidR="00461CF3">
        <w:rPr>
          <w:color w:val="000000"/>
        </w:rPr>
        <w:t>, Questionnaire Cognitive Testing and Interviewing (OMB #</w:t>
      </w:r>
      <w:r>
        <w:rPr>
          <w:color w:val="000000"/>
        </w:rPr>
        <w:t xml:space="preserve"> 0925-0589</w:t>
      </w:r>
      <w:r w:rsidR="00CA4F26">
        <w:rPr>
          <w:color w:val="000000"/>
        </w:rPr>
        <w:t>, expiration date: 7/31/2017</w:t>
      </w:r>
      <w:r w:rsidR="00461CF3">
        <w:rPr>
          <w:color w:val="000000"/>
        </w:rPr>
        <w:t>)</w:t>
      </w:r>
      <w:r>
        <w:rPr>
          <w:color w:val="000000"/>
        </w:rPr>
        <w:t>, the formative research proposed in this document focuses on “survey material development and pretesting based on cognitive interviewing methodology” (Supporting Statement Part A,</w:t>
      </w:r>
      <w:r w:rsidR="00461CF3">
        <w:rPr>
          <w:color w:val="000000"/>
        </w:rPr>
        <w:t xml:space="preserve"> April 2014,</w:t>
      </w:r>
      <w:r>
        <w:rPr>
          <w:color w:val="000000"/>
        </w:rPr>
        <w:t xml:space="preserve"> p. 1). </w:t>
      </w:r>
      <w:r w:rsidR="00896BB7">
        <w:rPr>
          <w:color w:val="000000"/>
        </w:rPr>
        <w:t>This information collection is</w:t>
      </w:r>
      <w:r w:rsidR="00B537BF">
        <w:rPr>
          <w:color w:val="000000"/>
        </w:rPr>
        <w:t xml:space="preserve"> formative research related to questionnaire design. </w:t>
      </w:r>
    </w:p>
    <w:p w14:paraId="6F5882CF" w14:textId="77777777" w:rsidR="006E7B58" w:rsidRPr="006E7B58" w:rsidRDefault="006E7B58" w:rsidP="00730672">
      <w:pPr>
        <w:tabs>
          <w:tab w:val="num" w:pos="450"/>
        </w:tabs>
        <w:rPr>
          <w:b/>
          <w:color w:val="FF0000"/>
          <w:sz w:val="20"/>
          <w:szCs w:val="20"/>
        </w:rPr>
      </w:pPr>
    </w:p>
    <w:p w14:paraId="319F2DB8" w14:textId="77777777" w:rsidR="004A7365" w:rsidRPr="00C40E33" w:rsidRDefault="0008711B" w:rsidP="00C40E33">
      <w:pPr>
        <w:outlineLvl w:val="0"/>
        <w:rPr>
          <w:rFonts w:ascii="Arial" w:hAnsi="Arial" w:cs="Arial"/>
          <w:b/>
        </w:rPr>
      </w:pPr>
      <w:bookmarkStart w:id="1" w:name="_Toc230515979"/>
      <w:r w:rsidRPr="00B73AA4">
        <w:rPr>
          <w:rFonts w:ascii="Arial" w:hAnsi="Arial" w:cs="Arial"/>
          <w:b/>
        </w:rPr>
        <w:t>A2. Purpose and Use of the Information Collection</w:t>
      </w:r>
      <w:bookmarkEnd w:id="1"/>
    </w:p>
    <w:p w14:paraId="42A9C2B0" w14:textId="2AF9144A" w:rsidR="00160667" w:rsidRDefault="00130856" w:rsidP="00160667">
      <w:pPr>
        <w:jc w:val="both"/>
        <w:rPr>
          <w:color w:val="000000"/>
        </w:rPr>
      </w:pPr>
      <w:r>
        <w:rPr>
          <w:color w:val="000000"/>
        </w:rPr>
        <w:t>The purpose of this sub-</w:t>
      </w:r>
      <w:r w:rsidR="00F74B4B">
        <w:rPr>
          <w:color w:val="000000"/>
        </w:rPr>
        <w:t xml:space="preserve">study </w:t>
      </w:r>
      <w:r w:rsidR="009B4522">
        <w:rPr>
          <w:color w:val="000000"/>
        </w:rPr>
        <w:t>is</w:t>
      </w:r>
      <w:r w:rsidR="00C72B6A">
        <w:rPr>
          <w:color w:val="000000"/>
        </w:rPr>
        <w:t xml:space="preserve"> to </w:t>
      </w:r>
      <w:r w:rsidR="00160667" w:rsidRPr="009D02C1">
        <w:rPr>
          <w:color w:val="000000"/>
        </w:rPr>
        <w:t xml:space="preserve">examine </w:t>
      </w:r>
      <w:r w:rsidR="009B4522">
        <w:rPr>
          <w:color w:val="000000"/>
        </w:rPr>
        <w:t>if question order</w:t>
      </w:r>
      <w:r w:rsidR="00C72B6A">
        <w:rPr>
          <w:color w:val="000000"/>
        </w:rPr>
        <w:t xml:space="preserve"> </w:t>
      </w:r>
      <w:r w:rsidR="00160667" w:rsidRPr="009D02C1">
        <w:rPr>
          <w:color w:val="000000"/>
        </w:rPr>
        <w:t>influence</w:t>
      </w:r>
      <w:r w:rsidR="009B4522">
        <w:rPr>
          <w:color w:val="000000"/>
        </w:rPr>
        <w:t>s</w:t>
      </w:r>
      <w:r w:rsidR="00160667" w:rsidRPr="009D02C1">
        <w:rPr>
          <w:color w:val="000000"/>
        </w:rPr>
        <w:t xml:space="preserve"> </w:t>
      </w:r>
      <w:r w:rsidR="009B4522">
        <w:rPr>
          <w:color w:val="000000"/>
        </w:rPr>
        <w:t>responses to survey questions</w:t>
      </w:r>
      <w:r w:rsidR="00160667" w:rsidRPr="009D02C1">
        <w:rPr>
          <w:color w:val="000000"/>
        </w:rPr>
        <w:t xml:space="preserve">. </w:t>
      </w:r>
      <w:r w:rsidR="009B4522">
        <w:rPr>
          <w:color w:val="000000"/>
        </w:rPr>
        <w:t>That is</w:t>
      </w:r>
      <w:r w:rsidR="00FD6083" w:rsidRPr="009D02C1">
        <w:rPr>
          <w:color w:val="000000"/>
        </w:rPr>
        <w:t xml:space="preserve">, does answering questions </w:t>
      </w:r>
      <w:r w:rsidR="009B4522">
        <w:rPr>
          <w:color w:val="000000"/>
        </w:rPr>
        <w:t xml:space="preserve">first </w:t>
      </w:r>
      <w:r w:rsidR="00FD6083" w:rsidRPr="009D02C1">
        <w:rPr>
          <w:color w:val="000000"/>
        </w:rPr>
        <w:t xml:space="preserve">about </w:t>
      </w:r>
      <w:r w:rsidR="009B4522">
        <w:rPr>
          <w:color w:val="000000"/>
        </w:rPr>
        <w:t>engaging in healthy behaviors (e.g., physical activity) influence how much medical information people report seeking.</w:t>
      </w:r>
      <w:r w:rsidR="00B32657">
        <w:rPr>
          <w:color w:val="000000"/>
        </w:rPr>
        <w:t xml:space="preserve"> </w:t>
      </w:r>
      <w:r w:rsidR="00750166">
        <w:rPr>
          <w:color w:val="000000"/>
        </w:rPr>
        <w:t xml:space="preserve">Or does asking people first about seeking medical information change how they respond to questions about engaging in healthy behaviors? </w:t>
      </w:r>
      <w:r w:rsidR="00B32657">
        <w:rPr>
          <w:color w:val="000000"/>
        </w:rPr>
        <w:t xml:space="preserve">To answer this question, </w:t>
      </w:r>
      <w:r w:rsidR="00E236E5">
        <w:rPr>
          <w:color w:val="000000"/>
        </w:rPr>
        <w:t xml:space="preserve">we will </w:t>
      </w:r>
      <w:r w:rsidR="007A2393">
        <w:rPr>
          <w:color w:val="000000"/>
        </w:rPr>
        <w:t>vary</w:t>
      </w:r>
      <w:r w:rsidR="00E236E5">
        <w:rPr>
          <w:color w:val="000000"/>
        </w:rPr>
        <w:t xml:space="preserve"> the order t</w:t>
      </w:r>
      <w:r w:rsidR="00B57D75">
        <w:rPr>
          <w:color w:val="000000"/>
        </w:rPr>
        <w:t>hat</w:t>
      </w:r>
      <w:r w:rsidR="009D7BB0">
        <w:rPr>
          <w:color w:val="000000"/>
        </w:rPr>
        <w:t xml:space="preserve"> respondents answer these types of questions</w:t>
      </w:r>
      <w:r w:rsidR="00E236E5">
        <w:rPr>
          <w:color w:val="000000"/>
        </w:rPr>
        <w:t>. R</w:t>
      </w:r>
      <w:r w:rsidR="00B32657">
        <w:rPr>
          <w:color w:val="000000"/>
        </w:rPr>
        <w:t xml:space="preserve">espondents will be randomly assigned to </w:t>
      </w:r>
      <w:r w:rsidR="00E27CB3">
        <w:rPr>
          <w:color w:val="000000"/>
        </w:rPr>
        <w:t>1 of 2 conditio</w:t>
      </w:r>
      <w:r w:rsidR="004E7087">
        <w:rPr>
          <w:color w:val="000000"/>
        </w:rPr>
        <w:t>ns where condition 1 (Appendix A</w:t>
      </w:r>
      <w:r w:rsidR="00E27CB3">
        <w:rPr>
          <w:color w:val="000000"/>
        </w:rPr>
        <w:t>)</w:t>
      </w:r>
      <w:r w:rsidR="00492D8E">
        <w:rPr>
          <w:color w:val="000000"/>
        </w:rPr>
        <w:t>,</w:t>
      </w:r>
      <w:r w:rsidR="00E236E5">
        <w:rPr>
          <w:color w:val="000000"/>
        </w:rPr>
        <w:t xml:space="preserve"> </w:t>
      </w:r>
      <w:r w:rsidR="00E27CB3">
        <w:rPr>
          <w:color w:val="000000"/>
        </w:rPr>
        <w:t>ask</w:t>
      </w:r>
      <w:r w:rsidR="00492D8E">
        <w:rPr>
          <w:color w:val="000000"/>
        </w:rPr>
        <w:t>s</w:t>
      </w:r>
      <w:r w:rsidR="00B32657">
        <w:rPr>
          <w:color w:val="000000"/>
        </w:rPr>
        <w:t xml:space="preserve"> </w:t>
      </w:r>
      <w:r w:rsidR="009B4522">
        <w:rPr>
          <w:color w:val="000000"/>
        </w:rPr>
        <w:t>questions about health information first followed by questions about engagement in health behaviors</w:t>
      </w:r>
      <w:r w:rsidR="004E7087">
        <w:rPr>
          <w:color w:val="000000"/>
        </w:rPr>
        <w:t>. Condition 2 (Appendix B</w:t>
      </w:r>
      <w:r w:rsidR="00E27CB3">
        <w:rPr>
          <w:color w:val="000000"/>
        </w:rPr>
        <w:t>) asks</w:t>
      </w:r>
      <w:r w:rsidR="00B32657">
        <w:rPr>
          <w:color w:val="000000"/>
        </w:rPr>
        <w:t xml:space="preserve"> </w:t>
      </w:r>
      <w:r w:rsidR="009B4522">
        <w:rPr>
          <w:color w:val="000000"/>
        </w:rPr>
        <w:t>questions about engagement in health behaviors first followed by questions about health information second.</w:t>
      </w:r>
      <w:r>
        <w:rPr>
          <w:color w:val="000000"/>
        </w:rPr>
        <w:t xml:space="preserve"> </w:t>
      </w:r>
      <w:r w:rsidR="00492D8E">
        <w:t xml:space="preserve">The only difference between the two conditions is the order of the questions. All respondents will answer the same questions. </w:t>
      </w:r>
      <w:r>
        <w:rPr>
          <w:color w:val="000000"/>
        </w:rPr>
        <w:t xml:space="preserve">This project is deemed exempt from human </w:t>
      </w:r>
      <w:r w:rsidR="00492D8E">
        <w:rPr>
          <w:color w:val="000000"/>
        </w:rPr>
        <w:t>subject’s</w:t>
      </w:r>
      <w:r>
        <w:rPr>
          <w:color w:val="000000"/>
        </w:rPr>
        <w:t xml:space="preserve"> approval by the NIH Office of Huma</w:t>
      </w:r>
      <w:r w:rsidR="0014522A">
        <w:rPr>
          <w:color w:val="000000"/>
        </w:rPr>
        <w:t>n Subjects Research</w:t>
      </w:r>
      <w:r w:rsidR="00A54876">
        <w:rPr>
          <w:color w:val="000000"/>
        </w:rPr>
        <w:t xml:space="preserve"> Protections</w:t>
      </w:r>
      <w:r>
        <w:rPr>
          <w:color w:val="000000"/>
        </w:rPr>
        <w:t>.</w:t>
      </w:r>
    </w:p>
    <w:p w14:paraId="059EA16C" w14:textId="77777777" w:rsidR="00A94C17" w:rsidRDefault="00A94C17" w:rsidP="00160667">
      <w:pPr>
        <w:jc w:val="both"/>
        <w:rPr>
          <w:color w:val="000000"/>
        </w:rPr>
      </w:pPr>
    </w:p>
    <w:p w14:paraId="31A36AA7" w14:textId="5890831C" w:rsidR="00A94C17" w:rsidRDefault="0038017D" w:rsidP="00A94C17">
      <w:pPr>
        <w:jc w:val="both"/>
        <w:rPr>
          <w:color w:val="000000"/>
        </w:rPr>
      </w:pPr>
      <w:r>
        <w:rPr>
          <w:color w:val="000000" w:themeColor="text1"/>
        </w:rPr>
        <w:t xml:space="preserve">Respondents will complete </w:t>
      </w:r>
      <w:r w:rsidR="00E27CB3">
        <w:rPr>
          <w:color w:val="000000" w:themeColor="text1"/>
        </w:rPr>
        <w:t xml:space="preserve">one of the two conditions that will consist of </w:t>
      </w:r>
      <w:r>
        <w:rPr>
          <w:color w:val="000000" w:themeColor="text1"/>
        </w:rPr>
        <w:t>the 6-item Lookin</w:t>
      </w:r>
      <w:r w:rsidR="004E7087">
        <w:rPr>
          <w:color w:val="000000" w:themeColor="text1"/>
        </w:rPr>
        <w:t xml:space="preserve">g for Health Information Module, </w:t>
      </w:r>
      <w:r>
        <w:rPr>
          <w:color w:val="000000" w:themeColor="text1"/>
        </w:rPr>
        <w:t>13-item</w:t>
      </w:r>
      <w:r w:rsidR="004E7087">
        <w:rPr>
          <w:color w:val="000000" w:themeColor="text1"/>
        </w:rPr>
        <w:t>s</w:t>
      </w:r>
      <w:r>
        <w:rPr>
          <w:color w:val="000000" w:themeColor="text1"/>
        </w:rPr>
        <w:t xml:space="preserve"> Using the Internet to Find</w:t>
      </w:r>
      <w:r w:rsidR="004E7087">
        <w:rPr>
          <w:color w:val="000000" w:themeColor="text1"/>
        </w:rPr>
        <w:t xml:space="preserve"> Information Module, </w:t>
      </w:r>
      <w:r>
        <w:rPr>
          <w:color w:val="000000" w:themeColor="text1"/>
        </w:rPr>
        <w:t>8-it</w:t>
      </w:r>
      <w:r w:rsidR="004E7087">
        <w:rPr>
          <w:color w:val="000000" w:themeColor="text1"/>
        </w:rPr>
        <w:t>em Quality of Health Care Module</w:t>
      </w:r>
      <w:r>
        <w:rPr>
          <w:color w:val="000000" w:themeColor="text1"/>
        </w:rPr>
        <w:t>, the 2-item Electronic Medical Records Module, 2-item Canc</w:t>
      </w:r>
      <w:r w:rsidR="004E7087">
        <w:rPr>
          <w:color w:val="000000" w:themeColor="text1"/>
        </w:rPr>
        <w:t>er Screening Module</w:t>
      </w:r>
      <w:r>
        <w:rPr>
          <w:color w:val="000000" w:themeColor="text1"/>
        </w:rPr>
        <w:t>, 9-item Cancer History and Beliefs Module, the 10-item Physica</w:t>
      </w:r>
      <w:r w:rsidR="004E7087">
        <w:rPr>
          <w:color w:val="000000" w:themeColor="text1"/>
        </w:rPr>
        <w:t>l Activity and Nutrition Module</w:t>
      </w:r>
      <w:r>
        <w:rPr>
          <w:color w:val="000000" w:themeColor="text1"/>
        </w:rPr>
        <w:t xml:space="preserve">, the 4-item Tobacco Use Module, 13 demographic questions. </w:t>
      </w:r>
      <w:r w:rsidR="00301E1C">
        <w:rPr>
          <w:color w:val="000000"/>
        </w:rPr>
        <w:t xml:space="preserve">Also, as part of </w:t>
      </w:r>
      <w:r w:rsidR="00D97359">
        <w:rPr>
          <w:color w:val="000000"/>
        </w:rPr>
        <w:t>formative research</w:t>
      </w:r>
      <w:r w:rsidR="00301E1C">
        <w:rPr>
          <w:color w:val="000000"/>
        </w:rPr>
        <w:t xml:space="preserve">, we will include </w:t>
      </w:r>
      <w:r>
        <w:rPr>
          <w:color w:val="000000"/>
        </w:rPr>
        <w:t>5</w:t>
      </w:r>
      <w:r w:rsidR="00301E1C">
        <w:rPr>
          <w:color w:val="000000"/>
        </w:rPr>
        <w:t xml:space="preserve"> </w:t>
      </w:r>
      <w:r w:rsidR="00C72B6A">
        <w:rPr>
          <w:color w:val="000000"/>
        </w:rPr>
        <w:t xml:space="preserve">cognitive </w:t>
      </w:r>
      <w:r w:rsidR="00301E1C">
        <w:rPr>
          <w:color w:val="000000"/>
        </w:rPr>
        <w:t>prob</w:t>
      </w:r>
      <w:r w:rsidR="00C72B6A">
        <w:rPr>
          <w:color w:val="000000"/>
        </w:rPr>
        <w:t>e</w:t>
      </w:r>
      <w:r w:rsidR="00C40E33">
        <w:rPr>
          <w:color w:val="000000"/>
        </w:rPr>
        <w:t>s</w:t>
      </w:r>
      <w:r w:rsidR="00A94C17">
        <w:rPr>
          <w:color w:val="000000"/>
        </w:rPr>
        <w:t xml:space="preserve"> at the end of the </w:t>
      </w:r>
      <w:r>
        <w:rPr>
          <w:color w:val="000000"/>
        </w:rPr>
        <w:t>survey</w:t>
      </w:r>
      <w:r w:rsidR="00301E1C">
        <w:rPr>
          <w:color w:val="000000"/>
        </w:rPr>
        <w:t xml:space="preserve"> asking respondents what they were thinking when responding to the </w:t>
      </w:r>
      <w:r w:rsidR="004E7087">
        <w:rPr>
          <w:color w:val="000000"/>
        </w:rPr>
        <w:t>survey questions</w:t>
      </w:r>
      <w:r w:rsidR="00A94C17">
        <w:rPr>
          <w:color w:val="000000"/>
        </w:rPr>
        <w:t xml:space="preserve">. </w:t>
      </w:r>
      <w:r w:rsidR="00A94C17" w:rsidRPr="00DF29B7">
        <w:rPr>
          <w:color w:val="000000"/>
        </w:rPr>
        <w:t>Unlike traditional in-person cognitive interviewing in which oral probing is conducted among a small sample of respondents and with a trained cognitive interviewer, this study involves a novel form of probing that is self-administered, web-based, and collected among a large sample of respondents.</w:t>
      </w:r>
      <w:r w:rsidR="00A94C17">
        <w:rPr>
          <w:color w:val="000000"/>
        </w:rPr>
        <w:t xml:space="preserve"> </w:t>
      </w:r>
    </w:p>
    <w:p w14:paraId="653F47E8" w14:textId="77777777" w:rsidR="00A94C17" w:rsidRDefault="00A94C17" w:rsidP="00160667">
      <w:pPr>
        <w:jc w:val="both"/>
        <w:rPr>
          <w:color w:val="000000"/>
        </w:rPr>
      </w:pPr>
    </w:p>
    <w:p w14:paraId="47B674CF" w14:textId="453B43AB" w:rsidR="00FD6083" w:rsidRDefault="00A94C17" w:rsidP="00492D8E">
      <w:pPr>
        <w:rPr>
          <w:color w:val="000000"/>
        </w:rPr>
      </w:pPr>
      <w:r>
        <w:rPr>
          <w:color w:val="000000"/>
        </w:rPr>
        <w:t>We estimate a</w:t>
      </w:r>
      <w:r w:rsidR="00C72B6A">
        <w:rPr>
          <w:color w:val="000000"/>
        </w:rPr>
        <w:t xml:space="preserve"> total mean burden of </w:t>
      </w:r>
      <w:r w:rsidR="00D97359">
        <w:rPr>
          <w:color w:val="000000"/>
        </w:rPr>
        <w:t>30</w:t>
      </w:r>
      <w:r w:rsidR="00C72B6A">
        <w:rPr>
          <w:color w:val="000000"/>
        </w:rPr>
        <w:t xml:space="preserve"> minutes per respondent</w:t>
      </w:r>
      <w:r w:rsidR="00301E1C">
        <w:rPr>
          <w:color w:val="000000"/>
        </w:rPr>
        <w:t>.</w:t>
      </w:r>
      <w:r w:rsidR="003246BB">
        <w:rPr>
          <w:color w:val="000000"/>
        </w:rPr>
        <w:t xml:space="preserve"> </w:t>
      </w:r>
      <w:r w:rsidR="00FE1A14">
        <w:rPr>
          <w:color w:val="000000"/>
        </w:rPr>
        <w:t>We will recruit</w:t>
      </w:r>
      <w:r w:rsidR="003246BB">
        <w:rPr>
          <w:color w:val="000000"/>
        </w:rPr>
        <w:t xml:space="preserve"> </w:t>
      </w:r>
      <w:r w:rsidR="00130856">
        <w:rPr>
          <w:color w:val="000000"/>
        </w:rPr>
        <w:t xml:space="preserve">a convenience sample of </w:t>
      </w:r>
      <w:r w:rsidR="00D97359">
        <w:rPr>
          <w:color w:val="000000"/>
        </w:rPr>
        <w:t>1,0</w:t>
      </w:r>
      <w:r w:rsidR="003246BB">
        <w:rPr>
          <w:color w:val="000000"/>
        </w:rPr>
        <w:t>00</w:t>
      </w:r>
      <w:r w:rsidR="00FE1A14">
        <w:rPr>
          <w:color w:val="000000"/>
        </w:rPr>
        <w:t xml:space="preserve"> respondents</w:t>
      </w:r>
      <w:r w:rsidR="00AC303A">
        <w:rPr>
          <w:color w:val="000000"/>
        </w:rPr>
        <w:t>, with 500 respo</w:t>
      </w:r>
      <w:r w:rsidR="00D97359">
        <w:rPr>
          <w:color w:val="000000"/>
        </w:rPr>
        <w:t xml:space="preserve">ndents assigned to </w:t>
      </w:r>
      <w:r w:rsidR="00E27CB3">
        <w:rPr>
          <w:color w:val="000000"/>
        </w:rPr>
        <w:t>one of</w:t>
      </w:r>
      <w:r w:rsidR="00D97359">
        <w:rPr>
          <w:color w:val="000000"/>
        </w:rPr>
        <w:t xml:space="preserve"> the 2</w:t>
      </w:r>
      <w:r w:rsidR="00AC303A">
        <w:rPr>
          <w:color w:val="000000"/>
        </w:rPr>
        <w:t xml:space="preserve"> </w:t>
      </w:r>
      <w:r w:rsidR="00B57D75">
        <w:rPr>
          <w:color w:val="000000"/>
        </w:rPr>
        <w:t xml:space="preserve">experimental </w:t>
      </w:r>
      <w:r w:rsidR="00AC303A">
        <w:rPr>
          <w:color w:val="000000"/>
        </w:rPr>
        <w:t>conditions</w:t>
      </w:r>
      <w:r w:rsidR="00E27CB3">
        <w:rPr>
          <w:color w:val="000000"/>
        </w:rPr>
        <w:t xml:space="preserve">: </w:t>
      </w:r>
      <w:r w:rsidR="00D97359">
        <w:rPr>
          <w:color w:val="000000"/>
        </w:rPr>
        <w:t>health information questions first</w:t>
      </w:r>
      <w:r w:rsidR="00E27CB3">
        <w:rPr>
          <w:color w:val="000000"/>
        </w:rPr>
        <w:t xml:space="preserve"> or</w:t>
      </w:r>
      <w:r w:rsidR="00C40E33">
        <w:rPr>
          <w:color w:val="000000"/>
        </w:rPr>
        <w:t xml:space="preserve"> </w:t>
      </w:r>
      <w:r w:rsidR="00D97359">
        <w:rPr>
          <w:color w:val="000000"/>
        </w:rPr>
        <w:t>health</w:t>
      </w:r>
      <w:r w:rsidR="00C07965">
        <w:rPr>
          <w:color w:val="000000"/>
        </w:rPr>
        <w:t>y</w:t>
      </w:r>
      <w:r w:rsidR="00D97359">
        <w:rPr>
          <w:color w:val="000000"/>
        </w:rPr>
        <w:t xml:space="preserve"> behaviors questions</w:t>
      </w:r>
      <w:r w:rsidR="00E27CB3">
        <w:rPr>
          <w:color w:val="000000"/>
        </w:rPr>
        <w:t xml:space="preserve"> first</w:t>
      </w:r>
      <w:r w:rsidR="00AC303A">
        <w:rPr>
          <w:color w:val="000000"/>
        </w:rPr>
        <w:t xml:space="preserve">. </w:t>
      </w:r>
      <w:r w:rsidR="00492D8E">
        <w:rPr>
          <w:color w:val="000000"/>
        </w:rPr>
        <w:t>The expected amount of</w:t>
      </w:r>
      <w:r w:rsidR="00AC303A">
        <w:rPr>
          <w:color w:val="000000"/>
        </w:rPr>
        <w:t xml:space="preserve"> time for </w:t>
      </w:r>
      <w:r w:rsidR="00372C7C">
        <w:rPr>
          <w:color w:val="000000"/>
        </w:rPr>
        <w:t xml:space="preserve">all questions </w:t>
      </w:r>
      <w:r w:rsidR="00492D8E">
        <w:rPr>
          <w:color w:val="000000"/>
        </w:rPr>
        <w:t xml:space="preserve">to be completed </w:t>
      </w:r>
      <w:r w:rsidR="00372C7C">
        <w:rPr>
          <w:color w:val="000000"/>
        </w:rPr>
        <w:t>is appr</w:t>
      </w:r>
      <w:r w:rsidR="00D97359">
        <w:rPr>
          <w:color w:val="000000"/>
        </w:rPr>
        <w:t>oximately 30</w:t>
      </w:r>
      <w:r w:rsidR="00AC303A">
        <w:rPr>
          <w:color w:val="000000"/>
        </w:rPr>
        <w:t xml:space="preserve"> minutes</w:t>
      </w:r>
      <w:r w:rsidR="00D97359">
        <w:rPr>
          <w:color w:val="000000"/>
        </w:rPr>
        <w:t>.</w:t>
      </w:r>
      <w:r w:rsidR="003246BB">
        <w:rPr>
          <w:color w:val="000000"/>
        </w:rPr>
        <w:t xml:space="preserve"> </w:t>
      </w:r>
    </w:p>
    <w:p w14:paraId="3DAC07C2" w14:textId="77777777" w:rsidR="00D97359" w:rsidRPr="009D02C1" w:rsidRDefault="00D97359" w:rsidP="00160667">
      <w:pPr>
        <w:jc w:val="both"/>
        <w:rPr>
          <w:color w:val="000000"/>
        </w:rPr>
      </w:pPr>
    </w:p>
    <w:p w14:paraId="4DE1EE37" w14:textId="77777777" w:rsidR="00081969" w:rsidRDefault="00160667" w:rsidP="00160667">
      <w:pPr>
        <w:jc w:val="both"/>
        <w:rPr>
          <w:color w:val="000000"/>
        </w:rPr>
      </w:pPr>
      <w:r w:rsidRPr="009D02C1">
        <w:rPr>
          <w:color w:val="000000"/>
        </w:rPr>
        <w:tab/>
      </w:r>
    </w:p>
    <w:p w14:paraId="1B647FEB" w14:textId="77777777" w:rsidR="00081969" w:rsidRDefault="00081969" w:rsidP="00160667">
      <w:pPr>
        <w:jc w:val="both"/>
        <w:rPr>
          <w:color w:val="000000"/>
        </w:rPr>
      </w:pPr>
    </w:p>
    <w:p w14:paraId="0BB28029" w14:textId="6F7CA21F" w:rsidR="00160667" w:rsidRDefault="00301E1C" w:rsidP="00160667">
      <w:pPr>
        <w:jc w:val="both"/>
        <w:rPr>
          <w:color w:val="000000"/>
        </w:rPr>
      </w:pPr>
      <w:r>
        <w:rPr>
          <w:color w:val="000000"/>
        </w:rPr>
        <w:lastRenderedPageBreak/>
        <w:t>P</w:t>
      </w:r>
      <w:r w:rsidR="00160667" w:rsidRPr="009D02C1">
        <w:rPr>
          <w:color w:val="000000"/>
        </w:rPr>
        <w:t>rimary object</w:t>
      </w:r>
      <w:r w:rsidR="00C40E33">
        <w:rPr>
          <w:color w:val="000000"/>
        </w:rPr>
        <w:t>ive</w:t>
      </w:r>
      <w:r w:rsidR="00160667" w:rsidRPr="009D02C1">
        <w:rPr>
          <w:color w:val="000000"/>
        </w:rPr>
        <w:t>s include:</w:t>
      </w:r>
    </w:p>
    <w:p w14:paraId="59EB60D6" w14:textId="77777777" w:rsidR="002F2C3F" w:rsidRPr="009D02C1" w:rsidRDefault="002F2C3F" w:rsidP="00160667">
      <w:pPr>
        <w:jc w:val="both"/>
        <w:rPr>
          <w:color w:val="000000"/>
        </w:rPr>
      </w:pPr>
    </w:p>
    <w:p w14:paraId="35EED792" w14:textId="77777777" w:rsidR="00D97359" w:rsidRDefault="00461CF3" w:rsidP="00D97359">
      <w:pPr>
        <w:numPr>
          <w:ilvl w:val="0"/>
          <w:numId w:val="36"/>
        </w:numPr>
        <w:jc w:val="both"/>
        <w:rPr>
          <w:color w:val="000000"/>
        </w:rPr>
      </w:pPr>
      <w:r>
        <w:rPr>
          <w:color w:val="000000"/>
        </w:rPr>
        <w:t xml:space="preserve">Formative research </w:t>
      </w:r>
      <w:r w:rsidR="00D97359">
        <w:rPr>
          <w:color w:val="000000"/>
        </w:rPr>
        <w:t>examining</w:t>
      </w:r>
      <w:r w:rsidR="00D97359" w:rsidRPr="00B37A73">
        <w:rPr>
          <w:color w:val="000000"/>
        </w:rPr>
        <w:t xml:space="preserve"> if </w:t>
      </w:r>
      <w:r w:rsidR="00D97359">
        <w:rPr>
          <w:color w:val="000000"/>
        </w:rPr>
        <w:t>question</w:t>
      </w:r>
      <w:r w:rsidR="00D97359" w:rsidRPr="00B37A73">
        <w:rPr>
          <w:color w:val="000000"/>
        </w:rPr>
        <w:t xml:space="preserve"> order influences </w:t>
      </w:r>
      <w:r w:rsidR="00D97359">
        <w:rPr>
          <w:color w:val="000000"/>
        </w:rPr>
        <w:t>self-reported seeking of health information</w:t>
      </w:r>
    </w:p>
    <w:p w14:paraId="26D0D01C" w14:textId="77777777" w:rsidR="00D97359" w:rsidRDefault="00D97359" w:rsidP="00D97359">
      <w:pPr>
        <w:ind w:left="720"/>
        <w:jc w:val="both"/>
        <w:rPr>
          <w:color w:val="000000"/>
        </w:rPr>
      </w:pPr>
    </w:p>
    <w:p w14:paraId="33CC945F" w14:textId="77777777" w:rsidR="00160667" w:rsidRDefault="00D97359" w:rsidP="00D97359">
      <w:pPr>
        <w:numPr>
          <w:ilvl w:val="0"/>
          <w:numId w:val="36"/>
        </w:numPr>
        <w:jc w:val="both"/>
        <w:rPr>
          <w:color w:val="000000"/>
        </w:rPr>
      </w:pPr>
      <w:r>
        <w:rPr>
          <w:color w:val="000000"/>
        </w:rPr>
        <w:t xml:space="preserve">Formative research involving use of novel methods for cognitive probing </w:t>
      </w:r>
    </w:p>
    <w:p w14:paraId="4A64BDF4" w14:textId="77777777" w:rsidR="00D97359" w:rsidRDefault="00D97359" w:rsidP="00D97359">
      <w:pPr>
        <w:pStyle w:val="ListParagraph"/>
        <w:rPr>
          <w:color w:val="000000"/>
        </w:rPr>
      </w:pPr>
    </w:p>
    <w:p w14:paraId="15D81162" w14:textId="77777777" w:rsidR="00D97359" w:rsidRDefault="00D97359" w:rsidP="00D97359">
      <w:pPr>
        <w:ind w:left="1080"/>
        <w:jc w:val="both"/>
        <w:rPr>
          <w:color w:val="000000"/>
        </w:rPr>
      </w:pPr>
    </w:p>
    <w:p w14:paraId="1D1FAAFB" w14:textId="77777777" w:rsidR="00C61E56" w:rsidRDefault="00C61E56" w:rsidP="00160667">
      <w:pPr>
        <w:numPr>
          <w:ilvl w:val="0"/>
          <w:numId w:val="36"/>
        </w:numPr>
        <w:jc w:val="both"/>
        <w:rPr>
          <w:color w:val="000000"/>
        </w:rPr>
      </w:pPr>
      <w:r>
        <w:rPr>
          <w:color w:val="000000"/>
        </w:rPr>
        <w:t>Cognitive testing involving human-computer interfaces/usability</w:t>
      </w:r>
    </w:p>
    <w:p w14:paraId="62EF1282" w14:textId="77777777" w:rsidR="00461CF3" w:rsidRPr="00B37A73" w:rsidRDefault="00461CF3" w:rsidP="00461CF3">
      <w:pPr>
        <w:ind w:left="720"/>
        <w:jc w:val="both"/>
        <w:rPr>
          <w:color w:val="000000"/>
        </w:rPr>
      </w:pPr>
    </w:p>
    <w:p w14:paraId="08A5EF54" w14:textId="77777777" w:rsidR="00791A75" w:rsidRDefault="00791A75" w:rsidP="00160667">
      <w:pPr>
        <w:spacing w:line="240" w:lineRule="atLeast"/>
        <w:jc w:val="both"/>
        <w:rPr>
          <w:color w:val="000000"/>
        </w:rPr>
      </w:pPr>
    </w:p>
    <w:p w14:paraId="60DB24C8" w14:textId="77777777" w:rsidR="00791A75" w:rsidRPr="009D02C1" w:rsidRDefault="00791A75" w:rsidP="00160667">
      <w:pPr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The results of the information collection will be used to further develop </w:t>
      </w:r>
      <w:r w:rsidR="004919CE">
        <w:rPr>
          <w:color w:val="000000"/>
        </w:rPr>
        <w:t xml:space="preserve">and improve </w:t>
      </w:r>
      <w:r>
        <w:rPr>
          <w:color w:val="000000"/>
        </w:rPr>
        <w:t xml:space="preserve">the evaluated </w:t>
      </w:r>
      <w:r w:rsidR="00AC303A">
        <w:rPr>
          <w:color w:val="000000"/>
        </w:rPr>
        <w:t>modules</w:t>
      </w:r>
      <w:r w:rsidR="002F2C3F">
        <w:rPr>
          <w:color w:val="000000"/>
        </w:rPr>
        <w:t>.</w:t>
      </w:r>
      <w:r w:rsidR="000B0DDD">
        <w:rPr>
          <w:color w:val="000000"/>
        </w:rPr>
        <w:t xml:space="preserve"> </w:t>
      </w:r>
    </w:p>
    <w:p w14:paraId="521F007F" w14:textId="77777777" w:rsidR="000F4C3F" w:rsidRDefault="000F4C3F" w:rsidP="0008711B">
      <w:pPr>
        <w:rPr>
          <w:rFonts w:ascii="Arial" w:hAnsi="Arial" w:cs="Arial"/>
          <w:b/>
        </w:rPr>
      </w:pPr>
      <w:bookmarkStart w:id="2" w:name="_Toc230515980"/>
    </w:p>
    <w:p w14:paraId="0A62DAF0" w14:textId="77777777" w:rsidR="0008711B" w:rsidRPr="00B73AA4" w:rsidRDefault="0008711B" w:rsidP="0008711B">
      <w:pPr>
        <w:rPr>
          <w:rFonts w:ascii="Arial" w:hAnsi="Arial" w:cs="Arial"/>
        </w:rPr>
      </w:pPr>
      <w:r w:rsidRPr="00B73AA4">
        <w:rPr>
          <w:rFonts w:ascii="Arial" w:hAnsi="Arial" w:cs="Arial"/>
          <w:b/>
        </w:rPr>
        <w:t>A3. Use of Information Technology and Burden Reduction</w:t>
      </w:r>
      <w:bookmarkEnd w:id="2"/>
    </w:p>
    <w:p w14:paraId="0D75D1A7" w14:textId="18369155" w:rsidR="001A2771" w:rsidRPr="009D02C1" w:rsidRDefault="00C61E56" w:rsidP="00B409E7">
      <w:pPr>
        <w:spacing w:line="240" w:lineRule="atLeast"/>
        <w:rPr>
          <w:color w:val="000000"/>
        </w:rPr>
      </w:pPr>
      <w:bookmarkStart w:id="3" w:name="_Toc230515981"/>
      <w:r>
        <w:rPr>
          <w:color w:val="000000"/>
        </w:rPr>
        <w:t xml:space="preserve">Because we are examining the human-computer </w:t>
      </w:r>
      <w:r w:rsidR="00E357E9">
        <w:rPr>
          <w:color w:val="000000"/>
        </w:rPr>
        <w:t>usability</w:t>
      </w:r>
      <w:r>
        <w:rPr>
          <w:color w:val="000000"/>
        </w:rPr>
        <w:t xml:space="preserve"> as part of cognitive testing, t</w:t>
      </w:r>
      <w:r w:rsidR="00B65C8A" w:rsidRPr="009D02C1">
        <w:rPr>
          <w:color w:val="000000"/>
        </w:rPr>
        <w:t xml:space="preserve">he </w:t>
      </w:r>
      <w:r w:rsidR="008C239F">
        <w:rPr>
          <w:color w:val="000000"/>
        </w:rPr>
        <w:t>modules</w:t>
      </w:r>
      <w:r w:rsidR="00B65C8A" w:rsidRPr="009D02C1">
        <w:rPr>
          <w:color w:val="000000"/>
        </w:rPr>
        <w:t xml:space="preserve"> will be administered to respondents electronically, through</w:t>
      </w:r>
      <w:r w:rsidR="00F83802" w:rsidRPr="009D02C1">
        <w:rPr>
          <w:color w:val="000000"/>
        </w:rPr>
        <w:t xml:space="preserve"> an</w:t>
      </w:r>
      <w:r w:rsidR="00B65C8A" w:rsidRPr="009D02C1">
        <w:rPr>
          <w:color w:val="000000"/>
        </w:rPr>
        <w:t xml:space="preserve"> </w:t>
      </w:r>
      <w:r w:rsidR="00F83802" w:rsidRPr="009D02C1">
        <w:rPr>
          <w:color w:val="000000"/>
        </w:rPr>
        <w:t xml:space="preserve">online </w:t>
      </w:r>
      <w:r w:rsidR="008C239F">
        <w:rPr>
          <w:color w:val="000000"/>
        </w:rPr>
        <w:t>information</w:t>
      </w:r>
      <w:r w:rsidR="00F83802" w:rsidRPr="009D02C1">
        <w:rPr>
          <w:color w:val="000000"/>
        </w:rPr>
        <w:t>-collection platform called</w:t>
      </w:r>
      <w:r w:rsidR="00B65C8A" w:rsidRPr="009D02C1">
        <w:rPr>
          <w:color w:val="000000"/>
        </w:rPr>
        <w:t xml:space="preserve"> </w:t>
      </w:r>
      <w:r w:rsidR="008C239F">
        <w:rPr>
          <w:color w:val="000000"/>
        </w:rPr>
        <w:t xml:space="preserve">Amazon </w:t>
      </w:r>
      <w:r w:rsidR="00D97359">
        <w:rPr>
          <w:color w:val="000000"/>
        </w:rPr>
        <w:t>Mechanical Turk (M</w:t>
      </w:r>
      <w:r w:rsidR="00B65C8A" w:rsidRPr="009D02C1">
        <w:rPr>
          <w:color w:val="000000"/>
        </w:rPr>
        <w:t>Turk</w:t>
      </w:r>
      <w:r w:rsidR="008C239F">
        <w:rPr>
          <w:color w:val="000000"/>
        </w:rPr>
        <w:t>; wwww.mturk.com</w:t>
      </w:r>
      <w:r w:rsidR="00B65C8A" w:rsidRPr="009D02C1">
        <w:rPr>
          <w:color w:val="000000"/>
        </w:rPr>
        <w:t xml:space="preserve">). </w:t>
      </w:r>
      <w:r w:rsidR="00D97359">
        <w:rPr>
          <w:color w:val="000000"/>
        </w:rPr>
        <w:t>M</w:t>
      </w:r>
      <w:r w:rsidR="001A2771" w:rsidRPr="009D02C1">
        <w:rPr>
          <w:color w:val="000000"/>
        </w:rPr>
        <w:t xml:space="preserve">Turk is an internet service that allows researchers to collect survey data in a quick fashion minimizing the burden for </w:t>
      </w:r>
      <w:r w:rsidR="000B334D">
        <w:rPr>
          <w:color w:val="000000"/>
        </w:rPr>
        <w:t>respondents</w:t>
      </w:r>
      <w:r w:rsidR="001A2771" w:rsidRPr="009D02C1">
        <w:rPr>
          <w:color w:val="000000"/>
        </w:rPr>
        <w:t>.</w:t>
      </w:r>
      <w:r w:rsidR="00B65C8A" w:rsidRPr="009D02C1">
        <w:rPr>
          <w:color w:val="000000"/>
        </w:rPr>
        <w:t xml:space="preserve"> The use of</w:t>
      </w:r>
      <w:r w:rsidR="00912FEC">
        <w:rPr>
          <w:color w:val="000000"/>
        </w:rPr>
        <w:t xml:space="preserve"> this</w:t>
      </w:r>
      <w:r w:rsidR="00B65C8A" w:rsidRPr="009D02C1">
        <w:rPr>
          <w:color w:val="000000"/>
        </w:rPr>
        <w:t xml:space="preserve"> online </w:t>
      </w:r>
      <w:r w:rsidR="00BC3371">
        <w:rPr>
          <w:color w:val="000000"/>
        </w:rPr>
        <w:t>information</w:t>
      </w:r>
      <w:r w:rsidR="00B65C8A" w:rsidRPr="009D02C1">
        <w:rPr>
          <w:color w:val="000000"/>
        </w:rPr>
        <w:t>-collection platform will decrease the response burden to the respondent</w:t>
      </w:r>
      <w:r w:rsidR="0069544F">
        <w:rPr>
          <w:color w:val="000000"/>
        </w:rPr>
        <w:t>,</w:t>
      </w:r>
      <w:r w:rsidR="00B65C8A" w:rsidRPr="009D02C1">
        <w:rPr>
          <w:color w:val="000000"/>
        </w:rPr>
        <w:t xml:space="preserve"> eliminate the need for </w:t>
      </w:r>
      <w:r w:rsidR="00912FEC">
        <w:rPr>
          <w:color w:val="000000"/>
        </w:rPr>
        <w:t xml:space="preserve">manual </w:t>
      </w:r>
      <w:r w:rsidR="00B65C8A" w:rsidRPr="009D02C1">
        <w:rPr>
          <w:color w:val="000000"/>
        </w:rPr>
        <w:t>data entry</w:t>
      </w:r>
      <w:r w:rsidR="0069544F">
        <w:rPr>
          <w:color w:val="000000"/>
        </w:rPr>
        <w:t>, and eliminate the use of paper to collect information</w:t>
      </w:r>
      <w:r w:rsidR="00B65C8A" w:rsidRPr="009D02C1">
        <w:rPr>
          <w:color w:val="000000"/>
        </w:rPr>
        <w:t xml:space="preserve">. </w:t>
      </w:r>
      <w:r w:rsidR="00730672">
        <w:rPr>
          <w:color w:val="000000"/>
        </w:rPr>
        <w:t xml:space="preserve">Appendices </w:t>
      </w:r>
      <w:r w:rsidR="00AE3745">
        <w:rPr>
          <w:color w:val="000000"/>
        </w:rPr>
        <w:t>A and B</w:t>
      </w:r>
      <w:r w:rsidR="00730672">
        <w:rPr>
          <w:color w:val="000000"/>
        </w:rPr>
        <w:t xml:space="preserve"> contain</w:t>
      </w:r>
      <w:r w:rsidR="0014522A">
        <w:rPr>
          <w:color w:val="000000"/>
        </w:rPr>
        <w:t xml:space="preserve"> the screenshots for the </w:t>
      </w:r>
      <w:r w:rsidR="00D97359">
        <w:rPr>
          <w:color w:val="000000"/>
        </w:rPr>
        <w:t>2</w:t>
      </w:r>
      <w:r w:rsidR="00730672">
        <w:rPr>
          <w:color w:val="000000"/>
        </w:rPr>
        <w:t xml:space="preserve"> </w:t>
      </w:r>
      <w:r w:rsidR="0014522A">
        <w:rPr>
          <w:color w:val="000000"/>
        </w:rPr>
        <w:t>experiment</w:t>
      </w:r>
      <w:r w:rsidR="00730672">
        <w:rPr>
          <w:color w:val="000000"/>
        </w:rPr>
        <w:t>al conditions</w:t>
      </w:r>
      <w:r w:rsidR="0014522A">
        <w:rPr>
          <w:color w:val="000000"/>
        </w:rPr>
        <w:t xml:space="preserve">.       </w:t>
      </w:r>
    </w:p>
    <w:p w14:paraId="7BF8AA70" w14:textId="77777777" w:rsidR="0008711B" w:rsidRPr="00492899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highlight w:val="yellow"/>
        </w:rPr>
      </w:pPr>
    </w:p>
    <w:p w14:paraId="0DAF826D" w14:textId="77777777" w:rsidR="0008711B" w:rsidRPr="00B73AA4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B73AA4">
        <w:rPr>
          <w:rFonts w:ascii="Arial" w:hAnsi="Arial" w:cs="Arial"/>
          <w:b/>
        </w:rPr>
        <w:t>A4. Efforts to Identify Duplication and Use of Similar Information</w:t>
      </w:r>
      <w:bookmarkEnd w:id="3"/>
    </w:p>
    <w:p w14:paraId="212B4D44" w14:textId="77777777" w:rsidR="008408F5" w:rsidRPr="009D02C1" w:rsidRDefault="008408F5" w:rsidP="008408F5">
      <w:pPr>
        <w:tabs>
          <w:tab w:val="num" w:pos="450"/>
        </w:tabs>
        <w:autoSpaceDE w:val="0"/>
        <w:autoSpaceDN w:val="0"/>
        <w:adjustRightInd w:val="0"/>
        <w:outlineLvl w:val="0"/>
        <w:rPr>
          <w:color w:val="FF0000"/>
        </w:rPr>
      </w:pPr>
      <w:bookmarkStart w:id="4" w:name="_Toc230515982"/>
      <w:r w:rsidRPr="009D02C1">
        <w:rPr>
          <w:color w:val="000000"/>
        </w:rPr>
        <w:t xml:space="preserve">No similar </w:t>
      </w:r>
      <w:r w:rsidR="00CF470B">
        <w:rPr>
          <w:color w:val="000000"/>
        </w:rPr>
        <w:t xml:space="preserve">information </w:t>
      </w:r>
      <w:r w:rsidRPr="009D02C1">
        <w:rPr>
          <w:color w:val="000000"/>
        </w:rPr>
        <w:t xml:space="preserve">collection exists. </w:t>
      </w:r>
    </w:p>
    <w:p w14:paraId="153FEFFD" w14:textId="77777777" w:rsidR="006F5F87" w:rsidRPr="00730672" w:rsidRDefault="006F5F87" w:rsidP="0008711B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</w:p>
    <w:p w14:paraId="50E67EEC" w14:textId="77777777" w:rsidR="00E357E9" w:rsidRPr="00730672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730672">
        <w:rPr>
          <w:rFonts w:ascii="Arial" w:hAnsi="Arial" w:cs="Arial"/>
          <w:b/>
        </w:rPr>
        <w:t>A5. Impact on Small Businesses or Other Small Entities</w:t>
      </w:r>
      <w:bookmarkEnd w:id="4"/>
    </w:p>
    <w:p w14:paraId="359FFE8C" w14:textId="77777777" w:rsidR="00B73AA4" w:rsidRPr="00730672" w:rsidRDefault="00B73AA4" w:rsidP="0008711B">
      <w:pPr>
        <w:autoSpaceDE w:val="0"/>
        <w:autoSpaceDN w:val="0"/>
        <w:adjustRightInd w:val="0"/>
        <w:outlineLvl w:val="0"/>
        <w:rPr>
          <w:color w:val="000000"/>
        </w:rPr>
      </w:pPr>
      <w:r w:rsidRPr="00730672">
        <w:rPr>
          <w:color w:val="000000"/>
        </w:rPr>
        <w:t>No small businesses will be involved in this study.</w:t>
      </w:r>
    </w:p>
    <w:p w14:paraId="55F52064" w14:textId="77777777" w:rsidR="00E97385" w:rsidRDefault="00E97385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</w:rPr>
      </w:pPr>
      <w:bookmarkStart w:id="5" w:name="_Toc230515983"/>
    </w:p>
    <w:p w14:paraId="37E88CDF" w14:textId="77777777" w:rsidR="00E357E9" w:rsidRPr="00B42D8F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C5422A">
        <w:rPr>
          <w:rFonts w:ascii="Arial" w:hAnsi="Arial" w:cs="Arial"/>
          <w:b/>
        </w:rPr>
        <w:t>A6. Consequences of Collecting the Information Less Frequently</w:t>
      </w:r>
      <w:bookmarkEnd w:id="5"/>
    </w:p>
    <w:p w14:paraId="6F711A1B" w14:textId="77777777" w:rsidR="0020235C" w:rsidRPr="004179DE" w:rsidRDefault="00F83802" w:rsidP="0008711B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  <w:r w:rsidRPr="009D02C1">
        <w:rPr>
          <w:color w:val="000000"/>
        </w:rPr>
        <w:t xml:space="preserve">This is a one-time </w:t>
      </w:r>
      <w:r w:rsidR="00CF470B">
        <w:rPr>
          <w:color w:val="000000"/>
        </w:rPr>
        <w:t>information collection.</w:t>
      </w:r>
    </w:p>
    <w:p w14:paraId="61036881" w14:textId="77777777" w:rsidR="00CE5CE6" w:rsidRPr="00492899" w:rsidRDefault="00CE5CE6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  <w:highlight w:val="yellow"/>
        </w:rPr>
      </w:pPr>
      <w:bookmarkStart w:id="6" w:name="_Toc230515984"/>
    </w:p>
    <w:p w14:paraId="5ACD0FE0" w14:textId="77777777" w:rsidR="00C747E4" w:rsidRPr="00B42D8F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C5422A">
        <w:rPr>
          <w:rFonts w:ascii="Arial" w:hAnsi="Arial" w:cs="Arial"/>
          <w:b/>
        </w:rPr>
        <w:t>A7. Special Circumstances Relating to the Guidelines of 5 CFR 1320.5</w:t>
      </w:r>
      <w:bookmarkEnd w:id="6"/>
    </w:p>
    <w:p w14:paraId="07E6FD9D" w14:textId="77777777" w:rsidR="00C747E4" w:rsidRPr="00C747E4" w:rsidRDefault="00C747E4" w:rsidP="0008711B">
      <w:pPr>
        <w:autoSpaceDE w:val="0"/>
        <w:autoSpaceDN w:val="0"/>
        <w:adjustRightInd w:val="0"/>
        <w:outlineLvl w:val="0"/>
        <w:rPr>
          <w:color w:val="000000"/>
        </w:rPr>
      </w:pPr>
      <w:r w:rsidRPr="00477127">
        <w:rPr>
          <w:color w:val="000000"/>
        </w:rPr>
        <w:t>There are no special circumstances relating to 5 CFR 1320.5</w:t>
      </w:r>
    </w:p>
    <w:p w14:paraId="439C1F77" w14:textId="77777777" w:rsidR="002526C1" w:rsidRPr="00477127" w:rsidRDefault="002526C1" w:rsidP="0008711B">
      <w:pPr>
        <w:autoSpaceDE w:val="0"/>
        <w:autoSpaceDN w:val="0"/>
        <w:adjustRightInd w:val="0"/>
        <w:outlineLvl w:val="0"/>
        <w:rPr>
          <w:color w:val="000000"/>
        </w:rPr>
      </w:pPr>
    </w:p>
    <w:p w14:paraId="576FF13F" w14:textId="77777777" w:rsidR="00C334B3" w:rsidRPr="00B42D8F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bookmarkStart w:id="7" w:name="_Toc230515985"/>
      <w:r w:rsidRPr="001A2CD9">
        <w:rPr>
          <w:rFonts w:ascii="Arial" w:hAnsi="Arial" w:cs="Arial"/>
          <w:b/>
        </w:rPr>
        <w:t>A8. Comments in Response to Federal Register Notice and Efforts to Consult Outside Agency</w:t>
      </w:r>
      <w:bookmarkEnd w:id="7"/>
    </w:p>
    <w:p w14:paraId="7C86CFA1" w14:textId="77777777" w:rsidR="004D104A" w:rsidRPr="009D02C1" w:rsidRDefault="00C334B3" w:rsidP="00B409E7">
      <w:pPr>
        <w:autoSpaceDE w:val="0"/>
        <w:autoSpaceDN w:val="0"/>
        <w:adjustRightInd w:val="0"/>
        <w:outlineLvl w:val="0"/>
      </w:pPr>
      <w:r>
        <w:t xml:space="preserve">We </w:t>
      </w:r>
      <w:r w:rsidR="00B409E7">
        <w:t>have not consulted with any outside agency on this project.</w:t>
      </w:r>
    </w:p>
    <w:p w14:paraId="5AD85A35" w14:textId="77777777" w:rsidR="00381A1B" w:rsidRPr="00457967" w:rsidRDefault="00CE5CE6" w:rsidP="00457967">
      <w:pPr>
        <w:pStyle w:val="a"/>
        <w:tabs>
          <w:tab w:val="num" w:pos="1440"/>
          <w:tab w:val="left" w:pos="2160"/>
        </w:tabs>
        <w:rPr>
          <w:b/>
          <w:color w:val="FF0000"/>
          <w:sz w:val="20"/>
        </w:rPr>
      </w:pPr>
      <w:r w:rsidRPr="00CE5CE6">
        <w:rPr>
          <w:b/>
          <w:color w:val="FF0000"/>
          <w:sz w:val="20"/>
        </w:rPr>
        <w:t xml:space="preserve">  </w:t>
      </w:r>
    </w:p>
    <w:p w14:paraId="390993DF" w14:textId="77777777" w:rsidR="00717D41" w:rsidRDefault="0008711B" w:rsidP="009F1935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bookmarkStart w:id="8" w:name="_Toc230515986"/>
      <w:r w:rsidRPr="001A2CD9">
        <w:rPr>
          <w:rFonts w:ascii="Arial" w:hAnsi="Arial" w:cs="Arial"/>
          <w:b/>
        </w:rPr>
        <w:t>A9. Explanation of Any Payment or Gift to Respondents</w:t>
      </w:r>
      <w:bookmarkStart w:id="9" w:name="_Toc230515987"/>
      <w:bookmarkEnd w:id="8"/>
    </w:p>
    <w:p w14:paraId="22734162" w14:textId="34247F35" w:rsidR="00F03547" w:rsidRDefault="00B75DAB" w:rsidP="00F03547">
      <w:pPr>
        <w:autoSpaceDE w:val="0"/>
        <w:autoSpaceDN w:val="0"/>
        <w:adjustRightInd w:val="0"/>
        <w:outlineLvl w:val="0"/>
      </w:pPr>
      <w:r w:rsidRPr="009D02C1">
        <w:t>Resp</w:t>
      </w:r>
      <w:r>
        <w:t>ondents will receive $1.85</w:t>
      </w:r>
      <w:r w:rsidRPr="009D02C1">
        <w:t xml:space="preserve"> for completion of the </w:t>
      </w:r>
      <w:r>
        <w:t>evaluated survey items</w:t>
      </w:r>
      <w:r w:rsidR="00F90B1A">
        <w:t xml:space="preserve">. </w:t>
      </w:r>
      <w:r>
        <w:t>It</w:t>
      </w:r>
      <w:r w:rsidRPr="009D02C1">
        <w:t xml:space="preserve"> will take respondents</w:t>
      </w:r>
      <w:r>
        <w:t xml:space="preserve"> an average of 30</w:t>
      </w:r>
      <w:r w:rsidRPr="009D02C1">
        <w:t xml:space="preserve"> minutes to complete</w:t>
      </w:r>
      <w:r>
        <w:t xml:space="preserve"> their assigned condition. </w:t>
      </w:r>
      <w:r w:rsidR="00F90B1A">
        <w:rPr>
          <w:rFonts w:eastAsia="Times New Roman"/>
          <w:color w:val="1C1C1C"/>
          <w:spacing w:val="2"/>
        </w:rPr>
        <w:t>T</w:t>
      </w:r>
      <w:r w:rsidR="00F90B1A">
        <w:rPr>
          <w:rFonts w:eastAsia="Times New Roman"/>
          <w:color w:val="1C1C1C"/>
          <w:spacing w:val="-2"/>
        </w:rPr>
        <w:t>h</w:t>
      </w:r>
      <w:r w:rsidR="00F90B1A">
        <w:rPr>
          <w:rFonts w:eastAsia="Times New Roman"/>
          <w:color w:val="1C1C1C"/>
          <w:spacing w:val="1"/>
        </w:rPr>
        <w:t>i</w:t>
      </w:r>
      <w:r w:rsidR="00F90B1A">
        <w:rPr>
          <w:rFonts w:eastAsia="Times New Roman"/>
          <w:color w:val="1C1C1C"/>
        </w:rPr>
        <w:t>s</w:t>
      </w:r>
      <w:r w:rsidR="00F90B1A">
        <w:rPr>
          <w:rFonts w:eastAsia="Times New Roman"/>
          <w:color w:val="1C1C1C"/>
          <w:spacing w:val="-2"/>
        </w:rPr>
        <w:t xml:space="preserve"> </w:t>
      </w:r>
      <w:r w:rsidR="00F90B1A">
        <w:rPr>
          <w:rFonts w:eastAsia="Times New Roman"/>
          <w:color w:val="1C1C1C"/>
        </w:rPr>
        <w:t>a</w:t>
      </w:r>
      <w:r w:rsidR="00F90B1A">
        <w:rPr>
          <w:rFonts w:eastAsia="Times New Roman"/>
          <w:color w:val="1C1C1C"/>
          <w:spacing w:val="-4"/>
        </w:rPr>
        <w:t>m</w:t>
      </w:r>
      <w:r w:rsidR="00F90B1A">
        <w:rPr>
          <w:rFonts w:eastAsia="Times New Roman"/>
          <w:color w:val="1C1C1C"/>
        </w:rPr>
        <w:t>ount</w:t>
      </w:r>
      <w:r w:rsidR="00F90B1A">
        <w:rPr>
          <w:rFonts w:eastAsia="Times New Roman"/>
          <w:color w:val="1C1C1C"/>
          <w:spacing w:val="1"/>
        </w:rPr>
        <w:t xml:space="preserve"> </w:t>
      </w:r>
      <w:r w:rsidR="00F90B1A">
        <w:rPr>
          <w:rFonts w:eastAsia="Times New Roman"/>
          <w:color w:val="1C1C1C"/>
        </w:rPr>
        <w:t>of</w:t>
      </w:r>
      <w:r w:rsidR="00F90B1A">
        <w:rPr>
          <w:rFonts w:eastAsia="Times New Roman"/>
          <w:color w:val="1C1C1C"/>
          <w:spacing w:val="-1"/>
        </w:rPr>
        <w:t xml:space="preserve"> </w:t>
      </w:r>
      <w:r w:rsidR="00F90B1A">
        <w:rPr>
          <w:rFonts w:eastAsia="Times New Roman"/>
          <w:color w:val="1C1C1C"/>
          <w:spacing w:val="1"/>
        </w:rPr>
        <w:t>r</w:t>
      </w:r>
      <w:r w:rsidR="00F90B1A">
        <w:rPr>
          <w:rFonts w:eastAsia="Times New Roman"/>
          <w:color w:val="1C1C1C"/>
        </w:rPr>
        <w:t>e</w:t>
      </w:r>
      <w:r w:rsidR="00F90B1A">
        <w:rPr>
          <w:rFonts w:eastAsia="Times New Roman"/>
          <w:color w:val="1C1C1C"/>
          <w:spacing w:val="-4"/>
        </w:rPr>
        <w:t>m</w:t>
      </w:r>
      <w:r w:rsidR="00F90B1A">
        <w:rPr>
          <w:rFonts w:eastAsia="Times New Roman"/>
          <w:color w:val="1C1C1C"/>
        </w:rPr>
        <w:t>une</w:t>
      </w:r>
      <w:r w:rsidR="00F90B1A">
        <w:rPr>
          <w:rFonts w:eastAsia="Times New Roman"/>
          <w:color w:val="1C1C1C"/>
          <w:spacing w:val="1"/>
        </w:rPr>
        <w:t>r</w:t>
      </w:r>
      <w:r w:rsidR="00F90B1A">
        <w:rPr>
          <w:rFonts w:eastAsia="Times New Roman"/>
          <w:color w:val="1C1C1C"/>
        </w:rPr>
        <w:t>a</w:t>
      </w:r>
      <w:r w:rsidR="00F90B1A">
        <w:rPr>
          <w:rFonts w:eastAsia="Times New Roman"/>
          <w:color w:val="1C1C1C"/>
          <w:spacing w:val="-1"/>
        </w:rPr>
        <w:t>t</w:t>
      </w:r>
      <w:r w:rsidR="00F90B1A">
        <w:rPr>
          <w:rFonts w:eastAsia="Times New Roman"/>
          <w:color w:val="1C1C1C"/>
          <w:spacing w:val="1"/>
        </w:rPr>
        <w:t>i</w:t>
      </w:r>
      <w:r w:rsidR="00F90B1A">
        <w:rPr>
          <w:rFonts w:eastAsia="Times New Roman"/>
          <w:color w:val="1C1C1C"/>
        </w:rPr>
        <w:t>on</w:t>
      </w:r>
      <w:r w:rsidR="00F90B1A">
        <w:rPr>
          <w:rFonts w:eastAsia="Times New Roman"/>
          <w:color w:val="1C1C1C"/>
          <w:spacing w:val="-2"/>
        </w:rPr>
        <w:t xml:space="preserve"> </w:t>
      </w:r>
      <w:r w:rsidR="00F90B1A">
        <w:rPr>
          <w:rFonts w:eastAsia="Times New Roman"/>
          <w:color w:val="1C1C1C"/>
          <w:spacing w:val="1"/>
        </w:rPr>
        <w:t>i</w:t>
      </w:r>
      <w:r w:rsidR="00F90B1A">
        <w:rPr>
          <w:rFonts w:eastAsia="Times New Roman"/>
          <w:color w:val="1C1C1C"/>
        </w:rPr>
        <w:t>s s</w:t>
      </w:r>
      <w:r w:rsidR="00F90B1A">
        <w:rPr>
          <w:rFonts w:eastAsia="Times New Roman"/>
          <w:color w:val="1C1C1C"/>
          <w:spacing w:val="1"/>
        </w:rPr>
        <w:t>t</w:t>
      </w:r>
      <w:r w:rsidR="00F90B1A">
        <w:rPr>
          <w:rFonts w:eastAsia="Times New Roman"/>
          <w:color w:val="1C1C1C"/>
        </w:rPr>
        <w:t>an</w:t>
      </w:r>
      <w:r w:rsidR="00F90B1A">
        <w:rPr>
          <w:rFonts w:eastAsia="Times New Roman"/>
          <w:color w:val="1C1C1C"/>
          <w:spacing w:val="-2"/>
        </w:rPr>
        <w:t>d</w:t>
      </w:r>
      <w:r w:rsidR="00F90B1A">
        <w:rPr>
          <w:rFonts w:eastAsia="Times New Roman"/>
          <w:color w:val="1C1C1C"/>
        </w:rPr>
        <w:t>a</w:t>
      </w:r>
      <w:r w:rsidR="00F90B1A">
        <w:rPr>
          <w:rFonts w:eastAsia="Times New Roman"/>
          <w:color w:val="1C1C1C"/>
          <w:spacing w:val="1"/>
        </w:rPr>
        <w:t>r</w:t>
      </w:r>
      <w:r w:rsidR="00F90B1A">
        <w:rPr>
          <w:rFonts w:eastAsia="Times New Roman"/>
          <w:color w:val="1C1C1C"/>
        </w:rPr>
        <w:t>d</w:t>
      </w:r>
      <w:r w:rsidR="00F90B1A">
        <w:rPr>
          <w:rFonts w:eastAsia="Times New Roman"/>
          <w:color w:val="1C1C1C"/>
          <w:spacing w:val="-2"/>
        </w:rPr>
        <w:t xml:space="preserve"> </w:t>
      </w:r>
      <w:r w:rsidR="00F90B1A">
        <w:rPr>
          <w:rFonts w:eastAsia="Times New Roman"/>
          <w:color w:val="1C1C1C"/>
          <w:spacing w:val="1"/>
        </w:rPr>
        <w:t>f</w:t>
      </w:r>
      <w:r w:rsidR="00F90B1A">
        <w:rPr>
          <w:rFonts w:eastAsia="Times New Roman"/>
          <w:color w:val="1C1C1C"/>
          <w:spacing w:val="-2"/>
        </w:rPr>
        <w:t>o</w:t>
      </w:r>
      <w:r w:rsidR="00F90B1A">
        <w:rPr>
          <w:rFonts w:eastAsia="Times New Roman"/>
          <w:color w:val="1C1C1C"/>
        </w:rPr>
        <w:t>r</w:t>
      </w:r>
      <w:r w:rsidR="00F90B1A">
        <w:rPr>
          <w:rFonts w:eastAsia="Times New Roman"/>
          <w:color w:val="1C1C1C"/>
          <w:spacing w:val="1"/>
        </w:rPr>
        <w:t xml:space="preserve"> </w:t>
      </w:r>
      <w:r w:rsidR="00F90B1A">
        <w:rPr>
          <w:rFonts w:eastAsia="Times New Roman"/>
          <w:color w:val="1C1C1C"/>
          <w:spacing w:val="-1"/>
        </w:rPr>
        <w:t>A</w:t>
      </w:r>
      <w:r w:rsidR="00F90B1A">
        <w:rPr>
          <w:rFonts w:eastAsia="Times New Roman"/>
          <w:color w:val="1C1C1C"/>
          <w:spacing w:val="-4"/>
        </w:rPr>
        <w:t>m</w:t>
      </w:r>
      <w:r w:rsidR="00F90B1A">
        <w:rPr>
          <w:rFonts w:eastAsia="Times New Roman"/>
          <w:color w:val="1C1C1C"/>
        </w:rPr>
        <w:t>a</w:t>
      </w:r>
      <w:r w:rsidR="00F90B1A">
        <w:rPr>
          <w:rFonts w:eastAsia="Times New Roman"/>
          <w:color w:val="1C1C1C"/>
          <w:spacing w:val="-2"/>
        </w:rPr>
        <w:t>z</w:t>
      </w:r>
      <w:r w:rsidR="00F90B1A">
        <w:rPr>
          <w:rFonts w:eastAsia="Times New Roman"/>
          <w:color w:val="1C1C1C"/>
        </w:rPr>
        <w:t>on</w:t>
      </w:r>
      <w:r w:rsidR="00F90B1A">
        <w:rPr>
          <w:rFonts w:eastAsia="Times New Roman"/>
          <w:color w:val="1C1C1C"/>
          <w:spacing w:val="3"/>
        </w:rPr>
        <w:t xml:space="preserve"> </w:t>
      </w:r>
      <w:r w:rsidR="00F90B1A">
        <w:rPr>
          <w:rFonts w:eastAsia="Times New Roman"/>
          <w:color w:val="1C1C1C"/>
          <w:spacing w:val="-4"/>
        </w:rPr>
        <w:t>m</w:t>
      </w:r>
      <w:r w:rsidR="00F90B1A">
        <w:rPr>
          <w:rFonts w:eastAsia="Times New Roman"/>
          <w:color w:val="1C1C1C"/>
          <w:spacing w:val="2"/>
        </w:rPr>
        <w:t>T</w:t>
      </w:r>
      <w:r w:rsidR="00F90B1A">
        <w:rPr>
          <w:rFonts w:eastAsia="Times New Roman"/>
          <w:color w:val="1C1C1C"/>
        </w:rPr>
        <w:t>u</w:t>
      </w:r>
      <w:r w:rsidR="00F90B1A">
        <w:rPr>
          <w:rFonts w:eastAsia="Times New Roman"/>
          <w:color w:val="1C1C1C"/>
          <w:spacing w:val="-2"/>
        </w:rPr>
        <w:t>r</w:t>
      </w:r>
      <w:r w:rsidR="00F90B1A">
        <w:rPr>
          <w:rFonts w:eastAsia="Times New Roman"/>
          <w:color w:val="1C1C1C"/>
        </w:rPr>
        <w:t>k</w:t>
      </w:r>
      <w:r w:rsidR="00F90B1A">
        <w:rPr>
          <w:rFonts w:eastAsia="Times New Roman"/>
          <w:color w:val="1C1C1C"/>
          <w:spacing w:val="-2"/>
        </w:rPr>
        <w:t xml:space="preserve"> </w:t>
      </w:r>
      <w:r w:rsidR="00F90B1A">
        <w:rPr>
          <w:rFonts w:eastAsia="Times New Roman"/>
          <w:color w:val="1C1C1C"/>
        </w:rPr>
        <w:t>pa</w:t>
      </w:r>
      <w:r w:rsidR="00F90B1A">
        <w:rPr>
          <w:rFonts w:eastAsia="Times New Roman"/>
          <w:color w:val="1C1C1C"/>
          <w:spacing w:val="1"/>
        </w:rPr>
        <w:t>rt</w:t>
      </w:r>
      <w:r w:rsidR="00F90B1A">
        <w:rPr>
          <w:rFonts w:eastAsia="Times New Roman"/>
          <w:color w:val="1C1C1C"/>
          <w:spacing w:val="-1"/>
        </w:rPr>
        <w:t>i</w:t>
      </w:r>
      <w:r w:rsidR="00F90B1A">
        <w:rPr>
          <w:rFonts w:eastAsia="Times New Roman"/>
          <w:color w:val="1C1C1C"/>
        </w:rPr>
        <w:t>c</w:t>
      </w:r>
      <w:r w:rsidR="00F90B1A">
        <w:rPr>
          <w:rFonts w:eastAsia="Times New Roman"/>
          <w:color w:val="1C1C1C"/>
          <w:spacing w:val="1"/>
        </w:rPr>
        <w:t>i</w:t>
      </w:r>
      <w:r w:rsidR="00F90B1A">
        <w:rPr>
          <w:rFonts w:eastAsia="Times New Roman"/>
          <w:color w:val="1C1C1C"/>
          <w:spacing w:val="-2"/>
        </w:rPr>
        <w:t>p</w:t>
      </w:r>
      <w:r w:rsidR="00F90B1A">
        <w:rPr>
          <w:rFonts w:eastAsia="Times New Roman"/>
          <w:color w:val="1C1C1C"/>
        </w:rPr>
        <w:t>ant</w:t>
      </w:r>
      <w:r w:rsidR="00F90B1A">
        <w:rPr>
          <w:rFonts w:eastAsia="Times New Roman"/>
          <w:color w:val="1C1C1C"/>
          <w:spacing w:val="-1"/>
        </w:rPr>
        <w:t xml:space="preserve"> </w:t>
      </w:r>
      <w:r w:rsidR="00F90B1A">
        <w:rPr>
          <w:rFonts w:eastAsia="Times New Roman"/>
          <w:color w:val="1C1C1C"/>
        </w:rPr>
        <w:t>and is consistent with remuneration offered in</w:t>
      </w:r>
      <w:r>
        <w:rPr>
          <w:rFonts w:eastAsia="Times New Roman"/>
          <w:color w:val="1C1C1C"/>
        </w:rPr>
        <w:t xml:space="preserve"> previously approved sub-study</w:t>
      </w:r>
      <w:r w:rsidR="00F90B1A">
        <w:rPr>
          <w:rFonts w:eastAsia="Times New Roman"/>
          <w:color w:val="1C1C1C"/>
        </w:rPr>
        <w:t xml:space="preserve"> </w:t>
      </w:r>
      <w:r>
        <w:rPr>
          <w:rFonts w:eastAsia="Times New Roman"/>
          <w:color w:val="1C1C1C"/>
        </w:rPr>
        <w:t xml:space="preserve">under 0925-0645 Expiration 11/30/2017 </w:t>
      </w:r>
      <w:r w:rsidR="00F90B1A">
        <w:rPr>
          <w:rFonts w:eastAsia="Times New Roman"/>
          <w:color w:val="1C1C1C"/>
        </w:rPr>
        <w:t>(</w:t>
      </w:r>
      <w:r>
        <w:rPr>
          <w:bCs/>
          <w:color w:val="222222"/>
        </w:rPr>
        <w:t xml:space="preserve">Refining and Validating a Theory of Risk Perception </w:t>
      </w:r>
      <w:r w:rsidR="00F90B1A">
        <w:rPr>
          <w:bCs/>
          <w:color w:val="222222"/>
        </w:rPr>
        <w:t>and 0925-0589</w:t>
      </w:r>
      <w:r>
        <w:rPr>
          <w:bCs/>
          <w:color w:val="222222"/>
        </w:rPr>
        <w:t xml:space="preserve"> Expiration 7/31/2017 </w:t>
      </w:r>
      <w:r w:rsidR="00E75DFB" w:rsidRPr="00E75DFB">
        <w:rPr>
          <w:bCs/>
          <w:color w:val="222222"/>
        </w:rPr>
        <w:t>Reliability Testing of Survey Questions about the Walking Environment</w:t>
      </w:r>
      <w:r w:rsidR="00F90B1A">
        <w:rPr>
          <w:rFonts w:eastAsia="Times New Roman"/>
          <w:color w:val="1C1C1C"/>
        </w:rPr>
        <w:t>.</w:t>
      </w:r>
      <w:r w:rsidRPr="00B75DAB">
        <w:rPr>
          <w:bCs/>
          <w:color w:val="222222"/>
        </w:rPr>
        <w:t xml:space="preserve"> </w:t>
      </w:r>
      <w:r w:rsidR="00F90B1A">
        <w:rPr>
          <w:rFonts w:eastAsia="Times New Roman"/>
          <w:color w:val="1C1C1C"/>
          <w:spacing w:val="2"/>
        </w:rPr>
        <w:t>T</w:t>
      </w:r>
      <w:r w:rsidR="00F90B1A">
        <w:rPr>
          <w:rFonts w:eastAsia="Times New Roman"/>
          <w:color w:val="1C1C1C"/>
          <w:spacing w:val="-2"/>
        </w:rPr>
        <w:t>h</w:t>
      </w:r>
      <w:r w:rsidR="00F90B1A">
        <w:rPr>
          <w:rFonts w:eastAsia="Times New Roman"/>
          <w:color w:val="1C1C1C"/>
          <w:spacing w:val="1"/>
        </w:rPr>
        <w:t>i</w:t>
      </w:r>
      <w:r w:rsidR="00F90B1A">
        <w:rPr>
          <w:rFonts w:eastAsia="Times New Roman"/>
          <w:color w:val="1C1C1C"/>
        </w:rPr>
        <w:t>s</w:t>
      </w:r>
      <w:r w:rsidR="00F90B1A">
        <w:rPr>
          <w:rFonts w:eastAsia="Times New Roman"/>
          <w:color w:val="1C1C1C"/>
          <w:spacing w:val="-2"/>
        </w:rPr>
        <w:t xml:space="preserve"> </w:t>
      </w:r>
      <w:r w:rsidR="00F90B1A">
        <w:rPr>
          <w:rFonts w:eastAsia="Times New Roman"/>
          <w:color w:val="1C1C1C"/>
        </w:rPr>
        <w:t>a</w:t>
      </w:r>
      <w:r w:rsidR="00F90B1A">
        <w:rPr>
          <w:rFonts w:eastAsia="Times New Roman"/>
          <w:color w:val="1C1C1C"/>
          <w:spacing w:val="-4"/>
        </w:rPr>
        <w:t>m</w:t>
      </w:r>
      <w:r w:rsidR="00F90B1A">
        <w:rPr>
          <w:rFonts w:eastAsia="Times New Roman"/>
          <w:color w:val="1C1C1C"/>
        </w:rPr>
        <w:t>ount</w:t>
      </w:r>
      <w:r w:rsidR="00F90B1A">
        <w:rPr>
          <w:rFonts w:eastAsia="Times New Roman"/>
          <w:color w:val="1C1C1C"/>
          <w:spacing w:val="1"/>
        </w:rPr>
        <w:t xml:space="preserve"> </w:t>
      </w:r>
      <w:r w:rsidR="00F90B1A">
        <w:rPr>
          <w:rFonts w:eastAsia="Times New Roman"/>
          <w:color w:val="1C1C1C"/>
          <w:spacing w:val="-1"/>
        </w:rPr>
        <w:t>w</w:t>
      </w:r>
      <w:r w:rsidR="00F90B1A">
        <w:rPr>
          <w:rFonts w:eastAsia="Times New Roman"/>
          <w:color w:val="1C1C1C"/>
          <w:spacing w:val="1"/>
        </w:rPr>
        <w:t>i</w:t>
      </w:r>
      <w:r w:rsidR="00F90B1A">
        <w:rPr>
          <w:rFonts w:eastAsia="Times New Roman"/>
          <w:color w:val="1C1C1C"/>
          <w:spacing w:val="-1"/>
        </w:rPr>
        <w:t>l</w:t>
      </w:r>
      <w:r w:rsidR="00F90B1A">
        <w:rPr>
          <w:rFonts w:eastAsia="Times New Roman"/>
          <w:color w:val="1C1C1C"/>
        </w:rPr>
        <w:t>l</w:t>
      </w:r>
      <w:r w:rsidR="00F90B1A">
        <w:rPr>
          <w:rFonts w:eastAsia="Times New Roman"/>
          <w:color w:val="1C1C1C"/>
          <w:spacing w:val="1"/>
        </w:rPr>
        <w:t xml:space="preserve"> </w:t>
      </w:r>
      <w:r w:rsidR="00F90B1A">
        <w:rPr>
          <w:rFonts w:eastAsia="Times New Roman"/>
          <w:color w:val="1C1C1C"/>
        </w:rPr>
        <w:t>be</w:t>
      </w:r>
      <w:r w:rsidR="00F90B1A">
        <w:rPr>
          <w:rFonts w:eastAsia="Times New Roman"/>
          <w:color w:val="1C1C1C"/>
          <w:spacing w:val="-2"/>
        </w:rPr>
        <w:t xml:space="preserve"> </w:t>
      </w:r>
      <w:r w:rsidR="00F90B1A">
        <w:rPr>
          <w:rFonts w:eastAsia="Times New Roman"/>
          <w:color w:val="1C1C1C"/>
          <w:spacing w:val="1"/>
        </w:rPr>
        <w:t>i</w:t>
      </w:r>
      <w:r w:rsidR="00F90B1A">
        <w:rPr>
          <w:rFonts w:eastAsia="Times New Roman"/>
          <w:color w:val="1C1C1C"/>
        </w:rPr>
        <w:t>s</w:t>
      </w:r>
      <w:r w:rsidR="00F90B1A">
        <w:rPr>
          <w:rFonts w:eastAsia="Times New Roman"/>
          <w:color w:val="1C1C1C"/>
          <w:spacing w:val="-2"/>
        </w:rPr>
        <w:t>s</w:t>
      </w:r>
      <w:r w:rsidR="00F90B1A">
        <w:rPr>
          <w:rFonts w:eastAsia="Times New Roman"/>
          <w:color w:val="1C1C1C"/>
        </w:rPr>
        <w:t>ued by</w:t>
      </w:r>
      <w:r w:rsidR="00F90B1A">
        <w:rPr>
          <w:rFonts w:eastAsia="Times New Roman"/>
          <w:color w:val="1C1C1C"/>
          <w:spacing w:val="-5"/>
        </w:rPr>
        <w:t xml:space="preserve"> </w:t>
      </w:r>
      <w:r w:rsidR="00F90B1A">
        <w:rPr>
          <w:rFonts w:eastAsia="Times New Roman"/>
          <w:color w:val="1C1C1C"/>
          <w:spacing w:val="1"/>
        </w:rPr>
        <w:t>A</w:t>
      </w:r>
      <w:r w:rsidR="00F90B1A">
        <w:rPr>
          <w:rFonts w:eastAsia="Times New Roman"/>
          <w:color w:val="1C1C1C"/>
          <w:spacing w:val="-4"/>
        </w:rPr>
        <w:t>m</w:t>
      </w:r>
      <w:r w:rsidR="00F90B1A">
        <w:rPr>
          <w:rFonts w:eastAsia="Times New Roman"/>
          <w:color w:val="1C1C1C"/>
        </w:rPr>
        <w:t>a</w:t>
      </w:r>
      <w:r w:rsidR="00F90B1A">
        <w:rPr>
          <w:rFonts w:eastAsia="Times New Roman"/>
          <w:color w:val="1C1C1C"/>
          <w:spacing w:val="-2"/>
        </w:rPr>
        <w:t>z</w:t>
      </w:r>
      <w:r w:rsidR="00F90B1A">
        <w:rPr>
          <w:rFonts w:eastAsia="Times New Roman"/>
          <w:color w:val="1C1C1C"/>
        </w:rPr>
        <w:t xml:space="preserve">on </w:t>
      </w:r>
      <w:r w:rsidR="00F90B1A">
        <w:rPr>
          <w:rFonts w:eastAsia="Times New Roman"/>
          <w:color w:val="1C1C1C"/>
          <w:spacing w:val="1"/>
        </w:rPr>
        <w:t>t</w:t>
      </w:r>
      <w:r w:rsidR="00F90B1A">
        <w:rPr>
          <w:rFonts w:eastAsia="Times New Roman"/>
          <w:color w:val="1C1C1C"/>
        </w:rPr>
        <w:t xml:space="preserve">o </w:t>
      </w:r>
      <w:r w:rsidR="00F90B1A">
        <w:rPr>
          <w:rFonts w:eastAsia="Times New Roman"/>
          <w:color w:val="1C1C1C"/>
        </w:rPr>
        <w:lastRenderedPageBreak/>
        <w:t>pa</w:t>
      </w:r>
      <w:r w:rsidR="00F90B1A">
        <w:rPr>
          <w:rFonts w:eastAsia="Times New Roman"/>
          <w:color w:val="1C1C1C"/>
          <w:spacing w:val="-2"/>
        </w:rPr>
        <w:t>r</w:t>
      </w:r>
      <w:r w:rsidR="00F90B1A">
        <w:rPr>
          <w:rFonts w:eastAsia="Times New Roman"/>
          <w:color w:val="1C1C1C"/>
          <w:spacing w:val="1"/>
        </w:rPr>
        <w:t>t</w:t>
      </w:r>
      <w:r w:rsidR="00F90B1A">
        <w:rPr>
          <w:rFonts w:eastAsia="Times New Roman"/>
          <w:color w:val="1C1C1C"/>
          <w:spacing w:val="-1"/>
        </w:rPr>
        <w:t>i</w:t>
      </w:r>
      <w:r w:rsidR="00F90B1A">
        <w:rPr>
          <w:rFonts w:eastAsia="Times New Roman"/>
          <w:color w:val="1C1C1C"/>
        </w:rPr>
        <w:t>c</w:t>
      </w:r>
      <w:r w:rsidR="00F90B1A">
        <w:rPr>
          <w:rFonts w:eastAsia="Times New Roman"/>
          <w:color w:val="1C1C1C"/>
          <w:spacing w:val="1"/>
        </w:rPr>
        <w:t>i</w:t>
      </w:r>
      <w:r w:rsidR="00F90B1A">
        <w:rPr>
          <w:rFonts w:eastAsia="Times New Roman"/>
          <w:color w:val="1C1C1C"/>
          <w:spacing w:val="-2"/>
        </w:rPr>
        <w:t>p</w:t>
      </w:r>
      <w:r w:rsidR="00F90B1A">
        <w:rPr>
          <w:rFonts w:eastAsia="Times New Roman"/>
          <w:color w:val="1C1C1C"/>
        </w:rPr>
        <w:t>an</w:t>
      </w:r>
      <w:r w:rsidR="00F90B1A">
        <w:rPr>
          <w:rFonts w:eastAsia="Times New Roman"/>
          <w:color w:val="1C1C1C"/>
          <w:spacing w:val="-1"/>
        </w:rPr>
        <w:t>t</w:t>
      </w:r>
      <w:r w:rsidR="00F90B1A">
        <w:rPr>
          <w:rFonts w:eastAsia="Times New Roman"/>
          <w:color w:val="1C1C1C"/>
        </w:rPr>
        <w:t xml:space="preserve">s’ </w:t>
      </w:r>
      <w:r w:rsidR="00F90B1A">
        <w:rPr>
          <w:rFonts w:eastAsia="Times New Roman"/>
          <w:color w:val="1C1C1C"/>
          <w:spacing w:val="-4"/>
        </w:rPr>
        <w:t>m</w:t>
      </w:r>
      <w:r w:rsidR="00F90B1A">
        <w:rPr>
          <w:rFonts w:eastAsia="Times New Roman"/>
          <w:color w:val="1C1C1C"/>
          <w:spacing w:val="2"/>
        </w:rPr>
        <w:t>T</w:t>
      </w:r>
      <w:r w:rsidR="00F90B1A">
        <w:rPr>
          <w:rFonts w:eastAsia="Times New Roman"/>
          <w:color w:val="1C1C1C"/>
        </w:rPr>
        <w:t>u</w:t>
      </w:r>
      <w:r w:rsidR="00F90B1A">
        <w:rPr>
          <w:rFonts w:eastAsia="Times New Roman"/>
          <w:color w:val="1C1C1C"/>
          <w:spacing w:val="1"/>
        </w:rPr>
        <w:t>r</w:t>
      </w:r>
      <w:r w:rsidR="00F90B1A">
        <w:rPr>
          <w:rFonts w:eastAsia="Times New Roman"/>
          <w:color w:val="1C1C1C"/>
        </w:rPr>
        <w:t>k</w:t>
      </w:r>
      <w:r w:rsidR="00F90B1A">
        <w:rPr>
          <w:rFonts w:eastAsia="Times New Roman"/>
          <w:color w:val="1C1C1C"/>
          <w:spacing w:val="-2"/>
        </w:rPr>
        <w:t xml:space="preserve"> </w:t>
      </w:r>
      <w:r w:rsidR="00F90B1A">
        <w:rPr>
          <w:rFonts w:eastAsia="Times New Roman"/>
          <w:color w:val="1C1C1C"/>
        </w:rPr>
        <w:t>“</w:t>
      </w:r>
      <w:r w:rsidR="00F90B1A">
        <w:rPr>
          <w:rFonts w:eastAsia="Times New Roman"/>
          <w:color w:val="1C1C1C"/>
          <w:spacing w:val="-1"/>
        </w:rPr>
        <w:t>w</w:t>
      </w:r>
      <w:r w:rsidR="00F90B1A">
        <w:rPr>
          <w:rFonts w:eastAsia="Times New Roman"/>
          <w:color w:val="1C1C1C"/>
        </w:rPr>
        <w:t>o</w:t>
      </w:r>
      <w:r w:rsidR="00F90B1A">
        <w:rPr>
          <w:rFonts w:eastAsia="Times New Roman"/>
          <w:color w:val="1C1C1C"/>
          <w:spacing w:val="1"/>
        </w:rPr>
        <w:t>r</w:t>
      </w:r>
      <w:r w:rsidR="00F90B1A">
        <w:rPr>
          <w:rFonts w:eastAsia="Times New Roman"/>
          <w:color w:val="1C1C1C"/>
          <w:spacing w:val="-2"/>
        </w:rPr>
        <w:t>k</w:t>
      </w:r>
      <w:r w:rsidR="00F90B1A">
        <w:rPr>
          <w:rFonts w:eastAsia="Times New Roman"/>
          <w:color w:val="1C1C1C"/>
        </w:rPr>
        <w:t>e</w:t>
      </w:r>
      <w:r w:rsidR="00F90B1A">
        <w:rPr>
          <w:rFonts w:eastAsia="Times New Roman"/>
          <w:color w:val="1C1C1C"/>
          <w:spacing w:val="1"/>
        </w:rPr>
        <w:t>r</w:t>
      </w:r>
      <w:r w:rsidR="00F90B1A">
        <w:rPr>
          <w:rFonts w:eastAsia="Times New Roman"/>
          <w:color w:val="1C1C1C"/>
        </w:rPr>
        <w:t>”</w:t>
      </w:r>
      <w:r w:rsidR="00F90B1A">
        <w:rPr>
          <w:rFonts w:eastAsia="Times New Roman"/>
          <w:color w:val="1C1C1C"/>
          <w:spacing w:val="1"/>
        </w:rPr>
        <w:t xml:space="preserve"> </w:t>
      </w:r>
      <w:r w:rsidR="00F90B1A">
        <w:rPr>
          <w:rFonts w:eastAsia="Times New Roman"/>
          <w:color w:val="1C1C1C"/>
        </w:rPr>
        <w:t>a</w:t>
      </w:r>
      <w:r w:rsidR="00F90B1A">
        <w:rPr>
          <w:rFonts w:eastAsia="Times New Roman"/>
          <w:color w:val="1C1C1C"/>
          <w:spacing w:val="-2"/>
        </w:rPr>
        <w:t>c</w:t>
      </w:r>
      <w:r w:rsidR="00F90B1A">
        <w:rPr>
          <w:rFonts w:eastAsia="Times New Roman"/>
          <w:color w:val="1C1C1C"/>
        </w:rPr>
        <w:t>cou</w:t>
      </w:r>
      <w:r w:rsidR="00F90B1A">
        <w:rPr>
          <w:rFonts w:eastAsia="Times New Roman"/>
          <w:color w:val="1C1C1C"/>
          <w:spacing w:val="-2"/>
        </w:rPr>
        <w:t>n</w:t>
      </w:r>
      <w:r w:rsidR="00F90B1A">
        <w:rPr>
          <w:rFonts w:eastAsia="Times New Roman"/>
          <w:color w:val="1C1C1C"/>
          <w:spacing w:val="1"/>
        </w:rPr>
        <w:t>t</w:t>
      </w:r>
      <w:r w:rsidR="00F90B1A">
        <w:rPr>
          <w:rFonts w:eastAsia="Times New Roman"/>
          <w:color w:val="1C1C1C"/>
        </w:rPr>
        <w:t xml:space="preserve">s. </w:t>
      </w:r>
      <w:r w:rsidR="00F03547">
        <w:t xml:space="preserve">In order to use the mTurk platform, we are required by Amazon to offer a minimum incentive amount to respondents. </w:t>
      </w:r>
    </w:p>
    <w:p w14:paraId="60283B7A" w14:textId="161E6241" w:rsidR="004C35E0" w:rsidRPr="008408F5" w:rsidRDefault="00F6062B" w:rsidP="0008711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>
        <w:t xml:space="preserve"> </w:t>
      </w:r>
    </w:p>
    <w:p w14:paraId="027EAAB7" w14:textId="77777777" w:rsidR="0008711B" w:rsidRPr="001A2CD9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1A2CD9">
        <w:rPr>
          <w:rFonts w:ascii="Arial" w:hAnsi="Arial" w:cs="Arial"/>
          <w:b/>
        </w:rPr>
        <w:t>A10. Assurance of Confidentiality Provided to Respondents</w:t>
      </w:r>
      <w:bookmarkEnd w:id="9"/>
    </w:p>
    <w:p w14:paraId="5067D777" w14:textId="3CA32161" w:rsidR="007C0933" w:rsidRDefault="00CF470B" w:rsidP="00B42D8F">
      <w:pPr>
        <w:rPr>
          <w:color w:val="000000"/>
        </w:rPr>
      </w:pPr>
      <w:bookmarkStart w:id="10" w:name="_Toc230515988"/>
      <w:r>
        <w:rPr>
          <w:color w:val="000000"/>
        </w:rPr>
        <w:t>The information will be kept private to th</w:t>
      </w:r>
      <w:r w:rsidR="004B35F5">
        <w:rPr>
          <w:color w:val="000000"/>
        </w:rPr>
        <w:t xml:space="preserve">e extent that is allowed by law. </w:t>
      </w:r>
      <w:r w:rsidR="00896BB7">
        <w:rPr>
          <w:color w:val="000000"/>
        </w:rPr>
        <w:t>The</w:t>
      </w:r>
      <w:r>
        <w:rPr>
          <w:color w:val="000000"/>
        </w:rPr>
        <w:t xml:space="preserve"> Privacy Act Coordinator</w:t>
      </w:r>
      <w:r w:rsidR="00896BB7">
        <w:rPr>
          <w:color w:val="000000"/>
        </w:rPr>
        <w:t xml:space="preserve"> determined that</w:t>
      </w:r>
      <w:r>
        <w:rPr>
          <w:color w:val="000000"/>
        </w:rPr>
        <w:t xml:space="preserve"> a PIA is not necessary.</w:t>
      </w:r>
    </w:p>
    <w:p w14:paraId="59445968" w14:textId="3DE149F1" w:rsidR="00042AB9" w:rsidRDefault="00042AB9" w:rsidP="00B42D8F">
      <w:pPr>
        <w:rPr>
          <w:color w:val="000000"/>
        </w:rPr>
      </w:pPr>
    </w:p>
    <w:p w14:paraId="06DE79EC" w14:textId="36F2BF21" w:rsidR="00042AB9" w:rsidRPr="009D02C1" w:rsidRDefault="00042AB9" w:rsidP="00B42D8F">
      <w:pPr>
        <w:rPr>
          <w:color w:val="000000"/>
        </w:rPr>
      </w:pPr>
      <w:r>
        <w:rPr>
          <w:color w:val="000000"/>
        </w:rPr>
        <w:t>The OHSRP has deemed this information collection exempt from hu</w:t>
      </w:r>
      <w:r w:rsidR="004E7087">
        <w:rPr>
          <w:color w:val="000000"/>
        </w:rPr>
        <w:t>man subject research (Appendix C</w:t>
      </w:r>
      <w:r>
        <w:rPr>
          <w:color w:val="000000"/>
        </w:rPr>
        <w:t>).</w:t>
      </w:r>
    </w:p>
    <w:p w14:paraId="3AC1D7C9" w14:textId="77777777" w:rsidR="00EF0CC4" w:rsidRPr="00EF0CC4" w:rsidRDefault="00EF0CC4" w:rsidP="00EF0CC4">
      <w:pPr>
        <w:ind w:left="360"/>
        <w:rPr>
          <w:rFonts w:ascii="Arial" w:hAnsi="Arial" w:cs="Arial"/>
          <w:b/>
        </w:rPr>
      </w:pPr>
    </w:p>
    <w:p w14:paraId="3980058C" w14:textId="77777777" w:rsidR="00C97012" w:rsidRDefault="0008711B" w:rsidP="00616C66">
      <w:pPr>
        <w:rPr>
          <w:rFonts w:ascii="Arial" w:hAnsi="Arial" w:cs="Arial"/>
          <w:b/>
        </w:rPr>
      </w:pPr>
      <w:r w:rsidRPr="001A2CD9">
        <w:rPr>
          <w:rFonts w:ascii="Arial" w:hAnsi="Arial" w:cs="Arial"/>
          <w:b/>
        </w:rPr>
        <w:t>A11. Justification for Sensitive Questions</w:t>
      </w:r>
      <w:bookmarkEnd w:id="10"/>
    </w:p>
    <w:p w14:paraId="7F61A94B" w14:textId="0DE5094F" w:rsidR="004C51FF" w:rsidRPr="00730672" w:rsidRDefault="00FA029E" w:rsidP="00616C66">
      <w:r>
        <w:t xml:space="preserve">No PII will be collected. </w:t>
      </w:r>
      <w:r w:rsidR="00355A38">
        <w:t>The following question topics</w:t>
      </w:r>
      <w:r w:rsidR="00AE3745">
        <w:t xml:space="preserve"> may appear to be sensitive in nature: occupation status, </w:t>
      </w:r>
      <w:r w:rsidR="00355A38">
        <w:t xml:space="preserve">race, </w:t>
      </w:r>
      <w:r w:rsidR="00AE3745">
        <w:t xml:space="preserve">salary, gender, </w:t>
      </w:r>
      <w:r w:rsidR="00355A38">
        <w:t xml:space="preserve">marital status </w:t>
      </w:r>
      <w:r w:rsidR="00AE3745">
        <w:t xml:space="preserve">and cancer history for family members or self. </w:t>
      </w:r>
    </w:p>
    <w:p w14:paraId="60A88F7D" w14:textId="77777777" w:rsidR="0008711B" w:rsidRPr="00FC2B62" w:rsidRDefault="0008711B" w:rsidP="0008711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yellow"/>
        </w:rPr>
      </w:pPr>
    </w:p>
    <w:p w14:paraId="3D95A852" w14:textId="77777777" w:rsidR="00020C16" w:rsidRDefault="0008711B" w:rsidP="00020C16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bookmarkStart w:id="11" w:name="_Toc230515989"/>
      <w:r w:rsidRPr="001A2CD9">
        <w:rPr>
          <w:rFonts w:ascii="Arial" w:hAnsi="Arial" w:cs="Arial"/>
          <w:b/>
        </w:rPr>
        <w:t>A12. Estimates of Hour Burden Including Annualized Hourly Costs</w:t>
      </w:r>
      <w:bookmarkEnd w:id="11"/>
    </w:p>
    <w:p w14:paraId="31671992" w14:textId="0B5ED1CB" w:rsidR="003444D1" w:rsidRDefault="003444D1" w:rsidP="00AA7C2E"/>
    <w:p w14:paraId="5B4CD054" w14:textId="0787D62C" w:rsidR="00020C16" w:rsidRDefault="004360E2" w:rsidP="00AA7C2E">
      <w:r>
        <w:t>The total</w:t>
      </w:r>
      <w:r w:rsidR="00020C16" w:rsidRPr="009D02C1">
        <w:t xml:space="preserve"> respondent burden for this proposed effort is </w:t>
      </w:r>
      <w:r w:rsidR="00750166">
        <w:t>500</w:t>
      </w:r>
      <w:r w:rsidR="00020C16" w:rsidRPr="009D02C1">
        <w:t xml:space="preserve"> burden hours</w:t>
      </w:r>
      <w:r w:rsidR="00A73316">
        <w:t xml:space="preserve"> for a total of 1,000 respondents</w:t>
      </w:r>
      <w:r w:rsidR="00020C16" w:rsidRPr="009D02C1">
        <w:t>.</w:t>
      </w:r>
      <w:r w:rsidR="00A73316" w:rsidRPr="00A73316">
        <w:t xml:space="preserve"> </w:t>
      </w:r>
      <w:r w:rsidR="00A73316" w:rsidRPr="00A65A9D">
        <w:t xml:space="preserve">Table A12-1 illustrates the </w:t>
      </w:r>
      <w:r w:rsidR="00A73316">
        <w:t>instruments that</w:t>
      </w:r>
      <w:r w:rsidR="00A73316" w:rsidRPr="00A65A9D">
        <w:t xml:space="preserve"> respondents will be </w:t>
      </w:r>
      <w:r w:rsidR="00A73316">
        <w:t>completing and the number of hours to complete each type</w:t>
      </w:r>
      <w:r w:rsidR="00492D8E">
        <w:t>. These 5</w:t>
      </w:r>
      <w:r w:rsidR="00A73316">
        <w:t>00</w:t>
      </w:r>
      <w:r w:rsidR="00492D8E">
        <w:t xml:space="preserve"> respondents will </w:t>
      </w:r>
      <w:r w:rsidR="00A73316">
        <w:t>complet</w:t>
      </w:r>
      <w:r w:rsidR="00492D8E">
        <w:t>e Condition 1 which is estimated to take 30 minutes to complete. 500 respondents will complete</w:t>
      </w:r>
      <w:r w:rsidR="00A73316">
        <w:t xml:space="preserve"> </w:t>
      </w:r>
      <w:r w:rsidR="00492D8E">
        <w:t xml:space="preserve">Condition 2 which is estimated to take 30 minutes to complete. </w:t>
      </w:r>
    </w:p>
    <w:p w14:paraId="2D9BA625" w14:textId="77777777" w:rsidR="0095140A" w:rsidRPr="009D02C1" w:rsidRDefault="0095140A" w:rsidP="00020C16">
      <w:pPr>
        <w:autoSpaceDE w:val="0"/>
        <w:autoSpaceDN w:val="0"/>
        <w:adjustRightInd w:val="0"/>
        <w:outlineLvl w:val="0"/>
      </w:pPr>
    </w:p>
    <w:p w14:paraId="4741B767" w14:textId="77777777" w:rsidR="00020C16" w:rsidRPr="00020C16" w:rsidRDefault="00020C16" w:rsidP="00020C16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14:paraId="3F25BBB7" w14:textId="77777777" w:rsidR="009E57FE" w:rsidRDefault="00A252AF" w:rsidP="0008711B">
      <w:pPr>
        <w:autoSpaceDE w:val="0"/>
        <w:autoSpaceDN w:val="0"/>
        <w:adjustRightInd w:val="0"/>
        <w:rPr>
          <w:rFonts w:ascii="Arial" w:hAnsi="Arial" w:cs="Arial"/>
        </w:rPr>
      </w:pPr>
      <w:r w:rsidRPr="001A2CD9">
        <w:rPr>
          <w:rFonts w:ascii="Arial" w:hAnsi="Arial" w:cs="Arial"/>
        </w:rPr>
        <w:t xml:space="preserve">Table </w:t>
      </w:r>
      <w:r w:rsidR="003C72B0">
        <w:rPr>
          <w:rFonts w:ascii="Arial" w:hAnsi="Arial" w:cs="Arial"/>
        </w:rPr>
        <w:t>A12-1. Estimates of Hour Burden</w:t>
      </w:r>
      <w:r w:rsidR="00611A54" w:rsidRPr="001A2CD9">
        <w:rPr>
          <w:rFonts w:ascii="Arial" w:hAnsi="Arial" w:cs="Arial"/>
        </w:rPr>
        <w:t xml:space="preserve">  </w:t>
      </w:r>
    </w:p>
    <w:tbl>
      <w:tblPr>
        <w:tblpPr w:leftFromText="180" w:rightFromText="180" w:vertAnchor="text" w:horzAnchor="margin" w:tblpXSpec="center" w:tblpY="176"/>
        <w:tblW w:w="512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18"/>
        <w:gridCol w:w="1316"/>
        <w:gridCol w:w="1586"/>
        <w:gridCol w:w="1544"/>
        <w:gridCol w:w="1743"/>
        <w:gridCol w:w="1172"/>
      </w:tblGrid>
      <w:tr w:rsidR="00605F68" w:rsidRPr="001941F9" w14:paraId="6542DD2E" w14:textId="77777777" w:rsidTr="00AE3745">
        <w:trPr>
          <w:cantSplit/>
          <w:trHeight w:val="770"/>
        </w:trPr>
        <w:tc>
          <w:tcPr>
            <w:tcW w:w="1157" w:type="pct"/>
            <w:shd w:val="clear" w:color="auto" w:fill="auto"/>
            <w:vAlign w:val="center"/>
            <w:hideMark/>
          </w:tcPr>
          <w:p w14:paraId="259F3865" w14:textId="77777777" w:rsidR="001941F9" w:rsidRPr="001941F9" w:rsidRDefault="001941F9" w:rsidP="001941F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Type of Instrument</w:t>
            </w:r>
          </w:p>
        </w:tc>
        <w:tc>
          <w:tcPr>
            <w:tcW w:w="687" w:type="pct"/>
          </w:tcPr>
          <w:p w14:paraId="68433728" w14:textId="77777777" w:rsidR="001941F9" w:rsidRPr="001941F9" w:rsidRDefault="001941F9" w:rsidP="001941F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Type of Respondent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5A7E9C5" w14:textId="77777777" w:rsidR="001941F9" w:rsidRPr="001941F9" w:rsidRDefault="001941F9" w:rsidP="001941F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Number of Respondents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5C02E84" w14:textId="77777777" w:rsidR="001941F9" w:rsidRPr="001941F9" w:rsidRDefault="001941F9" w:rsidP="001941F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Number of Responses Per Respondent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14:paraId="78C552D8" w14:textId="77777777" w:rsidR="001941F9" w:rsidRPr="001941F9" w:rsidRDefault="001941F9" w:rsidP="001941F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Average Burden Per Response</w:t>
            </w:r>
          </w:p>
          <w:p w14:paraId="450820F4" w14:textId="77777777" w:rsidR="001941F9" w:rsidRPr="001941F9" w:rsidRDefault="001941F9" w:rsidP="001941F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(in hours)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3E50D7A" w14:textId="77777777" w:rsidR="001941F9" w:rsidRPr="001941F9" w:rsidRDefault="001941F9" w:rsidP="001941F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Total Burden Hours</w:t>
            </w:r>
          </w:p>
        </w:tc>
      </w:tr>
      <w:tr w:rsidR="00605F68" w:rsidRPr="001941F9" w14:paraId="46A70E28" w14:textId="77777777" w:rsidTr="00AE3745">
        <w:trPr>
          <w:cantSplit/>
          <w:trHeight w:val="227"/>
        </w:trPr>
        <w:tc>
          <w:tcPr>
            <w:tcW w:w="1157" w:type="pct"/>
            <w:shd w:val="clear" w:color="auto" w:fill="auto"/>
            <w:noWrap/>
            <w:vAlign w:val="bottom"/>
          </w:tcPr>
          <w:p w14:paraId="6CA81CAC" w14:textId="77777777" w:rsidR="00E27CB3" w:rsidRDefault="00E27CB3" w:rsidP="001941F9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Condition 1</w:t>
            </w:r>
          </w:p>
          <w:p w14:paraId="512C2213" w14:textId="7904C15B" w:rsidR="001941F9" w:rsidRPr="001941F9" w:rsidRDefault="00BE76E2" w:rsidP="001941F9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E76E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B133C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(Appendix A</w:t>
            </w:r>
            <w:r w:rsidR="001941F9" w:rsidRPr="001941F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87" w:type="pct"/>
          </w:tcPr>
          <w:p w14:paraId="2524101D" w14:textId="77777777" w:rsidR="001941F9" w:rsidRPr="001941F9" w:rsidRDefault="001941F9" w:rsidP="001941F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General Public </w:t>
            </w:r>
          </w:p>
        </w:tc>
        <w:tc>
          <w:tcPr>
            <w:tcW w:w="828" w:type="pct"/>
            <w:shd w:val="clear" w:color="auto" w:fill="auto"/>
            <w:noWrap/>
            <w:vAlign w:val="bottom"/>
            <w:hideMark/>
          </w:tcPr>
          <w:p w14:paraId="738B00DF" w14:textId="63B3A27D" w:rsidR="001941F9" w:rsidRPr="001941F9" w:rsidRDefault="00E27CB3" w:rsidP="007D76D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06" w:type="pct"/>
            <w:shd w:val="clear" w:color="auto" w:fill="auto"/>
            <w:noWrap/>
            <w:vAlign w:val="bottom"/>
          </w:tcPr>
          <w:p w14:paraId="36AD7122" w14:textId="77777777" w:rsidR="001941F9" w:rsidRPr="001941F9" w:rsidRDefault="007D76DB" w:rsidP="001941F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10" w:type="pct"/>
            <w:shd w:val="clear" w:color="auto" w:fill="auto"/>
            <w:vAlign w:val="bottom"/>
          </w:tcPr>
          <w:p w14:paraId="64EEC329" w14:textId="684D5AE5" w:rsidR="001941F9" w:rsidRPr="001941F9" w:rsidRDefault="00BE76E2" w:rsidP="00E27CB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</w:t>
            </w:r>
            <w:r w:rsidR="00E27CB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0</w:t>
            </w:r>
            <w:r w:rsidR="00A5316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/60</w:t>
            </w:r>
          </w:p>
        </w:tc>
        <w:tc>
          <w:tcPr>
            <w:tcW w:w="612" w:type="pct"/>
            <w:shd w:val="clear" w:color="auto" w:fill="auto"/>
            <w:vAlign w:val="bottom"/>
          </w:tcPr>
          <w:p w14:paraId="36C1DF7A" w14:textId="51A89CC4" w:rsidR="001941F9" w:rsidRPr="001941F9" w:rsidRDefault="00492D8E" w:rsidP="001941F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</w:t>
            </w:r>
            <w:r w:rsidR="00A5316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605F68" w:rsidRPr="001941F9" w14:paraId="5F1DD194" w14:textId="77777777" w:rsidTr="00AE3745">
        <w:trPr>
          <w:cantSplit/>
          <w:trHeight w:val="227"/>
        </w:trPr>
        <w:tc>
          <w:tcPr>
            <w:tcW w:w="1157" w:type="pct"/>
            <w:shd w:val="clear" w:color="auto" w:fill="auto"/>
            <w:noWrap/>
            <w:vAlign w:val="bottom"/>
          </w:tcPr>
          <w:p w14:paraId="641933C2" w14:textId="77777777" w:rsidR="00E27CB3" w:rsidRDefault="00E27CB3" w:rsidP="001941F9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Condition 2</w:t>
            </w:r>
          </w:p>
          <w:p w14:paraId="11D6EF46" w14:textId="1E030730" w:rsidR="001941F9" w:rsidRPr="001941F9" w:rsidRDefault="00BE76E2" w:rsidP="001941F9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E76E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B133C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(Appendix B</w:t>
            </w:r>
            <w:bookmarkStart w:id="12" w:name="_GoBack"/>
            <w:bookmarkEnd w:id="12"/>
            <w:r w:rsidR="001941F9" w:rsidRPr="001941F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87" w:type="pct"/>
          </w:tcPr>
          <w:p w14:paraId="7DA602A1" w14:textId="77777777" w:rsidR="001941F9" w:rsidRPr="001941F9" w:rsidRDefault="001941F9" w:rsidP="001941F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General Public</w:t>
            </w:r>
          </w:p>
        </w:tc>
        <w:tc>
          <w:tcPr>
            <w:tcW w:w="828" w:type="pct"/>
            <w:shd w:val="clear" w:color="auto" w:fill="auto"/>
            <w:noWrap/>
            <w:vAlign w:val="bottom"/>
          </w:tcPr>
          <w:p w14:paraId="64BFCF26" w14:textId="7F8B60D0" w:rsidR="001941F9" w:rsidRPr="001941F9" w:rsidRDefault="00E27CB3" w:rsidP="001941F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06" w:type="pct"/>
            <w:shd w:val="clear" w:color="auto" w:fill="auto"/>
            <w:noWrap/>
            <w:vAlign w:val="bottom"/>
          </w:tcPr>
          <w:p w14:paraId="2D7ADDF7" w14:textId="77777777" w:rsidR="001941F9" w:rsidRPr="001941F9" w:rsidRDefault="007D76DB" w:rsidP="001941F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10" w:type="pct"/>
            <w:shd w:val="clear" w:color="auto" w:fill="auto"/>
            <w:vAlign w:val="bottom"/>
          </w:tcPr>
          <w:p w14:paraId="5DA21B8E" w14:textId="402A27E3" w:rsidR="001941F9" w:rsidRPr="001941F9" w:rsidRDefault="00E27CB3" w:rsidP="00A7331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30</w:t>
            </w:r>
            <w:r w:rsidR="00A53166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/60 </w:t>
            </w:r>
          </w:p>
        </w:tc>
        <w:tc>
          <w:tcPr>
            <w:tcW w:w="612" w:type="pct"/>
            <w:shd w:val="clear" w:color="auto" w:fill="auto"/>
            <w:vAlign w:val="bottom"/>
          </w:tcPr>
          <w:p w14:paraId="2F07F3B9" w14:textId="60BC3EDE" w:rsidR="001941F9" w:rsidRPr="001941F9" w:rsidRDefault="00492D8E" w:rsidP="001941F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</w:t>
            </w:r>
            <w:r w:rsidR="00E27CB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605F68" w:rsidRPr="001941F9" w14:paraId="22BB6166" w14:textId="77777777" w:rsidTr="00AE3745">
        <w:trPr>
          <w:cantSplit/>
          <w:trHeight w:val="340"/>
        </w:trPr>
        <w:tc>
          <w:tcPr>
            <w:tcW w:w="1157" w:type="pct"/>
            <w:shd w:val="clear" w:color="auto" w:fill="auto"/>
            <w:noWrap/>
            <w:vAlign w:val="bottom"/>
          </w:tcPr>
          <w:p w14:paraId="098EB36D" w14:textId="77777777" w:rsidR="00BE76E2" w:rsidRPr="001941F9" w:rsidRDefault="00BE76E2" w:rsidP="001941F9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941F9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Totals</w:t>
            </w:r>
          </w:p>
        </w:tc>
        <w:tc>
          <w:tcPr>
            <w:tcW w:w="687" w:type="pct"/>
          </w:tcPr>
          <w:p w14:paraId="428619BD" w14:textId="77777777" w:rsidR="00BE76E2" w:rsidRPr="001941F9" w:rsidRDefault="00BE76E2" w:rsidP="001941F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28" w:type="pct"/>
            <w:shd w:val="clear" w:color="auto" w:fill="auto"/>
            <w:noWrap/>
            <w:vAlign w:val="bottom"/>
          </w:tcPr>
          <w:p w14:paraId="2D9649E5" w14:textId="77777777" w:rsidR="00BE76E2" w:rsidRPr="001941F9" w:rsidRDefault="00A73316" w:rsidP="001941F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1,000</w:t>
            </w:r>
          </w:p>
        </w:tc>
        <w:tc>
          <w:tcPr>
            <w:tcW w:w="806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9D8EAF" w14:textId="77777777" w:rsidR="00BE76E2" w:rsidRPr="001941F9" w:rsidRDefault="00A73316" w:rsidP="001941F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1,000</w:t>
            </w:r>
          </w:p>
        </w:tc>
        <w:tc>
          <w:tcPr>
            <w:tcW w:w="91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C77CE21" w14:textId="484C5910" w:rsidR="00BE76E2" w:rsidRPr="001941F9" w:rsidRDefault="00BE76E2" w:rsidP="00A7331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shd w:val="clear" w:color="auto" w:fill="auto"/>
            <w:vAlign w:val="bottom"/>
          </w:tcPr>
          <w:p w14:paraId="0B2B99E3" w14:textId="77777777" w:rsidR="00BE76E2" w:rsidRPr="001941F9" w:rsidRDefault="008E331E" w:rsidP="001941F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500</w:t>
            </w:r>
          </w:p>
        </w:tc>
      </w:tr>
    </w:tbl>
    <w:p w14:paraId="099447EC" w14:textId="77777777" w:rsidR="00CF3447" w:rsidRPr="001A2CD9" w:rsidRDefault="00CF3447" w:rsidP="0008711B">
      <w:pPr>
        <w:autoSpaceDE w:val="0"/>
        <w:autoSpaceDN w:val="0"/>
        <w:adjustRightInd w:val="0"/>
        <w:rPr>
          <w:rFonts w:ascii="Arial" w:hAnsi="Arial" w:cs="Arial"/>
        </w:rPr>
      </w:pPr>
    </w:p>
    <w:p w14:paraId="1758C231" w14:textId="317D2005" w:rsidR="00A73316" w:rsidRPr="00B63CBB" w:rsidRDefault="00A73316" w:rsidP="00A73316">
      <w:r w:rsidRPr="00081969">
        <w:t>The total cost to respondents is $11,355.</w:t>
      </w:r>
      <w:r>
        <w:rPr>
          <w:rFonts w:ascii="Arial" w:hAnsi="Arial" w:cs="Arial"/>
        </w:rPr>
        <w:t xml:space="preserve"> </w:t>
      </w:r>
      <w:r>
        <w:t xml:space="preserve">Table A12-2 contains the calculation for respondents costs by using title “All Occupations” occupation code “00-0000” with a wage rate of $22.71. This </w:t>
      </w:r>
      <w:r w:rsidR="003444D1">
        <w:t>information</w:t>
      </w:r>
      <w:r>
        <w:t xml:space="preserve"> was obtained from the Bureau of Labor Statistics, </w:t>
      </w:r>
      <w:hyperlink r:id="rId8" w:anchor="00-0000" w:history="1">
        <w:r>
          <w:rPr>
            <w:rStyle w:val="Hyperlink"/>
          </w:rPr>
          <w:t>http://www.bls.gov/oes/current/oes_nat.htm#00-0000</w:t>
        </w:r>
      </w:hyperlink>
      <w:r>
        <w:t xml:space="preserve">. </w:t>
      </w:r>
    </w:p>
    <w:p w14:paraId="431E8594" w14:textId="77777777" w:rsidR="003C1448" w:rsidRDefault="003C1448" w:rsidP="003C1448">
      <w:pPr>
        <w:rPr>
          <w:rFonts w:ascii="Arial" w:hAnsi="Arial" w:cs="Arial"/>
        </w:rPr>
      </w:pPr>
    </w:p>
    <w:p w14:paraId="04F745F4" w14:textId="77777777" w:rsidR="003C1448" w:rsidRDefault="003C1448" w:rsidP="003C1448">
      <w:pPr>
        <w:rPr>
          <w:rFonts w:ascii="Arial" w:hAnsi="Arial" w:cs="Arial"/>
        </w:rPr>
      </w:pPr>
      <w:r w:rsidRPr="001A2CD9">
        <w:rPr>
          <w:rFonts w:ascii="Arial" w:hAnsi="Arial" w:cs="Arial"/>
        </w:rPr>
        <w:t>Table A12-2.  Cost to Respondents</w:t>
      </w:r>
    </w:p>
    <w:p w14:paraId="1D43442F" w14:textId="77777777" w:rsidR="00CF3447" w:rsidRDefault="00CF3447" w:rsidP="0008711B">
      <w:pPr>
        <w:rPr>
          <w:rFonts w:ascii="Arial" w:hAnsi="Arial" w:cs="Arial"/>
        </w:rPr>
      </w:pPr>
    </w:p>
    <w:tbl>
      <w:tblPr>
        <w:tblW w:w="4363" w:type="pct"/>
        <w:tblInd w:w="-2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81"/>
        <w:gridCol w:w="2104"/>
        <w:gridCol w:w="1840"/>
        <w:gridCol w:w="1925"/>
      </w:tblGrid>
      <w:tr w:rsidR="002B33DA" w:rsidRPr="001A2CD9" w14:paraId="7550B8EB" w14:textId="77777777" w:rsidTr="00081969">
        <w:trPr>
          <w:cantSplit/>
          <w:trHeight w:val="880"/>
        </w:trPr>
        <w:tc>
          <w:tcPr>
            <w:tcW w:w="1399" w:type="pct"/>
            <w:shd w:val="clear" w:color="auto" w:fill="auto"/>
            <w:vAlign w:val="center"/>
            <w:hideMark/>
          </w:tcPr>
          <w:p w14:paraId="389B8ECC" w14:textId="77777777" w:rsidR="002B33DA" w:rsidRPr="001A2CD9" w:rsidRDefault="002B33DA" w:rsidP="001B209D">
            <w:pPr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bookmarkStart w:id="13" w:name="_Toc230515990"/>
            <w:r w:rsidRPr="001A2CD9">
              <w:rPr>
                <w:rFonts w:ascii="Arial" w:eastAsia="Times New Roman" w:hAnsi="Arial" w:cs="Arial"/>
                <w:bCs/>
                <w:lang w:eastAsia="en-US"/>
              </w:rPr>
              <w:t>Type of Respondent</w:t>
            </w:r>
          </w:p>
        </w:tc>
        <w:tc>
          <w:tcPr>
            <w:tcW w:w="1291" w:type="pct"/>
            <w:shd w:val="clear" w:color="auto" w:fill="auto"/>
            <w:vAlign w:val="center"/>
            <w:hideMark/>
          </w:tcPr>
          <w:p w14:paraId="42C20C24" w14:textId="77777777" w:rsidR="002B33DA" w:rsidRPr="001A2CD9" w:rsidRDefault="002B33DA" w:rsidP="003C72B0">
            <w:pPr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1A2CD9">
              <w:rPr>
                <w:rFonts w:ascii="Arial" w:eastAsia="Times New Roman" w:hAnsi="Arial" w:cs="Arial"/>
                <w:bCs/>
                <w:lang w:eastAsia="en-US"/>
              </w:rPr>
              <w:t>Total Burden Hours</w:t>
            </w:r>
          </w:p>
        </w:tc>
        <w:tc>
          <w:tcPr>
            <w:tcW w:w="1129" w:type="pct"/>
            <w:shd w:val="clear" w:color="auto" w:fill="auto"/>
            <w:vAlign w:val="center"/>
            <w:hideMark/>
          </w:tcPr>
          <w:p w14:paraId="2958875D" w14:textId="77777777" w:rsidR="002B33DA" w:rsidRPr="001A2CD9" w:rsidRDefault="002B33DA" w:rsidP="001B209D">
            <w:pPr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1A2CD9">
              <w:rPr>
                <w:rFonts w:ascii="Arial" w:eastAsia="Times New Roman" w:hAnsi="Arial" w:cs="Arial"/>
                <w:bCs/>
                <w:lang w:eastAsia="en-US"/>
              </w:rPr>
              <w:t>Wage Rate</w:t>
            </w:r>
          </w:p>
        </w:tc>
        <w:tc>
          <w:tcPr>
            <w:tcW w:w="1181" w:type="pct"/>
            <w:shd w:val="clear" w:color="auto" w:fill="auto"/>
            <w:vAlign w:val="center"/>
            <w:hideMark/>
          </w:tcPr>
          <w:p w14:paraId="444DBCCC" w14:textId="77777777" w:rsidR="002B33DA" w:rsidRPr="001A2CD9" w:rsidRDefault="002B33DA" w:rsidP="001B209D">
            <w:pPr>
              <w:jc w:val="center"/>
              <w:rPr>
                <w:rFonts w:ascii="Arial" w:eastAsia="Times New Roman" w:hAnsi="Arial" w:cs="Arial"/>
                <w:bCs/>
                <w:lang w:eastAsia="en-US"/>
              </w:rPr>
            </w:pPr>
            <w:r w:rsidRPr="001A2CD9">
              <w:rPr>
                <w:rFonts w:ascii="Arial" w:eastAsia="Times New Roman" w:hAnsi="Arial" w:cs="Arial"/>
                <w:bCs/>
                <w:lang w:eastAsia="en-US"/>
              </w:rPr>
              <w:t>Respondent Cost</w:t>
            </w:r>
          </w:p>
        </w:tc>
      </w:tr>
      <w:tr w:rsidR="002B33DA" w:rsidRPr="001A2CD9" w14:paraId="2AD46AF5" w14:textId="77777777" w:rsidTr="00081969">
        <w:trPr>
          <w:cantSplit/>
          <w:trHeight w:val="260"/>
        </w:trPr>
        <w:tc>
          <w:tcPr>
            <w:tcW w:w="1399" w:type="pct"/>
            <w:shd w:val="clear" w:color="auto" w:fill="auto"/>
            <w:noWrap/>
            <w:vAlign w:val="bottom"/>
          </w:tcPr>
          <w:p w14:paraId="34D31545" w14:textId="77777777" w:rsidR="002B33DA" w:rsidRPr="001A2CD9" w:rsidRDefault="002B33DA" w:rsidP="001B209D">
            <w:pPr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Individuals</w:t>
            </w:r>
          </w:p>
        </w:tc>
        <w:tc>
          <w:tcPr>
            <w:tcW w:w="1291" w:type="pct"/>
            <w:shd w:val="clear" w:color="auto" w:fill="auto"/>
            <w:noWrap/>
            <w:vAlign w:val="bottom"/>
          </w:tcPr>
          <w:p w14:paraId="20E3C253" w14:textId="77777777" w:rsidR="002B33DA" w:rsidRPr="001A2CD9" w:rsidRDefault="002B33DA" w:rsidP="001B209D">
            <w:pPr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500</w:t>
            </w:r>
          </w:p>
        </w:tc>
        <w:tc>
          <w:tcPr>
            <w:tcW w:w="1129" w:type="pct"/>
            <w:shd w:val="clear" w:color="auto" w:fill="auto"/>
            <w:vAlign w:val="bottom"/>
          </w:tcPr>
          <w:p w14:paraId="5CA29DDA" w14:textId="77777777" w:rsidR="002B33DA" w:rsidRPr="001A2CD9" w:rsidRDefault="002B33DA" w:rsidP="000169D4">
            <w:pPr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 xml:space="preserve">$22.71 </w:t>
            </w:r>
          </w:p>
        </w:tc>
        <w:tc>
          <w:tcPr>
            <w:tcW w:w="1181" w:type="pct"/>
            <w:shd w:val="clear" w:color="auto" w:fill="auto"/>
            <w:vAlign w:val="bottom"/>
          </w:tcPr>
          <w:p w14:paraId="658E9AC5" w14:textId="77777777" w:rsidR="002B33DA" w:rsidRPr="001A2CD9" w:rsidRDefault="002B33DA" w:rsidP="000169D4">
            <w:pPr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$11,355</w:t>
            </w:r>
          </w:p>
        </w:tc>
      </w:tr>
      <w:tr w:rsidR="002B33DA" w:rsidRPr="001A2CD9" w14:paraId="1C9AD162" w14:textId="77777777" w:rsidTr="00081969">
        <w:trPr>
          <w:cantSplit/>
          <w:trHeight w:val="260"/>
        </w:trPr>
        <w:tc>
          <w:tcPr>
            <w:tcW w:w="1399" w:type="pct"/>
            <w:shd w:val="clear" w:color="auto" w:fill="auto"/>
            <w:noWrap/>
            <w:vAlign w:val="bottom"/>
          </w:tcPr>
          <w:p w14:paraId="3218085B" w14:textId="77777777" w:rsidR="002B33DA" w:rsidRPr="001A2CD9" w:rsidRDefault="002B33DA" w:rsidP="001B209D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291" w:type="pct"/>
            <w:shd w:val="clear" w:color="auto" w:fill="auto"/>
            <w:noWrap/>
            <w:vAlign w:val="bottom"/>
          </w:tcPr>
          <w:p w14:paraId="5F054C3F" w14:textId="77777777" w:rsidR="002B33DA" w:rsidRPr="001A2CD9" w:rsidRDefault="002B33DA" w:rsidP="001B209D">
            <w:pPr>
              <w:jc w:val="right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129" w:type="pct"/>
            <w:shd w:val="clear" w:color="auto" w:fill="auto"/>
            <w:vAlign w:val="bottom"/>
          </w:tcPr>
          <w:p w14:paraId="694AE7C6" w14:textId="77777777" w:rsidR="002B33DA" w:rsidRPr="001A2CD9" w:rsidRDefault="002B33DA" w:rsidP="001B209D">
            <w:pPr>
              <w:jc w:val="right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181" w:type="pct"/>
            <w:shd w:val="clear" w:color="auto" w:fill="auto"/>
            <w:vAlign w:val="bottom"/>
          </w:tcPr>
          <w:p w14:paraId="79AA7D6E" w14:textId="77777777" w:rsidR="002B33DA" w:rsidRPr="001A2CD9" w:rsidRDefault="002B33DA" w:rsidP="001B209D">
            <w:pPr>
              <w:jc w:val="right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2B33DA" w:rsidRPr="001A2CD9" w14:paraId="3F51A0BD" w14:textId="77777777" w:rsidTr="00AA7C2E">
        <w:trPr>
          <w:cantSplit/>
          <w:trHeight w:val="260"/>
        </w:trPr>
        <w:tc>
          <w:tcPr>
            <w:tcW w:w="1399" w:type="pct"/>
            <w:shd w:val="clear" w:color="auto" w:fill="auto"/>
            <w:noWrap/>
            <w:vAlign w:val="bottom"/>
            <w:hideMark/>
          </w:tcPr>
          <w:p w14:paraId="7A5F7025" w14:textId="77777777" w:rsidR="002B33DA" w:rsidRPr="001A2CD9" w:rsidRDefault="002B33DA" w:rsidP="001B209D">
            <w:pPr>
              <w:rPr>
                <w:rFonts w:ascii="Arial" w:eastAsia="Times New Roman" w:hAnsi="Arial" w:cs="Arial"/>
                <w:bCs/>
                <w:lang w:eastAsia="en-US"/>
              </w:rPr>
            </w:pPr>
            <w:r w:rsidRPr="001A2CD9">
              <w:rPr>
                <w:rFonts w:ascii="Arial" w:eastAsia="Times New Roman" w:hAnsi="Arial" w:cs="Arial"/>
                <w:bCs/>
                <w:lang w:eastAsia="en-US"/>
              </w:rPr>
              <w:t>Totals</w:t>
            </w:r>
          </w:p>
        </w:tc>
        <w:tc>
          <w:tcPr>
            <w:tcW w:w="1291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5E2996" w14:textId="77777777" w:rsidR="002B33DA" w:rsidRPr="001A2CD9" w:rsidRDefault="002B33DA" w:rsidP="001B209D">
            <w:pPr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500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6E39EE" w14:textId="77777777" w:rsidR="002B33DA" w:rsidRPr="001A2CD9" w:rsidRDefault="002B33DA" w:rsidP="001B209D">
            <w:pPr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</w:p>
        </w:tc>
        <w:tc>
          <w:tcPr>
            <w:tcW w:w="1181" w:type="pct"/>
            <w:shd w:val="clear" w:color="auto" w:fill="auto"/>
            <w:noWrap/>
            <w:vAlign w:val="bottom"/>
          </w:tcPr>
          <w:p w14:paraId="24B14285" w14:textId="77777777" w:rsidR="002B33DA" w:rsidRPr="001A2CD9" w:rsidRDefault="002B33DA" w:rsidP="001B209D">
            <w:pPr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>
              <w:rPr>
                <w:rFonts w:ascii="Arial" w:eastAsia="Times New Roman" w:hAnsi="Arial" w:cs="Arial"/>
                <w:bCs/>
                <w:lang w:eastAsia="en-US"/>
              </w:rPr>
              <w:t>$11,355</w:t>
            </w:r>
          </w:p>
        </w:tc>
      </w:tr>
    </w:tbl>
    <w:p w14:paraId="399043E2" w14:textId="77777777" w:rsidR="00A65A9D" w:rsidRDefault="00A65A9D" w:rsidP="00A65A9D"/>
    <w:p w14:paraId="43FAB2EF" w14:textId="77777777" w:rsidR="004C5DB5" w:rsidRPr="001A2CD9" w:rsidRDefault="004C5DB5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14:paraId="03AF4382" w14:textId="77777777" w:rsidR="0008711B" w:rsidRPr="001A2CD9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1A2CD9">
        <w:rPr>
          <w:rFonts w:ascii="Arial" w:hAnsi="Arial" w:cs="Arial"/>
          <w:b/>
        </w:rPr>
        <w:t>A13. Estimate of Other Total Annual Cost Burden to Respondents or Record Keepers</w:t>
      </w:r>
      <w:bookmarkEnd w:id="13"/>
    </w:p>
    <w:p w14:paraId="75BD8D0B" w14:textId="77777777" w:rsidR="004C5DB5" w:rsidRPr="00605F68" w:rsidRDefault="0008711B" w:rsidP="00605F68">
      <w:pPr>
        <w:autoSpaceDE w:val="0"/>
        <w:autoSpaceDN w:val="0"/>
        <w:adjustRightInd w:val="0"/>
      </w:pPr>
      <w:r w:rsidRPr="009D02C1">
        <w:t>There are no capital costs, operating costs, or maintenance costs to report.</w:t>
      </w:r>
      <w:bookmarkStart w:id="14" w:name="_Toc230515991"/>
    </w:p>
    <w:p w14:paraId="2F98F47D" w14:textId="77777777" w:rsidR="00730672" w:rsidRDefault="00730672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  <w:highlight w:val="yellow"/>
        </w:rPr>
      </w:pPr>
    </w:p>
    <w:p w14:paraId="19E82BFD" w14:textId="77777777" w:rsidR="00730672" w:rsidRPr="001A2CD9" w:rsidRDefault="00730672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  <w:highlight w:val="yellow"/>
        </w:rPr>
      </w:pPr>
    </w:p>
    <w:p w14:paraId="7AEC54CF" w14:textId="77777777" w:rsidR="002F4F13" w:rsidRPr="00730672" w:rsidRDefault="0008711B" w:rsidP="00730672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1A2CD9">
        <w:rPr>
          <w:rFonts w:ascii="Arial" w:hAnsi="Arial" w:cs="Arial"/>
          <w:b/>
        </w:rPr>
        <w:t>A14. Annualized Cost to the Federal Government</w:t>
      </w:r>
      <w:bookmarkStart w:id="15" w:name="_Toc230515992"/>
      <w:bookmarkEnd w:id="14"/>
    </w:p>
    <w:p w14:paraId="577E897A" w14:textId="77777777" w:rsidR="002B33DA" w:rsidRDefault="002B33DA" w:rsidP="0008711B">
      <w:pPr>
        <w:autoSpaceDE w:val="0"/>
        <w:autoSpaceDN w:val="0"/>
        <w:adjustRightInd w:val="0"/>
        <w:rPr>
          <w:rFonts w:ascii="Arial" w:hAnsi="Arial" w:cs="Arial"/>
        </w:rPr>
      </w:pPr>
    </w:p>
    <w:p w14:paraId="2C6CE5F6" w14:textId="2B7000C5" w:rsidR="002B33DA" w:rsidRPr="00A3608B" w:rsidRDefault="002B33DA" w:rsidP="002B33DA">
      <w:pPr>
        <w:autoSpaceDE w:val="0"/>
        <w:autoSpaceDN w:val="0"/>
        <w:adjustRightInd w:val="0"/>
        <w:outlineLvl w:val="0"/>
      </w:pPr>
      <w:r w:rsidRPr="00AA7C2E">
        <w:t>The annualized c</w:t>
      </w:r>
      <w:r w:rsidR="00AA7C2E">
        <w:t>ost to the government is $48,419</w:t>
      </w:r>
      <w:r w:rsidRPr="00AA7C2E">
        <w:t>. Table</w:t>
      </w:r>
      <w:r w:rsidRPr="00A3608B">
        <w:t xml:space="preserve"> A14</w:t>
      </w:r>
      <w:r>
        <w:t>-1</w:t>
      </w:r>
      <w:r w:rsidRPr="00A3608B">
        <w:t xml:space="preserve"> contains the annualized cost </w:t>
      </w:r>
      <w:r w:rsidR="00AA7C2E">
        <w:t>to the federal government. The</w:t>
      </w:r>
      <w:r w:rsidRPr="00A3608B">
        <w:t xml:space="preserve"> </w:t>
      </w:r>
      <w:r>
        <w:t>NCI GS-14</w:t>
      </w:r>
      <w:r w:rsidR="00AA7C2E">
        <w:t>-9</w:t>
      </w:r>
      <w:r>
        <w:t xml:space="preserve"> Program Officer </w:t>
      </w:r>
      <w:r w:rsidR="00AA7C2E">
        <w:t xml:space="preserve">and NCI Title 42 Program Officer </w:t>
      </w:r>
      <w:r w:rsidRPr="00A3608B">
        <w:t xml:space="preserve">will </w:t>
      </w:r>
      <w:r>
        <w:t xml:space="preserve">both </w:t>
      </w:r>
      <w:r w:rsidRPr="00A3608B">
        <w:t xml:space="preserve">be dedicating 5% of </w:t>
      </w:r>
      <w:r>
        <w:t>their</w:t>
      </w:r>
      <w:r w:rsidRPr="00A3608B">
        <w:t xml:space="preserve"> total time to the projec</w:t>
      </w:r>
      <w:r>
        <w:t>t, engaging in oversight and administrative roles.</w:t>
      </w:r>
      <w:r>
        <w:rPr>
          <w:color w:val="1F497D"/>
        </w:rPr>
        <w:t xml:space="preserve"> </w:t>
      </w:r>
      <w:r>
        <w:t>The NCI C</w:t>
      </w:r>
      <w:r w:rsidR="00AA7C2E">
        <w:t>RTA Fellow will be dedicating 50</w:t>
      </w:r>
      <w:r>
        <w:t>% of her total time to the project by administering the survey, collecting, cleaning, and analyzing data, and writing up the results for publication.</w:t>
      </w:r>
      <w:r w:rsidRPr="00A3608B">
        <w:t xml:space="preserve"> </w:t>
      </w:r>
      <w:r>
        <w:t xml:space="preserve">Salary information for NIH CRTA fellows can be obtained at: </w:t>
      </w:r>
      <w:hyperlink r:id="rId9" w:history="1">
        <w:r w:rsidRPr="003B2E93">
          <w:rPr>
            <w:rStyle w:val="Hyperlink"/>
          </w:rPr>
          <w:t>https://www.training.nih.gov/trainee_-_postdoc_faqs</w:t>
        </w:r>
      </w:hyperlink>
      <w:r>
        <w:t xml:space="preserve"> . </w:t>
      </w:r>
    </w:p>
    <w:p w14:paraId="68BEE3A2" w14:textId="77777777" w:rsidR="002B33DA" w:rsidRDefault="002B33DA" w:rsidP="0008711B">
      <w:pPr>
        <w:autoSpaceDE w:val="0"/>
        <w:autoSpaceDN w:val="0"/>
        <w:adjustRightInd w:val="0"/>
        <w:rPr>
          <w:rFonts w:ascii="Arial" w:hAnsi="Arial" w:cs="Arial"/>
        </w:rPr>
      </w:pPr>
    </w:p>
    <w:p w14:paraId="7E2FB2D0" w14:textId="77777777" w:rsidR="002B33DA" w:rsidRDefault="002B33DA" w:rsidP="0008711B">
      <w:pPr>
        <w:autoSpaceDE w:val="0"/>
        <w:autoSpaceDN w:val="0"/>
        <w:adjustRightInd w:val="0"/>
        <w:rPr>
          <w:rFonts w:ascii="Arial" w:hAnsi="Arial" w:cs="Arial"/>
        </w:rPr>
      </w:pPr>
    </w:p>
    <w:p w14:paraId="798C0933" w14:textId="77777777" w:rsidR="00081969" w:rsidRDefault="00081969" w:rsidP="0008711B">
      <w:pPr>
        <w:autoSpaceDE w:val="0"/>
        <w:autoSpaceDN w:val="0"/>
        <w:adjustRightInd w:val="0"/>
        <w:rPr>
          <w:rFonts w:ascii="Arial" w:hAnsi="Arial" w:cs="Arial"/>
        </w:rPr>
      </w:pPr>
    </w:p>
    <w:p w14:paraId="0C49D787" w14:textId="77777777" w:rsidR="00081969" w:rsidRDefault="00081969" w:rsidP="0008711B">
      <w:pPr>
        <w:autoSpaceDE w:val="0"/>
        <w:autoSpaceDN w:val="0"/>
        <w:adjustRightInd w:val="0"/>
        <w:rPr>
          <w:rFonts w:ascii="Arial" w:hAnsi="Arial" w:cs="Arial"/>
        </w:rPr>
      </w:pPr>
    </w:p>
    <w:p w14:paraId="07DDFC09" w14:textId="77777777" w:rsidR="00081969" w:rsidRDefault="00081969" w:rsidP="0008711B">
      <w:pPr>
        <w:autoSpaceDE w:val="0"/>
        <w:autoSpaceDN w:val="0"/>
        <w:adjustRightInd w:val="0"/>
        <w:rPr>
          <w:rFonts w:ascii="Arial" w:hAnsi="Arial" w:cs="Arial"/>
        </w:rPr>
      </w:pPr>
    </w:p>
    <w:p w14:paraId="6A1A9C44" w14:textId="77777777" w:rsidR="00081969" w:rsidRDefault="00081969" w:rsidP="0008711B">
      <w:pPr>
        <w:autoSpaceDE w:val="0"/>
        <w:autoSpaceDN w:val="0"/>
        <w:adjustRightInd w:val="0"/>
        <w:rPr>
          <w:rFonts w:ascii="Arial" w:hAnsi="Arial" w:cs="Arial"/>
        </w:rPr>
      </w:pPr>
    </w:p>
    <w:p w14:paraId="19E9C2FC" w14:textId="77777777" w:rsidR="00081969" w:rsidRDefault="00081969" w:rsidP="0008711B">
      <w:pPr>
        <w:autoSpaceDE w:val="0"/>
        <w:autoSpaceDN w:val="0"/>
        <w:adjustRightInd w:val="0"/>
        <w:rPr>
          <w:rFonts w:ascii="Arial" w:hAnsi="Arial" w:cs="Arial"/>
        </w:rPr>
      </w:pPr>
    </w:p>
    <w:p w14:paraId="37E9EEB3" w14:textId="77777777" w:rsidR="00081969" w:rsidRDefault="00081969" w:rsidP="0008711B">
      <w:pPr>
        <w:autoSpaceDE w:val="0"/>
        <w:autoSpaceDN w:val="0"/>
        <w:adjustRightInd w:val="0"/>
        <w:rPr>
          <w:rFonts w:ascii="Arial" w:hAnsi="Arial" w:cs="Arial"/>
        </w:rPr>
      </w:pPr>
    </w:p>
    <w:p w14:paraId="247728DD" w14:textId="77777777" w:rsidR="00081969" w:rsidRDefault="00081969" w:rsidP="0008711B">
      <w:pPr>
        <w:autoSpaceDE w:val="0"/>
        <w:autoSpaceDN w:val="0"/>
        <w:adjustRightInd w:val="0"/>
        <w:rPr>
          <w:rFonts w:ascii="Arial" w:hAnsi="Arial" w:cs="Arial"/>
        </w:rPr>
      </w:pPr>
    </w:p>
    <w:p w14:paraId="0A6765FA" w14:textId="77777777" w:rsidR="00081969" w:rsidRDefault="00081969" w:rsidP="0008711B">
      <w:pPr>
        <w:autoSpaceDE w:val="0"/>
        <w:autoSpaceDN w:val="0"/>
        <w:adjustRightInd w:val="0"/>
        <w:rPr>
          <w:rFonts w:ascii="Arial" w:hAnsi="Arial" w:cs="Arial"/>
        </w:rPr>
      </w:pPr>
    </w:p>
    <w:p w14:paraId="3BBFEA6F" w14:textId="77777777" w:rsidR="00081969" w:rsidRDefault="00081969" w:rsidP="0008711B">
      <w:pPr>
        <w:autoSpaceDE w:val="0"/>
        <w:autoSpaceDN w:val="0"/>
        <w:adjustRightInd w:val="0"/>
        <w:rPr>
          <w:rFonts w:ascii="Arial" w:hAnsi="Arial" w:cs="Arial"/>
        </w:rPr>
      </w:pPr>
    </w:p>
    <w:p w14:paraId="06EBC429" w14:textId="77777777" w:rsidR="00AE6148" w:rsidRDefault="00A252AF" w:rsidP="0008711B">
      <w:pPr>
        <w:autoSpaceDE w:val="0"/>
        <w:autoSpaceDN w:val="0"/>
        <w:adjustRightInd w:val="0"/>
        <w:rPr>
          <w:rFonts w:ascii="Arial" w:hAnsi="Arial" w:cs="Arial"/>
        </w:rPr>
      </w:pPr>
      <w:r w:rsidRPr="001A2CD9">
        <w:rPr>
          <w:rFonts w:ascii="Arial" w:hAnsi="Arial" w:cs="Arial"/>
        </w:rPr>
        <w:t xml:space="preserve">Table </w:t>
      </w:r>
      <w:r w:rsidR="00AE6148" w:rsidRPr="001A2CD9">
        <w:rPr>
          <w:rFonts w:ascii="Arial" w:hAnsi="Arial" w:cs="Arial"/>
        </w:rPr>
        <w:t>A14-1. Cost to the Federal Government</w:t>
      </w:r>
    </w:p>
    <w:p w14:paraId="0B6C98A6" w14:textId="77777777" w:rsidR="00A3608B" w:rsidRDefault="00A3608B" w:rsidP="0008711B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232"/>
        <w:gridCol w:w="1494"/>
      </w:tblGrid>
      <w:tr w:rsidR="00AA7C2E" w:rsidRPr="00BB7115" w14:paraId="418C1A3D" w14:textId="77777777" w:rsidTr="00743469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C4B3B" w14:textId="77777777" w:rsidR="00AA7C2E" w:rsidRPr="00BB7115" w:rsidRDefault="00AA7C2E" w:rsidP="00743469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BB7115">
              <w:rPr>
                <w:rFonts w:eastAsia="Times New Roman"/>
                <w:b/>
                <w:bCs/>
                <w:color w:val="000000"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FEC38A" w14:textId="77777777" w:rsidR="00AA7C2E" w:rsidRPr="00BB7115" w:rsidRDefault="00AA7C2E" w:rsidP="00743469">
            <w:pPr>
              <w:jc w:val="center"/>
              <w:rPr>
                <w:rFonts w:eastAsia="Calibri"/>
                <w:b/>
                <w:bCs/>
                <w:color w:val="1F497D"/>
              </w:rPr>
            </w:pPr>
          </w:p>
          <w:p w14:paraId="3EA06C4F" w14:textId="77777777" w:rsidR="00AA7C2E" w:rsidRPr="00BB7115" w:rsidRDefault="00AA7C2E" w:rsidP="00743469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BB7115">
              <w:rPr>
                <w:rFonts w:eastAsia="Times New Roman"/>
                <w:b/>
                <w:bCs/>
                <w:color w:val="000000"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67F12F" w14:textId="77777777" w:rsidR="00AA7C2E" w:rsidRPr="00BB7115" w:rsidRDefault="00AA7C2E" w:rsidP="00743469">
            <w:pPr>
              <w:jc w:val="center"/>
              <w:rPr>
                <w:rFonts w:eastAsia="Calibri"/>
                <w:b/>
                <w:bCs/>
              </w:rPr>
            </w:pPr>
            <w:r w:rsidRPr="00BB7115">
              <w:rPr>
                <w:rFonts w:eastAsia="Times New Roman"/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C73C9" w14:textId="77777777" w:rsidR="00AA7C2E" w:rsidRPr="00BB7115" w:rsidRDefault="00AA7C2E" w:rsidP="00743469">
            <w:pPr>
              <w:jc w:val="center"/>
              <w:rPr>
                <w:rFonts w:eastAsia="Calibri"/>
                <w:b/>
                <w:bCs/>
              </w:rPr>
            </w:pPr>
            <w:r w:rsidRPr="00BB7115">
              <w:rPr>
                <w:rFonts w:eastAsia="Times New Roman"/>
                <w:b/>
                <w:bCs/>
              </w:rPr>
              <w:t>% of Effort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12CC73" w14:textId="77777777" w:rsidR="00AA7C2E" w:rsidRPr="00BB7115" w:rsidRDefault="00AA7C2E" w:rsidP="00743469">
            <w:pPr>
              <w:jc w:val="center"/>
              <w:rPr>
                <w:rFonts w:eastAsia="Times New Roman"/>
                <w:b/>
                <w:bCs/>
              </w:rPr>
            </w:pPr>
            <w:r w:rsidRPr="00BB7115">
              <w:rPr>
                <w:rFonts w:eastAsia="Times New Roman"/>
                <w:b/>
                <w:bCs/>
              </w:rPr>
              <w:t>Fringe (if applicable)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3A16DF" w14:textId="77777777" w:rsidR="00AA7C2E" w:rsidRPr="00BB7115" w:rsidRDefault="00AA7C2E" w:rsidP="0074346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Total C</w:t>
            </w:r>
            <w:r w:rsidRPr="00BB7115">
              <w:rPr>
                <w:rFonts w:eastAsia="Times New Roman"/>
                <w:b/>
                <w:bCs/>
              </w:rPr>
              <w:t>ost to Gov’t</w:t>
            </w:r>
          </w:p>
        </w:tc>
      </w:tr>
      <w:tr w:rsidR="00AA7C2E" w:rsidRPr="00BB7115" w14:paraId="6EE2D2F7" w14:textId="77777777" w:rsidTr="0074346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D77CF6" w14:textId="77777777" w:rsidR="00AA7C2E" w:rsidRPr="00BB7115" w:rsidRDefault="00AA7C2E" w:rsidP="00743469">
            <w:pPr>
              <w:rPr>
                <w:rFonts w:eastAsia="Calibri"/>
                <w:b/>
                <w:color w:val="000000"/>
                <w:highlight w:val="yellow"/>
              </w:rPr>
            </w:pPr>
            <w:r w:rsidRPr="00BB7115">
              <w:rPr>
                <w:rFonts w:eastAsia="Calibri"/>
                <w:b/>
                <w:color w:val="000000"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E1CB4D" w14:textId="77777777" w:rsidR="00AA7C2E" w:rsidRPr="00FF2A5F" w:rsidRDefault="00AA7C2E" w:rsidP="00743469">
            <w:pPr>
              <w:jc w:val="right"/>
              <w:rPr>
                <w:rFonts w:eastAsia="Calibri"/>
                <w:color w:val="000000"/>
              </w:rPr>
            </w:pPr>
            <w:r w:rsidRPr="00FF2A5F">
              <w:rPr>
                <w:rFonts w:eastAsia="Calibri"/>
                <w:color w:val="000000"/>
              </w:rPr>
              <w:t>14-9</w:t>
            </w:r>
            <w:r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410BF6" w14:textId="77777777" w:rsidR="00AA7C2E" w:rsidRPr="00FF2A5F" w:rsidRDefault="00AA7C2E" w:rsidP="007434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$135,000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749EAE" w14:textId="77777777" w:rsidR="00AA7C2E" w:rsidRPr="00FF2A5F" w:rsidRDefault="00AA7C2E" w:rsidP="007434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EF8498A" w14:textId="77777777" w:rsidR="00AA7C2E" w:rsidRPr="00FF2A5F" w:rsidRDefault="00AA7C2E" w:rsidP="00743469">
            <w:pPr>
              <w:rPr>
                <w:rFonts w:eastAsia="Times New Roman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29DBD1" w14:textId="77777777" w:rsidR="00AA7C2E" w:rsidRPr="00FF2A5F" w:rsidRDefault="00AA7C2E" w:rsidP="00743469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$6,750</w:t>
            </w:r>
          </w:p>
        </w:tc>
      </w:tr>
      <w:tr w:rsidR="00AA7C2E" w:rsidRPr="00BB7115" w14:paraId="1B9FD672" w14:textId="77777777" w:rsidTr="0074346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C4391B" w14:textId="77777777" w:rsidR="00AA7C2E" w:rsidRPr="00BB7115" w:rsidRDefault="00AA7C2E" w:rsidP="00743469">
            <w:pPr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CF7F87" w14:textId="77777777" w:rsidR="00AA7C2E" w:rsidRPr="00FF2A5F" w:rsidRDefault="00AA7C2E" w:rsidP="00743469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Title 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5C12CA" w14:textId="77777777" w:rsidR="00AA7C2E" w:rsidRPr="00FF2A5F" w:rsidRDefault="00AA7C2E" w:rsidP="00743469">
            <w:pPr>
              <w:rPr>
                <w:rFonts w:eastAsia="Calibri"/>
              </w:rPr>
            </w:pPr>
            <w:r>
              <w:rPr>
                <w:rFonts w:eastAsia="Calibri"/>
              </w:rPr>
              <w:t>$153,357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49CACA" w14:textId="77777777" w:rsidR="00AA7C2E" w:rsidRPr="00FF2A5F" w:rsidRDefault="00AA7C2E" w:rsidP="00743469">
            <w:pPr>
              <w:rPr>
                <w:rFonts w:eastAsia="Calibri"/>
              </w:rPr>
            </w:pPr>
            <w:r>
              <w:rPr>
                <w:rFonts w:eastAsia="Calibri"/>
              </w:rPr>
              <w:t>5%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7F58785" w14:textId="77777777" w:rsidR="00AA7C2E" w:rsidRPr="00FF2A5F" w:rsidRDefault="00AA7C2E" w:rsidP="00743469">
            <w:pPr>
              <w:rPr>
                <w:rFonts w:eastAsia="Times New Roman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5CAE84" w14:textId="77777777" w:rsidR="00AA7C2E" w:rsidRPr="00FF2A5F" w:rsidRDefault="00AA7C2E" w:rsidP="00743469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$7,668</w:t>
            </w:r>
          </w:p>
        </w:tc>
      </w:tr>
      <w:tr w:rsidR="00AA7C2E" w:rsidRPr="00BB7115" w14:paraId="130A5D85" w14:textId="77777777" w:rsidTr="0074346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F29ABF" w14:textId="77777777" w:rsidR="00AA7C2E" w:rsidRPr="00BB7115" w:rsidRDefault="00AA7C2E" w:rsidP="00743469">
            <w:pPr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27683B" w14:textId="77777777" w:rsidR="00AA7C2E" w:rsidRPr="00FF2A5F" w:rsidRDefault="00AA7C2E" w:rsidP="00743469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CRTA Fellow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D666EA" w14:textId="77777777" w:rsidR="00AA7C2E" w:rsidRPr="00FF2A5F" w:rsidRDefault="00AA7C2E" w:rsidP="007434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$62,000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703C9" w14:textId="77777777" w:rsidR="00AA7C2E" w:rsidRPr="00FF2A5F" w:rsidRDefault="00AA7C2E" w:rsidP="00743469">
            <w:pPr>
              <w:rPr>
                <w:rFonts w:eastAsia="Calibri"/>
              </w:rPr>
            </w:pPr>
            <w:r>
              <w:rPr>
                <w:rFonts w:eastAsia="Calibri"/>
              </w:rPr>
              <w:t>50%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2991B9F" w14:textId="77777777" w:rsidR="00AA7C2E" w:rsidRPr="00FF2A5F" w:rsidRDefault="00AA7C2E" w:rsidP="00743469">
            <w:pPr>
              <w:rPr>
                <w:rFonts w:eastAsia="Times New Roman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C58849" w14:textId="77777777" w:rsidR="00AA7C2E" w:rsidRPr="00FF2A5F" w:rsidRDefault="00AA7C2E" w:rsidP="00743469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$31,000</w:t>
            </w:r>
          </w:p>
        </w:tc>
      </w:tr>
      <w:tr w:rsidR="00AA7C2E" w:rsidRPr="00BB7115" w14:paraId="57AA86F7" w14:textId="77777777" w:rsidTr="0074346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B27AAE" w14:textId="092B5A53" w:rsidR="00AA7C2E" w:rsidRPr="00BB7115" w:rsidRDefault="00AA7C2E" w:rsidP="00AA7C2E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Cost for Web Panel </w:t>
            </w:r>
            <w:r w:rsidR="00081969">
              <w:rPr>
                <w:rFonts w:eastAsia="Calibri"/>
                <w:b/>
              </w:rPr>
              <w:t>(including admin fees)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D192400" w14:textId="77777777" w:rsidR="00AA7C2E" w:rsidRPr="00FF2A5F" w:rsidRDefault="00AA7C2E" w:rsidP="00743469">
            <w:pPr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86F614" w14:textId="77777777" w:rsidR="00AA7C2E" w:rsidRPr="00FF2A5F" w:rsidRDefault="00AA7C2E" w:rsidP="00743469">
            <w:pPr>
              <w:rPr>
                <w:rFonts w:eastAsia="Calibr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9B548D" w14:textId="77777777" w:rsidR="00AA7C2E" w:rsidRPr="00FF2A5F" w:rsidRDefault="00AA7C2E" w:rsidP="00743469">
            <w:pPr>
              <w:rPr>
                <w:rFonts w:eastAsia="Calibri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E0785A7" w14:textId="77777777" w:rsidR="00AA7C2E" w:rsidRPr="00FF2A5F" w:rsidRDefault="00AA7C2E" w:rsidP="00743469">
            <w:pPr>
              <w:rPr>
                <w:rFonts w:eastAsia="Calibri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9F4F1C" w14:textId="5980AEA2" w:rsidR="00AA7C2E" w:rsidRPr="00FF2A5F" w:rsidRDefault="00AA7C2E" w:rsidP="00743469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$4,000 </w:t>
            </w:r>
          </w:p>
        </w:tc>
      </w:tr>
      <w:tr w:rsidR="00AA7C2E" w:rsidRPr="00BB7115" w14:paraId="2BB48002" w14:textId="77777777" w:rsidTr="0074346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088880" w14:textId="77777777" w:rsidR="00AA7C2E" w:rsidRPr="00BB7115" w:rsidRDefault="00AA7C2E" w:rsidP="00743469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669627B" w14:textId="77777777" w:rsidR="00AA7C2E" w:rsidRPr="00FF2A5F" w:rsidRDefault="00AA7C2E" w:rsidP="00743469">
            <w:pPr>
              <w:jc w:val="right"/>
              <w:rPr>
                <w:rFonts w:eastAsia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F3C333" w14:textId="77777777" w:rsidR="00AA7C2E" w:rsidRPr="00FF2A5F" w:rsidRDefault="00AA7C2E" w:rsidP="00743469">
            <w:pPr>
              <w:rPr>
                <w:rFonts w:eastAsia="Times New Roman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94766A" w14:textId="77777777" w:rsidR="00AA7C2E" w:rsidRPr="00FF2A5F" w:rsidRDefault="00AA7C2E" w:rsidP="00743469">
            <w:pPr>
              <w:rPr>
                <w:rFonts w:eastAsia="Calibri"/>
                <w:b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F8F6FC9" w14:textId="77777777" w:rsidR="00AA7C2E" w:rsidRPr="00FF2A5F" w:rsidRDefault="00AA7C2E" w:rsidP="00743469">
            <w:pPr>
              <w:rPr>
                <w:rFonts w:eastAsia="Times New Roman"/>
                <w:b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C06375" w14:textId="1E274723" w:rsidR="00AA7C2E" w:rsidRPr="00FF2A5F" w:rsidRDefault="00AA7C2E" w:rsidP="00743469">
            <w:pPr>
              <w:jc w:val="righ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$49,418</w:t>
            </w:r>
          </w:p>
        </w:tc>
      </w:tr>
    </w:tbl>
    <w:p w14:paraId="322F7A7B" w14:textId="77777777" w:rsidR="00A3608B" w:rsidRDefault="00A3608B" w:rsidP="002B33DA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14:paraId="627A96D9" w14:textId="77777777" w:rsidR="0008711B" w:rsidRPr="001A2CD9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1A2CD9">
        <w:rPr>
          <w:rFonts w:ascii="Arial" w:hAnsi="Arial" w:cs="Arial"/>
          <w:b/>
        </w:rPr>
        <w:t>A15. Explanation for Program Changes or Adjustments</w:t>
      </w:r>
      <w:bookmarkEnd w:id="15"/>
    </w:p>
    <w:p w14:paraId="5644A1A7" w14:textId="140F7DC0" w:rsidR="00605F68" w:rsidRDefault="00F132D3" w:rsidP="00372C7C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bookmarkStart w:id="16" w:name="_Toc230515993"/>
      <w:r w:rsidRPr="009D02C1">
        <w:t xml:space="preserve">This is a </w:t>
      </w:r>
      <w:r w:rsidR="002B33DA">
        <w:t>sub-study</w:t>
      </w:r>
      <w:r w:rsidRPr="009D02C1">
        <w:t>.</w:t>
      </w:r>
    </w:p>
    <w:p w14:paraId="21FA6B5F" w14:textId="77777777" w:rsidR="00605F68" w:rsidRDefault="00605F68" w:rsidP="00372C7C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14:paraId="07C8A685" w14:textId="38B872DD" w:rsidR="00816E16" w:rsidRPr="003E1425" w:rsidRDefault="003444D1" w:rsidP="00372C7C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08711B" w:rsidRPr="001A2CD9">
        <w:rPr>
          <w:rFonts w:ascii="Arial" w:hAnsi="Arial" w:cs="Arial"/>
          <w:b/>
        </w:rPr>
        <w:t>6. Plans for Tabulation and Publication and Project Time Schedule</w:t>
      </w:r>
      <w:bookmarkEnd w:id="16"/>
    </w:p>
    <w:p w14:paraId="37A8EDD8" w14:textId="77777777" w:rsidR="002B33DA" w:rsidRPr="00E17EEC" w:rsidRDefault="002B33DA" w:rsidP="002B33DA">
      <w:pPr>
        <w:spacing w:line="240" w:lineRule="atLeast"/>
        <w:jc w:val="both"/>
      </w:pPr>
      <w:r w:rsidRPr="00E17EEC">
        <w:lastRenderedPageBreak/>
        <w:t xml:space="preserve">Descriptive statistics will first be conducted to examine the </w:t>
      </w:r>
      <w:r>
        <w:t>distribution of scores for all modules.</w:t>
      </w:r>
    </w:p>
    <w:p w14:paraId="66B953C7" w14:textId="77777777" w:rsidR="002B33DA" w:rsidRPr="00E17EEC" w:rsidRDefault="002B33DA" w:rsidP="002B33DA">
      <w:pPr>
        <w:spacing w:line="240" w:lineRule="atLeast"/>
        <w:jc w:val="both"/>
      </w:pPr>
    </w:p>
    <w:p w14:paraId="6ECFF11A" w14:textId="77777777" w:rsidR="002B33DA" w:rsidRDefault="002B33DA" w:rsidP="002B33DA">
      <w:pPr>
        <w:spacing w:line="240" w:lineRule="atLeast"/>
        <w:jc w:val="both"/>
      </w:pPr>
      <w:r w:rsidRPr="00E17EEC">
        <w:t xml:space="preserve">Second, </w:t>
      </w:r>
      <w:r>
        <w:t xml:space="preserve">as part of formative research, we will conduct independent samples t-tests to determine if the order of questions between the two experimental conditions influenced responses. </w:t>
      </w:r>
    </w:p>
    <w:p w14:paraId="3A615D4B" w14:textId="77777777" w:rsidR="002B33DA" w:rsidRDefault="002B33DA" w:rsidP="002B33DA">
      <w:pPr>
        <w:spacing w:line="240" w:lineRule="atLeast"/>
        <w:jc w:val="both"/>
      </w:pPr>
    </w:p>
    <w:p w14:paraId="4444E0FC" w14:textId="77777777" w:rsidR="002B33DA" w:rsidRDefault="002B33DA" w:rsidP="002B33DA">
      <w:pPr>
        <w:spacing w:line="240" w:lineRule="atLeast"/>
        <w:jc w:val="both"/>
      </w:pPr>
      <w:r>
        <w:t xml:space="preserve">Third, as part of formative research, we will analyze responses to the cognitive probes which will help us determine how items are functioning within the modules. </w:t>
      </w:r>
    </w:p>
    <w:p w14:paraId="2177FC1D" w14:textId="77777777" w:rsidR="002B33DA" w:rsidRDefault="002B33DA" w:rsidP="002B33DA">
      <w:pPr>
        <w:spacing w:line="240" w:lineRule="atLeast"/>
        <w:jc w:val="both"/>
      </w:pPr>
    </w:p>
    <w:p w14:paraId="130FB2D7" w14:textId="77777777" w:rsidR="002B33DA" w:rsidRPr="002B62D7" w:rsidRDefault="002B33DA" w:rsidP="002B33DA">
      <w:pPr>
        <w:autoSpaceDE w:val="0"/>
        <w:autoSpaceDN w:val="0"/>
        <w:adjustRightInd w:val="0"/>
        <w:outlineLvl w:val="0"/>
      </w:pPr>
      <w:r>
        <w:t xml:space="preserve">No statistical point estimates for the U.S. population (or walking or of any other behavior) will be produced, or published, based on this information collection. </w:t>
      </w:r>
      <w:r w:rsidRPr="009D02C1">
        <w:t>The results of this</w:t>
      </w:r>
      <w:r>
        <w:t xml:space="preserve"> methodological</w:t>
      </w:r>
      <w:r w:rsidRPr="009D02C1">
        <w:t xml:space="preserve"> study may be combined and published with the conclusions drawn from previously approved studies relating instrumentation reliability and order effects.</w:t>
      </w:r>
      <w:r>
        <w:t xml:space="preserve">  </w:t>
      </w:r>
      <w:r w:rsidRPr="009D02C1">
        <w:t>Outcomes of this study will</w:t>
      </w:r>
      <w:r>
        <w:t xml:space="preserve"> also </w:t>
      </w:r>
      <w:r w:rsidRPr="009D02C1">
        <w:t>be used to</w:t>
      </w:r>
      <w:r>
        <w:t xml:space="preserve"> inform future tool development.</w:t>
      </w:r>
    </w:p>
    <w:p w14:paraId="5C4C8E76" w14:textId="77777777" w:rsidR="003444D1" w:rsidRDefault="003444D1" w:rsidP="00816E16">
      <w:pPr>
        <w:autoSpaceDE w:val="0"/>
        <w:autoSpaceDN w:val="0"/>
        <w:adjustRightInd w:val="0"/>
        <w:outlineLvl w:val="0"/>
      </w:pPr>
    </w:p>
    <w:p w14:paraId="00023317" w14:textId="77777777" w:rsidR="00BF7E67" w:rsidRDefault="00816E16" w:rsidP="00816E16">
      <w:pPr>
        <w:autoSpaceDE w:val="0"/>
        <w:autoSpaceDN w:val="0"/>
        <w:adjustRightInd w:val="0"/>
        <w:outlineLvl w:val="0"/>
      </w:pPr>
      <w:r w:rsidRPr="00816E16">
        <w:t>The project time schedule is outlined in Table A16-1.</w:t>
      </w:r>
      <w:r>
        <w:t xml:space="preserve"> Please see below.</w:t>
      </w:r>
    </w:p>
    <w:p w14:paraId="6F6EB43F" w14:textId="77777777" w:rsidR="00BF7E67" w:rsidRDefault="00BF7E67" w:rsidP="00816E16">
      <w:pPr>
        <w:autoSpaceDE w:val="0"/>
        <w:autoSpaceDN w:val="0"/>
        <w:adjustRightInd w:val="0"/>
        <w:outlineLvl w:val="0"/>
      </w:pPr>
    </w:p>
    <w:p w14:paraId="0505CC41" w14:textId="77777777" w:rsidR="00816E16" w:rsidRPr="003E1425" w:rsidRDefault="00816E16" w:rsidP="00816E16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3E1425">
        <w:rPr>
          <w:rFonts w:ascii="Arial" w:hAnsi="Arial" w:cs="Arial"/>
        </w:rPr>
        <w:t>Table A16-1. Project Time Schedule</w:t>
      </w:r>
    </w:p>
    <w:p w14:paraId="4A798226" w14:textId="77777777" w:rsidR="00816E16" w:rsidRDefault="00816E16" w:rsidP="00A26290">
      <w:pPr>
        <w:spacing w:line="240" w:lineRule="atLeast"/>
        <w:jc w:val="both"/>
        <w:rPr>
          <w:b/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53"/>
        <w:gridCol w:w="3697"/>
      </w:tblGrid>
      <w:tr w:rsidR="00816E16" w:rsidRPr="003E0A6C" w14:paraId="3D363772" w14:textId="77777777" w:rsidTr="00867134">
        <w:trPr>
          <w:cantSplit/>
          <w:trHeight w:val="300"/>
        </w:trPr>
        <w:tc>
          <w:tcPr>
            <w:tcW w:w="3023" w:type="pct"/>
            <w:shd w:val="clear" w:color="auto" w:fill="auto"/>
            <w:vAlign w:val="bottom"/>
          </w:tcPr>
          <w:p w14:paraId="3282CFE9" w14:textId="77777777" w:rsidR="00816E16" w:rsidRPr="00A26290" w:rsidRDefault="00816E16" w:rsidP="0086713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26290">
              <w:rPr>
                <w:rFonts w:ascii="Arial" w:hAnsi="Arial" w:cs="Arial"/>
                <w:b/>
                <w:color w:val="000000"/>
              </w:rPr>
              <w:t>Activity</w:t>
            </w:r>
          </w:p>
        </w:tc>
        <w:tc>
          <w:tcPr>
            <w:tcW w:w="1977" w:type="pct"/>
            <w:vAlign w:val="center"/>
          </w:tcPr>
          <w:p w14:paraId="5F6EEAE5" w14:textId="77777777" w:rsidR="00816E16" w:rsidRPr="00A26290" w:rsidRDefault="00816E16" w:rsidP="0086713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26290">
              <w:rPr>
                <w:rFonts w:ascii="Arial" w:hAnsi="Arial" w:cs="Arial"/>
                <w:b/>
                <w:color w:val="000000"/>
              </w:rPr>
              <w:t>Months after OMB Approval</w:t>
            </w:r>
          </w:p>
        </w:tc>
      </w:tr>
      <w:tr w:rsidR="00816E16" w:rsidRPr="003E0A6C" w14:paraId="2371E8F1" w14:textId="77777777" w:rsidTr="00867134">
        <w:trPr>
          <w:cantSplit/>
          <w:trHeight w:val="300"/>
        </w:trPr>
        <w:tc>
          <w:tcPr>
            <w:tcW w:w="3023" w:type="pct"/>
            <w:shd w:val="clear" w:color="auto" w:fill="auto"/>
            <w:vAlign w:val="bottom"/>
          </w:tcPr>
          <w:p w14:paraId="63F9EB9A" w14:textId="77777777" w:rsidR="00816E16" w:rsidRPr="00BF5423" w:rsidRDefault="00816E16" w:rsidP="00867134">
            <w:pPr>
              <w:rPr>
                <w:rFonts w:ascii="Arial" w:hAnsi="Arial" w:cs="Arial"/>
                <w:color w:val="000000"/>
              </w:rPr>
            </w:pPr>
            <w:r w:rsidRPr="00BF5423">
              <w:rPr>
                <w:rFonts w:ascii="Arial" w:hAnsi="Arial" w:cs="Arial"/>
                <w:color w:val="000000"/>
              </w:rPr>
              <w:t xml:space="preserve">Post </w:t>
            </w:r>
            <w:r>
              <w:rPr>
                <w:rFonts w:ascii="Arial" w:hAnsi="Arial" w:cs="Arial"/>
                <w:color w:val="000000"/>
              </w:rPr>
              <w:t>modules on mTurk</w:t>
            </w:r>
            <w:r w:rsidRPr="00BF5423">
              <w:rPr>
                <w:rFonts w:ascii="Arial" w:hAnsi="Arial" w:cs="Arial"/>
                <w:color w:val="000000"/>
              </w:rPr>
              <w:t xml:space="preserve"> (collect information)</w:t>
            </w:r>
          </w:p>
        </w:tc>
        <w:tc>
          <w:tcPr>
            <w:tcW w:w="1977" w:type="pct"/>
            <w:vAlign w:val="center"/>
          </w:tcPr>
          <w:p w14:paraId="05D04EF6" w14:textId="77777777" w:rsidR="00816E16" w:rsidRPr="00BF5423" w:rsidRDefault="00816E16" w:rsidP="00867134">
            <w:pPr>
              <w:jc w:val="center"/>
              <w:rPr>
                <w:rFonts w:ascii="Arial" w:hAnsi="Arial" w:cs="Arial"/>
                <w:color w:val="000000"/>
              </w:rPr>
            </w:pPr>
            <w:r w:rsidRPr="00BF5423">
              <w:rPr>
                <w:rFonts w:ascii="Arial" w:hAnsi="Arial" w:cs="Arial"/>
                <w:color w:val="000000"/>
              </w:rPr>
              <w:t xml:space="preserve">0 – </w:t>
            </w: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816E16" w:rsidRPr="003E0A6C" w14:paraId="4420437F" w14:textId="77777777" w:rsidTr="00867134">
        <w:trPr>
          <w:cantSplit/>
          <w:trHeight w:val="300"/>
        </w:trPr>
        <w:tc>
          <w:tcPr>
            <w:tcW w:w="3023" w:type="pct"/>
            <w:shd w:val="clear" w:color="auto" w:fill="auto"/>
            <w:vAlign w:val="bottom"/>
          </w:tcPr>
          <w:p w14:paraId="64023A85" w14:textId="77777777" w:rsidR="00816E16" w:rsidRPr="00BF5423" w:rsidRDefault="00816E16" w:rsidP="0086713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Information collection period</w:t>
            </w:r>
          </w:p>
        </w:tc>
        <w:tc>
          <w:tcPr>
            <w:tcW w:w="1977" w:type="pct"/>
            <w:vAlign w:val="center"/>
          </w:tcPr>
          <w:p w14:paraId="448BD968" w14:textId="77777777" w:rsidR="00816E16" w:rsidRPr="00BF5423" w:rsidRDefault="00816E16" w:rsidP="0086713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Pr="00BF5423">
              <w:rPr>
                <w:rFonts w:ascii="Arial" w:hAnsi="Arial" w:cs="Arial"/>
                <w:color w:val="000000"/>
              </w:rPr>
              <w:t xml:space="preserve"> -</w:t>
            </w:r>
            <w:r>
              <w:rPr>
                <w:rFonts w:ascii="Arial" w:hAnsi="Arial" w:cs="Arial"/>
                <w:color w:val="000000"/>
              </w:rPr>
              <w:t xml:space="preserve"> 3</w:t>
            </w:r>
          </w:p>
        </w:tc>
      </w:tr>
      <w:tr w:rsidR="00816E16" w:rsidRPr="003E0A6C" w14:paraId="31FF17AA" w14:textId="77777777" w:rsidTr="00867134">
        <w:trPr>
          <w:cantSplit/>
          <w:trHeight w:val="300"/>
        </w:trPr>
        <w:tc>
          <w:tcPr>
            <w:tcW w:w="3023" w:type="pct"/>
            <w:shd w:val="clear" w:color="auto" w:fill="auto"/>
            <w:vAlign w:val="bottom"/>
          </w:tcPr>
          <w:p w14:paraId="24CA3B60" w14:textId="77777777" w:rsidR="00816E16" w:rsidRPr="00BF5423" w:rsidRDefault="00816E16" w:rsidP="0086713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Clean and analyze information</w:t>
            </w:r>
          </w:p>
        </w:tc>
        <w:tc>
          <w:tcPr>
            <w:tcW w:w="1977" w:type="pct"/>
            <w:vAlign w:val="center"/>
          </w:tcPr>
          <w:p w14:paraId="7D549C5A" w14:textId="77777777" w:rsidR="00816E16" w:rsidRPr="00BF5423" w:rsidRDefault="00816E16" w:rsidP="0086713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– 7</w:t>
            </w:r>
          </w:p>
        </w:tc>
      </w:tr>
      <w:tr w:rsidR="00816E16" w:rsidRPr="003E0A6C" w14:paraId="1D651359" w14:textId="77777777" w:rsidTr="00867134">
        <w:trPr>
          <w:cantSplit/>
          <w:trHeight w:val="300"/>
        </w:trPr>
        <w:tc>
          <w:tcPr>
            <w:tcW w:w="3023" w:type="pct"/>
            <w:shd w:val="clear" w:color="auto" w:fill="auto"/>
            <w:vAlign w:val="bottom"/>
          </w:tcPr>
          <w:p w14:paraId="223BAF0C" w14:textId="77777777" w:rsidR="00816E16" w:rsidRPr="00BF5423" w:rsidRDefault="00C07965" w:rsidP="0086713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Interpret and s</w:t>
            </w:r>
            <w:r w:rsidR="00E742AB">
              <w:rPr>
                <w:rFonts w:ascii="Arial" w:hAnsi="Arial" w:cs="Arial"/>
                <w:color w:val="000000"/>
              </w:rPr>
              <w:t>ummarize information</w:t>
            </w:r>
          </w:p>
        </w:tc>
        <w:tc>
          <w:tcPr>
            <w:tcW w:w="1977" w:type="pct"/>
            <w:vAlign w:val="center"/>
          </w:tcPr>
          <w:p w14:paraId="66B7347A" w14:textId="77777777" w:rsidR="00816E16" w:rsidRPr="00BF5423" w:rsidRDefault="00816E16" w:rsidP="0086713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– 11</w:t>
            </w:r>
          </w:p>
        </w:tc>
      </w:tr>
      <w:tr w:rsidR="00816E16" w:rsidRPr="003E0A6C" w14:paraId="1A388617" w14:textId="77777777" w:rsidTr="00867134">
        <w:trPr>
          <w:cantSplit/>
          <w:trHeight w:val="300"/>
        </w:trPr>
        <w:tc>
          <w:tcPr>
            <w:tcW w:w="3023" w:type="pct"/>
            <w:shd w:val="clear" w:color="auto" w:fill="auto"/>
            <w:vAlign w:val="bottom"/>
          </w:tcPr>
          <w:p w14:paraId="49A40DCE" w14:textId="77777777" w:rsidR="00816E16" w:rsidRPr="00BF5423" w:rsidRDefault="00E742AB" w:rsidP="0086713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Write report</w:t>
            </w:r>
          </w:p>
        </w:tc>
        <w:tc>
          <w:tcPr>
            <w:tcW w:w="1977" w:type="pct"/>
            <w:vAlign w:val="center"/>
          </w:tcPr>
          <w:p w14:paraId="35B274D3" w14:textId="77777777" w:rsidR="00816E16" w:rsidRPr="00BF5423" w:rsidRDefault="00816E16" w:rsidP="0086713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</w:tbl>
    <w:p w14:paraId="057CE61E" w14:textId="77777777" w:rsidR="00816E16" w:rsidRDefault="00816E16" w:rsidP="00816E16">
      <w:pPr>
        <w:spacing w:line="240" w:lineRule="atLeast"/>
        <w:jc w:val="both"/>
        <w:rPr>
          <w:b/>
          <w:color w:val="FF0000"/>
          <w:sz w:val="20"/>
          <w:szCs w:val="20"/>
        </w:rPr>
      </w:pPr>
    </w:p>
    <w:p w14:paraId="2394C47F" w14:textId="77777777" w:rsidR="005B3CF2" w:rsidRDefault="005B3CF2" w:rsidP="005B3CF2">
      <w:pPr>
        <w:spacing w:line="240" w:lineRule="atLeast"/>
        <w:jc w:val="both"/>
        <w:rPr>
          <w:b/>
          <w:color w:val="FF0000"/>
          <w:sz w:val="20"/>
          <w:szCs w:val="20"/>
        </w:rPr>
      </w:pPr>
    </w:p>
    <w:p w14:paraId="4CAF1C1D" w14:textId="732E77B0" w:rsidR="0037000D" w:rsidRDefault="0037000D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bookmarkStart w:id="17" w:name="_Toc230515994"/>
    </w:p>
    <w:p w14:paraId="74D65FF2" w14:textId="77777777" w:rsidR="0008711B" w:rsidRPr="001A2CD9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1A2CD9">
        <w:rPr>
          <w:rFonts w:ascii="Arial" w:hAnsi="Arial" w:cs="Arial"/>
          <w:b/>
        </w:rPr>
        <w:t>A17. Reason(s) Display of OMB Expiration Date Is Inappropriate</w:t>
      </w:r>
      <w:bookmarkEnd w:id="17"/>
    </w:p>
    <w:p w14:paraId="5F2BB7D4" w14:textId="77777777" w:rsidR="000852A2" w:rsidRPr="009D02C1" w:rsidRDefault="00020C16" w:rsidP="00EA275F">
      <w:pPr>
        <w:autoSpaceDE w:val="0"/>
        <w:autoSpaceDN w:val="0"/>
        <w:adjustRightInd w:val="0"/>
      </w:pPr>
      <w:r w:rsidRPr="009D02C1">
        <w:t xml:space="preserve">We are not requesting exemption from the display of the OMB expiration date. </w:t>
      </w:r>
      <w:bookmarkStart w:id="18" w:name="_Toc230515995"/>
    </w:p>
    <w:p w14:paraId="2B383607" w14:textId="77777777" w:rsidR="00CB1B8A" w:rsidRDefault="00CB1B8A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</w:p>
    <w:p w14:paraId="267D879B" w14:textId="77777777" w:rsidR="0008711B" w:rsidRPr="001A2CD9" w:rsidRDefault="0008711B" w:rsidP="0008711B">
      <w:pPr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1A2CD9">
        <w:rPr>
          <w:rFonts w:ascii="Arial" w:hAnsi="Arial" w:cs="Arial"/>
          <w:b/>
        </w:rPr>
        <w:t>A18. Exceptions to Certification for Paperwork Reduction Act Submissions</w:t>
      </w:r>
      <w:bookmarkEnd w:id="18"/>
    </w:p>
    <w:p w14:paraId="38C80FB7" w14:textId="77777777" w:rsidR="00020C16" w:rsidRPr="009D02C1" w:rsidRDefault="00020C16" w:rsidP="0008711B">
      <w:pPr>
        <w:autoSpaceDE w:val="0"/>
        <w:autoSpaceDN w:val="0"/>
        <w:adjustRightInd w:val="0"/>
        <w:rPr>
          <w:color w:val="000000"/>
        </w:rPr>
      </w:pPr>
      <w:r w:rsidRPr="009D02C1">
        <w:rPr>
          <w:color w:val="000000"/>
        </w:rPr>
        <w:t>This information collection will comply with the requirements in 5 CFR 1320.9.</w:t>
      </w:r>
    </w:p>
    <w:p w14:paraId="6E0FA11D" w14:textId="77777777" w:rsidR="004C5DB5" w:rsidRDefault="004C5DB5" w:rsidP="0008711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8A4DA3B" w14:textId="77777777" w:rsidR="004C5DB5" w:rsidRDefault="004C5DB5" w:rsidP="0008711B">
      <w:pPr>
        <w:autoSpaceDE w:val="0"/>
        <w:autoSpaceDN w:val="0"/>
        <w:adjustRightInd w:val="0"/>
        <w:rPr>
          <w:sz w:val="20"/>
          <w:szCs w:val="20"/>
        </w:rPr>
      </w:pPr>
    </w:p>
    <w:p w14:paraId="1754FDA6" w14:textId="77777777" w:rsidR="005C4AA5" w:rsidRDefault="005C4AA5" w:rsidP="0008711B">
      <w:pPr>
        <w:autoSpaceDE w:val="0"/>
        <w:autoSpaceDN w:val="0"/>
        <w:adjustRightInd w:val="0"/>
        <w:rPr>
          <w:sz w:val="20"/>
          <w:szCs w:val="20"/>
        </w:rPr>
      </w:pPr>
    </w:p>
    <w:p w14:paraId="32939894" w14:textId="77777777" w:rsidR="007272B7" w:rsidRDefault="007272B7" w:rsidP="00434418">
      <w:pPr>
        <w:widowControl w:val="0"/>
        <w:autoSpaceDE w:val="0"/>
        <w:autoSpaceDN w:val="0"/>
        <w:adjustRightInd w:val="0"/>
        <w:spacing w:line="220" w:lineRule="exact"/>
        <w:rPr>
          <w:rFonts w:eastAsia="Times New Roman"/>
        </w:rPr>
      </w:pPr>
    </w:p>
    <w:p w14:paraId="63514659" w14:textId="77777777" w:rsidR="004C5DB5" w:rsidRPr="00492899" w:rsidRDefault="004C5DB5" w:rsidP="0008711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4C5DB5" w:rsidRPr="00492899" w:rsidSect="005775CE"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054D5" w14:textId="77777777" w:rsidR="009323A3" w:rsidRDefault="009323A3">
      <w:r>
        <w:separator/>
      </w:r>
    </w:p>
  </w:endnote>
  <w:endnote w:type="continuationSeparator" w:id="0">
    <w:p w14:paraId="39D8B8C7" w14:textId="77777777" w:rsidR="009323A3" w:rsidRDefault="0093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FDC59" w14:textId="77777777" w:rsidR="0042303C" w:rsidRDefault="0042303C" w:rsidP="000871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153D4A" w14:textId="77777777" w:rsidR="0042303C" w:rsidRDefault="00423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DDAF8" w14:textId="60630485" w:rsidR="0042303C" w:rsidRPr="0001774B" w:rsidRDefault="00081969" w:rsidP="00081969">
    <w:pPr>
      <w:pStyle w:val="Footer"/>
      <w:framePr w:w="10261" w:wrap="around" w:vAnchor="text" w:hAnchor="page" w:x="721" w:y="22"/>
      <w:jc w:val="center"/>
      <w:rPr>
        <w:rStyle w:val="PageNumber"/>
        <w:rFonts w:ascii="Arial" w:hAnsi="Arial"/>
        <w:sz w:val="20"/>
        <w:szCs w:val="20"/>
      </w:rPr>
    </w:pPr>
    <w:r w:rsidRPr="00081969">
      <w:rPr>
        <w:rStyle w:val="PageNumber"/>
        <w:color w:val="000000"/>
        <w:sz w:val="20"/>
        <w:szCs w:val="20"/>
      </w:rPr>
      <w:t>Formative Research to Investigate a Web Panel and to Determine Feasibility of Web-Based Cognitive Pretesting</w:t>
    </w:r>
    <w:r w:rsidR="0001774B" w:rsidRPr="0001774B">
      <w:rPr>
        <w:rStyle w:val="PageNumber"/>
        <w:sz w:val="20"/>
        <w:szCs w:val="20"/>
      </w:rPr>
      <w:t xml:space="preserve">– Page </w:t>
    </w:r>
    <w:r w:rsidR="0042303C" w:rsidRPr="0001774B">
      <w:rPr>
        <w:rStyle w:val="PageNumber"/>
        <w:sz w:val="20"/>
        <w:szCs w:val="20"/>
      </w:rPr>
      <w:fldChar w:fldCharType="begin"/>
    </w:r>
    <w:r w:rsidR="0042303C" w:rsidRPr="0001774B">
      <w:rPr>
        <w:rStyle w:val="PageNumber"/>
        <w:sz w:val="20"/>
        <w:szCs w:val="20"/>
      </w:rPr>
      <w:instrText xml:space="preserve">PAGE  </w:instrText>
    </w:r>
    <w:r w:rsidR="0042303C" w:rsidRPr="0001774B">
      <w:rPr>
        <w:rStyle w:val="PageNumber"/>
        <w:sz w:val="20"/>
        <w:szCs w:val="20"/>
      </w:rPr>
      <w:fldChar w:fldCharType="separate"/>
    </w:r>
    <w:r w:rsidR="00B133C9">
      <w:rPr>
        <w:rStyle w:val="PageNumber"/>
        <w:noProof/>
        <w:sz w:val="20"/>
        <w:szCs w:val="20"/>
      </w:rPr>
      <w:t>5</w:t>
    </w:r>
    <w:r w:rsidR="0042303C" w:rsidRPr="0001774B">
      <w:rPr>
        <w:rStyle w:val="PageNumber"/>
        <w:sz w:val="20"/>
        <w:szCs w:val="20"/>
      </w:rPr>
      <w:fldChar w:fldCharType="end"/>
    </w:r>
  </w:p>
  <w:p w14:paraId="40E60BF9" w14:textId="77777777" w:rsidR="0042303C" w:rsidRDefault="00423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87DF1" w14:textId="77777777" w:rsidR="009323A3" w:rsidRDefault="009323A3">
      <w:r>
        <w:separator/>
      </w:r>
    </w:p>
  </w:footnote>
  <w:footnote w:type="continuationSeparator" w:id="0">
    <w:p w14:paraId="1D60658B" w14:textId="77777777" w:rsidR="009323A3" w:rsidRDefault="00932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01"/>
    <w:multiLevelType w:val="hybridMultilevel"/>
    <w:tmpl w:val="5E6261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A573E"/>
    <w:multiLevelType w:val="hybridMultilevel"/>
    <w:tmpl w:val="3E722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0E91"/>
    <w:multiLevelType w:val="hybridMultilevel"/>
    <w:tmpl w:val="D938E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C1D14"/>
    <w:multiLevelType w:val="hybridMultilevel"/>
    <w:tmpl w:val="7DA00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13062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1C884841"/>
    <w:multiLevelType w:val="hybridMultilevel"/>
    <w:tmpl w:val="74CAF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50F93"/>
    <w:multiLevelType w:val="hybridMultilevel"/>
    <w:tmpl w:val="2E88A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C6F67"/>
    <w:multiLevelType w:val="hybridMultilevel"/>
    <w:tmpl w:val="3E2EE4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B3284"/>
    <w:multiLevelType w:val="hybridMultilevel"/>
    <w:tmpl w:val="53DC9E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D4652"/>
    <w:multiLevelType w:val="hybridMultilevel"/>
    <w:tmpl w:val="06182F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1562"/>
    <w:multiLevelType w:val="hybridMultilevel"/>
    <w:tmpl w:val="F24AB1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FC2D58"/>
    <w:multiLevelType w:val="hybridMultilevel"/>
    <w:tmpl w:val="7D12B9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246B3"/>
    <w:multiLevelType w:val="hybridMultilevel"/>
    <w:tmpl w:val="0DF49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17072"/>
    <w:multiLevelType w:val="hybridMultilevel"/>
    <w:tmpl w:val="EDCAFD0A"/>
    <w:lvl w:ilvl="0" w:tplc="55F4D6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467E80"/>
    <w:multiLevelType w:val="hybridMultilevel"/>
    <w:tmpl w:val="78443E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1193B"/>
    <w:multiLevelType w:val="hybridMultilevel"/>
    <w:tmpl w:val="83CCB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A13E3"/>
    <w:multiLevelType w:val="hybridMultilevel"/>
    <w:tmpl w:val="3A9613D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43BB2F00"/>
    <w:multiLevelType w:val="hybridMultilevel"/>
    <w:tmpl w:val="A008F5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446DD"/>
    <w:multiLevelType w:val="hybridMultilevel"/>
    <w:tmpl w:val="81A2BA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7462D7"/>
    <w:multiLevelType w:val="hybridMultilevel"/>
    <w:tmpl w:val="452282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1A2907"/>
    <w:multiLevelType w:val="hybridMultilevel"/>
    <w:tmpl w:val="3988777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C5518C"/>
    <w:multiLevelType w:val="hybridMultilevel"/>
    <w:tmpl w:val="C43A7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94B5F"/>
    <w:multiLevelType w:val="hybridMultilevel"/>
    <w:tmpl w:val="EEEED1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D29CF"/>
    <w:multiLevelType w:val="hybridMultilevel"/>
    <w:tmpl w:val="6414E6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817B4"/>
    <w:multiLevelType w:val="hybridMultilevel"/>
    <w:tmpl w:val="9F3AF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C4341"/>
    <w:multiLevelType w:val="hybridMultilevel"/>
    <w:tmpl w:val="C2C82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B56EE"/>
    <w:multiLevelType w:val="hybridMultilevel"/>
    <w:tmpl w:val="727675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2472EC"/>
    <w:multiLevelType w:val="hybridMultilevel"/>
    <w:tmpl w:val="FFE0C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27D8C"/>
    <w:multiLevelType w:val="hybridMultilevel"/>
    <w:tmpl w:val="5FEEC8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B1979"/>
    <w:multiLevelType w:val="hybridMultilevel"/>
    <w:tmpl w:val="C374B1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948C1"/>
    <w:multiLevelType w:val="hybridMultilevel"/>
    <w:tmpl w:val="C93E0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C4D91"/>
    <w:multiLevelType w:val="hybridMultilevel"/>
    <w:tmpl w:val="5BB80F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584112"/>
    <w:multiLevelType w:val="hybridMultilevel"/>
    <w:tmpl w:val="8DAA4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E3E0F"/>
    <w:multiLevelType w:val="hybridMultilevel"/>
    <w:tmpl w:val="1BC809D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67359C"/>
    <w:multiLevelType w:val="hybridMultilevel"/>
    <w:tmpl w:val="22963274"/>
    <w:lvl w:ilvl="0" w:tplc="5948A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7F6272"/>
    <w:multiLevelType w:val="hybridMultilevel"/>
    <w:tmpl w:val="12E4FC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263B5"/>
    <w:multiLevelType w:val="hybridMultilevel"/>
    <w:tmpl w:val="38B25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15"/>
  </w:num>
  <w:num w:numId="4">
    <w:abstractNumId w:val="20"/>
  </w:num>
  <w:num w:numId="5">
    <w:abstractNumId w:val="2"/>
  </w:num>
  <w:num w:numId="6">
    <w:abstractNumId w:val="14"/>
  </w:num>
  <w:num w:numId="7">
    <w:abstractNumId w:val="30"/>
  </w:num>
  <w:num w:numId="8">
    <w:abstractNumId w:val="36"/>
  </w:num>
  <w:num w:numId="9">
    <w:abstractNumId w:val="32"/>
  </w:num>
  <w:num w:numId="10">
    <w:abstractNumId w:val="12"/>
  </w:num>
  <w:num w:numId="11">
    <w:abstractNumId w:val="27"/>
  </w:num>
  <w:num w:numId="12">
    <w:abstractNumId w:val="10"/>
  </w:num>
  <w:num w:numId="13">
    <w:abstractNumId w:val="6"/>
  </w:num>
  <w:num w:numId="14">
    <w:abstractNumId w:val="16"/>
  </w:num>
  <w:num w:numId="15">
    <w:abstractNumId w:val="31"/>
  </w:num>
  <w:num w:numId="16">
    <w:abstractNumId w:val="13"/>
  </w:num>
  <w:num w:numId="17">
    <w:abstractNumId w:val="25"/>
  </w:num>
  <w:num w:numId="18">
    <w:abstractNumId w:val="19"/>
  </w:num>
  <w:num w:numId="19">
    <w:abstractNumId w:val="3"/>
  </w:num>
  <w:num w:numId="20">
    <w:abstractNumId w:val="24"/>
  </w:num>
  <w:num w:numId="21">
    <w:abstractNumId w:val="35"/>
  </w:num>
  <w:num w:numId="22">
    <w:abstractNumId w:val="1"/>
  </w:num>
  <w:num w:numId="23">
    <w:abstractNumId w:val="33"/>
  </w:num>
  <w:num w:numId="24">
    <w:abstractNumId w:val="18"/>
  </w:num>
  <w:num w:numId="25">
    <w:abstractNumId w:val="7"/>
  </w:num>
  <w:num w:numId="26">
    <w:abstractNumId w:val="9"/>
  </w:num>
  <w:num w:numId="27">
    <w:abstractNumId w:val="23"/>
  </w:num>
  <w:num w:numId="28">
    <w:abstractNumId w:val="0"/>
  </w:num>
  <w:num w:numId="29">
    <w:abstractNumId w:val="29"/>
  </w:num>
  <w:num w:numId="30">
    <w:abstractNumId w:val="17"/>
  </w:num>
  <w:num w:numId="31">
    <w:abstractNumId w:val="8"/>
  </w:num>
  <w:num w:numId="32">
    <w:abstractNumId w:val="5"/>
  </w:num>
  <w:num w:numId="33">
    <w:abstractNumId w:val="22"/>
  </w:num>
  <w:num w:numId="34">
    <w:abstractNumId w:val="11"/>
  </w:num>
  <w:num w:numId="35">
    <w:abstractNumId w:val="28"/>
  </w:num>
  <w:num w:numId="36">
    <w:abstractNumId w:val="34"/>
  </w:num>
  <w:num w:numId="37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18433">
      <o:colormru v:ext="edit" colors="#c0a1f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IxNTMytTSxMDYwNDZT0lEKTi0uzszPAymwrAUA52wUHiwAAAA="/>
  </w:docVars>
  <w:rsids>
    <w:rsidRoot w:val="00E01E2D"/>
    <w:rsid w:val="000000E4"/>
    <w:rsid w:val="0000161D"/>
    <w:rsid w:val="0000179D"/>
    <w:rsid w:val="000030A2"/>
    <w:rsid w:val="0000421B"/>
    <w:rsid w:val="0001158B"/>
    <w:rsid w:val="000169D4"/>
    <w:rsid w:val="0001774B"/>
    <w:rsid w:val="00020C16"/>
    <w:rsid w:val="00022D36"/>
    <w:rsid w:val="00025FAA"/>
    <w:rsid w:val="00026464"/>
    <w:rsid w:val="000348B6"/>
    <w:rsid w:val="00037638"/>
    <w:rsid w:val="00042AB9"/>
    <w:rsid w:val="0005079C"/>
    <w:rsid w:val="00051662"/>
    <w:rsid w:val="00053C11"/>
    <w:rsid w:val="00055A4C"/>
    <w:rsid w:val="000566FF"/>
    <w:rsid w:val="00060975"/>
    <w:rsid w:val="00071B47"/>
    <w:rsid w:val="00075A76"/>
    <w:rsid w:val="00081969"/>
    <w:rsid w:val="000852A2"/>
    <w:rsid w:val="00085738"/>
    <w:rsid w:val="0008692D"/>
    <w:rsid w:val="00087005"/>
    <w:rsid w:val="0008711B"/>
    <w:rsid w:val="000873F3"/>
    <w:rsid w:val="0008755E"/>
    <w:rsid w:val="0009588E"/>
    <w:rsid w:val="000A35DB"/>
    <w:rsid w:val="000A5EC0"/>
    <w:rsid w:val="000B0DDD"/>
    <w:rsid w:val="000B2154"/>
    <w:rsid w:val="000B334D"/>
    <w:rsid w:val="000B4D0B"/>
    <w:rsid w:val="000C3CD0"/>
    <w:rsid w:val="000C538A"/>
    <w:rsid w:val="000D6504"/>
    <w:rsid w:val="000D7AB8"/>
    <w:rsid w:val="000D7E23"/>
    <w:rsid w:val="000E0C83"/>
    <w:rsid w:val="000E2CEF"/>
    <w:rsid w:val="000E6E88"/>
    <w:rsid w:val="000F0CBC"/>
    <w:rsid w:val="000F4C3F"/>
    <w:rsid w:val="000F5D35"/>
    <w:rsid w:val="00101004"/>
    <w:rsid w:val="00101371"/>
    <w:rsid w:val="00101EEA"/>
    <w:rsid w:val="00102ED5"/>
    <w:rsid w:val="00103625"/>
    <w:rsid w:val="00103C16"/>
    <w:rsid w:val="001072DB"/>
    <w:rsid w:val="0012191E"/>
    <w:rsid w:val="00130856"/>
    <w:rsid w:val="001308AB"/>
    <w:rsid w:val="001309C3"/>
    <w:rsid w:val="001309F0"/>
    <w:rsid w:val="001338DD"/>
    <w:rsid w:val="00133C1B"/>
    <w:rsid w:val="0013570C"/>
    <w:rsid w:val="0014522A"/>
    <w:rsid w:val="00145418"/>
    <w:rsid w:val="00147B5C"/>
    <w:rsid w:val="00151E70"/>
    <w:rsid w:val="001524CD"/>
    <w:rsid w:val="001543D8"/>
    <w:rsid w:val="00154DCA"/>
    <w:rsid w:val="00155719"/>
    <w:rsid w:val="00156E4D"/>
    <w:rsid w:val="0016053B"/>
    <w:rsid w:val="00160667"/>
    <w:rsid w:val="00170D1C"/>
    <w:rsid w:val="00171239"/>
    <w:rsid w:val="00172600"/>
    <w:rsid w:val="0017704B"/>
    <w:rsid w:val="001779A8"/>
    <w:rsid w:val="001821B8"/>
    <w:rsid w:val="001835F7"/>
    <w:rsid w:val="0018431C"/>
    <w:rsid w:val="00186F0C"/>
    <w:rsid w:val="001940E5"/>
    <w:rsid w:val="001941F9"/>
    <w:rsid w:val="00194CE0"/>
    <w:rsid w:val="001A1807"/>
    <w:rsid w:val="001A2771"/>
    <w:rsid w:val="001A28FA"/>
    <w:rsid w:val="001A2CD9"/>
    <w:rsid w:val="001A36DA"/>
    <w:rsid w:val="001A65F6"/>
    <w:rsid w:val="001A714F"/>
    <w:rsid w:val="001B209D"/>
    <w:rsid w:val="001B6E31"/>
    <w:rsid w:val="001B70C6"/>
    <w:rsid w:val="001C2809"/>
    <w:rsid w:val="001C2A54"/>
    <w:rsid w:val="001D6D19"/>
    <w:rsid w:val="001D6DDE"/>
    <w:rsid w:val="001E1AB3"/>
    <w:rsid w:val="001E48AC"/>
    <w:rsid w:val="001F13E2"/>
    <w:rsid w:val="00200FCF"/>
    <w:rsid w:val="002021FF"/>
    <w:rsid w:val="0020235C"/>
    <w:rsid w:val="002073B4"/>
    <w:rsid w:val="002075E7"/>
    <w:rsid w:val="00211729"/>
    <w:rsid w:val="00220C30"/>
    <w:rsid w:val="002226C5"/>
    <w:rsid w:val="00223B1B"/>
    <w:rsid w:val="00230132"/>
    <w:rsid w:val="00241F05"/>
    <w:rsid w:val="002471E5"/>
    <w:rsid w:val="00251540"/>
    <w:rsid w:val="002526C1"/>
    <w:rsid w:val="00254140"/>
    <w:rsid w:val="00267770"/>
    <w:rsid w:val="002709E8"/>
    <w:rsid w:val="00271310"/>
    <w:rsid w:val="00271CD4"/>
    <w:rsid w:val="00276395"/>
    <w:rsid w:val="002811F7"/>
    <w:rsid w:val="00284C47"/>
    <w:rsid w:val="0028634E"/>
    <w:rsid w:val="00294408"/>
    <w:rsid w:val="002A1AB6"/>
    <w:rsid w:val="002A3A50"/>
    <w:rsid w:val="002A7DE9"/>
    <w:rsid w:val="002B33DA"/>
    <w:rsid w:val="002B62D7"/>
    <w:rsid w:val="002B76F5"/>
    <w:rsid w:val="002C15C1"/>
    <w:rsid w:val="002C2390"/>
    <w:rsid w:val="002C3E91"/>
    <w:rsid w:val="002D14B7"/>
    <w:rsid w:val="002D1FB9"/>
    <w:rsid w:val="002D2817"/>
    <w:rsid w:val="002E1A17"/>
    <w:rsid w:val="002E49EB"/>
    <w:rsid w:val="002E53BE"/>
    <w:rsid w:val="002E61BC"/>
    <w:rsid w:val="002F1A71"/>
    <w:rsid w:val="002F2C3F"/>
    <w:rsid w:val="002F4F13"/>
    <w:rsid w:val="002F6154"/>
    <w:rsid w:val="002F619B"/>
    <w:rsid w:val="002F75FB"/>
    <w:rsid w:val="00301E1C"/>
    <w:rsid w:val="00303E05"/>
    <w:rsid w:val="00305408"/>
    <w:rsid w:val="003064BB"/>
    <w:rsid w:val="0031010B"/>
    <w:rsid w:val="0031039F"/>
    <w:rsid w:val="00310DC9"/>
    <w:rsid w:val="003123A7"/>
    <w:rsid w:val="00312A75"/>
    <w:rsid w:val="00313799"/>
    <w:rsid w:val="00320B8D"/>
    <w:rsid w:val="00323009"/>
    <w:rsid w:val="003246BB"/>
    <w:rsid w:val="00324C03"/>
    <w:rsid w:val="00333A5B"/>
    <w:rsid w:val="00341855"/>
    <w:rsid w:val="00342882"/>
    <w:rsid w:val="003444D1"/>
    <w:rsid w:val="00347098"/>
    <w:rsid w:val="003472FF"/>
    <w:rsid w:val="0035028B"/>
    <w:rsid w:val="00355A38"/>
    <w:rsid w:val="00362FAC"/>
    <w:rsid w:val="00363635"/>
    <w:rsid w:val="003667D3"/>
    <w:rsid w:val="00367876"/>
    <w:rsid w:val="0037000D"/>
    <w:rsid w:val="00370986"/>
    <w:rsid w:val="00372C7C"/>
    <w:rsid w:val="0038017D"/>
    <w:rsid w:val="00381A1B"/>
    <w:rsid w:val="00385E54"/>
    <w:rsid w:val="00390612"/>
    <w:rsid w:val="00390EC0"/>
    <w:rsid w:val="003A4F3C"/>
    <w:rsid w:val="003A7058"/>
    <w:rsid w:val="003A7518"/>
    <w:rsid w:val="003B7158"/>
    <w:rsid w:val="003B7436"/>
    <w:rsid w:val="003C1448"/>
    <w:rsid w:val="003C1B5F"/>
    <w:rsid w:val="003C72B0"/>
    <w:rsid w:val="003D39D2"/>
    <w:rsid w:val="003D57B5"/>
    <w:rsid w:val="003D5B29"/>
    <w:rsid w:val="003D73C6"/>
    <w:rsid w:val="003E0A6C"/>
    <w:rsid w:val="003E1425"/>
    <w:rsid w:val="003E4BD3"/>
    <w:rsid w:val="003E7C6B"/>
    <w:rsid w:val="003E7D8E"/>
    <w:rsid w:val="003F0B33"/>
    <w:rsid w:val="003F7A02"/>
    <w:rsid w:val="0040615C"/>
    <w:rsid w:val="00412196"/>
    <w:rsid w:val="004179DE"/>
    <w:rsid w:val="00417A45"/>
    <w:rsid w:val="0042303C"/>
    <w:rsid w:val="004237B7"/>
    <w:rsid w:val="00424B15"/>
    <w:rsid w:val="0043110D"/>
    <w:rsid w:val="00434418"/>
    <w:rsid w:val="0043484C"/>
    <w:rsid w:val="004360E2"/>
    <w:rsid w:val="00447A81"/>
    <w:rsid w:val="00451A5D"/>
    <w:rsid w:val="0045207F"/>
    <w:rsid w:val="00457967"/>
    <w:rsid w:val="00457CA4"/>
    <w:rsid w:val="00460072"/>
    <w:rsid w:val="00461CF3"/>
    <w:rsid w:val="00462F8F"/>
    <w:rsid w:val="004649F0"/>
    <w:rsid w:val="004664D5"/>
    <w:rsid w:val="0047507E"/>
    <w:rsid w:val="004755A3"/>
    <w:rsid w:val="00477127"/>
    <w:rsid w:val="00477BD8"/>
    <w:rsid w:val="0048269C"/>
    <w:rsid w:val="00486DFB"/>
    <w:rsid w:val="004919CE"/>
    <w:rsid w:val="004926E2"/>
    <w:rsid w:val="00492899"/>
    <w:rsid w:val="00492D8E"/>
    <w:rsid w:val="00496D76"/>
    <w:rsid w:val="004A12F5"/>
    <w:rsid w:val="004A7365"/>
    <w:rsid w:val="004B01CB"/>
    <w:rsid w:val="004B28A3"/>
    <w:rsid w:val="004B35F5"/>
    <w:rsid w:val="004B4939"/>
    <w:rsid w:val="004B65EA"/>
    <w:rsid w:val="004C0DE7"/>
    <w:rsid w:val="004C35E0"/>
    <w:rsid w:val="004C51FF"/>
    <w:rsid w:val="004C5DB5"/>
    <w:rsid w:val="004C71AF"/>
    <w:rsid w:val="004D104A"/>
    <w:rsid w:val="004D130F"/>
    <w:rsid w:val="004D7082"/>
    <w:rsid w:val="004E0836"/>
    <w:rsid w:val="004E216E"/>
    <w:rsid w:val="004E57F6"/>
    <w:rsid w:val="004E58C1"/>
    <w:rsid w:val="004E6430"/>
    <w:rsid w:val="004E7087"/>
    <w:rsid w:val="004F5129"/>
    <w:rsid w:val="005030DD"/>
    <w:rsid w:val="00507671"/>
    <w:rsid w:val="00507860"/>
    <w:rsid w:val="00510051"/>
    <w:rsid w:val="00512EF2"/>
    <w:rsid w:val="005145C2"/>
    <w:rsid w:val="0052157A"/>
    <w:rsid w:val="00522B9B"/>
    <w:rsid w:val="005252B4"/>
    <w:rsid w:val="00530DF0"/>
    <w:rsid w:val="00545AC4"/>
    <w:rsid w:val="00546865"/>
    <w:rsid w:val="00547F1E"/>
    <w:rsid w:val="005515C9"/>
    <w:rsid w:val="00557577"/>
    <w:rsid w:val="005645C5"/>
    <w:rsid w:val="0056682C"/>
    <w:rsid w:val="0057103A"/>
    <w:rsid w:val="00571BDA"/>
    <w:rsid w:val="0057598C"/>
    <w:rsid w:val="005775CE"/>
    <w:rsid w:val="005777D3"/>
    <w:rsid w:val="00580C62"/>
    <w:rsid w:val="005812FB"/>
    <w:rsid w:val="00581526"/>
    <w:rsid w:val="00583276"/>
    <w:rsid w:val="00583ACF"/>
    <w:rsid w:val="0058611A"/>
    <w:rsid w:val="005868FD"/>
    <w:rsid w:val="00587DA6"/>
    <w:rsid w:val="00594E57"/>
    <w:rsid w:val="005A6655"/>
    <w:rsid w:val="005B3CF2"/>
    <w:rsid w:val="005B437B"/>
    <w:rsid w:val="005B4FAC"/>
    <w:rsid w:val="005B6F0A"/>
    <w:rsid w:val="005B734A"/>
    <w:rsid w:val="005C4AA5"/>
    <w:rsid w:val="005C781F"/>
    <w:rsid w:val="005D02F4"/>
    <w:rsid w:val="005D5F2A"/>
    <w:rsid w:val="005E206B"/>
    <w:rsid w:val="005E32B3"/>
    <w:rsid w:val="005E7083"/>
    <w:rsid w:val="005F237C"/>
    <w:rsid w:val="005F44A1"/>
    <w:rsid w:val="00605F68"/>
    <w:rsid w:val="00606C58"/>
    <w:rsid w:val="00607D33"/>
    <w:rsid w:val="00611A54"/>
    <w:rsid w:val="00613952"/>
    <w:rsid w:val="006153CA"/>
    <w:rsid w:val="00616C66"/>
    <w:rsid w:val="0062468E"/>
    <w:rsid w:val="00627233"/>
    <w:rsid w:val="00640662"/>
    <w:rsid w:val="00642A90"/>
    <w:rsid w:val="00643C2B"/>
    <w:rsid w:val="00650831"/>
    <w:rsid w:val="006621E1"/>
    <w:rsid w:val="00665C6B"/>
    <w:rsid w:val="0066650B"/>
    <w:rsid w:val="00671857"/>
    <w:rsid w:val="0068017F"/>
    <w:rsid w:val="00681274"/>
    <w:rsid w:val="006822E1"/>
    <w:rsid w:val="00682E5F"/>
    <w:rsid w:val="00684FBB"/>
    <w:rsid w:val="00691F50"/>
    <w:rsid w:val="0069341B"/>
    <w:rsid w:val="0069544F"/>
    <w:rsid w:val="00696A8B"/>
    <w:rsid w:val="006A135C"/>
    <w:rsid w:val="006A410A"/>
    <w:rsid w:val="006B0113"/>
    <w:rsid w:val="006B0D16"/>
    <w:rsid w:val="006B2DFC"/>
    <w:rsid w:val="006C2C92"/>
    <w:rsid w:val="006C52CC"/>
    <w:rsid w:val="006C7551"/>
    <w:rsid w:val="006C7F35"/>
    <w:rsid w:val="006D2BF2"/>
    <w:rsid w:val="006D2EDF"/>
    <w:rsid w:val="006D7BA8"/>
    <w:rsid w:val="006E5532"/>
    <w:rsid w:val="006E7B58"/>
    <w:rsid w:val="006F53C3"/>
    <w:rsid w:val="006F5F87"/>
    <w:rsid w:val="006F790E"/>
    <w:rsid w:val="00704E3B"/>
    <w:rsid w:val="007143F1"/>
    <w:rsid w:val="00717D41"/>
    <w:rsid w:val="007262B2"/>
    <w:rsid w:val="00726475"/>
    <w:rsid w:val="007272B7"/>
    <w:rsid w:val="00730672"/>
    <w:rsid w:val="00730CAA"/>
    <w:rsid w:val="00735605"/>
    <w:rsid w:val="00743164"/>
    <w:rsid w:val="00747E98"/>
    <w:rsid w:val="00750166"/>
    <w:rsid w:val="00752A14"/>
    <w:rsid w:val="007634B7"/>
    <w:rsid w:val="007708AD"/>
    <w:rsid w:val="007733C8"/>
    <w:rsid w:val="00780337"/>
    <w:rsid w:val="00783A82"/>
    <w:rsid w:val="00787099"/>
    <w:rsid w:val="00791A75"/>
    <w:rsid w:val="00792ECB"/>
    <w:rsid w:val="007A2393"/>
    <w:rsid w:val="007A30FA"/>
    <w:rsid w:val="007B2F13"/>
    <w:rsid w:val="007B70CF"/>
    <w:rsid w:val="007C0933"/>
    <w:rsid w:val="007C1ACC"/>
    <w:rsid w:val="007C3542"/>
    <w:rsid w:val="007C6C31"/>
    <w:rsid w:val="007C71F0"/>
    <w:rsid w:val="007C791B"/>
    <w:rsid w:val="007D0C20"/>
    <w:rsid w:val="007D0CAD"/>
    <w:rsid w:val="007D6062"/>
    <w:rsid w:val="007D76DB"/>
    <w:rsid w:val="007E1BEA"/>
    <w:rsid w:val="007E20F0"/>
    <w:rsid w:val="007E2332"/>
    <w:rsid w:val="007E5068"/>
    <w:rsid w:val="007F45A0"/>
    <w:rsid w:val="007F5F0F"/>
    <w:rsid w:val="007F68CE"/>
    <w:rsid w:val="00801949"/>
    <w:rsid w:val="00801DC6"/>
    <w:rsid w:val="008126D1"/>
    <w:rsid w:val="00813D02"/>
    <w:rsid w:val="00816E16"/>
    <w:rsid w:val="00820CC6"/>
    <w:rsid w:val="00824432"/>
    <w:rsid w:val="0082598E"/>
    <w:rsid w:val="0084062A"/>
    <w:rsid w:val="008408F5"/>
    <w:rsid w:val="00843FDE"/>
    <w:rsid w:val="00844E7C"/>
    <w:rsid w:val="00851255"/>
    <w:rsid w:val="008668D4"/>
    <w:rsid w:val="00867134"/>
    <w:rsid w:val="008854B0"/>
    <w:rsid w:val="008872A9"/>
    <w:rsid w:val="00896BB7"/>
    <w:rsid w:val="008A0724"/>
    <w:rsid w:val="008A3DC1"/>
    <w:rsid w:val="008A666B"/>
    <w:rsid w:val="008B2FAD"/>
    <w:rsid w:val="008C12CD"/>
    <w:rsid w:val="008C1BCE"/>
    <w:rsid w:val="008C239F"/>
    <w:rsid w:val="008C2991"/>
    <w:rsid w:val="008C4912"/>
    <w:rsid w:val="008C516E"/>
    <w:rsid w:val="008D3B31"/>
    <w:rsid w:val="008D7B12"/>
    <w:rsid w:val="008E01CF"/>
    <w:rsid w:val="008E0891"/>
    <w:rsid w:val="008E331E"/>
    <w:rsid w:val="008E4C20"/>
    <w:rsid w:val="00907CE2"/>
    <w:rsid w:val="00912FEC"/>
    <w:rsid w:val="00913029"/>
    <w:rsid w:val="0091737B"/>
    <w:rsid w:val="009173C9"/>
    <w:rsid w:val="009201F2"/>
    <w:rsid w:val="0092058B"/>
    <w:rsid w:val="00926E08"/>
    <w:rsid w:val="00931293"/>
    <w:rsid w:val="009323A3"/>
    <w:rsid w:val="009363CA"/>
    <w:rsid w:val="0094072A"/>
    <w:rsid w:val="00941A01"/>
    <w:rsid w:val="0094773D"/>
    <w:rsid w:val="00950FB2"/>
    <w:rsid w:val="0095140A"/>
    <w:rsid w:val="00964097"/>
    <w:rsid w:val="009714EA"/>
    <w:rsid w:val="00985076"/>
    <w:rsid w:val="00985308"/>
    <w:rsid w:val="009906E8"/>
    <w:rsid w:val="00990BCF"/>
    <w:rsid w:val="009970D1"/>
    <w:rsid w:val="0099776F"/>
    <w:rsid w:val="009A5393"/>
    <w:rsid w:val="009B2811"/>
    <w:rsid w:val="009B4522"/>
    <w:rsid w:val="009B5464"/>
    <w:rsid w:val="009D02C1"/>
    <w:rsid w:val="009D3A14"/>
    <w:rsid w:val="009D7BB0"/>
    <w:rsid w:val="009E0A54"/>
    <w:rsid w:val="009E57FE"/>
    <w:rsid w:val="009E746B"/>
    <w:rsid w:val="009F1935"/>
    <w:rsid w:val="00A006AD"/>
    <w:rsid w:val="00A01F9E"/>
    <w:rsid w:val="00A03ECA"/>
    <w:rsid w:val="00A0425F"/>
    <w:rsid w:val="00A10EA2"/>
    <w:rsid w:val="00A12401"/>
    <w:rsid w:val="00A12FEF"/>
    <w:rsid w:val="00A23C31"/>
    <w:rsid w:val="00A23D42"/>
    <w:rsid w:val="00A252AF"/>
    <w:rsid w:val="00A25A24"/>
    <w:rsid w:val="00A26290"/>
    <w:rsid w:val="00A3345F"/>
    <w:rsid w:val="00A3608B"/>
    <w:rsid w:val="00A46558"/>
    <w:rsid w:val="00A47EED"/>
    <w:rsid w:val="00A53166"/>
    <w:rsid w:val="00A53F86"/>
    <w:rsid w:val="00A54876"/>
    <w:rsid w:val="00A55FC5"/>
    <w:rsid w:val="00A65A9D"/>
    <w:rsid w:val="00A70F4C"/>
    <w:rsid w:val="00A72A21"/>
    <w:rsid w:val="00A73316"/>
    <w:rsid w:val="00A74946"/>
    <w:rsid w:val="00A83FAA"/>
    <w:rsid w:val="00A86E97"/>
    <w:rsid w:val="00A928B2"/>
    <w:rsid w:val="00A92FEF"/>
    <w:rsid w:val="00A94C17"/>
    <w:rsid w:val="00AA15BF"/>
    <w:rsid w:val="00AA21E8"/>
    <w:rsid w:val="00AA322A"/>
    <w:rsid w:val="00AA40B2"/>
    <w:rsid w:val="00AA7C2E"/>
    <w:rsid w:val="00AB1D16"/>
    <w:rsid w:val="00AC303A"/>
    <w:rsid w:val="00AC354E"/>
    <w:rsid w:val="00AC3E6F"/>
    <w:rsid w:val="00AD0048"/>
    <w:rsid w:val="00AD0457"/>
    <w:rsid w:val="00AD0C74"/>
    <w:rsid w:val="00AD276C"/>
    <w:rsid w:val="00AD2A0B"/>
    <w:rsid w:val="00AD4437"/>
    <w:rsid w:val="00AE3745"/>
    <w:rsid w:val="00AE6148"/>
    <w:rsid w:val="00AE66B2"/>
    <w:rsid w:val="00AF0096"/>
    <w:rsid w:val="00AF218F"/>
    <w:rsid w:val="00AF6589"/>
    <w:rsid w:val="00B0018D"/>
    <w:rsid w:val="00B0170A"/>
    <w:rsid w:val="00B075C0"/>
    <w:rsid w:val="00B11280"/>
    <w:rsid w:val="00B12AD5"/>
    <w:rsid w:val="00B133C9"/>
    <w:rsid w:val="00B13422"/>
    <w:rsid w:val="00B15F83"/>
    <w:rsid w:val="00B16D7A"/>
    <w:rsid w:val="00B25233"/>
    <w:rsid w:val="00B26914"/>
    <w:rsid w:val="00B32657"/>
    <w:rsid w:val="00B32F57"/>
    <w:rsid w:val="00B3645D"/>
    <w:rsid w:val="00B37A73"/>
    <w:rsid w:val="00B409E7"/>
    <w:rsid w:val="00B42D8F"/>
    <w:rsid w:val="00B43071"/>
    <w:rsid w:val="00B50EB9"/>
    <w:rsid w:val="00B537BF"/>
    <w:rsid w:val="00B53BF2"/>
    <w:rsid w:val="00B57D75"/>
    <w:rsid w:val="00B62EBA"/>
    <w:rsid w:val="00B63CBB"/>
    <w:rsid w:val="00B64F89"/>
    <w:rsid w:val="00B65018"/>
    <w:rsid w:val="00B657F5"/>
    <w:rsid w:val="00B65C8A"/>
    <w:rsid w:val="00B72E01"/>
    <w:rsid w:val="00B73AA4"/>
    <w:rsid w:val="00B75DAB"/>
    <w:rsid w:val="00B773FB"/>
    <w:rsid w:val="00B813AF"/>
    <w:rsid w:val="00B8164B"/>
    <w:rsid w:val="00B81F23"/>
    <w:rsid w:val="00B864CC"/>
    <w:rsid w:val="00B961D7"/>
    <w:rsid w:val="00B97509"/>
    <w:rsid w:val="00BA179B"/>
    <w:rsid w:val="00BA4442"/>
    <w:rsid w:val="00BA52CF"/>
    <w:rsid w:val="00BB1586"/>
    <w:rsid w:val="00BB3A5D"/>
    <w:rsid w:val="00BC1191"/>
    <w:rsid w:val="00BC3371"/>
    <w:rsid w:val="00BC35AD"/>
    <w:rsid w:val="00BC368D"/>
    <w:rsid w:val="00BC5683"/>
    <w:rsid w:val="00BC6DFB"/>
    <w:rsid w:val="00BD2FFA"/>
    <w:rsid w:val="00BD3554"/>
    <w:rsid w:val="00BD36F7"/>
    <w:rsid w:val="00BE76E2"/>
    <w:rsid w:val="00BF467E"/>
    <w:rsid w:val="00BF4D6E"/>
    <w:rsid w:val="00BF5423"/>
    <w:rsid w:val="00BF64F2"/>
    <w:rsid w:val="00BF6968"/>
    <w:rsid w:val="00BF74E8"/>
    <w:rsid w:val="00BF7E67"/>
    <w:rsid w:val="00C0078D"/>
    <w:rsid w:val="00C01476"/>
    <w:rsid w:val="00C03CE8"/>
    <w:rsid w:val="00C0462A"/>
    <w:rsid w:val="00C07584"/>
    <w:rsid w:val="00C07965"/>
    <w:rsid w:val="00C11762"/>
    <w:rsid w:val="00C27FC1"/>
    <w:rsid w:val="00C3065A"/>
    <w:rsid w:val="00C325F3"/>
    <w:rsid w:val="00C334B3"/>
    <w:rsid w:val="00C34AA1"/>
    <w:rsid w:val="00C40E33"/>
    <w:rsid w:val="00C42A5C"/>
    <w:rsid w:val="00C43D62"/>
    <w:rsid w:val="00C4579A"/>
    <w:rsid w:val="00C4692C"/>
    <w:rsid w:val="00C46F82"/>
    <w:rsid w:val="00C47093"/>
    <w:rsid w:val="00C5164D"/>
    <w:rsid w:val="00C5422A"/>
    <w:rsid w:val="00C549A4"/>
    <w:rsid w:val="00C61E56"/>
    <w:rsid w:val="00C6212A"/>
    <w:rsid w:val="00C62DBE"/>
    <w:rsid w:val="00C6630D"/>
    <w:rsid w:val="00C72B6A"/>
    <w:rsid w:val="00C747E4"/>
    <w:rsid w:val="00C74932"/>
    <w:rsid w:val="00C81798"/>
    <w:rsid w:val="00C84B46"/>
    <w:rsid w:val="00C90019"/>
    <w:rsid w:val="00C97012"/>
    <w:rsid w:val="00CA01A4"/>
    <w:rsid w:val="00CA3F99"/>
    <w:rsid w:val="00CA4F26"/>
    <w:rsid w:val="00CB1B8A"/>
    <w:rsid w:val="00CB5386"/>
    <w:rsid w:val="00CC14B0"/>
    <w:rsid w:val="00CC269D"/>
    <w:rsid w:val="00CC3731"/>
    <w:rsid w:val="00CC46BE"/>
    <w:rsid w:val="00CC4F38"/>
    <w:rsid w:val="00CD00DC"/>
    <w:rsid w:val="00CD22D5"/>
    <w:rsid w:val="00CD2459"/>
    <w:rsid w:val="00CD2783"/>
    <w:rsid w:val="00CD5031"/>
    <w:rsid w:val="00CD598D"/>
    <w:rsid w:val="00CD6D79"/>
    <w:rsid w:val="00CD70F0"/>
    <w:rsid w:val="00CE469B"/>
    <w:rsid w:val="00CE5CE6"/>
    <w:rsid w:val="00CF02A9"/>
    <w:rsid w:val="00CF3447"/>
    <w:rsid w:val="00CF470B"/>
    <w:rsid w:val="00D01FAB"/>
    <w:rsid w:val="00D035E4"/>
    <w:rsid w:val="00D046EE"/>
    <w:rsid w:val="00D07068"/>
    <w:rsid w:val="00D1139D"/>
    <w:rsid w:val="00D12C85"/>
    <w:rsid w:val="00D12DC5"/>
    <w:rsid w:val="00D14DA4"/>
    <w:rsid w:val="00D20252"/>
    <w:rsid w:val="00D244EC"/>
    <w:rsid w:val="00D264D5"/>
    <w:rsid w:val="00D52EBB"/>
    <w:rsid w:val="00D53147"/>
    <w:rsid w:val="00D618EB"/>
    <w:rsid w:val="00D66570"/>
    <w:rsid w:val="00D67242"/>
    <w:rsid w:val="00D67D3E"/>
    <w:rsid w:val="00D720B9"/>
    <w:rsid w:val="00D7701F"/>
    <w:rsid w:val="00D90A1F"/>
    <w:rsid w:val="00D912D2"/>
    <w:rsid w:val="00D97359"/>
    <w:rsid w:val="00DA2867"/>
    <w:rsid w:val="00DA5EBF"/>
    <w:rsid w:val="00DA71C4"/>
    <w:rsid w:val="00DB2D74"/>
    <w:rsid w:val="00DB430F"/>
    <w:rsid w:val="00DB47F7"/>
    <w:rsid w:val="00DB51FB"/>
    <w:rsid w:val="00DB716C"/>
    <w:rsid w:val="00DC1258"/>
    <w:rsid w:val="00DC6564"/>
    <w:rsid w:val="00DC6BBB"/>
    <w:rsid w:val="00DD41E4"/>
    <w:rsid w:val="00DD4DFF"/>
    <w:rsid w:val="00DE1B12"/>
    <w:rsid w:val="00DE67BB"/>
    <w:rsid w:val="00DE78E7"/>
    <w:rsid w:val="00DF29B7"/>
    <w:rsid w:val="00DF3F79"/>
    <w:rsid w:val="00DF4FA7"/>
    <w:rsid w:val="00DF7155"/>
    <w:rsid w:val="00DF7AF4"/>
    <w:rsid w:val="00E005C4"/>
    <w:rsid w:val="00E0190F"/>
    <w:rsid w:val="00E01E2D"/>
    <w:rsid w:val="00E0495A"/>
    <w:rsid w:val="00E10C24"/>
    <w:rsid w:val="00E13E6B"/>
    <w:rsid w:val="00E16999"/>
    <w:rsid w:val="00E17EEC"/>
    <w:rsid w:val="00E20CE7"/>
    <w:rsid w:val="00E2147D"/>
    <w:rsid w:val="00E2218D"/>
    <w:rsid w:val="00E236E5"/>
    <w:rsid w:val="00E2461C"/>
    <w:rsid w:val="00E27CB3"/>
    <w:rsid w:val="00E323BD"/>
    <w:rsid w:val="00E357E9"/>
    <w:rsid w:val="00E36811"/>
    <w:rsid w:val="00E369E3"/>
    <w:rsid w:val="00E4045E"/>
    <w:rsid w:val="00E50BA8"/>
    <w:rsid w:val="00E50D34"/>
    <w:rsid w:val="00E53D1E"/>
    <w:rsid w:val="00E55325"/>
    <w:rsid w:val="00E664CB"/>
    <w:rsid w:val="00E72416"/>
    <w:rsid w:val="00E742AB"/>
    <w:rsid w:val="00E75898"/>
    <w:rsid w:val="00E75DFB"/>
    <w:rsid w:val="00E81F2A"/>
    <w:rsid w:val="00E82053"/>
    <w:rsid w:val="00E83352"/>
    <w:rsid w:val="00E9087F"/>
    <w:rsid w:val="00E97385"/>
    <w:rsid w:val="00EA275F"/>
    <w:rsid w:val="00EA2C7B"/>
    <w:rsid w:val="00EA5CAC"/>
    <w:rsid w:val="00EB0E6D"/>
    <w:rsid w:val="00EB4042"/>
    <w:rsid w:val="00EB44F6"/>
    <w:rsid w:val="00EB6EAF"/>
    <w:rsid w:val="00EC0823"/>
    <w:rsid w:val="00EC22C1"/>
    <w:rsid w:val="00EC31E5"/>
    <w:rsid w:val="00ED1865"/>
    <w:rsid w:val="00ED359A"/>
    <w:rsid w:val="00EF0B40"/>
    <w:rsid w:val="00EF0CC4"/>
    <w:rsid w:val="00EF2CF0"/>
    <w:rsid w:val="00EF4885"/>
    <w:rsid w:val="00EF715F"/>
    <w:rsid w:val="00F01858"/>
    <w:rsid w:val="00F02792"/>
    <w:rsid w:val="00F028D0"/>
    <w:rsid w:val="00F03547"/>
    <w:rsid w:val="00F07B55"/>
    <w:rsid w:val="00F107E4"/>
    <w:rsid w:val="00F132D3"/>
    <w:rsid w:val="00F13871"/>
    <w:rsid w:val="00F22977"/>
    <w:rsid w:val="00F32CEE"/>
    <w:rsid w:val="00F337F5"/>
    <w:rsid w:val="00F40B35"/>
    <w:rsid w:val="00F476DD"/>
    <w:rsid w:val="00F5104D"/>
    <w:rsid w:val="00F54CB3"/>
    <w:rsid w:val="00F6062B"/>
    <w:rsid w:val="00F62F96"/>
    <w:rsid w:val="00F63A47"/>
    <w:rsid w:val="00F674ED"/>
    <w:rsid w:val="00F71E4E"/>
    <w:rsid w:val="00F73298"/>
    <w:rsid w:val="00F73B01"/>
    <w:rsid w:val="00F74B4B"/>
    <w:rsid w:val="00F83802"/>
    <w:rsid w:val="00F84F5D"/>
    <w:rsid w:val="00F8500F"/>
    <w:rsid w:val="00F853B2"/>
    <w:rsid w:val="00F8602C"/>
    <w:rsid w:val="00F8610B"/>
    <w:rsid w:val="00F862B6"/>
    <w:rsid w:val="00F90B1A"/>
    <w:rsid w:val="00F92112"/>
    <w:rsid w:val="00F93A99"/>
    <w:rsid w:val="00FA029E"/>
    <w:rsid w:val="00FA3B8C"/>
    <w:rsid w:val="00FA6299"/>
    <w:rsid w:val="00FB6C01"/>
    <w:rsid w:val="00FB7BBC"/>
    <w:rsid w:val="00FC2B62"/>
    <w:rsid w:val="00FC2F49"/>
    <w:rsid w:val="00FC3485"/>
    <w:rsid w:val="00FC63B9"/>
    <w:rsid w:val="00FC657D"/>
    <w:rsid w:val="00FD6083"/>
    <w:rsid w:val="00FE1A14"/>
    <w:rsid w:val="00FE2AC9"/>
    <w:rsid w:val="00FE384C"/>
    <w:rsid w:val="00FF08F9"/>
    <w:rsid w:val="00FF1DD1"/>
    <w:rsid w:val="00FF75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o:colormru v:ext="edit" colors="#c0a1fb"/>
    </o:shapedefaults>
    <o:shapelayout v:ext="edit">
      <o:idmap v:ext="edit" data="1"/>
    </o:shapelayout>
  </w:shapeDefaults>
  <w:decimalSymbol w:val="."/>
  <w:listSeparator w:val=","/>
  <w14:docId w14:val="49E72617"/>
  <w15:docId w15:val="{5CBDE1E6-71E4-4AA4-ADF7-DDBD46F6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AFD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F2853"/>
    <w:pPr>
      <w:keepNext/>
      <w:numPr>
        <w:numId w:val="1"/>
      </w:numPr>
      <w:outlineLvl w:val="0"/>
    </w:pPr>
    <w:rPr>
      <w:rFonts w:ascii="Times" w:eastAsia="Times" w:hAnsi="Times"/>
      <w:b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85534A"/>
    <w:pPr>
      <w:keepNext/>
      <w:numPr>
        <w:ilvl w:val="1"/>
        <w:numId w:val="1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qFormat/>
    <w:rsid w:val="00AC156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qFormat/>
    <w:rsid w:val="00AC156A"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1E2D"/>
    <w:rPr>
      <w:color w:val="0000FF"/>
      <w:u w:val="single"/>
    </w:rPr>
  </w:style>
  <w:style w:type="paragraph" w:styleId="BalloonText">
    <w:name w:val="Balloon Text"/>
    <w:basedOn w:val="Normal"/>
    <w:semiHidden/>
    <w:rsid w:val="00CF693F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F4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5D7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83687"/>
    <w:pPr>
      <w:spacing w:before="100" w:beforeAutospacing="1" w:after="100" w:afterAutospacing="1"/>
    </w:pPr>
  </w:style>
  <w:style w:type="character" w:styleId="FollowedHyperlink">
    <w:name w:val="FollowedHyperlink"/>
    <w:rsid w:val="00C00002"/>
    <w:rPr>
      <w:color w:val="800040"/>
      <w:u w:val="single"/>
    </w:rPr>
  </w:style>
  <w:style w:type="paragraph" w:styleId="BodyTextIndent2">
    <w:name w:val="Body Text Indent 2"/>
    <w:basedOn w:val="Normal"/>
    <w:rsid w:val="00005CEF"/>
    <w:pPr>
      <w:ind w:left="540" w:hanging="540"/>
    </w:pPr>
    <w:rPr>
      <w:rFonts w:ascii="Times" w:eastAsia="Times" w:hAnsi="Times"/>
      <w:szCs w:val="20"/>
      <w:lang w:eastAsia="en-US"/>
    </w:rPr>
  </w:style>
  <w:style w:type="paragraph" w:styleId="TOC1">
    <w:name w:val="toc 1"/>
    <w:autoRedefine/>
    <w:semiHidden/>
    <w:rsid w:val="00826CA8"/>
    <w:pPr>
      <w:tabs>
        <w:tab w:val="left" w:pos="0"/>
        <w:tab w:val="left" w:pos="540"/>
        <w:tab w:val="right" w:leader="dot" w:pos="9494"/>
      </w:tabs>
      <w:spacing w:before="120" w:after="120" w:line="480" w:lineRule="auto"/>
      <w:jc w:val="both"/>
    </w:pPr>
    <w:rPr>
      <w:rFonts w:eastAsia="Times New Roman"/>
      <w:b/>
      <w:caps/>
      <w:noProof/>
      <w:sz w:val="24"/>
      <w:szCs w:val="24"/>
    </w:rPr>
  </w:style>
  <w:style w:type="paragraph" w:styleId="TOC2">
    <w:name w:val="toc 2"/>
    <w:autoRedefine/>
    <w:semiHidden/>
    <w:rsid w:val="00826CA8"/>
    <w:pPr>
      <w:tabs>
        <w:tab w:val="left" w:pos="540"/>
        <w:tab w:val="right" w:leader="dot" w:pos="9540"/>
      </w:tabs>
      <w:spacing w:before="120" w:after="120" w:line="240" w:lineRule="atLeast"/>
      <w:ind w:left="540" w:hanging="540"/>
    </w:pPr>
    <w:rPr>
      <w:rFonts w:eastAsia="Times New Roman"/>
      <w:smallCaps/>
    </w:rPr>
  </w:style>
  <w:style w:type="character" w:customStyle="1" w:styleId="Heading1Char">
    <w:name w:val="Heading 1 Char"/>
    <w:link w:val="Heading1"/>
    <w:rsid w:val="008F2853"/>
    <w:rPr>
      <w:rFonts w:ascii="Times" w:eastAsia="Times" w:hAnsi="Times"/>
      <w:b/>
      <w:sz w:val="24"/>
      <w:lang w:val="x-none" w:eastAsia="x-none"/>
    </w:rPr>
  </w:style>
  <w:style w:type="paragraph" w:styleId="BodyText">
    <w:name w:val="Body Text"/>
    <w:basedOn w:val="Normal"/>
    <w:rsid w:val="00AC156A"/>
    <w:rPr>
      <w:rFonts w:ascii="Times" w:eastAsia="Times" w:hAnsi="Times"/>
      <w:b/>
      <w:szCs w:val="20"/>
      <w:lang w:eastAsia="en-US"/>
    </w:rPr>
  </w:style>
  <w:style w:type="character" w:styleId="CommentReference">
    <w:name w:val="annotation reference"/>
    <w:rsid w:val="00D14D04"/>
    <w:rPr>
      <w:sz w:val="18"/>
      <w:szCs w:val="18"/>
    </w:rPr>
  </w:style>
  <w:style w:type="paragraph" w:styleId="CommentText">
    <w:name w:val="annotation text"/>
    <w:basedOn w:val="Normal"/>
    <w:link w:val="CommentTextChar"/>
    <w:rsid w:val="00D14D04"/>
    <w:rPr>
      <w:lang w:val="x-none"/>
    </w:rPr>
  </w:style>
  <w:style w:type="character" w:customStyle="1" w:styleId="CommentTextChar">
    <w:name w:val="Comment Text Char"/>
    <w:link w:val="CommentText"/>
    <w:rsid w:val="00D14D04"/>
    <w:rPr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D14D04"/>
    <w:rPr>
      <w:b/>
      <w:bCs/>
    </w:rPr>
  </w:style>
  <w:style w:type="character" w:customStyle="1" w:styleId="CommentSubjectChar">
    <w:name w:val="Comment Subject Char"/>
    <w:link w:val="CommentSubject"/>
    <w:rsid w:val="00D14D04"/>
    <w:rPr>
      <w:b/>
      <w:bCs/>
      <w:sz w:val="24"/>
      <w:szCs w:val="24"/>
      <w:lang w:eastAsia="ja-JP"/>
    </w:rPr>
  </w:style>
  <w:style w:type="character" w:customStyle="1" w:styleId="Heading2Char">
    <w:name w:val="Heading 2 Char"/>
    <w:link w:val="Heading2"/>
    <w:rsid w:val="0085534A"/>
    <w:rPr>
      <w:rFonts w:ascii="Calibri" w:eastAsia="Times New Roman" w:hAnsi="Calibri"/>
      <w:b/>
      <w:bCs/>
      <w:i/>
      <w:iCs/>
      <w:sz w:val="28"/>
      <w:szCs w:val="28"/>
      <w:lang w:val="x-none" w:eastAsia="ja-JP"/>
    </w:rPr>
  </w:style>
  <w:style w:type="paragraph" w:styleId="Caption">
    <w:name w:val="caption"/>
    <w:basedOn w:val="Normal"/>
    <w:next w:val="Normal"/>
    <w:qFormat/>
    <w:rsid w:val="00D912D2"/>
    <w:rPr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EB44F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B44F6"/>
    <w:rPr>
      <w:sz w:val="16"/>
      <w:szCs w:val="16"/>
      <w:lang w:eastAsia="ja-JP"/>
    </w:rPr>
  </w:style>
  <w:style w:type="paragraph" w:customStyle="1" w:styleId="P1-StandPara">
    <w:name w:val="P1-Stand Para"/>
    <w:link w:val="P1-StandParaChar"/>
    <w:rsid w:val="00EB44F6"/>
    <w:pPr>
      <w:spacing w:line="480" w:lineRule="auto"/>
      <w:ind w:firstLine="720"/>
    </w:pPr>
    <w:rPr>
      <w:rFonts w:eastAsia="Times New Roman"/>
      <w:sz w:val="22"/>
    </w:rPr>
  </w:style>
  <w:style w:type="paragraph" w:styleId="FootnoteText">
    <w:name w:val="footnote text"/>
    <w:aliases w:val="F1"/>
    <w:link w:val="FootnoteTextChar"/>
    <w:rsid w:val="00EB44F6"/>
    <w:pPr>
      <w:tabs>
        <w:tab w:val="left" w:pos="120"/>
      </w:tabs>
      <w:spacing w:before="120" w:line="200" w:lineRule="atLeast"/>
      <w:ind w:left="115" w:hanging="115"/>
      <w:jc w:val="both"/>
    </w:pPr>
    <w:rPr>
      <w:rFonts w:eastAsia="Times New Roman"/>
      <w:sz w:val="16"/>
    </w:rPr>
  </w:style>
  <w:style w:type="character" w:customStyle="1" w:styleId="FootnoteTextChar">
    <w:name w:val="Footnote Text Char"/>
    <w:aliases w:val="F1 Char"/>
    <w:link w:val="FootnoteText"/>
    <w:rsid w:val="00EB44F6"/>
    <w:rPr>
      <w:rFonts w:eastAsia="Times New Roman"/>
      <w:sz w:val="16"/>
    </w:rPr>
  </w:style>
  <w:style w:type="character" w:styleId="FootnoteReference">
    <w:name w:val="footnote reference"/>
    <w:rsid w:val="00EB44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EB44F6"/>
    <w:pPr>
      <w:spacing w:line="240" w:lineRule="atLeast"/>
      <w:ind w:left="720"/>
      <w:jc w:val="both"/>
    </w:pPr>
    <w:rPr>
      <w:rFonts w:eastAsia="Times New Roman"/>
      <w:sz w:val="22"/>
      <w:szCs w:val="20"/>
      <w:lang w:eastAsia="en-US"/>
    </w:rPr>
  </w:style>
  <w:style w:type="character" w:customStyle="1" w:styleId="P1-StandParaChar">
    <w:name w:val="P1-Stand Para Char"/>
    <w:link w:val="P1-StandPara"/>
    <w:rsid w:val="00EB44F6"/>
    <w:rPr>
      <w:rFonts w:eastAsia="Times New Roman"/>
      <w:sz w:val="22"/>
    </w:rPr>
  </w:style>
  <w:style w:type="paragraph" w:customStyle="1" w:styleId="a">
    <w:name w:val="_"/>
    <w:rsid w:val="005645C5"/>
    <w:pPr>
      <w:widowControl w:val="0"/>
      <w:ind w:left="720"/>
    </w:pPr>
    <w:rPr>
      <w:rFonts w:eastAsia="Times New Roman"/>
      <w:snapToGrid w:val="0"/>
      <w:sz w:val="24"/>
    </w:rPr>
  </w:style>
  <w:style w:type="paragraph" w:styleId="Revision">
    <w:name w:val="Revision"/>
    <w:hidden/>
    <w:rsid w:val="00FA029E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_nat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raining.nih.gov/trainee_-_postdoc_faq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20A44C-6ED1-44A4-AA9C-C20594606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 INTRAMURAL RESEARCH TRAINING AWARD</vt:lpstr>
    </vt:vector>
  </TitlesOfParts>
  <Company>NIH</Company>
  <LinksUpToDate>false</LinksUpToDate>
  <CharactersWithSpaces>11137</CharactersWithSpaces>
  <SharedDoc>false</SharedDoc>
  <HLinks>
    <vt:vector size="24" baseType="variant">
      <vt:variant>
        <vt:i4>3211361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A13</vt:lpwstr>
      </vt:variant>
      <vt:variant>
        <vt:i4>262258</vt:i4>
      </vt:variant>
      <vt:variant>
        <vt:i4>6</vt:i4>
      </vt:variant>
      <vt:variant>
        <vt:i4>0</vt:i4>
      </vt:variant>
      <vt:variant>
        <vt:i4>5</vt:i4>
      </vt:variant>
      <vt:variant>
        <vt:lpwstr>http://www.bls.gov/oes/current/oes_nat.htm</vt:lpwstr>
      </vt:variant>
      <vt:variant>
        <vt:lpwstr>00-0000</vt:lpwstr>
      </vt:variant>
      <vt:variant>
        <vt:i4>6356993</vt:i4>
      </vt:variant>
      <vt:variant>
        <vt:i4>3</vt:i4>
      </vt:variant>
      <vt:variant>
        <vt:i4>0</vt:i4>
      </vt:variant>
      <vt:variant>
        <vt:i4>5</vt:i4>
      </vt:variant>
      <vt:variant>
        <vt:lpwstr>mailto:privacy@mail.nih.gov</vt:lpwstr>
      </vt:variant>
      <vt:variant>
        <vt:lpwstr/>
      </vt:variant>
      <vt:variant>
        <vt:i4>3276897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A2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NIH INTRAMURAL RESEARCH TRAINING AWARD</dc:title>
  <dc:creator>Patty Wagner</dc:creator>
  <cp:lastModifiedBy>Bailey, Karla (NIH/NCI) [E]</cp:lastModifiedBy>
  <cp:revision>10</cp:revision>
  <cp:lastPrinted>2015-01-09T16:56:00Z</cp:lastPrinted>
  <dcterms:created xsi:type="dcterms:W3CDTF">2016-03-16T16:09:00Z</dcterms:created>
  <dcterms:modified xsi:type="dcterms:W3CDTF">2016-03-23T19:05:00Z</dcterms:modified>
</cp:coreProperties>
</file>