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DB311" w14:textId="77777777" w:rsidR="00C14E94" w:rsidRPr="00C14E94" w:rsidRDefault="00C14E94" w:rsidP="00D562A4">
      <w:pPr>
        <w:widowControl w:val="0"/>
        <w:adjustRightInd w:val="0"/>
        <w:snapToGrid w:val="0"/>
        <w:jc w:val="right"/>
        <w:rPr>
          <w:b/>
        </w:rPr>
      </w:pPr>
      <w:bookmarkStart w:id="0" w:name="_GoBack"/>
      <w:bookmarkEnd w:id="0"/>
    </w:p>
    <w:p w14:paraId="517B87FD" w14:textId="77777777" w:rsidR="00123BAE" w:rsidRDefault="00123BAE" w:rsidP="00A96132">
      <w:pPr>
        <w:widowControl w:val="0"/>
        <w:adjustRightInd w:val="0"/>
        <w:snapToGrid w:val="0"/>
        <w:jc w:val="center"/>
        <w:rPr>
          <w:b/>
          <w:sz w:val="28"/>
          <w:szCs w:val="28"/>
        </w:rPr>
      </w:pPr>
    </w:p>
    <w:p w14:paraId="0B1CD5A5" w14:textId="77777777" w:rsidR="00123BAE" w:rsidRDefault="00123BAE" w:rsidP="00A96132">
      <w:pPr>
        <w:widowControl w:val="0"/>
        <w:adjustRightInd w:val="0"/>
        <w:snapToGrid w:val="0"/>
        <w:jc w:val="center"/>
        <w:rPr>
          <w:b/>
          <w:sz w:val="28"/>
          <w:szCs w:val="28"/>
        </w:rPr>
      </w:pPr>
    </w:p>
    <w:p w14:paraId="6C3CE186" w14:textId="77777777" w:rsidR="00123BAE" w:rsidRDefault="00123BAE" w:rsidP="00A96132">
      <w:pPr>
        <w:widowControl w:val="0"/>
        <w:adjustRightInd w:val="0"/>
        <w:snapToGrid w:val="0"/>
        <w:jc w:val="center"/>
        <w:rPr>
          <w:b/>
          <w:sz w:val="28"/>
          <w:szCs w:val="28"/>
        </w:rPr>
      </w:pPr>
    </w:p>
    <w:p w14:paraId="76A4AF90" w14:textId="77777777" w:rsidR="00123BAE" w:rsidRDefault="00123BAE" w:rsidP="00A96132">
      <w:pPr>
        <w:widowControl w:val="0"/>
        <w:adjustRightInd w:val="0"/>
        <w:snapToGrid w:val="0"/>
        <w:jc w:val="center"/>
        <w:rPr>
          <w:b/>
          <w:sz w:val="28"/>
          <w:szCs w:val="28"/>
        </w:rPr>
      </w:pPr>
    </w:p>
    <w:p w14:paraId="26F01815" w14:textId="77777777" w:rsidR="00C14E94" w:rsidRPr="00FA6129" w:rsidRDefault="00C14E94" w:rsidP="00A96132">
      <w:pPr>
        <w:widowControl w:val="0"/>
        <w:adjustRightInd w:val="0"/>
        <w:snapToGrid w:val="0"/>
        <w:jc w:val="center"/>
        <w:rPr>
          <w:b/>
          <w:sz w:val="28"/>
          <w:szCs w:val="28"/>
        </w:rPr>
      </w:pPr>
      <w:r w:rsidRPr="00FA6129">
        <w:rPr>
          <w:b/>
          <w:sz w:val="28"/>
          <w:szCs w:val="28"/>
        </w:rPr>
        <w:t>Supporting Statement B for</w:t>
      </w:r>
    </w:p>
    <w:p w14:paraId="63D89F57" w14:textId="77777777" w:rsidR="00C14E94" w:rsidRPr="00FA6129" w:rsidRDefault="00123BAE" w:rsidP="00123BAE">
      <w:pPr>
        <w:widowControl w:val="0"/>
        <w:adjustRightInd w:val="0"/>
        <w:snapToGrid w:val="0"/>
        <w:jc w:val="center"/>
        <w:rPr>
          <w:b/>
          <w:sz w:val="28"/>
          <w:szCs w:val="28"/>
        </w:rPr>
      </w:pPr>
      <w:r w:rsidRPr="00FA6129">
        <w:rPr>
          <w:b/>
          <w:sz w:val="28"/>
          <w:szCs w:val="28"/>
        </w:rPr>
        <w:t>The effectiveness of donor notification, HIV counseling, and linkage of HIV positive donors to health care in Brazil</w:t>
      </w:r>
    </w:p>
    <w:p w14:paraId="0865B1EA" w14:textId="77777777" w:rsidR="00B7296F" w:rsidRPr="00FA6129" w:rsidRDefault="00B7296F" w:rsidP="00D562A4">
      <w:pPr>
        <w:widowControl w:val="0"/>
        <w:adjustRightInd w:val="0"/>
        <w:snapToGrid w:val="0"/>
        <w:jc w:val="right"/>
        <w:rPr>
          <w:b/>
          <w:sz w:val="28"/>
          <w:szCs w:val="28"/>
        </w:rPr>
      </w:pPr>
    </w:p>
    <w:p w14:paraId="4067014D" w14:textId="77777777" w:rsidR="00A96132" w:rsidRPr="00FA6129" w:rsidRDefault="005717D0" w:rsidP="00A96132">
      <w:pPr>
        <w:widowControl w:val="0"/>
        <w:adjustRightInd w:val="0"/>
        <w:snapToGrid w:val="0"/>
        <w:jc w:val="center"/>
        <w:rPr>
          <w:b/>
          <w:sz w:val="28"/>
          <w:szCs w:val="28"/>
        </w:rPr>
      </w:pPr>
      <w:r w:rsidRPr="00FA6129">
        <w:rPr>
          <w:b/>
          <w:sz w:val="28"/>
          <w:szCs w:val="28"/>
        </w:rPr>
        <w:t>OMB Number: TBD</w:t>
      </w:r>
    </w:p>
    <w:p w14:paraId="4AA9AFA7" w14:textId="77777777" w:rsidR="00A96132" w:rsidRPr="00FA6129" w:rsidRDefault="00A96132" w:rsidP="00A96132">
      <w:pPr>
        <w:widowControl w:val="0"/>
        <w:adjustRightInd w:val="0"/>
        <w:snapToGrid w:val="0"/>
        <w:jc w:val="center"/>
        <w:rPr>
          <w:b/>
          <w:sz w:val="28"/>
          <w:szCs w:val="28"/>
        </w:rPr>
      </w:pPr>
    </w:p>
    <w:p w14:paraId="6AC47AD9" w14:textId="77777777" w:rsidR="00A96132" w:rsidRPr="00FA6129" w:rsidRDefault="00A96132" w:rsidP="00A96132">
      <w:pPr>
        <w:widowControl w:val="0"/>
        <w:adjustRightInd w:val="0"/>
        <w:snapToGrid w:val="0"/>
        <w:jc w:val="center"/>
        <w:rPr>
          <w:b/>
          <w:sz w:val="28"/>
          <w:szCs w:val="28"/>
        </w:rPr>
      </w:pPr>
    </w:p>
    <w:p w14:paraId="0EA9C73A" w14:textId="718C5197" w:rsidR="00A96132" w:rsidRPr="00FA6129" w:rsidRDefault="004B5045" w:rsidP="00A96132">
      <w:pPr>
        <w:widowControl w:val="0"/>
        <w:adjustRightInd w:val="0"/>
        <w:snapToGrid w:val="0"/>
        <w:jc w:val="center"/>
        <w:rPr>
          <w:b/>
          <w:sz w:val="28"/>
          <w:szCs w:val="28"/>
        </w:rPr>
      </w:pPr>
      <w:r>
        <w:rPr>
          <w:b/>
          <w:sz w:val="28"/>
          <w:szCs w:val="28"/>
        </w:rPr>
        <w:t xml:space="preserve">March </w:t>
      </w:r>
      <w:r w:rsidR="00657CE7">
        <w:rPr>
          <w:b/>
          <w:sz w:val="28"/>
          <w:szCs w:val="28"/>
        </w:rPr>
        <w:t>2015</w:t>
      </w:r>
    </w:p>
    <w:p w14:paraId="224CC13B" w14:textId="77777777" w:rsidR="00C14E94" w:rsidRPr="00FA6129" w:rsidRDefault="00C14E94" w:rsidP="00A96132">
      <w:pPr>
        <w:widowControl w:val="0"/>
        <w:adjustRightInd w:val="0"/>
        <w:snapToGrid w:val="0"/>
        <w:jc w:val="center"/>
        <w:rPr>
          <w:b/>
        </w:rPr>
      </w:pPr>
    </w:p>
    <w:p w14:paraId="759DC102" w14:textId="77777777" w:rsidR="00A96132" w:rsidRPr="00FA6129" w:rsidRDefault="00A96132" w:rsidP="00A96132">
      <w:pPr>
        <w:widowControl w:val="0"/>
        <w:adjustRightInd w:val="0"/>
        <w:snapToGrid w:val="0"/>
        <w:jc w:val="center"/>
        <w:rPr>
          <w:b/>
        </w:rPr>
      </w:pPr>
    </w:p>
    <w:p w14:paraId="40025BFE" w14:textId="77777777" w:rsidR="00C14E94" w:rsidRPr="00FA6129" w:rsidRDefault="00C14E94" w:rsidP="00D562A4">
      <w:pPr>
        <w:widowControl w:val="0"/>
        <w:adjustRightInd w:val="0"/>
        <w:snapToGrid w:val="0"/>
        <w:jc w:val="right"/>
        <w:rPr>
          <w:b/>
        </w:rPr>
      </w:pPr>
    </w:p>
    <w:p w14:paraId="358FF943" w14:textId="77777777" w:rsidR="00C14E94" w:rsidRPr="00FA6129" w:rsidRDefault="00C14E94" w:rsidP="00D562A4">
      <w:pPr>
        <w:widowControl w:val="0"/>
        <w:adjustRightInd w:val="0"/>
        <w:snapToGrid w:val="0"/>
        <w:jc w:val="right"/>
      </w:pPr>
    </w:p>
    <w:p w14:paraId="6F5A5EF2" w14:textId="77777777" w:rsidR="00C14E94" w:rsidRPr="00FA6129" w:rsidRDefault="00C14E94" w:rsidP="00D562A4">
      <w:pPr>
        <w:widowControl w:val="0"/>
        <w:adjustRightInd w:val="0"/>
        <w:snapToGrid w:val="0"/>
        <w:jc w:val="right"/>
      </w:pPr>
    </w:p>
    <w:p w14:paraId="78F9616C" w14:textId="77777777" w:rsidR="00C14E94" w:rsidRPr="00FA6129" w:rsidRDefault="00C14E94" w:rsidP="00A96132">
      <w:pPr>
        <w:widowControl w:val="0"/>
        <w:adjustRightInd w:val="0"/>
        <w:snapToGrid w:val="0"/>
        <w:jc w:val="center"/>
      </w:pPr>
      <w:r w:rsidRPr="00FA6129">
        <w:t>Sponsored by:</w:t>
      </w:r>
    </w:p>
    <w:p w14:paraId="121B61A6" w14:textId="77777777" w:rsidR="00C14E94" w:rsidRPr="00FA6129" w:rsidRDefault="00C14E94" w:rsidP="00A96132">
      <w:pPr>
        <w:widowControl w:val="0"/>
        <w:adjustRightInd w:val="0"/>
        <w:snapToGrid w:val="0"/>
        <w:jc w:val="center"/>
      </w:pPr>
    </w:p>
    <w:p w14:paraId="3F7DE90F" w14:textId="77777777" w:rsidR="00C14E94" w:rsidRPr="00FA6129" w:rsidRDefault="00C14E94" w:rsidP="00A96132">
      <w:pPr>
        <w:widowControl w:val="0"/>
        <w:adjustRightInd w:val="0"/>
        <w:snapToGrid w:val="0"/>
        <w:jc w:val="center"/>
      </w:pPr>
      <w:r w:rsidRPr="00FA6129">
        <w:t>The National Heart, Lung, and Blood Institute</w:t>
      </w:r>
    </w:p>
    <w:p w14:paraId="5C62B06D" w14:textId="77777777" w:rsidR="00C14E94" w:rsidRPr="00FA6129" w:rsidRDefault="00D479D8" w:rsidP="00A96132">
      <w:pPr>
        <w:widowControl w:val="0"/>
        <w:adjustRightInd w:val="0"/>
        <w:snapToGrid w:val="0"/>
        <w:jc w:val="center"/>
      </w:pPr>
      <w:r>
        <w:t>Blood Epidemiology and Clinical Therapeutics</w:t>
      </w:r>
      <w:r w:rsidR="00C14E94" w:rsidRPr="00FA6129">
        <w:t xml:space="preserve"> Branch</w:t>
      </w:r>
    </w:p>
    <w:p w14:paraId="5117267B" w14:textId="77777777" w:rsidR="00C14E94" w:rsidRPr="00FA6129" w:rsidRDefault="00C14E94" w:rsidP="00A96132">
      <w:pPr>
        <w:widowControl w:val="0"/>
        <w:adjustRightInd w:val="0"/>
        <w:snapToGrid w:val="0"/>
        <w:jc w:val="center"/>
      </w:pPr>
      <w:r w:rsidRPr="00FA6129">
        <w:t>National Institutes of Health</w:t>
      </w:r>
    </w:p>
    <w:p w14:paraId="002C1135" w14:textId="77777777" w:rsidR="00C14E94" w:rsidRPr="00FA6129" w:rsidRDefault="00C14E94" w:rsidP="00D562A4">
      <w:pPr>
        <w:widowControl w:val="0"/>
        <w:adjustRightInd w:val="0"/>
        <w:snapToGrid w:val="0"/>
        <w:jc w:val="right"/>
      </w:pPr>
    </w:p>
    <w:p w14:paraId="359CCD89" w14:textId="77777777" w:rsidR="00C14E94" w:rsidRPr="00FA6129" w:rsidRDefault="00C14E94" w:rsidP="00D562A4">
      <w:pPr>
        <w:widowControl w:val="0"/>
        <w:adjustRightInd w:val="0"/>
        <w:snapToGrid w:val="0"/>
        <w:jc w:val="right"/>
      </w:pPr>
    </w:p>
    <w:p w14:paraId="5B85CBD9" w14:textId="77777777" w:rsidR="00C14E94" w:rsidRPr="00FA6129" w:rsidRDefault="00C14E94" w:rsidP="00D562A4">
      <w:pPr>
        <w:widowControl w:val="0"/>
        <w:adjustRightInd w:val="0"/>
        <w:snapToGrid w:val="0"/>
        <w:jc w:val="right"/>
      </w:pPr>
    </w:p>
    <w:p w14:paraId="36EA2C35" w14:textId="77777777" w:rsidR="00C14E94" w:rsidRPr="00FA6129" w:rsidRDefault="00C14E94" w:rsidP="00D562A4">
      <w:pPr>
        <w:widowControl w:val="0"/>
        <w:adjustRightInd w:val="0"/>
        <w:snapToGrid w:val="0"/>
        <w:jc w:val="right"/>
      </w:pPr>
    </w:p>
    <w:p w14:paraId="50AEC811" w14:textId="77777777" w:rsidR="00C14E94" w:rsidRPr="00FA6129" w:rsidRDefault="00C14E94" w:rsidP="00D562A4">
      <w:pPr>
        <w:widowControl w:val="0"/>
        <w:adjustRightInd w:val="0"/>
        <w:snapToGrid w:val="0"/>
        <w:jc w:val="right"/>
      </w:pPr>
    </w:p>
    <w:p w14:paraId="5C3E13B5" w14:textId="77777777" w:rsidR="00C14E94" w:rsidRPr="00FA6129" w:rsidRDefault="00C14E94" w:rsidP="00D562A4">
      <w:pPr>
        <w:widowControl w:val="0"/>
        <w:adjustRightInd w:val="0"/>
        <w:snapToGrid w:val="0"/>
        <w:jc w:val="right"/>
      </w:pPr>
    </w:p>
    <w:p w14:paraId="5486F74C" w14:textId="77777777" w:rsidR="00C14E94" w:rsidRPr="00FA6129" w:rsidRDefault="00C14E94" w:rsidP="00D562A4">
      <w:pPr>
        <w:widowControl w:val="0"/>
        <w:adjustRightInd w:val="0"/>
        <w:snapToGrid w:val="0"/>
        <w:jc w:val="right"/>
      </w:pPr>
    </w:p>
    <w:p w14:paraId="58C9F1B4" w14:textId="77777777" w:rsidR="00C14E94" w:rsidRPr="00FA6129" w:rsidRDefault="00C14E94" w:rsidP="00D562A4">
      <w:pPr>
        <w:widowControl w:val="0"/>
        <w:adjustRightInd w:val="0"/>
        <w:snapToGrid w:val="0"/>
        <w:jc w:val="right"/>
      </w:pPr>
    </w:p>
    <w:p w14:paraId="564A7116" w14:textId="77777777" w:rsidR="00C14E94" w:rsidRPr="00FA6129" w:rsidRDefault="00C14E94" w:rsidP="00A96132">
      <w:pPr>
        <w:widowControl w:val="0"/>
        <w:adjustRightInd w:val="0"/>
        <w:snapToGrid w:val="0"/>
        <w:jc w:val="center"/>
      </w:pPr>
    </w:p>
    <w:p w14:paraId="00E14C03" w14:textId="77777777" w:rsidR="00D562A4" w:rsidRPr="00FA6129" w:rsidRDefault="00C14E94" w:rsidP="00A96132">
      <w:pPr>
        <w:widowControl w:val="0"/>
        <w:adjustRightInd w:val="0"/>
        <w:snapToGrid w:val="0"/>
        <w:jc w:val="center"/>
      </w:pPr>
      <w:r w:rsidRPr="00FA6129">
        <w:t>Project Officer/ICD Contact:</w:t>
      </w:r>
    </w:p>
    <w:p w14:paraId="5E2DBB99" w14:textId="77777777" w:rsidR="00D562A4" w:rsidRPr="00FA6129" w:rsidRDefault="00D562A4" w:rsidP="00A96132">
      <w:pPr>
        <w:widowControl w:val="0"/>
        <w:adjustRightInd w:val="0"/>
        <w:snapToGrid w:val="0"/>
        <w:jc w:val="center"/>
      </w:pPr>
    </w:p>
    <w:p w14:paraId="1B82B261" w14:textId="77777777" w:rsidR="00C14E94" w:rsidRPr="00FA6129" w:rsidRDefault="00C14E94" w:rsidP="00A96132">
      <w:pPr>
        <w:widowControl w:val="0"/>
        <w:adjustRightInd w:val="0"/>
        <w:snapToGrid w:val="0"/>
        <w:jc w:val="center"/>
      </w:pPr>
      <w:r w:rsidRPr="00FA6129">
        <w:t>Simone Glynn, MD</w:t>
      </w:r>
    </w:p>
    <w:p w14:paraId="0001F15C" w14:textId="77777777" w:rsidR="00C14E94" w:rsidRPr="00FA6129" w:rsidRDefault="00D479D8" w:rsidP="00A96132">
      <w:pPr>
        <w:widowControl w:val="0"/>
        <w:adjustRightInd w:val="0"/>
        <w:snapToGrid w:val="0"/>
        <w:jc w:val="center"/>
      </w:pPr>
      <w:r>
        <w:t>Blood Epidemiology and Clinical Therapeutics</w:t>
      </w:r>
      <w:r w:rsidR="00C14E94" w:rsidRPr="00FA6129">
        <w:t xml:space="preserve"> Branch</w:t>
      </w:r>
    </w:p>
    <w:p w14:paraId="6594F9C9" w14:textId="77777777" w:rsidR="00C14E94" w:rsidRPr="00FA6129" w:rsidRDefault="00C14E94" w:rsidP="00A96132">
      <w:pPr>
        <w:widowControl w:val="0"/>
        <w:adjustRightInd w:val="0"/>
        <w:snapToGrid w:val="0"/>
        <w:jc w:val="center"/>
      </w:pPr>
      <w:r w:rsidRPr="00FA6129">
        <w:t>Division of Blood Diseases and Resources</w:t>
      </w:r>
    </w:p>
    <w:p w14:paraId="1F3F8A09" w14:textId="77777777" w:rsidR="00C14E94" w:rsidRPr="00FA6129" w:rsidRDefault="00C14E94" w:rsidP="00A96132">
      <w:pPr>
        <w:widowControl w:val="0"/>
        <w:adjustRightInd w:val="0"/>
        <w:snapToGrid w:val="0"/>
        <w:jc w:val="center"/>
      </w:pPr>
      <w:r w:rsidRPr="00FA6129">
        <w:t>National Heart, Lung, and Blood Institute</w:t>
      </w:r>
    </w:p>
    <w:p w14:paraId="639F3FD4" w14:textId="77777777" w:rsidR="00C14E94" w:rsidRPr="00FA6129" w:rsidRDefault="00C14E94" w:rsidP="00A96132">
      <w:pPr>
        <w:widowControl w:val="0"/>
        <w:adjustRightInd w:val="0"/>
        <w:snapToGrid w:val="0"/>
        <w:jc w:val="center"/>
      </w:pPr>
      <w:r w:rsidRPr="00FA6129">
        <w:t>Two Rockledge Center</w:t>
      </w:r>
    </w:p>
    <w:p w14:paraId="6F608992" w14:textId="77777777" w:rsidR="00C14E94" w:rsidRPr="00FA6129" w:rsidRDefault="00C14E94" w:rsidP="00A96132">
      <w:pPr>
        <w:widowControl w:val="0"/>
        <w:adjustRightInd w:val="0"/>
        <w:snapToGrid w:val="0"/>
        <w:jc w:val="center"/>
      </w:pPr>
      <w:r w:rsidRPr="00FA6129">
        <w:t>Suite 9142</w:t>
      </w:r>
    </w:p>
    <w:p w14:paraId="658A92E8" w14:textId="77777777" w:rsidR="00C14E94" w:rsidRPr="00FA6129" w:rsidRDefault="00D562A4" w:rsidP="00A96132">
      <w:pPr>
        <w:widowControl w:val="0"/>
        <w:adjustRightInd w:val="0"/>
        <w:snapToGrid w:val="0"/>
        <w:jc w:val="center"/>
      </w:pPr>
      <w:r w:rsidRPr="00FA6129">
        <w:t>6</w:t>
      </w:r>
      <w:r w:rsidR="00C14E94" w:rsidRPr="00FA6129">
        <w:t>701 Rockledge Drive</w:t>
      </w:r>
    </w:p>
    <w:p w14:paraId="1032CBA4" w14:textId="77777777" w:rsidR="00C14E94" w:rsidRPr="00FA6129" w:rsidRDefault="00C14E94" w:rsidP="00A96132">
      <w:pPr>
        <w:widowControl w:val="0"/>
        <w:adjustRightInd w:val="0"/>
        <w:snapToGrid w:val="0"/>
        <w:jc w:val="center"/>
      </w:pPr>
      <w:r w:rsidRPr="00FA6129">
        <w:t>Bethesda, MD 20892</w:t>
      </w:r>
    </w:p>
    <w:p w14:paraId="07BB01A3" w14:textId="77777777" w:rsidR="00C14E94" w:rsidRPr="00FA6129" w:rsidRDefault="00C14E94" w:rsidP="00A96132">
      <w:pPr>
        <w:widowControl w:val="0"/>
        <w:adjustRightInd w:val="0"/>
        <w:snapToGrid w:val="0"/>
        <w:jc w:val="center"/>
      </w:pPr>
      <w:r w:rsidRPr="00FA6129">
        <w:t>Phone: (301) 435-0065</w:t>
      </w:r>
    </w:p>
    <w:p w14:paraId="2C3A8064" w14:textId="77777777" w:rsidR="00C14E94" w:rsidRPr="00FA6129" w:rsidRDefault="00C14E94" w:rsidP="00A96132">
      <w:pPr>
        <w:widowControl w:val="0"/>
        <w:adjustRightInd w:val="0"/>
        <w:snapToGrid w:val="0"/>
        <w:jc w:val="center"/>
      </w:pPr>
      <w:r w:rsidRPr="00FA6129">
        <w:t>Fax: (301) 480-0868</w:t>
      </w:r>
    </w:p>
    <w:p w14:paraId="5B5C3C51" w14:textId="77777777" w:rsidR="00C14E94" w:rsidRPr="00FA6129" w:rsidRDefault="00C14E94" w:rsidP="00A96132">
      <w:pPr>
        <w:widowControl w:val="0"/>
        <w:adjustRightInd w:val="0"/>
        <w:snapToGrid w:val="0"/>
        <w:jc w:val="center"/>
      </w:pPr>
      <w:r w:rsidRPr="00FA6129">
        <w:t xml:space="preserve">Email: </w:t>
      </w:r>
      <w:hyperlink r:id="rId8" w:history="1">
        <w:r w:rsidRPr="00FA6129">
          <w:rPr>
            <w:rStyle w:val="Hyperlink"/>
          </w:rPr>
          <w:t>glynnsa@nhlbi.nih.gov</w:t>
        </w:r>
      </w:hyperlink>
    </w:p>
    <w:p w14:paraId="7C82CDE8" w14:textId="77777777" w:rsidR="00D562A4" w:rsidRPr="00FA6129" w:rsidRDefault="00D562A4" w:rsidP="00A96132">
      <w:pPr>
        <w:jc w:val="center"/>
        <w:rPr>
          <w:b/>
        </w:rPr>
      </w:pPr>
      <w:r w:rsidRPr="00FA6129">
        <w:rPr>
          <w:b/>
        </w:rPr>
        <w:br w:type="page"/>
      </w:r>
    </w:p>
    <w:p w14:paraId="41223F5B" w14:textId="77777777" w:rsidR="00D562A4" w:rsidRPr="00FA6129" w:rsidRDefault="00D562A4" w:rsidP="00D562A4">
      <w:pPr>
        <w:widowControl w:val="0"/>
        <w:adjustRightInd w:val="0"/>
        <w:snapToGrid w:val="0"/>
        <w:jc w:val="right"/>
        <w:rPr>
          <w:b/>
        </w:rPr>
      </w:pPr>
    </w:p>
    <w:p w14:paraId="59E56C7C" w14:textId="77777777" w:rsidR="00C14E94" w:rsidRPr="00FA6129" w:rsidRDefault="00C14E94" w:rsidP="00C14E94">
      <w:pPr>
        <w:widowControl w:val="0"/>
        <w:adjustRightInd w:val="0"/>
        <w:snapToGrid w:val="0"/>
        <w:jc w:val="center"/>
        <w:rPr>
          <w:b/>
        </w:rPr>
      </w:pPr>
      <w:r w:rsidRPr="00FA6129">
        <w:rPr>
          <w:b/>
        </w:rPr>
        <w:t>TABLE OF CONTENTS</w:t>
      </w:r>
    </w:p>
    <w:p w14:paraId="517FB680" w14:textId="77777777" w:rsidR="00BB3E27" w:rsidRPr="00FA6129" w:rsidRDefault="00BB3E27" w:rsidP="00C14E94">
      <w:pPr>
        <w:widowControl w:val="0"/>
        <w:adjustRightInd w:val="0"/>
        <w:snapToGrid w:val="0"/>
        <w:jc w:val="center"/>
        <w:rPr>
          <w:b/>
        </w:rPr>
      </w:pPr>
    </w:p>
    <w:p w14:paraId="2B892418" w14:textId="77777777" w:rsidR="00BB3E27" w:rsidRPr="00FA6129" w:rsidRDefault="00BB3E27" w:rsidP="00BB3E27">
      <w:pPr>
        <w:widowControl w:val="0"/>
        <w:adjustRightInd w:val="0"/>
        <w:snapToGrid w:val="0"/>
        <w:jc w:val="right"/>
        <w:rPr>
          <w:b/>
          <w:u w:val="single"/>
        </w:rPr>
      </w:pPr>
      <w:r w:rsidRPr="00FA6129">
        <w:rPr>
          <w:b/>
          <w:u w:val="single"/>
        </w:rPr>
        <w:t>Page</w:t>
      </w:r>
    </w:p>
    <w:p w14:paraId="473A6D28" w14:textId="77777777" w:rsidR="00C14E94" w:rsidRPr="00FA6129" w:rsidRDefault="00C14E94" w:rsidP="00C14E94">
      <w:pPr>
        <w:pStyle w:val="TOC4"/>
        <w:widowControl w:val="0"/>
        <w:adjustRightInd w:val="0"/>
        <w:snapToGrid w:val="0"/>
        <w:spacing w:line="240" w:lineRule="auto"/>
        <w:rPr>
          <w:sz w:val="24"/>
          <w:szCs w:val="24"/>
        </w:rPr>
      </w:pPr>
    </w:p>
    <w:p w14:paraId="277A7977" w14:textId="77777777" w:rsidR="00C14E94" w:rsidRPr="00FA6129" w:rsidRDefault="00BB3E27" w:rsidP="00152A07">
      <w:pPr>
        <w:widowControl w:val="0"/>
        <w:tabs>
          <w:tab w:val="left" w:pos="720"/>
          <w:tab w:val="right" w:leader="dot" w:pos="9900"/>
        </w:tabs>
        <w:adjustRightInd w:val="0"/>
        <w:snapToGrid w:val="0"/>
        <w:spacing w:after="120"/>
      </w:pPr>
      <w:r w:rsidRPr="00FA6129">
        <w:t>B.</w:t>
      </w:r>
      <w:r w:rsidRPr="00FA6129">
        <w:tab/>
        <w:t>Collection of Information</w:t>
      </w:r>
      <w:r w:rsidR="00152A07" w:rsidRPr="00FA6129">
        <w:t xml:space="preserve"> Employing Statistical Methods</w:t>
      </w:r>
      <w:r w:rsidR="00152A07" w:rsidRPr="00FA6129">
        <w:tab/>
        <w:t>1</w:t>
      </w:r>
    </w:p>
    <w:p w14:paraId="20928D38" w14:textId="77777777" w:rsidR="00152A07" w:rsidRPr="00FA6129" w:rsidRDefault="00152A07" w:rsidP="00152A07">
      <w:pPr>
        <w:widowControl w:val="0"/>
        <w:tabs>
          <w:tab w:val="left" w:pos="720"/>
          <w:tab w:val="left" w:pos="1440"/>
          <w:tab w:val="right" w:leader="dot" w:pos="9900"/>
        </w:tabs>
        <w:adjustRightInd w:val="0"/>
        <w:snapToGrid w:val="0"/>
        <w:spacing w:after="120"/>
      </w:pPr>
      <w:r w:rsidRPr="00FA6129">
        <w:tab/>
        <w:t>B.1</w:t>
      </w:r>
      <w:r w:rsidRPr="00FA6129">
        <w:tab/>
        <w:t>Respondent Universe and Sampling Methods</w:t>
      </w:r>
      <w:r w:rsidRPr="00FA6129">
        <w:tab/>
        <w:t>1</w:t>
      </w:r>
    </w:p>
    <w:p w14:paraId="31405FA8" w14:textId="77777777" w:rsidR="00152A07" w:rsidRPr="00FA6129" w:rsidRDefault="00152A07" w:rsidP="00152A07">
      <w:pPr>
        <w:widowControl w:val="0"/>
        <w:tabs>
          <w:tab w:val="left" w:pos="720"/>
          <w:tab w:val="left" w:pos="1440"/>
          <w:tab w:val="right" w:leader="dot" w:pos="9900"/>
        </w:tabs>
        <w:adjustRightInd w:val="0"/>
        <w:snapToGrid w:val="0"/>
        <w:spacing w:after="120"/>
      </w:pPr>
      <w:r w:rsidRPr="00FA6129">
        <w:tab/>
        <w:t>B.2</w:t>
      </w:r>
      <w:r w:rsidRPr="00FA6129">
        <w:tab/>
        <w:t>Procedure for the Collection of Information</w:t>
      </w:r>
      <w:r w:rsidRPr="00FA6129">
        <w:tab/>
      </w:r>
      <w:r w:rsidR="007508B6">
        <w:t>3</w:t>
      </w:r>
    </w:p>
    <w:p w14:paraId="0DA2805C" w14:textId="77777777" w:rsidR="00152A07" w:rsidRPr="00FA6129" w:rsidRDefault="00152A07" w:rsidP="00EB4745">
      <w:pPr>
        <w:widowControl w:val="0"/>
        <w:tabs>
          <w:tab w:val="left" w:pos="720"/>
          <w:tab w:val="left" w:pos="1440"/>
          <w:tab w:val="left" w:pos="2160"/>
          <w:tab w:val="right" w:leader="dot" w:pos="9900"/>
        </w:tabs>
        <w:adjustRightInd w:val="0"/>
        <w:snapToGrid w:val="0"/>
        <w:spacing w:after="120"/>
      </w:pPr>
      <w:r w:rsidRPr="00FA6129">
        <w:tab/>
        <w:t>B.3</w:t>
      </w:r>
      <w:r w:rsidR="007508B6">
        <w:tab/>
      </w:r>
      <w:r w:rsidRPr="00FA6129">
        <w:t>Methods to Maximize Response Rates and Deal with Non-response</w:t>
      </w:r>
      <w:r w:rsidRPr="00FA6129">
        <w:tab/>
      </w:r>
      <w:r w:rsidR="00EB4745">
        <w:t>5</w:t>
      </w:r>
    </w:p>
    <w:p w14:paraId="2E22F21C" w14:textId="77777777" w:rsidR="00152A07" w:rsidRPr="00FA6129" w:rsidRDefault="00152A07" w:rsidP="007508B6">
      <w:pPr>
        <w:widowControl w:val="0"/>
        <w:tabs>
          <w:tab w:val="left" w:pos="720"/>
          <w:tab w:val="left" w:pos="1440"/>
          <w:tab w:val="left" w:pos="2160"/>
          <w:tab w:val="right" w:leader="dot" w:pos="9900"/>
        </w:tabs>
        <w:adjustRightInd w:val="0"/>
        <w:snapToGrid w:val="0"/>
        <w:spacing w:after="120"/>
      </w:pPr>
      <w:r w:rsidRPr="00FA6129">
        <w:tab/>
        <w:t>B.4</w:t>
      </w:r>
      <w:r w:rsidRPr="00FA6129">
        <w:tab/>
        <w:t>Test of Procedures</w:t>
      </w:r>
      <w:r w:rsidRPr="00FA6129">
        <w:tab/>
      </w:r>
      <w:r w:rsidR="00EB4745">
        <w:t>7</w:t>
      </w:r>
    </w:p>
    <w:p w14:paraId="0DAEE7DA" w14:textId="77777777" w:rsidR="00152A07" w:rsidRPr="00FA6129" w:rsidRDefault="00152A07" w:rsidP="00152A07">
      <w:pPr>
        <w:widowControl w:val="0"/>
        <w:tabs>
          <w:tab w:val="left" w:pos="720"/>
          <w:tab w:val="left" w:pos="1440"/>
          <w:tab w:val="left" w:pos="2160"/>
          <w:tab w:val="right" w:leader="dot" w:pos="9900"/>
        </w:tabs>
        <w:adjustRightInd w:val="0"/>
        <w:snapToGrid w:val="0"/>
      </w:pPr>
      <w:r w:rsidRPr="00FA6129">
        <w:tab/>
        <w:t>B.5</w:t>
      </w:r>
      <w:r w:rsidRPr="00FA6129">
        <w:tab/>
        <w:t>Individuals Consulted on Statistical Aspects and Individuals Collecting and/or</w:t>
      </w:r>
    </w:p>
    <w:p w14:paraId="0A015B35" w14:textId="77777777" w:rsidR="00152A07" w:rsidRPr="00FA6129" w:rsidRDefault="00152A07" w:rsidP="007508B6">
      <w:pPr>
        <w:widowControl w:val="0"/>
        <w:tabs>
          <w:tab w:val="left" w:pos="720"/>
          <w:tab w:val="left" w:pos="1440"/>
          <w:tab w:val="left" w:pos="2160"/>
          <w:tab w:val="right" w:leader="dot" w:pos="9900"/>
        </w:tabs>
        <w:adjustRightInd w:val="0"/>
        <w:snapToGrid w:val="0"/>
        <w:spacing w:after="120"/>
      </w:pPr>
      <w:r w:rsidRPr="00FA6129">
        <w:tab/>
      </w:r>
      <w:r w:rsidRPr="00FA6129">
        <w:tab/>
        <w:t>Analyzing Data</w:t>
      </w:r>
      <w:r w:rsidRPr="00FA6129">
        <w:tab/>
      </w:r>
      <w:r w:rsidR="007508B6">
        <w:t>7</w:t>
      </w:r>
    </w:p>
    <w:p w14:paraId="7114BEE4" w14:textId="77777777" w:rsidR="00BB3E27" w:rsidRPr="00FA6129" w:rsidRDefault="00BB3E27" w:rsidP="00152A07">
      <w:pPr>
        <w:widowControl w:val="0"/>
        <w:adjustRightInd w:val="0"/>
        <w:snapToGrid w:val="0"/>
        <w:spacing w:after="120"/>
      </w:pPr>
    </w:p>
    <w:p w14:paraId="43EC2B56" w14:textId="77777777" w:rsidR="00BB3E27" w:rsidRPr="00FA6129" w:rsidRDefault="00BB3E27" w:rsidP="00C14E94">
      <w:pPr>
        <w:widowControl w:val="0"/>
        <w:adjustRightInd w:val="0"/>
        <w:snapToGrid w:val="0"/>
      </w:pPr>
    </w:p>
    <w:p w14:paraId="56475B7B" w14:textId="77777777" w:rsidR="00D562A4" w:rsidRPr="00FA6129" w:rsidRDefault="00D562A4">
      <w:pPr>
        <w:rPr>
          <w:b/>
        </w:rPr>
        <w:sectPr w:rsidR="00D562A4" w:rsidRPr="00FA6129" w:rsidSect="00D562A4">
          <w:footerReference w:type="default" r:id="rId9"/>
          <w:pgSz w:w="12240" w:h="15840" w:code="1"/>
          <w:pgMar w:top="1152" w:right="1152" w:bottom="1152" w:left="1152" w:header="720" w:footer="720" w:gutter="0"/>
          <w:pgNumType w:fmt="lowerRoman" w:start="1"/>
          <w:cols w:space="720"/>
          <w:docGrid w:linePitch="360"/>
        </w:sectPr>
      </w:pPr>
    </w:p>
    <w:p w14:paraId="0A8D6457" w14:textId="77777777" w:rsidR="00135B05" w:rsidRPr="00FA6129" w:rsidRDefault="00135B05" w:rsidP="00D562A4">
      <w:pPr>
        <w:pStyle w:val="Heading3"/>
        <w:keepNext w:val="0"/>
        <w:widowControl w:val="0"/>
        <w:adjustRightInd w:val="0"/>
        <w:snapToGrid w:val="0"/>
        <w:jc w:val="center"/>
        <w:rPr>
          <w:rFonts w:ascii="Times New Roman" w:hAnsi="Times New Roman" w:cs="Times New Roman"/>
          <w:sz w:val="24"/>
          <w:szCs w:val="24"/>
        </w:rPr>
      </w:pPr>
      <w:r w:rsidRPr="00FA6129">
        <w:rPr>
          <w:rFonts w:ascii="Times New Roman" w:hAnsi="Times New Roman" w:cs="Times New Roman"/>
          <w:sz w:val="24"/>
          <w:szCs w:val="24"/>
        </w:rPr>
        <w:lastRenderedPageBreak/>
        <w:t>B. Collection of Information Employing Statistical Methods</w:t>
      </w:r>
    </w:p>
    <w:p w14:paraId="6D4F0B3C" w14:textId="77777777" w:rsidR="00135B05" w:rsidRPr="00FA6129" w:rsidRDefault="00135B05" w:rsidP="00135B05">
      <w:pPr>
        <w:pStyle w:val="E-mailSignature"/>
        <w:widowControl w:val="0"/>
        <w:adjustRightInd w:val="0"/>
        <w:snapToGrid w:val="0"/>
        <w:rPr>
          <w:b/>
        </w:rPr>
      </w:pPr>
    </w:p>
    <w:p w14:paraId="0C6EEE64" w14:textId="23FC6410" w:rsidR="00FC35A6" w:rsidRPr="00FA6129" w:rsidRDefault="00FC35A6" w:rsidP="00933D04">
      <w:pPr>
        <w:pStyle w:val="E-mailSignature"/>
        <w:widowControl w:val="0"/>
        <w:adjustRightInd w:val="0"/>
        <w:snapToGrid w:val="0"/>
        <w:ind w:firstLine="720"/>
      </w:pPr>
      <w:r w:rsidRPr="00FA6129">
        <w:t>In this study, we will formally measure donor notification rates</w:t>
      </w:r>
      <w:r w:rsidR="007F0A40">
        <w:t xml:space="preserve"> resulting from the testing of donations for infections</w:t>
      </w:r>
      <w:r w:rsidR="00D479D8">
        <w:t xml:space="preserve"> (e.g., HIV, </w:t>
      </w:r>
      <w:r w:rsidR="00F72C6D">
        <w:t>H</w:t>
      </w:r>
      <w:r w:rsidR="00D479D8">
        <w:t xml:space="preserve">epatitis B and </w:t>
      </w:r>
      <w:r w:rsidR="00F72C6D">
        <w:t xml:space="preserve">Hepatitis </w:t>
      </w:r>
      <w:r w:rsidR="00D479D8">
        <w:t xml:space="preserve">C) </w:t>
      </w:r>
      <w:r w:rsidRPr="00FA6129">
        <w:t>at four major blood centers in Brazil</w:t>
      </w:r>
      <w:r w:rsidR="00F72C6D">
        <w:t>,</w:t>
      </w:r>
      <w:r w:rsidRPr="00FA6129">
        <w:t xml:space="preserve"> and enroll a cohort of HIV-positive donors in a follow-up study to assess linkage to health care and risk behaviors following notification of donation testing results. Our findings </w:t>
      </w:r>
      <w:r w:rsidR="00F75925">
        <w:t>will</w:t>
      </w:r>
      <w:r w:rsidRPr="00FA6129">
        <w:t xml:space="preserve"> yield insights into improved methods for donor selection and qualification that can increase rates of self- and on-site deferral and therefore decrease the frequency that higher-risk persons are accepted as donors in Brazil</w:t>
      </w:r>
      <w:r w:rsidR="00F72C6D">
        <w:t xml:space="preserve"> and</w:t>
      </w:r>
      <w:r w:rsidR="006105EF">
        <w:t xml:space="preserve"> other Latin American countrie</w:t>
      </w:r>
      <w:r w:rsidR="00933D04">
        <w:t xml:space="preserve">s. This will also serve to </w:t>
      </w:r>
      <w:r w:rsidR="006105EF">
        <w:t>guide the development</w:t>
      </w:r>
      <w:r w:rsidR="00D479D8">
        <w:t xml:space="preserve"> </w:t>
      </w:r>
      <w:r w:rsidR="006105EF">
        <w:t xml:space="preserve">of </w:t>
      </w:r>
      <w:r w:rsidR="00D479D8">
        <w:t xml:space="preserve">improved notification/counseling strategies </w:t>
      </w:r>
      <w:r w:rsidR="006105EF">
        <w:t>in the US</w:t>
      </w:r>
      <w:r w:rsidR="00933D04">
        <w:t xml:space="preserve"> and identify</w:t>
      </w:r>
      <w:r w:rsidR="00D479D8">
        <w:t xml:space="preserve"> potential ways to reduce test seeking</w:t>
      </w:r>
      <w:r w:rsidRPr="00FA6129">
        <w:t>.</w:t>
      </w:r>
    </w:p>
    <w:p w14:paraId="16BC33E5" w14:textId="77777777" w:rsidR="00FC35A6" w:rsidRPr="00FA6129" w:rsidRDefault="00FC35A6" w:rsidP="00FA6129">
      <w:pPr>
        <w:pStyle w:val="E-mailSignature"/>
        <w:widowControl w:val="0"/>
        <w:adjustRightInd w:val="0"/>
        <w:snapToGrid w:val="0"/>
        <w:ind w:firstLine="720"/>
      </w:pPr>
    </w:p>
    <w:p w14:paraId="4D1F8932" w14:textId="77777777" w:rsidR="00FC35A6" w:rsidRPr="00FA6129" w:rsidRDefault="00FC35A6" w:rsidP="00FC35A6">
      <w:pPr>
        <w:widowControl w:val="0"/>
        <w:autoSpaceDE w:val="0"/>
        <w:autoSpaceDN w:val="0"/>
        <w:adjustRightInd w:val="0"/>
        <w:snapToGrid w:val="0"/>
        <w:ind w:firstLine="720"/>
      </w:pPr>
      <w:r w:rsidRPr="00FA6129">
        <w:t>There are 3 aims for this study</w:t>
      </w:r>
      <w:r w:rsidR="004E0082" w:rsidRPr="00FA6129">
        <w:t>:</w:t>
      </w:r>
    </w:p>
    <w:p w14:paraId="4DDF150F" w14:textId="77777777" w:rsidR="00FC35A6" w:rsidRPr="00FA6129" w:rsidRDefault="00FC35A6" w:rsidP="00FC35A6">
      <w:pPr>
        <w:widowControl w:val="0"/>
        <w:autoSpaceDE w:val="0"/>
        <w:autoSpaceDN w:val="0"/>
        <w:adjustRightInd w:val="0"/>
        <w:snapToGrid w:val="0"/>
        <w:ind w:firstLine="720"/>
      </w:pPr>
    </w:p>
    <w:p w14:paraId="0237CEBF" w14:textId="6402D69E" w:rsidR="004E0082" w:rsidRPr="00FA6129" w:rsidRDefault="00FC35A6" w:rsidP="00F72C6D">
      <w:pPr>
        <w:pStyle w:val="ListParagraph"/>
        <w:widowControl w:val="0"/>
        <w:numPr>
          <w:ilvl w:val="0"/>
          <w:numId w:val="5"/>
        </w:numPr>
        <w:autoSpaceDE w:val="0"/>
        <w:autoSpaceDN w:val="0"/>
        <w:adjustRightInd w:val="0"/>
        <w:snapToGrid w:val="0"/>
      </w:pPr>
      <w:r w:rsidRPr="00FA6129">
        <w:t xml:space="preserve">Aim 1 is to conduct an analysis of the proportion of donors who are successfully notified for the infections for which donations are </w:t>
      </w:r>
      <w:r w:rsidR="00D479D8" w:rsidRPr="00FA6129">
        <w:t>tested</w:t>
      </w:r>
      <w:r w:rsidR="00D479D8">
        <w:t xml:space="preserve"> </w:t>
      </w:r>
      <w:r w:rsidRPr="00FA6129">
        <w:t>in Brazil</w:t>
      </w:r>
      <w:r w:rsidR="00F75925">
        <w:t>, and to identify the factors associated with successful notification</w:t>
      </w:r>
      <w:r w:rsidRPr="00FA6129">
        <w:t xml:space="preserve">. </w:t>
      </w:r>
      <w:r w:rsidR="00797E81" w:rsidRPr="00FA6129">
        <w:t>In th</w:t>
      </w:r>
      <w:r w:rsidR="007F0A40">
        <w:t xml:space="preserve">e Brazil </w:t>
      </w:r>
      <w:r w:rsidR="00797E81" w:rsidRPr="00FA6129">
        <w:t xml:space="preserve">context, successful notification means that the donor returns to </w:t>
      </w:r>
      <w:r w:rsidR="006105EF">
        <w:t xml:space="preserve">the </w:t>
      </w:r>
      <w:r w:rsidR="00797E81" w:rsidRPr="00FA6129">
        <w:t xml:space="preserve">blood center for additional testing and </w:t>
      </w:r>
      <w:r w:rsidR="007F0A40">
        <w:t xml:space="preserve">results </w:t>
      </w:r>
      <w:r w:rsidR="00797E81" w:rsidRPr="00FA6129">
        <w:t>counseling.</w:t>
      </w:r>
    </w:p>
    <w:p w14:paraId="32033740" w14:textId="77777777" w:rsidR="00FC35A6" w:rsidRPr="00FA6129" w:rsidRDefault="00FC35A6" w:rsidP="00FA6129">
      <w:pPr>
        <w:pStyle w:val="ListParagraph"/>
        <w:widowControl w:val="0"/>
        <w:autoSpaceDE w:val="0"/>
        <w:autoSpaceDN w:val="0"/>
        <w:adjustRightInd w:val="0"/>
        <w:snapToGrid w:val="0"/>
        <w:ind w:left="1440"/>
      </w:pPr>
    </w:p>
    <w:p w14:paraId="406B5F21" w14:textId="77777777" w:rsidR="004E0082" w:rsidRPr="00FA6129" w:rsidRDefault="00FC35A6" w:rsidP="00FA6129">
      <w:pPr>
        <w:pStyle w:val="ListParagraph"/>
        <w:widowControl w:val="0"/>
        <w:numPr>
          <w:ilvl w:val="0"/>
          <w:numId w:val="5"/>
        </w:numPr>
        <w:autoSpaceDE w:val="0"/>
        <w:autoSpaceDN w:val="0"/>
        <w:adjustRightInd w:val="0"/>
        <w:snapToGrid w:val="0"/>
      </w:pPr>
      <w:r w:rsidRPr="00FA6129">
        <w:t xml:space="preserve">Aim 2 is to assess whether HIV-positive donors who returned to the blood center for notification and counseling subsequently attend HIV referral centers for additional counseling, treatment and </w:t>
      </w:r>
      <w:r w:rsidR="007F0A40">
        <w:t xml:space="preserve">health care </w:t>
      </w:r>
      <w:r w:rsidRPr="00FA6129">
        <w:t>follow-up, and to determine self-reported behavioral change among HIV-positive donors using</w:t>
      </w:r>
      <w:r w:rsidR="006105EF">
        <w:t xml:space="preserve"> audio computer-assisted structure</w:t>
      </w:r>
      <w:r w:rsidR="00F75925">
        <w:t>d</w:t>
      </w:r>
      <w:r w:rsidR="006105EF">
        <w:t xml:space="preserve"> interviews</w:t>
      </w:r>
      <w:r w:rsidRPr="00FA6129">
        <w:t xml:space="preserve"> </w:t>
      </w:r>
      <w:r w:rsidR="006105EF">
        <w:t>(</w:t>
      </w:r>
      <w:r w:rsidRPr="00FA6129">
        <w:t>ACASI</w:t>
      </w:r>
      <w:r w:rsidR="006105EF">
        <w:t>)</w:t>
      </w:r>
      <w:r w:rsidRPr="00FA6129">
        <w:t>.</w:t>
      </w:r>
    </w:p>
    <w:p w14:paraId="722D4D67" w14:textId="77777777" w:rsidR="00FC35A6" w:rsidRPr="00FA6129" w:rsidRDefault="00FC35A6" w:rsidP="00FA6129">
      <w:pPr>
        <w:pStyle w:val="ListParagraph"/>
        <w:widowControl w:val="0"/>
        <w:autoSpaceDE w:val="0"/>
        <w:autoSpaceDN w:val="0"/>
        <w:adjustRightInd w:val="0"/>
        <w:snapToGrid w:val="0"/>
        <w:ind w:left="1440"/>
      </w:pPr>
    </w:p>
    <w:p w14:paraId="4EFF4F25" w14:textId="43C49C9E" w:rsidR="00FC35A6" w:rsidRPr="00FA6129" w:rsidRDefault="00FC35A6" w:rsidP="00933D04">
      <w:pPr>
        <w:pStyle w:val="ListParagraph"/>
        <w:widowControl w:val="0"/>
        <w:numPr>
          <w:ilvl w:val="0"/>
          <w:numId w:val="5"/>
        </w:numPr>
        <w:autoSpaceDE w:val="0"/>
        <w:autoSpaceDN w:val="0"/>
        <w:adjustRightInd w:val="0"/>
        <w:snapToGrid w:val="0"/>
      </w:pPr>
      <w:r w:rsidRPr="00FA6129">
        <w:t xml:space="preserve">Aim 3 is to </w:t>
      </w:r>
      <w:r w:rsidR="00933D04">
        <w:t>utilize</w:t>
      </w:r>
      <w:r w:rsidR="00933D04" w:rsidRPr="00FA6129">
        <w:t xml:space="preserve"> </w:t>
      </w:r>
      <w:r w:rsidRPr="00FA6129">
        <w:t xml:space="preserve">HIV positive blood donors (from Aim 2) as key informants by inquiring through ACASI about ways </w:t>
      </w:r>
      <w:r w:rsidR="00F72C6D">
        <w:t xml:space="preserve">in which </w:t>
      </w:r>
      <w:r w:rsidRPr="00FA6129">
        <w:t>we can improve the disclosure of HIV risks in donors during eligibility assessment.</w:t>
      </w:r>
    </w:p>
    <w:p w14:paraId="338C197B" w14:textId="77777777" w:rsidR="00FC35A6" w:rsidRPr="00FA6129" w:rsidRDefault="00FC35A6" w:rsidP="00FA6129">
      <w:pPr>
        <w:pStyle w:val="E-mailSignature"/>
        <w:widowControl w:val="0"/>
        <w:adjustRightInd w:val="0"/>
        <w:snapToGrid w:val="0"/>
        <w:ind w:firstLine="720"/>
      </w:pPr>
    </w:p>
    <w:p w14:paraId="20BA51C3" w14:textId="68B93F73" w:rsidR="00797E81" w:rsidRPr="00FA6129" w:rsidRDefault="009E3DB3" w:rsidP="00F72C6D">
      <w:pPr>
        <w:pStyle w:val="Date"/>
        <w:widowControl w:val="0"/>
        <w:adjustRightInd w:val="0"/>
        <w:snapToGrid w:val="0"/>
        <w:ind w:firstLine="720"/>
      </w:pPr>
      <w:r>
        <w:t xml:space="preserve">This study is also a follow-up to previous research conducted on HIV-positive blood donors in Brazil. </w:t>
      </w:r>
      <w:r w:rsidR="00797E81" w:rsidRPr="00FA6129">
        <w:t xml:space="preserve">The </w:t>
      </w:r>
      <w:r w:rsidR="00F72C6D">
        <w:t xml:space="preserve">four </w:t>
      </w:r>
      <w:r w:rsidR="00797E81" w:rsidRPr="00FA6129">
        <w:t>REDS-III Brazil blood centers maintain files which will permit data linkage to the REDS-II and REDS-III HIV participants because each center tracks the number of HIV</w:t>
      </w:r>
      <w:r>
        <w:t>-</w:t>
      </w:r>
      <w:r w:rsidR="00797E81" w:rsidRPr="00FA6129">
        <w:t xml:space="preserve">positive donors, blood bank registration ID number (donor ID), study  ID number from the REDS projects, </w:t>
      </w:r>
      <w:r>
        <w:t xml:space="preserve">blood </w:t>
      </w:r>
      <w:r w:rsidR="00797E81" w:rsidRPr="00FA6129">
        <w:t xml:space="preserve"> sample ID numbers, date of birth, address and contact phone number. Based on this </w:t>
      </w:r>
      <w:r w:rsidR="00F75925">
        <w:t xml:space="preserve">set of </w:t>
      </w:r>
      <w:r w:rsidR="00797E81" w:rsidRPr="00FA6129">
        <w:t xml:space="preserve">information, we will be able to identify HIV-positive blood donors, the subset who previously returned, and the subset of returning donors who completed the HIV risk factor questionnaire during REDS-II or REDS-III. </w:t>
      </w:r>
    </w:p>
    <w:p w14:paraId="26DF63A8" w14:textId="77777777" w:rsidR="00FC35A6" w:rsidRPr="00FA6129" w:rsidRDefault="00FC35A6" w:rsidP="00135B05">
      <w:pPr>
        <w:pStyle w:val="E-mailSignature"/>
        <w:widowControl w:val="0"/>
        <w:adjustRightInd w:val="0"/>
        <w:snapToGrid w:val="0"/>
        <w:rPr>
          <w:b/>
        </w:rPr>
      </w:pPr>
    </w:p>
    <w:p w14:paraId="62FEF840" w14:textId="77777777" w:rsidR="00135B05" w:rsidRPr="00FA6129" w:rsidRDefault="00135B05" w:rsidP="00BB3E27">
      <w:pPr>
        <w:pStyle w:val="E-mailSignature"/>
        <w:widowControl w:val="0"/>
        <w:adjustRightInd w:val="0"/>
        <w:snapToGrid w:val="0"/>
        <w:rPr>
          <w:b/>
        </w:rPr>
      </w:pPr>
      <w:r w:rsidRPr="00FA6129">
        <w:rPr>
          <w:b/>
        </w:rPr>
        <w:t>B.1.</w:t>
      </w:r>
      <w:r w:rsidR="00BB3E27" w:rsidRPr="00FA6129">
        <w:rPr>
          <w:b/>
        </w:rPr>
        <w:tab/>
      </w:r>
      <w:r w:rsidRPr="00FA6129">
        <w:rPr>
          <w:b/>
        </w:rPr>
        <w:t>Respondent Universe and Sampling Methods</w:t>
      </w:r>
    </w:p>
    <w:p w14:paraId="6A868F61" w14:textId="77777777" w:rsidR="00135B05" w:rsidRPr="00FA6129" w:rsidRDefault="00135B05" w:rsidP="00135B05">
      <w:pPr>
        <w:widowControl w:val="0"/>
        <w:autoSpaceDE w:val="0"/>
        <w:autoSpaceDN w:val="0"/>
        <w:adjustRightInd w:val="0"/>
        <w:snapToGrid w:val="0"/>
        <w:rPr>
          <w:b/>
        </w:rPr>
      </w:pPr>
    </w:p>
    <w:p w14:paraId="47377E2A" w14:textId="25C407C1" w:rsidR="00546EC0" w:rsidRPr="00FA6129" w:rsidRDefault="00FC35A6" w:rsidP="00F72C6D">
      <w:pPr>
        <w:widowControl w:val="0"/>
        <w:autoSpaceDE w:val="0"/>
        <w:autoSpaceDN w:val="0"/>
        <w:adjustRightInd w:val="0"/>
        <w:snapToGrid w:val="0"/>
        <w:ind w:firstLine="720"/>
      </w:pPr>
      <w:r w:rsidRPr="00FA6129">
        <w:t>The study population for Aim 1 will</w:t>
      </w:r>
      <w:r w:rsidR="00182D79" w:rsidRPr="00FA6129">
        <w:t xml:space="preserve"> come from </w:t>
      </w:r>
      <w:r w:rsidR="00546EC0" w:rsidRPr="00FA6129">
        <w:t xml:space="preserve">the </w:t>
      </w:r>
      <w:r w:rsidR="006C740C">
        <w:t xml:space="preserve">current </w:t>
      </w:r>
      <w:r w:rsidR="00546EC0" w:rsidRPr="00FA6129">
        <w:t>REDS-II</w:t>
      </w:r>
      <w:r w:rsidR="006C740C">
        <w:t>I</w:t>
      </w:r>
      <w:r w:rsidR="00546EC0" w:rsidRPr="00FA6129">
        <w:t xml:space="preserve"> </w:t>
      </w:r>
      <w:r w:rsidR="006C740C">
        <w:t>Brazil participating blood centers</w:t>
      </w:r>
      <w:r w:rsidR="00546EC0" w:rsidRPr="00FA6129">
        <w:t xml:space="preserve">: </w:t>
      </w:r>
      <w:r w:rsidR="005647BE" w:rsidRPr="00FA6129">
        <w:t>Fundação</w:t>
      </w:r>
      <w:r w:rsidR="00546EC0" w:rsidRPr="00FA6129">
        <w:t xml:space="preserve"> Pr</w:t>
      </w:r>
      <w:r w:rsidR="005647BE">
        <w:t>ó-</w:t>
      </w:r>
      <w:r w:rsidR="00546EC0" w:rsidRPr="00FA6129">
        <w:t>Sangue (S</w:t>
      </w:r>
      <w:r w:rsidR="005647BE">
        <w:rPr>
          <w:rFonts w:ascii="Calibri" w:hAnsi="Calibri"/>
        </w:rPr>
        <w:t>ã</w:t>
      </w:r>
      <w:r w:rsidR="00546EC0" w:rsidRPr="00FA6129">
        <w:t>o Paulo), Hemominas (Belo Horizonte), Hemope (Recife), and Hemorio (Rio de Janeiro)</w:t>
      </w:r>
      <w:r w:rsidR="00F75925">
        <w:t>.</w:t>
      </w:r>
      <w:r w:rsidR="004E0082" w:rsidRPr="00FA6129">
        <w:t xml:space="preserve"> </w:t>
      </w:r>
      <w:r w:rsidR="00182D79" w:rsidRPr="00FA6129">
        <w:t xml:space="preserve">The study participants will be Portuguese-literate persons aged 18–69 years who were sent notification letters </w:t>
      </w:r>
      <w:r w:rsidR="00F75925">
        <w:t xml:space="preserve">during the first three years of the REDS-III study </w:t>
      </w:r>
      <w:r w:rsidR="00182D79" w:rsidRPr="00FA6129">
        <w:t xml:space="preserve">consequent to infectious marker repeat reactive or inconclusive results for HIV, HCV, HBV, HTLV, syphilis or </w:t>
      </w:r>
      <w:r w:rsidR="00182D79" w:rsidRPr="006301EC">
        <w:rPr>
          <w:i/>
        </w:rPr>
        <w:t>T. cruzi</w:t>
      </w:r>
      <w:r w:rsidR="00182D79" w:rsidRPr="00FA6129">
        <w:t xml:space="preserve"> who did and did not respond or return to the blood centers following receipt of the letter. The blood center notification letters are sent by standard mail with delivery confirmation. Letters that cannot be delivered are returned to the blood centers. Only donors for </w:t>
      </w:r>
      <w:r w:rsidR="00F72C6D">
        <w:t xml:space="preserve">whom </w:t>
      </w:r>
      <w:r w:rsidR="00182D79" w:rsidRPr="00FA6129">
        <w:t>delivery confirmation to the last known address the donor provided at the time of donation will be included in the study.</w:t>
      </w:r>
    </w:p>
    <w:p w14:paraId="36EFE9C0" w14:textId="77777777" w:rsidR="00182D79" w:rsidRPr="00FA6129" w:rsidRDefault="00182D79" w:rsidP="00182D79">
      <w:pPr>
        <w:widowControl w:val="0"/>
        <w:autoSpaceDE w:val="0"/>
        <w:autoSpaceDN w:val="0"/>
        <w:adjustRightInd w:val="0"/>
        <w:snapToGrid w:val="0"/>
        <w:ind w:firstLine="720"/>
      </w:pPr>
    </w:p>
    <w:p w14:paraId="2CE73215" w14:textId="77777777" w:rsidR="00182D79" w:rsidRPr="00FA6129" w:rsidRDefault="00182D79" w:rsidP="003373C9">
      <w:pPr>
        <w:widowControl w:val="0"/>
        <w:autoSpaceDE w:val="0"/>
        <w:autoSpaceDN w:val="0"/>
        <w:adjustRightInd w:val="0"/>
        <w:snapToGrid w:val="0"/>
        <w:ind w:firstLine="720"/>
      </w:pPr>
      <w:r w:rsidRPr="00FA6129">
        <w:t>There will be no sampling</w:t>
      </w:r>
      <w:r w:rsidR="00B9535C">
        <w:t xml:space="preserve"> or new data collection</w:t>
      </w:r>
      <w:r w:rsidRPr="00FA6129">
        <w:t xml:space="preserve"> for Aim 1</w:t>
      </w:r>
      <w:r w:rsidR="003373C9">
        <w:t xml:space="preserve"> of our study, </w:t>
      </w:r>
      <w:r w:rsidR="00F72C6D">
        <w:t xml:space="preserve">in </w:t>
      </w:r>
      <w:r w:rsidR="003373C9">
        <w:t xml:space="preserve">which </w:t>
      </w:r>
      <w:r w:rsidR="00F72C6D">
        <w:t xml:space="preserve">we </w:t>
      </w:r>
      <w:r w:rsidRPr="00FA6129">
        <w:t xml:space="preserve">will </w:t>
      </w:r>
      <w:r w:rsidR="00F75925">
        <w:t>analyze</w:t>
      </w:r>
      <w:r w:rsidR="00423DE8">
        <w:t xml:space="preserve"> </w:t>
      </w:r>
      <w:r w:rsidR="00892882">
        <w:t>results</w:t>
      </w:r>
      <w:r w:rsidR="00423DE8">
        <w:t xml:space="preserve"> from</w:t>
      </w:r>
      <w:r w:rsidRPr="00FA6129">
        <w:t xml:space="preserve"> all of the donors</w:t>
      </w:r>
      <w:r w:rsidR="00A87A33" w:rsidRPr="00FA6129">
        <w:t xml:space="preserve"> </w:t>
      </w:r>
      <w:r w:rsidR="00423DE8">
        <w:t xml:space="preserve">meeting the eligibility criteria using </w:t>
      </w:r>
      <w:r w:rsidR="00A87A33" w:rsidRPr="00FA6129">
        <w:t>extant data</w:t>
      </w:r>
      <w:r w:rsidRPr="00FA6129">
        <w:t>.</w:t>
      </w:r>
    </w:p>
    <w:p w14:paraId="3C792679" w14:textId="77777777" w:rsidR="009E27DA" w:rsidRPr="00FA6129" w:rsidRDefault="009E27DA" w:rsidP="00707F95">
      <w:pPr>
        <w:widowControl w:val="0"/>
        <w:autoSpaceDE w:val="0"/>
        <w:autoSpaceDN w:val="0"/>
        <w:adjustRightInd w:val="0"/>
        <w:snapToGrid w:val="0"/>
        <w:ind w:firstLine="720"/>
      </w:pPr>
    </w:p>
    <w:p w14:paraId="0EC5B771" w14:textId="42B0F4D8" w:rsidR="00182D79" w:rsidRPr="00FA6129" w:rsidRDefault="006B2F8E" w:rsidP="00F72C6D">
      <w:pPr>
        <w:pStyle w:val="Date"/>
        <w:widowControl w:val="0"/>
        <w:adjustRightInd w:val="0"/>
        <w:snapToGrid w:val="0"/>
        <w:ind w:firstLine="720"/>
      </w:pPr>
      <w:r>
        <w:t>Our</w:t>
      </w:r>
      <w:r w:rsidRPr="00FA6129">
        <w:t xml:space="preserve"> study</w:t>
      </w:r>
      <w:r>
        <w:t>’s</w:t>
      </w:r>
      <w:r w:rsidRPr="00FA6129">
        <w:t xml:space="preserve"> population for Aims 2 and 3 will be HIV-positive Portuguese-speaking persons aged 18–69 years who participated in the REDS-II HIV case-control study</w:t>
      </w:r>
      <w:r>
        <w:t>,</w:t>
      </w:r>
      <w:r w:rsidRPr="00FA6129">
        <w:t xml:space="preserve"> or</w:t>
      </w:r>
      <w:r>
        <w:t>,</w:t>
      </w:r>
      <w:r w:rsidRPr="00FA6129">
        <w:t xml:space="preserve"> the first three years of the ongoing REDS-III HIV case </w:t>
      </w:r>
      <w:r>
        <w:t>surveillance</w:t>
      </w:r>
      <w:r w:rsidRPr="00FA6129">
        <w:t xml:space="preserve"> study</w:t>
      </w:r>
      <w:r>
        <w:t>.</w:t>
      </w:r>
      <w:r w:rsidR="00657B39">
        <w:t xml:space="preserve"> The target enrollment for aims 2 and 3 is 275 blood donors which should be achievable considering the number of HIV-positive donors enrolled in the REDS-II study and the numbers enrolling in the REDS-III study </w:t>
      </w:r>
      <w:r w:rsidR="00F72C6D">
        <w:t xml:space="preserve">thus </w:t>
      </w:r>
      <w:r w:rsidR="00657B39">
        <w:t>far</w:t>
      </w:r>
      <w:r w:rsidR="00C5137B">
        <w:t>:</w:t>
      </w:r>
      <w:r>
        <w:t xml:space="preserve"> </w:t>
      </w:r>
      <w:r w:rsidR="00657B39">
        <w:t>D</w:t>
      </w:r>
      <w:r w:rsidR="00657B39" w:rsidRPr="00F40D57">
        <w:t xml:space="preserve">uring </w:t>
      </w:r>
      <w:r w:rsidR="00657B39">
        <w:t xml:space="preserve">the </w:t>
      </w:r>
      <w:r w:rsidR="00657B39" w:rsidRPr="00F40D57">
        <w:t>REDS-II</w:t>
      </w:r>
      <w:r w:rsidR="00657B39">
        <w:t xml:space="preserve"> case-control study, </w:t>
      </w:r>
      <w:r w:rsidR="00657B39" w:rsidDel="00657B39">
        <w:t xml:space="preserve"> </w:t>
      </w:r>
      <w:r w:rsidR="00F40D57" w:rsidRPr="00F40D57">
        <w:t>3</w:t>
      </w:r>
      <w:r w:rsidR="005A53BE">
        <w:t>4</w:t>
      </w:r>
      <w:r w:rsidR="00657B39">
        <w:t>1</w:t>
      </w:r>
      <w:r w:rsidR="00F40D57" w:rsidRPr="00F40D57">
        <w:t xml:space="preserve"> HIV positive donors were enrolled in </w:t>
      </w:r>
      <w:r w:rsidR="00F75925">
        <w:t xml:space="preserve">the </w:t>
      </w:r>
      <w:r w:rsidR="00F40D57" w:rsidRPr="00F40D57">
        <w:t xml:space="preserve">four </w:t>
      </w:r>
      <w:r w:rsidR="00F75925">
        <w:t xml:space="preserve">participating </w:t>
      </w:r>
      <w:r w:rsidR="00F40D57" w:rsidRPr="00F40D57">
        <w:t xml:space="preserve">Brazilian blood centers. </w:t>
      </w:r>
      <w:r w:rsidR="00C5137B">
        <w:t xml:space="preserve"> Further, a</w:t>
      </w:r>
      <w:r w:rsidR="00F75925">
        <w:t xml:space="preserve"> subset of enrollees </w:t>
      </w:r>
      <w:r w:rsidR="00C5137B">
        <w:t xml:space="preserve">in the REDS-III study (about 120) </w:t>
      </w:r>
      <w:r w:rsidR="00F75925">
        <w:t xml:space="preserve">during </w:t>
      </w:r>
      <w:r w:rsidR="00C5137B">
        <w:t xml:space="preserve"> </w:t>
      </w:r>
      <w:r w:rsidR="00F40D57" w:rsidRPr="00F40D57">
        <w:t>2012</w:t>
      </w:r>
      <w:r w:rsidR="00C5137B">
        <w:t xml:space="preserve"> to </w:t>
      </w:r>
      <w:r w:rsidR="00F40D57" w:rsidRPr="00F40D57">
        <w:t>2014</w:t>
      </w:r>
      <w:r w:rsidR="00F75925">
        <w:t xml:space="preserve"> will be eligible for this new study</w:t>
      </w:r>
      <w:r w:rsidR="00C5137B">
        <w:t xml:space="preserve"> (see Sample Size Calculations below)</w:t>
      </w:r>
      <w:r w:rsidR="00F75925">
        <w:t>.</w:t>
      </w:r>
      <w:r w:rsidR="00F40D57" w:rsidRPr="00F40D57">
        <w:t xml:space="preserve"> </w:t>
      </w:r>
    </w:p>
    <w:p w14:paraId="521B2877" w14:textId="77777777" w:rsidR="00182D79" w:rsidRPr="00FA6129" w:rsidRDefault="00182D79" w:rsidP="00FA6129"/>
    <w:p w14:paraId="76EC42D5" w14:textId="49B89F14" w:rsidR="00182D79" w:rsidRPr="00FA6129" w:rsidRDefault="00182D79" w:rsidP="00F72C6D">
      <w:pPr>
        <w:ind w:firstLine="720"/>
      </w:pPr>
      <w:r w:rsidRPr="00FA6129">
        <w:t xml:space="preserve"> Aims 2 and 3</w:t>
      </w:r>
      <w:r w:rsidR="008C50D6">
        <w:t xml:space="preserve"> </w:t>
      </w:r>
      <w:r w:rsidR="00B9535C">
        <w:t xml:space="preserve">will </w:t>
      </w:r>
      <w:r w:rsidR="00F72C6D">
        <w:t xml:space="preserve">utilize </w:t>
      </w:r>
      <w:r w:rsidR="00B9535C">
        <w:t>a convenience sample</w:t>
      </w:r>
      <w:r w:rsidR="008C50D6">
        <w:t>, since w</w:t>
      </w:r>
      <w:r w:rsidRPr="00FA6129">
        <w:t>e will be recruiting all eligible donors</w:t>
      </w:r>
      <w:r w:rsidR="00FD143E" w:rsidRPr="00FA6129">
        <w:t xml:space="preserve"> </w:t>
      </w:r>
      <w:r w:rsidR="00F72C6D">
        <w:t xml:space="preserve">whom </w:t>
      </w:r>
      <w:r w:rsidR="0083626D">
        <w:t xml:space="preserve">we are able to recall </w:t>
      </w:r>
      <w:r w:rsidR="00FD143E" w:rsidRPr="00FA6129">
        <w:t>as described in the previous paragraph</w:t>
      </w:r>
      <w:r w:rsidRPr="00FA6129">
        <w:t>.</w:t>
      </w:r>
    </w:p>
    <w:p w14:paraId="60CCCAE8" w14:textId="77777777" w:rsidR="00135B05" w:rsidRPr="00FA6129" w:rsidRDefault="00135B05" w:rsidP="00FA6129">
      <w:pPr>
        <w:pStyle w:val="Date"/>
        <w:widowControl w:val="0"/>
        <w:adjustRightInd w:val="0"/>
        <w:snapToGrid w:val="0"/>
      </w:pPr>
    </w:p>
    <w:p w14:paraId="2B9104EB" w14:textId="77777777" w:rsidR="00135B05" w:rsidRPr="00FA6129" w:rsidRDefault="00135B05" w:rsidP="00135B05">
      <w:pPr>
        <w:widowControl w:val="0"/>
        <w:adjustRightInd w:val="0"/>
        <w:snapToGrid w:val="0"/>
        <w:rPr>
          <w:b/>
          <w:color w:val="000000"/>
          <w:u w:val="single"/>
        </w:rPr>
      </w:pPr>
      <w:r w:rsidRPr="00FA6129">
        <w:rPr>
          <w:b/>
          <w:color w:val="000000"/>
          <w:u w:val="single"/>
        </w:rPr>
        <w:t>Sample Size Calculations:</w:t>
      </w:r>
    </w:p>
    <w:p w14:paraId="75766EA7" w14:textId="77777777" w:rsidR="00BB3E27" w:rsidRPr="00FA6129" w:rsidRDefault="00BB3E27" w:rsidP="00135B05">
      <w:pPr>
        <w:widowControl w:val="0"/>
        <w:autoSpaceDE w:val="0"/>
        <w:autoSpaceDN w:val="0"/>
        <w:adjustRightInd w:val="0"/>
        <w:snapToGrid w:val="0"/>
        <w:ind w:firstLine="720"/>
      </w:pPr>
    </w:p>
    <w:p w14:paraId="5B800137" w14:textId="77777777" w:rsidR="009A610B" w:rsidRPr="00FA6129" w:rsidRDefault="009A610B" w:rsidP="009A610B">
      <w:pPr>
        <w:pStyle w:val="BodyText"/>
        <w:rPr>
          <w:rFonts w:asciiTheme="majorBidi" w:hAnsiTheme="majorBidi" w:cstheme="majorBidi"/>
          <w:szCs w:val="24"/>
        </w:rPr>
      </w:pPr>
      <w:r w:rsidRPr="00FA6129">
        <w:rPr>
          <w:rFonts w:asciiTheme="majorBidi" w:hAnsiTheme="majorBidi" w:cstheme="majorBidi"/>
          <w:szCs w:val="24"/>
        </w:rPr>
        <w:t xml:space="preserve">Aim 1: </w:t>
      </w:r>
      <w:r w:rsidRPr="00FA6129">
        <w:rPr>
          <w:rFonts w:asciiTheme="majorBidi" w:hAnsiTheme="majorBidi" w:cstheme="majorBidi"/>
          <w:b w:val="0"/>
          <w:szCs w:val="24"/>
        </w:rPr>
        <w:t>The overall percentage of discarded blood units for serologic markers varies from 4% in Sao Paulo to 8% in Recife, and in Brazil the great majority of discarded units are attributable to repeat reactive and inconclusive donation testing results</w:t>
      </w:r>
      <w:r w:rsidRPr="00FA6129">
        <w:rPr>
          <w:rFonts w:asciiTheme="majorBidi" w:hAnsiTheme="majorBidi" w:cstheme="majorBidi"/>
          <w:szCs w:val="24"/>
        </w:rPr>
        <w:t>.</w:t>
      </w:r>
    </w:p>
    <w:p w14:paraId="58BB8142" w14:textId="77777777" w:rsidR="009A610B" w:rsidRPr="00FA6129" w:rsidRDefault="009A610B" w:rsidP="009A610B">
      <w:pPr>
        <w:pStyle w:val="BodyText"/>
        <w:rPr>
          <w:rFonts w:asciiTheme="minorHAnsi" w:hAnsiTheme="minorHAnsi" w:cstheme="minorHAnsi"/>
          <w:b w:val="0"/>
          <w:sz w:val="22"/>
          <w:szCs w:val="22"/>
        </w:rPr>
      </w:pPr>
    </w:p>
    <w:p w14:paraId="2C5A987F" w14:textId="4ABB9E34" w:rsidR="009A610B" w:rsidRPr="00FA6129" w:rsidRDefault="009A610B" w:rsidP="00F72C6D">
      <w:r w:rsidRPr="00FA6129">
        <w:rPr>
          <w:b/>
        </w:rPr>
        <w:t xml:space="preserve">Table 1. Number of delivered notification letters and blood donor returns by blood center* and infectious marker. ** </w:t>
      </w:r>
    </w:p>
    <w:tbl>
      <w:tblPr>
        <w:tblStyle w:val="TableGrid"/>
        <w:tblW w:w="9360" w:type="dxa"/>
        <w:tblInd w:w="108" w:type="dxa"/>
        <w:tblLayout w:type="fixed"/>
        <w:tblLook w:val="04A0" w:firstRow="1" w:lastRow="0" w:firstColumn="1" w:lastColumn="0" w:noHBand="0" w:noVBand="1"/>
      </w:tblPr>
      <w:tblGrid>
        <w:gridCol w:w="1047"/>
        <w:gridCol w:w="1023"/>
        <w:gridCol w:w="1080"/>
        <w:gridCol w:w="966"/>
        <w:gridCol w:w="1014"/>
        <w:gridCol w:w="966"/>
        <w:gridCol w:w="1104"/>
        <w:gridCol w:w="990"/>
        <w:gridCol w:w="1170"/>
      </w:tblGrid>
      <w:tr w:rsidR="009A610B" w:rsidRPr="00FA6129" w14:paraId="3187B1DE" w14:textId="77777777" w:rsidTr="00DC3DDB">
        <w:tc>
          <w:tcPr>
            <w:tcW w:w="1047" w:type="dxa"/>
            <w:vMerge w:val="restart"/>
          </w:tcPr>
          <w:p w14:paraId="2A98F99C" w14:textId="77777777" w:rsidR="009A610B" w:rsidRPr="00FA6129" w:rsidRDefault="009A610B" w:rsidP="00280E97">
            <w:pPr>
              <w:rPr>
                <w:b/>
                <w:sz w:val="18"/>
                <w:szCs w:val="18"/>
              </w:rPr>
            </w:pPr>
            <w:r w:rsidRPr="00FA6129">
              <w:rPr>
                <w:b/>
                <w:sz w:val="18"/>
                <w:szCs w:val="18"/>
              </w:rPr>
              <w:t>Infectious Marker</w:t>
            </w:r>
          </w:p>
        </w:tc>
        <w:tc>
          <w:tcPr>
            <w:tcW w:w="2103" w:type="dxa"/>
            <w:gridSpan w:val="2"/>
          </w:tcPr>
          <w:p w14:paraId="49AC955C" w14:textId="77777777" w:rsidR="009A610B" w:rsidRPr="00FA6129" w:rsidRDefault="00ED1BA5" w:rsidP="00280E97">
            <w:pPr>
              <w:jc w:val="center"/>
              <w:rPr>
                <w:b/>
                <w:sz w:val="18"/>
                <w:szCs w:val="18"/>
              </w:rPr>
            </w:pPr>
            <w:r w:rsidRPr="00FA6129">
              <w:rPr>
                <w:b/>
                <w:sz w:val="18"/>
                <w:szCs w:val="18"/>
              </w:rPr>
              <w:t>Fundação</w:t>
            </w:r>
            <w:r w:rsidR="009A610B" w:rsidRPr="00FA6129">
              <w:rPr>
                <w:b/>
                <w:sz w:val="18"/>
                <w:szCs w:val="18"/>
              </w:rPr>
              <w:t xml:space="preserve"> Pro-Sangue</w:t>
            </w:r>
          </w:p>
        </w:tc>
        <w:tc>
          <w:tcPr>
            <w:tcW w:w="1980" w:type="dxa"/>
            <w:gridSpan w:val="2"/>
          </w:tcPr>
          <w:p w14:paraId="7CEAD365" w14:textId="77777777" w:rsidR="009A610B" w:rsidRPr="00FA6129" w:rsidRDefault="009A610B" w:rsidP="00280E97">
            <w:pPr>
              <w:jc w:val="center"/>
              <w:rPr>
                <w:b/>
                <w:sz w:val="18"/>
                <w:szCs w:val="18"/>
              </w:rPr>
            </w:pPr>
            <w:r w:rsidRPr="00FA6129">
              <w:rPr>
                <w:b/>
                <w:sz w:val="18"/>
                <w:szCs w:val="18"/>
              </w:rPr>
              <w:t>Hemominas</w:t>
            </w:r>
          </w:p>
        </w:tc>
        <w:tc>
          <w:tcPr>
            <w:tcW w:w="2070" w:type="dxa"/>
            <w:gridSpan w:val="2"/>
          </w:tcPr>
          <w:p w14:paraId="57BCB5E3" w14:textId="77777777" w:rsidR="009A610B" w:rsidRPr="00FA6129" w:rsidRDefault="009A610B" w:rsidP="00280E97">
            <w:pPr>
              <w:jc w:val="center"/>
              <w:rPr>
                <w:b/>
                <w:sz w:val="18"/>
                <w:szCs w:val="18"/>
              </w:rPr>
            </w:pPr>
            <w:r w:rsidRPr="00FA6129">
              <w:rPr>
                <w:b/>
                <w:sz w:val="18"/>
                <w:szCs w:val="18"/>
              </w:rPr>
              <w:t>Hemope</w:t>
            </w:r>
          </w:p>
        </w:tc>
        <w:tc>
          <w:tcPr>
            <w:tcW w:w="2160" w:type="dxa"/>
            <w:gridSpan w:val="2"/>
          </w:tcPr>
          <w:p w14:paraId="7D9AAA64" w14:textId="77777777" w:rsidR="009A610B" w:rsidRPr="00FA6129" w:rsidRDefault="009A610B" w:rsidP="00280E97">
            <w:pPr>
              <w:jc w:val="center"/>
              <w:rPr>
                <w:b/>
                <w:sz w:val="18"/>
                <w:szCs w:val="18"/>
              </w:rPr>
            </w:pPr>
            <w:r w:rsidRPr="00FA6129">
              <w:rPr>
                <w:b/>
                <w:sz w:val="18"/>
                <w:szCs w:val="18"/>
              </w:rPr>
              <w:t>Hemorio</w:t>
            </w:r>
          </w:p>
        </w:tc>
      </w:tr>
      <w:tr w:rsidR="009A610B" w:rsidRPr="00FA6129" w14:paraId="16174B09" w14:textId="77777777" w:rsidTr="00DC3DDB">
        <w:tc>
          <w:tcPr>
            <w:tcW w:w="1047" w:type="dxa"/>
            <w:vMerge/>
          </w:tcPr>
          <w:p w14:paraId="3DBF6F16" w14:textId="77777777" w:rsidR="009A610B" w:rsidRPr="00FA6129" w:rsidRDefault="009A610B" w:rsidP="00280E97">
            <w:pPr>
              <w:rPr>
                <w:sz w:val="18"/>
                <w:szCs w:val="18"/>
              </w:rPr>
            </w:pPr>
          </w:p>
        </w:tc>
        <w:tc>
          <w:tcPr>
            <w:tcW w:w="1023" w:type="dxa"/>
          </w:tcPr>
          <w:p w14:paraId="741565DF" w14:textId="77777777" w:rsidR="009A610B" w:rsidRPr="00FA6129" w:rsidRDefault="009A610B" w:rsidP="00280E97">
            <w:pPr>
              <w:jc w:val="center"/>
              <w:rPr>
                <w:b/>
                <w:sz w:val="18"/>
                <w:szCs w:val="18"/>
              </w:rPr>
            </w:pPr>
            <w:r w:rsidRPr="00FA6129">
              <w:rPr>
                <w:b/>
                <w:sz w:val="18"/>
                <w:szCs w:val="18"/>
              </w:rPr>
              <w:t>Delivered Letters</w:t>
            </w:r>
          </w:p>
          <w:p w14:paraId="73F215C4" w14:textId="77777777" w:rsidR="009A610B" w:rsidRPr="00FA6129" w:rsidRDefault="009A610B" w:rsidP="00280E97">
            <w:pPr>
              <w:jc w:val="center"/>
              <w:rPr>
                <w:b/>
                <w:sz w:val="18"/>
                <w:szCs w:val="18"/>
              </w:rPr>
            </w:pPr>
            <w:r w:rsidRPr="00FA6129">
              <w:rPr>
                <w:b/>
                <w:sz w:val="18"/>
                <w:szCs w:val="18"/>
              </w:rPr>
              <w:t>n</w:t>
            </w:r>
          </w:p>
        </w:tc>
        <w:tc>
          <w:tcPr>
            <w:tcW w:w="1080" w:type="dxa"/>
          </w:tcPr>
          <w:p w14:paraId="293A06DA" w14:textId="77777777" w:rsidR="009A610B" w:rsidRPr="00FA6129" w:rsidRDefault="009A610B" w:rsidP="00280E97">
            <w:pPr>
              <w:jc w:val="center"/>
              <w:rPr>
                <w:b/>
                <w:sz w:val="18"/>
                <w:szCs w:val="18"/>
              </w:rPr>
            </w:pPr>
            <w:r w:rsidRPr="00FA6129">
              <w:rPr>
                <w:b/>
                <w:sz w:val="18"/>
                <w:szCs w:val="18"/>
              </w:rPr>
              <w:t>Returning donors</w:t>
            </w:r>
          </w:p>
          <w:p w14:paraId="32259C68" w14:textId="77777777" w:rsidR="009A610B" w:rsidRPr="00FA6129" w:rsidRDefault="009A610B" w:rsidP="00280E97">
            <w:pPr>
              <w:jc w:val="center"/>
              <w:rPr>
                <w:b/>
                <w:sz w:val="18"/>
                <w:szCs w:val="18"/>
              </w:rPr>
            </w:pPr>
            <w:r w:rsidRPr="00FA6129">
              <w:rPr>
                <w:b/>
                <w:sz w:val="18"/>
                <w:szCs w:val="18"/>
              </w:rPr>
              <w:t>n (%)</w:t>
            </w:r>
          </w:p>
        </w:tc>
        <w:tc>
          <w:tcPr>
            <w:tcW w:w="966" w:type="dxa"/>
          </w:tcPr>
          <w:p w14:paraId="67EE18FF" w14:textId="77777777" w:rsidR="009A610B" w:rsidRPr="00FA6129" w:rsidRDefault="009A610B" w:rsidP="00280E97">
            <w:pPr>
              <w:jc w:val="center"/>
              <w:rPr>
                <w:b/>
                <w:sz w:val="18"/>
                <w:szCs w:val="18"/>
              </w:rPr>
            </w:pPr>
            <w:r w:rsidRPr="00FA6129">
              <w:rPr>
                <w:b/>
                <w:sz w:val="18"/>
                <w:szCs w:val="18"/>
              </w:rPr>
              <w:t>Delivered Letters</w:t>
            </w:r>
          </w:p>
          <w:p w14:paraId="3441D8F6" w14:textId="77777777" w:rsidR="009A610B" w:rsidRPr="00FA6129" w:rsidRDefault="009A610B" w:rsidP="00280E97">
            <w:pPr>
              <w:jc w:val="center"/>
              <w:rPr>
                <w:b/>
                <w:sz w:val="18"/>
                <w:szCs w:val="18"/>
              </w:rPr>
            </w:pPr>
            <w:r w:rsidRPr="00FA6129">
              <w:rPr>
                <w:b/>
                <w:sz w:val="18"/>
                <w:szCs w:val="18"/>
              </w:rPr>
              <w:t>n</w:t>
            </w:r>
          </w:p>
        </w:tc>
        <w:tc>
          <w:tcPr>
            <w:tcW w:w="1014" w:type="dxa"/>
          </w:tcPr>
          <w:p w14:paraId="5D2D258A" w14:textId="77777777" w:rsidR="009A610B" w:rsidRPr="00FA6129" w:rsidRDefault="009A610B" w:rsidP="00280E97">
            <w:pPr>
              <w:jc w:val="center"/>
              <w:rPr>
                <w:b/>
                <w:sz w:val="18"/>
                <w:szCs w:val="18"/>
              </w:rPr>
            </w:pPr>
            <w:r w:rsidRPr="00FA6129">
              <w:rPr>
                <w:b/>
                <w:sz w:val="18"/>
                <w:szCs w:val="18"/>
              </w:rPr>
              <w:t>Returning Donors</w:t>
            </w:r>
          </w:p>
          <w:p w14:paraId="2806069C" w14:textId="77777777" w:rsidR="009A610B" w:rsidRPr="00FA6129" w:rsidRDefault="009A610B" w:rsidP="00280E97">
            <w:pPr>
              <w:jc w:val="center"/>
              <w:rPr>
                <w:b/>
                <w:sz w:val="18"/>
                <w:szCs w:val="18"/>
              </w:rPr>
            </w:pPr>
            <w:r w:rsidRPr="00FA6129">
              <w:rPr>
                <w:b/>
                <w:sz w:val="18"/>
                <w:szCs w:val="18"/>
              </w:rPr>
              <w:t>n (%)</w:t>
            </w:r>
          </w:p>
        </w:tc>
        <w:tc>
          <w:tcPr>
            <w:tcW w:w="966" w:type="dxa"/>
          </w:tcPr>
          <w:p w14:paraId="0A386298" w14:textId="77777777" w:rsidR="009A610B" w:rsidRPr="00FA6129" w:rsidRDefault="009A610B" w:rsidP="00280E97">
            <w:pPr>
              <w:jc w:val="center"/>
              <w:rPr>
                <w:b/>
                <w:sz w:val="18"/>
                <w:szCs w:val="18"/>
              </w:rPr>
            </w:pPr>
            <w:r w:rsidRPr="00FA6129">
              <w:rPr>
                <w:b/>
                <w:sz w:val="18"/>
                <w:szCs w:val="18"/>
              </w:rPr>
              <w:t>Delivered Letters</w:t>
            </w:r>
          </w:p>
          <w:p w14:paraId="302B257B" w14:textId="77777777" w:rsidR="009A610B" w:rsidRPr="00FA6129" w:rsidRDefault="009A610B" w:rsidP="00280E97">
            <w:pPr>
              <w:jc w:val="center"/>
              <w:rPr>
                <w:b/>
                <w:sz w:val="18"/>
                <w:szCs w:val="18"/>
              </w:rPr>
            </w:pPr>
            <w:r w:rsidRPr="00FA6129">
              <w:rPr>
                <w:b/>
                <w:sz w:val="18"/>
                <w:szCs w:val="18"/>
              </w:rPr>
              <w:t>n</w:t>
            </w:r>
          </w:p>
        </w:tc>
        <w:tc>
          <w:tcPr>
            <w:tcW w:w="1104" w:type="dxa"/>
          </w:tcPr>
          <w:p w14:paraId="0249A55F" w14:textId="77777777" w:rsidR="009A610B" w:rsidRPr="00FA6129" w:rsidRDefault="009A610B" w:rsidP="00280E97">
            <w:pPr>
              <w:jc w:val="center"/>
              <w:rPr>
                <w:b/>
                <w:sz w:val="18"/>
                <w:szCs w:val="18"/>
              </w:rPr>
            </w:pPr>
            <w:r w:rsidRPr="00FA6129">
              <w:rPr>
                <w:b/>
                <w:sz w:val="18"/>
                <w:szCs w:val="18"/>
              </w:rPr>
              <w:t>Returning donors</w:t>
            </w:r>
          </w:p>
          <w:p w14:paraId="5E59DE23" w14:textId="77777777" w:rsidR="009A610B" w:rsidRPr="00FA6129" w:rsidRDefault="009A610B" w:rsidP="00280E97">
            <w:pPr>
              <w:jc w:val="center"/>
              <w:rPr>
                <w:b/>
                <w:sz w:val="18"/>
                <w:szCs w:val="18"/>
              </w:rPr>
            </w:pPr>
            <w:r w:rsidRPr="00FA6129">
              <w:rPr>
                <w:b/>
                <w:sz w:val="18"/>
                <w:szCs w:val="18"/>
              </w:rPr>
              <w:t>n (%)</w:t>
            </w:r>
          </w:p>
        </w:tc>
        <w:tc>
          <w:tcPr>
            <w:tcW w:w="990" w:type="dxa"/>
          </w:tcPr>
          <w:p w14:paraId="38ABE080" w14:textId="77777777" w:rsidR="009A610B" w:rsidRPr="00FA6129" w:rsidRDefault="009A610B" w:rsidP="00280E97">
            <w:pPr>
              <w:jc w:val="center"/>
              <w:rPr>
                <w:b/>
                <w:sz w:val="18"/>
                <w:szCs w:val="18"/>
              </w:rPr>
            </w:pPr>
            <w:r w:rsidRPr="00FA6129">
              <w:rPr>
                <w:b/>
                <w:sz w:val="18"/>
                <w:szCs w:val="18"/>
              </w:rPr>
              <w:t>Delivered Letters</w:t>
            </w:r>
          </w:p>
          <w:p w14:paraId="34D05BAD" w14:textId="77777777" w:rsidR="009A610B" w:rsidRPr="00FA6129" w:rsidRDefault="009A610B" w:rsidP="00280E97">
            <w:pPr>
              <w:jc w:val="center"/>
              <w:rPr>
                <w:b/>
                <w:sz w:val="18"/>
                <w:szCs w:val="18"/>
              </w:rPr>
            </w:pPr>
            <w:r w:rsidRPr="00FA6129">
              <w:rPr>
                <w:b/>
                <w:sz w:val="18"/>
                <w:szCs w:val="18"/>
              </w:rPr>
              <w:t>n</w:t>
            </w:r>
          </w:p>
        </w:tc>
        <w:tc>
          <w:tcPr>
            <w:tcW w:w="1170" w:type="dxa"/>
          </w:tcPr>
          <w:p w14:paraId="3859D922" w14:textId="77777777" w:rsidR="009A610B" w:rsidRPr="00FA6129" w:rsidRDefault="009A610B" w:rsidP="00280E97">
            <w:pPr>
              <w:jc w:val="center"/>
              <w:rPr>
                <w:b/>
                <w:sz w:val="18"/>
                <w:szCs w:val="18"/>
              </w:rPr>
            </w:pPr>
            <w:r w:rsidRPr="00FA6129">
              <w:rPr>
                <w:b/>
                <w:sz w:val="18"/>
                <w:szCs w:val="18"/>
              </w:rPr>
              <w:t>Returning donors</w:t>
            </w:r>
          </w:p>
          <w:p w14:paraId="69EBCCA8" w14:textId="77777777" w:rsidR="009A610B" w:rsidRPr="00FA6129" w:rsidRDefault="009A610B" w:rsidP="00280E97">
            <w:pPr>
              <w:jc w:val="center"/>
              <w:rPr>
                <w:b/>
                <w:sz w:val="18"/>
                <w:szCs w:val="18"/>
              </w:rPr>
            </w:pPr>
            <w:r w:rsidRPr="00FA6129">
              <w:rPr>
                <w:b/>
                <w:sz w:val="18"/>
                <w:szCs w:val="18"/>
              </w:rPr>
              <w:t>n (%)</w:t>
            </w:r>
          </w:p>
        </w:tc>
      </w:tr>
      <w:tr w:rsidR="009A610B" w:rsidRPr="00FA6129" w14:paraId="5B8AE393" w14:textId="77777777" w:rsidTr="00DC3DDB">
        <w:tc>
          <w:tcPr>
            <w:tcW w:w="1047" w:type="dxa"/>
          </w:tcPr>
          <w:p w14:paraId="16A6515E" w14:textId="77777777" w:rsidR="009A610B" w:rsidRPr="00FA6129" w:rsidRDefault="009A610B" w:rsidP="00280E97">
            <w:pPr>
              <w:rPr>
                <w:sz w:val="18"/>
                <w:szCs w:val="18"/>
              </w:rPr>
            </w:pPr>
            <w:r w:rsidRPr="00FA6129">
              <w:rPr>
                <w:sz w:val="18"/>
                <w:szCs w:val="18"/>
              </w:rPr>
              <w:t>Chagas</w:t>
            </w:r>
          </w:p>
        </w:tc>
        <w:tc>
          <w:tcPr>
            <w:tcW w:w="1023" w:type="dxa"/>
          </w:tcPr>
          <w:p w14:paraId="058C465D" w14:textId="77777777" w:rsidR="009A610B" w:rsidRPr="00FA6129" w:rsidRDefault="009A610B" w:rsidP="00280E97">
            <w:pPr>
              <w:jc w:val="center"/>
              <w:rPr>
                <w:sz w:val="18"/>
                <w:szCs w:val="18"/>
              </w:rPr>
            </w:pPr>
            <w:r w:rsidRPr="00FA6129">
              <w:rPr>
                <w:sz w:val="18"/>
                <w:szCs w:val="18"/>
              </w:rPr>
              <w:t>10</w:t>
            </w:r>
          </w:p>
        </w:tc>
        <w:tc>
          <w:tcPr>
            <w:tcW w:w="1080" w:type="dxa"/>
          </w:tcPr>
          <w:p w14:paraId="71740EA3" w14:textId="77777777" w:rsidR="009A610B" w:rsidRPr="00FA6129" w:rsidRDefault="009A610B" w:rsidP="00280E97">
            <w:pPr>
              <w:jc w:val="center"/>
              <w:rPr>
                <w:sz w:val="18"/>
                <w:szCs w:val="18"/>
              </w:rPr>
            </w:pPr>
            <w:r w:rsidRPr="00FA6129">
              <w:rPr>
                <w:sz w:val="18"/>
                <w:szCs w:val="18"/>
              </w:rPr>
              <w:t>3 (30%)</w:t>
            </w:r>
          </w:p>
        </w:tc>
        <w:tc>
          <w:tcPr>
            <w:tcW w:w="966" w:type="dxa"/>
          </w:tcPr>
          <w:p w14:paraId="0C626D8B" w14:textId="77777777" w:rsidR="009A610B" w:rsidRPr="00FA6129" w:rsidRDefault="009A610B" w:rsidP="00280E97">
            <w:pPr>
              <w:jc w:val="center"/>
              <w:rPr>
                <w:sz w:val="18"/>
                <w:szCs w:val="18"/>
              </w:rPr>
            </w:pPr>
            <w:r w:rsidRPr="00FA6129">
              <w:rPr>
                <w:sz w:val="18"/>
                <w:szCs w:val="18"/>
              </w:rPr>
              <w:t>29</w:t>
            </w:r>
          </w:p>
        </w:tc>
        <w:tc>
          <w:tcPr>
            <w:tcW w:w="1014" w:type="dxa"/>
          </w:tcPr>
          <w:p w14:paraId="37111762" w14:textId="77777777" w:rsidR="009A610B" w:rsidRPr="00FA6129" w:rsidRDefault="009A610B" w:rsidP="00280E97">
            <w:pPr>
              <w:jc w:val="center"/>
              <w:rPr>
                <w:sz w:val="18"/>
                <w:szCs w:val="18"/>
              </w:rPr>
            </w:pPr>
            <w:r w:rsidRPr="00FA6129">
              <w:rPr>
                <w:sz w:val="18"/>
                <w:szCs w:val="18"/>
              </w:rPr>
              <w:t>22 (76%)</w:t>
            </w:r>
          </w:p>
        </w:tc>
        <w:tc>
          <w:tcPr>
            <w:tcW w:w="966" w:type="dxa"/>
          </w:tcPr>
          <w:p w14:paraId="25BAD2AF" w14:textId="77777777" w:rsidR="009A610B" w:rsidRPr="00FA6129" w:rsidRDefault="009A610B" w:rsidP="00280E97">
            <w:pPr>
              <w:jc w:val="center"/>
              <w:rPr>
                <w:sz w:val="18"/>
                <w:szCs w:val="18"/>
              </w:rPr>
            </w:pPr>
            <w:r w:rsidRPr="00FA6129">
              <w:rPr>
                <w:sz w:val="18"/>
                <w:szCs w:val="18"/>
              </w:rPr>
              <w:t>1</w:t>
            </w:r>
          </w:p>
        </w:tc>
        <w:tc>
          <w:tcPr>
            <w:tcW w:w="1104" w:type="dxa"/>
          </w:tcPr>
          <w:p w14:paraId="0B315360" w14:textId="77777777" w:rsidR="009A610B" w:rsidRPr="00FA6129" w:rsidRDefault="009A610B" w:rsidP="00280E97">
            <w:pPr>
              <w:jc w:val="center"/>
              <w:rPr>
                <w:sz w:val="18"/>
                <w:szCs w:val="18"/>
              </w:rPr>
            </w:pPr>
            <w:r w:rsidRPr="00FA6129">
              <w:rPr>
                <w:sz w:val="18"/>
                <w:szCs w:val="18"/>
              </w:rPr>
              <w:t>0 (%)</w:t>
            </w:r>
          </w:p>
        </w:tc>
        <w:tc>
          <w:tcPr>
            <w:tcW w:w="990" w:type="dxa"/>
          </w:tcPr>
          <w:p w14:paraId="7E584E81" w14:textId="77777777" w:rsidR="009A610B" w:rsidRPr="00FA6129" w:rsidRDefault="009A610B" w:rsidP="00280E97">
            <w:pPr>
              <w:jc w:val="center"/>
              <w:rPr>
                <w:sz w:val="18"/>
                <w:szCs w:val="18"/>
              </w:rPr>
            </w:pPr>
            <w:r w:rsidRPr="00FA6129">
              <w:rPr>
                <w:sz w:val="18"/>
                <w:szCs w:val="18"/>
              </w:rPr>
              <w:t>22</w:t>
            </w:r>
          </w:p>
        </w:tc>
        <w:tc>
          <w:tcPr>
            <w:tcW w:w="1170" w:type="dxa"/>
          </w:tcPr>
          <w:p w14:paraId="1CC8B9C1" w14:textId="77777777" w:rsidR="009A610B" w:rsidRPr="00FA6129" w:rsidRDefault="009A610B" w:rsidP="00280E97">
            <w:pPr>
              <w:jc w:val="center"/>
              <w:rPr>
                <w:sz w:val="18"/>
                <w:szCs w:val="18"/>
              </w:rPr>
            </w:pPr>
            <w:r w:rsidRPr="00FA6129">
              <w:rPr>
                <w:sz w:val="18"/>
                <w:szCs w:val="18"/>
              </w:rPr>
              <w:t>15(68%)</w:t>
            </w:r>
          </w:p>
        </w:tc>
      </w:tr>
      <w:tr w:rsidR="009A610B" w:rsidRPr="00FA6129" w14:paraId="1050E25B" w14:textId="77777777" w:rsidTr="00DC3DDB">
        <w:tc>
          <w:tcPr>
            <w:tcW w:w="1047" w:type="dxa"/>
          </w:tcPr>
          <w:p w14:paraId="7A495CA9" w14:textId="77777777" w:rsidR="009A610B" w:rsidRPr="00FA6129" w:rsidRDefault="009A610B" w:rsidP="00280E97">
            <w:pPr>
              <w:rPr>
                <w:sz w:val="18"/>
                <w:szCs w:val="18"/>
              </w:rPr>
            </w:pPr>
            <w:r w:rsidRPr="00FA6129">
              <w:rPr>
                <w:sz w:val="18"/>
                <w:szCs w:val="18"/>
              </w:rPr>
              <w:t>HBsAg</w:t>
            </w:r>
          </w:p>
        </w:tc>
        <w:tc>
          <w:tcPr>
            <w:tcW w:w="1023" w:type="dxa"/>
          </w:tcPr>
          <w:p w14:paraId="6B74AC90" w14:textId="77777777" w:rsidR="009A610B" w:rsidRPr="00FA6129" w:rsidRDefault="009A610B" w:rsidP="00280E97">
            <w:pPr>
              <w:jc w:val="center"/>
              <w:rPr>
                <w:sz w:val="18"/>
                <w:szCs w:val="18"/>
              </w:rPr>
            </w:pPr>
            <w:r w:rsidRPr="00FA6129">
              <w:rPr>
                <w:sz w:val="18"/>
                <w:szCs w:val="18"/>
              </w:rPr>
              <w:t>6</w:t>
            </w:r>
          </w:p>
        </w:tc>
        <w:tc>
          <w:tcPr>
            <w:tcW w:w="1080" w:type="dxa"/>
          </w:tcPr>
          <w:p w14:paraId="760D032D" w14:textId="77777777" w:rsidR="009A610B" w:rsidRPr="00FA6129" w:rsidRDefault="009A610B" w:rsidP="00280E97">
            <w:pPr>
              <w:jc w:val="center"/>
              <w:rPr>
                <w:sz w:val="18"/>
                <w:szCs w:val="18"/>
              </w:rPr>
            </w:pPr>
            <w:r w:rsidRPr="00FA6129">
              <w:rPr>
                <w:sz w:val="18"/>
                <w:szCs w:val="18"/>
              </w:rPr>
              <w:t>5 (83%)</w:t>
            </w:r>
          </w:p>
        </w:tc>
        <w:tc>
          <w:tcPr>
            <w:tcW w:w="966" w:type="dxa"/>
          </w:tcPr>
          <w:p w14:paraId="6C3FC0B8" w14:textId="77777777" w:rsidR="009A610B" w:rsidRPr="00FA6129" w:rsidRDefault="009A610B" w:rsidP="00280E97">
            <w:pPr>
              <w:jc w:val="center"/>
              <w:rPr>
                <w:sz w:val="18"/>
                <w:szCs w:val="18"/>
              </w:rPr>
            </w:pPr>
            <w:r w:rsidRPr="00FA6129">
              <w:rPr>
                <w:sz w:val="18"/>
                <w:szCs w:val="18"/>
              </w:rPr>
              <w:t>34</w:t>
            </w:r>
          </w:p>
        </w:tc>
        <w:tc>
          <w:tcPr>
            <w:tcW w:w="1014" w:type="dxa"/>
          </w:tcPr>
          <w:p w14:paraId="64D137EC" w14:textId="77777777" w:rsidR="009A610B" w:rsidRPr="00FA6129" w:rsidRDefault="009A610B" w:rsidP="00280E97">
            <w:pPr>
              <w:jc w:val="center"/>
              <w:rPr>
                <w:sz w:val="18"/>
                <w:szCs w:val="18"/>
              </w:rPr>
            </w:pPr>
            <w:r w:rsidRPr="00FA6129">
              <w:rPr>
                <w:sz w:val="18"/>
                <w:szCs w:val="18"/>
              </w:rPr>
              <w:t>28 (82%)</w:t>
            </w:r>
          </w:p>
        </w:tc>
        <w:tc>
          <w:tcPr>
            <w:tcW w:w="966" w:type="dxa"/>
          </w:tcPr>
          <w:p w14:paraId="495B33EC" w14:textId="77777777" w:rsidR="009A610B" w:rsidRPr="00FA6129" w:rsidRDefault="009A610B" w:rsidP="00280E97">
            <w:pPr>
              <w:jc w:val="center"/>
              <w:rPr>
                <w:sz w:val="18"/>
                <w:szCs w:val="18"/>
              </w:rPr>
            </w:pPr>
            <w:r w:rsidRPr="00FA6129">
              <w:rPr>
                <w:sz w:val="18"/>
                <w:szCs w:val="18"/>
              </w:rPr>
              <w:t>23</w:t>
            </w:r>
          </w:p>
        </w:tc>
        <w:tc>
          <w:tcPr>
            <w:tcW w:w="1104" w:type="dxa"/>
          </w:tcPr>
          <w:p w14:paraId="4AE3C0BF" w14:textId="77777777" w:rsidR="009A610B" w:rsidRPr="00FA6129" w:rsidRDefault="009A610B" w:rsidP="00280E97">
            <w:pPr>
              <w:jc w:val="center"/>
              <w:rPr>
                <w:sz w:val="18"/>
                <w:szCs w:val="18"/>
              </w:rPr>
            </w:pPr>
            <w:r w:rsidRPr="00FA6129">
              <w:rPr>
                <w:sz w:val="18"/>
                <w:szCs w:val="18"/>
              </w:rPr>
              <w:t>9 (39%)</w:t>
            </w:r>
          </w:p>
        </w:tc>
        <w:tc>
          <w:tcPr>
            <w:tcW w:w="990" w:type="dxa"/>
          </w:tcPr>
          <w:p w14:paraId="1E663B53" w14:textId="77777777" w:rsidR="009A610B" w:rsidRPr="00FA6129" w:rsidRDefault="009A610B" w:rsidP="00280E97">
            <w:pPr>
              <w:jc w:val="center"/>
              <w:rPr>
                <w:sz w:val="18"/>
                <w:szCs w:val="18"/>
              </w:rPr>
            </w:pPr>
            <w:r w:rsidRPr="00FA6129">
              <w:rPr>
                <w:sz w:val="18"/>
                <w:szCs w:val="18"/>
              </w:rPr>
              <w:t xml:space="preserve">6 </w:t>
            </w:r>
          </w:p>
        </w:tc>
        <w:tc>
          <w:tcPr>
            <w:tcW w:w="1170" w:type="dxa"/>
          </w:tcPr>
          <w:p w14:paraId="52FEB41F" w14:textId="77777777" w:rsidR="009A610B" w:rsidRPr="00FA6129" w:rsidRDefault="009A610B" w:rsidP="00280E97">
            <w:pPr>
              <w:jc w:val="center"/>
              <w:rPr>
                <w:sz w:val="18"/>
                <w:szCs w:val="18"/>
              </w:rPr>
            </w:pPr>
            <w:r w:rsidRPr="00FA6129">
              <w:rPr>
                <w:sz w:val="18"/>
                <w:szCs w:val="18"/>
              </w:rPr>
              <w:t>2 (33%)</w:t>
            </w:r>
          </w:p>
        </w:tc>
      </w:tr>
      <w:tr w:rsidR="009A610B" w:rsidRPr="00FA6129" w14:paraId="435A40CB" w14:textId="77777777" w:rsidTr="00DC3DDB">
        <w:tc>
          <w:tcPr>
            <w:tcW w:w="1047" w:type="dxa"/>
          </w:tcPr>
          <w:p w14:paraId="0A086F6A" w14:textId="77777777" w:rsidR="009A610B" w:rsidRPr="00FA6129" w:rsidRDefault="009A610B" w:rsidP="00280E97">
            <w:pPr>
              <w:rPr>
                <w:sz w:val="18"/>
                <w:szCs w:val="18"/>
              </w:rPr>
            </w:pPr>
            <w:r w:rsidRPr="00FA6129">
              <w:rPr>
                <w:sz w:val="18"/>
                <w:szCs w:val="18"/>
              </w:rPr>
              <w:t>Anti-HBc</w:t>
            </w:r>
          </w:p>
        </w:tc>
        <w:tc>
          <w:tcPr>
            <w:tcW w:w="1023" w:type="dxa"/>
          </w:tcPr>
          <w:p w14:paraId="00A6EB63" w14:textId="77777777" w:rsidR="009A610B" w:rsidRPr="00FA6129" w:rsidRDefault="009A610B" w:rsidP="00280E97">
            <w:pPr>
              <w:jc w:val="center"/>
              <w:rPr>
                <w:sz w:val="18"/>
                <w:szCs w:val="18"/>
              </w:rPr>
            </w:pPr>
            <w:r w:rsidRPr="00FA6129">
              <w:rPr>
                <w:sz w:val="18"/>
                <w:szCs w:val="18"/>
              </w:rPr>
              <w:t>88</w:t>
            </w:r>
          </w:p>
        </w:tc>
        <w:tc>
          <w:tcPr>
            <w:tcW w:w="1080" w:type="dxa"/>
          </w:tcPr>
          <w:p w14:paraId="1EA0D915" w14:textId="77777777" w:rsidR="009A610B" w:rsidRPr="00FA6129" w:rsidRDefault="009A610B" w:rsidP="00280E97">
            <w:pPr>
              <w:jc w:val="center"/>
              <w:rPr>
                <w:sz w:val="18"/>
                <w:szCs w:val="18"/>
              </w:rPr>
            </w:pPr>
            <w:r w:rsidRPr="00FA6129">
              <w:rPr>
                <w:sz w:val="18"/>
                <w:szCs w:val="18"/>
              </w:rPr>
              <w:t>39 (44%)</w:t>
            </w:r>
          </w:p>
        </w:tc>
        <w:tc>
          <w:tcPr>
            <w:tcW w:w="966" w:type="dxa"/>
          </w:tcPr>
          <w:p w14:paraId="1BB4C33D" w14:textId="77777777" w:rsidR="009A610B" w:rsidRPr="00FA6129" w:rsidRDefault="009A610B" w:rsidP="00280E97">
            <w:pPr>
              <w:jc w:val="center"/>
              <w:rPr>
                <w:sz w:val="18"/>
                <w:szCs w:val="18"/>
              </w:rPr>
            </w:pPr>
            <w:r w:rsidRPr="00FA6129">
              <w:rPr>
                <w:sz w:val="18"/>
                <w:szCs w:val="18"/>
              </w:rPr>
              <w:t>326</w:t>
            </w:r>
          </w:p>
        </w:tc>
        <w:tc>
          <w:tcPr>
            <w:tcW w:w="1014" w:type="dxa"/>
          </w:tcPr>
          <w:p w14:paraId="00B2BA84" w14:textId="77777777" w:rsidR="009A610B" w:rsidRPr="00FA6129" w:rsidRDefault="009A610B" w:rsidP="00280E97">
            <w:pPr>
              <w:jc w:val="center"/>
              <w:rPr>
                <w:sz w:val="18"/>
                <w:szCs w:val="18"/>
              </w:rPr>
            </w:pPr>
            <w:r w:rsidRPr="00FA6129">
              <w:rPr>
                <w:sz w:val="18"/>
                <w:szCs w:val="18"/>
              </w:rPr>
              <w:t>239 (73%)</w:t>
            </w:r>
          </w:p>
        </w:tc>
        <w:tc>
          <w:tcPr>
            <w:tcW w:w="966" w:type="dxa"/>
          </w:tcPr>
          <w:p w14:paraId="63AA1063" w14:textId="77777777" w:rsidR="009A610B" w:rsidRPr="00FA6129" w:rsidRDefault="009A610B" w:rsidP="00280E97">
            <w:pPr>
              <w:jc w:val="center"/>
              <w:rPr>
                <w:sz w:val="18"/>
                <w:szCs w:val="18"/>
              </w:rPr>
            </w:pPr>
            <w:r w:rsidRPr="00FA6129">
              <w:rPr>
                <w:sz w:val="18"/>
                <w:szCs w:val="18"/>
              </w:rPr>
              <w:t>236</w:t>
            </w:r>
          </w:p>
        </w:tc>
        <w:tc>
          <w:tcPr>
            <w:tcW w:w="1104" w:type="dxa"/>
          </w:tcPr>
          <w:p w14:paraId="0E439187" w14:textId="77777777" w:rsidR="009A610B" w:rsidRPr="00FA6129" w:rsidRDefault="009A610B" w:rsidP="00280E97">
            <w:pPr>
              <w:jc w:val="center"/>
              <w:rPr>
                <w:sz w:val="18"/>
                <w:szCs w:val="18"/>
              </w:rPr>
            </w:pPr>
            <w:r w:rsidRPr="00FA6129">
              <w:rPr>
                <w:sz w:val="18"/>
                <w:szCs w:val="18"/>
              </w:rPr>
              <w:t>105 (44%)</w:t>
            </w:r>
          </w:p>
        </w:tc>
        <w:tc>
          <w:tcPr>
            <w:tcW w:w="990" w:type="dxa"/>
          </w:tcPr>
          <w:p w14:paraId="5132B06C" w14:textId="77777777" w:rsidR="009A610B" w:rsidRPr="00FA6129" w:rsidRDefault="009A610B" w:rsidP="00280E97">
            <w:pPr>
              <w:jc w:val="center"/>
              <w:rPr>
                <w:sz w:val="18"/>
                <w:szCs w:val="18"/>
              </w:rPr>
            </w:pPr>
            <w:r w:rsidRPr="00FA6129">
              <w:rPr>
                <w:sz w:val="18"/>
                <w:szCs w:val="18"/>
              </w:rPr>
              <w:t>52</w:t>
            </w:r>
          </w:p>
        </w:tc>
        <w:tc>
          <w:tcPr>
            <w:tcW w:w="1170" w:type="dxa"/>
          </w:tcPr>
          <w:p w14:paraId="20A70AE9" w14:textId="77777777" w:rsidR="009A610B" w:rsidRPr="00FA6129" w:rsidRDefault="009A610B" w:rsidP="00280E97">
            <w:pPr>
              <w:jc w:val="center"/>
              <w:rPr>
                <w:sz w:val="18"/>
                <w:szCs w:val="18"/>
              </w:rPr>
            </w:pPr>
            <w:r w:rsidRPr="00FA6129">
              <w:rPr>
                <w:sz w:val="18"/>
                <w:szCs w:val="18"/>
              </w:rPr>
              <w:t>12 (23%)</w:t>
            </w:r>
          </w:p>
        </w:tc>
      </w:tr>
      <w:tr w:rsidR="009A610B" w:rsidRPr="00FA6129" w14:paraId="4823C937" w14:textId="77777777" w:rsidTr="00DC3DDB">
        <w:tc>
          <w:tcPr>
            <w:tcW w:w="1047" w:type="dxa"/>
          </w:tcPr>
          <w:p w14:paraId="787495C4" w14:textId="77777777" w:rsidR="009A610B" w:rsidRPr="00FA6129" w:rsidRDefault="009A610B" w:rsidP="00280E97">
            <w:pPr>
              <w:rPr>
                <w:sz w:val="18"/>
                <w:szCs w:val="18"/>
              </w:rPr>
            </w:pPr>
            <w:r w:rsidRPr="00FA6129">
              <w:rPr>
                <w:sz w:val="18"/>
                <w:szCs w:val="18"/>
              </w:rPr>
              <w:t>HCV</w:t>
            </w:r>
          </w:p>
        </w:tc>
        <w:tc>
          <w:tcPr>
            <w:tcW w:w="1023" w:type="dxa"/>
          </w:tcPr>
          <w:p w14:paraId="2BA2813B" w14:textId="77777777" w:rsidR="009A610B" w:rsidRPr="00FA6129" w:rsidRDefault="009A610B" w:rsidP="00280E97">
            <w:pPr>
              <w:jc w:val="center"/>
              <w:rPr>
                <w:sz w:val="18"/>
                <w:szCs w:val="18"/>
              </w:rPr>
            </w:pPr>
            <w:r w:rsidRPr="00FA6129">
              <w:rPr>
                <w:sz w:val="18"/>
                <w:szCs w:val="18"/>
              </w:rPr>
              <w:t>31</w:t>
            </w:r>
          </w:p>
        </w:tc>
        <w:tc>
          <w:tcPr>
            <w:tcW w:w="1080" w:type="dxa"/>
          </w:tcPr>
          <w:p w14:paraId="1444862F" w14:textId="77777777" w:rsidR="009A610B" w:rsidRPr="00FA6129" w:rsidRDefault="009A610B" w:rsidP="00280E97">
            <w:pPr>
              <w:jc w:val="center"/>
              <w:rPr>
                <w:sz w:val="18"/>
                <w:szCs w:val="18"/>
              </w:rPr>
            </w:pPr>
            <w:r w:rsidRPr="00FA6129">
              <w:rPr>
                <w:sz w:val="18"/>
                <w:szCs w:val="18"/>
              </w:rPr>
              <w:t>9 (29%)</w:t>
            </w:r>
          </w:p>
        </w:tc>
        <w:tc>
          <w:tcPr>
            <w:tcW w:w="966" w:type="dxa"/>
          </w:tcPr>
          <w:p w14:paraId="23DC7312" w14:textId="77777777" w:rsidR="009A610B" w:rsidRPr="00FA6129" w:rsidRDefault="009A610B" w:rsidP="00280E97">
            <w:pPr>
              <w:jc w:val="center"/>
              <w:rPr>
                <w:sz w:val="18"/>
                <w:szCs w:val="18"/>
              </w:rPr>
            </w:pPr>
            <w:r w:rsidRPr="00FA6129">
              <w:rPr>
                <w:sz w:val="18"/>
                <w:szCs w:val="18"/>
              </w:rPr>
              <w:t>38</w:t>
            </w:r>
          </w:p>
        </w:tc>
        <w:tc>
          <w:tcPr>
            <w:tcW w:w="1014" w:type="dxa"/>
          </w:tcPr>
          <w:p w14:paraId="5B3743A4" w14:textId="77777777" w:rsidR="009A610B" w:rsidRPr="00FA6129" w:rsidRDefault="009A610B" w:rsidP="00280E97">
            <w:pPr>
              <w:jc w:val="center"/>
              <w:rPr>
                <w:sz w:val="18"/>
                <w:szCs w:val="18"/>
              </w:rPr>
            </w:pPr>
            <w:r w:rsidRPr="00FA6129">
              <w:rPr>
                <w:sz w:val="18"/>
                <w:szCs w:val="18"/>
              </w:rPr>
              <w:t>27 (71%)</w:t>
            </w:r>
          </w:p>
        </w:tc>
        <w:tc>
          <w:tcPr>
            <w:tcW w:w="966" w:type="dxa"/>
          </w:tcPr>
          <w:p w14:paraId="722ADD11" w14:textId="77777777" w:rsidR="009A610B" w:rsidRPr="00FA6129" w:rsidRDefault="009A610B" w:rsidP="00280E97">
            <w:pPr>
              <w:jc w:val="center"/>
              <w:rPr>
                <w:sz w:val="18"/>
                <w:szCs w:val="18"/>
              </w:rPr>
            </w:pPr>
            <w:r w:rsidRPr="00FA6129">
              <w:rPr>
                <w:sz w:val="18"/>
                <w:szCs w:val="18"/>
              </w:rPr>
              <w:t>44</w:t>
            </w:r>
          </w:p>
        </w:tc>
        <w:tc>
          <w:tcPr>
            <w:tcW w:w="1104" w:type="dxa"/>
          </w:tcPr>
          <w:p w14:paraId="716FC3FE" w14:textId="77777777" w:rsidR="009A610B" w:rsidRPr="00FA6129" w:rsidRDefault="009A610B" w:rsidP="00280E97">
            <w:pPr>
              <w:jc w:val="center"/>
              <w:rPr>
                <w:sz w:val="18"/>
                <w:szCs w:val="18"/>
              </w:rPr>
            </w:pPr>
            <w:r w:rsidRPr="00FA6129">
              <w:rPr>
                <w:sz w:val="18"/>
                <w:szCs w:val="18"/>
              </w:rPr>
              <w:t>17 (38%)</w:t>
            </w:r>
          </w:p>
        </w:tc>
        <w:tc>
          <w:tcPr>
            <w:tcW w:w="990" w:type="dxa"/>
          </w:tcPr>
          <w:p w14:paraId="67BED9FD" w14:textId="77777777" w:rsidR="009A610B" w:rsidRPr="00FA6129" w:rsidRDefault="009A610B" w:rsidP="00280E97">
            <w:pPr>
              <w:jc w:val="center"/>
              <w:rPr>
                <w:sz w:val="18"/>
                <w:szCs w:val="18"/>
              </w:rPr>
            </w:pPr>
            <w:r w:rsidRPr="00FA6129">
              <w:rPr>
                <w:sz w:val="18"/>
                <w:szCs w:val="18"/>
              </w:rPr>
              <w:t>19</w:t>
            </w:r>
          </w:p>
        </w:tc>
        <w:tc>
          <w:tcPr>
            <w:tcW w:w="1170" w:type="dxa"/>
          </w:tcPr>
          <w:p w14:paraId="1FBD9C59" w14:textId="77777777" w:rsidR="009A610B" w:rsidRPr="00FA6129" w:rsidRDefault="009A610B" w:rsidP="00280E97">
            <w:pPr>
              <w:jc w:val="center"/>
              <w:rPr>
                <w:sz w:val="18"/>
                <w:szCs w:val="18"/>
              </w:rPr>
            </w:pPr>
            <w:r w:rsidRPr="00FA6129">
              <w:rPr>
                <w:sz w:val="18"/>
                <w:szCs w:val="18"/>
              </w:rPr>
              <w:t>6 (31%)</w:t>
            </w:r>
          </w:p>
        </w:tc>
      </w:tr>
      <w:tr w:rsidR="009A610B" w:rsidRPr="00FA6129" w14:paraId="6DB76654" w14:textId="77777777" w:rsidTr="00DC3DDB">
        <w:tc>
          <w:tcPr>
            <w:tcW w:w="1047" w:type="dxa"/>
          </w:tcPr>
          <w:p w14:paraId="1FEB1661" w14:textId="77777777" w:rsidR="009A610B" w:rsidRPr="00FA6129" w:rsidRDefault="009A610B" w:rsidP="00280E97">
            <w:pPr>
              <w:rPr>
                <w:sz w:val="18"/>
                <w:szCs w:val="18"/>
              </w:rPr>
            </w:pPr>
            <w:r w:rsidRPr="00FA6129">
              <w:rPr>
                <w:sz w:val="18"/>
                <w:szCs w:val="18"/>
              </w:rPr>
              <w:t>Syphilis</w:t>
            </w:r>
          </w:p>
        </w:tc>
        <w:tc>
          <w:tcPr>
            <w:tcW w:w="1023" w:type="dxa"/>
          </w:tcPr>
          <w:p w14:paraId="18C64116" w14:textId="77777777" w:rsidR="009A610B" w:rsidRPr="00FA6129" w:rsidRDefault="009A610B" w:rsidP="00280E97">
            <w:pPr>
              <w:jc w:val="center"/>
              <w:rPr>
                <w:sz w:val="18"/>
                <w:szCs w:val="18"/>
              </w:rPr>
            </w:pPr>
            <w:r w:rsidRPr="00FA6129">
              <w:rPr>
                <w:sz w:val="18"/>
                <w:szCs w:val="18"/>
              </w:rPr>
              <w:t>83</w:t>
            </w:r>
          </w:p>
        </w:tc>
        <w:tc>
          <w:tcPr>
            <w:tcW w:w="1080" w:type="dxa"/>
          </w:tcPr>
          <w:p w14:paraId="08BBA52A" w14:textId="77777777" w:rsidR="009A610B" w:rsidRPr="00FA6129" w:rsidRDefault="009A610B" w:rsidP="00280E97">
            <w:pPr>
              <w:jc w:val="center"/>
              <w:rPr>
                <w:sz w:val="18"/>
                <w:szCs w:val="18"/>
              </w:rPr>
            </w:pPr>
            <w:r w:rsidRPr="00FA6129">
              <w:rPr>
                <w:sz w:val="18"/>
                <w:szCs w:val="18"/>
              </w:rPr>
              <w:t>34 (41%)</w:t>
            </w:r>
          </w:p>
        </w:tc>
        <w:tc>
          <w:tcPr>
            <w:tcW w:w="966" w:type="dxa"/>
          </w:tcPr>
          <w:p w14:paraId="21BBEA44" w14:textId="77777777" w:rsidR="009A610B" w:rsidRPr="00FA6129" w:rsidRDefault="009A610B" w:rsidP="00280E97">
            <w:pPr>
              <w:jc w:val="center"/>
              <w:rPr>
                <w:sz w:val="18"/>
                <w:szCs w:val="18"/>
              </w:rPr>
            </w:pPr>
            <w:r w:rsidRPr="00FA6129">
              <w:rPr>
                <w:sz w:val="18"/>
                <w:szCs w:val="18"/>
              </w:rPr>
              <w:t>225</w:t>
            </w:r>
          </w:p>
        </w:tc>
        <w:tc>
          <w:tcPr>
            <w:tcW w:w="1014" w:type="dxa"/>
          </w:tcPr>
          <w:p w14:paraId="4116FA69" w14:textId="77777777" w:rsidR="009A610B" w:rsidRPr="00FA6129" w:rsidRDefault="009A610B" w:rsidP="00280E97">
            <w:pPr>
              <w:jc w:val="center"/>
              <w:rPr>
                <w:sz w:val="18"/>
                <w:szCs w:val="18"/>
              </w:rPr>
            </w:pPr>
            <w:r w:rsidRPr="00FA6129">
              <w:rPr>
                <w:sz w:val="18"/>
                <w:szCs w:val="18"/>
              </w:rPr>
              <w:t>165 (73%)</w:t>
            </w:r>
          </w:p>
        </w:tc>
        <w:tc>
          <w:tcPr>
            <w:tcW w:w="966" w:type="dxa"/>
          </w:tcPr>
          <w:p w14:paraId="29916177" w14:textId="77777777" w:rsidR="009A610B" w:rsidRPr="00FA6129" w:rsidRDefault="009A610B" w:rsidP="00280E97">
            <w:pPr>
              <w:jc w:val="center"/>
              <w:rPr>
                <w:sz w:val="18"/>
                <w:szCs w:val="18"/>
              </w:rPr>
            </w:pPr>
            <w:r w:rsidRPr="00FA6129">
              <w:rPr>
                <w:sz w:val="18"/>
                <w:szCs w:val="18"/>
              </w:rPr>
              <w:t>538</w:t>
            </w:r>
          </w:p>
        </w:tc>
        <w:tc>
          <w:tcPr>
            <w:tcW w:w="1104" w:type="dxa"/>
          </w:tcPr>
          <w:p w14:paraId="4954EB78" w14:textId="77777777" w:rsidR="009A610B" w:rsidRPr="00FA6129" w:rsidRDefault="009A610B" w:rsidP="00280E97">
            <w:pPr>
              <w:jc w:val="center"/>
              <w:rPr>
                <w:sz w:val="18"/>
                <w:szCs w:val="18"/>
              </w:rPr>
            </w:pPr>
            <w:r w:rsidRPr="00FA6129">
              <w:rPr>
                <w:sz w:val="18"/>
                <w:szCs w:val="18"/>
              </w:rPr>
              <w:t>244 (45%)</w:t>
            </w:r>
          </w:p>
        </w:tc>
        <w:tc>
          <w:tcPr>
            <w:tcW w:w="990" w:type="dxa"/>
          </w:tcPr>
          <w:p w14:paraId="59DA413F" w14:textId="77777777" w:rsidR="009A610B" w:rsidRPr="00FA6129" w:rsidRDefault="009A610B" w:rsidP="00280E97">
            <w:pPr>
              <w:jc w:val="center"/>
              <w:rPr>
                <w:sz w:val="18"/>
                <w:szCs w:val="18"/>
              </w:rPr>
            </w:pPr>
            <w:r w:rsidRPr="00FA6129">
              <w:rPr>
                <w:sz w:val="18"/>
                <w:szCs w:val="18"/>
              </w:rPr>
              <w:t>119</w:t>
            </w:r>
          </w:p>
        </w:tc>
        <w:tc>
          <w:tcPr>
            <w:tcW w:w="1170" w:type="dxa"/>
          </w:tcPr>
          <w:p w14:paraId="2505E1E2" w14:textId="77777777" w:rsidR="009A610B" w:rsidRPr="00FA6129" w:rsidRDefault="009A610B" w:rsidP="00280E97">
            <w:pPr>
              <w:jc w:val="center"/>
              <w:rPr>
                <w:sz w:val="18"/>
                <w:szCs w:val="18"/>
              </w:rPr>
            </w:pPr>
            <w:r w:rsidRPr="00FA6129">
              <w:rPr>
                <w:sz w:val="18"/>
                <w:szCs w:val="18"/>
              </w:rPr>
              <w:t>21 (18%)</w:t>
            </w:r>
          </w:p>
        </w:tc>
      </w:tr>
      <w:tr w:rsidR="009A610B" w:rsidRPr="00FA6129" w14:paraId="3BA16144" w14:textId="77777777" w:rsidTr="00DC3DDB">
        <w:tc>
          <w:tcPr>
            <w:tcW w:w="1047" w:type="dxa"/>
          </w:tcPr>
          <w:p w14:paraId="2FDD8C71" w14:textId="77777777" w:rsidR="009A610B" w:rsidRPr="00FA6129" w:rsidRDefault="009A610B" w:rsidP="00280E97">
            <w:pPr>
              <w:rPr>
                <w:sz w:val="18"/>
                <w:szCs w:val="18"/>
              </w:rPr>
            </w:pPr>
            <w:r w:rsidRPr="00FA6129">
              <w:rPr>
                <w:sz w:val="18"/>
                <w:szCs w:val="18"/>
              </w:rPr>
              <w:t>HTLV</w:t>
            </w:r>
          </w:p>
        </w:tc>
        <w:tc>
          <w:tcPr>
            <w:tcW w:w="1023" w:type="dxa"/>
          </w:tcPr>
          <w:p w14:paraId="6161A27E" w14:textId="77777777" w:rsidR="009A610B" w:rsidRPr="00FA6129" w:rsidRDefault="009A610B" w:rsidP="00280E97">
            <w:pPr>
              <w:jc w:val="center"/>
              <w:rPr>
                <w:sz w:val="18"/>
                <w:szCs w:val="18"/>
              </w:rPr>
            </w:pPr>
            <w:r w:rsidRPr="00FA6129">
              <w:rPr>
                <w:sz w:val="18"/>
                <w:szCs w:val="18"/>
              </w:rPr>
              <w:t>2</w:t>
            </w:r>
          </w:p>
        </w:tc>
        <w:tc>
          <w:tcPr>
            <w:tcW w:w="1080" w:type="dxa"/>
          </w:tcPr>
          <w:p w14:paraId="79A394A3" w14:textId="77777777" w:rsidR="009A610B" w:rsidRPr="00FA6129" w:rsidRDefault="009A610B" w:rsidP="00280E97">
            <w:pPr>
              <w:jc w:val="center"/>
              <w:rPr>
                <w:sz w:val="18"/>
                <w:szCs w:val="18"/>
              </w:rPr>
            </w:pPr>
            <w:r w:rsidRPr="00FA6129">
              <w:rPr>
                <w:sz w:val="18"/>
                <w:szCs w:val="18"/>
              </w:rPr>
              <w:t>2 (100%)</w:t>
            </w:r>
          </w:p>
        </w:tc>
        <w:tc>
          <w:tcPr>
            <w:tcW w:w="966" w:type="dxa"/>
          </w:tcPr>
          <w:p w14:paraId="138A1B64" w14:textId="77777777" w:rsidR="009A610B" w:rsidRPr="00FA6129" w:rsidRDefault="009A610B" w:rsidP="00280E97">
            <w:pPr>
              <w:jc w:val="center"/>
              <w:rPr>
                <w:sz w:val="18"/>
                <w:szCs w:val="18"/>
              </w:rPr>
            </w:pPr>
            <w:r w:rsidRPr="00FA6129">
              <w:rPr>
                <w:sz w:val="18"/>
                <w:szCs w:val="18"/>
              </w:rPr>
              <w:t>20</w:t>
            </w:r>
          </w:p>
        </w:tc>
        <w:tc>
          <w:tcPr>
            <w:tcW w:w="1014" w:type="dxa"/>
          </w:tcPr>
          <w:p w14:paraId="34498DA4" w14:textId="77777777" w:rsidR="009A610B" w:rsidRPr="00FA6129" w:rsidRDefault="009A610B" w:rsidP="00280E97">
            <w:pPr>
              <w:jc w:val="center"/>
              <w:rPr>
                <w:sz w:val="18"/>
                <w:szCs w:val="18"/>
              </w:rPr>
            </w:pPr>
            <w:r w:rsidRPr="00FA6129">
              <w:rPr>
                <w:sz w:val="18"/>
                <w:szCs w:val="18"/>
              </w:rPr>
              <w:t>16 (80%)</w:t>
            </w:r>
          </w:p>
        </w:tc>
        <w:tc>
          <w:tcPr>
            <w:tcW w:w="966" w:type="dxa"/>
          </w:tcPr>
          <w:p w14:paraId="04CB9CE8" w14:textId="77777777" w:rsidR="009A610B" w:rsidRPr="00FA6129" w:rsidRDefault="009A610B" w:rsidP="00280E97">
            <w:pPr>
              <w:jc w:val="center"/>
              <w:rPr>
                <w:sz w:val="18"/>
                <w:szCs w:val="18"/>
              </w:rPr>
            </w:pPr>
            <w:r w:rsidRPr="00FA6129">
              <w:rPr>
                <w:sz w:val="18"/>
                <w:szCs w:val="18"/>
              </w:rPr>
              <w:t>36</w:t>
            </w:r>
          </w:p>
        </w:tc>
        <w:tc>
          <w:tcPr>
            <w:tcW w:w="1104" w:type="dxa"/>
          </w:tcPr>
          <w:p w14:paraId="124F18F8" w14:textId="77777777" w:rsidR="009A610B" w:rsidRPr="00FA6129" w:rsidRDefault="009A610B" w:rsidP="00280E97">
            <w:pPr>
              <w:jc w:val="center"/>
              <w:rPr>
                <w:sz w:val="18"/>
                <w:szCs w:val="18"/>
              </w:rPr>
            </w:pPr>
            <w:r w:rsidRPr="00FA6129">
              <w:rPr>
                <w:sz w:val="18"/>
                <w:szCs w:val="18"/>
              </w:rPr>
              <w:t>16 (43%)</w:t>
            </w:r>
          </w:p>
        </w:tc>
        <w:tc>
          <w:tcPr>
            <w:tcW w:w="990" w:type="dxa"/>
          </w:tcPr>
          <w:p w14:paraId="7F7DADC5" w14:textId="77777777" w:rsidR="009A610B" w:rsidRPr="00FA6129" w:rsidRDefault="009A610B" w:rsidP="00280E97">
            <w:pPr>
              <w:jc w:val="center"/>
              <w:rPr>
                <w:sz w:val="18"/>
                <w:szCs w:val="18"/>
              </w:rPr>
            </w:pPr>
            <w:r w:rsidRPr="00FA6129">
              <w:rPr>
                <w:sz w:val="18"/>
                <w:szCs w:val="18"/>
              </w:rPr>
              <w:t>6</w:t>
            </w:r>
          </w:p>
        </w:tc>
        <w:tc>
          <w:tcPr>
            <w:tcW w:w="1170" w:type="dxa"/>
          </w:tcPr>
          <w:p w14:paraId="138049F1" w14:textId="77777777" w:rsidR="009A610B" w:rsidRPr="00FA6129" w:rsidRDefault="009A610B" w:rsidP="00280E97">
            <w:pPr>
              <w:jc w:val="center"/>
              <w:rPr>
                <w:sz w:val="18"/>
                <w:szCs w:val="18"/>
              </w:rPr>
            </w:pPr>
            <w:r w:rsidRPr="00FA6129">
              <w:rPr>
                <w:sz w:val="18"/>
                <w:szCs w:val="18"/>
              </w:rPr>
              <w:t>0</w:t>
            </w:r>
          </w:p>
        </w:tc>
      </w:tr>
      <w:tr w:rsidR="009A610B" w:rsidRPr="00FA6129" w14:paraId="60433369" w14:textId="77777777" w:rsidTr="00DC3DDB">
        <w:tc>
          <w:tcPr>
            <w:tcW w:w="1047" w:type="dxa"/>
          </w:tcPr>
          <w:p w14:paraId="391D48D1" w14:textId="77777777" w:rsidR="009A610B" w:rsidRPr="00FA6129" w:rsidRDefault="009A610B" w:rsidP="00280E97">
            <w:pPr>
              <w:rPr>
                <w:sz w:val="18"/>
                <w:szCs w:val="18"/>
              </w:rPr>
            </w:pPr>
            <w:r w:rsidRPr="00FA6129">
              <w:rPr>
                <w:sz w:val="18"/>
                <w:szCs w:val="18"/>
              </w:rPr>
              <w:t>HIV</w:t>
            </w:r>
          </w:p>
        </w:tc>
        <w:tc>
          <w:tcPr>
            <w:tcW w:w="1023" w:type="dxa"/>
          </w:tcPr>
          <w:p w14:paraId="337F4EF8" w14:textId="77777777" w:rsidR="009A610B" w:rsidRPr="00FA6129" w:rsidRDefault="009A610B" w:rsidP="00280E97">
            <w:pPr>
              <w:jc w:val="center"/>
              <w:rPr>
                <w:sz w:val="18"/>
                <w:szCs w:val="18"/>
              </w:rPr>
            </w:pPr>
            <w:r w:rsidRPr="00FA6129">
              <w:rPr>
                <w:sz w:val="18"/>
                <w:szCs w:val="18"/>
              </w:rPr>
              <w:t>20</w:t>
            </w:r>
          </w:p>
        </w:tc>
        <w:tc>
          <w:tcPr>
            <w:tcW w:w="1080" w:type="dxa"/>
          </w:tcPr>
          <w:p w14:paraId="36056027" w14:textId="77777777" w:rsidR="009A610B" w:rsidRPr="00FA6129" w:rsidRDefault="009A610B" w:rsidP="00280E97">
            <w:pPr>
              <w:jc w:val="center"/>
              <w:rPr>
                <w:sz w:val="18"/>
                <w:szCs w:val="18"/>
              </w:rPr>
            </w:pPr>
            <w:r w:rsidRPr="00FA6129">
              <w:rPr>
                <w:sz w:val="18"/>
                <w:szCs w:val="18"/>
              </w:rPr>
              <w:t>11(55%)</w:t>
            </w:r>
          </w:p>
        </w:tc>
        <w:tc>
          <w:tcPr>
            <w:tcW w:w="966" w:type="dxa"/>
          </w:tcPr>
          <w:p w14:paraId="07468CC4" w14:textId="77777777" w:rsidR="009A610B" w:rsidRPr="00FA6129" w:rsidRDefault="009A610B" w:rsidP="00280E97">
            <w:pPr>
              <w:jc w:val="center"/>
              <w:rPr>
                <w:sz w:val="18"/>
                <w:szCs w:val="18"/>
              </w:rPr>
            </w:pPr>
            <w:r w:rsidRPr="00FA6129">
              <w:rPr>
                <w:sz w:val="18"/>
                <w:szCs w:val="18"/>
              </w:rPr>
              <w:t>41</w:t>
            </w:r>
          </w:p>
        </w:tc>
        <w:tc>
          <w:tcPr>
            <w:tcW w:w="1014" w:type="dxa"/>
          </w:tcPr>
          <w:p w14:paraId="3892F174" w14:textId="77777777" w:rsidR="009A610B" w:rsidRPr="00FA6129" w:rsidRDefault="009A610B" w:rsidP="00280E97">
            <w:pPr>
              <w:jc w:val="center"/>
              <w:rPr>
                <w:sz w:val="18"/>
                <w:szCs w:val="18"/>
              </w:rPr>
            </w:pPr>
            <w:r w:rsidRPr="00FA6129">
              <w:rPr>
                <w:sz w:val="18"/>
                <w:szCs w:val="18"/>
              </w:rPr>
              <w:t>31 (76%)</w:t>
            </w:r>
          </w:p>
        </w:tc>
        <w:tc>
          <w:tcPr>
            <w:tcW w:w="966" w:type="dxa"/>
          </w:tcPr>
          <w:p w14:paraId="7845B618" w14:textId="77777777" w:rsidR="009A610B" w:rsidRPr="00FA6129" w:rsidRDefault="009A610B" w:rsidP="00280E97">
            <w:pPr>
              <w:jc w:val="center"/>
              <w:rPr>
                <w:sz w:val="18"/>
                <w:szCs w:val="18"/>
              </w:rPr>
            </w:pPr>
            <w:r w:rsidRPr="00FA6129">
              <w:rPr>
                <w:sz w:val="18"/>
                <w:szCs w:val="18"/>
              </w:rPr>
              <w:t>78</w:t>
            </w:r>
          </w:p>
        </w:tc>
        <w:tc>
          <w:tcPr>
            <w:tcW w:w="1104" w:type="dxa"/>
          </w:tcPr>
          <w:p w14:paraId="2567B773" w14:textId="77777777" w:rsidR="009A610B" w:rsidRPr="00FA6129" w:rsidRDefault="009A610B" w:rsidP="00280E97">
            <w:pPr>
              <w:jc w:val="center"/>
              <w:rPr>
                <w:sz w:val="18"/>
                <w:szCs w:val="18"/>
              </w:rPr>
            </w:pPr>
            <w:r w:rsidRPr="00FA6129">
              <w:rPr>
                <w:sz w:val="18"/>
                <w:szCs w:val="18"/>
              </w:rPr>
              <w:t>34 (43%)</w:t>
            </w:r>
          </w:p>
        </w:tc>
        <w:tc>
          <w:tcPr>
            <w:tcW w:w="990" w:type="dxa"/>
          </w:tcPr>
          <w:p w14:paraId="16F56CA7" w14:textId="77777777" w:rsidR="009A610B" w:rsidRPr="00FA6129" w:rsidRDefault="009A610B" w:rsidP="00280E97">
            <w:pPr>
              <w:jc w:val="center"/>
              <w:rPr>
                <w:sz w:val="18"/>
                <w:szCs w:val="18"/>
              </w:rPr>
            </w:pPr>
            <w:r w:rsidRPr="00FA6129">
              <w:rPr>
                <w:sz w:val="18"/>
                <w:szCs w:val="18"/>
              </w:rPr>
              <w:t>22</w:t>
            </w:r>
          </w:p>
        </w:tc>
        <w:tc>
          <w:tcPr>
            <w:tcW w:w="1170" w:type="dxa"/>
          </w:tcPr>
          <w:p w14:paraId="60560D25" w14:textId="77777777" w:rsidR="009A610B" w:rsidRPr="00FA6129" w:rsidRDefault="009A610B" w:rsidP="00280E97">
            <w:pPr>
              <w:jc w:val="center"/>
              <w:rPr>
                <w:sz w:val="18"/>
                <w:szCs w:val="18"/>
              </w:rPr>
            </w:pPr>
            <w:r w:rsidRPr="00FA6129">
              <w:rPr>
                <w:sz w:val="18"/>
                <w:szCs w:val="18"/>
              </w:rPr>
              <w:t>3 (14%)</w:t>
            </w:r>
          </w:p>
        </w:tc>
      </w:tr>
      <w:tr w:rsidR="009A610B" w:rsidRPr="00FA6129" w14:paraId="25629A69" w14:textId="77777777" w:rsidTr="00DC3DDB">
        <w:tc>
          <w:tcPr>
            <w:tcW w:w="1047" w:type="dxa"/>
          </w:tcPr>
          <w:p w14:paraId="0D181D5D" w14:textId="77777777" w:rsidR="009A610B" w:rsidRPr="00FA6129" w:rsidRDefault="009A610B" w:rsidP="00280E97">
            <w:pPr>
              <w:rPr>
                <w:b/>
                <w:sz w:val="18"/>
                <w:szCs w:val="18"/>
              </w:rPr>
            </w:pPr>
            <w:r w:rsidRPr="00FA6129">
              <w:rPr>
                <w:b/>
                <w:sz w:val="18"/>
                <w:szCs w:val="18"/>
              </w:rPr>
              <w:t xml:space="preserve">Total </w:t>
            </w:r>
          </w:p>
        </w:tc>
        <w:tc>
          <w:tcPr>
            <w:tcW w:w="1023" w:type="dxa"/>
          </w:tcPr>
          <w:p w14:paraId="712B2092" w14:textId="77777777" w:rsidR="009A610B" w:rsidRPr="00FA6129" w:rsidRDefault="009A610B" w:rsidP="00280E97">
            <w:pPr>
              <w:jc w:val="center"/>
              <w:rPr>
                <w:b/>
                <w:sz w:val="18"/>
                <w:szCs w:val="18"/>
              </w:rPr>
            </w:pPr>
            <w:r w:rsidRPr="00FA6129">
              <w:rPr>
                <w:b/>
                <w:sz w:val="18"/>
                <w:szCs w:val="18"/>
              </w:rPr>
              <w:t>240</w:t>
            </w:r>
          </w:p>
        </w:tc>
        <w:tc>
          <w:tcPr>
            <w:tcW w:w="1080" w:type="dxa"/>
          </w:tcPr>
          <w:p w14:paraId="1E8D6C30" w14:textId="77777777" w:rsidR="009A610B" w:rsidRPr="00FA6129" w:rsidRDefault="009A610B" w:rsidP="00280E97">
            <w:pPr>
              <w:jc w:val="center"/>
              <w:rPr>
                <w:b/>
                <w:sz w:val="18"/>
                <w:szCs w:val="18"/>
              </w:rPr>
            </w:pPr>
            <w:r w:rsidRPr="00FA6129">
              <w:rPr>
                <w:b/>
                <w:sz w:val="18"/>
                <w:szCs w:val="18"/>
              </w:rPr>
              <w:t>103 (43%)</w:t>
            </w:r>
          </w:p>
        </w:tc>
        <w:tc>
          <w:tcPr>
            <w:tcW w:w="966" w:type="dxa"/>
          </w:tcPr>
          <w:p w14:paraId="327C3DB0" w14:textId="77777777" w:rsidR="009A610B" w:rsidRPr="00FA6129" w:rsidRDefault="009A610B" w:rsidP="00280E97">
            <w:pPr>
              <w:jc w:val="center"/>
              <w:rPr>
                <w:b/>
                <w:sz w:val="18"/>
                <w:szCs w:val="18"/>
              </w:rPr>
            </w:pPr>
            <w:r w:rsidRPr="00FA6129">
              <w:rPr>
                <w:b/>
                <w:sz w:val="18"/>
                <w:szCs w:val="18"/>
              </w:rPr>
              <w:t>713</w:t>
            </w:r>
          </w:p>
        </w:tc>
        <w:tc>
          <w:tcPr>
            <w:tcW w:w="1014" w:type="dxa"/>
          </w:tcPr>
          <w:p w14:paraId="63575104" w14:textId="77777777" w:rsidR="009A610B" w:rsidRPr="00FA6129" w:rsidRDefault="009A610B" w:rsidP="00280E97">
            <w:pPr>
              <w:jc w:val="center"/>
              <w:rPr>
                <w:b/>
                <w:sz w:val="18"/>
                <w:szCs w:val="18"/>
              </w:rPr>
            </w:pPr>
            <w:r w:rsidRPr="00FA6129">
              <w:rPr>
                <w:b/>
                <w:sz w:val="18"/>
                <w:szCs w:val="18"/>
              </w:rPr>
              <w:t>528 (74%)</w:t>
            </w:r>
          </w:p>
        </w:tc>
        <w:tc>
          <w:tcPr>
            <w:tcW w:w="966" w:type="dxa"/>
          </w:tcPr>
          <w:p w14:paraId="27CBFC9E" w14:textId="77777777" w:rsidR="009A610B" w:rsidRPr="00FA6129" w:rsidRDefault="009A610B" w:rsidP="00280E97">
            <w:pPr>
              <w:jc w:val="center"/>
              <w:rPr>
                <w:b/>
                <w:sz w:val="18"/>
                <w:szCs w:val="18"/>
              </w:rPr>
            </w:pPr>
            <w:r w:rsidRPr="00FA6129">
              <w:rPr>
                <w:b/>
                <w:sz w:val="18"/>
                <w:szCs w:val="18"/>
              </w:rPr>
              <w:t>956</w:t>
            </w:r>
          </w:p>
        </w:tc>
        <w:tc>
          <w:tcPr>
            <w:tcW w:w="1104" w:type="dxa"/>
          </w:tcPr>
          <w:p w14:paraId="57A6FE08" w14:textId="77777777" w:rsidR="009A610B" w:rsidRPr="00FA6129" w:rsidRDefault="009A610B" w:rsidP="00280E97">
            <w:pPr>
              <w:jc w:val="center"/>
              <w:rPr>
                <w:b/>
                <w:sz w:val="18"/>
                <w:szCs w:val="18"/>
              </w:rPr>
            </w:pPr>
            <w:r w:rsidRPr="00FA6129">
              <w:rPr>
                <w:b/>
                <w:sz w:val="18"/>
                <w:szCs w:val="18"/>
              </w:rPr>
              <w:t>425 (44%)</w:t>
            </w:r>
          </w:p>
        </w:tc>
        <w:tc>
          <w:tcPr>
            <w:tcW w:w="990" w:type="dxa"/>
          </w:tcPr>
          <w:p w14:paraId="3C6C616F" w14:textId="77777777" w:rsidR="009A610B" w:rsidRPr="00FA6129" w:rsidRDefault="009A610B" w:rsidP="00280E97">
            <w:pPr>
              <w:jc w:val="center"/>
              <w:rPr>
                <w:b/>
                <w:sz w:val="18"/>
                <w:szCs w:val="18"/>
              </w:rPr>
            </w:pPr>
            <w:r w:rsidRPr="00FA6129">
              <w:rPr>
                <w:b/>
                <w:sz w:val="18"/>
                <w:szCs w:val="18"/>
              </w:rPr>
              <w:t>246</w:t>
            </w:r>
          </w:p>
        </w:tc>
        <w:tc>
          <w:tcPr>
            <w:tcW w:w="1170" w:type="dxa"/>
          </w:tcPr>
          <w:p w14:paraId="24E2A1B6" w14:textId="77777777" w:rsidR="009A610B" w:rsidRPr="00FA6129" w:rsidRDefault="009A610B" w:rsidP="00280E97">
            <w:pPr>
              <w:jc w:val="center"/>
              <w:rPr>
                <w:b/>
                <w:sz w:val="18"/>
                <w:szCs w:val="18"/>
              </w:rPr>
            </w:pPr>
            <w:r w:rsidRPr="00FA6129">
              <w:rPr>
                <w:b/>
                <w:sz w:val="18"/>
                <w:szCs w:val="18"/>
              </w:rPr>
              <w:t>59 (24%)</w:t>
            </w:r>
          </w:p>
        </w:tc>
      </w:tr>
    </w:tbl>
    <w:p w14:paraId="52CA7912" w14:textId="77777777" w:rsidR="009A610B" w:rsidRPr="005D039D" w:rsidRDefault="009A610B" w:rsidP="005D039D">
      <w:pPr>
        <w:rPr>
          <w:i/>
          <w:sz w:val="20"/>
          <w:szCs w:val="20"/>
        </w:rPr>
      </w:pPr>
      <w:r w:rsidRPr="005D039D">
        <w:rPr>
          <w:i/>
          <w:sz w:val="20"/>
          <w:szCs w:val="20"/>
        </w:rPr>
        <w:t xml:space="preserve">* Data related to one month period (August 2010 for Hemominas and Hemope, October 2013 for Hemorio, and August 2013 for </w:t>
      </w:r>
      <w:r w:rsidR="00ED1BA5" w:rsidRPr="00ED1BA5">
        <w:rPr>
          <w:i/>
          <w:sz w:val="20"/>
          <w:szCs w:val="20"/>
        </w:rPr>
        <w:t>Fundação</w:t>
      </w:r>
      <w:r w:rsidRPr="005D039D">
        <w:rPr>
          <w:i/>
          <w:sz w:val="20"/>
          <w:szCs w:val="20"/>
        </w:rPr>
        <w:t xml:space="preserve"> Pro-Sangue). </w:t>
      </w:r>
    </w:p>
    <w:p w14:paraId="3C9399F5" w14:textId="77777777" w:rsidR="009A610B" w:rsidRPr="005D039D" w:rsidRDefault="009A610B" w:rsidP="005D039D">
      <w:pPr>
        <w:rPr>
          <w:i/>
          <w:sz w:val="20"/>
          <w:szCs w:val="20"/>
        </w:rPr>
      </w:pPr>
      <w:r w:rsidRPr="005D039D">
        <w:rPr>
          <w:i/>
          <w:sz w:val="20"/>
          <w:szCs w:val="20"/>
        </w:rPr>
        <w:t>**Includes repeat reactive and in</w:t>
      </w:r>
      <w:r w:rsidR="00F72C6D">
        <w:rPr>
          <w:i/>
          <w:sz w:val="20"/>
          <w:szCs w:val="20"/>
        </w:rPr>
        <w:t>con</w:t>
      </w:r>
      <w:r w:rsidRPr="005D039D">
        <w:rPr>
          <w:i/>
          <w:sz w:val="20"/>
          <w:szCs w:val="20"/>
        </w:rPr>
        <w:t>clusive results.</w:t>
      </w:r>
    </w:p>
    <w:p w14:paraId="05860D7F" w14:textId="77777777" w:rsidR="00D03EF1" w:rsidRDefault="00D03EF1" w:rsidP="00FA6129">
      <w:pPr>
        <w:pStyle w:val="BodyText"/>
        <w:ind w:firstLine="450"/>
        <w:rPr>
          <w:rFonts w:asciiTheme="majorBidi" w:hAnsiTheme="majorBidi" w:cstheme="majorBidi"/>
          <w:b w:val="0"/>
          <w:color w:val="000000"/>
          <w:szCs w:val="24"/>
        </w:rPr>
      </w:pPr>
    </w:p>
    <w:p w14:paraId="02C06B2D" w14:textId="77777777" w:rsidR="009A610B" w:rsidRPr="00FA6129" w:rsidRDefault="009A610B" w:rsidP="00FA6129">
      <w:pPr>
        <w:pStyle w:val="BodyText"/>
        <w:ind w:firstLine="450"/>
        <w:rPr>
          <w:rFonts w:asciiTheme="majorBidi" w:hAnsiTheme="majorBidi" w:cstheme="majorBidi"/>
          <w:b w:val="0"/>
          <w:color w:val="000000"/>
          <w:szCs w:val="24"/>
        </w:rPr>
      </w:pPr>
      <w:r w:rsidRPr="00FA6129">
        <w:rPr>
          <w:rFonts w:asciiTheme="majorBidi" w:hAnsiTheme="majorBidi" w:cstheme="majorBidi"/>
          <w:b w:val="0"/>
          <w:color w:val="000000"/>
          <w:szCs w:val="24"/>
        </w:rPr>
        <w:t xml:space="preserve">These preliminary data show marked differences in the number of persons who return following receipt of letters by blood center and infectious marker.   </w:t>
      </w:r>
    </w:p>
    <w:p w14:paraId="2ADC4D01" w14:textId="77777777" w:rsidR="009A610B" w:rsidRPr="00FA6129" w:rsidRDefault="009A610B" w:rsidP="009A610B">
      <w:pPr>
        <w:pStyle w:val="BodyText"/>
        <w:rPr>
          <w:rFonts w:asciiTheme="majorBidi" w:hAnsiTheme="majorBidi" w:cstheme="majorBidi"/>
          <w:b w:val="0"/>
          <w:color w:val="000000"/>
          <w:szCs w:val="24"/>
        </w:rPr>
      </w:pPr>
    </w:p>
    <w:p w14:paraId="6082E6EC" w14:textId="1AB105DD" w:rsidR="009A610B" w:rsidRPr="00FA6129" w:rsidRDefault="009A610B" w:rsidP="00F72C6D">
      <w:pPr>
        <w:pStyle w:val="BodyText"/>
        <w:ind w:firstLine="450"/>
        <w:rPr>
          <w:rFonts w:asciiTheme="majorBidi" w:hAnsiTheme="majorBidi" w:cstheme="majorBidi"/>
          <w:b w:val="0"/>
          <w:color w:val="000000"/>
          <w:szCs w:val="24"/>
        </w:rPr>
      </w:pPr>
      <w:r w:rsidRPr="00FA6129">
        <w:rPr>
          <w:rFonts w:asciiTheme="majorBidi" w:hAnsiTheme="majorBidi" w:cstheme="majorBidi"/>
          <w:b w:val="0"/>
          <w:color w:val="000000"/>
          <w:szCs w:val="24"/>
        </w:rPr>
        <w:t>Using the data from the one month period described above we estimate that for a 3</w:t>
      </w:r>
      <w:r w:rsidR="00F72C6D">
        <w:rPr>
          <w:rFonts w:asciiTheme="majorBidi" w:hAnsiTheme="majorBidi" w:cstheme="majorBidi"/>
          <w:b w:val="0"/>
          <w:color w:val="000000"/>
          <w:szCs w:val="24"/>
        </w:rPr>
        <w:t>-</w:t>
      </w:r>
      <w:r w:rsidRPr="00FA6129">
        <w:rPr>
          <w:rFonts w:asciiTheme="majorBidi" w:hAnsiTheme="majorBidi" w:cstheme="majorBidi"/>
          <w:b w:val="0"/>
          <w:color w:val="000000"/>
          <w:szCs w:val="24"/>
        </w:rPr>
        <w:t>year period (36 months) we will have the following total number of letters sent that will be included in our analysis of notification success (Table 2).</w:t>
      </w:r>
    </w:p>
    <w:p w14:paraId="18E1C820" w14:textId="77777777" w:rsidR="009A610B" w:rsidRPr="00FA6129" w:rsidRDefault="009A610B" w:rsidP="009A610B">
      <w:pPr>
        <w:pStyle w:val="BodyText"/>
        <w:rPr>
          <w:rFonts w:asciiTheme="minorHAnsi" w:hAnsiTheme="minorHAnsi" w:cstheme="minorHAnsi"/>
          <w:b w:val="0"/>
          <w:color w:val="000000"/>
          <w:sz w:val="22"/>
          <w:szCs w:val="22"/>
        </w:rPr>
      </w:pPr>
    </w:p>
    <w:p w14:paraId="28C725AE" w14:textId="77777777" w:rsidR="009A610B" w:rsidRPr="00FA6129" w:rsidRDefault="009A610B" w:rsidP="005D039D">
      <w:pPr>
        <w:pStyle w:val="BodyText"/>
        <w:keepNext/>
        <w:rPr>
          <w:rFonts w:asciiTheme="majorBidi" w:hAnsiTheme="majorBidi" w:cstheme="majorBidi"/>
          <w:color w:val="000000"/>
          <w:szCs w:val="24"/>
        </w:rPr>
      </w:pPr>
      <w:r w:rsidRPr="00FA6129">
        <w:rPr>
          <w:rFonts w:asciiTheme="majorBidi" w:hAnsiTheme="majorBidi" w:cstheme="majorBidi"/>
          <w:color w:val="000000"/>
          <w:szCs w:val="24"/>
        </w:rPr>
        <w:t xml:space="preserve">Table 2. Estimated number of request for return to the blood center letters delivered for repeat reactive or inconclusive testing results for all infections (HIV, HBV, HCV, HTLV, syphilis, and </w:t>
      </w:r>
      <w:r w:rsidRPr="00FA6129">
        <w:rPr>
          <w:rFonts w:asciiTheme="majorBidi" w:hAnsiTheme="majorBidi" w:cstheme="majorBidi"/>
          <w:i/>
          <w:color w:val="000000"/>
          <w:szCs w:val="24"/>
        </w:rPr>
        <w:t>T. cruzi</w:t>
      </w:r>
      <w:r w:rsidRPr="00FA6129">
        <w:rPr>
          <w:rFonts w:asciiTheme="majorBidi" w:hAnsiTheme="majorBidi" w:cstheme="majorBidi"/>
          <w:color w:val="000000"/>
          <w:szCs w:val="24"/>
        </w:rPr>
        <w:t xml:space="preserve">) at each blood center in 2011-2013.  </w:t>
      </w:r>
    </w:p>
    <w:tbl>
      <w:tblPr>
        <w:tblStyle w:val="TableGrid"/>
        <w:tblW w:w="0" w:type="auto"/>
        <w:tblInd w:w="288" w:type="dxa"/>
        <w:tblLook w:val="04A0" w:firstRow="1" w:lastRow="0" w:firstColumn="1" w:lastColumn="0" w:noHBand="0" w:noVBand="1"/>
      </w:tblPr>
      <w:tblGrid>
        <w:gridCol w:w="3960"/>
        <w:gridCol w:w="4500"/>
      </w:tblGrid>
      <w:tr w:rsidR="009A610B" w:rsidRPr="00FA6129" w14:paraId="6C615B67" w14:textId="77777777" w:rsidTr="00D6344A">
        <w:tc>
          <w:tcPr>
            <w:tcW w:w="3960" w:type="dxa"/>
          </w:tcPr>
          <w:p w14:paraId="7AFD4492" w14:textId="77777777" w:rsidR="009A610B" w:rsidRPr="00FA6129" w:rsidRDefault="009A610B" w:rsidP="005D039D">
            <w:pPr>
              <w:pStyle w:val="BodyText"/>
              <w:keepNext/>
              <w:jc w:val="center"/>
              <w:rPr>
                <w:rFonts w:asciiTheme="majorBidi" w:hAnsiTheme="majorBidi" w:cstheme="majorBidi"/>
                <w:color w:val="000000"/>
                <w:szCs w:val="24"/>
              </w:rPr>
            </w:pPr>
            <w:r w:rsidRPr="00FA6129">
              <w:rPr>
                <w:rFonts w:asciiTheme="majorBidi" w:hAnsiTheme="majorBidi" w:cstheme="majorBidi"/>
                <w:color w:val="000000"/>
                <w:szCs w:val="24"/>
              </w:rPr>
              <w:t>Blood center</w:t>
            </w:r>
          </w:p>
        </w:tc>
        <w:tc>
          <w:tcPr>
            <w:tcW w:w="4500" w:type="dxa"/>
          </w:tcPr>
          <w:p w14:paraId="613C965D" w14:textId="143AA204" w:rsidR="009A610B" w:rsidRPr="00FA6129" w:rsidRDefault="009A610B" w:rsidP="00F72C6D">
            <w:pPr>
              <w:pStyle w:val="BodyText"/>
              <w:keepNext/>
              <w:jc w:val="center"/>
              <w:rPr>
                <w:rFonts w:asciiTheme="majorBidi" w:hAnsiTheme="majorBidi" w:cstheme="majorBidi"/>
                <w:color w:val="000000"/>
                <w:szCs w:val="24"/>
              </w:rPr>
            </w:pPr>
            <w:r w:rsidRPr="00FA6129">
              <w:rPr>
                <w:rFonts w:asciiTheme="majorBidi" w:hAnsiTheme="majorBidi" w:cstheme="majorBidi"/>
                <w:color w:val="000000"/>
                <w:szCs w:val="24"/>
              </w:rPr>
              <w:t>Approximatenumber of notification letters in a 3-year period</w:t>
            </w:r>
          </w:p>
        </w:tc>
      </w:tr>
      <w:tr w:rsidR="009A610B" w:rsidRPr="00FA6129" w14:paraId="63A11712" w14:textId="77777777" w:rsidTr="00D6344A">
        <w:tc>
          <w:tcPr>
            <w:tcW w:w="3960" w:type="dxa"/>
          </w:tcPr>
          <w:p w14:paraId="6DFC74A7" w14:textId="77777777" w:rsidR="009A610B" w:rsidRPr="00FA6129" w:rsidRDefault="009A610B" w:rsidP="005D039D">
            <w:pPr>
              <w:pStyle w:val="BodyText"/>
              <w:keepNext/>
              <w:jc w:val="center"/>
              <w:rPr>
                <w:rFonts w:asciiTheme="majorBidi" w:hAnsiTheme="majorBidi" w:cstheme="majorBidi"/>
                <w:b w:val="0"/>
                <w:color w:val="000000"/>
                <w:szCs w:val="24"/>
                <w:lang w:val="pt-BR"/>
              </w:rPr>
            </w:pPr>
            <w:r w:rsidRPr="00FA6129">
              <w:rPr>
                <w:rFonts w:asciiTheme="majorBidi" w:hAnsiTheme="majorBidi" w:cstheme="majorBidi"/>
                <w:b w:val="0"/>
                <w:color w:val="000000"/>
                <w:szCs w:val="24"/>
                <w:lang w:val="pt-BR"/>
              </w:rPr>
              <w:t>Fundacao Pro Sangue (Sao Paulo)</w:t>
            </w:r>
          </w:p>
        </w:tc>
        <w:tc>
          <w:tcPr>
            <w:tcW w:w="4500" w:type="dxa"/>
          </w:tcPr>
          <w:p w14:paraId="09141CCA" w14:textId="77777777" w:rsidR="009A610B" w:rsidRPr="00FA6129" w:rsidRDefault="009A610B" w:rsidP="005D039D">
            <w:pPr>
              <w:pStyle w:val="BodyText"/>
              <w:keepNext/>
              <w:jc w:val="center"/>
              <w:rPr>
                <w:rFonts w:asciiTheme="majorBidi" w:hAnsiTheme="majorBidi" w:cstheme="majorBidi"/>
                <w:b w:val="0"/>
                <w:color w:val="000000"/>
                <w:szCs w:val="24"/>
              </w:rPr>
            </w:pPr>
            <w:r w:rsidRPr="00FA6129">
              <w:rPr>
                <w:rFonts w:asciiTheme="majorBidi" w:hAnsiTheme="majorBidi" w:cstheme="majorBidi"/>
                <w:b w:val="0"/>
                <w:color w:val="000000"/>
                <w:szCs w:val="24"/>
              </w:rPr>
              <w:t>8,600</w:t>
            </w:r>
          </w:p>
        </w:tc>
      </w:tr>
      <w:tr w:rsidR="009A610B" w:rsidRPr="00FA6129" w14:paraId="7F992E96" w14:textId="77777777" w:rsidTr="00D6344A">
        <w:tc>
          <w:tcPr>
            <w:tcW w:w="3960" w:type="dxa"/>
          </w:tcPr>
          <w:p w14:paraId="35FEF564" w14:textId="77777777" w:rsidR="009A610B" w:rsidRPr="00FA6129" w:rsidRDefault="009A610B" w:rsidP="005D039D">
            <w:pPr>
              <w:pStyle w:val="BodyText"/>
              <w:keepNext/>
              <w:jc w:val="center"/>
              <w:rPr>
                <w:rFonts w:asciiTheme="majorBidi" w:hAnsiTheme="majorBidi" w:cstheme="majorBidi"/>
                <w:b w:val="0"/>
                <w:color w:val="000000"/>
                <w:szCs w:val="24"/>
              </w:rPr>
            </w:pPr>
            <w:r w:rsidRPr="00FA6129">
              <w:rPr>
                <w:rFonts w:asciiTheme="majorBidi" w:hAnsiTheme="majorBidi" w:cstheme="majorBidi"/>
                <w:b w:val="0"/>
                <w:color w:val="000000"/>
                <w:szCs w:val="24"/>
              </w:rPr>
              <w:t>Hemominas (Belo Horizonte</w:t>
            </w:r>
          </w:p>
        </w:tc>
        <w:tc>
          <w:tcPr>
            <w:tcW w:w="4500" w:type="dxa"/>
          </w:tcPr>
          <w:p w14:paraId="1118CDBB" w14:textId="77777777" w:rsidR="009A610B" w:rsidRPr="00FA6129" w:rsidRDefault="009A610B" w:rsidP="005D039D">
            <w:pPr>
              <w:pStyle w:val="BodyText"/>
              <w:keepNext/>
              <w:jc w:val="center"/>
              <w:rPr>
                <w:rFonts w:asciiTheme="majorBidi" w:hAnsiTheme="majorBidi" w:cstheme="majorBidi"/>
                <w:b w:val="0"/>
                <w:color w:val="000000"/>
                <w:szCs w:val="24"/>
              </w:rPr>
            </w:pPr>
            <w:r w:rsidRPr="00FA6129">
              <w:rPr>
                <w:rFonts w:asciiTheme="majorBidi" w:hAnsiTheme="majorBidi" w:cstheme="majorBidi"/>
                <w:b w:val="0"/>
                <w:color w:val="000000"/>
                <w:szCs w:val="24"/>
              </w:rPr>
              <w:t>25,600</w:t>
            </w:r>
          </w:p>
        </w:tc>
      </w:tr>
      <w:tr w:rsidR="009A610B" w:rsidRPr="00FA6129" w14:paraId="53E7252E" w14:textId="77777777" w:rsidTr="00D6344A">
        <w:tc>
          <w:tcPr>
            <w:tcW w:w="3960" w:type="dxa"/>
          </w:tcPr>
          <w:p w14:paraId="329D1E6A" w14:textId="77777777" w:rsidR="009A610B" w:rsidRPr="00FA6129" w:rsidRDefault="009A610B" w:rsidP="005D039D">
            <w:pPr>
              <w:pStyle w:val="BodyText"/>
              <w:keepNext/>
              <w:jc w:val="center"/>
              <w:rPr>
                <w:rFonts w:asciiTheme="majorBidi" w:hAnsiTheme="majorBidi" w:cstheme="majorBidi"/>
                <w:b w:val="0"/>
                <w:color w:val="000000"/>
                <w:szCs w:val="24"/>
              </w:rPr>
            </w:pPr>
            <w:r w:rsidRPr="00FA6129">
              <w:rPr>
                <w:rFonts w:asciiTheme="majorBidi" w:hAnsiTheme="majorBidi" w:cstheme="majorBidi"/>
                <w:b w:val="0"/>
                <w:color w:val="000000"/>
                <w:szCs w:val="24"/>
              </w:rPr>
              <w:t>Hemope (Recife)</w:t>
            </w:r>
          </w:p>
        </w:tc>
        <w:tc>
          <w:tcPr>
            <w:tcW w:w="4500" w:type="dxa"/>
          </w:tcPr>
          <w:p w14:paraId="50A48DF7" w14:textId="77777777" w:rsidR="009A610B" w:rsidRPr="00FA6129" w:rsidRDefault="009A610B" w:rsidP="005D039D">
            <w:pPr>
              <w:pStyle w:val="BodyText"/>
              <w:keepNext/>
              <w:jc w:val="center"/>
              <w:rPr>
                <w:rFonts w:asciiTheme="majorBidi" w:hAnsiTheme="majorBidi" w:cstheme="majorBidi"/>
                <w:b w:val="0"/>
                <w:color w:val="000000"/>
                <w:szCs w:val="24"/>
              </w:rPr>
            </w:pPr>
            <w:r w:rsidRPr="00FA6129">
              <w:rPr>
                <w:rFonts w:asciiTheme="majorBidi" w:hAnsiTheme="majorBidi" w:cstheme="majorBidi"/>
                <w:b w:val="0"/>
                <w:color w:val="000000"/>
                <w:szCs w:val="24"/>
              </w:rPr>
              <w:t>34,400</w:t>
            </w:r>
          </w:p>
        </w:tc>
      </w:tr>
      <w:tr w:rsidR="009A610B" w:rsidRPr="00FA6129" w14:paraId="78C9D3FD" w14:textId="77777777" w:rsidTr="00D6344A">
        <w:tc>
          <w:tcPr>
            <w:tcW w:w="3960" w:type="dxa"/>
          </w:tcPr>
          <w:p w14:paraId="658A377E" w14:textId="77777777" w:rsidR="009A610B" w:rsidRPr="00FA6129" w:rsidRDefault="009A610B" w:rsidP="005D039D">
            <w:pPr>
              <w:pStyle w:val="BodyText"/>
              <w:keepNext/>
              <w:jc w:val="center"/>
              <w:rPr>
                <w:rFonts w:asciiTheme="majorBidi" w:hAnsiTheme="majorBidi" w:cstheme="majorBidi"/>
                <w:b w:val="0"/>
                <w:color w:val="000000"/>
                <w:szCs w:val="24"/>
              </w:rPr>
            </w:pPr>
            <w:r w:rsidRPr="00FA6129">
              <w:rPr>
                <w:rFonts w:asciiTheme="majorBidi" w:hAnsiTheme="majorBidi" w:cstheme="majorBidi"/>
                <w:b w:val="0"/>
                <w:color w:val="000000"/>
                <w:szCs w:val="24"/>
              </w:rPr>
              <w:t>Hemorio (Rio de Janeiro)</w:t>
            </w:r>
          </w:p>
        </w:tc>
        <w:tc>
          <w:tcPr>
            <w:tcW w:w="4500" w:type="dxa"/>
          </w:tcPr>
          <w:p w14:paraId="027FB831" w14:textId="77777777" w:rsidR="009A610B" w:rsidRPr="00FA6129" w:rsidRDefault="009A610B" w:rsidP="005D039D">
            <w:pPr>
              <w:pStyle w:val="BodyText"/>
              <w:keepNext/>
              <w:jc w:val="center"/>
              <w:rPr>
                <w:rFonts w:asciiTheme="majorBidi" w:hAnsiTheme="majorBidi" w:cstheme="majorBidi"/>
                <w:b w:val="0"/>
                <w:color w:val="000000"/>
                <w:szCs w:val="24"/>
              </w:rPr>
            </w:pPr>
            <w:r w:rsidRPr="00FA6129">
              <w:rPr>
                <w:rFonts w:asciiTheme="majorBidi" w:hAnsiTheme="majorBidi" w:cstheme="majorBidi"/>
                <w:b w:val="0"/>
                <w:color w:val="000000"/>
                <w:szCs w:val="24"/>
              </w:rPr>
              <w:t>8,850</w:t>
            </w:r>
          </w:p>
        </w:tc>
      </w:tr>
      <w:tr w:rsidR="009A610B" w:rsidRPr="00FA6129" w14:paraId="75D892DD" w14:textId="77777777" w:rsidTr="00D6344A">
        <w:trPr>
          <w:trHeight w:val="251"/>
        </w:trPr>
        <w:tc>
          <w:tcPr>
            <w:tcW w:w="3960" w:type="dxa"/>
          </w:tcPr>
          <w:p w14:paraId="71D686D9" w14:textId="77777777" w:rsidR="009A610B" w:rsidRPr="00FA6129" w:rsidRDefault="009A610B" w:rsidP="005D039D">
            <w:pPr>
              <w:pStyle w:val="BodyText"/>
              <w:keepNext/>
              <w:jc w:val="center"/>
              <w:rPr>
                <w:rFonts w:asciiTheme="majorBidi" w:hAnsiTheme="majorBidi" w:cstheme="majorBidi"/>
                <w:b w:val="0"/>
                <w:color w:val="000000"/>
                <w:szCs w:val="24"/>
              </w:rPr>
            </w:pPr>
            <w:r w:rsidRPr="00FA6129">
              <w:rPr>
                <w:rFonts w:asciiTheme="majorBidi" w:hAnsiTheme="majorBidi" w:cstheme="majorBidi"/>
                <w:b w:val="0"/>
                <w:color w:val="000000"/>
                <w:szCs w:val="24"/>
              </w:rPr>
              <w:t>Total</w:t>
            </w:r>
          </w:p>
        </w:tc>
        <w:tc>
          <w:tcPr>
            <w:tcW w:w="4500" w:type="dxa"/>
          </w:tcPr>
          <w:p w14:paraId="4E002001" w14:textId="77777777" w:rsidR="009A610B" w:rsidRPr="00FA6129" w:rsidRDefault="009A610B" w:rsidP="005D039D">
            <w:pPr>
              <w:pStyle w:val="BodyText"/>
              <w:keepNext/>
              <w:jc w:val="center"/>
              <w:rPr>
                <w:rFonts w:asciiTheme="majorBidi" w:hAnsiTheme="majorBidi" w:cstheme="majorBidi"/>
                <w:b w:val="0"/>
                <w:color w:val="000000"/>
                <w:szCs w:val="24"/>
              </w:rPr>
            </w:pPr>
            <w:r w:rsidRPr="00FA6129">
              <w:rPr>
                <w:rFonts w:asciiTheme="majorBidi" w:hAnsiTheme="majorBidi" w:cstheme="majorBidi"/>
                <w:b w:val="0"/>
                <w:color w:val="000000"/>
                <w:szCs w:val="24"/>
              </w:rPr>
              <w:t>77,450</w:t>
            </w:r>
          </w:p>
        </w:tc>
      </w:tr>
    </w:tbl>
    <w:p w14:paraId="10871396" w14:textId="77777777" w:rsidR="009A610B" w:rsidRPr="00FA6129" w:rsidRDefault="009A610B" w:rsidP="009A610B">
      <w:pPr>
        <w:pStyle w:val="BodyText"/>
        <w:rPr>
          <w:rFonts w:asciiTheme="minorHAnsi" w:hAnsiTheme="minorHAnsi" w:cstheme="minorHAnsi"/>
          <w:b w:val="0"/>
          <w:color w:val="000000"/>
          <w:sz w:val="22"/>
          <w:szCs w:val="22"/>
        </w:rPr>
      </w:pPr>
    </w:p>
    <w:p w14:paraId="2907192A" w14:textId="77777777" w:rsidR="009A610B" w:rsidRPr="00FA6129" w:rsidRDefault="009A610B" w:rsidP="009A610B">
      <w:pPr>
        <w:rPr>
          <w:rFonts w:cstheme="minorHAnsi"/>
        </w:rPr>
      </w:pPr>
      <w:r w:rsidRPr="00FA6129">
        <w:rPr>
          <w:rFonts w:cstheme="minorHAnsi"/>
          <w:b/>
        </w:rPr>
        <w:t>Aim 2 and 3</w:t>
      </w:r>
      <w:r w:rsidRPr="00FA6129">
        <w:rPr>
          <w:rFonts w:cstheme="minorHAnsi"/>
        </w:rPr>
        <w:t xml:space="preserve"> </w:t>
      </w:r>
      <w:r w:rsidRPr="00FA6129">
        <w:rPr>
          <w:rFonts w:cstheme="minorHAnsi"/>
          <w:b/>
        </w:rPr>
        <w:t>Sample Size</w:t>
      </w:r>
    </w:p>
    <w:p w14:paraId="105D3887" w14:textId="77777777" w:rsidR="009A610B" w:rsidRPr="00FA6129" w:rsidRDefault="009A610B" w:rsidP="009A610B">
      <w:pPr>
        <w:rPr>
          <w:rFonts w:cstheme="minorHAnsi"/>
          <w:i/>
        </w:rPr>
      </w:pPr>
    </w:p>
    <w:p w14:paraId="634E4578" w14:textId="34389F62" w:rsidR="009A610B" w:rsidRPr="00FA6129" w:rsidRDefault="00C8388D" w:rsidP="00F72C6D">
      <w:pPr>
        <w:ind w:firstLine="720"/>
        <w:rPr>
          <w:rFonts w:cstheme="minorHAnsi"/>
          <w:color w:val="000000"/>
        </w:rPr>
      </w:pPr>
      <w:r>
        <w:rPr>
          <w:rFonts w:cstheme="minorHAnsi"/>
        </w:rPr>
        <w:t>The</w:t>
      </w:r>
      <w:r w:rsidR="009A610B" w:rsidRPr="00FA6129">
        <w:rPr>
          <w:rFonts w:cstheme="minorHAnsi"/>
        </w:rPr>
        <w:t xml:space="preserve"> estimated enrollment for these aims </w:t>
      </w:r>
      <w:r>
        <w:rPr>
          <w:rFonts w:cstheme="minorHAnsi"/>
        </w:rPr>
        <w:t xml:space="preserve">is </w:t>
      </w:r>
      <w:r w:rsidR="009A610B" w:rsidRPr="00FA6129">
        <w:rPr>
          <w:rFonts w:cstheme="minorHAnsi"/>
        </w:rPr>
        <w:t xml:space="preserve">based on the current enrollment rates for the HIV molecular and risk factor surveillance study in REDS-III combined with achieved enrollment from the REDS-II </w:t>
      </w:r>
      <w:r w:rsidR="00ED1BA5">
        <w:rPr>
          <w:rFonts w:cstheme="minorHAnsi"/>
        </w:rPr>
        <w:t>case-control</w:t>
      </w:r>
      <w:r w:rsidR="009A610B" w:rsidRPr="00FA6129">
        <w:rPr>
          <w:rFonts w:cstheme="minorHAnsi"/>
        </w:rPr>
        <w:t xml:space="preserve"> study.  For REDS-III, approximately 4</w:t>
      </w:r>
      <w:r w:rsidR="00117AAC">
        <w:rPr>
          <w:rFonts w:cstheme="minorHAnsi"/>
        </w:rPr>
        <w:t>6</w:t>
      </w:r>
      <w:r w:rsidR="009A610B" w:rsidRPr="00FA6129">
        <w:rPr>
          <w:rFonts w:cstheme="minorHAnsi"/>
        </w:rPr>
        <w:t>% of eligible HIV positive donors have enrolled in the risk factor and molecular case surveillance study. One-hundred-seventy-eight (178) donors have enrolled in the REDS-III study as of May</w:t>
      </w:r>
      <w:r w:rsidR="000D7605">
        <w:rPr>
          <w:rFonts w:cstheme="minorHAnsi"/>
        </w:rPr>
        <w:t xml:space="preserve"> 6,</w:t>
      </w:r>
      <w:r w:rsidR="009A610B" w:rsidRPr="00FA6129">
        <w:rPr>
          <w:rFonts w:cstheme="minorHAnsi"/>
        </w:rPr>
        <w:t xml:space="preserve"> 2014. </w:t>
      </w:r>
      <w:r w:rsidR="00ED1BA5" w:rsidRPr="00FA6129">
        <w:rPr>
          <w:rFonts w:cstheme="minorHAnsi"/>
        </w:rPr>
        <w:t xml:space="preserve">Because </w:t>
      </w:r>
      <w:r w:rsidR="005B0486">
        <w:rPr>
          <w:rFonts w:cstheme="minorHAnsi"/>
        </w:rPr>
        <w:t>study personnel</w:t>
      </w:r>
      <w:r w:rsidR="00ED1BA5" w:rsidRPr="00FA6129">
        <w:rPr>
          <w:rFonts w:cstheme="minorHAnsi"/>
        </w:rPr>
        <w:t xml:space="preserve"> have recently had contact with these donors, for this </w:t>
      </w:r>
      <w:r w:rsidR="0022585F">
        <w:rPr>
          <w:rFonts w:cstheme="minorHAnsi"/>
        </w:rPr>
        <w:t xml:space="preserve">notification and HIV follow-up </w:t>
      </w:r>
      <w:r w:rsidR="00ED1BA5" w:rsidRPr="00FA6129">
        <w:rPr>
          <w:rFonts w:cstheme="minorHAnsi"/>
        </w:rPr>
        <w:t xml:space="preserve">protocol </w:t>
      </w:r>
      <w:r w:rsidR="005B0486">
        <w:rPr>
          <w:rFonts w:cstheme="minorHAnsi"/>
        </w:rPr>
        <w:t xml:space="preserve">it is expected that </w:t>
      </w:r>
      <w:r w:rsidR="00ED1BA5" w:rsidRPr="00FA6129">
        <w:rPr>
          <w:rFonts w:cstheme="minorHAnsi"/>
        </w:rPr>
        <w:t xml:space="preserve">60% to 75% of these 178 participants, </w:t>
      </w:r>
      <w:r w:rsidR="0022585F">
        <w:rPr>
          <w:rFonts w:cstheme="minorHAnsi"/>
        </w:rPr>
        <w:t xml:space="preserve">or </w:t>
      </w:r>
      <w:r w:rsidR="00ED1BA5" w:rsidRPr="00FA6129">
        <w:rPr>
          <w:rFonts w:cstheme="minorHAnsi"/>
        </w:rPr>
        <w:t>95 to 119 participants from the REDS-III case surveillance study</w:t>
      </w:r>
      <w:r w:rsidR="005B0486">
        <w:rPr>
          <w:rFonts w:cstheme="minorHAnsi"/>
        </w:rPr>
        <w:t xml:space="preserve"> will enroll, </w:t>
      </w:r>
      <w:r w:rsidR="00D445AC">
        <w:rPr>
          <w:rFonts w:cstheme="minorHAnsi"/>
        </w:rPr>
        <w:t xml:space="preserve">with additional potential eligibles from </w:t>
      </w:r>
      <w:r w:rsidR="004403C0">
        <w:rPr>
          <w:rFonts w:cstheme="minorHAnsi"/>
        </w:rPr>
        <w:t xml:space="preserve">the </w:t>
      </w:r>
      <w:r w:rsidR="000D7605">
        <w:rPr>
          <w:rFonts w:cstheme="minorHAnsi"/>
        </w:rPr>
        <w:t>period May 7, 2014</w:t>
      </w:r>
      <w:r w:rsidR="004403C0">
        <w:rPr>
          <w:rFonts w:cstheme="minorHAnsi"/>
        </w:rPr>
        <w:t xml:space="preserve"> – December 2014.</w:t>
      </w:r>
      <w:r w:rsidR="00ED1BA5" w:rsidRPr="00FA6129">
        <w:rPr>
          <w:rFonts w:cstheme="minorHAnsi"/>
        </w:rPr>
        <w:t xml:space="preserve"> </w:t>
      </w:r>
      <w:r w:rsidR="00F73E81">
        <w:rPr>
          <w:rFonts w:cstheme="minorHAnsi"/>
        </w:rPr>
        <w:t>With respect to the previous REDS-II case control study, it is assumed that</w:t>
      </w:r>
      <w:r w:rsidR="009A610B" w:rsidRPr="00FA6129">
        <w:rPr>
          <w:rFonts w:cstheme="minorHAnsi"/>
        </w:rPr>
        <w:t xml:space="preserve"> an enrollment rate of 50% for the 341 HIV positives from the REDS-II HIV case-control study</w:t>
      </w:r>
      <w:r w:rsidR="00F73E81">
        <w:rPr>
          <w:rFonts w:cstheme="minorHAnsi"/>
        </w:rPr>
        <w:t xml:space="preserve"> will be achieved for the notification and HIV follow-up study</w:t>
      </w:r>
      <w:r w:rsidR="009A610B" w:rsidRPr="00FA6129">
        <w:rPr>
          <w:rFonts w:cstheme="minorHAnsi"/>
        </w:rPr>
        <w:t xml:space="preserve">, </w:t>
      </w:r>
      <w:r w:rsidR="00F73E81">
        <w:rPr>
          <w:rFonts w:cstheme="minorHAnsi"/>
        </w:rPr>
        <w:t xml:space="preserve">leading to </w:t>
      </w:r>
      <w:r w:rsidR="009A610B" w:rsidRPr="00FA6129">
        <w:rPr>
          <w:rFonts w:cstheme="minorHAnsi"/>
        </w:rPr>
        <w:t xml:space="preserve"> </w:t>
      </w:r>
      <w:r w:rsidR="009B5196">
        <w:rPr>
          <w:rFonts w:cstheme="minorHAnsi"/>
        </w:rPr>
        <w:t>171</w:t>
      </w:r>
      <w:r w:rsidR="009B5196" w:rsidRPr="00FA6129">
        <w:rPr>
          <w:rFonts w:cstheme="minorHAnsi"/>
        </w:rPr>
        <w:t xml:space="preserve"> </w:t>
      </w:r>
      <w:r w:rsidR="009A610B" w:rsidRPr="00FA6129">
        <w:rPr>
          <w:rFonts w:cstheme="minorHAnsi"/>
        </w:rPr>
        <w:t>participants from th</w:t>
      </w:r>
      <w:r w:rsidR="00F73E81">
        <w:rPr>
          <w:rFonts w:cstheme="minorHAnsi"/>
        </w:rPr>
        <w:t xml:space="preserve">e REDS-II </w:t>
      </w:r>
      <w:r w:rsidR="009A610B" w:rsidRPr="00FA6129">
        <w:rPr>
          <w:rFonts w:cstheme="minorHAnsi"/>
        </w:rPr>
        <w:t xml:space="preserve"> study. Therefore, the </w:t>
      </w:r>
      <w:r w:rsidR="004403C0">
        <w:rPr>
          <w:rFonts w:cstheme="minorHAnsi"/>
        </w:rPr>
        <w:t xml:space="preserve">overall </w:t>
      </w:r>
      <w:r w:rsidR="009A610B" w:rsidRPr="00FA6129">
        <w:rPr>
          <w:rFonts w:cstheme="minorHAnsi"/>
        </w:rPr>
        <w:t xml:space="preserve">expected participation in the counseling and follow-up study is </w:t>
      </w:r>
      <w:r w:rsidR="009A610B" w:rsidRPr="00FA6129">
        <w:rPr>
          <w:rFonts w:cstheme="minorHAnsi"/>
          <w:color w:val="000000"/>
        </w:rPr>
        <w:t xml:space="preserve">265 to 290 participants. </w:t>
      </w:r>
      <w:r w:rsidR="008F2C49">
        <w:rPr>
          <w:rFonts w:cstheme="minorHAnsi"/>
          <w:color w:val="000000"/>
        </w:rPr>
        <w:t>This number has been</w:t>
      </w:r>
      <w:r w:rsidR="009A610B" w:rsidRPr="00FA6129">
        <w:rPr>
          <w:rFonts w:cstheme="minorHAnsi"/>
          <w:color w:val="000000"/>
        </w:rPr>
        <w:t xml:space="preserve"> rounded to a</w:t>
      </w:r>
      <w:r w:rsidR="008F2C49">
        <w:rPr>
          <w:rFonts w:cstheme="minorHAnsi"/>
          <w:color w:val="000000"/>
        </w:rPr>
        <w:t xml:space="preserve"> </w:t>
      </w:r>
      <w:r w:rsidR="009A610B" w:rsidRPr="00FA6129">
        <w:rPr>
          <w:rFonts w:cstheme="minorHAnsi"/>
          <w:color w:val="000000"/>
        </w:rPr>
        <w:t xml:space="preserve">targeted enrollment of 275 participants. </w:t>
      </w:r>
    </w:p>
    <w:p w14:paraId="4CCBEFCC" w14:textId="77777777" w:rsidR="009A610B" w:rsidRPr="00FA6129" w:rsidRDefault="009A610B" w:rsidP="009A610B">
      <w:pPr>
        <w:rPr>
          <w:rFonts w:cstheme="minorHAnsi"/>
          <w:color w:val="000000"/>
        </w:rPr>
      </w:pPr>
    </w:p>
    <w:p w14:paraId="46BB51D5" w14:textId="77777777" w:rsidR="009A610B" w:rsidRPr="00FA6129" w:rsidRDefault="009A610B" w:rsidP="009A610B">
      <w:pPr>
        <w:rPr>
          <w:rFonts w:asciiTheme="majorBidi" w:hAnsiTheme="majorBidi" w:cstheme="majorBidi"/>
          <w:b/>
          <w:color w:val="FF0000"/>
        </w:rPr>
      </w:pPr>
      <w:r w:rsidRPr="00FA6129">
        <w:rPr>
          <w:rFonts w:asciiTheme="majorBidi" w:hAnsiTheme="majorBidi" w:cstheme="majorBidi"/>
          <w:b/>
          <w:color w:val="000000"/>
        </w:rPr>
        <w:t xml:space="preserve">Table 3. </w:t>
      </w:r>
      <w:r w:rsidRPr="00FA6129">
        <w:rPr>
          <w:rFonts w:asciiTheme="majorBidi" w:hAnsiTheme="majorBidi" w:cstheme="majorBidi"/>
          <w:b/>
          <w:bCs/>
        </w:rPr>
        <w:t xml:space="preserve">Overall </w:t>
      </w:r>
      <w:r w:rsidRPr="00FA6129">
        <w:rPr>
          <w:rFonts w:asciiTheme="majorBidi" w:hAnsiTheme="majorBidi" w:cstheme="majorBidi"/>
          <w:b/>
          <w:color w:val="000000"/>
        </w:rPr>
        <w:t xml:space="preserve">REDS-III </w:t>
      </w:r>
      <w:r w:rsidRPr="00FA6129">
        <w:rPr>
          <w:rFonts w:asciiTheme="majorBidi" w:hAnsiTheme="majorBidi" w:cstheme="majorBidi"/>
          <w:b/>
          <w:bCs/>
        </w:rPr>
        <w:t>HIV molecular and risk factor surveillance study enrollment by blood center May 6, 2014.</w:t>
      </w:r>
      <w:r w:rsidRPr="00FA6129">
        <w:rPr>
          <w:rFonts w:asciiTheme="majorBidi" w:hAnsiTheme="majorBidi" w:cstheme="majorBid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28"/>
        <w:gridCol w:w="1710"/>
        <w:gridCol w:w="1980"/>
      </w:tblGrid>
      <w:tr w:rsidR="009A610B" w:rsidRPr="00FA6129" w14:paraId="5BBA7912" w14:textId="77777777" w:rsidTr="00855E3D">
        <w:tc>
          <w:tcPr>
            <w:tcW w:w="3528" w:type="dxa"/>
            <w:tcMar>
              <w:top w:w="0" w:type="dxa"/>
              <w:left w:w="108" w:type="dxa"/>
              <w:bottom w:w="0" w:type="dxa"/>
              <w:right w:w="108" w:type="dxa"/>
            </w:tcMar>
            <w:hideMark/>
          </w:tcPr>
          <w:p w14:paraId="1B3F215D" w14:textId="77777777" w:rsidR="009A610B" w:rsidRPr="00FA6129" w:rsidRDefault="009A610B" w:rsidP="00280E97">
            <w:pPr>
              <w:spacing w:before="100" w:beforeAutospacing="1"/>
              <w:rPr>
                <w:rFonts w:asciiTheme="majorBidi" w:hAnsiTheme="majorBidi" w:cstheme="majorBidi"/>
                <w:b/>
              </w:rPr>
            </w:pPr>
            <w:r w:rsidRPr="00FA6129">
              <w:rPr>
                <w:rFonts w:asciiTheme="majorBidi" w:hAnsiTheme="majorBidi" w:cstheme="majorBidi"/>
                <w:b/>
                <w:bCs/>
              </w:rPr>
              <w:t>Blood center</w:t>
            </w:r>
          </w:p>
        </w:tc>
        <w:tc>
          <w:tcPr>
            <w:tcW w:w="1710" w:type="dxa"/>
            <w:tcMar>
              <w:top w:w="0" w:type="dxa"/>
              <w:left w:w="108" w:type="dxa"/>
              <w:bottom w:w="0" w:type="dxa"/>
              <w:right w:w="108" w:type="dxa"/>
            </w:tcMar>
            <w:hideMark/>
          </w:tcPr>
          <w:p w14:paraId="5FEF9D1D" w14:textId="77777777" w:rsidR="009A610B" w:rsidRPr="00FA6129" w:rsidRDefault="009A610B" w:rsidP="00280E97">
            <w:pPr>
              <w:spacing w:before="100" w:beforeAutospacing="1"/>
              <w:rPr>
                <w:rFonts w:asciiTheme="majorBidi" w:hAnsiTheme="majorBidi" w:cstheme="majorBidi"/>
                <w:b/>
                <w:bCs/>
              </w:rPr>
            </w:pPr>
            <w:r w:rsidRPr="00FA6129">
              <w:rPr>
                <w:rFonts w:asciiTheme="majorBidi" w:hAnsiTheme="majorBidi" w:cstheme="majorBidi"/>
                <w:b/>
                <w:bCs/>
              </w:rPr>
              <w:t>Total enrolled (%)</w:t>
            </w:r>
          </w:p>
        </w:tc>
        <w:tc>
          <w:tcPr>
            <w:tcW w:w="1980" w:type="dxa"/>
            <w:tcMar>
              <w:top w:w="0" w:type="dxa"/>
              <w:left w:w="108" w:type="dxa"/>
              <w:bottom w:w="0" w:type="dxa"/>
              <w:right w:w="108" w:type="dxa"/>
            </w:tcMar>
            <w:hideMark/>
          </w:tcPr>
          <w:p w14:paraId="066B4172" w14:textId="77777777" w:rsidR="009A610B" w:rsidRPr="00FA6129" w:rsidRDefault="009A610B" w:rsidP="00280E97">
            <w:pPr>
              <w:spacing w:before="100" w:beforeAutospacing="1"/>
              <w:rPr>
                <w:rFonts w:asciiTheme="majorBidi" w:hAnsiTheme="majorBidi" w:cstheme="majorBidi"/>
                <w:b/>
              </w:rPr>
            </w:pPr>
            <w:r w:rsidRPr="00FA6129">
              <w:rPr>
                <w:rFonts w:asciiTheme="majorBidi" w:hAnsiTheme="majorBidi" w:cstheme="majorBidi"/>
                <w:b/>
                <w:bCs/>
              </w:rPr>
              <w:t>Study launch</w:t>
            </w:r>
          </w:p>
        </w:tc>
      </w:tr>
      <w:tr w:rsidR="009A610B" w:rsidRPr="00FA6129" w14:paraId="31D7984D" w14:textId="77777777" w:rsidTr="00855E3D">
        <w:tc>
          <w:tcPr>
            <w:tcW w:w="3528" w:type="dxa"/>
            <w:tcMar>
              <w:top w:w="0" w:type="dxa"/>
              <w:left w:w="108" w:type="dxa"/>
              <w:bottom w:w="0" w:type="dxa"/>
              <w:right w:w="108" w:type="dxa"/>
            </w:tcMar>
          </w:tcPr>
          <w:p w14:paraId="1BC38C65" w14:textId="77777777" w:rsidR="009A610B" w:rsidRPr="00FA6129" w:rsidRDefault="009A610B" w:rsidP="00280E97">
            <w:pPr>
              <w:spacing w:before="100" w:beforeAutospacing="1"/>
              <w:rPr>
                <w:rFonts w:asciiTheme="majorBidi" w:hAnsiTheme="majorBidi" w:cstheme="majorBidi"/>
                <w:bCs/>
                <w:lang w:val="pt-BR"/>
              </w:rPr>
            </w:pPr>
            <w:r w:rsidRPr="00FA6129">
              <w:rPr>
                <w:rFonts w:asciiTheme="majorBidi" w:hAnsiTheme="majorBidi" w:cstheme="majorBidi"/>
                <w:bCs/>
                <w:lang w:val="pt-BR"/>
              </w:rPr>
              <w:t>Fundacao Pro-Sangue, Sao Paulo</w:t>
            </w:r>
          </w:p>
        </w:tc>
        <w:tc>
          <w:tcPr>
            <w:tcW w:w="1710" w:type="dxa"/>
            <w:tcMar>
              <w:top w:w="0" w:type="dxa"/>
              <w:left w:w="108" w:type="dxa"/>
              <w:bottom w:w="0" w:type="dxa"/>
              <w:right w:w="108" w:type="dxa"/>
            </w:tcMar>
          </w:tcPr>
          <w:p w14:paraId="37EDC4E6" w14:textId="77777777" w:rsidR="009A610B" w:rsidRPr="00FA6129" w:rsidRDefault="009A610B" w:rsidP="00280E97">
            <w:pPr>
              <w:spacing w:before="100" w:beforeAutospacing="1"/>
              <w:rPr>
                <w:rFonts w:asciiTheme="majorBidi" w:hAnsiTheme="majorBidi" w:cstheme="majorBidi"/>
                <w:bCs/>
              </w:rPr>
            </w:pPr>
            <w:r w:rsidRPr="00FA6129">
              <w:rPr>
                <w:rFonts w:asciiTheme="majorBidi" w:hAnsiTheme="majorBidi" w:cstheme="majorBidi"/>
                <w:bCs/>
              </w:rPr>
              <w:t>53/90 (59%)</w:t>
            </w:r>
          </w:p>
        </w:tc>
        <w:tc>
          <w:tcPr>
            <w:tcW w:w="1980" w:type="dxa"/>
            <w:tcMar>
              <w:top w:w="0" w:type="dxa"/>
              <w:left w:w="108" w:type="dxa"/>
              <w:bottom w:w="0" w:type="dxa"/>
              <w:right w:w="108" w:type="dxa"/>
            </w:tcMar>
          </w:tcPr>
          <w:p w14:paraId="37A78CF6" w14:textId="77777777" w:rsidR="009A610B" w:rsidRPr="00FA6129" w:rsidRDefault="009A610B" w:rsidP="00280E97">
            <w:pPr>
              <w:spacing w:before="100" w:beforeAutospacing="1"/>
              <w:rPr>
                <w:rFonts w:asciiTheme="majorBidi" w:hAnsiTheme="majorBidi" w:cstheme="majorBidi"/>
              </w:rPr>
            </w:pPr>
            <w:r w:rsidRPr="00FA6129">
              <w:rPr>
                <w:rFonts w:asciiTheme="majorBidi" w:hAnsiTheme="majorBidi" w:cstheme="majorBidi"/>
              </w:rPr>
              <w:t>11/8/2012</w:t>
            </w:r>
          </w:p>
        </w:tc>
      </w:tr>
      <w:tr w:rsidR="009A610B" w:rsidRPr="00FA6129" w14:paraId="4967050F" w14:textId="77777777" w:rsidTr="00855E3D">
        <w:tc>
          <w:tcPr>
            <w:tcW w:w="3528" w:type="dxa"/>
            <w:tcMar>
              <w:top w:w="0" w:type="dxa"/>
              <w:left w:w="108" w:type="dxa"/>
              <w:bottom w:w="0" w:type="dxa"/>
              <w:right w:w="108" w:type="dxa"/>
            </w:tcMar>
            <w:hideMark/>
          </w:tcPr>
          <w:p w14:paraId="36FAA122" w14:textId="77777777" w:rsidR="009A610B" w:rsidRPr="00FA6129" w:rsidRDefault="009A610B" w:rsidP="00280E97">
            <w:pPr>
              <w:spacing w:before="100" w:beforeAutospacing="1"/>
              <w:rPr>
                <w:rFonts w:asciiTheme="majorBidi" w:hAnsiTheme="majorBidi" w:cstheme="majorBidi"/>
              </w:rPr>
            </w:pPr>
            <w:r w:rsidRPr="00FA6129">
              <w:rPr>
                <w:rFonts w:asciiTheme="majorBidi" w:hAnsiTheme="majorBidi" w:cstheme="majorBidi"/>
                <w:bCs/>
              </w:rPr>
              <w:t>Hemominas, Belo Horizonte</w:t>
            </w:r>
          </w:p>
        </w:tc>
        <w:tc>
          <w:tcPr>
            <w:tcW w:w="1710" w:type="dxa"/>
            <w:tcMar>
              <w:top w:w="0" w:type="dxa"/>
              <w:left w:w="108" w:type="dxa"/>
              <w:bottom w:w="0" w:type="dxa"/>
              <w:right w:w="108" w:type="dxa"/>
            </w:tcMar>
          </w:tcPr>
          <w:p w14:paraId="4804630D" w14:textId="77777777" w:rsidR="009A610B" w:rsidRPr="00FA6129" w:rsidRDefault="009A610B" w:rsidP="00280E97">
            <w:pPr>
              <w:spacing w:before="100" w:beforeAutospacing="1"/>
              <w:rPr>
                <w:rFonts w:asciiTheme="majorBidi" w:hAnsiTheme="majorBidi" w:cstheme="majorBidi"/>
              </w:rPr>
            </w:pPr>
            <w:r w:rsidRPr="00FA6129">
              <w:rPr>
                <w:rFonts w:asciiTheme="majorBidi" w:hAnsiTheme="majorBidi" w:cstheme="majorBidi"/>
              </w:rPr>
              <w:t>22/76 (29%)</w:t>
            </w:r>
          </w:p>
        </w:tc>
        <w:tc>
          <w:tcPr>
            <w:tcW w:w="1980" w:type="dxa"/>
            <w:tcMar>
              <w:top w:w="0" w:type="dxa"/>
              <w:left w:w="108" w:type="dxa"/>
              <w:bottom w:w="0" w:type="dxa"/>
              <w:right w:w="108" w:type="dxa"/>
            </w:tcMar>
            <w:hideMark/>
          </w:tcPr>
          <w:p w14:paraId="6B58D16C" w14:textId="77777777" w:rsidR="009A610B" w:rsidRPr="00FA6129" w:rsidRDefault="009A610B" w:rsidP="00280E97">
            <w:pPr>
              <w:spacing w:before="100" w:beforeAutospacing="1"/>
              <w:rPr>
                <w:rFonts w:asciiTheme="majorBidi" w:hAnsiTheme="majorBidi" w:cstheme="majorBidi"/>
              </w:rPr>
            </w:pPr>
            <w:r w:rsidRPr="00FA6129">
              <w:rPr>
                <w:rFonts w:asciiTheme="majorBidi" w:hAnsiTheme="majorBidi" w:cstheme="majorBidi"/>
              </w:rPr>
              <w:t>12/3/2012</w:t>
            </w:r>
          </w:p>
        </w:tc>
      </w:tr>
      <w:tr w:rsidR="009A610B" w:rsidRPr="00FA6129" w14:paraId="3F396B36" w14:textId="77777777" w:rsidTr="00855E3D">
        <w:tc>
          <w:tcPr>
            <w:tcW w:w="3528" w:type="dxa"/>
            <w:tcMar>
              <w:top w:w="0" w:type="dxa"/>
              <w:left w:w="108" w:type="dxa"/>
              <w:bottom w:w="0" w:type="dxa"/>
              <w:right w:w="108" w:type="dxa"/>
            </w:tcMar>
            <w:hideMark/>
          </w:tcPr>
          <w:p w14:paraId="1039EECA" w14:textId="77777777" w:rsidR="009A610B" w:rsidRPr="00FA6129" w:rsidRDefault="009A610B" w:rsidP="00280E97">
            <w:pPr>
              <w:spacing w:before="100" w:beforeAutospacing="1"/>
              <w:rPr>
                <w:rFonts w:asciiTheme="majorBidi" w:hAnsiTheme="majorBidi" w:cstheme="majorBidi"/>
              </w:rPr>
            </w:pPr>
            <w:r w:rsidRPr="00FA6129">
              <w:rPr>
                <w:rFonts w:asciiTheme="majorBidi" w:hAnsiTheme="majorBidi" w:cstheme="majorBidi"/>
                <w:bCs/>
              </w:rPr>
              <w:t>Hemope, Recife</w:t>
            </w:r>
          </w:p>
        </w:tc>
        <w:tc>
          <w:tcPr>
            <w:tcW w:w="1710" w:type="dxa"/>
            <w:tcMar>
              <w:top w:w="0" w:type="dxa"/>
              <w:left w:w="108" w:type="dxa"/>
              <w:bottom w:w="0" w:type="dxa"/>
              <w:right w:w="108" w:type="dxa"/>
            </w:tcMar>
          </w:tcPr>
          <w:p w14:paraId="198A62CC" w14:textId="77777777" w:rsidR="009A610B" w:rsidRPr="00FA6129" w:rsidRDefault="009A610B" w:rsidP="00280E97">
            <w:pPr>
              <w:spacing w:before="100" w:beforeAutospacing="1"/>
              <w:rPr>
                <w:rFonts w:asciiTheme="majorBidi" w:hAnsiTheme="majorBidi" w:cstheme="majorBidi"/>
              </w:rPr>
            </w:pPr>
            <w:r w:rsidRPr="00FA6129">
              <w:rPr>
                <w:rFonts w:asciiTheme="majorBidi" w:hAnsiTheme="majorBidi" w:cstheme="majorBidi"/>
              </w:rPr>
              <w:t>48/121 (39%)</w:t>
            </w:r>
          </w:p>
        </w:tc>
        <w:tc>
          <w:tcPr>
            <w:tcW w:w="1980" w:type="dxa"/>
            <w:tcMar>
              <w:top w:w="0" w:type="dxa"/>
              <w:left w:w="108" w:type="dxa"/>
              <w:bottom w:w="0" w:type="dxa"/>
              <w:right w:w="108" w:type="dxa"/>
            </w:tcMar>
            <w:hideMark/>
          </w:tcPr>
          <w:p w14:paraId="6CFCF46A" w14:textId="77777777" w:rsidR="009A610B" w:rsidRPr="00FA6129" w:rsidRDefault="009A610B" w:rsidP="00280E97">
            <w:pPr>
              <w:spacing w:before="100" w:beforeAutospacing="1"/>
              <w:rPr>
                <w:rFonts w:asciiTheme="majorBidi" w:hAnsiTheme="majorBidi" w:cstheme="majorBidi"/>
              </w:rPr>
            </w:pPr>
            <w:r w:rsidRPr="00FA6129">
              <w:rPr>
                <w:rFonts w:asciiTheme="majorBidi" w:hAnsiTheme="majorBidi" w:cstheme="majorBidi"/>
              </w:rPr>
              <w:t>12/4/2012</w:t>
            </w:r>
          </w:p>
        </w:tc>
      </w:tr>
      <w:tr w:rsidR="009A610B" w:rsidRPr="00FA6129" w14:paraId="24A9C2F0" w14:textId="77777777" w:rsidTr="00855E3D">
        <w:tc>
          <w:tcPr>
            <w:tcW w:w="3528" w:type="dxa"/>
            <w:tcMar>
              <w:top w:w="0" w:type="dxa"/>
              <w:left w:w="108" w:type="dxa"/>
              <w:bottom w:w="0" w:type="dxa"/>
              <w:right w:w="108" w:type="dxa"/>
            </w:tcMar>
          </w:tcPr>
          <w:p w14:paraId="18D2D541" w14:textId="77777777" w:rsidR="009A610B" w:rsidRPr="00FA6129" w:rsidRDefault="009A610B" w:rsidP="00280E97">
            <w:pPr>
              <w:spacing w:before="100" w:beforeAutospacing="1"/>
              <w:rPr>
                <w:rFonts w:asciiTheme="majorBidi" w:hAnsiTheme="majorBidi" w:cstheme="majorBidi"/>
                <w:lang w:val="pt-BR"/>
              </w:rPr>
            </w:pPr>
            <w:r w:rsidRPr="00FA6129">
              <w:rPr>
                <w:rFonts w:asciiTheme="majorBidi" w:hAnsiTheme="majorBidi" w:cstheme="majorBidi"/>
                <w:bCs/>
              </w:rPr>
              <w:t>Hemorio, Rio de Janeiro</w:t>
            </w:r>
          </w:p>
        </w:tc>
        <w:tc>
          <w:tcPr>
            <w:tcW w:w="1710" w:type="dxa"/>
            <w:tcMar>
              <w:top w:w="0" w:type="dxa"/>
              <w:left w:w="108" w:type="dxa"/>
              <w:bottom w:w="0" w:type="dxa"/>
              <w:right w:w="108" w:type="dxa"/>
            </w:tcMar>
          </w:tcPr>
          <w:p w14:paraId="6B4BE1E6" w14:textId="77777777" w:rsidR="009A610B" w:rsidRPr="00FA6129" w:rsidRDefault="009A610B" w:rsidP="00280E97">
            <w:pPr>
              <w:spacing w:before="100" w:beforeAutospacing="1"/>
              <w:rPr>
                <w:rFonts w:asciiTheme="majorBidi" w:hAnsiTheme="majorBidi" w:cstheme="majorBidi"/>
              </w:rPr>
            </w:pPr>
            <w:r w:rsidRPr="00FA6129">
              <w:rPr>
                <w:rFonts w:asciiTheme="majorBidi" w:hAnsiTheme="majorBidi" w:cstheme="majorBidi"/>
              </w:rPr>
              <w:t>55/98 (56%)</w:t>
            </w:r>
          </w:p>
        </w:tc>
        <w:tc>
          <w:tcPr>
            <w:tcW w:w="1980" w:type="dxa"/>
            <w:tcMar>
              <w:top w:w="0" w:type="dxa"/>
              <w:left w:w="108" w:type="dxa"/>
              <w:bottom w:w="0" w:type="dxa"/>
              <w:right w:w="108" w:type="dxa"/>
            </w:tcMar>
          </w:tcPr>
          <w:p w14:paraId="592612BD" w14:textId="77777777" w:rsidR="009A610B" w:rsidRPr="00FA6129" w:rsidRDefault="009A610B" w:rsidP="00280E97">
            <w:pPr>
              <w:spacing w:before="100" w:beforeAutospacing="1"/>
              <w:rPr>
                <w:rFonts w:asciiTheme="majorBidi" w:hAnsiTheme="majorBidi" w:cstheme="majorBidi"/>
              </w:rPr>
            </w:pPr>
            <w:r w:rsidRPr="00FA6129">
              <w:rPr>
                <w:rFonts w:asciiTheme="majorBidi" w:hAnsiTheme="majorBidi" w:cstheme="majorBidi"/>
              </w:rPr>
              <w:t>12/13/2012</w:t>
            </w:r>
          </w:p>
        </w:tc>
      </w:tr>
      <w:tr w:rsidR="009A610B" w:rsidRPr="00FA6129" w14:paraId="339B7474" w14:textId="77777777" w:rsidTr="00855E3D">
        <w:tc>
          <w:tcPr>
            <w:tcW w:w="3528" w:type="dxa"/>
            <w:tcMar>
              <w:top w:w="0" w:type="dxa"/>
              <w:left w:w="108" w:type="dxa"/>
              <w:bottom w:w="0" w:type="dxa"/>
              <w:right w:w="108" w:type="dxa"/>
            </w:tcMar>
            <w:hideMark/>
          </w:tcPr>
          <w:p w14:paraId="1FA848B5" w14:textId="77777777" w:rsidR="009A610B" w:rsidRPr="00FA6129" w:rsidRDefault="009A610B" w:rsidP="00280E97">
            <w:pPr>
              <w:spacing w:before="100" w:beforeAutospacing="1"/>
              <w:rPr>
                <w:rFonts w:asciiTheme="majorBidi" w:hAnsiTheme="majorBidi" w:cstheme="majorBidi"/>
              </w:rPr>
            </w:pPr>
            <w:r w:rsidRPr="00FA6129">
              <w:rPr>
                <w:rFonts w:asciiTheme="majorBidi" w:hAnsiTheme="majorBidi" w:cstheme="majorBidi"/>
                <w:bCs/>
              </w:rPr>
              <w:t>Total</w:t>
            </w:r>
          </w:p>
        </w:tc>
        <w:tc>
          <w:tcPr>
            <w:tcW w:w="1710" w:type="dxa"/>
            <w:tcMar>
              <w:top w:w="0" w:type="dxa"/>
              <w:left w:w="108" w:type="dxa"/>
              <w:bottom w:w="0" w:type="dxa"/>
              <w:right w:w="108" w:type="dxa"/>
            </w:tcMar>
          </w:tcPr>
          <w:p w14:paraId="15FA013A" w14:textId="77777777" w:rsidR="009A610B" w:rsidRPr="00FA6129" w:rsidRDefault="009A610B" w:rsidP="00280E97">
            <w:pPr>
              <w:spacing w:before="100" w:beforeAutospacing="1"/>
              <w:rPr>
                <w:rFonts w:asciiTheme="majorBidi" w:hAnsiTheme="majorBidi" w:cstheme="majorBidi"/>
              </w:rPr>
            </w:pPr>
            <w:r w:rsidRPr="00FA6129">
              <w:rPr>
                <w:rFonts w:asciiTheme="majorBidi" w:hAnsiTheme="majorBidi" w:cstheme="majorBidi"/>
              </w:rPr>
              <w:t>178/385 (46%)</w:t>
            </w:r>
          </w:p>
        </w:tc>
        <w:tc>
          <w:tcPr>
            <w:tcW w:w="1980" w:type="dxa"/>
            <w:tcMar>
              <w:top w:w="0" w:type="dxa"/>
              <w:left w:w="108" w:type="dxa"/>
              <w:bottom w:w="0" w:type="dxa"/>
              <w:right w:w="108" w:type="dxa"/>
            </w:tcMar>
            <w:hideMark/>
          </w:tcPr>
          <w:p w14:paraId="330DCDC3" w14:textId="77777777" w:rsidR="009A610B" w:rsidRPr="00FA6129" w:rsidRDefault="009A610B" w:rsidP="00280E97">
            <w:pPr>
              <w:spacing w:before="100" w:beforeAutospacing="1"/>
              <w:rPr>
                <w:rFonts w:asciiTheme="majorBidi" w:hAnsiTheme="majorBidi" w:cstheme="majorBidi"/>
              </w:rPr>
            </w:pPr>
          </w:p>
        </w:tc>
      </w:tr>
    </w:tbl>
    <w:p w14:paraId="6DCF4BF9" w14:textId="77777777" w:rsidR="009A610B" w:rsidRPr="00FA6129" w:rsidRDefault="009A610B" w:rsidP="009A610B">
      <w:pPr>
        <w:pStyle w:val="PlainText"/>
        <w:rPr>
          <w:rFonts w:eastAsiaTheme="minorEastAsia" w:cstheme="minorBidi"/>
        </w:rPr>
      </w:pPr>
    </w:p>
    <w:p w14:paraId="44A27463" w14:textId="77777777" w:rsidR="00135B05" w:rsidRPr="00FA6129" w:rsidRDefault="00135B05" w:rsidP="00BB3E27">
      <w:pPr>
        <w:widowControl w:val="0"/>
        <w:adjustRightInd w:val="0"/>
        <w:snapToGrid w:val="0"/>
        <w:rPr>
          <w:b/>
        </w:rPr>
      </w:pPr>
      <w:r w:rsidRPr="00FA6129">
        <w:rPr>
          <w:b/>
        </w:rPr>
        <w:t>B.2.</w:t>
      </w:r>
      <w:r w:rsidR="00BB3E27" w:rsidRPr="00FA6129">
        <w:rPr>
          <w:b/>
        </w:rPr>
        <w:tab/>
      </w:r>
      <w:r w:rsidRPr="00FA6129">
        <w:rPr>
          <w:b/>
        </w:rPr>
        <w:t>Procedure for the Collection of Information</w:t>
      </w:r>
    </w:p>
    <w:p w14:paraId="2757C738" w14:textId="77777777" w:rsidR="009A610B" w:rsidRPr="00FA6129" w:rsidRDefault="009A610B" w:rsidP="009A610B">
      <w:pPr>
        <w:pStyle w:val="Date"/>
        <w:widowControl w:val="0"/>
        <w:adjustRightInd w:val="0"/>
        <w:snapToGrid w:val="0"/>
        <w:rPr>
          <w:color w:val="000000"/>
        </w:rPr>
      </w:pPr>
    </w:p>
    <w:p w14:paraId="6D826D3B" w14:textId="77777777" w:rsidR="00412D8A" w:rsidRPr="00FA6129" w:rsidRDefault="00412D8A" w:rsidP="00FA6129">
      <w:pPr>
        <w:ind w:firstLine="360"/>
      </w:pPr>
      <w:r w:rsidRPr="00FA6129">
        <w:t xml:space="preserve">There will be no </w:t>
      </w:r>
      <w:r w:rsidR="00C86927">
        <w:t xml:space="preserve">formal </w:t>
      </w:r>
      <w:r w:rsidRPr="00FA6129">
        <w:t xml:space="preserve">sampling for any of the three aims. We will be recruiting all eligible donors for the </w:t>
      </w:r>
      <w:r w:rsidR="00C3006F">
        <w:t>Aims 2 and 3</w:t>
      </w:r>
      <w:r w:rsidRPr="00FA6129">
        <w:t>.</w:t>
      </w:r>
    </w:p>
    <w:p w14:paraId="3FA571FC" w14:textId="77777777" w:rsidR="0021604B" w:rsidRPr="00FA6129" w:rsidRDefault="0021604B" w:rsidP="00FA6129">
      <w:pPr>
        <w:ind w:firstLine="360"/>
      </w:pPr>
    </w:p>
    <w:p w14:paraId="4912ACA2" w14:textId="77777777" w:rsidR="0021604B" w:rsidRPr="00FA6129" w:rsidRDefault="0021604B" w:rsidP="00FA6129">
      <w:pPr>
        <w:ind w:firstLine="360"/>
      </w:pPr>
      <w:r w:rsidRPr="00FA6129">
        <w:t xml:space="preserve">For Aim 1, we will not be recruiting donors. We will </w:t>
      </w:r>
      <w:r w:rsidR="001E6484">
        <w:t xml:space="preserve">extract data for analysis from </w:t>
      </w:r>
      <w:r w:rsidRPr="00FA6129">
        <w:t xml:space="preserve">extant </w:t>
      </w:r>
      <w:r w:rsidR="001E6484">
        <w:t xml:space="preserve">operational </w:t>
      </w:r>
      <w:r w:rsidRPr="00FA6129">
        <w:t>databases.</w:t>
      </w:r>
    </w:p>
    <w:p w14:paraId="6C75A5C1" w14:textId="77777777" w:rsidR="009A610B" w:rsidRPr="00FA6129" w:rsidRDefault="009A610B" w:rsidP="009A610B">
      <w:pPr>
        <w:pStyle w:val="Date"/>
        <w:widowControl w:val="0"/>
        <w:adjustRightInd w:val="0"/>
        <w:snapToGrid w:val="0"/>
        <w:rPr>
          <w:color w:val="000000"/>
        </w:rPr>
      </w:pPr>
    </w:p>
    <w:p w14:paraId="7864D452" w14:textId="77777777" w:rsidR="00D03EF1" w:rsidRDefault="0021604B" w:rsidP="00FA6129">
      <w:pPr>
        <w:widowControl w:val="0"/>
        <w:adjustRightInd w:val="0"/>
        <w:snapToGrid w:val="0"/>
        <w:ind w:firstLine="360"/>
        <w:rPr>
          <w:color w:val="000000"/>
        </w:rPr>
      </w:pPr>
      <w:r w:rsidRPr="00FA6129">
        <w:rPr>
          <w:color w:val="000000"/>
        </w:rPr>
        <w:t>For Aims 2 and 3,</w:t>
      </w:r>
      <w:r w:rsidR="00FD143E" w:rsidRPr="00FA6129">
        <w:rPr>
          <w:color w:val="000000"/>
        </w:rPr>
        <w:t xml:space="preserve"> HIV-positive donors who participated in the REDS-II HIV case-control </w:t>
      </w:r>
      <w:r w:rsidR="00ED1BA5" w:rsidRPr="00FA6129">
        <w:rPr>
          <w:color w:val="000000"/>
        </w:rPr>
        <w:t>study</w:t>
      </w:r>
      <w:r w:rsidR="00FD143E" w:rsidRPr="00FA6129">
        <w:rPr>
          <w:color w:val="000000"/>
        </w:rPr>
        <w:t xml:space="preserve"> or from the first three years of the ongoing REDS-III HIV-positive case evaluation study (201</w:t>
      </w:r>
      <w:r w:rsidR="003576FF">
        <w:rPr>
          <w:color w:val="000000"/>
        </w:rPr>
        <w:t>2</w:t>
      </w:r>
      <w:r w:rsidR="00FD143E" w:rsidRPr="00FA6129">
        <w:rPr>
          <w:color w:val="000000"/>
        </w:rPr>
        <w:t>-201</w:t>
      </w:r>
      <w:r w:rsidR="00EA3E11">
        <w:rPr>
          <w:color w:val="000000"/>
        </w:rPr>
        <w:t>4</w:t>
      </w:r>
      <w:r w:rsidR="00FD143E" w:rsidRPr="00FA6129">
        <w:rPr>
          <w:color w:val="000000"/>
        </w:rPr>
        <w:t xml:space="preserve">) will be invited to return to the blood center to participate in this </w:t>
      </w:r>
      <w:r w:rsidR="004F36E5">
        <w:rPr>
          <w:color w:val="000000"/>
        </w:rPr>
        <w:t xml:space="preserve"> additional </w:t>
      </w:r>
      <w:r w:rsidR="00FD143E" w:rsidRPr="00FA6129">
        <w:rPr>
          <w:color w:val="000000"/>
        </w:rPr>
        <w:t xml:space="preserve">study. Based on a list of HIV-positive participants from the previous studies, a phone call will be made to invite them to participate in this new study. If the person agrees to be enrolled, a follow up letter establishing a day and time for the appointment will be sent. We plan up to two phone call attempts followed by two letter attempts to enroll each participant.  </w:t>
      </w:r>
    </w:p>
    <w:p w14:paraId="4F324DB1" w14:textId="77777777" w:rsidR="00D03EF1" w:rsidRDefault="00D03EF1" w:rsidP="00FA6129">
      <w:pPr>
        <w:widowControl w:val="0"/>
        <w:adjustRightInd w:val="0"/>
        <w:snapToGrid w:val="0"/>
        <w:ind w:firstLine="360"/>
        <w:rPr>
          <w:color w:val="000000"/>
        </w:rPr>
      </w:pPr>
    </w:p>
    <w:p w14:paraId="57DB5B89" w14:textId="77777777" w:rsidR="00D03EF1" w:rsidRDefault="00D03EF1" w:rsidP="00D03EF1">
      <w:pPr>
        <w:pStyle w:val="E-mailSignature"/>
        <w:widowControl w:val="0"/>
        <w:adjustRightInd w:val="0"/>
        <w:snapToGrid w:val="0"/>
      </w:pPr>
      <w:r w:rsidRPr="00DA777F">
        <w:rPr>
          <w:b/>
        </w:rPr>
        <w:tab/>
      </w:r>
      <w:r w:rsidR="0072036C" w:rsidRPr="0072036C">
        <w:t>No reimburse</w:t>
      </w:r>
      <w:r w:rsidR="0072036C">
        <w:t>ment</w:t>
      </w:r>
      <w:r w:rsidR="0072036C" w:rsidRPr="0072036C">
        <w:t xml:space="preserve"> will be provided for Aim 1.</w:t>
      </w:r>
      <w:r w:rsidR="0072036C" w:rsidRPr="0072036C">
        <w:rPr>
          <w:b/>
        </w:rPr>
        <w:t xml:space="preserve"> </w:t>
      </w:r>
      <w:r>
        <w:t xml:space="preserve">The project will pay </w:t>
      </w:r>
      <w:r w:rsidR="00662693">
        <w:t>US$</w:t>
      </w:r>
      <w:r w:rsidR="00CB4A50">
        <w:t xml:space="preserve"> 35.00 (~</w:t>
      </w:r>
      <w:r>
        <w:t>R$</w:t>
      </w:r>
      <w:r w:rsidR="00663FEE">
        <w:t>7</w:t>
      </w:r>
      <w:r w:rsidR="00057969">
        <w:t>5</w:t>
      </w:r>
      <w:r w:rsidRPr="00DA777F">
        <w:t>.00</w:t>
      </w:r>
      <w:r w:rsidR="00662693">
        <w:t xml:space="preserve"> in Brazil currency</w:t>
      </w:r>
      <w:r w:rsidR="00CB4A50">
        <w:t>)</w:t>
      </w:r>
      <w:r w:rsidR="00C86927">
        <w:t xml:space="preserve"> </w:t>
      </w:r>
      <w:r w:rsidRPr="00DA777F">
        <w:t xml:space="preserve">to reimburse participants for transportation expenses to and from the </w:t>
      </w:r>
      <w:r>
        <w:t xml:space="preserve">blood </w:t>
      </w:r>
      <w:r w:rsidRPr="00DA777F">
        <w:t>center</w:t>
      </w:r>
      <w:r w:rsidR="00663FEE">
        <w:t>, and time away from other activities to participate in Aims 2 and 3 of this study</w:t>
      </w:r>
      <w:r w:rsidRPr="00DA777F">
        <w:t>.</w:t>
      </w:r>
      <w:r w:rsidR="0072036C">
        <w:t xml:space="preserve"> </w:t>
      </w:r>
      <w:r>
        <w:t xml:space="preserve">This reimbursement is intended to acknowledge the importance of participation (completion of the ACASI interview) in this </w:t>
      </w:r>
      <w:r w:rsidR="008F2C49">
        <w:t xml:space="preserve">notification and HIV </w:t>
      </w:r>
      <w:r>
        <w:t>follow</w:t>
      </w:r>
      <w:r w:rsidR="00E078CA">
        <w:t>-</w:t>
      </w:r>
      <w:r>
        <w:t xml:space="preserve">up </w:t>
      </w:r>
      <w:r w:rsidR="008F2C49">
        <w:t xml:space="preserve">study based on </w:t>
      </w:r>
      <w:r>
        <w:t>previous participation in the</w:t>
      </w:r>
      <w:r w:rsidR="00E078CA">
        <w:t xml:space="preserve"> related REDS-II and REDS-III Brazil HIV studies</w:t>
      </w:r>
      <w:r w:rsidR="00663FEE">
        <w:t xml:space="preserve">. There is no other study population that can be accessed to achieve the objectives of the planned study. </w:t>
      </w:r>
      <w:r w:rsidRPr="008F4665">
        <w:t xml:space="preserve"> </w:t>
      </w:r>
    </w:p>
    <w:p w14:paraId="7D2EA157" w14:textId="77777777" w:rsidR="00D14E3F" w:rsidRDefault="00D14E3F" w:rsidP="00D03EF1">
      <w:pPr>
        <w:pStyle w:val="E-mailSignature"/>
        <w:widowControl w:val="0"/>
        <w:adjustRightInd w:val="0"/>
        <w:snapToGrid w:val="0"/>
      </w:pPr>
    </w:p>
    <w:p w14:paraId="27BDF5F2" w14:textId="67F184BE" w:rsidR="00D14E3F" w:rsidRPr="00FA6129" w:rsidRDefault="00D14E3F" w:rsidP="00681D9F">
      <w:pPr>
        <w:pStyle w:val="Date"/>
        <w:rPr>
          <w:rFonts w:asciiTheme="majorBidi" w:hAnsiTheme="majorBidi" w:cstheme="majorBidi"/>
        </w:rPr>
      </w:pPr>
      <w:r>
        <w:rPr>
          <w:color w:val="000000"/>
        </w:rPr>
        <w:t>We will also try to obtain</w:t>
      </w:r>
      <w:r w:rsidRPr="00FA6129">
        <w:rPr>
          <w:rFonts w:asciiTheme="majorBidi" w:hAnsiTheme="majorBidi" w:cstheme="majorBidi"/>
        </w:rPr>
        <w:t xml:space="preserve"> </w:t>
      </w:r>
      <w:r>
        <w:rPr>
          <w:rFonts w:asciiTheme="majorBidi" w:hAnsiTheme="majorBidi" w:cstheme="majorBidi"/>
        </w:rPr>
        <w:t xml:space="preserve">with Aim 2 participants’ consent the </w:t>
      </w:r>
      <w:r w:rsidRPr="00FA6129">
        <w:rPr>
          <w:rFonts w:asciiTheme="majorBidi" w:hAnsiTheme="majorBidi" w:cstheme="majorBidi"/>
        </w:rPr>
        <w:t xml:space="preserve">HIV infection status information captured in the State and National databases on HIV progression such as viral load and CD4/CD8 counts. The Brazilian National HIV treatment and progression databases </w:t>
      </w:r>
      <w:r>
        <w:rPr>
          <w:rFonts w:asciiTheme="majorBidi" w:hAnsiTheme="majorBidi" w:cstheme="majorBidi"/>
        </w:rPr>
        <w:t>(</w:t>
      </w:r>
      <w:r w:rsidRPr="00431D75">
        <w:rPr>
          <w:rFonts w:asciiTheme="majorBidi" w:hAnsiTheme="majorBidi" w:cstheme="majorBidi"/>
        </w:rPr>
        <w:t>SI-CTA</w:t>
      </w:r>
      <w:r>
        <w:rPr>
          <w:rFonts w:asciiTheme="majorBidi" w:hAnsiTheme="majorBidi" w:cstheme="majorBidi"/>
        </w:rPr>
        <w:t xml:space="preserve">) </w:t>
      </w:r>
      <w:r w:rsidRPr="00FA6129">
        <w:rPr>
          <w:rFonts w:asciiTheme="majorBidi" w:hAnsiTheme="majorBidi" w:cstheme="majorBidi"/>
        </w:rPr>
        <w:t xml:space="preserve">were created in 2002 by the Ministry of Health because of the need to register and monitor the care provided by </w:t>
      </w:r>
      <w:r>
        <w:rPr>
          <w:rFonts w:asciiTheme="majorBidi" w:hAnsiTheme="majorBidi" w:cstheme="majorBidi"/>
        </w:rPr>
        <w:t>HIV Counseling and Testing services (H</w:t>
      </w:r>
      <w:r w:rsidRPr="00FA6129">
        <w:rPr>
          <w:rFonts w:asciiTheme="majorBidi" w:hAnsiTheme="majorBidi" w:cstheme="majorBidi"/>
        </w:rPr>
        <w:t>CT</w:t>
      </w:r>
      <w:r>
        <w:rPr>
          <w:rFonts w:asciiTheme="majorBidi" w:hAnsiTheme="majorBidi" w:cstheme="majorBidi"/>
        </w:rPr>
        <w:t>)</w:t>
      </w:r>
      <w:r w:rsidRPr="00FA6129">
        <w:rPr>
          <w:rFonts w:asciiTheme="majorBidi" w:hAnsiTheme="majorBidi" w:cstheme="majorBidi"/>
        </w:rPr>
        <w:t>/medical staff, obtain demographic, behavioral</w:t>
      </w:r>
      <w:r>
        <w:rPr>
          <w:rFonts w:asciiTheme="majorBidi" w:hAnsiTheme="majorBidi" w:cstheme="majorBidi"/>
        </w:rPr>
        <w:t>,</w:t>
      </w:r>
      <w:r w:rsidRPr="00FA6129">
        <w:rPr>
          <w:rFonts w:asciiTheme="majorBidi" w:hAnsiTheme="majorBidi" w:cstheme="majorBidi"/>
        </w:rPr>
        <w:t xml:space="preserve"> and biological information regarding the individuals </w:t>
      </w:r>
      <w:r>
        <w:rPr>
          <w:rFonts w:asciiTheme="majorBidi" w:hAnsiTheme="majorBidi" w:cstheme="majorBidi"/>
        </w:rPr>
        <w:t>who</w:t>
      </w:r>
      <w:r w:rsidRPr="00FA6129">
        <w:rPr>
          <w:rFonts w:asciiTheme="majorBidi" w:hAnsiTheme="majorBidi" w:cstheme="majorBidi"/>
        </w:rPr>
        <w:t xml:space="preserve"> attend this service. Each Brazilian </w:t>
      </w:r>
      <w:r>
        <w:rPr>
          <w:rFonts w:asciiTheme="majorBidi" w:hAnsiTheme="majorBidi" w:cstheme="majorBidi"/>
        </w:rPr>
        <w:t>H</w:t>
      </w:r>
      <w:r w:rsidRPr="00FA6129">
        <w:rPr>
          <w:rFonts w:asciiTheme="majorBidi" w:hAnsiTheme="majorBidi" w:cstheme="majorBidi"/>
        </w:rPr>
        <w:t xml:space="preserve">CT provides information on the individuals with HIV/AIDS (based on viral load, CD4 and CD8 information) to a data coordinating center located in Brasília. Some </w:t>
      </w:r>
      <w:r>
        <w:rPr>
          <w:rFonts w:asciiTheme="majorBidi" w:hAnsiTheme="majorBidi" w:cstheme="majorBidi"/>
        </w:rPr>
        <w:t>H</w:t>
      </w:r>
      <w:r w:rsidRPr="00FA6129">
        <w:rPr>
          <w:rFonts w:asciiTheme="majorBidi" w:hAnsiTheme="majorBidi" w:cstheme="majorBidi"/>
        </w:rPr>
        <w:t xml:space="preserve">CTs also provide testing for syphilis and hepatitis B and C </w:t>
      </w:r>
      <w:r>
        <w:rPr>
          <w:rFonts w:asciiTheme="majorBidi" w:hAnsiTheme="majorBidi" w:cstheme="majorBidi"/>
        </w:rPr>
        <w:t>(see B3</w:t>
      </w:r>
      <w:r w:rsidR="004A69C1">
        <w:rPr>
          <w:rFonts w:asciiTheme="majorBidi" w:hAnsiTheme="majorBidi" w:cstheme="majorBidi"/>
        </w:rPr>
        <w:t xml:space="preserve"> below and section 4.5.2 of the protocol</w:t>
      </w:r>
      <w:r>
        <w:rPr>
          <w:rFonts w:asciiTheme="majorBidi" w:hAnsiTheme="majorBidi" w:cstheme="majorBidi"/>
        </w:rPr>
        <w:t>).</w:t>
      </w:r>
    </w:p>
    <w:p w14:paraId="00F08F81" w14:textId="77777777" w:rsidR="00D14E3F" w:rsidRPr="00DA777F" w:rsidRDefault="00D14E3F" w:rsidP="00D03EF1">
      <w:pPr>
        <w:pStyle w:val="E-mailSignature"/>
        <w:widowControl w:val="0"/>
        <w:adjustRightInd w:val="0"/>
        <w:snapToGrid w:val="0"/>
      </w:pPr>
    </w:p>
    <w:p w14:paraId="1553879D" w14:textId="77777777" w:rsidR="009A610B" w:rsidRPr="00FA6129" w:rsidRDefault="009A610B" w:rsidP="009A610B"/>
    <w:p w14:paraId="40865AA4" w14:textId="77777777" w:rsidR="00135B05" w:rsidRPr="00FA6129" w:rsidRDefault="00135B05" w:rsidP="00135B05">
      <w:pPr>
        <w:widowControl w:val="0"/>
        <w:adjustRightInd w:val="0"/>
        <w:snapToGrid w:val="0"/>
        <w:rPr>
          <w:b/>
        </w:rPr>
      </w:pPr>
      <w:r w:rsidRPr="00FA6129">
        <w:rPr>
          <w:b/>
        </w:rPr>
        <w:t>Data Analysis</w:t>
      </w:r>
    </w:p>
    <w:p w14:paraId="7D501FCA" w14:textId="77777777" w:rsidR="00135B05" w:rsidRPr="00FA6129" w:rsidRDefault="00135B05" w:rsidP="00135B05">
      <w:pPr>
        <w:widowControl w:val="0"/>
        <w:adjustRightInd w:val="0"/>
        <w:snapToGrid w:val="0"/>
        <w:rPr>
          <w:b/>
        </w:rPr>
      </w:pPr>
    </w:p>
    <w:p w14:paraId="05E07CE6" w14:textId="77777777" w:rsidR="009A610B" w:rsidRPr="00FA6129" w:rsidRDefault="009A610B" w:rsidP="009A610B">
      <w:pPr>
        <w:pStyle w:val="PlainText"/>
        <w:rPr>
          <w:rFonts w:asciiTheme="majorBidi" w:hAnsiTheme="majorBidi" w:cstheme="majorBidi"/>
          <w:color w:val="000000" w:themeColor="text1"/>
          <w:sz w:val="24"/>
          <w:szCs w:val="24"/>
        </w:rPr>
      </w:pPr>
      <w:r w:rsidRPr="00FA6129">
        <w:rPr>
          <w:rFonts w:asciiTheme="majorBidi" w:hAnsiTheme="majorBidi" w:cstheme="majorBidi"/>
          <w:b/>
          <w:sz w:val="24"/>
          <w:szCs w:val="24"/>
        </w:rPr>
        <w:t>Aim 1:</w:t>
      </w:r>
      <w:r w:rsidRPr="00FA6129">
        <w:rPr>
          <w:rFonts w:asciiTheme="majorBidi" w:hAnsiTheme="majorBidi" w:cstheme="majorBidi"/>
          <w:sz w:val="24"/>
          <w:szCs w:val="24"/>
        </w:rPr>
        <w:t xml:space="preserve"> </w:t>
      </w:r>
      <w:r w:rsidRPr="00FA6129">
        <w:rPr>
          <w:rFonts w:asciiTheme="majorBidi" w:hAnsiTheme="majorBidi" w:cstheme="majorBidi"/>
          <w:color w:val="000000" w:themeColor="text1"/>
          <w:sz w:val="24"/>
          <w:szCs w:val="24"/>
        </w:rPr>
        <w:t>Analysis of proportions of donors who return by infection type, blood center, and donor demographic characteristics. Depending on the outcome variable, modeling the proportions may require logistic regression (dichotomous</w:t>
      </w:r>
      <w:r w:rsidR="00BD6EB4" w:rsidRPr="00FA6129">
        <w:rPr>
          <w:rFonts w:asciiTheme="majorBidi" w:hAnsiTheme="majorBidi" w:cstheme="majorBidi"/>
          <w:color w:val="000000" w:themeColor="text1"/>
          <w:sz w:val="24"/>
          <w:szCs w:val="24"/>
        </w:rPr>
        <w:t xml:space="preserve"> outcome</w:t>
      </w:r>
      <w:r w:rsidRPr="00FA6129">
        <w:rPr>
          <w:rFonts w:asciiTheme="majorBidi" w:hAnsiTheme="majorBidi" w:cstheme="majorBidi"/>
          <w:color w:val="000000" w:themeColor="text1"/>
          <w:sz w:val="24"/>
          <w:szCs w:val="24"/>
        </w:rPr>
        <w:t>) and multinomial logistic regression</w:t>
      </w:r>
      <w:r w:rsidR="00BD6EB4" w:rsidRPr="00FA6129">
        <w:rPr>
          <w:rFonts w:asciiTheme="majorBidi" w:hAnsiTheme="majorBidi" w:cstheme="majorBidi"/>
          <w:color w:val="000000" w:themeColor="text1"/>
          <w:sz w:val="24"/>
          <w:szCs w:val="24"/>
        </w:rPr>
        <w:t xml:space="preserve"> (polychotomous outcome)</w:t>
      </w:r>
      <w:r w:rsidRPr="00FA6129">
        <w:rPr>
          <w:rFonts w:asciiTheme="majorBidi" w:hAnsiTheme="majorBidi" w:cstheme="majorBidi"/>
          <w:color w:val="000000" w:themeColor="text1"/>
          <w:sz w:val="24"/>
          <w:szCs w:val="24"/>
        </w:rPr>
        <w:t xml:space="preserve">.  In addition, we </w:t>
      </w:r>
      <w:r w:rsidR="006005FA">
        <w:rPr>
          <w:rFonts w:asciiTheme="majorBidi" w:hAnsiTheme="majorBidi" w:cstheme="majorBidi"/>
          <w:color w:val="000000" w:themeColor="text1"/>
          <w:sz w:val="24"/>
          <w:szCs w:val="24"/>
        </w:rPr>
        <w:t>plan to</w:t>
      </w:r>
      <w:r w:rsidRPr="00FA6129">
        <w:rPr>
          <w:rFonts w:asciiTheme="majorBidi" w:hAnsiTheme="majorBidi" w:cstheme="majorBidi"/>
          <w:color w:val="000000" w:themeColor="text1"/>
          <w:sz w:val="24"/>
          <w:szCs w:val="24"/>
        </w:rPr>
        <w:t xml:space="preserve"> compare time to return to the blood center using Kaplan-Meier curves to see if there are earlier median return times for some infections compared to others. We may then compare return proportions </w:t>
      </w:r>
      <w:r w:rsidR="009E1975">
        <w:rPr>
          <w:rFonts w:asciiTheme="majorBidi" w:hAnsiTheme="majorBidi" w:cstheme="majorBidi"/>
          <w:color w:val="000000" w:themeColor="text1"/>
          <w:sz w:val="24"/>
          <w:szCs w:val="24"/>
        </w:rPr>
        <w:t xml:space="preserve">by center </w:t>
      </w:r>
      <w:r w:rsidRPr="00FA6129">
        <w:rPr>
          <w:rFonts w:asciiTheme="majorBidi" w:hAnsiTheme="majorBidi" w:cstheme="majorBidi"/>
          <w:color w:val="000000" w:themeColor="text1"/>
          <w:sz w:val="24"/>
          <w:szCs w:val="24"/>
        </w:rPr>
        <w:t xml:space="preserve">to establish if there are statistical differences between centers in the success in notifying donors. </w:t>
      </w:r>
    </w:p>
    <w:p w14:paraId="1024486B" w14:textId="77777777" w:rsidR="009A610B" w:rsidRPr="00FA6129" w:rsidRDefault="009A610B" w:rsidP="009A610B">
      <w:pPr>
        <w:pStyle w:val="PlainText"/>
        <w:rPr>
          <w:rFonts w:asciiTheme="majorBidi" w:hAnsiTheme="majorBidi" w:cstheme="majorBidi"/>
          <w:sz w:val="24"/>
          <w:szCs w:val="24"/>
        </w:rPr>
      </w:pPr>
    </w:p>
    <w:p w14:paraId="5AFAE193" w14:textId="77777777" w:rsidR="009A610B" w:rsidRPr="00FA6129" w:rsidRDefault="009A610B" w:rsidP="009A610B">
      <w:pPr>
        <w:pStyle w:val="PlainText"/>
        <w:rPr>
          <w:rFonts w:asciiTheme="majorBidi" w:hAnsiTheme="majorBidi" w:cstheme="majorBidi"/>
          <w:b/>
          <w:sz w:val="24"/>
          <w:szCs w:val="24"/>
        </w:rPr>
      </w:pPr>
      <w:r w:rsidRPr="00FA6129">
        <w:rPr>
          <w:rFonts w:asciiTheme="majorBidi" w:hAnsiTheme="majorBidi" w:cstheme="majorBidi"/>
          <w:b/>
          <w:sz w:val="24"/>
          <w:szCs w:val="24"/>
        </w:rPr>
        <w:t xml:space="preserve">Aim 2 &amp; 3: </w:t>
      </w:r>
      <w:r w:rsidRPr="00FA6129">
        <w:rPr>
          <w:rFonts w:asciiTheme="majorBidi" w:hAnsiTheme="majorBidi" w:cstheme="majorBidi"/>
          <w:i/>
          <w:color w:val="000000"/>
          <w:sz w:val="24"/>
          <w:szCs w:val="24"/>
          <w:u w:val="single"/>
        </w:rPr>
        <w:t>Analysis of Risk Behaviors and Behavior Change</w:t>
      </w:r>
    </w:p>
    <w:p w14:paraId="65ACA0C9" w14:textId="77777777" w:rsidR="009A610B" w:rsidRPr="00FA6129" w:rsidRDefault="009A610B" w:rsidP="009A610B">
      <w:pPr>
        <w:rPr>
          <w:rFonts w:asciiTheme="majorBidi" w:hAnsiTheme="majorBidi" w:cstheme="majorBidi"/>
          <w:color w:val="000000"/>
        </w:rPr>
      </w:pPr>
    </w:p>
    <w:p w14:paraId="2AA13DCD" w14:textId="77777777" w:rsidR="009A610B" w:rsidRPr="00FA6129" w:rsidRDefault="009A610B" w:rsidP="009A610B">
      <w:pPr>
        <w:pStyle w:val="BodyText2"/>
        <w:spacing w:line="240" w:lineRule="auto"/>
        <w:rPr>
          <w:rFonts w:asciiTheme="majorBidi" w:hAnsiTheme="majorBidi" w:cstheme="majorBidi"/>
          <w:color w:val="000000" w:themeColor="text1"/>
        </w:rPr>
      </w:pPr>
      <w:r w:rsidRPr="00FA6129">
        <w:rPr>
          <w:rFonts w:asciiTheme="majorBidi" w:hAnsiTheme="majorBidi" w:cstheme="majorBidi"/>
          <w:bCs/>
          <w:color w:val="000000" w:themeColor="text1"/>
        </w:rPr>
        <w:t>Primary Predictor Variable. Self-reported attendance to clinics or health care services for HIV infection treatment.</w:t>
      </w:r>
    </w:p>
    <w:p w14:paraId="06CCA1D7" w14:textId="7B473B5B" w:rsidR="009A610B" w:rsidRPr="00FA6129" w:rsidRDefault="009A610B" w:rsidP="00F72C6D">
      <w:pPr>
        <w:pStyle w:val="BodyText2"/>
        <w:spacing w:line="240" w:lineRule="auto"/>
        <w:rPr>
          <w:rFonts w:asciiTheme="majorBidi" w:hAnsiTheme="majorBidi" w:cstheme="majorBidi"/>
          <w:color w:val="000000" w:themeColor="text1"/>
        </w:rPr>
      </w:pPr>
      <w:r w:rsidRPr="00FA6129">
        <w:rPr>
          <w:rFonts w:asciiTheme="majorBidi" w:hAnsiTheme="majorBidi" w:cstheme="majorBidi"/>
          <w:color w:val="000000" w:themeColor="text1"/>
        </w:rPr>
        <w:t xml:space="preserve">Outcome Variables. Evidence of behavioral risk reduction (change) based on responses to the same HIV risk behavior questions at two time points spaced at least </w:t>
      </w:r>
      <w:r w:rsidR="00F72C6D">
        <w:rPr>
          <w:rFonts w:asciiTheme="majorBidi" w:hAnsiTheme="majorBidi" w:cstheme="majorBidi"/>
          <w:color w:val="000000" w:themeColor="text1"/>
        </w:rPr>
        <w:t>one</w:t>
      </w:r>
      <w:r w:rsidRPr="00FA6129">
        <w:rPr>
          <w:rFonts w:asciiTheme="majorBidi" w:hAnsiTheme="majorBidi" w:cstheme="majorBidi"/>
          <w:color w:val="000000" w:themeColor="text1"/>
        </w:rPr>
        <w:t xml:space="preserve"> year apart. </w:t>
      </w:r>
    </w:p>
    <w:p w14:paraId="736969B4" w14:textId="77777777" w:rsidR="009A610B" w:rsidRPr="00FA6129" w:rsidRDefault="009A610B" w:rsidP="009A610B">
      <w:pPr>
        <w:rPr>
          <w:rFonts w:cstheme="minorHAnsi"/>
          <w:i/>
          <w:color w:val="000000"/>
          <w:u w:val="single"/>
        </w:rPr>
      </w:pPr>
      <w:r w:rsidRPr="00FA6129">
        <w:rPr>
          <w:rFonts w:cstheme="minorHAnsi"/>
          <w:i/>
          <w:color w:val="000000"/>
          <w:u w:val="single"/>
        </w:rPr>
        <w:t>Quantitative Analyses</w:t>
      </w:r>
    </w:p>
    <w:p w14:paraId="2E090BDD" w14:textId="77777777" w:rsidR="009A610B" w:rsidRPr="00FA6129" w:rsidRDefault="009A610B" w:rsidP="009A610B">
      <w:pPr>
        <w:rPr>
          <w:rFonts w:cstheme="minorHAnsi"/>
          <w:color w:val="000000"/>
        </w:rPr>
      </w:pPr>
      <w:r w:rsidRPr="00FA6129">
        <w:rPr>
          <w:rFonts w:cstheme="minorHAnsi"/>
          <w:color w:val="000000"/>
        </w:rPr>
        <w:t>The demographic characteristics of the participants in the study population will be compared to HIV-positive donors over the same time frame as captured in the REDS-II and REDS-III Brazil donor and donation databases (2008 – 201</w:t>
      </w:r>
      <w:r w:rsidR="00244C94">
        <w:rPr>
          <w:rFonts w:cstheme="minorHAnsi"/>
          <w:color w:val="000000"/>
        </w:rPr>
        <w:t>4</w:t>
      </w:r>
      <w:r w:rsidRPr="00FA6129">
        <w:rPr>
          <w:rFonts w:cstheme="minorHAnsi"/>
          <w:color w:val="000000"/>
        </w:rPr>
        <w:t xml:space="preserve">). Changes in HIV risk factors ascertained by questionnaire, including male-to-male sex, number of lifetime male and female sexual partners, number of male and female sexual partners within the past year, use of condoms, IDU, sex with an IDU, </w:t>
      </w:r>
      <w:r w:rsidR="00B04248">
        <w:rPr>
          <w:rFonts w:cstheme="minorHAnsi"/>
          <w:color w:val="000000"/>
        </w:rPr>
        <w:t xml:space="preserve">and </w:t>
      </w:r>
      <w:r w:rsidRPr="00FA6129">
        <w:rPr>
          <w:rFonts w:cstheme="minorHAnsi"/>
          <w:color w:val="000000"/>
        </w:rPr>
        <w:t>age of sexual debut will be assessed. Secondary predictors will include demographics, socioeconomic status, and other</w:t>
      </w:r>
      <w:r w:rsidR="00205583">
        <w:rPr>
          <w:rFonts w:cstheme="minorHAnsi"/>
          <w:color w:val="000000"/>
        </w:rPr>
        <w:t xml:space="preserve"> factors such as</w:t>
      </w:r>
      <w:r w:rsidRPr="00FA6129">
        <w:rPr>
          <w:rFonts w:cstheme="minorHAnsi"/>
          <w:color w:val="000000"/>
        </w:rPr>
        <w:t xml:space="preserve"> drug and alcohol use. </w:t>
      </w:r>
    </w:p>
    <w:p w14:paraId="2C18DF4C" w14:textId="77777777" w:rsidR="009A610B" w:rsidRPr="00FA6129" w:rsidRDefault="009A610B" w:rsidP="009A610B">
      <w:pPr>
        <w:rPr>
          <w:rFonts w:cstheme="minorHAnsi"/>
          <w:color w:val="000000"/>
        </w:rPr>
      </w:pPr>
    </w:p>
    <w:p w14:paraId="513B416C" w14:textId="77777777" w:rsidR="009A610B" w:rsidRPr="00FA6129" w:rsidRDefault="009A610B" w:rsidP="009A610B">
      <w:pPr>
        <w:rPr>
          <w:rFonts w:cstheme="minorHAnsi"/>
          <w:bCs/>
          <w:iCs/>
        </w:rPr>
      </w:pPr>
      <w:r w:rsidRPr="00FA6129">
        <w:rPr>
          <w:rFonts w:cstheme="minorHAnsi"/>
          <w:color w:val="000000"/>
        </w:rPr>
        <w:t>A</w:t>
      </w:r>
      <w:r w:rsidRPr="00FA6129">
        <w:rPr>
          <w:rFonts w:cstheme="minorHAnsi"/>
          <w:bCs/>
          <w:iCs/>
        </w:rPr>
        <w:t xml:space="preserve"> study participant who is enrolled shortly after receiving notification of being HIV-positive by the blood center but has not sought follow up care may be someone who will not seek follow up care or someone who hasn’t sought such care yet. We will use time-to-event analysis techniques with seeking follow-up care as the outcome. </w:t>
      </w:r>
      <w:r w:rsidR="00D26E4E">
        <w:rPr>
          <w:rFonts w:cstheme="minorHAnsi"/>
          <w:bCs/>
          <w:iCs/>
        </w:rPr>
        <w:t>Elapsed t</w:t>
      </w:r>
      <w:r w:rsidRPr="00FA6129">
        <w:rPr>
          <w:rFonts w:cstheme="minorHAnsi"/>
          <w:bCs/>
          <w:iCs/>
        </w:rPr>
        <w:t xml:space="preserve">ime will be defined as the time from notification to obtaining follow-up care. Persons who have not sought care by the time of the study would be treated as censored observations with respect to analysis of linkage of donors to healthcare. This approach will allow us to account for the differential follow-up times between REDS-II and REDS-III donors who participate in this study. </w:t>
      </w:r>
    </w:p>
    <w:p w14:paraId="6949ABC4" w14:textId="77777777" w:rsidR="009A610B" w:rsidRPr="00FA6129" w:rsidRDefault="009A610B" w:rsidP="009A610B">
      <w:pPr>
        <w:rPr>
          <w:rFonts w:cstheme="minorHAnsi"/>
          <w:bCs/>
          <w:iCs/>
        </w:rPr>
      </w:pPr>
    </w:p>
    <w:p w14:paraId="4A4F6EBF" w14:textId="77777777" w:rsidR="009A610B" w:rsidRPr="00FA6129" w:rsidRDefault="009A610B" w:rsidP="009A610B">
      <w:pPr>
        <w:rPr>
          <w:rFonts w:cstheme="minorHAnsi"/>
          <w:color w:val="000000"/>
        </w:rPr>
      </w:pPr>
      <w:r w:rsidRPr="00FA6129">
        <w:rPr>
          <w:rFonts w:cstheme="minorHAnsi"/>
          <w:color w:val="000000"/>
        </w:rPr>
        <w:t xml:space="preserve">Bivariate associations of specific categorical risk factors will be assessed using contingency tables with significance tests using Chi squared or Fisher's exact tests. Any risk factors with a continuous distribution or format will be assessed using logistic regression. Variables with significant or borderline bivariate associations (p&lt;0.15) with confirmed HIV infection will be entered into a multiple logistic regression, multinomial logistic regression, or Cox proportional hazards regression model to assess independent associations and potential confounding. In additions, variable selection methods, i.e., forward selection, backwards elimination, and stepwise selection, may be used to identify relevant predictor variables. Key variables that will be examined to assess </w:t>
      </w:r>
      <w:r w:rsidR="006276CE">
        <w:rPr>
          <w:rFonts w:cstheme="minorHAnsi"/>
          <w:color w:val="000000"/>
        </w:rPr>
        <w:t xml:space="preserve">behavioral </w:t>
      </w:r>
      <w:r w:rsidRPr="00FA6129">
        <w:rPr>
          <w:rFonts w:cstheme="minorHAnsi"/>
          <w:color w:val="000000"/>
        </w:rPr>
        <w:t>changes over time will include the use of condoms and the number of sexual partners in the year before the original HIV-positive blood donation and before completion of the new ACASI for this study. In addition, the number of persons with access to public or private HIV health care services will be reported.</w:t>
      </w:r>
    </w:p>
    <w:p w14:paraId="6458687B" w14:textId="77777777" w:rsidR="009A610B" w:rsidRPr="00FA6129" w:rsidRDefault="009A610B" w:rsidP="009A610B">
      <w:pPr>
        <w:rPr>
          <w:rFonts w:cstheme="minorHAnsi"/>
          <w:color w:val="000000"/>
        </w:rPr>
      </w:pPr>
    </w:p>
    <w:p w14:paraId="2EAD2162" w14:textId="77777777" w:rsidR="009A610B" w:rsidRDefault="009A610B" w:rsidP="009A610B">
      <w:pPr>
        <w:rPr>
          <w:rFonts w:cstheme="minorHAnsi"/>
          <w:color w:val="000000"/>
        </w:rPr>
      </w:pPr>
      <w:r w:rsidRPr="00FA6129">
        <w:rPr>
          <w:rFonts w:cstheme="minorHAnsi"/>
          <w:color w:val="000000"/>
        </w:rPr>
        <w:t>Based on results of the HIV case</w:t>
      </w:r>
      <w:r w:rsidR="00ED1BA5">
        <w:rPr>
          <w:rFonts w:cstheme="minorHAnsi"/>
          <w:color w:val="000000"/>
        </w:rPr>
        <w:t>-</w:t>
      </w:r>
      <w:r w:rsidRPr="00FA6129">
        <w:rPr>
          <w:rFonts w:cstheme="minorHAnsi"/>
          <w:color w:val="000000"/>
        </w:rPr>
        <w:t xml:space="preserve">control study (REDS-II), 70% of the HIV-positive participants reported high-risk behaviors </w:t>
      </w:r>
      <w:r w:rsidRPr="00FA6129">
        <w:rPr>
          <w:rFonts w:cstheme="minorHAnsi"/>
          <w:color w:val="000000"/>
        </w:rPr>
        <w:fldChar w:fldCharType="begin"/>
      </w:r>
      <w:r w:rsidRPr="00FA6129">
        <w:rPr>
          <w:rFonts w:cstheme="minorHAnsi"/>
          <w:color w:val="000000"/>
        </w:rPr>
        <w:instrText xml:space="preserve"> ADDIN EN.CITE &lt;EndNote&gt;&lt;Cite&gt;&lt;Author&gt;de Almeida-Neto&lt;/Author&gt;&lt;Year&gt;2013&lt;/Year&gt;&lt;RecNum&gt;770&lt;/RecNum&gt;&lt;DisplayText&gt;(1)&lt;/DisplayText&gt;&lt;record&gt;&lt;rec-number&gt;770&lt;/rec-number&gt;&lt;foreign-keys&gt;&lt;key app="EN" db-id="sreewr5a022tfhettri5wf2cezvdewatfdf9"&gt;770&lt;/key&gt;&lt;/foreign-keys&gt;&lt;ref-type name="Journal Article"&gt;17&lt;/ref-type&gt;&lt;contributors&gt;&lt;authors&gt;&lt;author&gt;de Almeida-Neto, C.&lt;/author&gt;&lt;author&gt;Goncalez, T.&lt;/author&gt;&lt;author&gt;Birch, R.J.&lt;/author&gt;&lt;author&gt;de Carvahlo, S. M. F.&lt;/author&gt;&lt;author&gt;Capuani, L.&lt;/author&gt;&lt;author&gt;Leao, S.&lt;/author&gt;&lt;author&gt;Miranda, C.&lt;/author&gt;&lt;author&gt;Capuani, P.&lt;/author&gt;&lt;author&gt;Carneiro-Proietti, A. B.&lt;/author&gt;&lt;author&gt;Johnson, B. R.&lt;/author&gt;&lt;author&gt;Wright, D.&lt;/author&gt;&lt;author&gt;Murphy, E. L.&lt;/author&gt;&lt;author&gt;Custer, B.&lt;/author&gt;&lt;/authors&gt;&lt;/contributors&gt;&lt;titles&gt;&lt;title&gt;Risk factors for Human Immunodeficiency Virus infection among Brazilian blood donors; a multicenter case-control study using audio computer-assisted structured interviews&lt;/title&gt;&lt;secondary-title&gt;Vox Sang&lt;/secondary-title&gt;&lt;/titles&gt;&lt;periodical&gt;&lt;full-title&gt;Vox Sang&lt;/full-title&gt;&lt;/periodical&gt;&lt;volume&gt;In Press&lt;/volume&gt;&lt;dates&gt;&lt;year&gt;2013&lt;/year&gt;&lt;/dates&gt;&lt;urls&gt;&lt;/urls&gt;&lt;/record&gt;&lt;/Cite&gt;&lt;/EndNote&gt;</w:instrText>
      </w:r>
      <w:r w:rsidRPr="00FA6129">
        <w:rPr>
          <w:rFonts w:cstheme="minorHAnsi"/>
          <w:color w:val="000000"/>
        </w:rPr>
        <w:fldChar w:fldCharType="separate"/>
      </w:r>
      <w:r w:rsidRPr="00FA6129">
        <w:rPr>
          <w:rFonts w:cstheme="minorHAnsi"/>
          <w:noProof/>
          <w:color w:val="000000"/>
        </w:rPr>
        <w:t>(</w:t>
      </w:r>
      <w:hyperlink w:anchor="_ENREF_1" w:tooltip="de Almeida-Neto, 2013 #770" w:history="1">
        <w:r w:rsidRPr="00FA6129">
          <w:rPr>
            <w:rFonts w:cstheme="minorHAnsi"/>
            <w:noProof/>
            <w:color w:val="000000"/>
          </w:rPr>
          <w:t>1</w:t>
        </w:r>
      </w:hyperlink>
      <w:r w:rsidRPr="00FA6129">
        <w:rPr>
          <w:rFonts w:cstheme="minorHAnsi"/>
          <w:noProof/>
          <w:color w:val="000000"/>
        </w:rPr>
        <w:t>)</w:t>
      </w:r>
      <w:r w:rsidRPr="00FA6129">
        <w:rPr>
          <w:rFonts w:cstheme="minorHAnsi"/>
          <w:color w:val="000000"/>
        </w:rPr>
        <w:fldChar w:fldCharType="end"/>
      </w:r>
      <w:r w:rsidRPr="00FA6129">
        <w:rPr>
          <w:rFonts w:cstheme="minorHAnsi"/>
          <w:color w:val="000000"/>
        </w:rPr>
        <w:t xml:space="preserve">; </w:t>
      </w:r>
      <w:r w:rsidR="006276CE">
        <w:rPr>
          <w:rFonts w:cstheme="minorHAnsi"/>
          <w:color w:val="000000"/>
        </w:rPr>
        <w:t>O</w:t>
      </w:r>
      <w:r w:rsidRPr="00FA6129">
        <w:rPr>
          <w:rFonts w:cstheme="minorHAnsi"/>
          <w:color w:val="000000"/>
        </w:rPr>
        <w:t>f those</w:t>
      </w:r>
      <w:r w:rsidR="004F36E5">
        <w:rPr>
          <w:rFonts w:cstheme="minorHAnsi"/>
          <w:color w:val="000000"/>
        </w:rPr>
        <w:t>,</w:t>
      </w:r>
      <w:r w:rsidRPr="00FA6129">
        <w:rPr>
          <w:rFonts w:cstheme="minorHAnsi"/>
          <w:color w:val="000000"/>
        </w:rPr>
        <w:t xml:space="preserve"> we presume that as many as 20% will </w:t>
      </w:r>
      <w:r w:rsidR="006276CE">
        <w:rPr>
          <w:rFonts w:cstheme="minorHAnsi"/>
          <w:color w:val="000000"/>
        </w:rPr>
        <w:t xml:space="preserve">not </w:t>
      </w:r>
      <w:r w:rsidRPr="00FA6129">
        <w:rPr>
          <w:rFonts w:cstheme="minorHAnsi"/>
          <w:color w:val="000000"/>
        </w:rPr>
        <w:t xml:space="preserve">have changed their risk behaviors, but this type of assessment has not been attempted before and so is highly speculative.  Assessment of and understanding lack of risk reduction (behavior change) is important from a public health perspective because it will identify those risk behaviors where additional education efforts to prevent persons from being exposed to multiple strains of HIV </w:t>
      </w:r>
      <w:r w:rsidR="006276CE">
        <w:rPr>
          <w:rFonts w:cstheme="minorHAnsi"/>
          <w:color w:val="000000"/>
        </w:rPr>
        <w:t xml:space="preserve">are </w:t>
      </w:r>
      <w:r w:rsidRPr="00FA6129">
        <w:rPr>
          <w:rFonts w:cstheme="minorHAnsi"/>
          <w:color w:val="000000"/>
        </w:rPr>
        <w:t xml:space="preserve"> necessary</w:t>
      </w:r>
      <w:r w:rsidR="006276CE">
        <w:rPr>
          <w:rFonts w:cstheme="minorHAnsi"/>
          <w:color w:val="000000"/>
        </w:rPr>
        <w:t>, and also to define characteristics of persons who may further spread infection.</w:t>
      </w:r>
      <w:r w:rsidRPr="00FA6129">
        <w:rPr>
          <w:rFonts w:cstheme="minorHAnsi"/>
          <w:color w:val="000000"/>
        </w:rPr>
        <w:t xml:space="preserve"> We are also interested in assessing if behavior change is the same for donors who gave at each blood center or if regional differences may be evident. </w:t>
      </w:r>
    </w:p>
    <w:p w14:paraId="42E67941" w14:textId="77777777" w:rsidR="00244C94" w:rsidRPr="00FA6129" w:rsidRDefault="00244C94" w:rsidP="009A610B">
      <w:pPr>
        <w:rPr>
          <w:rFonts w:cstheme="minorHAnsi"/>
          <w:color w:val="000000"/>
        </w:rPr>
      </w:pPr>
    </w:p>
    <w:p w14:paraId="1EC6857C" w14:textId="77777777" w:rsidR="009A610B" w:rsidRPr="00FA6129" w:rsidRDefault="009A610B" w:rsidP="009A610B">
      <w:pPr>
        <w:rPr>
          <w:rFonts w:cstheme="minorHAnsi"/>
          <w:color w:val="000000" w:themeColor="text1"/>
        </w:rPr>
      </w:pPr>
      <w:r w:rsidRPr="00FA6129">
        <w:rPr>
          <w:rFonts w:cstheme="minorHAnsi"/>
          <w:color w:val="000000"/>
        </w:rPr>
        <w:t xml:space="preserve">We expect that if persons have records in the </w:t>
      </w:r>
      <w:r w:rsidRPr="00FA6129">
        <w:rPr>
          <w:rFonts w:cstheme="minorHAnsi"/>
          <w:color w:val="000000" w:themeColor="text1"/>
        </w:rPr>
        <w:t>Brasilia SI-CTA</w:t>
      </w:r>
      <w:r w:rsidR="006276CE">
        <w:rPr>
          <w:rFonts w:cstheme="minorHAnsi"/>
          <w:color w:val="000000" w:themeColor="text1"/>
        </w:rPr>
        <w:t xml:space="preserve"> (Ministry of Health)</w:t>
      </w:r>
      <w:r w:rsidRPr="00FA6129">
        <w:rPr>
          <w:rFonts w:cstheme="minorHAnsi"/>
          <w:color w:val="000000" w:themeColor="text1"/>
        </w:rPr>
        <w:t xml:space="preserve">, indicating evidence of ongoing access </w:t>
      </w:r>
      <w:r w:rsidR="006276CE">
        <w:rPr>
          <w:rFonts w:cstheme="minorHAnsi"/>
          <w:color w:val="000000" w:themeColor="text1"/>
        </w:rPr>
        <w:t xml:space="preserve">and use of </w:t>
      </w:r>
      <w:r w:rsidRPr="00FA6129">
        <w:rPr>
          <w:rFonts w:cstheme="minorHAnsi"/>
          <w:color w:val="000000" w:themeColor="text1"/>
        </w:rPr>
        <w:t xml:space="preserve"> health care services, risk behaviors may be different than for those donors without any evidence of being under care for HIV infection.  </w:t>
      </w:r>
    </w:p>
    <w:p w14:paraId="40FBBBD7" w14:textId="77777777" w:rsidR="003A16CA" w:rsidRPr="00FA6129" w:rsidRDefault="003A16CA" w:rsidP="009A610B">
      <w:pPr>
        <w:rPr>
          <w:rFonts w:cstheme="minorHAnsi"/>
          <w:color w:val="000000"/>
        </w:rPr>
      </w:pPr>
    </w:p>
    <w:p w14:paraId="14620020" w14:textId="77777777" w:rsidR="009A610B" w:rsidRDefault="009A610B" w:rsidP="009A610B">
      <w:pPr>
        <w:rPr>
          <w:rFonts w:cstheme="minorHAnsi"/>
          <w:color w:val="000000"/>
        </w:rPr>
      </w:pPr>
      <w:r w:rsidRPr="00FA6129">
        <w:rPr>
          <w:rFonts w:cstheme="minorHAnsi"/>
          <w:i/>
          <w:color w:val="000000"/>
          <w:u w:val="single"/>
        </w:rPr>
        <w:t>Qualitative Analyses</w:t>
      </w:r>
      <w:r w:rsidRPr="00FA6129">
        <w:rPr>
          <w:rFonts w:cstheme="minorHAnsi"/>
          <w:color w:val="000000"/>
        </w:rPr>
        <w:t xml:space="preserve"> We will group the study participants into two distinct groups: high and low risk behavior</w:t>
      </w:r>
      <w:r w:rsidR="00F72C6D">
        <w:rPr>
          <w:rFonts w:cstheme="minorHAnsi"/>
          <w:color w:val="000000"/>
        </w:rPr>
        <w:t>,</w:t>
      </w:r>
      <w:r w:rsidRPr="00FA6129">
        <w:rPr>
          <w:rFonts w:cstheme="minorHAnsi"/>
          <w:color w:val="000000"/>
        </w:rPr>
        <w:t xml:space="preserve"> for qualitative analyses. These grouping</w:t>
      </w:r>
      <w:r w:rsidR="00F72C6D">
        <w:rPr>
          <w:rFonts w:cstheme="minorHAnsi"/>
          <w:color w:val="000000"/>
        </w:rPr>
        <w:t>s</w:t>
      </w:r>
      <w:r w:rsidRPr="00FA6129">
        <w:rPr>
          <w:rFonts w:cstheme="minorHAnsi"/>
          <w:color w:val="000000"/>
        </w:rPr>
        <w:t xml:space="preserve"> will be based primarily on number of sexual partners, use of condoms, and whether illegal drug use is reported. Common themes and recommendations for questions to ask prospective blood donor</w:t>
      </w:r>
      <w:r w:rsidR="00F72C6D">
        <w:rPr>
          <w:rFonts w:cstheme="minorHAnsi"/>
          <w:color w:val="000000"/>
        </w:rPr>
        <w:t>s</w:t>
      </w:r>
      <w:r w:rsidRPr="00FA6129">
        <w:rPr>
          <w:rFonts w:cstheme="minorHAnsi"/>
          <w:color w:val="000000"/>
        </w:rPr>
        <w:t xml:space="preserve"> that might help </w:t>
      </w:r>
      <w:r w:rsidR="00F72C6D">
        <w:rPr>
          <w:rFonts w:cstheme="minorHAnsi"/>
          <w:color w:val="000000"/>
        </w:rPr>
        <w:t xml:space="preserve">to </w:t>
      </w:r>
      <w:r w:rsidRPr="00FA6129">
        <w:rPr>
          <w:rFonts w:cstheme="minorHAnsi"/>
          <w:color w:val="000000"/>
        </w:rPr>
        <w:t xml:space="preserve">better identify persons with risk behaviors who should not be allowed to donate will be assessed. </w:t>
      </w:r>
    </w:p>
    <w:p w14:paraId="0EAB7703" w14:textId="77777777" w:rsidR="006276CE" w:rsidRDefault="006276CE" w:rsidP="009A610B">
      <w:pPr>
        <w:rPr>
          <w:rFonts w:cstheme="minorHAnsi"/>
          <w:color w:val="000000"/>
        </w:rPr>
      </w:pPr>
    </w:p>
    <w:p w14:paraId="63016815" w14:textId="77777777" w:rsidR="006276CE" w:rsidRPr="00FA6129" w:rsidRDefault="006276CE" w:rsidP="009A610B">
      <w:pPr>
        <w:rPr>
          <w:rFonts w:cstheme="minorHAnsi"/>
          <w:color w:val="000000"/>
        </w:rPr>
      </w:pPr>
      <w:r>
        <w:rPr>
          <w:rFonts w:cstheme="minorHAnsi"/>
          <w:color w:val="000000"/>
        </w:rPr>
        <w:t>Aim 3 will use mixed methods of qualitative and quantitative analysis of ACASI response data to identify common themes or approaches recommended by HIV-positive donors to help elicit risk behavior disclos</w:t>
      </w:r>
      <w:r w:rsidR="004F611D">
        <w:rPr>
          <w:rFonts w:cstheme="minorHAnsi"/>
          <w:color w:val="000000"/>
        </w:rPr>
        <w:t>ure</w:t>
      </w:r>
      <w:r>
        <w:rPr>
          <w:rFonts w:cstheme="minorHAnsi"/>
          <w:color w:val="000000"/>
        </w:rPr>
        <w:t xml:space="preserve"> before donation occurs.  </w:t>
      </w:r>
    </w:p>
    <w:p w14:paraId="4802DE19" w14:textId="77777777" w:rsidR="00135B05" w:rsidRPr="00FA6129" w:rsidRDefault="00135B05" w:rsidP="00135B05">
      <w:pPr>
        <w:pStyle w:val="E-mailSignature"/>
        <w:widowControl w:val="0"/>
        <w:adjustRightInd w:val="0"/>
        <w:snapToGrid w:val="0"/>
        <w:rPr>
          <w:b/>
          <w:sz w:val="20"/>
          <w:szCs w:val="20"/>
        </w:rPr>
      </w:pPr>
    </w:p>
    <w:p w14:paraId="310F3136" w14:textId="77777777" w:rsidR="00BB3E27" w:rsidRPr="00FA6129" w:rsidRDefault="00BB3E27" w:rsidP="00135B05">
      <w:pPr>
        <w:pStyle w:val="E-mailSignature"/>
        <w:widowControl w:val="0"/>
        <w:adjustRightInd w:val="0"/>
        <w:snapToGrid w:val="0"/>
        <w:rPr>
          <w:b/>
          <w:sz w:val="20"/>
          <w:szCs w:val="20"/>
        </w:rPr>
      </w:pPr>
    </w:p>
    <w:p w14:paraId="2EDFAD13" w14:textId="77777777" w:rsidR="00135B05" w:rsidRPr="00FA6129" w:rsidRDefault="00135B05" w:rsidP="00BB3E27">
      <w:pPr>
        <w:pStyle w:val="E-mailSignature"/>
        <w:widowControl w:val="0"/>
        <w:adjustRightInd w:val="0"/>
        <w:snapToGrid w:val="0"/>
        <w:rPr>
          <w:b/>
        </w:rPr>
      </w:pPr>
      <w:r w:rsidRPr="00FA6129">
        <w:rPr>
          <w:b/>
        </w:rPr>
        <w:t>B.3.</w:t>
      </w:r>
      <w:r w:rsidR="00BB3E27" w:rsidRPr="00FA6129">
        <w:rPr>
          <w:b/>
        </w:rPr>
        <w:tab/>
      </w:r>
      <w:r w:rsidRPr="00FA6129">
        <w:rPr>
          <w:b/>
        </w:rPr>
        <w:t>Methods to Maximize Response Rates and Deal with Non-response</w:t>
      </w:r>
    </w:p>
    <w:p w14:paraId="55FF7E2E" w14:textId="77777777" w:rsidR="00135B05" w:rsidRPr="00FA6129" w:rsidRDefault="00135B05" w:rsidP="00707F95">
      <w:pPr>
        <w:pStyle w:val="E-mailSignature"/>
        <w:widowControl w:val="0"/>
        <w:adjustRightInd w:val="0"/>
        <w:snapToGrid w:val="0"/>
      </w:pPr>
      <w:r w:rsidRPr="00FA6129">
        <w:rPr>
          <w:b/>
          <w:sz w:val="20"/>
          <w:szCs w:val="20"/>
        </w:rPr>
        <w:tab/>
      </w:r>
    </w:p>
    <w:p w14:paraId="4598811A" w14:textId="77777777" w:rsidR="004E4CE5" w:rsidRPr="00FA6129" w:rsidRDefault="004E4CE5" w:rsidP="004E4CE5">
      <w:pPr>
        <w:widowControl w:val="0"/>
        <w:adjustRightInd w:val="0"/>
        <w:snapToGrid w:val="0"/>
        <w:ind w:firstLine="720"/>
        <w:rPr>
          <w:color w:val="000000"/>
        </w:rPr>
      </w:pPr>
      <w:r w:rsidRPr="00FA6129">
        <w:rPr>
          <w:color w:val="000000"/>
        </w:rPr>
        <w:t xml:space="preserve">During data collection, we will monitor participation and response rates to identify any potential problems that are indicated by differential response rates across sites. We assume that the responses rates of the HIV-positive subjects for the completed REDS-II and REDS-III phases of the study </w:t>
      </w:r>
      <w:r w:rsidR="000145C8">
        <w:rPr>
          <w:color w:val="000000"/>
        </w:rPr>
        <w:t>may differ because of the elapsed time from the REDS-II study</w:t>
      </w:r>
      <w:r w:rsidRPr="00FA6129">
        <w:rPr>
          <w:color w:val="000000"/>
        </w:rPr>
        <w:t>. We will conduct nonresponse bias analysis to assess the potential for nonresponse bias. If we find that nonresponse bias may exist, we will conduct post-survey weighting based on the information produced during the nonresponse bias analysis to minimize the potential nonresponse bias when the risk behavior frequencies are reported</w:t>
      </w:r>
      <w:r w:rsidR="00483DB1" w:rsidRPr="00FA6129">
        <w:rPr>
          <w:color w:val="000000"/>
        </w:rPr>
        <w:t>.</w:t>
      </w:r>
      <w:r w:rsidRPr="00FA6129">
        <w:rPr>
          <w:color w:val="000000"/>
        </w:rPr>
        <w:t xml:space="preserve"> </w:t>
      </w:r>
      <w:r w:rsidR="001149B9" w:rsidRPr="00FA6129">
        <w:rPr>
          <w:color w:val="000000"/>
        </w:rPr>
        <w:t>Variables</w:t>
      </w:r>
      <w:r w:rsidRPr="00FA6129">
        <w:rPr>
          <w:color w:val="000000"/>
        </w:rPr>
        <w:t xml:space="preserve"> that </w:t>
      </w:r>
      <w:r w:rsidR="001149B9" w:rsidRPr="00FA6129">
        <w:rPr>
          <w:color w:val="000000"/>
        </w:rPr>
        <w:t>may</w:t>
      </w:r>
      <w:r w:rsidRPr="00FA6129">
        <w:rPr>
          <w:color w:val="000000"/>
        </w:rPr>
        <w:t xml:space="preserve"> be associated with non-participation are</w:t>
      </w:r>
      <w:r w:rsidR="00D65D06">
        <w:rPr>
          <w:color w:val="000000"/>
        </w:rPr>
        <w:t>:</w:t>
      </w:r>
      <w:r w:rsidRPr="00FA6129">
        <w:rPr>
          <w:color w:val="000000"/>
        </w:rPr>
        <w:t xml:space="preserve"> </w:t>
      </w:r>
      <w:r w:rsidR="00675738">
        <w:rPr>
          <w:color w:val="000000"/>
        </w:rPr>
        <w:t xml:space="preserve">participation in the previous REDS-II or REDS-III study, </w:t>
      </w:r>
      <w:r w:rsidR="001149B9" w:rsidRPr="00FA6129">
        <w:rPr>
          <w:color w:val="000000"/>
        </w:rPr>
        <w:t xml:space="preserve">the </w:t>
      </w:r>
      <w:r w:rsidRPr="00FA6129">
        <w:rPr>
          <w:color w:val="000000"/>
        </w:rPr>
        <w:t>demographic characteristics of the donors (age, gender, race/ethnicity, previous donation history) and also potential participation rate differences by blood center</w:t>
      </w:r>
      <w:r w:rsidR="00675738">
        <w:rPr>
          <w:color w:val="000000"/>
        </w:rPr>
        <w:t>.</w:t>
      </w:r>
      <w:r w:rsidR="004F611D">
        <w:rPr>
          <w:color w:val="000000"/>
        </w:rPr>
        <w:t xml:space="preserve"> </w:t>
      </w:r>
      <w:r w:rsidRPr="00FA6129">
        <w:rPr>
          <w:color w:val="000000"/>
        </w:rPr>
        <w:t xml:space="preserve"> It is important to note that simple or unadjusted HIV case rates per </w:t>
      </w:r>
      <w:r w:rsidR="005450C5">
        <w:rPr>
          <w:color w:val="000000"/>
        </w:rPr>
        <w:t>blood center</w:t>
      </w:r>
      <w:r w:rsidR="005450C5" w:rsidRPr="00FA6129">
        <w:rPr>
          <w:color w:val="000000"/>
        </w:rPr>
        <w:t xml:space="preserve"> </w:t>
      </w:r>
      <w:r w:rsidRPr="00FA6129">
        <w:rPr>
          <w:color w:val="000000"/>
        </w:rPr>
        <w:t>will not be sufficient to indicate whether there is evidence of bias because the demographic characteristics of blood donors at each of the REDS-III blood centers are not the same.</w:t>
      </w:r>
      <w:r w:rsidR="0021604B" w:rsidRPr="00FA6129">
        <w:rPr>
          <w:color w:val="000000"/>
        </w:rPr>
        <w:t xml:space="preserve"> In addition</w:t>
      </w:r>
      <w:r w:rsidR="001149B9" w:rsidRPr="00FA6129">
        <w:rPr>
          <w:color w:val="000000"/>
        </w:rPr>
        <w:t xml:space="preserve">, </w:t>
      </w:r>
      <w:r w:rsidR="002611EB">
        <w:rPr>
          <w:color w:val="000000"/>
        </w:rPr>
        <w:t xml:space="preserve">for Aim 1 </w:t>
      </w:r>
      <w:r w:rsidR="001149B9" w:rsidRPr="00FA6129">
        <w:rPr>
          <w:color w:val="000000"/>
        </w:rPr>
        <w:t>we will examine the proportion</w:t>
      </w:r>
      <w:r w:rsidR="0021604B" w:rsidRPr="00FA6129">
        <w:rPr>
          <w:color w:val="000000"/>
        </w:rPr>
        <w:t xml:space="preserve"> of letters that are returned as non-deliverable to better inf</w:t>
      </w:r>
      <w:r w:rsidR="001149B9" w:rsidRPr="00FA6129">
        <w:rPr>
          <w:color w:val="000000"/>
        </w:rPr>
        <w:t xml:space="preserve">orm us about the </w:t>
      </w:r>
      <w:r w:rsidR="001149B9" w:rsidRPr="00FA6129">
        <w:rPr>
          <w:i/>
          <w:iCs/>
          <w:color w:val="000000"/>
        </w:rPr>
        <w:t>potential</w:t>
      </w:r>
      <w:r w:rsidR="001149B9" w:rsidRPr="00FA6129">
        <w:rPr>
          <w:color w:val="000000"/>
        </w:rPr>
        <w:t xml:space="preserve"> differences between the delivered and non-delivered test positive donors for important analytic covariates.</w:t>
      </w:r>
    </w:p>
    <w:p w14:paraId="069DACD9" w14:textId="77777777" w:rsidR="004E4CE5" w:rsidRPr="00FA6129" w:rsidRDefault="004E4CE5" w:rsidP="004E4CE5">
      <w:pPr>
        <w:widowControl w:val="0"/>
        <w:adjustRightInd w:val="0"/>
        <w:snapToGrid w:val="0"/>
        <w:rPr>
          <w:color w:val="000000"/>
        </w:rPr>
      </w:pPr>
    </w:p>
    <w:p w14:paraId="69FCB19C" w14:textId="77777777" w:rsidR="004E4CE5" w:rsidRPr="00FA6129" w:rsidRDefault="004E4CE5" w:rsidP="004E4CE5">
      <w:pPr>
        <w:widowControl w:val="0"/>
        <w:adjustRightInd w:val="0"/>
        <w:snapToGrid w:val="0"/>
        <w:ind w:firstLine="720"/>
        <w:rPr>
          <w:color w:val="000000"/>
        </w:rPr>
      </w:pPr>
      <w:r w:rsidRPr="00FA6129">
        <w:rPr>
          <w:color w:val="000000"/>
        </w:rPr>
        <w:t>We expect low levels of item nonresponse for this study</w:t>
      </w:r>
      <w:r w:rsidR="002611EB">
        <w:rPr>
          <w:color w:val="000000"/>
        </w:rPr>
        <w:t xml:space="preserve"> in Aims 2 and 3</w:t>
      </w:r>
      <w:r w:rsidRPr="00FA6129">
        <w:rPr>
          <w:color w:val="000000"/>
        </w:rPr>
        <w:t xml:space="preserve">. Our use of ACASI was very successful in the previous REDS-II </w:t>
      </w:r>
      <w:r w:rsidR="002611EB">
        <w:rPr>
          <w:color w:val="000000"/>
        </w:rPr>
        <w:t xml:space="preserve">and REDS-III studies </w:t>
      </w:r>
      <w:r w:rsidRPr="00FA6129">
        <w:rPr>
          <w:color w:val="000000"/>
        </w:rPr>
        <w:t>with little evidence of nonresponse to any of the questions asked during the interview. For example, we asked a question about whether the donor had ever been tested for HIV outside of blood donation. Only 1 person out of 1</w:t>
      </w:r>
      <w:r w:rsidR="001149B9" w:rsidRPr="00FA6129">
        <w:rPr>
          <w:color w:val="000000"/>
        </w:rPr>
        <w:t>,</w:t>
      </w:r>
      <w:r w:rsidRPr="00FA6129">
        <w:rPr>
          <w:color w:val="000000"/>
        </w:rPr>
        <w:t>244</w:t>
      </w:r>
      <w:r w:rsidR="00A57F33">
        <w:rPr>
          <w:color w:val="000000"/>
        </w:rPr>
        <w:t xml:space="preserve"> </w:t>
      </w:r>
      <w:r w:rsidR="00A57F33" w:rsidRPr="00A57F33">
        <w:rPr>
          <w:color w:val="000000"/>
        </w:rPr>
        <w:t xml:space="preserve">(&lt;0.1%) </w:t>
      </w:r>
      <w:r w:rsidRPr="00FA6129">
        <w:rPr>
          <w:color w:val="000000"/>
        </w:rPr>
        <w:t xml:space="preserve">respondents </w:t>
      </w:r>
      <w:r w:rsidR="002611EB">
        <w:rPr>
          <w:color w:val="000000"/>
        </w:rPr>
        <w:t xml:space="preserve">in the REDS-II study </w:t>
      </w:r>
      <w:r w:rsidRPr="00FA6129">
        <w:rPr>
          <w:color w:val="000000"/>
        </w:rPr>
        <w:t>refused to answer this question. Similarly, for a clearly social sensitive question in which we asked respondents to classify their sexual orientation 18 out 1</w:t>
      </w:r>
      <w:r w:rsidR="001149B9" w:rsidRPr="00FA6129">
        <w:rPr>
          <w:color w:val="000000"/>
        </w:rPr>
        <w:t>,</w:t>
      </w:r>
      <w:r w:rsidRPr="00FA6129">
        <w:rPr>
          <w:color w:val="000000"/>
        </w:rPr>
        <w:t>244 respondents (1.4%) refused to answer. These data suggest that the use of ACASI was successful in eliciting responses to stigmatizing or socially sensitive questions, and we expect the same to be true for our use of</w:t>
      </w:r>
      <w:r w:rsidR="001816F3">
        <w:rPr>
          <w:color w:val="000000"/>
        </w:rPr>
        <w:t xml:space="preserve"> ACASI in this study.</w:t>
      </w:r>
      <w:r w:rsidRPr="00FA6129">
        <w:rPr>
          <w:color w:val="000000"/>
        </w:rPr>
        <w:t xml:space="preserve"> </w:t>
      </w:r>
      <w:r w:rsidR="001149B9" w:rsidRPr="00FA6129">
        <w:rPr>
          <w:color w:val="000000"/>
        </w:rPr>
        <w:t xml:space="preserve">We will monitor item response rates and examine the </w:t>
      </w:r>
      <w:r w:rsidR="001149B9" w:rsidRPr="00FA6129">
        <w:rPr>
          <w:i/>
          <w:iCs/>
          <w:color w:val="000000"/>
        </w:rPr>
        <w:t>potential</w:t>
      </w:r>
      <w:r w:rsidR="001149B9" w:rsidRPr="00FA6129">
        <w:rPr>
          <w:color w:val="000000"/>
        </w:rPr>
        <w:t xml:space="preserve"> nonresponse bias for important analytic variables that have relatively high </w:t>
      </w:r>
      <w:r w:rsidR="001816F3">
        <w:rPr>
          <w:color w:val="000000"/>
        </w:rPr>
        <w:t xml:space="preserve">rates of </w:t>
      </w:r>
      <w:r w:rsidR="001149B9" w:rsidRPr="00FA6129">
        <w:rPr>
          <w:color w:val="000000"/>
        </w:rPr>
        <w:t>nonresponse.</w:t>
      </w:r>
    </w:p>
    <w:p w14:paraId="1E369107" w14:textId="77777777" w:rsidR="00707F95" w:rsidRPr="00FA6129" w:rsidRDefault="00707F95" w:rsidP="004E4CE5">
      <w:pPr>
        <w:widowControl w:val="0"/>
        <w:adjustRightInd w:val="0"/>
        <w:snapToGrid w:val="0"/>
        <w:ind w:firstLine="720"/>
        <w:rPr>
          <w:color w:val="000000"/>
        </w:rPr>
      </w:pPr>
    </w:p>
    <w:p w14:paraId="2E668DD7" w14:textId="77777777" w:rsidR="00707F95" w:rsidRPr="00FA6129" w:rsidRDefault="00707F95" w:rsidP="00FA6129">
      <w:pPr>
        <w:pStyle w:val="Date"/>
        <w:widowControl w:val="0"/>
        <w:adjustRightInd w:val="0"/>
        <w:snapToGrid w:val="0"/>
        <w:rPr>
          <w:color w:val="000000"/>
        </w:rPr>
      </w:pPr>
      <w:r w:rsidRPr="00FA6129">
        <w:rPr>
          <w:color w:val="000000"/>
        </w:rPr>
        <w:tab/>
        <w:t xml:space="preserve">Here are some of the specific data collection procedures that will be implemented </w:t>
      </w:r>
      <w:r w:rsidR="001816F3">
        <w:rPr>
          <w:color w:val="000000"/>
        </w:rPr>
        <w:t xml:space="preserve">in Aims 2 and 3 of this study </w:t>
      </w:r>
      <w:r w:rsidRPr="00FA6129">
        <w:rPr>
          <w:color w:val="000000"/>
        </w:rPr>
        <w:t>to reduce response burden and increase participation:</w:t>
      </w:r>
    </w:p>
    <w:p w14:paraId="2F5C31D8" w14:textId="77777777" w:rsidR="00707F95" w:rsidRPr="00FA6129" w:rsidRDefault="00707F95" w:rsidP="00FA6129"/>
    <w:p w14:paraId="7EF102E8" w14:textId="77777777" w:rsidR="00707F95" w:rsidRPr="00FA6129" w:rsidRDefault="00707F95" w:rsidP="00707F95">
      <w:pPr>
        <w:pStyle w:val="Date"/>
        <w:widowControl w:val="0"/>
        <w:numPr>
          <w:ilvl w:val="0"/>
          <w:numId w:val="4"/>
        </w:numPr>
        <w:adjustRightInd w:val="0"/>
        <w:snapToGrid w:val="0"/>
        <w:rPr>
          <w:color w:val="000000"/>
        </w:rPr>
      </w:pPr>
      <w:r w:rsidRPr="00FA6129">
        <w:rPr>
          <w:color w:val="000000"/>
        </w:rPr>
        <w:t xml:space="preserve">Written informed consent for participation in the study will </w:t>
      </w:r>
      <w:r w:rsidR="001816F3">
        <w:rPr>
          <w:color w:val="000000"/>
        </w:rPr>
        <w:t xml:space="preserve">only </w:t>
      </w:r>
      <w:r w:rsidRPr="00FA6129">
        <w:rPr>
          <w:color w:val="000000"/>
        </w:rPr>
        <w:t>be obtained when the participant returns to the blood center.</w:t>
      </w:r>
      <w:r w:rsidR="001816F3">
        <w:rPr>
          <w:color w:val="000000"/>
        </w:rPr>
        <w:t xml:space="preserve"> Thus only those </w:t>
      </w:r>
      <w:r w:rsidR="004C660A">
        <w:rPr>
          <w:color w:val="000000"/>
        </w:rPr>
        <w:t xml:space="preserve">participants </w:t>
      </w:r>
      <w:r w:rsidR="004F611D">
        <w:rPr>
          <w:color w:val="000000"/>
        </w:rPr>
        <w:t>who</w:t>
      </w:r>
      <w:r w:rsidR="004C660A">
        <w:rPr>
          <w:color w:val="000000"/>
        </w:rPr>
        <w:t xml:space="preserve"> </w:t>
      </w:r>
      <w:r w:rsidR="00CB35AA">
        <w:rPr>
          <w:color w:val="000000"/>
        </w:rPr>
        <w:t>demonstrate a</w:t>
      </w:r>
      <w:r w:rsidR="001816F3">
        <w:rPr>
          <w:color w:val="000000"/>
        </w:rPr>
        <w:t xml:space="preserve"> willingness to participate</w:t>
      </w:r>
      <w:r w:rsidR="004C660A">
        <w:rPr>
          <w:color w:val="000000"/>
        </w:rPr>
        <w:t xml:space="preserve"> in the study by returning to the blood center</w:t>
      </w:r>
      <w:r w:rsidR="001816F3">
        <w:rPr>
          <w:color w:val="000000"/>
        </w:rPr>
        <w:t xml:space="preserve"> will be asked </w:t>
      </w:r>
      <w:r w:rsidR="004C660A">
        <w:rPr>
          <w:color w:val="000000"/>
        </w:rPr>
        <w:t xml:space="preserve">to </w:t>
      </w:r>
      <w:r w:rsidR="001816F3">
        <w:rPr>
          <w:color w:val="000000"/>
        </w:rPr>
        <w:t>complete informed consent.</w:t>
      </w:r>
      <w:r w:rsidRPr="00FA6129">
        <w:rPr>
          <w:color w:val="000000"/>
        </w:rPr>
        <w:t xml:space="preserve"> </w:t>
      </w:r>
    </w:p>
    <w:p w14:paraId="2A20CE8D" w14:textId="77777777" w:rsidR="00707F95" w:rsidRPr="00FA6129" w:rsidRDefault="00707F95" w:rsidP="00707F95"/>
    <w:p w14:paraId="47A0C779" w14:textId="76BCFA35" w:rsidR="00707F95" w:rsidRPr="00FA6129" w:rsidRDefault="00707F95" w:rsidP="00D65D06">
      <w:pPr>
        <w:pStyle w:val="Date"/>
        <w:widowControl w:val="0"/>
        <w:numPr>
          <w:ilvl w:val="0"/>
          <w:numId w:val="4"/>
        </w:numPr>
        <w:adjustRightInd w:val="0"/>
        <w:snapToGrid w:val="0"/>
        <w:rPr>
          <w:color w:val="000000"/>
        </w:rPr>
      </w:pPr>
      <w:r w:rsidRPr="00FA6129">
        <w:rPr>
          <w:color w:val="000000"/>
        </w:rPr>
        <w:t>ACASI on the topics of access to health care and risk behaviors will be completed. Private locations in each blood center will be made available for the participant</w:t>
      </w:r>
      <w:r w:rsidR="00F10027">
        <w:rPr>
          <w:color w:val="000000"/>
        </w:rPr>
        <w:t>s</w:t>
      </w:r>
      <w:r w:rsidRPr="00FA6129">
        <w:rPr>
          <w:color w:val="000000"/>
        </w:rPr>
        <w:t xml:space="preserve"> to complete the ACASI</w:t>
      </w:r>
      <w:r w:rsidR="00F10027">
        <w:rPr>
          <w:color w:val="000000"/>
        </w:rPr>
        <w:t>, helping to increase response rates</w:t>
      </w:r>
      <w:r w:rsidR="00FB2F84">
        <w:rPr>
          <w:color w:val="000000"/>
        </w:rPr>
        <w:t>.</w:t>
      </w:r>
      <w:r w:rsidRPr="00FA6129">
        <w:rPr>
          <w:color w:val="000000"/>
        </w:rPr>
        <w:t xml:space="preserve"> Additionally, to support our objectives we will access the responses from the two previous ACASI questionnaires, namely the original HIV-positive case interviews from the REDS-II or REDS-III HIV surveillance studies. </w:t>
      </w:r>
      <w:r w:rsidR="001816F3">
        <w:rPr>
          <w:color w:val="000000"/>
        </w:rPr>
        <w:t xml:space="preserve">The great advantage of the use of ACASI is the ability </w:t>
      </w:r>
      <w:r w:rsidR="00D65D06">
        <w:rPr>
          <w:color w:val="000000"/>
        </w:rPr>
        <w:t xml:space="preserve">of </w:t>
      </w:r>
      <w:r w:rsidR="001816F3">
        <w:rPr>
          <w:color w:val="000000"/>
        </w:rPr>
        <w:t xml:space="preserve">respondents to skip irrelevant detailed questions based on initial responses to indicator questions. This creates a lower participation burden in each respondent and also limits </w:t>
      </w:r>
      <w:r w:rsidR="006D0F23">
        <w:rPr>
          <w:color w:val="000000"/>
        </w:rPr>
        <w:t xml:space="preserve">exposure to </w:t>
      </w:r>
      <w:r w:rsidR="001816F3">
        <w:rPr>
          <w:color w:val="000000"/>
        </w:rPr>
        <w:t>socially sensitive topics if the participant does not have the corresponding risk behavior.</w:t>
      </w:r>
      <w:r w:rsidRPr="00FA6129">
        <w:rPr>
          <w:color w:val="000000"/>
        </w:rPr>
        <w:t xml:space="preserve"> </w:t>
      </w:r>
    </w:p>
    <w:p w14:paraId="7E113509" w14:textId="77777777" w:rsidR="00707F95" w:rsidRPr="00FA6129" w:rsidRDefault="00707F95" w:rsidP="00707F95"/>
    <w:p w14:paraId="752C906E" w14:textId="77777777" w:rsidR="00707F95" w:rsidRPr="00FA6129" w:rsidRDefault="00707F95" w:rsidP="00FA6129">
      <w:pPr>
        <w:pStyle w:val="Date"/>
        <w:numPr>
          <w:ilvl w:val="0"/>
          <w:numId w:val="4"/>
        </w:numPr>
        <w:rPr>
          <w:color w:val="000000"/>
        </w:rPr>
      </w:pPr>
      <w:r w:rsidRPr="00FA6129">
        <w:rPr>
          <w:color w:val="000000"/>
        </w:rPr>
        <w:t>Trained counselors will be on site during and after the ACASI interviews should participants want additional counseling.</w:t>
      </w:r>
      <w:r w:rsidR="00550251">
        <w:rPr>
          <w:color w:val="000000"/>
        </w:rPr>
        <w:t xml:space="preserve"> This helps to reduce any potential psychological burden. </w:t>
      </w:r>
      <w:r w:rsidR="004C660A" w:rsidRPr="004C660A">
        <w:rPr>
          <w:color w:val="000000"/>
        </w:rPr>
        <w:t xml:space="preserve">The knowledge that each participant will have access to additional counseling outside of </w:t>
      </w:r>
      <w:r w:rsidR="00636127">
        <w:rPr>
          <w:color w:val="000000"/>
        </w:rPr>
        <w:t xml:space="preserve">the </w:t>
      </w:r>
      <w:r w:rsidR="004C660A" w:rsidRPr="004C660A">
        <w:rPr>
          <w:color w:val="000000"/>
        </w:rPr>
        <w:t>study</w:t>
      </w:r>
      <w:r w:rsidR="00636127">
        <w:rPr>
          <w:color w:val="000000"/>
        </w:rPr>
        <w:t>, if desired,</w:t>
      </w:r>
      <w:r w:rsidR="004C660A" w:rsidRPr="004C660A">
        <w:rPr>
          <w:color w:val="000000"/>
        </w:rPr>
        <w:t xml:space="preserve"> may also facilitate increased participation.</w:t>
      </w:r>
    </w:p>
    <w:p w14:paraId="49ADB709" w14:textId="77777777" w:rsidR="00707F95" w:rsidRPr="00FA6129" w:rsidRDefault="00707F95" w:rsidP="00FA6129"/>
    <w:p w14:paraId="28539D7A" w14:textId="77777777" w:rsidR="00707F95" w:rsidRPr="00FA6129" w:rsidRDefault="001E5085" w:rsidP="00FA6129">
      <w:pPr>
        <w:pStyle w:val="Date"/>
        <w:numPr>
          <w:ilvl w:val="0"/>
          <w:numId w:val="4"/>
        </w:numPr>
        <w:rPr>
          <w:rFonts w:asciiTheme="majorBidi" w:hAnsiTheme="majorBidi" w:cstheme="majorBidi"/>
        </w:rPr>
      </w:pPr>
      <w:r>
        <w:rPr>
          <w:color w:val="000000"/>
        </w:rPr>
        <w:t>At the time informed consent is obtained, w</w:t>
      </w:r>
      <w:r w:rsidR="00707F95" w:rsidRPr="00FA6129">
        <w:rPr>
          <w:rFonts w:asciiTheme="majorBidi" w:hAnsiTheme="majorBidi" w:cstheme="majorBidi"/>
        </w:rPr>
        <w:t xml:space="preserve">e will also seek </w:t>
      </w:r>
      <w:r w:rsidR="00752EA2">
        <w:rPr>
          <w:rFonts w:asciiTheme="majorBidi" w:hAnsiTheme="majorBidi" w:cstheme="majorBidi"/>
        </w:rPr>
        <w:t>authorization</w:t>
      </w:r>
      <w:r w:rsidR="00752EA2" w:rsidRPr="00FA6129">
        <w:rPr>
          <w:rFonts w:asciiTheme="majorBidi" w:hAnsiTheme="majorBidi" w:cstheme="majorBidi"/>
        </w:rPr>
        <w:t xml:space="preserve"> </w:t>
      </w:r>
      <w:r w:rsidR="00707F95" w:rsidRPr="00FA6129">
        <w:rPr>
          <w:rFonts w:asciiTheme="majorBidi" w:hAnsiTheme="majorBidi" w:cstheme="majorBidi"/>
        </w:rPr>
        <w:t xml:space="preserve">from each participant to obtain HIV infection status information captured in the State and National databases on HIV progression such as viral load and CD4/CD8 counts. The Brazilian National HIV treatment and progression databases </w:t>
      </w:r>
      <w:r w:rsidR="00431D75">
        <w:rPr>
          <w:rFonts w:asciiTheme="majorBidi" w:hAnsiTheme="majorBidi" w:cstheme="majorBidi"/>
        </w:rPr>
        <w:t>(</w:t>
      </w:r>
      <w:r w:rsidR="00431D75" w:rsidRPr="00431D75">
        <w:rPr>
          <w:rFonts w:asciiTheme="majorBidi" w:hAnsiTheme="majorBidi" w:cstheme="majorBidi"/>
        </w:rPr>
        <w:t>SI-CTA</w:t>
      </w:r>
      <w:r w:rsidR="00431D75">
        <w:rPr>
          <w:rFonts w:asciiTheme="majorBidi" w:hAnsiTheme="majorBidi" w:cstheme="majorBidi"/>
        </w:rPr>
        <w:t xml:space="preserve">) </w:t>
      </w:r>
      <w:r w:rsidR="00707F95" w:rsidRPr="00FA6129">
        <w:rPr>
          <w:rFonts w:asciiTheme="majorBidi" w:hAnsiTheme="majorBidi" w:cstheme="majorBidi"/>
        </w:rPr>
        <w:t xml:space="preserve">were created in 2002 by the Ministry of Health because of the need to register and monitor the care provided by </w:t>
      </w:r>
      <w:r w:rsidR="003B4AFD">
        <w:rPr>
          <w:rFonts w:asciiTheme="majorBidi" w:hAnsiTheme="majorBidi" w:cstheme="majorBidi"/>
        </w:rPr>
        <w:t>HIV Counseling and Testing services (H</w:t>
      </w:r>
      <w:r w:rsidR="00707F95" w:rsidRPr="00FA6129">
        <w:rPr>
          <w:rFonts w:asciiTheme="majorBidi" w:hAnsiTheme="majorBidi" w:cstheme="majorBidi"/>
        </w:rPr>
        <w:t>CT</w:t>
      </w:r>
      <w:r w:rsidR="003B4AFD">
        <w:rPr>
          <w:rFonts w:asciiTheme="majorBidi" w:hAnsiTheme="majorBidi" w:cstheme="majorBidi"/>
        </w:rPr>
        <w:t>)</w:t>
      </w:r>
      <w:r w:rsidR="00707F95" w:rsidRPr="00FA6129">
        <w:rPr>
          <w:rFonts w:asciiTheme="majorBidi" w:hAnsiTheme="majorBidi" w:cstheme="majorBidi"/>
        </w:rPr>
        <w:t>/medical staff, obtain demographic, behavioral</w:t>
      </w:r>
      <w:r w:rsidR="00431D75">
        <w:rPr>
          <w:rFonts w:asciiTheme="majorBidi" w:hAnsiTheme="majorBidi" w:cstheme="majorBidi"/>
        </w:rPr>
        <w:t>,</w:t>
      </w:r>
      <w:r w:rsidR="00707F95" w:rsidRPr="00FA6129">
        <w:rPr>
          <w:rFonts w:asciiTheme="majorBidi" w:hAnsiTheme="majorBidi" w:cstheme="majorBidi"/>
        </w:rPr>
        <w:t xml:space="preserve"> and biological information regarding the individuals </w:t>
      </w:r>
      <w:r w:rsidR="004F611D">
        <w:rPr>
          <w:rFonts w:asciiTheme="majorBidi" w:hAnsiTheme="majorBidi" w:cstheme="majorBidi"/>
        </w:rPr>
        <w:t>who</w:t>
      </w:r>
      <w:r w:rsidR="00707F95" w:rsidRPr="00FA6129">
        <w:rPr>
          <w:rFonts w:asciiTheme="majorBidi" w:hAnsiTheme="majorBidi" w:cstheme="majorBidi"/>
        </w:rPr>
        <w:t xml:space="preserve"> attend this service. Each Brazilian </w:t>
      </w:r>
      <w:r w:rsidR="003B4AFD">
        <w:rPr>
          <w:rFonts w:asciiTheme="majorBidi" w:hAnsiTheme="majorBidi" w:cstheme="majorBidi"/>
        </w:rPr>
        <w:t>H</w:t>
      </w:r>
      <w:r w:rsidR="00707F95" w:rsidRPr="00FA6129">
        <w:rPr>
          <w:rFonts w:asciiTheme="majorBidi" w:hAnsiTheme="majorBidi" w:cstheme="majorBidi"/>
        </w:rPr>
        <w:t xml:space="preserve">CT provides information on the individuals with HIV/AIDS (based on viral load, CD4 and CD8 information) to a data coordinating center located in Brasília. Some </w:t>
      </w:r>
      <w:r w:rsidR="003B4AFD">
        <w:rPr>
          <w:rFonts w:asciiTheme="majorBidi" w:hAnsiTheme="majorBidi" w:cstheme="majorBidi"/>
        </w:rPr>
        <w:t>H</w:t>
      </w:r>
      <w:r w:rsidR="00707F95" w:rsidRPr="00FA6129">
        <w:rPr>
          <w:rFonts w:asciiTheme="majorBidi" w:hAnsiTheme="majorBidi" w:cstheme="majorBidi"/>
        </w:rPr>
        <w:t xml:space="preserve">CTs also provide testing for syphilis and hepatitis B and C. This information is essential for health services planning and strategies with a focus on the individual and affected communities to provide indicators of success and to support efforts to manage HIV in Brazil. In addition, this information is also being used to improve research by providing ways to access summary data for research projects. More than </w:t>
      </w:r>
      <w:r w:rsidR="00244C94">
        <w:rPr>
          <w:rFonts w:asciiTheme="majorBidi" w:hAnsiTheme="majorBidi" w:cstheme="majorBidi"/>
        </w:rPr>
        <w:t xml:space="preserve">half </w:t>
      </w:r>
      <w:r w:rsidR="00D65D06">
        <w:rPr>
          <w:rFonts w:asciiTheme="majorBidi" w:hAnsiTheme="majorBidi" w:cstheme="majorBidi"/>
        </w:rPr>
        <w:t xml:space="preserve">of </w:t>
      </w:r>
      <w:r w:rsidR="00244C94">
        <w:rPr>
          <w:rFonts w:asciiTheme="majorBidi" w:hAnsiTheme="majorBidi" w:cstheme="majorBidi"/>
        </w:rPr>
        <w:t xml:space="preserve">a million (500,000) </w:t>
      </w:r>
      <w:r w:rsidR="00707F95" w:rsidRPr="00FA6129">
        <w:rPr>
          <w:rFonts w:asciiTheme="majorBidi" w:hAnsiTheme="majorBidi" w:cstheme="majorBidi"/>
        </w:rPr>
        <w:t>records of individuals with HIV, syphilis</w:t>
      </w:r>
      <w:r w:rsidR="00244C94">
        <w:rPr>
          <w:rFonts w:asciiTheme="majorBidi" w:hAnsiTheme="majorBidi" w:cstheme="majorBidi"/>
        </w:rPr>
        <w:t xml:space="preserve">, </w:t>
      </w:r>
      <w:r w:rsidR="00707F95" w:rsidRPr="00FA6129">
        <w:rPr>
          <w:rFonts w:asciiTheme="majorBidi" w:hAnsiTheme="majorBidi" w:cstheme="majorBidi"/>
        </w:rPr>
        <w:t>and hepatitis B and C are stored in this dataset. There is no time limit on how long this information is housed in databases.</w:t>
      </w:r>
      <w:r>
        <w:rPr>
          <w:rFonts w:asciiTheme="majorBidi" w:hAnsiTheme="majorBidi" w:cstheme="majorBidi"/>
        </w:rPr>
        <w:t xml:space="preserve"> By asking participants to allow us to obtain treatment information electronically</w:t>
      </w:r>
      <w:r w:rsidR="00752EA2">
        <w:rPr>
          <w:rFonts w:asciiTheme="majorBidi" w:hAnsiTheme="majorBidi" w:cstheme="majorBidi"/>
        </w:rPr>
        <w:t xml:space="preserve"> from these databases</w:t>
      </w:r>
      <w:r>
        <w:rPr>
          <w:rFonts w:asciiTheme="majorBidi" w:hAnsiTheme="majorBidi" w:cstheme="majorBidi"/>
        </w:rPr>
        <w:t xml:space="preserve">, the study participants will </w:t>
      </w:r>
      <w:r w:rsidR="00752EA2">
        <w:rPr>
          <w:rFonts w:asciiTheme="majorBidi" w:hAnsiTheme="majorBidi" w:cstheme="majorBidi"/>
        </w:rPr>
        <w:t xml:space="preserve">not </w:t>
      </w:r>
      <w:r>
        <w:rPr>
          <w:rFonts w:asciiTheme="majorBidi" w:hAnsiTheme="majorBidi" w:cstheme="majorBidi"/>
        </w:rPr>
        <w:t xml:space="preserve">have the burden or potential social discomfort of seeking this information from their treating physician or </w:t>
      </w:r>
      <w:r w:rsidR="00EF49B4">
        <w:rPr>
          <w:rFonts w:asciiTheme="majorBidi" w:hAnsiTheme="majorBidi" w:cstheme="majorBidi"/>
        </w:rPr>
        <w:t xml:space="preserve">directly </w:t>
      </w:r>
      <w:r>
        <w:rPr>
          <w:rFonts w:asciiTheme="majorBidi" w:hAnsiTheme="majorBidi" w:cstheme="majorBidi"/>
        </w:rPr>
        <w:t>from Brazilian National HIV database</w:t>
      </w:r>
      <w:r w:rsidR="00EF49B4">
        <w:rPr>
          <w:rFonts w:asciiTheme="majorBidi" w:hAnsiTheme="majorBidi" w:cstheme="majorBidi"/>
        </w:rPr>
        <w:t>s</w:t>
      </w:r>
      <w:r>
        <w:rPr>
          <w:rFonts w:asciiTheme="majorBidi" w:hAnsiTheme="majorBidi" w:cstheme="majorBidi"/>
        </w:rPr>
        <w:t xml:space="preserve">. </w:t>
      </w:r>
      <w:r w:rsidR="00F02E52">
        <w:rPr>
          <w:rFonts w:asciiTheme="majorBidi" w:hAnsiTheme="majorBidi" w:cstheme="majorBidi"/>
        </w:rPr>
        <w:t xml:space="preserve"> </w:t>
      </w:r>
    </w:p>
    <w:p w14:paraId="2ACD168E" w14:textId="77777777" w:rsidR="004E4CE5" w:rsidRPr="00FA6129" w:rsidRDefault="004E4CE5" w:rsidP="00FA6129">
      <w:pPr>
        <w:pStyle w:val="Date"/>
        <w:rPr>
          <w:rFonts w:asciiTheme="majorBidi" w:hAnsiTheme="majorBidi" w:cstheme="majorBidi"/>
        </w:rPr>
      </w:pPr>
    </w:p>
    <w:p w14:paraId="18E71922" w14:textId="77777777" w:rsidR="00135B05" w:rsidRPr="00FA6129" w:rsidRDefault="00135B05" w:rsidP="00135B05">
      <w:pPr>
        <w:pStyle w:val="E-mailSignature"/>
        <w:widowControl w:val="0"/>
        <w:adjustRightInd w:val="0"/>
        <w:snapToGrid w:val="0"/>
        <w:rPr>
          <w:b/>
        </w:rPr>
      </w:pPr>
    </w:p>
    <w:p w14:paraId="74BBF521" w14:textId="77777777" w:rsidR="00135B05" w:rsidRPr="00FA6129" w:rsidRDefault="00135B05" w:rsidP="005D039D">
      <w:pPr>
        <w:pStyle w:val="E-mailSignature"/>
        <w:keepNext/>
        <w:widowControl w:val="0"/>
        <w:adjustRightInd w:val="0"/>
        <w:snapToGrid w:val="0"/>
        <w:rPr>
          <w:b/>
        </w:rPr>
      </w:pPr>
      <w:r w:rsidRPr="00FA6129">
        <w:rPr>
          <w:b/>
        </w:rPr>
        <w:t>B.4.</w:t>
      </w:r>
      <w:r w:rsidR="00BB3E27" w:rsidRPr="00FA6129">
        <w:rPr>
          <w:b/>
        </w:rPr>
        <w:tab/>
      </w:r>
      <w:r w:rsidRPr="00FA6129">
        <w:rPr>
          <w:b/>
        </w:rPr>
        <w:t>Test of Procedures</w:t>
      </w:r>
    </w:p>
    <w:p w14:paraId="69B7F3A3" w14:textId="77777777" w:rsidR="00135B05" w:rsidRPr="00FA6129" w:rsidRDefault="00135B05" w:rsidP="005D039D">
      <w:pPr>
        <w:pStyle w:val="E-mailSignature"/>
        <w:keepNext/>
        <w:widowControl w:val="0"/>
        <w:adjustRightInd w:val="0"/>
        <w:snapToGrid w:val="0"/>
        <w:rPr>
          <w:b/>
          <w:sz w:val="20"/>
          <w:szCs w:val="20"/>
        </w:rPr>
      </w:pPr>
    </w:p>
    <w:p w14:paraId="510AAFC5" w14:textId="77777777" w:rsidR="00135B05" w:rsidRPr="00FA6129" w:rsidRDefault="00135B05" w:rsidP="005D039D">
      <w:pPr>
        <w:keepNext/>
        <w:widowControl w:val="0"/>
        <w:autoSpaceDE w:val="0"/>
        <w:autoSpaceDN w:val="0"/>
        <w:adjustRightInd w:val="0"/>
        <w:snapToGrid w:val="0"/>
      </w:pPr>
      <w:r w:rsidRPr="00FA6129">
        <w:rPr>
          <w:color w:val="000000"/>
        </w:rPr>
        <w:tab/>
      </w:r>
      <w:r w:rsidR="008607CE" w:rsidRPr="00FA6129">
        <w:rPr>
          <w:color w:val="000000"/>
        </w:rPr>
        <w:t xml:space="preserve"> The data collection procedures for this study have been successfully implemented in the </w:t>
      </w:r>
      <w:r w:rsidR="008607CE" w:rsidRPr="00FA6129">
        <w:t>REDS-II</w:t>
      </w:r>
      <w:r w:rsidR="00B37939">
        <w:t xml:space="preserve"> and REDS-III Brazil HIV studies.</w:t>
      </w:r>
      <w:r w:rsidR="008607CE" w:rsidRPr="00FA6129">
        <w:t xml:space="preserve">  There are no </w:t>
      </w:r>
      <w:r w:rsidR="004E4CE5" w:rsidRPr="00FA6129">
        <w:t>new procedures or methods planned for this study.</w:t>
      </w:r>
    </w:p>
    <w:p w14:paraId="22060690" w14:textId="77777777" w:rsidR="00135B05" w:rsidRPr="00FA6129" w:rsidRDefault="00135B05" w:rsidP="00135B05">
      <w:pPr>
        <w:pStyle w:val="E-mailSignature"/>
        <w:widowControl w:val="0"/>
        <w:adjustRightInd w:val="0"/>
        <w:snapToGrid w:val="0"/>
        <w:rPr>
          <w:b/>
          <w:sz w:val="20"/>
          <w:szCs w:val="20"/>
        </w:rPr>
      </w:pPr>
    </w:p>
    <w:p w14:paraId="5C368EAA" w14:textId="77777777" w:rsidR="00135B05" w:rsidRPr="00FA6129" w:rsidRDefault="00135B05" w:rsidP="00BB3E27">
      <w:pPr>
        <w:pStyle w:val="E-mailSignature"/>
        <w:widowControl w:val="0"/>
        <w:adjustRightInd w:val="0"/>
        <w:snapToGrid w:val="0"/>
        <w:ind w:left="720" w:hanging="720"/>
        <w:rPr>
          <w:b/>
        </w:rPr>
      </w:pPr>
      <w:r w:rsidRPr="00FA6129">
        <w:rPr>
          <w:b/>
        </w:rPr>
        <w:t>B.5.</w:t>
      </w:r>
      <w:r w:rsidR="00BB3E27" w:rsidRPr="00FA6129">
        <w:rPr>
          <w:b/>
        </w:rPr>
        <w:tab/>
      </w:r>
      <w:r w:rsidRPr="00FA6129">
        <w:rPr>
          <w:b/>
        </w:rPr>
        <w:t>Individuals Consulted on Statistical Aspects and Individuals Collecting and/or Analyzing Data</w:t>
      </w:r>
    </w:p>
    <w:p w14:paraId="340BED1F" w14:textId="77777777" w:rsidR="00135B05" w:rsidRPr="00FA6129" w:rsidRDefault="00135B05" w:rsidP="00135B05">
      <w:pPr>
        <w:pStyle w:val="E-mailSignature"/>
        <w:widowControl w:val="0"/>
        <w:adjustRightInd w:val="0"/>
        <w:snapToGrid w:val="0"/>
        <w:rPr>
          <w:b/>
          <w:sz w:val="20"/>
          <w:szCs w:val="20"/>
        </w:rPr>
      </w:pPr>
    </w:p>
    <w:p w14:paraId="48947E2D" w14:textId="77777777" w:rsidR="00135B05" w:rsidRPr="0073163E" w:rsidRDefault="00135B05" w:rsidP="005D039D">
      <w:pPr>
        <w:pStyle w:val="SL-FlLftSgl"/>
        <w:widowControl w:val="0"/>
        <w:adjustRightInd w:val="0"/>
        <w:snapToGrid w:val="0"/>
        <w:spacing w:line="240" w:lineRule="auto"/>
        <w:ind w:firstLine="720"/>
        <w:jc w:val="left"/>
        <w:rPr>
          <w:sz w:val="24"/>
          <w:szCs w:val="24"/>
        </w:rPr>
      </w:pPr>
      <w:r w:rsidRPr="00FA6129">
        <w:rPr>
          <w:color w:val="000000" w:themeColor="text1"/>
          <w:sz w:val="24"/>
          <w:szCs w:val="24"/>
        </w:rPr>
        <w:t>W</w:t>
      </w:r>
      <w:r w:rsidRPr="00FA6129">
        <w:rPr>
          <w:sz w:val="24"/>
          <w:szCs w:val="24"/>
        </w:rPr>
        <w:t xml:space="preserve">e have consulted </w:t>
      </w:r>
      <w:r w:rsidRPr="00FA6129">
        <w:rPr>
          <w:bCs/>
          <w:sz w:val="24"/>
          <w:szCs w:val="24"/>
        </w:rPr>
        <w:t>biostatisticians on statistical aspects of the study design</w:t>
      </w:r>
      <w:r w:rsidR="00412D8A" w:rsidRPr="00FA6129">
        <w:rPr>
          <w:bCs/>
          <w:sz w:val="24"/>
          <w:szCs w:val="24"/>
        </w:rPr>
        <w:t>;</w:t>
      </w:r>
      <w:r w:rsidRPr="00FA6129">
        <w:rPr>
          <w:bCs/>
          <w:sz w:val="24"/>
          <w:szCs w:val="24"/>
        </w:rPr>
        <w:t xml:space="preserve"> the blood center researchers responsible for enroll</w:t>
      </w:r>
      <w:r w:rsidRPr="00FA6129">
        <w:rPr>
          <w:sz w:val="24"/>
          <w:szCs w:val="24"/>
        </w:rPr>
        <w:t>ment, administering questionnaires</w:t>
      </w:r>
      <w:r w:rsidR="004E4CE5" w:rsidRPr="00FA6129">
        <w:rPr>
          <w:sz w:val="24"/>
          <w:szCs w:val="24"/>
        </w:rPr>
        <w:t>,</w:t>
      </w:r>
      <w:r w:rsidRPr="00FA6129">
        <w:rPr>
          <w:sz w:val="24"/>
          <w:szCs w:val="24"/>
        </w:rPr>
        <w:t xml:space="preserve"> and collection of samples</w:t>
      </w:r>
      <w:r w:rsidR="00412D8A" w:rsidRPr="00FA6129">
        <w:rPr>
          <w:sz w:val="24"/>
          <w:szCs w:val="24"/>
        </w:rPr>
        <w:t>;</w:t>
      </w:r>
      <w:r w:rsidRPr="00FA6129">
        <w:rPr>
          <w:sz w:val="24"/>
          <w:szCs w:val="24"/>
        </w:rPr>
        <w:t xml:space="preserve"> as well as</w:t>
      </w:r>
      <w:r w:rsidR="00412D8A" w:rsidRPr="00FA6129">
        <w:rPr>
          <w:sz w:val="24"/>
          <w:szCs w:val="24"/>
        </w:rPr>
        <w:t>,</w:t>
      </w:r>
      <w:r w:rsidRPr="00FA6129">
        <w:rPr>
          <w:sz w:val="24"/>
          <w:szCs w:val="24"/>
        </w:rPr>
        <w:t xml:space="preserve"> the C</w:t>
      </w:r>
      <w:r w:rsidR="00571F2C" w:rsidRPr="00FA6129">
        <w:rPr>
          <w:sz w:val="24"/>
          <w:szCs w:val="24"/>
        </w:rPr>
        <w:t xml:space="preserve">oordinating Center staff for protocol development, study monitoring, and data management. Data analysis will be performed by the </w:t>
      </w:r>
      <w:r w:rsidR="00BF1C86">
        <w:rPr>
          <w:sz w:val="24"/>
          <w:szCs w:val="24"/>
        </w:rPr>
        <w:t xml:space="preserve">Coordinating Center </w:t>
      </w:r>
      <w:r w:rsidR="00571F2C" w:rsidRPr="00FA6129">
        <w:rPr>
          <w:sz w:val="24"/>
          <w:szCs w:val="24"/>
        </w:rPr>
        <w:t>analytic staff</w:t>
      </w:r>
      <w:r w:rsidR="00412D8A" w:rsidRPr="00FA6129">
        <w:rPr>
          <w:sz w:val="24"/>
          <w:szCs w:val="24"/>
        </w:rPr>
        <w:t>, which includes epidemiologists and biostatisticians</w:t>
      </w:r>
      <w:r w:rsidR="00571F2C" w:rsidRPr="00FA6129">
        <w:rPr>
          <w:sz w:val="24"/>
          <w:szCs w:val="24"/>
        </w:rPr>
        <w:t xml:space="preserve"> with assistance and oversight provided by the REDS-III </w:t>
      </w:r>
      <w:r w:rsidR="005D039D">
        <w:rPr>
          <w:sz w:val="24"/>
          <w:szCs w:val="24"/>
        </w:rPr>
        <w:t>International Advisory</w:t>
      </w:r>
      <w:r w:rsidR="005D039D" w:rsidRPr="00FA6129">
        <w:rPr>
          <w:sz w:val="24"/>
          <w:szCs w:val="24"/>
        </w:rPr>
        <w:t xml:space="preserve"> </w:t>
      </w:r>
      <w:r w:rsidR="003A16CA" w:rsidRPr="00FA6129">
        <w:rPr>
          <w:sz w:val="24"/>
          <w:szCs w:val="24"/>
        </w:rPr>
        <w:t>Committee</w:t>
      </w:r>
      <w:r w:rsidR="005D039D">
        <w:rPr>
          <w:sz w:val="24"/>
          <w:szCs w:val="24"/>
        </w:rPr>
        <w:t xml:space="preserve"> (IAC)</w:t>
      </w:r>
      <w:r w:rsidR="003A16CA" w:rsidRPr="00FA6129">
        <w:rPr>
          <w:sz w:val="24"/>
          <w:szCs w:val="24"/>
        </w:rPr>
        <w:t xml:space="preserve"> (see </w:t>
      </w:r>
      <w:r w:rsidR="003A16CA" w:rsidRPr="006301EC">
        <w:rPr>
          <w:i/>
          <w:sz w:val="24"/>
          <w:szCs w:val="24"/>
        </w:rPr>
        <w:t xml:space="preserve">Attachment </w:t>
      </w:r>
      <w:r w:rsidR="00D03EF1" w:rsidRPr="006301EC">
        <w:rPr>
          <w:i/>
          <w:sz w:val="24"/>
          <w:szCs w:val="24"/>
        </w:rPr>
        <w:t>3.3</w:t>
      </w:r>
      <w:r w:rsidR="00571F2C" w:rsidRPr="00FA6129">
        <w:rPr>
          <w:sz w:val="24"/>
          <w:szCs w:val="24"/>
        </w:rPr>
        <w:t xml:space="preserve"> for a complete list of </w:t>
      </w:r>
      <w:r w:rsidR="005D039D">
        <w:rPr>
          <w:sz w:val="24"/>
          <w:szCs w:val="24"/>
        </w:rPr>
        <w:t>IAC</w:t>
      </w:r>
      <w:r w:rsidR="00571F2C" w:rsidRPr="00FA6129">
        <w:rPr>
          <w:sz w:val="24"/>
          <w:szCs w:val="24"/>
        </w:rPr>
        <w:t xml:space="preserve"> members). T</w:t>
      </w:r>
      <w:r w:rsidR="003A16CA" w:rsidRPr="00FA6129">
        <w:rPr>
          <w:sz w:val="24"/>
          <w:szCs w:val="24"/>
        </w:rPr>
        <w:t>he REDS-III OSMB (</w:t>
      </w:r>
      <w:r w:rsidR="00D03EF1" w:rsidRPr="006301EC">
        <w:rPr>
          <w:i/>
          <w:sz w:val="24"/>
          <w:szCs w:val="24"/>
        </w:rPr>
        <w:t>A</w:t>
      </w:r>
      <w:r w:rsidR="003A16CA" w:rsidRPr="006301EC">
        <w:rPr>
          <w:i/>
          <w:sz w:val="24"/>
          <w:szCs w:val="24"/>
        </w:rPr>
        <w:t xml:space="preserve">ttachment </w:t>
      </w:r>
      <w:r w:rsidR="00D03EF1" w:rsidRPr="006301EC">
        <w:rPr>
          <w:i/>
          <w:sz w:val="24"/>
          <w:szCs w:val="24"/>
        </w:rPr>
        <w:t>3.1</w:t>
      </w:r>
      <w:r w:rsidR="00571F2C" w:rsidRPr="00FA6129">
        <w:rPr>
          <w:sz w:val="24"/>
          <w:szCs w:val="24"/>
        </w:rPr>
        <w:t>) will monitor the study.</w:t>
      </w:r>
    </w:p>
    <w:sectPr w:rsidR="00135B05" w:rsidRPr="0073163E" w:rsidSect="00BB3E27">
      <w:footerReference w:type="default" r:id="rId10"/>
      <w:pgSz w:w="12240" w:h="15840"/>
      <w:pgMar w:top="1152" w:right="1152" w:bottom="1152" w:left="1152"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31EE6C" w15:done="0"/>
  <w15:commentEx w15:paraId="639483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79BD3" w14:textId="77777777" w:rsidR="00987430" w:rsidRDefault="00987430" w:rsidP="00D30809">
      <w:r>
        <w:separator/>
      </w:r>
    </w:p>
  </w:endnote>
  <w:endnote w:type="continuationSeparator" w:id="0">
    <w:p w14:paraId="59ED5365" w14:textId="77777777" w:rsidR="00987430" w:rsidRDefault="00987430" w:rsidP="00D3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39313"/>
      <w:docPartObj>
        <w:docPartGallery w:val="Page Numbers (Bottom of Page)"/>
        <w:docPartUnique/>
      </w:docPartObj>
    </w:sdtPr>
    <w:sdtEndPr/>
    <w:sdtContent>
      <w:p w14:paraId="2FE20103" w14:textId="77777777" w:rsidR="001942C3" w:rsidRDefault="00123BAE">
        <w:pPr>
          <w:pStyle w:val="Footer"/>
          <w:jc w:val="center"/>
        </w:pPr>
        <w:r>
          <w:fldChar w:fldCharType="begin"/>
        </w:r>
        <w:r>
          <w:instrText xml:space="preserve"> PAGE   \* MERGEFORMAT </w:instrText>
        </w:r>
        <w:r>
          <w:fldChar w:fldCharType="separate"/>
        </w:r>
        <w:r w:rsidR="00DC756C">
          <w:rPr>
            <w:noProof/>
          </w:rPr>
          <w:t>i</w:t>
        </w:r>
        <w:r>
          <w:rPr>
            <w:noProof/>
          </w:rPr>
          <w:fldChar w:fldCharType="end"/>
        </w:r>
      </w:p>
    </w:sdtContent>
  </w:sdt>
  <w:p w14:paraId="0C4D9BC5" w14:textId="77777777" w:rsidR="001942C3" w:rsidRDefault="00194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39314"/>
      <w:docPartObj>
        <w:docPartGallery w:val="Page Numbers (Bottom of Page)"/>
        <w:docPartUnique/>
      </w:docPartObj>
    </w:sdtPr>
    <w:sdtEndPr/>
    <w:sdtContent>
      <w:p w14:paraId="59D98168" w14:textId="77777777" w:rsidR="001942C3" w:rsidRDefault="00123BAE">
        <w:pPr>
          <w:pStyle w:val="Footer"/>
          <w:jc w:val="center"/>
        </w:pPr>
        <w:r>
          <w:fldChar w:fldCharType="begin"/>
        </w:r>
        <w:r>
          <w:instrText xml:space="preserve"> PAGE   \* MERGEFORMAT </w:instrText>
        </w:r>
        <w:r>
          <w:fldChar w:fldCharType="separate"/>
        </w:r>
        <w:r w:rsidR="004B5045">
          <w:rPr>
            <w:noProof/>
          </w:rPr>
          <w:t>7</w:t>
        </w:r>
        <w:r>
          <w:rPr>
            <w:noProof/>
          </w:rPr>
          <w:fldChar w:fldCharType="end"/>
        </w:r>
      </w:p>
    </w:sdtContent>
  </w:sdt>
  <w:p w14:paraId="084646EE" w14:textId="77777777" w:rsidR="001942C3" w:rsidRPr="004649FB" w:rsidRDefault="001942C3" w:rsidP="00464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48946" w14:textId="77777777" w:rsidR="00987430" w:rsidRDefault="00987430" w:rsidP="00D30809">
      <w:r>
        <w:separator/>
      </w:r>
    </w:p>
  </w:footnote>
  <w:footnote w:type="continuationSeparator" w:id="0">
    <w:p w14:paraId="5E1F369F" w14:textId="77777777" w:rsidR="00987430" w:rsidRDefault="00987430" w:rsidP="00D30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150C0"/>
    <w:multiLevelType w:val="hybridMultilevel"/>
    <w:tmpl w:val="4C26A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19C7196"/>
    <w:multiLevelType w:val="hybridMultilevel"/>
    <w:tmpl w:val="CA024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3910AE"/>
    <w:multiLevelType w:val="hybridMultilevel"/>
    <w:tmpl w:val="76D07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F1634A"/>
    <w:multiLevelType w:val="hybridMultilevel"/>
    <w:tmpl w:val="3D868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1D375E"/>
    <w:multiLevelType w:val="hybridMultilevel"/>
    <w:tmpl w:val="DD2ED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Marian">
    <w15:presenceInfo w15:providerId="AD" w15:userId="S-1-5-21-1990553244-1393567103-1404061026-23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B05"/>
    <w:rsid w:val="00007246"/>
    <w:rsid w:val="000145C8"/>
    <w:rsid w:val="0002757B"/>
    <w:rsid w:val="00057969"/>
    <w:rsid w:val="000771B9"/>
    <w:rsid w:val="00080F3E"/>
    <w:rsid w:val="000D7605"/>
    <w:rsid w:val="000F5AFE"/>
    <w:rsid w:val="001149B9"/>
    <w:rsid w:val="00117AAC"/>
    <w:rsid w:val="00120E57"/>
    <w:rsid w:val="00123BAE"/>
    <w:rsid w:val="00124BCE"/>
    <w:rsid w:val="00126BE7"/>
    <w:rsid w:val="00135B05"/>
    <w:rsid w:val="0014636B"/>
    <w:rsid w:val="00152A07"/>
    <w:rsid w:val="001633CC"/>
    <w:rsid w:val="001816F3"/>
    <w:rsid w:val="00182D79"/>
    <w:rsid w:val="001942C3"/>
    <w:rsid w:val="001C588F"/>
    <w:rsid w:val="001E5085"/>
    <w:rsid w:val="001E6484"/>
    <w:rsid w:val="00205583"/>
    <w:rsid w:val="0021604B"/>
    <w:rsid w:val="0022585F"/>
    <w:rsid w:val="00227029"/>
    <w:rsid w:val="00233BA0"/>
    <w:rsid w:val="00244C94"/>
    <w:rsid w:val="002473D6"/>
    <w:rsid w:val="002611EB"/>
    <w:rsid w:val="002953C4"/>
    <w:rsid w:val="002A2365"/>
    <w:rsid w:val="002F1372"/>
    <w:rsid w:val="002F6333"/>
    <w:rsid w:val="003373C9"/>
    <w:rsid w:val="003576FF"/>
    <w:rsid w:val="003903C3"/>
    <w:rsid w:val="00395905"/>
    <w:rsid w:val="0039617E"/>
    <w:rsid w:val="003A16CA"/>
    <w:rsid w:val="003A7A19"/>
    <w:rsid w:val="003B4AFD"/>
    <w:rsid w:val="003C18DB"/>
    <w:rsid w:val="003F6C49"/>
    <w:rsid w:val="00412D8A"/>
    <w:rsid w:val="00422455"/>
    <w:rsid w:val="00423DE8"/>
    <w:rsid w:val="00431D75"/>
    <w:rsid w:val="004403C0"/>
    <w:rsid w:val="00461A14"/>
    <w:rsid w:val="004649FB"/>
    <w:rsid w:val="00474020"/>
    <w:rsid w:val="00483DB1"/>
    <w:rsid w:val="004A2875"/>
    <w:rsid w:val="004A69C1"/>
    <w:rsid w:val="004B5045"/>
    <w:rsid w:val="004C660A"/>
    <w:rsid w:val="004D4B82"/>
    <w:rsid w:val="004E0082"/>
    <w:rsid w:val="004E4CE5"/>
    <w:rsid w:val="004F36E5"/>
    <w:rsid w:val="004F611D"/>
    <w:rsid w:val="00504594"/>
    <w:rsid w:val="00532748"/>
    <w:rsid w:val="005450C5"/>
    <w:rsid w:val="00546EC0"/>
    <w:rsid w:val="00550251"/>
    <w:rsid w:val="0055505F"/>
    <w:rsid w:val="005556CA"/>
    <w:rsid w:val="005647BE"/>
    <w:rsid w:val="005717D0"/>
    <w:rsid w:val="00571F2C"/>
    <w:rsid w:val="00572059"/>
    <w:rsid w:val="0058417C"/>
    <w:rsid w:val="005A53BE"/>
    <w:rsid w:val="005B0486"/>
    <w:rsid w:val="005C1444"/>
    <w:rsid w:val="005D039D"/>
    <w:rsid w:val="005E5C2F"/>
    <w:rsid w:val="00600122"/>
    <w:rsid w:val="006005FA"/>
    <w:rsid w:val="0060413D"/>
    <w:rsid w:val="006105EF"/>
    <w:rsid w:val="0061157D"/>
    <w:rsid w:val="00614EA0"/>
    <w:rsid w:val="00624507"/>
    <w:rsid w:val="006276CE"/>
    <w:rsid w:val="006301EC"/>
    <w:rsid w:val="00636127"/>
    <w:rsid w:val="00657B39"/>
    <w:rsid w:val="00657CE7"/>
    <w:rsid w:val="00662693"/>
    <w:rsid w:val="00663FEE"/>
    <w:rsid w:val="00675738"/>
    <w:rsid w:val="00681A3B"/>
    <w:rsid w:val="00681D9F"/>
    <w:rsid w:val="006B2F8E"/>
    <w:rsid w:val="006C740C"/>
    <w:rsid w:val="006D0F23"/>
    <w:rsid w:val="006E0902"/>
    <w:rsid w:val="00707F95"/>
    <w:rsid w:val="0072036C"/>
    <w:rsid w:val="0073163E"/>
    <w:rsid w:val="00734525"/>
    <w:rsid w:val="007508B6"/>
    <w:rsid w:val="0075182D"/>
    <w:rsid w:val="00752EA2"/>
    <w:rsid w:val="00761A5A"/>
    <w:rsid w:val="00771E9D"/>
    <w:rsid w:val="00797E81"/>
    <w:rsid w:val="007B0FC0"/>
    <w:rsid w:val="007D4110"/>
    <w:rsid w:val="007E4634"/>
    <w:rsid w:val="007F05DE"/>
    <w:rsid w:val="007F0A40"/>
    <w:rsid w:val="00810A66"/>
    <w:rsid w:val="00811FE6"/>
    <w:rsid w:val="00825862"/>
    <w:rsid w:val="0082737D"/>
    <w:rsid w:val="0083626D"/>
    <w:rsid w:val="00841F18"/>
    <w:rsid w:val="00851EAC"/>
    <w:rsid w:val="00855E3D"/>
    <w:rsid w:val="008607CE"/>
    <w:rsid w:val="00861B8D"/>
    <w:rsid w:val="00892882"/>
    <w:rsid w:val="008A6FE4"/>
    <w:rsid w:val="008C50D6"/>
    <w:rsid w:val="008C7451"/>
    <w:rsid w:val="008D05AB"/>
    <w:rsid w:val="008D5881"/>
    <w:rsid w:val="008F2C49"/>
    <w:rsid w:val="009013AE"/>
    <w:rsid w:val="00933D04"/>
    <w:rsid w:val="00954A04"/>
    <w:rsid w:val="009579F4"/>
    <w:rsid w:val="009612E6"/>
    <w:rsid w:val="00961CD9"/>
    <w:rsid w:val="0096767C"/>
    <w:rsid w:val="0098291D"/>
    <w:rsid w:val="00987430"/>
    <w:rsid w:val="009A610B"/>
    <w:rsid w:val="009B3053"/>
    <w:rsid w:val="009B5196"/>
    <w:rsid w:val="009B59A6"/>
    <w:rsid w:val="009C13FC"/>
    <w:rsid w:val="009C24EB"/>
    <w:rsid w:val="009C2A76"/>
    <w:rsid w:val="009D5AA8"/>
    <w:rsid w:val="009E17FF"/>
    <w:rsid w:val="009E1975"/>
    <w:rsid w:val="009E27DA"/>
    <w:rsid w:val="009E3DB3"/>
    <w:rsid w:val="009E4D8D"/>
    <w:rsid w:val="00A01D29"/>
    <w:rsid w:val="00A403D0"/>
    <w:rsid w:val="00A54C6E"/>
    <w:rsid w:val="00A57F33"/>
    <w:rsid w:val="00A87A33"/>
    <w:rsid w:val="00A96132"/>
    <w:rsid w:val="00AA4018"/>
    <w:rsid w:val="00AC710B"/>
    <w:rsid w:val="00AD37E5"/>
    <w:rsid w:val="00AF5895"/>
    <w:rsid w:val="00B04248"/>
    <w:rsid w:val="00B26936"/>
    <w:rsid w:val="00B37939"/>
    <w:rsid w:val="00B402B6"/>
    <w:rsid w:val="00B53780"/>
    <w:rsid w:val="00B66D3A"/>
    <w:rsid w:val="00B7296F"/>
    <w:rsid w:val="00B77B85"/>
    <w:rsid w:val="00B9027E"/>
    <w:rsid w:val="00B9535C"/>
    <w:rsid w:val="00BA3647"/>
    <w:rsid w:val="00BB1F91"/>
    <w:rsid w:val="00BB3E27"/>
    <w:rsid w:val="00BD6EB4"/>
    <w:rsid w:val="00BF1C86"/>
    <w:rsid w:val="00C11686"/>
    <w:rsid w:val="00C11BFE"/>
    <w:rsid w:val="00C14E94"/>
    <w:rsid w:val="00C2086F"/>
    <w:rsid w:val="00C21D44"/>
    <w:rsid w:val="00C3006F"/>
    <w:rsid w:val="00C42EFD"/>
    <w:rsid w:val="00C5137B"/>
    <w:rsid w:val="00C755A5"/>
    <w:rsid w:val="00C8388D"/>
    <w:rsid w:val="00C86927"/>
    <w:rsid w:val="00CA7F18"/>
    <w:rsid w:val="00CB26E9"/>
    <w:rsid w:val="00CB35AA"/>
    <w:rsid w:val="00CB4A50"/>
    <w:rsid w:val="00CB61EC"/>
    <w:rsid w:val="00CF43C6"/>
    <w:rsid w:val="00D03EF1"/>
    <w:rsid w:val="00D14E3F"/>
    <w:rsid w:val="00D1756B"/>
    <w:rsid w:val="00D26E4E"/>
    <w:rsid w:val="00D30809"/>
    <w:rsid w:val="00D445AC"/>
    <w:rsid w:val="00D479D8"/>
    <w:rsid w:val="00D562A4"/>
    <w:rsid w:val="00D62582"/>
    <w:rsid w:val="00D6344A"/>
    <w:rsid w:val="00D6523A"/>
    <w:rsid w:val="00D65D06"/>
    <w:rsid w:val="00D77402"/>
    <w:rsid w:val="00D775DF"/>
    <w:rsid w:val="00DC3DDB"/>
    <w:rsid w:val="00DC756C"/>
    <w:rsid w:val="00E078CA"/>
    <w:rsid w:val="00E34569"/>
    <w:rsid w:val="00E347E3"/>
    <w:rsid w:val="00E73FB3"/>
    <w:rsid w:val="00E76279"/>
    <w:rsid w:val="00E807D3"/>
    <w:rsid w:val="00E942E8"/>
    <w:rsid w:val="00EA3E11"/>
    <w:rsid w:val="00EB350D"/>
    <w:rsid w:val="00EB4745"/>
    <w:rsid w:val="00ED1BA5"/>
    <w:rsid w:val="00ED55CA"/>
    <w:rsid w:val="00ED6981"/>
    <w:rsid w:val="00EF49B4"/>
    <w:rsid w:val="00F02E52"/>
    <w:rsid w:val="00F10027"/>
    <w:rsid w:val="00F10FE0"/>
    <w:rsid w:val="00F40D57"/>
    <w:rsid w:val="00F50925"/>
    <w:rsid w:val="00F64CE8"/>
    <w:rsid w:val="00F72C6D"/>
    <w:rsid w:val="00F73E81"/>
    <w:rsid w:val="00F75925"/>
    <w:rsid w:val="00F856F7"/>
    <w:rsid w:val="00F93622"/>
    <w:rsid w:val="00FA6129"/>
    <w:rsid w:val="00FA74A1"/>
    <w:rsid w:val="00FB2F84"/>
    <w:rsid w:val="00FB6D9E"/>
    <w:rsid w:val="00FC35A6"/>
    <w:rsid w:val="00FC54AF"/>
    <w:rsid w:val="00FD143E"/>
    <w:rsid w:val="00FF6B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C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0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A61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135B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35B05"/>
    <w:rPr>
      <w:rFonts w:ascii="Arial" w:eastAsia="Times New Roman" w:hAnsi="Arial" w:cs="Arial"/>
      <w:b/>
      <w:bCs/>
      <w:sz w:val="26"/>
      <w:szCs w:val="26"/>
    </w:rPr>
  </w:style>
  <w:style w:type="paragraph" w:styleId="E-mailSignature">
    <w:name w:val="E-mail Signature"/>
    <w:basedOn w:val="Normal"/>
    <w:link w:val="E-mailSignatureChar"/>
    <w:uiPriority w:val="99"/>
    <w:rsid w:val="00135B05"/>
  </w:style>
  <w:style w:type="character" w:customStyle="1" w:styleId="E-mailSignatureChar">
    <w:name w:val="E-mail Signature Char"/>
    <w:basedOn w:val="DefaultParagraphFont"/>
    <w:link w:val="E-mailSignature"/>
    <w:uiPriority w:val="99"/>
    <w:rsid w:val="00135B05"/>
    <w:rPr>
      <w:rFonts w:ascii="Times New Roman" w:eastAsia="Times New Roman" w:hAnsi="Times New Roman" w:cs="Times New Roman"/>
      <w:sz w:val="24"/>
      <w:szCs w:val="24"/>
    </w:rPr>
  </w:style>
  <w:style w:type="paragraph" w:customStyle="1" w:styleId="SL-FlLftSgl">
    <w:name w:val="SL-Fl Lft Sgl"/>
    <w:uiPriority w:val="99"/>
    <w:rsid w:val="00135B05"/>
    <w:pPr>
      <w:spacing w:line="240" w:lineRule="atLeast"/>
      <w:jc w:val="both"/>
    </w:pPr>
    <w:rPr>
      <w:rFonts w:ascii="Times New Roman" w:eastAsia="Times New Roman" w:hAnsi="Times New Roman" w:cs="Times New Roman"/>
      <w:szCs w:val="20"/>
    </w:rPr>
  </w:style>
  <w:style w:type="paragraph" w:styleId="Date">
    <w:name w:val="Date"/>
    <w:basedOn w:val="Normal"/>
    <w:next w:val="Normal"/>
    <w:link w:val="DateChar"/>
    <w:uiPriority w:val="99"/>
    <w:rsid w:val="00135B05"/>
  </w:style>
  <w:style w:type="character" w:customStyle="1" w:styleId="DateChar">
    <w:name w:val="Date Char"/>
    <w:basedOn w:val="DefaultParagraphFont"/>
    <w:link w:val="Date"/>
    <w:uiPriority w:val="99"/>
    <w:rsid w:val="00135B05"/>
    <w:rPr>
      <w:rFonts w:ascii="Times New Roman" w:eastAsia="Times New Roman" w:hAnsi="Times New Roman" w:cs="Times New Roman"/>
      <w:sz w:val="24"/>
      <w:szCs w:val="24"/>
    </w:rPr>
  </w:style>
  <w:style w:type="paragraph" w:styleId="Header">
    <w:name w:val="header"/>
    <w:basedOn w:val="Normal"/>
    <w:link w:val="HeaderChar"/>
    <w:uiPriority w:val="99"/>
    <w:rsid w:val="00135B05"/>
    <w:pPr>
      <w:tabs>
        <w:tab w:val="center" w:pos="4320"/>
        <w:tab w:val="right" w:pos="8640"/>
      </w:tabs>
    </w:pPr>
  </w:style>
  <w:style w:type="character" w:customStyle="1" w:styleId="HeaderChar">
    <w:name w:val="Header Char"/>
    <w:basedOn w:val="DefaultParagraphFont"/>
    <w:link w:val="Header"/>
    <w:uiPriority w:val="99"/>
    <w:rsid w:val="00135B05"/>
    <w:rPr>
      <w:rFonts w:ascii="Times New Roman" w:eastAsia="Times New Roman" w:hAnsi="Times New Roman" w:cs="Times New Roman"/>
      <w:sz w:val="24"/>
      <w:szCs w:val="24"/>
    </w:rPr>
  </w:style>
  <w:style w:type="paragraph" w:styleId="Footer">
    <w:name w:val="footer"/>
    <w:basedOn w:val="Normal"/>
    <w:link w:val="FooterChar"/>
    <w:uiPriority w:val="99"/>
    <w:rsid w:val="00135B05"/>
    <w:pPr>
      <w:tabs>
        <w:tab w:val="center" w:pos="4320"/>
        <w:tab w:val="right" w:pos="8640"/>
      </w:tabs>
    </w:pPr>
  </w:style>
  <w:style w:type="character" w:customStyle="1" w:styleId="FooterChar">
    <w:name w:val="Footer Char"/>
    <w:basedOn w:val="DefaultParagraphFont"/>
    <w:link w:val="Footer"/>
    <w:uiPriority w:val="99"/>
    <w:rsid w:val="00135B05"/>
    <w:rPr>
      <w:rFonts w:ascii="Times New Roman" w:eastAsia="Times New Roman" w:hAnsi="Times New Roman" w:cs="Times New Roman"/>
      <w:sz w:val="24"/>
      <w:szCs w:val="24"/>
    </w:rPr>
  </w:style>
  <w:style w:type="character" w:styleId="PageNumber">
    <w:name w:val="page number"/>
    <w:basedOn w:val="DefaultParagraphFont"/>
    <w:uiPriority w:val="99"/>
    <w:rsid w:val="00135B05"/>
    <w:rPr>
      <w:rFonts w:cs="Times New Roman"/>
    </w:rPr>
  </w:style>
  <w:style w:type="character" w:styleId="CommentReference">
    <w:name w:val="annotation reference"/>
    <w:basedOn w:val="DefaultParagraphFont"/>
    <w:uiPriority w:val="99"/>
    <w:semiHidden/>
    <w:rsid w:val="00135B05"/>
    <w:rPr>
      <w:rFonts w:cs="Times New Roman"/>
      <w:sz w:val="16"/>
      <w:szCs w:val="16"/>
    </w:rPr>
  </w:style>
  <w:style w:type="paragraph" w:styleId="CommentText">
    <w:name w:val="annotation text"/>
    <w:basedOn w:val="Normal"/>
    <w:link w:val="CommentTextChar"/>
    <w:uiPriority w:val="99"/>
    <w:semiHidden/>
    <w:rsid w:val="00135B05"/>
    <w:rPr>
      <w:sz w:val="20"/>
      <w:szCs w:val="20"/>
    </w:rPr>
  </w:style>
  <w:style w:type="character" w:customStyle="1" w:styleId="CommentTextChar">
    <w:name w:val="Comment Text Char"/>
    <w:basedOn w:val="DefaultParagraphFont"/>
    <w:link w:val="CommentText"/>
    <w:uiPriority w:val="99"/>
    <w:semiHidden/>
    <w:rsid w:val="00135B05"/>
    <w:rPr>
      <w:rFonts w:ascii="Times New Roman" w:eastAsia="Times New Roman" w:hAnsi="Times New Roman" w:cs="Times New Roman"/>
      <w:sz w:val="20"/>
      <w:szCs w:val="20"/>
    </w:rPr>
  </w:style>
  <w:style w:type="paragraph" w:styleId="ListParagraph">
    <w:name w:val="List Paragraph"/>
    <w:basedOn w:val="Normal"/>
    <w:uiPriority w:val="34"/>
    <w:qFormat/>
    <w:rsid w:val="00135B05"/>
    <w:pPr>
      <w:ind w:left="720"/>
      <w:contextualSpacing/>
    </w:pPr>
  </w:style>
  <w:style w:type="paragraph" w:styleId="BalloonText">
    <w:name w:val="Balloon Text"/>
    <w:basedOn w:val="Normal"/>
    <w:link w:val="BalloonTextChar"/>
    <w:uiPriority w:val="99"/>
    <w:semiHidden/>
    <w:unhideWhenUsed/>
    <w:rsid w:val="00135B05"/>
    <w:rPr>
      <w:rFonts w:ascii="Tahoma" w:hAnsi="Tahoma" w:cs="Tahoma"/>
      <w:sz w:val="16"/>
      <w:szCs w:val="16"/>
    </w:rPr>
  </w:style>
  <w:style w:type="character" w:customStyle="1" w:styleId="BalloonTextChar">
    <w:name w:val="Balloon Text Char"/>
    <w:basedOn w:val="DefaultParagraphFont"/>
    <w:link w:val="BalloonText"/>
    <w:uiPriority w:val="99"/>
    <w:semiHidden/>
    <w:rsid w:val="00135B05"/>
    <w:rPr>
      <w:rFonts w:ascii="Tahoma" w:eastAsia="Times New Roman" w:hAnsi="Tahoma" w:cs="Tahoma"/>
      <w:sz w:val="16"/>
      <w:szCs w:val="16"/>
    </w:rPr>
  </w:style>
  <w:style w:type="character" w:styleId="Hyperlink">
    <w:name w:val="Hyperlink"/>
    <w:basedOn w:val="DefaultParagraphFont"/>
    <w:uiPriority w:val="99"/>
    <w:rsid w:val="00C14E94"/>
    <w:rPr>
      <w:rFonts w:cs="Times New Roman"/>
      <w:color w:val="0000FF"/>
      <w:u w:val="single"/>
    </w:rPr>
  </w:style>
  <w:style w:type="paragraph" w:styleId="TOC4">
    <w:name w:val="toc 4"/>
    <w:basedOn w:val="Normal"/>
    <w:next w:val="Normal"/>
    <w:autoRedefine/>
    <w:uiPriority w:val="99"/>
    <w:semiHidden/>
    <w:rsid w:val="00C14E94"/>
    <w:pPr>
      <w:tabs>
        <w:tab w:val="left" w:pos="1440"/>
        <w:tab w:val="right" w:leader="dot" w:pos="8630"/>
      </w:tabs>
      <w:spacing w:line="360" w:lineRule="auto"/>
      <w:ind w:left="1080" w:hanging="1080"/>
    </w:pPr>
    <w:rPr>
      <w:noProof/>
      <w:sz w:val="22"/>
      <w:szCs w:val="22"/>
    </w:rPr>
  </w:style>
  <w:style w:type="paragraph" w:styleId="TOC3">
    <w:name w:val="toc 3"/>
    <w:basedOn w:val="Normal"/>
    <w:next w:val="Normal"/>
    <w:autoRedefine/>
    <w:uiPriority w:val="99"/>
    <w:semiHidden/>
    <w:rsid w:val="00C14E94"/>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C14E94"/>
    <w:pPr>
      <w:tabs>
        <w:tab w:val="right" w:leader="dot" w:pos="8630"/>
      </w:tabs>
      <w:spacing w:line="360" w:lineRule="auto"/>
      <w:ind w:left="1980" w:hanging="720"/>
    </w:pPr>
  </w:style>
  <w:style w:type="character" w:styleId="FollowedHyperlink">
    <w:name w:val="FollowedHyperlink"/>
    <w:basedOn w:val="DefaultParagraphFont"/>
    <w:uiPriority w:val="99"/>
    <w:semiHidden/>
    <w:unhideWhenUsed/>
    <w:rsid w:val="00C14E9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E27DA"/>
    <w:rPr>
      <w:b/>
      <w:bCs/>
    </w:rPr>
  </w:style>
  <w:style w:type="character" w:customStyle="1" w:styleId="CommentSubjectChar">
    <w:name w:val="Comment Subject Char"/>
    <w:basedOn w:val="CommentTextChar"/>
    <w:link w:val="CommentSubject"/>
    <w:uiPriority w:val="99"/>
    <w:semiHidden/>
    <w:rsid w:val="009E27DA"/>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A610B"/>
    <w:rPr>
      <w:rFonts w:ascii="Consolas" w:eastAsia="Calibri" w:hAnsi="Consolas"/>
      <w:sz w:val="21"/>
      <w:szCs w:val="21"/>
    </w:rPr>
  </w:style>
  <w:style w:type="character" w:customStyle="1" w:styleId="PlainTextChar">
    <w:name w:val="Plain Text Char"/>
    <w:basedOn w:val="DefaultParagraphFont"/>
    <w:link w:val="PlainText"/>
    <w:uiPriority w:val="99"/>
    <w:rsid w:val="009A610B"/>
    <w:rPr>
      <w:rFonts w:ascii="Consolas" w:eastAsia="Calibri" w:hAnsi="Consolas" w:cs="Times New Roman"/>
      <w:sz w:val="21"/>
      <w:szCs w:val="21"/>
    </w:rPr>
  </w:style>
  <w:style w:type="paragraph" w:styleId="BodyText">
    <w:name w:val="Body Text"/>
    <w:basedOn w:val="Normal"/>
    <w:link w:val="BodyTextChar"/>
    <w:uiPriority w:val="99"/>
    <w:rsid w:val="009A610B"/>
    <w:rPr>
      <w:rFonts w:eastAsia="Calibri"/>
      <w:b/>
      <w:szCs w:val="20"/>
    </w:rPr>
  </w:style>
  <w:style w:type="character" w:customStyle="1" w:styleId="BodyTextChar">
    <w:name w:val="Body Text Char"/>
    <w:basedOn w:val="DefaultParagraphFont"/>
    <w:link w:val="BodyText"/>
    <w:uiPriority w:val="99"/>
    <w:rsid w:val="009A610B"/>
    <w:rPr>
      <w:rFonts w:ascii="Times New Roman" w:eastAsia="Calibri" w:hAnsi="Times New Roman" w:cs="Times New Roman"/>
      <w:b/>
      <w:sz w:val="24"/>
      <w:szCs w:val="20"/>
    </w:rPr>
  </w:style>
  <w:style w:type="table" w:styleId="TableGrid">
    <w:name w:val="Table Grid"/>
    <w:basedOn w:val="TableNormal"/>
    <w:uiPriority w:val="59"/>
    <w:rsid w:val="009A61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610B"/>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9A610B"/>
    <w:pPr>
      <w:spacing w:after="120" w:line="480" w:lineRule="auto"/>
    </w:pPr>
  </w:style>
  <w:style w:type="character" w:customStyle="1" w:styleId="BodyText2Char">
    <w:name w:val="Body Text 2 Char"/>
    <w:basedOn w:val="DefaultParagraphFont"/>
    <w:link w:val="BodyText2"/>
    <w:uiPriority w:val="99"/>
    <w:semiHidden/>
    <w:rsid w:val="009A610B"/>
    <w:rPr>
      <w:rFonts w:ascii="Times New Roman" w:eastAsia="Times New Roman" w:hAnsi="Times New Roman" w:cs="Times New Roman"/>
      <w:sz w:val="24"/>
      <w:szCs w:val="24"/>
    </w:rPr>
  </w:style>
  <w:style w:type="paragraph" w:styleId="Revision">
    <w:name w:val="Revision"/>
    <w:hidden/>
    <w:uiPriority w:val="99"/>
    <w:semiHidden/>
    <w:rsid w:val="00707F9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0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A61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135B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35B05"/>
    <w:rPr>
      <w:rFonts w:ascii="Arial" w:eastAsia="Times New Roman" w:hAnsi="Arial" w:cs="Arial"/>
      <w:b/>
      <w:bCs/>
      <w:sz w:val="26"/>
      <w:szCs w:val="26"/>
    </w:rPr>
  </w:style>
  <w:style w:type="paragraph" w:styleId="E-mailSignature">
    <w:name w:val="E-mail Signature"/>
    <w:basedOn w:val="Normal"/>
    <w:link w:val="E-mailSignatureChar"/>
    <w:uiPriority w:val="99"/>
    <w:rsid w:val="00135B05"/>
  </w:style>
  <w:style w:type="character" w:customStyle="1" w:styleId="E-mailSignatureChar">
    <w:name w:val="E-mail Signature Char"/>
    <w:basedOn w:val="DefaultParagraphFont"/>
    <w:link w:val="E-mailSignature"/>
    <w:uiPriority w:val="99"/>
    <w:rsid w:val="00135B05"/>
    <w:rPr>
      <w:rFonts w:ascii="Times New Roman" w:eastAsia="Times New Roman" w:hAnsi="Times New Roman" w:cs="Times New Roman"/>
      <w:sz w:val="24"/>
      <w:szCs w:val="24"/>
    </w:rPr>
  </w:style>
  <w:style w:type="paragraph" w:customStyle="1" w:styleId="SL-FlLftSgl">
    <w:name w:val="SL-Fl Lft Sgl"/>
    <w:uiPriority w:val="99"/>
    <w:rsid w:val="00135B05"/>
    <w:pPr>
      <w:spacing w:line="240" w:lineRule="atLeast"/>
      <w:jc w:val="both"/>
    </w:pPr>
    <w:rPr>
      <w:rFonts w:ascii="Times New Roman" w:eastAsia="Times New Roman" w:hAnsi="Times New Roman" w:cs="Times New Roman"/>
      <w:szCs w:val="20"/>
    </w:rPr>
  </w:style>
  <w:style w:type="paragraph" w:styleId="Date">
    <w:name w:val="Date"/>
    <w:basedOn w:val="Normal"/>
    <w:next w:val="Normal"/>
    <w:link w:val="DateChar"/>
    <w:uiPriority w:val="99"/>
    <w:rsid w:val="00135B05"/>
  </w:style>
  <w:style w:type="character" w:customStyle="1" w:styleId="DateChar">
    <w:name w:val="Date Char"/>
    <w:basedOn w:val="DefaultParagraphFont"/>
    <w:link w:val="Date"/>
    <w:uiPriority w:val="99"/>
    <w:rsid w:val="00135B05"/>
    <w:rPr>
      <w:rFonts w:ascii="Times New Roman" w:eastAsia="Times New Roman" w:hAnsi="Times New Roman" w:cs="Times New Roman"/>
      <w:sz w:val="24"/>
      <w:szCs w:val="24"/>
    </w:rPr>
  </w:style>
  <w:style w:type="paragraph" w:styleId="Header">
    <w:name w:val="header"/>
    <w:basedOn w:val="Normal"/>
    <w:link w:val="HeaderChar"/>
    <w:uiPriority w:val="99"/>
    <w:rsid w:val="00135B05"/>
    <w:pPr>
      <w:tabs>
        <w:tab w:val="center" w:pos="4320"/>
        <w:tab w:val="right" w:pos="8640"/>
      </w:tabs>
    </w:pPr>
  </w:style>
  <w:style w:type="character" w:customStyle="1" w:styleId="HeaderChar">
    <w:name w:val="Header Char"/>
    <w:basedOn w:val="DefaultParagraphFont"/>
    <w:link w:val="Header"/>
    <w:uiPriority w:val="99"/>
    <w:rsid w:val="00135B05"/>
    <w:rPr>
      <w:rFonts w:ascii="Times New Roman" w:eastAsia="Times New Roman" w:hAnsi="Times New Roman" w:cs="Times New Roman"/>
      <w:sz w:val="24"/>
      <w:szCs w:val="24"/>
    </w:rPr>
  </w:style>
  <w:style w:type="paragraph" w:styleId="Footer">
    <w:name w:val="footer"/>
    <w:basedOn w:val="Normal"/>
    <w:link w:val="FooterChar"/>
    <w:uiPriority w:val="99"/>
    <w:rsid w:val="00135B05"/>
    <w:pPr>
      <w:tabs>
        <w:tab w:val="center" w:pos="4320"/>
        <w:tab w:val="right" w:pos="8640"/>
      </w:tabs>
    </w:pPr>
  </w:style>
  <w:style w:type="character" w:customStyle="1" w:styleId="FooterChar">
    <w:name w:val="Footer Char"/>
    <w:basedOn w:val="DefaultParagraphFont"/>
    <w:link w:val="Footer"/>
    <w:uiPriority w:val="99"/>
    <w:rsid w:val="00135B05"/>
    <w:rPr>
      <w:rFonts w:ascii="Times New Roman" w:eastAsia="Times New Roman" w:hAnsi="Times New Roman" w:cs="Times New Roman"/>
      <w:sz w:val="24"/>
      <w:szCs w:val="24"/>
    </w:rPr>
  </w:style>
  <w:style w:type="character" w:styleId="PageNumber">
    <w:name w:val="page number"/>
    <w:basedOn w:val="DefaultParagraphFont"/>
    <w:uiPriority w:val="99"/>
    <w:rsid w:val="00135B05"/>
    <w:rPr>
      <w:rFonts w:cs="Times New Roman"/>
    </w:rPr>
  </w:style>
  <w:style w:type="character" w:styleId="CommentReference">
    <w:name w:val="annotation reference"/>
    <w:basedOn w:val="DefaultParagraphFont"/>
    <w:uiPriority w:val="99"/>
    <w:semiHidden/>
    <w:rsid w:val="00135B05"/>
    <w:rPr>
      <w:rFonts w:cs="Times New Roman"/>
      <w:sz w:val="16"/>
      <w:szCs w:val="16"/>
    </w:rPr>
  </w:style>
  <w:style w:type="paragraph" w:styleId="CommentText">
    <w:name w:val="annotation text"/>
    <w:basedOn w:val="Normal"/>
    <w:link w:val="CommentTextChar"/>
    <w:uiPriority w:val="99"/>
    <w:semiHidden/>
    <w:rsid w:val="00135B05"/>
    <w:rPr>
      <w:sz w:val="20"/>
      <w:szCs w:val="20"/>
    </w:rPr>
  </w:style>
  <w:style w:type="character" w:customStyle="1" w:styleId="CommentTextChar">
    <w:name w:val="Comment Text Char"/>
    <w:basedOn w:val="DefaultParagraphFont"/>
    <w:link w:val="CommentText"/>
    <w:uiPriority w:val="99"/>
    <w:semiHidden/>
    <w:rsid w:val="00135B05"/>
    <w:rPr>
      <w:rFonts w:ascii="Times New Roman" w:eastAsia="Times New Roman" w:hAnsi="Times New Roman" w:cs="Times New Roman"/>
      <w:sz w:val="20"/>
      <w:szCs w:val="20"/>
    </w:rPr>
  </w:style>
  <w:style w:type="paragraph" w:styleId="ListParagraph">
    <w:name w:val="List Paragraph"/>
    <w:basedOn w:val="Normal"/>
    <w:uiPriority w:val="34"/>
    <w:qFormat/>
    <w:rsid w:val="00135B05"/>
    <w:pPr>
      <w:ind w:left="720"/>
      <w:contextualSpacing/>
    </w:pPr>
  </w:style>
  <w:style w:type="paragraph" w:styleId="BalloonText">
    <w:name w:val="Balloon Text"/>
    <w:basedOn w:val="Normal"/>
    <w:link w:val="BalloonTextChar"/>
    <w:uiPriority w:val="99"/>
    <w:semiHidden/>
    <w:unhideWhenUsed/>
    <w:rsid w:val="00135B05"/>
    <w:rPr>
      <w:rFonts w:ascii="Tahoma" w:hAnsi="Tahoma" w:cs="Tahoma"/>
      <w:sz w:val="16"/>
      <w:szCs w:val="16"/>
    </w:rPr>
  </w:style>
  <w:style w:type="character" w:customStyle="1" w:styleId="BalloonTextChar">
    <w:name w:val="Balloon Text Char"/>
    <w:basedOn w:val="DefaultParagraphFont"/>
    <w:link w:val="BalloonText"/>
    <w:uiPriority w:val="99"/>
    <w:semiHidden/>
    <w:rsid w:val="00135B05"/>
    <w:rPr>
      <w:rFonts w:ascii="Tahoma" w:eastAsia="Times New Roman" w:hAnsi="Tahoma" w:cs="Tahoma"/>
      <w:sz w:val="16"/>
      <w:szCs w:val="16"/>
    </w:rPr>
  </w:style>
  <w:style w:type="character" w:styleId="Hyperlink">
    <w:name w:val="Hyperlink"/>
    <w:basedOn w:val="DefaultParagraphFont"/>
    <w:uiPriority w:val="99"/>
    <w:rsid w:val="00C14E94"/>
    <w:rPr>
      <w:rFonts w:cs="Times New Roman"/>
      <w:color w:val="0000FF"/>
      <w:u w:val="single"/>
    </w:rPr>
  </w:style>
  <w:style w:type="paragraph" w:styleId="TOC4">
    <w:name w:val="toc 4"/>
    <w:basedOn w:val="Normal"/>
    <w:next w:val="Normal"/>
    <w:autoRedefine/>
    <w:uiPriority w:val="99"/>
    <w:semiHidden/>
    <w:rsid w:val="00C14E94"/>
    <w:pPr>
      <w:tabs>
        <w:tab w:val="left" w:pos="1440"/>
        <w:tab w:val="right" w:leader="dot" w:pos="8630"/>
      </w:tabs>
      <w:spacing w:line="360" w:lineRule="auto"/>
      <w:ind w:left="1080" w:hanging="1080"/>
    </w:pPr>
    <w:rPr>
      <w:noProof/>
      <w:sz w:val="22"/>
      <w:szCs w:val="22"/>
    </w:rPr>
  </w:style>
  <w:style w:type="paragraph" w:styleId="TOC3">
    <w:name w:val="toc 3"/>
    <w:basedOn w:val="Normal"/>
    <w:next w:val="Normal"/>
    <w:autoRedefine/>
    <w:uiPriority w:val="99"/>
    <w:semiHidden/>
    <w:rsid w:val="00C14E94"/>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C14E94"/>
    <w:pPr>
      <w:tabs>
        <w:tab w:val="right" w:leader="dot" w:pos="8630"/>
      </w:tabs>
      <w:spacing w:line="360" w:lineRule="auto"/>
      <w:ind w:left="1980" w:hanging="720"/>
    </w:pPr>
  </w:style>
  <w:style w:type="character" w:styleId="FollowedHyperlink">
    <w:name w:val="FollowedHyperlink"/>
    <w:basedOn w:val="DefaultParagraphFont"/>
    <w:uiPriority w:val="99"/>
    <w:semiHidden/>
    <w:unhideWhenUsed/>
    <w:rsid w:val="00C14E9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E27DA"/>
    <w:rPr>
      <w:b/>
      <w:bCs/>
    </w:rPr>
  </w:style>
  <w:style w:type="character" w:customStyle="1" w:styleId="CommentSubjectChar">
    <w:name w:val="Comment Subject Char"/>
    <w:basedOn w:val="CommentTextChar"/>
    <w:link w:val="CommentSubject"/>
    <w:uiPriority w:val="99"/>
    <w:semiHidden/>
    <w:rsid w:val="009E27DA"/>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A610B"/>
    <w:rPr>
      <w:rFonts w:ascii="Consolas" w:eastAsia="Calibri" w:hAnsi="Consolas"/>
      <w:sz w:val="21"/>
      <w:szCs w:val="21"/>
    </w:rPr>
  </w:style>
  <w:style w:type="character" w:customStyle="1" w:styleId="PlainTextChar">
    <w:name w:val="Plain Text Char"/>
    <w:basedOn w:val="DefaultParagraphFont"/>
    <w:link w:val="PlainText"/>
    <w:uiPriority w:val="99"/>
    <w:rsid w:val="009A610B"/>
    <w:rPr>
      <w:rFonts w:ascii="Consolas" w:eastAsia="Calibri" w:hAnsi="Consolas" w:cs="Times New Roman"/>
      <w:sz w:val="21"/>
      <w:szCs w:val="21"/>
    </w:rPr>
  </w:style>
  <w:style w:type="paragraph" w:styleId="BodyText">
    <w:name w:val="Body Text"/>
    <w:basedOn w:val="Normal"/>
    <w:link w:val="BodyTextChar"/>
    <w:uiPriority w:val="99"/>
    <w:rsid w:val="009A610B"/>
    <w:rPr>
      <w:rFonts w:eastAsia="Calibri"/>
      <w:b/>
      <w:szCs w:val="20"/>
    </w:rPr>
  </w:style>
  <w:style w:type="character" w:customStyle="1" w:styleId="BodyTextChar">
    <w:name w:val="Body Text Char"/>
    <w:basedOn w:val="DefaultParagraphFont"/>
    <w:link w:val="BodyText"/>
    <w:uiPriority w:val="99"/>
    <w:rsid w:val="009A610B"/>
    <w:rPr>
      <w:rFonts w:ascii="Times New Roman" w:eastAsia="Calibri" w:hAnsi="Times New Roman" w:cs="Times New Roman"/>
      <w:b/>
      <w:sz w:val="24"/>
      <w:szCs w:val="20"/>
    </w:rPr>
  </w:style>
  <w:style w:type="table" w:styleId="TableGrid">
    <w:name w:val="Table Grid"/>
    <w:basedOn w:val="TableNormal"/>
    <w:uiPriority w:val="59"/>
    <w:rsid w:val="009A61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610B"/>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9A610B"/>
    <w:pPr>
      <w:spacing w:after="120" w:line="480" w:lineRule="auto"/>
    </w:pPr>
  </w:style>
  <w:style w:type="character" w:customStyle="1" w:styleId="BodyText2Char">
    <w:name w:val="Body Text 2 Char"/>
    <w:basedOn w:val="DefaultParagraphFont"/>
    <w:link w:val="BodyText2"/>
    <w:uiPriority w:val="99"/>
    <w:semiHidden/>
    <w:rsid w:val="009A610B"/>
    <w:rPr>
      <w:rFonts w:ascii="Times New Roman" w:eastAsia="Times New Roman" w:hAnsi="Times New Roman" w:cs="Times New Roman"/>
      <w:sz w:val="24"/>
      <w:szCs w:val="24"/>
    </w:rPr>
  </w:style>
  <w:style w:type="paragraph" w:styleId="Revision">
    <w:name w:val="Revision"/>
    <w:hidden/>
    <w:uiPriority w:val="99"/>
    <w:semiHidden/>
    <w:rsid w:val="00707F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17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ynnsa@nih.gov"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3744</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thornburg</dc:creator>
  <cp:lastModifiedBy>Abdelmouti, Tawanda (NIH/NCI) [E]</cp:lastModifiedBy>
  <cp:revision>2</cp:revision>
  <cp:lastPrinted>2011-12-29T16:43:00Z</cp:lastPrinted>
  <dcterms:created xsi:type="dcterms:W3CDTF">2015-11-03T17:53:00Z</dcterms:created>
  <dcterms:modified xsi:type="dcterms:W3CDTF">2015-11-03T17:53:00Z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