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81E7" w14:textId="77777777" w:rsidR="00BA2DBE" w:rsidRPr="00D20211" w:rsidRDefault="00BA2DBE">
      <w:pPr>
        <w:rPr>
          <w:rFonts w:ascii="Arial" w:hAnsi="Arial" w:cs="Arial"/>
        </w:rPr>
      </w:pPr>
      <w:bookmarkStart w:id="0" w:name="_Toc337198071"/>
      <w:bookmarkStart w:id="1" w:name="_Toc423335421"/>
    </w:p>
    <w:p w14:paraId="59337D84" w14:textId="77777777" w:rsidR="00BA2DBE" w:rsidRPr="00D20211" w:rsidRDefault="00BA2DBE">
      <w:pPr>
        <w:rPr>
          <w:rFonts w:ascii="Arial" w:hAnsi="Arial" w:cs="Arial"/>
        </w:rPr>
      </w:pPr>
    </w:p>
    <w:p w14:paraId="276321DF"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5CAC8804" w14:textId="5B77C08B" w:rsidR="00BA2DBE" w:rsidRPr="00D20211" w:rsidRDefault="00BF545C" w:rsidP="001626E8">
      <w:pPr>
        <w:pStyle w:val="Title"/>
        <w:rPr>
          <w:color w:val="auto"/>
          <w:sz w:val="48"/>
          <w:szCs w:val="48"/>
        </w:rPr>
      </w:pPr>
      <w:r w:rsidRPr="00BF545C">
        <w:rPr>
          <w:color w:val="auto"/>
          <w:sz w:val="48"/>
          <w:szCs w:val="48"/>
        </w:rPr>
        <w:t>A Prospective Birth Cohort Study Involving Environmental Uranium Exposure in the Navajo Nation</w:t>
      </w:r>
    </w:p>
    <w:p w14:paraId="61EAE914" w14:textId="5E1FAB58"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906099">
        <w:rPr>
          <w:color w:val="auto"/>
        </w:rPr>
        <w:t>.</w:t>
      </w:r>
      <w:r w:rsidR="00A30435">
        <w:rPr>
          <w:color w:val="auto"/>
        </w:rPr>
        <w:t xml:space="preserve"> 0923-0046</w:t>
      </w:r>
      <w:r w:rsidRPr="00D20211">
        <w:rPr>
          <w:color w:val="auto"/>
        </w:rPr>
        <w:t xml:space="preserve"> (Expiration Date</w:t>
      </w:r>
      <w:r w:rsidR="00AE1D9F" w:rsidRPr="00D20211">
        <w:rPr>
          <w:color w:val="auto"/>
        </w:rPr>
        <w:t xml:space="preserve">: </w:t>
      </w:r>
      <w:r w:rsidR="00906099">
        <w:rPr>
          <w:color w:val="auto"/>
        </w:rPr>
        <w:t>02</w:t>
      </w:r>
      <w:r w:rsidR="00AE1D9F" w:rsidRPr="00D20211">
        <w:rPr>
          <w:color w:val="auto"/>
        </w:rPr>
        <w:t>/</w:t>
      </w:r>
      <w:r w:rsidR="00367B1A">
        <w:rPr>
          <w:color w:val="auto"/>
        </w:rPr>
        <w:t>29</w:t>
      </w:r>
      <w:r w:rsidR="00AE1D9F" w:rsidRPr="00D20211">
        <w:rPr>
          <w:color w:val="auto"/>
        </w:rPr>
        <w:t>/</w:t>
      </w:r>
      <w:r w:rsidR="00906099">
        <w:rPr>
          <w:color w:val="auto"/>
        </w:rPr>
        <w:t>2016</w:t>
      </w:r>
      <w:r w:rsidRPr="00D20211">
        <w:rPr>
          <w:color w:val="auto"/>
        </w:rPr>
        <w:t xml:space="preserve">) </w:t>
      </w:r>
    </w:p>
    <w:p w14:paraId="0BFC8620" w14:textId="4F6CA900" w:rsidR="001626E8" w:rsidRPr="00D20211" w:rsidRDefault="00906099">
      <w:pPr>
        <w:spacing w:after="200" w:line="276" w:lineRule="auto"/>
        <w:rPr>
          <w:rFonts w:asciiTheme="majorHAnsi" w:hAnsiTheme="majorHAnsi" w:cs="Arial"/>
          <w:sz w:val="36"/>
          <w:szCs w:val="36"/>
        </w:rPr>
      </w:pPr>
      <w:r>
        <w:rPr>
          <w:rFonts w:asciiTheme="majorHAnsi" w:hAnsiTheme="majorHAnsi" w:cs="Arial"/>
          <w:sz w:val="36"/>
          <w:szCs w:val="36"/>
        </w:rPr>
        <w:t>Extension</w:t>
      </w:r>
      <w:r w:rsidR="004F5247">
        <w:rPr>
          <w:rFonts w:asciiTheme="majorHAnsi" w:hAnsiTheme="majorHAnsi" w:cs="Arial"/>
          <w:sz w:val="36"/>
          <w:szCs w:val="36"/>
        </w:rPr>
        <w:t xml:space="preserve"> Request</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2EEB84F3" w:rsidR="00BA2DBE" w:rsidRPr="00D20211" w:rsidRDefault="00480FC6" w:rsidP="008E47E6">
      <w:pPr>
        <w:pStyle w:val="Subtitle"/>
        <w:spacing w:after="0"/>
        <w:rPr>
          <w:color w:val="auto"/>
        </w:rPr>
      </w:pPr>
      <w:r w:rsidRPr="00D20211">
        <w:rPr>
          <w:color w:val="auto"/>
        </w:rPr>
        <w:t xml:space="preserve">Program Official: </w:t>
      </w:r>
      <w:r w:rsidR="006A68EF" w:rsidRPr="006A68EF">
        <w:rPr>
          <w:color w:val="auto"/>
        </w:rPr>
        <w:t>Angela Ragin-Wilson, PhD</w:t>
      </w:r>
    </w:p>
    <w:p w14:paraId="009E2166" w14:textId="49CB003E" w:rsidR="00BA2DBE" w:rsidRPr="00D20211" w:rsidRDefault="00480FC6" w:rsidP="008E47E6">
      <w:pPr>
        <w:pStyle w:val="Subtitle"/>
        <w:spacing w:after="0"/>
        <w:rPr>
          <w:color w:val="auto"/>
        </w:rPr>
      </w:pPr>
      <w:r w:rsidRPr="00D20211">
        <w:rPr>
          <w:color w:val="auto"/>
        </w:rPr>
        <w:t>Title:</w:t>
      </w:r>
      <w:r w:rsidR="006A68EF">
        <w:rPr>
          <w:color w:val="auto"/>
        </w:rPr>
        <w:t xml:space="preserve"> Chief, Environmental Epidemiology Branch</w:t>
      </w:r>
      <w:r w:rsidR="00BE52DE">
        <w:rPr>
          <w:color w:val="auto"/>
        </w:rPr>
        <w:t>, ATSDR</w:t>
      </w:r>
    </w:p>
    <w:p w14:paraId="4D73E7D9" w14:textId="63DD7A1F"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6A68EF" w:rsidRPr="006A68EF">
        <w:t xml:space="preserve"> </w:t>
      </w:r>
      <w:r w:rsidR="006A68EF" w:rsidRPr="006A68EF">
        <w:rPr>
          <w:color w:val="auto"/>
        </w:rPr>
        <w:t>770-488-3807</w:t>
      </w:r>
    </w:p>
    <w:p w14:paraId="72924699" w14:textId="153FE071"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r w:rsidR="006A68EF" w:rsidRPr="006A68EF">
        <w:rPr>
          <w:color w:val="auto"/>
        </w:rPr>
        <w:t>atr0@cdc.gov</w:t>
      </w:r>
    </w:p>
    <w:p w14:paraId="70AB4DEC" w14:textId="602CA694"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6A68EF" w:rsidRPr="006A68EF">
        <w:t xml:space="preserve"> </w:t>
      </w:r>
      <w:r w:rsidR="006A68EF" w:rsidRPr="006A68EF">
        <w:rPr>
          <w:color w:val="auto"/>
        </w:rPr>
        <w:t>770-488-7187</w:t>
      </w:r>
    </w:p>
    <w:p w14:paraId="14F78241" w14:textId="77777777" w:rsidR="00EA0849" w:rsidRPr="00D20211" w:rsidRDefault="00EA0849" w:rsidP="008E47E6">
      <w:pPr>
        <w:pStyle w:val="Subtitle"/>
        <w:spacing w:after="0"/>
        <w:rPr>
          <w:color w:val="auto"/>
        </w:rPr>
      </w:pPr>
    </w:p>
    <w:p w14:paraId="76D937C3" w14:textId="7B562EA2" w:rsidR="00965C2A" w:rsidRPr="00D20211" w:rsidRDefault="00480FC6" w:rsidP="008E47E6">
      <w:pPr>
        <w:pStyle w:val="Subtitle"/>
        <w:spacing w:after="0"/>
        <w:rPr>
          <w:rFonts w:ascii="Arial" w:hAnsi="Arial"/>
          <w:color w:val="auto"/>
        </w:rPr>
      </w:pPr>
      <w:r w:rsidRPr="00D20211">
        <w:rPr>
          <w:color w:val="auto"/>
        </w:rPr>
        <w:t>Date:</w:t>
      </w:r>
      <w:r w:rsidR="00584B42">
        <w:rPr>
          <w:color w:val="auto"/>
        </w:rPr>
        <w:t xml:space="preserve"> </w:t>
      </w:r>
      <w:r w:rsidR="00A469E5">
        <w:rPr>
          <w:color w:val="auto"/>
        </w:rPr>
        <w:t>November 24</w:t>
      </w:r>
      <w:bookmarkStart w:id="2" w:name="_GoBack"/>
      <w:bookmarkEnd w:id="2"/>
      <w:r w:rsidR="00F84A8A">
        <w:rPr>
          <w:color w:val="auto"/>
        </w:rPr>
        <w:t>, 2015</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2839EF10" w14:textId="77777777" w:rsidR="00346D5C"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35518561" w:history="1">
            <w:r w:rsidR="00346D5C" w:rsidRPr="00D427CB">
              <w:rPr>
                <w:rStyle w:val="Hyperlink"/>
                <w:noProof/>
              </w:rPr>
              <w:t>A.1. Circumstances Making the Collection of Information Necessary</w:t>
            </w:r>
            <w:r w:rsidR="00346D5C">
              <w:rPr>
                <w:noProof/>
                <w:webHidden/>
              </w:rPr>
              <w:tab/>
            </w:r>
            <w:r w:rsidR="00346D5C">
              <w:rPr>
                <w:noProof/>
                <w:webHidden/>
              </w:rPr>
              <w:fldChar w:fldCharType="begin"/>
            </w:r>
            <w:r w:rsidR="00346D5C">
              <w:rPr>
                <w:noProof/>
                <w:webHidden/>
              </w:rPr>
              <w:instrText xml:space="preserve"> PAGEREF _Toc435518561 \h </w:instrText>
            </w:r>
            <w:r w:rsidR="00346D5C">
              <w:rPr>
                <w:noProof/>
                <w:webHidden/>
              </w:rPr>
            </w:r>
            <w:r w:rsidR="00346D5C">
              <w:rPr>
                <w:noProof/>
                <w:webHidden/>
              </w:rPr>
              <w:fldChar w:fldCharType="separate"/>
            </w:r>
            <w:r w:rsidR="00346D5C">
              <w:rPr>
                <w:noProof/>
                <w:webHidden/>
              </w:rPr>
              <w:t>3</w:t>
            </w:r>
            <w:r w:rsidR="00346D5C">
              <w:rPr>
                <w:noProof/>
                <w:webHidden/>
              </w:rPr>
              <w:fldChar w:fldCharType="end"/>
            </w:r>
          </w:hyperlink>
        </w:p>
        <w:p w14:paraId="51950517" w14:textId="77777777" w:rsidR="00346D5C" w:rsidRDefault="00A469E5">
          <w:pPr>
            <w:pStyle w:val="TOC1"/>
            <w:tabs>
              <w:tab w:val="right" w:leader="dot" w:pos="9350"/>
            </w:tabs>
            <w:rPr>
              <w:noProof/>
              <w:sz w:val="22"/>
              <w:szCs w:val="22"/>
            </w:rPr>
          </w:pPr>
          <w:hyperlink w:anchor="_Toc435518562" w:history="1">
            <w:r w:rsidR="00346D5C" w:rsidRPr="00D427CB">
              <w:rPr>
                <w:rStyle w:val="Hyperlink"/>
                <w:noProof/>
              </w:rPr>
              <w:t>A.2. Purpose and Use of the Information Collection</w:t>
            </w:r>
            <w:r w:rsidR="00346D5C">
              <w:rPr>
                <w:noProof/>
                <w:webHidden/>
              </w:rPr>
              <w:tab/>
            </w:r>
            <w:r w:rsidR="00346D5C">
              <w:rPr>
                <w:noProof/>
                <w:webHidden/>
              </w:rPr>
              <w:fldChar w:fldCharType="begin"/>
            </w:r>
            <w:r w:rsidR="00346D5C">
              <w:rPr>
                <w:noProof/>
                <w:webHidden/>
              </w:rPr>
              <w:instrText xml:space="preserve"> PAGEREF _Toc435518562 \h </w:instrText>
            </w:r>
            <w:r w:rsidR="00346D5C">
              <w:rPr>
                <w:noProof/>
                <w:webHidden/>
              </w:rPr>
            </w:r>
            <w:r w:rsidR="00346D5C">
              <w:rPr>
                <w:noProof/>
                <w:webHidden/>
              </w:rPr>
              <w:fldChar w:fldCharType="separate"/>
            </w:r>
            <w:r w:rsidR="00346D5C">
              <w:rPr>
                <w:noProof/>
                <w:webHidden/>
              </w:rPr>
              <w:t>5</w:t>
            </w:r>
            <w:r w:rsidR="00346D5C">
              <w:rPr>
                <w:noProof/>
                <w:webHidden/>
              </w:rPr>
              <w:fldChar w:fldCharType="end"/>
            </w:r>
          </w:hyperlink>
        </w:p>
        <w:p w14:paraId="5CF119BF" w14:textId="77777777" w:rsidR="00346D5C" w:rsidRDefault="00A469E5">
          <w:pPr>
            <w:pStyle w:val="TOC1"/>
            <w:tabs>
              <w:tab w:val="right" w:leader="dot" w:pos="9350"/>
            </w:tabs>
            <w:rPr>
              <w:noProof/>
              <w:sz w:val="22"/>
              <w:szCs w:val="22"/>
            </w:rPr>
          </w:pPr>
          <w:hyperlink w:anchor="_Toc435518563" w:history="1">
            <w:r w:rsidR="00346D5C" w:rsidRPr="00D427CB">
              <w:rPr>
                <w:rStyle w:val="Hyperlink"/>
                <w:noProof/>
              </w:rPr>
              <w:t>A.3. Use of Improved Information Technology and Burden Reduction</w:t>
            </w:r>
            <w:r w:rsidR="00346D5C">
              <w:rPr>
                <w:noProof/>
                <w:webHidden/>
              </w:rPr>
              <w:tab/>
            </w:r>
            <w:r w:rsidR="00346D5C">
              <w:rPr>
                <w:noProof/>
                <w:webHidden/>
              </w:rPr>
              <w:fldChar w:fldCharType="begin"/>
            </w:r>
            <w:r w:rsidR="00346D5C">
              <w:rPr>
                <w:noProof/>
                <w:webHidden/>
              </w:rPr>
              <w:instrText xml:space="preserve"> PAGEREF _Toc435518563 \h </w:instrText>
            </w:r>
            <w:r w:rsidR="00346D5C">
              <w:rPr>
                <w:noProof/>
                <w:webHidden/>
              </w:rPr>
            </w:r>
            <w:r w:rsidR="00346D5C">
              <w:rPr>
                <w:noProof/>
                <w:webHidden/>
              </w:rPr>
              <w:fldChar w:fldCharType="separate"/>
            </w:r>
            <w:r w:rsidR="00346D5C">
              <w:rPr>
                <w:noProof/>
                <w:webHidden/>
              </w:rPr>
              <w:t>6</w:t>
            </w:r>
            <w:r w:rsidR="00346D5C">
              <w:rPr>
                <w:noProof/>
                <w:webHidden/>
              </w:rPr>
              <w:fldChar w:fldCharType="end"/>
            </w:r>
          </w:hyperlink>
        </w:p>
        <w:p w14:paraId="28759EC9" w14:textId="77777777" w:rsidR="00346D5C" w:rsidRDefault="00A469E5">
          <w:pPr>
            <w:pStyle w:val="TOC1"/>
            <w:tabs>
              <w:tab w:val="right" w:leader="dot" w:pos="9350"/>
            </w:tabs>
            <w:rPr>
              <w:noProof/>
              <w:sz w:val="22"/>
              <w:szCs w:val="22"/>
            </w:rPr>
          </w:pPr>
          <w:hyperlink w:anchor="_Toc435518564" w:history="1">
            <w:r w:rsidR="00346D5C" w:rsidRPr="00D427CB">
              <w:rPr>
                <w:rStyle w:val="Hyperlink"/>
                <w:noProof/>
              </w:rPr>
              <w:t>A.4. Efforts to Identify Duplication and Use of Similar Information</w:t>
            </w:r>
            <w:r w:rsidR="00346D5C">
              <w:rPr>
                <w:noProof/>
                <w:webHidden/>
              </w:rPr>
              <w:tab/>
            </w:r>
            <w:r w:rsidR="00346D5C">
              <w:rPr>
                <w:noProof/>
                <w:webHidden/>
              </w:rPr>
              <w:fldChar w:fldCharType="begin"/>
            </w:r>
            <w:r w:rsidR="00346D5C">
              <w:rPr>
                <w:noProof/>
                <w:webHidden/>
              </w:rPr>
              <w:instrText xml:space="preserve"> PAGEREF _Toc435518564 \h </w:instrText>
            </w:r>
            <w:r w:rsidR="00346D5C">
              <w:rPr>
                <w:noProof/>
                <w:webHidden/>
              </w:rPr>
            </w:r>
            <w:r w:rsidR="00346D5C">
              <w:rPr>
                <w:noProof/>
                <w:webHidden/>
              </w:rPr>
              <w:fldChar w:fldCharType="separate"/>
            </w:r>
            <w:r w:rsidR="00346D5C">
              <w:rPr>
                <w:noProof/>
                <w:webHidden/>
              </w:rPr>
              <w:t>6</w:t>
            </w:r>
            <w:r w:rsidR="00346D5C">
              <w:rPr>
                <w:noProof/>
                <w:webHidden/>
              </w:rPr>
              <w:fldChar w:fldCharType="end"/>
            </w:r>
          </w:hyperlink>
        </w:p>
        <w:p w14:paraId="43595C29" w14:textId="77777777" w:rsidR="00346D5C" w:rsidRDefault="00A469E5">
          <w:pPr>
            <w:pStyle w:val="TOC1"/>
            <w:tabs>
              <w:tab w:val="right" w:leader="dot" w:pos="9350"/>
            </w:tabs>
            <w:rPr>
              <w:noProof/>
              <w:sz w:val="22"/>
              <w:szCs w:val="22"/>
            </w:rPr>
          </w:pPr>
          <w:hyperlink w:anchor="_Toc435518565" w:history="1">
            <w:r w:rsidR="00346D5C" w:rsidRPr="00D427CB">
              <w:rPr>
                <w:rStyle w:val="Hyperlink"/>
                <w:noProof/>
              </w:rPr>
              <w:t>A.5. Impact on Small Businesses or Other Small Entities</w:t>
            </w:r>
            <w:r w:rsidR="00346D5C">
              <w:rPr>
                <w:noProof/>
                <w:webHidden/>
              </w:rPr>
              <w:tab/>
            </w:r>
            <w:r w:rsidR="00346D5C">
              <w:rPr>
                <w:noProof/>
                <w:webHidden/>
              </w:rPr>
              <w:fldChar w:fldCharType="begin"/>
            </w:r>
            <w:r w:rsidR="00346D5C">
              <w:rPr>
                <w:noProof/>
                <w:webHidden/>
              </w:rPr>
              <w:instrText xml:space="preserve"> PAGEREF _Toc435518565 \h </w:instrText>
            </w:r>
            <w:r w:rsidR="00346D5C">
              <w:rPr>
                <w:noProof/>
                <w:webHidden/>
              </w:rPr>
            </w:r>
            <w:r w:rsidR="00346D5C">
              <w:rPr>
                <w:noProof/>
                <w:webHidden/>
              </w:rPr>
              <w:fldChar w:fldCharType="separate"/>
            </w:r>
            <w:r w:rsidR="00346D5C">
              <w:rPr>
                <w:noProof/>
                <w:webHidden/>
              </w:rPr>
              <w:t>7</w:t>
            </w:r>
            <w:r w:rsidR="00346D5C">
              <w:rPr>
                <w:noProof/>
                <w:webHidden/>
              </w:rPr>
              <w:fldChar w:fldCharType="end"/>
            </w:r>
          </w:hyperlink>
        </w:p>
        <w:p w14:paraId="56317440" w14:textId="77777777" w:rsidR="00346D5C" w:rsidRDefault="00A469E5">
          <w:pPr>
            <w:pStyle w:val="TOC1"/>
            <w:tabs>
              <w:tab w:val="right" w:leader="dot" w:pos="9350"/>
            </w:tabs>
            <w:rPr>
              <w:noProof/>
              <w:sz w:val="22"/>
              <w:szCs w:val="22"/>
            </w:rPr>
          </w:pPr>
          <w:hyperlink w:anchor="_Toc435518566" w:history="1">
            <w:r w:rsidR="00346D5C" w:rsidRPr="00D427CB">
              <w:rPr>
                <w:rStyle w:val="Hyperlink"/>
                <w:noProof/>
              </w:rPr>
              <w:t>A.6. Consequences of Collecting the Information Less Frequently</w:t>
            </w:r>
            <w:r w:rsidR="00346D5C">
              <w:rPr>
                <w:noProof/>
                <w:webHidden/>
              </w:rPr>
              <w:tab/>
            </w:r>
            <w:r w:rsidR="00346D5C">
              <w:rPr>
                <w:noProof/>
                <w:webHidden/>
              </w:rPr>
              <w:fldChar w:fldCharType="begin"/>
            </w:r>
            <w:r w:rsidR="00346D5C">
              <w:rPr>
                <w:noProof/>
                <w:webHidden/>
              </w:rPr>
              <w:instrText xml:space="preserve"> PAGEREF _Toc435518566 \h </w:instrText>
            </w:r>
            <w:r w:rsidR="00346D5C">
              <w:rPr>
                <w:noProof/>
                <w:webHidden/>
              </w:rPr>
            </w:r>
            <w:r w:rsidR="00346D5C">
              <w:rPr>
                <w:noProof/>
                <w:webHidden/>
              </w:rPr>
              <w:fldChar w:fldCharType="separate"/>
            </w:r>
            <w:r w:rsidR="00346D5C">
              <w:rPr>
                <w:noProof/>
                <w:webHidden/>
              </w:rPr>
              <w:t>7</w:t>
            </w:r>
            <w:r w:rsidR="00346D5C">
              <w:rPr>
                <w:noProof/>
                <w:webHidden/>
              </w:rPr>
              <w:fldChar w:fldCharType="end"/>
            </w:r>
          </w:hyperlink>
        </w:p>
        <w:p w14:paraId="42458F8B" w14:textId="77777777" w:rsidR="00346D5C" w:rsidRDefault="00A469E5">
          <w:pPr>
            <w:pStyle w:val="TOC1"/>
            <w:tabs>
              <w:tab w:val="right" w:leader="dot" w:pos="9350"/>
            </w:tabs>
            <w:rPr>
              <w:noProof/>
              <w:sz w:val="22"/>
              <w:szCs w:val="22"/>
            </w:rPr>
          </w:pPr>
          <w:hyperlink w:anchor="_Toc435518567" w:history="1">
            <w:r w:rsidR="00346D5C" w:rsidRPr="00D427CB">
              <w:rPr>
                <w:rStyle w:val="Hyperlink"/>
                <w:noProof/>
              </w:rPr>
              <w:t>A.7. Special Circumstances Relating to the Guidelines of 5 CFR 1320.5</w:t>
            </w:r>
            <w:r w:rsidR="00346D5C">
              <w:rPr>
                <w:noProof/>
                <w:webHidden/>
              </w:rPr>
              <w:tab/>
            </w:r>
            <w:r w:rsidR="00346D5C">
              <w:rPr>
                <w:noProof/>
                <w:webHidden/>
              </w:rPr>
              <w:fldChar w:fldCharType="begin"/>
            </w:r>
            <w:r w:rsidR="00346D5C">
              <w:rPr>
                <w:noProof/>
                <w:webHidden/>
              </w:rPr>
              <w:instrText xml:space="preserve"> PAGEREF _Toc435518567 \h </w:instrText>
            </w:r>
            <w:r w:rsidR="00346D5C">
              <w:rPr>
                <w:noProof/>
                <w:webHidden/>
              </w:rPr>
            </w:r>
            <w:r w:rsidR="00346D5C">
              <w:rPr>
                <w:noProof/>
                <w:webHidden/>
              </w:rPr>
              <w:fldChar w:fldCharType="separate"/>
            </w:r>
            <w:r w:rsidR="00346D5C">
              <w:rPr>
                <w:noProof/>
                <w:webHidden/>
              </w:rPr>
              <w:t>7</w:t>
            </w:r>
            <w:r w:rsidR="00346D5C">
              <w:rPr>
                <w:noProof/>
                <w:webHidden/>
              </w:rPr>
              <w:fldChar w:fldCharType="end"/>
            </w:r>
          </w:hyperlink>
        </w:p>
        <w:p w14:paraId="01A0AE9A" w14:textId="77777777" w:rsidR="00346D5C" w:rsidRDefault="00A469E5">
          <w:pPr>
            <w:pStyle w:val="TOC1"/>
            <w:tabs>
              <w:tab w:val="right" w:leader="dot" w:pos="9350"/>
            </w:tabs>
            <w:rPr>
              <w:noProof/>
              <w:sz w:val="22"/>
              <w:szCs w:val="22"/>
            </w:rPr>
          </w:pPr>
          <w:hyperlink w:anchor="_Toc435518568" w:history="1">
            <w:r w:rsidR="00346D5C" w:rsidRPr="00D427CB">
              <w:rPr>
                <w:rStyle w:val="Hyperlink"/>
                <w:noProof/>
              </w:rPr>
              <w:t>A.8. Comments in Response to the Federal Register Notice and Efforts to Consult Outside the Agency</w:t>
            </w:r>
            <w:r w:rsidR="00346D5C">
              <w:rPr>
                <w:noProof/>
                <w:webHidden/>
              </w:rPr>
              <w:tab/>
            </w:r>
            <w:r w:rsidR="00346D5C">
              <w:rPr>
                <w:noProof/>
                <w:webHidden/>
              </w:rPr>
              <w:fldChar w:fldCharType="begin"/>
            </w:r>
            <w:r w:rsidR="00346D5C">
              <w:rPr>
                <w:noProof/>
                <w:webHidden/>
              </w:rPr>
              <w:instrText xml:space="preserve"> PAGEREF _Toc435518568 \h </w:instrText>
            </w:r>
            <w:r w:rsidR="00346D5C">
              <w:rPr>
                <w:noProof/>
                <w:webHidden/>
              </w:rPr>
            </w:r>
            <w:r w:rsidR="00346D5C">
              <w:rPr>
                <w:noProof/>
                <w:webHidden/>
              </w:rPr>
              <w:fldChar w:fldCharType="separate"/>
            </w:r>
            <w:r w:rsidR="00346D5C">
              <w:rPr>
                <w:noProof/>
                <w:webHidden/>
              </w:rPr>
              <w:t>8</w:t>
            </w:r>
            <w:r w:rsidR="00346D5C">
              <w:rPr>
                <w:noProof/>
                <w:webHidden/>
              </w:rPr>
              <w:fldChar w:fldCharType="end"/>
            </w:r>
          </w:hyperlink>
        </w:p>
        <w:p w14:paraId="0C56FB07" w14:textId="77777777" w:rsidR="00346D5C" w:rsidRDefault="00A469E5">
          <w:pPr>
            <w:pStyle w:val="TOC1"/>
            <w:tabs>
              <w:tab w:val="right" w:leader="dot" w:pos="9350"/>
            </w:tabs>
            <w:rPr>
              <w:noProof/>
              <w:sz w:val="22"/>
              <w:szCs w:val="22"/>
            </w:rPr>
          </w:pPr>
          <w:hyperlink w:anchor="_Toc435518569" w:history="1">
            <w:r w:rsidR="00346D5C" w:rsidRPr="00D427CB">
              <w:rPr>
                <w:rStyle w:val="Hyperlink"/>
                <w:noProof/>
              </w:rPr>
              <w:t>A.9. Explanation of Any Payment or Gift to Respondents</w:t>
            </w:r>
            <w:r w:rsidR="00346D5C">
              <w:rPr>
                <w:noProof/>
                <w:webHidden/>
              </w:rPr>
              <w:tab/>
            </w:r>
            <w:r w:rsidR="00346D5C">
              <w:rPr>
                <w:noProof/>
                <w:webHidden/>
              </w:rPr>
              <w:fldChar w:fldCharType="begin"/>
            </w:r>
            <w:r w:rsidR="00346D5C">
              <w:rPr>
                <w:noProof/>
                <w:webHidden/>
              </w:rPr>
              <w:instrText xml:space="preserve"> PAGEREF _Toc435518569 \h </w:instrText>
            </w:r>
            <w:r w:rsidR="00346D5C">
              <w:rPr>
                <w:noProof/>
                <w:webHidden/>
              </w:rPr>
            </w:r>
            <w:r w:rsidR="00346D5C">
              <w:rPr>
                <w:noProof/>
                <w:webHidden/>
              </w:rPr>
              <w:fldChar w:fldCharType="separate"/>
            </w:r>
            <w:r w:rsidR="00346D5C">
              <w:rPr>
                <w:noProof/>
                <w:webHidden/>
              </w:rPr>
              <w:t>9</w:t>
            </w:r>
            <w:r w:rsidR="00346D5C">
              <w:rPr>
                <w:noProof/>
                <w:webHidden/>
              </w:rPr>
              <w:fldChar w:fldCharType="end"/>
            </w:r>
          </w:hyperlink>
        </w:p>
        <w:p w14:paraId="7FE8EE0B" w14:textId="77777777" w:rsidR="00346D5C" w:rsidRDefault="00A469E5">
          <w:pPr>
            <w:pStyle w:val="TOC1"/>
            <w:tabs>
              <w:tab w:val="right" w:leader="dot" w:pos="9350"/>
            </w:tabs>
            <w:rPr>
              <w:noProof/>
              <w:sz w:val="22"/>
              <w:szCs w:val="22"/>
            </w:rPr>
          </w:pPr>
          <w:hyperlink w:anchor="_Toc435518570" w:history="1">
            <w:r w:rsidR="00346D5C" w:rsidRPr="00D427CB">
              <w:rPr>
                <w:rStyle w:val="Hyperlink"/>
                <w:noProof/>
              </w:rPr>
              <w:t>A.10. Protection of the Privacy and Confidentiality of Information Provided by Respondents</w:t>
            </w:r>
            <w:r w:rsidR="00346D5C">
              <w:rPr>
                <w:noProof/>
                <w:webHidden/>
              </w:rPr>
              <w:tab/>
            </w:r>
            <w:r w:rsidR="00346D5C">
              <w:rPr>
                <w:noProof/>
                <w:webHidden/>
              </w:rPr>
              <w:fldChar w:fldCharType="begin"/>
            </w:r>
            <w:r w:rsidR="00346D5C">
              <w:rPr>
                <w:noProof/>
                <w:webHidden/>
              </w:rPr>
              <w:instrText xml:space="preserve"> PAGEREF _Toc435518570 \h </w:instrText>
            </w:r>
            <w:r w:rsidR="00346D5C">
              <w:rPr>
                <w:noProof/>
                <w:webHidden/>
              </w:rPr>
            </w:r>
            <w:r w:rsidR="00346D5C">
              <w:rPr>
                <w:noProof/>
                <w:webHidden/>
              </w:rPr>
              <w:fldChar w:fldCharType="separate"/>
            </w:r>
            <w:r w:rsidR="00346D5C">
              <w:rPr>
                <w:noProof/>
                <w:webHidden/>
              </w:rPr>
              <w:t>10</w:t>
            </w:r>
            <w:r w:rsidR="00346D5C">
              <w:rPr>
                <w:noProof/>
                <w:webHidden/>
              </w:rPr>
              <w:fldChar w:fldCharType="end"/>
            </w:r>
          </w:hyperlink>
        </w:p>
        <w:p w14:paraId="260111AC" w14:textId="77777777" w:rsidR="00346D5C" w:rsidRDefault="00A469E5">
          <w:pPr>
            <w:pStyle w:val="TOC1"/>
            <w:tabs>
              <w:tab w:val="right" w:leader="dot" w:pos="9350"/>
            </w:tabs>
            <w:rPr>
              <w:noProof/>
              <w:sz w:val="22"/>
              <w:szCs w:val="22"/>
            </w:rPr>
          </w:pPr>
          <w:hyperlink w:anchor="_Toc435518571" w:history="1">
            <w:r w:rsidR="00346D5C" w:rsidRPr="00D427CB">
              <w:rPr>
                <w:rStyle w:val="Hyperlink"/>
                <w:noProof/>
              </w:rPr>
              <w:t>A.11. Institutional Review Board (IRB) and Justification for Sensitive Questions</w:t>
            </w:r>
            <w:r w:rsidR="00346D5C">
              <w:rPr>
                <w:noProof/>
                <w:webHidden/>
              </w:rPr>
              <w:tab/>
            </w:r>
            <w:r w:rsidR="00346D5C">
              <w:rPr>
                <w:noProof/>
                <w:webHidden/>
              </w:rPr>
              <w:fldChar w:fldCharType="begin"/>
            </w:r>
            <w:r w:rsidR="00346D5C">
              <w:rPr>
                <w:noProof/>
                <w:webHidden/>
              </w:rPr>
              <w:instrText xml:space="preserve"> PAGEREF _Toc435518571 \h </w:instrText>
            </w:r>
            <w:r w:rsidR="00346D5C">
              <w:rPr>
                <w:noProof/>
                <w:webHidden/>
              </w:rPr>
            </w:r>
            <w:r w:rsidR="00346D5C">
              <w:rPr>
                <w:noProof/>
                <w:webHidden/>
              </w:rPr>
              <w:fldChar w:fldCharType="separate"/>
            </w:r>
            <w:r w:rsidR="00346D5C">
              <w:rPr>
                <w:noProof/>
                <w:webHidden/>
              </w:rPr>
              <w:t>11</w:t>
            </w:r>
            <w:r w:rsidR="00346D5C">
              <w:rPr>
                <w:noProof/>
                <w:webHidden/>
              </w:rPr>
              <w:fldChar w:fldCharType="end"/>
            </w:r>
          </w:hyperlink>
        </w:p>
        <w:p w14:paraId="120FC47C" w14:textId="77777777" w:rsidR="00346D5C" w:rsidRDefault="00A469E5">
          <w:pPr>
            <w:pStyle w:val="TOC1"/>
            <w:tabs>
              <w:tab w:val="right" w:leader="dot" w:pos="9350"/>
            </w:tabs>
            <w:rPr>
              <w:noProof/>
              <w:sz w:val="22"/>
              <w:szCs w:val="22"/>
            </w:rPr>
          </w:pPr>
          <w:hyperlink w:anchor="_Toc435518572" w:history="1">
            <w:r w:rsidR="00346D5C" w:rsidRPr="00D427CB">
              <w:rPr>
                <w:rStyle w:val="Hyperlink"/>
                <w:noProof/>
              </w:rPr>
              <w:t>A.12. Estimates of Annualized Burden Hours and Costs</w:t>
            </w:r>
            <w:r w:rsidR="00346D5C">
              <w:rPr>
                <w:noProof/>
                <w:webHidden/>
              </w:rPr>
              <w:tab/>
            </w:r>
            <w:r w:rsidR="00346D5C">
              <w:rPr>
                <w:noProof/>
                <w:webHidden/>
              </w:rPr>
              <w:fldChar w:fldCharType="begin"/>
            </w:r>
            <w:r w:rsidR="00346D5C">
              <w:rPr>
                <w:noProof/>
                <w:webHidden/>
              </w:rPr>
              <w:instrText xml:space="preserve"> PAGEREF _Toc435518572 \h </w:instrText>
            </w:r>
            <w:r w:rsidR="00346D5C">
              <w:rPr>
                <w:noProof/>
                <w:webHidden/>
              </w:rPr>
            </w:r>
            <w:r w:rsidR="00346D5C">
              <w:rPr>
                <w:noProof/>
                <w:webHidden/>
              </w:rPr>
              <w:fldChar w:fldCharType="separate"/>
            </w:r>
            <w:r w:rsidR="00346D5C">
              <w:rPr>
                <w:noProof/>
                <w:webHidden/>
              </w:rPr>
              <w:t>12</w:t>
            </w:r>
            <w:r w:rsidR="00346D5C">
              <w:rPr>
                <w:noProof/>
                <w:webHidden/>
              </w:rPr>
              <w:fldChar w:fldCharType="end"/>
            </w:r>
          </w:hyperlink>
        </w:p>
        <w:p w14:paraId="01F18A17" w14:textId="77777777" w:rsidR="00346D5C" w:rsidRDefault="00A469E5">
          <w:pPr>
            <w:pStyle w:val="TOC1"/>
            <w:tabs>
              <w:tab w:val="right" w:leader="dot" w:pos="9350"/>
            </w:tabs>
            <w:rPr>
              <w:noProof/>
              <w:sz w:val="22"/>
              <w:szCs w:val="22"/>
            </w:rPr>
          </w:pPr>
          <w:hyperlink w:anchor="_Toc435518573" w:history="1">
            <w:r w:rsidR="00346D5C" w:rsidRPr="00D427CB">
              <w:rPr>
                <w:rStyle w:val="Hyperlink"/>
                <w:noProof/>
              </w:rPr>
              <w:t>A.13. Estimates of Other Total Annual Cost Burden to Respondents and Record Keepers</w:t>
            </w:r>
            <w:r w:rsidR="00346D5C">
              <w:rPr>
                <w:noProof/>
                <w:webHidden/>
              </w:rPr>
              <w:tab/>
            </w:r>
            <w:r w:rsidR="00346D5C">
              <w:rPr>
                <w:noProof/>
                <w:webHidden/>
              </w:rPr>
              <w:fldChar w:fldCharType="begin"/>
            </w:r>
            <w:r w:rsidR="00346D5C">
              <w:rPr>
                <w:noProof/>
                <w:webHidden/>
              </w:rPr>
              <w:instrText xml:space="preserve"> PAGEREF _Toc435518573 \h </w:instrText>
            </w:r>
            <w:r w:rsidR="00346D5C">
              <w:rPr>
                <w:noProof/>
                <w:webHidden/>
              </w:rPr>
            </w:r>
            <w:r w:rsidR="00346D5C">
              <w:rPr>
                <w:noProof/>
                <w:webHidden/>
              </w:rPr>
              <w:fldChar w:fldCharType="separate"/>
            </w:r>
            <w:r w:rsidR="00346D5C">
              <w:rPr>
                <w:noProof/>
                <w:webHidden/>
              </w:rPr>
              <w:t>14</w:t>
            </w:r>
            <w:r w:rsidR="00346D5C">
              <w:rPr>
                <w:noProof/>
                <w:webHidden/>
              </w:rPr>
              <w:fldChar w:fldCharType="end"/>
            </w:r>
          </w:hyperlink>
        </w:p>
        <w:p w14:paraId="2A4B3AF2" w14:textId="77777777" w:rsidR="00346D5C" w:rsidRDefault="00A469E5">
          <w:pPr>
            <w:pStyle w:val="TOC1"/>
            <w:tabs>
              <w:tab w:val="right" w:leader="dot" w:pos="9350"/>
            </w:tabs>
            <w:rPr>
              <w:noProof/>
              <w:sz w:val="22"/>
              <w:szCs w:val="22"/>
            </w:rPr>
          </w:pPr>
          <w:hyperlink w:anchor="_Toc435518574" w:history="1">
            <w:r w:rsidR="00346D5C" w:rsidRPr="00D427CB">
              <w:rPr>
                <w:rStyle w:val="Hyperlink"/>
                <w:noProof/>
              </w:rPr>
              <w:t>A.14. Annualized Cost to the Federal Government</w:t>
            </w:r>
            <w:r w:rsidR="00346D5C">
              <w:rPr>
                <w:noProof/>
                <w:webHidden/>
              </w:rPr>
              <w:tab/>
            </w:r>
            <w:r w:rsidR="00346D5C">
              <w:rPr>
                <w:noProof/>
                <w:webHidden/>
              </w:rPr>
              <w:fldChar w:fldCharType="begin"/>
            </w:r>
            <w:r w:rsidR="00346D5C">
              <w:rPr>
                <w:noProof/>
                <w:webHidden/>
              </w:rPr>
              <w:instrText xml:space="preserve"> PAGEREF _Toc435518574 \h </w:instrText>
            </w:r>
            <w:r w:rsidR="00346D5C">
              <w:rPr>
                <w:noProof/>
                <w:webHidden/>
              </w:rPr>
            </w:r>
            <w:r w:rsidR="00346D5C">
              <w:rPr>
                <w:noProof/>
                <w:webHidden/>
              </w:rPr>
              <w:fldChar w:fldCharType="separate"/>
            </w:r>
            <w:r w:rsidR="00346D5C">
              <w:rPr>
                <w:noProof/>
                <w:webHidden/>
              </w:rPr>
              <w:t>14</w:t>
            </w:r>
            <w:r w:rsidR="00346D5C">
              <w:rPr>
                <w:noProof/>
                <w:webHidden/>
              </w:rPr>
              <w:fldChar w:fldCharType="end"/>
            </w:r>
          </w:hyperlink>
        </w:p>
        <w:p w14:paraId="23211E4D" w14:textId="77777777" w:rsidR="00346D5C" w:rsidRDefault="00A469E5">
          <w:pPr>
            <w:pStyle w:val="TOC1"/>
            <w:tabs>
              <w:tab w:val="right" w:leader="dot" w:pos="9350"/>
            </w:tabs>
            <w:rPr>
              <w:noProof/>
              <w:sz w:val="22"/>
              <w:szCs w:val="22"/>
            </w:rPr>
          </w:pPr>
          <w:hyperlink w:anchor="_Toc435518575" w:history="1">
            <w:r w:rsidR="00346D5C" w:rsidRPr="00D427CB">
              <w:rPr>
                <w:rStyle w:val="Hyperlink"/>
                <w:noProof/>
              </w:rPr>
              <w:t>A.15. Explanation for Program Changes or Adjustments</w:t>
            </w:r>
            <w:r w:rsidR="00346D5C">
              <w:rPr>
                <w:noProof/>
                <w:webHidden/>
              </w:rPr>
              <w:tab/>
            </w:r>
            <w:r w:rsidR="00346D5C">
              <w:rPr>
                <w:noProof/>
                <w:webHidden/>
              </w:rPr>
              <w:fldChar w:fldCharType="begin"/>
            </w:r>
            <w:r w:rsidR="00346D5C">
              <w:rPr>
                <w:noProof/>
                <w:webHidden/>
              </w:rPr>
              <w:instrText xml:space="preserve"> PAGEREF _Toc435518575 \h </w:instrText>
            </w:r>
            <w:r w:rsidR="00346D5C">
              <w:rPr>
                <w:noProof/>
                <w:webHidden/>
              </w:rPr>
            </w:r>
            <w:r w:rsidR="00346D5C">
              <w:rPr>
                <w:noProof/>
                <w:webHidden/>
              </w:rPr>
              <w:fldChar w:fldCharType="separate"/>
            </w:r>
            <w:r w:rsidR="00346D5C">
              <w:rPr>
                <w:noProof/>
                <w:webHidden/>
              </w:rPr>
              <w:t>14</w:t>
            </w:r>
            <w:r w:rsidR="00346D5C">
              <w:rPr>
                <w:noProof/>
                <w:webHidden/>
              </w:rPr>
              <w:fldChar w:fldCharType="end"/>
            </w:r>
          </w:hyperlink>
        </w:p>
        <w:p w14:paraId="489425EC" w14:textId="77777777" w:rsidR="00346D5C" w:rsidRDefault="00A469E5">
          <w:pPr>
            <w:pStyle w:val="TOC1"/>
            <w:tabs>
              <w:tab w:val="right" w:leader="dot" w:pos="9350"/>
            </w:tabs>
            <w:rPr>
              <w:noProof/>
              <w:sz w:val="22"/>
              <w:szCs w:val="22"/>
            </w:rPr>
          </w:pPr>
          <w:hyperlink w:anchor="_Toc435518576" w:history="1">
            <w:r w:rsidR="00346D5C" w:rsidRPr="00D427CB">
              <w:rPr>
                <w:rStyle w:val="Hyperlink"/>
                <w:noProof/>
              </w:rPr>
              <w:t>A.16. Plans for Tabulation and Publication and Project Time Schedule</w:t>
            </w:r>
            <w:r w:rsidR="00346D5C">
              <w:rPr>
                <w:noProof/>
                <w:webHidden/>
              </w:rPr>
              <w:tab/>
            </w:r>
            <w:r w:rsidR="00346D5C">
              <w:rPr>
                <w:noProof/>
                <w:webHidden/>
              </w:rPr>
              <w:fldChar w:fldCharType="begin"/>
            </w:r>
            <w:r w:rsidR="00346D5C">
              <w:rPr>
                <w:noProof/>
                <w:webHidden/>
              </w:rPr>
              <w:instrText xml:space="preserve"> PAGEREF _Toc435518576 \h </w:instrText>
            </w:r>
            <w:r w:rsidR="00346D5C">
              <w:rPr>
                <w:noProof/>
                <w:webHidden/>
              </w:rPr>
            </w:r>
            <w:r w:rsidR="00346D5C">
              <w:rPr>
                <w:noProof/>
                <w:webHidden/>
              </w:rPr>
              <w:fldChar w:fldCharType="separate"/>
            </w:r>
            <w:r w:rsidR="00346D5C">
              <w:rPr>
                <w:noProof/>
                <w:webHidden/>
              </w:rPr>
              <w:t>14</w:t>
            </w:r>
            <w:r w:rsidR="00346D5C">
              <w:rPr>
                <w:noProof/>
                <w:webHidden/>
              </w:rPr>
              <w:fldChar w:fldCharType="end"/>
            </w:r>
          </w:hyperlink>
        </w:p>
        <w:p w14:paraId="767FA02E" w14:textId="77777777" w:rsidR="00346D5C" w:rsidRDefault="00A469E5">
          <w:pPr>
            <w:pStyle w:val="TOC1"/>
            <w:tabs>
              <w:tab w:val="right" w:leader="dot" w:pos="9350"/>
            </w:tabs>
            <w:rPr>
              <w:noProof/>
              <w:sz w:val="22"/>
              <w:szCs w:val="22"/>
            </w:rPr>
          </w:pPr>
          <w:hyperlink w:anchor="_Toc435518577" w:history="1">
            <w:r w:rsidR="00346D5C" w:rsidRPr="00D427CB">
              <w:rPr>
                <w:rStyle w:val="Hyperlink"/>
                <w:noProof/>
              </w:rPr>
              <w:t>A.17. Reason(s) Display of OMB Expiration Date is Inappropriate</w:t>
            </w:r>
            <w:r w:rsidR="00346D5C">
              <w:rPr>
                <w:noProof/>
                <w:webHidden/>
              </w:rPr>
              <w:tab/>
            </w:r>
            <w:r w:rsidR="00346D5C">
              <w:rPr>
                <w:noProof/>
                <w:webHidden/>
              </w:rPr>
              <w:fldChar w:fldCharType="begin"/>
            </w:r>
            <w:r w:rsidR="00346D5C">
              <w:rPr>
                <w:noProof/>
                <w:webHidden/>
              </w:rPr>
              <w:instrText xml:space="preserve"> PAGEREF _Toc435518577 \h </w:instrText>
            </w:r>
            <w:r w:rsidR="00346D5C">
              <w:rPr>
                <w:noProof/>
                <w:webHidden/>
              </w:rPr>
            </w:r>
            <w:r w:rsidR="00346D5C">
              <w:rPr>
                <w:noProof/>
                <w:webHidden/>
              </w:rPr>
              <w:fldChar w:fldCharType="separate"/>
            </w:r>
            <w:r w:rsidR="00346D5C">
              <w:rPr>
                <w:noProof/>
                <w:webHidden/>
              </w:rPr>
              <w:t>15</w:t>
            </w:r>
            <w:r w:rsidR="00346D5C">
              <w:rPr>
                <w:noProof/>
                <w:webHidden/>
              </w:rPr>
              <w:fldChar w:fldCharType="end"/>
            </w:r>
          </w:hyperlink>
        </w:p>
        <w:p w14:paraId="1930EF90" w14:textId="77777777" w:rsidR="00346D5C" w:rsidRDefault="00A469E5">
          <w:pPr>
            <w:pStyle w:val="TOC1"/>
            <w:tabs>
              <w:tab w:val="right" w:leader="dot" w:pos="9350"/>
            </w:tabs>
            <w:rPr>
              <w:noProof/>
              <w:sz w:val="22"/>
              <w:szCs w:val="22"/>
            </w:rPr>
          </w:pPr>
          <w:hyperlink w:anchor="_Toc435518578" w:history="1">
            <w:r w:rsidR="00346D5C" w:rsidRPr="00D427CB">
              <w:rPr>
                <w:rStyle w:val="Hyperlink"/>
                <w:noProof/>
              </w:rPr>
              <w:t>A.18. Exceptions to Certification for Paperwork Reduction Act Submissions</w:t>
            </w:r>
            <w:r w:rsidR="00346D5C">
              <w:rPr>
                <w:noProof/>
                <w:webHidden/>
              </w:rPr>
              <w:tab/>
            </w:r>
            <w:r w:rsidR="00346D5C">
              <w:rPr>
                <w:noProof/>
                <w:webHidden/>
              </w:rPr>
              <w:fldChar w:fldCharType="begin"/>
            </w:r>
            <w:r w:rsidR="00346D5C">
              <w:rPr>
                <w:noProof/>
                <w:webHidden/>
              </w:rPr>
              <w:instrText xml:space="preserve"> PAGEREF _Toc435518578 \h </w:instrText>
            </w:r>
            <w:r w:rsidR="00346D5C">
              <w:rPr>
                <w:noProof/>
                <w:webHidden/>
              </w:rPr>
            </w:r>
            <w:r w:rsidR="00346D5C">
              <w:rPr>
                <w:noProof/>
                <w:webHidden/>
              </w:rPr>
              <w:fldChar w:fldCharType="separate"/>
            </w:r>
            <w:r w:rsidR="00346D5C">
              <w:rPr>
                <w:noProof/>
                <w:webHidden/>
              </w:rPr>
              <w:t>15</w:t>
            </w:r>
            <w:r w:rsidR="00346D5C">
              <w:rPr>
                <w:noProof/>
                <w:webHidden/>
              </w:rPr>
              <w:fldChar w:fldCharType="end"/>
            </w:r>
          </w:hyperlink>
        </w:p>
        <w:p w14:paraId="05631BB1" w14:textId="77777777" w:rsidR="00346D5C" w:rsidRDefault="00A469E5">
          <w:pPr>
            <w:pStyle w:val="TOC1"/>
            <w:tabs>
              <w:tab w:val="right" w:leader="dot" w:pos="9350"/>
            </w:tabs>
            <w:rPr>
              <w:noProof/>
              <w:sz w:val="22"/>
              <w:szCs w:val="22"/>
            </w:rPr>
          </w:pPr>
          <w:hyperlink w:anchor="_Toc435518579" w:history="1">
            <w:r w:rsidR="00346D5C" w:rsidRPr="00D427CB">
              <w:rPr>
                <w:rStyle w:val="Hyperlink"/>
                <w:rFonts w:ascii="Cambria" w:hAnsi="Cambria"/>
                <w:noProof/>
              </w:rPr>
              <w:t>List of Attachments</w:t>
            </w:r>
            <w:r w:rsidR="00346D5C">
              <w:rPr>
                <w:noProof/>
                <w:webHidden/>
              </w:rPr>
              <w:tab/>
            </w:r>
            <w:r w:rsidR="00346D5C">
              <w:rPr>
                <w:noProof/>
                <w:webHidden/>
              </w:rPr>
              <w:fldChar w:fldCharType="begin"/>
            </w:r>
            <w:r w:rsidR="00346D5C">
              <w:rPr>
                <w:noProof/>
                <w:webHidden/>
              </w:rPr>
              <w:instrText xml:space="preserve"> PAGEREF _Toc435518579 \h </w:instrText>
            </w:r>
            <w:r w:rsidR="00346D5C">
              <w:rPr>
                <w:noProof/>
                <w:webHidden/>
              </w:rPr>
            </w:r>
            <w:r w:rsidR="00346D5C">
              <w:rPr>
                <w:noProof/>
                <w:webHidden/>
              </w:rPr>
              <w:fldChar w:fldCharType="separate"/>
            </w:r>
            <w:r w:rsidR="00346D5C">
              <w:rPr>
                <w:noProof/>
                <w:webHidden/>
              </w:rPr>
              <w:t>16</w:t>
            </w:r>
            <w:r w:rsidR="00346D5C">
              <w:rPr>
                <w:noProof/>
                <w:webHidden/>
              </w:rPr>
              <w:fldChar w:fldCharType="end"/>
            </w:r>
          </w:hyperlink>
        </w:p>
        <w:p w14:paraId="032A377A" w14:textId="28D1D2A9" w:rsidR="009B765E" w:rsidRPr="00D20211" w:rsidRDefault="009B765E">
          <w:r w:rsidRPr="00D20211">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3C8FD71A">
                <wp:simplePos x="0" y="0"/>
                <wp:positionH relativeFrom="margin">
                  <wp:align>left</wp:align>
                </wp:positionH>
                <wp:positionV relativeFrom="paragraph">
                  <wp:posOffset>495300</wp:posOffset>
                </wp:positionV>
                <wp:extent cx="6124575" cy="3200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200400"/>
                        </a:xfrm>
                        <a:prstGeom prst="rect">
                          <a:avLst/>
                        </a:prstGeom>
                        <a:solidFill>
                          <a:srgbClr val="FFFFFF"/>
                        </a:solidFill>
                        <a:ln w="9525">
                          <a:solidFill>
                            <a:srgbClr val="000000"/>
                          </a:solidFill>
                          <a:miter lim="800000"/>
                          <a:headEnd/>
                          <a:tailEnd/>
                        </a:ln>
                      </wps:spPr>
                      <wps:txbx>
                        <w:txbxContent>
                          <w:p w14:paraId="09EAF2A1" w14:textId="271D28BE" w:rsidR="000A6DDA" w:rsidRPr="00696CAB" w:rsidRDefault="000A6DDA" w:rsidP="00B676FA">
                            <w:pPr>
                              <w:pStyle w:val="ListParagraph"/>
                              <w:numPr>
                                <w:ilvl w:val="0"/>
                                <w:numId w:val="2"/>
                              </w:numPr>
                              <w:spacing w:before="120" w:after="0" w:line="240" w:lineRule="auto"/>
                              <w:rPr>
                                <w:sz w:val="24"/>
                                <w:szCs w:val="24"/>
                              </w:rPr>
                            </w:pPr>
                            <w:r w:rsidRPr="00C82842">
                              <w:rPr>
                                <w:b/>
                                <w:sz w:val="24"/>
                                <w:szCs w:val="24"/>
                              </w:rPr>
                              <w:t>Goal of the study:</w:t>
                            </w:r>
                            <w:r w:rsidRPr="00696CAB">
                              <w:rPr>
                                <w:sz w:val="24"/>
                                <w:szCs w:val="24"/>
                              </w:rPr>
                              <w:t xml:space="preserve"> The goal of the study is to better understand the relationship between uranium exposures and birth outcomes and early developmental delays on the Navajo Nation. As supplemental funding has been received, this is an extension request to continue data collection for an additional three years.</w:t>
                            </w:r>
                          </w:p>
                          <w:p w14:paraId="6300AFF7" w14:textId="68FF8C56" w:rsidR="000A6DDA" w:rsidRPr="00696CAB" w:rsidRDefault="000A6DDA" w:rsidP="00B676FA">
                            <w:pPr>
                              <w:pStyle w:val="ListParagraph"/>
                              <w:numPr>
                                <w:ilvl w:val="0"/>
                                <w:numId w:val="2"/>
                              </w:numPr>
                              <w:spacing w:before="120" w:after="0" w:line="240" w:lineRule="auto"/>
                              <w:rPr>
                                <w:sz w:val="24"/>
                                <w:szCs w:val="24"/>
                              </w:rPr>
                            </w:pPr>
                            <w:r w:rsidRPr="00C82842">
                              <w:rPr>
                                <w:b/>
                                <w:sz w:val="24"/>
                                <w:szCs w:val="24"/>
                              </w:rPr>
                              <w:t>Intended use of the resulting data:</w:t>
                            </w:r>
                            <w:r w:rsidRPr="00696CAB">
                              <w:rPr>
                                <w:sz w:val="24"/>
                                <w:szCs w:val="24"/>
                              </w:rPr>
                              <w:t xml:space="preserve"> The data will be used to provide outreach and education on the importance of prenatal care, investigation of environmental prenatal risks, earlier assessment and referral for infants with suspected developmental delays, and a comprehensive assessment of nutrient values and reproductive health outcomes.</w:t>
                            </w:r>
                          </w:p>
                          <w:p w14:paraId="45A17586" w14:textId="2D9EB61F" w:rsidR="000A6DDA" w:rsidRPr="00F22A40" w:rsidRDefault="000A6DDA" w:rsidP="00B676FA">
                            <w:pPr>
                              <w:pStyle w:val="ListParagraph"/>
                              <w:numPr>
                                <w:ilvl w:val="0"/>
                                <w:numId w:val="2"/>
                              </w:numPr>
                              <w:spacing w:before="240" w:line="240" w:lineRule="auto"/>
                              <w:rPr>
                                <w:sz w:val="24"/>
                                <w:szCs w:val="24"/>
                              </w:rPr>
                            </w:pPr>
                            <w:r w:rsidRPr="00C82842">
                              <w:rPr>
                                <w:b/>
                                <w:sz w:val="24"/>
                                <w:szCs w:val="24"/>
                              </w:rPr>
                              <w:t>Methods to be used to collect</w:t>
                            </w:r>
                            <w:r>
                              <w:rPr>
                                <w:b/>
                                <w:sz w:val="24"/>
                                <w:szCs w:val="24"/>
                              </w:rPr>
                              <w:t xml:space="preserve"> data</w:t>
                            </w:r>
                            <w:r w:rsidRPr="00C82842">
                              <w:rPr>
                                <w:b/>
                                <w:sz w:val="24"/>
                                <w:szCs w:val="24"/>
                              </w:rPr>
                              <w:t>:</w:t>
                            </w:r>
                            <w:r w:rsidRPr="00F22A40">
                              <w:rPr>
                                <w:sz w:val="24"/>
                                <w:szCs w:val="24"/>
                              </w:rPr>
                              <w:t xml:space="preserve">  The methodology is a prospective birth cohort study aimed at enrolling pregnant Navajo women and conducting follow-up assessment of the infants through one year of age.</w:t>
                            </w:r>
                            <w:r w:rsidR="007269B7">
                              <w:rPr>
                                <w:sz w:val="24"/>
                                <w:szCs w:val="24"/>
                              </w:rPr>
                              <w:t xml:space="preserve"> The infants’ fathers will also be enrolled.</w:t>
                            </w:r>
                          </w:p>
                          <w:p w14:paraId="2EB7AA17" w14:textId="5D350763" w:rsidR="000A6DDA" w:rsidRPr="00F22A40" w:rsidRDefault="000A6DDA" w:rsidP="00B676FA">
                            <w:pPr>
                              <w:pStyle w:val="ListParagraph"/>
                              <w:numPr>
                                <w:ilvl w:val="0"/>
                                <w:numId w:val="2"/>
                              </w:numPr>
                              <w:spacing w:before="240" w:line="240" w:lineRule="auto"/>
                              <w:rPr>
                                <w:sz w:val="24"/>
                                <w:szCs w:val="24"/>
                              </w:rPr>
                            </w:pPr>
                            <w:r w:rsidRPr="00C82842">
                              <w:rPr>
                                <w:b/>
                                <w:sz w:val="24"/>
                                <w:szCs w:val="24"/>
                              </w:rPr>
                              <w:t>Subpopulation to be studied</w:t>
                            </w:r>
                            <w:r w:rsidRPr="00F22A40">
                              <w:rPr>
                                <w:sz w:val="24"/>
                                <w:szCs w:val="24"/>
                              </w:rPr>
                              <w:t>:  Pregnant Navajo women</w:t>
                            </w:r>
                            <w:r w:rsidR="007269B7">
                              <w:rPr>
                                <w:sz w:val="24"/>
                                <w:szCs w:val="24"/>
                              </w:rPr>
                              <w:t>, fathers,</w:t>
                            </w:r>
                            <w:r w:rsidRPr="00F22A40">
                              <w:rPr>
                                <w:sz w:val="24"/>
                                <w:szCs w:val="24"/>
                              </w:rPr>
                              <w:t xml:space="preserve"> and their infants</w:t>
                            </w:r>
                          </w:p>
                          <w:p w14:paraId="4455BF0A" w14:textId="490F31C3" w:rsidR="000A6DDA" w:rsidRPr="00F22A40" w:rsidRDefault="000A6DDA" w:rsidP="00B676FA">
                            <w:pPr>
                              <w:pStyle w:val="ListParagraph"/>
                              <w:numPr>
                                <w:ilvl w:val="0"/>
                                <w:numId w:val="2"/>
                              </w:numPr>
                              <w:spacing w:before="240" w:line="240" w:lineRule="auto"/>
                              <w:rPr>
                                <w:sz w:val="24"/>
                                <w:szCs w:val="24"/>
                              </w:rPr>
                            </w:pPr>
                            <w:r w:rsidRPr="00C82842">
                              <w:rPr>
                                <w:b/>
                                <w:sz w:val="24"/>
                                <w:szCs w:val="24"/>
                              </w:rPr>
                              <w:t>How data will be analyzed</w:t>
                            </w:r>
                            <w:r w:rsidRPr="00F22A40">
                              <w:rPr>
                                <w:sz w:val="24"/>
                                <w:szCs w:val="24"/>
                              </w:rPr>
                              <w:t xml:space="preserve">:  A variety of statistical methods will be used in the </w:t>
                            </w:r>
                            <w:r>
                              <w:rPr>
                                <w:sz w:val="24"/>
                                <w:szCs w:val="24"/>
                              </w:rPr>
                              <w:t xml:space="preserve">data </w:t>
                            </w:r>
                            <w:r w:rsidRPr="00F22A40">
                              <w:rPr>
                                <w:sz w:val="24"/>
                                <w:szCs w:val="24"/>
                              </w:rPr>
                              <w:t xml:space="preserve">analysis, including nonparametric methods, such as </w:t>
                            </w:r>
                            <w:r w:rsidR="00115A8D">
                              <w:rPr>
                                <w:sz w:val="24"/>
                                <w:szCs w:val="24"/>
                              </w:rPr>
                              <w:t>LOWESS</w:t>
                            </w:r>
                            <w:r w:rsidRPr="00696CAB">
                              <w:rPr>
                                <w:sz w:val="24"/>
                                <w:szCs w:val="24"/>
                              </w:rPr>
                              <w:t xml:space="preserve">, </w:t>
                            </w:r>
                            <w:r>
                              <w:rPr>
                                <w:sz w:val="24"/>
                                <w:szCs w:val="24"/>
                              </w:rPr>
                              <w:t xml:space="preserve">and </w:t>
                            </w:r>
                            <w:r w:rsidRPr="00696CAB">
                              <w:rPr>
                                <w:sz w:val="24"/>
                                <w:szCs w:val="24"/>
                              </w:rPr>
                              <w:t xml:space="preserve">regression models, such as Cox proportional hazards regression, and generalized mixed effect models.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3FF57" id="_x0000_t202" coordsize="21600,21600" o:spt="202" path="m,l,21600r21600,l21600,xe">
                <v:stroke joinstyle="miter"/>
                <v:path gradientshapeok="t" o:connecttype="rect"/>
              </v:shapetype>
              <v:shape id="Text Box 2" o:spid="_x0000_s1026" type="#_x0000_t202" style="position:absolute;margin-left:0;margin-top:39pt;width:482.25pt;height:2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OrIwIAAEUEAAAOAAAAZHJzL2Uyb0RvYy54bWysU9uO0zAQfUfiHyy/06SlXXajpqulSxHS&#10;cpF2+YCJ4zQWjsfYbpPy9YydbomAJ0QeLNszPjlzzsz6dug0O0rnFZqSz2c5Z9IIrJXZl/zr0+7V&#10;NWc+gKlBo5ElP0nPbzcvX6x7W8gFtqhr6RiBGF/0tuRtCLbIMi9a2YGfoZWGgg26DgId3T6rHfSE&#10;3ulskedXWY+utg6F9J5u78cg3yT8ppEifG4aLwPTJSduIa0urVVcs80air0D2ypxpgH/wKIDZein&#10;F6h7CMAOTv0B1Snh0GMTZgK7DJtGCZlqoGrm+W/VPLZgZaqFxPH2IpP/f7Di0/GLY6om7zgz0JFF&#10;T3II7C0ObBHV6a0vKOnRUloY6Dpmxkq9fUDxzTOD2xbMXt45h30roSZ28/gymzwdcXwEqfqPWNNv&#10;4BAwAQ2N6yIgicEInVw6XZyJVARdXs0Xy9WbFWeCYq/J+GWevMugeH5unQ/vJXYsbkruyPoED8cH&#10;HyIdKJ5TEn3Uqt4prdPB7autduwI1Ca79KUKqMppmjasL/nNarEaFZjG/BQiT9/fIDoVqN+16kp+&#10;fUmCIur2ztSpGwMoPe6JsjZnIaN2o4phqIazMRXWJ5LU4djXNIe0adH94Kynni65/34AJznTHwzZ&#10;cjNfLuMQpAPpuaCDm0aqaQSMIKiSB87G7TakwYmCGbwj+xqVhI0+j0zOXKlXk97nuYrDMD2nrF/T&#10;v/kJAAD//wMAUEsDBBQABgAIAAAAIQBOwTba3gAAAAcBAAAPAAAAZHJzL2Rvd25yZXYueG1sTI/B&#10;TsMwEETvSPyDtUhcEHUobZqGOBVCAsENCoKrG2+TCHsdbDcNf89ygtNqNKOZt9VmclaMGGLvScHV&#10;LAOB1HjTU6vg7fX+sgARkyajrSdU8I0RNvXpSaVL44/0guM2tYJLKJZaQZfSUEoZmw6djjM/ILG3&#10;98HpxDK00gR95HJn5TzLcul0T7zQ6QHvOmw+twenoFg8jh/x6fr5vcn3dp0uVuPDV1Dq/Gy6vQGR&#10;cEp/YfjFZ3SomWnnD2SisAr4kaRgVfBld50vliB2CpbFPANZV/I/f/0DAAD//wMAUEsBAi0AFAAG&#10;AAgAAAAhALaDOJL+AAAA4QEAABMAAAAAAAAAAAAAAAAAAAAAAFtDb250ZW50X1R5cGVzXS54bWxQ&#10;SwECLQAUAAYACAAAACEAOP0h/9YAAACUAQAACwAAAAAAAAAAAAAAAAAvAQAAX3JlbHMvLnJlbHNQ&#10;SwECLQAUAAYACAAAACEAKlEDqyMCAABFBAAADgAAAAAAAAAAAAAAAAAuAgAAZHJzL2Uyb0RvYy54&#10;bWxQSwECLQAUAAYACAAAACEATsE22t4AAAAHAQAADwAAAAAAAAAAAAAAAAB9BAAAZHJzL2Rvd25y&#10;ZXYueG1sUEsFBgAAAAAEAAQA8wAAAIgFAAAAAA==&#10;">
                <v:textbox>
                  <w:txbxContent>
                    <w:p w14:paraId="09EAF2A1" w14:textId="271D28BE" w:rsidR="000A6DDA" w:rsidRPr="00696CAB" w:rsidRDefault="000A6DDA" w:rsidP="00B676FA">
                      <w:pPr>
                        <w:pStyle w:val="ListParagraph"/>
                        <w:numPr>
                          <w:ilvl w:val="0"/>
                          <w:numId w:val="2"/>
                        </w:numPr>
                        <w:spacing w:before="120" w:after="0" w:line="240" w:lineRule="auto"/>
                        <w:rPr>
                          <w:sz w:val="24"/>
                          <w:szCs w:val="24"/>
                        </w:rPr>
                      </w:pPr>
                      <w:r w:rsidRPr="00C82842">
                        <w:rPr>
                          <w:b/>
                          <w:sz w:val="24"/>
                          <w:szCs w:val="24"/>
                        </w:rPr>
                        <w:t>Goal of the study:</w:t>
                      </w:r>
                      <w:r w:rsidRPr="00696CAB">
                        <w:rPr>
                          <w:sz w:val="24"/>
                          <w:szCs w:val="24"/>
                        </w:rPr>
                        <w:t xml:space="preserve"> The goal of the study is to better understand the relationship between uranium exposures and birth outcomes and early developmental delays on the Navajo Nation. As supplemental funding has been received, this is an extension request to continue data collection for an additional three years.</w:t>
                      </w:r>
                    </w:p>
                    <w:p w14:paraId="6300AFF7" w14:textId="68FF8C56" w:rsidR="000A6DDA" w:rsidRPr="00696CAB" w:rsidRDefault="000A6DDA" w:rsidP="00B676FA">
                      <w:pPr>
                        <w:pStyle w:val="ListParagraph"/>
                        <w:numPr>
                          <w:ilvl w:val="0"/>
                          <w:numId w:val="2"/>
                        </w:numPr>
                        <w:spacing w:before="120" w:after="0" w:line="240" w:lineRule="auto"/>
                        <w:rPr>
                          <w:sz w:val="24"/>
                          <w:szCs w:val="24"/>
                        </w:rPr>
                      </w:pPr>
                      <w:r w:rsidRPr="00C82842">
                        <w:rPr>
                          <w:b/>
                          <w:sz w:val="24"/>
                          <w:szCs w:val="24"/>
                        </w:rPr>
                        <w:t>Intended use of the resulting data:</w:t>
                      </w:r>
                      <w:r w:rsidRPr="00696CAB">
                        <w:rPr>
                          <w:sz w:val="24"/>
                          <w:szCs w:val="24"/>
                        </w:rPr>
                        <w:t xml:space="preserve"> The data will be used to provide outreach and education on the importance of prenatal care, investigation of environmental prenatal risks, earlier assessment and referral for infants with suspected developmental delays, and a comprehensive assessment of nutrient values and reproductive health outcomes.</w:t>
                      </w:r>
                    </w:p>
                    <w:p w14:paraId="45A17586" w14:textId="2D9EB61F" w:rsidR="000A6DDA" w:rsidRPr="00F22A40" w:rsidRDefault="000A6DDA" w:rsidP="00B676FA">
                      <w:pPr>
                        <w:pStyle w:val="ListParagraph"/>
                        <w:numPr>
                          <w:ilvl w:val="0"/>
                          <w:numId w:val="2"/>
                        </w:numPr>
                        <w:spacing w:before="240" w:line="240" w:lineRule="auto"/>
                        <w:rPr>
                          <w:sz w:val="24"/>
                          <w:szCs w:val="24"/>
                        </w:rPr>
                      </w:pPr>
                      <w:r w:rsidRPr="00C82842">
                        <w:rPr>
                          <w:b/>
                          <w:sz w:val="24"/>
                          <w:szCs w:val="24"/>
                        </w:rPr>
                        <w:t>Methods to be used to collect</w:t>
                      </w:r>
                      <w:r>
                        <w:rPr>
                          <w:b/>
                          <w:sz w:val="24"/>
                          <w:szCs w:val="24"/>
                        </w:rPr>
                        <w:t xml:space="preserve"> data</w:t>
                      </w:r>
                      <w:r w:rsidRPr="00C82842">
                        <w:rPr>
                          <w:b/>
                          <w:sz w:val="24"/>
                          <w:szCs w:val="24"/>
                        </w:rPr>
                        <w:t>:</w:t>
                      </w:r>
                      <w:r w:rsidRPr="00F22A40">
                        <w:rPr>
                          <w:sz w:val="24"/>
                          <w:szCs w:val="24"/>
                        </w:rPr>
                        <w:t xml:space="preserve">  The methodology is a prospective birth cohort study aimed at enrolling pregnant Navajo women and conducting follow-up assessment of the infants through one year of age.</w:t>
                      </w:r>
                      <w:r w:rsidR="007269B7">
                        <w:rPr>
                          <w:sz w:val="24"/>
                          <w:szCs w:val="24"/>
                        </w:rPr>
                        <w:t xml:space="preserve"> The infants’ fathers will also be enrolled.</w:t>
                      </w:r>
                      <w:bookmarkStart w:id="3" w:name="_GoBack"/>
                      <w:bookmarkEnd w:id="3"/>
                    </w:p>
                    <w:p w14:paraId="2EB7AA17" w14:textId="5D350763" w:rsidR="000A6DDA" w:rsidRPr="00F22A40" w:rsidRDefault="000A6DDA" w:rsidP="00B676FA">
                      <w:pPr>
                        <w:pStyle w:val="ListParagraph"/>
                        <w:numPr>
                          <w:ilvl w:val="0"/>
                          <w:numId w:val="2"/>
                        </w:numPr>
                        <w:spacing w:before="240" w:line="240" w:lineRule="auto"/>
                        <w:rPr>
                          <w:sz w:val="24"/>
                          <w:szCs w:val="24"/>
                        </w:rPr>
                      </w:pPr>
                      <w:r w:rsidRPr="00C82842">
                        <w:rPr>
                          <w:b/>
                          <w:sz w:val="24"/>
                          <w:szCs w:val="24"/>
                        </w:rPr>
                        <w:t>Subpopulation to be studied</w:t>
                      </w:r>
                      <w:r w:rsidRPr="00F22A40">
                        <w:rPr>
                          <w:sz w:val="24"/>
                          <w:szCs w:val="24"/>
                        </w:rPr>
                        <w:t>:  Pregnant Navajo women</w:t>
                      </w:r>
                      <w:r w:rsidR="007269B7">
                        <w:rPr>
                          <w:sz w:val="24"/>
                          <w:szCs w:val="24"/>
                        </w:rPr>
                        <w:t>, fathers,</w:t>
                      </w:r>
                      <w:r w:rsidRPr="00F22A40">
                        <w:rPr>
                          <w:sz w:val="24"/>
                          <w:szCs w:val="24"/>
                        </w:rPr>
                        <w:t xml:space="preserve"> and their infants</w:t>
                      </w:r>
                    </w:p>
                    <w:p w14:paraId="4455BF0A" w14:textId="490F31C3" w:rsidR="000A6DDA" w:rsidRPr="00F22A40" w:rsidRDefault="000A6DDA" w:rsidP="00B676FA">
                      <w:pPr>
                        <w:pStyle w:val="ListParagraph"/>
                        <w:numPr>
                          <w:ilvl w:val="0"/>
                          <w:numId w:val="2"/>
                        </w:numPr>
                        <w:spacing w:before="240" w:line="240" w:lineRule="auto"/>
                        <w:rPr>
                          <w:sz w:val="24"/>
                          <w:szCs w:val="24"/>
                        </w:rPr>
                      </w:pPr>
                      <w:r w:rsidRPr="00C82842">
                        <w:rPr>
                          <w:b/>
                          <w:sz w:val="24"/>
                          <w:szCs w:val="24"/>
                        </w:rPr>
                        <w:t>How data will be analyzed</w:t>
                      </w:r>
                      <w:r w:rsidRPr="00F22A40">
                        <w:rPr>
                          <w:sz w:val="24"/>
                          <w:szCs w:val="24"/>
                        </w:rPr>
                        <w:t xml:space="preserve">:  A variety of statistical methods will be used in the </w:t>
                      </w:r>
                      <w:r>
                        <w:rPr>
                          <w:sz w:val="24"/>
                          <w:szCs w:val="24"/>
                        </w:rPr>
                        <w:t xml:space="preserve">data </w:t>
                      </w:r>
                      <w:r w:rsidRPr="00F22A40">
                        <w:rPr>
                          <w:sz w:val="24"/>
                          <w:szCs w:val="24"/>
                        </w:rPr>
                        <w:t xml:space="preserve">analysis, including nonparametric methods, such as </w:t>
                      </w:r>
                      <w:r w:rsidR="00115A8D">
                        <w:rPr>
                          <w:sz w:val="24"/>
                          <w:szCs w:val="24"/>
                        </w:rPr>
                        <w:t>LOWESS</w:t>
                      </w:r>
                      <w:r w:rsidRPr="00696CAB">
                        <w:rPr>
                          <w:sz w:val="24"/>
                          <w:szCs w:val="24"/>
                        </w:rPr>
                        <w:t xml:space="preserve">, </w:t>
                      </w:r>
                      <w:r>
                        <w:rPr>
                          <w:sz w:val="24"/>
                          <w:szCs w:val="24"/>
                        </w:rPr>
                        <w:t xml:space="preserve">and </w:t>
                      </w:r>
                      <w:r w:rsidRPr="00696CAB">
                        <w:rPr>
                          <w:sz w:val="24"/>
                          <w:szCs w:val="24"/>
                        </w:rPr>
                        <w:t xml:space="preserve">regression models, such as Cox proportional hazards regression, and generalized mixed effect models.  </w:t>
                      </w:r>
                    </w:p>
                  </w:txbxContent>
                </v:textbox>
                <w10:wrap type="square" anchorx="margin"/>
              </v:shape>
            </w:pict>
          </mc:Fallback>
        </mc:AlternateContent>
      </w:r>
      <w:r w:rsidRPr="00D20211">
        <w:rPr>
          <w:rFonts w:asciiTheme="majorHAnsi" w:hAnsiTheme="majorHAnsi"/>
          <w:sz w:val="36"/>
          <w:szCs w:val="36"/>
        </w:rPr>
        <w:t>Part A. Justification</w:t>
      </w:r>
    </w:p>
    <w:p w14:paraId="6564C8A5" w14:textId="227668B5" w:rsidR="00B45002" w:rsidRDefault="00FC5B5A" w:rsidP="00C03179">
      <w:pPr>
        <w:pStyle w:val="Heading1"/>
        <w:pBdr>
          <w:bottom w:val="none" w:sz="0" w:space="0" w:color="auto"/>
        </w:pBdr>
        <w:rPr>
          <w:color w:val="auto"/>
        </w:rPr>
      </w:pPr>
      <w:bookmarkStart w:id="3" w:name="_Toc435518561"/>
      <w:r w:rsidRPr="00D20211">
        <w:rPr>
          <w:color w:val="auto"/>
        </w:rPr>
        <w:t>A</w:t>
      </w:r>
      <w:r w:rsidR="0024399D" w:rsidRPr="00D20211">
        <w:rPr>
          <w:color w:val="auto"/>
        </w:rPr>
        <w:t>.</w:t>
      </w:r>
      <w:r w:rsidR="004D21C9" w:rsidRPr="00D20211">
        <w:rPr>
          <w:color w:val="auto"/>
        </w:rPr>
        <w:t>1</w:t>
      </w:r>
      <w:r w:rsidR="00D5181E" w:rsidRPr="00D20211">
        <w:rPr>
          <w:color w:val="auto"/>
        </w:rPr>
        <w:t>. Circumstances</w:t>
      </w:r>
      <w:r w:rsidR="00B45002" w:rsidRPr="00D20211">
        <w:rPr>
          <w:color w:val="auto"/>
        </w:rPr>
        <w:t xml:space="preserve"> Making the Collection of Information Necessary</w:t>
      </w:r>
      <w:bookmarkEnd w:id="3"/>
    </w:p>
    <w:p w14:paraId="226D2040" w14:textId="77777777" w:rsidR="00BD3A34" w:rsidRPr="00BD3A34" w:rsidRDefault="00BD3A34" w:rsidP="00BD3A34"/>
    <w:p w14:paraId="684819C9" w14:textId="5C6DC84B" w:rsidR="00BD3A34" w:rsidRDefault="00AC2499" w:rsidP="00AC24C7">
      <w:pPr>
        <w:spacing w:after="0" w:line="240" w:lineRule="auto"/>
        <w:rPr>
          <w:sz w:val="24"/>
          <w:szCs w:val="24"/>
        </w:rPr>
      </w:pPr>
      <w:r w:rsidRPr="00AC2499">
        <w:rPr>
          <w:sz w:val="24"/>
          <w:szCs w:val="24"/>
        </w:rPr>
        <w:t>This is an Information Collection Req</w:t>
      </w:r>
      <w:r w:rsidR="00FC5A14">
        <w:rPr>
          <w:sz w:val="24"/>
          <w:szCs w:val="24"/>
        </w:rPr>
        <w:t xml:space="preserve">uest (ICR) for an extension of the previously approved </w:t>
      </w:r>
      <w:r w:rsidRPr="00AC2499">
        <w:rPr>
          <w:sz w:val="24"/>
          <w:szCs w:val="24"/>
        </w:rPr>
        <w:t>Agency for Toxic Substances and Disease Registry (ATSDR)</w:t>
      </w:r>
      <w:r w:rsidR="00201FE0">
        <w:rPr>
          <w:sz w:val="24"/>
          <w:szCs w:val="24"/>
        </w:rPr>
        <w:t xml:space="preserve"> </w:t>
      </w:r>
      <w:r w:rsidR="00FB061A">
        <w:rPr>
          <w:sz w:val="24"/>
          <w:szCs w:val="24"/>
        </w:rPr>
        <w:t>research study</w:t>
      </w:r>
      <w:r w:rsidR="00201FE0">
        <w:rPr>
          <w:sz w:val="24"/>
          <w:szCs w:val="24"/>
        </w:rPr>
        <w:t>,</w:t>
      </w:r>
      <w:r w:rsidRPr="00AC2499">
        <w:rPr>
          <w:sz w:val="24"/>
          <w:szCs w:val="24"/>
        </w:rPr>
        <w:t xml:space="preserve"> “A Prospective Birth Cohort Study Involving Environmental Uranium Exposure in the Navajo Nation” (</w:t>
      </w:r>
      <w:r w:rsidR="00424854">
        <w:rPr>
          <w:sz w:val="24"/>
          <w:szCs w:val="24"/>
        </w:rPr>
        <w:t xml:space="preserve">OMB </w:t>
      </w:r>
      <w:r w:rsidR="00FB061A">
        <w:rPr>
          <w:sz w:val="24"/>
          <w:szCs w:val="24"/>
        </w:rPr>
        <w:t>C</w:t>
      </w:r>
      <w:r w:rsidR="00424854">
        <w:rPr>
          <w:sz w:val="24"/>
          <w:szCs w:val="24"/>
        </w:rPr>
        <w:t xml:space="preserve">ontrol </w:t>
      </w:r>
      <w:r w:rsidR="00FB061A">
        <w:rPr>
          <w:sz w:val="24"/>
          <w:szCs w:val="24"/>
        </w:rPr>
        <w:t xml:space="preserve">No. </w:t>
      </w:r>
      <w:r w:rsidR="00424854">
        <w:rPr>
          <w:sz w:val="24"/>
          <w:szCs w:val="24"/>
        </w:rPr>
        <w:t>0923-0046</w:t>
      </w:r>
      <w:r w:rsidR="00FB061A">
        <w:rPr>
          <w:sz w:val="24"/>
          <w:szCs w:val="24"/>
        </w:rPr>
        <w:t>; expiration date 02/29/2016</w:t>
      </w:r>
      <w:r w:rsidR="00201FE0">
        <w:rPr>
          <w:sz w:val="24"/>
          <w:szCs w:val="24"/>
        </w:rPr>
        <w:t>). S</w:t>
      </w:r>
      <w:r w:rsidR="00201FE0" w:rsidRPr="00AC24C7">
        <w:rPr>
          <w:sz w:val="24"/>
          <w:szCs w:val="24"/>
        </w:rPr>
        <w:t>ince supplemental funding is expected to continue</w:t>
      </w:r>
      <w:r w:rsidR="00221CAD">
        <w:rPr>
          <w:sz w:val="24"/>
          <w:szCs w:val="24"/>
        </w:rPr>
        <w:t xml:space="preserve"> until the </w:t>
      </w:r>
      <w:r w:rsidR="00FB061A">
        <w:rPr>
          <w:sz w:val="24"/>
          <w:szCs w:val="24"/>
        </w:rPr>
        <w:t xml:space="preserve">end </w:t>
      </w:r>
      <w:r w:rsidR="00221CAD">
        <w:rPr>
          <w:sz w:val="24"/>
          <w:szCs w:val="24"/>
        </w:rPr>
        <w:t xml:space="preserve">of the </w:t>
      </w:r>
      <w:r w:rsidR="00FB061A">
        <w:rPr>
          <w:sz w:val="24"/>
          <w:szCs w:val="24"/>
        </w:rPr>
        <w:t xml:space="preserve">Fiscal Year (FY) 2017 </w:t>
      </w:r>
      <w:r w:rsidR="00221CAD">
        <w:rPr>
          <w:sz w:val="24"/>
          <w:szCs w:val="24"/>
        </w:rPr>
        <w:t>project period</w:t>
      </w:r>
      <w:r w:rsidR="00201FE0">
        <w:rPr>
          <w:sz w:val="24"/>
          <w:szCs w:val="24"/>
        </w:rPr>
        <w:t>, t</w:t>
      </w:r>
      <w:r w:rsidR="00AC24C7" w:rsidRPr="00AC24C7">
        <w:rPr>
          <w:sz w:val="24"/>
          <w:szCs w:val="24"/>
        </w:rPr>
        <w:t xml:space="preserve">he program </w:t>
      </w:r>
      <w:r w:rsidR="00486555">
        <w:rPr>
          <w:sz w:val="24"/>
          <w:szCs w:val="24"/>
        </w:rPr>
        <w:t xml:space="preserve">requests </w:t>
      </w:r>
      <w:r w:rsidR="001435C4">
        <w:rPr>
          <w:sz w:val="24"/>
          <w:szCs w:val="24"/>
        </w:rPr>
        <w:t>Paperwork Reduction Act (PRA) clearance</w:t>
      </w:r>
      <w:r w:rsidR="00BD3A34" w:rsidRPr="00AC2499">
        <w:rPr>
          <w:sz w:val="24"/>
          <w:szCs w:val="24"/>
        </w:rPr>
        <w:t xml:space="preserve"> for three years</w:t>
      </w:r>
      <w:r w:rsidR="00486555">
        <w:rPr>
          <w:sz w:val="24"/>
          <w:szCs w:val="24"/>
        </w:rPr>
        <w:t>.</w:t>
      </w:r>
    </w:p>
    <w:p w14:paraId="1CA0B2DA" w14:textId="77777777" w:rsidR="00486555" w:rsidRDefault="00486555" w:rsidP="00AC24C7">
      <w:pPr>
        <w:spacing w:after="0" w:line="240" w:lineRule="auto"/>
        <w:rPr>
          <w:sz w:val="24"/>
          <w:szCs w:val="24"/>
        </w:rPr>
      </w:pPr>
    </w:p>
    <w:p w14:paraId="4EF75533" w14:textId="5A96B62E" w:rsidR="00AC24C7" w:rsidRPr="00AC24C7" w:rsidRDefault="00BD3A34" w:rsidP="00AC24C7">
      <w:pPr>
        <w:spacing w:after="0" w:line="240" w:lineRule="auto"/>
        <w:rPr>
          <w:sz w:val="24"/>
          <w:szCs w:val="24"/>
        </w:rPr>
      </w:pPr>
      <w:r>
        <w:rPr>
          <w:sz w:val="24"/>
          <w:szCs w:val="24"/>
        </w:rPr>
        <w:t>Known as the Navajo Birth Cohort Study</w:t>
      </w:r>
      <w:r w:rsidR="00AA15B3">
        <w:rPr>
          <w:sz w:val="24"/>
          <w:szCs w:val="24"/>
        </w:rPr>
        <w:t xml:space="preserve"> </w:t>
      </w:r>
      <w:r>
        <w:rPr>
          <w:sz w:val="24"/>
          <w:szCs w:val="24"/>
        </w:rPr>
        <w:t>(NBCS), the purpose</w:t>
      </w:r>
      <w:r w:rsidR="00F30A92">
        <w:rPr>
          <w:sz w:val="24"/>
          <w:szCs w:val="24"/>
        </w:rPr>
        <w:t xml:space="preserve"> of this research study</w:t>
      </w:r>
      <w:r w:rsidR="00486555" w:rsidRPr="00AC2499">
        <w:rPr>
          <w:sz w:val="24"/>
          <w:szCs w:val="24"/>
        </w:rPr>
        <w:t xml:space="preserve"> </w:t>
      </w:r>
      <w:r w:rsidR="00AA15B3" w:rsidRPr="00AA15B3">
        <w:rPr>
          <w:sz w:val="24"/>
          <w:szCs w:val="24"/>
        </w:rPr>
        <w:t xml:space="preserve">is to better understand the relationship between uranium exposures and birth outcomes and early developmental delays </w:t>
      </w:r>
      <w:r w:rsidR="00FB061A">
        <w:rPr>
          <w:sz w:val="24"/>
          <w:szCs w:val="24"/>
        </w:rPr>
        <w:t>i</w:t>
      </w:r>
      <w:r w:rsidR="00AA15B3" w:rsidRPr="00AA15B3">
        <w:rPr>
          <w:sz w:val="24"/>
          <w:szCs w:val="24"/>
        </w:rPr>
        <w:t>n the Navajo Nation.</w:t>
      </w:r>
      <w:r w:rsidR="00AA15B3">
        <w:rPr>
          <w:sz w:val="24"/>
          <w:szCs w:val="24"/>
        </w:rPr>
        <w:t xml:space="preserve"> </w:t>
      </w:r>
      <w:r>
        <w:rPr>
          <w:sz w:val="24"/>
          <w:szCs w:val="24"/>
        </w:rPr>
        <w:t xml:space="preserve"> </w:t>
      </w:r>
      <w:r w:rsidR="00AC24C7" w:rsidRPr="00AC24C7">
        <w:rPr>
          <w:sz w:val="24"/>
          <w:szCs w:val="24"/>
        </w:rPr>
        <w:t xml:space="preserve">Since </w:t>
      </w:r>
      <w:r w:rsidR="00F30A92">
        <w:rPr>
          <w:sz w:val="24"/>
          <w:szCs w:val="24"/>
        </w:rPr>
        <w:t>PRA clearance</w:t>
      </w:r>
      <w:r w:rsidR="00AC24C7" w:rsidRPr="00AC24C7">
        <w:rPr>
          <w:sz w:val="24"/>
          <w:szCs w:val="24"/>
        </w:rPr>
        <w:t xml:space="preserve"> was received in February 2013, over 530 mother-infant pairs and over 160 fathers have been enrolled. An estimated 675 biomonitoring samples have been analyzed for 36 metals/metalloids including uranium, arsenic, lead and mercury. Home environmental assessments (HEAs) consist of gamma radiation surveys, indoor air radon tests, and dust sample analysis of the participant’s primary residence during pregnancy, and over 400 HEAs have been completed to date. Study participants receive report back letters on their biomonitoring and HEA results to inform them of uranium and other heavy metals in their bodies and in and around their home environment. </w:t>
      </w:r>
    </w:p>
    <w:p w14:paraId="018C5448" w14:textId="77777777" w:rsidR="00AC24C7" w:rsidRPr="00AC24C7" w:rsidRDefault="00AC24C7" w:rsidP="00AC24C7">
      <w:pPr>
        <w:spacing w:after="0" w:line="240" w:lineRule="auto"/>
        <w:rPr>
          <w:sz w:val="24"/>
          <w:szCs w:val="24"/>
        </w:rPr>
      </w:pPr>
    </w:p>
    <w:p w14:paraId="7F8A0C58" w14:textId="77777777" w:rsidR="00AC24C7" w:rsidRPr="00AC24C7" w:rsidRDefault="00AC24C7" w:rsidP="00AC24C7">
      <w:pPr>
        <w:spacing w:after="0" w:line="240" w:lineRule="auto"/>
        <w:rPr>
          <w:sz w:val="24"/>
          <w:szCs w:val="24"/>
        </w:rPr>
      </w:pPr>
      <w:r w:rsidRPr="00AC24C7">
        <w:rPr>
          <w:sz w:val="24"/>
          <w:szCs w:val="24"/>
        </w:rPr>
        <w:lastRenderedPageBreak/>
        <w:t>Numerous culturally appropriate study outreach methods have been conducted including Facebook posts, You Tube videos, newsletters, Public Service Announcements, radio ads, chapter meetings, health fairs, conferences, and community awareness walks. It is estimated that these targeted outreach events have reached more than 40,000 people since September 2013. To facilitate appropriate cultural sensitivity and to promote community engagement in the study, over 20 local Navajo professionals have been hired and extensively trained on environmental home assessments, uranium environmental health impacts, and survey administration. In addition, NBCS staff have given 11 study progress presentations to Navajo Nation Human Health Research and Review Board, Navajo Area Indian Health Service clinics, Navajo Uranium Collaboration Initiative, and Navajo Uranium Contamination Stakeholder Workshops.  These trainings and presentations may contribute to capacity building and sustainability of future community based participatory comprehensive research studies initiated by Navajo Nation.</w:t>
      </w:r>
    </w:p>
    <w:p w14:paraId="6E088307" w14:textId="77777777" w:rsidR="00AC24C7" w:rsidRPr="00AC24C7" w:rsidRDefault="00AC24C7" w:rsidP="00AC24C7">
      <w:pPr>
        <w:spacing w:after="0" w:line="240" w:lineRule="auto"/>
        <w:rPr>
          <w:sz w:val="24"/>
          <w:szCs w:val="24"/>
        </w:rPr>
      </w:pPr>
    </w:p>
    <w:p w14:paraId="5797A10C" w14:textId="77777777" w:rsidR="00AC24C7" w:rsidRPr="00AC24C7" w:rsidRDefault="00AC24C7" w:rsidP="00AC24C7">
      <w:pPr>
        <w:spacing w:after="0" w:line="240" w:lineRule="auto"/>
        <w:rPr>
          <w:sz w:val="24"/>
          <w:szCs w:val="24"/>
        </w:rPr>
      </w:pPr>
      <w:r w:rsidRPr="00AC24C7">
        <w:rPr>
          <w:sz w:val="24"/>
          <w:szCs w:val="24"/>
        </w:rPr>
        <w:t>In addition to study outreach within Navajo Nation, NBCS staff have presented study progress at over 13 professional meetings and conferences. Two journal publications, with one manuscript currently in-press, have been developed by NBCS staff to date. To ensure NBCS continuity with other uranium mitigation efforts in Navajo Nation, ATSDR and its partners continue to coordinate with Federal 5 Year Plan agencies to address health and environmental impacts of uranium contamination on the Navajo Nation. For example, ATSDR headquarters and Region 9 staff, Navajo Area Indian Health Service, EPA Region 9, and Navajo Department of Health collaborated to train 90 Navajo Community Health Representatives to identify locations of abandoned uranium mines and to educate community members on how to avoid potential uranium exposure.</w:t>
      </w:r>
    </w:p>
    <w:p w14:paraId="6F0A2CC9" w14:textId="77777777" w:rsidR="00AC24C7" w:rsidRPr="00AC24C7" w:rsidRDefault="00AC24C7" w:rsidP="00AC24C7">
      <w:pPr>
        <w:spacing w:after="0" w:line="240" w:lineRule="auto"/>
        <w:rPr>
          <w:sz w:val="24"/>
          <w:szCs w:val="24"/>
        </w:rPr>
      </w:pPr>
    </w:p>
    <w:p w14:paraId="74651CA5" w14:textId="77777777" w:rsidR="00AC24C7" w:rsidRPr="00AC24C7" w:rsidRDefault="00AC24C7" w:rsidP="00AC24C7">
      <w:pPr>
        <w:spacing w:after="0" w:line="240" w:lineRule="auto"/>
        <w:rPr>
          <w:sz w:val="24"/>
          <w:szCs w:val="24"/>
        </w:rPr>
      </w:pPr>
      <w:r w:rsidRPr="00AC24C7">
        <w:rPr>
          <w:sz w:val="24"/>
          <w:szCs w:val="24"/>
        </w:rPr>
        <w:t xml:space="preserve">Study challenges include loss of participants prior to follow-up assessments, complications in specimen collection among infants, and high turnover rates of laboratory and outreach staff. To address these challenges, best practice meetings, monitoring and evaluation metrics, and technical assistance are regularly established to provide open communication among NBCS partners and stakeholders. Despite these challenges, the NBCS has been able to provide several benefits to study participants and to the Navajo community.  Direct participant benefits include: 1) Home and biological assessments to identify any serious contamination, and if identified, the family will be referred to the appropriate agency for further environmental testing and consultation; 2) Information on community-based infant services and programs, including WIC and First Things First; 3) Referrals to Growing In Beauty, the Navajo Nation Early Intervention Program for children with identified developmental delays. </w:t>
      </w:r>
    </w:p>
    <w:p w14:paraId="6608C912" w14:textId="77777777" w:rsidR="00AC24C7" w:rsidRPr="00AC24C7" w:rsidRDefault="00AC24C7" w:rsidP="00AC24C7">
      <w:pPr>
        <w:spacing w:after="0" w:line="240" w:lineRule="auto"/>
        <w:rPr>
          <w:sz w:val="24"/>
          <w:szCs w:val="24"/>
        </w:rPr>
      </w:pPr>
    </w:p>
    <w:p w14:paraId="7A169D5D" w14:textId="77777777" w:rsidR="00AC24C7" w:rsidRPr="00AC24C7" w:rsidRDefault="00AC24C7" w:rsidP="00AC24C7">
      <w:pPr>
        <w:spacing w:after="0" w:line="240" w:lineRule="auto"/>
        <w:rPr>
          <w:sz w:val="24"/>
          <w:szCs w:val="24"/>
        </w:rPr>
      </w:pPr>
      <w:r w:rsidRPr="00AC24C7">
        <w:rPr>
          <w:sz w:val="24"/>
          <w:szCs w:val="24"/>
        </w:rPr>
        <w:t xml:space="preserve">The study will also provide broad public health benefits for Navajo communities through outreach and education on the importance of prenatal care, investigation of environmental prenatal risks, earlier assessment and referral for infants with suspected developmental delays, and a comprehensive assessment of nutrient values and reproductive health outcomes. The information generated by this study may be of value in developing programs and policies to </w:t>
      </w:r>
      <w:r w:rsidRPr="00AC24C7">
        <w:rPr>
          <w:sz w:val="24"/>
          <w:szCs w:val="24"/>
        </w:rPr>
        <w:lastRenderedPageBreak/>
        <w:t>mitigate environmental uranium exposure and to implement effective public health prevention and intervention strategies.</w:t>
      </w:r>
    </w:p>
    <w:p w14:paraId="339B9E14" w14:textId="77777777" w:rsidR="00D5181E" w:rsidRPr="00AC24C7" w:rsidRDefault="00D5181E" w:rsidP="00AC24C7">
      <w:pPr>
        <w:spacing w:after="0" w:line="240" w:lineRule="auto"/>
        <w:rPr>
          <w:sz w:val="24"/>
          <w:szCs w:val="24"/>
        </w:rPr>
      </w:pPr>
    </w:p>
    <w:p w14:paraId="594B4095" w14:textId="3BEA7F03" w:rsidR="00046EA2" w:rsidRPr="00046EA2" w:rsidRDefault="00AC24C7" w:rsidP="00046EA2">
      <w:pPr>
        <w:spacing w:after="0" w:line="240" w:lineRule="auto"/>
        <w:rPr>
          <w:sz w:val="24"/>
          <w:szCs w:val="24"/>
        </w:rPr>
      </w:pPr>
      <w:r w:rsidRPr="00AC24C7">
        <w:rPr>
          <w:sz w:val="24"/>
          <w:szCs w:val="24"/>
        </w:rPr>
        <w:t xml:space="preserve">ATSDR is </w:t>
      </w:r>
      <w:r w:rsidRPr="00342A5E">
        <w:rPr>
          <w:sz w:val="24"/>
          <w:szCs w:val="24"/>
        </w:rPr>
        <w:t xml:space="preserve">authorized by </w:t>
      </w:r>
      <w:r w:rsidR="00342A5E" w:rsidRPr="00342A5E">
        <w:rPr>
          <w:sz w:val="24"/>
          <w:szCs w:val="24"/>
        </w:rPr>
        <w:t>Section 301 of Public Health Service Act (42 USC</w:t>
      </w:r>
      <w:r w:rsidR="00342A5E">
        <w:rPr>
          <w:sz w:val="24"/>
          <w:szCs w:val="24"/>
        </w:rPr>
        <w:t xml:space="preserve"> </w:t>
      </w:r>
      <w:r w:rsidR="00342A5E" w:rsidRPr="00342A5E">
        <w:rPr>
          <w:sz w:val="24"/>
          <w:szCs w:val="24"/>
        </w:rPr>
        <w:t xml:space="preserve">241) and </w:t>
      </w:r>
      <w:r w:rsidRPr="00342A5E">
        <w:rPr>
          <w:sz w:val="24"/>
          <w:szCs w:val="24"/>
        </w:rPr>
        <w:t>the Comprehensive Environmental Response, Compensation and Liability Act of 1980 and Superfund Amendments and Reauthorization Act of 1986 (SARA) [42 U.S.C. 9604(i</w:t>
      </w:r>
      <w:proofErr w:type="gramStart"/>
      <w:r w:rsidRPr="00342A5E">
        <w:rPr>
          <w:sz w:val="24"/>
          <w:szCs w:val="24"/>
        </w:rPr>
        <w:t>)(</w:t>
      </w:r>
      <w:proofErr w:type="gramEnd"/>
      <w:r w:rsidRPr="00342A5E">
        <w:rPr>
          <w:sz w:val="24"/>
          <w:szCs w:val="24"/>
        </w:rPr>
        <w:t>1</w:t>
      </w:r>
      <w:r w:rsidRPr="00AC24C7">
        <w:rPr>
          <w:sz w:val="24"/>
          <w:szCs w:val="24"/>
        </w:rPr>
        <w:t xml:space="preserve">)(E), (7), (9), (15) and 9626(a)] to collect this study data. Please see Attachment 1 for Authorizing Legislation. The 60-day Federal Register Notice of the proposed information collection (IC) was published on </w:t>
      </w:r>
      <w:r w:rsidR="00146945">
        <w:rPr>
          <w:sz w:val="24"/>
          <w:szCs w:val="24"/>
        </w:rPr>
        <w:t xml:space="preserve">September 30, 2015 and is </w:t>
      </w:r>
      <w:r w:rsidR="00282FBA">
        <w:rPr>
          <w:sz w:val="24"/>
          <w:szCs w:val="24"/>
        </w:rPr>
        <w:t>further</w:t>
      </w:r>
      <w:r w:rsidR="00146945">
        <w:rPr>
          <w:sz w:val="24"/>
          <w:szCs w:val="24"/>
        </w:rPr>
        <w:t xml:space="preserve"> discussed in Section A.8</w:t>
      </w:r>
      <w:r w:rsidRPr="00AC24C7">
        <w:rPr>
          <w:sz w:val="24"/>
          <w:szCs w:val="24"/>
        </w:rPr>
        <w:t xml:space="preserve">. (See Attachment 2). </w:t>
      </w:r>
    </w:p>
    <w:p w14:paraId="66725973" w14:textId="14F856F7" w:rsidR="00B45002" w:rsidRPr="00D20211" w:rsidRDefault="00601F1A" w:rsidP="00601F1A">
      <w:pPr>
        <w:pStyle w:val="Heading1"/>
        <w:pBdr>
          <w:bottom w:val="none" w:sz="0" w:space="0" w:color="auto"/>
        </w:pBdr>
        <w:rPr>
          <w:color w:val="auto"/>
        </w:rPr>
      </w:pPr>
      <w:bookmarkStart w:id="4" w:name="_Toc435518562"/>
      <w:r w:rsidRPr="00D20211">
        <w:rPr>
          <w:color w:val="auto"/>
        </w:rPr>
        <w:t>A.</w:t>
      </w:r>
      <w:r w:rsidR="004D21C9" w:rsidRPr="00D20211">
        <w:rPr>
          <w:color w:val="auto"/>
        </w:rPr>
        <w:t>2</w:t>
      </w:r>
      <w:r w:rsidR="00D5181E" w:rsidRPr="00D20211">
        <w:rPr>
          <w:color w:val="auto"/>
        </w:rPr>
        <w:t>. Purpose</w:t>
      </w:r>
      <w:r w:rsidR="00B45002" w:rsidRPr="00D20211">
        <w:rPr>
          <w:color w:val="auto"/>
        </w:rPr>
        <w:t xml:space="preserve"> and Use of the Information Collection</w:t>
      </w:r>
      <w:bookmarkEnd w:id="4"/>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3053F9D1" w14:textId="092CFE27" w:rsidR="0062507E" w:rsidRDefault="00447AA4" w:rsidP="00ED7FA4">
      <w:pPr>
        <w:autoSpaceDE w:val="0"/>
        <w:autoSpaceDN w:val="0"/>
        <w:adjustRightInd w:val="0"/>
        <w:spacing w:after="0" w:line="240" w:lineRule="auto"/>
        <w:rPr>
          <w:rFonts w:cs="ITCFranklinGothicStd-Book"/>
          <w:sz w:val="24"/>
          <w:szCs w:val="24"/>
        </w:rPr>
      </w:pPr>
      <w:r w:rsidRPr="00447AA4">
        <w:rPr>
          <w:rFonts w:cs="ITCFranklinGothicStd-Book"/>
          <w:sz w:val="24"/>
          <w:szCs w:val="24"/>
        </w:rPr>
        <w:t>ATSDR and its cooperative agreement partner,</w:t>
      </w:r>
      <w:r w:rsidR="00AA15B3">
        <w:rPr>
          <w:rFonts w:cs="ITCFranklinGothicStd-Book"/>
          <w:sz w:val="24"/>
          <w:szCs w:val="24"/>
        </w:rPr>
        <w:t xml:space="preserve"> University of New Mexico Community Environmental Health Program</w:t>
      </w:r>
      <w:r w:rsidRPr="00447AA4">
        <w:rPr>
          <w:rFonts w:cs="ITCFranklinGothicStd-Book"/>
          <w:sz w:val="24"/>
          <w:szCs w:val="24"/>
        </w:rPr>
        <w:t xml:space="preserve"> </w:t>
      </w:r>
      <w:r w:rsidR="00AA15B3">
        <w:rPr>
          <w:rFonts w:cs="ITCFranklinGothicStd-Book"/>
          <w:sz w:val="24"/>
          <w:szCs w:val="24"/>
        </w:rPr>
        <w:t>(</w:t>
      </w:r>
      <w:r w:rsidRPr="00447AA4">
        <w:rPr>
          <w:rFonts w:cs="ITCFranklinGothicStd-Book"/>
          <w:sz w:val="24"/>
          <w:szCs w:val="24"/>
        </w:rPr>
        <w:t>UNM-CEHP</w:t>
      </w:r>
      <w:r w:rsidR="00AA15B3">
        <w:rPr>
          <w:rFonts w:cs="ITCFranklinGothicStd-Book"/>
          <w:sz w:val="24"/>
          <w:szCs w:val="24"/>
        </w:rPr>
        <w:t>)</w:t>
      </w:r>
      <w:r w:rsidRPr="00447AA4">
        <w:rPr>
          <w:rFonts w:cs="ITCFranklinGothicStd-Book"/>
          <w:sz w:val="24"/>
          <w:szCs w:val="24"/>
        </w:rPr>
        <w:t xml:space="preserve">, oversee the collection of this data by contractor, Navajo Nation Department of Health and interagency agreement partner, </w:t>
      </w:r>
      <w:r w:rsidR="00AA15B3">
        <w:rPr>
          <w:rFonts w:cs="ITCFranklinGothicStd-Book"/>
          <w:sz w:val="24"/>
          <w:szCs w:val="24"/>
        </w:rPr>
        <w:t>Navajo Area Indian Health Service (</w:t>
      </w:r>
      <w:r w:rsidRPr="00447AA4">
        <w:rPr>
          <w:rFonts w:cs="ITCFranklinGothicStd-Book"/>
          <w:sz w:val="24"/>
          <w:szCs w:val="24"/>
        </w:rPr>
        <w:t>NAIHS</w:t>
      </w:r>
      <w:r w:rsidR="00AA15B3">
        <w:rPr>
          <w:rFonts w:cs="ITCFranklinGothicStd-Book"/>
          <w:sz w:val="24"/>
          <w:szCs w:val="24"/>
        </w:rPr>
        <w:t>)</w:t>
      </w:r>
      <w:r w:rsidRPr="00447AA4">
        <w:rPr>
          <w:rFonts w:cs="ITCFranklinGothicStd-Book"/>
          <w:sz w:val="24"/>
          <w:szCs w:val="24"/>
        </w:rPr>
        <w:t xml:space="preserve">. </w:t>
      </w:r>
    </w:p>
    <w:p w14:paraId="3CBDBA85" w14:textId="77777777" w:rsidR="0062507E" w:rsidRDefault="0062507E" w:rsidP="00ED7FA4">
      <w:pPr>
        <w:autoSpaceDE w:val="0"/>
        <w:autoSpaceDN w:val="0"/>
        <w:adjustRightInd w:val="0"/>
        <w:spacing w:after="0" w:line="240" w:lineRule="auto"/>
        <w:rPr>
          <w:rFonts w:cs="ITCFranklinGothicStd-Book"/>
          <w:sz w:val="24"/>
          <w:szCs w:val="24"/>
        </w:rPr>
      </w:pPr>
    </w:p>
    <w:p w14:paraId="0C87FE48" w14:textId="5E41CDD7" w:rsidR="00447AA4" w:rsidRDefault="00447AA4" w:rsidP="00ED7FA4">
      <w:pPr>
        <w:autoSpaceDE w:val="0"/>
        <w:autoSpaceDN w:val="0"/>
        <w:adjustRightInd w:val="0"/>
        <w:spacing w:after="0" w:line="240" w:lineRule="auto"/>
        <w:rPr>
          <w:rFonts w:cs="ITCFranklinGothicStd-Book"/>
          <w:sz w:val="24"/>
          <w:szCs w:val="24"/>
        </w:rPr>
      </w:pPr>
      <w:r w:rsidRPr="00447AA4">
        <w:rPr>
          <w:rFonts w:cs="ITCFranklinGothicStd-Book"/>
          <w:sz w:val="24"/>
          <w:szCs w:val="24"/>
        </w:rPr>
        <w:t>The N</w:t>
      </w:r>
      <w:r w:rsidR="0062507E">
        <w:rPr>
          <w:rFonts w:cs="ITCFranklinGothicStd-Book"/>
          <w:sz w:val="24"/>
          <w:szCs w:val="24"/>
        </w:rPr>
        <w:t>BCS</w:t>
      </w:r>
      <w:r w:rsidRPr="00447AA4">
        <w:rPr>
          <w:rFonts w:cs="ITCFranklinGothicStd-Book"/>
          <w:sz w:val="24"/>
          <w:szCs w:val="24"/>
        </w:rPr>
        <w:t xml:space="preserve"> is the first prospective epidemiologic study of pregnancy and neonatal outcomes in a uranium-exposed population. The primary objective of this study is to evaluate potential exposures to environmental contaminants (i.e., uranium and other heavy metal exposures) among pregnant Navajo women.  We will</w:t>
      </w:r>
      <w:r w:rsidR="006875E5">
        <w:rPr>
          <w:rFonts w:cs="ITCFranklinGothicStd-Book"/>
          <w:sz w:val="24"/>
          <w:szCs w:val="24"/>
        </w:rPr>
        <w:t xml:space="preserve"> continue to</w:t>
      </w:r>
      <w:r w:rsidRPr="00447AA4">
        <w:rPr>
          <w:rFonts w:cs="ITCFranklinGothicStd-Book"/>
          <w:sz w:val="24"/>
          <w:szCs w:val="24"/>
        </w:rPr>
        <w:t xml:space="preserve"> assess their exposure (through biomonitoring, home assessments, and surveys) at key developmental milestones, and then conduct follow</w:t>
      </w:r>
      <w:r w:rsidR="00514291">
        <w:rPr>
          <w:rFonts w:cs="ITCFranklinGothicStd-Book"/>
          <w:sz w:val="24"/>
          <w:szCs w:val="24"/>
        </w:rPr>
        <w:t>-</w:t>
      </w:r>
      <w:r w:rsidRPr="00447AA4">
        <w:rPr>
          <w:rFonts w:cs="ITCFranklinGothicStd-Book"/>
          <w:sz w:val="24"/>
          <w:szCs w:val="24"/>
        </w:rPr>
        <w:t>up assessment of children post-birth to investigate any associations with birth defects or developmental delays</w:t>
      </w:r>
      <w:r w:rsidR="00552809">
        <w:rPr>
          <w:rFonts w:cs="ITCFranklinGothicStd-Book"/>
          <w:sz w:val="24"/>
          <w:szCs w:val="24"/>
        </w:rPr>
        <w:t xml:space="preserve"> (Attachment 3).</w:t>
      </w:r>
      <w:r w:rsidRPr="00447AA4">
        <w:rPr>
          <w:rFonts w:cs="ITCFranklinGothicStd-Book"/>
          <w:sz w:val="24"/>
          <w:szCs w:val="24"/>
        </w:rPr>
        <w:t xml:space="preserve"> The information generated by this study may be of value in </w:t>
      </w:r>
      <w:r w:rsidR="00514291">
        <w:rPr>
          <w:rFonts w:cs="ITCFranklinGothicStd-Book"/>
          <w:sz w:val="24"/>
          <w:szCs w:val="24"/>
        </w:rPr>
        <w:t>informing</w:t>
      </w:r>
      <w:r w:rsidRPr="00447AA4">
        <w:rPr>
          <w:rFonts w:cs="ITCFranklinGothicStd-Book"/>
          <w:sz w:val="24"/>
          <w:szCs w:val="24"/>
        </w:rPr>
        <w:t xml:space="preserve"> programs </w:t>
      </w:r>
      <w:r w:rsidR="00514291">
        <w:rPr>
          <w:rFonts w:cs="ITCFranklinGothicStd-Book"/>
          <w:sz w:val="24"/>
          <w:szCs w:val="24"/>
        </w:rPr>
        <w:t xml:space="preserve">designed </w:t>
      </w:r>
      <w:r w:rsidRPr="00447AA4">
        <w:rPr>
          <w:rFonts w:cs="ITCFranklinGothicStd-Book"/>
          <w:sz w:val="24"/>
          <w:szCs w:val="24"/>
        </w:rPr>
        <w:t>to mitigate environmental uranium exposure.  Additionally, the study will provide additional baseline data on exposures, behaviors, and chronic health that may be of value in developing health education and outreach to increase prenatal care utilization.</w:t>
      </w:r>
    </w:p>
    <w:p w14:paraId="1314B50C" w14:textId="77777777" w:rsidR="00D5181E" w:rsidRDefault="00D5181E" w:rsidP="00ED7FA4">
      <w:pPr>
        <w:autoSpaceDE w:val="0"/>
        <w:autoSpaceDN w:val="0"/>
        <w:adjustRightInd w:val="0"/>
        <w:spacing w:after="0" w:line="240" w:lineRule="auto"/>
        <w:rPr>
          <w:rFonts w:cs="ITCFranklinGothicStd-Book"/>
          <w:sz w:val="24"/>
          <w:szCs w:val="24"/>
        </w:rPr>
      </w:pPr>
    </w:p>
    <w:p w14:paraId="625C685C" w14:textId="18535BDA" w:rsidR="006A47A6" w:rsidRDefault="00447AA4" w:rsidP="00ED7FA4">
      <w:pPr>
        <w:autoSpaceDE w:val="0"/>
        <w:autoSpaceDN w:val="0"/>
        <w:adjustRightInd w:val="0"/>
        <w:spacing w:after="0" w:line="240" w:lineRule="auto"/>
        <w:rPr>
          <w:rFonts w:cs="ITCFranklinGothicStd-Book"/>
          <w:sz w:val="24"/>
          <w:szCs w:val="24"/>
        </w:rPr>
      </w:pPr>
      <w:r w:rsidRPr="00447AA4">
        <w:rPr>
          <w:rFonts w:cs="ITCFranklinGothicStd-Book"/>
          <w:sz w:val="24"/>
          <w:szCs w:val="24"/>
        </w:rPr>
        <w:t xml:space="preserve">The study is being conducted in response to Navajo community </w:t>
      </w:r>
      <w:r w:rsidR="008C3154" w:rsidRPr="00447AA4">
        <w:rPr>
          <w:rFonts w:cs="ITCFranklinGothicStd-Book"/>
          <w:sz w:val="24"/>
          <w:szCs w:val="24"/>
        </w:rPr>
        <w:t>requests to</w:t>
      </w:r>
      <w:r w:rsidRPr="00447AA4">
        <w:rPr>
          <w:rFonts w:cs="ITCFranklinGothicStd-Book"/>
          <w:sz w:val="24"/>
          <w:szCs w:val="24"/>
        </w:rPr>
        <w:t xml:space="preserve"> Congress, which resulted in a </w:t>
      </w:r>
      <w:r w:rsidR="006C5323">
        <w:rPr>
          <w:rFonts w:cs="ITCFranklinGothicStd-Book"/>
          <w:sz w:val="24"/>
          <w:szCs w:val="24"/>
        </w:rPr>
        <w:t xml:space="preserve">2010-2012 </w:t>
      </w:r>
      <w:r w:rsidRPr="00447AA4">
        <w:rPr>
          <w:rFonts w:cs="ITCFranklinGothicStd-Book"/>
          <w:sz w:val="24"/>
          <w:szCs w:val="24"/>
        </w:rPr>
        <w:t xml:space="preserve">Congressional allocation for ATSDR to conduct </w:t>
      </w:r>
      <w:r w:rsidR="006C5323">
        <w:rPr>
          <w:rFonts w:cs="ITCFranklinGothicStd-Book"/>
          <w:sz w:val="24"/>
          <w:szCs w:val="24"/>
        </w:rPr>
        <w:t>this</w:t>
      </w:r>
      <w:r w:rsidRPr="00447AA4">
        <w:rPr>
          <w:rFonts w:cs="ITCFranklinGothicStd-Book"/>
          <w:sz w:val="24"/>
          <w:szCs w:val="24"/>
        </w:rPr>
        <w:t xml:space="preserve"> epidemiological study. </w:t>
      </w:r>
      <w:r w:rsidR="00AA15B3">
        <w:rPr>
          <w:rFonts w:cs="ITCFranklinGothicStd-Book"/>
          <w:sz w:val="24"/>
          <w:szCs w:val="24"/>
        </w:rPr>
        <w:t xml:space="preserve">Supplemental funding has been received </w:t>
      </w:r>
      <w:r w:rsidR="006875E5">
        <w:rPr>
          <w:rFonts w:cs="ITCFranklinGothicStd-Book"/>
          <w:sz w:val="24"/>
          <w:szCs w:val="24"/>
        </w:rPr>
        <w:t>since</w:t>
      </w:r>
      <w:r w:rsidR="00AA15B3">
        <w:rPr>
          <w:rFonts w:cs="ITCFranklinGothicStd-Book"/>
          <w:sz w:val="24"/>
          <w:szCs w:val="24"/>
        </w:rPr>
        <w:t xml:space="preserve"> FY 2013 </w:t>
      </w:r>
      <w:r w:rsidR="006A2BD2">
        <w:rPr>
          <w:rFonts w:cs="ITCFranklinGothicStd-Book"/>
          <w:sz w:val="24"/>
          <w:szCs w:val="24"/>
        </w:rPr>
        <w:t>to</w:t>
      </w:r>
      <w:r w:rsidR="00AA15B3">
        <w:rPr>
          <w:rFonts w:cs="ITCFranklinGothicStd-Book"/>
          <w:sz w:val="24"/>
          <w:szCs w:val="24"/>
        </w:rPr>
        <w:t xml:space="preserve"> continue the study. </w:t>
      </w:r>
      <w:r w:rsidRPr="00447AA4">
        <w:rPr>
          <w:rFonts w:cs="ITCFranklinGothicStd-Book"/>
          <w:sz w:val="24"/>
          <w:szCs w:val="24"/>
        </w:rPr>
        <w:t xml:space="preserve">The original funding proposal outlines a power and sample size calculation, </w:t>
      </w:r>
      <w:r w:rsidR="007B3D34">
        <w:rPr>
          <w:rFonts w:cs="ITCFranklinGothicStd-Book"/>
          <w:sz w:val="24"/>
          <w:szCs w:val="24"/>
        </w:rPr>
        <w:t xml:space="preserve">and the </w:t>
      </w:r>
      <w:r w:rsidRPr="00447AA4">
        <w:rPr>
          <w:rFonts w:cs="ITCFranklinGothicStd-Book"/>
          <w:sz w:val="24"/>
          <w:szCs w:val="24"/>
        </w:rPr>
        <w:t xml:space="preserve">CDC </w:t>
      </w:r>
      <w:r w:rsidR="00AE443E">
        <w:rPr>
          <w:rFonts w:cs="ITCFranklinGothicStd-Book"/>
          <w:sz w:val="24"/>
          <w:szCs w:val="24"/>
        </w:rPr>
        <w:t xml:space="preserve">previously </w:t>
      </w:r>
      <w:r w:rsidRPr="00447AA4">
        <w:rPr>
          <w:rFonts w:cs="ITCFranklinGothicStd-Book"/>
          <w:sz w:val="24"/>
          <w:szCs w:val="24"/>
        </w:rPr>
        <w:t>acknowledge</w:t>
      </w:r>
      <w:r w:rsidR="00AE443E">
        <w:rPr>
          <w:rFonts w:cs="ITCFranklinGothicStd-Book"/>
          <w:sz w:val="24"/>
          <w:szCs w:val="24"/>
        </w:rPr>
        <w:t>d</w:t>
      </w:r>
      <w:r w:rsidRPr="00447AA4">
        <w:rPr>
          <w:rFonts w:cs="ITCFranklinGothicStd-Book"/>
          <w:sz w:val="24"/>
          <w:szCs w:val="24"/>
        </w:rPr>
        <w:t xml:space="preserve"> that some of the </w:t>
      </w:r>
      <w:r w:rsidR="00AE443E">
        <w:rPr>
          <w:rFonts w:cs="ITCFranklinGothicStd-Book"/>
          <w:sz w:val="24"/>
          <w:szCs w:val="24"/>
        </w:rPr>
        <w:t xml:space="preserve">sample size </w:t>
      </w:r>
      <w:r w:rsidRPr="00447AA4">
        <w:rPr>
          <w:rFonts w:cs="ITCFranklinGothicStd-Book"/>
          <w:sz w:val="24"/>
          <w:szCs w:val="24"/>
        </w:rPr>
        <w:t xml:space="preserve">assumptions may not </w:t>
      </w:r>
      <w:r w:rsidR="00045E1F">
        <w:rPr>
          <w:rFonts w:cs="ITCFranklinGothicStd-Book"/>
          <w:sz w:val="24"/>
          <w:szCs w:val="24"/>
        </w:rPr>
        <w:t>account for</w:t>
      </w:r>
      <w:r w:rsidRPr="00447AA4">
        <w:rPr>
          <w:rFonts w:cs="ITCFranklinGothicStd-Book"/>
          <w:sz w:val="24"/>
          <w:szCs w:val="24"/>
        </w:rPr>
        <w:t xml:space="preserve"> the </w:t>
      </w:r>
      <w:r w:rsidR="006C5323">
        <w:rPr>
          <w:rFonts w:cs="ITCFranklinGothicStd-Book"/>
          <w:sz w:val="24"/>
          <w:szCs w:val="24"/>
        </w:rPr>
        <w:t xml:space="preserve">likely </w:t>
      </w:r>
      <w:r w:rsidRPr="00447AA4">
        <w:rPr>
          <w:rFonts w:cs="ITCFranklinGothicStd-Book"/>
          <w:sz w:val="24"/>
          <w:szCs w:val="24"/>
        </w:rPr>
        <w:t xml:space="preserve">variability in exposure and health outcome data or </w:t>
      </w:r>
      <w:r w:rsidR="007B3D34">
        <w:rPr>
          <w:rFonts w:cs="ITCFranklinGothicStd-Book"/>
          <w:sz w:val="24"/>
          <w:szCs w:val="24"/>
        </w:rPr>
        <w:t xml:space="preserve">sufficiently power </w:t>
      </w:r>
      <w:r w:rsidRPr="00447AA4">
        <w:rPr>
          <w:rFonts w:cs="ITCFranklinGothicStd-Book"/>
          <w:sz w:val="24"/>
          <w:szCs w:val="24"/>
        </w:rPr>
        <w:t xml:space="preserve">the complex multivariate analyses that may need to be undertaken.  Although environmental sampling and the measurement of risk factors associated with these developmental delays is designed to control for as much variance as possible, CDC is committed to acknowledging any potential confounders, limitations and uncertainties that remain at the end of the study for which we have not been able to control. </w:t>
      </w:r>
    </w:p>
    <w:p w14:paraId="765C77B4" w14:textId="77777777" w:rsidR="006A47A6" w:rsidRDefault="006A47A6" w:rsidP="00ED7FA4">
      <w:pPr>
        <w:autoSpaceDE w:val="0"/>
        <w:autoSpaceDN w:val="0"/>
        <w:adjustRightInd w:val="0"/>
        <w:spacing w:after="0" w:line="240" w:lineRule="auto"/>
        <w:rPr>
          <w:rFonts w:cs="ITCFranklinGothicStd-Book"/>
          <w:sz w:val="24"/>
          <w:szCs w:val="24"/>
        </w:rPr>
      </w:pPr>
    </w:p>
    <w:p w14:paraId="33F48402" w14:textId="0E1C7FB8" w:rsidR="00447AA4" w:rsidRDefault="006C5323" w:rsidP="00ED7FA4">
      <w:pPr>
        <w:autoSpaceDE w:val="0"/>
        <w:autoSpaceDN w:val="0"/>
        <w:adjustRightInd w:val="0"/>
        <w:spacing w:after="0" w:line="240" w:lineRule="auto"/>
      </w:pPr>
      <w:r>
        <w:rPr>
          <w:rFonts w:cs="ITCFranklinGothicStd-Book"/>
          <w:sz w:val="24"/>
          <w:szCs w:val="24"/>
        </w:rPr>
        <w:lastRenderedPageBreak/>
        <w:t>The extension of supplemental funding will help ATSDR address current</w:t>
      </w:r>
      <w:r w:rsidRPr="006D48F1">
        <w:rPr>
          <w:rFonts w:cs="ITCFranklinGothicStd-Book"/>
          <w:sz w:val="24"/>
          <w:szCs w:val="24"/>
        </w:rPr>
        <w:t xml:space="preserve"> challenges </w:t>
      </w:r>
      <w:r>
        <w:rPr>
          <w:rFonts w:cs="ITCFranklinGothicStd-Book"/>
          <w:sz w:val="24"/>
          <w:szCs w:val="24"/>
        </w:rPr>
        <w:t xml:space="preserve">encountered </w:t>
      </w:r>
      <w:r w:rsidRPr="006D48F1">
        <w:rPr>
          <w:rFonts w:cs="ITCFranklinGothicStd-Book"/>
          <w:sz w:val="24"/>
          <w:szCs w:val="24"/>
        </w:rPr>
        <w:t>related to</w:t>
      </w:r>
      <w:r>
        <w:rPr>
          <w:rFonts w:cs="ITCFranklinGothicStd-Book"/>
          <w:sz w:val="24"/>
          <w:szCs w:val="24"/>
        </w:rPr>
        <w:t xml:space="preserve"> participant</w:t>
      </w:r>
      <w:r w:rsidRPr="006D48F1">
        <w:rPr>
          <w:rFonts w:cs="ITCFranklinGothicStd-Book"/>
          <w:sz w:val="24"/>
          <w:szCs w:val="24"/>
        </w:rPr>
        <w:t xml:space="preserve"> recruitment, loss of participants prior to follow-up assessment</w:t>
      </w:r>
      <w:r>
        <w:rPr>
          <w:rFonts w:cs="ITCFranklinGothicStd-Book"/>
          <w:sz w:val="24"/>
          <w:szCs w:val="24"/>
        </w:rPr>
        <w:t>s</w:t>
      </w:r>
      <w:r w:rsidRPr="006D48F1">
        <w:rPr>
          <w:rFonts w:cs="ITCFranklinGothicStd-Book"/>
          <w:sz w:val="24"/>
          <w:szCs w:val="24"/>
        </w:rPr>
        <w:t>, and complications in specimen collection among infants, more time is needed t</w:t>
      </w:r>
      <w:r w:rsidR="007B3D34">
        <w:rPr>
          <w:rFonts w:cs="ITCFranklinGothicStd-Book"/>
          <w:sz w:val="24"/>
          <w:szCs w:val="24"/>
        </w:rPr>
        <w:t xml:space="preserve">o increase the study sample size. A larger </w:t>
      </w:r>
      <w:r w:rsidR="007B3D34" w:rsidRPr="006D48F1">
        <w:rPr>
          <w:rFonts w:cs="ITCFranklinGothicStd-Book"/>
          <w:sz w:val="24"/>
          <w:szCs w:val="24"/>
        </w:rPr>
        <w:t>study sample size will help to ensure the study is adequately powered to detect any relevant associations between uranium exposure and adverse birth and pregnancy outcomes.</w:t>
      </w:r>
    </w:p>
    <w:p w14:paraId="1715EDBB" w14:textId="77777777" w:rsidR="006C5323" w:rsidRPr="00447AA4" w:rsidRDefault="006C5323" w:rsidP="00ED7FA4">
      <w:pPr>
        <w:autoSpaceDE w:val="0"/>
        <w:autoSpaceDN w:val="0"/>
        <w:adjustRightInd w:val="0"/>
        <w:spacing w:after="0" w:line="240" w:lineRule="auto"/>
        <w:rPr>
          <w:rFonts w:cs="ITCFranklinGothicStd-Book"/>
          <w:sz w:val="24"/>
          <w:szCs w:val="24"/>
        </w:rPr>
      </w:pPr>
    </w:p>
    <w:p w14:paraId="692BF4BA" w14:textId="77777777" w:rsidR="00447AA4" w:rsidRDefault="00447AA4" w:rsidP="00ED7FA4">
      <w:pPr>
        <w:autoSpaceDE w:val="0"/>
        <w:autoSpaceDN w:val="0"/>
        <w:adjustRightInd w:val="0"/>
        <w:spacing w:after="0" w:line="240" w:lineRule="auto"/>
        <w:rPr>
          <w:rFonts w:cs="ITCFranklinGothicStd-Book"/>
          <w:sz w:val="24"/>
          <w:szCs w:val="24"/>
        </w:rPr>
      </w:pPr>
      <w:r w:rsidRPr="00447AA4">
        <w:rPr>
          <w:rFonts w:cs="ITCFranklinGothicStd-Book"/>
          <w:sz w:val="24"/>
          <w:szCs w:val="24"/>
        </w:rPr>
        <w:t xml:space="preserve">The results of the study will benefit the Navajo families and contribute to the knowledge base regarding the potential association between exposures to uranium wastes and other environmental contaminants and adverse birth outcomes or developmental delays on the Navajo Reservation.   </w:t>
      </w:r>
    </w:p>
    <w:p w14:paraId="4679061C" w14:textId="77777777" w:rsidR="00447AA4" w:rsidRPr="00447AA4" w:rsidRDefault="00447AA4" w:rsidP="00ED7FA4">
      <w:pPr>
        <w:autoSpaceDE w:val="0"/>
        <w:autoSpaceDN w:val="0"/>
        <w:adjustRightInd w:val="0"/>
        <w:spacing w:after="0" w:line="240" w:lineRule="auto"/>
        <w:rPr>
          <w:rFonts w:cs="ITCFranklinGothicStd-Book"/>
          <w:sz w:val="24"/>
          <w:szCs w:val="24"/>
        </w:rPr>
      </w:pPr>
    </w:p>
    <w:p w14:paraId="23219AA3" w14:textId="5C010578" w:rsidR="0073397C" w:rsidRPr="00447AA4" w:rsidRDefault="00447AA4" w:rsidP="00ED7FA4">
      <w:pPr>
        <w:autoSpaceDE w:val="0"/>
        <w:autoSpaceDN w:val="0"/>
        <w:adjustRightInd w:val="0"/>
        <w:spacing w:after="0" w:line="240" w:lineRule="auto"/>
        <w:rPr>
          <w:rFonts w:cs="ITCFranklinGothicStd-Book"/>
          <w:sz w:val="24"/>
          <w:szCs w:val="24"/>
        </w:rPr>
      </w:pPr>
      <w:r w:rsidRPr="00447AA4">
        <w:rPr>
          <w:rFonts w:cs="ITCFranklinGothicStd-Book"/>
          <w:sz w:val="24"/>
          <w:szCs w:val="24"/>
        </w:rPr>
        <w:t>Furthermore, benefits to participating families will include the potential for early identification of risks or developmental delays.  Those with such risks will be referred to support services to ensure early intervention, with the hope of reducing the impacts of developmental delays.  Since these studies are being conducted under Congressional mandate and include federal agencies responsible for removal of source contamination, the improved understanding of risks may help in guiding policies that prioritize remedial actions to remove contamination sources from these communities. Remedial actions to remove contamination sources will prioritize whether or not a relationship is found between uranium and study outcomes.</w:t>
      </w:r>
    </w:p>
    <w:p w14:paraId="28BB1B60" w14:textId="30948BC1" w:rsidR="00C13959" w:rsidRDefault="00601F1A" w:rsidP="004976CC">
      <w:pPr>
        <w:pStyle w:val="Heading1"/>
        <w:pBdr>
          <w:bottom w:val="none" w:sz="0" w:space="0" w:color="auto"/>
        </w:pBdr>
        <w:rPr>
          <w:color w:val="auto"/>
        </w:rPr>
      </w:pPr>
      <w:bookmarkStart w:id="5" w:name="_Toc435518563"/>
      <w:r w:rsidRPr="00D20211">
        <w:rPr>
          <w:color w:val="auto"/>
        </w:rPr>
        <w:t>A.</w:t>
      </w:r>
      <w:r w:rsidR="004D21C9" w:rsidRPr="00D20211">
        <w:rPr>
          <w:color w:val="auto"/>
        </w:rPr>
        <w:t>3</w:t>
      </w:r>
      <w:r w:rsidR="00D5181E" w:rsidRPr="00D20211">
        <w:rPr>
          <w:color w:val="auto"/>
        </w:rPr>
        <w:t>. Use</w:t>
      </w:r>
      <w:r w:rsidR="00B45002" w:rsidRPr="00D20211">
        <w:rPr>
          <w:color w:val="auto"/>
        </w:rPr>
        <w:t xml:space="preserve"> of Improved Information Technology and Burden Reduction</w:t>
      </w:r>
      <w:bookmarkEnd w:id="5"/>
    </w:p>
    <w:p w14:paraId="6230A960" w14:textId="77777777" w:rsidR="007A0E00" w:rsidRPr="007A0E00" w:rsidRDefault="007A0E00" w:rsidP="007A0E00"/>
    <w:p w14:paraId="0F612C81" w14:textId="69B39D61" w:rsidR="006D4A44" w:rsidRDefault="007A0E00" w:rsidP="005301C8">
      <w:pPr>
        <w:spacing w:after="0" w:line="240" w:lineRule="auto"/>
        <w:rPr>
          <w:rFonts w:asciiTheme="majorHAnsi" w:eastAsiaTheme="majorEastAsia" w:hAnsiTheme="majorHAnsi" w:cstheme="majorBidi"/>
          <w:sz w:val="36"/>
          <w:szCs w:val="36"/>
        </w:rPr>
      </w:pPr>
      <w:r w:rsidRPr="007A0E00">
        <w:rPr>
          <w:rFonts w:cs="ITCFranklinGothicStd-Book"/>
          <w:sz w:val="24"/>
          <w:szCs w:val="24"/>
        </w:rPr>
        <w:t xml:space="preserve">Electronic reporting will be used to collect the majority of questionnaire data for this program. </w:t>
      </w:r>
      <w:r w:rsidR="006A47A6">
        <w:rPr>
          <w:rFonts w:cs="ITCFranklinGothicStd-Book"/>
          <w:sz w:val="24"/>
          <w:szCs w:val="24"/>
        </w:rPr>
        <w:t xml:space="preserve">It is estimated that </w:t>
      </w:r>
      <w:r w:rsidRPr="007A0E00">
        <w:rPr>
          <w:rFonts w:cs="ITCFranklinGothicStd-Book"/>
          <w:sz w:val="24"/>
          <w:szCs w:val="24"/>
        </w:rPr>
        <w:t xml:space="preserve">98.5 % of burden hours will be collected by electronic reporting. The eligibility form, which constitutes 63 annual burden hours, will be conducted by paper and pencil form. This study will use the </w:t>
      </w:r>
      <w:proofErr w:type="spellStart"/>
      <w:r w:rsidRPr="007A0E00">
        <w:rPr>
          <w:rFonts w:cs="ITCFranklinGothicStd-Book"/>
          <w:sz w:val="24"/>
          <w:szCs w:val="24"/>
        </w:rPr>
        <w:t>RedCap</w:t>
      </w:r>
      <w:proofErr w:type="spellEnd"/>
      <w:r w:rsidRPr="007A0E00">
        <w:rPr>
          <w:rFonts w:cs="ITCFranklinGothicStd-Book"/>
          <w:sz w:val="24"/>
          <w:szCs w:val="24"/>
        </w:rPr>
        <w:t xml:space="preserve">™ CAPI development tool which is provided through the University of New Mexico Virtual Private Network (VPN). </w:t>
      </w:r>
      <w:proofErr w:type="spellStart"/>
      <w:r w:rsidRPr="007A0E00">
        <w:rPr>
          <w:rFonts w:cs="ITCFranklinGothicStd-Book"/>
          <w:sz w:val="24"/>
          <w:szCs w:val="24"/>
        </w:rPr>
        <w:t>RedCap</w:t>
      </w:r>
      <w:proofErr w:type="spellEnd"/>
      <w:r w:rsidRPr="007A0E00">
        <w:rPr>
          <w:rFonts w:cs="ITCFranklinGothicStd-Book"/>
          <w:sz w:val="24"/>
          <w:szCs w:val="24"/>
        </w:rPr>
        <w:t xml:space="preserve">™ allows for design of a data collection form which can be used to rapidly collect and store questionnaire data in the field.  Data collected can be aggregated, reported and exported using a variety of formats including XML and Microsoft Excel. Trained Community Health Environmental Representatives (CHERs) will administer surveys in the field and record responses in </w:t>
      </w:r>
      <w:proofErr w:type="spellStart"/>
      <w:r w:rsidRPr="007A0E00">
        <w:rPr>
          <w:rFonts w:cs="ITCFranklinGothicStd-Book"/>
          <w:sz w:val="24"/>
          <w:szCs w:val="24"/>
        </w:rPr>
        <w:t>RedCap</w:t>
      </w:r>
      <w:proofErr w:type="spellEnd"/>
      <w:r w:rsidRPr="007A0E00">
        <w:rPr>
          <w:rFonts w:cs="ITCFranklinGothicStd-Book"/>
          <w:sz w:val="24"/>
          <w:szCs w:val="24"/>
        </w:rPr>
        <w:t xml:space="preserve">™. The </w:t>
      </w:r>
      <w:proofErr w:type="spellStart"/>
      <w:r w:rsidRPr="007A0E00">
        <w:rPr>
          <w:rFonts w:cs="ITCFranklinGothicStd-Book"/>
          <w:sz w:val="24"/>
          <w:szCs w:val="24"/>
        </w:rPr>
        <w:t>RedCap</w:t>
      </w:r>
      <w:proofErr w:type="spellEnd"/>
      <w:r w:rsidRPr="007A0E00">
        <w:rPr>
          <w:rFonts w:cs="ITCFranklinGothicStd-Book"/>
          <w:sz w:val="24"/>
          <w:szCs w:val="24"/>
        </w:rPr>
        <w:t xml:space="preserve">™ CAPI will be deployed on laptop computers to collect data.  </w:t>
      </w:r>
    </w:p>
    <w:p w14:paraId="32CBF19C" w14:textId="0ECAA679" w:rsidR="00B45002" w:rsidRPr="00D20211" w:rsidRDefault="00601F1A" w:rsidP="004D7237">
      <w:pPr>
        <w:pStyle w:val="Heading1"/>
        <w:pBdr>
          <w:bottom w:val="none" w:sz="0" w:space="0" w:color="auto"/>
        </w:pBdr>
        <w:rPr>
          <w:color w:val="auto"/>
        </w:rPr>
      </w:pPr>
      <w:bookmarkStart w:id="6" w:name="_Toc435518564"/>
      <w:r w:rsidRPr="00D20211">
        <w:rPr>
          <w:color w:val="auto"/>
        </w:rPr>
        <w:t>A.</w:t>
      </w:r>
      <w:r w:rsidR="004D21C9" w:rsidRPr="00D20211">
        <w:rPr>
          <w:color w:val="auto"/>
        </w:rPr>
        <w:t>4</w:t>
      </w:r>
      <w:r w:rsidR="00D5181E" w:rsidRPr="00D20211">
        <w:rPr>
          <w:color w:val="auto"/>
        </w:rPr>
        <w:t>. Efforts</w:t>
      </w:r>
      <w:r w:rsidR="00B45002" w:rsidRPr="00D20211">
        <w:rPr>
          <w:color w:val="auto"/>
        </w:rPr>
        <w:t xml:space="preserve"> to Identify Duplication and Use of Similar Information</w:t>
      </w:r>
      <w:bookmarkEnd w:id="6"/>
    </w:p>
    <w:p w14:paraId="7FDEC155" w14:textId="77777777" w:rsidR="007A0E00" w:rsidRPr="007A0E00" w:rsidRDefault="007A0E00" w:rsidP="007A0E00">
      <w:pPr>
        <w:spacing w:after="0" w:line="240" w:lineRule="auto"/>
        <w:rPr>
          <w:sz w:val="24"/>
          <w:szCs w:val="24"/>
        </w:rPr>
      </w:pPr>
    </w:p>
    <w:p w14:paraId="7F3C3359" w14:textId="6D931008" w:rsidR="007A0E00" w:rsidRDefault="007A0E00" w:rsidP="007A0E00">
      <w:pPr>
        <w:spacing w:after="0" w:line="240" w:lineRule="auto"/>
        <w:rPr>
          <w:sz w:val="24"/>
          <w:szCs w:val="24"/>
        </w:rPr>
      </w:pPr>
      <w:r w:rsidRPr="007A0E00">
        <w:rPr>
          <w:sz w:val="24"/>
          <w:szCs w:val="24"/>
        </w:rPr>
        <w:t xml:space="preserve">There is a paucity of studies focused on uranium contamination in the Navajo Nation; therefore, the U.S.  House Committee on Oversight and Government Reform requested that </w:t>
      </w:r>
      <w:r w:rsidRPr="007A0E00">
        <w:rPr>
          <w:sz w:val="24"/>
          <w:szCs w:val="24"/>
        </w:rPr>
        <w:lastRenderedPageBreak/>
        <w:t xml:space="preserve">government agencies prepare a plan to address </w:t>
      </w:r>
      <w:r w:rsidRPr="007A0E00">
        <w:rPr>
          <w:bCs/>
          <w:sz w:val="24"/>
          <w:szCs w:val="24"/>
        </w:rPr>
        <w:t xml:space="preserve">Health and Environmental Impacts of Uranium Contamination in the Navajo Nation. </w:t>
      </w:r>
      <w:r w:rsidRPr="007A0E00">
        <w:rPr>
          <w:sz w:val="24"/>
          <w:szCs w:val="24"/>
        </w:rPr>
        <w:t>This study is a result of the House Committee’s Request for an epidemiological study focused on environmental uranium contamination in the Navajo Nation.</w:t>
      </w:r>
    </w:p>
    <w:p w14:paraId="1FABC494" w14:textId="77777777" w:rsidR="007A0E00" w:rsidRPr="007A0E00" w:rsidRDefault="007A0E00" w:rsidP="007A0E00">
      <w:pPr>
        <w:spacing w:after="0" w:line="240" w:lineRule="auto"/>
        <w:rPr>
          <w:sz w:val="24"/>
          <w:szCs w:val="24"/>
        </w:rPr>
      </w:pPr>
    </w:p>
    <w:p w14:paraId="2DD16D13" w14:textId="7EF7AE69" w:rsidR="00AA1F65" w:rsidRDefault="00AA1F65" w:rsidP="007A0E00">
      <w:pPr>
        <w:spacing w:after="0" w:line="240" w:lineRule="auto"/>
        <w:rPr>
          <w:sz w:val="24"/>
          <w:szCs w:val="24"/>
        </w:rPr>
      </w:pPr>
      <w:r>
        <w:rPr>
          <w:sz w:val="24"/>
          <w:szCs w:val="24"/>
        </w:rPr>
        <w:t xml:space="preserve">Previously, </w:t>
      </w:r>
      <w:r w:rsidRPr="007A0E00">
        <w:rPr>
          <w:sz w:val="24"/>
          <w:szCs w:val="24"/>
        </w:rPr>
        <w:t>ATSDR efforts to identify duplication of the proposed IC included reviews of existing reports, peer reviewed publications, abstracts presented at international, national and tribal meetings</w:t>
      </w:r>
      <w:r>
        <w:rPr>
          <w:sz w:val="24"/>
          <w:szCs w:val="24"/>
        </w:rPr>
        <w:t xml:space="preserve">. </w:t>
      </w:r>
      <w:r w:rsidRPr="007A0E00">
        <w:rPr>
          <w:sz w:val="24"/>
          <w:szCs w:val="24"/>
        </w:rPr>
        <w:t>ATSDR also worked with the principal investigator at UNM-CEHP to identify whether the IC is duplicated for</w:t>
      </w:r>
      <w:r>
        <w:rPr>
          <w:sz w:val="24"/>
          <w:szCs w:val="24"/>
        </w:rPr>
        <w:t xml:space="preserve"> the:</w:t>
      </w:r>
      <w:r w:rsidRPr="007A0E00">
        <w:rPr>
          <w:sz w:val="24"/>
          <w:szCs w:val="24"/>
        </w:rPr>
        <w:t xml:space="preserve"> 1) proposed population of interest; 2) specific area of concern; and 3) proposed chemical contaminants.</w:t>
      </w:r>
      <w:r w:rsidR="009A7A43">
        <w:rPr>
          <w:sz w:val="24"/>
          <w:szCs w:val="24"/>
        </w:rPr>
        <w:t xml:space="preserve"> </w:t>
      </w:r>
      <w:r w:rsidR="00421BED">
        <w:rPr>
          <w:sz w:val="24"/>
          <w:szCs w:val="24"/>
        </w:rPr>
        <w:t>C</w:t>
      </w:r>
      <w:r w:rsidR="007A0E00" w:rsidRPr="007A0E00">
        <w:rPr>
          <w:sz w:val="24"/>
          <w:szCs w:val="24"/>
        </w:rPr>
        <w:t>onsultations with Navajo Nation Department of Health, Navajo Nation Environmental Protection Agency, New Mexico Department of Health, and Arizona Department of Health were also conducted to determine that a similar data collection is not being conducted by another institution.</w:t>
      </w:r>
    </w:p>
    <w:p w14:paraId="2DA3B009" w14:textId="77777777" w:rsidR="00AA1F65" w:rsidRDefault="00AA1F65" w:rsidP="007A0E00">
      <w:pPr>
        <w:spacing w:after="0" w:line="240" w:lineRule="auto"/>
        <w:rPr>
          <w:sz w:val="24"/>
          <w:szCs w:val="24"/>
        </w:rPr>
      </w:pPr>
    </w:p>
    <w:p w14:paraId="053B1695" w14:textId="1649B88A" w:rsidR="007A0E00" w:rsidRPr="007A0E00" w:rsidRDefault="007A0E00" w:rsidP="00740C9A">
      <w:pPr>
        <w:spacing w:after="0" w:line="240" w:lineRule="auto"/>
        <w:rPr>
          <w:sz w:val="24"/>
          <w:szCs w:val="24"/>
        </w:rPr>
      </w:pPr>
      <w:r w:rsidRPr="007A0E00">
        <w:rPr>
          <w:sz w:val="24"/>
          <w:szCs w:val="24"/>
        </w:rPr>
        <w:t>T</w:t>
      </w:r>
      <w:r w:rsidR="00AA1F65">
        <w:rPr>
          <w:sz w:val="24"/>
          <w:szCs w:val="24"/>
        </w:rPr>
        <w:t>he circumstances of this research study are unique in that t</w:t>
      </w:r>
      <w:r w:rsidRPr="007A0E00">
        <w:rPr>
          <w:sz w:val="24"/>
          <w:szCs w:val="24"/>
        </w:rPr>
        <w:t xml:space="preserve">his is the only epidemiological study that combines both uranium biomonitoring of pregnant Navajo women and fathers with the applied public health benefit of prenatal educational outreach. </w:t>
      </w:r>
    </w:p>
    <w:p w14:paraId="5500B6CD" w14:textId="5AB523B4" w:rsidR="00B45002" w:rsidRPr="00D20211" w:rsidRDefault="00601F1A" w:rsidP="00601F1A">
      <w:pPr>
        <w:pStyle w:val="Heading1"/>
        <w:pBdr>
          <w:bottom w:val="none" w:sz="0" w:space="0" w:color="auto"/>
        </w:pBdr>
        <w:rPr>
          <w:color w:val="auto"/>
        </w:rPr>
      </w:pPr>
      <w:bookmarkStart w:id="7" w:name="_Toc435518565"/>
      <w:r w:rsidRPr="00D20211">
        <w:rPr>
          <w:color w:val="auto"/>
        </w:rPr>
        <w:t>A.</w:t>
      </w:r>
      <w:r w:rsidR="004D21C9" w:rsidRPr="00D20211">
        <w:rPr>
          <w:color w:val="auto"/>
        </w:rPr>
        <w:t>5</w:t>
      </w:r>
      <w:r w:rsidR="00D5181E" w:rsidRPr="00D20211">
        <w:rPr>
          <w:color w:val="auto"/>
        </w:rPr>
        <w:t>. Impact</w:t>
      </w:r>
      <w:r w:rsidR="00B45002" w:rsidRPr="00D20211">
        <w:rPr>
          <w:color w:val="auto"/>
        </w:rPr>
        <w:t xml:space="preserve"> on Small Businesses or Other Small Entities</w:t>
      </w:r>
      <w:bookmarkEnd w:id="7"/>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35DE3348" w14:textId="25394586" w:rsidR="00943FCF" w:rsidRPr="00D20211" w:rsidRDefault="0037229E" w:rsidP="0037229E">
      <w:pPr>
        <w:autoSpaceDE w:val="0"/>
        <w:autoSpaceDN w:val="0"/>
        <w:adjustRightInd w:val="0"/>
        <w:spacing w:line="240" w:lineRule="auto"/>
        <w:rPr>
          <w:rFonts w:cs="ITCFranklinGothicStd-Book"/>
          <w:sz w:val="24"/>
          <w:szCs w:val="24"/>
        </w:rPr>
      </w:pPr>
      <w:r w:rsidRPr="0037229E">
        <w:rPr>
          <w:rFonts w:cs="ITCFranklinGothicStd-Book"/>
          <w:sz w:val="24"/>
          <w:szCs w:val="24"/>
        </w:rPr>
        <w:t>The questions have been held to the absolute minimum required for the intended use of the data</w:t>
      </w:r>
      <w:r>
        <w:rPr>
          <w:rFonts w:cs="ITCFranklinGothicStd-Book"/>
          <w:sz w:val="24"/>
          <w:szCs w:val="24"/>
        </w:rPr>
        <w:t xml:space="preserve">. </w:t>
      </w:r>
      <w:r w:rsidRPr="0037229E">
        <w:rPr>
          <w:rFonts w:cs="ITCFranklinGothicStd-Book"/>
          <w:sz w:val="24"/>
          <w:szCs w:val="24"/>
        </w:rPr>
        <w:t xml:space="preserve">No small businesses will be involved in this data collection. </w:t>
      </w:r>
    </w:p>
    <w:p w14:paraId="1771BB1B" w14:textId="362701FB" w:rsidR="00B45002" w:rsidRPr="00D20211" w:rsidRDefault="00601F1A" w:rsidP="00601F1A">
      <w:pPr>
        <w:pStyle w:val="Heading1"/>
        <w:pBdr>
          <w:bottom w:val="none" w:sz="0" w:space="0" w:color="auto"/>
        </w:pBdr>
        <w:rPr>
          <w:color w:val="auto"/>
        </w:rPr>
      </w:pPr>
      <w:bookmarkStart w:id="8" w:name="_Toc435518566"/>
      <w:r w:rsidRPr="00D20211">
        <w:rPr>
          <w:color w:val="auto"/>
        </w:rPr>
        <w:t>A.</w:t>
      </w:r>
      <w:r w:rsidR="004D21C9" w:rsidRPr="00D20211">
        <w:rPr>
          <w:color w:val="auto"/>
        </w:rPr>
        <w:t>6</w:t>
      </w:r>
      <w:r w:rsidR="0037229E" w:rsidRPr="00D20211">
        <w:rPr>
          <w:color w:val="auto"/>
        </w:rPr>
        <w:t>. Consequences</w:t>
      </w:r>
      <w:r w:rsidR="00B45002" w:rsidRPr="00D20211">
        <w:rPr>
          <w:color w:val="auto"/>
        </w:rPr>
        <w:t xml:space="preserve"> of Collecting the Information Less Frequently</w:t>
      </w:r>
      <w:bookmarkEnd w:id="8"/>
    </w:p>
    <w:p w14:paraId="4B9CAA11" w14:textId="77777777" w:rsidR="00F82AF2" w:rsidRPr="00D20211" w:rsidRDefault="00F82AF2" w:rsidP="002930EC">
      <w:pPr>
        <w:spacing w:after="0" w:line="240" w:lineRule="auto"/>
        <w:rPr>
          <w:sz w:val="24"/>
          <w:szCs w:val="24"/>
        </w:rPr>
      </w:pPr>
    </w:p>
    <w:p w14:paraId="114AEF0C" w14:textId="4BB40A52" w:rsidR="003C2CB0" w:rsidRDefault="003C2CB0" w:rsidP="004E40CE">
      <w:pPr>
        <w:autoSpaceDE w:val="0"/>
        <w:autoSpaceDN w:val="0"/>
        <w:adjustRightInd w:val="0"/>
        <w:spacing w:line="240" w:lineRule="auto"/>
        <w:rPr>
          <w:rFonts w:cs="ITCFranklinGothicStd-Book"/>
          <w:sz w:val="24"/>
          <w:szCs w:val="24"/>
        </w:rPr>
      </w:pPr>
      <w:r w:rsidRPr="003C2CB0">
        <w:rPr>
          <w:rFonts w:cs="ITCFranklinGothicStd-Book"/>
          <w:sz w:val="24"/>
          <w:szCs w:val="24"/>
        </w:rPr>
        <w:t xml:space="preserve">In order to gather data relevant to prenatal, perinatal, and postnatal time periods, </w:t>
      </w:r>
      <w:r>
        <w:rPr>
          <w:rFonts w:cs="ITCFranklinGothicStd-Book"/>
          <w:sz w:val="24"/>
          <w:szCs w:val="24"/>
        </w:rPr>
        <w:t>respondents will respond to information collection d</w:t>
      </w:r>
      <w:r w:rsidRPr="003C2CB0">
        <w:rPr>
          <w:rFonts w:cs="ITCFranklinGothicStd-Book"/>
          <w:sz w:val="24"/>
          <w:szCs w:val="24"/>
        </w:rPr>
        <w:t xml:space="preserve">uring pregnancy, as well as, post-pregnancy. When studying developmental endpoints it is necessary to collect data during multiple critical developmental time periods. Please see Attachment </w:t>
      </w:r>
      <w:r w:rsidR="00F13B4D">
        <w:rPr>
          <w:rFonts w:cs="ITCFranklinGothicStd-Book"/>
          <w:sz w:val="24"/>
          <w:szCs w:val="24"/>
        </w:rPr>
        <w:t xml:space="preserve">4 </w:t>
      </w:r>
      <w:r w:rsidR="00B4096C">
        <w:rPr>
          <w:rFonts w:cs="ITCFranklinGothicStd-Book"/>
          <w:sz w:val="24"/>
          <w:szCs w:val="24"/>
        </w:rPr>
        <w:t>(</w:t>
      </w:r>
      <w:r w:rsidRPr="003C2CB0">
        <w:rPr>
          <w:rFonts w:cs="ITCFranklinGothicStd-Book"/>
          <w:sz w:val="24"/>
          <w:szCs w:val="24"/>
        </w:rPr>
        <w:t>Study Information and Participant Timeline</w:t>
      </w:r>
      <w:r w:rsidR="00B4096C">
        <w:rPr>
          <w:rFonts w:cs="ITCFranklinGothicStd-Book"/>
          <w:sz w:val="24"/>
          <w:szCs w:val="24"/>
        </w:rPr>
        <w:t>)</w:t>
      </w:r>
      <w:r w:rsidRPr="003C2CB0">
        <w:rPr>
          <w:rFonts w:cs="ITCFranklinGothicStd-Book"/>
          <w:sz w:val="24"/>
          <w:szCs w:val="24"/>
        </w:rPr>
        <w:t xml:space="preserve"> which details frequency of participant interactions. There are no legal obstacles to reduce the burden.</w:t>
      </w:r>
    </w:p>
    <w:p w14:paraId="0123AC1E" w14:textId="447B27D3" w:rsidR="00B45002" w:rsidRDefault="00601F1A" w:rsidP="00601F1A">
      <w:pPr>
        <w:pStyle w:val="Heading1"/>
        <w:pBdr>
          <w:bottom w:val="none" w:sz="0" w:space="0" w:color="auto"/>
        </w:pBdr>
        <w:rPr>
          <w:color w:val="auto"/>
        </w:rPr>
      </w:pPr>
      <w:bookmarkStart w:id="9" w:name="_Toc435518567"/>
      <w:r w:rsidRPr="00D20211">
        <w:rPr>
          <w:color w:val="auto"/>
        </w:rPr>
        <w:t>A.</w:t>
      </w:r>
      <w:r w:rsidR="00B45002" w:rsidRPr="00D20211">
        <w:rPr>
          <w:color w:val="auto"/>
        </w:rPr>
        <w:t>7</w:t>
      </w:r>
      <w:r w:rsidR="00D5181E" w:rsidRPr="00D20211">
        <w:rPr>
          <w:color w:val="auto"/>
        </w:rPr>
        <w:t>. Special</w:t>
      </w:r>
      <w:r w:rsidR="00B45002" w:rsidRPr="00D20211">
        <w:rPr>
          <w:color w:val="auto"/>
        </w:rPr>
        <w:t xml:space="preserve"> Circumstances Relating to the Guidelines of 5 CFR 1320.5</w:t>
      </w:r>
      <w:bookmarkEnd w:id="9"/>
    </w:p>
    <w:p w14:paraId="33211F3B" w14:textId="77777777" w:rsidR="003C2CB0" w:rsidRDefault="003C2CB0" w:rsidP="00FB3333">
      <w:pPr>
        <w:autoSpaceDE w:val="0"/>
        <w:autoSpaceDN w:val="0"/>
        <w:adjustRightInd w:val="0"/>
        <w:spacing w:line="240" w:lineRule="auto"/>
        <w:rPr>
          <w:sz w:val="24"/>
          <w:szCs w:val="24"/>
        </w:rPr>
      </w:pPr>
    </w:p>
    <w:p w14:paraId="2A9759C6" w14:textId="79FF968B" w:rsidR="0014151A" w:rsidRPr="00D20211" w:rsidRDefault="003C2CB0" w:rsidP="00FB3333">
      <w:pPr>
        <w:autoSpaceDE w:val="0"/>
        <w:autoSpaceDN w:val="0"/>
        <w:adjustRightInd w:val="0"/>
        <w:spacing w:line="240" w:lineRule="auto"/>
        <w:rPr>
          <w:sz w:val="24"/>
          <w:szCs w:val="24"/>
        </w:rPr>
      </w:pPr>
      <w:r w:rsidRPr="003C2CB0">
        <w:rPr>
          <w:sz w:val="24"/>
          <w:szCs w:val="24"/>
        </w:rPr>
        <w:t>This request fully complies with the regulation 5 CFR 1320.5.</w:t>
      </w:r>
    </w:p>
    <w:p w14:paraId="508E9BF1" w14:textId="307F9048" w:rsidR="00B45002" w:rsidRPr="00D20211" w:rsidRDefault="00601F1A" w:rsidP="00601F1A">
      <w:pPr>
        <w:pStyle w:val="Heading1"/>
        <w:pBdr>
          <w:bottom w:val="none" w:sz="0" w:space="0" w:color="auto"/>
        </w:pBdr>
        <w:rPr>
          <w:color w:val="auto"/>
        </w:rPr>
      </w:pPr>
      <w:bookmarkStart w:id="10" w:name="_Toc435518568"/>
      <w:r w:rsidRPr="00D20211">
        <w:rPr>
          <w:color w:val="auto"/>
        </w:rPr>
        <w:lastRenderedPageBreak/>
        <w:t>A.</w:t>
      </w:r>
      <w:r w:rsidR="004D21C9" w:rsidRPr="00D20211">
        <w:rPr>
          <w:color w:val="auto"/>
        </w:rPr>
        <w:t>8</w:t>
      </w:r>
      <w:r w:rsidR="00D5181E" w:rsidRPr="00D20211">
        <w:rPr>
          <w:color w:val="auto"/>
        </w:rPr>
        <w:t>. Comments</w:t>
      </w:r>
      <w:r w:rsidR="00B45002" w:rsidRPr="00D20211">
        <w:rPr>
          <w:color w:val="auto"/>
        </w:rPr>
        <w:t xml:space="preserve">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7CE9E660" w14:textId="5B03C727" w:rsidR="00D62EE3" w:rsidRPr="00CC3F05" w:rsidRDefault="00BF4D5E" w:rsidP="00BB5DA0">
      <w:pPr>
        <w:pStyle w:val="ListParagraph"/>
        <w:numPr>
          <w:ilvl w:val="0"/>
          <w:numId w:val="1"/>
        </w:numPr>
        <w:autoSpaceDE w:val="0"/>
        <w:autoSpaceDN w:val="0"/>
        <w:adjustRightInd w:val="0"/>
        <w:spacing w:line="240" w:lineRule="auto"/>
        <w:contextualSpacing w:val="0"/>
        <w:rPr>
          <w:rFonts w:cs="ITCFranklinGothicStd-Demi"/>
          <w:sz w:val="24"/>
          <w:szCs w:val="24"/>
        </w:rPr>
      </w:pPr>
      <w:r w:rsidRPr="005301C8">
        <w:rPr>
          <w:rFonts w:cs="ITCFranklinGothicStd-Book"/>
          <w:sz w:val="24"/>
          <w:szCs w:val="24"/>
        </w:rPr>
        <w:t xml:space="preserve">A </w:t>
      </w:r>
      <w:r w:rsidR="003C2CB0" w:rsidRPr="005301C8">
        <w:rPr>
          <w:rFonts w:cs="ITCFranklinGothicStd-Book"/>
          <w:sz w:val="24"/>
          <w:szCs w:val="24"/>
        </w:rPr>
        <w:t>60-day Federal Register Notice was published on Septe</w:t>
      </w:r>
      <w:r w:rsidR="00A4105D">
        <w:rPr>
          <w:rFonts w:cs="ITCFranklinGothicStd-Book"/>
          <w:sz w:val="24"/>
          <w:szCs w:val="24"/>
        </w:rPr>
        <w:t>mber 30, 2015 in Volume 80 No.</w:t>
      </w:r>
      <w:r w:rsidR="003C2CB0" w:rsidRPr="005301C8">
        <w:rPr>
          <w:rFonts w:cs="ITCFranklinGothicStd-Book"/>
          <w:sz w:val="24"/>
          <w:szCs w:val="24"/>
        </w:rPr>
        <w:t xml:space="preserve"> 189</w:t>
      </w:r>
      <w:r w:rsidR="00A4105D">
        <w:rPr>
          <w:rFonts w:cs="ITCFranklinGothicStd-Book"/>
          <w:sz w:val="24"/>
          <w:szCs w:val="24"/>
        </w:rPr>
        <w:t>, pages 58733-4</w:t>
      </w:r>
      <w:r w:rsidR="003C2CB0" w:rsidRPr="005301C8">
        <w:rPr>
          <w:rFonts w:cs="ITCFranklinGothicStd-Book"/>
          <w:sz w:val="24"/>
          <w:szCs w:val="24"/>
        </w:rPr>
        <w:t xml:space="preserve"> (Attachment 2). </w:t>
      </w:r>
      <w:r w:rsidR="00B9102A" w:rsidRPr="00CC3F05">
        <w:rPr>
          <w:rFonts w:cs="ITCFranklinGothicStd-Book"/>
          <w:sz w:val="24"/>
          <w:szCs w:val="24"/>
        </w:rPr>
        <w:t xml:space="preserve">CDC/ATSDR received one </w:t>
      </w:r>
      <w:r w:rsidR="008B5EB7" w:rsidRPr="005301C8">
        <w:rPr>
          <w:rFonts w:cs="ITCFranklinGothicStd-Book"/>
          <w:sz w:val="24"/>
          <w:szCs w:val="24"/>
        </w:rPr>
        <w:t xml:space="preserve">public </w:t>
      </w:r>
      <w:r w:rsidR="00B9102A" w:rsidRPr="00CC3F05">
        <w:rPr>
          <w:rFonts w:cs="ITCFranklinGothicStd-Book"/>
          <w:sz w:val="24"/>
          <w:szCs w:val="24"/>
        </w:rPr>
        <w:t>comment</w:t>
      </w:r>
      <w:r w:rsidR="008B5EB7" w:rsidRPr="005301C8">
        <w:rPr>
          <w:rFonts w:cs="ITCFranklinGothicStd-Book"/>
          <w:sz w:val="24"/>
          <w:szCs w:val="24"/>
        </w:rPr>
        <w:t xml:space="preserve"> in support of continued information collection</w:t>
      </w:r>
      <w:r w:rsidR="007C1FF9" w:rsidRPr="00CC3F05">
        <w:rPr>
          <w:rFonts w:cs="ITCFranklinGothicStd-Book"/>
          <w:sz w:val="24"/>
          <w:szCs w:val="24"/>
        </w:rPr>
        <w:t xml:space="preserve"> (Attachment 2a)</w:t>
      </w:r>
      <w:r w:rsidR="008B5EB7" w:rsidRPr="005301C8">
        <w:rPr>
          <w:rFonts w:cs="ITCFranklinGothicStd-Book"/>
          <w:sz w:val="24"/>
          <w:szCs w:val="24"/>
        </w:rPr>
        <w:t>. A</w:t>
      </w:r>
      <w:r w:rsidR="007C1FF9" w:rsidRPr="00CC3F05">
        <w:rPr>
          <w:rFonts w:cs="ITCFranklinGothicStd-Book"/>
          <w:sz w:val="24"/>
          <w:szCs w:val="24"/>
        </w:rPr>
        <w:t xml:space="preserve">n </w:t>
      </w:r>
      <w:r w:rsidR="00B9102A" w:rsidRPr="005301C8">
        <w:rPr>
          <w:rFonts w:cs="ITCFranklinGothicStd-Book"/>
          <w:sz w:val="24"/>
          <w:szCs w:val="24"/>
        </w:rPr>
        <w:t xml:space="preserve">agency response was not </w:t>
      </w:r>
      <w:r w:rsidR="000F5F56">
        <w:rPr>
          <w:rFonts w:cs="ITCFranklinGothicStd-Book"/>
          <w:sz w:val="24"/>
          <w:szCs w:val="24"/>
        </w:rPr>
        <w:t>requested</w:t>
      </w:r>
      <w:r w:rsidR="007C1FF9" w:rsidRPr="005301C8">
        <w:rPr>
          <w:rFonts w:cs="ITCFranklinGothicStd-Book"/>
          <w:sz w:val="24"/>
          <w:szCs w:val="24"/>
        </w:rPr>
        <w:t xml:space="preserve">. </w:t>
      </w:r>
      <w:r w:rsidR="00BB5DA0" w:rsidRPr="005301C8">
        <w:rPr>
          <w:rFonts w:cs="ITCFranklinGothicStd-Book"/>
          <w:sz w:val="24"/>
          <w:szCs w:val="24"/>
        </w:rPr>
        <w:t xml:space="preserve">ATSDR is committed to continuing and successfully completing the Navajo Birth Cohort Study (NBCS). </w:t>
      </w:r>
      <w:r w:rsidR="00BB5DA0" w:rsidRPr="00CC3F05">
        <w:rPr>
          <w:rFonts w:ascii="Calibri" w:hAnsi="Calibri"/>
          <w:color w:val="1F497D"/>
          <w:sz w:val="22"/>
          <w:szCs w:val="22"/>
        </w:rPr>
        <w:t xml:space="preserve"> </w:t>
      </w:r>
      <w:r w:rsidR="00B9102A" w:rsidRPr="00CC3F05">
        <w:rPr>
          <w:rFonts w:cs="ITCFranklinGothicStd-Book"/>
          <w:sz w:val="24"/>
          <w:szCs w:val="24"/>
        </w:rPr>
        <w:t xml:space="preserve"> </w:t>
      </w:r>
    </w:p>
    <w:p w14:paraId="6C65FEA6" w14:textId="04689DE2" w:rsidR="00FA1A1B" w:rsidRDefault="00BF4D5E" w:rsidP="00B676FA">
      <w:pPr>
        <w:pStyle w:val="ListParagraph"/>
        <w:numPr>
          <w:ilvl w:val="0"/>
          <w:numId w:val="1"/>
        </w:numPr>
        <w:autoSpaceDE w:val="0"/>
        <w:autoSpaceDN w:val="0"/>
        <w:adjustRightInd w:val="0"/>
        <w:spacing w:line="240" w:lineRule="auto"/>
        <w:contextualSpacing w:val="0"/>
        <w:rPr>
          <w:rFonts w:cs="ITCFranklinGothicStd-Book"/>
          <w:sz w:val="24"/>
          <w:szCs w:val="24"/>
        </w:rPr>
      </w:pPr>
      <w:r w:rsidRPr="00740C9A">
        <w:rPr>
          <w:rFonts w:cs="ITCFranklinGothicStd-Book"/>
          <w:sz w:val="24"/>
          <w:szCs w:val="24"/>
        </w:rPr>
        <w:t xml:space="preserve">In September 2009, ATSDR representatives met with several Navajo agency and department representatives (NNDOH, NNEPA), NAIHS, </w:t>
      </w:r>
      <w:r w:rsidR="00457F5F">
        <w:rPr>
          <w:rFonts w:cs="ITCFranklinGothicStd-Book"/>
          <w:sz w:val="24"/>
          <w:szCs w:val="24"/>
        </w:rPr>
        <w:t>Environmental P</w:t>
      </w:r>
      <w:r w:rsidR="00FA1A1B">
        <w:rPr>
          <w:rFonts w:cs="ITCFranklinGothicStd-Book"/>
          <w:sz w:val="24"/>
          <w:szCs w:val="24"/>
        </w:rPr>
        <w:t>rotection Agency (</w:t>
      </w:r>
      <w:r w:rsidRPr="00740C9A">
        <w:rPr>
          <w:rFonts w:cs="ITCFranklinGothicStd-Book"/>
          <w:sz w:val="24"/>
          <w:szCs w:val="24"/>
        </w:rPr>
        <w:t>EPA</w:t>
      </w:r>
      <w:r w:rsidR="00FA1A1B">
        <w:rPr>
          <w:rFonts w:cs="ITCFranklinGothicStd-Book"/>
          <w:sz w:val="24"/>
          <w:szCs w:val="24"/>
        </w:rPr>
        <w:t>)</w:t>
      </w:r>
      <w:r w:rsidRPr="00740C9A">
        <w:rPr>
          <w:rFonts w:cs="ITCFranklinGothicStd-Book"/>
          <w:sz w:val="24"/>
          <w:szCs w:val="24"/>
        </w:rPr>
        <w:t xml:space="preserve">, community members, and local university researchers to gain further understanding of previous research activities conducted in 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 </w:t>
      </w:r>
    </w:p>
    <w:p w14:paraId="3176795B" w14:textId="51D1F780" w:rsidR="00BF4D5E" w:rsidRPr="00740C9A" w:rsidRDefault="00BF4D5E" w:rsidP="00740C9A">
      <w:pPr>
        <w:pStyle w:val="ListParagraph"/>
        <w:autoSpaceDE w:val="0"/>
        <w:autoSpaceDN w:val="0"/>
        <w:adjustRightInd w:val="0"/>
        <w:spacing w:line="240" w:lineRule="auto"/>
        <w:contextualSpacing w:val="0"/>
        <w:rPr>
          <w:rFonts w:cs="ITCFranklinGothicStd-Book"/>
          <w:sz w:val="24"/>
          <w:szCs w:val="24"/>
        </w:rPr>
      </w:pPr>
      <w:r w:rsidRPr="00740C9A">
        <w:rPr>
          <w:rFonts w:cs="ITCFranklinGothicStd-Book"/>
          <w:sz w:val="24"/>
          <w:szCs w:val="24"/>
        </w:rPr>
        <w:t xml:space="preserve">The study coincides with the Health and Environmental Impacts of Uranium Contamination in the Navajo Nation 5 Year Plan requested by the House of Representatives Committee on Oversight and Government Reform. Therefore, we have conducted yearly congressional briefings to the </w:t>
      </w:r>
      <w:r w:rsidR="00740C9A" w:rsidRPr="00740C9A">
        <w:rPr>
          <w:rFonts w:cs="ITCFranklinGothicStd-Book"/>
          <w:sz w:val="24"/>
          <w:szCs w:val="24"/>
        </w:rPr>
        <w:t xml:space="preserve">House Committee on Oversight and Government Reform </w:t>
      </w:r>
      <w:r w:rsidRPr="00740C9A">
        <w:rPr>
          <w:rFonts w:cs="ITCFranklinGothicStd-Book"/>
          <w:sz w:val="24"/>
          <w:szCs w:val="24"/>
        </w:rPr>
        <w:t>in consultation with the E</w:t>
      </w:r>
      <w:r w:rsidR="00FA1A1B">
        <w:rPr>
          <w:rFonts w:cs="ITCFranklinGothicStd-Book"/>
          <w:sz w:val="24"/>
          <w:szCs w:val="24"/>
        </w:rPr>
        <w:t>PA</w:t>
      </w:r>
      <w:r w:rsidRPr="00740C9A">
        <w:rPr>
          <w:rFonts w:cs="ITCFranklinGothicStd-Book"/>
          <w:sz w:val="24"/>
          <w:szCs w:val="24"/>
        </w:rPr>
        <w:t>, Bureau of Indian Affairs</w:t>
      </w:r>
      <w:r w:rsidR="00FA1A1B">
        <w:rPr>
          <w:rFonts w:cs="ITCFranklinGothicStd-Book"/>
          <w:sz w:val="24"/>
          <w:szCs w:val="24"/>
        </w:rPr>
        <w:t xml:space="preserve"> (BIA)</w:t>
      </w:r>
      <w:r w:rsidRPr="00740C9A">
        <w:rPr>
          <w:rFonts w:cs="ITCFranklinGothicStd-Book"/>
          <w:sz w:val="24"/>
          <w:szCs w:val="24"/>
        </w:rPr>
        <w:t>, Nuclear Regulatory Commission</w:t>
      </w:r>
      <w:r w:rsidR="00FA1A1B">
        <w:rPr>
          <w:rFonts w:cs="ITCFranklinGothicStd-Book"/>
          <w:sz w:val="24"/>
          <w:szCs w:val="24"/>
        </w:rPr>
        <w:t xml:space="preserve"> (NRC)</w:t>
      </w:r>
      <w:r w:rsidRPr="00740C9A">
        <w:rPr>
          <w:rFonts w:cs="ITCFranklinGothicStd-Book"/>
          <w:sz w:val="24"/>
          <w:szCs w:val="24"/>
        </w:rPr>
        <w:t>, N</w:t>
      </w:r>
      <w:r w:rsidR="00FA1A1B">
        <w:rPr>
          <w:rFonts w:cs="ITCFranklinGothicStd-Book"/>
          <w:sz w:val="24"/>
          <w:szCs w:val="24"/>
        </w:rPr>
        <w:t>AIHS</w:t>
      </w:r>
      <w:r w:rsidRPr="00740C9A">
        <w:rPr>
          <w:rFonts w:cs="ITCFranklinGothicStd-Book"/>
          <w:sz w:val="24"/>
          <w:szCs w:val="24"/>
        </w:rPr>
        <w:t>, and the Department of Energy</w:t>
      </w:r>
      <w:r w:rsidR="00FA1A1B">
        <w:rPr>
          <w:rFonts w:cs="ITCFranklinGothicStd-Book"/>
          <w:sz w:val="24"/>
          <w:szCs w:val="24"/>
        </w:rPr>
        <w:t xml:space="preserve"> (DOE)</w:t>
      </w:r>
      <w:r w:rsidRPr="00740C9A">
        <w:rPr>
          <w:rFonts w:cs="ITCFranklinGothicStd-Book"/>
          <w:sz w:val="24"/>
          <w:szCs w:val="24"/>
        </w:rPr>
        <w:t xml:space="preserve">. The following primary individuals were consulted to obtain their views on the availability of the data, the clarity of instructions, disclosure, questionnaire development, language interpretation, </w:t>
      </w:r>
      <w:proofErr w:type="spellStart"/>
      <w:r w:rsidRPr="00740C9A">
        <w:rPr>
          <w:rFonts w:cs="ITCFranklinGothicStd-Book"/>
          <w:sz w:val="24"/>
          <w:szCs w:val="24"/>
        </w:rPr>
        <w:t>analyte</w:t>
      </w:r>
      <w:proofErr w:type="spellEnd"/>
      <w:r w:rsidRPr="00740C9A">
        <w:rPr>
          <w:rFonts w:cs="ITCFranklinGothicStd-Book"/>
          <w:sz w:val="24"/>
          <w:szCs w:val="24"/>
        </w:rPr>
        <w:t xml:space="preserve"> selection, cultural sensitivity regarding the study. </w:t>
      </w:r>
    </w:p>
    <w:p w14:paraId="33ADABFD" w14:textId="77777777" w:rsidR="00DD7ABB" w:rsidRPr="00D20211" w:rsidRDefault="00DD7ABB" w:rsidP="003B2A57">
      <w:pPr>
        <w:autoSpaceDE w:val="0"/>
        <w:autoSpaceDN w:val="0"/>
        <w:adjustRightInd w:val="0"/>
        <w:spacing w:after="0" w:line="240" w:lineRule="auto"/>
        <w:jc w:val="both"/>
        <w:rPr>
          <w:rFonts w:cstheme="minorHAnsi"/>
          <w:b/>
          <w:sz w:val="24"/>
          <w:szCs w:val="24"/>
        </w:rPr>
      </w:pPr>
    </w:p>
    <w:p w14:paraId="3370EEBF" w14:textId="4E6C97DA" w:rsidR="003B2A57" w:rsidRPr="00D20211" w:rsidRDefault="00DD4063" w:rsidP="003B2A57">
      <w:pPr>
        <w:autoSpaceDE w:val="0"/>
        <w:autoSpaceDN w:val="0"/>
        <w:adjustRightInd w:val="0"/>
        <w:spacing w:after="0" w:line="240" w:lineRule="auto"/>
        <w:jc w:val="both"/>
        <w:rPr>
          <w:rFonts w:cstheme="minorHAnsi"/>
          <w:sz w:val="24"/>
          <w:szCs w:val="24"/>
        </w:rPr>
      </w:pPr>
      <w:r w:rsidRPr="00DD4063">
        <w:rPr>
          <w:rFonts w:cstheme="minorHAnsi"/>
          <w:sz w:val="24"/>
          <w:szCs w:val="24"/>
        </w:rPr>
        <w:t>Table 4</w:t>
      </w:r>
      <w:r>
        <w:rPr>
          <w:rFonts w:cstheme="minorHAnsi"/>
          <w:b/>
          <w:sz w:val="24"/>
          <w:szCs w:val="24"/>
        </w:rPr>
        <w:t>:</w:t>
      </w:r>
      <w:r w:rsidR="008F6D26" w:rsidRPr="00D20211">
        <w:rPr>
          <w:rFonts w:cstheme="minorHAnsi"/>
          <w:sz w:val="24"/>
          <w:szCs w:val="24"/>
        </w:rPr>
        <w:t xml:space="preserve"> </w:t>
      </w:r>
      <w:r>
        <w:rPr>
          <w:rFonts w:cstheme="minorHAnsi"/>
          <w:sz w:val="24"/>
          <w:szCs w:val="24"/>
        </w:rPr>
        <w:t xml:space="preserve">2010-2015 </w:t>
      </w:r>
      <w:r w:rsidR="009D2718" w:rsidRPr="00D20211">
        <w:rPr>
          <w:rFonts w:cstheme="minorHAnsi"/>
          <w:sz w:val="24"/>
          <w:szCs w:val="24"/>
        </w:rPr>
        <w:t xml:space="preserve">ATSDR </w:t>
      </w:r>
      <w:r w:rsidR="003B2A57" w:rsidRPr="00D20211">
        <w:rPr>
          <w:rFonts w:cstheme="minorHAnsi"/>
          <w:sz w:val="24"/>
          <w:szCs w:val="24"/>
        </w:rPr>
        <w:t>Consultations</w:t>
      </w:r>
    </w:p>
    <w:p w14:paraId="0E83ECAE"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350"/>
        <w:gridCol w:w="2430"/>
        <w:gridCol w:w="1530"/>
        <w:gridCol w:w="2160"/>
      </w:tblGrid>
      <w:tr w:rsidR="00D20211" w:rsidRPr="00D20211" w14:paraId="554C8CC5" w14:textId="77777777" w:rsidTr="005301C8">
        <w:tc>
          <w:tcPr>
            <w:tcW w:w="1980" w:type="dxa"/>
            <w:tcBorders>
              <w:top w:val="single" w:sz="8" w:space="0" w:color="auto"/>
              <w:left w:val="nil"/>
              <w:bottom w:val="single" w:sz="8" w:space="0" w:color="auto"/>
              <w:right w:val="nil"/>
            </w:tcBorders>
            <w:shd w:val="clear" w:color="auto" w:fill="auto"/>
          </w:tcPr>
          <w:p w14:paraId="761B9A23" w14:textId="77777777" w:rsidR="0091320B" w:rsidRPr="00D20211" w:rsidRDefault="0091320B" w:rsidP="00C564AD">
            <w:pPr>
              <w:autoSpaceDE w:val="0"/>
              <w:autoSpaceDN w:val="0"/>
              <w:adjustRightInd w:val="0"/>
              <w:spacing w:after="0" w:line="240" w:lineRule="auto"/>
              <w:jc w:val="both"/>
              <w:rPr>
                <w:rFonts w:cstheme="minorHAnsi"/>
                <w:b/>
              </w:rPr>
            </w:pPr>
            <w:r w:rsidRPr="00D20211">
              <w:rPr>
                <w:rFonts w:cstheme="minorHAnsi"/>
                <w:b/>
              </w:rPr>
              <w:t>Name</w:t>
            </w:r>
          </w:p>
        </w:tc>
        <w:tc>
          <w:tcPr>
            <w:tcW w:w="1350" w:type="dxa"/>
            <w:tcBorders>
              <w:top w:val="single" w:sz="8" w:space="0" w:color="auto"/>
              <w:left w:val="nil"/>
              <w:bottom w:val="single" w:sz="8" w:space="0" w:color="auto"/>
              <w:right w:val="nil"/>
            </w:tcBorders>
            <w:shd w:val="clear" w:color="auto" w:fill="auto"/>
          </w:tcPr>
          <w:p w14:paraId="77FDC6C2" w14:textId="4D839543" w:rsidR="0091320B" w:rsidRPr="00D20211" w:rsidRDefault="00755987" w:rsidP="00C564AD">
            <w:pPr>
              <w:autoSpaceDE w:val="0"/>
              <w:autoSpaceDN w:val="0"/>
              <w:adjustRightInd w:val="0"/>
              <w:spacing w:after="0" w:line="240" w:lineRule="auto"/>
              <w:jc w:val="both"/>
              <w:rPr>
                <w:rFonts w:cstheme="minorHAnsi"/>
                <w:b/>
              </w:rPr>
            </w:pPr>
            <w:r w:rsidRPr="00D20211">
              <w:rPr>
                <w:rFonts w:cstheme="minorHAnsi"/>
                <w:b/>
              </w:rPr>
              <w:t>Title</w:t>
            </w:r>
          </w:p>
        </w:tc>
        <w:tc>
          <w:tcPr>
            <w:tcW w:w="2430" w:type="dxa"/>
            <w:tcBorders>
              <w:top w:val="single" w:sz="8" w:space="0" w:color="auto"/>
              <w:left w:val="nil"/>
              <w:bottom w:val="single" w:sz="8" w:space="0" w:color="auto"/>
              <w:right w:val="nil"/>
            </w:tcBorders>
            <w:shd w:val="clear" w:color="auto" w:fill="auto"/>
          </w:tcPr>
          <w:p w14:paraId="1BF52322" w14:textId="295DCCA1" w:rsidR="0091320B" w:rsidRPr="00D20211" w:rsidRDefault="0091320B" w:rsidP="00C564AD">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shd w:val="clear" w:color="auto" w:fill="auto"/>
          </w:tcPr>
          <w:p w14:paraId="265190EA" w14:textId="77777777" w:rsidR="0091320B" w:rsidRPr="00D20211" w:rsidRDefault="0091320B" w:rsidP="00C564AD">
            <w:pPr>
              <w:autoSpaceDE w:val="0"/>
              <w:autoSpaceDN w:val="0"/>
              <w:adjustRightInd w:val="0"/>
              <w:spacing w:after="0" w:line="240" w:lineRule="auto"/>
              <w:jc w:val="both"/>
              <w:rPr>
                <w:rFonts w:cstheme="minorHAnsi"/>
                <w:b/>
              </w:rPr>
            </w:pPr>
            <w:r w:rsidRPr="00D20211">
              <w:rPr>
                <w:rFonts w:cstheme="minorHAnsi"/>
                <w:b/>
              </w:rPr>
              <w:t>Phone</w:t>
            </w:r>
          </w:p>
        </w:tc>
        <w:tc>
          <w:tcPr>
            <w:tcW w:w="2160" w:type="dxa"/>
            <w:tcBorders>
              <w:top w:val="single" w:sz="8" w:space="0" w:color="auto"/>
              <w:left w:val="nil"/>
              <w:bottom w:val="single" w:sz="8" w:space="0" w:color="auto"/>
              <w:right w:val="nil"/>
            </w:tcBorders>
            <w:shd w:val="clear" w:color="auto" w:fill="auto"/>
          </w:tcPr>
          <w:p w14:paraId="22313860" w14:textId="77777777" w:rsidR="0091320B" w:rsidRPr="00D20211" w:rsidRDefault="0091320B" w:rsidP="00C564AD">
            <w:pPr>
              <w:autoSpaceDE w:val="0"/>
              <w:autoSpaceDN w:val="0"/>
              <w:adjustRightInd w:val="0"/>
              <w:spacing w:after="0" w:line="240" w:lineRule="auto"/>
              <w:jc w:val="both"/>
              <w:rPr>
                <w:rFonts w:cstheme="minorHAnsi"/>
                <w:b/>
              </w:rPr>
            </w:pPr>
            <w:r w:rsidRPr="00D20211">
              <w:rPr>
                <w:rFonts w:cstheme="minorHAnsi"/>
                <w:b/>
              </w:rPr>
              <w:t>Email</w:t>
            </w:r>
          </w:p>
        </w:tc>
      </w:tr>
      <w:tr w:rsidR="00D20211" w:rsidRPr="00D20211" w14:paraId="37219326" w14:textId="77777777" w:rsidTr="005301C8">
        <w:tc>
          <w:tcPr>
            <w:tcW w:w="9450" w:type="dxa"/>
            <w:gridSpan w:val="5"/>
            <w:tcBorders>
              <w:top w:val="single" w:sz="8" w:space="0" w:color="auto"/>
              <w:left w:val="nil"/>
              <w:bottom w:val="single" w:sz="8" w:space="0" w:color="auto"/>
              <w:right w:val="nil"/>
            </w:tcBorders>
            <w:shd w:val="clear" w:color="auto" w:fill="auto"/>
            <w:vAlign w:val="center"/>
          </w:tcPr>
          <w:p w14:paraId="74C14FDC" w14:textId="77777777" w:rsidR="003B2A57" w:rsidRPr="00D20211" w:rsidRDefault="003B2A57" w:rsidP="00C564AD">
            <w:pPr>
              <w:autoSpaceDE w:val="0"/>
              <w:autoSpaceDN w:val="0"/>
              <w:adjustRightInd w:val="0"/>
              <w:spacing w:after="0" w:line="240" w:lineRule="auto"/>
              <w:jc w:val="both"/>
              <w:rPr>
                <w:rFonts w:cstheme="minorHAnsi"/>
                <w:i/>
                <w:sz w:val="20"/>
                <w:szCs w:val="20"/>
              </w:rPr>
            </w:pPr>
            <w:r w:rsidRPr="00D20211">
              <w:rPr>
                <w:rFonts w:cstheme="minorHAnsi"/>
                <w:i/>
                <w:sz w:val="20"/>
                <w:szCs w:val="20"/>
              </w:rPr>
              <w:t>OUTSIDE CONSULTANTS</w:t>
            </w:r>
          </w:p>
        </w:tc>
      </w:tr>
      <w:tr w:rsidR="00D20211" w:rsidRPr="00D20211" w14:paraId="17C2F6D0" w14:textId="77777777" w:rsidTr="005301C8">
        <w:tc>
          <w:tcPr>
            <w:tcW w:w="1980" w:type="dxa"/>
            <w:tcBorders>
              <w:top w:val="single" w:sz="8" w:space="0" w:color="auto"/>
              <w:left w:val="nil"/>
              <w:bottom w:val="single" w:sz="8" w:space="0" w:color="auto"/>
              <w:right w:val="nil"/>
            </w:tcBorders>
            <w:shd w:val="clear" w:color="auto" w:fill="auto"/>
            <w:vAlign w:val="center"/>
          </w:tcPr>
          <w:p w14:paraId="1E16E5C2" w14:textId="5DC43BF8" w:rsidR="0091320B" w:rsidRPr="00D20211" w:rsidRDefault="00A6604C" w:rsidP="000E1133">
            <w:pPr>
              <w:autoSpaceDE w:val="0"/>
              <w:autoSpaceDN w:val="0"/>
              <w:adjustRightInd w:val="0"/>
              <w:spacing w:after="0" w:line="240" w:lineRule="auto"/>
              <w:rPr>
                <w:rFonts w:cstheme="minorHAnsi"/>
                <w:sz w:val="20"/>
                <w:szCs w:val="20"/>
              </w:rPr>
            </w:pPr>
            <w:r>
              <w:rPr>
                <w:rFonts w:cstheme="minorHAnsi"/>
                <w:sz w:val="20"/>
                <w:szCs w:val="20"/>
              </w:rPr>
              <w:t>Douglas Peter, MD</w:t>
            </w:r>
          </w:p>
        </w:tc>
        <w:tc>
          <w:tcPr>
            <w:tcW w:w="1350" w:type="dxa"/>
            <w:tcBorders>
              <w:top w:val="single" w:sz="8" w:space="0" w:color="auto"/>
              <w:left w:val="nil"/>
              <w:bottom w:val="single" w:sz="8" w:space="0" w:color="auto"/>
              <w:right w:val="nil"/>
            </w:tcBorders>
            <w:shd w:val="clear" w:color="auto" w:fill="auto"/>
            <w:vAlign w:val="center"/>
          </w:tcPr>
          <w:p w14:paraId="4148054D" w14:textId="574F9CE1" w:rsidR="0091320B" w:rsidRPr="00D20211" w:rsidRDefault="00A6604C" w:rsidP="000E1133">
            <w:pPr>
              <w:autoSpaceDE w:val="0"/>
              <w:autoSpaceDN w:val="0"/>
              <w:adjustRightInd w:val="0"/>
              <w:spacing w:after="0" w:line="240" w:lineRule="auto"/>
              <w:rPr>
                <w:rFonts w:cstheme="minorHAnsi"/>
                <w:sz w:val="20"/>
                <w:szCs w:val="20"/>
              </w:rPr>
            </w:pPr>
            <w:r>
              <w:rPr>
                <w:rFonts w:cstheme="minorHAnsi"/>
                <w:sz w:val="20"/>
                <w:szCs w:val="20"/>
              </w:rPr>
              <w:t>Chief Medical Officer</w:t>
            </w:r>
          </w:p>
        </w:tc>
        <w:tc>
          <w:tcPr>
            <w:tcW w:w="2430" w:type="dxa"/>
            <w:tcBorders>
              <w:top w:val="single" w:sz="8" w:space="0" w:color="auto"/>
              <w:left w:val="nil"/>
              <w:bottom w:val="single" w:sz="8" w:space="0" w:color="auto"/>
              <w:right w:val="nil"/>
            </w:tcBorders>
            <w:shd w:val="clear" w:color="auto" w:fill="auto"/>
            <w:vAlign w:val="center"/>
          </w:tcPr>
          <w:p w14:paraId="6F790BDB" w14:textId="1DBC975E" w:rsidR="0091320B" w:rsidRPr="00D20211" w:rsidRDefault="00A6604C" w:rsidP="000E1133">
            <w:pPr>
              <w:autoSpaceDE w:val="0"/>
              <w:autoSpaceDN w:val="0"/>
              <w:adjustRightInd w:val="0"/>
              <w:spacing w:after="0" w:line="240" w:lineRule="auto"/>
              <w:rPr>
                <w:rFonts w:cstheme="minorHAnsi"/>
                <w:sz w:val="20"/>
                <w:szCs w:val="20"/>
              </w:rPr>
            </w:pPr>
            <w:r>
              <w:rPr>
                <w:rFonts w:cstheme="minorHAnsi"/>
                <w:sz w:val="20"/>
                <w:szCs w:val="20"/>
              </w:rPr>
              <w:t>Navajo Area Indian Health Service</w:t>
            </w:r>
          </w:p>
        </w:tc>
        <w:tc>
          <w:tcPr>
            <w:tcW w:w="1530" w:type="dxa"/>
            <w:tcBorders>
              <w:top w:val="single" w:sz="8" w:space="0" w:color="auto"/>
              <w:left w:val="nil"/>
              <w:bottom w:val="single" w:sz="8" w:space="0" w:color="auto"/>
              <w:right w:val="nil"/>
            </w:tcBorders>
            <w:shd w:val="clear" w:color="auto" w:fill="auto"/>
            <w:vAlign w:val="center"/>
          </w:tcPr>
          <w:p w14:paraId="11C8BC3C" w14:textId="33452634" w:rsidR="0091320B" w:rsidRPr="00D20211" w:rsidRDefault="000E1133" w:rsidP="000E1133">
            <w:pPr>
              <w:autoSpaceDE w:val="0"/>
              <w:autoSpaceDN w:val="0"/>
              <w:adjustRightInd w:val="0"/>
              <w:spacing w:after="0" w:line="240" w:lineRule="auto"/>
              <w:rPr>
                <w:rFonts w:cstheme="minorHAnsi"/>
                <w:i/>
                <w:sz w:val="20"/>
                <w:szCs w:val="20"/>
              </w:rPr>
            </w:pPr>
            <w:r w:rsidRPr="000E1133">
              <w:rPr>
                <w:rFonts w:cstheme="minorHAnsi"/>
                <w:i/>
                <w:sz w:val="20"/>
                <w:szCs w:val="20"/>
              </w:rPr>
              <w:t>(928) 871-5811</w:t>
            </w:r>
          </w:p>
        </w:tc>
        <w:tc>
          <w:tcPr>
            <w:tcW w:w="2160" w:type="dxa"/>
            <w:tcBorders>
              <w:top w:val="single" w:sz="8" w:space="0" w:color="auto"/>
              <w:left w:val="nil"/>
              <w:bottom w:val="single" w:sz="8" w:space="0" w:color="auto"/>
              <w:right w:val="nil"/>
            </w:tcBorders>
            <w:shd w:val="clear" w:color="auto" w:fill="auto"/>
            <w:vAlign w:val="center"/>
          </w:tcPr>
          <w:p w14:paraId="5CE9FE05" w14:textId="6E9E9AAF" w:rsidR="0091320B" w:rsidRPr="00C22CBF" w:rsidRDefault="00A469E5" w:rsidP="000E1133">
            <w:pPr>
              <w:autoSpaceDE w:val="0"/>
              <w:autoSpaceDN w:val="0"/>
              <w:adjustRightInd w:val="0"/>
              <w:spacing w:after="0" w:line="240" w:lineRule="auto"/>
              <w:rPr>
                <w:rFonts w:cstheme="minorHAnsi"/>
                <w:sz w:val="20"/>
                <w:szCs w:val="20"/>
              </w:rPr>
            </w:pPr>
            <w:hyperlink r:id="rId8" w:history="1">
              <w:r w:rsidR="000E1133" w:rsidRPr="00C22CBF">
                <w:rPr>
                  <w:rStyle w:val="Hyperlink"/>
                  <w:color w:val="auto"/>
                  <w:sz w:val="20"/>
                  <w:szCs w:val="20"/>
                </w:rPr>
                <w:t>Douglas.Peter@ihs.gov</w:t>
              </w:r>
            </w:hyperlink>
            <w:r w:rsidR="000E1133" w:rsidRPr="00C22CBF">
              <w:rPr>
                <w:sz w:val="20"/>
                <w:szCs w:val="20"/>
              </w:rPr>
              <w:t xml:space="preserve"> </w:t>
            </w:r>
            <w:r w:rsidR="000E1133" w:rsidRPr="00C22CBF">
              <w:rPr>
                <w:rFonts w:cstheme="minorHAnsi"/>
                <w:sz w:val="20"/>
                <w:szCs w:val="20"/>
              </w:rPr>
              <w:t xml:space="preserve"> </w:t>
            </w:r>
          </w:p>
        </w:tc>
      </w:tr>
      <w:tr w:rsidR="00A6604C" w:rsidRPr="00D20211" w14:paraId="2E20655B" w14:textId="77777777" w:rsidTr="005301C8">
        <w:tc>
          <w:tcPr>
            <w:tcW w:w="1980" w:type="dxa"/>
            <w:tcBorders>
              <w:top w:val="single" w:sz="8" w:space="0" w:color="auto"/>
              <w:left w:val="nil"/>
              <w:bottom w:val="single" w:sz="8" w:space="0" w:color="auto"/>
              <w:right w:val="nil"/>
            </w:tcBorders>
            <w:shd w:val="clear" w:color="auto" w:fill="auto"/>
            <w:vAlign w:val="center"/>
          </w:tcPr>
          <w:p w14:paraId="75C43AB3" w14:textId="29F7B45D" w:rsidR="00A6604C" w:rsidRDefault="000E1133" w:rsidP="000E1133">
            <w:pPr>
              <w:autoSpaceDE w:val="0"/>
              <w:autoSpaceDN w:val="0"/>
              <w:adjustRightInd w:val="0"/>
              <w:spacing w:after="0" w:line="240" w:lineRule="auto"/>
              <w:rPr>
                <w:rFonts w:cstheme="minorHAnsi"/>
                <w:sz w:val="20"/>
                <w:szCs w:val="20"/>
              </w:rPr>
            </w:pPr>
            <w:r w:rsidRPr="000E1133">
              <w:rPr>
                <w:rFonts w:cstheme="minorHAnsi"/>
                <w:sz w:val="20"/>
                <w:szCs w:val="20"/>
              </w:rPr>
              <w:t>Stephen</w:t>
            </w:r>
            <w:r>
              <w:rPr>
                <w:rFonts w:cstheme="minorHAnsi"/>
                <w:sz w:val="20"/>
                <w:szCs w:val="20"/>
              </w:rPr>
              <w:t xml:space="preserve"> </w:t>
            </w:r>
            <w:proofErr w:type="spellStart"/>
            <w:r>
              <w:rPr>
                <w:rFonts w:cstheme="minorHAnsi"/>
                <w:sz w:val="20"/>
                <w:szCs w:val="20"/>
              </w:rPr>
              <w:t>Ettisy</w:t>
            </w:r>
            <w:proofErr w:type="spellEnd"/>
          </w:p>
        </w:tc>
        <w:tc>
          <w:tcPr>
            <w:tcW w:w="1350" w:type="dxa"/>
            <w:tcBorders>
              <w:top w:val="single" w:sz="8" w:space="0" w:color="auto"/>
              <w:left w:val="nil"/>
              <w:bottom w:val="single" w:sz="8" w:space="0" w:color="auto"/>
              <w:right w:val="nil"/>
            </w:tcBorders>
            <w:shd w:val="clear" w:color="auto" w:fill="auto"/>
            <w:vAlign w:val="center"/>
          </w:tcPr>
          <w:p w14:paraId="040CCED4" w14:textId="1ECF296E" w:rsidR="00A6604C" w:rsidRDefault="000E1133" w:rsidP="000E1133">
            <w:pPr>
              <w:autoSpaceDE w:val="0"/>
              <w:autoSpaceDN w:val="0"/>
              <w:adjustRightInd w:val="0"/>
              <w:spacing w:after="0" w:line="240" w:lineRule="auto"/>
              <w:rPr>
                <w:rFonts w:cstheme="minorHAnsi"/>
                <w:sz w:val="20"/>
                <w:szCs w:val="20"/>
              </w:rPr>
            </w:pPr>
            <w:r>
              <w:rPr>
                <w:rFonts w:cstheme="minorHAnsi"/>
                <w:sz w:val="20"/>
                <w:szCs w:val="20"/>
              </w:rPr>
              <w:t>Director</w:t>
            </w:r>
          </w:p>
        </w:tc>
        <w:tc>
          <w:tcPr>
            <w:tcW w:w="2430" w:type="dxa"/>
            <w:tcBorders>
              <w:top w:val="single" w:sz="8" w:space="0" w:color="auto"/>
              <w:left w:val="nil"/>
              <w:bottom w:val="single" w:sz="8" w:space="0" w:color="auto"/>
              <w:right w:val="nil"/>
            </w:tcBorders>
            <w:shd w:val="clear" w:color="auto" w:fill="auto"/>
            <w:vAlign w:val="center"/>
          </w:tcPr>
          <w:p w14:paraId="7A6760C5" w14:textId="0C752C0B" w:rsidR="00A6604C" w:rsidRDefault="000E1133" w:rsidP="000E1133">
            <w:pPr>
              <w:autoSpaceDE w:val="0"/>
              <w:autoSpaceDN w:val="0"/>
              <w:adjustRightInd w:val="0"/>
              <w:spacing w:after="0" w:line="240" w:lineRule="auto"/>
              <w:rPr>
                <w:rFonts w:cstheme="minorHAnsi"/>
                <w:sz w:val="20"/>
                <w:szCs w:val="20"/>
              </w:rPr>
            </w:pPr>
            <w:r>
              <w:rPr>
                <w:rFonts w:cstheme="minorHAnsi"/>
                <w:sz w:val="20"/>
                <w:szCs w:val="20"/>
              </w:rPr>
              <w:t>Navajo Nation Environmental Protection Agency</w:t>
            </w:r>
          </w:p>
        </w:tc>
        <w:tc>
          <w:tcPr>
            <w:tcW w:w="1530" w:type="dxa"/>
            <w:tcBorders>
              <w:top w:val="single" w:sz="8" w:space="0" w:color="auto"/>
              <w:left w:val="nil"/>
              <w:bottom w:val="single" w:sz="8" w:space="0" w:color="auto"/>
              <w:right w:val="nil"/>
            </w:tcBorders>
            <w:shd w:val="clear" w:color="auto" w:fill="auto"/>
            <w:vAlign w:val="center"/>
          </w:tcPr>
          <w:p w14:paraId="6AF869E3" w14:textId="09BD81B6" w:rsidR="00A6604C" w:rsidRPr="00D20211" w:rsidRDefault="000E1133" w:rsidP="000E1133">
            <w:pPr>
              <w:autoSpaceDE w:val="0"/>
              <w:autoSpaceDN w:val="0"/>
              <w:adjustRightInd w:val="0"/>
              <w:spacing w:after="0" w:line="240" w:lineRule="auto"/>
              <w:rPr>
                <w:rFonts w:cstheme="minorHAnsi"/>
                <w:i/>
                <w:sz w:val="20"/>
                <w:szCs w:val="20"/>
              </w:rPr>
            </w:pPr>
            <w:r w:rsidRPr="000E1133">
              <w:rPr>
                <w:rFonts w:cstheme="minorHAnsi"/>
                <w:i/>
                <w:sz w:val="20"/>
                <w:szCs w:val="20"/>
              </w:rPr>
              <w:t>(928) 871-7692</w:t>
            </w:r>
          </w:p>
        </w:tc>
        <w:tc>
          <w:tcPr>
            <w:tcW w:w="2160" w:type="dxa"/>
            <w:tcBorders>
              <w:top w:val="single" w:sz="8" w:space="0" w:color="auto"/>
              <w:left w:val="nil"/>
              <w:bottom w:val="single" w:sz="8" w:space="0" w:color="auto"/>
              <w:right w:val="nil"/>
            </w:tcBorders>
            <w:shd w:val="clear" w:color="auto" w:fill="auto"/>
            <w:vAlign w:val="center"/>
          </w:tcPr>
          <w:p w14:paraId="57032146" w14:textId="3EC31388" w:rsidR="00A6604C" w:rsidRPr="00C22CBF" w:rsidRDefault="00A469E5" w:rsidP="000E1133">
            <w:pPr>
              <w:autoSpaceDE w:val="0"/>
              <w:autoSpaceDN w:val="0"/>
              <w:adjustRightInd w:val="0"/>
              <w:spacing w:after="0" w:line="240" w:lineRule="auto"/>
              <w:rPr>
                <w:sz w:val="20"/>
                <w:szCs w:val="20"/>
              </w:rPr>
            </w:pPr>
            <w:hyperlink r:id="rId9" w:history="1">
              <w:r w:rsidR="000E1133" w:rsidRPr="00C22CBF">
                <w:rPr>
                  <w:rStyle w:val="Hyperlink"/>
                  <w:color w:val="auto"/>
                  <w:sz w:val="20"/>
                  <w:szCs w:val="20"/>
                </w:rPr>
                <w:t>stephenbetsitty@navajo.org</w:t>
              </w:r>
            </w:hyperlink>
            <w:r w:rsidR="000E1133" w:rsidRPr="00C22CBF">
              <w:rPr>
                <w:sz w:val="20"/>
                <w:szCs w:val="20"/>
              </w:rPr>
              <w:t xml:space="preserve"> </w:t>
            </w:r>
          </w:p>
        </w:tc>
      </w:tr>
      <w:tr w:rsidR="000E1133" w:rsidRPr="00D20211" w14:paraId="06B67302" w14:textId="77777777" w:rsidTr="005301C8">
        <w:tc>
          <w:tcPr>
            <w:tcW w:w="1980" w:type="dxa"/>
            <w:tcBorders>
              <w:top w:val="single" w:sz="8" w:space="0" w:color="auto"/>
              <w:left w:val="nil"/>
              <w:bottom w:val="single" w:sz="8" w:space="0" w:color="auto"/>
              <w:right w:val="nil"/>
            </w:tcBorders>
            <w:shd w:val="clear" w:color="auto" w:fill="auto"/>
            <w:vAlign w:val="center"/>
          </w:tcPr>
          <w:p w14:paraId="3AC19BF3" w14:textId="40F19201" w:rsidR="000E1133" w:rsidRPr="000E1133" w:rsidRDefault="0003485B" w:rsidP="000E1133">
            <w:pPr>
              <w:autoSpaceDE w:val="0"/>
              <w:autoSpaceDN w:val="0"/>
              <w:adjustRightInd w:val="0"/>
              <w:spacing w:after="0" w:line="240" w:lineRule="auto"/>
              <w:rPr>
                <w:rFonts w:cstheme="minorHAnsi"/>
                <w:sz w:val="20"/>
                <w:szCs w:val="20"/>
              </w:rPr>
            </w:pPr>
            <w:r w:rsidRPr="0003485B">
              <w:rPr>
                <w:rFonts w:cstheme="minorHAnsi"/>
                <w:sz w:val="20"/>
                <w:szCs w:val="20"/>
              </w:rPr>
              <w:t>Madan</w:t>
            </w:r>
            <w:r>
              <w:rPr>
                <w:rFonts w:cstheme="minorHAnsi"/>
                <w:sz w:val="20"/>
                <w:szCs w:val="20"/>
              </w:rPr>
              <w:t xml:space="preserve"> </w:t>
            </w:r>
            <w:proofErr w:type="spellStart"/>
            <w:r>
              <w:rPr>
                <w:rFonts w:cstheme="minorHAnsi"/>
                <w:sz w:val="20"/>
                <w:szCs w:val="20"/>
              </w:rPr>
              <w:t>Poudel</w:t>
            </w:r>
            <w:proofErr w:type="spellEnd"/>
            <w:r>
              <w:rPr>
                <w:rFonts w:cstheme="minorHAnsi"/>
                <w:sz w:val="20"/>
                <w:szCs w:val="20"/>
              </w:rPr>
              <w:t>, PhD</w:t>
            </w:r>
          </w:p>
        </w:tc>
        <w:tc>
          <w:tcPr>
            <w:tcW w:w="1350" w:type="dxa"/>
            <w:tcBorders>
              <w:top w:val="single" w:sz="8" w:space="0" w:color="auto"/>
              <w:left w:val="nil"/>
              <w:bottom w:val="single" w:sz="8" w:space="0" w:color="auto"/>
              <w:right w:val="nil"/>
            </w:tcBorders>
            <w:shd w:val="clear" w:color="auto" w:fill="auto"/>
            <w:vAlign w:val="center"/>
          </w:tcPr>
          <w:p w14:paraId="30888C13" w14:textId="0E7B16B8" w:rsidR="000E1133" w:rsidRDefault="0003485B" w:rsidP="000E1133">
            <w:pPr>
              <w:autoSpaceDE w:val="0"/>
              <w:autoSpaceDN w:val="0"/>
              <w:adjustRightInd w:val="0"/>
              <w:spacing w:after="0" w:line="240" w:lineRule="auto"/>
              <w:rPr>
                <w:rFonts w:cstheme="minorHAnsi"/>
                <w:sz w:val="20"/>
                <w:szCs w:val="20"/>
              </w:rPr>
            </w:pPr>
            <w:r>
              <w:rPr>
                <w:rFonts w:cstheme="minorHAnsi"/>
                <w:sz w:val="20"/>
                <w:szCs w:val="20"/>
              </w:rPr>
              <w:t xml:space="preserve">Director </w:t>
            </w:r>
          </w:p>
        </w:tc>
        <w:tc>
          <w:tcPr>
            <w:tcW w:w="2430" w:type="dxa"/>
            <w:tcBorders>
              <w:top w:val="single" w:sz="8" w:space="0" w:color="auto"/>
              <w:left w:val="nil"/>
              <w:bottom w:val="single" w:sz="8" w:space="0" w:color="auto"/>
              <w:right w:val="nil"/>
            </w:tcBorders>
            <w:shd w:val="clear" w:color="auto" w:fill="auto"/>
            <w:vAlign w:val="center"/>
          </w:tcPr>
          <w:p w14:paraId="017283BB" w14:textId="232348F8" w:rsidR="000E1133" w:rsidRDefault="0003485B" w:rsidP="000E1133">
            <w:pPr>
              <w:autoSpaceDE w:val="0"/>
              <w:autoSpaceDN w:val="0"/>
              <w:adjustRightInd w:val="0"/>
              <w:spacing w:after="0" w:line="240" w:lineRule="auto"/>
              <w:rPr>
                <w:rFonts w:cstheme="minorHAnsi"/>
                <w:sz w:val="20"/>
                <w:szCs w:val="20"/>
              </w:rPr>
            </w:pPr>
            <w:r>
              <w:rPr>
                <w:rFonts w:cstheme="minorHAnsi"/>
                <w:sz w:val="20"/>
                <w:szCs w:val="20"/>
              </w:rPr>
              <w:t>Navajo Nation Department of Health</w:t>
            </w:r>
          </w:p>
        </w:tc>
        <w:tc>
          <w:tcPr>
            <w:tcW w:w="1530" w:type="dxa"/>
            <w:tcBorders>
              <w:top w:val="single" w:sz="8" w:space="0" w:color="auto"/>
              <w:left w:val="nil"/>
              <w:bottom w:val="single" w:sz="8" w:space="0" w:color="auto"/>
              <w:right w:val="nil"/>
            </w:tcBorders>
            <w:shd w:val="clear" w:color="auto" w:fill="auto"/>
            <w:vAlign w:val="center"/>
          </w:tcPr>
          <w:p w14:paraId="213453B5" w14:textId="4E08F069" w:rsidR="000E1133" w:rsidRPr="000E1133" w:rsidRDefault="0003485B" w:rsidP="000E1133">
            <w:pPr>
              <w:autoSpaceDE w:val="0"/>
              <w:autoSpaceDN w:val="0"/>
              <w:adjustRightInd w:val="0"/>
              <w:spacing w:after="0" w:line="240" w:lineRule="auto"/>
              <w:rPr>
                <w:rFonts w:cstheme="minorHAnsi"/>
                <w:i/>
                <w:sz w:val="20"/>
                <w:szCs w:val="20"/>
              </w:rPr>
            </w:pPr>
            <w:r w:rsidRPr="0003485B">
              <w:rPr>
                <w:rFonts w:cstheme="minorHAnsi"/>
                <w:i/>
                <w:sz w:val="20"/>
                <w:szCs w:val="20"/>
              </w:rPr>
              <w:t>(928) 871-6350</w:t>
            </w:r>
          </w:p>
        </w:tc>
        <w:tc>
          <w:tcPr>
            <w:tcW w:w="2160" w:type="dxa"/>
            <w:tcBorders>
              <w:top w:val="single" w:sz="8" w:space="0" w:color="auto"/>
              <w:left w:val="nil"/>
              <w:bottom w:val="single" w:sz="8" w:space="0" w:color="auto"/>
              <w:right w:val="nil"/>
            </w:tcBorders>
            <w:shd w:val="clear" w:color="auto" w:fill="auto"/>
            <w:vAlign w:val="center"/>
          </w:tcPr>
          <w:p w14:paraId="6F7C1820" w14:textId="36884AA6" w:rsidR="000E1133" w:rsidRPr="00C22CBF" w:rsidRDefault="00A469E5" w:rsidP="000E1133">
            <w:pPr>
              <w:autoSpaceDE w:val="0"/>
              <w:autoSpaceDN w:val="0"/>
              <w:adjustRightInd w:val="0"/>
              <w:spacing w:after="0" w:line="240" w:lineRule="auto"/>
              <w:rPr>
                <w:sz w:val="20"/>
                <w:szCs w:val="20"/>
              </w:rPr>
            </w:pPr>
            <w:hyperlink r:id="rId10" w:history="1">
              <w:r w:rsidR="0003485B" w:rsidRPr="00C22CBF">
                <w:rPr>
                  <w:rStyle w:val="Hyperlink"/>
                  <w:color w:val="auto"/>
                  <w:sz w:val="20"/>
                  <w:szCs w:val="20"/>
                </w:rPr>
                <w:t>M.Poudel@nndoh.org</w:t>
              </w:r>
            </w:hyperlink>
            <w:r w:rsidR="0003485B" w:rsidRPr="00C22CBF">
              <w:rPr>
                <w:sz w:val="20"/>
                <w:szCs w:val="20"/>
              </w:rPr>
              <w:t xml:space="preserve"> </w:t>
            </w:r>
          </w:p>
        </w:tc>
      </w:tr>
      <w:tr w:rsidR="00DD4063" w:rsidRPr="00D20211" w14:paraId="3B09D05B" w14:textId="77777777" w:rsidTr="005301C8">
        <w:tc>
          <w:tcPr>
            <w:tcW w:w="1980" w:type="dxa"/>
            <w:tcBorders>
              <w:top w:val="single" w:sz="8" w:space="0" w:color="auto"/>
              <w:left w:val="nil"/>
              <w:bottom w:val="single" w:sz="8" w:space="0" w:color="auto"/>
              <w:right w:val="nil"/>
            </w:tcBorders>
            <w:shd w:val="clear" w:color="auto" w:fill="auto"/>
            <w:vAlign w:val="center"/>
          </w:tcPr>
          <w:p w14:paraId="4BD9871C" w14:textId="028B0EED" w:rsidR="00DD4063" w:rsidRPr="0003485B" w:rsidRDefault="00DD4063" w:rsidP="000E1133">
            <w:pPr>
              <w:autoSpaceDE w:val="0"/>
              <w:autoSpaceDN w:val="0"/>
              <w:adjustRightInd w:val="0"/>
              <w:spacing w:after="0" w:line="240" w:lineRule="auto"/>
              <w:rPr>
                <w:rFonts w:cstheme="minorHAnsi"/>
                <w:sz w:val="20"/>
                <w:szCs w:val="20"/>
              </w:rPr>
            </w:pPr>
            <w:r>
              <w:rPr>
                <w:rFonts w:cstheme="minorHAnsi"/>
                <w:sz w:val="20"/>
                <w:szCs w:val="20"/>
              </w:rPr>
              <w:t>Mae-</w:t>
            </w:r>
            <w:proofErr w:type="spellStart"/>
            <w:r>
              <w:rPr>
                <w:rFonts w:cstheme="minorHAnsi"/>
                <w:sz w:val="20"/>
                <w:szCs w:val="20"/>
              </w:rPr>
              <w:t>Gilene</w:t>
            </w:r>
            <w:proofErr w:type="spellEnd"/>
            <w:r>
              <w:rPr>
                <w:rFonts w:cstheme="minorHAnsi"/>
                <w:sz w:val="20"/>
                <w:szCs w:val="20"/>
              </w:rPr>
              <w:t xml:space="preserve"> Begay, MSW</w:t>
            </w:r>
          </w:p>
        </w:tc>
        <w:tc>
          <w:tcPr>
            <w:tcW w:w="1350" w:type="dxa"/>
            <w:tcBorders>
              <w:top w:val="single" w:sz="8" w:space="0" w:color="auto"/>
              <w:left w:val="nil"/>
              <w:bottom w:val="single" w:sz="8" w:space="0" w:color="auto"/>
              <w:right w:val="nil"/>
            </w:tcBorders>
            <w:shd w:val="clear" w:color="auto" w:fill="auto"/>
            <w:vAlign w:val="center"/>
          </w:tcPr>
          <w:p w14:paraId="73212612" w14:textId="2BC841BC" w:rsidR="00DD4063" w:rsidRDefault="00DD4063" w:rsidP="000E1133">
            <w:pPr>
              <w:autoSpaceDE w:val="0"/>
              <w:autoSpaceDN w:val="0"/>
              <w:adjustRightInd w:val="0"/>
              <w:spacing w:after="0" w:line="240" w:lineRule="auto"/>
              <w:rPr>
                <w:rFonts w:cstheme="minorHAnsi"/>
                <w:sz w:val="20"/>
                <w:szCs w:val="20"/>
              </w:rPr>
            </w:pPr>
            <w:r>
              <w:rPr>
                <w:rFonts w:cstheme="minorHAnsi"/>
                <w:sz w:val="20"/>
                <w:szCs w:val="20"/>
              </w:rPr>
              <w:t>Director</w:t>
            </w:r>
          </w:p>
        </w:tc>
        <w:tc>
          <w:tcPr>
            <w:tcW w:w="2430" w:type="dxa"/>
            <w:tcBorders>
              <w:top w:val="single" w:sz="8" w:space="0" w:color="auto"/>
              <w:left w:val="nil"/>
              <w:bottom w:val="single" w:sz="8" w:space="0" w:color="auto"/>
              <w:right w:val="nil"/>
            </w:tcBorders>
            <w:shd w:val="clear" w:color="auto" w:fill="auto"/>
            <w:vAlign w:val="center"/>
          </w:tcPr>
          <w:p w14:paraId="59BE65C4" w14:textId="6A6F7467" w:rsidR="00DD4063" w:rsidRDefault="00DD4063" w:rsidP="000E1133">
            <w:pPr>
              <w:autoSpaceDE w:val="0"/>
              <w:autoSpaceDN w:val="0"/>
              <w:adjustRightInd w:val="0"/>
              <w:spacing w:after="0" w:line="240" w:lineRule="auto"/>
              <w:rPr>
                <w:rFonts w:cstheme="minorHAnsi"/>
                <w:sz w:val="20"/>
                <w:szCs w:val="20"/>
              </w:rPr>
            </w:pPr>
            <w:r>
              <w:rPr>
                <w:rFonts w:cstheme="minorHAnsi"/>
                <w:sz w:val="20"/>
                <w:szCs w:val="20"/>
              </w:rPr>
              <w:t>Navajo Community Health Representatives Program</w:t>
            </w:r>
          </w:p>
        </w:tc>
        <w:tc>
          <w:tcPr>
            <w:tcW w:w="1530" w:type="dxa"/>
            <w:tcBorders>
              <w:top w:val="single" w:sz="8" w:space="0" w:color="auto"/>
              <w:left w:val="nil"/>
              <w:bottom w:val="single" w:sz="8" w:space="0" w:color="auto"/>
              <w:right w:val="nil"/>
            </w:tcBorders>
            <w:shd w:val="clear" w:color="auto" w:fill="auto"/>
            <w:vAlign w:val="center"/>
          </w:tcPr>
          <w:p w14:paraId="7852F953" w14:textId="528EEE03" w:rsidR="00DD4063" w:rsidRPr="0003485B" w:rsidRDefault="00C22CBF" w:rsidP="000E1133">
            <w:pPr>
              <w:autoSpaceDE w:val="0"/>
              <w:autoSpaceDN w:val="0"/>
              <w:adjustRightInd w:val="0"/>
              <w:spacing w:after="0" w:line="240" w:lineRule="auto"/>
              <w:rPr>
                <w:rFonts w:cstheme="minorHAnsi"/>
                <w:i/>
                <w:sz w:val="20"/>
                <w:szCs w:val="20"/>
              </w:rPr>
            </w:pPr>
            <w:r w:rsidRPr="00C22CBF">
              <w:rPr>
                <w:rFonts w:cstheme="minorHAnsi"/>
                <w:i/>
                <w:sz w:val="20"/>
                <w:szCs w:val="20"/>
              </w:rPr>
              <w:t>(928) 871- 6785</w:t>
            </w:r>
          </w:p>
        </w:tc>
        <w:tc>
          <w:tcPr>
            <w:tcW w:w="2160" w:type="dxa"/>
            <w:tcBorders>
              <w:top w:val="single" w:sz="8" w:space="0" w:color="auto"/>
              <w:left w:val="nil"/>
              <w:bottom w:val="single" w:sz="8" w:space="0" w:color="auto"/>
              <w:right w:val="nil"/>
            </w:tcBorders>
            <w:shd w:val="clear" w:color="auto" w:fill="auto"/>
            <w:vAlign w:val="center"/>
          </w:tcPr>
          <w:p w14:paraId="2233DF4A" w14:textId="057EF563" w:rsidR="00DD4063" w:rsidRPr="00C22CBF" w:rsidRDefault="00A469E5" w:rsidP="000E1133">
            <w:pPr>
              <w:autoSpaceDE w:val="0"/>
              <w:autoSpaceDN w:val="0"/>
              <w:adjustRightInd w:val="0"/>
              <w:spacing w:after="0" w:line="240" w:lineRule="auto"/>
              <w:rPr>
                <w:sz w:val="20"/>
                <w:szCs w:val="20"/>
              </w:rPr>
            </w:pPr>
            <w:hyperlink r:id="rId11" w:history="1">
              <w:r w:rsidR="009841E3" w:rsidRPr="00740C9A">
                <w:rPr>
                  <w:rStyle w:val="Hyperlink"/>
                  <w:color w:val="auto"/>
                  <w:sz w:val="20"/>
                  <w:szCs w:val="20"/>
                </w:rPr>
                <w:t>mg.begay@nndoh.org</w:t>
              </w:r>
            </w:hyperlink>
            <w:r w:rsidR="00C22CBF" w:rsidRPr="00740C9A">
              <w:rPr>
                <w:sz w:val="20"/>
                <w:szCs w:val="20"/>
              </w:rPr>
              <w:t xml:space="preserve"> </w:t>
            </w:r>
          </w:p>
        </w:tc>
      </w:tr>
      <w:tr w:rsidR="0003485B" w:rsidRPr="00D20211" w14:paraId="35816E75" w14:textId="77777777" w:rsidTr="005301C8">
        <w:tc>
          <w:tcPr>
            <w:tcW w:w="1980" w:type="dxa"/>
            <w:tcBorders>
              <w:top w:val="single" w:sz="8" w:space="0" w:color="auto"/>
              <w:left w:val="nil"/>
              <w:bottom w:val="single" w:sz="8" w:space="0" w:color="auto"/>
              <w:right w:val="nil"/>
            </w:tcBorders>
            <w:shd w:val="clear" w:color="auto" w:fill="auto"/>
            <w:vAlign w:val="center"/>
          </w:tcPr>
          <w:p w14:paraId="476A163C" w14:textId="417743AA" w:rsidR="0003485B" w:rsidRPr="0003485B" w:rsidRDefault="0003485B" w:rsidP="000E1133">
            <w:pPr>
              <w:autoSpaceDE w:val="0"/>
              <w:autoSpaceDN w:val="0"/>
              <w:adjustRightInd w:val="0"/>
              <w:spacing w:after="0" w:line="240" w:lineRule="auto"/>
              <w:rPr>
                <w:rFonts w:cstheme="minorHAnsi"/>
                <w:sz w:val="20"/>
                <w:szCs w:val="20"/>
              </w:rPr>
            </w:pPr>
            <w:r>
              <w:rPr>
                <w:rFonts w:cstheme="minorHAnsi"/>
                <w:sz w:val="20"/>
                <w:szCs w:val="20"/>
              </w:rPr>
              <w:t xml:space="preserve">Chris </w:t>
            </w:r>
            <w:proofErr w:type="spellStart"/>
            <w:r>
              <w:rPr>
                <w:rFonts w:cstheme="minorHAnsi"/>
                <w:sz w:val="20"/>
                <w:szCs w:val="20"/>
              </w:rPr>
              <w:t>Shuey</w:t>
            </w:r>
            <w:proofErr w:type="spellEnd"/>
            <w:r>
              <w:rPr>
                <w:rFonts w:cstheme="minorHAnsi"/>
                <w:sz w:val="20"/>
                <w:szCs w:val="20"/>
              </w:rPr>
              <w:t>, MPH</w:t>
            </w:r>
          </w:p>
        </w:tc>
        <w:tc>
          <w:tcPr>
            <w:tcW w:w="1350" w:type="dxa"/>
            <w:tcBorders>
              <w:top w:val="single" w:sz="8" w:space="0" w:color="auto"/>
              <w:left w:val="nil"/>
              <w:bottom w:val="single" w:sz="8" w:space="0" w:color="auto"/>
              <w:right w:val="nil"/>
            </w:tcBorders>
            <w:shd w:val="clear" w:color="auto" w:fill="auto"/>
            <w:vAlign w:val="center"/>
          </w:tcPr>
          <w:p w14:paraId="4BE3D1BD" w14:textId="176B9D56" w:rsidR="0003485B" w:rsidRDefault="0003485B" w:rsidP="000E1133">
            <w:pPr>
              <w:autoSpaceDE w:val="0"/>
              <w:autoSpaceDN w:val="0"/>
              <w:adjustRightInd w:val="0"/>
              <w:spacing w:after="0" w:line="240" w:lineRule="auto"/>
              <w:rPr>
                <w:rFonts w:cstheme="minorHAnsi"/>
                <w:sz w:val="20"/>
                <w:szCs w:val="20"/>
              </w:rPr>
            </w:pPr>
            <w:r>
              <w:rPr>
                <w:rFonts w:cstheme="minorHAnsi"/>
                <w:sz w:val="20"/>
                <w:szCs w:val="20"/>
              </w:rPr>
              <w:t>Director</w:t>
            </w:r>
          </w:p>
        </w:tc>
        <w:tc>
          <w:tcPr>
            <w:tcW w:w="2430" w:type="dxa"/>
            <w:tcBorders>
              <w:top w:val="single" w:sz="8" w:space="0" w:color="auto"/>
              <w:left w:val="nil"/>
              <w:bottom w:val="single" w:sz="8" w:space="0" w:color="auto"/>
              <w:right w:val="nil"/>
            </w:tcBorders>
            <w:shd w:val="clear" w:color="auto" w:fill="auto"/>
            <w:vAlign w:val="center"/>
          </w:tcPr>
          <w:p w14:paraId="7DF2269C" w14:textId="5B9AFE35" w:rsidR="0003485B" w:rsidRDefault="0003485B" w:rsidP="000E1133">
            <w:pPr>
              <w:autoSpaceDE w:val="0"/>
              <w:autoSpaceDN w:val="0"/>
              <w:adjustRightInd w:val="0"/>
              <w:spacing w:after="0" w:line="240" w:lineRule="auto"/>
              <w:rPr>
                <w:rFonts w:cstheme="minorHAnsi"/>
                <w:sz w:val="20"/>
                <w:szCs w:val="20"/>
              </w:rPr>
            </w:pPr>
            <w:r>
              <w:rPr>
                <w:rFonts w:cstheme="minorHAnsi"/>
                <w:sz w:val="20"/>
                <w:szCs w:val="20"/>
              </w:rPr>
              <w:t>Southwest Research and Information Center</w:t>
            </w:r>
          </w:p>
        </w:tc>
        <w:tc>
          <w:tcPr>
            <w:tcW w:w="1530" w:type="dxa"/>
            <w:tcBorders>
              <w:top w:val="single" w:sz="8" w:space="0" w:color="auto"/>
              <w:left w:val="nil"/>
              <w:bottom w:val="single" w:sz="8" w:space="0" w:color="auto"/>
              <w:right w:val="nil"/>
            </w:tcBorders>
            <w:shd w:val="clear" w:color="auto" w:fill="auto"/>
            <w:vAlign w:val="center"/>
          </w:tcPr>
          <w:p w14:paraId="4DC01E8A" w14:textId="1BC4FB88" w:rsidR="0003485B" w:rsidRPr="0003485B" w:rsidRDefault="00DD4063" w:rsidP="000E1133">
            <w:pPr>
              <w:autoSpaceDE w:val="0"/>
              <w:autoSpaceDN w:val="0"/>
              <w:adjustRightInd w:val="0"/>
              <w:spacing w:after="0" w:line="240" w:lineRule="auto"/>
              <w:rPr>
                <w:rFonts w:cstheme="minorHAnsi"/>
                <w:i/>
                <w:sz w:val="20"/>
                <w:szCs w:val="20"/>
              </w:rPr>
            </w:pPr>
            <w:r w:rsidRPr="00DD4063">
              <w:rPr>
                <w:rFonts w:cstheme="minorHAnsi"/>
                <w:i/>
                <w:sz w:val="20"/>
                <w:szCs w:val="20"/>
              </w:rPr>
              <w:t>505-262-1862</w:t>
            </w:r>
          </w:p>
        </w:tc>
        <w:tc>
          <w:tcPr>
            <w:tcW w:w="2160" w:type="dxa"/>
            <w:tcBorders>
              <w:top w:val="single" w:sz="8" w:space="0" w:color="auto"/>
              <w:left w:val="nil"/>
              <w:bottom w:val="single" w:sz="8" w:space="0" w:color="auto"/>
              <w:right w:val="nil"/>
            </w:tcBorders>
            <w:shd w:val="clear" w:color="auto" w:fill="auto"/>
            <w:vAlign w:val="center"/>
          </w:tcPr>
          <w:p w14:paraId="5E607550" w14:textId="634EDA13" w:rsidR="0003485B" w:rsidRPr="00C22CBF" w:rsidRDefault="00A469E5" w:rsidP="000E1133">
            <w:pPr>
              <w:autoSpaceDE w:val="0"/>
              <w:autoSpaceDN w:val="0"/>
              <w:adjustRightInd w:val="0"/>
              <w:spacing w:after="0" w:line="240" w:lineRule="auto"/>
              <w:rPr>
                <w:sz w:val="20"/>
                <w:szCs w:val="20"/>
              </w:rPr>
            </w:pPr>
            <w:hyperlink r:id="rId12" w:history="1">
              <w:r w:rsidR="0003485B" w:rsidRPr="00C22CBF">
                <w:rPr>
                  <w:rStyle w:val="Hyperlink"/>
                  <w:color w:val="auto"/>
                  <w:sz w:val="20"/>
                  <w:szCs w:val="20"/>
                </w:rPr>
                <w:t>sric.chris@earthlink.net</w:t>
              </w:r>
            </w:hyperlink>
            <w:r w:rsidR="0003485B" w:rsidRPr="00C22CBF">
              <w:rPr>
                <w:sz w:val="20"/>
                <w:szCs w:val="20"/>
              </w:rPr>
              <w:t xml:space="preserve"> </w:t>
            </w:r>
          </w:p>
        </w:tc>
      </w:tr>
      <w:tr w:rsidR="00D20211" w:rsidRPr="00D20211" w14:paraId="1E4AFFFF" w14:textId="77777777" w:rsidTr="005301C8">
        <w:tc>
          <w:tcPr>
            <w:tcW w:w="9450" w:type="dxa"/>
            <w:gridSpan w:val="5"/>
            <w:tcBorders>
              <w:top w:val="single" w:sz="8" w:space="0" w:color="auto"/>
              <w:left w:val="nil"/>
              <w:bottom w:val="single" w:sz="8" w:space="0" w:color="auto"/>
              <w:right w:val="nil"/>
            </w:tcBorders>
            <w:shd w:val="clear" w:color="auto" w:fill="auto"/>
            <w:vAlign w:val="center"/>
          </w:tcPr>
          <w:p w14:paraId="2D8339BE" w14:textId="3CC83D5B" w:rsidR="003B2A57" w:rsidRPr="00D20211" w:rsidRDefault="003B2A57" w:rsidP="000E1133">
            <w:pPr>
              <w:pStyle w:val="PlainText"/>
              <w:rPr>
                <w:rFonts w:asciiTheme="minorHAnsi" w:hAnsiTheme="minorHAnsi" w:cstheme="minorHAnsi"/>
                <w:i/>
                <w:sz w:val="20"/>
                <w:szCs w:val="20"/>
              </w:rPr>
            </w:pPr>
            <w:r w:rsidRPr="00D20211">
              <w:rPr>
                <w:rFonts w:asciiTheme="minorHAnsi" w:hAnsiTheme="minorHAnsi" w:cstheme="minorHAnsi"/>
                <w:i/>
                <w:sz w:val="20"/>
                <w:szCs w:val="20"/>
              </w:rPr>
              <w:t>ACADEMIC INSTITUTIONS</w:t>
            </w:r>
          </w:p>
        </w:tc>
      </w:tr>
      <w:tr w:rsidR="00D20211" w:rsidRPr="00D20211" w14:paraId="45DFF74C" w14:textId="77777777" w:rsidTr="005301C8">
        <w:tc>
          <w:tcPr>
            <w:tcW w:w="1980" w:type="dxa"/>
            <w:tcBorders>
              <w:top w:val="single" w:sz="8" w:space="0" w:color="auto"/>
              <w:left w:val="nil"/>
              <w:bottom w:val="single" w:sz="8" w:space="0" w:color="auto"/>
              <w:right w:val="nil"/>
            </w:tcBorders>
            <w:shd w:val="clear" w:color="auto" w:fill="auto"/>
            <w:vAlign w:val="center"/>
          </w:tcPr>
          <w:p w14:paraId="3E4BA889" w14:textId="60335288" w:rsidR="0091320B" w:rsidRPr="00D20211" w:rsidRDefault="00BF4D5E" w:rsidP="000E1133">
            <w:pPr>
              <w:autoSpaceDE w:val="0"/>
              <w:autoSpaceDN w:val="0"/>
              <w:adjustRightInd w:val="0"/>
              <w:spacing w:after="0" w:line="240" w:lineRule="auto"/>
              <w:rPr>
                <w:rFonts w:cstheme="minorHAnsi"/>
                <w:sz w:val="20"/>
                <w:szCs w:val="20"/>
              </w:rPr>
            </w:pPr>
            <w:proofErr w:type="spellStart"/>
            <w:r>
              <w:rPr>
                <w:rFonts w:cstheme="minorHAnsi"/>
                <w:sz w:val="20"/>
                <w:szCs w:val="20"/>
              </w:rPr>
              <w:lastRenderedPageBreak/>
              <w:t>Johnnye</w:t>
            </w:r>
            <w:proofErr w:type="spellEnd"/>
            <w:r>
              <w:rPr>
                <w:rFonts w:cstheme="minorHAnsi"/>
                <w:sz w:val="20"/>
                <w:szCs w:val="20"/>
              </w:rPr>
              <w:t xml:space="preserve"> Lewis, PhD</w:t>
            </w:r>
          </w:p>
        </w:tc>
        <w:tc>
          <w:tcPr>
            <w:tcW w:w="1350" w:type="dxa"/>
            <w:tcBorders>
              <w:top w:val="single" w:sz="8" w:space="0" w:color="auto"/>
              <w:left w:val="nil"/>
              <w:bottom w:val="single" w:sz="8" w:space="0" w:color="auto"/>
              <w:right w:val="nil"/>
            </w:tcBorders>
            <w:shd w:val="clear" w:color="auto" w:fill="auto"/>
            <w:vAlign w:val="center"/>
          </w:tcPr>
          <w:p w14:paraId="7F3CC4F7" w14:textId="2BA8C216" w:rsidR="0091320B" w:rsidRPr="00D20211" w:rsidRDefault="00BF4D5E" w:rsidP="000E1133">
            <w:pPr>
              <w:autoSpaceDE w:val="0"/>
              <w:autoSpaceDN w:val="0"/>
              <w:adjustRightInd w:val="0"/>
              <w:spacing w:after="0" w:line="240" w:lineRule="auto"/>
              <w:rPr>
                <w:rFonts w:cstheme="minorHAnsi"/>
                <w:sz w:val="20"/>
                <w:szCs w:val="20"/>
              </w:rPr>
            </w:pPr>
            <w:r w:rsidRPr="00BF4D5E">
              <w:rPr>
                <w:rFonts w:cstheme="minorHAnsi"/>
                <w:sz w:val="20"/>
                <w:szCs w:val="20"/>
              </w:rPr>
              <w:t>Director, Community Environmental Health Program</w:t>
            </w:r>
          </w:p>
        </w:tc>
        <w:tc>
          <w:tcPr>
            <w:tcW w:w="2430" w:type="dxa"/>
            <w:tcBorders>
              <w:top w:val="single" w:sz="8" w:space="0" w:color="auto"/>
              <w:left w:val="nil"/>
              <w:bottom w:val="single" w:sz="8" w:space="0" w:color="auto"/>
              <w:right w:val="nil"/>
            </w:tcBorders>
            <w:shd w:val="clear" w:color="auto" w:fill="auto"/>
            <w:vAlign w:val="center"/>
          </w:tcPr>
          <w:p w14:paraId="778D73DF" w14:textId="789559B4" w:rsidR="0091320B" w:rsidRPr="00D20211" w:rsidRDefault="00FD42EB" w:rsidP="000E1133">
            <w:pPr>
              <w:autoSpaceDE w:val="0"/>
              <w:autoSpaceDN w:val="0"/>
              <w:adjustRightInd w:val="0"/>
              <w:spacing w:after="0" w:line="240" w:lineRule="auto"/>
              <w:rPr>
                <w:rFonts w:cstheme="minorHAnsi"/>
                <w:sz w:val="20"/>
                <w:szCs w:val="20"/>
              </w:rPr>
            </w:pPr>
            <w:r>
              <w:rPr>
                <w:rFonts w:cstheme="minorHAnsi"/>
                <w:sz w:val="20"/>
                <w:szCs w:val="20"/>
              </w:rPr>
              <w:t>University of New Mexico</w:t>
            </w:r>
          </w:p>
        </w:tc>
        <w:tc>
          <w:tcPr>
            <w:tcW w:w="1530" w:type="dxa"/>
            <w:tcBorders>
              <w:top w:val="single" w:sz="8" w:space="0" w:color="auto"/>
              <w:left w:val="nil"/>
              <w:bottom w:val="single" w:sz="8" w:space="0" w:color="auto"/>
              <w:right w:val="nil"/>
            </w:tcBorders>
            <w:shd w:val="clear" w:color="auto" w:fill="auto"/>
            <w:vAlign w:val="center"/>
          </w:tcPr>
          <w:p w14:paraId="08A325A1" w14:textId="3B589D84" w:rsidR="0091320B" w:rsidRPr="00D20211" w:rsidRDefault="00FD42EB" w:rsidP="000E1133">
            <w:pPr>
              <w:autoSpaceDE w:val="0"/>
              <w:autoSpaceDN w:val="0"/>
              <w:adjustRightInd w:val="0"/>
              <w:spacing w:after="0" w:line="240" w:lineRule="auto"/>
              <w:rPr>
                <w:rFonts w:cstheme="minorHAnsi"/>
                <w:i/>
                <w:sz w:val="20"/>
                <w:szCs w:val="20"/>
              </w:rPr>
            </w:pPr>
            <w:r>
              <w:rPr>
                <w:rFonts w:cstheme="minorHAnsi"/>
                <w:i/>
                <w:sz w:val="20"/>
                <w:szCs w:val="20"/>
              </w:rPr>
              <w:t>(505)991-</w:t>
            </w:r>
            <w:r w:rsidRPr="00FD42EB">
              <w:rPr>
                <w:rFonts w:cstheme="minorHAnsi"/>
                <w:i/>
                <w:sz w:val="20"/>
                <w:szCs w:val="20"/>
              </w:rPr>
              <w:t>3489</w:t>
            </w:r>
          </w:p>
        </w:tc>
        <w:tc>
          <w:tcPr>
            <w:tcW w:w="2160" w:type="dxa"/>
            <w:tcBorders>
              <w:top w:val="single" w:sz="8" w:space="0" w:color="auto"/>
              <w:left w:val="nil"/>
              <w:bottom w:val="single" w:sz="8" w:space="0" w:color="auto"/>
              <w:right w:val="nil"/>
            </w:tcBorders>
            <w:shd w:val="clear" w:color="auto" w:fill="auto"/>
            <w:vAlign w:val="center"/>
          </w:tcPr>
          <w:p w14:paraId="75E74F73" w14:textId="280F9D13" w:rsidR="0091320B" w:rsidRPr="00C22CBF" w:rsidRDefault="00A469E5" w:rsidP="00C22CBF">
            <w:pPr>
              <w:autoSpaceDE w:val="0"/>
              <w:autoSpaceDN w:val="0"/>
              <w:adjustRightInd w:val="0"/>
              <w:spacing w:after="0" w:line="240" w:lineRule="auto"/>
              <w:rPr>
                <w:rFonts w:cstheme="minorHAnsi"/>
                <w:i/>
                <w:sz w:val="20"/>
                <w:szCs w:val="20"/>
              </w:rPr>
            </w:pPr>
            <w:hyperlink r:id="rId13" w:history="1">
              <w:r w:rsidR="00C22CBF" w:rsidRPr="005E639A">
                <w:rPr>
                  <w:rStyle w:val="Hyperlink"/>
                  <w:color w:val="auto"/>
                  <w:sz w:val="20"/>
                  <w:szCs w:val="20"/>
                </w:rPr>
                <w:t>jlewis@cybermesa.com</w:t>
              </w:r>
            </w:hyperlink>
          </w:p>
        </w:tc>
      </w:tr>
      <w:tr w:rsidR="00D20211" w:rsidRPr="00D20211" w14:paraId="1C5F38BB" w14:textId="77777777" w:rsidTr="005301C8">
        <w:tc>
          <w:tcPr>
            <w:tcW w:w="1980" w:type="dxa"/>
            <w:tcBorders>
              <w:top w:val="single" w:sz="8" w:space="0" w:color="auto"/>
              <w:left w:val="nil"/>
              <w:bottom w:val="single" w:sz="8" w:space="0" w:color="auto"/>
              <w:right w:val="nil"/>
            </w:tcBorders>
            <w:vAlign w:val="center"/>
          </w:tcPr>
          <w:p w14:paraId="3C1EF6A7" w14:textId="6210B1CF" w:rsidR="0091320B" w:rsidRPr="00D20211" w:rsidRDefault="00BF4D5E" w:rsidP="000E1133">
            <w:pPr>
              <w:autoSpaceDE w:val="0"/>
              <w:autoSpaceDN w:val="0"/>
              <w:adjustRightInd w:val="0"/>
              <w:spacing w:after="0" w:line="240" w:lineRule="auto"/>
              <w:rPr>
                <w:rFonts w:cstheme="minorHAnsi"/>
                <w:sz w:val="20"/>
                <w:szCs w:val="20"/>
              </w:rPr>
            </w:pPr>
            <w:r w:rsidRPr="00BF4D5E">
              <w:rPr>
                <w:rFonts w:cstheme="minorHAnsi"/>
                <w:sz w:val="20"/>
                <w:szCs w:val="20"/>
              </w:rPr>
              <w:t>Adrienne</w:t>
            </w:r>
            <w:r>
              <w:rPr>
                <w:rFonts w:cstheme="minorHAnsi"/>
                <w:sz w:val="20"/>
                <w:szCs w:val="20"/>
              </w:rPr>
              <w:t xml:space="preserve"> </w:t>
            </w:r>
            <w:proofErr w:type="spellStart"/>
            <w:r>
              <w:rPr>
                <w:rFonts w:cstheme="minorHAnsi"/>
                <w:sz w:val="20"/>
                <w:szCs w:val="20"/>
              </w:rPr>
              <w:t>Ettinger</w:t>
            </w:r>
            <w:proofErr w:type="spellEnd"/>
            <w:r>
              <w:rPr>
                <w:rFonts w:cstheme="minorHAnsi"/>
                <w:sz w:val="20"/>
                <w:szCs w:val="20"/>
              </w:rPr>
              <w:t>, PhD</w:t>
            </w:r>
          </w:p>
        </w:tc>
        <w:tc>
          <w:tcPr>
            <w:tcW w:w="1350" w:type="dxa"/>
            <w:tcBorders>
              <w:top w:val="single" w:sz="8" w:space="0" w:color="auto"/>
              <w:left w:val="nil"/>
              <w:bottom w:val="single" w:sz="8" w:space="0" w:color="auto"/>
              <w:right w:val="nil"/>
            </w:tcBorders>
            <w:vAlign w:val="center"/>
          </w:tcPr>
          <w:p w14:paraId="34ADA696" w14:textId="40E70A4C" w:rsidR="0091320B" w:rsidRPr="00D20211" w:rsidRDefault="00FD42EB" w:rsidP="000E1133">
            <w:pPr>
              <w:autoSpaceDE w:val="0"/>
              <w:autoSpaceDN w:val="0"/>
              <w:adjustRightInd w:val="0"/>
              <w:spacing w:after="0" w:line="240" w:lineRule="auto"/>
              <w:rPr>
                <w:rFonts w:cstheme="minorHAnsi"/>
                <w:sz w:val="20"/>
                <w:szCs w:val="20"/>
              </w:rPr>
            </w:pPr>
            <w:r w:rsidRPr="00FD42EB">
              <w:rPr>
                <w:rFonts w:cstheme="minorHAnsi"/>
                <w:sz w:val="20"/>
                <w:szCs w:val="20"/>
              </w:rPr>
              <w:t xml:space="preserve">Assistant Professor, </w:t>
            </w:r>
            <w:r>
              <w:rPr>
                <w:rFonts w:cstheme="minorHAnsi"/>
                <w:sz w:val="20"/>
                <w:szCs w:val="20"/>
              </w:rPr>
              <w:t xml:space="preserve">Center for Perinatal, Pediatric </w:t>
            </w:r>
            <w:r w:rsidR="000E1133">
              <w:rPr>
                <w:rFonts w:cstheme="minorHAnsi"/>
                <w:sz w:val="20"/>
                <w:szCs w:val="20"/>
              </w:rPr>
              <w:t>&amp; Environmental Epidemiology</w:t>
            </w:r>
          </w:p>
        </w:tc>
        <w:tc>
          <w:tcPr>
            <w:tcW w:w="2430" w:type="dxa"/>
            <w:tcBorders>
              <w:top w:val="single" w:sz="8" w:space="0" w:color="auto"/>
              <w:left w:val="nil"/>
              <w:bottom w:val="single" w:sz="8" w:space="0" w:color="auto"/>
              <w:right w:val="nil"/>
            </w:tcBorders>
            <w:vAlign w:val="center"/>
          </w:tcPr>
          <w:p w14:paraId="0AE9288E" w14:textId="1CF63938" w:rsidR="0091320B" w:rsidRPr="00D20211" w:rsidRDefault="00FD42EB" w:rsidP="000E1133">
            <w:pPr>
              <w:autoSpaceDE w:val="0"/>
              <w:autoSpaceDN w:val="0"/>
              <w:adjustRightInd w:val="0"/>
              <w:spacing w:after="0" w:line="240" w:lineRule="auto"/>
              <w:rPr>
                <w:rFonts w:cstheme="minorHAnsi"/>
                <w:sz w:val="20"/>
                <w:szCs w:val="20"/>
              </w:rPr>
            </w:pPr>
            <w:r>
              <w:rPr>
                <w:rFonts w:cstheme="minorHAnsi"/>
                <w:sz w:val="20"/>
                <w:szCs w:val="20"/>
              </w:rPr>
              <w:t>Yale University</w:t>
            </w:r>
          </w:p>
        </w:tc>
        <w:tc>
          <w:tcPr>
            <w:tcW w:w="1530" w:type="dxa"/>
            <w:tcBorders>
              <w:top w:val="single" w:sz="8" w:space="0" w:color="auto"/>
              <w:left w:val="nil"/>
              <w:bottom w:val="single" w:sz="8" w:space="0" w:color="auto"/>
              <w:right w:val="nil"/>
            </w:tcBorders>
            <w:vAlign w:val="center"/>
          </w:tcPr>
          <w:p w14:paraId="2DC598CB" w14:textId="4AD46467" w:rsidR="0091320B" w:rsidRPr="00D20211" w:rsidRDefault="00FD42EB" w:rsidP="000E1133">
            <w:pPr>
              <w:autoSpaceDE w:val="0"/>
              <w:autoSpaceDN w:val="0"/>
              <w:adjustRightInd w:val="0"/>
              <w:spacing w:after="0" w:line="240" w:lineRule="auto"/>
              <w:rPr>
                <w:rFonts w:cstheme="minorHAnsi"/>
                <w:i/>
                <w:sz w:val="20"/>
                <w:szCs w:val="20"/>
              </w:rPr>
            </w:pPr>
            <w:r w:rsidRPr="00FD42EB">
              <w:rPr>
                <w:rFonts w:cstheme="minorHAnsi"/>
                <w:i/>
                <w:sz w:val="20"/>
                <w:szCs w:val="20"/>
              </w:rPr>
              <w:t>(203) 785-6232</w:t>
            </w:r>
          </w:p>
        </w:tc>
        <w:tc>
          <w:tcPr>
            <w:tcW w:w="2160" w:type="dxa"/>
            <w:tcBorders>
              <w:top w:val="single" w:sz="8" w:space="0" w:color="auto"/>
              <w:left w:val="nil"/>
              <w:bottom w:val="single" w:sz="8" w:space="0" w:color="auto"/>
              <w:right w:val="nil"/>
            </w:tcBorders>
            <w:vAlign w:val="center"/>
          </w:tcPr>
          <w:p w14:paraId="108368FC" w14:textId="7298918E" w:rsidR="0091320B" w:rsidRPr="005E639A" w:rsidRDefault="00A469E5" w:rsidP="000E1133">
            <w:pPr>
              <w:autoSpaceDE w:val="0"/>
              <w:autoSpaceDN w:val="0"/>
              <w:adjustRightInd w:val="0"/>
              <w:spacing w:after="0" w:line="240" w:lineRule="auto"/>
              <w:rPr>
                <w:rStyle w:val="Hyperlink"/>
                <w:color w:val="auto"/>
              </w:rPr>
            </w:pPr>
            <w:hyperlink r:id="rId14" w:history="1">
              <w:r w:rsidR="009841E3" w:rsidRPr="00740C9A">
                <w:rPr>
                  <w:rStyle w:val="Hyperlink"/>
                  <w:color w:val="auto"/>
                  <w:sz w:val="20"/>
                  <w:szCs w:val="20"/>
                </w:rPr>
                <w:t>adrienne.ettinger@yale.edu</w:t>
              </w:r>
            </w:hyperlink>
            <w:r w:rsidR="00697BDF" w:rsidRPr="00740C9A">
              <w:rPr>
                <w:rStyle w:val="Hyperlink"/>
                <w:color w:val="auto"/>
              </w:rPr>
              <w:t xml:space="preserve"> </w:t>
            </w:r>
          </w:p>
        </w:tc>
      </w:tr>
      <w:tr w:rsidR="0091320B" w:rsidRPr="00D20211" w14:paraId="2E57C17F" w14:textId="77777777" w:rsidTr="005301C8">
        <w:tc>
          <w:tcPr>
            <w:tcW w:w="1980" w:type="dxa"/>
            <w:tcBorders>
              <w:top w:val="single" w:sz="8" w:space="0" w:color="auto"/>
              <w:left w:val="nil"/>
              <w:bottom w:val="single" w:sz="8" w:space="0" w:color="auto"/>
              <w:right w:val="nil"/>
            </w:tcBorders>
            <w:vAlign w:val="center"/>
          </w:tcPr>
          <w:p w14:paraId="0C1025B8" w14:textId="44E5BA94" w:rsidR="0091320B" w:rsidRPr="00D20211" w:rsidRDefault="00FD42EB" w:rsidP="000E1133">
            <w:pPr>
              <w:autoSpaceDE w:val="0"/>
              <w:autoSpaceDN w:val="0"/>
              <w:adjustRightInd w:val="0"/>
              <w:spacing w:after="0" w:line="240" w:lineRule="auto"/>
              <w:rPr>
                <w:rFonts w:cstheme="minorHAnsi"/>
                <w:sz w:val="20"/>
                <w:szCs w:val="20"/>
              </w:rPr>
            </w:pPr>
            <w:r>
              <w:rPr>
                <w:rFonts w:cstheme="minorHAnsi"/>
                <w:sz w:val="20"/>
                <w:szCs w:val="20"/>
              </w:rPr>
              <w:t>David Begay, PhD</w:t>
            </w:r>
          </w:p>
        </w:tc>
        <w:tc>
          <w:tcPr>
            <w:tcW w:w="1350" w:type="dxa"/>
            <w:tcBorders>
              <w:top w:val="single" w:sz="8" w:space="0" w:color="auto"/>
              <w:left w:val="nil"/>
              <w:bottom w:val="single" w:sz="8" w:space="0" w:color="auto"/>
              <w:right w:val="nil"/>
            </w:tcBorders>
            <w:vAlign w:val="center"/>
          </w:tcPr>
          <w:p w14:paraId="2F5DFEDC" w14:textId="2248249B" w:rsidR="0091320B" w:rsidRPr="00D20211" w:rsidRDefault="00FD42EB" w:rsidP="000E1133">
            <w:pPr>
              <w:autoSpaceDE w:val="0"/>
              <w:autoSpaceDN w:val="0"/>
              <w:adjustRightInd w:val="0"/>
              <w:spacing w:after="0" w:line="240" w:lineRule="auto"/>
              <w:rPr>
                <w:rFonts w:cstheme="minorHAnsi"/>
                <w:sz w:val="20"/>
                <w:szCs w:val="20"/>
              </w:rPr>
            </w:pPr>
            <w:r>
              <w:rPr>
                <w:rFonts w:cstheme="minorHAnsi"/>
                <w:sz w:val="20"/>
                <w:szCs w:val="20"/>
              </w:rPr>
              <w:t>Professor</w:t>
            </w:r>
          </w:p>
        </w:tc>
        <w:tc>
          <w:tcPr>
            <w:tcW w:w="2430" w:type="dxa"/>
            <w:tcBorders>
              <w:top w:val="single" w:sz="8" w:space="0" w:color="auto"/>
              <w:left w:val="nil"/>
              <w:bottom w:val="single" w:sz="8" w:space="0" w:color="auto"/>
              <w:right w:val="nil"/>
            </w:tcBorders>
            <w:vAlign w:val="center"/>
          </w:tcPr>
          <w:p w14:paraId="6283B7C4" w14:textId="55988DF3" w:rsidR="0091320B" w:rsidRPr="00D20211" w:rsidRDefault="00FD42EB" w:rsidP="000E1133">
            <w:pPr>
              <w:autoSpaceDE w:val="0"/>
              <w:autoSpaceDN w:val="0"/>
              <w:adjustRightInd w:val="0"/>
              <w:spacing w:after="0" w:line="240" w:lineRule="auto"/>
              <w:rPr>
                <w:rFonts w:cstheme="minorHAnsi"/>
                <w:sz w:val="20"/>
                <w:szCs w:val="20"/>
              </w:rPr>
            </w:pPr>
            <w:proofErr w:type="spellStart"/>
            <w:r>
              <w:rPr>
                <w:rFonts w:cstheme="minorHAnsi"/>
                <w:sz w:val="20"/>
                <w:szCs w:val="20"/>
              </w:rPr>
              <w:t>DiNEH</w:t>
            </w:r>
            <w:proofErr w:type="spellEnd"/>
            <w:r>
              <w:rPr>
                <w:rFonts w:cstheme="minorHAnsi"/>
                <w:sz w:val="20"/>
                <w:szCs w:val="20"/>
              </w:rPr>
              <w:t xml:space="preserve"> College</w:t>
            </w:r>
          </w:p>
        </w:tc>
        <w:tc>
          <w:tcPr>
            <w:tcW w:w="1530" w:type="dxa"/>
            <w:tcBorders>
              <w:top w:val="single" w:sz="8" w:space="0" w:color="auto"/>
              <w:left w:val="nil"/>
              <w:bottom w:val="single" w:sz="8" w:space="0" w:color="auto"/>
              <w:right w:val="nil"/>
            </w:tcBorders>
            <w:vAlign w:val="center"/>
          </w:tcPr>
          <w:p w14:paraId="722DD5AF" w14:textId="4AE03EEE" w:rsidR="0091320B" w:rsidRPr="00D20211" w:rsidRDefault="00FD42EB" w:rsidP="000E1133">
            <w:pPr>
              <w:autoSpaceDE w:val="0"/>
              <w:autoSpaceDN w:val="0"/>
              <w:adjustRightInd w:val="0"/>
              <w:spacing w:after="0" w:line="240" w:lineRule="auto"/>
              <w:rPr>
                <w:rFonts w:cstheme="minorHAnsi"/>
                <w:sz w:val="20"/>
                <w:szCs w:val="20"/>
              </w:rPr>
            </w:pPr>
            <w:r w:rsidRPr="00FD42EB">
              <w:rPr>
                <w:rFonts w:cstheme="minorHAnsi"/>
                <w:i/>
                <w:sz w:val="20"/>
                <w:szCs w:val="20"/>
              </w:rPr>
              <w:t>(928) 607-0365</w:t>
            </w:r>
          </w:p>
        </w:tc>
        <w:tc>
          <w:tcPr>
            <w:tcW w:w="2160" w:type="dxa"/>
            <w:tcBorders>
              <w:top w:val="single" w:sz="8" w:space="0" w:color="auto"/>
              <w:left w:val="nil"/>
              <w:bottom w:val="single" w:sz="8" w:space="0" w:color="auto"/>
              <w:right w:val="nil"/>
            </w:tcBorders>
            <w:vAlign w:val="center"/>
          </w:tcPr>
          <w:p w14:paraId="636B8199" w14:textId="394C9BC8" w:rsidR="0091320B" w:rsidRPr="00D20211" w:rsidRDefault="00A469E5" w:rsidP="000E1133">
            <w:pPr>
              <w:autoSpaceDE w:val="0"/>
              <w:autoSpaceDN w:val="0"/>
              <w:adjustRightInd w:val="0"/>
              <w:spacing w:after="0" w:line="240" w:lineRule="auto"/>
              <w:rPr>
                <w:rFonts w:cstheme="minorHAnsi"/>
                <w:sz w:val="20"/>
                <w:szCs w:val="20"/>
              </w:rPr>
            </w:pPr>
            <w:hyperlink r:id="rId15" w:history="1">
              <w:r w:rsidR="00697BDF" w:rsidRPr="005E639A">
                <w:rPr>
                  <w:rStyle w:val="Hyperlink"/>
                  <w:color w:val="auto"/>
                  <w:sz w:val="20"/>
                  <w:szCs w:val="20"/>
                </w:rPr>
                <w:t>dbegay@gmail.com</w:t>
              </w:r>
            </w:hyperlink>
            <w:r w:rsidR="00697BDF" w:rsidRPr="005E639A">
              <w:rPr>
                <w:rStyle w:val="Hyperlink"/>
                <w:color w:val="auto"/>
              </w:rPr>
              <w:t xml:space="preserve"> </w:t>
            </w:r>
          </w:p>
        </w:tc>
      </w:tr>
      <w:tr w:rsidR="00C22CBF" w:rsidRPr="00D20211" w14:paraId="000D1607" w14:textId="77777777" w:rsidTr="005301C8">
        <w:tc>
          <w:tcPr>
            <w:tcW w:w="3330" w:type="dxa"/>
            <w:gridSpan w:val="2"/>
            <w:tcBorders>
              <w:top w:val="single" w:sz="8" w:space="0" w:color="auto"/>
              <w:left w:val="nil"/>
              <w:bottom w:val="single" w:sz="8" w:space="0" w:color="auto"/>
              <w:right w:val="nil"/>
            </w:tcBorders>
            <w:vAlign w:val="center"/>
          </w:tcPr>
          <w:p w14:paraId="3BDAE0BA" w14:textId="66F1F44B" w:rsidR="00C22CBF" w:rsidRDefault="00C22CBF" w:rsidP="000E1133">
            <w:pPr>
              <w:autoSpaceDE w:val="0"/>
              <w:autoSpaceDN w:val="0"/>
              <w:adjustRightInd w:val="0"/>
              <w:spacing w:after="0" w:line="240" w:lineRule="auto"/>
              <w:rPr>
                <w:rFonts w:cstheme="minorHAnsi"/>
                <w:sz w:val="20"/>
                <w:szCs w:val="20"/>
              </w:rPr>
            </w:pPr>
            <w:r w:rsidRPr="00C22CBF">
              <w:rPr>
                <w:rFonts w:cstheme="minorHAnsi"/>
                <w:i/>
                <w:sz w:val="20"/>
                <w:szCs w:val="20"/>
              </w:rPr>
              <w:t>CDC NCEH LABORATORIES</w:t>
            </w:r>
          </w:p>
        </w:tc>
        <w:tc>
          <w:tcPr>
            <w:tcW w:w="2430" w:type="dxa"/>
            <w:tcBorders>
              <w:top w:val="single" w:sz="8" w:space="0" w:color="auto"/>
              <w:left w:val="nil"/>
              <w:bottom w:val="single" w:sz="8" w:space="0" w:color="auto"/>
              <w:right w:val="nil"/>
            </w:tcBorders>
            <w:vAlign w:val="center"/>
          </w:tcPr>
          <w:p w14:paraId="56EC0301" w14:textId="77777777" w:rsidR="00C22CBF" w:rsidRDefault="00C22CBF" w:rsidP="000E1133">
            <w:pPr>
              <w:autoSpaceDE w:val="0"/>
              <w:autoSpaceDN w:val="0"/>
              <w:adjustRightInd w:val="0"/>
              <w:spacing w:after="0" w:line="240" w:lineRule="auto"/>
              <w:rPr>
                <w:rFonts w:cstheme="minorHAnsi"/>
                <w:sz w:val="20"/>
                <w:szCs w:val="20"/>
              </w:rPr>
            </w:pPr>
          </w:p>
        </w:tc>
        <w:tc>
          <w:tcPr>
            <w:tcW w:w="1530" w:type="dxa"/>
            <w:tcBorders>
              <w:top w:val="single" w:sz="8" w:space="0" w:color="auto"/>
              <w:left w:val="nil"/>
              <w:bottom w:val="single" w:sz="8" w:space="0" w:color="auto"/>
              <w:right w:val="nil"/>
            </w:tcBorders>
            <w:vAlign w:val="center"/>
          </w:tcPr>
          <w:p w14:paraId="373C297C" w14:textId="77777777" w:rsidR="00C22CBF" w:rsidRPr="00FD42EB" w:rsidRDefault="00C22CBF" w:rsidP="000E1133">
            <w:pPr>
              <w:autoSpaceDE w:val="0"/>
              <w:autoSpaceDN w:val="0"/>
              <w:adjustRightInd w:val="0"/>
              <w:spacing w:after="0" w:line="240" w:lineRule="auto"/>
              <w:rPr>
                <w:rFonts w:cstheme="minorHAnsi"/>
                <w:i/>
                <w:sz w:val="20"/>
                <w:szCs w:val="20"/>
              </w:rPr>
            </w:pPr>
          </w:p>
        </w:tc>
        <w:tc>
          <w:tcPr>
            <w:tcW w:w="2160" w:type="dxa"/>
            <w:tcBorders>
              <w:top w:val="single" w:sz="8" w:space="0" w:color="auto"/>
              <w:left w:val="nil"/>
              <w:bottom w:val="single" w:sz="8" w:space="0" w:color="auto"/>
              <w:right w:val="nil"/>
            </w:tcBorders>
            <w:vAlign w:val="center"/>
          </w:tcPr>
          <w:p w14:paraId="1A105802" w14:textId="77777777" w:rsidR="00C22CBF" w:rsidRDefault="00C22CBF" w:rsidP="000E1133">
            <w:pPr>
              <w:autoSpaceDE w:val="0"/>
              <w:autoSpaceDN w:val="0"/>
              <w:adjustRightInd w:val="0"/>
              <w:spacing w:after="0" w:line="240" w:lineRule="auto"/>
            </w:pPr>
          </w:p>
        </w:tc>
      </w:tr>
      <w:tr w:rsidR="00C22CBF" w:rsidRPr="00D20211" w14:paraId="5E40F705" w14:textId="77777777" w:rsidTr="005301C8">
        <w:tc>
          <w:tcPr>
            <w:tcW w:w="3330" w:type="dxa"/>
            <w:gridSpan w:val="2"/>
            <w:tcBorders>
              <w:top w:val="single" w:sz="8" w:space="0" w:color="auto"/>
              <w:left w:val="nil"/>
              <w:bottom w:val="single" w:sz="8" w:space="0" w:color="auto"/>
              <w:right w:val="nil"/>
            </w:tcBorders>
            <w:vAlign w:val="center"/>
          </w:tcPr>
          <w:p w14:paraId="069EC72F" w14:textId="3859B277" w:rsidR="00C22CBF" w:rsidRPr="00C22CBF" w:rsidRDefault="00C22CBF" w:rsidP="000E1133">
            <w:pPr>
              <w:autoSpaceDE w:val="0"/>
              <w:autoSpaceDN w:val="0"/>
              <w:adjustRightInd w:val="0"/>
              <w:spacing w:after="0" w:line="240" w:lineRule="auto"/>
              <w:rPr>
                <w:rFonts w:cstheme="minorHAnsi"/>
                <w:sz w:val="20"/>
                <w:szCs w:val="20"/>
              </w:rPr>
            </w:pPr>
            <w:r>
              <w:rPr>
                <w:rFonts w:cstheme="minorHAnsi"/>
                <w:sz w:val="20"/>
                <w:szCs w:val="20"/>
              </w:rPr>
              <w:t>Kathleen Caldwell, PhD  Branch Chief</w:t>
            </w:r>
          </w:p>
        </w:tc>
        <w:tc>
          <w:tcPr>
            <w:tcW w:w="2430" w:type="dxa"/>
            <w:tcBorders>
              <w:top w:val="single" w:sz="8" w:space="0" w:color="auto"/>
              <w:left w:val="nil"/>
              <w:bottom w:val="single" w:sz="8" w:space="0" w:color="auto"/>
              <w:right w:val="nil"/>
            </w:tcBorders>
            <w:vAlign w:val="center"/>
          </w:tcPr>
          <w:p w14:paraId="144C10D2" w14:textId="7DB4815B" w:rsidR="00C22CBF" w:rsidRDefault="00697BDF" w:rsidP="000E1133">
            <w:pPr>
              <w:autoSpaceDE w:val="0"/>
              <w:autoSpaceDN w:val="0"/>
              <w:adjustRightInd w:val="0"/>
              <w:spacing w:after="0" w:line="240" w:lineRule="auto"/>
              <w:rPr>
                <w:rFonts w:cstheme="minorHAnsi"/>
                <w:sz w:val="20"/>
                <w:szCs w:val="20"/>
              </w:rPr>
            </w:pPr>
            <w:r>
              <w:rPr>
                <w:rFonts w:cstheme="minorHAnsi"/>
                <w:sz w:val="20"/>
                <w:szCs w:val="20"/>
              </w:rPr>
              <w:t>Inorganic, Radiation, and Toxicology Analytical Branch</w:t>
            </w:r>
          </w:p>
        </w:tc>
        <w:tc>
          <w:tcPr>
            <w:tcW w:w="1530" w:type="dxa"/>
            <w:tcBorders>
              <w:top w:val="single" w:sz="8" w:space="0" w:color="auto"/>
              <w:left w:val="nil"/>
              <w:bottom w:val="single" w:sz="8" w:space="0" w:color="auto"/>
              <w:right w:val="nil"/>
            </w:tcBorders>
            <w:vAlign w:val="center"/>
          </w:tcPr>
          <w:p w14:paraId="452E0B5A" w14:textId="75563ECE" w:rsidR="00C22CBF" w:rsidRPr="00FD42EB" w:rsidRDefault="005E639A" w:rsidP="000E1133">
            <w:pPr>
              <w:autoSpaceDE w:val="0"/>
              <w:autoSpaceDN w:val="0"/>
              <w:adjustRightInd w:val="0"/>
              <w:spacing w:after="0" w:line="240" w:lineRule="auto"/>
              <w:rPr>
                <w:rFonts w:cstheme="minorHAnsi"/>
                <w:i/>
                <w:sz w:val="20"/>
                <w:szCs w:val="20"/>
              </w:rPr>
            </w:pPr>
            <w:r>
              <w:rPr>
                <w:rFonts w:cstheme="minorHAnsi"/>
                <w:i/>
                <w:sz w:val="20"/>
                <w:szCs w:val="20"/>
              </w:rPr>
              <w:t>(770) 488-7990</w:t>
            </w:r>
          </w:p>
        </w:tc>
        <w:tc>
          <w:tcPr>
            <w:tcW w:w="2160" w:type="dxa"/>
            <w:tcBorders>
              <w:top w:val="single" w:sz="8" w:space="0" w:color="auto"/>
              <w:left w:val="nil"/>
              <w:bottom w:val="single" w:sz="8" w:space="0" w:color="auto"/>
              <w:right w:val="nil"/>
            </w:tcBorders>
            <w:vAlign w:val="center"/>
          </w:tcPr>
          <w:p w14:paraId="127644FA" w14:textId="6214F66F" w:rsidR="00C22CBF" w:rsidRDefault="00A469E5" w:rsidP="000E1133">
            <w:pPr>
              <w:autoSpaceDE w:val="0"/>
              <w:autoSpaceDN w:val="0"/>
              <w:adjustRightInd w:val="0"/>
              <w:spacing w:after="0" w:line="240" w:lineRule="auto"/>
            </w:pPr>
            <w:hyperlink r:id="rId16" w:history="1">
              <w:r w:rsidR="009841E3" w:rsidRPr="00740C9A">
                <w:rPr>
                  <w:rStyle w:val="Hyperlink"/>
                  <w:color w:val="auto"/>
                  <w:sz w:val="20"/>
                  <w:szCs w:val="20"/>
                </w:rPr>
                <w:t>klc7@cdc.gov</w:t>
              </w:r>
            </w:hyperlink>
            <w:r w:rsidR="0073397C" w:rsidRPr="00740C9A">
              <w:t xml:space="preserve"> </w:t>
            </w:r>
          </w:p>
        </w:tc>
      </w:tr>
    </w:tbl>
    <w:p w14:paraId="40A91741" w14:textId="77777777" w:rsidR="003B2A57" w:rsidRDefault="003B2A57" w:rsidP="003B2A57">
      <w:pPr>
        <w:autoSpaceDE w:val="0"/>
        <w:autoSpaceDN w:val="0"/>
        <w:adjustRightInd w:val="0"/>
        <w:spacing w:after="0" w:line="240" w:lineRule="auto"/>
        <w:jc w:val="both"/>
        <w:rPr>
          <w:rFonts w:cstheme="minorHAnsi"/>
          <w:sz w:val="24"/>
          <w:szCs w:val="24"/>
        </w:rPr>
      </w:pPr>
    </w:p>
    <w:p w14:paraId="1891B58B" w14:textId="607A0854" w:rsidR="00EB3C4F" w:rsidRPr="00D20211" w:rsidRDefault="00EB3C4F" w:rsidP="003B2A57">
      <w:pPr>
        <w:autoSpaceDE w:val="0"/>
        <w:autoSpaceDN w:val="0"/>
        <w:adjustRightInd w:val="0"/>
        <w:spacing w:after="0" w:line="240" w:lineRule="auto"/>
        <w:jc w:val="both"/>
        <w:rPr>
          <w:rFonts w:cstheme="minorHAnsi"/>
          <w:sz w:val="24"/>
          <w:szCs w:val="24"/>
        </w:rPr>
      </w:pPr>
      <w:r w:rsidRPr="009D761A">
        <w:rPr>
          <w:rFonts w:cs="ITCFranklinGothicStd-Book"/>
          <w:sz w:val="24"/>
          <w:szCs w:val="24"/>
        </w:rPr>
        <w:t xml:space="preserve">A full detailed list of individuals consulted is in Attachment </w:t>
      </w:r>
      <w:r w:rsidR="00F13B4D">
        <w:rPr>
          <w:rFonts w:cs="ITCFranklinGothicStd-Book"/>
          <w:sz w:val="24"/>
          <w:szCs w:val="24"/>
        </w:rPr>
        <w:t>5</w:t>
      </w:r>
      <w:r w:rsidRPr="009D761A">
        <w:rPr>
          <w:rFonts w:cs="ITCFranklinGothicStd-Book"/>
          <w:sz w:val="24"/>
          <w:szCs w:val="24"/>
        </w:rPr>
        <w:t xml:space="preserve">. Please see Attachment </w:t>
      </w:r>
      <w:r w:rsidR="00F13B4D">
        <w:rPr>
          <w:rFonts w:cs="ITCFranklinGothicStd-Book"/>
          <w:sz w:val="24"/>
          <w:szCs w:val="24"/>
        </w:rPr>
        <w:t>6</w:t>
      </w:r>
      <w:r w:rsidRPr="009D761A">
        <w:rPr>
          <w:rFonts w:cs="ITCFranklinGothicStd-Book"/>
          <w:sz w:val="24"/>
          <w:szCs w:val="24"/>
        </w:rPr>
        <w:t xml:space="preserve"> for Community Outreach Chronology and Attachment </w:t>
      </w:r>
      <w:r w:rsidR="00F13B4D">
        <w:rPr>
          <w:rFonts w:cs="ITCFranklinGothicStd-Book"/>
          <w:sz w:val="24"/>
          <w:szCs w:val="24"/>
        </w:rPr>
        <w:t>7</w:t>
      </w:r>
      <w:r w:rsidRPr="009D761A">
        <w:rPr>
          <w:rFonts w:cs="ITCFranklinGothicStd-Book"/>
          <w:sz w:val="24"/>
          <w:szCs w:val="24"/>
        </w:rPr>
        <w:t xml:space="preserve"> for ATSDR Timeline of </w:t>
      </w:r>
      <w:r w:rsidR="00DE0710">
        <w:rPr>
          <w:rFonts w:cs="ITCFranklinGothicStd-Book"/>
          <w:sz w:val="24"/>
          <w:szCs w:val="24"/>
        </w:rPr>
        <w:t>Engagement</w:t>
      </w:r>
      <w:r w:rsidRPr="009D761A">
        <w:rPr>
          <w:rFonts w:cs="ITCFranklinGothicStd-Book"/>
          <w:sz w:val="24"/>
          <w:szCs w:val="24"/>
        </w:rPr>
        <w:t>.</w:t>
      </w:r>
    </w:p>
    <w:p w14:paraId="0A014A5E" w14:textId="1B0B1790" w:rsidR="00B45002" w:rsidRPr="00D20211" w:rsidRDefault="00601F1A" w:rsidP="00601F1A">
      <w:pPr>
        <w:pStyle w:val="Heading1"/>
        <w:pBdr>
          <w:bottom w:val="none" w:sz="0" w:space="0" w:color="auto"/>
        </w:pBdr>
        <w:rPr>
          <w:color w:val="auto"/>
        </w:rPr>
      </w:pPr>
      <w:bookmarkStart w:id="11" w:name="_Toc435518569"/>
      <w:r w:rsidRPr="00D20211">
        <w:rPr>
          <w:color w:val="auto"/>
        </w:rPr>
        <w:t>A.</w:t>
      </w:r>
      <w:r w:rsidR="004D21C9" w:rsidRPr="00D20211">
        <w:rPr>
          <w:color w:val="auto"/>
        </w:rPr>
        <w:t>9</w:t>
      </w:r>
      <w:r w:rsidR="00AC0DB6" w:rsidRPr="00D20211">
        <w:rPr>
          <w:color w:val="auto"/>
        </w:rPr>
        <w:t>. Explanation</w:t>
      </w:r>
      <w:r w:rsidR="00B45002" w:rsidRPr="00D20211">
        <w:rPr>
          <w:color w:val="auto"/>
        </w:rPr>
        <w:t xml:space="preserve"> of Any Payment or Gift to Respondents</w:t>
      </w:r>
      <w:bookmarkEnd w:id="11"/>
    </w:p>
    <w:p w14:paraId="043F830F" w14:textId="77777777" w:rsidR="00100D0E" w:rsidRDefault="00100D0E" w:rsidP="00524D01">
      <w:pPr>
        <w:autoSpaceDE w:val="0"/>
        <w:autoSpaceDN w:val="0"/>
        <w:adjustRightInd w:val="0"/>
        <w:spacing w:after="0" w:line="240" w:lineRule="auto"/>
        <w:rPr>
          <w:sz w:val="24"/>
          <w:szCs w:val="24"/>
        </w:rPr>
      </w:pPr>
    </w:p>
    <w:p w14:paraId="40A9FAD1" w14:textId="2FAFE38D" w:rsidR="00374CBA" w:rsidRDefault="00CE01CF" w:rsidP="00374CBA">
      <w:pPr>
        <w:autoSpaceDE w:val="0"/>
        <w:autoSpaceDN w:val="0"/>
        <w:adjustRightInd w:val="0"/>
        <w:spacing w:after="0" w:line="240" w:lineRule="auto"/>
        <w:rPr>
          <w:sz w:val="24"/>
          <w:szCs w:val="24"/>
        </w:rPr>
      </w:pPr>
      <w:r>
        <w:rPr>
          <w:sz w:val="24"/>
          <w:szCs w:val="24"/>
        </w:rPr>
        <w:t xml:space="preserve">The incentive plan was previously approved by OMB and Navajo Nation Human Research Review Board.  Implementation of this incentive plan has been successful; therefore, no changes have been made to the incentive plan. The approved incentive plan involves </w:t>
      </w:r>
      <w:r w:rsidR="00807B57">
        <w:rPr>
          <w:sz w:val="24"/>
          <w:szCs w:val="24"/>
        </w:rPr>
        <w:t>the following tokens of appreciation</w:t>
      </w:r>
      <w:r>
        <w:rPr>
          <w:sz w:val="24"/>
          <w:szCs w:val="24"/>
        </w:rPr>
        <w:t xml:space="preserve">: </w:t>
      </w:r>
    </w:p>
    <w:p w14:paraId="452485C7" w14:textId="77777777" w:rsidR="00374CBA" w:rsidRPr="00374CBA" w:rsidRDefault="00374CBA" w:rsidP="00374CBA">
      <w:pPr>
        <w:autoSpaceDE w:val="0"/>
        <w:autoSpaceDN w:val="0"/>
        <w:adjustRightInd w:val="0"/>
        <w:spacing w:after="0" w:line="240" w:lineRule="auto"/>
        <w:rPr>
          <w:sz w:val="24"/>
          <w:szCs w:val="24"/>
        </w:rPr>
      </w:pPr>
    </w:p>
    <w:p w14:paraId="54080256" w14:textId="4914CA27" w:rsidR="00374CBA" w:rsidRPr="00740C9A" w:rsidRDefault="00374CBA" w:rsidP="00B676FA">
      <w:pPr>
        <w:numPr>
          <w:ilvl w:val="0"/>
          <w:numId w:val="3"/>
        </w:numPr>
        <w:autoSpaceDE w:val="0"/>
        <w:autoSpaceDN w:val="0"/>
        <w:adjustRightInd w:val="0"/>
        <w:spacing w:after="0" w:line="240" w:lineRule="auto"/>
        <w:rPr>
          <w:sz w:val="24"/>
          <w:szCs w:val="24"/>
        </w:rPr>
      </w:pPr>
      <w:r w:rsidRPr="00374CBA">
        <w:rPr>
          <w:sz w:val="24"/>
          <w:szCs w:val="24"/>
        </w:rPr>
        <w:t xml:space="preserve">$10 gift </w:t>
      </w:r>
      <w:r w:rsidRPr="00740C9A">
        <w:rPr>
          <w:sz w:val="24"/>
          <w:szCs w:val="24"/>
        </w:rPr>
        <w:t>card + skin care products valued at $15 donated by a company in partnership with Navajo Nation.  Th</w:t>
      </w:r>
      <w:r w:rsidR="0014528D">
        <w:rPr>
          <w:sz w:val="24"/>
          <w:szCs w:val="24"/>
        </w:rPr>
        <w:t xml:space="preserve">ese items are </w:t>
      </w:r>
      <w:r w:rsidRPr="00740C9A">
        <w:rPr>
          <w:sz w:val="24"/>
          <w:szCs w:val="24"/>
        </w:rPr>
        <w:t xml:space="preserve">given to moms and dads during </w:t>
      </w:r>
      <w:r w:rsidR="00EB3C4F" w:rsidRPr="00740C9A">
        <w:rPr>
          <w:sz w:val="24"/>
          <w:szCs w:val="24"/>
        </w:rPr>
        <w:t xml:space="preserve">their </w:t>
      </w:r>
      <w:r w:rsidRPr="00740C9A">
        <w:rPr>
          <w:sz w:val="24"/>
          <w:szCs w:val="24"/>
        </w:rPr>
        <w:t xml:space="preserve">initial home visit after </w:t>
      </w:r>
      <w:r w:rsidR="00065A4A">
        <w:rPr>
          <w:sz w:val="24"/>
          <w:szCs w:val="24"/>
        </w:rPr>
        <w:t>Eligibility</w:t>
      </w:r>
      <w:r w:rsidRPr="00740C9A">
        <w:rPr>
          <w:sz w:val="24"/>
          <w:szCs w:val="24"/>
        </w:rPr>
        <w:t xml:space="preserve"> </w:t>
      </w:r>
      <w:r w:rsidR="00C244D0">
        <w:rPr>
          <w:sz w:val="24"/>
          <w:szCs w:val="24"/>
        </w:rPr>
        <w:t>F</w:t>
      </w:r>
      <w:r w:rsidR="00EB3C4F" w:rsidRPr="00740C9A">
        <w:rPr>
          <w:sz w:val="24"/>
          <w:szCs w:val="24"/>
        </w:rPr>
        <w:t>orms</w:t>
      </w:r>
      <w:r w:rsidR="00065A4A">
        <w:rPr>
          <w:sz w:val="24"/>
          <w:szCs w:val="24"/>
        </w:rPr>
        <w:t xml:space="preserve"> (Attachment </w:t>
      </w:r>
      <w:r w:rsidR="00DA6E40">
        <w:rPr>
          <w:sz w:val="24"/>
          <w:szCs w:val="24"/>
        </w:rPr>
        <w:t>8</w:t>
      </w:r>
      <w:r w:rsidR="00065A4A">
        <w:rPr>
          <w:sz w:val="24"/>
          <w:szCs w:val="24"/>
        </w:rPr>
        <w:t>a) and Enrollment Survey</w:t>
      </w:r>
      <w:r w:rsidR="00C244D0">
        <w:rPr>
          <w:sz w:val="24"/>
          <w:szCs w:val="24"/>
        </w:rPr>
        <w:t>s</w:t>
      </w:r>
      <w:r w:rsidR="00065A4A">
        <w:rPr>
          <w:sz w:val="24"/>
          <w:szCs w:val="24"/>
        </w:rPr>
        <w:t xml:space="preserve"> (Attachment </w:t>
      </w:r>
      <w:r w:rsidR="00DA6E40">
        <w:rPr>
          <w:sz w:val="24"/>
          <w:szCs w:val="24"/>
        </w:rPr>
        <w:t>8</w:t>
      </w:r>
      <w:r w:rsidR="00065A4A">
        <w:rPr>
          <w:sz w:val="24"/>
          <w:szCs w:val="24"/>
        </w:rPr>
        <w:t>b</w:t>
      </w:r>
      <w:r w:rsidR="00F77077">
        <w:rPr>
          <w:sz w:val="24"/>
          <w:szCs w:val="24"/>
        </w:rPr>
        <w:t xml:space="preserve"> and </w:t>
      </w:r>
      <w:r w:rsidR="00DA6E40">
        <w:rPr>
          <w:sz w:val="24"/>
          <w:szCs w:val="24"/>
        </w:rPr>
        <w:t>8</w:t>
      </w:r>
      <w:r w:rsidR="00F77077">
        <w:rPr>
          <w:sz w:val="24"/>
          <w:szCs w:val="24"/>
        </w:rPr>
        <w:t>i</w:t>
      </w:r>
      <w:r w:rsidR="00065A4A">
        <w:rPr>
          <w:sz w:val="24"/>
          <w:szCs w:val="24"/>
        </w:rPr>
        <w:t>)</w:t>
      </w:r>
      <w:r w:rsidR="00807B57">
        <w:rPr>
          <w:sz w:val="24"/>
          <w:szCs w:val="24"/>
        </w:rPr>
        <w:t xml:space="preserve"> and prenatal labs </w:t>
      </w:r>
      <w:r w:rsidR="00EB3C4F" w:rsidRPr="00740C9A">
        <w:rPr>
          <w:sz w:val="24"/>
          <w:szCs w:val="24"/>
        </w:rPr>
        <w:t xml:space="preserve">are </w:t>
      </w:r>
      <w:r w:rsidRPr="00740C9A">
        <w:rPr>
          <w:sz w:val="24"/>
          <w:szCs w:val="24"/>
        </w:rPr>
        <w:t xml:space="preserve">completed and </w:t>
      </w:r>
      <w:r w:rsidR="00EB3C4F" w:rsidRPr="00740C9A">
        <w:rPr>
          <w:sz w:val="24"/>
          <w:szCs w:val="24"/>
        </w:rPr>
        <w:t xml:space="preserve">a </w:t>
      </w:r>
      <w:r w:rsidRPr="00740C9A">
        <w:rPr>
          <w:sz w:val="24"/>
          <w:szCs w:val="24"/>
        </w:rPr>
        <w:t xml:space="preserve">home-visit </w:t>
      </w:r>
      <w:r w:rsidR="00EB3C4F" w:rsidRPr="00740C9A">
        <w:rPr>
          <w:sz w:val="24"/>
          <w:szCs w:val="24"/>
        </w:rPr>
        <w:t xml:space="preserve">is </w:t>
      </w:r>
      <w:r w:rsidR="00807B57">
        <w:rPr>
          <w:sz w:val="24"/>
          <w:szCs w:val="24"/>
        </w:rPr>
        <w:t>scheduled.</w:t>
      </w:r>
    </w:p>
    <w:p w14:paraId="1012744E" w14:textId="724D8249" w:rsidR="00807B57" w:rsidRDefault="00807B57" w:rsidP="00B676FA">
      <w:pPr>
        <w:pStyle w:val="ListParagraph"/>
        <w:numPr>
          <w:ilvl w:val="0"/>
          <w:numId w:val="3"/>
        </w:numPr>
        <w:rPr>
          <w:sz w:val="24"/>
          <w:szCs w:val="24"/>
        </w:rPr>
      </w:pPr>
      <w:r>
        <w:rPr>
          <w:sz w:val="24"/>
          <w:szCs w:val="24"/>
        </w:rPr>
        <w:t>$7</w:t>
      </w:r>
      <w:r w:rsidRPr="00740C9A">
        <w:rPr>
          <w:sz w:val="24"/>
          <w:szCs w:val="24"/>
        </w:rPr>
        <w:t xml:space="preserve">5 gift card </w:t>
      </w:r>
      <w:r>
        <w:rPr>
          <w:sz w:val="24"/>
          <w:szCs w:val="24"/>
        </w:rPr>
        <w:t>after completion of</w:t>
      </w:r>
      <w:r w:rsidRPr="00740C9A">
        <w:rPr>
          <w:sz w:val="24"/>
          <w:szCs w:val="24"/>
        </w:rPr>
        <w:t xml:space="preserve"> Ages and Stages Questionnaires (ASQs)</w:t>
      </w:r>
      <w:r>
        <w:rPr>
          <w:sz w:val="24"/>
          <w:szCs w:val="24"/>
        </w:rPr>
        <w:t xml:space="preserve"> (Attachment </w:t>
      </w:r>
      <w:r w:rsidR="00DA6E40">
        <w:rPr>
          <w:sz w:val="24"/>
          <w:szCs w:val="24"/>
        </w:rPr>
        <w:t>8</w:t>
      </w:r>
      <w:r>
        <w:rPr>
          <w:sz w:val="24"/>
          <w:szCs w:val="24"/>
        </w:rPr>
        <w:t>c);</w:t>
      </w:r>
      <w:r w:rsidRPr="00740C9A">
        <w:rPr>
          <w:sz w:val="24"/>
          <w:szCs w:val="24"/>
        </w:rPr>
        <w:t xml:space="preserve"> </w:t>
      </w:r>
      <w:r>
        <w:rPr>
          <w:sz w:val="24"/>
          <w:szCs w:val="24"/>
        </w:rPr>
        <w:t>M</w:t>
      </w:r>
      <w:r w:rsidRPr="0000705A">
        <w:rPr>
          <w:sz w:val="24"/>
          <w:szCs w:val="24"/>
        </w:rPr>
        <w:t>ullen</w:t>
      </w:r>
      <w:r>
        <w:rPr>
          <w:sz w:val="24"/>
          <w:szCs w:val="24"/>
        </w:rPr>
        <w:t xml:space="preserve"> Scales of Early L</w:t>
      </w:r>
      <w:r w:rsidRPr="0000705A">
        <w:rPr>
          <w:sz w:val="24"/>
          <w:szCs w:val="24"/>
        </w:rPr>
        <w:t>earning</w:t>
      </w:r>
      <w:r>
        <w:rPr>
          <w:sz w:val="24"/>
          <w:szCs w:val="24"/>
        </w:rPr>
        <w:t xml:space="preserve"> (</w:t>
      </w:r>
      <w:r w:rsidRPr="00740C9A">
        <w:rPr>
          <w:sz w:val="24"/>
          <w:szCs w:val="24"/>
        </w:rPr>
        <w:t>MSEL</w:t>
      </w:r>
      <w:r>
        <w:rPr>
          <w:sz w:val="24"/>
          <w:szCs w:val="24"/>
        </w:rPr>
        <w:t xml:space="preserve">) (Attachment </w:t>
      </w:r>
      <w:r w:rsidR="00DA6E40">
        <w:rPr>
          <w:sz w:val="24"/>
          <w:szCs w:val="24"/>
        </w:rPr>
        <w:t>8</w:t>
      </w:r>
      <w:r>
        <w:rPr>
          <w:sz w:val="24"/>
          <w:szCs w:val="24"/>
        </w:rPr>
        <w:t>d); 2 month Postpartum Survey</w:t>
      </w:r>
      <w:r w:rsidR="00C244D0">
        <w:rPr>
          <w:sz w:val="24"/>
          <w:szCs w:val="24"/>
        </w:rPr>
        <w:t>s</w:t>
      </w:r>
      <w:r>
        <w:rPr>
          <w:sz w:val="24"/>
          <w:szCs w:val="24"/>
        </w:rPr>
        <w:t xml:space="preserve"> (Attachment </w:t>
      </w:r>
      <w:r w:rsidR="00DA6E40">
        <w:rPr>
          <w:sz w:val="24"/>
          <w:szCs w:val="24"/>
        </w:rPr>
        <w:t>8</w:t>
      </w:r>
      <w:r>
        <w:rPr>
          <w:sz w:val="24"/>
          <w:szCs w:val="24"/>
        </w:rPr>
        <w:t>e), and the 6,</w:t>
      </w:r>
      <w:r w:rsidR="00C244D0">
        <w:rPr>
          <w:sz w:val="24"/>
          <w:szCs w:val="24"/>
        </w:rPr>
        <w:t xml:space="preserve"> </w:t>
      </w:r>
      <w:r>
        <w:rPr>
          <w:sz w:val="24"/>
          <w:szCs w:val="24"/>
        </w:rPr>
        <w:t xml:space="preserve">9, and 12 month Postpartum Surveys (Attachment </w:t>
      </w:r>
      <w:r w:rsidR="00DE0710">
        <w:rPr>
          <w:sz w:val="24"/>
          <w:szCs w:val="24"/>
        </w:rPr>
        <w:t>8</w:t>
      </w:r>
      <w:r>
        <w:rPr>
          <w:sz w:val="24"/>
          <w:szCs w:val="24"/>
        </w:rPr>
        <w:t xml:space="preserve">f).  </w:t>
      </w:r>
      <w:r w:rsidRPr="00740C9A">
        <w:rPr>
          <w:sz w:val="24"/>
          <w:szCs w:val="24"/>
        </w:rPr>
        <w:t xml:space="preserve">This card will be presented as final gift when the </w:t>
      </w:r>
      <w:r>
        <w:rPr>
          <w:sz w:val="24"/>
          <w:szCs w:val="24"/>
        </w:rPr>
        <w:t>second</w:t>
      </w:r>
      <w:r w:rsidRPr="00740C9A">
        <w:rPr>
          <w:sz w:val="24"/>
          <w:szCs w:val="24"/>
        </w:rPr>
        <w:t xml:space="preserve"> punch card is completed at one</w:t>
      </w:r>
      <w:r>
        <w:rPr>
          <w:sz w:val="24"/>
          <w:szCs w:val="24"/>
        </w:rPr>
        <w:t>-</w:t>
      </w:r>
      <w:r w:rsidRPr="00740C9A">
        <w:rPr>
          <w:sz w:val="24"/>
          <w:szCs w:val="24"/>
        </w:rPr>
        <w:t>year.</w:t>
      </w:r>
    </w:p>
    <w:p w14:paraId="252D05FA" w14:textId="1C48D928" w:rsidR="00374CBA" w:rsidRPr="00245FB9" w:rsidRDefault="00374CBA" w:rsidP="00112DAB">
      <w:pPr>
        <w:pStyle w:val="ListParagraph"/>
        <w:numPr>
          <w:ilvl w:val="0"/>
          <w:numId w:val="3"/>
        </w:numPr>
        <w:rPr>
          <w:sz w:val="24"/>
          <w:szCs w:val="24"/>
        </w:rPr>
      </w:pPr>
      <w:r w:rsidRPr="00807B57">
        <w:rPr>
          <w:sz w:val="24"/>
          <w:szCs w:val="24"/>
        </w:rPr>
        <w:t xml:space="preserve">$35 gift card + bag with in-kind donations of baby care products and </w:t>
      </w:r>
      <w:r w:rsidR="00EB3C4F" w:rsidRPr="00807B57">
        <w:rPr>
          <w:sz w:val="24"/>
          <w:szCs w:val="24"/>
        </w:rPr>
        <w:t>a compact disc (</w:t>
      </w:r>
      <w:r w:rsidRPr="00807B57">
        <w:rPr>
          <w:sz w:val="24"/>
          <w:szCs w:val="24"/>
        </w:rPr>
        <w:t>CD</w:t>
      </w:r>
      <w:r w:rsidR="00EB3C4F" w:rsidRPr="00807B57">
        <w:rPr>
          <w:sz w:val="24"/>
          <w:szCs w:val="24"/>
        </w:rPr>
        <w:t>) recording</w:t>
      </w:r>
      <w:r w:rsidRPr="00807B57">
        <w:rPr>
          <w:sz w:val="24"/>
          <w:szCs w:val="24"/>
        </w:rPr>
        <w:t xml:space="preserve"> of Navajo language stories for baby.  </w:t>
      </w:r>
      <w:r w:rsidR="00807B57">
        <w:rPr>
          <w:sz w:val="24"/>
          <w:szCs w:val="24"/>
        </w:rPr>
        <w:t xml:space="preserve">These </w:t>
      </w:r>
      <w:r w:rsidRPr="00807B57">
        <w:rPr>
          <w:sz w:val="24"/>
          <w:szCs w:val="24"/>
        </w:rPr>
        <w:t>gift</w:t>
      </w:r>
      <w:r w:rsidR="00807B57">
        <w:rPr>
          <w:sz w:val="24"/>
          <w:szCs w:val="24"/>
        </w:rPr>
        <w:t>s</w:t>
      </w:r>
      <w:r w:rsidRPr="00807B57">
        <w:rPr>
          <w:sz w:val="24"/>
          <w:szCs w:val="24"/>
        </w:rPr>
        <w:t xml:space="preserve"> </w:t>
      </w:r>
      <w:r w:rsidR="00807B57">
        <w:rPr>
          <w:sz w:val="24"/>
          <w:szCs w:val="24"/>
        </w:rPr>
        <w:t>are</w:t>
      </w:r>
      <w:r w:rsidR="0014528D" w:rsidRPr="00807B57">
        <w:rPr>
          <w:sz w:val="24"/>
          <w:szCs w:val="24"/>
        </w:rPr>
        <w:t xml:space="preserve"> </w:t>
      </w:r>
      <w:r w:rsidRPr="00807B57">
        <w:rPr>
          <w:sz w:val="24"/>
          <w:szCs w:val="24"/>
        </w:rPr>
        <w:t xml:space="preserve">presented when </w:t>
      </w:r>
      <w:r w:rsidR="00EB3C4F" w:rsidRPr="00807B57">
        <w:rPr>
          <w:sz w:val="24"/>
          <w:szCs w:val="24"/>
        </w:rPr>
        <w:t xml:space="preserve">the </w:t>
      </w:r>
      <w:r w:rsidR="001552F7" w:rsidRPr="00807B57">
        <w:rPr>
          <w:sz w:val="24"/>
          <w:szCs w:val="24"/>
        </w:rPr>
        <w:t xml:space="preserve">first </w:t>
      </w:r>
      <w:r w:rsidRPr="00807B57">
        <w:rPr>
          <w:sz w:val="24"/>
          <w:szCs w:val="24"/>
        </w:rPr>
        <w:t>punch card</w:t>
      </w:r>
      <w:r w:rsidR="00EB3C4F" w:rsidRPr="00807B57">
        <w:rPr>
          <w:sz w:val="24"/>
          <w:szCs w:val="24"/>
        </w:rPr>
        <w:t xml:space="preserve"> </w:t>
      </w:r>
      <w:r w:rsidR="00045E1F" w:rsidRPr="00807B57">
        <w:rPr>
          <w:sz w:val="24"/>
          <w:szCs w:val="24"/>
        </w:rPr>
        <w:t>is completed for</w:t>
      </w:r>
      <w:r w:rsidR="00EB3C4F" w:rsidRPr="00807B57">
        <w:rPr>
          <w:sz w:val="24"/>
          <w:szCs w:val="24"/>
        </w:rPr>
        <w:t xml:space="preserve"> the</w:t>
      </w:r>
      <w:r w:rsidRPr="00807B57">
        <w:rPr>
          <w:sz w:val="24"/>
          <w:szCs w:val="24"/>
        </w:rPr>
        <w:t xml:space="preserve"> </w:t>
      </w:r>
      <w:r w:rsidR="00065A4A" w:rsidRPr="00807B57">
        <w:rPr>
          <w:sz w:val="24"/>
          <w:szCs w:val="24"/>
        </w:rPr>
        <w:t xml:space="preserve">Food Frequency/WIC Form (Attachment </w:t>
      </w:r>
      <w:r w:rsidR="00DA6E40">
        <w:rPr>
          <w:sz w:val="24"/>
          <w:szCs w:val="24"/>
        </w:rPr>
        <w:t>8</w:t>
      </w:r>
      <w:r w:rsidR="00065A4A" w:rsidRPr="00807B57">
        <w:rPr>
          <w:sz w:val="24"/>
          <w:szCs w:val="24"/>
        </w:rPr>
        <w:t>g), Home Environmental Assessment (</w:t>
      </w:r>
      <w:r w:rsidR="000A6DDA">
        <w:rPr>
          <w:sz w:val="24"/>
          <w:szCs w:val="24"/>
        </w:rPr>
        <w:t xml:space="preserve">Attachment </w:t>
      </w:r>
      <w:r w:rsidR="00DA6E40">
        <w:rPr>
          <w:sz w:val="24"/>
          <w:szCs w:val="24"/>
        </w:rPr>
        <w:t>8</w:t>
      </w:r>
      <w:r w:rsidR="00065A4A" w:rsidRPr="00807B57">
        <w:rPr>
          <w:sz w:val="24"/>
          <w:szCs w:val="24"/>
        </w:rPr>
        <w:t>h),</w:t>
      </w:r>
      <w:r w:rsidRPr="00807B57">
        <w:rPr>
          <w:sz w:val="24"/>
          <w:szCs w:val="24"/>
        </w:rPr>
        <w:t xml:space="preserve"> mom’s delivery blood and urine samples, cord blood, and baby urine.</w:t>
      </w:r>
    </w:p>
    <w:p w14:paraId="6E8EA09B" w14:textId="3B7618FD" w:rsidR="00B45002" w:rsidRPr="00D20211" w:rsidRDefault="00601F1A" w:rsidP="00601F1A">
      <w:pPr>
        <w:pStyle w:val="Heading1"/>
        <w:pBdr>
          <w:bottom w:val="none" w:sz="0" w:space="0" w:color="auto"/>
        </w:pBdr>
        <w:rPr>
          <w:color w:val="auto"/>
        </w:rPr>
      </w:pPr>
      <w:bookmarkStart w:id="12" w:name="_Toc435518570"/>
      <w:r w:rsidRPr="00D20211">
        <w:rPr>
          <w:color w:val="auto"/>
        </w:rPr>
        <w:lastRenderedPageBreak/>
        <w:t>A.</w:t>
      </w:r>
      <w:r w:rsidR="004D21C9" w:rsidRPr="00D20211">
        <w:rPr>
          <w:color w:val="auto"/>
        </w:rPr>
        <w:t>10</w:t>
      </w:r>
      <w:r w:rsidR="00AC0DB6" w:rsidRPr="00D20211">
        <w:rPr>
          <w:color w:val="auto"/>
        </w:rPr>
        <w:t>. Protection</w:t>
      </w:r>
      <w:r w:rsidR="00B45002" w:rsidRPr="00D20211">
        <w:rPr>
          <w:color w:val="auto"/>
        </w:rPr>
        <w:t xml:space="preserve"> of the Privacy and Confidentiality of Information Provided by Respondents</w:t>
      </w:r>
      <w:bookmarkEnd w:id="12"/>
    </w:p>
    <w:p w14:paraId="24BF9EC4" w14:textId="2A0266CD" w:rsidR="00CF7455" w:rsidRDefault="00CF7455" w:rsidP="00CF7455">
      <w:pPr>
        <w:autoSpaceDE w:val="0"/>
        <w:autoSpaceDN w:val="0"/>
        <w:adjustRightInd w:val="0"/>
        <w:spacing w:line="240" w:lineRule="auto"/>
        <w:rPr>
          <w:rFonts w:cs="ITCFranklinGothicStd-Book"/>
          <w:sz w:val="24"/>
          <w:szCs w:val="24"/>
          <w:u w:val="single"/>
        </w:rPr>
      </w:pPr>
    </w:p>
    <w:p w14:paraId="46BB2BD1" w14:textId="760F83D1" w:rsidR="00BB28DA" w:rsidRDefault="00BB28DA" w:rsidP="00BC30C1">
      <w:pPr>
        <w:autoSpaceDE w:val="0"/>
        <w:autoSpaceDN w:val="0"/>
        <w:adjustRightInd w:val="0"/>
        <w:spacing w:after="0" w:line="240" w:lineRule="auto"/>
        <w:rPr>
          <w:rFonts w:cs="ITCFranklinGothicStd-Book"/>
          <w:sz w:val="24"/>
          <w:szCs w:val="24"/>
        </w:rPr>
      </w:pPr>
      <w:r w:rsidRPr="00BB28DA">
        <w:rPr>
          <w:rFonts w:cs="ITCFranklinGothicStd-Book"/>
          <w:sz w:val="24"/>
          <w:szCs w:val="24"/>
        </w:rPr>
        <w:t xml:space="preserve">This </w:t>
      </w:r>
      <w:r w:rsidR="008A70CB">
        <w:rPr>
          <w:rFonts w:cs="ITCFranklinGothicStd-Book"/>
          <w:sz w:val="24"/>
          <w:szCs w:val="24"/>
        </w:rPr>
        <w:t>ICR</w:t>
      </w:r>
      <w:r w:rsidR="00367DDD">
        <w:rPr>
          <w:rFonts w:cs="ITCFranklinGothicStd-Book"/>
          <w:sz w:val="24"/>
          <w:szCs w:val="24"/>
        </w:rPr>
        <w:t xml:space="preserve"> was</w:t>
      </w:r>
      <w:r w:rsidRPr="00BB28DA">
        <w:rPr>
          <w:rFonts w:cs="ITCFranklinGothicStd-Book"/>
          <w:sz w:val="24"/>
          <w:szCs w:val="24"/>
        </w:rPr>
        <w:t xml:space="preserve"> </w:t>
      </w:r>
      <w:r w:rsidR="008A70CB">
        <w:rPr>
          <w:rFonts w:cs="ITCFranklinGothicStd-Book"/>
          <w:sz w:val="24"/>
          <w:szCs w:val="24"/>
        </w:rPr>
        <w:t xml:space="preserve">initially </w:t>
      </w:r>
      <w:r w:rsidRPr="00BB28DA">
        <w:rPr>
          <w:rFonts w:cs="ITCFranklinGothicStd-Book"/>
          <w:sz w:val="24"/>
          <w:szCs w:val="24"/>
        </w:rPr>
        <w:t xml:space="preserve">reviewed by the NCEH/ATSDR Privacy Officer who determined that the Privacy Act does apply.  </w:t>
      </w:r>
      <w:r w:rsidR="008A70CB">
        <w:rPr>
          <w:rFonts w:cs="ITCFranklinGothicStd-Book"/>
          <w:sz w:val="24"/>
          <w:szCs w:val="24"/>
        </w:rPr>
        <w:t xml:space="preserve">There will be no changes to the system. </w:t>
      </w:r>
      <w:r w:rsidRPr="00BB28DA">
        <w:rPr>
          <w:rFonts w:cs="ITCFranklinGothicStd-Book"/>
          <w:sz w:val="24"/>
          <w:szCs w:val="24"/>
        </w:rPr>
        <w:t xml:space="preserve">Data </w:t>
      </w:r>
      <w:r w:rsidR="00A40E9F">
        <w:rPr>
          <w:rFonts w:cs="ITCFranklinGothicStd-Book"/>
          <w:sz w:val="24"/>
          <w:szCs w:val="24"/>
        </w:rPr>
        <w:t>is</w:t>
      </w:r>
      <w:r w:rsidRPr="00BB28DA">
        <w:rPr>
          <w:rFonts w:cs="ITCFranklinGothicStd-Book"/>
          <w:sz w:val="24"/>
          <w:szCs w:val="24"/>
        </w:rPr>
        <w:t xml:space="preserve"> primarily collected by the ATSDR contractor Navajo Nation Department of Health (NNDOH) and identifiers must be maintained because of repeated contacts needed with the parent during pregnancy and when the baby is 2, 6, 9, and 12 months old in accordance with study plans to assess developmental levels of the child</w:t>
      </w:r>
      <w:r w:rsidR="00A40E9F">
        <w:rPr>
          <w:rFonts w:cs="ITCFranklinGothicStd-Book"/>
          <w:sz w:val="24"/>
          <w:szCs w:val="24"/>
        </w:rPr>
        <w:t>, and to schedule and follow-up prenatal and home visits</w:t>
      </w:r>
      <w:r w:rsidRPr="00BB28DA">
        <w:rPr>
          <w:rFonts w:cs="ITCFranklinGothicStd-Book"/>
          <w:sz w:val="24"/>
          <w:szCs w:val="24"/>
        </w:rPr>
        <w:t>.  The applicable Privacy Act System of Records Notice (SORN) is 09-19-0001, “Records of Persons Exposed or Potentially Exposed to Toxic or Hazardous Substances.”</w:t>
      </w:r>
    </w:p>
    <w:p w14:paraId="419FB0FA" w14:textId="77777777" w:rsidR="00BC30C1" w:rsidRDefault="00BC30C1" w:rsidP="00BC30C1">
      <w:pPr>
        <w:autoSpaceDE w:val="0"/>
        <w:autoSpaceDN w:val="0"/>
        <w:adjustRightInd w:val="0"/>
        <w:spacing w:after="0" w:line="240" w:lineRule="auto"/>
        <w:rPr>
          <w:rFonts w:cs="ITCFranklinGothicStd-Book"/>
          <w:sz w:val="24"/>
          <w:szCs w:val="24"/>
        </w:rPr>
      </w:pPr>
    </w:p>
    <w:p w14:paraId="47C81D95" w14:textId="7647BFBE" w:rsidR="00BB28DA" w:rsidRDefault="00CC3DFC" w:rsidP="00BC30C1">
      <w:pPr>
        <w:autoSpaceDE w:val="0"/>
        <w:autoSpaceDN w:val="0"/>
        <w:adjustRightInd w:val="0"/>
        <w:spacing w:after="0" w:line="240" w:lineRule="auto"/>
        <w:rPr>
          <w:rFonts w:cs="ITCFranklinGothicStd-Book"/>
          <w:sz w:val="24"/>
          <w:szCs w:val="24"/>
        </w:rPr>
      </w:pPr>
      <w:r w:rsidRPr="00D20211">
        <w:rPr>
          <w:rFonts w:cs="ITCFranklinGothicStd-Book"/>
          <w:sz w:val="24"/>
          <w:szCs w:val="24"/>
        </w:rPr>
        <w:t>The following</w:t>
      </w:r>
      <w:r w:rsidR="00980EE2">
        <w:rPr>
          <w:rFonts w:cs="ITCFranklinGothicStd-Book"/>
          <w:sz w:val="24"/>
          <w:szCs w:val="24"/>
        </w:rPr>
        <w:t xml:space="preserve"> </w:t>
      </w:r>
      <w:r w:rsidR="00980EE2" w:rsidRPr="00BB28DA">
        <w:rPr>
          <w:rFonts w:cs="ITCFranklinGothicStd-Book"/>
          <w:sz w:val="24"/>
          <w:szCs w:val="24"/>
        </w:rPr>
        <w:t>info</w:t>
      </w:r>
      <w:r w:rsidR="002E5CB2">
        <w:rPr>
          <w:rFonts w:cs="ITCFranklinGothicStd-Book"/>
          <w:sz w:val="24"/>
          <w:szCs w:val="24"/>
        </w:rPr>
        <w:t>rmation in identifiable form (II</w:t>
      </w:r>
      <w:r w:rsidR="00980EE2" w:rsidRPr="00BB28DA">
        <w:rPr>
          <w:rFonts w:cs="ITCFranklinGothicStd-Book"/>
          <w:sz w:val="24"/>
          <w:szCs w:val="24"/>
        </w:rPr>
        <w:t xml:space="preserve">F) </w:t>
      </w:r>
      <w:r w:rsidR="00980EE2">
        <w:rPr>
          <w:rFonts w:cs="ITCFranklinGothicStd-Book"/>
          <w:sz w:val="24"/>
          <w:szCs w:val="24"/>
        </w:rPr>
        <w:t>c</w:t>
      </w:r>
      <w:r w:rsidRPr="00D20211">
        <w:rPr>
          <w:rFonts w:cs="ITCFranklinGothicStd-Book"/>
          <w:sz w:val="24"/>
          <w:szCs w:val="24"/>
        </w:rPr>
        <w:t>ategories apply to this information collection</w:t>
      </w:r>
      <w:r>
        <w:rPr>
          <w:rFonts w:cs="ITCFranklinGothicStd-Book"/>
          <w:sz w:val="24"/>
          <w:szCs w:val="24"/>
        </w:rPr>
        <w:t>: name, date of birth, mailing address, employment status, biological specimens</w:t>
      </w:r>
      <w:r w:rsidR="00980EE2">
        <w:rPr>
          <w:rFonts w:cs="ITCFranklinGothicStd-Book"/>
          <w:sz w:val="24"/>
          <w:szCs w:val="24"/>
        </w:rPr>
        <w:t>, and medical information and notes.</w:t>
      </w:r>
      <w:r>
        <w:rPr>
          <w:rFonts w:cs="ITCFranklinGothicStd-Book"/>
          <w:sz w:val="24"/>
          <w:szCs w:val="24"/>
        </w:rPr>
        <w:t xml:space="preserve"> </w:t>
      </w:r>
      <w:r w:rsidRPr="00D20211">
        <w:rPr>
          <w:rFonts w:cs="ITCFranklinGothicStd-Book"/>
          <w:sz w:val="24"/>
          <w:szCs w:val="24"/>
        </w:rPr>
        <w:t xml:space="preserve"> </w:t>
      </w:r>
      <w:r w:rsidR="00E65C62" w:rsidRPr="002E5CB2">
        <w:rPr>
          <w:rFonts w:cs="ITCFranklinGothicStd-Book"/>
          <w:sz w:val="24"/>
          <w:szCs w:val="24"/>
        </w:rPr>
        <w:t xml:space="preserve">The </w:t>
      </w:r>
      <w:r w:rsidR="00F13B4D">
        <w:rPr>
          <w:rFonts w:cs="ITCFranklinGothicStd-Book"/>
          <w:sz w:val="24"/>
          <w:szCs w:val="24"/>
        </w:rPr>
        <w:t>eligibility</w:t>
      </w:r>
      <w:r w:rsidR="00F13B4D" w:rsidRPr="002E5CB2">
        <w:rPr>
          <w:rFonts w:cs="ITCFranklinGothicStd-Book"/>
          <w:sz w:val="24"/>
          <w:szCs w:val="24"/>
        </w:rPr>
        <w:t xml:space="preserve"> </w:t>
      </w:r>
      <w:r w:rsidR="00F13B4D">
        <w:rPr>
          <w:rFonts w:cs="ITCFranklinGothicStd-Book"/>
          <w:sz w:val="24"/>
          <w:szCs w:val="24"/>
        </w:rPr>
        <w:t>form</w:t>
      </w:r>
      <w:r w:rsidR="00F13B4D" w:rsidRPr="002E5CB2">
        <w:rPr>
          <w:rFonts w:cs="ITCFranklinGothicStd-Book"/>
          <w:sz w:val="24"/>
          <w:szCs w:val="24"/>
        </w:rPr>
        <w:t xml:space="preserve"> </w:t>
      </w:r>
      <w:r w:rsidR="00E65C62" w:rsidRPr="002E5CB2">
        <w:rPr>
          <w:rFonts w:cs="ITCFranklinGothicStd-Book"/>
          <w:sz w:val="24"/>
          <w:szCs w:val="24"/>
        </w:rPr>
        <w:t xml:space="preserve">and </w:t>
      </w:r>
      <w:r w:rsidR="00F13B4D">
        <w:rPr>
          <w:rFonts w:cs="ITCFranklinGothicStd-Book"/>
          <w:sz w:val="24"/>
          <w:szCs w:val="24"/>
        </w:rPr>
        <w:t>enrollment surveys</w:t>
      </w:r>
      <w:r w:rsidR="00A40E9F">
        <w:rPr>
          <w:rFonts w:cs="ITCFranklinGothicStd-Book"/>
          <w:sz w:val="24"/>
          <w:szCs w:val="24"/>
        </w:rPr>
        <w:t xml:space="preserve"> (</w:t>
      </w:r>
      <w:r w:rsidR="00A40E9F" w:rsidRPr="009D0B5D">
        <w:rPr>
          <w:rFonts w:cs="ITCFranklinGothicStd-Book"/>
          <w:sz w:val="24"/>
          <w:szCs w:val="24"/>
        </w:rPr>
        <w:t xml:space="preserve">Attachment </w:t>
      </w:r>
      <w:r w:rsidR="00DA6E40">
        <w:rPr>
          <w:rFonts w:cs="ITCFranklinGothicStd-Book"/>
          <w:sz w:val="24"/>
          <w:szCs w:val="24"/>
        </w:rPr>
        <w:t>8</w:t>
      </w:r>
      <w:r w:rsidR="00F13B4D" w:rsidRPr="009D0B5D">
        <w:rPr>
          <w:rFonts w:cs="ITCFranklinGothicStd-Book"/>
          <w:sz w:val="24"/>
          <w:szCs w:val="24"/>
        </w:rPr>
        <w:t xml:space="preserve">a, </w:t>
      </w:r>
      <w:r w:rsidR="00DA6E40">
        <w:rPr>
          <w:rFonts w:cs="ITCFranklinGothicStd-Book"/>
          <w:sz w:val="24"/>
          <w:szCs w:val="24"/>
        </w:rPr>
        <w:t>8</w:t>
      </w:r>
      <w:r w:rsidR="00F13B4D" w:rsidRPr="009D0B5D">
        <w:rPr>
          <w:rFonts w:cs="ITCFranklinGothicStd-Book"/>
          <w:sz w:val="24"/>
          <w:szCs w:val="24"/>
        </w:rPr>
        <w:t xml:space="preserve">b, </w:t>
      </w:r>
      <w:r w:rsidR="00DA6E40">
        <w:rPr>
          <w:rFonts w:cs="ITCFranklinGothicStd-Book"/>
          <w:sz w:val="24"/>
          <w:szCs w:val="24"/>
        </w:rPr>
        <w:t>8</w:t>
      </w:r>
      <w:r w:rsidR="00F13B4D" w:rsidRPr="009D0B5D">
        <w:rPr>
          <w:rFonts w:cs="ITCFranklinGothicStd-Book"/>
          <w:sz w:val="24"/>
          <w:szCs w:val="24"/>
        </w:rPr>
        <w:t>i</w:t>
      </w:r>
      <w:r w:rsidR="00A40E9F" w:rsidRPr="009D0B5D">
        <w:rPr>
          <w:rFonts w:cs="ITCFranklinGothicStd-Book"/>
          <w:sz w:val="24"/>
          <w:szCs w:val="24"/>
        </w:rPr>
        <w:t>)</w:t>
      </w:r>
      <w:r w:rsidR="00E65C62" w:rsidRPr="002E5CB2">
        <w:rPr>
          <w:rFonts w:cs="ITCFranklinGothicStd-Book"/>
          <w:sz w:val="24"/>
          <w:szCs w:val="24"/>
        </w:rPr>
        <w:t xml:space="preserve"> </w:t>
      </w:r>
      <w:r w:rsidRPr="002E5CB2">
        <w:rPr>
          <w:rFonts w:cs="ITCFranklinGothicStd-Book"/>
          <w:sz w:val="24"/>
          <w:szCs w:val="24"/>
        </w:rPr>
        <w:t>have</w:t>
      </w:r>
      <w:r w:rsidR="00BB28DA" w:rsidRPr="002E5CB2">
        <w:rPr>
          <w:rFonts w:cs="ITCFranklinGothicStd-Book"/>
          <w:sz w:val="24"/>
          <w:szCs w:val="24"/>
        </w:rPr>
        <w:t xml:space="preserve"> questions that involve </w:t>
      </w:r>
      <w:r w:rsidR="002E5CB2">
        <w:rPr>
          <w:rFonts w:cs="ITCFranklinGothicStd-Book"/>
          <w:sz w:val="24"/>
          <w:szCs w:val="24"/>
        </w:rPr>
        <w:t>II</w:t>
      </w:r>
      <w:r w:rsidR="00980EE2" w:rsidRPr="002E5CB2">
        <w:rPr>
          <w:rFonts w:cs="ITCFranklinGothicStd-Book"/>
          <w:sz w:val="24"/>
          <w:szCs w:val="24"/>
        </w:rPr>
        <w:t>F</w:t>
      </w:r>
      <w:r w:rsidR="00BB28DA" w:rsidRPr="002E5CB2">
        <w:rPr>
          <w:rFonts w:cs="ITCFranklinGothicStd-Book"/>
          <w:sz w:val="24"/>
          <w:szCs w:val="24"/>
        </w:rPr>
        <w:t xml:space="preserve"> </w:t>
      </w:r>
      <w:r w:rsidRPr="002E5CB2">
        <w:rPr>
          <w:rFonts w:cs="ITCFranklinGothicStd-Book"/>
          <w:sz w:val="24"/>
          <w:szCs w:val="24"/>
        </w:rPr>
        <w:t>including</w:t>
      </w:r>
      <w:r w:rsidR="00874854" w:rsidRPr="002E5CB2">
        <w:rPr>
          <w:rFonts w:cs="ITCFranklinGothicStd-Book"/>
          <w:sz w:val="24"/>
          <w:szCs w:val="24"/>
        </w:rPr>
        <w:t xml:space="preserve"> </w:t>
      </w:r>
      <w:r w:rsidR="00BB28DA" w:rsidRPr="002E5CB2">
        <w:rPr>
          <w:rFonts w:cs="ITCFranklinGothicStd-Book"/>
          <w:sz w:val="24"/>
          <w:szCs w:val="24"/>
        </w:rPr>
        <w:t xml:space="preserve">name, mailing address, </w:t>
      </w:r>
      <w:r w:rsidR="00874854" w:rsidRPr="002E5CB2">
        <w:rPr>
          <w:rFonts w:cs="ITCFranklinGothicStd-Book"/>
          <w:sz w:val="24"/>
          <w:szCs w:val="24"/>
        </w:rPr>
        <w:t>phone number,</w:t>
      </w:r>
      <w:r w:rsidR="00980EE2" w:rsidRPr="002E5CB2">
        <w:rPr>
          <w:rFonts w:cs="ITCFranklinGothicStd-Book"/>
          <w:sz w:val="24"/>
          <w:szCs w:val="24"/>
        </w:rPr>
        <w:t xml:space="preserve"> employment status</w:t>
      </w:r>
      <w:r w:rsidR="00874854" w:rsidRPr="002E5CB2">
        <w:rPr>
          <w:rFonts w:cs="ITCFranklinGothicStd-Book"/>
          <w:sz w:val="24"/>
          <w:szCs w:val="24"/>
        </w:rPr>
        <w:t xml:space="preserve"> and date</w:t>
      </w:r>
      <w:r w:rsidR="00874854">
        <w:rPr>
          <w:rFonts w:cs="ITCFranklinGothicStd-Book"/>
          <w:sz w:val="24"/>
          <w:szCs w:val="24"/>
        </w:rPr>
        <w:t xml:space="preserve"> of birth. The medical record </w:t>
      </w:r>
      <w:r w:rsidR="00874854" w:rsidRPr="005B4FC5">
        <w:rPr>
          <w:rFonts w:cs="ITCFranklinGothicStd-Book"/>
          <w:sz w:val="24"/>
          <w:szCs w:val="24"/>
        </w:rPr>
        <w:t xml:space="preserve">abstraction form </w:t>
      </w:r>
      <w:r w:rsidR="00A40E9F" w:rsidRPr="005B4FC5">
        <w:rPr>
          <w:rFonts w:cs="ITCFranklinGothicStd-Book"/>
          <w:sz w:val="24"/>
          <w:szCs w:val="24"/>
        </w:rPr>
        <w:t>(Attachment</w:t>
      </w:r>
      <w:r w:rsidR="009D0B5D" w:rsidRPr="005B4FC5">
        <w:rPr>
          <w:rFonts w:cs="ITCFranklinGothicStd-Book"/>
          <w:sz w:val="24"/>
          <w:szCs w:val="24"/>
        </w:rPr>
        <w:t xml:space="preserve"> </w:t>
      </w:r>
      <w:r w:rsidR="00DA6E40">
        <w:rPr>
          <w:rFonts w:cs="ITCFranklinGothicStd-Book"/>
          <w:sz w:val="24"/>
          <w:szCs w:val="24"/>
        </w:rPr>
        <w:t>9</w:t>
      </w:r>
      <w:r w:rsidR="00A40E9F" w:rsidRPr="005B4FC5">
        <w:rPr>
          <w:rFonts w:cs="ITCFranklinGothicStd-Book"/>
          <w:sz w:val="24"/>
          <w:szCs w:val="24"/>
        </w:rPr>
        <w:t>)</w:t>
      </w:r>
      <w:r w:rsidR="00B312B1" w:rsidRPr="005B4FC5">
        <w:rPr>
          <w:rFonts w:cs="ITCFranklinGothicStd-Book"/>
          <w:sz w:val="24"/>
          <w:szCs w:val="24"/>
        </w:rPr>
        <w:t xml:space="preserve"> </w:t>
      </w:r>
      <w:r w:rsidR="00874854" w:rsidRPr="005B4FC5">
        <w:rPr>
          <w:rFonts w:cs="ITCFranklinGothicStd-Book"/>
          <w:sz w:val="24"/>
          <w:szCs w:val="24"/>
        </w:rPr>
        <w:t>includes</w:t>
      </w:r>
      <w:r w:rsidR="00980EE2" w:rsidRPr="005B4FC5">
        <w:rPr>
          <w:rFonts w:cs="ITCFranklinGothicStd-Book"/>
          <w:sz w:val="24"/>
          <w:szCs w:val="24"/>
        </w:rPr>
        <w:t xml:space="preserve"> questions about</w:t>
      </w:r>
      <w:r w:rsidRPr="005B4FC5">
        <w:rPr>
          <w:rFonts w:cs="ITCFranklinGothicStd-Book"/>
          <w:sz w:val="24"/>
          <w:szCs w:val="24"/>
        </w:rPr>
        <w:t xml:space="preserve"> participants’</w:t>
      </w:r>
      <w:r w:rsidR="00874854" w:rsidRPr="005B4FC5">
        <w:rPr>
          <w:rFonts w:cs="ITCFranklinGothicStd-Book"/>
          <w:sz w:val="24"/>
          <w:szCs w:val="24"/>
        </w:rPr>
        <w:t xml:space="preserve"> </w:t>
      </w:r>
      <w:r w:rsidRPr="005B4FC5">
        <w:rPr>
          <w:rFonts w:cs="ITCFranklinGothicStd-Book"/>
          <w:sz w:val="24"/>
          <w:szCs w:val="24"/>
        </w:rPr>
        <w:t xml:space="preserve">medical </w:t>
      </w:r>
      <w:r w:rsidR="002E5CB2" w:rsidRPr="005B4FC5">
        <w:rPr>
          <w:rFonts w:cs="ITCFranklinGothicStd-Book"/>
          <w:sz w:val="24"/>
          <w:szCs w:val="24"/>
        </w:rPr>
        <w:t xml:space="preserve">information and </w:t>
      </w:r>
      <w:r w:rsidR="002E5CB2" w:rsidRPr="00CC3F05">
        <w:rPr>
          <w:rFonts w:cs="ITCFranklinGothicStd-Book"/>
          <w:sz w:val="24"/>
          <w:szCs w:val="24"/>
        </w:rPr>
        <w:t>notes</w:t>
      </w:r>
      <w:r w:rsidR="00980EE2" w:rsidRPr="00CC3F05">
        <w:rPr>
          <w:rFonts w:cs="ITCFranklinGothicStd-Book"/>
          <w:sz w:val="24"/>
          <w:szCs w:val="24"/>
        </w:rPr>
        <w:t xml:space="preserve">. </w:t>
      </w:r>
      <w:r w:rsidR="005B4FC5" w:rsidRPr="005301C8">
        <w:rPr>
          <w:rFonts w:ascii="Calibri" w:hAnsi="Calibri"/>
          <w:sz w:val="24"/>
          <w:szCs w:val="24"/>
        </w:rPr>
        <w:t xml:space="preserve">There are six </w:t>
      </w:r>
      <w:r w:rsidR="003F0674">
        <w:rPr>
          <w:rFonts w:ascii="Calibri" w:hAnsi="Calibri"/>
          <w:sz w:val="24"/>
          <w:szCs w:val="24"/>
        </w:rPr>
        <w:t xml:space="preserve">participating </w:t>
      </w:r>
      <w:r w:rsidR="003F0674" w:rsidRPr="003F0674">
        <w:rPr>
          <w:rFonts w:ascii="Calibri" w:hAnsi="Calibri"/>
          <w:sz w:val="24"/>
          <w:szCs w:val="24"/>
        </w:rPr>
        <w:t>clinics. W</w:t>
      </w:r>
      <w:r w:rsidR="00DA6E40">
        <w:rPr>
          <w:rFonts w:ascii="Calibri" w:hAnsi="Calibri"/>
          <w:sz w:val="24"/>
          <w:szCs w:val="24"/>
        </w:rPr>
        <w:t xml:space="preserve">e assume </w:t>
      </w:r>
      <w:r w:rsidR="005B4FC5" w:rsidRPr="005301C8">
        <w:rPr>
          <w:rFonts w:ascii="Calibri" w:hAnsi="Calibri"/>
          <w:sz w:val="24"/>
          <w:szCs w:val="24"/>
        </w:rPr>
        <w:t xml:space="preserve">one </w:t>
      </w:r>
      <w:r w:rsidR="005B4FC5" w:rsidRPr="00CC3F05">
        <w:rPr>
          <w:rFonts w:ascii="Calibri" w:hAnsi="Calibri"/>
          <w:sz w:val="24"/>
          <w:szCs w:val="24"/>
        </w:rPr>
        <w:t>Cohort Clinical Liaison</w:t>
      </w:r>
      <w:r w:rsidR="005B4FC5" w:rsidRPr="005301C8">
        <w:rPr>
          <w:rFonts w:ascii="Calibri" w:hAnsi="Calibri"/>
          <w:sz w:val="24"/>
          <w:szCs w:val="24"/>
        </w:rPr>
        <w:t xml:space="preserve"> </w:t>
      </w:r>
      <w:r w:rsidR="003F0674">
        <w:rPr>
          <w:rFonts w:ascii="Calibri" w:hAnsi="Calibri"/>
          <w:sz w:val="24"/>
          <w:szCs w:val="24"/>
        </w:rPr>
        <w:t xml:space="preserve">(CCL) </w:t>
      </w:r>
      <w:r w:rsidR="005B4FC5" w:rsidRPr="005301C8">
        <w:rPr>
          <w:rFonts w:ascii="Calibri" w:hAnsi="Calibri"/>
          <w:sz w:val="24"/>
          <w:szCs w:val="24"/>
        </w:rPr>
        <w:t xml:space="preserve">per clinic </w:t>
      </w:r>
      <w:r w:rsidR="003F0674">
        <w:rPr>
          <w:rFonts w:ascii="Calibri" w:hAnsi="Calibri"/>
          <w:sz w:val="24"/>
          <w:szCs w:val="24"/>
        </w:rPr>
        <w:t xml:space="preserve">is </w:t>
      </w:r>
      <w:r w:rsidR="005B4FC5" w:rsidRPr="005301C8">
        <w:rPr>
          <w:rFonts w:ascii="Calibri" w:hAnsi="Calibri"/>
          <w:sz w:val="24"/>
          <w:szCs w:val="24"/>
        </w:rPr>
        <w:t>assigned to do the record abstractions; theref</w:t>
      </w:r>
      <w:r w:rsidR="007C211A" w:rsidRPr="005301C8">
        <w:rPr>
          <w:rFonts w:ascii="Calibri" w:hAnsi="Calibri"/>
          <w:sz w:val="24"/>
          <w:szCs w:val="24"/>
        </w:rPr>
        <w:t>ore, medical record abstractions do not incur burden and do</w:t>
      </w:r>
      <w:r w:rsidR="005B4FC5" w:rsidRPr="005301C8">
        <w:rPr>
          <w:rFonts w:ascii="Calibri" w:hAnsi="Calibri"/>
          <w:sz w:val="24"/>
          <w:szCs w:val="24"/>
        </w:rPr>
        <w:t xml:space="preserve"> not appear in the burden table estimates. </w:t>
      </w:r>
      <w:r w:rsidR="002E5CB2" w:rsidRPr="00CC3F05">
        <w:rPr>
          <w:rFonts w:cs="ITCFranklinGothicStd-Book"/>
          <w:sz w:val="24"/>
          <w:szCs w:val="24"/>
        </w:rPr>
        <w:t>All II</w:t>
      </w:r>
      <w:r w:rsidR="00874854" w:rsidRPr="00CC3F05">
        <w:rPr>
          <w:rFonts w:cs="ITCFranklinGothicStd-Book"/>
          <w:sz w:val="24"/>
          <w:szCs w:val="24"/>
        </w:rPr>
        <w:t>F</w:t>
      </w:r>
      <w:r w:rsidR="00BB28DA" w:rsidRPr="00CC3F05">
        <w:rPr>
          <w:rFonts w:cs="ITCFranklinGothicStd-Book"/>
          <w:sz w:val="24"/>
          <w:szCs w:val="24"/>
        </w:rPr>
        <w:t xml:space="preserve"> information is stored using the CDC-approved Redcap™ Virtual Private Network (VPN). </w:t>
      </w:r>
      <w:r w:rsidR="00BB28DA" w:rsidRPr="005B4FC5">
        <w:rPr>
          <w:rFonts w:cs="ITCFranklinGothicStd-Book"/>
          <w:sz w:val="24"/>
          <w:szCs w:val="24"/>
        </w:rPr>
        <w:t>Biological specimens are critical for evaluating uranium and other contaminant levels. Information and</w:t>
      </w:r>
      <w:r w:rsidR="00BB28DA" w:rsidRPr="00BB28DA">
        <w:rPr>
          <w:rFonts w:cs="ITCFranklinGothicStd-Book"/>
          <w:sz w:val="24"/>
          <w:szCs w:val="24"/>
        </w:rPr>
        <w:t xml:space="preserve"> /or specimens collected as part of the study </w:t>
      </w:r>
      <w:r w:rsidR="002E5CB2">
        <w:rPr>
          <w:rFonts w:cs="ITCFranklinGothicStd-Book"/>
          <w:sz w:val="24"/>
          <w:szCs w:val="24"/>
        </w:rPr>
        <w:t>are</w:t>
      </w:r>
      <w:r w:rsidR="00BB28DA" w:rsidRPr="00BB28DA">
        <w:rPr>
          <w:rFonts w:cs="ITCFranklinGothicStd-Book"/>
          <w:sz w:val="24"/>
          <w:szCs w:val="24"/>
        </w:rPr>
        <w:t xml:space="preserve"> labeled with an assigned study ID number. </w:t>
      </w:r>
    </w:p>
    <w:p w14:paraId="106E9B47" w14:textId="77777777" w:rsidR="00BC30C1" w:rsidRPr="00BB28DA" w:rsidRDefault="00BC30C1" w:rsidP="00BC30C1">
      <w:pPr>
        <w:autoSpaceDE w:val="0"/>
        <w:autoSpaceDN w:val="0"/>
        <w:adjustRightInd w:val="0"/>
        <w:spacing w:after="0" w:line="240" w:lineRule="auto"/>
        <w:rPr>
          <w:rFonts w:cs="ITCFranklinGothicStd-Book"/>
          <w:sz w:val="24"/>
          <w:szCs w:val="24"/>
        </w:rPr>
      </w:pPr>
    </w:p>
    <w:p w14:paraId="53E756E5" w14:textId="77777777" w:rsidR="008B36FD" w:rsidRDefault="008B36FD" w:rsidP="008B36FD">
      <w:pPr>
        <w:autoSpaceDE w:val="0"/>
        <w:autoSpaceDN w:val="0"/>
        <w:adjustRightInd w:val="0"/>
        <w:spacing w:after="0" w:line="240" w:lineRule="auto"/>
        <w:rPr>
          <w:rFonts w:cs="ITCFranklinGothicStd-Book"/>
          <w:sz w:val="24"/>
          <w:szCs w:val="24"/>
        </w:rPr>
      </w:pPr>
      <w:r w:rsidRPr="008B36FD">
        <w:rPr>
          <w:rFonts w:cs="ITCFranklinGothicStd-Book"/>
          <w:sz w:val="24"/>
          <w:szCs w:val="24"/>
        </w:rPr>
        <w:t>Access to information will be tiered to the roles and responsibilities of members of the research staff. Data will be collected using Research Electronic Data Capture (</w:t>
      </w:r>
      <w:proofErr w:type="spellStart"/>
      <w:r w:rsidRPr="008B36FD">
        <w:rPr>
          <w:rFonts w:cs="ITCFranklinGothicStd-Book"/>
          <w:sz w:val="24"/>
          <w:szCs w:val="24"/>
        </w:rPr>
        <w:t>RedCap</w:t>
      </w:r>
      <w:proofErr w:type="spellEnd"/>
      <w:r w:rsidRPr="008B36FD">
        <w:rPr>
          <w:rFonts w:cs="ITCFranklinGothicStd-Book"/>
          <w:sz w:val="24"/>
          <w:szCs w:val="24"/>
        </w:rPr>
        <w:t xml:space="preserve">™). The NCEH/ATSDR Information Systems Security Officer (ISSO) has approved a Data Privacy &amp; Security Plan to ensure measures are in place to protect participant data while using </w:t>
      </w:r>
      <w:proofErr w:type="spellStart"/>
      <w:r w:rsidRPr="008B36FD">
        <w:rPr>
          <w:rFonts w:cs="ITCFranklinGothicStd-Book"/>
          <w:sz w:val="24"/>
          <w:szCs w:val="24"/>
        </w:rPr>
        <w:t>RedCap</w:t>
      </w:r>
      <w:proofErr w:type="spellEnd"/>
      <w:r w:rsidRPr="008B36FD">
        <w:rPr>
          <w:rFonts w:cs="ITCFranklinGothicStd-Book"/>
          <w:sz w:val="24"/>
          <w:szCs w:val="24"/>
        </w:rPr>
        <w:t>™ software. 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ISSO, CDC helpdesk, or to the CDC Incident Response team. The CDC OCISO reports to the HHS Secure One Communications Center, which reports incidents to US-CERT as appropriate.</w:t>
      </w:r>
    </w:p>
    <w:p w14:paraId="3CA980EB" w14:textId="77777777" w:rsidR="00AC0DB6" w:rsidRPr="00BB28DA" w:rsidRDefault="00AC0DB6" w:rsidP="00BC30C1">
      <w:pPr>
        <w:autoSpaceDE w:val="0"/>
        <w:autoSpaceDN w:val="0"/>
        <w:adjustRightInd w:val="0"/>
        <w:spacing w:after="0" w:line="240" w:lineRule="auto"/>
        <w:rPr>
          <w:rFonts w:cs="ITCFranklinGothicStd-Book"/>
          <w:sz w:val="24"/>
          <w:szCs w:val="24"/>
        </w:rPr>
      </w:pPr>
    </w:p>
    <w:p w14:paraId="4A8208F3" w14:textId="5BBD5F56" w:rsidR="00BB28DA" w:rsidRDefault="00BB28DA" w:rsidP="00BC30C1">
      <w:pPr>
        <w:autoSpaceDE w:val="0"/>
        <w:autoSpaceDN w:val="0"/>
        <w:adjustRightInd w:val="0"/>
        <w:spacing w:after="0" w:line="240" w:lineRule="auto"/>
        <w:rPr>
          <w:rFonts w:cs="ITCFranklinGothicStd-Book"/>
          <w:sz w:val="24"/>
          <w:szCs w:val="24"/>
        </w:rPr>
      </w:pPr>
      <w:r w:rsidRPr="00BB28DA">
        <w:rPr>
          <w:rFonts w:cs="ITCFranklinGothicStd-Book"/>
          <w:sz w:val="24"/>
          <w:szCs w:val="24"/>
        </w:rPr>
        <w:t>Data will be stored for 3 years following conclusion of the study, and then de-identified data will be turned over to the Navajo Nation per the Navajo Nation Human Research Code (1996).</w:t>
      </w:r>
      <w:r w:rsidR="008B36FD">
        <w:rPr>
          <w:rFonts w:cs="ITCFranklinGothicStd-Book"/>
          <w:sz w:val="24"/>
          <w:szCs w:val="24"/>
        </w:rPr>
        <w:t xml:space="preserve"> </w:t>
      </w:r>
      <w:r w:rsidR="008B36FD" w:rsidRPr="008B36FD">
        <w:rPr>
          <w:rFonts w:cs="ITCFranklinGothicStd-Book"/>
          <w:sz w:val="24"/>
          <w:szCs w:val="24"/>
        </w:rPr>
        <w:t>The final de-identified dataset with data collected on all participants will be delivered to CDC/ATSDR, UNM, and NNDOH using excel files with encrypted, password coded spreadsheets through a password protected data sharing facility.</w:t>
      </w:r>
    </w:p>
    <w:p w14:paraId="7E47B912" w14:textId="77777777" w:rsidR="00BC30C1" w:rsidRPr="00BB28DA" w:rsidRDefault="00BC30C1" w:rsidP="00BC30C1">
      <w:pPr>
        <w:autoSpaceDE w:val="0"/>
        <w:autoSpaceDN w:val="0"/>
        <w:adjustRightInd w:val="0"/>
        <w:spacing w:after="0" w:line="240" w:lineRule="auto"/>
        <w:rPr>
          <w:rFonts w:cs="ITCFranklinGothicStd-Book"/>
          <w:sz w:val="24"/>
          <w:szCs w:val="24"/>
        </w:rPr>
      </w:pPr>
    </w:p>
    <w:p w14:paraId="4E6D3032" w14:textId="19754A70" w:rsidR="00BD0ED3" w:rsidRDefault="00BB28DA" w:rsidP="00BD0ED3">
      <w:pPr>
        <w:spacing w:after="0" w:line="240" w:lineRule="auto"/>
        <w:rPr>
          <w:rFonts w:cs="ITCFranklinGothicStd-Book"/>
          <w:sz w:val="24"/>
          <w:szCs w:val="24"/>
        </w:rPr>
      </w:pPr>
      <w:r w:rsidRPr="00BB28DA">
        <w:rPr>
          <w:rFonts w:cs="ITCFranklinGothicStd-Book"/>
          <w:sz w:val="24"/>
          <w:szCs w:val="24"/>
        </w:rPr>
        <w:lastRenderedPageBreak/>
        <w:t xml:space="preserve">All study partners will adhere to all federal, HHS, and/or CDC IT security policies. Systems development work shall comply with the HHS Enterprise Performance Life Cycle (EPLC) Framework as an IT Project Management requirement and shall perform Enterprise Performance Life Cycle (EPLC) requirements, objectives, responsibilities, and standards for managing information technology (IT) projects in conjunction with the government or on the behalf of the government.  More details about the EPLC are available at: </w:t>
      </w:r>
      <w:hyperlink r:id="rId17" w:history="1">
        <w:r w:rsidRPr="00BB28DA">
          <w:rPr>
            <w:rStyle w:val="Hyperlink"/>
            <w:rFonts w:cs="ITCFranklinGothicStd-Book"/>
            <w:sz w:val="24"/>
            <w:szCs w:val="24"/>
            <w:u w:val="none"/>
          </w:rPr>
          <w:t>http://www.hhs.gov/ocio/eplc/</w:t>
        </w:r>
      </w:hyperlink>
      <w:r w:rsidRPr="00BB28DA">
        <w:rPr>
          <w:rFonts w:cs="ITCFranklinGothicStd-Book"/>
          <w:sz w:val="24"/>
          <w:szCs w:val="24"/>
        </w:rPr>
        <w:t>.</w:t>
      </w:r>
      <w:r w:rsidRPr="00BB28DA">
        <w:rPr>
          <w:rFonts w:cs="ITCFranklinGothicStd-Book"/>
          <w:bCs/>
          <w:sz w:val="24"/>
          <w:szCs w:val="24"/>
        </w:rPr>
        <w:t> </w:t>
      </w:r>
      <w:r w:rsidR="00AB1282">
        <w:rPr>
          <w:rFonts w:cs="ITCFranklinGothicStd-Book"/>
          <w:sz w:val="24"/>
          <w:szCs w:val="24"/>
        </w:rPr>
        <w:t xml:space="preserve">See </w:t>
      </w:r>
      <w:r w:rsidR="00BD0ED3">
        <w:rPr>
          <w:rFonts w:cs="ITCFranklinGothicStd-Book"/>
          <w:sz w:val="24"/>
          <w:szCs w:val="24"/>
        </w:rPr>
        <w:t xml:space="preserve">Attachment </w:t>
      </w:r>
      <w:r w:rsidR="00DA6E40">
        <w:rPr>
          <w:rFonts w:cs="ITCFranklinGothicStd-Book"/>
          <w:sz w:val="24"/>
          <w:szCs w:val="24"/>
        </w:rPr>
        <w:t>10</w:t>
      </w:r>
      <w:r w:rsidR="00BD0ED3">
        <w:rPr>
          <w:rFonts w:cs="ITCFranklinGothicStd-Book"/>
          <w:sz w:val="24"/>
          <w:szCs w:val="24"/>
        </w:rPr>
        <w:t xml:space="preserve"> for further discussion of data privacy and security measures.</w:t>
      </w:r>
    </w:p>
    <w:p w14:paraId="70B45DCE" w14:textId="2A5C3FCC" w:rsidR="00B45002" w:rsidRPr="00D20211" w:rsidRDefault="008B36FD" w:rsidP="00601F1A">
      <w:pPr>
        <w:pStyle w:val="Heading1"/>
        <w:pBdr>
          <w:bottom w:val="none" w:sz="0" w:space="0" w:color="auto"/>
        </w:pBdr>
        <w:rPr>
          <w:color w:val="auto"/>
        </w:rPr>
      </w:pPr>
      <w:bookmarkStart w:id="13" w:name="_Toc435518571"/>
      <w:r>
        <w:rPr>
          <w:color w:val="auto"/>
        </w:rPr>
        <w:t>A</w:t>
      </w:r>
      <w:r w:rsidR="00601F1A" w:rsidRPr="00D20211">
        <w:rPr>
          <w:color w:val="auto"/>
        </w:rPr>
        <w:t>.</w:t>
      </w:r>
      <w:r w:rsidR="004D21C9" w:rsidRPr="00D20211">
        <w:rPr>
          <w:color w:val="auto"/>
        </w:rPr>
        <w:t>11</w:t>
      </w:r>
      <w:r w:rsidR="00B46BD6" w:rsidRPr="00D20211">
        <w:rPr>
          <w:color w:val="auto"/>
        </w:rPr>
        <w:t>. Institutional</w:t>
      </w:r>
      <w:r w:rsidR="00B45002" w:rsidRPr="00D20211">
        <w:rPr>
          <w:color w:val="auto"/>
        </w:rPr>
        <w:t xml:space="preserve"> Review Board (IRB) and Justification for Sensitive Questions</w:t>
      </w:r>
      <w:bookmarkEnd w:id="13"/>
    </w:p>
    <w:p w14:paraId="0074E3B2" w14:textId="77777777" w:rsidR="00B53975" w:rsidRPr="00D20211" w:rsidRDefault="00B53975" w:rsidP="00B855BC">
      <w:pPr>
        <w:spacing w:line="240" w:lineRule="auto"/>
      </w:pPr>
    </w:p>
    <w:p w14:paraId="16046708" w14:textId="46FC0159" w:rsidR="00BC30C1" w:rsidRDefault="00BC30C1" w:rsidP="00BE2052">
      <w:pPr>
        <w:autoSpaceDE w:val="0"/>
        <w:autoSpaceDN w:val="0"/>
        <w:adjustRightInd w:val="0"/>
        <w:spacing w:after="0" w:line="240" w:lineRule="auto"/>
        <w:rPr>
          <w:rFonts w:cs="ITCFranklinGothicStd-Book"/>
          <w:sz w:val="24"/>
          <w:szCs w:val="24"/>
        </w:rPr>
      </w:pPr>
      <w:r w:rsidRPr="00BC30C1">
        <w:rPr>
          <w:rFonts w:cs="ITCFranklinGothicStd-Book"/>
          <w:sz w:val="24"/>
          <w:szCs w:val="24"/>
        </w:rPr>
        <w:t>The study protocol and data collection instruments have been reviewed and approved annually by Navajo Nation Human Research Review Board (NNR #</w:t>
      </w:r>
      <w:r w:rsidR="00B46BD6" w:rsidRPr="00BC30C1">
        <w:rPr>
          <w:rFonts w:cs="ITCFranklinGothicStd-Book"/>
          <w:sz w:val="24"/>
          <w:szCs w:val="24"/>
        </w:rPr>
        <w:t>11.332</w:t>
      </w:r>
      <w:r w:rsidR="00B0005D" w:rsidRPr="00BC30C1">
        <w:rPr>
          <w:rFonts w:cs="ITCFranklinGothicStd-Book"/>
          <w:sz w:val="24"/>
          <w:szCs w:val="24"/>
        </w:rPr>
        <w:t>)</w:t>
      </w:r>
      <w:r w:rsidR="00B0005D">
        <w:rPr>
          <w:rFonts w:cs="ITCFranklinGothicStd-Book"/>
          <w:sz w:val="24"/>
          <w:szCs w:val="24"/>
        </w:rPr>
        <w:t xml:space="preserve"> and</w:t>
      </w:r>
      <w:r w:rsidR="00B0005D" w:rsidRPr="00BC30C1">
        <w:rPr>
          <w:rFonts w:cs="ITCFranklinGothicStd-Book"/>
          <w:sz w:val="24"/>
          <w:szCs w:val="24"/>
        </w:rPr>
        <w:t xml:space="preserve"> </w:t>
      </w:r>
      <w:r w:rsidRPr="00BC30C1">
        <w:rPr>
          <w:rFonts w:cs="ITCFranklinGothicStd-Book"/>
          <w:sz w:val="24"/>
          <w:szCs w:val="24"/>
        </w:rPr>
        <w:t>UNM Health Sciences Center Human R</w:t>
      </w:r>
      <w:r w:rsidR="000B2DBF">
        <w:rPr>
          <w:rFonts w:cs="ITCFranklinGothicStd-Book"/>
          <w:sz w:val="24"/>
          <w:szCs w:val="24"/>
        </w:rPr>
        <w:t>esearch Review Committee (</w:t>
      </w:r>
      <w:r w:rsidRPr="00BC30C1">
        <w:rPr>
          <w:rFonts w:cs="ITCFranklinGothicStd-Book"/>
          <w:sz w:val="24"/>
          <w:szCs w:val="24"/>
        </w:rPr>
        <w:t xml:space="preserve">Study ID #11-330). NBCS research team also presents to Navajo Nation Human Research Review Board quarterly and during the annual Navajo Nation Human Research Review Board Review Conference. CDC's Human Research Protection Office reviewed and approved the request to continue reliance on a non-CDC IRB (protocol #6149) in accordance </w:t>
      </w:r>
      <w:r w:rsidR="000B2DBF">
        <w:rPr>
          <w:rFonts w:cs="ITCFranklinGothicStd-Book"/>
          <w:sz w:val="24"/>
          <w:szCs w:val="24"/>
        </w:rPr>
        <w:t>with 45 CFR 46.114.</w:t>
      </w:r>
      <w:r w:rsidR="00890527" w:rsidRPr="00890527">
        <w:t xml:space="preserve"> </w:t>
      </w:r>
      <w:r w:rsidR="00890527" w:rsidRPr="00890527">
        <w:rPr>
          <w:rFonts w:cs="ITCFranklinGothicStd-Book"/>
          <w:sz w:val="24"/>
          <w:szCs w:val="24"/>
        </w:rPr>
        <w:t>The consent and assent forms indicate that participation is completely voluntary and there is no untoward effect on the respondent if they decide not to respond to the data collection request.  There are no plans to share identifiable data.</w:t>
      </w:r>
      <w:r w:rsidR="000B2DBF">
        <w:rPr>
          <w:rFonts w:cs="ITCFranklinGothicStd-Book"/>
          <w:sz w:val="24"/>
          <w:szCs w:val="24"/>
        </w:rPr>
        <w:t xml:space="preserve"> Please see A</w:t>
      </w:r>
      <w:r w:rsidRPr="00BC30C1">
        <w:rPr>
          <w:rFonts w:cs="ITCFranklinGothicStd-Book"/>
          <w:sz w:val="24"/>
          <w:szCs w:val="24"/>
        </w:rPr>
        <w:t xml:space="preserve">ttachment </w:t>
      </w:r>
      <w:r w:rsidR="00DA6E40">
        <w:rPr>
          <w:rFonts w:cs="ITCFranklinGothicStd-Book"/>
          <w:sz w:val="24"/>
          <w:szCs w:val="24"/>
        </w:rPr>
        <w:t>11</w:t>
      </w:r>
      <w:r w:rsidR="00684A2A">
        <w:rPr>
          <w:rFonts w:cs="ITCFranklinGothicStd-Book"/>
          <w:sz w:val="24"/>
          <w:szCs w:val="24"/>
        </w:rPr>
        <w:t xml:space="preserve"> </w:t>
      </w:r>
      <w:r w:rsidRPr="00BC30C1">
        <w:rPr>
          <w:rFonts w:cs="ITCFranklinGothicStd-Book"/>
          <w:sz w:val="24"/>
          <w:szCs w:val="24"/>
        </w:rPr>
        <w:t xml:space="preserve">for all IRB </w:t>
      </w:r>
      <w:r w:rsidR="00112DAB">
        <w:rPr>
          <w:rFonts w:cs="ITCFranklinGothicStd-Book"/>
          <w:sz w:val="24"/>
          <w:szCs w:val="24"/>
        </w:rPr>
        <w:t>a</w:t>
      </w:r>
      <w:r w:rsidRPr="00BC30C1">
        <w:rPr>
          <w:rFonts w:cs="ITCFranklinGothicStd-Book"/>
          <w:sz w:val="24"/>
          <w:szCs w:val="24"/>
        </w:rPr>
        <w:t>pproval forms</w:t>
      </w:r>
      <w:r w:rsidR="00F13B4D">
        <w:rPr>
          <w:rFonts w:cs="ITCFranklinGothicStd-Book"/>
          <w:sz w:val="24"/>
          <w:szCs w:val="24"/>
        </w:rPr>
        <w:t xml:space="preserve"> and Attachment 1</w:t>
      </w:r>
      <w:r w:rsidR="00DA6E40">
        <w:rPr>
          <w:rFonts w:cs="ITCFranklinGothicStd-Book"/>
          <w:sz w:val="24"/>
          <w:szCs w:val="24"/>
        </w:rPr>
        <w:t>2</w:t>
      </w:r>
      <w:r w:rsidR="00F13B4D">
        <w:rPr>
          <w:rFonts w:cs="ITCFranklinGothicStd-Book"/>
          <w:sz w:val="24"/>
          <w:szCs w:val="24"/>
        </w:rPr>
        <w:t xml:space="preserve"> for </w:t>
      </w:r>
      <w:r w:rsidR="00112DAB">
        <w:rPr>
          <w:rFonts w:cs="ITCFranklinGothicStd-Book"/>
          <w:sz w:val="24"/>
          <w:szCs w:val="24"/>
        </w:rPr>
        <w:t>c</w:t>
      </w:r>
      <w:r w:rsidR="00F13B4D">
        <w:rPr>
          <w:rFonts w:cs="ITCFranklinGothicStd-Book"/>
          <w:sz w:val="24"/>
          <w:szCs w:val="24"/>
        </w:rPr>
        <w:t xml:space="preserve">onsent and HIPAA forms. </w:t>
      </w:r>
    </w:p>
    <w:p w14:paraId="6AEE80C3" w14:textId="77777777" w:rsidR="000B2DBF" w:rsidRDefault="000B2DBF" w:rsidP="00BE2052">
      <w:pPr>
        <w:autoSpaceDE w:val="0"/>
        <w:autoSpaceDN w:val="0"/>
        <w:adjustRightInd w:val="0"/>
        <w:spacing w:after="0" w:line="240" w:lineRule="auto"/>
        <w:rPr>
          <w:rFonts w:cs="ITCFranklinGothicStd-Book"/>
          <w:sz w:val="24"/>
          <w:szCs w:val="24"/>
        </w:rPr>
      </w:pPr>
    </w:p>
    <w:p w14:paraId="322A4E9B" w14:textId="4CCC8587" w:rsidR="00BC30C1" w:rsidRDefault="00BC30C1" w:rsidP="00BE2052">
      <w:pPr>
        <w:autoSpaceDE w:val="0"/>
        <w:autoSpaceDN w:val="0"/>
        <w:adjustRightInd w:val="0"/>
        <w:spacing w:after="0" w:line="240" w:lineRule="auto"/>
        <w:rPr>
          <w:rFonts w:cs="ITCFranklinGothicStd-Book"/>
          <w:sz w:val="24"/>
          <w:szCs w:val="24"/>
        </w:rPr>
      </w:pPr>
      <w:r w:rsidRPr="00BC30C1">
        <w:rPr>
          <w:rFonts w:cs="ITCFranklinGothicStd-Book"/>
          <w:sz w:val="24"/>
          <w:szCs w:val="24"/>
        </w:rPr>
        <w:t xml:space="preserve">Sensitive survey questions involve current medication and substance abuse, alcohol use, tobacco use, and stress. These questions provide information about critical confounders to identify any activities that would also result in adverse birth and reproductive health outcomes. </w:t>
      </w:r>
      <w:r w:rsidR="00890527" w:rsidRPr="00BC30C1">
        <w:rPr>
          <w:rFonts w:cs="ITCFranklinGothicStd-Book"/>
          <w:sz w:val="24"/>
          <w:szCs w:val="24"/>
        </w:rPr>
        <w:t>It is essential to simultaneously account for chemical environmental exposures as well as social conditions of the family which occur during critical windows of fetal and infant development.  Such information includes, but is not limited to: parental education, family environment, psychosocial stress (parenting stress, depression, exposure to violence, chemical use and/or dependency), as well as educational and socio-economic information.</w:t>
      </w:r>
      <w:r w:rsidR="00890527">
        <w:rPr>
          <w:rFonts w:cs="ITCFranklinGothicStd-Book"/>
          <w:sz w:val="24"/>
          <w:szCs w:val="24"/>
        </w:rPr>
        <w:t xml:space="preserve"> </w:t>
      </w:r>
      <w:r w:rsidR="000B2DBF">
        <w:rPr>
          <w:rFonts w:cs="ITCFranklinGothicStd-Book"/>
          <w:sz w:val="24"/>
          <w:szCs w:val="24"/>
        </w:rPr>
        <w:t xml:space="preserve">Please see </w:t>
      </w:r>
      <w:r w:rsidRPr="00BC30C1">
        <w:rPr>
          <w:rFonts w:cs="ITCFranklinGothicStd-Book"/>
          <w:sz w:val="24"/>
          <w:szCs w:val="24"/>
        </w:rPr>
        <w:t>Attachment 1</w:t>
      </w:r>
      <w:r w:rsidR="002E564A">
        <w:rPr>
          <w:rFonts w:cs="ITCFranklinGothicStd-Book"/>
          <w:sz w:val="24"/>
          <w:szCs w:val="24"/>
        </w:rPr>
        <w:t>3</w:t>
      </w:r>
      <w:r w:rsidR="000B2DBF">
        <w:rPr>
          <w:rFonts w:cs="ITCFranklinGothicStd-Book"/>
          <w:sz w:val="24"/>
          <w:szCs w:val="24"/>
        </w:rPr>
        <w:t xml:space="preserve"> for </w:t>
      </w:r>
      <w:r w:rsidR="009D0B5D">
        <w:rPr>
          <w:rFonts w:cs="ITCFranklinGothicStd-Book"/>
          <w:sz w:val="24"/>
          <w:szCs w:val="24"/>
        </w:rPr>
        <w:t xml:space="preserve">survey question sources and </w:t>
      </w:r>
      <w:r w:rsidR="000B2DBF">
        <w:rPr>
          <w:rFonts w:cs="ITCFranklinGothicStd-Book"/>
          <w:sz w:val="24"/>
          <w:szCs w:val="24"/>
        </w:rPr>
        <w:t>additional exposure assessment information</w:t>
      </w:r>
      <w:r w:rsidRPr="00BC30C1">
        <w:rPr>
          <w:rFonts w:cs="ITCFranklinGothicStd-Book"/>
          <w:sz w:val="24"/>
          <w:szCs w:val="24"/>
        </w:rPr>
        <w:t xml:space="preserve">. </w:t>
      </w:r>
    </w:p>
    <w:p w14:paraId="178FAADF" w14:textId="77777777" w:rsidR="00BE2052" w:rsidRPr="00BC30C1" w:rsidRDefault="00BE2052" w:rsidP="00BE2052">
      <w:pPr>
        <w:autoSpaceDE w:val="0"/>
        <w:autoSpaceDN w:val="0"/>
        <w:adjustRightInd w:val="0"/>
        <w:spacing w:after="0" w:line="240" w:lineRule="auto"/>
        <w:rPr>
          <w:rFonts w:cs="ITCFranklinGothicStd-Book"/>
          <w:sz w:val="24"/>
          <w:szCs w:val="24"/>
        </w:rPr>
      </w:pPr>
    </w:p>
    <w:p w14:paraId="1C166761" w14:textId="7026059C" w:rsidR="00BC30C1" w:rsidRDefault="00BC30C1" w:rsidP="00BE2052">
      <w:pPr>
        <w:autoSpaceDE w:val="0"/>
        <w:autoSpaceDN w:val="0"/>
        <w:adjustRightInd w:val="0"/>
        <w:spacing w:after="0" w:line="240" w:lineRule="auto"/>
        <w:rPr>
          <w:rFonts w:cs="ITCFranklinGothicStd-Book"/>
          <w:sz w:val="24"/>
          <w:szCs w:val="24"/>
        </w:rPr>
      </w:pPr>
      <w:r w:rsidRPr="00BC30C1">
        <w:rPr>
          <w:rFonts w:cs="ITCFranklinGothicStd-Book"/>
          <w:sz w:val="24"/>
          <w:szCs w:val="24"/>
        </w:rPr>
        <w:t xml:space="preserve">The survey response data collected under this research study protocol that are generally considered sensitive by a majority of the population are central to evaluating the research questions and study hypotheses. Exposure to toxic chemicals, such as uranium, and other stressors commonly co-occur in disadvantaged populations.  It is now recognized that contextual social factors may not only confound the relationship between environmental exposures and negative health outcomes, but may also determine the degree of susceptibility.   </w:t>
      </w:r>
    </w:p>
    <w:p w14:paraId="4BE487FF" w14:textId="77777777" w:rsidR="00740C9A" w:rsidRDefault="00740C9A" w:rsidP="00BE2052">
      <w:pPr>
        <w:autoSpaceDE w:val="0"/>
        <w:autoSpaceDN w:val="0"/>
        <w:adjustRightInd w:val="0"/>
        <w:spacing w:after="0" w:line="240" w:lineRule="auto"/>
        <w:rPr>
          <w:rFonts w:cs="ITCFranklinGothicStd-Book"/>
          <w:sz w:val="24"/>
          <w:szCs w:val="24"/>
        </w:rPr>
      </w:pPr>
    </w:p>
    <w:p w14:paraId="464C13AC" w14:textId="666EAF92" w:rsidR="00740C9A" w:rsidRPr="00740C9A" w:rsidRDefault="00740C9A" w:rsidP="00740C9A">
      <w:pPr>
        <w:autoSpaceDE w:val="0"/>
        <w:autoSpaceDN w:val="0"/>
        <w:adjustRightInd w:val="0"/>
        <w:spacing w:after="0" w:line="240" w:lineRule="auto"/>
        <w:rPr>
          <w:rFonts w:cs="ITCFranklinGothicStd-Book"/>
          <w:sz w:val="24"/>
          <w:szCs w:val="24"/>
        </w:rPr>
      </w:pPr>
      <w:r w:rsidRPr="00740C9A">
        <w:rPr>
          <w:rFonts w:cs="ITCFranklinGothicStd-Book"/>
          <w:sz w:val="24"/>
          <w:szCs w:val="24"/>
        </w:rPr>
        <w:lastRenderedPageBreak/>
        <w:t xml:space="preserve">There will be two consent forms, one for the father and one for the mother of the unborn child (Attachment </w:t>
      </w:r>
      <w:r w:rsidR="00890527">
        <w:rPr>
          <w:rFonts w:cs="ITCFranklinGothicStd-Book"/>
          <w:sz w:val="24"/>
          <w:szCs w:val="24"/>
        </w:rPr>
        <w:t>1</w:t>
      </w:r>
      <w:r w:rsidR="00DA6E40">
        <w:rPr>
          <w:rFonts w:cs="ITCFranklinGothicStd-Book"/>
          <w:sz w:val="24"/>
          <w:szCs w:val="24"/>
        </w:rPr>
        <w:t>2</w:t>
      </w:r>
      <w:r w:rsidRPr="00740C9A">
        <w:rPr>
          <w:rFonts w:cs="ITCFranklinGothicStd-Book"/>
          <w:sz w:val="24"/>
          <w:szCs w:val="24"/>
        </w:rPr>
        <w:t>). Once the consent form is read and discussed with the potential participant, they will be asked to sign as appropriate on the consent/assent page where the following options will be available:</w:t>
      </w:r>
    </w:p>
    <w:p w14:paraId="413D0A3A" w14:textId="77777777" w:rsidR="00890527" w:rsidRDefault="00890527" w:rsidP="00740C9A">
      <w:pPr>
        <w:autoSpaceDE w:val="0"/>
        <w:autoSpaceDN w:val="0"/>
        <w:adjustRightInd w:val="0"/>
        <w:spacing w:after="0" w:line="240" w:lineRule="auto"/>
        <w:rPr>
          <w:rFonts w:cs="ITCFranklinGothicStd-Book"/>
          <w:sz w:val="24"/>
          <w:szCs w:val="24"/>
        </w:rPr>
      </w:pPr>
    </w:p>
    <w:p w14:paraId="6F9B9ACD" w14:textId="77777777" w:rsidR="00740C9A" w:rsidRPr="00740C9A" w:rsidRDefault="00740C9A" w:rsidP="00740C9A">
      <w:pPr>
        <w:autoSpaceDE w:val="0"/>
        <w:autoSpaceDN w:val="0"/>
        <w:adjustRightInd w:val="0"/>
        <w:spacing w:after="0" w:line="240" w:lineRule="auto"/>
        <w:rPr>
          <w:rFonts w:cs="ITCFranklinGothicStd-Book"/>
          <w:sz w:val="24"/>
          <w:szCs w:val="24"/>
        </w:rPr>
      </w:pPr>
      <w:r w:rsidRPr="00740C9A">
        <w:rPr>
          <w:rFonts w:cs="ITCFranklinGothicStd-Book"/>
          <w:sz w:val="24"/>
          <w:szCs w:val="24"/>
        </w:rPr>
        <w:t>For participants 18 and over:</w:t>
      </w:r>
    </w:p>
    <w:p w14:paraId="3F8EAB33" w14:textId="11903B4F" w:rsidR="00740C9A" w:rsidRPr="00B676FA" w:rsidRDefault="00740C9A" w:rsidP="00B676FA">
      <w:pPr>
        <w:pStyle w:val="ListParagraph"/>
        <w:numPr>
          <w:ilvl w:val="0"/>
          <w:numId w:val="4"/>
        </w:numPr>
        <w:autoSpaceDE w:val="0"/>
        <w:autoSpaceDN w:val="0"/>
        <w:adjustRightInd w:val="0"/>
        <w:spacing w:after="0" w:line="240" w:lineRule="auto"/>
        <w:rPr>
          <w:rFonts w:cs="ITCFranklinGothicStd-Book"/>
          <w:sz w:val="24"/>
          <w:szCs w:val="24"/>
        </w:rPr>
      </w:pPr>
      <w:r w:rsidRPr="00B676FA">
        <w:rPr>
          <w:rFonts w:cs="ITCFranklinGothicStd-Book"/>
          <w:sz w:val="24"/>
          <w:szCs w:val="24"/>
        </w:rPr>
        <w:t>Consent for participation of self and baby (mother) or self (father)</w:t>
      </w:r>
    </w:p>
    <w:p w14:paraId="5F4A9FC3" w14:textId="77777777" w:rsidR="00740C9A" w:rsidRPr="00740C9A" w:rsidRDefault="00740C9A" w:rsidP="00740C9A">
      <w:pPr>
        <w:autoSpaceDE w:val="0"/>
        <w:autoSpaceDN w:val="0"/>
        <w:adjustRightInd w:val="0"/>
        <w:spacing w:after="0" w:line="240" w:lineRule="auto"/>
        <w:rPr>
          <w:rFonts w:cs="ITCFranklinGothicStd-Book"/>
          <w:sz w:val="24"/>
          <w:szCs w:val="24"/>
        </w:rPr>
      </w:pPr>
      <w:r w:rsidRPr="00740C9A">
        <w:rPr>
          <w:rFonts w:cs="ITCFranklinGothicStd-Book"/>
          <w:sz w:val="24"/>
          <w:szCs w:val="24"/>
        </w:rPr>
        <w:t>For participants under 18:</w:t>
      </w:r>
    </w:p>
    <w:p w14:paraId="4CDFECAE" w14:textId="3DC0CE3E" w:rsidR="00740C9A" w:rsidRPr="00B676FA" w:rsidRDefault="00740C9A" w:rsidP="00B676FA">
      <w:pPr>
        <w:pStyle w:val="ListParagraph"/>
        <w:numPr>
          <w:ilvl w:val="0"/>
          <w:numId w:val="4"/>
        </w:numPr>
        <w:autoSpaceDE w:val="0"/>
        <w:autoSpaceDN w:val="0"/>
        <w:adjustRightInd w:val="0"/>
        <w:spacing w:after="0" w:line="240" w:lineRule="auto"/>
        <w:rPr>
          <w:rFonts w:cs="ITCFranklinGothicStd-Book"/>
          <w:sz w:val="24"/>
          <w:szCs w:val="24"/>
        </w:rPr>
      </w:pPr>
      <w:r w:rsidRPr="00B676FA">
        <w:rPr>
          <w:rFonts w:cs="ITCFranklinGothicStd-Book"/>
          <w:sz w:val="24"/>
          <w:szCs w:val="24"/>
        </w:rPr>
        <w:t>Assent of interest to participate (mother and father)</w:t>
      </w:r>
    </w:p>
    <w:p w14:paraId="4587BE2E" w14:textId="32329C41" w:rsidR="00740C9A" w:rsidRPr="00B676FA" w:rsidRDefault="00740C9A" w:rsidP="00B676FA">
      <w:pPr>
        <w:pStyle w:val="ListParagraph"/>
        <w:numPr>
          <w:ilvl w:val="0"/>
          <w:numId w:val="4"/>
        </w:numPr>
        <w:autoSpaceDE w:val="0"/>
        <w:autoSpaceDN w:val="0"/>
        <w:adjustRightInd w:val="0"/>
        <w:spacing w:after="0" w:line="240" w:lineRule="auto"/>
        <w:rPr>
          <w:rFonts w:cs="ITCFranklinGothicStd-Book"/>
          <w:sz w:val="24"/>
          <w:szCs w:val="24"/>
        </w:rPr>
      </w:pPr>
      <w:r w:rsidRPr="00B676FA">
        <w:rPr>
          <w:rFonts w:cs="ITCFranklinGothicStd-Book"/>
          <w:sz w:val="24"/>
          <w:szCs w:val="24"/>
        </w:rPr>
        <w:t>Consent of parent for participation of their minor child (mother and father)</w:t>
      </w:r>
    </w:p>
    <w:p w14:paraId="0397C4EE" w14:textId="71744079" w:rsidR="00740C9A" w:rsidRPr="00B676FA" w:rsidRDefault="00740C9A" w:rsidP="00B676FA">
      <w:pPr>
        <w:pStyle w:val="ListParagraph"/>
        <w:numPr>
          <w:ilvl w:val="0"/>
          <w:numId w:val="4"/>
        </w:numPr>
        <w:autoSpaceDE w:val="0"/>
        <w:autoSpaceDN w:val="0"/>
        <w:adjustRightInd w:val="0"/>
        <w:spacing w:after="0" w:line="240" w:lineRule="auto"/>
        <w:rPr>
          <w:rFonts w:cs="ITCFranklinGothicStd-Book"/>
          <w:sz w:val="24"/>
          <w:szCs w:val="24"/>
        </w:rPr>
      </w:pPr>
      <w:r w:rsidRPr="00B676FA">
        <w:rPr>
          <w:rFonts w:cs="ITCFranklinGothicStd-Book"/>
          <w:sz w:val="24"/>
          <w:szCs w:val="24"/>
        </w:rPr>
        <w:t>Consent of minor mom for participation of unborn child (mother only)</w:t>
      </w:r>
    </w:p>
    <w:p w14:paraId="706A863F" w14:textId="77777777" w:rsidR="00740C9A" w:rsidRPr="00740C9A" w:rsidRDefault="00740C9A" w:rsidP="00740C9A">
      <w:pPr>
        <w:autoSpaceDE w:val="0"/>
        <w:autoSpaceDN w:val="0"/>
        <w:adjustRightInd w:val="0"/>
        <w:spacing w:after="0" w:line="240" w:lineRule="auto"/>
        <w:rPr>
          <w:rFonts w:cs="ITCFranklinGothicStd-Book"/>
          <w:sz w:val="24"/>
          <w:szCs w:val="24"/>
        </w:rPr>
      </w:pPr>
    </w:p>
    <w:p w14:paraId="41AD0A09" w14:textId="3F5268C7" w:rsidR="00740C9A" w:rsidRPr="00740C9A" w:rsidRDefault="00740C9A" w:rsidP="00740C9A">
      <w:pPr>
        <w:autoSpaceDE w:val="0"/>
        <w:autoSpaceDN w:val="0"/>
        <w:adjustRightInd w:val="0"/>
        <w:spacing w:after="0" w:line="240" w:lineRule="auto"/>
        <w:rPr>
          <w:rFonts w:cs="ITCFranklinGothicStd-Book"/>
          <w:sz w:val="24"/>
          <w:szCs w:val="24"/>
        </w:rPr>
      </w:pPr>
      <w:r w:rsidRPr="00740C9A">
        <w:rPr>
          <w:rFonts w:cs="ITCFranklinGothicStd-Book"/>
          <w:sz w:val="24"/>
          <w:szCs w:val="24"/>
        </w:rPr>
        <w:t xml:space="preserve">At the time of consenting, participants will also be given a brochure that outlines details and flow of the project with respect to each family member and endpoint, relative to prenatal, postnatal, and neonatal collections of data. Phone numbers for Navajo IRB, UNM IRB, </w:t>
      </w:r>
      <w:proofErr w:type="spellStart"/>
      <w:proofErr w:type="gramStart"/>
      <w:r w:rsidRPr="00740C9A">
        <w:rPr>
          <w:rFonts w:cs="ITCFranklinGothicStd-Book"/>
          <w:sz w:val="24"/>
          <w:szCs w:val="24"/>
        </w:rPr>
        <w:t>DiNEH</w:t>
      </w:r>
      <w:proofErr w:type="spellEnd"/>
      <w:proofErr w:type="gramEnd"/>
      <w:r w:rsidRPr="00740C9A">
        <w:rPr>
          <w:rFonts w:cs="ITCFranklinGothicStd-Book"/>
          <w:sz w:val="24"/>
          <w:szCs w:val="24"/>
        </w:rPr>
        <w:t xml:space="preserve"> Project, NNDOH-CHR program, NNEPA and other agencies will be included in the brochure to enable participants to obtain information or to access available services (Attachment </w:t>
      </w:r>
      <w:r w:rsidR="00E25C97">
        <w:rPr>
          <w:rFonts w:cs="ITCFranklinGothicStd-Book"/>
          <w:sz w:val="24"/>
          <w:szCs w:val="24"/>
        </w:rPr>
        <w:t>1</w:t>
      </w:r>
      <w:r w:rsidR="002E564A">
        <w:rPr>
          <w:rFonts w:cs="ITCFranklinGothicStd-Book"/>
          <w:sz w:val="24"/>
          <w:szCs w:val="24"/>
        </w:rPr>
        <w:t>4</w:t>
      </w:r>
      <w:r w:rsidRPr="00740C9A">
        <w:rPr>
          <w:rFonts w:cs="ITCFranklinGothicStd-Book"/>
          <w:sz w:val="24"/>
          <w:szCs w:val="24"/>
        </w:rPr>
        <w:t>).</w:t>
      </w:r>
    </w:p>
    <w:p w14:paraId="509A7566" w14:textId="578A73FB" w:rsidR="00740C9A" w:rsidRPr="00740C9A" w:rsidRDefault="00740C9A" w:rsidP="00740C9A">
      <w:pPr>
        <w:autoSpaceDE w:val="0"/>
        <w:autoSpaceDN w:val="0"/>
        <w:adjustRightInd w:val="0"/>
        <w:spacing w:after="0" w:line="240" w:lineRule="auto"/>
        <w:rPr>
          <w:rFonts w:cs="ITCFranklinGothicStd-Book"/>
          <w:sz w:val="24"/>
          <w:szCs w:val="24"/>
        </w:rPr>
      </w:pPr>
      <w:r w:rsidRPr="00740C9A">
        <w:rPr>
          <w:rFonts w:cs="ITCFranklinGothicStd-Book"/>
          <w:sz w:val="24"/>
          <w:szCs w:val="24"/>
        </w:rPr>
        <w:t>The informed consent procedures include a detailed description of the study as well as an assurance of the subject’s freedom to withdraw from the study at any time without prejudice of any kind</w:t>
      </w:r>
      <w:r w:rsidR="00E25C97">
        <w:rPr>
          <w:rFonts w:cs="ITCFranklinGothicStd-Book"/>
          <w:sz w:val="24"/>
          <w:szCs w:val="24"/>
        </w:rPr>
        <w:t xml:space="preserve"> (Attachment </w:t>
      </w:r>
      <w:r w:rsidR="002B65CE">
        <w:rPr>
          <w:rFonts w:cs="ITCFranklinGothicStd-Book"/>
          <w:sz w:val="24"/>
          <w:szCs w:val="24"/>
        </w:rPr>
        <w:t>1</w:t>
      </w:r>
      <w:r w:rsidR="00DA6E40">
        <w:rPr>
          <w:rFonts w:cs="ITCFranklinGothicStd-Book"/>
          <w:sz w:val="24"/>
          <w:szCs w:val="24"/>
        </w:rPr>
        <w:t>2</w:t>
      </w:r>
      <w:r w:rsidR="00E25C97">
        <w:rPr>
          <w:rFonts w:cs="ITCFranklinGothicStd-Book"/>
          <w:sz w:val="24"/>
          <w:szCs w:val="24"/>
        </w:rPr>
        <w:t>)</w:t>
      </w:r>
      <w:r w:rsidRPr="00740C9A">
        <w:rPr>
          <w:rFonts w:cs="ITCFranklinGothicStd-Book"/>
          <w:sz w:val="24"/>
          <w:szCs w:val="24"/>
        </w:rPr>
        <w:t xml:space="preserve">.  </w:t>
      </w:r>
    </w:p>
    <w:p w14:paraId="3C992B32" w14:textId="77777777" w:rsidR="00740C9A" w:rsidRPr="00740C9A" w:rsidRDefault="00740C9A" w:rsidP="00740C9A">
      <w:pPr>
        <w:autoSpaceDE w:val="0"/>
        <w:autoSpaceDN w:val="0"/>
        <w:adjustRightInd w:val="0"/>
        <w:spacing w:after="0" w:line="240" w:lineRule="auto"/>
        <w:rPr>
          <w:rFonts w:cs="ITCFranklinGothicStd-Book"/>
          <w:sz w:val="24"/>
          <w:szCs w:val="24"/>
        </w:rPr>
      </w:pPr>
    </w:p>
    <w:p w14:paraId="30F65BE7" w14:textId="75904E47" w:rsidR="00740C9A" w:rsidRPr="00740C9A" w:rsidRDefault="00740C9A" w:rsidP="00740C9A">
      <w:pPr>
        <w:autoSpaceDE w:val="0"/>
        <w:autoSpaceDN w:val="0"/>
        <w:adjustRightInd w:val="0"/>
        <w:spacing w:after="0" w:line="240" w:lineRule="auto"/>
        <w:rPr>
          <w:rFonts w:cs="ITCFranklinGothicStd-Book"/>
          <w:sz w:val="24"/>
          <w:szCs w:val="24"/>
        </w:rPr>
      </w:pPr>
      <w:r w:rsidRPr="00740C9A">
        <w:rPr>
          <w:rFonts w:cs="ITCFranklinGothicStd-Book"/>
          <w:sz w:val="24"/>
          <w:szCs w:val="24"/>
        </w:rPr>
        <w:t>Finally, the study partners include several Navajo language and culture experts who will ensure that all questions are asked in a manner that is culturally appropriate, and that staff conveys professional and cultural sensitivity to increase the confidence in safeguarding and professional management of information.  Navajo is a descriptive language and traditionally not a written language – very few Navajos actually read Navajo although many are fluent speakers.  Therefore, the Navajo team members</w:t>
      </w:r>
      <w:r w:rsidR="00890527">
        <w:rPr>
          <w:rFonts w:cs="ITCFranklinGothicStd-Book"/>
          <w:sz w:val="24"/>
          <w:szCs w:val="24"/>
        </w:rPr>
        <w:t xml:space="preserve"> </w:t>
      </w:r>
      <w:r w:rsidRPr="00740C9A">
        <w:rPr>
          <w:rFonts w:cs="ITCFranklinGothicStd-Book"/>
          <w:sz w:val="24"/>
          <w:szCs w:val="24"/>
        </w:rPr>
        <w:t>have worked for several months to establish consistency in translation of materials introducing the study and the consent and HIPAA forms.  The actual participants in the study are all likely to speak English, and therefore, we anticipate the actual survey administration will be in English.  However, when clarification is requested, the team will have the background provided through these working session to convey concepts in Navajo in a consistent manner.  This method has been used by this team in field surveys before. The project staff are also involved in ongoing, multidisciplinary training programs to ensure consistency regardless of the direct employment or reporting status.  All staff are also completing HIPAA training and certification as well as completing the security and confidentiality trainings provided on line by the University of New Mexico for those in contact with patients.</w:t>
      </w:r>
    </w:p>
    <w:p w14:paraId="527F9FA5" w14:textId="6C4AE40F" w:rsidR="00B45002" w:rsidRPr="00D20211" w:rsidRDefault="00601F1A" w:rsidP="00601F1A">
      <w:pPr>
        <w:pStyle w:val="Heading1"/>
        <w:pBdr>
          <w:bottom w:val="none" w:sz="0" w:space="0" w:color="auto"/>
        </w:pBdr>
        <w:rPr>
          <w:color w:val="auto"/>
        </w:rPr>
      </w:pPr>
      <w:bookmarkStart w:id="14" w:name="_Toc435518572"/>
      <w:r w:rsidRPr="00D20211">
        <w:rPr>
          <w:color w:val="auto"/>
        </w:rPr>
        <w:t>A.</w:t>
      </w:r>
      <w:r w:rsidR="004D21C9" w:rsidRPr="00D20211">
        <w:rPr>
          <w:color w:val="auto"/>
        </w:rPr>
        <w:t>12</w:t>
      </w:r>
      <w:r w:rsidR="00B46BD6" w:rsidRPr="00D20211">
        <w:rPr>
          <w:color w:val="auto"/>
        </w:rPr>
        <w:t>. Estimates</w:t>
      </w:r>
      <w:r w:rsidR="00B45002" w:rsidRPr="00D20211">
        <w:rPr>
          <w:color w:val="auto"/>
        </w:rPr>
        <w:t xml:space="preserve"> of Annualized Burden Hours and Costs</w:t>
      </w:r>
      <w:bookmarkEnd w:id="14"/>
    </w:p>
    <w:p w14:paraId="1C20FEA3" w14:textId="77777777" w:rsidR="00ED72E9" w:rsidRPr="00D20211" w:rsidRDefault="00ED72E9" w:rsidP="00ED72E9">
      <w:pPr>
        <w:spacing w:line="240" w:lineRule="auto"/>
        <w:rPr>
          <w:sz w:val="24"/>
          <w:szCs w:val="24"/>
        </w:rPr>
      </w:pPr>
    </w:p>
    <w:p w14:paraId="024CBBDA" w14:textId="3148BCF3" w:rsidR="00A7789D" w:rsidRPr="00A7789D" w:rsidRDefault="00A7789D" w:rsidP="00A7789D">
      <w:pPr>
        <w:autoSpaceDE w:val="0"/>
        <w:autoSpaceDN w:val="0"/>
        <w:adjustRightInd w:val="0"/>
        <w:spacing w:line="240" w:lineRule="auto"/>
        <w:rPr>
          <w:rFonts w:cs="ITCFranklinGothicStd-Book"/>
          <w:sz w:val="24"/>
          <w:szCs w:val="24"/>
        </w:rPr>
      </w:pPr>
      <w:r w:rsidRPr="00A7789D">
        <w:rPr>
          <w:rFonts w:cs="ITCFranklinGothicStd-Book"/>
          <w:sz w:val="24"/>
          <w:szCs w:val="24"/>
        </w:rPr>
        <w:t xml:space="preserve">A. Burden hours are included in Table 1. Participants will include Native American mothers from age 14 to 45 with verification of pregnancy who have lived in the study area for at least 5 years. Also, participants must consent to deliver at one of the healthcare facilities (Northern Navajo </w:t>
      </w:r>
      <w:r w:rsidRPr="00A7789D">
        <w:rPr>
          <w:rFonts w:cs="ITCFranklinGothicStd-Book"/>
          <w:sz w:val="24"/>
          <w:szCs w:val="24"/>
        </w:rPr>
        <w:lastRenderedPageBreak/>
        <w:t xml:space="preserve">Medical Center, </w:t>
      </w:r>
      <w:proofErr w:type="spellStart"/>
      <w:r w:rsidRPr="00A7789D">
        <w:rPr>
          <w:rFonts w:cs="ITCFranklinGothicStd-Book"/>
          <w:sz w:val="24"/>
          <w:szCs w:val="24"/>
        </w:rPr>
        <w:t>Chinle</w:t>
      </w:r>
      <w:proofErr w:type="spellEnd"/>
      <w:r w:rsidRPr="00A7789D">
        <w:rPr>
          <w:rFonts w:cs="ITCFranklinGothicStd-Book"/>
          <w:sz w:val="24"/>
          <w:szCs w:val="24"/>
        </w:rPr>
        <w:t xml:space="preserve"> Comprehensive Health Care Facility, Gallup Indian Medical Center, Tuba City Regional Health-Care Corporation, or </w:t>
      </w:r>
      <w:proofErr w:type="spellStart"/>
      <w:r w:rsidRPr="00A7789D">
        <w:rPr>
          <w:rFonts w:cs="ITCFranklinGothicStd-Book"/>
          <w:sz w:val="24"/>
          <w:szCs w:val="24"/>
        </w:rPr>
        <w:t>Tséhootsooí</w:t>
      </w:r>
      <w:proofErr w:type="spellEnd"/>
      <w:r w:rsidRPr="00A7789D">
        <w:rPr>
          <w:rFonts w:cs="ITCFranklinGothicStd-Book"/>
          <w:sz w:val="24"/>
          <w:szCs w:val="24"/>
        </w:rPr>
        <w:t xml:space="preserve"> Medical Center) that are taking part in the study. Fathers will be included in the study with consent regardless of age or residence. We estimate that 550 pregnant women and fathers per year must be enrolled in the study to obtain adequate statistical power. A 10% pregnancy loss will be assumed, which would result in 500 live births per year. Therefore, the total </w:t>
      </w:r>
      <w:r w:rsidR="00662AA2">
        <w:rPr>
          <w:rFonts w:cs="ITCFranklinGothicStd-Book"/>
          <w:sz w:val="24"/>
          <w:szCs w:val="24"/>
        </w:rPr>
        <w:t>estim</w:t>
      </w:r>
      <w:r w:rsidRPr="00A7789D">
        <w:rPr>
          <w:rFonts w:cs="ITCFranklinGothicStd-Book"/>
          <w:sz w:val="24"/>
          <w:szCs w:val="24"/>
        </w:rPr>
        <w:t xml:space="preserve">ated sample size is 1,500 mother-infant pairs over the three </w:t>
      </w:r>
      <w:r w:rsidR="00662AA2">
        <w:rPr>
          <w:rFonts w:cs="ITCFranklinGothicStd-Book"/>
          <w:sz w:val="24"/>
          <w:szCs w:val="24"/>
        </w:rPr>
        <w:t xml:space="preserve">extended </w:t>
      </w:r>
      <w:r w:rsidRPr="00A7789D">
        <w:rPr>
          <w:rFonts w:cs="ITCFranklinGothicStd-Book"/>
          <w:sz w:val="24"/>
          <w:szCs w:val="24"/>
        </w:rPr>
        <w:t xml:space="preserve">years of the study. </w:t>
      </w:r>
      <w:r w:rsidR="00EF1AA1">
        <w:rPr>
          <w:rFonts w:cs="ITCFranklinGothicStd-Book"/>
          <w:sz w:val="24"/>
          <w:szCs w:val="24"/>
        </w:rPr>
        <w:t>The total estimated annual burden hours equals 4,455.</w:t>
      </w:r>
    </w:p>
    <w:p w14:paraId="219B7E14" w14:textId="77777777" w:rsidR="009E7D42" w:rsidRDefault="009E7D42" w:rsidP="00A7789D">
      <w:pPr>
        <w:autoSpaceDE w:val="0"/>
        <w:autoSpaceDN w:val="0"/>
        <w:adjustRightInd w:val="0"/>
        <w:spacing w:line="240" w:lineRule="auto"/>
        <w:rPr>
          <w:rFonts w:cs="ITCFranklinGothicStd-Book"/>
          <w:sz w:val="24"/>
          <w:szCs w:val="24"/>
          <w:u w:val="single"/>
        </w:rPr>
      </w:pPr>
    </w:p>
    <w:p w14:paraId="298B445C" w14:textId="46E8EB81" w:rsidR="00A7789D" w:rsidRDefault="00A7789D" w:rsidP="00ED72E9">
      <w:pPr>
        <w:autoSpaceDE w:val="0"/>
        <w:autoSpaceDN w:val="0"/>
        <w:adjustRightInd w:val="0"/>
        <w:spacing w:line="240" w:lineRule="auto"/>
        <w:rPr>
          <w:rFonts w:cs="ITCFranklinGothicStd-Book"/>
          <w:sz w:val="24"/>
          <w:szCs w:val="24"/>
        </w:rPr>
      </w:pPr>
      <w:r w:rsidRPr="00A7789D">
        <w:rPr>
          <w:rFonts w:cs="ITCFranklinGothicStd-Book"/>
          <w:sz w:val="24"/>
          <w:szCs w:val="24"/>
          <w:u w:val="single"/>
        </w:rPr>
        <w:t>Table 1: Estimate of Annualized Burden Hours</w:t>
      </w:r>
    </w:p>
    <w:tbl>
      <w:tblPr>
        <w:tblW w:w="9156" w:type="dxa"/>
        <w:tblLayout w:type="fixed"/>
        <w:tblLook w:val="04A0" w:firstRow="1" w:lastRow="0" w:firstColumn="1" w:lastColumn="0" w:noHBand="0" w:noVBand="1"/>
      </w:tblPr>
      <w:tblGrid>
        <w:gridCol w:w="1435"/>
        <w:gridCol w:w="1980"/>
        <w:gridCol w:w="1440"/>
        <w:gridCol w:w="1852"/>
        <w:gridCol w:w="1205"/>
        <w:gridCol w:w="1244"/>
      </w:tblGrid>
      <w:tr w:rsidR="00A7789D" w:rsidRPr="00A7789D" w14:paraId="4DF8BBDA" w14:textId="77777777" w:rsidTr="00DA31EB">
        <w:trPr>
          <w:trHeight w:val="872"/>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B5EB744" w14:textId="7BD72B66" w:rsidR="00A7789D" w:rsidRPr="00740C9A" w:rsidRDefault="00A7789D" w:rsidP="00740C9A">
            <w:pPr>
              <w:autoSpaceDE w:val="0"/>
              <w:autoSpaceDN w:val="0"/>
              <w:adjustRightInd w:val="0"/>
              <w:spacing w:after="0" w:line="240" w:lineRule="auto"/>
              <w:rPr>
                <w:rFonts w:cs="ITCFranklinGothicStd-Book"/>
                <w:bCs/>
                <w:sz w:val="22"/>
                <w:szCs w:val="22"/>
              </w:rPr>
            </w:pPr>
            <w:r w:rsidRPr="00740C9A">
              <w:rPr>
                <w:rFonts w:cs="ITCFranklinGothicStd-Book"/>
                <w:bCs/>
                <w:sz w:val="22"/>
                <w:szCs w:val="22"/>
              </w:rPr>
              <w:t>Type of Respondent</w:t>
            </w:r>
            <w:r w:rsidR="00245FB9">
              <w:rPr>
                <w:rFonts w:cs="ITCFranklinGothicStd-Book"/>
                <w:bCs/>
                <w:sz w:val="22"/>
                <w:szCs w:val="22"/>
              </w:rPr>
              <w:t>s</w:t>
            </w:r>
          </w:p>
        </w:tc>
        <w:tc>
          <w:tcPr>
            <w:tcW w:w="1980" w:type="dxa"/>
            <w:tcBorders>
              <w:top w:val="single" w:sz="4" w:space="0" w:color="auto"/>
              <w:left w:val="nil"/>
              <w:bottom w:val="single" w:sz="4" w:space="0" w:color="auto"/>
              <w:right w:val="single" w:sz="4" w:space="0" w:color="auto"/>
            </w:tcBorders>
            <w:shd w:val="clear" w:color="auto" w:fill="auto"/>
            <w:vAlign w:val="center"/>
          </w:tcPr>
          <w:p w14:paraId="5BA98FE2" w14:textId="77777777" w:rsidR="00A7789D" w:rsidRPr="00740C9A" w:rsidRDefault="00A7789D" w:rsidP="00740C9A">
            <w:pPr>
              <w:autoSpaceDE w:val="0"/>
              <w:autoSpaceDN w:val="0"/>
              <w:adjustRightInd w:val="0"/>
              <w:spacing w:after="0" w:line="240" w:lineRule="auto"/>
              <w:rPr>
                <w:rFonts w:cs="ITCFranklinGothicStd-Book"/>
                <w:bCs/>
                <w:sz w:val="22"/>
                <w:szCs w:val="22"/>
              </w:rPr>
            </w:pPr>
            <w:r w:rsidRPr="00740C9A">
              <w:rPr>
                <w:rFonts w:cs="ITCFranklinGothicStd-Book"/>
                <w:bCs/>
                <w:sz w:val="22"/>
                <w:szCs w:val="22"/>
              </w:rPr>
              <w:t>Form Name</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01A553" w14:textId="77777777" w:rsidR="00A7789D" w:rsidRPr="00740C9A" w:rsidRDefault="00A7789D" w:rsidP="00740C9A">
            <w:pPr>
              <w:autoSpaceDE w:val="0"/>
              <w:autoSpaceDN w:val="0"/>
              <w:adjustRightInd w:val="0"/>
              <w:spacing w:after="0" w:line="240" w:lineRule="auto"/>
              <w:rPr>
                <w:rFonts w:cs="ITCFranklinGothicStd-Book"/>
                <w:bCs/>
                <w:sz w:val="22"/>
                <w:szCs w:val="22"/>
              </w:rPr>
            </w:pPr>
            <w:r w:rsidRPr="00740C9A">
              <w:rPr>
                <w:rFonts w:cs="ITCFranklinGothicStd-Book"/>
                <w:bCs/>
                <w:sz w:val="22"/>
                <w:szCs w:val="22"/>
              </w:rPr>
              <w:t>Number of Respondents</w:t>
            </w:r>
          </w:p>
        </w:tc>
        <w:tc>
          <w:tcPr>
            <w:tcW w:w="1852" w:type="dxa"/>
            <w:tcBorders>
              <w:top w:val="single" w:sz="4" w:space="0" w:color="auto"/>
              <w:left w:val="nil"/>
              <w:bottom w:val="single" w:sz="4" w:space="0" w:color="auto"/>
              <w:right w:val="single" w:sz="4" w:space="0" w:color="auto"/>
            </w:tcBorders>
            <w:shd w:val="clear" w:color="auto" w:fill="auto"/>
            <w:vAlign w:val="center"/>
          </w:tcPr>
          <w:p w14:paraId="41301AEC" w14:textId="77777777" w:rsidR="00A7789D" w:rsidRPr="00740C9A" w:rsidRDefault="00A7789D" w:rsidP="00740C9A">
            <w:pPr>
              <w:autoSpaceDE w:val="0"/>
              <w:autoSpaceDN w:val="0"/>
              <w:adjustRightInd w:val="0"/>
              <w:spacing w:after="0" w:line="240" w:lineRule="auto"/>
              <w:rPr>
                <w:rFonts w:cs="ITCFranklinGothicStd-Book"/>
                <w:bCs/>
                <w:sz w:val="22"/>
                <w:szCs w:val="22"/>
              </w:rPr>
            </w:pPr>
            <w:r w:rsidRPr="00740C9A">
              <w:rPr>
                <w:rFonts w:cs="ITCFranklinGothicStd-Book"/>
                <w:bCs/>
                <w:sz w:val="22"/>
                <w:szCs w:val="22"/>
              </w:rPr>
              <w:t>Number of Responses per Respondent</w:t>
            </w:r>
          </w:p>
        </w:tc>
        <w:tc>
          <w:tcPr>
            <w:tcW w:w="1205" w:type="dxa"/>
            <w:tcBorders>
              <w:top w:val="single" w:sz="4" w:space="0" w:color="auto"/>
              <w:left w:val="nil"/>
              <w:bottom w:val="single" w:sz="4" w:space="0" w:color="auto"/>
              <w:right w:val="single" w:sz="4" w:space="0" w:color="auto"/>
            </w:tcBorders>
            <w:shd w:val="clear" w:color="auto" w:fill="auto"/>
            <w:vAlign w:val="center"/>
          </w:tcPr>
          <w:p w14:paraId="6D85AB4B" w14:textId="77777777" w:rsidR="00A7789D" w:rsidRPr="00740C9A" w:rsidRDefault="00A7789D" w:rsidP="00740C9A">
            <w:pPr>
              <w:autoSpaceDE w:val="0"/>
              <w:autoSpaceDN w:val="0"/>
              <w:adjustRightInd w:val="0"/>
              <w:spacing w:after="0" w:line="240" w:lineRule="auto"/>
              <w:rPr>
                <w:rFonts w:cs="ITCFranklinGothicStd-Book"/>
                <w:bCs/>
                <w:sz w:val="22"/>
                <w:szCs w:val="22"/>
              </w:rPr>
            </w:pPr>
            <w:r w:rsidRPr="00740C9A">
              <w:rPr>
                <w:rFonts w:cs="ITCFranklinGothicStd-Book"/>
                <w:bCs/>
                <w:sz w:val="22"/>
                <w:szCs w:val="22"/>
              </w:rPr>
              <w:t>Average Burden Response (Hours)</w:t>
            </w:r>
          </w:p>
        </w:tc>
        <w:tc>
          <w:tcPr>
            <w:tcW w:w="1244" w:type="dxa"/>
            <w:tcBorders>
              <w:top w:val="single" w:sz="4" w:space="0" w:color="auto"/>
              <w:left w:val="nil"/>
              <w:bottom w:val="single" w:sz="4" w:space="0" w:color="auto"/>
              <w:right w:val="single" w:sz="4" w:space="0" w:color="auto"/>
            </w:tcBorders>
            <w:shd w:val="clear" w:color="auto" w:fill="auto"/>
            <w:vAlign w:val="center"/>
          </w:tcPr>
          <w:p w14:paraId="3C095B1A" w14:textId="77777777" w:rsidR="00A7789D" w:rsidRPr="00740C9A" w:rsidRDefault="00A7789D" w:rsidP="00740C9A">
            <w:pPr>
              <w:autoSpaceDE w:val="0"/>
              <w:autoSpaceDN w:val="0"/>
              <w:adjustRightInd w:val="0"/>
              <w:spacing w:after="0" w:line="240" w:lineRule="auto"/>
              <w:rPr>
                <w:rFonts w:cs="ITCFranklinGothicStd-Book"/>
                <w:bCs/>
                <w:sz w:val="22"/>
                <w:szCs w:val="22"/>
              </w:rPr>
            </w:pPr>
            <w:r w:rsidRPr="00740C9A">
              <w:rPr>
                <w:rFonts w:cs="ITCFranklinGothicStd-Book"/>
                <w:bCs/>
                <w:sz w:val="22"/>
                <w:szCs w:val="22"/>
              </w:rPr>
              <w:t>Total Burden (Hours)</w:t>
            </w:r>
          </w:p>
        </w:tc>
      </w:tr>
      <w:tr w:rsidR="00245FB9" w:rsidRPr="00A7789D" w14:paraId="3B717563" w14:textId="77777777" w:rsidTr="00DA31EB">
        <w:trPr>
          <w:trHeight w:val="291"/>
        </w:trPr>
        <w:tc>
          <w:tcPr>
            <w:tcW w:w="1435" w:type="dxa"/>
            <w:vMerge w:val="restart"/>
            <w:tcBorders>
              <w:top w:val="nil"/>
              <w:left w:val="single" w:sz="4" w:space="0" w:color="auto"/>
              <w:right w:val="single" w:sz="4" w:space="0" w:color="auto"/>
            </w:tcBorders>
            <w:shd w:val="clear" w:color="auto" w:fill="auto"/>
            <w:noWrap/>
            <w:vAlign w:val="center"/>
          </w:tcPr>
          <w:p w14:paraId="5A4B7801" w14:textId="5C33EEB3"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Mothers</w:t>
            </w:r>
          </w:p>
        </w:tc>
        <w:tc>
          <w:tcPr>
            <w:tcW w:w="1980" w:type="dxa"/>
            <w:tcBorders>
              <w:top w:val="nil"/>
              <w:left w:val="nil"/>
              <w:bottom w:val="single" w:sz="4" w:space="0" w:color="auto"/>
              <w:right w:val="single" w:sz="4" w:space="0" w:color="auto"/>
            </w:tcBorders>
            <w:shd w:val="clear" w:color="auto" w:fill="auto"/>
            <w:vAlign w:val="center"/>
          </w:tcPr>
          <w:p w14:paraId="1C47A817" w14:textId="3C1801CA"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Eligibility Form</w:t>
            </w:r>
          </w:p>
        </w:tc>
        <w:tc>
          <w:tcPr>
            <w:tcW w:w="1440" w:type="dxa"/>
            <w:tcBorders>
              <w:top w:val="nil"/>
              <w:left w:val="nil"/>
              <w:bottom w:val="single" w:sz="4" w:space="0" w:color="auto"/>
              <w:right w:val="single" w:sz="4" w:space="0" w:color="auto"/>
            </w:tcBorders>
            <w:shd w:val="clear" w:color="auto" w:fill="auto"/>
            <w:noWrap/>
            <w:vAlign w:val="center"/>
          </w:tcPr>
          <w:p w14:paraId="04083926"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750</w:t>
            </w:r>
          </w:p>
        </w:tc>
        <w:tc>
          <w:tcPr>
            <w:tcW w:w="1852" w:type="dxa"/>
            <w:tcBorders>
              <w:top w:val="nil"/>
              <w:left w:val="nil"/>
              <w:bottom w:val="single" w:sz="4" w:space="0" w:color="auto"/>
              <w:right w:val="single" w:sz="4" w:space="0" w:color="auto"/>
            </w:tcBorders>
            <w:shd w:val="clear" w:color="auto" w:fill="auto"/>
            <w:noWrap/>
            <w:vAlign w:val="center"/>
          </w:tcPr>
          <w:p w14:paraId="4A852286"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708A3F99"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5/60</w:t>
            </w:r>
          </w:p>
        </w:tc>
        <w:tc>
          <w:tcPr>
            <w:tcW w:w="1244" w:type="dxa"/>
            <w:tcBorders>
              <w:top w:val="nil"/>
              <w:left w:val="nil"/>
              <w:bottom w:val="single" w:sz="4" w:space="0" w:color="auto"/>
              <w:right w:val="single" w:sz="4" w:space="0" w:color="auto"/>
            </w:tcBorders>
            <w:shd w:val="clear" w:color="auto" w:fill="auto"/>
            <w:noWrap/>
            <w:vAlign w:val="center"/>
          </w:tcPr>
          <w:p w14:paraId="02B6D762"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63</w:t>
            </w:r>
          </w:p>
        </w:tc>
      </w:tr>
      <w:tr w:rsidR="00245FB9" w:rsidRPr="00A7789D" w14:paraId="4DAF923E" w14:textId="77777777" w:rsidTr="00DA31EB">
        <w:trPr>
          <w:trHeight w:val="291"/>
        </w:trPr>
        <w:tc>
          <w:tcPr>
            <w:tcW w:w="1435" w:type="dxa"/>
            <w:vMerge/>
            <w:tcBorders>
              <w:left w:val="single" w:sz="4" w:space="0" w:color="auto"/>
              <w:right w:val="single" w:sz="4" w:space="0" w:color="auto"/>
            </w:tcBorders>
            <w:shd w:val="clear" w:color="auto" w:fill="auto"/>
            <w:noWrap/>
            <w:vAlign w:val="center"/>
          </w:tcPr>
          <w:p w14:paraId="0AB125F2" w14:textId="772C7EE5" w:rsidR="00245FB9" w:rsidRPr="008134DD" w:rsidRDefault="00245FB9" w:rsidP="00740C9A">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49096A43" w14:textId="715A9339" w:rsidR="00245FB9" w:rsidRPr="008134DD" w:rsidRDefault="00292F19" w:rsidP="00740C9A">
            <w:pPr>
              <w:autoSpaceDE w:val="0"/>
              <w:autoSpaceDN w:val="0"/>
              <w:adjustRightInd w:val="0"/>
              <w:spacing w:after="0" w:line="240" w:lineRule="auto"/>
              <w:rPr>
                <w:rFonts w:cs="ITCFranklinGothicStd-Book"/>
                <w:sz w:val="22"/>
                <w:szCs w:val="22"/>
              </w:rPr>
            </w:pPr>
            <w:r>
              <w:rPr>
                <w:rFonts w:cs="ITCFranklinGothicStd-Book"/>
                <w:sz w:val="22"/>
                <w:szCs w:val="22"/>
              </w:rPr>
              <w:t xml:space="preserve">Mother </w:t>
            </w:r>
            <w:r w:rsidR="00245FB9" w:rsidRPr="008134DD">
              <w:rPr>
                <w:rFonts w:cs="ITCFranklinGothicStd-Book"/>
                <w:sz w:val="22"/>
                <w:szCs w:val="22"/>
              </w:rPr>
              <w:t>Enrollment Survey</w:t>
            </w:r>
          </w:p>
        </w:tc>
        <w:tc>
          <w:tcPr>
            <w:tcW w:w="1440" w:type="dxa"/>
            <w:tcBorders>
              <w:top w:val="nil"/>
              <w:left w:val="nil"/>
              <w:bottom w:val="single" w:sz="4" w:space="0" w:color="auto"/>
              <w:right w:val="single" w:sz="4" w:space="0" w:color="auto"/>
            </w:tcBorders>
            <w:shd w:val="clear" w:color="auto" w:fill="auto"/>
            <w:noWrap/>
            <w:vAlign w:val="center"/>
          </w:tcPr>
          <w:p w14:paraId="093E72C5"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550</w:t>
            </w:r>
          </w:p>
        </w:tc>
        <w:tc>
          <w:tcPr>
            <w:tcW w:w="1852" w:type="dxa"/>
            <w:tcBorders>
              <w:top w:val="nil"/>
              <w:left w:val="nil"/>
              <w:bottom w:val="single" w:sz="4" w:space="0" w:color="auto"/>
              <w:right w:val="single" w:sz="4" w:space="0" w:color="auto"/>
            </w:tcBorders>
            <w:shd w:val="clear" w:color="auto" w:fill="auto"/>
            <w:noWrap/>
            <w:vAlign w:val="center"/>
          </w:tcPr>
          <w:p w14:paraId="3BC5AEA8"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29CA3AA0"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2</w:t>
            </w:r>
          </w:p>
        </w:tc>
        <w:tc>
          <w:tcPr>
            <w:tcW w:w="1244" w:type="dxa"/>
            <w:tcBorders>
              <w:top w:val="nil"/>
              <w:left w:val="nil"/>
              <w:bottom w:val="single" w:sz="4" w:space="0" w:color="auto"/>
              <w:right w:val="single" w:sz="4" w:space="0" w:color="auto"/>
            </w:tcBorders>
            <w:shd w:val="clear" w:color="auto" w:fill="auto"/>
            <w:noWrap/>
            <w:vAlign w:val="center"/>
          </w:tcPr>
          <w:p w14:paraId="4E37CC90" w14:textId="666E9EC5"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1,100</w:t>
            </w:r>
          </w:p>
        </w:tc>
      </w:tr>
      <w:tr w:rsidR="00245FB9" w:rsidRPr="00A7789D" w14:paraId="4A7AAF43" w14:textId="77777777" w:rsidTr="00DA31EB">
        <w:trPr>
          <w:trHeight w:val="655"/>
        </w:trPr>
        <w:tc>
          <w:tcPr>
            <w:tcW w:w="1435" w:type="dxa"/>
            <w:vMerge/>
            <w:tcBorders>
              <w:left w:val="single" w:sz="4" w:space="0" w:color="auto"/>
              <w:right w:val="single" w:sz="4" w:space="0" w:color="auto"/>
            </w:tcBorders>
            <w:shd w:val="clear" w:color="auto" w:fill="auto"/>
            <w:noWrap/>
            <w:vAlign w:val="center"/>
          </w:tcPr>
          <w:p w14:paraId="4A4E54E6" w14:textId="2D84B2B9" w:rsidR="00245FB9" w:rsidRPr="008134DD" w:rsidRDefault="00245FB9" w:rsidP="00740C9A">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3A1BD578" w14:textId="77777777"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Ages and Stages Questionnaire</w:t>
            </w:r>
          </w:p>
          <w:p w14:paraId="58D9353C" w14:textId="446C1D6A"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(2, 6, 9, 12 months)</w:t>
            </w:r>
          </w:p>
        </w:tc>
        <w:tc>
          <w:tcPr>
            <w:tcW w:w="1440" w:type="dxa"/>
            <w:tcBorders>
              <w:top w:val="nil"/>
              <w:left w:val="nil"/>
              <w:bottom w:val="single" w:sz="4" w:space="0" w:color="auto"/>
              <w:right w:val="single" w:sz="4" w:space="0" w:color="auto"/>
            </w:tcBorders>
            <w:shd w:val="clear" w:color="auto" w:fill="auto"/>
            <w:noWrap/>
            <w:vAlign w:val="center"/>
          </w:tcPr>
          <w:p w14:paraId="1FDC1411"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c>
          <w:tcPr>
            <w:tcW w:w="1852" w:type="dxa"/>
            <w:tcBorders>
              <w:top w:val="nil"/>
              <w:left w:val="nil"/>
              <w:bottom w:val="single" w:sz="4" w:space="0" w:color="auto"/>
              <w:right w:val="single" w:sz="4" w:space="0" w:color="auto"/>
            </w:tcBorders>
            <w:shd w:val="clear" w:color="auto" w:fill="auto"/>
            <w:noWrap/>
            <w:vAlign w:val="center"/>
          </w:tcPr>
          <w:p w14:paraId="58FA9EC6"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4</w:t>
            </w:r>
          </w:p>
        </w:tc>
        <w:tc>
          <w:tcPr>
            <w:tcW w:w="1205" w:type="dxa"/>
            <w:tcBorders>
              <w:top w:val="nil"/>
              <w:left w:val="nil"/>
              <w:bottom w:val="single" w:sz="4" w:space="0" w:color="auto"/>
              <w:right w:val="single" w:sz="4" w:space="0" w:color="auto"/>
            </w:tcBorders>
            <w:shd w:val="clear" w:color="auto" w:fill="auto"/>
            <w:noWrap/>
            <w:vAlign w:val="center"/>
          </w:tcPr>
          <w:p w14:paraId="21AA0087"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15/60</w:t>
            </w:r>
          </w:p>
        </w:tc>
        <w:tc>
          <w:tcPr>
            <w:tcW w:w="1244" w:type="dxa"/>
            <w:tcBorders>
              <w:top w:val="nil"/>
              <w:left w:val="nil"/>
              <w:bottom w:val="single" w:sz="4" w:space="0" w:color="auto"/>
              <w:right w:val="single" w:sz="4" w:space="0" w:color="auto"/>
            </w:tcBorders>
            <w:shd w:val="clear" w:color="auto" w:fill="auto"/>
            <w:noWrap/>
            <w:vAlign w:val="center"/>
          </w:tcPr>
          <w:p w14:paraId="11E2F26B"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r>
      <w:tr w:rsidR="00245FB9" w:rsidRPr="00A7789D" w14:paraId="12B165A7" w14:textId="77777777" w:rsidTr="00DA31EB">
        <w:trPr>
          <w:trHeight w:val="557"/>
        </w:trPr>
        <w:tc>
          <w:tcPr>
            <w:tcW w:w="1435" w:type="dxa"/>
            <w:vMerge/>
            <w:tcBorders>
              <w:left w:val="single" w:sz="4" w:space="0" w:color="auto"/>
              <w:right w:val="single" w:sz="4" w:space="0" w:color="auto"/>
            </w:tcBorders>
            <w:shd w:val="clear" w:color="auto" w:fill="auto"/>
            <w:noWrap/>
            <w:vAlign w:val="center"/>
          </w:tcPr>
          <w:p w14:paraId="5FA2869D" w14:textId="65DB1C4E" w:rsidR="00245FB9" w:rsidRPr="008134DD" w:rsidRDefault="00245FB9" w:rsidP="00740C9A">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791316BD" w14:textId="59D4044C"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 xml:space="preserve">Mullen </w:t>
            </w:r>
            <w:r>
              <w:rPr>
                <w:rFonts w:cs="ITCFranklinGothicStd-Book"/>
                <w:sz w:val="22"/>
                <w:szCs w:val="22"/>
              </w:rPr>
              <w:t>Scales of</w:t>
            </w:r>
            <w:r w:rsidRPr="008134DD">
              <w:rPr>
                <w:rFonts w:cs="ITCFranklinGothicStd-Book"/>
                <w:sz w:val="22"/>
                <w:szCs w:val="22"/>
              </w:rPr>
              <w:t xml:space="preserve"> Early </w:t>
            </w:r>
            <w:r>
              <w:rPr>
                <w:rFonts w:cs="ITCFranklinGothicStd-Book"/>
                <w:sz w:val="22"/>
                <w:szCs w:val="22"/>
              </w:rPr>
              <w:t>Learning</w:t>
            </w:r>
          </w:p>
        </w:tc>
        <w:tc>
          <w:tcPr>
            <w:tcW w:w="1440" w:type="dxa"/>
            <w:tcBorders>
              <w:top w:val="nil"/>
              <w:left w:val="nil"/>
              <w:bottom w:val="single" w:sz="4" w:space="0" w:color="auto"/>
              <w:right w:val="single" w:sz="4" w:space="0" w:color="auto"/>
            </w:tcBorders>
            <w:shd w:val="clear" w:color="auto" w:fill="auto"/>
            <w:noWrap/>
            <w:vAlign w:val="center"/>
          </w:tcPr>
          <w:p w14:paraId="6C5C4B77"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c>
          <w:tcPr>
            <w:tcW w:w="1852" w:type="dxa"/>
            <w:tcBorders>
              <w:top w:val="nil"/>
              <w:left w:val="nil"/>
              <w:bottom w:val="single" w:sz="4" w:space="0" w:color="auto"/>
              <w:right w:val="single" w:sz="4" w:space="0" w:color="auto"/>
            </w:tcBorders>
            <w:shd w:val="clear" w:color="auto" w:fill="auto"/>
            <w:noWrap/>
            <w:vAlign w:val="center"/>
          </w:tcPr>
          <w:p w14:paraId="2BC80958"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341B4B36"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20/60</w:t>
            </w:r>
          </w:p>
        </w:tc>
        <w:tc>
          <w:tcPr>
            <w:tcW w:w="1244" w:type="dxa"/>
            <w:tcBorders>
              <w:top w:val="nil"/>
              <w:left w:val="nil"/>
              <w:bottom w:val="single" w:sz="4" w:space="0" w:color="auto"/>
              <w:right w:val="single" w:sz="4" w:space="0" w:color="auto"/>
            </w:tcBorders>
            <w:shd w:val="clear" w:color="auto" w:fill="auto"/>
            <w:noWrap/>
            <w:vAlign w:val="center"/>
          </w:tcPr>
          <w:p w14:paraId="16213315"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167</w:t>
            </w:r>
          </w:p>
        </w:tc>
      </w:tr>
      <w:tr w:rsidR="00245FB9" w:rsidRPr="00A7789D" w14:paraId="322D60EE" w14:textId="77777777" w:rsidTr="00DA31EB">
        <w:trPr>
          <w:trHeight w:val="655"/>
        </w:trPr>
        <w:tc>
          <w:tcPr>
            <w:tcW w:w="1435" w:type="dxa"/>
            <w:vMerge/>
            <w:tcBorders>
              <w:left w:val="single" w:sz="4" w:space="0" w:color="auto"/>
              <w:right w:val="single" w:sz="4" w:space="0" w:color="auto"/>
            </w:tcBorders>
            <w:shd w:val="clear" w:color="auto" w:fill="auto"/>
            <w:noWrap/>
            <w:vAlign w:val="center"/>
          </w:tcPr>
          <w:p w14:paraId="3A9573E9" w14:textId="7FC7B68F" w:rsidR="00245FB9" w:rsidRPr="008134DD" w:rsidRDefault="00245FB9" w:rsidP="00740C9A">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128C8CFC" w14:textId="77777777"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 xml:space="preserve">Postpartum Survey (2 months) </w:t>
            </w:r>
          </w:p>
        </w:tc>
        <w:tc>
          <w:tcPr>
            <w:tcW w:w="1440" w:type="dxa"/>
            <w:tcBorders>
              <w:top w:val="nil"/>
              <w:left w:val="nil"/>
              <w:bottom w:val="single" w:sz="4" w:space="0" w:color="auto"/>
              <w:right w:val="single" w:sz="4" w:space="0" w:color="auto"/>
            </w:tcBorders>
            <w:shd w:val="clear" w:color="auto" w:fill="auto"/>
            <w:noWrap/>
            <w:vAlign w:val="center"/>
          </w:tcPr>
          <w:p w14:paraId="35096322"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c>
          <w:tcPr>
            <w:tcW w:w="1852" w:type="dxa"/>
            <w:tcBorders>
              <w:top w:val="nil"/>
              <w:left w:val="nil"/>
              <w:bottom w:val="single" w:sz="4" w:space="0" w:color="auto"/>
              <w:right w:val="single" w:sz="4" w:space="0" w:color="auto"/>
            </w:tcBorders>
            <w:shd w:val="clear" w:color="auto" w:fill="auto"/>
            <w:noWrap/>
            <w:vAlign w:val="center"/>
          </w:tcPr>
          <w:p w14:paraId="442CE30C"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090F1915" w14:textId="77777777" w:rsidR="00245FB9" w:rsidRPr="00740C9A" w:rsidRDefault="00245FB9" w:rsidP="00740C9A">
            <w:pPr>
              <w:autoSpaceDE w:val="0"/>
              <w:autoSpaceDN w:val="0"/>
              <w:adjustRightInd w:val="0"/>
              <w:spacing w:after="0" w:line="240" w:lineRule="auto"/>
              <w:jc w:val="right"/>
              <w:rPr>
                <w:rFonts w:cs="ITCFranklinGothicStd-Book"/>
                <w:sz w:val="22"/>
                <w:szCs w:val="22"/>
                <w:highlight w:val="yellow"/>
              </w:rPr>
            </w:pPr>
            <w:r w:rsidRPr="00F276E9">
              <w:rPr>
                <w:rFonts w:cs="ITCFranklinGothicStd-Book"/>
                <w:sz w:val="22"/>
                <w:szCs w:val="22"/>
              </w:rPr>
              <w:t>1</w:t>
            </w:r>
          </w:p>
        </w:tc>
        <w:tc>
          <w:tcPr>
            <w:tcW w:w="1244" w:type="dxa"/>
            <w:tcBorders>
              <w:top w:val="nil"/>
              <w:left w:val="nil"/>
              <w:bottom w:val="single" w:sz="4" w:space="0" w:color="auto"/>
              <w:right w:val="single" w:sz="4" w:space="0" w:color="auto"/>
            </w:tcBorders>
            <w:shd w:val="clear" w:color="auto" w:fill="auto"/>
            <w:noWrap/>
            <w:vAlign w:val="center"/>
          </w:tcPr>
          <w:p w14:paraId="2341E650"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r>
      <w:tr w:rsidR="00245FB9" w:rsidRPr="00A7789D" w14:paraId="620DF06E" w14:textId="77777777" w:rsidTr="00DA31EB">
        <w:trPr>
          <w:trHeight w:val="291"/>
        </w:trPr>
        <w:tc>
          <w:tcPr>
            <w:tcW w:w="1435" w:type="dxa"/>
            <w:vMerge/>
            <w:tcBorders>
              <w:left w:val="single" w:sz="4" w:space="0" w:color="auto"/>
              <w:right w:val="single" w:sz="4" w:space="0" w:color="auto"/>
            </w:tcBorders>
            <w:shd w:val="clear" w:color="auto" w:fill="auto"/>
            <w:noWrap/>
            <w:vAlign w:val="center"/>
          </w:tcPr>
          <w:p w14:paraId="11EC6A72" w14:textId="6F289376" w:rsidR="00245FB9" w:rsidRPr="008134DD" w:rsidRDefault="00245FB9" w:rsidP="00740C9A">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35BC650A" w14:textId="4E3271FE"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Postpartum Survey (6, 9, 12 months)</w:t>
            </w:r>
          </w:p>
        </w:tc>
        <w:tc>
          <w:tcPr>
            <w:tcW w:w="1440" w:type="dxa"/>
            <w:tcBorders>
              <w:top w:val="nil"/>
              <w:left w:val="nil"/>
              <w:bottom w:val="single" w:sz="4" w:space="0" w:color="auto"/>
              <w:right w:val="single" w:sz="4" w:space="0" w:color="auto"/>
            </w:tcBorders>
            <w:shd w:val="clear" w:color="auto" w:fill="auto"/>
            <w:noWrap/>
            <w:vAlign w:val="center"/>
          </w:tcPr>
          <w:p w14:paraId="177D115E"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c>
          <w:tcPr>
            <w:tcW w:w="1852" w:type="dxa"/>
            <w:tcBorders>
              <w:top w:val="nil"/>
              <w:left w:val="nil"/>
              <w:bottom w:val="single" w:sz="4" w:space="0" w:color="auto"/>
              <w:right w:val="single" w:sz="4" w:space="0" w:color="auto"/>
            </w:tcBorders>
            <w:shd w:val="clear" w:color="auto" w:fill="auto"/>
            <w:noWrap/>
            <w:vAlign w:val="center"/>
          </w:tcPr>
          <w:p w14:paraId="341009BB"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3</w:t>
            </w:r>
          </w:p>
        </w:tc>
        <w:tc>
          <w:tcPr>
            <w:tcW w:w="1205" w:type="dxa"/>
            <w:tcBorders>
              <w:top w:val="nil"/>
              <w:left w:val="nil"/>
              <w:bottom w:val="single" w:sz="4" w:space="0" w:color="auto"/>
              <w:right w:val="single" w:sz="4" w:space="0" w:color="auto"/>
            </w:tcBorders>
            <w:shd w:val="clear" w:color="auto" w:fill="auto"/>
            <w:noWrap/>
            <w:vAlign w:val="center"/>
          </w:tcPr>
          <w:p w14:paraId="665228D1" w14:textId="77777777" w:rsidR="00245FB9" w:rsidRPr="00740C9A" w:rsidRDefault="00245FB9" w:rsidP="00740C9A">
            <w:pPr>
              <w:autoSpaceDE w:val="0"/>
              <w:autoSpaceDN w:val="0"/>
              <w:adjustRightInd w:val="0"/>
              <w:spacing w:after="0" w:line="240" w:lineRule="auto"/>
              <w:jc w:val="right"/>
              <w:rPr>
                <w:rFonts w:cs="ITCFranklinGothicStd-Book"/>
                <w:sz w:val="22"/>
                <w:szCs w:val="22"/>
                <w:highlight w:val="yellow"/>
              </w:rPr>
            </w:pPr>
            <w:r w:rsidRPr="00F276E9">
              <w:rPr>
                <w:rFonts w:cs="ITCFranklinGothicStd-Book"/>
                <w:sz w:val="22"/>
                <w:szCs w:val="22"/>
              </w:rPr>
              <w:t>15/60</w:t>
            </w:r>
          </w:p>
        </w:tc>
        <w:tc>
          <w:tcPr>
            <w:tcW w:w="1244" w:type="dxa"/>
            <w:tcBorders>
              <w:top w:val="nil"/>
              <w:left w:val="nil"/>
              <w:bottom w:val="single" w:sz="4" w:space="0" w:color="auto"/>
              <w:right w:val="single" w:sz="4" w:space="0" w:color="auto"/>
            </w:tcBorders>
            <w:shd w:val="clear" w:color="auto" w:fill="auto"/>
            <w:noWrap/>
            <w:vAlign w:val="center"/>
          </w:tcPr>
          <w:p w14:paraId="78F4CA9D"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375</w:t>
            </w:r>
          </w:p>
        </w:tc>
      </w:tr>
      <w:tr w:rsidR="00245FB9" w:rsidRPr="00A7789D" w14:paraId="15097BFB" w14:textId="77777777" w:rsidTr="00112DAB">
        <w:trPr>
          <w:trHeight w:val="557"/>
        </w:trPr>
        <w:tc>
          <w:tcPr>
            <w:tcW w:w="1435" w:type="dxa"/>
            <w:vMerge/>
            <w:tcBorders>
              <w:left w:val="single" w:sz="4" w:space="0" w:color="auto"/>
              <w:right w:val="single" w:sz="4" w:space="0" w:color="auto"/>
            </w:tcBorders>
            <w:shd w:val="clear" w:color="auto" w:fill="auto"/>
            <w:noWrap/>
            <w:vAlign w:val="center"/>
          </w:tcPr>
          <w:p w14:paraId="3CB0C54E" w14:textId="77777777" w:rsidR="00245FB9" w:rsidRPr="008134DD" w:rsidRDefault="00245FB9" w:rsidP="00740C9A">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648E02E5" w14:textId="77777777" w:rsidR="00245FB9" w:rsidRPr="008134DD" w:rsidRDefault="00245FB9" w:rsidP="00740C9A">
            <w:pPr>
              <w:autoSpaceDE w:val="0"/>
              <w:autoSpaceDN w:val="0"/>
              <w:adjustRightInd w:val="0"/>
              <w:spacing w:after="0" w:line="240" w:lineRule="auto"/>
              <w:rPr>
                <w:rFonts w:cs="ITCFranklinGothicStd-Book"/>
                <w:sz w:val="22"/>
                <w:szCs w:val="22"/>
              </w:rPr>
            </w:pPr>
            <w:r w:rsidRPr="008134DD">
              <w:rPr>
                <w:rFonts w:cs="ITCFranklinGothicStd-Book"/>
                <w:sz w:val="22"/>
                <w:szCs w:val="22"/>
              </w:rPr>
              <w:t>Food Frequency Questionnaire/ WIC Intake Form</w:t>
            </w:r>
          </w:p>
        </w:tc>
        <w:tc>
          <w:tcPr>
            <w:tcW w:w="1440" w:type="dxa"/>
            <w:tcBorders>
              <w:top w:val="nil"/>
              <w:left w:val="nil"/>
              <w:bottom w:val="single" w:sz="4" w:space="0" w:color="auto"/>
              <w:right w:val="single" w:sz="4" w:space="0" w:color="auto"/>
            </w:tcBorders>
            <w:shd w:val="clear" w:color="auto" w:fill="auto"/>
            <w:noWrap/>
            <w:vAlign w:val="center"/>
          </w:tcPr>
          <w:p w14:paraId="371208EC"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500</w:t>
            </w:r>
          </w:p>
        </w:tc>
        <w:tc>
          <w:tcPr>
            <w:tcW w:w="1852" w:type="dxa"/>
            <w:tcBorders>
              <w:top w:val="nil"/>
              <w:left w:val="nil"/>
              <w:bottom w:val="single" w:sz="4" w:space="0" w:color="auto"/>
              <w:right w:val="single" w:sz="4" w:space="0" w:color="auto"/>
            </w:tcBorders>
            <w:shd w:val="clear" w:color="auto" w:fill="auto"/>
            <w:noWrap/>
            <w:vAlign w:val="center"/>
          </w:tcPr>
          <w:p w14:paraId="49ED17A1"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27B069C9"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45/60</w:t>
            </w:r>
          </w:p>
        </w:tc>
        <w:tc>
          <w:tcPr>
            <w:tcW w:w="1244" w:type="dxa"/>
            <w:tcBorders>
              <w:top w:val="nil"/>
              <w:left w:val="nil"/>
              <w:bottom w:val="single" w:sz="4" w:space="0" w:color="auto"/>
              <w:right w:val="single" w:sz="4" w:space="0" w:color="auto"/>
            </w:tcBorders>
            <w:shd w:val="clear" w:color="auto" w:fill="auto"/>
            <w:noWrap/>
            <w:vAlign w:val="center"/>
          </w:tcPr>
          <w:p w14:paraId="35D705E2" w14:textId="77777777" w:rsidR="00245FB9" w:rsidRPr="008134DD" w:rsidRDefault="00245FB9" w:rsidP="00740C9A">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375</w:t>
            </w:r>
          </w:p>
        </w:tc>
      </w:tr>
      <w:tr w:rsidR="00245FB9" w:rsidRPr="00A7789D" w14:paraId="16A7C35B" w14:textId="77777777" w:rsidTr="00DA31EB">
        <w:trPr>
          <w:trHeight w:val="557"/>
        </w:trPr>
        <w:tc>
          <w:tcPr>
            <w:tcW w:w="1435" w:type="dxa"/>
            <w:vMerge/>
            <w:tcBorders>
              <w:left w:val="single" w:sz="4" w:space="0" w:color="auto"/>
              <w:bottom w:val="single" w:sz="4" w:space="0" w:color="auto"/>
              <w:right w:val="single" w:sz="4" w:space="0" w:color="auto"/>
            </w:tcBorders>
            <w:shd w:val="clear" w:color="auto" w:fill="auto"/>
            <w:noWrap/>
            <w:vAlign w:val="center"/>
          </w:tcPr>
          <w:p w14:paraId="6A212B38" w14:textId="77777777" w:rsidR="00245FB9" w:rsidRPr="008134DD" w:rsidRDefault="00245FB9" w:rsidP="002E0A5C">
            <w:pPr>
              <w:autoSpaceDE w:val="0"/>
              <w:autoSpaceDN w:val="0"/>
              <w:adjustRightInd w:val="0"/>
              <w:spacing w:after="0" w:line="240" w:lineRule="auto"/>
              <w:rPr>
                <w:rFonts w:cs="ITCFranklinGothicStd-Book"/>
                <w:sz w:val="22"/>
                <w:szCs w:val="22"/>
              </w:rPr>
            </w:pPr>
          </w:p>
        </w:tc>
        <w:tc>
          <w:tcPr>
            <w:tcW w:w="1980" w:type="dxa"/>
            <w:tcBorders>
              <w:top w:val="nil"/>
              <w:left w:val="nil"/>
              <w:bottom w:val="single" w:sz="4" w:space="0" w:color="auto"/>
              <w:right w:val="single" w:sz="4" w:space="0" w:color="auto"/>
            </w:tcBorders>
            <w:shd w:val="clear" w:color="auto" w:fill="auto"/>
            <w:vAlign w:val="center"/>
          </w:tcPr>
          <w:p w14:paraId="1583F995" w14:textId="5D64D942" w:rsidR="00245FB9" w:rsidRPr="008134DD" w:rsidRDefault="00245FB9" w:rsidP="002E0A5C">
            <w:pPr>
              <w:autoSpaceDE w:val="0"/>
              <w:autoSpaceDN w:val="0"/>
              <w:adjustRightInd w:val="0"/>
              <w:spacing w:after="0" w:line="240" w:lineRule="auto"/>
              <w:rPr>
                <w:rFonts w:cs="ITCFranklinGothicStd-Book"/>
                <w:sz w:val="22"/>
                <w:szCs w:val="22"/>
              </w:rPr>
            </w:pPr>
            <w:r w:rsidRPr="008134DD">
              <w:rPr>
                <w:rFonts w:cs="ITCFranklinGothicStd-Book"/>
                <w:sz w:val="22"/>
                <w:szCs w:val="22"/>
              </w:rPr>
              <w:t>Home Environmental Assessment</w:t>
            </w:r>
          </w:p>
        </w:tc>
        <w:tc>
          <w:tcPr>
            <w:tcW w:w="1440" w:type="dxa"/>
            <w:tcBorders>
              <w:top w:val="nil"/>
              <w:left w:val="nil"/>
              <w:bottom w:val="single" w:sz="4" w:space="0" w:color="auto"/>
              <w:right w:val="single" w:sz="4" w:space="0" w:color="auto"/>
            </w:tcBorders>
            <w:shd w:val="clear" w:color="auto" w:fill="auto"/>
            <w:noWrap/>
            <w:vAlign w:val="center"/>
          </w:tcPr>
          <w:p w14:paraId="030A94BC" w14:textId="05866392" w:rsidR="00245FB9" w:rsidRPr="008134DD" w:rsidRDefault="00245FB9"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550</w:t>
            </w:r>
          </w:p>
        </w:tc>
        <w:tc>
          <w:tcPr>
            <w:tcW w:w="1852" w:type="dxa"/>
            <w:tcBorders>
              <w:top w:val="nil"/>
              <w:left w:val="nil"/>
              <w:bottom w:val="single" w:sz="4" w:space="0" w:color="auto"/>
              <w:right w:val="single" w:sz="4" w:space="0" w:color="auto"/>
            </w:tcBorders>
            <w:shd w:val="clear" w:color="auto" w:fill="auto"/>
            <w:noWrap/>
            <w:vAlign w:val="center"/>
          </w:tcPr>
          <w:p w14:paraId="47F8AE56" w14:textId="0FA68E71" w:rsidR="00245FB9" w:rsidRPr="008134DD" w:rsidRDefault="00245FB9"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2A45025F" w14:textId="03B33F15" w:rsidR="00245FB9" w:rsidRPr="008134DD" w:rsidRDefault="00245FB9"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44" w:type="dxa"/>
            <w:tcBorders>
              <w:top w:val="nil"/>
              <w:left w:val="nil"/>
              <w:bottom w:val="single" w:sz="4" w:space="0" w:color="auto"/>
              <w:right w:val="single" w:sz="4" w:space="0" w:color="auto"/>
            </w:tcBorders>
            <w:shd w:val="clear" w:color="auto" w:fill="auto"/>
            <w:noWrap/>
            <w:vAlign w:val="center"/>
          </w:tcPr>
          <w:p w14:paraId="3478BAEC" w14:textId="0E87BB6A" w:rsidR="00245FB9" w:rsidRPr="008134DD" w:rsidRDefault="00245FB9"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550</w:t>
            </w:r>
          </w:p>
        </w:tc>
      </w:tr>
      <w:tr w:rsidR="002E0A5C" w:rsidRPr="00A7789D" w14:paraId="76B86A73" w14:textId="77777777" w:rsidTr="00DA31EB">
        <w:trPr>
          <w:trHeight w:val="291"/>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25CD4665" w14:textId="5EF386E6" w:rsidR="002E0A5C" w:rsidRPr="008134DD" w:rsidRDefault="002E0A5C" w:rsidP="002E0A5C">
            <w:pPr>
              <w:autoSpaceDE w:val="0"/>
              <w:autoSpaceDN w:val="0"/>
              <w:adjustRightInd w:val="0"/>
              <w:spacing w:after="0" w:line="240" w:lineRule="auto"/>
              <w:rPr>
                <w:rFonts w:cs="ITCFranklinGothicStd-Book"/>
                <w:sz w:val="22"/>
                <w:szCs w:val="22"/>
              </w:rPr>
            </w:pPr>
            <w:r w:rsidRPr="008134DD">
              <w:rPr>
                <w:rFonts w:cs="ITCFranklinGothicStd-Book"/>
                <w:sz w:val="22"/>
                <w:szCs w:val="22"/>
              </w:rPr>
              <w:t>Fathers</w:t>
            </w:r>
          </w:p>
        </w:tc>
        <w:tc>
          <w:tcPr>
            <w:tcW w:w="1980" w:type="dxa"/>
            <w:tcBorders>
              <w:top w:val="nil"/>
              <w:left w:val="nil"/>
              <w:bottom w:val="single" w:sz="4" w:space="0" w:color="auto"/>
              <w:right w:val="single" w:sz="4" w:space="0" w:color="auto"/>
            </w:tcBorders>
            <w:shd w:val="clear" w:color="auto" w:fill="auto"/>
            <w:vAlign w:val="center"/>
          </w:tcPr>
          <w:p w14:paraId="4F124943" w14:textId="2E2C3FF3" w:rsidR="002E0A5C" w:rsidRPr="008134DD" w:rsidRDefault="00292F19" w:rsidP="002E0A5C">
            <w:pPr>
              <w:autoSpaceDE w:val="0"/>
              <w:autoSpaceDN w:val="0"/>
              <w:adjustRightInd w:val="0"/>
              <w:spacing w:after="0" w:line="240" w:lineRule="auto"/>
              <w:rPr>
                <w:rFonts w:cs="ITCFranklinGothicStd-Book"/>
                <w:sz w:val="22"/>
                <w:szCs w:val="22"/>
              </w:rPr>
            </w:pPr>
            <w:r>
              <w:rPr>
                <w:rFonts w:cs="ITCFranklinGothicStd-Book"/>
                <w:sz w:val="22"/>
                <w:szCs w:val="22"/>
              </w:rPr>
              <w:t xml:space="preserve">Father </w:t>
            </w:r>
            <w:r w:rsidR="002E0A5C" w:rsidRPr="008134DD">
              <w:rPr>
                <w:rFonts w:cs="ITCFranklinGothicStd-Book"/>
                <w:sz w:val="22"/>
                <w:szCs w:val="22"/>
              </w:rPr>
              <w:t>Enrollment Survey</w:t>
            </w:r>
          </w:p>
        </w:tc>
        <w:tc>
          <w:tcPr>
            <w:tcW w:w="1440" w:type="dxa"/>
            <w:tcBorders>
              <w:top w:val="nil"/>
              <w:left w:val="nil"/>
              <w:bottom w:val="single" w:sz="4" w:space="0" w:color="auto"/>
              <w:right w:val="single" w:sz="4" w:space="0" w:color="auto"/>
            </w:tcBorders>
            <w:shd w:val="clear" w:color="auto" w:fill="auto"/>
            <w:noWrap/>
            <w:vAlign w:val="center"/>
          </w:tcPr>
          <w:p w14:paraId="0B916E81" w14:textId="77777777" w:rsidR="002E0A5C" w:rsidRPr="008134DD" w:rsidRDefault="002E0A5C"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550</w:t>
            </w:r>
          </w:p>
        </w:tc>
        <w:tc>
          <w:tcPr>
            <w:tcW w:w="1852" w:type="dxa"/>
            <w:tcBorders>
              <w:top w:val="nil"/>
              <w:left w:val="nil"/>
              <w:bottom w:val="single" w:sz="4" w:space="0" w:color="auto"/>
              <w:right w:val="single" w:sz="4" w:space="0" w:color="auto"/>
            </w:tcBorders>
            <w:shd w:val="clear" w:color="auto" w:fill="auto"/>
            <w:noWrap/>
            <w:vAlign w:val="center"/>
          </w:tcPr>
          <w:p w14:paraId="6548F233" w14:textId="77777777" w:rsidR="002E0A5C" w:rsidRPr="008134DD" w:rsidRDefault="002E0A5C"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1</w:t>
            </w:r>
          </w:p>
        </w:tc>
        <w:tc>
          <w:tcPr>
            <w:tcW w:w="1205" w:type="dxa"/>
            <w:tcBorders>
              <w:top w:val="nil"/>
              <w:left w:val="nil"/>
              <w:bottom w:val="single" w:sz="4" w:space="0" w:color="auto"/>
              <w:right w:val="single" w:sz="4" w:space="0" w:color="auto"/>
            </w:tcBorders>
            <w:shd w:val="clear" w:color="auto" w:fill="auto"/>
            <w:noWrap/>
            <w:vAlign w:val="center"/>
          </w:tcPr>
          <w:p w14:paraId="3A80763B" w14:textId="77777777" w:rsidR="002E0A5C" w:rsidRPr="008134DD" w:rsidRDefault="002E0A5C"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90/60</w:t>
            </w:r>
          </w:p>
        </w:tc>
        <w:tc>
          <w:tcPr>
            <w:tcW w:w="1244" w:type="dxa"/>
            <w:tcBorders>
              <w:top w:val="nil"/>
              <w:left w:val="nil"/>
              <w:bottom w:val="single" w:sz="4" w:space="0" w:color="auto"/>
              <w:right w:val="single" w:sz="4" w:space="0" w:color="auto"/>
            </w:tcBorders>
            <w:shd w:val="clear" w:color="auto" w:fill="auto"/>
            <w:noWrap/>
            <w:vAlign w:val="center"/>
          </w:tcPr>
          <w:p w14:paraId="6D4477E4" w14:textId="77777777" w:rsidR="002E0A5C" w:rsidRPr="008134DD" w:rsidRDefault="002E0A5C"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825</w:t>
            </w:r>
          </w:p>
        </w:tc>
      </w:tr>
      <w:tr w:rsidR="002E0A5C" w:rsidRPr="00A7789D" w14:paraId="55B9A1BD" w14:textId="77777777" w:rsidTr="00740C9A">
        <w:trPr>
          <w:trHeight w:val="291"/>
        </w:trPr>
        <w:tc>
          <w:tcPr>
            <w:tcW w:w="79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28FB4D5" w14:textId="77777777" w:rsidR="002E0A5C" w:rsidRPr="008134DD" w:rsidRDefault="002E0A5C" w:rsidP="002E0A5C">
            <w:pPr>
              <w:autoSpaceDE w:val="0"/>
              <w:autoSpaceDN w:val="0"/>
              <w:adjustRightInd w:val="0"/>
              <w:spacing w:after="0" w:line="240" w:lineRule="auto"/>
              <w:rPr>
                <w:rFonts w:cs="ITCFranklinGothicStd-Book"/>
                <w:sz w:val="22"/>
                <w:szCs w:val="22"/>
              </w:rPr>
            </w:pPr>
            <w:r w:rsidRPr="008134DD">
              <w:rPr>
                <w:rFonts w:cs="ITCFranklinGothicStd-Book"/>
                <w:sz w:val="22"/>
                <w:szCs w:val="22"/>
              </w:rPr>
              <w:t>Total</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6E192552" w14:textId="02823527" w:rsidR="002E0A5C" w:rsidRPr="008134DD" w:rsidRDefault="002E0A5C" w:rsidP="002E0A5C">
            <w:pPr>
              <w:autoSpaceDE w:val="0"/>
              <w:autoSpaceDN w:val="0"/>
              <w:adjustRightInd w:val="0"/>
              <w:spacing w:after="0" w:line="240" w:lineRule="auto"/>
              <w:jc w:val="right"/>
              <w:rPr>
                <w:rFonts w:cs="ITCFranklinGothicStd-Book"/>
                <w:sz w:val="22"/>
                <w:szCs w:val="22"/>
              </w:rPr>
            </w:pPr>
            <w:r w:rsidRPr="008134DD">
              <w:rPr>
                <w:rFonts w:cs="ITCFranklinGothicStd-Book"/>
                <w:sz w:val="22"/>
                <w:szCs w:val="22"/>
              </w:rPr>
              <w:t>4,455</w:t>
            </w:r>
          </w:p>
        </w:tc>
      </w:tr>
    </w:tbl>
    <w:p w14:paraId="5ECA3817" w14:textId="77777777" w:rsidR="00A7789D" w:rsidRDefault="00A7789D" w:rsidP="00ED72E9">
      <w:pPr>
        <w:autoSpaceDE w:val="0"/>
        <w:autoSpaceDN w:val="0"/>
        <w:adjustRightInd w:val="0"/>
        <w:spacing w:line="240" w:lineRule="auto"/>
        <w:rPr>
          <w:rFonts w:cs="ITCFranklinGothicStd-Book"/>
          <w:sz w:val="24"/>
          <w:szCs w:val="24"/>
        </w:rPr>
      </w:pPr>
    </w:p>
    <w:p w14:paraId="43FF234C" w14:textId="77777777" w:rsidR="002E564A" w:rsidRDefault="002E564A" w:rsidP="00177308">
      <w:pPr>
        <w:autoSpaceDE w:val="0"/>
        <w:autoSpaceDN w:val="0"/>
        <w:adjustRightInd w:val="0"/>
        <w:spacing w:line="240" w:lineRule="auto"/>
        <w:rPr>
          <w:rFonts w:cs="ITCFranklinGothicStd-Book"/>
          <w:sz w:val="24"/>
          <w:szCs w:val="24"/>
        </w:rPr>
      </w:pPr>
    </w:p>
    <w:p w14:paraId="0ED6ACD1" w14:textId="3B1455A6" w:rsidR="00A7789D" w:rsidRPr="00A7789D" w:rsidRDefault="00A7789D" w:rsidP="00177308">
      <w:pPr>
        <w:autoSpaceDE w:val="0"/>
        <w:autoSpaceDN w:val="0"/>
        <w:adjustRightInd w:val="0"/>
        <w:spacing w:line="240" w:lineRule="auto"/>
        <w:rPr>
          <w:rFonts w:cs="ITCFranklinGothicStd-Book"/>
          <w:sz w:val="24"/>
          <w:szCs w:val="24"/>
        </w:rPr>
      </w:pPr>
      <w:r>
        <w:rPr>
          <w:rFonts w:cs="ITCFranklinGothicStd-Book"/>
          <w:sz w:val="24"/>
          <w:szCs w:val="24"/>
        </w:rPr>
        <w:t xml:space="preserve">B. </w:t>
      </w:r>
      <w:r w:rsidRPr="00A7789D">
        <w:rPr>
          <w:rFonts w:cs="ITCFranklinGothicStd-Book"/>
          <w:sz w:val="24"/>
          <w:szCs w:val="24"/>
        </w:rPr>
        <w:t>Burden costs are included in Table 2. The study participants will be members of the general public in the Navajo Nation</w:t>
      </w:r>
      <w:r w:rsidR="008134DD">
        <w:rPr>
          <w:rFonts w:cs="ITCFranklinGothicStd-Book"/>
          <w:sz w:val="24"/>
          <w:szCs w:val="24"/>
        </w:rPr>
        <w:t xml:space="preserve"> (e.g., mothers and fathers)</w:t>
      </w:r>
      <w:r w:rsidRPr="00A7789D">
        <w:rPr>
          <w:rFonts w:cs="ITCFranklinGothicStd-Book"/>
          <w:sz w:val="24"/>
          <w:szCs w:val="24"/>
        </w:rPr>
        <w:t xml:space="preserve">. According to </w:t>
      </w:r>
      <w:r w:rsidR="00177308">
        <w:rPr>
          <w:rFonts w:cs="ITCFranklinGothicStd-Book"/>
          <w:sz w:val="24"/>
          <w:szCs w:val="24"/>
        </w:rPr>
        <w:t>recent</w:t>
      </w:r>
      <w:r w:rsidRPr="00A7789D">
        <w:rPr>
          <w:rFonts w:cs="ITCFranklinGothicStd-Book"/>
          <w:sz w:val="24"/>
          <w:szCs w:val="24"/>
        </w:rPr>
        <w:t xml:space="preserve"> Census data, the average weekly wage within the Navajo Nation is $406 or $10.15/hour assuming a 40 hour work week.  This data is based upon the 2000 Census Demographic Data (</w:t>
      </w:r>
      <w:hyperlink r:id="rId18" w:history="1">
        <w:r w:rsidRPr="00A7789D">
          <w:rPr>
            <w:rStyle w:val="Hyperlink"/>
            <w:rFonts w:cs="ITCFranklinGothicStd-Book"/>
            <w:sz w:val="24"/>
            <w:szCs w:val="24"/>
          </w:rPr>
          <w:t>http://censtats.census.gov/data/AZ/280042430.pdf</w:t>
        </w:r>
      </w:hyperlink>
      <w:r w:rsidR="00177308">
        <w:rPr>
          <w:rFonts w:cs="ITCFranklinGothicStd-Book"/>
          <w:sz w:val="24"/>
          <w:szCs w:val="24"/>
        </w:rPr>
        <w:t xml:space="preserve">) and 2010 Demographic Analysis of the </w:t>
      </w:r>
      <w:r w:rsidR="00177308" w:rsidRPr="00177308">
        <w:rPr>
          <w:rFonts w:cs="ITCFranklinGothicStd-Book"/>
          <w:sz w:val="24"/>
          <w:szCs w:val="24"/>
        </w:rPr>
        <w:t>Navajo Nation</w:t>
      </w:r>
      <w:r w:rsidR="00177308">
        <w:rPr>
          <w:rFonts w:cs="ITCFranklinGothicStd-Book"/>
          <w:sz w:val="24"/>
          <w:szCs w:val="24"/>
        </w:rPr>
        <w:t xml:space="preserve"> (</w:t>
      </w:r>
      <w:hyperlink r:id="rId19" w:history="1">
        <w:r w:rsidR="00177308" w:rsidRPr="00200008">
          <w:rPr>
            <w:rStyle w:val="Hyperlink"/>
            <w:rFonts w:cs="ITCFranklinGothicStd-Book"/>
            <w:sz w:val="24"/>
            <w:szCs w:val="24"/>
          </w:rPr>
          <w:t>http://www.azcia.gov/Documents/Links/DemoProfiles/Navajo%20Nation.pdf</w:t>
        </w:r>
      </w:hyperlink>
      <w:r w:rsidR="00177308">
        <w:rPr>
          <w:rFonts w:cs="ITCFranklinGothicStd-Book"/>
          <w:sz w:val="24"/>
          <w:szCs w:val="24"/>
        </w:rPr>
        <w:t>).</w:t>
      </w:r>
    </w:p>
    <w:p w14:paraId="44489A84" w14:textId="77777777" w:rsidR="00A7789D" w:rsidRPr="00A7789D" w:rsidRDefault="00A7789D" w:rsidP="00A7789D">
      <w:pPr>
        <w:autoSpaceDE w:val="0"/>
        <w:autoSpaceDN w:val="0"/>
        <w:adjustRightInd w:val="0"/>
        <w:spacing w:line="240" w:lineRule="auto"/>
        <w:ind w:left="360"/>
        <w:rPr>
          <w:rFonts w:cs="ITCFranklinGothicStd-Book"/>
          <w:sz w:val="24"/>
          <w:szCs w:val="24"/>
        </w:rPr>
      </w:pPr>
    </w:p>
    <w:p w14:paraId="5881B785" w14:textId="77777777" w:rsidR="00A7789D" w:rsidRPr="00A7789D" w:rsidRDefault="00A7789D" w:rsidP="00A7789D">
      <w:pPr>
        <w:autoSpaceDE w:val="0"/>
        <w:autoSpaceDN w:val="0"/>
        <w:adjustRightInd w:val="0"/>
        <w:spacing w:line="240" w:lineRule="auto"/>
        <w:rPr>
          <w:rFonts w:cs="ITCFranklinGothicStd-Book"/>
          <w:sz w:val="24"/>
          <w:szCs w:val="24"/>
          <w:u w:val="single"/>
        </w:rPr>
      </w:pPr>
      <w:r w:rsidRPr="00A7789D">
        <w:rPr>
          <w:rFonts w:cs="ITCFranklinGothicStd-Book"/>
          <w:sz w:val="24"/>
          <w:szCs w:val="24"/>
          <w:u w:val="single"/>
        </w:rPr>
        <w:t>Table 2: Estimate of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29"/>
        <w:gridCol w:w="2327"/>
        <w:gridCol w:w="2344"/>
      </w:tblGrid>
      <w:tr w:rsidR="00A7789D" w:rsidRPr="00A7789D" w14:paraId="2A82AC06" w14:textId="77777777" w:rsidTr="005443D2">
        <w:tc>
          <w:tcPr>
            <w:tcW w:w="2350" w:type="dxa"/>
          </w:tcPr>
          <w:p w14:paraId="036A4110" w14:textId="77777777" w:rsidR="00A7789D" w:rsidRPr="00B20C90" w:rsidRDefault="00A7789D" w:rsidP="00740C9A">
            <w:pPr>
              <w:autoSpaceDE w:val="0"/>
              <w:autoSpaceDN w:val="0"/>
              <w:adjustRightInd w:val="0"/>
              <w:spacing w:after="0" w:line="240" w:lineRule="auto"/>
              <w:rPr>
                <w:rFonts w:cs="ITCFranklinGothicStd-Book"/>
                <w:sz w:val="22"/>
                <w:szCs w:val="22"/>
              </w:rPr>
            </w:pPr>
            <w:r w:rsidRPr="00B20C90">
              <w:rPr>
                <w:rFonts w:cs="ITCFranklinGothicStd-Book"/>
                <w:sz w:val="22"/>
                <w:szCs w:val="22"/>
              </w:rPr>
              <w:t>Type of Respondents</w:t>
            </w:r>
          </w:p>
        </w:tc>
        <w:tc>
          <w:tcPr>
            <w:tcW w:w="2329" w:type="dxa"/>
          </w:tcPr>
          <w:p w14:paraId="1E4EAAD4" w14:textId="77777777" w:rsidR="00A7789D" w:rsidRPr="00B20C90" w:rsidRDefault="00A7789D" w:rsidP="00740C9A">
            <w:pPr>
              <w:autoSpaceDE w:val="0"/>
              <w:autoSpaceDN w:val="0"/>
              <w:adjustRightInd w:val="0"/>
              <w:spacing w:after="0" w:line="240" w:lineRule="auto"/>
              <w:rPr>
                <w:rFonts w:cs="ITCFranklinGothicStd-Book"/>
                <w:sz w:val="22"/>
                <w:szCs w:val="22"/>
              </w:rPr>
            </w:pPr>
            <w:r w:rsidRPr="00B20C90">
              <w:rPr>
                <w:rFonts w:cs="ITCFranklinGothicStd-Book"/>
                <w:sz w:val="22"/>
                <w:szCs w:val="22"/>
              </w:rPr>
              <w:t>Total Burden Hours</w:t>
            </w:r>
          </w:p>
        </w:tc>
        <w:tc>
          <w:tcPr>
            <w:tcW w:w="2327" w:type="dxa"/>
          </w:tcPr>
          <w:p w14:paraId="4AFC3A57" w14:textId="77777777" w:rsidR="00A7789D" w:rsidRPr="00B20C90" w:rsidRDefault="00A7789D" w:rsidP="00740C9A">
            <w:pPr>
              <w:autoSpaceDE w:val="0"/>
              <w:autoSpaceDN w:val="0"/>
              <w:adjustRightInd w:val="0"/>
              <w:spacing w:after="0" w:line="240" w:lineRule="auto"/>
              <w:rPr>
                <w:rFonts w:cs="ITCFranklinGothicStd-Book"/>
                <w:sz w:val="22"/>
                <w:szCs w:val="22"/>
              </w:rPr>
            </w:pPr>
            <w:r w:rsidRPr="00B20C90">
              <w:rPr>
                <w:rFonts w:cs="ITCFranklinGothicStd-Book"/>
                <w:sz w:val="22"/>
                <w:szCs w:val="22"/>
              </w:rPr>
              <w:t>Hourly Wage Rate</w:t>
            </w:r>
          </w:p>
        </w:tc>
        <w:tc>
          <w:tcPr>
            <w:tcW w:w="2344" w:type="dxa"/>
          </w:tcPr>
          <w:p w14:paraId="495705B4" w14:textId="77777777" w:rsidR="00A7789D" w:rsidRPr="00B20C90" w:rsidRDefault="00A7789D" w:rsidP="00740C9A">
            <w:pPr>
              <w:autoSpaceDE w:val="0"/>
              <w:autoSpaceDN w:val="0"/>
              <w:adjustRightInd w:val="0"/>
              <w:spacing w:after="0" w:line="240" w:lineRule="auto"/>
              <w:rPr>
                <w:rFonts w:cs="ITCFranklinGothicStd-Book"/>
                <w:sz w:val="22"/>
                <w:szCs w:val="22"/>
              </w:rPr>
            </w:pPr>
            <w:r w:rsidRPr="00B20C90">
              <w:rPr>
                <w:rFonts w:cs="ITCFranklinGothicStd-Book"/>
                <w:sz w:val="22"/>
                <w:szCs w:val="22"/>
              </w:rPr>
              <w:t>Total Burden Cost(s)</w:t>
            </w:r>
          </w:p>
        </w:tc>
      </w:tr>
      <w:tr w:rsidR="00A7789D" w:rsidRPr="00A7789D" w14:paraId="1BD4EBCA" w14:textId="77777777" w:rsidTr="005443D2">
        <w:tc>
          <w:tcPr>
            <w:tcW w:w="2350" w:type="dxa"/>
          </w:tcPr>
          <w:p w14:paraId="720E2FA7" w14:textId="77777777" w:rsidR="00A7789D" w:rsidRPr="00B20C90" w:rsidRDefault="00A7789D" w:rsidP="00740C9A">
            <w:pPr>
              <w:autoSpaceDE w:val="0"/>
              <w:autoSpaceDN w:val="0"/>
              <w:adjustRightInd w:val="0"/>
              <w:spacing w:after="0" w:line="240" w:lineRule="auto"/>
              <w:rPr>
                <w:rFonts w:cs="ITCFranklinGothicStd-Book"/>
                <w:sz w:val="22"/>
                <w:szCs w:val="22"/>
              </w:rPr>
            </w:pPr>
            <w:r w:rsidRPr="00B20C90">
              <w:rPr>
                <w:rFonts w:cs="ITCFranklinGothicStd-Book"/>
                <w:sz w:val="22"/>
                <w:szCs w:val="22"/>
              </w:rPr>
              <w:t>Mothers</w:t>
            </w:r>
          </w:p>
        </w:tc>
        <w:tc>
          <w:tcPr>
            <w:tcW w:w="2329" w:type="dxa"/>
          </w:tcPr>
          <w:p w14:paraId="254712D4" w14:textId="55BC734E" w:rsidR="00A7789D" w:rsidRPr="00B20C90" w:rsidRDefault="00A7789D" w:rsidP="00740C9A">
            <w:pPr>
              <w:autoSpaceDE w:val="0"/>
              <w:autoSpaceDN w:val="0"/>
              <w:adjustRightInd w:val="0"/>
              <w:spacing w:after="0" w:line="240" w:lineRule="auto"/>
              <w:jc w:val="right"/>
              <w:rPr>
                <w:rFonts w:cs="ITCFranklinGothicStd-Book"/>
                <w:sz w:val="22"/>
                <w:szCs w:val="22"/>
              </w:rPr>
            </w:pPr>
            <w:r w:rsidRPr="00B20C90">
              <w:rPr>
                <w:rFonts w:cs="ITCFranklinGothicStd-Book"/>
                <w:sz w:val="22"/>
                <w:szCs w:val="22"/>
              </w:rPr>
              <w:t>3</w:t>
            </w:r>
            <w:r w:rsidR="00EF1AA1">
              <w:rPr>
                <w:rFonts w:cs="ITCFranklinGothicStd-Book"/>
                <w:sz w:val="22"/>
                <w:szCs w:val="22"/>
              </w:rPr>
              <w:t>,</w:t>
            </w:r>
            <w:r w:rsidRPr="00B20C90">
              <w:rPr>
                <w:rFonts w:cs="ITCFranklinGothicStd-Book"/>
                <w:sz w:val="22"/>
                <w:szCs w:val="22"/>
              </w:rPr>
              <w:t>630</w:t>
            </w:r>
          </w:p>
        </w:tc>
        <w:tc>
          <w:tcPr>
            <w:tcW w:w="2327" w:type="dxa"/>
          </w:tcPr>
          <w:p w14:paraId="32AA1DEB" w14:textId="77777777" w:rsidR="00A7789D" w:rsidRPr="00B20C90" w:rsidRDefault="00A7789D" w:rsidP="00740C9A">
            <w:pPr>
              <w:autoSpaceDE w:val="0"/>
              <w:autoSpaceDN w:val="0"/>
              <w:adjustRightInd w:val="0"/>
              <w:spacing w:after="0" w:line="240" w:lineRule="auto"/>
              <w:jc w:val="right"/>
              <w:rPr>
                <w:rFonts w:cs="ITCFranklinGothicStd-Book"/>
                <w:sz w:val="22"/>
                <w:szCs w:val="22"/>
              </w:rPr>
            </w:pPr>
            <w:r w:rsidRPr="00B20C90">
              <w:rPr>
                <w:rFonts w:cs="ITCFranklinGothicStd-Book"/>
                <w:sz w:val="22"/>
                <w:szCs w:val="22"/>
              </w:rPr>
              <w:t>$10.15</w:t>
            </w:r>
          </w:p>
        </w:tc>
        <w:tc>
          <w:tcPr>
            <w:tcW w:w="2344" w:type="dxa"/>
          </w:tcPr>
          <w:p w14:paraId="434A7E1D" w14:textId="77777777" w:rsidR="00A7789D" w:rsidRPr="00B20C90" w:rsidRDefault="00A7789D" w:rsidP="00740C9A">
            <w:pPr>
              <w:autoSpaceDE w:val="0"/>
              <w:autoSpaceDN w:val="0"/>
              <w:adjustRightInd w:val="0"/>
              <w:spacing w:after="0" w:line="240" w:lineRule="auto"/>
              <w:jc w:val="right"/>
              <w:rPr>
                <w:rFonts w:cs="ITCFranklinGothicStd-Book"/>
                <w:sz w:val="22"/>
                <w:szCs w:val="22"/>
              </w:rPr>
            </w:pPr>
            <w:r w:rsidRPr="00B20C90">
              <w:rPr>
                <w:rFonts w:cs="ITCFranklinGothicStd-Book"/>
                <w:sz w:val="22"/>
                <w:szCs w:val="22"/>
              </w:rPr>
              <w:t>$36,844.50</w:t>
            </w:r>
          </w:p>
        </w:tc>
      </w:tr>
      <w:tr w:rsidR="00A7789D" w:rsidRPr="00A7789D" w14:paraId="36107D99" w14:textId="77777777" w:rsidTr="005443D2">
        <w:tc>
          <w:tcPr>
            <w:tcW w:w="2350" w:type="dxa"/>
          </w:tcPr>
          <w:p w14:paraId="52666246" w14:textId="77777777" w:rsidR="00A7789D" w:rsidRPr="00B20C90" w:rsidRDefault="00A7789D" w:rsidP="00740C9A">
            <w:pPr>
              <w:autoSpaceDE w:val="0"/>
              <w:autoSpaceDN w:val="0"/>
              <w:adjustRightInd w:val="0"/>
              <w:spacing w:after="0" w:line="240" w:lineRule="auto"/>
              <w:rPr>
                <w:rFonts w:cs="ITCFranklinGothicStd-Book"/>
                <w:sz w:val="22"/>
                <w:szCs w:val="22"/>
              </w:rPr>
            </w:pPr>
            <w:r w:rsidRPr="00B20C90">
              <w:rPr>
                <w:rFonts w:cs="ITCFranklinGothicStd-Book"/>
                <w:sz w:val="22"/>
                <w:szCs w:val="22"/>
              </w:rPr>
              <w:t>Fathers</w:t>
            </w:r>
          </w:p>
        </w:tc>
        <w:tc>
          <w:tcPr>
            <w:tcW w:w="2329" w:type="dxa"/>
          </w:tcPr>
          <w:p w14:paraId="3CD4F29E" w14:textId="77777777" w:rsidR="00A7789D" w:rsidRPr="00B20C90" w:rsidRDefault="00A7789D" w:rsidP="00740C9A">
            <w:pPr>
              <w:autoSpaceDE w:val="0"/>
              <w:autoSpaceDN w:val="0"/>
              <w:adjustRightInd w:val="0"/>
              <w:spacing w:after="0" w:line="240" w:lineRule="auto"/>
              <w:jc w:val="right"/>
              <w:rPr>
                <w:rFonts w:cs="ITCFranklinGothicStd-Book"/>
                <w:sz w:val="22"/>
                <w:szCs w:val="22"/>
              </w:rPr>
            </w:pPr>
            <w:r w:rsidRPr="00B20C90">
              <w:rPr>
                <w:rFonts w:cs="ITCFranklinGothicStd-Book"/>
                <w:sz w:val="22"/>
                <w:szCs w:val="22"/>
              </w:rPr>
              <w:t>825</w:t>
            </w:r>
          </w:p>
        </w:tc>
        <w:tc>
          <w:tcPr>
            <w:tcW w:w="2327" w:type="dxa"/>
          </w:tcPr>
          <w:p w14:paraId="506C7369" w14:textId="77777777" w:rsidR="00A7789D" w:rsidRPr="00B20C90" w:rsidRDefault="00A7789D" w:rsidP="00740C9A">
            <w:pPr>
              <w:autoSpaceDE w:val="0"/>
              <w:autoSpaceDN w:val="0"/>
              <w:adjustRightInd w:val="0"/>
              <w:spacing w:after="0" w:line="240" w:lineRule="auto"/>
              <w:jc w:val="right"/>
              <w:rPr>
                <w:rFonts w:cs="ITCFranklinGothicStd-Book"/>
                <w:sz w:val="22"/>
                <w:szCs w:val="22"/>
              </w:rPr>
            </w:pPr>
            <w:r w:rsidRPr="00B20C90">
              <w:rPr>
                <w:rFonts w:cs="ITCFranklinGothicStd-Book"/>
                <w:sz w:val="22"/>
                <w:szCs w:val="22"/>
              </w:rPr>
              <w:t>$10.15</w:t>
            </w:r>
          </w:p>
        </w:tc>
        <w:tc>
          <w:tcPr>
            <w:tcW w:w="2344" w:type="dxa"/>
          </w:tcPr>
          <w:p w14:paraId="6B945F14" w14:textId="77777777" w:rsidR="00A7789D" w:rsidRPr="00B20C90" w:rsidRDefault="00A7789D" w:rsidP="00740C9A">
            <w:pPr>
              <w:autoSpaceDE w:val="0"/>
              <w:autoSpaceDN w:val="0"/>
              <w:adjustRightInd w:val="0"/>
              <w:spacing w:after="0" w:line="240" w:lineRule="auto"/>
              <w:jc w:val="right"/>
              <w:rPr>
                <w:rFonts w:cs="ITCFranklinGothicStd-Book"/>
                <w:sz w:val="22"/>
                <w:szCs w:val="22"/>
              </w:rPr>
            </w:pPr>
            <w:r w:rsidRPr="00B20C90">
              <w:rPr>
                <w:rFonts w:cs="ITCFranklinGothicStd-Book"/>
                <w:sz w:val="22"/>
                <w:szCs w:val="22"/>
              </w:rPr>
              <w:t>$  8,373.75</w:t>
            </w:r>
          </w:p>
        </w:tc>
      </w:tr>
      <w:tr w:rsidR="005443D2" w:rsidRPr="00A7789D" w14:paraId="24800B72" w14:textId="77777777" w:rsidTr="005443D2">
        <w:tc>
          <w:tcPr>
            <w:tcW w:w="7006" w:type="dxa"/>
            <w:gridSpan w:val="3"/>
          </w:tcPr>
          <w:p w14:paraId="1AD863B8" w14:textId="6DC019FF" w:rsidR="005443D2" w:rsidRPr="00B20C90" w:rsidRDefault="005443D2" w:rsidP="00740C9A">
            <w:pPr>
              <w:autoSpaceDE w:val="0"/>
              <w:autoSpaceDN w:val="0"/>
              <w:adjustRightInd w:val="0"/>
              <w:spacing w:after="0" w:line="240" w:lineRule="auto"/>
              <w:rPr>
                <w:rFonts w:cs="ITCFranklinGothicStd-Book"/>
                <w:sz w:val="22"/>
                <w:szCs w:val="22"/>
              </w:rPr>
            </w:pPr>
            <w:r>
              <w:rPr>
                <w:rFonts w:cs="ITCFranklinGothicStd-Book"/>
                <w:sz w:val="22"/>
                <w:szCs w:val="22"/>
              </w:rPr>
              <w:t>Total</w:t>
            </w:r>
          </w:p>
        </w:tc>
        <w:tc>
          <w:tcPr>
            <w:tcW w:w="2344" w:type="dxa"/>
          </w:tcPr>
          <w:p w14:paraId="7A763945" w14:textId="503CD1A8" w:rsidR="005443D2" w:rsidRPr="00B20C90" w:rsidRDefault="005443D2" w:rsidP="00740C9A">
            <w:pPr>
              <w:autoSpaceDE w:val="0"/>
              <w:autoSpaceDN w:val="0"/>
              <w:adjustRightInd w:val="0"/>
              <w:spacing w:after="0" w:line="240" w:lineRule="auto"/>
              <w:jc w:val="right"/>
              <w:rPr>
                <w:rFonts w:cs="ITCFranklinGothicStd-Book"/>
                <w:sz w:val="22"/>
                <w:szCs w:val="22"/>
              </w:rPr>
            </w:pPr>
            <w:r>
              <w:rPr>
                <w:rFonts w:cs="ITCFranklinGothicStd-Book"/>
                <w:sz w:val="22"/>
                <w:szCs w:val="22"/>
              </w:rPr>
              <w:t>$45,218.25</w:t>
            </w:r>
          </w:p>
        </w:tc>
      </w:tr>
    </w:tbl>
    <w:p w14:paraId="051C67DE" w14:textId="68811117" w:rsidR="00B45002" w:rsidRPr="00D20211" w:rsidRDefault="00601F1A" w:rsidP="00601F1A">
      <w:pPr>
        <w:pStyle w:val="Heading1"/>
        <w:pBdr>
          <w:bottom w:val="none" w:sz="0" w:space="0" w:color="auto"/>
        </w:pBdr>
        <w:rPr>
          <w:color w:val="auto"/>
        </w:rPr>
      </w:pPr>
      <w:bookmarkStart w:id="15" w:name="_Toc435518573"/>
      <w:r w:rsidRPr="00D20211">
        <w:rPr>
          <w:color w:val="auto"/>
        </w:rPr>
        <w:t>A.</w:t>
      </w:r>
      <w:r w:rsidR="00AC62CC" w:rsidRPr="00D20211">
        <w:rPr>
          <w:color w:val="auto"/>
        </w:rPr>
        <w:t>13</w:t>
      </w:r>
      <w:r w:rsidR="00BE2FEC" w:rsidRPr="00D20211">
        <w:rPr>
          <w:color w:val="auto"/>
        </w:rPr>
        <w:t>. Estimates</w:t>
      </w:r>
      <w:r w:rsidR="00B45002" w:rsidRPr="00D20211">
        <w:rPr>
          <w:color w:val="auto"/>
        </w:rPr>
        <w:t xml:space="preserve"> of Other Total Annual Cost Burden to Respondents and Record Keepers</w:t>
      </w:r>
      <w:bookmarkEnd w:id="15"/>
    </w:p>
    <w:p w14:paraId="3887E2D4" w14:textId="77777777" w:rsidR="00F1279E" w:rsidRPr="00D20211" w:rsidRDefault="00F1279E" w:rsidP="00ED72E9">
      <w:pPr>
        <w:autoSpaceDE w:val="0"/>
        <w:autoSpaceDN w:val="0"/>
        <w:adjustRightInd w:val="0"/>
        <w:spacing w:after="0" w:line="240" w:lineRule="auto"/>
        <w:rPr>
          <w:sz w:val="24"/>
          <w:szCs w:val="24"/>
        </w:rPr>
      </w:pPr>
    </w:p>
    <w:p w14:paraId="50FC4457" w14:textId="7EE1ABC0" w:rsidR="00AC0DB6" w:rsidRPr="004A5BD9" w:rsidRDefault="00B20C90" w:rsidP="004A5BD9">
      <w:pPr>
        <w:autoSpaceDE w:val="0"/>
        <w:autoSpaceDN w:val="0"/>
        <w:adjustRightInd w:val="0"/>
        <w:spacing w:after="0" w:line="240" w:lineRule="auto"/>
        <w:rPr>
          <w:rFonts w:cs="ITCFranklinGothicStd-Book"/>
          <w:sz w:val="24"/>
          <w:szCs w:val="24"/>
        </w:rPr>
      </w:pPr>
      <w:r w:rsidRPr="00B20C90">
        <w:rPr>
          <w:rFonts w:cs="ITCFranklinGothicStd-Book"/>
          <w:sz w:val="24"/>
          <w:szCs w:val="24"/>
        </w:rPr>
        <w:t>There are no capital or maintenance costs incurred by respondents. There are no costs or burden to respondents for recordkeeping.</w:t>
      </w:r>
    </w:p>
    <w:p w14:paraId="2DC96AD8" w14:textId="0E0FCA6E" w:rsidR="00B45002" w:rsidRPr="00D20211" w:rsidRDefault="00601F1A" w:rsidP="00601F1A">
      <w:pPr>
        <w:pStyle w:val="Heading1"/>
        <w:pBdr>
          <w:bottom w:val="none" w:sz="0" w:space="0" w:color="auto"/>
        </w:pBdr>
        <w:rPr>
          <w:color w:val="auto"/>
        </w:rPr>
      </w:pPr>
      <w:bookmarkStart w:id="16" w:name="_Toc435518574"/>
      <w:r w:rsidRPr="00D20211">
        <w:rPr>
          <w:color w:val="auto"/>
        </w:rPr>
        <w:t>A.</w:t>
      </w:r>
      <w:r w:rsidR="00AC62CC" w:rsidRPr="00D20211">
        <w:rPr>
          <w:color w:val="auto"/>
        </w:rPr>
        <w:t>14</w:t>
      </w:r>
      <w:r w:rsidR="00BE2FEC" w:rsidRPr="00D20211">
        <w:rPr>
          <w:color w:val="auto"/>
        </w:rPr>
        <w:t>. Annualized</w:t>
      </w:r>
      <w:r w:rsidR="00B45002" w:rsidRPr="00D20211">
        <w:rPr>
          <w:color w:val="auto"/>
        </w:rPr>
        <w:t xml:space="preserve"> Cost to the Federal Government</w:t>
      </w:r>
      <w:bookmarkEnd w:id="16"/>
    </w:p>
    <w:p w14:paraId="0AF50ABF" w14:textId="77777777" w:rsidR="00C5143F" w:rsidRPr="00BE2FEC" w:rsidRDefault="00C5143F" w:rsidP="00B20C90">
      <w:pPr>
        <w:autoSpaceDE w:val="0"/>
        <w:autoSpaceDN w:val="0"/>
        <w:adjustRightInd w:val="0"/>
        <w:spacing w:line="240" w:lineRule="auto"/>
        <w:rPr>
          <w:rFonts w:cs="ITCFranklinGothicStd-Book"/>
          <w:sz w:val="16"/>
          <w:szCs w:val="16"/>
        </w:rPr>
      </w:pPr>
    </w:p>
    <w:p w14:paraId="08A8D77A" w14:textId="77777777" w:rsidR="00245FB9" w:rsidRDefault="00B20C90" w:rsidP="00B20C90">
      <w:pPr>
        <w:autoSpaceDE w:val="0"/>
        <w:autoSpaceDN w:val="0"/>
        <w:adjustRightInd w:val="0"/>
        <w:spacing w:line="240" w:lineRule="auto"/>
        <w:rPr>
          <w:rFonts w:cs="ITCFranklinGothicStd-Book"/>
          <w:sz w:val="24"/>
          <w:szCs w:val="24"/>
        </w:rPr>
      </w:pPr>
      <w:r w:rsidRPr="00B20C90">
        <w:rPr>
          <w:rFonts w:cs="ITCFranklinGothicStd-Book"/>
          <w:sz w:val="24"/>
          <w:szCs w:val="24"/>
        </w:rPr>
        <w:t>The total estimated cost to the government is $</w:t>
      </w:r>
      <w:r w:rsidR="004A5BD9">
        <w:rPr>
          <w:rFonts w:cs="ITCFranklinGothicStd-Book"/>
          <w:sz w:val="24"/>
          <w:szCs w:val="24"/>
        </w:rPr>
        <w:t>1</w:t>
      </w:r>
      <w:r w:rsidRPr="00B20C90">
        <w:rPr>
          <w:rFonts w:cs="ITCFranklinGothicStd-Book"/>
          <w:sz w:val="24"/>
          <w:szCs w:val="24"/>
        </w:rPr>
        <w:t>6 million</w:t>
      </w:r>
      <w:r w:rsidR="00D8010A">
        <w:rPr>
          <w:rFonts w:cs="ITCFranklinGothicStd-Book"/>
          <w:sz w:val="24"/>
          <w:szCs w:val="24"/>
        </w:rPr>
        <w:t>. This estimated is</w:t>
      </w:r>
      <w:r w:rsidRPr="00B20C90">
        <w:rPr>
          <w:rFonts w:cs="ITCFranklinGothicStd-Book"/>
          <w:sz w:val="24"/>
          <w:szCs w:val="24"/>
        </w:rPr>
        <w:t xml:space="preserve"> based on $2 million Congressional allocation </w:t>
      </w:r>
      <w:r w:rsidR="004A5BD9">
        <w:rPr>
          <w:rFonts w:cs="ITCFranklinGothicStd-Book"/>
          <w:sz w:val="24"/>
          <w:szCs w:val="24"/>
        </w:rPr>
        <w:t>received</w:t>
      </w:r>
      <w:r w:rsidRPr="00B20C90">
        <w:rPr>
          <w:rFonts w:cs="ITCFranklinGothicStd-Book"/>
          <w:sz w:val="24"/>
          <w:szCs w:val="24"/>
        </w:rPr>
        <w:t xml:space="preserve"> for </w:t>
      </w:r>
      <w:r w:rsidR="004A5BD9">
        <w:rPr>
          <w:rFonts w:cs="ITCFranklinGothicStd-Book"/>
          <w:sz w:val="24"/>
          <w:szCs w:val="24"/>
        </w:rPr>
        <w:t>FY 2010-2012</w:t>
      </w:r>
      <w:r w:rsidRPr="00B20C90">
        <w:rPr>
          <w:rFonts w:cs="ITCFranklinGothicStd-Book"/>
          <w:sz w:val="24"/>
          <w:szCs w:val="24"/>
        </w:rPr>
        <w:t xml:space="preserve"> project study period</w:t>
      </w:r>
      <w:r w:rsidR="00D8010A">
        <w:rPr>
          <w:rFonts w:cs="ITCFranklinGothicStd-Book"/>
          <w:sz w:val="24"/>
          <w:szCs w:val="24"/>
        </w:rPr>
        <w:t xml:space="preserve"> ($6 million) </w:t>
      </w:r>
      <w:r w:rsidR="004A5BD9">
        <w:rPr>
          <w:rFonts w:cs="ITCFranklinGothicStd-Book"/>
          <w:sz w:val="24"/>
          <w:szCs w:val="24"/>
        </w:rPr>
        <w:t>and the program projected allocations for FY 2013-2018</w:t>
      </w:r>
      <w:r w:rsidR="00D8010A">
        <w:rPr>
          <w:rFonts w:cs="ITCFranklinGothicStd-Book"/>
          <w:sz w:val="24"/>
          <w:szCs w:val="24"/>
        </w:rPr>
        <w:t xml:space="preserve"> ($10 million)</w:t>
      </w:r>
      <w:r w:rsidRPr="00B20C90">
        <w:rPr>
          <w:rFonts w:cs="ITCFranklinGothicStd-Book"/>
          <w:sz w:val="24"/>
          <w:szCs w:val="24"/>
        </w:rPr>
        <w:t xml:space="preserve">. </w:t>
      </w:r>
    </w:p>
    <w:p w14:paraId="75B7DED6" w14:textId="08D3915D" w:rsidR="00B20C90" w:rsidRPr="00B20C90" w:rsidRDefault="00B20C90" w:rsidP="00B20C90">
      <w:pPr>
        <w:autoSpaceDE w:val="0"/>
        <w:autoSpaceDN w:val="0"/>
        <w:adjustRightInd w:val="0"/>
        <w:spacing w:line="240" w:lineRule="auto"/>
        <w:rPr>
          <w:rFonts w:cs="ITCFranklinGothicStd-Book"/>
          <w:sz w:val="24"/>
          <w:szCs w:val="24"/>
        </w:rPr>
      </w:pPr>
      <w:r w:rsidRPr="00B20C90">
        <w:rPr>
          <w:rFonts w:cs="ITCFranklinGothicStd-Book"/>
          <w:sz w:val="24"/>
          <w:szCs w:val="24"/>
        </w:rPr>
        <w:t>T</w:t>
      </w:r>
      <w:r w:rsidR="00245FB9">
        <w:rPr>
          <w:rFonts w:cs="ITCFranklinGothicStd-Book"/>
          <w:sz w:val="24"/>
          <w:szCs w:val="24"/>
        </w:rPr>
        <w:t>herefore, t</w:t>
      </w:r>
      <w:r w:rsidRPr="00B20C90">
        <w:rPr>
          <w:rFonts w:cs="ITCFranklinGothicStd-Book"/>
          <w:sz w:val="24"/>
          <w:szCs w:val="24"/>
        </w:rPr>
        <w:t>he estimated average annualized cost of the program is $2 million.</w:t>
      </w:r>
    </w:p>
    <w:p w14:paraId="29ECAC1C" w14:textId="41494582" w:rsidR="00B20C90" w:rsidRPr="00245FB9" w:rsidRDefault="00B20C90" w:rsidP="00245FB9">
      <w:pPr>
        <w:pStyle w:val="ListParagraph"/>
        <w:numPr>
          <w:ilvl w:val="0"/>
          <w:numId w:val="5"/>
        </w:numPr>
        <w:autoSpaceDE w:val="0"/>
        <w:autoSpaceDN w:val="0"/>
        <w:adjustRightInd w:val="0"/>
        <w:spacing w:line="240" w:lineRule="auto"/>
        <w:rPr>
          <w:rFonts w:cs="ITCFranklinGothicStd-Book"/>
          <w:sz w:val="24"/>
          <w:szCs w:val="24"/>
        </w:rPr>
      </w:pPr>
      <w:r w:rsidRPr="00245FB9">
        <w:rPr>
          <w:rFonts w:cs="ITCFranklinGothicStd-Book"/>
          <w:sz w:val="24"/>
          <w:szCs w:val="24"/>
        </w:rPr>
        <w:t xml:space="preserve">NNDOH Sole </w:t>
      </w:r>
      <w:r w:rsidR="0029666B" w:rsidRPr="00245FB9">
        <w:rPr>
          <w:rFonts w:cs="ITCFranklinGothicStd-Book"/>
          <w:sz w:val="24"/>
          <w:szCs w:val="24"/>
        </w:rPr>
        <w:t>S</w:t>
      </w:r>
      <w:r w:rsidRPr="00245FB9">
        <w:rPr>
          <w:rFonts w:cs="ITCFranklinGothicStd-Book"/>
          <w:sz w:val="24"/>
          <w:szCs w:val="24"/>
        </w:rPr>
        <w:t xml:space="preserve">ource </w:t>
      </w:r>
      <w:r w:rsidR="0029666B" w:rsidRPr="00245FB9">
        <w:rPr>
          <w:rFonts w:cs="ITCFranklinGothicStd-Book"/>
          <w:sz w:val="24"/>
          <w:szCs w:val="24"/>
        </w:rPr>
        <w:t>C</w:t>
      </w:r>
      <w:r w:rsidRPr="00245FB9">
        <w:rPr>
          <w:rFonts w:cs="ITCFranklinGothicStd-Book"/>
          <w:sz w:val="24"/>
          <w:szCs w:val="24"/>
        </w:rPr>
        <w:t>ontract:</w:t>
      </w:r>
      <w:r w:rsidR="00D8010A" w:rsidRPr="00245FB9">
        <w:rPr>
          <w:rFonts w:cs="ITCFranklinGothicStd-Book"/>
          <w:sz w:val="24"/>
          <w:szCs w:val="24"/>
        </w:rPr>
        <w:t xml:space="preserve"> ~</w:t>
      </w:r>
      <w:r w:rsidRPr="00245FB9">
        <w:rPr>
          <w:rFonts w:cs="ITCFranklinGothicStd-Book"/>
          <w:sz w:val="24"/>
          <w:szCs w:val="24"/>
        </w:rPr>
        <w:t xml:space="preserve"> $</w:t>
      </w:r>
      <w:r w:rsidR="00D8010A" w:rsidRPr="00245FB9">
        <w:rPr>
          <w:rFonts w:cs="ITCFranklinGothicStd-Book"/>
          <w:sz w:val="24"/>
          <w:szCs w:val="24"/>
        </w:rPr>
        <w:t>325</w:t>
      </w:r>
      <w:r w:rsidRPr="00245FB9">
        <w:rPr>
          <w:rFonts w:cs="ITCFranklinGothicStd-Book"/>
          <w:sz w:val="24"/>
          <w:szCs w:val="24"/>
        </w:rPr>
        <w:t>,000 a year</w:t>
      </w:r>
    </w:p>
    <w:p w14:paraId="77936517" w14:textId="1785901E" w:rsidR="00B20C90" w:rsidRPr="00245FB9" w:rsidRDefault="00B20C90" w:rsidP="00245FB9">
      <w:pPr>
        <w:pStyle w:val="ListParagraph"/>
        <w:numPr>
          <w:ilvl w:val="0"/>
          <w:numId w:val="5"/>
        </w:numPr>
        <w:autoSpaceDE w:val="0"/>
        <w:autoSpaceDN w:val="0"/>
        <w:adjustRightInd w:val="0"/>
        <w:spacing w:line="240" w:lineRule="auto"/>
        <w:rPr>
          <w:rFonts w:cs="ITCFranklinGothicStd-Book"/>
          <w:sz w:val="24"/>
          <w:szCs w:val="24"/>
        </w:rPr>
      </w:pPr>
      <w:r w:rsidRPr="00245FB9">
        <w:rPr>
          <w:rFonts w:cs="ITCFranklinGothicStd-Book"/>
          <w:sz w:val="24"/>
          <w:szCs w:val="24"/>
        </w:rPr>
        <w:t xml:space="preserve">UNM Research Cooperative Agreement: </w:t>
      </w:r>
      <w:r w:rsidR="00D8010A" w:rsidRPr="00245FB9">
        <w:rPr>
          <w:rFonts w:cs="ITCFranklinGothicStd-Book"/>
          <w:sz w:val="24"/>
          <w:szCs w:val="24"/>
        </w:rPr>
        <w:t>~</w:t>
      </w:r>
      <w:r w:rsidRPr="00245FB9">
        <w:rPr>
          <w:rFonts w:cs="ITCFranklinGothicStd-Book"/>
          <w:sz w:val="24"/>
          <w:szCs w:val="24"/>
        </w:rPr>
        <w:t>$1</w:t>
      </w:r>
      <w:r w:rsidR="00D8010A" w:rsidRPr="00245FB9">
        <w:rPr>
          <w:rFonts w:cs="ITCFranklinGothicStd-Book"/>
          <w:sz w:val="24"/>
          <w:szCs w:val="24"/>
        </w:rPr>
        <w:t>,200,000</w:t>
      </w:r>
      <w:r w:rsidRPr="00245FB9">
        <w:rPr>
          <w:rFonts w:cs="ITCFranklinGothicStd-Book"/>
          <w:sz w:val="24"/>
          <w:szCs w:val="24"/>
        </w:rPr>
        <w:t xml:space="preserve"> a year </w:t>
      </w:r>
    </w:p>
    <w:p w14:paraId="6C9A2906" w14:textId="7A0776B3" w:rsidR="00B20C90" w:rsidRPr="00245FB9" w:rsidRDefault="00B20C90" w:rsidP="00245FB9">
      <w:pPr>
        <w:pStyle w:val="ListParagraph"/>
        <w:numPr>
          <w:ilvl w:val="0"/>
          <w:numId w:val="5"/>
        </w:numPr>
        <w:autoSpaceDE w:val="0"/>
        <w:autoSpaceDN w:val="0"/>
        <w:adjustRightInd w:val="0"/>
        <w:spacing w:line="240" w:lineRule="auto"/>
        <w:rPr>
          <w:rFonts w:cs="ITCFranklinGothicStd-Book"/>
          <w:sz w:val="24"/>
          <w:szCs w:val="24"/>
        </w:rPr>
      </w:pPr>
      <w:r w:rsidRPr="00245FB9">
        <w:rPr>
          <w:rFonts w:cs="ITCFranklinGothicStd-Book"/>
          <w:sz w:val="24"/>
          <w:szCs w:val="24"/>
        </w:rPr>
        <w:t xml:space="preserve">Navajo Area IHS </w:t>
      </w:r>
      <w:r w:rsidR="0029666B" w:rsidRPr="00245FB9">
        <w:rPr>
          <w:rFonts w:cs="ITCFranklinGothicStd-Book"/>
          <w:sz w:val="24"/>
          <w:szCs w:val="24"/>
        </w:rPr>
        <w:t>I</w:t>
      </w:r>
      <w:r w:rsidRPr="00245FB9">
        <w:rPr>
          <w:rFonts w:cs="ITCFranklinGothicStd-Book"/>
          <w:sz w:val="24"/>
          <w:szCs w:val="24"/>
        </w:rPr>
        <w:t xml:space="preserve">nteragency </w:t>
      </w:r>
      <w:r w:rsidR="0029666B" w:rsidRPr="00245FB9">
        <w:rPr>
          <w:rFonts w:cs="ITCFranklinGothicStd-Book"/>
          <w:sz w:val="24"/>
          <w:szCs w:val="24"/>
        </w:rPr>
        <w:t>A</w:t>
      </w:r>
      <w:r w:rsidRPr="00245FB9">
        <w:rPr>
          <w:rFonts w:cs="ITCFranklinGothicStd-Book"/>
          <w:sz w:val="24"/>
          <w:szCs w:val="24"/>
        </w:rPr>
        <w:t>greement: $375,000 a year</w:t>
      </w:r>
    </w:p>
    <w:p w14:paraId="2B19B2A8" w14:textId="04052B3F" w:rsidR="00B20C90" w:rsidRPr="00245FB9" w:rsidRDefault="00B20C90" w:rsidP="00245FB9">
      <w:pPr>
        <w:pStyle w:val="ListParagraph"/>
        <w:numPr>
          <w:ilvl w:val="0"/>
          <w:numId w:val="5"/>
        </w:numPr>
        <w:autoSpaceDE w:val="0"/>
        <w:autoSpaceDN w:val="0"/>
        <w:adjustRightInd w:val="0"/>
        <w:spacing w:line="240" w:lineRule="auto"/>
        <w:rPr>
          <w:rFonts w:cs="ITCFranklinGothicStd-Book"/>
          <w:sz w:val="24"/>
          <w:szCs w:val="24"/>
        </w:rPr>
      </w:pPr>
      <w:r w:rsidRPr="00245FB9">
        <w:rPr>
          <w:rFonts w:cs="ITCFranklinGothicStd-Book"/>
          <w:sz w:val="24"/>
          <w:szCs w:val="24"/>
        </w:rPr>
        <w:t xml:space="preserve">ATSDR </w:t>
      </w:r>
      <w:r w:rsidR="0029666B" w:rsidRPr="00245FB9">
        <w:rPr>
          <w:rFonts w:cs="ITCFranklinGothicStd-Book"/>
          <w:sz w:val="24"/>
          <w:szCs w:val="24"/>
        </w:rPr>
        <w:t>P</w:t>
      </w:r>
      <w:r w:rsidRPr="00245FB9">
        <w:rPr>
          <w:rFonts w:cs="ITCFranklinGothicStd-Book"/>
          <w:sz w:val="24"/>
          <w:szCs w:val="24"/>
        </w:rPr>
        <w:t xml:space="preserve">ersonnel and </w:t>
      </w:r>
      <w:r w:rsidR="0029666B" w:rsidRPr="00245FB9">
        <w:rPr>
          <w:rFonts w:cs="ITCFranklinGothicStd-Book"/>
          <w:sz w:val="24"/>
          <w:szCs w:val="24"/>
        </w:rPr>
        <w:t>T</w:t>
      </w:r>
      <w:r w:rsidRPr="00245FB9">
        <w:rPr>
          <w:rFonts w:cs="ITCFranklinGothicStd-Book"/>
          <w:sz w:val="24"/>
          <w:szCs w:val="24"/>
        </w:rPr>
        <w:t xml:space="preserve">ravel </w:t>
      </w:r>
      <w:r w:rsidR="0029666B" w:rsidRPr="00245FB9">
        <w:rPr>
          <w:rFonts w:cs="ITCFranklinGothicStd-Book"/>
          <w:sz w:val="24"/>
          <w:szCs w:val="24"/>
        </w:rPr>
        <w:t>C</w:t>
      </w:r>
      <w:r w:rsidRPr="00245FB9">
        <w:rPr>
          <w:rFonts w:cs="ITCFranklinGothicStd-Book"/>
          <w:sz w:val="24"/>
          <w:szCs w:val="24"/>
        </w:rPr>
        <w:t>osts: $</w:t>
      </w:r>
      <w:r w:rsidR="00D8010A" w:rsidRPr="00245FB9">
        <w:rPr>
          <w:rFonts w:cs="ITCFranklinGothicStd-Book"/>
          <w:sz w:val="24"/>
          <w:szCs w:val="24"/>
        </w:rPr>
        <w:t>100,000</w:t>
      </w:r>
    </w:p>
    <w:p w14:paraId="5B8A13B9" w14:textId="77777777" w:rsidR="004D18DE" w:rsidRDefault="00601F1A" w:rsidP="004D18DE">
      <w:pPr>
        <w:pStyle w:val="Heading1"/>
        <w:pBdr>
          <w:bottom w:val="none" w:sz="0" w:space="0" w:color="auto"/>
        </w:pBdr>
        <w:rPr>
          <w:color w:val="auto"/>
        </w:rPr>
      </w:pPr>
      <w:bookmarkStart w:id="17" w:name="_Toc435518575"/>
      <w:r w:rsidRPr="004D18DE">
        <w:rPr>
          <w:color w:val="auto"/>
        </w:rPr>
        <w:t>A.</w:t>
      </w:r>
      <w:r w:rsidR="00AC62CC" w:rsidRPr="004D18DE">
        <w:rPr>
          <w:color w:val="auto"/>
        </w:rPr>
        <w:t>15</w:t>
      </w:r>
      <w:r w:rsidR="00BE2FEC" w:rsidRPr="004D18DE">
        <w:rPr>
          <w:color w:val="auto"/>
        </w:rPr>
        <w:t>. Explanation</w:t>
      </w:r>
      <w:r w:rsidR="00B45002" w:rsidRPr="004D18DE">
        <w:rPr>
          <w:color w:val="auto"/>
        </w:rPr>
        <w:t xml:space="preserve"> for Program Changes or Adjustments</w:t>
      </w:r>
      <w:bookmarkEnd w:id="17"/>
    </w:p>
    <w:p w14:paraId="4322A7E6" w14:textId="77777777" w:rsidR="004D18DE" w:rsidRPr="004D18DE" w:rsidRDefault="004D18DE" w:rsidP="004D18DE"/>
    <w:p w14:paraId="287C68FC" w14:textId="5B2381D6" w:rsidR="00B20C90" w:rsidRDefault="00B20C90" w:rsidP="004D18DE">
      <w:r w:rsidRPr="00B20C90">
        <w:t>This is an extension request and the burden has not changed from the burden shown in the current inventory.</w:t>
      </w:r>
    </w:p>
    <w:p w14:paraId="6A569BBC" w14:textId="75E781EA" w:rsidR="00B45002" w:rsidRPr="00D20211" w:rsidRDefault="00601F1A" w:rsidP="00601F1A">
      <w:pPr>
        <w:pStyle w:val="Heading1"/>
        <w:pBdr>
          <w:bottom w:val="none" w:sz="0" w:space="0" w:color="auto"/>
        </w:pBdr>
        <w:rPr>
          <w:color w:val="auto"/>
        </w:rPr>
      </w:pPr>
      <w:bookmarkStart w:id="18" w:name="_Toc435518576"/>
      <w:r w:rsidRPr="00D20211">
        <w:rPr>
          <w:color w:val="auto"/>
        </w:rPr>
        <w:t>A.</w:t>
      </w:r>
      <w:r w:rsidR="00AC62CC" w:rsidRPr="00D20211">
        <w:rPr>
          <w:color w:val="auto"/>
        </w:rPr>
        <w:t>16</w:t>
      </w:r>
      <w:r w:rsidR="00BE2FEC" w:rsidRPr="00D20211">
        <w:rPr>
          <w:color w:val="auto"/>
        </w:rPr>
        <w:t>. Plans</w:t>
      </w:r>
      <w:r w:rsidR="00B45002" w:rsidRPr="00D20211">
        <w:rPr>
          <w:color w:val="auto"/>
        </w:rPr>
        <w:t xml:space="preserve"> for Tabulation and Publication and Project Time Schedule</w:t>
      </w:r>
      <w:bookmarkEnd w:id="18"/>
    </w:p>
    <w:p w14:paraId="741C153F" w14:textId="77777777" w:rsidR="00B20C90" w:rsidRPr="00C5143F" w:rsidRDefault="00B20C90" w:rsidP="003248A4">
      <w:pPr>
        <w:spacing w:line="240" w:lineRule="auto"/>
        <w:rPr>
          <w:rFonts w:cs="ITCFranklinGothicStd-Book"/>
          <w:sz w:val="20"/>
          <w:szCs w:val="20"/>
        </w:rPr>
      </w:pPr>
    </w:p>
    <w:p w14:paraId="1C7DD0EF" w14:textId="3F9A01E3" w:rsidR="00F276E9" w:rsidRDefault="00177308" w:rsidP="003248A4">
      <w:pPr>
        <w:spacing w:line="240" w:lineRule="auto"/>
        <w:rPr>
          <w:rFonts w:cs="ITCFranklinGothicStd-Book"/>
          <w:sz w:val="24"/>
          <w:szCs w:val="24"/>
        </w:rPr>
      </w:pPr>
      <w:r w:rsidRPr="00177308">
        <w:rPr>
          <w:rFonts w:cs="ITCFranklinGothicStd-Book"/>
          <w:sz w:val="24"/>
          <w:szCs w:val="24"/>
        </w:rPr>
        <w:t>A variety of statistical methods will be used in the data analysis, including nonpa</w:t>
      </w:r>
      <w:r w:rsidR="00DA2325">
        <w:rPr>
          <w:rFonts w:cs="ITCFranklinGothicStd-Book"/>
          <w:sz w:val="24"/>
          <w:szCs w:val="24"/>
        </w:rPr>
        <w:t>rametric methods, such as LOWESS</w:t>
      </w:r>
      <w:r w:rsidRPr="00177308">
        <w:rPr>
          <w:rFonts w:cs="ITCFranklinGothicStd-Book"/>
          <w:sz w:val="24"/>
          <w:szCs w:val="24"/>
        </w:rPr>
        <w:t>, regression models, such as Cox proportional hazards regression, and generalized mixed effect models</w:t>
      </w:r>
      <w:r w:rsidR="005301F4">
        <w:rPr>
          <w:rFonts w:cs="ITCFranklinGothicStd-Book"/>
          <w:sz w:val="24"/>
          <w:szCs w:val="24"/>
        </w:rPr>
        <w:t xml:space="preserve"> </w:t>
      </w:r>
      <w:r w:rsidR="00221CAD">
        <w:rPr>
          <w:rFonts w:cs="ITCFranklinGothicStd-Book"/>
          <w:sz w:val="24"/>
          <w:szCs w:val="24"/>
        </w:rPr>
        <w:t>(See Supporting Statement Part B)</w:t>
      </w:r>
      <w:r w:rsidRPr="00177308">
        <w:rPr>
          <w:rFonts w:cs="ITCFranklinGothicStd-Book"/>
          <w:sz w:val="24"/>
          <w:szCs w:val="24"/>
        </w:rPr>
        <w:t xml:space="preserve">.  </w:t>
      </w:r>
      <w:r w:rsidR="00B20C90" w:rsidRPr="00B20C90">
        <w:rPr>
          <w:rFonts w:cs="ITCFranklinGothicStd-Book"/>
          <w:sz w:val="24"/>
          <w:szCs w:val="24"/>
        </w:rPr>
        <w:t xml:space="preserve">Three years are requested for continued data/information collection activities. Project Time Schedule is listed </w:t>
      </w:r>
      <w:r w:rsidR="000F1D87">
        <w:rPr>
          <w:rFonts w:cs="ITCFranklinGothicStd-Book"/>
          <w:sz w:val="24"/>
          <w:szCs w:val="24"/>
        </w:rPr>
        <w:t>below</w:t>
      </w:r>
      <w:r w:rsidR="00B20C90" w:rsidRPr="00B20C90">
        <w:rPr>
          <w:rFonts w:cs="ITCFranklinGothicStd-Book"/>
          <w:sz w:val="24"/>
          <w:szCs w:val="24"/>
        </w:rPr>
        <w:t>.</w:t>
      </w:r>
    </w:p>
    <w:tbl>
      <w:tblPr>
        <w:tblpPr w:leftFromText="180" w:rightFromText="180" w:vertAnchor="text" w:horzAnchor="margin" w:tblpY="323"/>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780"/>
      </w:tblGrid>
      <w:tr w:rsidR="00C5143F" w:rsidRPr="00B20C90" w14:paraId="68CB47E5" w14:textId="77777777" w:rsidTr="005301C8">
        <w:trPr>
          <w:trHeight w:val="342"/>
        </w:trPr>
        <w:tc>
          <w:tcPr>
            <w:tcW w:w="9445" w:type="dxa"/>
            <w:gridSpan w:val="2"/>
            <w:vAlign w:val="center"/>
          </w:tcPr>
          <w:p w14:paraId="1E1D657E" w14:textId="14124D0D" w:rsidR="00C5143F" w:rsidRPr="00B20C90" w:rsidRDefault="000F1D87" w:rsidP="00740C9A">
            <w:pPr>
              <w:spacing w:after="0" w:line="240" w:lineRule="auto"/>
              <w:rPr>
                <w:rFonts w:cs="ITCFranklinGothicStd-Book"/>
                <w:sz w:val="24"/>
                <w:szCs w:val="24"/>
              </w:rPr>
            </w:pPr>
            <w:r>
              <w:rPr>
                <w:rFonts w:cs="ITCFranklinGothicStd-Book"/>
                <w:sz w:val="24"/>
                <w:szCs w:val="24"/>
              </w:rPr>
              <w:lastRenderedPageBreak/>
              <w:t xml:space="preserve">Table </w:t>
            </w:r>
            <w:r w:rsidR="00C5143F" w:rsidRPr="00B20C90">
              <w:rPr>
                <w:rFonts w:cs="ITCFranklinGothicStd-Book"/>
                <w:sz w:val="24"/>
                <w:szCs w:val="24"/>
              </w:rPr>
              <w:t>A.16.1 Project Time Schedule</w:t>
            </w:r>
          </w:p>
        </w:tc>
      </w:tr>
      <w:tr w:rsidR="00C5143F" w:rsidRPr="00B20C90" w14:paraId="60567F4F" w14:textId="77777777" w:rsidTr="005301C8">
        <w:trPr>
          <w:trHeight w:val="342"/>
        </w:trPr>
        <w:tc>
          <w:tcPr>
            <w:tcW w:w="5665" w:type="dxa"/>
            <w:vAlign w:val="center"/>
          </w:tcPr>
          <w:p w14:paraId="59921413"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Activity</w:t>
            </w:r>
          </w:p>
        </w:tc>
        <w:tc>
          <w:tcPr>
            <w:tcW w:w="3780" w:type="dxa"/>
            <w:vAlign w:val="center"/>
          </w:tcPr>
          <w:p w14:paraId="54190EB8"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Time Schedule</w:t>
            </w:r>
          </w:p>
        </w:tc>
      </w:tr>
      <w:tr w:rsidR="00C5143F" w:rsidRPr="00B20C90" w14:paraId="23C967E5" w14:textId="77777777" w:rsidTr="005301C8">
        <w:trPr>
          <w:trHeight w:val="346"/>
        </w:trPr>
        <w:tc>
          <w:tcPr>
            <w:tcW w:w="5665" w:type="dxa"/>
            <w:vAlign w:val="center"/>
          </w:tcPr>
          <w:p w14:paraId="715EEB10" w14:textId="5558B679" w:rsidR="00C5143F" w:rsidRPr="00B20C90" w:rsidRDefault="00F276E9" w:rsidP="00740C9A">
            <w:pPr>
              <w:spacing w:after="0" w:line="240" w:lineRule="auto"/>
              <w:rPr>
                <w:rFonts w:cs="ITCFranklinGothicStd-Book"/>
                <w:sz w:val="24"/>
                <w:szCs w:val="24"/>
              </w:rPr>
            </w:pPr>
            <w:r>
              <w:rPr>
                <w:rFonts w:cs="ITCFranklinGothicStd-Book"/>
                <w:sz w:val="24"/>
                <w:szCs w:val="24"/>
              </w:rPr>
              <w:t>Continue to r</w:t>
            </w:r>
            <w:r w:rsidR="00C5143F" w:rsidRPr="00B20C90">
              <w:rPr>
                <w:rFonts w:cs="ITCFranklinGothicStd-Book"/>
                <w:sz w:val="24"/>
                <w:szCs w:val="24"/>
              </w:rPr>
              <w:t>aise awareness of the study</w:t>
            </w:r>
            <w:r w:rsidR="00C5143F">
              <w:rPr>
                <w:rFonts w:cs="ITCFranklinGothicStd-Book"/>
                <w:sz w:val="24"/>
                <w:szCs w:val="24"/>
              </w:rPr>
              <w:t xml:space="preserve"> through outreach and education</w:t>
            </w:r>
          </w:p>
        </w:tc>
        <w:tc>
          <w:tcPr>
            <w:tcW w:w="3780" w:type="dxa"/>
            <w:vAlign w:val="center"/>
          </w:tcPr>
          <w:p w14:paraId="616CBE32" w14:textId="475D2EB3" w:rsidR="00C5143F" w:rsidRPr="00B20C90" w:rsidRDefault="00F276E9" w:rsidP="00740C9A">
            <w:pPr>
              <w:spacing w:after="0" w:line="240" w:lineRule="auto"/>
              <w:rPr>
                <w:rFonts w:cs="ITCFranklinGothicStd-Book"/>
                <w:sz w:val="24"/>
                <w:szCs w:val="24"/>
              </w:rPr>
            </w:pPr>
            <w:r>
              <w:rPr>
                <w:rFonts w:cs="ITCFranklinGothicStd-Book"/>
                <w:sz w:val="24"/>
                <w:szCs w:val="24"/>
              </w:rPr>
              <w:t>0</w:t>
            </w:r>
            <w:r w:rsidR="00C5143F" w:rsidRPr="00B20C90">
              <w:rPr>
                <w:rFonts w:cs="ITCFranklinGothicStd-Book"/>
                <w:sz w:val="24"/>
                <w:szCs w:val="24"/>
              </w:rPr>
              <w:t>-2</w:t>
            </w:r>
            <w:r>
              <w:rPr>
                <w:rFonts w:cs="ITCFranklinGothicStd-Book"/>
                <w:sz w:val="24"/>
                <w:szCs w:val="24"/>
              </w:rPr>
              <w:t>4</w:t>
            </w:r>
            <w:r w:rsidR="00C5143F" w:rsidRPr="00B20C90">
              <w:rPr>
                <w:rFonts w:cs="ITCFranklinGothicStd-Book"/>
                <w:sz w:val="24"/>
                <w:szCs w:val="24"/>
              </w:rPr>
              <w:t xml:space="preserve"> months after OMB approval</w:t>
            </w:r>
          </w:p>
        </w:tc>
      </w:tr>
      <w:tr w:rsidR="00C5143F" w:rsidRPr="00B20C90" w14:paraId="14B93464" w14:textId="77777777" w:rsidTr="005301C8">
        <w:trPr>
          <w:trHeight w:val="422"/>
        </w:trPr>
        <w:tc>
          <w:tcPr>
            <w:tcW w:w="5665" w:type="dxa"/>
            <w:vAlign w:val="center"/>
          </w:tcPr>
          <w:p w14:paraId="00A38CF8" w14:textId="5CD574B3" w:rsidR="00C5143F" w:rsidRPr="00B20C90" w:rsidRDefault="00D8010A" w:rsidP="00740C9A">
            <w:pPr>
              <w:spacing w:after="0" w:line="240" w:lineRule="auto"/>
              <w:rPr>
                <w:rFonts w:cs="ITCFranklinGothicStd-Book"/>
                <w:sz w:val="24"/>
                <w:szCs w:val="24"/>
              </w:rPr>
            </w:pPr>
            <w:r>
              <w:rPr>
                <w:rFonts w:cs="ITCFranklinGothicStd-Book"/>
                <w:sz w:val="24"/>
                <w:szCs w:val="24"/>
              </w:rPr>
              <w:t>Continue</w:t>
            </w:r>
            <w:r w:rsidRPr="00B20C90">
              <w:rPr>
                <w:rFonts w:cs="ITCFranklinGothicStd-Book"/>
                <w:sz w:val="24"/>
                <w:szCs w:val="24"/>
              </w:rPr>
              <w:t xml:space="preserve"> </w:t>
            </w:r>
            <w:r w:rsidR="00C5143F" w:rsidRPr="00B20C90">
              <w:rPr>
                <w:rFonts w:cs="ITCFranklinGothicStd-Book"/>
                <w:sz w:val="24"/>
                <w:szCs w:val="24"/>
              </w:rPr>
              <w:t>study recruitment</w:t>
            </w:r>
          </w:p>
        </w:tc>
        <w:tc>
          <w:tcPr>
            <w:tcW w:w="3780" w:type="dxa"/>
            <w:vAlign w:val="center"/>
          </w:tcPr>
          <w:p w14:paraId="1D63B23B" w14:textId="62758528" w:rsidR="00C5143F" w:rsidRPr="00B20C90" w:rsidRDefault="00F276E9" w:rsidP="00F276E9">
            <w:pPr>
              <w:spacing w:after="0" w:line="240" w:lineRule="auto"/>
              <w:rPr>
                <w:rFonts w:cs="ITCFranklinGothicStd-Book"/>
                <w:sz w:val="24"/>
                <w:szCs w:val="24"/>
              </w:rPr>
            </w:pPr>
            <w:r>
              <w:rPr>
                <w:rFonts w:cs="ITCFranklinGothicStd-Book"/>
                <w:sz w:val="24"/>
                <w:szCs w:val="24"/>
              </w:rPr>
              <w:t>0</w:t>
            </w:r>
            <w:r w:rsidR="00C5143F" w:rsidRPr="00B20C90">
              <w:rPr>
                <w:rFonts w:cs="ITCFranklinGothicStd-Book"/>
                <w:sz w:val="24"/>
                <w:szCs w:val="24"/>
              </w:rPr>
              <w:t>-</w:t>
            </w:r>
            <w:r>
              <w:rPr>
                <w:rFonts w:cs="ITCFranklinGothicStd-Book"/>
                <w:sz w:val="24"/>
                <w:szCs w:val="24"/>
              </w:rPr>
              <w:t>24</w:t>
            </w:r>
            <w:r w:rsidRPr="00B20C90">
              <w:rPr>
                <w:rFonts w:cs="ITCFranklinGothicStd-Book"/>
                <w:sz w:val="24"/>
                <w:szCs w:val="24"/>
              </w:rPr>
              <w:t xml:space="preserve"> </w:t>
            </w:r>
            <w:r w:rsidR="00C5143F" w:rsidRPr="00B20C90">
              <w:rPr>
                <w:rFonts w:cs="ITCFranklinGothicStd-Book"/>
                <w:sz w:val="24"/>
                <w:szCs w:val="24"/>
              </w:rPr>
              <w:t>months after OMB approval</w:t>
            </w:r>
          </w:p>
        </w:tc>
      </w:tr>
      <w:tr w:rsidR="00C5143F" w:rsidRPr="00B20C90" w14:paraId="7F4E98F2" w14:textId="77777777" w:rsidTr="005301C8">
        <w:trPr>
          <w:trHeight w:val="368"/>
        </w:trPr>
        <w:tc>
          <w:tcPr>
            <w:tcW w:w="5665" w:type="dxa"/>
            <w:vAlign w:val="center"/>
          </w:tcPr>
          <w:p w14:paraId="201B8CBA" w14:textId="51822A32" w:rsidR="00C5143F" w:rsidRPr="00B20C90" w:rsidRDefault="00F276E9" w:rsidP="00F276E9">
            <w:pPr>
              <w:spacing w:after="0" w:line="240" w:lineRule="auto"/>
              <w:rPr>
                <w:rFonts w:cs="ITCFranklinGothicStd-Book"/>
                <w:sz w:val="24"/>
                <w:szCs w:val="24"/>
              </w:rPr>
            </w:pPr>
            <w:r>
              <w:rPr>
                <w:rFonts w:cs="ITCFranklinGothicStd-Book"/>
                <w:sz w:val="24"/>
                <w:szCs w:val="24"/>
              </w:rPr>
              <w:t>Continue d</w:t>
            </w:r>
            <w:r w:rsidR="00C5143F" w:rsidRPr="00B20C90">
              <w:rPr>
                <w:rFonts w:cs="ITCFranklinGothicStd-Book"/>
                <w:sz w:val="24"/>
                <w:szCs w:val="24"/>
              </w:rPr>
              <w:t>ata collection, cleaning, merging and analysis</w:t>
            </w:r>
          </w:p>
        </w:tc>
        <w:tc>
          <w:tcPr>
            <w:tcW w:w="3780" w:type="dxa"/>
            <w:vAlign w:val="center"/>
          </w:tcPr>
          <w:p w14:paraId="5BF273BA"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5-36 months after OMB approval</w:t>
            </w:r>
          </w:p>
        </w:tc>
      </w:tr>
      <w:tr w:rsidR="00C5143F" w:rsidRPr="00B20C90" w14:paraId="18D69501" w14:textId="77777777" w:rsidTr="005301C8">
        <w:trPr>
          <w:trHeight w:val="595"/>
        </w:trPr>
        <w:tc>
          <w:tcPr>
            <w:tcW w:w="5665" w:type="dxa"/>
            <w:vAlign w:val="center"/>
          </w:tcPr>
          <w:p w14:paraId="054E7381"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Continue data analysis and report preliminary study findings to Navajo community and at scientific meetings</w:t>
            </w:r>
          </w:p>
        </w:tc>
        <w:tc>
          <w:tcPr>
            <w:tcW w:w="3780" w:type="dxa"/>
            <w:vAlign w:val="center"/>
          </w:tcPr>
          <w:p w14:paraId="2DB1CB72"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12-36 months after OMB approval</w:t>
            </w:r>
          </w:p>
        </w:tc>
      </w:tr>
      <w:tr w:rsidR="00C5143F" w:rsidRPr="00B20C90" w14:paraId="5E9ED689" w14:textId="77777777" w:rsidTr="005301C8">
        <w:trPr>
          <w:trHeight w:val="582"/>
        </w:trPr>
        <w:tc>
          <w:tcPr>
            <w:tcW w:w="5665" w:type="dxa"/>
            <w:vAlign w:val="center"/>
          </w:tcPr>
          <w:p w14:paraId="7B1F10DD"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Prepare reports and publications as analyses are completed</w:t>
            </w:r>
          </w:p>
        </w:tc>
        <w:tc>
          <w:tcPr>
            <w:tcW w:w="3780" w:type="dxa"/>
            <w:vAlign w:val="center"/>
          </w:tcPr>
          <w:p w14:paraId="71D6F5C1" w14:textId="77777777" w:rsidR="00C5143F" w:rsidRPr="00B20C90" w:rsidRDefault="00C5143F" w:rsidP="00740C9A">
            <w:pPr>
              <w:spacing w:after="0" w:line="240" w:lineRule="auto"/>
              <w:rPr>
                <w:rFonts w:cs="ITCFranklinGothicStd-Book"/>
                <w:sz w:val="24"/>
                <w:szCs w:val="24"/>
              </w:rPr>
            </w:pPr>
            <w:r w:rsidRPr="00B20C90">
              <w:rPr>
                <w:rFonts w:cs="ITCFranklinGothicStd-Book"/>
                <w:sz w:val="24"/>
                <w:szCs w:val="24"/>
              </w:rPr>
              <w:t>24-36 months after OMB approval</w:t>
            </w:r>
          </w:p>
        </w:tc>
      </w:tr>
    </w:tbl>
    <w:p w14:paraId="4F2E4D0C" w14:textId="77777777" w:rsidR="0022413B" w:rsidRDefault="0022413B" w:rsidP="003248A4">
      <w:pPr>
        <w:spacing w:line="240" w:lineRule="auto"/>
        <w:rPr>
          <w:rFonts w:cs="ITCFranklinGothicStd-Book"/>
          <w:sz w:val="24"/>
          <w:szCs w:val="24"/>
        </w:rPr>
      </w:pPr>
    </w:p>
    <w:p w14:paraId="4B1B9FCD" w14:textId="77777777" w:rsidR="00D4717E" w:rsidRDefault="00D4717E" w:rsidP="005301C8">
      <w:pPr>
        <w:pStyle w:val="Heading1"/>
        <w:pBdr>
          <w:bottom w:val="none" w:sz="0" w:space="0" w:color="auto"/>
        </w:pBdr>
        <w:spacing w:before="0"/>
        <w:rPr>
          <w:color w:val="auto"/>
        </w:rPr>
      </w:pPr>
    </w:p>
    <w:p w14:paraId="17A1701D" w14:textId="12864327" w:rsidR="00B45002" w:rsidRPr="00D20211" w:rsidRDefault="00601F1A" w:rsidP="00601F1A">
      <w:pPr>
        <w:pStyle w:val="Heading1"/>
        <w:pBdr>
          <w:bottom w:val="none" w:sz="0" w:space="0" w:color="auto"/>
        </w:pBdr>
        <w:rPr>
          <w:color w:val="auto"/>
        </w:rPr>
      </w:pPr>
      <w:bookmarkStart w:id="19" w:name="_Toc435518577"/>
      <w:r w:rsidRPr="00D20211">
        <w:rPr>
          <w:color w:val="auto"/>
        </w:rPr>
        <w:t>A.</w:t>
      </w:r>
      <w:r w:rsidR="00AC62CC" w:rsidRPr="00D20211">
        <w:rPr>
          <w:color w:val="auto"/>
        </w:rPr>
        <w:t>17</w:t>
      </w:r>
      <w:r w:rsidR="00F276E9" w:rsidRPr="00D20211">
        <w:rPr>
          <w:color w:val="auto"/>
        </w:rPr>
        <w:t>. Reason</w:t>
      </w:r>
      <w:r w:rsidR="00B45002" w:rsidRPr="00D20211">
        <w:rPr>
          <w:color w:val="auto"/>
        </w:rPr>
        <w:t>(s) Display of OMB Expiration Date is Inappropriate</w:t>
      </w:r>
      <w:bookmarkEnd w:id="19"/>
    </w:p>
    <w:p w14:paraId="7135D023" w14:textId="77777777" w:rsidR="005B6E55" w:rsidRPr="00C5143F" w:rsidRDefault="005B6E55" w:rsidP="005B6E55">
      <w:pPr>
        <w:rPr>
          <w:sz w:val="20"/>
          <w:szCs w:val="20"/>
        </w:rPr>
      </w:pPr>
    </w:p>
    <w:p w14:paraId="387ECE52" w14:textId="33A6BD38" w:rsidR="005B6E55" w:rsidRPr="00D20211" w:rsidRDefault="0022413B" w:rsidP="005B6E55">
      <w:pPr>
        <w:autoSpaceDE w:val="0"/>
        <w:autoSpaceDN w:val="0"/>
        <w:adjustRightInd w:val="0"/>
        <w:spacing w:line="240" w:lineRule="auto"/>
        <w:rPr>
          <w:rFonts w:cs="ITCFranklinGothicStd-Book"/>
          <w:sz w:val="24"/>
          <w:szCs w:val="24"/>
        </w:rPr>
      </w:pPr>
      <w:r>
        <w:rPr>
          <w:rFonts w:cs="ITCFranklinGothicStd-Book"/>
          <w:sz w:val="24"/>
          <w:szCs w:val="24"/>
        </w:rPr>
        <w:t xml:space="preserve"> </w:t>
      </w:r>
      <w:r w:rsidR="005B6E55" w:rsidRPr="00D20211">
        <w:rPr>
          <w:rFonts w:cs="ITCFranklinGothicStd-Book"/>
          <w:sz w:val="24"/>
          <w:szCs w:val="24"/>
        </w:rPr>
        <w:t>The display of the OMB expiration date is not inappropriate.</w:t>
      </w:r>
    </w:p>
    <w:p w14:paraId="2756C2D5" w14:textId="391DC816" w:rsidR="00DC57CC" w:rsidRPr="00D20211" w:rsidRDefault="00601F1A" w:rsidP="00601F1A">
      <w:pPr>
        <w:pStyle w:val="Heading1"/>
        <w:pBdr>
          <w:bottom w:val="none" w:sz="0" w:space="0" w:color="auto"/>
        </w:pBdr>
        <w:rPr>
          <w:color w:val="auto"/>
        </w:rPr>
      </w:pPr>
      <w:bookmarkStart w:id="20" w:name="_Toc435518578"/>
      <w:r w:rsidRPr="00D20211">
        <w:rPr>
          <w:color w:val="auto"/>
        </w:rPr>
        <w:t>A.</w:t>
      </w:r>
      <w:r w:rsidR="00B45002" w:rsidRPr="00D20211">
        <w:rPr>
          <w:color w:val="auto"/>
        </w:rPr>
        <w:t>18</w:t>
      </w:r>
      <w:r w:rsidR="00F276E9" w:rsidRPr="00D20211">
        <w:rPr>
          <w:color w:val="auto"/>
        </w:rPr>
        <w:t>. Exceptions</w:t>
      </w:r>
      <w:r w:rsidR="00B45002" w:rsidRPr="00D20211">
        <w:rPr>
          <w:color w:val="auto"/>
        </w:rPr>
        <w:t xml:space="preserve"> to Certification for Paperwork Reduction Act Submissions</w:t>
      </w:r>
      <w:bookmarkEnd w:id="20"/>
    </w:p>
    <w:p w14:paraId="597988E5" w14:textId="77777777" w:rsidR="00C5143F" w:rsidRPr="00BE2FEC" w:rsidRDefault="00C5143F" w:rsidP="00EC64FB">
      <w:pPr>
        <w:autoSpaceDE w:val="0"/>
        <w:autoSpaceDN w:val="0"/>
        <w:adjustRightInd w:val="0"/>
        <w:spacing w:line="240" w:lineRule="auto"/>
        <w:rPr>
          <w:rFonts w:cs="ITCFranklinGothicStd-Book"/>
          <w:sz w:val="16"/>
          <w:szCs w:val="16"/>
        </w:rPr>
      </w:pPr>
    </w:p>
    <w:p w14:paraId="21296356" w14:textId="786B6B81" w:rsidR="005B6E55" w:rsidRDefault="00C5143F" w:rsidP="00EC64FB">
      <w:pPr>
        <w:autoSpaceDE w:val="0"/>
        <w:autoSpaceDN w:val="0"/>
        <w:adjustRightInd w:val="0"/>
        <w:spacing w:line="240" w:lineRule="auto"/>
        <w:rPr>
          <w:rFonts w:cs="ITCFranklinGothicStd-Book"/>
          <w:sz w:val="24"/>
          <w:szCs w:val="24"/>
        </w:rPr>
      </w:pPr>
      <w:r>
        <w:rPr>
          <w:rFonts w:cs="ITCFranklinGothicStd-Book"/>
          <w:sz w:val="24"/>
          <w:szCs w:val="24"/>
        </w:rPr>
        <w:t xml:space="preserve"> </w:t>
      </w:r>
      <w:r w:rsidR="005B6E55" w:rsidRPr="00D20211">
        <w:rPr>
          <w:rFonts w:cs="ITCFranklinGothicStd-Book"/>
          <w:sz w:val="24"/>
          <w:szCs w:val="24"/>
        </w:rPr>
        <w:t>There are no e</w:t>
      </w:r>
      <w:r>
        <w:rPr>
          <w:rFonts w:cs="ITCFranklinGothicStd-Book"/>
          <w:sz w:val="24"/>
          <w:szCs w:val="24"/>
        </w:rPr>
        <w:t>xceptions to the certification.</w:t>
      </w:r>
    </w:p>
    <w:p w14:paraId="7F32C4B5" w14:textId="77777777" w:rsidR="00CC3F05" w:rsidRDefault="00CC3F05">
      <w:pPr>
        <w:rPr>
          <w:rFonts w:ascii="Cambria" w:eastAsiaTheme="majorEastAsia" w:hAnsi="Cambria" w:cstheme="majorBidi"/>
          <w:sz w:val="36"/>
          <w:szCs w:val="36"/>
        </w:rPr>
      </w:pPr>
      <w:r>
        <w:rPr>
          <w:rFonts w:ascii="Cambria" w:hAnsi="Cambria"/>
        </w:rPr>
        <w:br w:type="page"/>
      </w:r>
    </w:p>
    <w:p w14:paraId="4AA67867" w14:textId="6CB1E1DD" w:rsidR="008C154D" w:rsidRPr="00D20211" w:rsidRDefault="008C154D" w:rsidP="008C154D">
      <w:pPr>
        <w:pStyle w:val="Heading1"/>
        <w:pBdr>
          <w:bottom w:val="none" w:sz="0" w:space="0" w:color="auto"/>
        </w:pBdr>
        <w:rPr>
          <w:rFonts w:ascii="Cambria" w:hAnsi="Cambria"/>
          <w:color w:val="auto"/>
        </w:rPr>
      </w:pPr>
      <w:bookmarkStart w:id="21" w:name="_Toc435518579"/>
      <w:r w:rsidRPr="00D20211">
        <w:rPr>
          <w:rFonts w:ascii="Cambria" w:hAnsi="Cambria"/>
          <w:color w:val="auto"/>
        </w:rPr>
        <w:lastRenderedPageBreak/>
        <w:t>L</w:t>
      </w:r>
      <w:r w:rsidR="00E278FC" w:rsidRPr="00D20211">
        <w:rPr>
          <w:rFonts w:ascii="Cambria" w:hAnsi="Cambria"/>
          <w:color w:val="auto"/>
        </w:rPr>
        <w:t>ist of</w:t>
      </w:r>
      <w:r w:rsidRPr="00D20211">
        <w:rPr>
          <w:rFonts w:ascii="Cambria" w:hAnsi="Cambria"/>
          <w:color w:val="auto"/>
        </w:rPr>
        <w:t xml:space="preserve"> Attachments</w:t>
      </w:r>
      <w:bookmarkEnd w:id="21"/>
    </w:p>
    <w:p w14:paraId="1899C3E8" w14:textId="77777777" w:rsidR="00BE2FEC" w:rsidRPr="00BE2FEC" w:rsidRDefault="00BE2FEC" w:rsidP="002D6585">
      <w:pPr>
        <w:rPr>
          <w:sz w:val="16"/>
          <w:szCs w:val="16"/>
        </w:rPr>
      </w:pPr>
    </w:p>
    <w:p w14:paraId="6C8120AE" w14:textId="619D27AA" w:rsidR="008C154D" w:rsidRPr="002D6585" w:rsidRDefault="002D6585" w:rsidP="002D6585">
      <w:pPr>
        <w:rPr>
          <w:sz w:val="24"/>
          <w:szCs w:val="24"/>
        </w:rPr>
      </w:pPr>
      <w:r>
        <w:rPr>
          <w:sz w:val="24"/>
          <w:szCs w:val="24"/>
        </w:rPr>
        <w:t>Attachment 1:</w:t>
      </w:r>
      <w:r w:rsidR="008C154D" w:rsidRPr="002D6585">
        <w:rPr>
          <w:sz w:val="24"/>
          <w:szCs w:val="24"/>
        </w:rPr>
        <w:t xml:space="preserve"> Authorizing Legislation</w:t>
      </w:r>
    </w:p>
    <w:p w14:paraId="30CF9F8F" w14:textId="6BBE832F" w:rsidR="008C154D" w:rsidRDefault="002D6585" w:rsidP="002D6585">
      <w:pPr>
        <w:rPr>
          <w:sz w:val="24"/>
          <w:szCs w:val="24"/>
        </w:rPr>
      </w:pPr>
      <w:r>
        <w:rPr>
          <w:sz w:val="24"/>
          <w:szCs w:val="24"/>
        </w:rPr>
        <w:t>Attachment 2:</w:t>
      </w:r>
      <w:r w:rsidR="008C154D" w:rsidRPr="002D6585">
        <w:rPr>
          <w:sz w:val="24"/>
          <w:szCs w:val="24"/>
        </w:rPr>
        <w:t xml:space="preserve"> 60-day Federal Register Notice</w:t>
      </w:r>
    </w:p>
    <w:p w14:paraId="6E163537" w14:textId="342F1608" w:rsidR="00B8429E" w:rsidRPr="002D6585" w:rsidRDefault="00B8429E" w:rsidP="002D6585">
      <w:pPr>
        <w:rPr>
          <w:sz w:val="24"/>
          <w:szCs w:val="24"/>
        </w:rPr>
      </w:pPr>
      <w:r>
        <w:rPr>
          <w:sz w:val="24"/>
          <w:szCs w:val="24"/>
        </w:rPr>
        <w:tab/>
      </w:r>
      <w:r>
        <w:rPr>
          <w:sz w:val="24"/>
          <w:szCs w:val="24"/>
        </w:rPr>
        <w:tab/>
        <w:t>2a: Public Comments</w:t>
      </w:r>
    </w:p>
    <w:p w14:paraId="52AEAE95" w14:textId="41035CCE" w:rsidR="00CC3F05" w:rsidRPr="002D6585" w:rsidRDefault="00CC3F05" w:rsidP="00CC3F05">
      <w:pPr>
        <w:rPr>
          <w:sz w:val="24"/>
          <w:szCs w:val="24"/>
        </w:rPr>
      </w:pPr>
      <w:r>
        <w:rPr>
          <w:sz w:val="24"/>
          <w:szCs w:val="24"/>
        </w:rPr>
        <w:t>Attachment 3</w:t>
      </w:r>
      <w:r w:rsidRPr="002D6585">
        <w:rPr>
          <w:sz w:val="24"/>
          <w:szCs w:val="24"/>
        </w:rPr>
        <w:t>: Developmental Assessment Manual and Feedback Form</w:t>
      </w:r>
      <w:r w:rsidRPr="002D6585" w:rsidDel="002E0A5C">
        <w:rPr>
          <w:sz w:val="24"/>
          <w:szCs w:val="24"/>
        </w:rPr>
        <w:t xml:space="preserve"> </w:t>
      </w:r>
    </w:p>
    <w:p w14:paraId="149B2B01" w14:textId="32BABA7E" w:rsidR="00D10870" w:rsidRPr="002D6585" w:rsidRDefault="00D10870" w:rsidP="002D6585">
      <w:pPr>
        <w:rPr>
          <w:sz w:val="24"/>
          <w:szCs w:val="24"/>
        </w:rPr>
      </w:pPr>
      <w:r w:rsidRPr="002D6585">
        <w:rPr>
          <w:sz w:val="24"/>
          <w:szCs w:val="24"/>
        </w:rPr>
        <w:t>Attachment 4</w:t>
      </w:r>
      <w:r w:rsidR="00B8429E">
        <w:rPr>
          <w:sz w:val="24"/>
          <w:szCs w:val="24"/>
        </w:rPr>
        <w:t>:</w:t>
      </w:r>
      <w:r w:rsidRPr="002D6585">
        <w:rPr>
          <w:sz w:val="24"/>
          <w:szCs w:val="24"/>
        </w:rPr>
        <w:t xml:space="preserve"> </w:t>
      </w:r>
      <w:r w:rsidR="00E25C97" w:rsidRPr="002D6585">
        <w:rPr>
          <w:sz w:val="24"/>
          <w:szCs w:val="24"/>
        </w:rPr>
        <w:t xml:space="preserve">Study Information and Participant Timeline </w:t>
      </w:r>
    </w:p>
    <w:p w14:paraId="1FCD7D0A" w14:textId="245D5633" w:rsidR="00D10870" w:rsidRPr="002D6585" w:rsidRDefault="00D10870" w:rsidP="002D6585">
      <w:pPr>
        <w:rPr>
          <w:sz w:val="24"/>
          <w:szCs w:val="24"/>
        </w:rPr>
      </w:pPr>
      <w:r w:rsidRPr="002D6585">
        <w:rPr>
          <w:sz w:val="24"/>
          <w:szCs w:val="24"/>
        </w:rPr>
        <w:t xml:space="preserve">Attachment 5: </w:t>
      </w:r>
      <w:r w:rsidR="002E0A5C" w:rsidRPr="002D6585">
        <w:rPr>
          <w:sz w:val="24"/>
          <w:szCs w:val="24"/>
        </w:rPr>
        <w:t xml:space="preserve">Individuals Consulted </w:t>
      </w:r>
    </w:p>
    <w:p w14:paraId="29429A89" w14:textId="2BC0A7C3" w:rsidR="00D10870" w:rsidRPr="002D6585" w:rsidRDefault="00D10870" w:rsidP="002D6585">
      <w:pPr>
        <w:rPr>
          <w:sz w:val="24"/>
          <w:szCs w:val="24"/>
        </w:rPr>
      </w:pPr>
      <w:r w:rsidRPr="002D6585">
        <w:rPr>
          <w:sz w:val="24"/>
          <w:szCs w:val="24"/>
        </w:rPr>
        <w:t xml:space="preserve">Attachment 6: </w:t>
      </w:r>
      <w:r w:rsidR="002E0A5C" w:rsidRPr="002D6585">
        <w:rPr>
          <w:sz w:val="24"/>
          <w:szCs w:val="24"/>
        </w:rPr>
        <w:t>Community Outreach Chronology</w:t>
      </w:r>
      <w:r w:rsidR="002E0A5C" w:rsidRPr="002D6585" w:rsidDel="00E25C97">
        <w:rPr>
          <w:sz w:val="24"/>
          <w:szCs w:val="24"/>
        </w:rPr>
        <w:t xml:space="preserve"> </w:t>
      </w:r>
    </w:p>
    <w:p w14:paraId="7B2F528E" w14:textId="40915268" w:rsidR="00D10870" w:rsidRPr="002D6585" w:rsidRDefault="00D10870" w:rsidP="002D6585">
      <w:pPr>
        <w:rPr>
          <w:sz w:val="24"/>
          <w:szCs w:val="24"/>
        </w:rPr>
      </w:pPr>
      <w:r w:rsidRPr="002D6585">
        <w:rPr>
          <w:sz w:val="24"/>
          <w:szCs w:val="24"/>
        </w:rPr>
        <w:t xml:space="preserve">Attachment 7: </w:t>
      </w:r>
      <w:r w:rsidR="002E0A5C" w:rsidRPr="002D6585">
        <w:rPr>
          <w:sz w:val="24"/>
          <w:szCs w:val="24"/>
        </w:rPr>
        <w:t xml:space="preserve">Timeline of </w:t>
      </w:r>
      <w:r w:rsidR="00DE0710">
        <w:rPr>
          <w:sz w:val="24"/>
          <w:szCs w:val="24"/>
        </w:rPr>
        <w:t>Engagement</w:t>
      </w:r>
      <w:r w:rsidR="002E0A5C" w:rsidRPr="002D6585" w:rsidDel="002E0A5C">
        <w:rPr>
          <w:sz w:val="24"/>
          <w:szCs w:val="24"/>
        </w:rPr>
        <w:t xml:space="preserve"> </w:t>
      </w:r>
    </w:p>
    <w:p w14:paraId="0EA9A73D" w14:textId="2213496F" w:rsidR="002B65CE" w:rsidRPr="002D6585" w:rsidRDefault="002B65CE" w:rsidP="002B65CE">
      <w:pPr>
        <w:rPr>
          <w:sz w:val="24"/>
          <w:szCs w:val="24"/>
        </w:rPr>
      </w:pPr>
      <w:r>
        <w:rPr>
          <w:sz w:val="24"/>
          <w:szCs w:val="24"/>
        </w:rPr>
        <w:t xml:space="preserve">Attachment </w:t>
      </w:r>
      <w:r w:rsidR="00CC3F05">
        <w:rPr>
          <w:sz w:val="24"/>
          <w:szCs w:val="24"/>
        </w:rPr>
        <w:t>8</w:t>
      </w:r>
      <w:r>
        <w:rPr>
          <w:sz w:val="24"/>
          <w:szCs w:val="24"/>
        </w:rPr>
        <w:t>:</w:t>
      </w:r>
      <w:r w:rsidRPr="002D6585">
        <w:rPr>
          <w:sz w:val="24"/>
          <w:szCs w:val="24"/>
        </w:rPr>
        <w:t xml:space="preserve"> Data Collection Instruments</w:t>
      </w:r>
    </w:p>
    <w:p w14:paraId="1D818616" w14:textId="58F4DF25" w:rsidR="002B65CE" w:rsidRDefault="002B65CE" w:rsidP="002B65CE">
      <w:pPr>
        <w:rPr>
          <w:sz w:val="24"/>
          <w:szCs w:val="24"/>
        </w:rPr>
      </w:pPr>
      <w:r w:rsidRPr="002D6585">
        <w:rPr>
          <w:sz w:val="24"/>
          <w:szCs w:val="24"/>
        </w:rPr>
        <w:tab/>
      </w:r>
      <w:r w:rsidRPr="002D6585">
        <w:rPr>
          <w:sz w:val="24"/>
          <w:szCs w:val="24"/>
        </w:rPr>
        <w:tab/>
      </w:r>
      <w:r w:rsidR="00CC3F05">
        <w:rPr>
          <w:sz w:val="24"/>
          <w:szCs w:val="24"/>
        </w:rPr>
        <w:t>8</w:t>
      </w:r>
      <w:r>
        <w:rPr>
          <w:sz w:val="24"/>
          <w:szCs w:val="24"/>
        </w:rPr>
        <w:t>a</w:t>
      </w:r>
      <w:r w:rsidRPr="002D6585">
        <w:rPr>
          <w:sz w:val="24"/>
          <w:szCs w:val="24"/>
        </w:rPr>
        <w:t>: Eligibility Form</w:t>
      </w:r>
    </w:p>
    <w:p w14:paraId="0D01B2F1" w14:textId="452174A5" w:rsidR="002B65CE" w:rsidRPr="002D6585" w:rsidRDefault="00CC3F05" w:rsidP="002B65CE">
      <w:pPr>
        <w:ind w:left="720" w:firstLine="720"/>
        <w:rPr>
          <w:sz w:val="24"/>
          <w:szCs w:val="24"/>
        </w:rPr>
      </w:pPr>
      <w:r>
        <w:rPr>
          <w:sz w:val="24"/>
          <w:szCs w:val="24"/>
        </w:rPr>
        <w:t>8</w:t>
      </w:r>
      <w:r w:rsidR="002B65CE">
        <w:rPr>
          <w:sz w:val="24"/>
          <w:szCs w:val="24"/>
        </w:rPr>
        <w:t>b</w:t>
      </w:r>
      <w:r w:rsidR="002B65CE" w:rsidRPr="002D6585">
        <w:rPr>
          <w:sz w:val="24"/>
          <w:szCs w:val="24"/>
        </w:rPr>
        <w:t>: Mother Enrollment Survey</w:t>
      </w:r>
    </w:p>
    <w:p w14:paraId="153A7CD4" w14:textId="2F84AE7E" w:rsidR="002B65CE" w:rsidRPr="002D6585" w:rsidRDefault="002B65CE" w:rsidP="002B65CE">
      <w:pPr>
        <w:rPr>
          <w:sz w:val="24"/>
          <w:szCs w:val="24"/>
        </w:rPr>
      </w:pPr>
      <w:r w:rsidRPr="002D6585">
        <w:rPr>
          <w:sz w:val="24"/>
          <w:szCs w:val="24"/>
        </w:rPr>
        <w:tab/>
      </w:r>
      <w:r w:rsidRPr="002D6585">
        <w:rPr>
          <w:sz w:val="24"/>
          <w:szCs w:val="24"/>
        </w:rPr>
        <w:tab/>
      </w:r>
      <w:r w:rsidR="00CC3F05">
        <w:rPr>
          <w:sz w:val="24"/>
          <w:szCs w:val="24"/>
        </w:rPr>
        <w:t>8</w:t>
      </w:r>
      <w:r>
        <w:rPr>
          <w:sz w:val="24"/>
          <w:szCs w:val="24"/>
        </w:rPr>
        <w:t>c</w:t>
      </w:r>
      <w:r w:rsidRPr="002D6585">
        <w:rPr>
          <w:sz w:val="24"/>
          <w:szCs w:val="24"/>
        </w:rPr>
        <w:t>: Ages and Stages Questionnaire</w:t>
      </w:r>
    </w:p>
    <w:p w14:paraId="7FD38A1B" w14:textId="1026D55E" w:rsidR="002B65CE" w:rsidRPr="002D6585" w:rsidRDefault="002B65CE" w:rsidP="002B65CE">
      <w:pPr>
        <w:rPr>
          <w:sz w:val="24"/>
          <w:szCs w:val="24"/>
        </w:rPr>
      </w:pPr>
      <w:r w:rsidRPr="002D6585">
        <w:rPr>
          <w:sz w:val="24"/>
          <w:szCs w:val="24"/>
        </w:rPr>
        <w:tab/>
      </w:r>
      <w:r w:rsidRPr="002D6585">
        <w:rPr>
          <w:sz w:val="24"/>
          <w:szCs w:val="24"/>
        </w:rPr>
        <w:tab/>
      </w:r>
      <w:r w:rsidR="00CC3F05">
        <w:rPr>
          <w:sz w:val="24"/>
          <w:szCs w:val="24"/>
        </w:rPr>
        <w:t>8</w:t>
      </w:r>
      <w:r>
        <w:rPr>
          <w:sz w:val="24"/>
          <w:szCs w:val="24"/>
        </w:rPr>
        <w:t>d</w:t>
      </w:r>
      <w:r w:rsidRPr="002D6585">
        <w:rPr>
          <w:sz w:val="24"/>
          <w:szCs w:val="24"/>
        </w:rPr>
        <w:t xml:space="preserve">: Mullen </w:t>
      </w:r>
      <w:r>
        <w:rPr>
          <w:sz w:val="24"/>
          <w:szCs w:val="24"/>
        </w:rPr>
        <w:t>Scales of Early Learning</w:t>
      </w:r>
    </w:p>
    <w:p w14:paraId="71663DBE" w14:textId="3CD43677" w:rsidR="002B65CE" w:rsidRPr="002D6585" w:rsidRDefault="002B65CE" w:rsidP="002B65CE">
      <w:pPr>
        <w:rPr>
          <w:sz w:val="24"/>
          <w:szCs w:val="24"/>
        </w:rPr>
      </w:pPr>
      <w:r w:rsidRPr="002D6585">
        <w:rPr>
          <w:sz w:val="24"/>
          <w:szCs w:val="24"/>
        </w:rPr>
        <w:tab/>
      </w:r>
      <w:r w:rsidRPr="002D6585">
        <w:rPr>
          <w:sz w:val="24"/>
          <w:szCs w:val="24"/>
        </w:rPr>
        <w:tab/>
      </w:r>
      <w:r w:rsidR="00CC3F05">
        <w:rPr>
          <w:sz w:val="24"/>
          <w:szCs w:val="24"/>
        </w:rPr>
        <w:t>8</w:t>
      </w:r>
      <w:r>
        <w:rPr>
          <w:sz w:val="24"/>
          <w:szCs w:val="24"/>
        </w:rPr>
        <w:t>e</w:t>
      </w:r>
      <w:r w:rsidRPr="002D6585">
        <w:rPr>
          <w:sz w:val="24"/>
          <w:szCs w:val="24"/>
        </w:rPr>
        <w:t>: Postpartum Survey (2 months)</w:t>
      </w:r>
    </w:p>
    <w:p w14:paraId="7A5B9FAD" w14:textId="343A395D" w:rsidR="002B65CE" w:rsidRPr="002D6585" w:rsidRDefault="002B65CE" w:rsidP="002B65CE">
      <w:pPr>
        <w:rPr>
          <w:sz w:val="24"/>
          <w:szCs w:val="24"/>
        </w:rPr>
      </w:pPr>
      <w:r w:rsidRPr="002D6585">
        <w:rPr>
          <w:sz w:val="24"/>
          <w:szCs w:val="24"/>
        </w:rPr>
        <w:tab/>
      </w:r>
      <w:r w:rsidRPr="002D6585">
        <w:rPr>
          <w:sz w:val="24"/>
          <w:szCs w:val="24"/>
        </w:rPr>
        <w:tab/>
      </w:r>
      <w:r w:rsidR="00CC3F05">
        <w:rPr>
          <w:sz w:val="24"/>
          <w:szCs w:val="24"/>
        </w:rPr>
        <w:t>8</w:t>
      </w:r>
      <w:r>
        <w:rPr>
          <w:sz w:val="24"/>
          <w:szCs w:val="24"/>
        </w:rPr>
        <w:t>f</w:t>
      </w:r>
      <w:r w:rsidRPr="002D6585">
        <w:rPr>
          <w:sz w:val="24"/>
          <w:szCs w:val="24"/>
        </w:rPr>
        <w:t>: Postpartum Survey (6, 9, 12 months)</w:t>
      </w:r>
    </w:p>
    <w:p w14:paraId="2809A137" w14:textId="38B77F39" w:rsidR="002B65CE" w:rsidRDefault="002B65CE" w:rsidP="002B65CE">
      <w:pPr>
        <w:rPr>
          <w:sz w:val="24"/>
          <w:szCs w:val="24"/>
        </w:rPr>
      </w:pPr>
      <w:r w:rsidRPr="002D6585">
        <w:rPr>
          <w:sz w:val="24"/>
          <w:szCs w:val="24"/>
        </w:rPr>
        <w:tab/>
      </w:r>
      <w:r w:rsidRPr="002D6585">
        <w:rPr>
          <w:sz w:val="24"/>
          <w:szCs w:val="24"/>
        </w:rPr>
        <w:tab/>
      </w:r>
      <w:r w:rsidR="00CC3F05">
        <w:rPr>
          <w:sz w:val="24"/>
          <w:szCs w:val="24"/>
        </w:rPr>
        <w:t>8</w:t>
      </w:r>
      <w:r>
        <w:rPr>
          <w:sz w:val="24"/>
          <w:szCs w:val="24"/>
        </w:rPr>
        <w:t>g</w:t>
      </w:r>
      <w:r w:rsidRPr="002D6585">
        <w:rPr>
          <w:sz w:val="24"/>
          <w:szCs w:val="24"/>
        </w:rPr>
        <w:t>: Food Frequency Questionnaire/WIC Intake</w:t>
      </w:r>
      <w:r>
        <w:rPr>
          <w:sz w:val="24"/>
          <w:szCs w:val="24"/>
        </w:rPr>
        <w:t xml:space="preserve"> Form</w:t>
      </w:r>
    </w:p>
    <w:p w14:paraId="147A8E14" w14:textId="729890C2" w:rsidR="002B65CE" w:rsidRDefault="00CC3F05" w:rsidP="002B65CE">
      <w:pPr>
        <w:ind w:left="720" w:firstLine="720"/>
        <w:rPr>
          <w:sz w:val="24"/>
          <w:szCs w:val="24"/>
        </w:rPr>
      </w:pPr>
      <w:r>
        <w:rPr>
          <w:sz w:val="24"/>
          <w:szCs w:val="24"/>
        </w:rPr>
        <w:t>8</w:t>
      </w:r>
      <w:r w:rsidR="002B65CE">
        <w:rPr>
          <w:sz w:val="24"/>
          <w:szCs w:val="24"/>
        </w:rPr>
        <w:t>h</w:t>
      </w:r>
      <w:r w:rsidR="002B65CE" w:rsidRPr="002D6585">
        <w:rPr>
          <w:sz w:val="24"/>
          <w:szCs w:val="24"/>
        </w:rPr>
        <w:t xml:space="preserve">: </w:t>
      </w:r>
      <w:r w:rsidR="002B65CE" w:rsidRPr="008C3154">
        <w:rPr>
          <w:sz w:val="24"/>
          <w:szCs w:val="24"/>
        </w:rPr>
        <w:t>Home Environmental Assessment</w:t>
      </w:r>
    </w:p>
    <w:p w14:paraId="3CA9599A" w14:textId="61F6679F" w:rsidR="002B65CE" w:rsidRPr="002D6585" w:rsidRDefault="00CC3F05" w:rsidP="002B65CE">
      <w:pPr>
        <w:ind w:left="720" w:firstLine="720"/>
        <w:rPr>
          <w:sz w:val="24"/>
          <w:szCs w:val="24"/>
        </w:rPr>
      </w:pPr>
      <w:r>
        <w:rPr>
          <w:sz w:val="24"/>
          <w:szCs w:val="24"/>
        </w:rPr>
        <w:t>8</w:t>
      </w:r>
      <w:r w:rsidR="002B65CE">
        <w:rPr>
          <w:sz w:val="24"/>
          <w:szCs w:val="24"/>
        </w:rPr>
        <w:t xml:space="preserve">i. </w:t>
      </w:r>
      <w:r w:rsidR="002B65CE" w:rsidRPr="002D6585">
        <w:rPr>
          <w:sz w:val="24"/>
          <w:szCs w:val="24"/>
        </w:rPr>
        <w:t>Father Enrollment Survey</w:t>
      </w:r>
    </w:p>
    <w:p w14:paraId="617F1B27" w14:textId="5D35EF57" w:rsidR="00D10870" w:rsidRPr="002D6585" w:rsidRDefault="00D10870" w:rsidP="002D6585">
      <w:pPr>
        <w:rPr>
          <w:sz w:val="24"/>
          <w:szCs w:val="24"/>
        </w:rPr>
      </w:pPr>
      <w:r w:rsidRPr="002D6585">
        <w:rPr>
          <w:sz w:val="24"/>
          <w:szCs w:val="24"/>
        </w:rPr>
        <w:t xml:space="preserve">Attachment </w:t>
      </w:r>
      <w:r w:rsidR="00CC3F05">
        <w:rPr>
          <w:sz w:val="24"/>
          <w:szCs w:val="24"/>
        </w:rPr>
        <w:t>9</w:t>
      </w:r>
      <w:r w:rsidRPr="002D6585">
        <w:rPr>
          <w:sz w:val="24"/>
          <w:szCs w:val="24"/>
        </w:rPr>
        <w:t xml:space="preserve">: </w:t>
      </w:r>
      <w:r w:rsidR="002E0A5C" w:rsidRPr="002D6585">
        <w:rPr>
          <w:sz w:val="24"/>
          <w:szCs w:val="24"/>
        </w:rPr>
        <w:t>Medical Record Abstraction Table &amp; Form</w:t>
      </w:r>
      <w:r w:rsidR="002E0A5C" w:rsidRPr="002D6585" w:rsidDel="002E0A5C">
        <w:rPr>
          <w:sz w:val="24"/>
          <w:szCs w:val="24"/>
        </w:rPr>
        <w:t xml:space="preserve"> </w:t>
      </w:r>
    </w:p>
    <w:p w14:paraId="647B2F29" w14:textId="792BC521" w:rsidR="002B65CE" w:rsidRPr="002D6585" w:rsidRDefault="002B65CE" w:rsidP="002B65CE">
      <w:pPr>
        <w:rPr>
          <w:sz w:val="24"/>
          <w:szCs w:val="24"/>
        </w:rPr>
      </w:pPr>
      <w:r w:rsidRPr="002D6585">
        <w:rPr>
          <w:sz w:val="24"/>
          <w:szCs w:val="24"/>
        </w:rPr>
        <w:t xml:space="preserve">Attachment </w:t>
      </w:r>
      <w:r w:rsidR="00CC3F05">
        <w:rPr>
          <w:sz w:val="24"/>
          <w:szCs w:val="24"/>
        </w:rPr>
        <w:t>10</w:t>
      </w:r>
      <w:r w:rsidRPr="002D6585">
        <w:rPr>
          <w:sz w:val="24"/>
          <w:szCs w:val="24"/>
        </w:rPr>
        <w:t xml:space="preserve">: </w:t>
      </w:r>
      <w:r w:rsidRPr="00F276E9">
        <w:rPr>
          <w:sz w:val="24"/>
          <w:szCs w:val="24"/>
        </w:rPr>
        <w:t>Data Security &amp; Privacy Protocols</w:t>
      </w:r>
      <w:r w:rsidRPr="002D6585" w:rsidDel="008C3154">
        <w:rPr>
          <w:sz w:val="24"/>
          <w:szCs w:val="24"/>
        </w:rPr>
        <w:t xml:space="preserve"> </w:t>
      </w:r>
    </w:p>
    <w:p w14:paraId="644193E3" w14:textId="0654173A" w:rsidR="00D10870" w:rsidRPr="002D6585" w:rsidRDefault="00D10870" w:rsidP="002D6585">
      <w:pPr>
        <w:rPr>
          <w:sz w:val="24"/>
          <w:szCs w:val="24"/>
        </w:rPr>
      </w:pPr>
      <w:r w:rsidRPr="002D6585">
        <w:rPr>
          <w:sz w:val="24"/>
          <w:szCs w:val="24"/>
        </w:rPr>
        <w:t xml:space="preserve">Attachment </w:t>
      </w:r>
      <w:r w:rsidR="00CC3F05">
        <w:rPr>
          <w:sz w:val="24"/>
          <w:szCs w:val="24"/>
        </w:rPr>
        <w:t>11</w:t>
      </w:r>
      <w:r w:rsidRPr="002D6585">
        <w:rPr>
          <w:sz w:val="24"/>
          <w:szCs w:val="24"/>
        </w:rPr>
        <w:t xml:space="preserve">: </w:t>
      </w:r>
      <w:r w:rsidR="003F0125">
        <w:rPr>
          <w:sz w:val="24"/>
          <w:szCs w:val="24"/>
        </w:rPr>
        <w:t>IRB A</w:t>
      </w:r>
      <w:r w:rsidR="002E0A5C" w:rsidRPr="002D6585">
        <w:rPr>
          <w:sz w:val="24"/>
          <w:szCs w:val="24"/>
        </w:rPr>
        <w:t>pproval</w:t>
      </w:r>
      <w:r w:rsidR="002E0A5C" w:rsidRPr="002D6585" w:rsidDel="002E0A5C">
        <w:rPr>
          <w:sz w:val="24"/>
          <w:szCs w:val="24"/>
        </w:rPr>
        <w:t xml:space="preserve"> </w:t>
      </w:r>
    </w:p>
    <w:p w14:paraId="42D35ACF" w14:textId="05D0091B" w:rsidR="00D10870" w:rsidRPr="002D6585" w:rsidRDefault="00D10870" w:rsidP="002D6585">
      <w:pPr>
        <w:rPr>
          <w:sz w:val="24"/>
          <w:szCs w:val="24"/>
        </w:rPr>
      </w:pPr>
      <w:r w:rsidRPr="002D6585">
        <w:rPr>
          <w:sz w:val="24"/>
          <w:szCs w:val="24"/>
        </w:rPr>
        <w:t>Attachment 1</w:t>
      </w:r>
      <w:r w:rsidR="00CC3F05">
        <w:rPr>
          <w:sz w:val="24"/>
          <w:szCs w:val="24"/>
        </w:rPr>
        <w:t>2</w:t>
      </w:r>
      <w:r w:rsidRPr="002D6585">
        <w:rPr>
          <w:sz w:val="24"/>
          <w:szCs w:val="24"/>
        </w:rPr>
        <w:t xml:space="preserve">: </w:t>
      </w:r>
      <w:r w:rsidR="002E0A5C" w:rsidRPr="002D6585">
        <w:rPr>
          <w:sz w:val="24"/>
          <w:szCs w:val="24"/>
        </w:rPr>
        <w:t xml:space="preserve">Consent and HIPAA Forms </w:t>
      </w:r>
    </w:p>
    <w:p w14:paraId="414F8DE4" w14:textId="18FA0350" w:rsidR="00D10870" w:rsidRPr="002D6585" w:rsidRDefault="00D10870" w:rsidP="002D6585">
      <w:pPr>
        <w:rPr>
          <w:sz w:val="24"/>
          <w:szCs w:val="24"/>
        </w:rPr>
      </w:pPr>
      <w:r w:rsidRPr="002D6585">
        <w:rPr>
          <w:sz w:val="24"/>
          <w:szCs w:val="24"/>
        </w:rPr>
        <w:t>Attachment 1</w:t>
      </w:r>
      <w:r w:rsidR="00CC3F05">
        <w:rPr>
          <w:sz w:val="24"/>
          <w:szCs w:val="24"/>
        </w:rPr>
        <w:t>3</w:t>
      </w:r>
      <w:r w:rsidRPr="002D6585">
        <w:rPr>
          <w:sz w:val="24"/>
          <w:szCs w:val="24"/>
        </w:rPr>
        <w:t xml:space="preserve">: </w:t>
      </w:r>
      <w:r w:rsidR="002E0A5C" w:rsidRPr="002D6585">
        <w:rPr>
          <w:sz w:val="24"/>
          <w:szCs w:val="24"/>
        </w:rPr>
        <w:t xml:space="preserve">Survey Question Sources </w:t>
      </w:r>
    </w:p>
    <w:p w14:paraId="240343BD" w14:textId="4A5DD7DF" w:rsidR="00D10870" w:rsidRPr="002D6585" w:rsidRDefault="00D10870" w:rsidP="002D6585">
      <w:pPr>
        <w:rPr>
          <w:sz w:val="24"/>
          <w:szCs w:val="24"/>
        </w:rPr>
      </w:pPr>
      <w:r w:rsidRPr="002D6585">
        <w:rPr>
          <w:sz w:val="24"/>
          <w:szCs w:val="24"/>
        </w:rPr>
        <w:t>Attachment 1</w:t>
      </w:r>
      <w:r w:rsidR="00CC3F05">
        <w:rPr>
          <w:sz w:val="24"/>
          <w:szCs w:val="24"/>
        </w:rPr>
        <w:t>4</w:t>
      </w:r>
      <w:r w:rsidRPr="002D6585">
        <w:rPr>
          <w:sz w:val="24"/>
          <w:szCs w:val="24"/>
        </w:rPr>
        <w:t xml:space="preserve">: </w:t>
      </w:r>
      <w:r w:rsidR="002E0A5C" w:rsidRPr="002D6585">
        <w:rPr>
          <w:sz w:val="24"/>
          <w:szCs w:val="24"/>
        </w:rPr>
        <w:t xml:space="preserve">Recruitment Poster, Brochure, and Template Examples </w:t>
      </w:r>
    </w:p>
    <w:p w14:paraId="3EC3B848" w14:textId="659DC11B" w:rsidR="00D10870" w:rsidRPr="002D6585" w:rsidRDefault="00D10870" w:rsidP="002D6585">
      <w:pPr>
        <w:rPr>
          <w:sz w:val="24"/>
          <w:szCs w:val="24"/>
        </w:rPr>
      </w:pPr>
      <w:r w:rsidRPr="002D6585">
        <w:rPr>
          <w:sz w:val="24"/>
          <w:szCs w:val="24"/>
        </w:rPr>
        <w:t>Attachment 1</w:t>
      </w:r>
      <w:r w:rsidR="00CC3F05">
        <w:rPr>
          <w:sz w:val="24"/>
          <w:szCs w:val="24"/>
        </w:rPr>
        <w:t>5</w:t>
      </w:r>
      <w:r w:rsidRPr="002D6585">
        <w:rPr>
          <w:sz w:val="24"/>
          <w:szCs w:val="24"/>
        </w:rPr>
        <w:t xml:space="preserve">: Biomonitoring Table &amp; </w:t>
      </w:r>
      <w:proofErr w:type="spellStart"/>
      <w:r w:rsidRPr="002D6585">
        <w:rPr>
          <w:sz w:val="24"/>
          <w:szCs w:val="24"/>
        </w:rPr>
        <w:t>Analyte</w:t>
      </w:r>
      <w:proofErr w:type="spellEnd"/>
      <w:r w:rsidRPr="002D6585">
        <w:rPr>
          <w:sz w:val="24"/>
          <w:szCs w:val="24"/>
        </w:rPr>
        <w:t xml:space="preserve"> Justification</w:t>
      </w:r>
    </w:p>
    <w:p w14:paraId="7581685C" w14:textId="70061A2C" w:rsidR="00D10870" w:rsidRPr="002D6585" w:rsidRDefault="00D10870" w:rsidP="002D6585">
      <w:pPr>
        <w:rPr>
          <w:sz w:val="24"/>
          <w:szCs w:val="24"/>
        </w:rPr>
      </w:pPr>
      <w:r w:rsidRPr="002D6585">
        <w:rPr>
          <w:sz w:val="24"/>
          <w:szCs w:val="24"/>
        </w:rPr>
        <w:t>Attachment 1</w:t>
      </w:r>
      <w:r w:rsidR="00CC3F05">
        <w:rPr>
          <w:sz w:val="24"/>
          <w:szCs w:val="24"/>
        </w:rPr>
        <w:t>6</w:t>
      </w:r>
      <w:r w:rsidRPr="002D6585">
        <w:rPr>
          <w:sz w:val="24"/>
          <w:szCs w:val="24"/>
        </w:rPr>
        <w:t>: Biomonitoring Standard Operating Procedures</w:t>
      </w:r>
    </w:p>
    <w:p w14:paraId="008D9932" w14:textId="3527035F" w:rsidR="00D10870" w:rsidRPr="002D6585" w:rsidRDefault="00D10870" w:rsidP="002D6585">
      <w:pPr>
        <w:rPr>
          <w:sz w:val="24"/>
          <w:szCs w:val="24"/>
        </w:rPr>
      </w:pPr>
      <w:r w:rsidRPr="002D6585">
        <w:rPr>
          <w:sz w:val="24"/>
          <w:szCs w:val="24"/>
        </w:rPr>
        <w:t>Attachment 1</w:t>
      </w:r>
      <w:r w:rsidR="00CC3F05">
        <w:rPr>
          <w:sz w:val="24"/>
          <w:szCs w:val="24"/>
        </w:rPr>
        <w:t>7</w:t>
      </w:r>
      <w:r w:rsidRPr="002D6585">
        <w:rPr>
          <w:sz w:val="24"/>
          <w:szCs w:val="24"/>
        </w:rPr>
        <w:t xml:space="preserve">: </w:t>
      </w:r>
      <w:r w:rsidR="002E0A5C">
        <w:rPr>
          <w:sz w:val="24"/>
          <w:szCs w:val="24"/>
        </w:rPr>
        <w:t>Biomonitoring and Home Environmental Assessment Participant Report Letter</w:t>
      </w:r>
    </w:p>
    <w:sectPr w:rsidR="00D10870" w:rsidRPr="002D6585" w:rsidSect="00F91C38">
      <w:footerReference w:type="default" r:id="rId2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6EDD6" w14:textId="77777777" w:rsidR="000A6DDA" w:rsidRDefault="000A6DDA" w:rsidP="008B5D54">
      <w:r>
        <w:separator/>
      </w:r>
    </w:p>
  </w:endnote>
  <w:endnote w:type="continuationSeparator" w:id="0">
    <w:p w14:paraId="79C51939" w14:textId="77777777" w:rsidR="000A6DDA" w:rsidRDefault="000A6DD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7764"/>
      <w:docPartObj>
        <w:docPartGallery w:val="Page Numbers (Bottom of Page)"/>
        <w:docPartUnique/>
      </w:docPartObj>
    </w:sdtPr>
    <w:sdtEndPr>
      <w:rPr>
        <w:noProof/>
      </w:rPr>
    </w:sdtEndPr>
    <w:sdtContent>
      <w:p w14:paraId="4C7F6E81" w14:textId="713DD297" w:rsidR="000A6DDA" w:rsidRDefault="000A6DDA">
        <w:pPr>
          <w:pStyle w:val="Footer"/>
          <w:jc w:val="center"/>
        </w:pPr>
        <w:r>
          <w:fldChar w:fldCharType="begin"/>
        </w:r>
        <w:r>
          <w:instrText xml:space="preserve"> PAGE   \* MERGEFORMAT </w:instrText>
        </w:r>
        <w:r>
          <w:fldChar w:fldCharType="separate"/>
        </w:r>
        <w:r w:rsidR="00A469E5">
          <w:rPr>
            <w:noProof/>
          </w:rPr>
          <w:t>16</w:t>
        </w:r>
        <w:r>
          <w:rPr>
            <w:noProof/>
          </w:rPr>
          <w:fldChar w:fldCharType="end"/>
        </w:r>
      </w:p>
    </w:sdtContent>
  </w:sdt>
  <w:p w14:paraId="08F2E181" w14:textId="77777777" w:rsidR="000A6DDA" w:rsidRDefault="000A6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A39EA" w14:textId="77777777" w:rsidR="000A6DDA" w:rsidRDefault="000A6DDA" w:rsidP="008B5D54">
      <w:r>
        <w:separator/>
      </w:r>
    </w:p>
  </w:footnote>
  <w:footnote w:type="continuationSeparator" w:id="0">
    <w:p w14:paraId="09B5FBA2" w14:textId="77777777" w:rsidR="000A6DDA" w:rsidRDefault="000A6DD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B3850"/>
    <w:multiLevelType w:val="hybridMultilevel"/>
    <w:tmpl w:val="06FA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32AAD"/>
    <w:multiLevelType w:val="hybridMultilevel"/>
    <w:tmpl w:val="F2683284"/>
    <w:lvl w:ilvl="0" w:tplc="04090001">
      <w:start w:val="1"/>
      <w:numFmt w:val="bullet"/>
      <w:lvlText w:val=""/>
      <w:lvlJc w:val="left"/>
      <w:pPr>
        <w:ind w:left="720" w:hanging="360"/>
      </w:pPr>
      <w:rPr>
        <w:rFonts w:ascii="Symbol" w:hAnsi="Symbol" w:hint="default"/>
      </w:rPr>
    </w:lvl>
    <w:lvl w:ilvl="1" w:tplc="0CF0CA36">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A34B5"/>
    <w:multiLevelType w:val="hybridMultilevel"/>
    <w:tmpl w:val="51688554"/>
    <w:lvl w:ilvl="0" w:tplc="04090001">
      <w:start w:val="1"/>
      <w:numFmt w:val="bullet"/>
      <w:lvlText w:val=""/>
      <w:lvlJc w:val="left"/>
      <w:pPr>
        <w:ind w:left="720" w:hanging="360"/>
      </w:pPr>
      <w:rPr>
        <w:rFonts w:ascii="Symbol" w:hAnsi="Symbol" w:hint="default"/>
      </w:rPr>
    </w:lvl>
    <w:lvl w:ilvl="1" w:tplc="50F4177A">
      <w:numFmt w:val="bullet"/>
      <w:lvlText w:val="•"/>
      <w:lvlJc w:val="left"/>
      <w:pPr>
        <w:ind w:left="1800" w:hanging="720"/>
      </w:pPr>
      <w:rPr>
        <w:rFonts w:ascii="Calibri" w:eastAsiaTheme="minorEastAsia" w:hAnsi="Calibri" w:cs="ITCFranklinGothicStd-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13EC1"/>
    <w:multiLevelType w:val="hybridMultilevel"/>
    <w:tmpl w:val="CB90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480"/>
    <w:rsid w:val="00001CA7"/>
    <w:rsid w:val="00001F18"/>
    <w:rsid w:val="0000689D"/>
    <w:rsid w:val="0000705A"/>
    <w:rsid w:val="000071D1"/>
    <w:rsid w:val="00013DB5"/>
    <w:rsid w:val="0002168F"/>
    <w:rsid w:val="00026800"/>
    <w:rsid w:val="000273E9"/>
    <w:rsid w:val="00027B1B"/>
    <w:rsid w:val="0003268B"/>
    <w:rsid w:val="0003485B"/>
    <w:rsid w:val="00040E13"/>
    <w:rsid w:val="00040F4A"/>
    <w:rsid w:val="00045A02"/>
    <w:rsid w:val="00045E1F"/>
    <w:rsid w:val="00046EA2"/>
    <w:rsid w:val="00047490"/>
    <w:rsid w:val="00051810"/>
    <w:rsid w:val="00051816"/>
    <w:rsid w:val="00051B38"/>
    <w:rsid w:val="00064766"/>
    <w:rsid w:val="00065509"/>
    <w:rsid w:val="00065A4A"/>
    <w:rsid w:val="000712F6"/>
    <w:rsid w:val="00072010"/>
    <w:rsid w:val="00075A8C"/>
    <w:rsid w:val="00076C74"/>
    <w:rsid w:val="000771B9"/>
    <w:rsid w:val="0007753E"/>
    <w:rsid w:val="00094108"/>
    <w:rsid w:val="00094E12"/>
    <w:rsid w:val="000A16FA"/>
    <w:rsid w:val="000A204D"/>
    <w:rsid w:val="000A30A8"/>
    <w:rsid w:val="000A4BD7"/>
    <w:rsid w:val="000A5AC6"/>
    <w:rsid w:val="000A69F1"/>
    <w:rsid w:val="000A6DDA"/>
    <w:rsid w:val="000A6E17"/>
    <w:rsid w:val="000A77B0"/>
    <w:rsid w:val="000B0207"/>
    <w:rsid w:val="000B14F2"/>
    <w:rsid w:val="000B2DBF"/>
    <w:rsid w:val="000B497E"/>
    <w:rsid w:val="000B6954"/>
    <w:rsid w:val="000E1133"/>
    <w:rsid w:val="000E4F5F"/>
    <w:rsid w:val="000E7014"/>
    <w:rsid w:val="000E7FAD"/>
    <w:rsid w:val="000F1D87"/>
    <w:rsid w:val="000F5F56"/>
    <w:rsid w:val="00100D0E"/>
    <w:rsid w:val="00103DFD"/>
    <w:rsid w:val="00104051"/>
    <w:rsid w:val="00106836"/>
    <w:rsid w:val="00107476"/>
    <w:rsid w:val="00110D29"/>
    <w:rsid w:val="00112DAB"/>
    <w:rsid w:val="0011321F"/>
    <w:rsid w:val="00115A8D"/>
    <w:rsid w:val="00116841"/>
    <w:rsid w:val="001232E4"/>
    <w:rsid w:val="00123A3D"/>
    <w:rsid w:val="00124561"/>
    <w:rsid w:val="00127AC0"/>
    <w:rsid w:val="001317DF"/>
    <w:rsid w:val="00132004"/>
    <w:rsid w:val="001324C6"/>
    <w:rsid w:val="001346BF"/>
    <w:rsid w:val="001372DB"/>
    <w:rsid w:val="0013764F"/>
    <w:rsid w:val="0014151A"/>
    <w:rsid w:val="001417E6"/>
    <w:rsid w:val="00142483"/>
    <w:rsid w:val="001435C4"/>
    <w:rsid w:val="0014528D"/>
    <w:rsid w:val="00146945"/>
    <w:rsid w:val="00147AEA"/>
    <w:rsid w:val="00150025"/>
    <w:rsid w:val="0015103C"/>
    <w:rsid w:val="00151318"/>
    <w:rsid w:val="001552F7"/>
    <w:rsid w:val="00160A9B"/>
    <w:rsid w:val="001626E8"/>
    <w:rsid w:val="00163C21"/>
    <w:rsid w:val="00167A15"/>
    <w:rsid w:val="001727C1"/>
    <w:rsid w:val="00176AF4"/>
    <w:rsid w:val="00177308"/>
    <w:rsid w:val="00177ABE"/>
    <w:rsid w:val="00185386"/>
    <w:rsid w:val="001855E3"/>
    <w:rsid w:val="001872E6"/>
    <w:rsid w:val="00196C12"/>
    <w:rsid w:val="001A15F9"/>
    <w:rsid w:val="001A5EC6"/>
    <w:rsid w:val="001B2712"/>
    <w:rsid w:val="001B3522"/>
    <w:rsid w:val="001C066E"/>
    <w:rsid w:val="001C1DD5"/>
    <w:rsid w:val="001C268C"/>
    <w:rsid w:val="001C27CC"/>
    <w:rsid w:val="001C3EBE"/>
    <w:rsid w:val="001C4FDE"/>
    <w:rsid w:val="001D391B"/>
    <w:rsid w:val="001D56E7"/>
    <w:rsid w:val="001D75CC"/>
    <w:rsid w:val="001E0583"/>
    <w:rsid w:val="001E27D7"/>
    <w:rsid w:val="001E595A"/>
    <w:rsid w:val="001F0B83"/>
    <w:rsid w:val="001F19FD"/>
    <w:rsid w:val="001F1D97"/>
    <w:rsid w:val="001F23DF"/>
    <w:rsid w:val="001F3995"/>
    <w:rsid w:val="001F4FFA"/>
    <w:rsid w:val="001F53D2"/>
    <w:rsid w:val="001F5BDA"/>
    <w:rsid w:val="00201308"/>
    <w:rsid w:val="00201FE0"/>
    <w:rsid w:val="00203A62"/>
    <w:rsid w:val="00204DD3"/>
    <w:rsid w:val="002064EF"/>
    <w:rsid w:val="00206A3D"/>
    <w:rsid w:val="00206AAE"/>
    <w:rsid w:val="002149EA"/>
    <w:rsid w:val="00215202"/>
    <w:rsid w:val="002203E0"/>
    <w:rsid w:val="00221CAD"/>
    <w:rsid w:val="0022413B"/>
    <w:rsid w:val="00227817"/>
    <w:rsid w:val="0023081C"/>
    <w:rsid w:val="00231951"/>
    <w:rsid w:val="002355B4"/>
    <w:rsid w:val="002358CC"/>
    <w:rsid w:val="00236267"/>
    <w:rsid w:val="0023630E"/>
    <w:rsid w:val="002369DA"/>
    <w:rsid w:val="002379B5"/>
    <w:rsid w:val="0024399D"/>
    <w:rsid w:val="00244F46"/>
    <w:rsid w:val="00245FB9"/>
    <w:rsid w:val="00252582"/>
    <w:rsid w:val="00257CB9"/>
    <w:rsid w:val="002605A1"/>
    <w:rsid w:val="00261399"/>
    <w:rsid w:val="00265663"/>
    <w:rsid w:val="00271C0C"/>
    <w:rsid w:val="002739E3"/>
    <w:rsid w:val="00274D11"/>
    <w:rsid w:val="002771FE"/>
    <w:rsid w:val="00280486"/>
    <w:rsid w:val="00282FBA"/>
    <w:rsid w:val="00283881"/>
    <w:rsid w:val="0028491D"/>
    <w:rsid w:val="00287A8C"/>
    <w:rsid w:val="00287B5A"/>
    <w:rsid w:val="00290F85"/>
    <w:rsid w:val="002928DF"/>
    <w:rsid w:val="00292F19"/>
    <w:rsid w:val="002930EC"/>
    <w:rsid w:val="00294E11"/>
    <w:rsid w:val="0029666B"/>
    <w:rsid w:val="002A1AB0"/>
    <w:rsid w:val="002B1D7C"/>
    <w:rsid w:val="002B2001"/>
    <w:rsid w:val="002B39DC"/>
    <w:rsid w:val="002B65CE"/>
    <w:rsid w:val="002C06A1"/>
    <w:rsid w:val="002C1279"/>
    <w:rsid w:val="002C2A8D"/>
    <w:rsid w:val="002C645E"/>
    <w:rsid w:val="002C6753"/>
    <w:rsid w:val="002D3A9E"/>
    <w:rsid w:val="002D6585"/>
    <w:rsid w:val="002E0397"/>
    <w:rsid w:val="002E0A5C"/>
    <w:rsid w:val="002E131E"/>
    <w:rsid w:val="002E2E4E"/>
    <w:rsid w:val="002E368A"/>
    <w:rsid w:val="002E3C81"/>
    <w:rsid w:val="002E4498"/>
    <w:rsid w:val="002E48A7"/>
    <w:rsid w:val="002E535E"/>
    <w:rsid w:val="002E564A"/>
    <w:rsid w:val="002E5CB2"/>
    <w:rsid w:val="002F012A"/>
    <w:rsid w:val="002F1EC0"/>
    <w:rsid w:val="002F3924"/>
    <w:rsid w:val="00301AF3"/>
    <w:rsid w:val="00302CC4"/>
    <w:rsid w:val="00307FE7"/>
    <w:rsid w:val="003113D2"/>
    <w:rsid w:val="00316980"/>
    <w:rsid w:val="00320135"/>
    <w:rsid w:val="003210B3"/>
    <w:rsid w:val="00323C10"/>
    <w:rsid w:val="003248A4"/>
    <w:rsid w:val="00326844"/>
    <w:rsid w:val="00330703"/>
    <w:rsid w:val="00332993"/>
    <w:rsid w:val="00340E99"/>
    <w:rsid w:val="00342A5E"/>
    <w:rsid w:val="00342BA4"/>
    <w:rsid w:val="00346C4C"/>
    <w:rsid w:val="00346D5C"/>
    <w:rsid w:val="00346E41"/>
    <w:rsid w:val="003506B8"/>
    <w:rsid w:val="003507B3"/>
    <w:rsid w:val="00354A4E"/>
    <w:rsid w:val="00354E0E"/>
    <w:rsid w:val="00355B97"/>
    <w:rsid w:val="00360896"/>
    <w:rsid w:val="00360BBB"/>
    <w:rsid w:val="00361201"/>
    <w:rsid w:val="00361AF0"/>
    <w:rsid w:val="003648A2"/>
    <w:rsid w:val="00364CCC"/>
    <w:rsid w:val="0036566F"/>
    <w:rsid w:val="00365B89"/>
    <w:rsid w:val="00367B1A"/>
    <w:rsid w:val="00367DDD"/>
    <w:rsid w:val="003712EB"/>
    <w:rsid w:val="0037229E"/>
    <w:rsid w:val="00373456"/>
    <w:rsid w:val="00374CBA"/>
    <w:rsid w:val="003770A1"/>
    <w:rsid w:val="003810E2"/>
    <w:rsid w:val="0038186C"/>
    <w:rsid w:val="00383848"/>
    <w:rsid w:val="00385207"/>
    <w:rsid w:val="00386C3A"/>
    <w:rsid w:val="00387C4A"/>
    <w:rsid w:val="00390B2D"/>
    <w:rsid w:val="00391007"/>
    <w:rsid w:val="00391972"/>
    <w:rsid w:val="003924FB"/>
    <w:rsid w:val="003A007B"/>
    <w:rsid w:val="003A0349"/>
    <w:rsid w:val="003A2F76"/>
    <w:rsid w:val="003A4B8F"/>
    <w:rsid w:val="003A5DD1"/>
    <w:rsid w:val="003B04F5"/>
    <w:rsid w:val="003B1968"/>
    <w:rsid w:val="003B2A57"/>
    <w:rsid w:val="003B3057"/>
    <w:rsid w:val="003B6BF9"/>
    <w:rsid w:val="003C0795"/>
    <w:rsid w:val="003C0CED"/>
    <w:rsid w:val="003C1A4E"/>
    <w:rsid w:val="003C21A1"/>
    <w:rsid w:val="003C2CB0"/>
    <w:rsid w:val="003C4886"/>
    <w:rsid w:val="003C530B"/>
    <w:rsid w:val="003D3E78"/>
    <w:rsid w:val="003D702E"/>
    <w:rsid w:val="003D7C7F"/>
    <w:rsid w:val="003E092D"/>
    <w:rsid w:val="003E4C4D"/>
    <w:rsid w:val="003E7D3C"/>
    <w:rsid w:val="003F0125"/>
    <w:rsid w:val="003F0674"/>
    <w:rsid w:val="003F2C06"/>
    <w:rsid w:val="003F51BF"/>
    <w:rsid w:val="003F612D"/>
    <w:rsid w:val="003F6A54"/>
    <w:rsid w:val="003F7043"/>
    <w:rsid w:val="0040594D"/>
    <w:rsid w:val="00407B3E"/>
    <w:rsid w:val="00411D9C"/>
    <w:rsid w:val="00413951"/>
    <w:rsid w:val="004154B7"/>
    <w:rsid w:val="00416242"/>
    <w:rsid w:val="00421BED"/>
    <w:rsid w:val="00424423"/>
    <w:rsid w:val="00424854"/>
    <w:rsid w:val="0042567B"/>
    <w:rsid w:val="004302E3"/>
    <w:rsid w:val="004302E9"/>
    <w:rsid w:val="00434368"/>
    <w:rsid w:val="00434825"/>
    <w:rsid w:val="00434990"/>
    <w:rsid w:val="00434A3F"/>
    <w:rsid w:val="00436064"/>
    <w:rsid w:val="004417A7"/>
    <w:rsid w:val="00441874"/>
    <w:rsid w:val="00443FB1"/>
    <w:rsid w:val="0044654D"/>
    <w:rsid w:val="00447AA4"/>
    <w:rsid w:val="00451BBD"/>
    <w:rsid w:val="00455158"/>
    <w:rsid w:val="00455277"/>
    <w:rsid w:val="004558AD"/>
    <w:rsid w:val="00457F5F"/>
    <w:rsid w:val="00462755"/>
    <w:rsid w:val="00462CB7"/>
    <w:rsid w:val="00463291"/>
    <w:rsid w:val="00465813"/>
    <w:rsid w:val="004661D1"/>
    <w:rsid w:val="004677EB"/>
    <w:rsid w:val="0047610D"/>
    <w:rsid w:val="00476284"/>
    <w:rsid w:val="0047778A"/>
    <w:rsid w:val="00477BB5"/>
    <w:rsid w:val="00480FC6"/>
    <w:rsid w:val="004834F8"/>
    <w:rsid w:val="00483E2D"/>
    <w:rsid w:val="004863C6"/>
    <w:rsid w:val="00486555"/>
    <w:rsid w:val="0049091C"/>
    <w:rsid w:val="004939F0"/>
    <w:rsid w:val="00496470"/>
    <w:rsid w:val="00496C37"/>
    <w:rsid w:val="004976CC"/>
    <w:rsid w:val="004A0C8C"/>
    <w:rsid w:val="004A3C34"/>
    <w:rsid w:val="004A5BD9"/>
    <w:rsid w:val="004A7B18"/>
    <w:rsid w:val="004B091D"/>
    <w:rsid w:val="004B1E79"/>
    <w:rsid w:val="004B2746"/>
    <w:rsid w:val="004B69EF"/>
    <w:rsid w:val="004B7E0F"/>
    <w:rsid w:val="004C37C5"/>
    <w:rsid w:val="004C78BB"/>
    <w:rsid w:val="004D18DE"/>
    <w:rsid w:val="004D194E"/>
    <w:rsid w:val="004D21C9"/>
    <w:rsid w:val="004D3245"/>
    <w:rsid w:val="004D621C"/>
    <w:rsid w:val="004D62DC"/>
    <w:rsid w:val="004D6B87"/>
    <w:rsid w:val="004D7237"/>
    <w:rsid w:val="004E1D4C"/>
    <w:rsid w:val="004E29A9"/>
    <w:rsid w:val="004E3771"/>
    <w:rsid w:val="004E3F14"/>
    <w:rsid w:val="004E40CE"/>
    <w:rsid w:val="004E580C"/>
    <w:rsid w:val="004E5B73"/>
    <w:rsid w:val="004E62B1"/>
    <w:rsid w:val="004E7FB2"/>
    <w:rsid w:val="004F0165"/>
    <w:rsid w:val="004F1D6F"/>
    <w:rsid w:val="004F3917"/>
    <w:rsid w:val="004F3B67"/>
    <w:rsid w:val="004F4D87"/>
    <w:rsid w:val="004F5247"/>
    <w:rsid w:val="004F60D1"/>
    <w:rsid w:val="004F7591"/>
    <w:rsid w:val="005122C8"/>
    <w:rsid w:val="00514291"/>
    <w:rsid w:val="00514BB8"/>
    <w:rsid w:val="00523A2A"/>
    <w:rsid w:val="005245D3"/>
    <w:rsid w:val="00524D01"/>
    <w:rsid w:val="00525695"/>
    <w:rsid w:val="00527AF1"/>
    <w:rsid w:val="005301C8"/>
    <w:rsid w:val="005301F4"/>
    <w:rsid w:val="0054047D"/>
    <w:rsid w:val="0054053A"/>
    <w:rsid w:val="005407DB"/>
    <w:rsid w:val="00541588"/>
    <w:rsid w:val="00541808"/>
    <w:rsid w:val="00543DCF"/>
    <w:rsid w:val="005443D2"/>
    <w:rsid w:val="00544418"/>
    <w:rsid w:val="005459BB"/>
    <w:rsid w:val="005461C4"/>
    <w:rsid w:val="0055030C"/>
    <w:rsid w:val="00551931"/>
    <w:rsid w:val="00552809"/>
    <w:rsid w:val="0055611D"/>
    <w:rsid w:val="005655A6"/>
    <w:rsid w:val="00566D2A"/>
    <w:rsid w:val="00572450"/>
    <w:rsid w:val="005773F6"/>
    <w:rsid w:val="00581C29"/>
    <w:rsid w:val="0058290A"/>
    <w:rsid w:val="00582B8C"/>
    <w:rsid w:val="00583B69"/>
    <w:rsid w:val="00584B42"/>
    <w:rsid w:val="00585152"/>
    <w:rsid w:val="005918F7"/>
    <w:rsid w:val="0059404C"/>
    <w:rsid w:val="00597B55"/>
    <w:rsid w:val="005A033A"/>
    <w:rsid w:val="005A1E38"/>
    <w:rsid w:val="005A5FA1"/>
    <w:rsid w:val="005B03EC"/>
    <w:rsid w:val="005B07B8"/>
    <w:rsid w:val="005B191C"/>
    <w:rsid w:val="005B4FC5"/>
    <w:rsid w:val="005B610F"/>
    <w:rsid w:val="005B6E55"/>
    <w:rsid w:val="005B7771"/>
    <w:rsid w:val="005C33C7"/>
    <w:rsid w:val="005C34DF"/>
    <w:rsid w:val="005C465C"/>
    <w:rsid w:val="005C7CF0"/>
    <w:rsid w:val="005D31AE"/>
    <w:rsid w:val="005E0AD5"/>
    <w:rsid w:val="005E639A"/>
    <w:rsid w:val="005E69D1"/>
    <w:rsid w:val="005E7243"/>
    <w:rsid w:val="005F0539"/>
    <w:rsid w:val="00601F1A"/>
    <w:rsid w:val="0060347C"/>
    <w:rsid w:val="00603C64"/>
    <w:rsid w:val="006065B9"/>
    <w:rsid w:val="00606634"/>
    <w:rsid w:val="00610DFB"/>
    <w:rsid w:val="00614A15"/>
    <w:rsid w:val="00614ABC"/>
    <w:rsid w:val="00617C0E"/>
    <w:rsid w:val="006206E1"/>
    <w:rsid w:val="006223BF"/>
    <w:rsid w:val="00622886"/>
    <w:rsid w:val="00623105"/>
    <w:rsid w:val="00623EE7"/>
    <w:rsid w:val="0062507E"/>
    <w:rsid w:val="006316B5"/>
    <w:rsid w:val="006322DF"/>
    <w:rsid w:val="00636085"/>
    <w:rsid w:val="0063772E"/>
    <w:rsid w:val="00637DF7"/>
    <w:rsid w:val="0064011A"/>
    <w:rsid w:val="0064474F"/>
    <w:rsid w:val="006454D5"/>
    <w:rsid w:val="00647EBF"/>
    <w:rsid w:val="00651A2E"/>
    <w:rsid w:val="00653F5D"/>
    <w:rsid w:val="00654A1D"/>
    <w:rsid w:val="006562A8"/>
    <w:rsid w:val="006570C6"/>
    <w:rsid w:val="00662AA2"/>
    <w:rsid w:val="00664763"/>
    <w:rsid w:val="00664ABF"/>
    <w:rsid w:val="00666272"/>
    <w:rsid w:val="0068062A"/>
    <w:rsid w:val="006806D2"/>
    <w:rsid w:val="00681BC2"/>
    <w:rsid w:val="00684A2A"/>
    <w:rsid w:val="00684E9A"/>
    <w:rsid w:val="006851AD"/>
    <w:rsid w:val="006875E5"/>
    <w:rsid w:val="00696CAB"/>
    <w:rsid w:val="006971FA"/>
    <w:rsid w:val="00697BDF"/>
    <w:rsid w:val="006A1D99"/>
    <w:rsid w:val="006A2BD2"/>
    <w:rsid w:val="006A47A6"/>
    <w:rsid w:val="006A68EF"/>
    <w:rsid w:val="006B486C"/>
    <w:rsid w:val="006B5B71"/>
    <w:rsid w:val="006B6A68"/>
    <w:rsid w:val="006B7E68"/>
    <w:rsid w:val="006C00B3"/>
    <w:rsid w:val="006C073A"/>
    <w:rsid w:val="006C448B"/>
    <w:rsid w:val="006C4FDD"/>
    <w:rsid w:val="006C51A7"/>
    <w:rsid w:val="006C5323"/>
    <w:rsid w:val="006C6445"/>
    <w:rsid w:val="006C6578"/>
    <w:rsid w:val="006C6F2C"/>
    <w:rsid w:val="006D1B41"/>
    <w:rsid w:val="006D35F6"/>
    <w:rsid w:val="006D3D2C"/>
    <w:rsid w:val="006D432C"/>
    <w:rsid w:val="006D48F1"/>
    <w:rsid w:val="006D4A44"/>
    <w:rsid w:val="006D4FB7"/>
    <w:rsid w:val="006E0CBA"/>
    <w:rsid w:val="006E334B"/>
    <w:rsid w:val="006F125A"/>
    <w:rsid w:val="006F2B95"/>
    <w:rsid w:val="006F66B2"/>
    <w:rsid w:val="00702423"/>
    <w:rsid w:val="00702996"/>
    <w:rsid w:val="00702BFD"/>
    <w:rsid w:val="00703506"/>
    <w:rsid w:val="00710170"/>
    <w:rsid w:val="007157E4"/>
    <w:rsid w:val="0072106B"/>
    <w:rsid w:val="00721EF4"/>
    <w:rsid w:val="0072405E"/>
    <w:rsid w:val="00725912"/>
    <w:rsid w:val="007269B7"/>
    <w:rsid w:val="00726C18"/>
    <w:rsid w:val="00726E14"/>
    <w:rsid w:val="00727EDB"/>
    <w:rsid w:val="0073397C"/>
    <w:rsid w:val="00734F65"/>
    <w:rsid w:val="00740C9A"/>
    <w:rsid w:val="00740EDF"/>
    <w:rsid w:val="00742A6C"/>
    <w:rsid w:val="007504EA"/>
    <w:rsid w:val="00750865"/>
    <w:rsid w:val="007532D4"/>
    <w:rsid w:val="007541E5"/>
    <w:rsid w:val="00754C47"/>
    <w:rsid w:val="00754F1A"/>
    <w:rsid w:val="00755987"/>
    <w:rsid w:val="007565A5"/>
    <w:rsid w:val="00766EB3"/>
    <w:rsid w:val="00771A9A"/>
    <w:rsid w:val="007756CB"/>
    <w:rsid w:val="007829B4"/>
    <w:rsid w:val="00783896"/>
    <w:rsid w:val="00790966"/>
    <w:rsid w:val="0079260A"/>
    <w:rsid w:val="00794160"/>
    <w:rsid w:val="00797B1C"/>
    <w:rsid w:val="007A0E00"/>
    <w:rsid w:val="007A2363"/>
    <w:rsid w:val="007A4BAC"/>
    <w:rsid w:val="007A55E6"/>
    <w:rsid w:val="007A5A11"/>
    <w:rsid w:val="007A5A47"/>
    <w:rsid w:val="007A6725"/>
    <w:rsid w:val="007A7A76"/>
    <w:rsid w:val="007B1E0A"/>
    <w:rsid w:val="007B3D34"/>
    <w:rsid w:val="007B5AA7"/>
    <w:rsid w:val="007C145D"/>
    <w:rsid w:val="007C1FF9"/>
    <w:rsid w:val="007C211A"/>
    <w:rsid w:val="007C25FE"/>
    <w:rsid w:val="007C46F5"/>
    <w:rsid w:val="007D206B"/>
    <w:rsid w:val="007D4F53"/>
    <w:rsid w:val="007D55AD"/>
    <w:rsid w:val="007E36E8"/>
    <w:rsid w:val="007E4CB8"/>
    <w:rsid w:val="007E6427"/>
    <w:rsid w:val="007F1D07"/>
    <w:rsid w:val="007F3330"/>
    <w:rsid w:val="007F6841"/>
    <w:rsid w:val="007F6CB2"/>
    <w:rsid w:val="0080091A"/>
    <w:rsid w:val="00803390"/>
    <w:rsid w:val="00807133"/>
    <w:rsid w:val="00807B57"/>
    <w:rsid w:val="008134DD"/>
    <w:rsid w:val="00817403"/>
    <w:rsid w:val="00820DBF"/>
    <w:rsid w:val="0082222A"/>
    <w:rsid w:val="0082318D"/>
    <w:rsid w:val="0082388A"/>
    <w:rsid w:val="00824698"/>
    <w:rsid w:val="00825710"/>
    <w:rsid w:val="008266BD"/>
    <w:rsid w:val="00830EB8"/>
    <w:rsid w:val="00832227"/>
    <w:rsid w:val="00832C83"/>
    <w:rsid w:val="00837C67"/>
    <w:rsid w:val="00841EEE"/>
    <w:rsid w:val="00841F6B"/>
    <w:rsid w:val="00845576"/>
    <w:rsid w:val="008458FA"/>
    <w:rsid w:val="00846F82"/>
    <w:rsid w:val="00847DB7"/>
    <w:rsid w:val="0085194F"/>
    <w:rsid w:val="00853428"/>
    <w:rsid w:val="00853C63"/>
    <w:rsid w:val="00857929"/>
    <w:rsid w:val="00861D3A"/>
    <w:rsid w:val="008705D5"/>
    <w:rsid w:val="00873DB9"/>
    <w:rsid w:val="00874854"/>
    <w:rsid w:val="0087662C"/>
    <w:rsid w:val="00877F7C"/>
    <w:rsid w:val="00882793"/>
    <w:rsid w:val="00887415"/>
    <w:rsid w:val="00890527"/>
    <w:rsid w:val="00895334"/>
    <w:rsid w:val="008960B8"/>
    <w:rsid w:val="0089651E"/>
    <w:rsid w:val="008A254B"/>
    <w:rsid w:val="008A6EA6"/>
    <w:rsid w:val="008A70CB"/>
    <w:rsid w:val="008B36FD"/>
    <w:rsid w:val="008B5D54"/>
    <w:rsid w:val="008B5EB7"/>
    <w:rsid w:val="008B6A7E"/>
    <w:rsid w:val="008C0677"/>
    <w:rsid w:val="008C154D"/>
    <w:rsid w:val="008C3154"/>
    <w:rsid w:val="008C36BB"/>
    <w:rsid w:val="008C46E9"/>
    <w:rsid w:val="008C6811"/>
    <w:rsid w:val="008D003E"/>
    <w:rsid w:val="008D1AE4"/>
    <w:rsid w:val="008D678D"/>
    <w:rsid w:val="008E1058"/>
    <w:rsid w:val="008E3A6C"/>
    <w:rsid w:val="008E47E6"/>
    <w:rsid w:val="008E49FD"/>
    <w:rsid w:val="008E7A31"/>
    <w:rsid w:val="008F0707"/>
    <w:rsid w:val="008F26E1"/>
    <w:rsid w:val="008F6D26"/>
    <w:rsid w:val="008F6E48"/>
    <w:rsid w:val="0090078A"/>
    <w:rsid w:val="00901E43"/>
    <w:rsid w:val="00904FB6"/>
    <w:rsid w:val="0090515B"/>
    <w:rsid w:val="00906099"/>
    <w:rsid w:val="00906B16"/>
    <w:rsid w:val="0091320B"/>
    <w:rsid w:val="00913909"/>
    <w:rsid w:val="00915629"/>
    <w:rsid w:val="009163A4"/>
    <w:rsid w:val="0091651D"/>
    <w:rsid w:val="00920782"/>
    <w:rsid w:val="00925F13"/>
    <w:rsid w:val="00930D68"/>
    <w:rsid w:val="00932BF5"/>
    <w:rsid w:val="009363D4"/>
    <w:rsid w:val="00940376"/>
    <w:rsid w:val="00943FCF"/>
    <w:rsid w:val="00952BF9"/>
    <w:rsid w:val="009535EC"/>
    <w:rsid w:val="009577A5"/>
    <w:rsid w:val="00962A73"/>
    <w:rsid w:val="00963A1F"/>
    <w:rsid w:val="00964F8C"/>
    <w:rsid w:val="00965C2A"/>
    <w:rsid w:val="00975121"/>
    <w:rsid w:val="009758DC"/>
    <w:rsid w:val="00976EBB"/>
    <w:rsid w:val="00980EE2"/>
    <w:rsid w:val="00981A76"/>
    <w:rsid w:val="009841E3"/>
    <w:rsid w:val="00991493"/>
    <w:rsid w:val="009948CC"/>
    <w:rsid w:val="009977B4"/>
    <w:rsid w:val="009A107B"/>
    <w:rsid w:val="009A379F"/>
    <w:rsid w:val="009A57A2"/>
    <w:rsid w:val="009A7A43"/>
    <w:rsid w:val="009B26BF"/>
    <w:rsid w:val="009B46AF"/>
    <w:rsid w:val="009B4E9B"/>
    <w:rsid w:val="009B60C9"/>
    <w:rsid w:val="009B6C89"/>
    <w:rsid w:val="009B6DBA"/>
    <w:rsid w:val="009B765E"/>
    <w:rsid w:val="009C0FF3"/>
    <w:rsid w:val="009C3332"/>
    <w:rsid w:val="009C4626"/>
    <w:rsid w:val="009C49EF"/>
    <w:rsid w:val="009C654B"/>
    <w:rsid w:val="009C7ACF"/>
    <w:rsid w:val="009D0B5D"/>
    <w:rsid w:val="009D2718"/>
    <w:rsid w:val="009D43F5"/>
    <w:rsid w:val="009D6EBD"/>
    <w:rsid w:val="009D7F7F"/>
    <w:rsid w:val="009E313A"/>
    <w:rsid w:val="009E3B41"/>
    <w:rsid w:val="009E4B22"/>
    <w:rsid w:val="009E70C1"/>
    <w:rsid w:val="009E7B1B"/>
    <w:rsid w:val="009E7D42"/>
    <w:rsid w:val="009F1330"/>
    <w:rsid w:val="00A007C5"/>
    <w:rsid w:val="00A01219"/>
    <w:rsid w:val="00A02D2A"/>
    <w:rsid w:val="00A10A8C"/>
    <w:rsid w:val="00A131F4"/>
    <w:rsid w:val="00A1404A"/>
    <w:rsid w:val="00A148A3"/>
    <w:rsid w:val="00A150EF"/>
    <w:rsid w:val="00A22372"/>
    <w:rsid w:val="00A22B44"/>
    <w:rsid w:val="00A22E60"/>
    <w:rsid w:val="00A30192"/>
    <w:rsid w:val="00A30435"/>
    <w:rsid w:val="00A321C9"/>
    <w:rsid w:val="00A40E0B"/>
    <w:rsid w:val="00A40E9F"/>
    <w:rsid w:val="00A4105D"/>
    <w:rsid w:val="00A414FE"/>
    <w:rsid w:val="00A43C9D"/>
    <w:rsid w:val="00A446D4"/>
    <w:rsid w:val="00A45AE6"/>
    <w:rsid w:val="00A469E5"/>
    <w:rsid w:val="00A51051"/>
    <w:rsid w:val="00A54359"/>
    <w:rsid w:val="00A5495F"/>
    <w:rsid w:val="00A561BB"/>
    <w:rsid w:val="00A6012F"/>
    <w:rsid w:val="00A609A6"/>
    <w:rsid w:val="00A635F0"/>
    <w:rsid w:val="00A64299"/>
    <w:rsid w:val="00A65244"/>
    <w:rsid w:val="00A6592C"/>
    <w:rsid w:val="00A65BAD"/>
    <w:rsid w:val="00A6604C"/>
    <w:rsid w:val="00A664B4"/>
    <w:rsid w:val="00A6728E"/>
    <w:rsid w:val="00A70A6F"/>
    <w:rsid w:val="00A71627"/>
    <w:rsid w:val="00A7789D"/>
    <w:rsid w:val="00A81AAF"/>
    <w:rsid w:val="00A84859"/>
    <w:rsid w:val="00A85F25"/>
    <w:rsid w:val="00A866D5"/>
    <w:rsid w:val="00A931CD"/>
    <w:rsid w:val="00A94610"/>
    <w:rsid w:val="00A96F70"/>
    <w:rsid w:val="00AA03E9"/>
    <w:rsid w:val="00AA15B3"/>
    <w:rsid w:val="00AA1F65"/>
    <w:rsid w:val="00AA2343"/>
    <w:rsid w:val="00AA2F28"/>
    <w:rsid w:val="00AA54F3"/>
    <w:rsid w:val="00AB09FF"/>
    <w:rsid w:val="00AB1282"/>
    <w:rsid w:val="00AB12D6"/>
    <w:rsid w:val="00AB18A6"/>
    <w:rsid w:val="00AB2DFE"/>
    <w:rsid w:val="00AB3C31"/>
    <w:rsid w:val="00AB3CEB"/>
    <w:rsid w:val="00AB46DB"/>
    <w:rsid w:val="00AC0DB6"/>
    <w:rsid w:val="00AC2499"/>
    <w:rsid w:val="00AC24C7"/>
    <w:rsid w:val="00AC4C7D"/>
    <w:rsid w:val="00AC5BD1"/>
    <w:rsid w:val="00AC62CC"/>
    <w:rsid w:val="00AC76C2"/>
    <w:rsid w:val="00AD362D"/>
    <w:rsid w:val="00AD4E9D"/>
    <w:rsid w:val="00AD5E41"/>
    <w:rsid w:val="00AD6A63"/>
    <w:rsid w:val="00AE1D9F"/>
    <w:rsid w:val="00AE443E"/>
    <w:rsid w:val="00AE5246"/>
    <w:rsid w:val="00AE6746"/>
    <w:rsid w:val="00AF0689"/>
    <w:rsid w:val="00AF1BED"/>
    <w:rsid w:val="00AF3796"/>
    <w:rsid w:val="00AF7E84"/>
    <w:rsid w:val="00B0005D"/>
    <w:rsid w:val="00B03024"/>
    <w:rsid w:val="00B04C37"/>
    <w:rsid w:val="00B04CD7"/>
    <w:rsid w:val="00B10E0C"/>
    <w:rsid w:val="00B128A4"/>
    <w:rsid w:val="00B15E05"/>
    <w:rsid w:val="00B209BD"/>
    <w:rsid w:val="00B20C90"/>
    <w:rsid w:val="00B2287C"/>
    <w:rsid w:val="00B266F0"/>
    <w:rsid w:val="00B312B1"/>
    <w:rsid w:val="00B3235B"/>
    <w:rsid w:val="00B32586"/>
    <w:rsid w:val="00B362F9"/>
    <w:rsid w:val="00B37EB0"/>
    <w:rsid w:val="00B400BC"/>
    <w:rsid w:val="00B405D8"/>
    <w:rsid w:val="00B4096C"/>
    <w:rsid w:val="00B40DFF"/>
    <w:rsid w:val="00B45002"/>
    <w:rsid w:val="00B45779"/>
    <w:rsid w:val="00B459A6"/>
    <w:rsid w:val="00B46BD6"/>
    <w:rsid w:val="00B4706E"/>
    <w:rsid w:val="00B4734F"/>
    <w:rsid w:val="00B5095A"/>
    <w:rsid w:val="00B50EA9"/>
    <w:rsid w:val="00B53975"/>
    <w:rsid w:val="00B55735"/>
    <w:rsid w:val="00B56E8A"/>
    <w:rsid w:val="00B572CF"/>
    <w:rsid w:val="00B608AC"/>
    <w:rsid w:val="00B62148"/>
    <w:rsid w:val="00B655CA"/>
    <w:rsid w:val="00B65C2F"/>
    <w:rsid w:val="00B65C54"/>
    <w:rsid w:val="00B676FA"/>
    <w:rsid w:val="00B67D13"/>
    <w:rsid w:val="00B80E53"/>
    <w:rsid w:val="00B81631"/>
    <w:rsid w:val="00B82B61"/>
    <w:rsid w:val="00B8429E"/>
    <w:rsid w:val="00B855BC"/>
    <w:rsid w:val="00B909F9"/>
    <w:rsid w:val="00B9102A"/>
    <w:rsid w:val="00B9184D"/>
    <w:rsid w:val="00B9186E"/>
    <w:rsid w:val="00B91B41"/>
    <w:rsid w:val="00B92BFB"/>
    <w:rsid w:val="00B9370C"/>
    <w:rsid w:val="00B95D90"/>
    <w:rsid w:val="00B97C3B"/>
    <w:rsid w:val="00BA0CB2"/>
    <w:rsid w:val="00BA1042"/>
    <w:rsid w:val="00BA2D35"/>
    <w:rsid w:val="00BA2DBE"/>
    <w:rsid w:val="00BA3624"/>
    <w:rsid w:val="00BA4A65"/>
    <w:rsid w:val="00BA60FD"/>
    <w:rsid w:val="00BA6BB7"/>
    <w:rsid w:val="00BB0E8E"/>
    <w:rsid w:val="00BB28DA"/>
    <w:rsid w:val="00BB3447"/>
    <w:rsid w:val="00BB375A"/>
    <w:rsid w:val="00BB5AE3"/>
    <w:rsid w:val="00BB5DA0"/>
    <w:rsid w:val="00BB63ED"/>
    <w:rsid w:val="00BC17AA"/>
    <w:rsid w:val="00BC30C1"/>
    <w:rsid w:val="00BC6158"/>
    <w:rsid w:val="00BD0ED3"/>
    <w:rsid w:val="00BD24A8"/>
    <w:rsid w:val="00BD3A34"/>
    <w:rsid w:val="00BD4653"/>
    <w:rsid w:val="00BD70C4"/>
    <w:rsid w:val="00BD7198"/>
    <w:rsid w:val="00BE035C"/>
    <w:rsid w:val="00BE14E2"/>
    <w:rsid w:val="00BE2052"/>
    <w:rsid w:val="00BE223E"/>
    <w:rsid w:val="00BE2FEC"/>
    <w:rsid w:val="00BE52DE"/>
    <w:rsid w:val="00BE5BD0"/>
    <w:rsid w:val="00BE6013"/>
    <w:rsid w:val="00BE6F95"/>
    <w:rsid w:val="00BE7F98"/>
    <w:rsid w:val="00BF0802"/>
    <w:rsid w:val="00BF3E5B"/>
    <w:rsid w:val="00BF4D5E"/>
    <w:rsid w:val="00BF545C"/>
    <w:rsid w:val="00BF6C67"/>
    <w:rsid w:val="00C000CD"/>
    <w:rsid w:val="00C00DE8"/>
    <w:rsid w:val="00C03179"/>
    <w:rsid w:val="00C0357E"/>
    <w:rsid w:val="00C0561A"/>
    <w:rsid w:val="00C10248"/>
    <w:rsid w:val="00C10594"/>
    <w:rsid w:val="00C10AE3"/>
    <w:rsid w:val="00C1136E"/>
    <w:rsid w:val="00C11D54"/>
    <w:rsid w:val="00C11E84"/>
    <w:rsid w:val="00C1323F"/>
    <w:rsid w:val="00C13936"/>
    <w:rsid w:val="00C13959"/>
    <w:rsid w:val="00C14779"/>
    <w:rsid w:val="00C17718"/>
    <w:rsid w:val="00C17A31"/>
    <w:rsid w:val="00C214F6"/>
    <w:rsid w:val="00C22CBF"/>
    <w:rsid w:val="00C244D0"/>
    <w:rsid w:val="00C26766"/>
    <w:rsid w:val="00C314B6"/>
    <w:rsid w:val="00C3170B"/>
    <w:rsid w:val="00C32985"/>
    <w:rsid w:val="00C33F7E"/>
    <w:rsid w:val="00C36D9E"/>
    <w:rsid w:val="00C409FC"/>
    <w:rsid w:val="00C50474"/>
    <w:rsid w:val="00C5143F"/>
    <w:rsid w:val="00C54298"/>
    <w:rsid w:val="00C564AD"/>
    <w:rsid w:val="00C56C35"/>
    <w:rsid w:val="00C63466"/>
    <w:rsid w:val="00C63A84"/>
    <w:rsid w:val="00C63AD7"/>
    <w:rsid w:val="00C70072"/>
    <w:rsid w:val="00C70B5E"/>
    <w:rsid w:val="00C71C1A"/>
    <w:rsid w:val="00C72C51"/>
    <w:rsid w:val="00C76B80"/>
    <w:rsid w:val="00C773A9"/>
    <w:rsid w:val="00C82842"/>
    <w:rsid w:val="00C829E4"/>
    <w:rsid w:val="00C836A1"/>
    <w:rsid w:val="00C90526"/>
    <w:rsid w:val="00C929D2"/>
    <w:rsid w:val="00C92BCB"/>
    <w:rsid w:val="00CA2658"/>
    <w:rsid w:val="00CA4658"/>
    <w:rsid w:val="00CA6206"/>
    <w:rsid w:val="00CA72CD"/>
    <w:rsid w:val="00CA736B"/>
    <w:rsid w:val="00CB0BD9"/>
    <w:rsid w:val="00CB14BD"/>
    <w:rsid w:val="00CB17F2"/>
    <w:rsid w:val="00CB18A3"/>
    <w:rsid w:val="00CB4B3C"/>
    <w:rsid w:val="00CB747C"/>
    <w:rsid w:val="00CC3DFC"/>
    <w:rsid w:val="00CC3F05"/>
    <w:rsid w:val="00CD11AD"/>
    <w:rsid w:val="00CD2300"/>
    <w:rsid w:val="00CD7A35"/>
    <w:rsid w:val="00CE01CF"/>
    <w:rsid w:val="00CE4B47"/>
    <w:rsid w:val="00CE70D0"/>
    <w:rsid w:val="00CE71F8"/>
    <w:rsid w:val="00CE76C1"/>
    <w:rsid w:val="00CF24E4"/>
    <w:rsid w:val="00CF7455"/>
    <w:rsid w:val="00CF766A"/>
    <w:rsid w:val="00D00836"/>
    <w:rsid w:val="00D01949"/>
    <w:rsid w:val="00D02999"/>
    <w:rsid w:val="00D07EA8"/>
    <w:rsid w:val="00D10870"/>
    <w:rsid w:val="00D12B9C"/>
    <w:rsid w:val="00D14962"/>
    <w:rsid w:val="00D150A8"/>
    <w:rsid w:val="00D16598"/>
    <w:rsid w:val="00D16EB5"/>
    <w:rsid w:val="00D179EA"/>
    <w:rsid w:val="00D20211"/>
    <w:rsid w:val="00D2041B"/>
    <w:rsid w:val="00D2083E"/>
    <w:rsid w:val="00D21504"/>
    <w:rsid w:val="00D22285"/>
    <w:rsid w:val="00D22A94"/>
    <w:rsid w:val="00D234B1"/>
    <w:rsid w:val="00D27B87"/>
    <w:rsid w:val="00D30BDF"/>
    <w:rsid w:val="00D312D8"/>
    <w:rsid w:val="00D32500"/>
    <w:rsid w:val="00D35CD6"/>
    <w:rsid w:val="00D408B1"/>
    <w:rsid w:val="00D40D1B"/>
    <w:rsid w:val="00D431BD"/>
    <w:rsid w:val="00D4717E"/>
    <w:rsid w:val="00D476FA"/>
    <w:rsid w:val="00D51816"/>
    <w:rsid w:val="00D5181E"/>
    <w:rsid w:val="00D5249F"/>
    <w:rsid w:val="00D5424F"/>
    <w:rsid w:val="00D54C0F"/>
    <w:rsid w:val="00D5583A"/>
    <w:rsid w:val="00D56796"/>
    <w:rsid w:val="00D62EE3"/>
    <w:rsid w:val="00D6587B"/>
    <w:rsid w:val="00D67B08"/>
    <w:rsid w:val="00D72EA8"/>
    <w:rsid w:val="00D8010A"/>
    <w:rsid w:val="00D80860"/>
    <w:rsid w:val="00D815D4"/>
    <w:rsid w:val="00D83A5F"/>
    <w:rsid w:val="00D84506"/>
    <w:rsid w:val="00D91D4C"/>
    <w:rsid w:val="00D91F39"/>
    <w:rsid w:val="00D938F7"/>
    <w:rsid w:val="00D9512F"/>
    <w:rsid w:val="00DA1FD9"/>
    <w:rsid w:val="00DA2325"/>
    <w:rsid w:val="00DA2BC4"/>
    <w:rsid w:val="00DA31EB"/>
    <w:rsid w:val="00DA54A6"/>
    <w:rsid w:val="00DA5A96"/>
    <w:rsid w:val="00DA6118"/>
    <w:rsid w:val="00DA6E40"/>
    <w:rsid w:val="00DB2341"/>
    <w:rsid w:val="00DB40A8"/>
    <w:rsid w:val="00DB4709"/>
    <w:rsid w:val="00DC57CC"/>
    <w:rsid w:val="00DC7E2A"/>
    <w:rsid w:val="00DD046B"/>
    <w:rsid w:val="00DD160E"/>
    <w:rsid w:val="00DD30E1"/>
    <w:rsid w:val="00DD4063"/>
    <w:rsid w:val="00DD5C03"/>
    <w:rsid w:val="00DD7989"/>
    <w:rsid w:val="00DD7ABB"/>
    <w:rsid w:val="00DE0710"/>
    <w:rsid w:val="00DE0E6C"/>
    <w:rsid w:val="00DE5708"/>
    <w:rsid w:val="00DF2BF4"/>
    <w:rsid w:val="00DF5F5A"/>
    <w:rsid w:val="00E00EAC"/>
    <w:rsid w:val="00E0510F"/>
    <w:rsid w:val="00E073FF"/>
    <w:rsid w:val="00E11F63"/>
    <w:rsid w:val="00E22E3A"/>
    <w:rsid w:val="00E25AB9"/>
    <w:rsid w:val="00E25C97"/>
    <w:rsid w:val="00E26D57"/>
    <w:rsid w:val="00E2725E"/>
    <w:rsid w:val="00E278FC"/>
    <w:rsid w:val="00E337B2"/>
    <w:rsid w:val="00E3707E"/>
    <w:rsid w:val="00E44C4F"/>
    <w:rsid w:val="00E47380"/>
    <w:rsid w:val="00E47940"/>
    <w:rsid w:val="00E52761"/>
    <w:rsid w:val="00E53CD8"/>
    <w:rsid w:val="00E64C21"/>
    <w:rsid w:val="00E65C62"/>
    <w:rsid w:val="00E71A5F"/>
    <w:rsid w:val="00E733C0"/>
    <w:rsid w:val="00E73437"/>
    <w:rsid w:val="00E73BE0"/>
    <w:rsid w:val="00E747E6"/>
    <w:rsid w:val="00E756E8"/>
    <w:rsid w:val="00E75B19"/>
    <w:rsid w:val="00E82C63"/>
    <w:rsid w:val="00E85215"/>
    <w:rsid w:val="00E857BB"/>
    <w:rsid w:val="00E95E60"/>
    <w:rsid w:val="00EA0849"/>
    <w:rsid w:val="00EA2AFC"/>
    <w:rsid w:val="00EA3339"/>
    <w:rsid w:val="00EA52EC"/>
    <w:rsid w:val="00EA538D"/>
    <w:rsid w:val="00EA55C0"/>
    <w:rsid w:val="00EA7430"/>
    <w:rsid w:val="00EB0B5C"/>
    <w:rsid w:val="00EB246C"/>
    <w:rsid w:val="00EB3AD6"/>
    <w:rsid w:val="00EB3C4F"/>
    <w:rsid w:val="00EC1D86"/>
    <w:rsid w:val="00EC5E2E"/>
    <w:rsid w:val="00EC64FB"/>
    <w:rsid w:val="00ED0D0E"/>
    <w:rsid w:val="00ED4142"/>
    <w:rsid w:val="00ED614F"/>
    <w:rsid w:val="00ED72E9"/>
    <w:rsid w:val="00ED73C0"/>
    <w:rsid w:val="00ED7FA4"/>
    <w:rsid w:val="00EE131A"/>
    <w:rsid w:val="00EE2130"/>
    <w:rsid w:val="00EE2348"/>
    <w:rsid w:val="00EE7CF9"/>
    <w:rsid w:val="00EF0F25"/>
    <w:rsid w:val="00EF1AA1"/>
    <w:rsid w:val="00EF1ECD"/>
    <w:rsid w:val="00EF4047"/>
    <w:rsid w:val="00EF5041"/>
    <w:rsid w:val="00EF674C"/>
    <w:rsid w:val="00F0090B"/>
    <w:rsid w:val="00F0210B"/>
    <w:rsid w:val="00F024E8"/>
    <w:rsid w:val="00F1095E"/>
    <w:rsid w:val="00F12419"/>
    <w:rsid w:val="00F1279E"/>
    <w:rsid w:val="00F12AD6"/>
    <w:rsid w:val="00F13451"/>
    <w:rsid w:val="00F13B4D"/>
    <w:rsid w:val="00F1603C"/>
    <w:rsid w:val="00F16DA0"/>
    <w:rsid w:val="00F1710D"/>
    <w:rsid w:val="00F20B48"/>
    <w:rsid w:val="00F20D60"/>
    <w:rsid w:val="00F219A6"/>
    <w:rsid w:val="00F226AD"/>
    <w:rsid w:val="00F22A40"/>
    <w:rsid w:val="00F23A4F"/>
    <w:rsid w:val="00F2476B"/>
    <w:rsid w:val="00F25EE0"/>
    <w:rsid w:val="00F262CE"/>
    <w:rsid w:val="00F276E9"/>
    <w:rsid w:val="00F30919"/>
    <w:rsid w:val="00F30A92"/>
    <w:rsid w:val="00F32FA5"/>
    <w:rsid w:val="00F33B65"/>
    <w:rsid w:val="00F4416F"/>
    <w:rsid w:val="00F451A4"/>
    <w:rsid w:val="00F460FD"/>
    <w:rsid w:val="00F546BB"/>
    <w:rsid w:val="00F55293"/>
    <w:rsid w:val="00F557E4"/>
    <w:rsid w:val="00F6029C"/>
    <w:rsid w:val="00F61266"/>
    <w:rsid w:val="00F63FAF"/>
    <w:rsid w:val="00F643DD"/>
    <w:rsid w:val="00F7214F"/>
    <w:rsid w:val="00F77077"/>
    <w:rsid w:val="00F77C21"/>
    <w:rsid w:val="00F8030A"/>
    <w:rsid w:val="00F82AF2"/>
    <w:rsid w:val="00F84A8A"/>
    <w:rsid w:val="00F84FB5"/>
    <w:rsid w:val="00F85138"/>
    <w:rsid w:val="00F86B2F"/>
    <w:rsid w:val="00F86B72"/>
    <w:rsid w:val="00F90B8D"/>
    <w:rsid w:val="00F916B5"/>
    <w:rsid w:val="00F91C38"/>
    <w:rsid w:val="00FA1A1B"/>
    <w:rsid w:val="00FA4342"/>
    <w:rsid w:val="00FA4DE0"/>
    <w:rsid w:val="00FA77F8"/>
    <w:rsid w:val="00FB061A"/>
    <w:rsid w:val="00FB25EB"/>
    <w:rsid w:val="00FB3333"/>
    <w:rsid w:val="00FB6BD6"/>
    <w:rsid w:val="00FC2F2A"/>
    <w:rsid w:val="00FC5A14"/>
    <w:rsid w:val="00FC5B5A"/>
    <w:rsid w:val="00FD00E5"/>
    <w:rsid w:val="00FD42EB"/>
    <w:rsid w:val="00FE197E"/>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EF1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las.Peter@ihs.gov" TargetMode="External"/><Relationship Id="rId13" Type="http://schemas.openxmlformats.org/officeDocument/2006/relationships/hyperlink" Target="mailto:jlewis@cybermesa.com" TargetMode="External"/><Relationship Id="rId18" Type="http://schemas.openxmlformats.org/officeDocument/2006/relationships/hyperlink" Target="http://censtats.census.gov/data/AZ/28004243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ric.chris@earthlink.net" TargetMode="External"/><Relationship Id="rId17" Type="http://schemas.openxmlformats.org/officeDocument/2006/relationships/hyperlink" Target="http://www.hhs.gov/ocio/eplc/" TargetMode="External"/><Relationship Id="rId2" Type="http://schemas.openxmlformats.org/officeDocument/2006/relationships/numbering" Target="numbering.xml"/><Relationship Id="rId16" Type="http://schemas.openxmlformats.org/officeDocument/2006/relationships/hyperlink" Target="mailto:klc7@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begay@nndoh.org" TargetMode="External"/><Relationship Id="rId5" Type="http://schemas.openxmlformats.org/officeDocument/2006/relationships/webSettings" Target="webSettings.xml"/><Relationship Id="rId15" Type="http://schemas.openxmlformats.org/officeDocument/2006/relationships/hyperlink" Target="mailto:dbegay@gmail.com" TargetMode="External"/><Relationship Id="rId10" Type="http://schemas.openxmlformats.org/officeDocument/2006/relationships/hyperlink" Target="mailto:M.Poudel@nndoh.org" TargetMode="External"/><Relationship Id="rId19" Type="http://schemas.openxmlformats.org/officeDocument/2006/relationships/hyperlink" Target="http://www.azcia.gov/Documents/Links/DemoProfiles/Navajo%20Nation.pdf" TargetMode="External"/><Relationship Id="rId4" Type="http://schemas.openxmlformats.org/officeDocument/2006/relationships/settings" Target="settings.xml"/><Relationship Id="rId9" Type="http://schemas.openxmlformats.org/officeDocument/2006/relationships/hyperlink" Target="mailto:stephenbetsitty@navajo.org" TargetMode="External"/><Relationship Id="rId14" Type="http://schemas.openxmlformats.org/officeDocument/2006/relationships/hyperlink" Target="mailto:adrienne.ettinger@yal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60071-1EF3-401D-BE43-BB5F23D8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cp:lastModifiedBy>
  <cp:revision>12</cp:revision>
  <cp:lastPrinted>2015-11-04T15:20:00Z</cp:lastPrinted>
  <dcterms:created xsi:type="dcterms:W3CDTF">2015-11-12T19:58:00Z</dcterms:created>
  <dcterms:modified xsi:type="dcterms:W3CDTF">2015-11-24T17:27:00Z</dcterms:modified>
</cp:coreProperties>
</file>