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598" w:rsidRPr="009C7097" w:rsidRDefault="00412A6E" w:rsidP="004B0598">
      <w:pPr>
        <w:pStyle w:val="Heading3"/>
        <w:spacing w:after="240"/>
        <w:jc w:val="center"/>
        <w:rPr>
          <w:color w:val="auto"/>
          <w:sz w:val="24"/>
          <w:szCs w:val="24"/>
        </w:rPr>
      </w:pPr>
      <w:r>
        <w:rPr>
          <w:color w:val="auto"/>
          <w:sz w:val="24"/>
          <w:szCs w:val="24"/>
        </w:rPr>
        <w:t>Attachment 15</w:t>
      </w:r>
      <w:bookmarkStart w:id="0" w:name="_GoBack"/>
      <w:bookmarkEnd w:id="0"/>
      <w:r w:rsidR="001C2489">
        <w:rPr>
          <w:color w:val="auto"/>
          <w:sz w:val="24"/>
          <w:szCs w:val="24"/>
        </w:rPr>
        <w:t xml:space="preserve">: </w:t>
      </w:r>
      <w:r w:rsidR="00245F5F" w:rsidRPr="009C7097">
        <w:rPr>
          <w:color w:val="auto"/>
          <w:sz w:val="24"/>
          <w:szCs w:val="24"/>
        </w:rPr>
        <w:t xml:space="preserve">Biomonitoring Table </w:t>
      </w:r>
      <w:r w:rsidR="009C7097" w:rsidRPr="009C7097">
        <w:rPr>
          <w:color w:val="auto"/>
          <w:sz w:val="24"/>
          <w:szCs w:val="24"/>
        </w:rPr>
        <w:t>–Testing Times and Analytes*</w:t>
      </w:r>
    </w:p>
    <w:p w:rsidR="009C7097" w:rsidRPr="009C7097" w:rsidRDefault="00272E26" w:rsidP="009C7097">
      <w:r>
        <w:rPr>
          <w:noProof/>
        </w:rPr>
        <mc:AlternateContent>
          <mc:Choice Requires="wps">
            <w:drawing>
              <wp:anchor distT="0" distB="0" distL="114300" distR="114300" simplePos="0" relativeHeight="251661312" behindDoc="0" locked="0" layoutInCell="1" allowOverlap="1" wp14:anchorId="35F9EE47" wp14:editId="5036DE47">
                <wp:simplePos x="0" y="0"/>
                <wp:positionH relativeFrom="column">
                  <wp:posOffset>752475</wp:posOffset>
                </wp:positionH>
                <wp:positionV relativeFrom="paragraph">
                  <wp:posOffset>2543810</wp:posOffset>
                </wp:positionV>
                <wp:extent cx="47625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28600"/>
                        </a:xfrm>
                        <a:prstGeom prst="rect">
                          <a:avLst/>
                        </a:prstGeom>
                        <a:noFill/>
                        <a:ln w="9525">
                          <a:noFill/>
                          <a:miter lim="800000"/>
                          <a:headEnd/>
                          <a:tailEnd/>
                        </a:ln>
                      </wps:spPr>
                      <wps:txbx>
                        <w:txbxContent>
                          <w:p w:rsidR="00272E26" w:rsidRDefault="00272E26" w:rsidP="00272E2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9EE47" id="_x0000_t202" coordsize="21600,21600" o:spt="202" path="m,l,21600r21600,l21600,xe">
                <v:stroke joinstyle="miter"/>
                <v:path gradientshapeok="t" o:connecttype="rect"/>
              </v:shapetype>
              <v:shape id="Text Box 2" o:spid="_x0000_s1026" type="#_x0000_t202" style="position:absolute;margin-left:59.25pt;margin-top:200.3pt;width:3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" filled="f" stroked="f">
                <v:textbox>
                  <w:txbxContent>
                    <w:p w:rsidR="00272E26" w:rsidRDefault="00272E26" w:rsidP="00272E26">
                      <w:r>
                        <w:t>***</w:t>
                      </w:r>
                    </w:p>
                  </w:txbxContent>
                </v:textbox>
              </v:shape>
            </w:pict>
          </mc:Fallback>
        </mc:AlternateContent>
      </w:r>
      <w:r w:rsidR="009C7097">
        <w:rPr>
          <w:noProof/>
        </w:rPr>
        <mc:AlternateContent>
          <mc:Choice Requires="wps">
            <w:drawing>
              <wp:anchor distT="0" distB="0" distL="114300" distR="114300" simplePos="0" relativeHeight="251659264" behindDoc="0" locked="0" layoutInCell="1" allowOverlap="1" wp14:anchorId="7A5E27A3" wp14:editId="09239AE5">
                <wp:simplePos x="0" y="0"/>
                <wp:positionH relativeFrom="column">
                  <wp:posOffset>971550</wp:posOffset>
                </wp:positionH>
                <wp:positionV relativeFrom="paragraph">
                  <wp:posOffset>857885</wp:posOffset>
                </wp:positionV>
                <wp:extent cx="342900" cy="228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w="9525">
                          <a:noFill/>
                          <a:miter lim="800000"/>
                          <a:headEnd/>
                          <a:tailEnd/>
                        </a:ln>
                      </wps:spPr>
                      <wps:txbx>
                        <w:txbxContent>
                          <w:p w:rsidR="006C61C5" w:rsidRDefault="006C61C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E27A3" id="_x0000_s1027" type="#_x0000_t202" style="position:absolute;margin-left:76.5pt;margin-top:67.5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" filled="f" stroked="f">
                <v:textbox>
                  <w:txbxContent>
                    <w:p w:rsidR="006C61C5" w:rsidRDefault="006C61C5">
                      <w:r>
                        <w:t>**</w:t>
                      </w:r>
                    </w:p>
                  </w:txbxContent>
                </v:textbox>
              </v:shape>
            </w:pict>
          </mc:Fallback>
        </mc:AlternateContent>
      </w:r>
      <w:r w:rsidR="009C7097">
        <w:rPr>
          <w:noProof/>
        </w:rPr>
        <w:drawing>
          <wp:inline distT="0" distB="0" distL="0" distR="0" wp14:anchorId="0975D1D9" wp14:editId="08003053">
            <wp:extent cx="5762625" cy="475537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4755376"/>
                    </a:xfrm>
                    <a:prstGeom prst="rect">
                      <a:avLst/>
                    </a:prstGeom>
                    <a:noFill/>
                    <a:ln>
                      <a:noFill/>
                    </a:ln>
                  </pic:spPr>
                </pic:pic>
              </a:graphicData>
            </a:graphic>
          </wp:inline>
        </w:drawing>
      </w:r>
    </w:p>
    <w:p w:rsidR="009C7097" w:rsidRPr="00025F9A" w:rsidRDefault="009C7097" w:rsidP="009C7097">
      <w:pPr>
        <w:spacing w:after="0"/>
        <w:rPr>
          <w:sz w:val="24"/>
          <w:szCs w:val="24"/>
        </w:rPr>
      </w:pPr>
      <w:r w:rsidRPr="00025F9A">
        <w:rPr>
          <w:sz w:val="24"/>
          <w:szCs w:val="24"/>
        </w:rPr>
        <w:t xml:space="preserve">*Analyte testing is dependent on funding; </w:t>
      </w:r>
      <w:proofErr w:type="gramStart"/>
      <w:r w:rsidRPr="00025F9A">
        <w:rPr>
          <w:sz w:val="24"/>
          <w:szCs w:val="24"/>
        </w:rPr>
        <w:t>All</w:t>
      </w:r>
      <w:proofErr w:type="gramEnd"/>
      <w:r w:rsidRPr="00025F9A">
        <w:rPr>
          <w:sz w:val="24"/>
          <w:szCs w:val="24"/>
        </w:rPr>
        <w:t xml:space="preserve"> analytes may not be tested if funding is not </w:t>
      </w:r>
      <w:r w:rsidR="00025F9A">
        <w:rPr>
          <w:sz w:val="24"/>
          <w:szCs w:val="24"/>
        </w:rPr>
        <w:t>a</w:t>
      </w:r>
      <w:r w:rsidRPr="00025F9A">
        <w:rPr>
          <w:sz w:val="24"/>
          <w:szCs w:val="24"/>
        </w:rPr>
        <w:t>vailable</w:t>
      </w:r>
    </w:p>
    <w:p w:rsidR="009C7097" w:rsidRDefault="0075483F" w:rsidP="009C7097">
      <w:pPr>
        <w:spacing w:after="0"/>
        <w:rPr>
          <w:sz w:val="24"/>
          <w:szCs w:val="24"/>
        </w:rPr>
      </w:pPr>
      <w:r w:rsidRPr="00025F9A">
        <w:rPr>
          <w:sz w:val="24"/>
          <w:szCs w:val="24"/>
        </w:rPr>
        <w:t>**</w:t>
      </w:r>
      <w:r w:rsidR="009C7097" w:rsidRPr="00025F9A">
        <w:rPr>
          <w:sz w:val="24"/>
          <w:szCs w:val="24"/>
        </w:rPr>
        <w:t xml:space="preserve">Multi-element panel includes: uranium, antimony, barium, beryllium, cadmium, cesium, cobalt, lead, </w:t>
      </w:r>
      <w:r w:rsidRPr="00025F9A">
        <w:rPr>
          <w:sz w:val="24"/>
          <w:szCs w:val="24"/>
        </w:rPr>
        <w:t>molybdenum</w:t>
      </w:r>
      <w:r w:rsidR="009C7097" w:rsidRPr="00025F9A">
        <w:rPr>
          <w:sz w:val="24"/>
          <w:szCs w:val="24"/>
        </w:rPr>
        <w:t xml:space="preserve">, </w:t>
      </w:r>
      <w:r w:rsidRPr="00025F9A">
        <w:rPr>
          <w:sz w:val="24"/>
          <w:szCs w:val="24"/>
        </w:rPr>
        <w:t>platinum, titanium, t</w:t>
      </w:r>
      <w:r w:rsidR="009C7097" w:rsidRPr="00025F9A">
        <w:rPr>
          <w:sz w:val="24"/>
          <w:szCs w:val="24"/>
        </w:rPr>
        <w:t>ungsten</w:t>
      </w:r>
    </w:p>
    <w:p w:rsidR="00272E26" w:rsidRPr="00025F9A" w:rsidRDefault="00272E26" w:rsidP="009C7097">
      <w:pPr>
        <w:spacing w:after="0"/>
        <w:rPr>
          <w:sz w:val="24"/>
          <w:szCs w:val="24"/>
        </w:rPr>
      </w:pPr>
      <w:r>
        <w:rPr>
          <w:sz w:val="24"/>
          <w:szCs w:val="24"/>
        </w:rPr>
        <w:t>*** Mercury, lead, cadmium panel also includes manganese and selenium</w:t>
      </w: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CA206A" w:rsidRPr="00025F9A" w:rsidRDefault="001C2489" w:rsidP="009C7097">
      <w:pPr>
        <w:spacing w:after="0"/>
        <w:jc w:val="center"/>
        <w:rPr>
          <w:b/>
          <w:sz w:val="24"/>
          <w:szCs w:val="24"/>
        </w:rPr>
      </w:pPr>
      <w:r>
        <w:rPr>
          <w:b/>
          <w:sz w:val="24"/>
          <w:szCs w:val="24"/>
        </w:rPr>
        <w:t xml:space="preserve">Attachment 14 continued: </w:t>
      </w:r>
      <w:r w:rsidR="009C7097" w:rsidRPr="00025F9A">
        <w:rPr>
          <w:b/>
          <w:sz w:val="24"/>
          <w:szCs w:val="24"/>
        </w:rPr>
        <w:t>Justification for Analytes in Exposure Assessment</w:t>
      </w:r>
    </w:p>
    <w:p w:rsidR="009C7097" w:rsidRPr="00D61315" w:rsidRDefault="009C7097" w:rsidP="009C7097">
      <w:pPr>
        <w:spacing w:after="0"/>
      </w:pPr>
    </w:p>
    <w:tbl>
      <w:tblPr>
        <w:tblStyle w:val="TableGrid"/>
        <w:tblW w:w="0" w:type="auto"/>
        <w:jc w:val="center"/>
        <w:tblLook w:val="04A0" w:firstRow="1" w:lastRow="0" w:firstColumn="1" w:lastColumn="0" w:noHBand="0" w:noVBand="1"/>
      </w:tblPr>
      <w:tblGrid>
        <w:gridCol w:w="2114"/>
        <w:gridCol w:w="1175"/>
        <w:gridCol w:w="6061"/>
      </w:tblGrid>
      <w:tr w:rsidR="0075483F" w:rsidTr="00025F9A">
        <w:trPr>
          <w:trHeight w:val="503"/>
          <w:jc w:val="center"/>
        </w:trPr>
        <w:tc>
          <w:tcPr>
            <w:tcW w:w="0" w:type="auto"/>
            <w:shd w:val="clear" w:color="auto" w:fill="DBE5F1" w:themeFill="accent1" w:themeFillTint="33"/>
          </w:tcPr>
          <w:p w:rsidR="00025F9A" w:rsidRDefault="00025F9A" w:rsidP="00025F9A">
            <w:pPr>
              <w:jc w:val="center"/>
              <w:rPr>
                <w:b/>
                <w:sz w:val="28"/>
                <w:szCs w:val="28"/>
              </w:rPr>
            </w:pPr>
          </w:p>
          <w:p w:rsidR="0075483F" w:rsidRPr="00025F9A" w:rsidRDefault="0075483F" w:rsidP="00025F9A">
            <w:pPr>
              <w:jc w:val="center"/>
              <w:rPr>
                <w:b/>
                <w:sz w:val="28"/>
                <w:szCs w:val="28"/>
              </w:rPr>
            </w:pPr>
            <w:r w:rsidRPr="00025F9A">
              <w:rPr>
                <w:b/>
                <w:sz w:val="28"/>
                <w:szCs w:val="28"/>
              </w:rPr>
              <w:t>ANALYTE</w:t>
            </w:r>
            <w:r w:rsidR="003631B8">
              <w:rPr>
                <w:b/>
                <w:sz w:val="28"/>
                <w:szCs w:val="28"/>
              </w:rPr>
              <w:t xml:space="preserve"> (</w:t>
            </w:r>
            <w:r w:rsidRPr="00025F9A">
              <w:rPr>
                <w:b/>
                <w:sz w:val="28"/>
                <w:szCs w:val="28"/>
              </w:rPr>
              <w:t>S</w:t>
            </w:r>
            <w:r w:rsidR="003631B8">
              <w:rPr>
                <w:b/>
                <w:sz w:val="28"/>
                <w:szCs w:val="28"/>
              </w:rPr>
              <w:t>)</w:t>
            </w:r>
          </w:p>
          <w:p w:rsidR="0075483F" w:rsidRPr="00025F9A" w:rsidRDefault="0075483F" w:rsidP="00025F9A">
            <w:pPr>
              <w:jc w:val="center"/>
              <w:rPr>
                <w:b/>
                <w:sz w:val="28"/>
                <w:szCs w:val="28"/>
              </w:rPr>
            </w:pPr>
          </w:p>
        </w:tc>
        <w:tc>
          <w:tcPr>
            <w:tcW w:w="0" w:type="auto"/>
            <w:tcBorders>
              <w:bottom w:val="single" w:sz="4" w:space="0" w:color="auto"/>
            </w:tcBorders>
            <w:shd w:val="clear" w:color="auto" w:fill="DBE5F1" w:themeFill="accent1" w:themeFillTint="33"/>
          </w:tcPr>
          <w:p w:rsidR="00025F9A" w:rsidRDefault="00025F9A" w:rsidP="00025F9A">
            <w:pPr>
              <w:jc w:val="center"/>
              <w:rPr>
                <w:b/>
                <w:sz w:val="28"/>
                <w:szCs w:val="28"/>
              </w:rPr>
            </w:pPr>
          </w:p>
          <w:p w:rsidR="0075483F" w:rsidRPr="00025F9A" w:rsidRDefault="0075483F" w:rsidP="00025F9A">
            <w:pPr>
              <w:jc w:val="center"/>
              <w:rPr>
                <w:b/>
                <w:sz w:val="28"/>
                <w:szCs w:val="28"/>
              </w:rPr>
            </w:pPr>
            <w:r w:rsidRPr="00025F9A">
              <w:rPr>
                <w:b/>
                <w:sz w:val="28"/>
                <w:szCs w:val="28"/>
              </w:rPr>
              <w:t>MATRIX</w:t>
            </w:r>
          </w:p>
        </w:tc>
        <w:tc>
          <w:tcPr>
            <w:tcW w:w="0" w:type="auto"/>
            <w:tcBorders>
              <w:bottom w:val="single" w:sz="4" w:space="0" w:color="auto"/>
            </w:tcBorders>
            <w:shd w:val="clear" w:color="auto" w:fill="DBE5F1" w:themeFill="accent1" w:themeFillTint="33"/>
          </w:tcPr>
          <w:p w:rsidR="00025F9A" w:rsidRDefault="00025F9A" w:rsidP="00025F9A">
            <w:pPr>
              <w:jc w:val="center"/>
              <w:rPr>
                <w:b/>
                <w:sz w:val="28"/>
                <w:szCs w:val="28"/>
              </w:rPr>
            </w:pPr>
          </w:p>
          <w:p w:rsidR="0075483F" w:rsidRPr="00025F9A" w:rsidRDefault="0075483F" w:rsidP="00025F9A">
            <w:pPr>
              <w:jc w:val="center"/>
              <w:rPr>
                <w:b/>
                <w:sz w:val="28"/>
                <w:szCs w:val="28"/>
              </w:rPr>
            </w:pPr>
            <w:r w:rsidRPr="00025F9A">
              <w:rPr>
                <w:b/>
                <w:sz w:val="28"/>
                <w:szCs w:val="28"/>
              </w:rPr>
              <w:t>JUSTIFICATION</w:t>
            </w:r>
          </w:p>
        </w:tc>
      </w:tr>
      <w:tr w:rsidR="0075483F" w:rsidTr="00025F9A">
        <w:trPr>
          <w:trHeight w:val="755"/>
          <w:jc w:val="center"/>
        </w:trPr>
        <w:tc>
          <w:tcPr>
            <w:tcW w:w="0" w:type="auto"/>
            <w:shd w:val="clear" w:color="auto" w:fill="auto"/>
            <w:vAlign w:val="center"/>
          </w:tcPr>
          <w:p w:rsidR="0075483F" w:rsidRDefault="0075483F" w:rsidP="002532C7">
            <w:r>
              <w:t>Uranium</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3E618F">
            <w:r>
              <w:t>Primary exposure of interest</w:t>
            </w:r>
            <w:r w:rsidR="003E618F">
              <w:t>;</w:t>
            </w:r>
            <w:r w:rsidR="003E618F">
              <w:rPr>
                <w:rFonts w:ascii="Georgia" w:hAnsi="Georgia"/>
                <w:color w:val="000000"/>
                <w:lang w:val="en"/>
              </w:rPr>
              <w:t xml:space="preserve"> </w:t>
            </w:r>
            <w:r w:rsidR="003E618F" w:rsidRPr="00140FB2">
              <w:t>Levels of urinary uranium reflect recent and accumulated exposure</w:t>
            </w:r>
            <w:r w:rsidR="003E618F">
              <w:t xml:space="preserve">.  This exposure metric as well as information obtained from surveys (occupational history, water sources, proximity to uranium mine or mill site) and environmental home assessments will help to give an overall understanding of participants’ current and past exposures to uranium. </w:t>
            </w:r>
            <w:r w:rsidR="009440CE">
              <w:t xml:space="preserve"> </w:t>
            </w:r>
            <w:r w:rsidR="003E618F">
              <w:t xml:space="preserve">Uranium has been associated with adverse reproductive, birth, and renal outcomes. </w:t>
            </w:r>
          </w:p>
        </w:tc>
      </w:tr>
      <w:tr w:rsidR="0075483F" w:rsidTr="00025F9A">
        <w:trPr>
          <w:trHeight w:val="755"/>
          <w:jc w:val="center"/>
        </w:trPr>
        <w:tc>
          <w:tcPr>
            <w:tcW w:w="0" w:type="auto"/>
            <w:shd w:val="clear" w:color="auto" w:fill="auto"/>
            <w:vAlign w:val="center"/>
          </w:tcPr>
          <w:p w:rsidR="0075483F" w:rsidRDefault="0075483F" w:rsidP="002532C7">
            <w:r>
              <w:t>Antimony</w:t>
            </w:r>
          </w:p>
        </w:tc>
        <w:tc>
          <w:tcPr>
            <w:tcW w:w="0" w:type="auto"/>
            <w:tcBorders>
              <w:left w:val="single" w:sz="4" w:space="0" w:color="auto"/>
            </w:tcBorders>
            <w:shd w:val="clear" w:color="auto" w:fill="auto"/>
            <w:vAlign w:val="center"/>
          </w:tcPr>
          <w:p w:rsidR="0075483F" w:rsidRPr="005F355B"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025F9A">
            <w:r>
              <w:t xml:space="preserve">Included in analysis panel with uranium (primary exposure of interest) </w:t>
            </w:r>
          </w:p>
        </w:tc>
      </w:tr>
      <w:tr w:rsidR="0075483F" w:rsidTr="00025F9A">
        <w:trPr>
          <w:trHeight w:val="935"/>
          <w:jc w:val="center"/>
        </w:trPr>
        <w:tc>
          <w:tcPr>
            <w:tcW w:w="0" w:type="auto"/>
            <w:shd w:val="clear" w:color="auto" w:fill="auto"/>
            <w:vAlign w:val="center"/>
          </w:tcPr>
          <w:p w:rsidR="0075483F" w:rsidRDefault="0075483F" w:rsidP="002532C7">
            <w:r>
              <w:t>Barium</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 xml:space="preserve">Beryllium </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Cadmium</w:t>
            </w:r>
          </w:p>
          <w:p w:rsidR="0075483F" w:rsidRDefault="0075483F" w:rsidP="00B86AFF"/>
        </w:tc>
        <w:tc>
          <w:tcPr>
            <w:tcW w:w="0" w:type="auto"/>
            <w:tcBorders>
              <w:left w:val="single" w:sz="4" w:space="0" w:color="auto"/>
            </w:tcBorders>
            <w:shd w:val="clear" w:color="auto" w:fill="auto"/>
            <w:vAlign w:val="center"/>
          </w:tcPr>
          <w:p w:rsidR="0075483F" w:rsidRDefault="003631B8" w:rsidP="0075483F">
            <w:pPr>
              <w:jc w:val="center"/>
            </w:pPr>
            <w:r>
              <w:t>U</w:t>
            </w:r>
            <w:r w:rsidR="0075483F">
              <w:t>rine</w:t>
            </w:r>
          </w:p>
          <w:p w:rsidR="0075483F" w:rsidRDefault="003631B8" w:rsidP="0075483F">
            <w:pPr>
              <w:jc w:val="center"/>
            </w:pPr>
            <w:r>
              <w:t>B</w:t>
            </w:r>
            <w:r w:rsidR="0075483F">
              <w:t>lood</w:t>
            </w:r>
          </w:p>
        </w:tc>
        <w:tc>
          <w:tcPr>
            <w:tcW w:w="0" w:type="auto"/>
            <w:tcBorders>
              <w:left w:val="single" w:sz="4" w:space="0" w:color="auto"/>
            </w:tcBorders>
          </w:tcPr>
          <w:p w:rsidR="00FC39C7" w:rsidRDefault="00FC39C7" w:rsidP="009440CE"/>
          <w:p w:rsidR="0075483F" w:rsidRDefault="0075483F" w:rsidP="009440CE">
            <w:r w:rsidRPr="0075483F">
              <w:t>Included in analysis panel with uranium (primary exposure of interest)</w:t>
            </w:r>
            <w:r>
              <w:t xml:space="preserve">. Cadmium has also been associated with lower </w:t>
            </w:r>
            <w:r w:rsidR="004170A0">
              <w:t>birth weight</w:t>
            </w:r>
            <w:r>
              <w:t>, hypertension, and diabetes. Pre-eclampsia and gestational</w:t>
            </w:r>
            <w:r w:rsidR="00317FEE">
              <w:t xml:space="preserve"> </w:t>
            </w:r>
            <w:r>
              <w:t xml:space="preserve">diabetes are conditions that may affect the health outcome of the infant. </w:t>
            </w:r>
            <w:r w:rsidR="00317FEE">
              <w:t xml:space="preserve">Cadmium is a </w:t>
            </w:r>
            <w:r w:rsidR="00317FEE" w:rsidRPr="00317FEE">
              <w:t>frequent component in “silver solder” used in in-home jewelry making</w:t>
            </w:r>
            <w:r w:rsidR="00140FB2">
              <w:t xml:space="preserve"> </w:t>
            </w:r>
            <w:r w:rsidR="00705365">
              <w:t xml:space="preserve">.It is </w:t>
            </w:r>
            <w:r w:rsidR="00317FEE" w:rsidRPr="00317FEE">
              <w:t>not found to be present in concentrations of concern in mine wastes</w:t>
            </w:r>
            <w:r w:rsidR="00140FB2">
              <w:t xml:space="preserve">. </w:t>
            </w:r>
            <w:r w:rsidR="00705365">
              <w:t xml:space="preserve">Based on results from the </w:t>
            </w:r>
            <w:r w:rsidR="00140FB2">
              <w:t>2008</w:t>
            </w:r>
            <w:r w:rsidR="00705365">
              <w:t xml:space="preserve"> CDC Water Hauling Study, cadmium h</w:t>
            </w:r>
            <w:r w:rsidR="00317FEE" w:rsidRPr="00317FEE">
              <w:t>as been fou</w:t>
            </w:r>
            <w:r w:rsidR="00140FB2">
              <w:t>nd in unregulated water sources.</w:t>
            </w:r>
          </w:p>
          <w:p w:rsidR="00705365" w:rsidRDefault="00705365" w:rsidP="009440CE"/>
        </w:tc>
      </w:tr>
      <w:tr w:rsidR="0075483F" w:rsidTr="00025F9A">
        <w:trPr>
          <w:trHeight w:val="935"/>
          <w:jc w:val="center"/>
        </w:trPr>
        <w:tc>
          <w:tcPr>
            <w:tcW w:w="0" w:type="auto"/>
            <w:shd w:val="clear" w:color="auto" w:fill="auto"/>
            <w:vAlign w:val="center"/>
          </w:tcPr>
          <w:p w:rsidR="0075483F" w:rsidRDefault="0075483F" w:rsidP="002532C7">
            <w:r>
              <w:t>Cesium</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p w:rsidR="0075483F" w:rsidRDefault="0075483F" w:rsidP="005E76A8">
            <w:pPr>
              <w:jc w:val="center"/>
            </w:pP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Cobalt</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Lead</w:t>
            </w:r>
          </w:p>
        </w:tc>
        <w:tc>
          <w:tcPr>
            <w:tcW w:w="0" w:type="auto"/>
            <w:tcBorders>
              <w:left w:val="single" w:sz="4" w:space="0" w:color="auto"/>
            </w:tcBorders>
            <w:shd w:val="clear" w:color="auto" w:fill="auto"/>
            <w:vAlign w:val="center"/>
          </w:tcPr>
          <w:p w:rsidR="0075483F" w:rsidRDefault="0075483F" w:rsidP="005E76A8">
            <w:pPr>
              <w:jc w:val="center"/>
            </w:pPr>
            <w:r>
              <w:t>Urine</w:t>
            </w:r>
          </w:p>
          <w:p w:rsidR="0075483F" w:rsidRDefault="0075483F" w:rsidP="005E76A8">
            <w:pPr>
              <w:jc w:val="center"/>
            </w:pPr>
          </w:p>
          <w:p w:rsidR="0075483F" w:rsidRDefault="0075483F" w:rsidP="005E76A8">
            <w:pPr>
              <w:jc w:val="center"/>
            </w:pPr>
            <w:r>
              <w:t>Blood</w:t>
            </w:r>
          </w:p>
          <w:p w:rsidR="0075483F" w:rsidRDefault="0075483F" w:rsidP="005E76A8">
            <w:pPr>
              <w:jc w:val="center"/>
            </w:pPr>
          </w:p>
        </w:tc>
        <w:tc>
          <w:tcPr>
            <w:tcW w:w="0" w:type="auto"/>
            <w:tcBorders>
              <w:left w:val="single" w:sz="4" w:space="0" w:color="auto"/>
            </w:tcBorders>
          </w:tcPr>
          <w:p w:rsidR="00FC39C7" w:rsidRDefault="00FC39C7" w:rsidP="00025F9A"/>
          <w:p w:rsidR="0075483F" w:rsidRDefault="0075483F" w:rsidP="00140FB2">
            <w:r w:rsidRPr="0075483F">
              <w:t xml:space="preserve">Included in </w:t>
            </w:r>
            <w:r>
              <w:t xml:space="preserve">urine </w:t>
            </w:r>
            <w:r w:rsidRPr="0075483F">
              <w:t>analysis panel with uranium</w:t>
            </w:r>
            <w:r w:rsidR="00FC39C7">
              <w:t xml:space="preserve">. Lead is </w:t>
            </w:r>
            <w:r w:rsidR="00140FB2">
              <w:t xml:space="preserve">an important confounder. </w:t>
            </w:r>
            <w:r w:rsidR="00FC1EA3">
              <w:t>High lead exposures have been associated with developmental delays and lower</w:t>
            </w:r>
            <w:r>
              <w:t xml:space="preserve"> IQ in children</w:t>
            </w:r>
          </w:p>
          <w:p w:rsidR="00FC1EA3" w:rsidRDefault="00FC1EA3" w:rsidP="00140FB2"/>
        </w:tc>
      </w:tr>
      <w:tr w:rsidR="0075483F" w:rsidTr="00025F9A">
        <w:trPr>
          <w:trHeight w:val="935"/>
          <w:jc w:val="center"/>
        </w:trPr>
        <w:tc>
          <w:tcPr>
            <w:tcW w:w="0" w:type="auto"/>
            <w:shd w:val="clear" w:color="auto" w:fill="auto"/>
            <w:vAlign w:val="center"/>
          </w:tcPr>
          <w:p w:rsidR="0075483F" w:rsidRDefault="00FC1EA3" w:rsidP="002532C7">
            <w:r>
              <w:lastRenderedPageBreak/>
              <w:t>Molybdenum</w:t>
            </w:r>
          </w:p>
        </w:tc>
        <w:tc>
          <w:tcPr>
            <w:tcW w:w="0" w:type="auto"/>
            <w:tcBorders>
              <w:left w:val="single" w:sz="4" w:space="0" w:color="auto"/>
            </w:tcBorders>
            <w:shd w:val="clear" w:color="auto" w:fill="auto"/>
            <w:vAlign w:val="center"/>
          </w:tcPr>
          <w:p w:rsidR="0075483F" w:rsidRDefault="0075483F" w:rsidP="005E76A8">
            <w:pPr>
              <w:jc w:val="center"/>
            </w:pPr>
            <w:r>
              <w:t>Urine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Platinum</w:t>
            </w:r>
          </w:p>
        </w:tc>
        <w:tc>
          <w:tcPr>
            <w:tcW w:w="0" w:type="auto"/>
            <w:tcBorders>
              <w:left w:val="single" w:sz="4" w:space="0" w:color="auto"/>
            </w:tcBorders>
            <w:shd w:val="clear" w:color="auto" w:fill="auto"/>
            <w:vAlign w:val="center"/>
          </w:tcPr>
          <w:p w:rsidR="0075483F" w:rsidRDefault="0075483F" w:rsidP="005E76A8">
            <w:pPr>
              <w:jc w:val="center"/>
            </w:pPr>
            <w:r>
              <w:t>Urine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Titanium</w:t>
            </w:r>
          </w:p>
        </w:tc>
        <w:tc>
          <w:tcPr>
            <w:tcW w:w="0" w:type="auto"/>
            <w:tcBorders>
              <w:left w:val="single" w:sz="4" w:space="0" w:color="auto"/>
            </w:tcBorders>
            <w:shd w:val="clear" w:color="auto" w:fill="auto"/>
            <w:vAlign w:val="center"/>
          </w:tcPr>
          <w:p w:rsidR="0075483F" w:rsidRDefault="0075483F" w:rsidP="005E76A8">
            <w:pPr>
              <w:jc w:val="center"/>
            </w:pPr>
            <w:r>
              <w:t>Urine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Tungsten</w:t>
            </w:r>
          </w:p>
        </w:tc>
        <w:tc>
          <w:tcPr>
            <w:tcW w:w="0" w:type="auto"/>
            <w:tcBorders>
              <w:left w:val="single" w:sz="4" w:space="0" w:color="auto"/>
            </w:tcBorders>
            <w:shd w:val="clear" w:color="auto" w:fill="auto"/>
            <w:vAlign w:val="center"/>
          </w:tcPr>
          <w:p w:rsidR="0075483F" w:rsidRDefault="00330E94" w:rsidP="005E76A8">
            <w:pPr>
              <w:jc w:val="center"/>
            </w:pPr>
            <w:r>
              <w:t>Urine</w:t>
            </w:r>
          </w:p>
        </w:tc>
        <w:tc>
          <w:tcPr>
            <w:tcW w:w="0" w:type="auto"/>
            <w:tcBorders>
              <w:left w:val="single" w:sz="4" w:space="0" w:color="auto"/>
            </w:tcBorders>
          </w:tcPr>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Mercury</w:t>
            </w:r>
          </w:p>
          <w:p w:rsidR="0075483F" w:rsidRPr="00FF1FE7" w:rsidRDefault="0075483F" w:rsidP="0075483F">
            <w:pPr>
              <w:rPr>
                <w:vertAlign w:val="superscript"/>
              </w:rPr>
            </w:pPr>
          </w:p>
        </w:tc>
        <w:tc>
          <w:tcPr>
            <w:tcW w:w="0" w:type="auto"/>
            <w:tcBorders>
              <w:left w:val="single" w:sz="4" w:space="0" w:color="auto"/>
            </w:tcBorders>
            <w:shd w:val="clear" w:color="auto" w:fill="auto"/>
            <w:vAlign w:val="center"/>
          </w:tcPr>
          <w:p w:rsidR="0075483F" w:rsidRPr="005F355B" w:rsidRDefault="00705365" w:rsidP="005E76A8">
            <w:pPr>
              <w:jc w:val="center"/>
            </w:pPr>
            <w:r>
              <w:t>B</w:t>
            </w:r>
            <w:r w:rsidR="0075483F" w:rsidRPr="005F355B">
              <w:t>lood</w:t>
            </w:r>
          </w:p>
        </w:tc>
        <w:tc>
          <w:tcPr>
            <w:tcW w:w="0" w:type="auto"/>
            <w:tcBorders>
              <w:left w:val="single" w:sz="4" w:space="0" w:color="auto"/>
              <w:right w:val="single" w:sz="4" w:space="0" w:color="auto"/>
            </w:tcBorders>
          </w:tcPr>
          <w:p w:rsidR="0075483F" w:rsidRPr="005F355B" w:rsidRDefault="00140FB2" w:rsidP="00140FB2">
            <w:r w:rsidRPr="00140FB2">
              <w:t>Coal-fired power plants located in Navajo Nation may contribute to potential mercury exposure.</w:t>
            </w:r>
            <w:r>
              <w:rPr>
                <w:rFonts w:ascii="Georgia" w:hAnsi="Georgia"/>
                <w:color w:val="000000"/>
                <w:sz w:val="21"/>
                <w:szCs w:val="21"/>
              </w:rPr>
              <w:t xml:space="preserve"> </w:t>
            </w:r>
            <w:r>
              <w:t>Elevated mercury levels have been associated with developmental delays in children</w:t>
            </w:r>
          </w:p>
        </w:tc>
      </w:tr>
      <w:tr w:rsidR="00272E26" w:rsidTr="00025F9A">
        <w:trPr>
          <w:trHeight w:val="935"/>
          <w:jc w:val="center"/>
        </w:trPr>
        <w:tc>
          <w:tcPr>
            <w:tcW w:w="0" w:type="auto"/>
            <w:shd w:val="clear" w:color="auto" w:fill="auto"/>
            <w:vAlign w:val="center"/>
          </w:tcPr>
          <w:p w:rsidR="00272E26" w:rsidRDefault="00272E26" w:rsidP="002532C7">
            <w:r>
              <w:t>Manganese</w:t>
            </w:r>
          </w:p>
        </w:tc>
        <w:tc>
          <w:tcPr>
            <w:tcW w:w="0" w:type="auto"/>
            <w:tcBorders>
              <w:left w:val="single" w:sz="4" w:space="0" w:color="auto"/>
            </w:tcBorders>
            <w:shd w:val="clear" w:color="auto" w:fill="auto"/>
            <w:vAlign w:val="center"/>
          </w:tcPr>
          <w:p w:rsidR="00272E26" w:rsidRDefault="00272E26" w:rsidP="005E76A8">
            <w:pPr>
              <w:jc w:val="center"/>
            </w:pPr>
            <w:r>
              <w:t>Blood</w:t>
            </w:r>
          </w:p>
        </w:tc>
        <w:tc>
          <w:tcPr>
            <w:tcW w:w="0" w:type="auto"/>
            <w:tcBorders>
              <w:left w:val="single" w:sz="4" w:space="0" w:color="auto"/>
              <w:right w:val="single" w:sz="4" w:space="0" w:color="auto"/>
            </w:tcBorders>
          </w:tcPr>
          <w:p w:rsidR="00272E26" w:rsidRDefault="00272E26" w:rsidP="00140FB2"/>
          <w:p w:rsidR="00272E26" w:rsidRDefault="00272E26" w:rsidP="00272E26">
            <w:r>
              <w:t>I</w:t>
            </w:r>
            <w:r w:rsidRPr="00272E26">
              <w:t xml:space="preserve">ncluded in analysis panel with </w:t>
            </w:r>
            <w:r>
              <w:t>mercury</w:t>
            </w:r>
            <w:r w:rsidRPr="00272E26">
              <w:t xml:space="preserve"> (</w:t>
            </w:r>
            <w:r>
              <w:t>strong confounder with uranium</w:t>
            </w:r>
            <w:r w:rsidRPr="00272E26">
              <w:t>)</w:t>
            </w:r>
            <w:r>
              <w:t>; High prenatal manganese in mothers has been linked to behavioral problems in their children</w:t>
            </w:r>
          </w:p>
          <w:p w:rsidR="00272E26" w:rsidRPr="00140FB2" w:rsidRDefault="00272E26" w:rsidP="00272E26"/>
        </w:tc>
      </w:tr>
      <w:tr w:rsidR="00272E26" w:rsidTr="00025F9A">
        <w:trPr>
          <w:trHeight w:val="935"/>
          <w:jc w:val="center"/>
        </w:trPr>
        <w:tc>
          <w:tcPr>
            <w:tcW w:w="0" w:type="auto"/>
            <w:shd w:val="clear" w:color="auto" w:fill="auto"/>
            <w:vAlign w:val="center"/>
          </w:tcPr>
          <w:p w:rsidR="00272E26" w:rsidRDefault="00272E26" w:rsidP="002532C7">
            <w:r>
              <w:t>Selenium</w:t>
            </w:r>
          </w:p>
        </w:tc>
        <w:tc>
          <w:tcPr>
            <w:tcW w:w="0" w:type="auto"/>
            <w:tcBorders>
              <w:left w:val="single" w:sz="4" w:space="0" w:color="auto"/>
            </w:tcBorders>
            <w:shd w:val="clear" w:color="auto" w:fill="auto"/>
            <w:vAlign w:val="center"/>
          </w:tcPr>
          <w:p w:rsidR="00272E26" w:rsidRDefault="00272E26" w:rsidP="005E76A8">
            <w:pPr>
              <w:jc w:val="center"/>
            </w:pPr>
            <w:r>
              <w:t>Blood</w:t>
            </w:r>
          </w:p>
        </w:tc>
        <w:tc>
          <w:tcPr>
            <w:tcW w:w="0" w:type="auto"/>
            <w:tcBorders>
              <w:left w:val="single" w:sz="4" w:space="0" w:color="auto"/>
              <w:right w:val="single" w:sz="4" w:space="0" w:color="auto"/>
            </w:tcBorders>
          </w:tcPr>
          <w:p w:rsidR="00272E26" w:rsidRDefault="00272E26" w:rsidP="00140FB2"/>
          <w:p w:rsidR="00272E26" w:rsidRDefault="00272E26" w:rsidP="00140FB2">
            <w:r>
              <w:t>I</w:t>
            </w:r>
            <w:r w:rsidRPr="00272E26">
              <w:t xml:space="preserve">ncluded in analysis panel with </w:t>
            </w:r>
            <w:r>
              <w:t>mercury</w:t>
            </w:r>
            <w:r w:rsidRPr="00272E26">
              <w:t xml:space="preserve"> (</w:t>
            </w:r>
            <w:r>
              <w:t>strong confounder with uranium</w:t>
            </w:r>
            <w:r w:rsidRPr="00272E26">
              <w:t>)</w:t>
            </w:r>
            <w:r>
              <w:t>; Component of prenatal vitamins; Selenium deficiency has been associated with adverse birth outcomes</w:t>
            </w:r>
          </w:p>
          <w:p w:rsidR="00272E26" w:rsidRDefault="00272E26" w:rsidP="00140FB2"/>
        </w:tc>
      </w:tr>
      <w:tr w:rsidR="0075483F" w:rsidRPr="000D2A98" w:rsidTr="00025F9A">
        <w:trPr>
          <w:jc w:val="center"/>
        </w:trPr>
        <w:tc>
          <w:tcPr>
            <w:tcW w:w="0" w:type="auto"/>
            <w:shd w:val="clear" w:color="auto" w:fill="auto"/>
            <w:vAlign w:val="center"/>
          </w:tcPr>
          <w:p w:rsidR="0075483F" w:rsidRDefault="0075483F" w:rsidP="002532C7">
            <w:r>
              <w:t xml:space="preserve">Arsenic </w:t>
            </w:r>
          </w:p>
          <w:p w:rsidR="0075483F" w:rsidRDefault="0075483F" w:rsidP="0008483C">
            <w:pPr>
              <w:rPr>
                <w:sz w:val="22"/>
                <w:szCs w:val="22"/>
              </w:rPr>
            </w:pPr>
          </w:p>
          <w:p w:rsidR="0075483F" w:rsidRDefault="0075483F" w:rsidP="0008483C">
            <w:pPr>
              <w:rPr>
                <w:sz w:val="22"/>
                <w:szCs w:val="22"/>
              </w:rPr>
            </w:pPr>
          </w:p>
        </w:tc>
        <w:tc>
          <w:tcPr>
            <w:tcW w:w="0" w:type="auto"/>
            <w:tcBorders>
              <w:left w:val="single" w:sz="4" w:space="0" w:color="auto"/>
              <w:right w:val="single" w:sz="4" w:space="0" w:color="auto"/>
            </w:tcBorders>
            <w:shd w:val="clear" w:color="auto" w:fill="auto"/>
            <w:vAlign w:val="center"/>
          </w:tcPr>
          <w:p w:rsidR="0075483F" w:rsidRPr="00BE54CF" w:rsidRDefault="003631B8" w:rsidP="00171F24">
            <w:pPr>
              <w:jc w:val="center"/>
            </w:pPr>
            <w:r>
              <w:t>U</w:t>
            </w:r>
            <w:r w:rsidR="0075483F" w:rsidRPr="00BE54CF">
              <w:t>rine</w:t>
            </w:r>
          </w:p>
        </w:tc>
        <w:tc>
          <w:tcPr>
            <w:tcW w:w="0" w:type="auto"/>
            <w:tcBorders>
              <w:left w:val="single" w:sz="4" w:space="0" w:color="auto"/>
              <w:right w:val="single" w:sz="4" w:space="0" w:color="auto"/>
            </w:tcBorders>
          </w:tcPr>
          <w:p w:rsidR="00705365" w:rsidRDefault="00705365" w:rsidP="00025F9A"/>
          <w:p w:rsidR="0075483F" w:rsidRPr="0075483F" w:rsidRDefault="00025F9A" w:rsidP="00025F9A">
            <w:r>
              <w:t xml:space="preserve">Arsenic </w:t>
            </w:r>
            <w:r w:rsidR="0075483F" w:rsidRPr="0075483F">
              <w:t>MCL</w:t>
            </w:r>
            <w:r>
              <w:t xml:space="preserve"> was </w:t>
            </w:r>
            <w:r w:rsidR="00140FB2">
              <w:t>exceeded</w:t>
            </w:r>
            <w:r w:rsidR="00140FB2" w:rsidRPr="0075483F">
              <w:t xml:space="preserve"> in</w:t>
            </w:r>
            <w:r w:rsidR="0075483F" w:rsidRPr="0075483F">
              <w:t xml:space="preserve"> unregulated water sources</w:t>
            </w:r>
            <w:r>
              <w:t xml:space="preserve"> tested by CDC</w:t>
            </w:r>
            <w:r w:rsidR="00705365">
              <w:t xml:space="preserve">. </w:t>
            </w:r>
            <w:r w:rsidR="0075483F">
              <w:t xml:space="preserve">Arsenic has </w:t>
            </w:r>
            <w:r w:rsidR="00705365">
              <w:t xml:space="preserve">also </w:t>
            </w:r>
            <w:r w:rsidR="0075483F">
              <w:t>been associated with developmental delays and birth defects</w:t>
            </w:r>
          </w:p>
          <w:p w:rsidR="0075483F" w:rsidRPr="00BE54CF" w:rsidRDefault="0075483F" w:rsidP="00025F9A"/>
        </w:tc>
      </w:tr>
      <w:tr w:rsidR="0075483F" w:rsidRPr="000D2A98" w:rsidTr="00025F9A">
        <w:trPr>
          <w:jc w:val="center"/>
        </w:trPr>
        <w:tc>
          <w:tcPr>
            <w:tcW w:w="0" w:type="auto"/>
            <w:shd w:val="clear" w:color="auto" w:fill="auto"/>
          </w:tcPr>
          <w:p w:rsidR="00705365" w:rsidRDefault="00705365"/>
          <w:p w:rsidR="0075483F" w:rsidRDefault="0075483F">
            <w:r w:rsidRPr="00317FEE">
              <w:t>Biomarkers/cytokines</w:t>
            </w:r>
          </w:p>
        </w:tc>
        <w:tc>
          <w:tcPr>
            <w:tcW w:w="0" w:type="auto"/>
            <w:tcBorders>
              <w:left w:val="single" w:sz="4" w:space="0" w:color="auto"/>
              <w:right w:val="single" w:sz="4" w:space="0" w:color="auto"/>
            </w:tcBorders>
            <w:shd w:val="clear" w:color="auto" w:fill="auto"/>
          </w:tcPr>
          <w:p w:rsidR="00705365" w:rsidRDefault="00705365" w:rsidP="00025F9A">
            <w:pPr>
              <w:jc w:val="center"/>
            </w:pPr>
          </w:p>
          <w:p w:rsidR="0075483F" w:rsidRDefault="003631B8" w:rsidP="00025F9A">
            <w:pPr>
              <w:jc w:val="center"/>
            </w:pPr>
            <w:r>
              <w:t>U</w:t>
            </w:r>
            <w:r w:rsidR="00025F9A">
              <w:t>rine</w:t>
            </w:r>
          </w:p>
        </w:tc>
        <w:tc>
          <w:tcPr>
            <w:tcW w:w="0" w:type="auto"/>
            <w:tcBorders>
              <w:left w:val="single" w:sz="4" w:space="0" w:color="auto"/>
              <w:right w:val="single" w:sz="4" w:space="0" w:color="auto"/>
            </w:tcBorders>
          </w:tcPr>
          <w:p w:rsidR="00705365" w:rsidRDefault="00705365" w:rsidP="00025F9A"/>
          <w:p w:rsidR="0075483F" w:rsidRDefault="00025F9A" w:rsidP="00025F9A">
            <w:r>
              <w:t>Biomarkers/cytokine testing will help to understand immunological and kidney dysfunction in participants which may be associated with adverse outcomes in their children</w:t>
            </w:r>
          </w:p>
          <w:p w:rsidR="00705365" w:rsidRDefault="00705365" w:rsidP="00025F9A"/>
        </w:tc>
      </w:tr>
      <w:tr w:rsidR="0075483F" w:rsidRPr="000D2A98" w:rsidTr="00025F9A">
        <w:trPr>
          <w:jc w:val="center"/>
        </w:trPr>
        <w:tc>
          <w:tcPr>
            <w:tcW w:w="0" w:type="auto"/>
            <w:shd w:val="clear" w:color="auto" w:fill="auto"/>
          </w:tcPr>
          <w:p w:rsidR="00705365" w:rsidRDefault="00705365"/>
          <w:p w:rsidR="0075483F" w:rsidRPr="00317FEE" w:rsidRDefault="0075483F">
            <w:r w:rsidRPr="00317FEE">
              <w:t xml:space="preserve">Isotopic species of U </w:t>
            </w:r>
            <w:r w:rsidR="00FC1EA3" w:rsidRPr="00317FEE">
              <w:t>degradation</w:t>
            </w:r>
          </w:p>
        </w:tc>
        <w:tc>
          <w:tcPr>
            <w:tcW w:w="0" w:type="auto"/>
            <w:tcBorders>
              <w:left w:val="single" w:sz="4" w:space="0" w:color="auto"/>
              <w:right w:val="single" w:sz="4" w:space="0" w:color="auto"/>
            </w:tcBorders>
            <w:shd w:val="clear" w:color="auto" w:fill="auto"/>
          </w:tcPr>
          <w:p w:rsidR="0075483F" w:rsidRDefault="0075483F"/>
          <w:p w:rsidR="00140FB2" w:rsidRDefault="00140FB2"/>
          <w:p w:rsidR="00140FB2" w:rsidRDefault="00140FB2" w:rsidP="00140FB2">
            <w:pPr>
              <w:jc w:val="center"/>
            </w:pPr>
            <w:r>
              <w:t>Urine</w:t>
            </w:r>
          </w:p>
        </w:tc>
        <w:tc>
          <w:tcPr>
            <w:tcW w:w="0" w:type="auto"/>
            <w:tcBorders>
              <w:left w:val="single" w:sz="4" w:space="0" w:color="auto"/>
              <w:right w:val="single" w:sz="4" w:space="0" w:color="auto"/>
            </w:tcBorders>
          </w:tcPr>
          <w:p w:rsidR="00705365" w:rsidRDefault="00705365" w:rsidP="00025F9A"/>
          <w:p w:rsidR="0075483F" w:rsidRDefault="00317FEE" w:rsidP="00025F9A">
            <w:r>
              <w:t>U</w:t>
            </w:r>
            <w:r w:rsidRPr="00317FEE">
              <w:t xml:space="preserve">ranium decay produces </w:t>
            </w:r>
            <w:r w:rsidR="00140FB2" w:rsidRPr="00317FEE">
              <w:t>a series</w:t>
            </w:r>
            <w:r w:rsidRPr="00317FEE">
              <w:t xml:space="preserve"> of isotopes which are primarily alpha and beta emitters, although some gamma emissions continue to be associated with decay.  </w:t>
            </w:r>
            <w:r w:rsidR="003631B8">
              <w:t>W</w:t>
            </w:r>
            <w:r w:rsidRPr="00317FEE">
              <w:t>hen used in home construction, these radioactive elements can contribute to chronic radiation exposures</w:t>
            </w:r>
          </w:p>
          <w:p w:rsidR="00705365" w:rsidRDefault="00705365" w:rsidP="00025F9A"/>
        </w:tc>
      </w:tr>
      <w:tr w:rsidR="00317FEE" w:rsidRPr="000D2A98" w:rsidTr="00025F9A">
        <w:trPr>
          <w:jc w:val="center"/>
        </w:trPr>
        <w:tc>
          <w:tcPr>
            <w:tcW w:w="0" w:type="auto"/>
            <w:shd w:val="clear" w:color="auto" w:fill="auto"/>
          </w:tcPr>
          <w:p w:rsidR="00705365" w:rsidRDefault="00705365"/>
          <w:p w:rsidR="00317FEE" w:rsidRPr="00317FEE" w:rsidRDefault="003631B8">
            <w:r>
              <w:t xml:space="preserve">Fetal </w:t>
            </w:r>
            <w:r w:rsidR="00317FEE" w:rsidRPr="00317FEE">
              <w:t>Alcohol metabolites</w:t>
            </w:r>
          </w:p>
        </w:tc>
        <w:tc>
          <w:tcPr>
            <w:tcW w:w="0" w:type="auto"/>
            <w:tcBorders>
              <w:left w:val="single" w:sz="4" w:space="0" w:color="auto"/>
              <w:right w:val="single" w:sz="4" w:space="0" w:color="auto"/>
            </w:tcBorders>
            <w:shd w:val="clear" w:color="auto" w:fill="auto"/>
          </w:tcPr>
          <w:p w:rsidR="003631B8" w:rsidRDefault="003631B8"/>
          <w:p w:rsidR="00317FEE" w:rsidRDefault="00317FEE">
            <w:r>
              <w:t>Meconium</w:t>
            </w:r>
          </w:p>
        </w:tc>
        <w:tc>
          <w:tcPr>
            <w:tcW w:w="0" w:type="auto"/>
            <w:tcBorders>
              <w:left w:val="single" w:sz="4" w:space="0" w:color="auto"/>
              <w:right w:val="single" w:sz="4" w:space="0" w:color="auto"/>
            </w:tcBorders>
          </w:tcPr>
          <w:p w:rsidR="003631B8" w:rsidRDefault="003631B8" w:rsidP="00025F9A"/>
          <w:p w:rsidR="00317FEE" w:rsidRDefault="00317FEE" w:rsidP="00025F9A">
            <w:r>
              <w:t>C</w:t>
            </w:r>
            <w:r w:rsidRPr="00317FEE">
              <w:t xml:space="preserve">ommunity members and health care workers have suggested </w:t>
            </w:r>
            <w:r w:rsidR="00FC1EA3">
              <w:t xml:space="preserve">that </w:t>
            </w:r>
            <w:r w:rsidR="00FC1EA3" w:rsidRPr="00317FEE">
              <w:t>alcohol</w:t>
            </w:r>
            <w:r w:rsidRPr="00317FEE">
              <w:t xml:space="preserve"> consumption will continue through pregnancy among </w:t>
            </w:r>
            <w:r w:rsidR="00FC1EA3">
              <w:t xml:space="preserve">some </w:t>
            </w:r>
            <w:r w:rsidR="00FC1EA3" w:rsidRPr="00317FEE">
              <w:t>individuals</w:t>
            </w:r>
            <w:r w:rsidR="003631B8">
              <w:t>.</w:t>
            </w:r>
            <w:r>
              <w:t xml:space="preserve">; Alcohol </w:t>
            </w:r>
            <w:r w:rsidR="00FC1EA3">
              <w:t xml:space="preserve">consumption </w:t>
            </w:r>
            <w:r>
              <w:t>during pregnancy has been associated with adverse birth outcomes</w:t>
            </w:r>
          </w:p>
          <w:p w:rsidR="003631B8" w:rsidRDefault="003631B8" w:rsidP="00025F9A"/>
        </w:tc>
      </w:tr>
      <w:tr w:rsidR="00317FEE" w:rsidRPr="000D2A98" w:rsidTr="00025F9A">
        <w:trPr>
          <w:jc w:val="center"/>
        </w:trPr>
        <w:tc>
          <w:tcPr>
            <w:tcW w:w="0" w:type="auto"/>
            <w:shd w:val="clear" w:color="auto" w:fill="auto"/>
          </w:tcPr>
          <w:p w:rsidR="00705365" w:rsidRDefault="00705365"/>
          <w:p w:rsidR="00317FEE" w:rsidRDefault="00317FEE">
            <w:r>
              <w:t>PAHs</w:t>
            </w:r>
          </w:p>
        </w:tc>
        <w:tc>
          <w:tcPr>
            <w:tcW w:w="0" w:type="auto"/>
            <w:tcBorders>
              <w:left w:val="single" w:sz="4" w:space="0" w:color="auto"/>
              <w:right w:val="single" w:sz="4" w:space="0" w:color="auto"/>
            </w:tcBorders>
            <w:shd w:val="clear" w:color="auto" w:fill="auto"/>
          </w:tcPr>
          <w:p w:rsidR="003631B8" w:rsidRDefault="003631B8"/>
          <w:p w:rsidR="00317FEE" w:rsidRDefault="003631B8">
            <w:r>
              <w:t>B</w:t>
            </w:r>
            <w:r w:rsidR="00330E94">
              <w:t>lood</w:t>
            </w:r>
          </w:p>
        </w:tc>
        <w:tc>
          <w:tcPr>
            <w:tcW w:w="0" w:type="auto"/>
            <w:tcBorders>
              <w:left w:val="single" w:sz="4" w:space="0" w:color="auto"/>
              <w:right w:val="single" w:sz="4" w:space="0" w:color="auto"/>
            </w:tcBorders>
          </w:tcPr>
          <w:p w:rsidR="003631B8" w:rsidRDefault="003631B8" w:rsidP="00025F9A"/>
          <w:p w:rsidR="00317FEE" w:rsidRDefault="00330E94" w:rsidP="00025F9A">
            <w:r>
              <w:t xml:space="preserve">Previous studies by the </w:t>
            </w:r>
            <w:proofErr w:type="spellStart"/>
            <w:r w:rsidR="00FC1EA3" w:rsidRPr="00FC1EA3">
              <w:t>Diné</w:t>
            </w:r>
            <w:proofErr w:type="spellEnd"/>
            <w:r w:rsidR="00FC1EA3" w:rsidRPr="00FC1EA3">
              <w:t xml:space="preserve"> Network for Environmental Health (</w:t>
            </w:r>
            <w:proofErr w:type="spellStart"/>
            <w:r w:rsidR="00FC1EA3">
              <w:t>DiNEH</w:t>
            </w:r>
            <w:proofErr w:type="spellEnd"/>
            <w:r w:rsidR="00FC1EA3">
              <w:t xml:space="preserve">) </w:t>
            </w:r>
            <w:r>
              <w:t xml:space="preserve">project have </w:t>
            </w:r>
            <w:proofErr w:type="gramStart"/>
            <w:r w:rsidR="003631B8">
              <w:t xml:space="preserve">reported </w:t>
            </w:r>
            <w:r>
              <w:t xml:space="preserve"> that</w:t>
            </w:r>
            <w:proofErr w:type="gramEnd"/>
            <w:r>
              <w:t xml:space="preserve"> some Navajo </w:t>
            </w:r>
            <w:r w:rsidR="003631B8">
              <w:t xml:space="preserve">tribal members </w:t>
            </w:r>
            <w:r>
              <w:t xml:space="preserve">cook </w:t>
            </w:r>
            <w:r w:rsidR="00FC1EA3">
              <w:t xml:space="preserve"> their food directly over open flames </w:t>
            </w:r>
            <w:r>
              <w:t>inside the home.</w:t>
            </w:r>
            <w:r w:rsidR="00FC1EA3">
              <w:t xml:space="preserve"> Therefore, there is a </w:t>
            </w:r>
            <w:r w:rsidR="00FC1EA3">
              <w:lastRenderedPageBreak/>
              <w:t>potential for PAH exposure through inhalation and ingestion.</w:t>
            </w:r>
            <w:r>
              <w:t xml:space="preserve"> PAHs have been linked to n</w:t>
            </w:r>
            <w:r w:rsidR="00FC1EA3">
              <w:t>eural tube defects in children</w:t>
            </w:r>
          </w:p>
          <w:p w:rsidR="003631B8" w:rsidRDefault="003631B8" w:rsidP="00025F9A"/>
        </w:tc>
      </w:tr>
      <w:tr w:rsidR="00330E94" w:rsidRPr="000D2A98" w:rsidTr="00025F9A">
        <w:trPr>
          <w:jc w:val="center"/>
        </w:trPr>
        <w:tc>
          <w:tcPr>
            <w:tcW w:w="0" w:type="auto"/>
            <w:shd w:val="clear" w:color="auto" w:fill="auto"/>
          </w:tcPr>
          <w:p w:rsidR="00705365" w:rsidRDefault="00705365"/>
          <w:p w:rsidR="00330E94" w:rsidRDefault="00330E94">
            <w:r>
              <w:t>Immune cells</w:t>
            </w:r>
          </w:p>
        </w:tc>
        <w:tc>
          <w:tcPr>
            <w:tcW w:w="0" w:type="auto"/>
            <w:tcBorders>
              <w:left w:val="single" w:sz="4" w:space="0" w:color="auto"/>
              <w:bottom w:val="single" w:sz="4" w:space="0" w:color="auto"/>
              <w:right w:val="single" w:sz="4" w:space="0" w:color="auto"/>
            </w:tcBorders>
            <w:shd w:val="clear" w:color="auto" w:fill="auto"/>
          </w:tcPr>
          <w:p w:rsidR="003631B8" w:rsidRDefault="003631B8"/>
          <w:p w:rsidR="00330E94" w:rsidRDefault="00330E94">
            <w:r>
              <w:t>Immune cells</w:t>
            </w:r>
          </w:p>
        </w:tc>
        <w:tc>
          <w:tcPr>
            <w:tcW w:w="0" w:type="auto"/>
            <w:tcBorders>
              <w:left w:val="single" w:sz="4" w:space="0" w:color="auto"/>
              <w:bottom w:val="single" w:sz="4" w:space="0" w:color="auto"/>
              <w:right w:val="single" w:sz="4" w:space="0" w:color="auto"/>
            </w:tcBorders>
          </w:tcPr>
          <w:p w:rsidR="003631B8" w:rsidRDefault="003631B8" w:rsidP="00025F9A"/>
          <w:p w:rsidR="00330E94" w:rsidRDefault="00330E94" w:rsidP="00025F9A">
            <w:r w:rsidRPr="00330E94">
              <w:t xml:space="preserve">The results of the </w:t>
            </w:r>
            <w:r w:rsidR="003631B8">
              <w:t xml:space="preserve">biomarker analysis from the </w:t>
            </w:r>
            <w:proofErr w:type="spellStart"/>
            <w:r w:rsidRPr="00330E94">
              <w:t>DiNEH</w:t>
            </w:r>
            <w:proofErr w:type="spellEnd"/>
            <w:r w:rsidRPr="00330E94">
              <w:t xml:space="preserve"> </w:t>
            </w:r>
            <w:r w:rsidR="00FC1EA3" w:rsidRPr="00330E94">
              <w:t>Project indicated</w:t>
            </w:r>
            <w:r w:rsidRPr="00330E94">
              <w:t xml:space="preserve"> a relationship among the proximity surrogate for exposures, changes in cytokines such as IL-4, and changes in immune cell type percentages suggesting </w:t>
            </w:r>
            <w:r w:rsidR="006C61C5" w:rsidRPr="00330E94">
              <w:t>hyper reactivation</w:t>
            </w:r>
            <w:r w:rsidRPr="00330E94">
              <w:t xml:space="preserve"> and dysfunction in the immune system</w:t>
            </w:r>
            <w:r w:rsidR="003631B8">
              <w:t>.</w:t>
            </w:r>
            <w:r>
              <w:t xml:space="preserve">; Immune dysfunction may have </w:t>
            </w:r>
            <w:r w:rsidR="003631B8">
              <w:t>an adverse effect</w:t>
            </w:r>
            <w:r>
              <w:t xml:space="preserve"> on bab</w:t>
            </w:r>
            <w:r w:rsidR="00FC1EA3">
              <w:t>ies</w:t>
            </w:r>
          </w:p>
          <w:p w:rsidR="003631B8" w:rsidRDefault="003631B8" w:rsidP="00025F9A"/>
        </w:tc>
      </w:tr>
    </w:tbl>
    <w:p w:rsidR="009D478A" w:rsidRDefault="009D478A">
      <w:pPr>
        <w:rPr>
          <w:b/>
          <w:sz w:val="18"/>
          <w:szCs w:val="18"/>
        </w:rPr>
      </w:pPr>
    </w:p>
    <w:p w:rsidR="00D5536A" w:rsidRPr="00BE54CF" w:rsidRDefault="00D5536A">
      <w:pPr>
        <w:rPr>
          <w:b/>
          <w:sz w:val="18"/>
          <w:szCs w:val="18"/>
        </w:rPr>
      </w:pPr>
    </w:p>
    <w:p w:rsidR="004510D3" w:rsidRDefault="004510D3"/>
    <w:p w:rsidR="004B0598" w:rsidRPr="00B6055E" w:rsidRDefault="004B0598" w:rsidP="004B0598">
      <w:pPr>
        <w:spacing w:after="0" w:line="240" w:lineRule="auto"/>
      </w:pPr>
    </w:p>
    <w:sectPr w:rsidR="004B0598" w:rsidRPr="00B6055E" w:rsidSect="00FC7AB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89C"/>
    <w:multiLevelType w:val="hybridMultilevel"/>
    <w:tmpl w:val="2B781B1A"/>
    <w:lvl w:ilvl="0" w:tplc="99B65B8A">
      <w:start w:val="2"/>
      <w:numFmt w:val="bullet"/>
      <w:lvlText w:val="-"/>
      <w:lvlJc w:val="left"/>
      <w:pPr>
        <w:ind w:left="675" w:hanging="360"/>
      </w:pPr>
      <w:rPr>
        <w:rFonts w:ascii="Calibri" w:eastAsia="Calibri" w:hAnsi="Calibri" w:cs="Calibr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98"/>
    <w:rsid w:val="00010ED7"/>
    <w:rsid w:val="00025F9A"/>
    <w:rsid w:val="00056E27"/>
    <w:rsid w:val="00057DAA"/>
    <w:rsid w:val="000624D1"/>
    <w:rsid w:val="00062810"/>
    <w:rsid w:val="0008083A"/>
    <w:rsid w:val="00082F75"/>
    <w:rsid w:val="0008483C"/>
    <w:rsid w:val="000863C9"/>
    <w:rsid w:val="00087F28"/>
    <w:rsid w:val="000A4246"/>
    <w:rsid w:val="000B6C1D"/>
    <w:rsid w:val="000C1CE9"/>
    <w:rsid w:val="000C6717"/>
    <w:rsid w:val="000D570F"/>
    <w:rsid w:val="000F391E"/>
    <w:rsid w:val="000F7C6D"/>
    <w:rsid w:val="0011062F"/>
    <w:rsid w:val="00140FB2"/>
    <w:rsid w:val="001457A1"/>
    <w:rsid w:val="00145AA6"/>
    <w:rsid w:val="00156D96"/>
    <w:rsid w:val="00171F24"/>
    <w:rsid w:val="001769DD"/>
    <w:rsid w:val="001829ED"/>
    <w:rsid w:val="00182C54"/>
    <w:rsid w:val="0018524A"/>
    <w:rsid w:val="00190778"/>
    <w:rsid w:val="00192C1F"/>
    <w:rsid w:val="001A359E"/>
    <w:rsid w:val="001B5600"/>
    <w:rsid w:val="001C2489"/>
    <w:rsid w:val="001C48C4"/>
    <w:rsid w:val="001C6DDF"/>
    <w:rsid w:val="001C7E88"/>
    <w:rsid w:val="001E3457"/>
    <w:rsid w:val="001F281F"/>
    <w:rsid w:val="001F525A"/>
    <w:rsid w:val="001F6BEC"/>
    <w:rsid w:val="00205599"/>
    <w:rsid w:val="00217771"/>
    <w:rsid w:val="00226FAE"/>
    <w:rsid w:val="00230859"/>
    <w:rsid w:val="00236B04"/>
    <w:rsid w:val="00243092"/>
    <w:rsid w:val="00245F5F"/>
    <w:rsid w:val="00246907"/>
    <w:rsid w:val="002532C7"/>
    <w:rsid w:val="00254ED1"/>
    <w:rsid w:val="00263E20"/>
    <w:rsid w:val="00272E26"/>
    <w:rsid w:val="00287A2D"/>
    <w:rsid w:val="00291154"/>
    <w:rsid w:val="00296F21"/>
    <w:rsid w:val="002A30FA"/>
    <w:rsid w:val="002A61B1"/>
    <w:rsid w:val="002B5381"/>
    <w:rsid w:val="002B6A4F"/>
    <w:rsid w:val="002B6C09"/>
    <w:rsid w:val="002B75E2"/>
    <w:rsid w:val="002C1E65"/>
    <w:rsid w:val="002C6C05"/>
    <w:rsid w:val="00301F6E"/>
    <w:rsid w:val="00306F19"/>
    <w:rsid w:val="00317FEE"/>
    <w:rsid w:val="0032137B"/>
    <w:rsid w:val="00321C9C"/>
    <w:rsid w:val="00330E94"/>
    <w:rsid w:val="00333089"/>
    <w:rsid w:val="00356537"/>
    <w:rsid w:val="003631B8"/>
    <w:rsid w:val="00364C69"/>
    <w:rsid w:val="003873F5"/>
    <w:rsid w:val="00394032"/>
    <w:rsid w:val="00396BB8"/>
    <w:rsid w:val="003973AA"/>
    <w:rsid w:val="003A3B40"/>
    <w:rsid w:val="003B0389"/>
    <w:rsid w:val="003B6739"/>
    <w:rsid w:val="003E618F"/>
    <w:rsid w:val="003E6D5A"/>
    <w:rsid w:val="003F0621"/>
    <w:rsid w:val="003F5955"/>
    <w:rsid w:val="003F66CA"/>
    <w:rsid w:val="00412A6E"/>
    <w:rsid w:val="00415A13"/>
    <w:rsid w:val="004170A0"/>
    <w:rsid w:val="004268A5"/>
    <w:rsid w:val="004303DD"/>
    <w:rsid w:val="0043218A"/>
    <w:rsid w:val="00450734"/>
    <w:rsid w:val="004510D3"/>
    <w:rsid w:val="00454008"/>
    <w:rsid w:val="00456E7E"/>
    <w:rsid w:val="00457AC0"/>
    <w:rsid w:val="0048054B"/>
    <w:rsid w:val="00481A82"/>
    <w:rsid w:val="00495B48"/>
    <w:rsid w:val="004A1B63"/>
    <w:rsid w:val="004B0598"/>
    <w:rsid w:val="004B5761"/>
    <w:rsid w:val="004C428F"/>
    <w:rsid w:val="004D0568"/>
    <w:rsid w:val="004D1F31"/>
    <w:rsid w:val="004E0893"/>
    <w:rsid w:val="004E6BA8"/>
    <w:rsid w:val="004F72A0"/>
    <w:rsid w:val="00502628"/>
    <w:rsid w:val="0051646F"/>
    <w:rsid w:val="00521181"/>
    <w:rsid w:val="00522D80"/>
    <w:rsid w:val="00530709"/>
    <w:rsid w:val="00531739"/>
    <w:rsid w:val="005347D1"/>
    <w:rsid w:val="00537830"/>
    <w:rsid w:val="00537FC3"/>
    <w:rsid w:val="0056427B"/>
    <w:rsid w:val="0057654C"/>
    <w:rsid w:val="005B1124"/>
    <w:rsid w:val="005C48E8"/>
    <w:rsid w:val="005C5A73"/>
    <w:rsid w:val="005D7DAB"/>
    <w:rsid w:val="005E76A8"/>
    <w:rsid w:val="005F06EC"/>
    <w:rsid w:val="005F0A55"/>
    <w:rsid w:val="005F0BB0"/>
    <w:rsid w:val="005F355B"/>
    <w:rsid w:val="006040A9"/>
    <w:rsid w:val="00604803"/>
    <w:rsid w:val="00610546"/>
    <w:rsid w:val="00614BCC"/>
    <w:rsid w:val="006179DA"/>
    <w:rsid w:val="00620147"/>
    <w:rsid w:val="00633429"/>
    <w:rsid w:val="00635258"/>
    <w:rsid w:val="00637243"/>
    <w:rsid w:val="0065675A"/>
    <w:rsid w:val="0068289A"/>
    <w:rsid w:val="006923A9"/>
    <w:rsid w:val="006A2E3A"/>
    <w:rsid w:val="006B2B08"/>
    <w:rsid w:val="006B3AAC"/>
    <w:rsid w:val="006C5633"/>
    <w:rsid w:val="006C61C5"/>
    <w:rsid w:val="006E02C9"/>
    <w:rsid w:val="006E0721"/>
    <w:rsid w:val="006E3BE7"/>
    <w:rsid w:val="006E5540"/>
    <w:rsid w:val="006E56AF"/>
    <w:rsid w:val="00705365"/>
    <w:rsid w:val="00727989"/>
    <w:rsid w:val="00742273"/>
    <w:rsid w:val="00751FCE"/>
    <w:rsid w:val="0075483F"/>
    <w:rsid w:val="00760D13"/>
    <w:rsid w:val="00765D57"/>
    <w:rsid w:val="00771D07"/>
    <w:rsid w:val="0077212B"/>
    <w:rsid w:val="00773E65"/>
    <w:rsid w:val="0078298A"/>
    <w:rsid w:val="00787A70"/>
    <w:rsid w:val="007A0A58"/>
    <w:rsid w:val="007A1527"/>
    <w:rsid w:val="007A2673"/>
    <w:rsid w:val="007B5E56"/>
    <w:rsid w:val="007C4DD3"/>
    <w:rsid w:val="007C7C6A"/>
    <w:rsid w:val="007D23F5"/>
    <w:rsid w:val="007D5F16"/>
    <w:rsid w:val="007D7FC7"/>
    <w:rsid w:val="007F6066"/>
    <w:rsid w:val="00810770"/>
    <w:rsid w:val="00814F41"/>
    <w:rsid w:val="00852EE5"/>
    <w:rsid w:val="00861FD4"/>
    <w:rsid w:val="00867CE2"/>
    <w:rsid w:val="0087119D"/>
    <w:rsid w:val="00886F1C"/>
    <w:rsid w:val="008973B9"/>
    <w:rsid w:val="008A4328"/>
    <w:rsid w:val="008D01D3"/>
    <w:rsid w:val="0090153D"/>
    <w:rsid w:val="009150BB"/>
    <w:rsid w:val="00926BAB"/>
    <w:rsid w:val="009342D9"/>
    <w:rsid w:val="00935C3F"/>
    <w:rsid w:val="00942F98"/>
    <w:rsid w:val="009440CE"/>
    <w:rsid w:val="00947245"/>
    <w:rsid w:val="009560D0"/>
    <w:rsid w:val="009575B3"/>
    <w:rsid w:val="009801CC"/>
    <w:rsid w:val="0099016F"/>
    <w:rsid w:val="0099696A"/>
    <w:rsid w:val="009C7097"/>
    <w:rsid w:val="009D178D"/>
    <w:rsid w:val="009D478A"/>
    <w:rsid w:val="009E4C37"/>
    <w:rsid w:val="009F1D05"/>
    <w:rsid w:val="009F2150"/>
    <w:rsid w:val="00A02C84"/>
    <w:rsid w:val="00A07550"/>
    <w:rsid w:val="00A151FD"/>
    <w:rsid w:val="00A23823"/>
    <w:rsid w:val="00A35A2E"/>
    <w:rsid w:val="00A35ABC"/>
    <w:rsid w:val="00A36FD3"/>
    <w:rsid w:val="00A47750"/>
    <w:rsid w:val="00A5392B"/>
    <w:rsid w:val="00A55337"/>
    <w:rsid w:val="00A55946"/>
    <w:rsid w:val="00A57F53"/>
    <w:rsid w:val="00A84083"/>
    <w:rsid w:val="00A85F65"/>
    <w:rsid w:val="00A91842"/>
    <w:rsid w:val="00A93A6E"/>
    <w:rsid w:val="00A96CF9"/>
    <w:rsid w:val="00AA1E8E"/>
    <w:rsid w:val="00AA5313"/>
    <w:rsid w:val="00AB4995"/>
    <w:rsid w:val="00AC7BD8"/>
    <w:rsid w:val="00AD4B03"/>
    <w:rsid w:val="00B01A1B"/>
    <w:rsid w:val="00B02B8B"/>
    <w:rsid w:val="00B20C95"/>
    <w:rsid w:val="00B22811"/>
    <w:rsid w:val="00B30EC2"/>
    <w:rsid w:val="00B45764"/>
    <w:rsid w:val="00B55E36"/>
    <w:rsid w:val="00B55EE6"/>
    <w:rsid w:val="00B572F4"/>
    <w:rsid w:val="00B57485"/>
    <w:rsid w:val="00B60EB7"/>
    <w:rsid w:val="00B636F8"/>
    <w:rsid w:val="00B75FBD"/>
    <w:rsid w:val="00B816BF"/>
    <w:rsid w:val="00B86AFF"/>
    <w:rsid w:val="00B94327"/>
    <w:rsid w:val="00B96341"/>
    <w:rsid w:val="00BA3E1A"/>
    <w:rsid w:val="00BA562F"/>
    <w:rsid w:val="00BC266E"/>
    <w:rsid w:val="00BC2F4C"/>
    <w:rsid w:val="00BC509F"/>
    <w:rsid w:val="00BC5BC6"/>
    <w:rsid w:val="00BD1223"/>
    <w:rsid w:val="00BE54CF"/>
    <w:rsid w:val="00BF0137"/>
    <w:rsid w:val="00BF0E1E"/>
    <w:rsid w:val="00BF24E0"/>
    <w:rsid w:val="00C0197C"/>
    <w:rsid w:val="00C019C4"/>
    <w:rsid w:val="00C01D0D"/>
    <w:rsid w:val="00C059EB"/>
    <w:rsid w:val="00C11429"/>
    <w:rsid w:val="00C16AA3"/>
    <w:rsid w:val="00C176B7"/>
    <w:rsid w:val="00C22D1A"/>
    <w:rsid w:val="00C23D65"/>
    <w:rsid w:val="00C33665"/>
    <w:rsid w:val="00C43EDC"/>
    <w:rsid w:val="00C5628B"/>
    <w:rsid w:val="00C60B7C"/>
    <w:rsid w:val="00C63702"/>
    <w:rsid w:val="00C67AD4"/>
    <w:rsid w:val="00C745F4"/>
    <w:rsid w:val="00C91006"/>
    <w:rsid w:val="00C92AB7"/>
    <w:rsid w:val="00CA206A"/>
    <w:rsid w:val="00CA46E5"/>
    <w:rsid w:val="00CD00F8"/>
    <w:rsid w:val="00CD33DE"/>
    <w:rsid w:val="00CD4C5A"/>
    <w:rsid w:val="00CD733B"/>
    <w:rsid w:val="00CF5BD8"/>
    <w:rsid w:val="00D057CD"/>
    <w:rsid w:val="00D1366C"/>
    <w:rsid w:val="00D25000"/>
    <w:rsid w:val="00D272E7"/>
    <w:rsid w:val="00D279E0"/>
    <w:rsid w:val="00D5536A"/>
    <w:rsid w:val="00D577FA"/>
    <w:rsid w:val="00D6090D"/>
    <w:rsid w:val="00D61315"/>
    <w:rsid w:val="00D64D0F"/>
    <w:rsid w:val="00D774BA"/>
    <w:rsid w:val="00D9396A"/>
    <w:rsid w:val="00DA7CCD"/>
    <w:rsid w:val="00DB0D3E"/>
    <w:rsid w:val="00DB1159"/>
    <w:rsid w:val="00DB204C"/>
    <w:rsid w:val="00DB34FF"/>
    <w:rsid w:val="00DC0986"/>
    <w:rsid w:val="00DC1D47"/>
    <w:rsid w:val="00DC7207"/>
    <w:rsid w:val="00DF282C"/>
    <w:rsid w:val="00DF780F"/>
    <w:rsid w:val="00E03F45"/>
    <w:rsid w:val="00E04EB0"/>
    <w:rsid w:val="00E064EC"/>
    <w:rsid w:val="00E1190C"/>
    <w:rsid w:val="00E1663B"/>
    <w:rsid w:val="00E31742"/>
    <w:rsid w:val="00E3319F"/>
    <w:rsid w:val="00E4495E"/>
    <w:rsid w:val="00E449CD"/>
    <w:rsid w:val="00E52284"/>
    <w:rsid w:val="00E80943"/>
    <w:rsid w:val="00E95F91"/>
    <w:rsid w:val="00EA115D"/>
    <w:rsid w:val="00EA1D24"/>
    <w:rsid w:val="00EA608D"/>
    <w:rsid w:val="00EA724E"/>
    <w:rsid w:val="00EB26D5"/>
    <w:rsid w:val="00EC2CAF"/>
    <w:rsid w:val="00EC5C70"/>
    <w:rsid w:val="00EE06E0"/>
    <w:rsid w:val="00EE0F8C"/>
    <w:rsid w:val="00EE3482"/>
    <w:rsid w:val="00EE6552"/>
    <w:rsid w:val="00F00A20"/>
    <w:rsid w:val="00F1671C"/>
    <w:rsid w:val="00F20B55"/>
    <w:rsid w:val="00F32C95"/>
    <w:rsid w:val="00F34A73"/>
    <w:rsid w:val="00F37424"/>
    <w:rsid w:val="00F45A02"/>
    <w:rsid w:val="00F571CB"/>
    <w:rsid w:val="00F725D1"/>
    <w:rsid w:val="00F8666C"/>
    <w:rsid w:val="00F87EE7"/>
    <w:rsid w:val="00F95632"/>
    <w:rsid w:val="00FA4611"/>
    <w:rsid w:val="00FB46B7"/>
    <w:rsid w:val="00FC1EA3"/>
    <w:rsid w:val="00FC39C7"/>
    <w:rsid w:val="00FC7AB5"/>
    <w:rsid w:val="00FD7F07"/>
    <w:rsid w:val="00FE3280"/>
    <w:rsid w:val="00FE60DE"/>
    <w:rsid w:val="00FF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8475F-AFF6-436F-8F97-BDDC077A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E56"/>
    <w:rPr>
      <w:rFonts w:ascii="Calibri" w:eastAsia="Calibri" w:hAnsi="Calibri" w:cs="Times New Roman"/>
    </w:rPr>
  </w:style>
  <w:style w:type="paragraph" w:styleId="Heading1">
    <w:name w:val="heading 1"/>
    <w:basedOn w:val="Normal"/>
    <w:next w:val="Normal"/>
    <w:link w:val="Heading1Char"/>
    <w:uiPriority w:val="9"/>
    <w:qFormat/>
    <w:rsid w:val="00E44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1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059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0598"/>
    <w:rPr>
      <w:rFonts w:ascii="Cambria" w:eastAsia="Times New Roman" w:hAnsi="Cambria" w:cs="Times New Roman"/>
      <w:b/>
      <w:bCs/>
      <w:color w:val="4F81BD"/>
    </w:rPr>
  </w:style>
  <w:style w:type="table" w:styleId="TableGrid">
    <w:name w:val="Table Grid"/>
    <w:basedOn w:val="TableNormal"/>
    <w:rsid w:val="004B05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B0598"/>
    <w:rPr>
      <w:color w:val="0000FF" w:themeColor="hyperlink"/>
      <w:u w:val="single"/>
    </w:rPr>
  </w:style>
  <w:style w:type="paragraph" w:customStyle="1" w:styleId="Default">
    <w:name w:val="Default"/>
    <w:rsid w:val="004B05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26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AB"/>
    <w:rPr>
      <w:rFonts w:ascii="Tahoma" w:eastAsia="Calibri" w:hAnsi="Tahoma" w:cs="Tahoma"/>
      <w:sz w:val="16"/>
      <w:szCs w:val="16"/>
    </w:rPr>
  </w:style>
  <w:style w:type="paragraph" w:customStyle="1" w:styleId="Default1">
    <w:name w:val="Default1"/>
    <w:basedOn w:val="Default"/>
    <w:next w:val="Default"/>
    <w:uiPriority w:val="99"/>
    <w:rsid w:val="00BC5BC6"/>
    <w:rPr>
      <w:rFonts w:ascii="Arial" w:eastAsiaTheme="minorHAnsi" w:hAnsi="Arial" w:cs="Arial"/>
      <w:color w:val="auto"/>
    </w:rPr>
  </w:style>
  <w:style w:type="character" w:customStyle="1" w:styleId="Heading2Char">
    <w:name w:val="Heading 2 Char"/>
    <w:basedOn w:val="DefaultParagraphFont"/>
    <w:link w:val="Heading2"/>
    <w:uiPriority w:val="9"/>
    <w:semiHidden/>
    <w:rsid w:val="004510D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510D3"/>
    <w:rPr>
      <w:b/>
      <w:bCs/>
    </w:rPr>
  </w:style>
  <w:style w:type="character" w:styleId="FollowedHyperlink">
    <w:name w:val="FollowedHyperlink"/>
    <w:basedOn w:val="DefaultParagraphFont"/>
    <w:uiPriority w:val="99"/>
    <w:semiHidden/>
    <w:unhideWhenUsed/>
    <w:rsid w:val="009560D0"/>
    <w:rPr>
      <w:color w:val="800080" w:themeColor="followedHyperlink"/>
      <w:u w:val="single"/>
    </w:rPr>
  </w:style>
  <w:style w:type="paragraph" w:styleId="ListParagraph">
    <w:name w:val="List Paragraph"/>
    <w:basedOn w:val="Normal"/>
    <w:uiPriority w:val="34"/>
    <w:qFormat/>
    <w:rsid w:val="009E4C37"/>
    <w:pPr>
      <w:ind w:left="720"/>
      <w:contextualSpacing/>
    </w:pPr>
  </w:style>
  <w:style w:type="paragraph" w:styleId="Header">
    <w:name w:val="header"/>
    <w:basedOn w:val="Normal"/>
    <w:link w:val="HeaderChar"/>
    <w:uiPriority w:val="99"/>
    <w:unhideWhenUsed/>
    <w:rsid w:val="00D64D0F"/>
    <w:pPr>
      <w:widowControl w:val="0"/>
      <w:tabs>
        <w:tab w:val="center" w:pos="4680"/>
        <w:tab w:val="right" w:pos="9360"/>
      </w:tabs>
      <w:autoSpaceDE w:val="0"/>
      <w:autoSpaceDN w:val="0"/>
      <w:adjustRightInd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64D0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449C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457A1"/>
    <w:rPr>
      <w:sz w:val="16"/>
      <w:szCs w:val="16"/>
    </w:rPr>
  </w:style>
  <w:style w:type="paragraph" w:styleId="CommentText">
    <w:name w:val="annotation text"/>
    <w:basedOn w:val="Normal"/>
    <w:link w:val="CommentTextChar"/>
    <w:uiPriority w:val="99"/>
    <w:unhideWhenUsed/>
    <w:rsid w:val="001457A1"/>
    <w:pPr>
      <w:spacing w:line="240" w:lineRule="auto"/>
    </w:pPr>
    <w:rPr>
      <w:sz w:val="20"/>
      <w:szCs w:val="20"/>
    </w:rPr>
  </w:style>
  <w:style w:type="character" w:customStyle="1" w:styleId="CommentTextChar">
    <w:name w:val="Comment Text Char"/>
    <w:basedOn w:val="DefaultParagraphFont"/>
    <w:link w:val="CommentText"/>
    <w:uiPriority w:val="99"/>
    <w:rsid w:val="001457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57A1"/>
    <w:rPr>
      <w:b/>
      <w:bCs/>
    </w:rPr>
  </w:style>
  <w:style w:type="character" w:customStyle="1" w:styleId="CommentSubjectChar">
    <w:name w:val="Comment Subject Char"/>
    <w:basedOn w:val="CommentTextChar"/>
    <w:link w:val="CommentSubject"/>
    <w:uiPriority w:val="99"/>
    <w:semiHidden/>
    <w:rsid w:val="001457A1"/>
    <w:rPr>
      <w:rFonts w:ascii="Calibri" w:eastAsia="Calibri" w:hAnsi="Calibri" w:cs="Times New Roman"/>
      <w:b/>
      <w:bCs/>
      <w:sz w:val="20"/>
      <w:szCs w:val="20"/>
    </w:rPr>
  </w:style>
  <w:style w:type="character" w:customStyle="1" w:styleId="st1">
    <w:name w:val="st1"/>
    <w:basedOn w:val="DefaultParagraphFont"/>
    <w:rsid w:val="00FC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5093">
      <w:bodyDiv w:val="1"/>
      <w:marLeft w:val="0"/>
      <w:marRight w:val="0"/>
      <w:marTop w:val="0"/>
      <w:marBottom w:val="0"/>
      <w:divBdr>
        <w:top w:val="none" w:sz="0" w:space="0" w:color="auto"/>
        <w:left w:val="none" w:sz="0" w:space="0" w:color="auto"/>
        <w:bottom w:val="none" w:sz="0" w:space="0" w:color="auto"/>
        <w:right w:val="none" w:sz="0" w:space="0" w:color="auto"/>
      </w:divBdr>
      <w:divsChild>
        <w:div w:id="223419180">
          <w:marLeft w:val="0"/>
          <w:marRight w:val="0"/>
          <w:marTop w:val="0"/>
          <w:marBottom w:val="0"/>
          <w:divBdr>
            <w:top w:val="none" w:sz="0" w:space="0" w:color="auto"/>
            <w:left w:val="none" w:sz="0" w:space="0" w:color="auto"/>
            <w:bottom w:val="none" w:sz="0" w:space="0" w:color="auto"/>
            <w:right w:val="none" w:sz="0" w:space="0" w:color="auto"/>
          </w:divBdr>
          <w:divsChild>
            <w:div w:id="1682660322">
              <w:marLeft w:val="3045"/>
              <w:marRight w:val="3045"/>
              <w:marTop w:val="0"/>
              <w:marBottom w:val="0"/>
              <w:divBdr>
                <w:top w:val="none" w:sz="0" w:space="0" w:color="auto"/>
                <w:left w:val="none" w:sz="0" w:space="0" w:color="auto"/>
                <w:bottom w:val="none" w:sz="0" w:space="0" w:color="auto"/>
                <w:right w:val="none" w:sz="0" w:space="0" w:color="auto"/>
              </w:divBdr>
              <w:divsChild>
                <w:div w:id="15790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43811">
      <w:bodyDiv w:val="1"/>
      <w:marLeft w:val="0"/>
      <w:marRight w:val="0"/>
      <w:marTop w:val="0"/>
      <w:marBottom w:val="0"/>
      <w:divBdr>
        <w:top w:val="none" w:sz="0" w:space="0" w:color="auto"/>
        <w:left w:val="none" w:sz="0" w:space="0" w:color="auto"/>
        <w:bottom w:val="none" w:sz="0" w:space="0" w:color="auto"/>
        <w:right w:val="none" w:sz="0" w:space="0" w:color="auto"/>
      </w:divBdr>
      <w:divsChild>
        <w:div w:id="1690254424">
          <w:marLeft w:val="0"/>
          <w:marRight w:val="0"/>
          <w:marTop w:val="0"/>
          <w:marBottom w:val="0"/>
          <w:divBdr>
            <w:top w:val="none" w:sz="0" w:space="0" w:color="auto"/>
            <w:left w:val="none" w:sz="0" w:space="0" w:color="auto"/>
            <w:bottom w:val="none" w:sz="0" w:space="0" w:color="auto"/>
            <w:right w:val="none" w:sz="0" w:space="0" w:color="auto"/>
          </w:divBdr>
          <w:divsChild>
            <w:div w:id="2087916244">
              <w:marLeft w:val="0"/>
              <w:marRight w:val="0"/>
              <w:marTop w:val="0"/>
              <w:marBottom w:val="0"/>
              <w:divBdr>
                <w:top w:val="none" w:sz="0" w:space="0" w:color="auto"/>
                <w:left w:val="none" w:sz="0" w:space="0" w:color="auto"/>
                <w:bottom w:val="none" w:sz="0" w:space="0" w:color="auto"/>
                <w:right w:val="none" w:sz="0" w:space="0" w:color="auto"/>
              </w:divBdr>
              <w:divsChild>
                <w:div w:id="1369259776">
                  <w:marLeft w:val="0"/>
                  <w:marRight w:val="0"/>
                  <w:marTop w:val="0"/>
                  <w:marBottom w:val="0"/>
                  <w:divBdr>
                    <w:top w:val="none" w:sz="0" w:space="0" w:color="auto"/>
                    <w:left w:val="none" w:sz="0" w:space="0" w:color="auto"/>
                    <w:bottom w:val="none" w:sz="0" w:space="0" w:color="auto"/>
                    <w:right w:val="none" w:sz="0" w:space="0" w:color="auto"/>
                  </w:divBdr>
                  <w:divsChild>
                    <w:div w:id="1832478706">
                      <w:marLeft w:val="0"/>
                      <w:marRight w:val="0"/>
                      <w:marTop w:val="0"/>
                      <w:marBottom w:val="0"/>
                      <w:divBdr>
                        <w:top w:val="none" w:sz="0" w:space="0" w:color="auto"/>
                        <w:left w:val="none" w:sz="0" w:space="0" w:color="auto"/>
                        <w:bottom w:val="none" w:sz="0" w:space="0" w:color="auto"/>
                        <w:right w:val="none" w:sz="0" w:space="0" w:color="auto"/>
                      </w:divBdr>
                      <w:divsChild>
                        <w:div w:id="792022731">
                          <w:marLeft w:val="0"/>
                          <w:marRight w:val="0"/>
                          <w:marTop w:val="0"/>
                          <w:marBottom w:val="0"/>
                          <w:divBdr>
                            <w:top w:val="none" w:sz="0" w:space="0" w:color="auto"/>
                            <w:left w:val="none" w:sz="0" w:space="0" w:color="auto"/>
                            <w:bottom w:val="none" w:sz="0" w:space="0" w:color="auto"/>
                            <w:right w:val="none" w:sz="0" w:space="0" w:color="auto"/>
                          </w:divBdr>
                          <w:divsChild>
                            <w:div w:id="617613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465791">
      <w:bodyDiv w:val="1"/>
      <w:marLeft w:val="0"/>
      <w:marRight w:val="0"/>
      <w:marTop w:val="0"/>
      <w:marBottom w:val="0"/>
      <w:divBdr>
        <w:top w:val="none" w:sz="0" w:space="0" w:color="auto"/>
        <w:left w:val="none" w:sz="0" w:space="0" w:color="auto"/>
        <w:bottom w:val="none" w:sz="0" w:space="0" w:color="auto"/>
        <w:right w:val="none" w:sz="0" w:space="0" w:color="auto"/>
      </w:divBdr>
    </w:div>
    <w:div w:id="621495039">
      <w:bodyDiv w:val="1"/>
      <w:marLeft w:val="0"/>
      <w:marRight w:val="0"/>
      <w:marTop w:val="0"/>
      <w:marBottom w:val="0"/>
      <w:divBdr>
        <w:top w:val="none" w:sz="0" w:space="0" w:color="auto"/>
        <w:left w:val="none" w:sz="0" w:space="0" w:color="auto"/>
        <w:bottom w:val="none" w:sz="0" w:space="0" w:color="auto"/>
        <w:right w:val="none" w:sz="0" w:space="0" w:color="auto"/>
      </w:divBdr>
      <w:divsChild>
        <w:div w:id="542711661">
          <w:marLeft w:val="0"/>
          <w:marRight w:val="0"/>
          <w:marTop w:val="0"/>
          <w:marBottom w:val="0"/>
          <w:divBdr>
            <w:top w:val="none" w:sz="0" w:space="0" w:color="auto"/>
            <w:left w:val="none" w:sz="0" w:space="0" w:color="auto"/>
            <w:bottom w:val="none" w:sz="0" w:space="0" w:color="auto"/>
            <w:right w:val="none" w:sz="0" w:space="0" w:color="auto"/>
          </w:divBdr>
          <w:divsChild>
            <w:div w:id="1663461180">
              <w:marLeft w:val="0"/>
              <w:marRight w:val="0"/>
              <w:marTop w:val="0"/>
              <w:marBottom w:val="0"/>
              <w:divBdr>
                <w:top w:val="none" w:sz="0" w:space="0" w:color="auto"/>
                <w:left w:val="none" w:sz="0" w:space="0" w:color="auto"/>
                <w:bottom w:val="none" w:sz="0" w:space="0" w:color="auto"/>
                <w:right w:val="none" w:sz="0" w:space="0" w:color="auto"/>
              </w:divBdr>
              <w:divsChild>
                <w:div w:id="1428581059">
                  <w:marLeft w:val="0"/>
                  <w:marRight w:val="0"/>
                  <w:marTop w:val="0"/>
                  <w:marBottom w:val="0"/>
                  <w:divBdr>
                    <w:top w:val="none" w:sz="0" w:space="0" w:color="auto"/>
                    <w:left w:val="none" w:sz="0" w:space="0" w:color="auto"/>
                    <w:bottom w:val="none" w:sz="0" w:space="0" w:color="auto"/>
                    <w:right w:val="none" w:sz="0" w:space="0" w:color="auto"/>
                  </w:divBdr>
                  <w:divsChild>
                    <w:div w:id="309600797">
                      <w:marLeft w:val="0"/>
                      <w:marRight w:val="0"/>
                      <w:marTop w:val="0"/>
                      <w:marBottom w:val="0"/>
                      <w:divBdr>
                        <w:top w:val="none" w:sz="0" w:space="0" w:color="auto"/>
                        <w:left w:val="none" w:sz="0" w:space="0" w:color="auto"/>
                        <w:bottom w:val="none" w:sz="0" w:space="0" w:color="auto"/>
                        <w:right w:val="none" w:sz="0" w:space="0" w:color="auto"/>
                      </w:divBdr>
                      <w:divsChild>
                        <w:div w:id="1795638551">
                          <w:marLeft w:val="0"/>
                          <w:marRight w:val="0"/>
                          <w:marTop w:val="0"/>
                          <w:marBottom w:val="0"/>
                          <w:divBdr>
                            <w:top w:val="none" w:sz="0" w:space="0" w:color="auto"/>
                            <w:left w:val="none" w:sz="0" w:space="0" w:color="auto"/>
                            <w:bottom w:val="none" w:sz="0" w:space="0" w:color="auto"/>
                            <w:right w:val="none" w:sz="0" w:space="0" w:color="auto"/>
                          </w:divBdr>
                          <w:divsChild>
                            <w:div w:id="1751805709">
                              <w:marLeft w:val="0"/>
                              <w:marRight w:val="0"/>
                              <w:marTop w:val="0"/>
                              <w:marBottom w:val="0"/>
                              <w:divBdr>
                                <w:top w:val="none" w:sz="0" w:space="0" w:color="auto"/>
                                <w:left w:val="none" w:sz="0" w:space="0" w:color="auto"/>
                                <w:bottom w:val="none" w:sz="0" w:space="0" w:color="auto"/>
                                <w:right w:val="none" w:sz="0" w:space="0" w:color="auto"/>
                              </w:divBdr>
                              <w:divsChild>
                                <w:div w:id="1768966469">
                                  <w:marLeft w:val="0"/>
                                  <w:marRight w:val="0"/>
                                  <w:marTop w:val="0"/>
                                  <w:marBottom w:val="0"/>
                                  <w:divBdr>
                                    <w:top w:val="none" w:sz="0" w:space="0" w:color="auto"/>
                                    <w:left w:val="none" w:sz="0" w:space="0" w:color="auto"/>
                                    <w:bottom w:val="none" w:sz="0" w:space="0" w:color="auto"/>
                                    <w:right w:val="none" w:sz="0" w:space="0" w:color="auto"/>
                                  </w:divBdr>
                                  <w:divsChild>
                                    <w:div w:id="331568625">
                                      <w:marLeft w:val="0"/>
                                      <w:marRight w:val="0"/>
                                      <w:marTop w:val="0"/>
                                      <w:marBottom w:val="0"/>
                                      <w:divBdr>
                                        <w:top w:val="none" w:sz="0" w:space="0" w:color="auto"/>
                                        <w:left w:val="none" w:sz="0" w:space="0" w:color="auto"/>
                                        <w:bottom w:val="none" w:sz="0" w:space="0" w:color="auto"/>
                                        <w:right w:val="none" w:sz="0" w:space="0" w:color="auto"/>
                                      </w:divBdr>
                                    </w:div>
                                    <w:div w:id="8287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160502">
      <w:bodyDiv w:val="1"/>
      <w:marLeft w:val="0"/>
      <w:marRight w:val="0"/>
      <w:marTop w:val="0"/>
      <w:marBottom w:val="0"/>
      <w:divBdr>
        <w:top w:val="none" w:sz="0" w:space="0" w:color="auto"/>
        <w:left w:val="none" w:sz="0" w:space="0" w:color="auto"/>
        <w:bottom w:val="none" w:sz="0" w:space="0" w:color="auto"/>
        <w:right w:val="none" w:sz="0" w:space="0" w:color="auto"/>
      </w:divBdr>
      <w:divsChild>
        <w:div w:id="805509833">
          <w:marLeft w:val="0"/>
          <w:marRight w:val="0"/>
          <w:marTop w:val="0"/>
          <w:marBottom w:val="0"/>
          <w:divBdr>
            <w:top w:val="none" w:sz="0" w:space="0" w:color="auto"/>
            <w:left w:val="none" w:sz="0" w:space="0" w:color="auto"/>
            <w:bottom w:val="none" w:sz="0" w:space="0" w:color="auto"/>
            <w:right w:val="none" w:sz="0" w:space="0" w:color="auto"/>
          </w:divBdr>
          <w:divsChild>
            <w:div w:id="689380779">
              <w:marLeft w:val="3045"/>
              <w:marRight w:val="3045"/>
              <w:marTop w:val="0"/>
              <w:marBottom w:val="0"/>
              <w:divBdr>
                <w:top w:val="none" w:sz="0" w:space="0" w:color="auto"/>
                <w:left w:val="none" w:sz="0" w:space="0" w:color="auto"/>
                <w:bottom w:val="none" w:sz="0" w:space="0" w:color="auto"/>
                <w:right w:val="none" w:sz="0" w:space="0" w:color="auto"/>
              </w:divBdr>
              <w:divsChild>
                <w:div w:id="8538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8184">
      <w:bodyDiv w:val="1"/>
      <w:marLeft w:val="0"/>
      <w:marRight w:val="0"/>
      <w:marTop w:val="0"/>
      <w:marBottom w:val="0"/>
      <w:divBdr>
        <w:top w:val="none" w:sz="0" w:space="0" w:color="auto"/>
        <w:left w:val="none" w:sz="0" w:space="0" w:color="auto"/>
        <w:bottom w:val="none" w:sz="0" w:space="0" w:color="auto"/>
        <w:right w:val="none" w:sz="0" w:space="0" w:color="auto"/>
      </w:divBdr>
      <w:divsChild>
        <w:div w:id="177617996">
          <w:marLeft w:val="0"/>
          <w:marRight w:val="0"/>
          <w:marTop w:val="0"/>
          <w:marBottom w:val="0"/>
          <w:divBdr>
            <w:top w:val="none" w:sz="0" w:space="0" w:color="auto"/>
            <w:left w:val="none" w:sz="0" w:space="0" w:color="auto"/>
            <w:bottom w:val="none" w:sz="0" w:space="0" w:color="auto"/>
            <w:right w:val="none" w:sz="0" w:space="0" w:color="auto"/>
          </w:divBdr>
          <w:divsChild>
            <w:div w:id="420837361">
              <w:marLeft w:val="0"/>
              <w:marRight w:val="0"/>
              <w:marTop w:val="0"/>
              <w:marBottom w:val="0"/>
              <w:divBdr>
                <w:top w:val="none" w:sz="0" w:space="0" w:color="auto"/>
                <w:left w:val="none" w:sz="0" w:space="0" w:color="auto"/>
                <w:bottom w:val="none" w:sz="0" w:space="0" w:color="auto"/>
                <w:right w:val="none" w:sz="0" w:space="0" w:color="auto"/>
              </w:divBdr>
              <w:divsChild>
                <w:div w:id="1770200410">
                  <w:marLeft w:val="0"/>
                  <w:marRight w:val="0"/>
                  <w:marTop w:val="0"/>
                  <w:marBottom w:val="0"/>
                  <w:divBdr>
                    <w:top w:val="none" w:sz="0" w:space="0" w:color="auto"/>
                    <w:left w:val="none" w:sz="0" w:space="0" w:color="auto"/>
                    <w:bottom w:val="none" w:sz="0" w:space="0" w:color="auto"/>
                    <w:right w:val="none" w:sz="0" w:space="0" w:color="auto"/>
                  </w:divBdr>
                  <w:divsChild>
                    <w:div w:id="1664431664">
                      <w:marLeft w:val="0"/>
                      <w:marRight w:val="0"/>
                      <w:marTop w:val="0"/>
                      <w:marBottom w:val="0"/>
                      <w:divBdr>
                        <w:top w:val="none" w:sz="0" w:space="0" w:color="auto"/>
                        <w:left w:val="none" w:sz="0" w:space="0" w:color="auto"/>
                        <w:bottom w:val="none" w:sz="0" w:space="0" w:color="auto"/>
                        <w:right w:val="none" w:sz="0" w:space="0" w:color="auto"/>
                      </w:divBdr>
                      <w:divsChild>
                        <w:div w:id="1490289140">
                          <w:marLeft w:val="0"/>
                          <w:marRight w:val="0"/>
                          <w:marTop w:val="0"/>
                          <w:marBottom w:val="0"/>
                          <w:divBdr>
                            <w:top w:val="none" w:sz="0" w:space="0" w:color="auto"/>
                            <w:left w:val="none" w:sz="0" w:space="0" w:color="auto"/>
                            <w:bottom w:val="none" w:sz="0" w:space="0" w:color="auto"/>
                            <w:right w:val="none" w:sz="0" w:space="0" w:color="auto"/>
                          </w:divBdr>
                          <w:divsChild>
                            <w:div w:id="1453599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670876">
      <w:bodyDiv w:val="1"/>
      <w:marLeft w:val="0"/>
      <w:marRight w:val="0"/>
      <w:marTop w:val="0"/>
      <w:marBottom w:val="0"/>
      <w:divBdr>
        <w:top w:val="none" w:sz="0" w:space="0" w:color="auto"/>
        <w:left w:val="none" w:sz="0" w:space="0" w:color="auto"/>
        <w:bottom w:val="none" w:sz="0" w:space="0" w:color="auto"/>
        <w:right w:val="none" w:sz="0" w:space="0" w:color="auto"/>
      </w:divBdr>
      <w:divsChild>
        <w:div w:id="1313289172">
          <w:marLeft w:val="0"/>
          <w:marRight w:val="0"/>
          <w:marTop w:val="0"/>
          <w:marBottom w:val="0"/>
          <w:divBdr>
            <w:top w:val="none" w:sz="0" w:space="0" w:color="auto"/>
            <w:left w:val="none" w:sz="0" w:space="0" w:color="auto"/>
            <w:bottom w:val="none" w:sz="0" w:space="0" w:color="auto"/>
            <w:right w:val="none" w:sz="0" w:space="0" w:color="auto"/>
          </w:divBdr>
          <w:divsChild>
            <w:div w:id="712114812">
              <w:marLeft w:val="0"/>
              <w:marRight w:val="0"/>
              <w:marTop w:val="0"/>
              <w:marBottom w:val="0"/>
              <w:divBdr>
                <w:top w:val="none" w:sz="0" w:space="0" w:color="auto"/>
                <w:left w:val="none" w:sz="0" w:space="0" w:color="auto"/>
                <w:bottom w:val="none" w:sz="0" w:space="0" w:color="auto"/>
                <w:right w:val="none" w:sz="0" w:space="0" w:color="auto"/>
              </w:divBdr>
              <w:divsChild>
                <w:div w:id="911162403">
                  <w:marLeft w:val="0"/>
                  <w:marRight w:val="0"/>
                  <w:marTop w:val="0"/>
                  <w:marBottom w:val="0"/>
                  <w:divBdr>
                    <w:top w:val="none" w:sz="0" w:space="0" w:color="auto"/>
                    <w:left w:val="none" w:sz="0" w:space="0" w:color="auto"/>
                    <w:bottom w:val="none" w:sz="0" w:space="0" w:color="auto"/>
                    <w:right w:val="none" w:sz="0" w:space="0" w:color="auto"/>
                  </w:divBdr>
                  <w:divsChild>
                    <w:div w:id="1047296043">
                      <w:marLeft w:val="0"/>
                      <w:marRight w:val="0"/>
                      <w:marTop w:val="0"/>
                      <w:marBottom w:val="0"/>
                      <w:divBdr>
                        <w:top w:val="none" w:sz="0" w:space="0" w:color="auto"/>
                        <w:left w:val="none" w:sz="0" w:space="0" w:color="auto"/>
                        <w:bottom w:val="none" w:sz="0" w:space="0" w:color="auto"/>
                        <w:right w:val="none" w:sz="0" w:space="0" w:color="auto"/>
                      </w:divBdr>
                      <w:divsChild>
                        <w:div w:id="285938601">
                          <w:marLeft w:val="0"/>
                          <w:marRight w:val="0"/>
                          <w:marTop w:val="0"/>
                          <w:marBottom w:val="0"/>
                          <w:divBdr>
                            <w:top w:val="none" w:sz="0" w:space="0" w:color="auto"/>
                            <w:left w:val="none" w:sz="0" w:space="0" w:color="auto"/>
                            <w:bottom w:val="none" w:sz="0" w:space="0" w:color="auto"/>
                            <w:right w:val="none" w:sz="0" w:space="0" w:color="auto"/>
                          </w:divBdr>
                          <w:divsChild>
                            <w:div w:id="1596476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609554">
      <w:bodyDiv w:val="1"/>
      <w:marLeft w:val="0"/>
      <w:marRight w:val="0"/>
      <w:marTop w:val="0"/>
      <w:marBottom w:val="0"/>
      <w:divBdr>
        <w:top w:val="none" w:sz="0" w:space="0" w:color="auto"/>
        <w:left w:val="none" w:sz="0" w:space="0" w:color="auto"/>
        <w:bottom w:val="none" w:sz="0" w:space="0" w:color="auto"/>
        <w:right w:val="none" w:sz="0" w:space="0" w:color="auto"/>
      </w:divBdr>
      <w:divsChild>
        <w:div w:id="1207256151">
          <w:marLeft w:val="0"/>
          <w:marRight w:val="0"/>
          <w:marTop w:val="0"/>
          <w:marBottom w:val="0"/>
          <w:divBdr>
            <w:top w:val="none" w:sz="0" w:space="0" w:color="auto"/>
            <w:left w:val="none" w:sz="0" w:space="0" w:color="auto"/>
            <w:bottom w:val="none" w:sz="0" w:space="0" w:color="auto"/>
            <w:right w:val="none" w:sz="0" w:space="0" w:color="auto"/>
          </w:divBdr>
          <w:divsChild>
            <w:div w:id="1895502688">
              <w:marLeft w:val="0"/>
              <w:marRight w:val="0"/>
              <w:marTop w:val="0"/>
              <w:marBottom w:val="0"/>
              <w:divBdr>
                <w:top w:val="none" w:sz="0" w:space="0" w:color="auto"/>
                <w:left w:val="none" w:sz="0" w:space="0" w:color="auto"/>
                <w:bottom w:val="none" w:sz="0" w:space="0" w:color="auto"/>
                <w:right w:val="none" w:sz="0" w:space="0" w:color="auto"/>
              </w:divBdr>
              <w:divsChild>
                <w:div w:id="1087921008">
                  <w:marLeft w:val="0"/>
                  <w:marRight w:val="0"/>
                  <w:marTop w:val="0"/>
                  <w:marBottom w:val="0"/>
                  <w:divBdr>
                    <w:top w:val="none" w:sz="0" w:space="0" w:color="auto"/>
                    <w:left w:val="none" w:sz="0" w:space="0" w:color="auto"/>
                    <w:bottom w:val="none" w:sz="0" w:space="0" w:color="auto"/>
                    <w:right w:val="none" w:sz="0" w:space="0" w:color="auto"/>
                  </w:divBdr>
                  <w:divsChild>
                    <w:div w:id="1740668665">
                      <w:marLeft w:val="0"/>
                      <w:marRight w:val="0"/>
                      <w:marTop w:val="0"/>
                      <w:marBottom w:val="0"/>
                      <w:divBdr>
                        <w:top w:val="none" w:sz="0" w:space="0" w:color="auto"/>
                        <w:left w:val="none" w:sz="0" w:space="0" w:color="auto"/>
                        <w:bottom w:val="none" w:sz="0" w:space="0" w:color="auto"/>
                        <w:right w:val="none" w:sz="0" w:space="0" w:color="auto"/>
                      </w:divBdr>
                      <w:divsChild>
                        <w:div w:id="641690964">
                          <w:marLeft w:val="0"/>
                          <w:marRight w:val="0"/>
                          <w:marTop w:val="0"/>
                          <w:marBottom w:val="0"/>
                          <w:divBdr>
                            <w:top w:val="none" w:sz="0" w:space="0" w:color="auto"/>
                            <w:left w:val="none" w:sz="0" w:space="0" w:color="auto"/>
                            <w:bottom w:val="none" w:sz="0" w:space="0" w:color="auto"/>
                            <w:right w:val="none" w:sz="0" w:space="0" w:color="auto"/>
                          </w:divBdr>
                          <w:divsChild>
                            <w:div w:id="18738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A9740-D12E-46B4-9E19-119B98BE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Stephanie I. (ATSDR/DHS/HIBR)</dc:creator>
  <cp:lastModifiedBy>NCEH</cp:lastModifiedBy>
  <cp:revision>3</cp:revision>
  <cp:lastPrinted>2012-06-07T22:25:00Z</cp:lastPrinted>
  <dcterms:created xsi:type="dcterms:W3CDTF">2015-10-29T21:21:00Z</dcterms:created>
  <dcterms:modified xsi:type="dcterms:W3CDTF">2015-11-04T16:39:00Z</dcterms:modified>
</cp:coreProperties>
</file>