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3A1B0" w14:textId="77777777" w:rsidR="0038553A" w:rsidRPr="00F81BA5" w:rsidRDefault="0038553A" w:rsidP="0038553A">
      <w:pPr>
        <w:jc w:val="center"/>
        <w:rPr>
          <w:lang w:val="en-CA"/>
        </w:rPr>
      </w:pPr>
    </w:p>
    <w:p w14:paraId="28AEAA1E" w14:textId="77777777" w:rsidR="0038553A" w:rsidRPr="00F81BA5" w:rsidRDefault="0038553A" w:rsidP="0038553A">
      <w:pPr>
        <w:jc w:val="center"/>
        <w:rPr>
          <w:lang w:val="en-CA"/>
        </w:rPr>
      </w:pPr>
    </w:p>
    <w:p w14:paraId="4FC0F7D2" w14:textId="77777777" w:rsidR="0038553A" w:rsidRPr="00F81BA5" w:rsidRDefault="0038553A" w:rsidP="0038553A">
      <w:pPr>
        <w:jc w:val="center"/>
        <w:rPr>
          <w:lang w:val="en-CA"/>
        </w:rPr>
      </w:pPr>
    </w:p>
    <w:p w14:paraId="38F01299" w14:textId="77777777" w:rsidR="0038553A" w:rsidRPr="00F81BA5" w:rsidRDefault="0038553A" w:rsidP="0038553A">
      <w:pPr>
        <w:jc w:val="center"/>
        <w:rPr>
          <w:lang w:val="en-CA"/>
        </w:rPr>
      </w:pPr>
    </w:p>
    <w:p w14:paraId="6D065338" w14:textId="77777777" w:rsidR="0038553A" w:rsidRPr="00F81BA5" w:rsidRDefault="0038553A" w:rsidP="0038553A">
      <w:pPr>
        <w:jc w:val="center"/>
        <w:rPr>
          <w:lang w:val="en-CA"/>
        </w:rPr>
      </w:pPr>
    </w:p>
    <w:p w14:paraId="26B36ACE" w14:textId="77777777" w:rsidR="0038553A" w:rsidRPr="00F81BA5" w:rsidRDefault="0038553A" w:rsidP="0038553A">
      <w:pPr>
        <w:jc w:val="center"/>
        <w:rPr>
          <w:lang w:val="en-CA"/>
        </w:rPr>
      </w:pPr>
    </w:p>
    <w:p w14:paraId="49D722ED" w14:textId="77777777" w:rsidR="00C83AEE" w:rsidRPr="00F81BA5" w:rsidRDefault="00C83AEE" w:rsidP="00C83AEE">
      <w:pPr>
        <w:jc w:val="center"/>
      </w:pPr>
      <w:r w:rsidRPr="00F81BA5">
        <w:t>Request for Office of Management and Budget (OMB) Review and Approval</w:t>
      </w:r>
    </w:p>
    <w:p w14:paraId="4C152432" w14:textId="5D63BD42" w:rsidR="0038553A" w:rsidRPr="00F81BA5" w:rsidRDefault="00C83AEE" w:rsidP="00C83AEE">
      <w:pPr>
        <w:jc w:val="center"/>
        <w:rPr>
          <w:lang w:val="en-CA"/>
        </w:rPr>
      </w:pPr>
      <w:r w:rsidRPr="00F81BA5">
        <w:t>for a Federally Sponsored Data Collection</w:t>
      </w:r>
    </w:p>
    <w:p w14:paraId="621A7751" w14:textId="77777777" w:rsidR="0038553A" w:rsidRPr="00F81BA5" w:rsidRDefault="0038553A" w:rsidP="0038553A">
      <w:pPr>
        <w:jc w:val="center"/>
        <w:rPr>
          <w:lang w:val="en-CA"/>
        </w:rPr>
      </w:pPr>
    </w:p>
    <w:p w14:paraId="2C604082" w14:textId="77777777" w:rsidR="0038553A" w:rsidRPr="00F81BA5" w:rsidRDefault="0038553A" w:rsidP="0038553A">
      <w:pPr>
        <w:jc w:val="center"/>
        <w:rPr>
          <w:lang w:val="en-CA"/>
        </w:rPr>
      </w:pPr>
    </w:p>
    <w:p w14:paraId="03978C27" w14:textId="77777777" w:rsidR="0038553A" w:rsidRPr="00F81BA5" w:rsidRDefault="0038553A" w:rsidP="0038553A">
      <w:pPr>
        <w:jc w:val="center"/>
        <w:rPr>
          <w:lang w:val="en-CA"/>
        </w:rPr>
      </w:pPr>
    </w:p>
    <w:p w14:paraId="67E86E3C" w14:textId="77777777" w:rsidR="0038553A" w:rsidRPr="00F81BA5" w:rsidRDefault="0038553A" w:rsidP="0038553A">
      <w:pPr>
        <w:jc w:val="center"/>
        <w:rPr>
          <w:lang w:val="en-CA"/>
        </w:rPr>
      </w:pPr>
    </w:p>
    <w:p w14:paraId="5AD9EB3B" w14:textId="77777777" w:rsidR="0038553A" w:rsidRPr="00F81BA5" w:rsidRDefault="0038553A" w:rsidP="0038553A">
      <w:pPr>
        <w:jc w:val="center"/>
        <w:rPr>
          <w:lang w:val="en-CA"/>
        </w:rPr>
      </w:pPr>
    </w:p>
    <w:p w14:paraId="752224CD" w14:textId="77777777" w:rsidR="00BD1450" w:rsidRDefault="00BD1450" w:rsidP="00BD1450">
      <w:pPr>
        <w:jc w:val="center"/>
        <w:rPr>
          <w:bCs/>
        </w:rPr>
      </w:pPr>
      <w:r w:rsidRPr="00BD1450">
        <w:rPr>
          <w:bCs/>
        </w:rPr>
        <w:t>INTERVENTIONS TO REDUCE SHOULDER MSDS IN OVERHEAD ASSEMBLY</w:t>
      </w:r>
    </w:p>
    <w:p w14:paraId="39EABBAB" w14:textId="594ECCE9" w:rsidR="00B350F8" w:rsidRPr="00BD1450" w:rsidRDefault="00B350F8" w:rsidP="00BD1450">
      <w:pPr>
        <w:jc w:val="center"/>
        <w:rPr>
          <w:bCs/>
        </w:rPr>
      </w:pPr>
      <w:r w:rsidRPr="00B350F8">
        <w:rPr>
          <w:bCs/>
        </w:rPr>
        <w:t>0920-0964</w:t>
      </w:r>
      <w:r w:rsidR="00C83AEE">
        <w:rPr>
          <w:bCs/>
        </w:rPr>
        <w:t xml:space="preserve"> </w:t>
      </w:r>
      <w:r w:rsidR="00174994">
        <w:rPr>
          <w:bCs/>
        </w:rPr>
        <w:t xml:space="preserve"> </w:t>
      </w:r>
      <w:r w:rsidR="00C83AEE">
        <w:rPr>
          <w:bCs/>
        </w:rPr>
        <w:t xml:space="preserve"> REINSTATEMENT</w:t>
      </w:r>
    </w:p>
    <w:p w14:paraId="7D2E57E0" w14:textId="77777777" w:rsidR="0038553A" w:rsidRPr="00F81BA5" w:rsidRDefault="0038553A" w:rsidP="0038553A">
      <w:pPr>
        <w:jc w:val="center"/>
      </w:pPr>
    </w:p>
    <w:p w14:paraId="75EE1486" w14:textId="77777777" w:rsidR="0038553A" w:rsidRPr="00F81BA5" w:rsidRDefault="0038553A" w:rsidP="0038553A">
      <w:pPr>
        <w:jc w:val="center"/>
      </w:pPr>
    </w:p>
    <w:p w14:paraId="24E5C9FE" w14:textId="00835817" w:rsidR="0038553A" w:rsidRPr="00F81BA5" w:rsidRDefault="0038553A" w:rsidP="0038553A">
      <w:pPr>
        <w:jc w:val="center"/>
      </w:pPr>
    </w:p>
    <w:p w14:paraId="1E82DD0F" w14:textId="77777777" w:rsidR="0038553A" w:rsidRPr="00F81BA5" w:rsidRDefault="0038553A" w:rsidP="0038553A">
      <w:pPr>
        <w:jc w:val="center"/>
      </w:pPr>
    </w:p>
    <w:p w14:paraId="1D673C61" w14:textId="77777777" w:rsidR="0038553A" w:rsidRPr="00F81BA5" w:rsidRDefault="0038553A" w:rsidP="0038553A">
      <w:pPr>
        <w:jc w:val="center"/>
      </w:pPr>
    </w:p>
    <w:p w14:paraId="0F9A0E4E" w14:textId="77777777" w:rsidR="0038553A" w:rsidRPr="00F81BA5" w:rsidRDefault="0038553A" w:rsidP="0038553A">
      <w:pPr>
        <w:jc w:val="center"/>
      </w:pPr>
    </w:p>
    <w:p w14:paraId="24237073" w14:textId="77777777" w:rsidR="0038553A" w:rsidRPr="00F81BA5" w:rsidRDefault="0038553A" w:rsidP="0038553A">
      <w:pPr>
        <w:jc w:val="center"/>
      </w:pPr>
    </w:p>
    <w:p w14:paraId="7E9DA266" w14:textId="77777777" w:rsidR="0038553A" w:rsidRPr="00F81BA5" w:rsidRDefault="0038553A" w:rsidP="0038553A">
      <w:pPr>
        <w:jc w:val="center"/>
      </w:pPr>
    </w:p>
    <w:p w14:paraId="006C0CDC" w14:textId="77777777" w:rsidR="0038553A" w:rsidRPr="00F81BA5" w:rsidRDefault="0038553A" w:rsidP="0038553A">
      <w:pPr>
        <w:jc w:val="center"/>
      </w:pPr>
    </w:p>
    <w:p w14:paraId="4C35F351" w14:textId="77777777" w:rsidR="0038553A" w:rsidRPr="00F81BA5" w:rsidRDefault="0038553A" w:rsidP="0038553A">
      <w:pPr>
        <w:jc w:val="center"/>
      </w:pPr>
    </w:p>
    <w:p w14:paraId="4CC44863" w14:textId="77777777" w:rsidR="0038553A" w:rsidRPr="00F81BA5" w:rsidRDefault="0038553A" w:rsidP="0038553A">
      <w:pPr>
        <w:jc w:val="center"/>
      </w:pPr>
    </w:p>
    <w:p w14:paraId="2119DABA" w14:textId="77777777" w:rsidR="0038553A" w:rsidRPr="00F81BA5" w:rsidRDefault="0038553A" w:rsidP="0038553A"/>
    <w:p w14:paraId="77E8E676" w14:textId="77777777" w:rsidR="0038553A" w:rsidRPr="00F81BA5" w:rsidRDefault="0038553A" w:rsidP="0038553A">
      <w:pPr>
        <w:jc w:val="center"/>
      </w:pPr>
    </w:p>
    <w:p w14:paraId="3CDE355A" w14:textId="77777777" w:rsidR="0038553A" w:rsidRPr="00F81BA5" w:rsidRDefault="0038553A" w:rsidP="0038553A">
      <w:pPr>
        <w:jc w:val="center"/>
      </w:pPr>
    </w:p>
    <w:p w14:paraId="33B19A88" w14:textId="77777777" w:rsidR="0038553A" w:rsidRPr="00F81BA5" w:rsidRDefault="0038553A" w:rsidP="0038553A"/>
    <w:p w14:paraId="3F822F45" w14:textId="77777777" w:rsidR="00530AF0" w:rsidRDefault="00BD1450" w:rsidP="0038553A">
      <w:pPr>
        <w:jc w:val="center"/>
        <w:rPr>
          <w:lang w:val="de-DE"/>
        </w:rPr>
      </w:pPr>
      <w:r>
        <w:rPr>
          <w:lang w:val="de-DE"/>
        </w:rPr>
        <w:t>Brian D. Lowe,</w:t>
      </w:r>
      <w:r w:rsidR="0038553A" w:rsidRPr="00F81BA5">
        <w:rPr>
          <w:lang w:val="de-DE"/>
        </w:rPr>
        <w:t xml:space="preserve"> Ph.D.</w:t>
      </w:r>
    </w:p>
    <w:p w14:paraId="005C3812" w14:textId="77777777" w:rsidR="0038553A" w:rsidRPr="00F81BA5" w:rsidRDefault="00530AF0" w:rsidP="0038553A">
      <w:pPr>
        <w:jc w:val="center"/>
        <w:rPr>
          <w:lang w:val="de-DE"/>
        </w:rPr>
      </w:pPr>
      <w:r>
        <w:rPr>
          <w:lang w:val="de-DE"/>
        </w:rPr>
        <w:t xml:space="preserve">Research Industrial </w:t>
      </w:r>
      <w:r w:rsidR="00BD1450">
        <w:rPr>
          <w:lang w:val="de-DE"/>
        </w:rPr>
        <w:t>Engineer</w:t>
      </w:r>
      <w:r w:rsidR="0038553A" w:rsidRPr="00F81BA5">
        <w:rPr>
          <w:lang w:val="en-CA"/>
        </w:rPr>
        <w:fldChar w:fldCharType="begin"/>
      </w:r>
      <w:r w:rsidR="0038553A" w:rsidRPr="00F81BA5">
        <w:rPr>
          <w:lang w:val="de-DE"/>
        </w:rPr>
        <w:instrText xml:space="preserve"> SEQ CHAPTER \h \r 1</w:instrText>
      </w:r>
      <w:r w:rsidR="0038553A" w:rsidRPr="00F81BA5">
        <w:rPr>
          <w:lang w:val="en-CA"/>
        </w:rPr>
        <w:fldChar w:fldCharType="end"/>
      </w:r>
    </w:p>
    <w:p w14:paraId="6CDFC162" w14:textId="77777777" w:rsidR="0038553A" w:rsidRPr="00F81BA5" w:rsidRDefault="0038553A" w:rsidP="00530AF0">
      <w:pPr>
        <w:jc w:val="center"/>
      </w:pPr>
      <w:r w:rsidRPr="00F81BA5">
        <w:t>Project Officer</w:t>
      </w:r>
    </w:p>
    <w:p w14:paraId="5F0ACB4E" w14:textId="77777777" w:rsidR="0038553A" w:rsidRPr="00F81BA5" w:rsidRDefault="00BD1450" w:rsidP="0038553A">
      <w:pPr>
        <w:jc w:val="center"/>
      </w:pPr>
      <w:r>
        <w:t>blowe</w:t>
      </w:r>
      <w:r w:rsidR="0038553A" w:rsidRPr="00F81BA5">
        <w:t>@</w:t>
      </w:r>
      <w:r w:rsidR="00BE0E22">
        <w:t>cdc.gov</w:t>
      </w:r>
    </w:p>
    <w:p w14:paraId="3C265D8E" w14:textId="77777777" w:rsidR="0038553A" w:rsidRPr="00F81BA5" w:rsidRDefault="0038553A" w:rsidP="0038553A">
      <w:pPr>
        <w:jc w:val="center"/>
      </w:pPr>
    </w:p>
    <w:p w14:paraId="26DFF1D8" w14:textId="77777777" w:rsidR="0038553A" w:rsidRPr="00F81BA5" w:rsidRDefault="0038553A" w:rsidP="0038553A">
      <w:pPr>
        <w:jc w:val="center"/>
      </w:pPr>
      <w:r w:rsidRPr="00F81BA5">
        <w:t>National Institute for Occupational Safety and Health</w:t>
      </w:r>
    </w:p>
    <w:p w14:paraId="784DBC77" w14:textId="77777777" w:rsidR="0038553A" w:rsidRPr="00F81BA5" w:rsidRDefault="0038553A" w:rsidP="0038553A">
      <w:pPr>
        <w:jc w:val="center"/>
      </w:pPr>
      <w:r w:rsidRPr="00F81BA5">
        <w:t xml:space="preserve">Division of </w:t>
      </w:r>
      <w:r w:rsidR="00BD1450">
        <w:t>Applied Research and Technology</w:t>
      </w:r>
    </w:p>
    <w:p w14:paraId="594408A1" w14:textId="77777777" w:rsidR="0038553A" w:rsidRPr="00F81BA5" w:rsidRDefault="0038553A" w:rsidP="0038553A">
      <w:pPr>
        <w:jc w:val="center"/>
      </w:pPr>
      <w:r w:rsidRPr="00F81BA5">
        <w:t>4676 Columbia Parkway</w:t>
      </w:r>
      <w:r w:rsidR="00BD1450">
        <w:t>,</w:t>
      </w:r>
      <w:r w:rsidR="00226509">
        <w:t xml:space="preserve"> Mail Stop </w:t>
      </w:r>
      <w:r w:rsidR="00BD1450">
        <w:t>C-24</w:t>
      </w:r>
    </w:p>
    <w:p w14:paraId="220BFBCE" w14:textId="77777777" w:rsidR="0038553A" w:rsidRPr="00F81BA5" w:rsidRDefault="0038553A" w:rsidP="0038553A">
      <w:pPr>
        <w:jc w:val="center"/>
      </w:pPr>
      <w:smartTag w:uri="urn:schemas-microsoft-com:office:smarttags" w:element="place">
        <w:smartTag w:uri="urn:schemas-microsoft-com:office:smarttags" w:element="City">
          <w:r w:rsidRPr="00F81BA5">
            <w:t>Cincinnati</w:t>
          </w:r>
        </w:smartTag>
        <w:r w:rsidRPr="00F81BA5">
          <w:t xml:space="preserve">, </w:t>
        </w:r>
        <w:smartTag w:uri="urn:schemas-microsoft-com:office:smarttags" w:element="State">
          <w:r w:rsidRPr="00F81BA5">
            <w:t>Ohio</w:t>
          </w:r>
        </w:smartTag>
        <w:r w:rsidRPr="00F81BA5">
          <w:t xml:space="preserve"> </w:t>
        </w:r>
        <w:smartTag w:uri="urn:schemas-microsoft-com:office:smarttags" w:element="PostalCode">
          <w:r w:rsidRPr="00F81BA5">
            <w:t>45226</w:t>
          </w:r>
        </w:smartTag>
      </w:smartTag>
    </w:p>
    <w:p w14:paraId="40C7D638" w14:textId="77777777" w:rsidR="0038553A" w:rsidRPr="00F81BA5" w:rsidRDefault="0038553A" w:rsidP="0038553A">
      <w:pPr>
        <w:jc w:val="center"/>
      </w:pPr>
    </w:p>
    <w:p w14:paraId="4D71E7A7" w14:textId="77777777" w:rsidR="0038553A" w:rsidRPr="00F81BA5" w:rsidRDefault="0038553A" w:rsidP="0038553A">
      <w:pPr>
        <w:jc w:val="center"/>
      </w:pPr>
      <w:r w:rsidRPr="00F81BA5">
        <w:t>513-</w:t>
      </w:r>
      <w:r w:rsidR="00BD1450">
        <w:t>533-8161</w:t>
      </w:r>
      <w:r w:rsidR="00EB3A2B">
        <w:tab/>
        <w:t>(phone</w:t>
      </w:r>
      <w:r w:rsidRPr="00F81BA5">
        <w:t>)</w:t>
      </w:r>
    </w:p>
    <w:p w14:paraId="25D0CC2F" w14:textId="77777777" w:rsidR="0038553A" w:rsidRPr="00F81BA5" w:rsidRDefault="0038553A" w:rsidP="0038553A">
      <w:pPr>
        <w:jc w:val="center"/>
      </w:pPr>
      <w:r w:rsidRPr="00F81BA5">
        <w:t>513-</w:t>
      </w:r>
      <w:r w:rsidR="00BD1450">
        <w:t>533</w:t>
      </w:r>
      <w:r w:rsidRPr="00F81BA5">
        <w:t>-</w:t>
      </w:r>
      <w:r w:rsidR="00BD1450">
        <w:t>8596</w:t>
      </w:r>
      <w:r w:rsidRPr="00F81BA5">
        <w:t xml:space="preserve"> (fax)</w:t>
      </w:r>
    </w:p>
    <w:p w14:paraId="5635EABC" w14:textId="77777777" w:rsidR="0038553A" w:rsidRPr="00F81BA5" w:rsidRDefault="0038553A" w:rsidP="0038553A">
      <w:pPr>
        <w:jc w:val="center"/>
      </w:pPr>
    </w:p>
    <w:p w14:paraId="6D7B08F5" w14:textId="77777777" w:rsidR="00B9590E" w:rsidRDefault="0038553A" w:rsidP="00B9590E">
      <w:pPr>
        <w:jc w:val="center"/>
        <w:rPr>
          <w:b/>
          <w:bCs/>
        </w:rPr>
      </w:pPr>
      <w:r w:rsidRPr="00F81BA5">
        <w:br w:type="page"/>
      </w:r>
      <w:r w:rsidRPr="007A66F8">
        <w:rPr>
          <w:lang w:val="en-CA"/>
        </w:rPr>
        <w:lastRenderedPageBreak/>
        <w:fldChar w:fldCharType="begin"/>
      </w:r>
      <w:r w:rsidRPr="007A66F8">
        <w:rPr>
          <w:lang w:val="en-CA"/>
        </w:rPr>
        <w:instrText xml:space="preserve"> SEQ CHAPTER \h \r 1</w:instrText>
      </w:r>
      <w:r w:rsidRPr="007A66F8">
        <w:rPr>
          <w:lang w:val="en-CA"/>
        </w:rPr>
        <w:fldChar w:fldCharType="end"/>
      </w:r>
      <w:r w:rsidR="00B9590E" w:rsidRPr="007A66F8">
        <w:rPr>
          <w:b/>
          <w:bCs/>
        </w:rPr>
        <w:t>Table of Contents</w:t>
      </w:r>
    </w:p>
    <w:p w14:paraId="241396F7" w14:textId="77777777" w:rsidR="00B9590E" w:rsidRPr="00F81BA5" w:rsidRDefault="00B9590E" w:rsidP="00B9590E">
      <w:pPr>
        <w:jc w:val="right"/>
      </w:pPr>
      <w:r w:rsidRPr="00F81BA5">
        <w:rPr>
          <w:bCs/>
        </w:rPr>
        <w:tab/>
      </w:r>
      <w:r w:rsidRPr="00F81BA5">
        <w:rPr>
          <w:bCs/>
        </w:rPr>
        <w:tab/>
      </w:r>
      <w:r w:rsidRPr="00F81BA5">
        <w:rPr>
          <w:bCs/>
        </w:rPr>
        <w:tab/>
      </w:r>
      <w:r w:rsidRPr="00F81BA5">
        <w:rPr>
          <w:bCs/>
        </w:rPr>
        <w:tab/>
      </w:r>
      <w:r w:rsidRPr="00F81BA5">
        <w:rPr>
          <w:bCs/>
        </w:rPr>
        <w:tab/>
      </w:r>
      <w:r w:rsidRPr="00F81BA5">
        <w:rPr>
          <w:bCs/>
        </w:rPr>
        <w:tab/>
      </w:r>
      <w:r w:rsidRPr="00F81BA5">
        <w:rPr>
          <w:bCs/>
        </w:rPr>
        <w:tab/>
      </w:r>
      <w:r w:rsidRPr="00F81BA5">
        <w:rPr>
          <w:bCs/>
        </w:rPr>
        <w:tab/>
      </w:r>
      <w:r w:rsidRPr="00F81BA5">
        <w:rPr>
          <w:bCs/>
        </w:rPr>
        <w:tab/>
      </w:r>
      <w:r w:rsidRPr="00F81BA5">
        <w:rPr>
          <w:lang w:val="en-CA"/>
        </w:rPr>
        <w:fldChar w:fldCharType="begin"/>
      </w:r>
      <w:r w:rsidRPr="00F81BA5">
        <w:rPr>
          <w:lang w:val="en-CA"/>
        </w:rPr>
        <w:instrText xml:space="preserve"> SEQ CHAPTER \h \r 1</w:instrText>
      </w:r>
      <w:r w:rsidRPr="00F81BA5">
        <w:rPr>
          <w:lang w:val="en-CA"/>
        </w:rPr>
        <w:fldChar w:fldCharType="end"/>
      </w:r>
    </w:p>
    <w:p w14:paraId="1E93543B" w14:textId="77777777" w:rsidR="00B9590E" w:rsidRDefault="00B9590E" w:rsidP="00B9590E">
      <w:pPr>
        <w:jc w:val="right"/>
        <w:rPr>
          <w:lang w:val="en-CA"/>
        </w:rPr>
      </w:pPr>
    </w:p>
    <w:p w14:paraId="15130E63" w14:textId="77777777" w:rsidR="00B9590E" w:rsidRDefault="00B9590E" w:rsidP="00B9590E">
      <w:pPr>
        <w:jc w:val="center"/>
        <w:rPr>
          <w:b/>
          <w:bCs/>
        </w:rPr>
      </w:pPr>
    </w:p>
    <w:p w14:paraId="171BB339" w14:textId="77777777" w:rsidR="00B9590E" w:rsidRDefault="00B9590E" w:rsidP="00B9590E">
      <w:pPr>
        <w:jc w:val="center"/>
        <w:rPr>
          <w:b/>
          <w:bCs/>
        </w:rPr>
      </w:pPr>
    </w:p>
    <w:p w14:paraId="1CB76195" w14:textId="77777777" w:rsidR="00B9590E" w:rsidRPr="00826C3F" w:rsidRDefault="00B9590E" w:rsidP="00B9590E">
      <w:r w:rsidRPr="00826C3F">
        <w:fldChar w:fldCharType="begin"/>
      </w:r>
      <w:r w:rsidRPr="00826C3F">
        <w:instrText>TOC \f</w:instrText>
      </w:r>
      <w:r w:rsidRPr="00826C3F">
        <w:fldChar w:fldCharType="separate"/>
      </w:r>
      <w:r w:rsidRPr="00826C3F">
        <w:rPr>
          <w:bCs/>
        </w:rPr>
        <w:t>A.  J</w:t>
      </w:r>
      <w:r w:rsidR="006100EC" w:rsidRPr="00826C3F">
        <w:rPr>
          <w:bCs/>
        </w:rPr>
        <w:t>USTIFICATION</w:t>
      </w:r>
    </w:p>
    <w:p w14:paraId="42275CBB" w14:textId="77777777" w:rsidR="00B9590E" w:rsidRPr="00826C3F" w:rsidRDefault="00B9590E" w:rsidP="00B9590E">
      <w:pPr>
        <w:tabs>
          <w:tab w:val="right" w:leader="dot" w:pos="9360"/>
        </w:tabs>
        <w:ind w:left="1440" w:hanging="720"/>
      </w:pPr>
      <w:r w:rsidRPr="00826C3F">
        <w:t>A1.    Circumstances Making the Collection of Information Necessary</w:t>
      </w:r>
      <w:r w:rsidRPr="00826C3F">
        <w:tab/>
      </w:r>
      <w:r w:rsidR="00C26095" w:rsidRPr="00826C3F">
        <w:t>4</w:t>
      </w:r>
    </w:p>
    <w:p w14:paraId="7B1D5656" w14:textId="77777777" w:rsidR="00B9590E" w:rsidRPr="00826C3F" w:rsidRDefault="00B9590E" w:rsidP="00B9590E">
      <w:pPr>
        <w:tabs>
          <w:tab w:val="right" w:leader="dot" w:pos="9360"/>
        </w:tabs>
        <w:ind w:left="1440" w:hanging="720"/>
      </w:pPr>
      <w:r w:rsidRPr="00826C3F">
        <w:t>A2.    Purpose and Use of Information Collection</w:t>
      </w:r>
      <w:r w:rsidRPr="00826C3F">
        <w:tab/>
      </w:r>
      <w:r w:rsidR="002D07DB">
        <w:t>5</w:t>
      </w:r>
    </w:p>
    <w:p w14:paraId="2F860A5E" w14:textId="77777777" w:rsidR="00B9590E" w:rsidRPr="00826C3F" w:rsidRDefault="00B9590E" w:rsidP="00B9590E">
      <w:pPr>
        <w:tabs>
          <w:tab w:val="right" w:leader="dot" w:pos="9360"/>
        </w:tabs>
        <w:ind w:left="1440" w:hanging="720"/>
      </w:pPr>
      <w:r w:rsidRPr="00826C3F">
        <w:t>A3.    Use of Improved Information Technology and Burden Reduction</w:t>
      </w:r>
      <w:r w:rsidRPr="00826C3F">
        <w:tab/>
      </w:r>
      <w:r w:rsidR="002D07DB">
        <w:t>6</w:t>
      </w:r>
    </w:p>
    <w:p w14:paraId="44488BFE" w14:textId="77777777" w:rsidR="00B9590E" w:rsidRPr="00826C3F" w:rsidRDefault="00B9590E" w:rsidP="00B9590E">
      <w:pPr>
        <w:tabs>
          <w:tab w:val="right" w:leader="dot" w:pos="9360"/>
        </w:tabs>
        <w:ind w:left="1440" w:hanging="720"/>
      </w:pPr>
      <w:r w:rsidRPr="00826C3F">
        <w:t>A4.    Efforts to Identify Duplication and Use of Similar Information</w:t>
      </w:r>
      <w:r w:rsidRPr="00826C3F">
        <w:tab/>
      </w:r>
      <w:r w:rsidR="002D07DB">
        <w:t>7</w:t>
      </w:r>
    </w:p>
    <w:p w14:paraId="2E2F72EE" w14:textId="77777777" w:rsidR="00B9590E" w:rsidRPr="00826C3F" w:rsidRDefault="00B9590E" w:rsidP="00B9590E">
      <w:pPr>
        <w:tabs>
          <w:tab w:val="right" w:leader="dot" w:pos="9360"/>
        </w:tabs>
        <w:ind w:left="1440" w:hanging="720"/>
      </w:pPr>
      <w:r w:rsidRPr="00826C3F">
        <w:t>A5.    Impact on Small Businesses or Other Small Entities</w:t>
      </w:r>
      <w:r w:rsidRPr="00826C3F">
        <w:tab/>
      </w:r>
      <w:r w:rsidR="002D07DB">
        <w:t>7</w:t>
      </w:r>
    </w:p>
    <w:p w14:paraId="6D58DE43" w14:textId="77777777" w:rsidR="00B9590E" w:rsidRPr="00826C3F" w:rsidRDefault="00B9590E" w:rsidP="00B9590E">
      <w:pPr>
        <w:tabs>
          <w:tab w:val="right" w:leader="dot" w:pos="9360"/>
        </w:tabs>
        <w:ind w:left="1440" w:hanging="720"/>
      </w:pPr>
      <w:r w:rsidRPr="00826C3F">
        <w:t>A6.    Consequences of Collecting the Information Less Frequently</w:t>
      </w:r>
      <w:r w:rsidRPr="00826C3F">
        <w:tab/>
      </w:r>
      <w:r w:rsidR="002D07DB">
        <w:t>7</w:t>
      </w:r>
    </w:p>
    <w:p w14:paraId="0553AD53" w14:textId="77777777" w:rsidR="00B9590E" w:rsidRPr="00826C3F" w:rsidRDefault="00B9590E" w:rsidP="00B9590E">
      <w:pPr>
        <w:tabs>
          <w:tab w:val="right" w:leader="dot" w:pos="9360"/>
        </w:tabs>
        <w:ind w:left="1440" w:hanging="720"/>
      </w:pPr>
      <w:r w:rsidRPr="00826C3F">
        <w:t>A7.    Special Circumstances Relating to the Guidelines of 5 CFR 1320.5</w:t>
      </w:r>
      <w:r w:rsidRPr="00826C3F">
        <w:tab/>
      </w:r>
      <w:r w:rsidR="002D07DB">
        <w:t>8</w:t>
      </w:r>
    </w:p>
    <w:p w14:paraId="762CFBBA" w14:textId="77777777" w:rsidR="00B9590E" w:rsidRPr="00826C3F" w:rsidRDefault="00B9590E" w:rsidP="00B9590E">
      <w:pPr>
        <w:tabs>
          <w:tab w:val="right" w:leader="dot" w:pos="9360"/>
        </w:tabs>
        <w:ind w:left="1440" w:hanging="720"/>
      </w:pPr>
      <w:r w:rsidRPr="00826C3F">
        <w:t>A8.    Comments in Response to the Federal Register Notice and Efforts to Consult Outside the Agency</w:t>
      </w:r>
      <w:r w:rsidRPr="00826C3F">
        <w:tab/>
      </w:r>
      <w:r w:rsidR="002D07DB">
        <w:t>8</w:t>
      </w:r>
    </w:p>
    <w:p w14:paraId="36C1FFB7" w14:textId="77777777" w:rsidR="00B9590E" w:rsidRPr="00826C3F" w:rsidRDefault="00B9590E" w:rsidP="00B9590E">
      <w:pPr>
        <w:tabs>
          <w:tab w:val="right" w:leader="dot" w:pos="9360"/>
        </w:tabs>
        <w:ind w:left="1440" w:hanging="720"/>
      </w:pPr>
      <w:r w:rsidRPr="00826C3F">
        <w:t>A9.    Explanation of Any Payment or Gift to Respondents</w:t>
      </w:r>
      <w:r w:rsidRPr="00826C3F">
        <w:tab/>
      </w:r>
      <w:r w:rsidR="00C26095" w:rsidRPr="00826C3F">
        <w:t>1</w:t>
      </w:r>
      <w:r w:rsidR="002D07DB">
        <w:t>0</w:t>
      </w:r>
    </w:p>
    <w:p w14:paraId="4B7BCDBF" w14:textId="77777777" w:rsidR="00B9590E" w:rsidRPr="00826C3F" w:rsidRDefault="00B9590E" w:rsidP="00B9590E">
      <w:pPr>
        <w:tabs>
          <w:tab w:val="right" w:leader="dot" w:pos="9360"/>
        </w:tabs>
        <w:ind w:left="1440" w:hanging="720"/>
      </w:pPr>
      <w:r w:rsidRPr="00826C3F">
        <w:t xml:space="preserve">A10.  </w:t>
      </w:r>
      <w:r w:rsidR="00326F17" w:rsidRPr="00326F17">
        <w:t>Protection of the Privacy and Confidentiality of Information Provided by Respondents</w:t>
      </w:r>
      <w:r w:rsidRPr="00826C3F">
        <w:tab/>
      </w:r>
      <w:r w:rsidR="00C26095" w:rsidRPr="00826C3F">
        <w:t>1</w:t>
      </w:r>
      <w:r w:rsidR="002D07DB">
        <w:t>0</w:t>
      </w:r>
    </w:p>
    <w:p w14:paraId="6790F00D" w14:textId="77777777" w:rsidR="00B9590E" w:rsidRPr="00826C3F" w:rsidRDefault="00B9590E" w:rsidP="00B9590E">
      <w:pPr>
        <w:tabs>
          <w:tab w:val="right" w:leader="dot" w:pos="9360"/>
        </w:tabs>
        <w:ind w:left="1440" w:hanging="720"/>
      </w:pPr>
      <w:r w:rsidRPr="00826C3F">
        <w:t xml:space="preserve">A11.  </w:t>
      </w:r>
      <w:r w:rsidR="00326F17" w:rsidRPr="00326F17">
        <w:t>Institutional Review Board (IRB) and Justification for Sensitive Questions</w:t>
      </w:r>
      <w:r w:rsidRPr="00826C3F">
        <w:tab/>
      </w:r>
      <w:r w:rsidR="002D07DB">
        <w:t>12</w:t>
      </w:r>
    </w:p>
    <w:p w14:paraId="3E56107E" w14:textId="77777777" w:rsidR="00B9590E" w:rsidRPr="00826C3F" w:rsidRDefault="00B9590E" w:rsidP="00B9590E">
      <w:pPr>
        <w:tabs>
          <w:tab w:val="right" w:leader="dot" w:pos="9360"/>
        </w:tabs>
        <w:ind w:left="1440" w:hanging="720"/>
      </w:pPr>
      <w:r w:rsidRPr="00826C3F">
        <w:t>A12.  Estimates of Annualized Burden Hours and Costs</w:t>
      </w:r>
      <w:r w:rsidRPr="00826C3F">
        <w:tab/>
      </w:r>
      <w:r w:rsidR="002D07DB">
        <w:t>12</w:t>
      </w:r>
    </w:p>
    <w:p w14:paraId="06C38F96" w14:textId="77777777" w:rsidR="00B9590E" w:rsidRPr="00826C3F" w:rsidRDefault="00B9590E" w:rsidP="00B9590E">
      <w:pPr>
        <w:tabs>
          <w:tab w:val="right" w:leader="dot" w:pos="9360"/>
        </w:tabs>
        <w:ind w:left="1440" w:hanging="720"/>
      </w:pPr>
      <w:r w:rsidRPr="00826C3F">
        <w:t>A13.  Estimates of Other Total Annual Cost Burden to Respondents or Record Keepers</w:t>
      </w:r>
      <w:r w:rsidRPr="00826C3F">
        <w:tab/>
      </w:r>
      <w:r w:rsidR="002D07DB">
        <w:t>15</w:t>
      </w:r>
    </w:p>
    <w:p w14:paraId="176830DB" w14:textId="77777777" w:rsidR="00B9590E" w:rsidRPr="00826C3F" w:rsidRDefault="00B9590E" w:rsidP="00B9590E">
      <w:pPr>
        <w:tabs>
          <w:tab w:val="right" w:leader="dot" w:pos="9360"/>
        </w:tabs>
        <w:ind w:left="1440" w:hanging="720"/>
      </w:pPr>
      <w:r w:rsidRPr="00826C3F">
        <w:t>A14.  Annualized Cost to the Government</w:t>
      </w:r>
      <w:r w:rsidRPr="00826C3F">
        <w:tab/>
      </w:r>
      <w:r w:rsidR="002D07DB">
        <w:t>15</w:t>
      </w:r>
    </w:p>
    <w:p w14:paraId="1327005A" w14:textId="77777777" w:rsidR="00B9590E" w:rsidRPr="00826C3F" w:rsidRDefault="00B9590E" w:rsidP="00B9590E">
      <w:pPr>
        <w:tabs>
          <w:tab w:val="right" w:leader="dot" w:pos="9360"/>
        </w:tabs>
        <w:ind w:left="1440" w:hanging="720"/>
      </w:pPr>
      <w:r w:rsidRPr="00826C3F">
        <w:t>A15.  Explanation for Program Changes or Adjustments</w:t>
      </w:r>
      <w:r w:rsidRPr="00826C3F">
        <w:tab/>
      </w:r>
      <w:r w:rsidR="002D07DB">
        <w:t>16</w:t>
      </w:r>
    </w:p>
    <w:p w14:paraId="5A453869" w14:textId="77777777" w:rsidR="00B9590E" w:rsidRPr="00826C3F" w:rsidRDefault="00B9590E" w:rsidP="00B9590E">
      <w:pPr>
        <w:tabs>
          <w:tab w:val="right" w:leader="dot" w:pos="9360"/>
        </w:tabs>
        <w:ind w:left="1440" w:hanging="720"/>
      </w:pPr>
      <w:r w:rsidRPr="00826C3F">
        <w:t>A16.  Plans for Tabulation and Publication and Project Time Schedule</w:t>
      </w:r>
      <w:r w:rsidRPr="00826C3F">
        <w:tab/>
      </w:r>
      <w:r w:rsidR="002D07DB">
        <w:t>16</w:t>
      </w:r>
    </w:p>
    <w:p w14:paraId="2C920B6F" w14:textId="77777777" w:rsidR="00B9590E" w:rsidRPr="00826C3F" w:rsidRDefault="00B9590E" w:rsidP="00B9590E">
      <w:pPr>
        <w:tabs>
          <w:tab w:val="right" w:leader="dot" w:pos="9360"/>
        </w:tabs>
        <w:ind w:left="1440" w:hanging="720"/>
      </w:pPr>
      <w:r w:rsidRPr="00826C3F">
        <w:t>A17.  Reason(s) Display of OMB Expiration Date is Inappropriate</w:t>
      </w:r>
      <w:r w:rsidRPr="00826C3F">
        <w:tab/>
      </w:r>
      <w:r w:rsidR="002D07DB">
        <w:t>17</w:t>
      </w:r>
    </w:p>
    <w:p w14:paraId="79CD5B64" w14:textId="77777777" w:rsidR="00B9590E" w:rsidRPr="00826C3F" w:rsidRDefault="00B9590E" w:rsidP="00B9590E">
      <w:pPr>
        <w:tabs>
          <w:tab w:val="right" w:leader="dot" w:pos="9360"/>
        </w:tabs>
        <w:ind w:left="1440" w:hanging="720"/>
      </w:pPr>
      <w:r w:rsidRPr="00826C3F">
        <w:t>A18.  Exceptions to Certification for Paperwork Reduction Act Submissions</w:t>
      </w:r>
      <w:r w:rsidRPr="00826C3F">
        <w:tab/>
      </w:r>
      <w:r w:rsidR="002D07DB">
        <w:t>17</w:t>
      </w:r>
    </w:p>
    <w:p w14:paraId="563802C3" w14:textId="77777777" w:rsidR="00B9590E" w:rsidRPr="00826C3F" w:rsidRDefault="00B9590E" w:rsidP="00B9590E"/>
    <w:p w14:paraId="3DCEE15C" w14:textId="77777777" w:rsidR="00B9590E" w:rsidRPr="00826C3F" w:rsidRDefault="00B9590E" w:rsidP="00B9590E">
      <w:pPr>
        <w:tabs>
          <w:tab w:val="right" w:leader="dot" w:pos="9360"/>
        </w:tabs>
        <w:ind w:left="1440" w:hanging="720"/>
      </w:pPr>
    </w:p>
    <w:p w14:paraId="44A85D30" w14:textId="77777777" w:rsidR="00B9590E" w:rsidRPr="00826C3F" w:rsidRDefault="00B9590E" w:rsidP="00B9590E"/>
    <w:p w14:paraId="0A0BE151" w14:textId="77777777" w:rsidR="00B9590E" w:rsidRPr="00826C3F" w:rsidRDefault="00B9590E" w:rsidP="00B9590E">
      <w:pPr>
        <w:tabs>
          <w:tab w:val="right" w:leader="dot" w:pos="9360"/>
        </w:tabs>
      </w:pPr>
      <w:r w:rsidRPr="00826C3F">
        <w:fldChar w:fldCharType="end"/>
      </w:r>
    </w:p>
    <w:p w14:paraId="04CFA2F7" w14:textId="77777777" w:rsidR="00B9590E" w:rsidRPr="00826C3F" w:rsidRDefault="00B9590E" w:rsidP="00B9590E">
      <w:pPr>
        <w:rPr>
          <w:b/>
          <w:bCs/>
        </w:rPr>
      </w:pPr>
    </w:p>
    <w:p w14:paraId="2CAB9C99" w14:textId="77777777" w:rsidR="009A153F" w:rsidRDefault="009A153F" w:rsidP="00B9590E">
      <w:pPr>
        <w:rPr>
          <w:bCs/>
        </w:rPr>
      </w:pPr>
    </w:p>
    <w:p w14:paraId="4EA35C45" w14:textId="77777777" w:rsidR="009A153F" w:rsidRDefault="009A153F" w:rsidP="00B9590E">
      <w:pPr>
        <w:rPr>
          <w:bCs/>
        </w:rPr>
      </w:pPr>
    </w:p>
    <w:p w14:paraId="6C178FDE" w14:textId="77777777" w:rsidR="009A153F" w:rsidRDefault="009A153F" w:rsidP="00B9590E">
      <w:pPr>
        <w:rPr>
          <w:bCs/>
        </w:rPr>
      </w:pPr>
    </w:p>
    <w:p w14:paraId="5EF71874" w14:textId="77777777" w:rsidR="009A153F" w:rsidRDefault="009A153F" w:rsidP="00B9590E">
      <w:pPr>
        <w:rPr>
          <w:bCs/>
        </w:rPr>
      </w:pPr>
    </w:p>
    <w:p w14:paraId="48720E0E" w14:textId="77777777" w:rsidR="009A153F" w:rsidRDefault="009A153F" w:rsidP="00B9590E">
      <w:pPr>
        <w:rPr>
          <w:bCs/>
        </w:rPr>
      </w:pPr>
    </w:p>
    <w:p w14:paraId="5A9208D9" w14:textId="77777777" w:rsidR="009A153F" w:rsidRDefault="009A153F" w:rsidP="00B9590E">
      <w:pPr>
        <w:rPr>
          <w:bCs/>
        </w:rPr>
      </w:pPr>
    </w:p>
    <w:p w14:paraId="2F6A5DE6" w14:textId="77777777" w:rsidR="009A153F" w:rsidRDefault="009A153F" w:rsidP="00B9590E">
      <w:pPr>
        <w:rPr>
          <w:bCs/>
        </w:rPr>
      </w:pPr>
    </w:p>
    <w:p w14:paraId="1EA11E11" w14:textId="77777777" w:rsidR="009A153F" w:rsidRDefault="009A153F" w:rsidP="00B9590E">
      <w:pPr>
        <w:rPr>
          <w:bCs/>
        </w:rPr>
      </w:pPr>
    </w:p>
    <w:p w14:paraId="260B4007" w14:textId="77777777" w:rsidR="0095062C" w:rsidRDefault="0095062C" w:rsidP="00B9590E">
      <w:pPr>
        <w:rPr>
          <w:bCs/>
        </w:rPr>
      </w:pPr>
    </w:p>
    <w:p w14:paraId="18A41BD2" w14:textId="77777777" w:rsidR="0095062C" w:rsidRDefault="0095062C" w:rsidP="00B9590E">
      <w:pPr>
        <w:rPr>
          <w:bCs/>
        </w:rPr>
      </w:pPr>
    </w:p>
    <w:p w14:paraId="6ACC0182" w14:textId="77777777" w:rsidR="0095062C" w:rsidRDefault="0095062C" w:rsidP="00B9590E">
      <w:pPr>
        <w:rPr>
          <w:bCs/>
        </w:rPr>
      </w:pPr>
    </w:p>
    <w:p w14:paraId="2F62B73D" w14:textId="77777777" w:rsidR="0095062C" w:rsidRDefault="0095062C" w:rsidP="00B9590E">
      <w:pPr>
        <w:rPr>
          <w:bCs/>
        </w:rPr>
      </w:pPr>
    </w:p>
    <w:p w14:paraId="791C5EEC" w14:textId="77777777" w:rsidR="009A153F" w:rsidRDefault="009A153F" w:rsidP="00B9590E">
      <w:pPr>
        <w:rPr>
          <w:bCs/>
        </w:rPr>
      </w:pPr>
    </w:p>
    <w:p w14:paraId="507273AD" w14:textId="77777777" w:rsidR="00B9590E" w:rsidRPr="00826C3F" w:rsidRDefault="006100EC" w:rsidP="00B9590E">
      <w:pPr>
        <w:rPr>
          <w:bCs/>
        </w:rPr>
      </w:pPr>
      <w:r w:rsidRPr="00826C3F">
        <w:rPr>
          <w:bCs/>
        </w:rPr>
        <w:lastRenderedPageBreak/>
        <w:t>LIST OF ATTACHMENTS</w:t>
      </w:r>
    </w:p>
    <w:p w14:paraId="51CC9C12" w14:textId="77777777" w:rsidR="00242A30" w:rsidRPr="00826C3F" w:rsidRDefault="00242A30" w:rsidP="00B9590E"/>
    <w:p w14:paraId="318C51C8" w14:textId="77777777" w:rsidR="00B9590E" w:rsidRPr="00826C3F" w:rsidRDefault="00B9590E" w:rsidP="00B9590E">
      <w:pPr>
        <w:tabs>
          <w:tab w:val="left" w:pos="720"/>
          <w:tab w:val="left" w:pos="1440"/>
          <w:tab w:val="left" w:pos="2160"/>
        </w:tabs>
        <w:ind w:left="2160" w:hanging="2160"/>
        <w:rPr>
          <w:b/>
        </w:rPr>
      </w:pPr>
      <w:r w:rsidRPr="00826C3F">
        <w:t>Attachment A:</w:t>
      </w:r>
      <w:r w:rsidRPr="00826C3F">
        <w:tab/>
        <w:t>Occupational Safety and Health Act [29CFR §</w:t>
      </w:r>
      <w:r w:rsidR="00811A71" w:rsidRPr="00826C3F">
        <w:t xml:space="preserve"> </w:t>
      </w:r>
      <w:r w:rsidRPr="00826C3F">
        <w:t>671]</w:t>
      </w:r>
    </w:p>
    <w:p w14:paraId="6F2A2711" w14:textId="77777777" w:rsidR="009E3D9F" w:rsidRDefault="00B9590E" w:rsidP="00B9590E">
      <w:pPr>
        <w:tabs>
          <w:tab w:val="left" w:pos="720"/>
          <w:tab w:val="left" w:pos="1440"/>
          <w:tab w:val="left" w:pos="2160"/>
        </w:tabs>
        <w:ind w:left="2160" w:hanging="2160"/>
      </w:pPr>
      <w:r w:rsidRPr="00826C3F">
        <w:t xml:space="preserve">Attachment B: </w:t>
      </w:r>
      <w:r w:rsidR="009E3D9F" w:rsidRPr="00826C3F">
        <w:t>60-Day Federal Register Notice</w:t>
      </w:r>
    </w:p>
    <w:p w14:paraId="3BF7523C" w14:textId="77777777" w:rsidR="009E3D9F" w:rsidRPr="00826C3F" w:rsidRDefault="00B9590E" w:rsidP="009E3D9F">
      <w:pPr>
        <w:tabs>
          <w:tab w:val="left" w:pos="720"/>
          <w:tab w:val="left" w:pos="1440"/>
          <w:tab w:val="left" w:pos="2160"/>
        </w:tabs>
        <w:ind w:left="2160" w:hanging="2160"/>
      </w:pPr>
      <w:r w:rsidRPr="00826C3F">
        <w:t xml:space="preserve">Attachment C: </w:t>
      </w:r>
      <w:r w:rsidR="009E3D9F" w:rsidRPr="00826C3F">
        <w:t>NIOSH Strategic Goals and Activities</w:t>
      </w:r>
    </w:p>
    <w:p w14:paraId="1A1A8EFB" w14:textId="77777777" w:rsidR="00811A71" w:rsidRPr="00826C3F" w:rsidRDefault="00811A71" w:rsidP="00B9590E">
      <w:pPr>
        <w:tabs>
          <w:tab w:val="left" w:pos="720"/>
          <w:tab w:val="left" w:pos="1440"/>
          <w:tab w:val="left" w:pos="2160"/>
        </w:tabs>
        <w:ind w:left="2160" w:hanging="2160"/>
      </w:pPr>
      <w:r w:rsidRPr="00826C3F">
        <w:t>Attachment</w:t>
      </w:r>
      <w:r w:rsidR="00B577B5" w:rsidRPr="00826C3F">
        <w:t xml:space="preserve"> </w:t>
      </w:r>
      <w:r w:rsidR="00EE626D" w:rsidRPr="00826C3F">
        <w:t>D</w:t>
      </w:r>
      <w:r w:rsidRPr="00826C3F">
        <w:t>:</w:t>
      </w:r>
      <w:r w:rsidR="00B577B5" w:rsidRPr="00826C3F">
        <w:t xml:space="preserve"> </w:t>
      </w:r>
      <w:r w:rsidR="001F11DB">
        <w:t>NIOSH – TEMA Memorandum of Understanding</w:t>
      </w:r>
    </w:p>
    <w:p w14:paraId="07EBFC18" w14:textId="77777777" w:rsidR="00811A71" w:rsidRPr="00826C3F" w:rsidRDefault="00811A71" w:rsidP="00B9590E">
      <w:pPr>
        <w:tabs>
          <w:tab w:val="left" w:pos="720"/>
          <w:tab w:val="left" w:pos="1440"/>
          <w:tab w:val="left" w:pos="2160"/>
        </w:tabs>
        <w:ind w:left="2160" w:hanging="2160"/>
      </w:pPr>
      <w:r w:rsidRPr="00826C3F">
        <w:t>Attachment</w:t>
      </w:r>
      <w:r w:rsidR="0000728B" w:rsidRPr="00826C3F">
        <w:t xml:space="preserve"> </w:t>
      </w:r>
      <w:r w:rsidR="00EE626D" w:rsidRPr="00826C3F">
        <w:t>E</w:t>
      </w:r>
      <w:r w:rsidRPr="00826C3F">
        <w:t>:</w:t>
      </w:r>
      <w:r w:rsidR="0000728B" w:rsidRPr="00826C3F">
        <w:t xml:space="preserve"> Information Security Plan</w:t>
      </w:r>
    </w:p>
    <w:p w14:paraId="0332CE15" w14:textId="77777777" w:rsidR="00811A71" w:rsidRPr="00826C3F" w:rsidRDefault="00811A71" w:rsidP="00B9590E">
      <w:pPr>
        <w:tabs>
          <w:tab w:val="left" w:pos="720"/>
          <w:tab w:val="left" w:pos="1440"/>
          <w:tab w:val="left" w:pos="2160"/>
        </w:tabs>
        <w:ind w:left="2160" w:hanging="2160"/>
      </w:pPr>
      <w:r w:rsidRPr="00826C3F">
        <w:t>Attachment</w:t>
      </w:r>
      <w:r w:rsidR="006504DE" w:rsidRPr="00826C3F">
        <w:t xml:space="preserve"> </w:t>
      </w:r>
      <w:r w:rsidR="009F129F">
        <w:t>F</w:t>
      </w:r>
      <w:r w:rsidRPr="00826C3F">
        <w:t>:</w:t>
      </w:r>
      <w:r w:rsidR="006504DE" w:rsidRPr="00826C3F">
        <w:t xml:space="preserve"> Informed Consent- Questionnaire Data Collection</w:t>
      </w:r>
    </w:p>
    <w:p w14:paraId="4F18B94B" w14:textId="77777777" w:rsidR="00F40D31" w:rsidRPr="00826C3F" w:rsidRDefault="00EE626D" w:rsidP="00F40D31">
      <w:pPr>
        <w:tabs>
          <w:tab w:val="left" w:pos="720"/>
          <w:tab w:val="left" w:pos="1440"/>
          <w:tab w:val="left" w:pos="2160"/>
        </w:tabs>
        <w:ind w:left="2160" w:hanging="2160"/>
      </w:pPr>
      <w:r w:rsidRPr="00826C3F">
        <w:t xml:space="preserve">Attachment G1: </w:t>
      </w:r>
      <w:r w:rsidR="00F40D31" w:rsidRPr="00826C3F">
        <w:t>Physical Activity Readiness Questionnaire (PAR-Q)</w:t>
      </w:r>
    </w:p>
    <w:p w14:paraId="02895EE6" w14:textId="77777777" w:rsidR="00F40D31" w:rsidRPr="00826C3F" w:rsidRDefault="00EE626D" w:rsidP="00F40D31">
      <w:pPr>
        <w:tabs>
          <w:tab w:val="left" w:pos="720"/>
          <w:tab w:val="left" w:pos="1440"/>
          <w:tab w:val="left" w:pos="2160"/>
        </w:tabs>
        <w:ind w:left="2160" w:hanging="2160"/>
      </w:pPr>
      <w:r w:rsidRPr="00826C3F">
        <w:t xml:space="preserve">Attachment G2: </w:t>
      </w:r>
      <w:r w:rsidR="00F40D31" w:rsidRPr="00826C3F">
        <w:t>Shoulder Rating Questionnaire (SRQ)</w:t>
      </w:r>
    </w:p>
    <w:p w14:paraId="6B0A5034" w14:textId="77777777" w:rsidR="00F40D31" w:rsidRPr="00826C3F" w:rsidRDefault="00EE626D" w:rsidP="00F40D31">
      <w:pPr>
        <w:tabs>
          <w:tab w:val="left" w:pos="720"/>
          <w:tab w:val="left" w:pos="1440"/>
          <w:tab w:val="left" w:pos="2160"/>
        </w:tabs>
        <w:ind w:left="2160" w:hanging="2160"/>
      </w:pPr>
      <w:r w:rsidRPr="00826C3F">
        <w:t xml:space="preserve">Attachment G3: </w:t>
      </w:r>
      <w:r w:rsidR="00F40D31" w:rsidRPr="00826C3F">
        <w:t>Disabilities of the Arm Shoulder and Hand (DASH) Questionnaire</w:t>
      </w:r>
    </w:p>
    <w:p w14:paraId="05B3D302" w14:textId="77777777" w:rsidR="00EE626D" w:rsidRPr="00826C3F" w:rsidRDefault="00EE626D" w:rsidP="00EE626D">
      <w:pPr>
        <w:tabs>
          <w:tab w:val="left" w:pos="720"/>
          <w:tab w:val="left" w:pos="1440"/>
          <w:tab w:val="left" w:pos="2160"/>
        </w:tabs>
        <w:ind w:left="2160" w:hanging="2160"/>
      </w:pPr>
      <w:r w:rsidRPr="00826C3F">
        <w:t xml:space="preserve">Attachment G4: </w:t>
      </w:r>
      <w:r w:rsidR="00F40D31" w:rsidRPr="00826C3F">
        <w:t>Standardized Nordic Questionnaire for Musculoskeletal Symptoms Instrument</w:t>
      </w:r>
    </w:p>
    <w:p w14:paraId="5EB29E5C" w14:textId="77777777" w:rsidR="00F40D31" w:rsidRPr="00826C3F" w:rsidRDefault="00EE626D" w:rsidP="00F40D31">
      <w:pPr>
        <w:tabs>
          <w:tab w:val="left" w:pos="720"/>
          <w:tab w:val="left" w:pos="1440"/>
          <w:tab w:val="left" w:pos="2160"/>
        </w:tabs>
        <w:ind w:left="2160" w:hanging="2160"/>
      </w:pPr>
      <w:r w:rsidRPr="00826C3F">
        <w:t xml:space="preserve">Attachment G5: </w:t>
      </w:r>
      <w:r w:rsidR="00F40D31" w:rsidRPr="00826C3F">
        <w:t>Work Organization Questionnaire</w:t>
      </w:r>
    </w:p>
    <w:p w14:paraId="057216D4" w14:textId="77777777" w:rsidR="00811A71" w:rsidRPr="00826C3F" w:rsidRDefault="00811A71" w:rsidP="00B9590E">
      <w:pPr>
        <w:tabs>
          <w:tab w:val="left" w:pos="720"/>
          <w:tab w:val="left" w:pos="1440"/>
          <w:tab w:val="left" w:pos="2160"/>
        </w:tabs>
        <w:ind w:left="2160" w:hanging="2160"/>
      </w:pPr>
      <w:r w:rsidRPr="00826C3F">
        <w:t xml:space="preserve">Attachment </w:t>
      </w:r>
      <w:r w:rsidR="00EE626D" w:rsidRPr="00826C3F">
        <w:t>H</w:t>
      </w:r>
      <w:r w:rsidRPr="00826C3F">
        <w:t>:</w:t>
      </w:r>
      <w:r w:rsidR="006504DE" w:rsidRPr="00826C3F">
        <w:t xml:space="preserve"> </w:t>
      </w:r>
      <w:r w:rsidR="004A30AE" w:rsidRPr="00826C3F">
        <w:t>Consent of Photographic Image Release</w:t>
      </w:r>
    </w:p>
    <w:p w14:paraId="04E2699C" w14:textId="77777777" w:rsidR="00A51C4E" w:rsidRPr="00826C3F" w:rsidRDefault="00A51C4E" w:rsidP="00A51C4E">
      <w:pPr>
        <w:tabs>
          <w:tab w:val="left" w:pos="720"/>
          <w:tab w:val="left" w:pos="1440"/>
          <w:tab w:val="left" w:pos="2160"/>
        </w:tabs>
        <w:ind w:left="2160" w:hanging="2160"/>
      </w:pPr>
      <w:r w:rsidRPr="00826C3F">
        <w:t xml:space="preserve">Attachment </w:t>
      </w:r>
      <w:r w:rsidR="00F40D31" w:rsidRPr="00826C3F">
        <w:t>I</w:t>
      </w:r>
      <w:r w:rsidRPr="00826C3F">
        <w:t>:</w:t>
      </w:r>
      <w:r w:rsidR="00041A17" w:rsidRPr="00826C3F">
        <w:t xml:space="preserve"> Individual Recruitment Flyer</w:t>
      </w:r>
    </w:p>
    <w:p w14:paraId="7CFA27B0" w14:textId="77777777" w:rsidR="00A51C4E" w:rsidRPr="00826C3F" w:rsidRDefault="00A51C4E" w:rsidP="00A51C4E">
      <w:pPr>
        <w:tabs>
          <w:tab w:val="left" w:pos="720"/>
          <w:tab w:val="left" w:pos="1440"/>
          <w:tab w:val="left" w:pos="2160"/>
        </w:tabs>
        <w:ind w:left="2160" w:hanging="2160"/>
      </w:pPr>
      <w:r w:rsidRPr="00826C3F">
        <w:t xml:space="preserve">Attachment </w:t>
      </w:r>
      <w:r w:rsidR="00F40D31" w:rsidRPr="00826C3F">
        <w:t>J</w:t>
      </w:r>
      <w:r w:rsidRPr="00826C3F">
        <w:t>:</w:t>
      </w:r>
      <w:r w:rsidR="00041A17" w:rsidRPr="00826C3F">
        <w:t xml:space="preserve"> IRB approval for Data Collection</w:t>
      </w:r>
    </w:p>
    <w:p w14:paraId="23D1769D" w14:textId="77777777" w:rsidR="00A51C4E" w:rsidRPr="00826C3F" w:rsidRDefault="00A51C4E" w:rsidP="00A51C4E">
      <w:pPr>
        <w:tabs>
          <w:tab w:val="left" w:pos="720"/>
          <w:tab w:val="left" w:pos="1440"/>
          <w:tab w:val="left" w:pos="2160"/>
        </w:tabs>
        <w:ind w:left="2160" w:hanging="2160"/>
      </w:pPr>
      <w:r w:rsidRPr="00826C3F">
        <w:t xml:space="preserve">Attachment </w:t>
      </w:r>
      <w:r w:rsidR="00882B32" w:rsidRPr="00826C3F">
        <w:t>K</w:t>
      </w:r>
      <w:r w:rsidRPr="00826C3F">
        <w:t>:</w:t>
      </w:r>
      <w:r w:rsidR="00041A17" w:rsidRPr="00826C3F">
        <w:t xml:space="preserve"> Details of Interventions</w:t>
      </w:r>
    </w:p>
    <w:p w14:paraId="35C01943" w14:textId="77777777" w:rsidR="00041A17" w:rsidRPr="00826C3F" w:rsidRDefault="00041A17" w:rsidP="00A51C4E">
      <w:pPr>
        <w:tabs>
          <w:tab w:val="left" w:pos="720"/>
          <w:tab w:val="left" w:pos="1440"/>
          <w:tab w:val="left" w:pos="2160"/>
        </w:tabs>
        <w:ind w:left="2160" w:hanging="2160"/>
      </w:pPr>
      <w:r w:rsidRPr="00826C3F">
        <w:t>Attachment L:</w:t>
      </w:r>
      <w:r w:rsidR="00242A30" w:rsidRPr="00826C3F">
        <w:t xml:space="preserve"> Framing a Cost Benefit Analyses</w:t>
      </w:r>
    </w:p>
    <w:p w14:paraId="2595E9F8" w14:textId="77777777" w:rsidR="00041A17" w:rsidRDefault="00041A17" w:rsidP="00A51C4E">
      <w:pPr>
        <w:tabs>
          <w:tab w:val="left" w:pos="720"/>
          <w:tab w:val="left" w:pos="1440"/>
          <w:tab w:val="left" w:pos="2160"/>
        </w:tabs>
        <w:ind w:left="2160" w:hanging="2160"/>
      </w:pPr>
    </w:p>
    <w:p w14:paraId="033DA5A4" w14:textId="77777777" w:rsidR="00A51C4E" w:rsidRDefault="00A51C4E" w:rsidP="00B9590E">
      <w:pPr>
        <w:tabs>
          <w:tab w:val="left" w:pos="720"/>
          <w:tab w:val="left" w:pos="1440"/>
          <w:tab w:val="left" w:pos="2160"/>
        </w:tabs>
        <w:ind w:left="2160" w:hanging="2160"/>
      </w:pPr>
    </w:p>
    <w:p w14:paraId="6F08302F" w14:textId="77777777" w:rsidR="00B9590E" w:rsidRPr="00F81BA5" w:rsidRDefault="00B9590E" w:rsidP="009E3D9F">
      <w:pPr>
        <w:tabs>
          <w:tab w:val="left" w:pos="720"/>
          <w:tab w:val="left" w:pos="1440"/>
          <w:tab w:val="left" w:pos="2160"/>
        </w:tabs>
        <w:ind w:left="2160" w:hanging="2160"/>
        <w:rPr>
          <w:bCs/>
        </w:rPr>
      </w:pPr>
      <w:r>
        <w:tab/>
      </w:r>
    </w:p>
    <w:p w14:paraId="282D7057" w14:textId="77777777" w:rsidR="0038553A" w:rsidRPr="00F81BA5" w:rsidRDefault="0038553A" w:rsidP="0038553A">
      <w:pPr>
        <w:rPr>
          <w:bCs/>
        </w:rPr>
      </w:pPr>
    </w:p>
    <w:p w14:paraId="723B8E59" w14:textId="77777777" w:rsidR="0038553A" w:rsidRPr="00F81BA5" w:rsidRDefault="0038553A" w:rsidP="0038553A">
      <w:pPr>
        <w:tabs>
          <w:tab w:val="left" w:pos="720"/>
          <w:tab w:val="left" w:pos="1440"/>
          <w:tab w:val="left" w:pos="2160"/>
        </w:tabs>
        <w:ind w:left="2160" w:hanging="2160"/>
      </w:pPr>
    </w:p>
    <w:p w14:paraId="71D0D6E1" w14:textId="77777777" w:rsidR="0038553A" w:rsidRPr="00F81BA5" w:rsidRDefault="0038553A" w:rsidP="0038553A">
      <w:pPr>
        <w:tabs>
          <w:tab w:val="left" w:pos="720"/>
          <w:tab w:val="left" w:pos="1440"/>
          <w:tab w:val="left" w:pos="2160"/>
        </w:tabs>
        <w:ind w:left="2160" w:hanging="2160"/>
      </w:pPr>
    </w:p>
    <w:p w14:paraId="73D05AF7" w14:textId="77777777" w:rsidR="0038553A" w:rsidRPr="00F81BA5" w:rsidRDefault="00691A38" w:rsidP="0038553A">
      <w:pPr>
        <w:tabs>
          <w:tab w:val="left" w:pos="720"/>
          <w:tab w:val="left" w:pos="1440"/>
          <w:tab w:val="left" w:pos="2160"/>
        </w:tabs>
        <w:ind w:left="2160" w:hanging="2160"/>
        <w:rPr>
          <w:bCs/>
        </w:rPr>
        <w:sectPr w:rsidR="0038553A" w:rsidRPr="00F81BA5" w:rsidSect="0038553A">
          <w:footerReference w:type="even" r:id="rId8"/>
          <w:footerReference w:type="default" r:id="rId9"/>
          <w:pgSz w:w="12240" w:h="15840"/>
          <w:pgMar w:top="1440" w:right="1800" w:bottom="1440" w:left="1800" w:header="720" w:footer="720" w:gutter="0"/>
          <w:cols w:space="720"/>
          <w:docGrid w:linePitch="360"/>
        </w:sectPr>
      </w:pPr>
      <w:r w:rsidRPr="00F81BA5">
        <w:br w:type="page"/>
      </w:r>
    </w:p>
    <w:p w14:paraId="7BA51A65" w14:textId="77777777" w:rsidR="00366DE6" w:rsidRDefault="00366DE6" w:rsidP="00FE6EB1">
      <w:pPr>
        <w:jc w:val="center"/>
        <w:rPr>
          <w:b/>
          <w:sz w:val="32"/>
          <w:szCs w:val="32"/>
        </w:rPr>
      </w:pPr>
    </w:p>
    <w:p w14:paraId="07F29D24" w14:textId="0452B3BF" w:rsidR="00366DE6" w:rsidRDefault="00366DE6" w:rsidP="00FE6EB1">
      <w:pPr>
        <w:jc w:val="center"/>
        <w:rPr>
          <w:b/>
          <w:sz w:val="32"/>
          <w:szCs w:val="32"/>
        </w:rPr>
      </w:pPr>
      <w:r>
        <w:rPr>
          <w:b/>
          <w:noProof/>
          <w:sz w:val="32"/>
          <w:szCs w:val="32"/>
        </w:rPr>
        <w:drawing>
          <wp:inline distT="0" distB="0" distL="0" distR="0" wp14:anchorId="515B7BA8" wp14:editId="0B0CC79E">
            <wp:extent cx="6176010" cy="2822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76010" cy="2822575"/>
                    </a:xfrm>
                    <a:prstGeom prst="rect">
                      <a:avLst/>
                    </a:prstGeom>
                    <a:noFill/>
                  </pic:spPr>
                </pic:pic>
              </a:graphicData>
            </a:graphic>
          </wp:inline>
        </w:drawing>
      </w:r>
    </w:p>
    <w:p w14:paraId="018318B7" w14:textId="77777777" w:rsidR="00366DE6" w:rsidRDefault="00366DE6" w:rsidP="00FE6EB1">
      <w:pPr>
        <w:jc w:val="center"/>
        <w:rPr>
          <w:b/>
          <w:sz w:val="32"/>
          <w:szCs w:val="32"/>
        </w:rPr>
      </w:pPr>
    </w:p>
    <w:p w14:paraId="1B3E9EDC" w14:textId="77777777" w:rsidR="0038553A" w:rsidRDefault="00FE6EB1" w:rsidP="00366DE6">
      <w:pPr>
        <w:ind w:left="1440" w:firstLine="720"/>
        <w:rPr>
          <w:b/>
          <w:sz w:val="32"/>
          <w:szCs w:val="32"/>
        </w:rPr>
      </w:pPr>
      <w:r w:rsidRPr="00FE6EB1">
        <w:rPr>
          <w:b/>
          <w:sz w:val="32"/>
          <w:szCs w:val="32"/>
        </w:rPr>
        <w:t>SECTION A. JUSTIFICATION</w:t>
      </w:r>
    </w:p>
    <w:p w14:paraId="4C610B67" w14:textId="77777777" w:rsidR="00FE6EB1" w:rsidRPr="00FE6EB1" w:rsidRDefault="00FE6EB1" w:rsidP="00FE6EB1">
      <w:pPr>
        <w:jc w:val="center"/>
        <w:rPr>
          <w:b/>
          <w:sz w:val="32"/>
          <w:szCs w:val="32"/>
        </w:rPr>
      </w:pPr>
    </w:p>
    <w:p w14:paraId="41FF5213" w14:textId="77777777" w:rsidR="0038553A" w:rsidRPr="00F22A4F" w:rsidRDefault="0038553A" w:rsidP="0038553A">
      <w:pPr>
        <w:pStyle w:val="Heading2"/>
        <w:rPr>
          <w:b w:val="0"/>
        </w:rPr>
      </w:pPr>
      <w:bookmarkStart w:id="0" w:name="_Toc239826773"/>
      <w:bookmarkStart w:id="1" w:name="_Toc248821740"/>
      <w:bookmarkStart w:id="2" w:name="_Toc261966284"/>
      <w:r w:rsidRPr="00F22A4F">
        <w:rPr>
          <w:b w:val="0"/>
        </w:rPr>
        <w:t>A1.</w:t>
      </w:r>
      <w:r w:rsidRPr="00F22A4F">
        <w:rPr>
          <w:b w:val="0"/>
        </w:rPr>
        <w:tab/>
        <w:t>Circumstances Making the Collection of Information Necessary</w:t>
      </w:r>
      <w:bookmarkEnd w:id="0"/>
      <w:bookmarkEnd w:id="1"/>
      <w:bookmarkEnd w:id="2"/>
    </w:p>
    <w:p w14:paraId="7AFC6CB4" w14:textId="77777777" w:rsidR="0038553A" w:rsidRPr="00F22A4F" w:rsidRDefault="0038553A" w:rsidP="0038553A">
      <w:pPr>
        <w:pStyle w:val="Heading3"/>
        <w:rPr>
          <w:sz w:val="24"/>
          <w:szCs w:val="24"/>
          <w:u w:val="none"/>
        </w:rPr>
      </w:pPr>
      <w:bookmarkStart w:id="3" w:name="_Toc248224215"/>
      <w:r w:rsidRPr="00F22A4F">
        <w:rPr>
          <w:sz w:val="24"/>
          <w:szCs w:val="24"/>
          <w:u w:val="none"/>
        </w:rPr>
        <w:t>Background</w:t>
      </w:r>
      <w:bookmarkEnd w:id="3"/>
    </w:p>
    <w:p w14:paraId="40E3325F" w14:textId="77777777" w:rsidR="0038553A" w:rsidRPr="00F81BA5" w:rsidRDefault="0038553A" w:rsidP="0038553A"/>
    <w:p w14:paraId="67103F73" w14:textId="3E6C5384" w:rsidR="00137A2C" w:rsidRDefault="0038553A" w:rsidP="0038553A">
      <w:r w:rsidRPr="00F81BA5">
        <w:t xml:space="preserve">This </w:t>
      </w:r>
      <w:r w:rsidRPr="00247D2E">
        <w:t xml:space="preserve">is a </w:t>
      </w:r>
      <w:r w:rsidR="00CD30C7">
        <w:t>reinstatement</w:t>
      </w:r>
      <w:r w:rsidR="00B350F8">
        <w:t xml:space="preserve"> requesting two years of approval</w:t>
      </w:r>
      <w:r w:rsidR="00CD30C7">
        <w:t xml:space="preserve"> to an </w:t>
      </w:r>
      <w:r w:rsidRPr="00247D2E">
        <w:t xml:space="preserve">information collection request </w:t>
      </w:r>
      <w:r w:rsidR="0053489A" w:rsidRPr="00247D2E">
        <w:t xml:space="preserve">(ICR) </w:t>
      </w:r>
      <w:r w:rsidRPr="00247D2E">
        <w:t>from the National Institute for Occupational Safety and Health (NIOSH), Centers for Disease Control and Prevention</w:t>
      </w:r>
      <w:r w:rsidR="005918EE" w:rsidRPr="00247D2E">
        <w:t xml:space="preserve"> (CDC)</w:t>
      </w:r>
      <w:r w:rsidRPr="00247D2E">
        <w:t xml:space="preserve">. </w:t>
      </w:r>
      <w:r w:rsidR="00137A2C" w:rsidRPr="00247D2E">
        <w:t>This data collection is authorized by Section 20(a) (1) of the Occupational Safety and Health Act (29 U.S.C. 669</w:t>
      </w:r>
      <w:r w:rsidR="00137A2C" w:rsidRPr="002651B9">
        <w:t xml:space="preserve">) (Attachment </w:t>
      </w:r>
      <w:r w:rsidR="00CF2129" w:rsidRPr="002651B9">
        <w:t>A</w:t>
      </w:r>
      <w:r w:rsidR="00137A2C" w:rsidRPr="002651B9">
        <w:t>).</w:t>
      </w:r>
      <w:r w:rsidR="00725031" w:rsidRPr="00247D2E">
        <w:t xml:space="preserve"> </w:t>
      </w:r>
      <w:r w:rsidR="00B350F8">
        <w:t>The original ICR (0920-0964) expired on April 30, 2015.</w:t>
      </w:r>
      <w:r w:rsidR="00D7404A" w:rsidRPr="00D7404A">
        <w:t xml:space="preserve"> </w:t>
      </w:r>
    </w:p>
    <w:p w14:paraId="755F0FEB" w14:textId="77777777" w:rsidR="00966565" w:rsidRPr="00247D2E" w:rsidRDefault="00966565" w:rsidP="0038553A"/>
    <w:p w14:paraId="5AF28ED9" w14:textId="77777777" w:rsidR="00FD162D" w:rsidRDefault="0038553A" w:rsidP="0038553A">
      <w:r w:rsidRPr="00F81BA5">
        <w:t>The proposed information collection will address the need</w:t>
      </w:r>
      <w:r w:rsidR="00725031">
        <w:t xml:space="preserve"> to</w:t>
      </w:r>
      <w:r w:rsidR="00725031" w:rsidRPr="00A06BB8">
        <w:rPr>
          <w:rFonts w:eastAsia="MS Mincho"/>
          <w:lang w:eastAsia="ja-JP"/>
        </w:rPr>
        <w:t xml:space="preserve"> assess the effectiveness and cost</w:t>
      </w:r>
      <w:r w:rsidR="00725031">
        <w:rPr>
          <w:rFonts w:eastAsia="MS Mincho"/>
          <w:lang w:eastAsia="ja-JP"/>
        </w:rPr>
        <w:t>-</w:t>
      </w:r>
      <w:r w:rsidR="00725031" w:rsidRPr="00A06BB8">
        <w:rPr>
          <w:rFonts w:eastAsia="MS Mincho"/>
          <w:lang w:eastAsia="ja-JP"/>
        </w:rPr>
        <w:t xml:space="preserve">benefit of </w:t>
      </w:r>
      <w:r w:rsidR="00725031">
        <w:rPr>
          <w:rFonts w:eastAsia="MS Mincho"/>
          <w:lang w:eastAsia="ja-JP"/>
        </w:rPr>
        <w:t>occupational safety and health (</w:t>
      </w:r>
      <w:r w:rsidR="00725031" w:rsidRPr="00A06BB8">
        <w:rPr>
          <w:rFonts w:eastAsia="MS Mincho"/>
          <w:lang w:eastAsia="ja-JP"/>
        </w:rPr>
        <w:t>OSH</w:t>
      </w:r>
      <w:r w:rsidR="00725031">
        <w:rPr>
          <w:rFonts w:eastAsia="MS Mincho"/>
          <w:lang w:eastAsia="ja-JP"/>
        </w:rPr>
        <w:t xml:space="preserve">) interventions for musculoskeletal disorders </w:t>
      </w:r>
      <w:r w:rsidR="00FD162D">
        <w:rPr>
          <w:rFonts w:eastAsia="MS Mincho"/>
          <w:lang w:eastAsia="ja-JP"/>
        </w:rPr>
        <w:t xml:space="preserve">(MSDs) </w:t>
      </w:r>
      <w:r w:rsidR="00BD1450">
        <w:rPr>
          <w:rFonts w:eastAsia="MS Mincho"/>
          <w:lang w:eastAsia="ja-JP"/>
        </w:rPr>
        <w:t>among</w:t>
      </w:r>
      <w:r w:rsidR="00FD162D">
        <w:rPr>
          <w:rFonts w:eastAsia="MS Mincho"/>
          <w:lang w:eastAsia="ja-JP"/>
        </w:rPr>
        <w:t xml:space="preserve"> </w:t>
      </w:r>
      <w:r w:rsidR="00725031">
        <w:rPr>
          <w:rFonts w:eastAsia="MS Mincho"/>
          <w:lang w:eastAsia="ja-JP"/>
        </w:rPr>
        <w:t>workers</w:t>
      </w:r>
      <w:r w:rsidR="00C1581B">
        <w:rPr>
          <w:rFonts w:eastAsia="MS Mincho"/>
          <w:lang w:eastAsia="ja-JP"/>
        </w:rPr>
        <w:t xml:space="preserve"> in the Manufacturing (MNF) </w:t>
      </w:r>
      <w:r w:rsidR="00BD1450">
        <w:rPr>
          <w:rFonts w:eastAsia="MS Mincho"/>
          <w:lang w:eastAsia="ja-JP"/>
        </w:rPr>
        <w:t>sector</w:t>
      </w:r>
      <w:r w:rsidR="00725031">
        <w:t xml:space="preserve">. </w:t>
      </w:r>
      <w:r w:rsidR="00304325">
        <w:t>This need is</w:t>
      </w:r>
      <w:r w:rsidR="005918EE">
        <w:t xml:space="preserve"> expressed </w:t>
      </w:r>
      <w:r w:rsidR="00304325">
        <w:t xml:space="preserve">in a number of </w:t>
      </w:r>
      <w:r w:rsidRPr="00F81BA5">
        <w:t>NIOSH Strategic Goal</w:t>
      </w:r>
      <w:r w:rsidR="00304325">
        <w:t xml:space="preserve">s </w:t>
      </w:r>
      <w:r w:rsidRPr="002651B9">
        <w:t xml:space="preserve">(Attachment </w:t>
      </w:r>
      <w:r w:rsidR="00CF2129" w:rsidRPr="002651B9">
        <w:t>C</w:t>
      </w:r>
      <w:r w:rsidR="00304325" w:rsidRPr="002651B9">
        <w:t>).</w:t>
      </w:r>
      <w:r w:rsidR="00FD162D">
        <w:t xml:space="preserve"> </w:t>
      </w:r>
      <w:r w:rsidRPr="00F81BA5">
        <w:t xml:space="preserve">This study will provide current important information on </w:t>
      </w:r>
      <w:r w:rsidR="00C1581B">
        <w:t>prevention of injury among</w:t>
      </w:r>
      <w:r w:rsidRPr="00F81BA5">
        <w:t xml:space="preserve"> </w:t>
      </w:r>
      <w:r w:rsidR="00BD1450">
        <w:t>MNF</w:t>
      </w:r>
      <w:r w:rsidR="00FD162D">
        <w:t xml:space="preserve"> workers</w:t>
      </w:r>
      <w:r w:rsidRPr="00F81BA5">
        <w:t xml:space="preserve"> that is not available elsewhere. </w:t>
      </w:r>
      <w:r w:rsidR="00DE6E1A">
        <w:rPr>
          <w:rFonts w:eastAsia="MS Mincho"/>
          <w:lang w:eastAsia="ja-JP"/>
        </w:rPr>
        <w:t xml:space="preserve">This project is part of </w:t>
      </w:r>
      <w:r w:rsidR="00440224">
        <w:rPr>
          <w:rFonts w:eastAsia="MS Mincho"/>
          <w:lang w:eastAsia="ja-JP"/>
        </w:rPr>
        <w:t>the mission of CDC-NIOSH to conduct rigorous scientific intervention effectiveness research to support the evidenced</w:t>
      </w:r>
      <w:r w:rsidR="005215AC">
        <w:rPr>
          <w:rFonts w:eastAsia="MS Mincho"/>
          <w:lang w:eastAsia="ja-JP"/>
        </w:rPr>
        <w:t xml:space="preserve"> </w:t>
      </w:r>
      <w:r w:rsidR="00440224">
        <w:rPr>
          <w:rFonts w:eastAsia="MS Mincho"/>
          <w:lang w:eastAsia="ja-JP"/>
        </w:rPr>
        <w:t>based prevention of occupational injuries and illnesses.</w:t>
      </w:r>
    </w:p>
    <w:p w14:paraId="265F0B00" w14:textId="77777777" w:rsidR="00FD162D" w:rsidRDefault="00FD162D" w:rsidP="0038553A"/>
    <w:p w14:paraId="2735D59E" w14:textId="77777777" w:rsidR="00FD162D" w:rsidRDefault="00FD162D" w:rsidP="007255FD">
      <w:r w:rsidRPr="00A06BB8">
        <w:t xml:space="preserve">MSDs currently account </w:t>
      </w:r>
      <w:r w:rsidRPr="0053489A">
        <w:t xml:space="preserve">for approximately </w:t>
      </w:r>
      <w:r w:rsidR="00957D98">
        <w:t>28</w:t>
      </w:r>
      <w:r w:rsidRPr="0053489A">
        <w:t xml:space="preserve">% of the total non-fatal injuries and </w:t>
      </w:r>
      <w:r w:rsidRPr="00957D98">
        <w:t xml:space="preserve">illnesses </w:t>
      </w:r>
      <w:r w:rsidR="00957D98" w:rsidRPr="00957D98">
        <w:t xml:space="preserve">with days away from work or restricted duty (DAW) </w:t>
      </w:r>
      <w:r w:rsidRPr="00957D98">
        <w:t xml:space="preserve">in private industry (BLS, </w:t>
      </w:r>
      <w:r w:rsidR="00957D98" w:rsidRPr="00957D98">
        <w:t>2010</w:t>
      </w:r>
      <w:r w:rsidRPr="00957D98">
        <w:t>).</w:t>
      </w:r>
      <w:r w:rsidRPr="0053489A">
        <w:t xml:space="preserve">  Liberty Mutual has estimated direct workers’ compensation costs to industry in the US in 200</w:t>
      </w:r>
      <w:r w:rsidR="00957D98">
        <w:t>8</w:t>
      </w:r>
      <w:r w:rsidRPr="0053489A">
        <w:t xml:space="preserve"> to be $5</w:t>
      </w:r>
      <w:r w:rsidR="00957D98">
        <w:t>3.4</w:t>
      </w:r>
      <w:r w:rsidRPr="0053489A">
        <w:t xml:space="preserve"> billion (up from $</w:t>
      </w:r>
      <w:r w:rsidR="00957D98">
        <w:t>48.6B in</w:t>
      </w:r>
      <w:r w:rsidRPr="0053489A">
        <w:t xml:space="preserve"> 2006), with $1</w:t>
      </w:r>
      <w:r w:rsidR="00957D98">
        <w:t>5.2</w:t>
      </w:r>
      <w:r w:rsidRPr="0053489A">
        <w:t xml:space="preserve"> billion </w:t>
      </w:r>
      <w:r w:rsidR="00957D98">
        <w:t xml:space="preserve">(28%) </w:t>
      </w:r>
      <w:r w:rsidRPr="0053489A">
        <w:lastRenderedPageBreak/>
        <w:t>attributed to MSDs ($1</w:t>
      </w:r>
      <w:r w:rsidR="00957D98">
        <w:t>3.4</w:t>
      </w:r>
      <w:r w:rsidRPr="0053489A">
        <w:t>B overexertion, $</w:t>
      </w:r>
      <w:r w:rsidR="00957D98">
        <w:t>1.8</w:t>
      </w:r>
      <w:r w:rsidRPr="0053489A">
        <w:t>B repetitive motion) (Liberty Mutual 20</w:t>
      </w:r>
      <w:r w:rsidR="00957D98">
        <w:t>10</w:t>
      </w:r>
      <w:r w:rsidRPr="0053489A">
        <w:t xml:space="preserve"> Safety Index). </w:t>
      </w:r>
    </w:p>
    <w:p w14:paraId="5750E756" w14:textId="77777777" w:rsidR="005952AA" w:rsidRDefault="005952AA" w:rsidP="007255FD"/>
    <w:p w14:paraId="55C7BF62" w14:textId="77777777" w:rsidR="002B5001" w:rsidRDefault="002B5001" w:rsidP="002B5001">
      <w:r w:rsidRPr="002B5001">
        <w:t xml:space="preserve">Musculoskeletal disorders (MSDs) continue to represent a major proportion of injury/ illness incidence and cost in the U.S. Manufacturing (MNF) sector. In 2008, 29% of non-fatal injuries and illnesses involving days away from work (DAW) in the MNF sector involved MSDs and the MNF sector had some of the highest rates of MSD DAW cases. The sub-sector for motor vehicle manufacturing (3361) was among the highest of MNF sub sectors, with MSD DAW rates that were on average 96% higher than the general manufacturing MSD DAW rates from 2003-2007.  In automotive manufacturing overhead conveyance of the vehicle chassis is a common practice and requires line employees to handle tools for prolonged periods with elevated arm postures.  These postures are believed to be associated with symptoms of upper limb discomfort, fatigue, and impingement syndromes (Fischer et al., 2007).  Overhead working posture, independent of the force or load exerted with the hands, may play a large role in the development in these conditions.  However, recent work suggests a more significant role of localized shoulder muscle fatigue in contributing to these disorders.  </w:t>
      </w:r>
    </w:p>
    <w:p w14:paraId="6B05F714" w14:textId="77777777" w:rsidR="002D6084" w:rsidRPr="002B5001" w:rsidRDefault="002D6084" w:rsidP="002B5001"/>
    <w:p w14:paraId="5EE4AA5B" w14:textId="77777777" w:rsidR="0038553A" w:rsidRDefault="0038553A" w:rsidP="0038553A">
      <w:pPr>
        <w:pStyle w:val="Heading2"/>
        <w:rPr>
          <w:b w:val="0"/>
        </w:rPr>
      </w:pPr>
      <w:bookmarkStart w:id="4" w:name="_Toc239826774"/>
      <w:bookmarkStart w:id="5" w:name="_Toc248821741"/>
      <w:bookmarkStart w:id="6" w:name="_Toc261966285"/>
      <w:r w:rsidRPr="008B1340">
        <w:rPr>
          <w:b w:val="0"/>
        </w:rPr>
        <w:t>A2.</w:t>
      </w:r>
      <w:r w:rsidRPr="008B1340">
        <w:rPr>
          <w:b w:val="0"/>
        </w:rPr>
        <w:tab/>
        <w:t>Purpose and Use of Information Collection</w:t>
      </w:r>
      <w:bookmarkEnd w:id="4"/>
      <w:bookmarkEnd w:id="5"/>
      <w:bookmarkEnd w:id="6"/>
    </w:p>
    <w:p w14:paraId="5CCCB9A8" w14:textId="77777777" w:rsidR="00D7404A" w:rsidRDefault="00D7404A" w:rsidP="00D7404A">
      <w:pPr>
        <w:rPr>
          <w:lang w:eastAsia="ja-JP"/>
        </w:rPr>
      </w:pPr>
    </w:p>
    <w:p w14:paraId="34FB3F8B" w14:textId="07BF8F9B" w:rsidR="00D7404A" w:rsidRPr="00D7404A" w:rsidRDefault="00D7404A" w:rsidP="00D7404A">
      <w:pPr>
        <w:rPr>
          <w:lang w:eastAsia="ja-JP"/>
        </w:rPr>
      </w:pPr>
      <w:r w:rsidRPr="00D7404A">
        <w:rPr>
          <w:lang w:eastAsia="ja-JP"/>
        </w:rPr>
        <w:t>This reinstatement is necessary because there were significant delays in implementing the tooling intervention in the intended work processes.  These delays were to a large degree due to business conditions and were outside of the control of the investigators.  As a result, the study achieved approximately 50% of the original sample size approved by OMB in the original ICR request.  The reinstatement is necessary to extend the duration of the ICR so that additional participants can be enrolled and data collection can be continued.</w:t>
      </w:r>
    </w:p>
    <w:p w14:paraId="05685B13" w14:textId="77777777" w:rsidR="003465EE" w:rsidRDefault="003465EE" w:rsidP="003465EE">
      <w:pPr>
        <w:rPr>
          <w:lang w:eastAsia="ja-JP"/>
        </w:rPr>
      </w:pPr>
    </w:p>
    <w:p w14:paraId="5A01F255" w14:textId="77777777" w:rsidR="003465EE" w:rsidRDefault="003465EE" w:rsidP="003465EE">
      <w:r w:rsidRPr="00835E35">
        <w:t xml:space="preserve">All information </w:t>
      </w:r>
      <w:r>
        <w:t xml:space="preserve">collected </w:t>
      </w:r>
      <w:r w:rsidRPr="00835E35">
        <w:t xml:space="preserve">will be used </w:t>
      </w:r>
      <w:r w:rsidR="00D22AB4">
        <w:t>to</w:t>
      </w:r>
      <w:r w:rsidRPr="00835E35">
        <w:t xml:space="preserve"> determine </w:t>
      </w:r>
      <w:r w:rsidR="0039606F">
        <w:t xml:space="preserve">the efficacy of </w:t>
      </w:r>
      <w:r w:rsidR="009F2BDC">
        <w:t xml:space="preserve">two </w:t>
      </w:r>
      <w:r w:rsidR="0050321A">
        <w:t>workplace</w:t>
      </w:r>
      <w:r w:rsidR="00A51B40">
        <w:t xml:space="preserve"> interventions </w:t>
      </w:r>
      <w:r w:rsidR="0050321A">
        <w:t>for the reduction of s</w:t>
      </w:r>
      <w:r w:rsidR="008250BB">
        <w:t>elf-</w:t>
      </w:r>
      <w:r w:rsidRPr="00835E35">
        <w:t xml:space="preserve">reported </w:t>
      </w:r>
      <w:r w:rsidR="00D22AB4">
        <w:t>arm and shoulder</w:t>
      </w:r>
      <w:r w:rsidRPr="00835E35">
        <w:t xml:space="preserve"> </w:t>
      </w:r>
      <w:r w:rsidR="00AA7E50">
        <w:t xml:space="preserve">symptoms and </w:t>
      </w:r>
      <w:r w:rsidRPr="00835E35">
        <w:t>pain</w:t>
      </w:r>
      <w:r w:rsidR="0039606F">
        <w:t xml:space="preserve"> attributable to overhead work in </w:t>
      </w:r>
      <w:r w:rsidR="006358C3">
        <w:t>a</w:t>
      </w:r>
      <w:r w:rsidR="0039606F">
        <w:t>utomotive assembly</w:t>
      </w:r>
      <w:r w:rsidR="00A51B40">
        <w:t xml:space="preserve">. </w:t>
      </w:r>
      <w:r w:rsidRPr="00835E35">
        <w:t xml:space="preserve"> </w:t>
      </w:r>
      <w:r w:rsidRPr="00E4749D">
        <w:t xml:space="preserve">Results of the study </w:t>
      </w:r>
      <w:r>
        <w:t xml:space="preserve">(in de-identified and aggregated form) </w:t>
      </w:r>
      <w:r w:rsidRPr="00E4749D">
        <w:t xml:space="preserve">will be disseminated in the scientific literature and in educational materials </w:t>
      </w:r>
      <w:r w:rsidR="0039606F">
        <w:t>developed by</w:t>
      </w:r>
      <w:r>
        <w:t xml:space="preserve"> NIOSH (website, publications)</w:t>
      </w:r>
      <w:r w:rsidRPr="00E4749D">
        <w:t>.</w:t>
      </w:r>
      <w:r>
        <w:t xml:space="preserve"> </w:t>
      </w:r>
      <w:r w:rsidRPr="00A563FC">
        <w:rPr>
          <w:color w:val="000000"/>
        </w:rPr>
        <w:t xml:space="preserve">The </w:t>
      </w:r>
      <w:r w:rsidR="005109B6">
        <w:rPr>
          <w:color w:val="000000"/>
        </w:rPr>
        <w:t>privacy</w:t>
      </w:r>
      <w:r w:rsidRPr="00A563FC">
        <w:rPr>
          <w:color w:val="000000"/>
        </w:rPr>
        <w:t xml:space="preserve"> of </w:t>
      </w:r>
      <w:r>
        <w:rPr>
          <w:color w:val="000000"/>
        </w:rPr>
        <w:t xml:space="preserve">all data </w:t>
      </w:r>
      <w:r w:rsidRPr="00A563FC">
        <w:rPr>
          <w:color w:val="000000"/>
        </w:rPr>
        <w:t xml:space="preserve">collected will be protected to the extent legally possible, as covered by the Privacy Act of 1974, Title 5, United States Code, Section 522 (a).  </w:t>
      </w:r>
      <w:r>
        <w:rPr>
          <w:color w:val="000000"/>
        </w:rPr>
        <w:t xml:space="preserve"> </w:t>
      </w:r>
      <w:r w:rsidRPr="00835E35">
        <w:t>Individual</w:t>
      </w:r>
      <w:r>
        <w:t xml:space="preserve"> participant</w:t>
      </w:r>
      <w:r w:rsidRPr="00835E35">
        <w:t xml:space="preserve"> personal information</w:t>
      </w:r>
      <w:r>
        <w:t xml:space="preserve"> </w:t>
      </w:r>
      <w:r w:rsidRPr="002D6667">
        <w:t>will not be published in any identifiable form</w:t>
      </w:r>
      <w:r>
        <w:t>.</w:t>
      </w:r>
      <w:r w:rsidRPr="002D6667">
        <w:t xml:space="preserve"> </w:t>
      </w:r>
    </w:p>
    <w:p w14:paraId="17BA8537" w14:textId="77777777" w:rsidR="00A51B40" w:rsidRDefault="00A51B40" w:rsidP="003465EE"/>
    <w:p w14:paraId="69955CC1" w14:textId="77777777" w:rsidR="003B554E" w:rsidRDefault="00A51B40" w:rsidP="00566480">
      <w:r>
        <w:t xml:space="preserve">The data collection </w:t>
      </w:r>
      <w:r w:rsidR="003B554E">
        <w:t>for th</w:t>
      </w:r>
      <w:r w:rsidR="006358C3">
        <w:t>is</w:t>
      </w:r>
      <w:r w:rsidR="003B554E">
        <w:t xml:space="preserve"> intervention study is part of a multi-phase project between NIOSH and </w:t>
      </w:r>
      <w:r w:rsidR="002D461F">
        <w:t>TEMA</w:t>
      </w:r>
      <w:r w:rsidR="006358C3">
        <w:t xml:space="preserve"> </w:t>
      </w:r>
      <w:r w:rsidR="009F2BDC">
        <w:t xml:space="preserve">that has received NIOSH intramural </w:t>
      </w:r>
      <w:r w:rsidR="003B554E">
        <w:t>fund</w:t>
      </w:r>
      <w:r w:rsidR="009F2BDC">
        <w:t>ing</w:t>
      </w:r>
      <w:r w:rsidR="003B554E">
        <w:t xml:space="preserve"> from </w:t>
      </w:r>
      <w:r w:rsidR="005109B6">
        <w:t>Fiscal Year 201</w:t>
      </w:r>
      <w:r w:rsidR="0039606F">
        <w:t>3</w:t>
      </w:r>
      <w:r w:rsidR="003B554E">
        <w:t xml:space="preserve"> through </w:t>
      </w:r>
      <w:r w:rsidR="005109B6">
        <w:t>Fiscal Year 201</w:t>
      </w:r>
      <w:r w:rsidR="0039606F">
        <w:t>5</w:t>
      </w:r>
      <w:r w:rsidR="003B554E">
        <w:t xml:space="preserve">. The project was awarded federal funds through the NIOSH National Occupational Research Agenda (NORA) </w:t>
      </w:r>
      <w:r w:rsidR="009F2BDC">
        <w:t>competition</w:t>
      </w:r>
      <w:r w:rsidR="003B554E">
        <w:t xml:space="preserve"> for intramural research. </w:t>
      </w:r>
      <w:r w:rsidR="002D461F">
        <w:t>TEMA</w:t>
      </w:r>
      <w:r w:rsidR="006358C3">
        <w:t xml:space="preserve"> </w:t>
      </w:r>
      <w:r w:rsidR="007E408F">
        <w:t xml:space="preserve">is </w:t>
      </w:r>
      <w:r w:rsidR="009F2BDC">
        <w:t xml:space="preserve">also </w:t>
      </w:r>
      <w:r w:rsidR="00E352F8">
        <w:t>providing substantial</w:t>
      </w:r>
      <w:r w:rsidR="007E408F">
        <w:t xml:space="preserve"> funding </w:t>
      </w:r>
      <w:r w:rsidR="00E352F8">
        <w:t xml:space="preserve">for </w:t>
      </w:r>
      <w:r w:rsidR="0039606F">
        <w:t>the</w:t>
      </w:r>
      <w:r w:rsidR="007E408F">
        <w:t xml:space="preserve"> costs of the</w:t>
      </w:r>
      <w:r w:rsidR="009F2BDC">
        <w:t xml:space="preserve"> tool support</w:t>
      </w:r>
      <w:r w:rsidR="007E408F">
        <w:t xml:space="preserve"> interventions. </w:t>
      </w:r>
    </w:p>
    <w:p w14:paraId="221446C9" w14:textId="77777777" w:rsidR="007E408F" w:rsidRDefault="007E408F" w:rsidP="00566480"/>
    <w:p w14:paraId="7EEC4B5B" w14:textId="77777777" w:rsidR="00411D7A" w:rsidRPr="000A310B" w:rsidRDefault="007E408F" w:rsidP="00566480">
      <w:r w:rsidRPr="00830147">
        <w:lastRenderedPageBreak/>
        <w:t xml:space="preserve">The data collection is </w:t>
      </w:r>
      <w:r w:rsidR="00A51B40" w:rsidRPr="00830147">
        <w:t xml:space="preserve">justified because few </w:t>
      </w:r>
      <w:r w:rsidR="00C15963" w:rsidRPr="00830147">
        <w:t xml:space="preserve">prospective </w:t>
      </w:r>
      <w:r w:rsidR="006358C3" w:rsidRPr="000A310B">
        <w:t>controlled</w:t>
      </w:r>
      <w:r w:rsidR="00A51B40" w:rsidRPr="000A310B">
        <w:t xml:space="preserve"> trials for the effectiveness of </w:t>
      </w:r>
      <w:r w:rsidR="006358C3" w:rsidRPr="000A310B">
        <w:t>interventions</w:t>
      </w:r>
      <w:r w:rsidR="00C15963" w:rsidRPr="000A310B">
        <w:t xml:space="preserve"> for musculoskeletal disorder (MSD) prevention</w:t>
      </w:r>
      <w:r w:rsidR="00A51B40" w:rsidRPr="000A310B">
        <w:t xml:space="preserve"> </w:t>
      </w:r>
      <w:r w:rsidR="00566480" w:rsidRPr="000A310B">
        <w:t xml:space="preserve">have been conducted. </w:t>
      </w:r>
      <w:r w:rsidR="006358C3" w:rsidRPr="000A310B">
        <w:t xml:space="preserve"> There</w:t>
      </w:r>
      <w:r w:rsidR="00566480" w:rsidRPr="000A310B">
        <w:t xml:space="preserve"> is a </w:t>
      </w:r>
      <w:r w:rsidR="006358C3" w:rsidRPr="000A310B">
        <w:t xml:space="preserve">clear </w:t>
      </w:r>
      <w:r w:rsidR="00566480" w:rsidRPr="000A310B">
        <w:t xml:space="preserve">need to conduct rigorous experimental research to </w:t>
      </w:r>
      <w:r w:rsidR="00E352F8" w:rsidRPr="000A310B">
        <w:t xml:space="preserve">further </w:t>
      </w:r>
      <w:r w:rsidR="00566480" w:rsidRPr="000A310B">
        <w:t xml:space="preserve">define the effectiveness and </w:t>
      </w:r>
      <w:r w:rsidR="00A40987" w:rsidRPr="000A310B">
        <w:t>return-on-investment</w:t>
      </w:r>
      <w:r w:rsidR="00566480" w:rsidRPr="000A310B">
        <w:t xml:space="preserve"> of interventions</w:t>
      </w:r>
      <w:r w:rsidR="006358C3" w:rsidRPr="000A310B">
        <w:t xml:space="preserve"> for preventing musculoskeletal disorders</w:t>
      </w:r>
      <w:r w:rsidR="00A40987" w:rsidRPr="000A310B">
        <w:t>. Th</w:t>
      </w:r>
      <w:r w:rsidR="006358C3" w:rsidRPr="000A310B">
        <w:t xml:space="preserve">e project design </w:t>
      </w:r>
      <w:r w:rsidR="00A40987" w:rsidRPr="000A310B">
        <w:t xml:space="preserve">will allow the cost-benefit of </w:t>
      </w:r>
      <w:r w:rsidR="006358C3" w:rsidRPr="000A310B">
        <w:t>two</w:t>
      </w:r>
      <w:r w:rsidR="00A40987" w:rsidRPr="000A310B">
        <w:t xml:space="preserve"> intervention</w:t>
      </w:r>
      <w:r w:rsidR="006358C3" w:rsidRPr="000A310B">
        <w:t xml:space="preserve"> strategies</w:t>
      </w:r>
      <w:r w:rsidR="00A40987" w:rsidRPr="000A310B">
        <w:t xml:space="preserve"> to be calculated and enable e</w:t>
      </w:r>
      <w:r w:rsidR="00411D7A" w:rsidRPr="00830147">
        <w:rPr>
          <w:lang w:eastAsia="ja-JP"/>
        </w:rPr>
        <w:t>vidence</w:t>
      </w:r>
      <w:r w:rsidR="006358C3" w:rsidRPr="00830147">
        <w:rPr>
          <w:lang w:eastAsia="ja-JP"/>
        </w:rPr>
        <w:t>-</w:t>
      </w:r>
      <w:r w:rsidR="00411D7A" w:rsidRPr="00830147">
        <w:rPr>
          <w:lang w:eastAsia="ja-JP"/>
        </w:rPr>
        <w:t xml:space="preserve">based practices </w:t>
      </w:r>
      <w:r w:rsidR="00A40987" w:rsidRPr="000A310B">
        <w:rPr>
          <w:lang w:eastAsia="ja-JP"/>
        </w:rPr>
        <w:t>to</w:t>
      </w:r>
      <w:r w:rsidR="00411D7A" w:rsidRPr="000A310B">
        <w:rPr>
          <w:lang w:eastAsia="ja-JP"/>
        </w:rPr>
        <w:t xml:space="preserve"> be shared with the greatest audience possible</w:t>
      </w:r>
      <w:r w:rsidR="00566480" w:rsidRPr="000A310B">
        <w:t xml:space="preserve">. </w:t>
      </w:r>
      <w:r w:rsidR="00411D7A" w:rsidRPr="000A310B">
        <w:t xml:space="preserve">Such data has practical utility to the federal government, state government, and private stakeholders. </w:t>
      </w:r>
    </w:p>
    <w:p w14:paraId="4A13E70E" w14:textId="77777777" w:rsidR="00411D7A" w:rsidRDefault="00411D7A" w:rsidP="00566480">
      <w:pPr>
        <w:rPr>
          <w:color w:val="231F20"/>
        </w:rPr>
      </w:pPr>
    </w:p>
    <w:p w14:paraId="7893EDCE" w14:textId="77777777" w:rsidR="00566480" w:rsidRDefault="00411D7A" w:rsidP="00566480">
      <w:pPr>
        <w:rPr>
          <w:color w:val="231F20"/>
        </w:rPr>
      </w:pPr>
      <w:r>
        <w:rPr>
          <w:color w:val="231F20"/>
        </w:rPr>
        <w:t xml:space="preserve">For example, </w:t>
      </w:r>
      <w:r w:rsidR="00856654">
        <w:rPr>
          <w:color w:val="231F20"/>
        </w:rPr>
        <w:t xml:space="preserve">the </w:t>
      </w:r>
      <w:r>
        <w:rPr>
          <w:color w:val="231F20"/>
        </w:rPr>
        <w:t xml:space="preserve">federal </w:t>
      </w:r>
      <w:r w:rsidR="00A40987" w:rsidRPr="00A06BB8">
        <w:rPr>
          <w:color w:val="231F20"/>
        </w:rPr>
        <w:t>O</w:t>
      </w:r>
      <w:r w:rsidR="00856654">
        <w:rPr>
          <w:color w:val="231F20"/>
        </w:rPr>
        <w:t xml:space="preserve">ccupational and Safety </w:t>
      </w:r>
      <w:r w:rsidR="001F4A52">
        <w:rPr>
          <w:color w:val="231F20"/>
        </w:rPr>
        <w:t>and Health Administration (O</w:t>
      </w:r>
      <w:r w:rsidR="00A40987" w:rsidRPr="00A06BB8">
        <w:rPr>
          <w:color w:val="231F20"/>
        </w:rPr>
        <w:t>SHA</w:t>
      </w:r>
      <w:r w:rsidR="001F4A52">
        <w:rPr>
          <w:color w:val="231F20"/>
        </w:rPr>
        <w:t>)</w:t>
      </w:r>
      <w:r w:rsidR="00A40987">
        <w:rPr>
          <w:color w:val="231F20"/>
        </w:rPr>
        <w:t xml:space="preserve"> is</w:t>
      </w:r>
      <w:r w:rsidR="00991325">
        <w:rPr>
          <w:color w:val="231F20"/>
        </w:rPr>
        <w:t xml:space="preserve"> </w:t>
      </w:r>
      <w:r w:rsidR="00A40987">
        <w:rPr>
          <w:color w:val="231F20"/>
        </w:rPr>
        <w:t xml:space="preserve">seeking input about </w:t>
      </w:r>
      <w:r w:rsidR="001F4A52">
        <w:rPr>
          <w:color w:val="231F20"/>
        </w:rPr>
        <w:t xml:space="preserve">the </w:t>
      </w:r>
      <w:r w:rsidR="00A40987">
        <w:rPr>
          <w:color w:val="231F20"/>
        </w:rPr>
        <w:t xml:space="preserve">relevance of MSD-focused safety and health regulations. </w:t>
      </w:r>
      <w:r w:rsidR="00566480" w:rsidRPr="00A06BB8">
        <w:rPr>
          <w:color w:val="231F20"/>
        </w:rPr>
        <w:t>Recently, OSHA announced intention to restore a record keeping regulation to document MSDs on OSHA 300 logs</w:t>
      </w:r>
      <w:r w:rsidR="001F4A52">
        <w:rPr>
          <w:color w:val="231F20"/>
        </w:rPr>
        <w:t xml:space="preserve"> (</w:t>
      </w:r>
      <w:r w:rsidR="005215AC">
        <w:t>US Federal Register, 2010a)</w:t>
      </w:r>
      <w:r w:rsidR="00BE06B1">
        <w:rPr>
          <w:color w:val="231F20"/>
        </w:rPr>
        <w:t>.</w:t>
      </w:r>
      <w:r w:rsidR="00566480" w:rsidRPr="00A06BB8">
        <w:rPr>
          <w:color w:val="231F20"/>
        </w:rPr>
        <w:t xml:space="preserve"> </w:t>
      </w:r>
      <w:r>
        <w:rPr>
          <w:color w:val="231F20"/>
        </w:rPr>
        <w:t>OSHA has also proposed a regulation for an injury/illness prevention program</w:t>
      </w:r>
      <w:r w:rsidRPr="00A06BB8">
        <w:rPr>
          <w:color w:val="231F20"/>
        </w:rPr>
        <w:t xml:space="preserve"> </w:t>
      </w:r>
      <w:r>
        <w:rPr>
          <w:color w:val="231F20"/>
        </w:rPr>
        <w:t>that could include the framework for MSD control</w:t>
      </w:r>
      <w:r w:rsidR="001F4A52">
        <w:rPr>
          <w:color w:val="231F20"/>
        </w:rPr>
        <w:t xml:space="preserve"> </w:t>
      </w:r>
      <w:r w:rsidR="005215AC">
        <w:rPr>
          <w:color w:val="231F20"/>
        </w:rPr>
        <w:t>(</w:t>
      </w:r>
      <w:r w:rsidR="005215AC">
        <w:t>US Federal Register, 2010b)</w:t>
      </w:r>
      <w:r w:rsidR="005215AC">
        <w:rPr>
          <w:color w:val="231F20"/>
        </w:rPr>
        <w:t>.</w:t>
      </w:r>
      <w:r w:rsidR="005215AC" w:rsidRPr="00A06BB8">
        <w:rPr>
          <w:color w:val="231F20"/>
        </w:rPr>
        <w:t xml:space="preserve"> </w:t>
      </w:r>
      <w:r w:rsidR="00D150ED">
        <w:rPr>
          <w:color w:val="231F20"/>
        </w:rPr>
        <w:t xml:space="preserve">OSHA is in the process of soliciting input for both potential standards. </w:t>
      </w:r>
      <w:r w:rsidR="00566480" w:rsidRPr="00A06BB8">
        <w:rPr>
          <w:color w:val="231F20"/>
        </w:rPr>
        <w:t>The possibility of regulation increases the imperative that additional MSD intervention research be conducted to identify evidence-based practices.</w:t>
      </w:r>
      <w:r>
        <w:rPr>
          <w:color w:val="231F20"/>
        </w:rPr>
        <w:t xml:space="preserve"> </w:t>
      </w:r>
      <w:r w:rsidR="00BE06B1">
        <w:rPr>
          <w:color w:val="231F20"/>
        </w:rPr>
        <w:t xml:space="preserve">OSHA is also required to submit cost-benefit analyses for the implementation of proposed regulations. Without rigorous studies on the effectiveness of primary prevention </w:t>
      </w:r>
      <w:r w:rsidR="001F4A52">
        <w:rPr>
          <w:color w:val="231F20"/>
        </w:rPr>
        <w:t xml:space="preserve">approaches </w:t>
      </w:r>
      <w:r w:rsidR="00BE06B1">
        <w:rPr>
          <w:color w:val="231F20"/>
        </w:rPr>
        <w:t xml:space="preserve">in general, </w:t>
      </w:r>
      <w:r w:rsidR="001F4A52">
        <w:rPr>
          <w:color w:val="231F20"/>
        </w:rPr>
        <w:t xml:space="preserve">and MSD interventions specifically, </w:t>
      </w:r>
      <w:r w:rsidR="00BE06B1">
        <w:rPr>
          <w:color w:val="231F20"/>
        </w:rPr>
        <w:t xml:space="preserve">such analyses can be difficult. </w:t>
      </w:r>
    </w:p>
    <w:p w14:paraId="5E17035A" w14:textId="77777777" w:rsidR="00BE06B1" w:rsidRDefault="00BE06B1" w:rsidP="00566480">
      <w:pPr>
        <w:rPr>
          <w:color w:val="231F20"/>
        </w:rPr>
      </w:pPr>
    </w:p>
    <w:p w14:paraId="33E875ED" w14:textId="77777777" w:rsidR="00BE06B1" w:rsidRDefault="00572955" w:rsidP="00566480">
      <w:pPr>
        <w:rPr>
          <w:color w:val="231F20"/>
        </w:rPr>
      </w:pPr>
      <w:r>
        <w:rPr>
          <w:color w:val="231F20"/>
        </w:rPr>
        <w:t>C</w:t>
      </w:r>
      <w:r w:rsidR="00BE06B1">
        <w:rPr>
          <w:color w:val="231F20"/>
        </w:rPr>
        <w:t xml:space="preserve">DC-NIOSH will also use this data to develop guidance for </w:t>
      </w:r>
      <w:r>
        <w:t xml:space="preserve">conducting economic analyses of OSH interventions. </w:t>
      </w:r>
      <w:r w:rsidR="00D150ED">
        <w:t xml:space="preserve">A major part of </w:t>
      </w:r>
      <w:r w:rsidR="00BE06B1">
        <w:t>OSH projec</w:t>
      </w:r>
      <w:r w:rsidR="001F4A52">
        <w:t>t planning is to conduct a cost-</w:t>
      </w:r>
      <w:r w:rsidR="00BE06B1">
        <w:t xml:space="preserve">benefit analysis for future intervention projects. </w:t>
      </w:r>
      <w:r>
        <w:t>This study</w:t>
      </w:r>
      <w:r w:rsidR="00BE06B1">
        <w:t xml:space="preserve"> will provide a necessary piece of information that is often lacking for such analyses, which is the range of expected effectiveness (in terms of reduced injury/illness incidence, severity, and cost) for particular types of MSD</w:t>
      </w:r>
      <w:r>
        <w:t xml:space="preserve"> </w:t>
      </w:r>
      <w:r w:rsidR="00BE06B1">
        <w:t>interventions. Compiling such information will allow companies to make more accurate projections for savings.</w:t>
      </w:r>
    </w:p>
    <w:p w14:paraId="7800E3F4" w14:textId="77777777" w:rsidR="00411D7A" w:rsidRDefault="00411D7A" w:rsidP="00566480">
      <w:pPr>
        <w:rPr>
          <w:color w:val="231F20"/>
        </w:rPr>
      </w:pPr>
    </w:p>
    <w:p w14:paraId="55360632" w14:textId="77777777" w:rsidR="00D150ED" w:rsidRPr="001F4A52" w:rsidRDefault="00E352F8" w:rsidP="00E1565E">
      <w:pPr>
        <w:rPr>
          <w:rFonts w:eastAsia="MS Mincho"/>
          <w:b/>
          <w:lang w:eastAsia="ja-JP"/>
        </w:rPr>
      </w:pPr>
      <w:r>
        <w:rPr>
          <w:color w:val="231F20"/>
        </w:rPr>
        <w:t>Organizations seek</w:t>
      </w:r>
      <w:r w:rsidR="00E26B9D">
        <w:rPr>
          <w:color w:val="231F20"/>
        </w:rPr>
        <w:t xml:space="preserve"> to evaluate th</w:t>
      </w:r>
      <w:r w:rsidR="00411D7A">
        <w:t xml:space="preserve">e effectiveness and cost-benefit of </w:t>
      </w:r>
      <w:r w:rsidR="00C52D3B">
        <w:t>MSD prevention</w:t>
      </w:r>
      <w:r>
        <w:t xml:space="preserve"> </w:t>
      </w:r>
      <w:r w:rsidR="00411D7A">
        <w:t>program</w:t>
      </w:r>
      <w:r w:rsidR="00C52D3B">
        <w:t xml:space="preserve"> element</w:t>
      </w:r>
      <w:r w:rsidR="00411D7A">
        <w:t>s using the most scientifically rigorous methods possible.</w:t>
      </w:r>
      <w:r w:rsidR="00411D7A" w:rsidRPr="00CF4550">
        <w:t xml:space="preserve"> </w:t>
      </w:r>
      <w:r>
        <w:t xml:space="preserve"> </w:t>
      </w:r>
      <w:r w:rsidR="00411D7A">
        <w:t xml:space="preserve">For this reason, </w:t>
      </w:r>
      <w:r w:rsidR="008329A1" w:rsidRPr="009F2BDC">
        <w:t>TEMA</w:t>
      </w:r>
      <w:r w:rsidR="00411D7A">
        <w:t xml:space="preserve"> is eager to collaborate wi</w:t>
      </w:r>
      <w:r w:rsidR="00E26B9D">
        <w:rPr>
          <w:rFonts w:eastAsia="MS Mincho"/>
          <w:lang w:eastAsia="ja-JP"/>
        </w:rPr>
        <w:t>th NIOSH on this project</w:t>
      </w:r>
      <w:r w:rsidR="00BE06B1">
        <w:rPr>
          <w:rFonts w:eastAsia="MS Mincho"/>
          <w:lang w:eastAsia="ja-JP"/>
        </w:rPr>
        <w:t xml:space="preserve"> and has </w:t>
      </w:r>
      <w:r w:rsidR="008329A1">
        <w:rPr>
          <w:rFonts w:eastAsia="MS Mincho"/>
          <w:lang w:eastAsia="ja-JP"/>
        </w:rPr>
        <w:t>contributed</w:t>
      </w:r>
      <w:r w:rsidR="00BE06B1">
        <w:rPr>
          <w:rFonts w:eastAsia="MS Mincho"/>
          <w:lang w:eastAsia="ja-JP"/>
        </w:rPr>
        <w:t xml:space="preserve"> substantial financial resources to support the proposed prospective intervention study. </w:t>
      </w:r>
      <w:r w:rsidR="00BF668D">
        <w:rPr>
          <w:rFonts w:eastAsia="MS Mincho"/>
          <w:lang w:eastAsia="ja-JP"/>
        </w:rPr>
        <w:t xml:space="preserve"> </w:t>
      </w:r>
      <w:r w:rsidR="00D150ED">
        <w:rPr>
          <w:lang w:eastAsia="ja-JP"/>
        </w:rPr>
        <w:t xml:space="preserve">The goal is to </w:t>
      </w:r>
      <w:r w:rsidR="00C52D3B">
        <w:rPr>
          <w:lang w:eastAsia="ja-JP"/>
        </w:rPr>
        <w:t>validate</w:t>
      </w:r>
      <w:r w:rsidR="00D150ED">
        <w:rPr>
          <w:lang w:eastAsia="ja-JP"/>
        </w:rPr>
        <w:t xml:space="preserve"> </w:t>
      </w:r>
      <w:r w:rsidR="00411D7A">
        <w:rPr>
          <w:lang w:eastAsia="ja-JP"/>
        </w:rPr>
        <w:t xml:space="preserve">evidence based practices </w:t>
      </w:r>
      <w:r w:rsidR="00BF668D">
        <w:rPr>
          <w:lang w:eastAsia="ja-JP"/>
        </w:rPr>
        <w:t>and make these widely available to the</w:t>
      </w:r>
      <w:r w:rsidR="00D150ED">
        <w:rPr>
          <w:lang w:eastAsia="ja-JP"/>
        </w:rPr>
        <w:t xml:space="preserve"> greatest audience possible. </w:t>
      </w:r>
      <w:r w:rsidR="00BF668D">
        <w:rPr>
          <w:lang w:eastAsia="ja-JP"/>
        </w:rPr>
        <w:t xml:space="preserve"> </w:t>
      </w:r>
      <w:r w:rsidR="001F4A52">
        <w:rPr>
          <w:rFonts w:eastAsia="MS Mincho"/>
          <w:lang w:eastAsia="ja-JP"/>
        </w:rPr>
        <w:t>The results</w:t>
      </w:r>
      <w:r w:rsidR="00D150ED">
        <w:rPr>
          <w:rFonts w:eastAsia="MS Mincho"/>
          <w:lang w:eastAsia="ja-JP"/>
        </w:rPr>
        <w:t xml:space="preserve"> of the current study are relevant </w:t>
      </w:r>
      <w:r w:rsidR="00BF668D">
        <w:rPr>
          <w:rFonts w:eastAsia="MS Mincho"/>
          <w:lang w:eastAsia="ja-JP"/>
        </w:rPr>
        <w:t xml:space="preserve">to </w:t>
      </w:r>
      <w:r w:rsidR="00BF668D" w:rsidRPr="009F2BDC">
        <w:rPr>
          <w:rFonts w:eastAsia="MS Mincho"/>
          <w:lang w:eastAsia="ja-JP"/>
        </w:rPr>
        <w:t>TEMA</w:t>
      </w:r>
      <w:r w:rsidR="00BF668D">
        <w:rPr>
          <w:rFonts w:eastAsia="MS Mincho"/>
          <w:lang w:eastAsia="ja-JP"/>
        </w:rPr>
        <w:t xml:space="preserve"> and other</w:t>
      </w:r>
      <w:r w:rsidR="00D150ED">
        <w:rPr>
          <w:rFonts w:eastAsia="MS Mincho"/>
          <w:lang w:eastAsia="ja-JP"/>
        </w:rPr>
        <w:t xml:space="preserve"> private companies </w:t>
      </w:r>
      <w:r w:rsidR="008329A1">
        <w:rPr>
          <w:rFonts w:eastAsia="MS Mincho"/>
          <w:lang w:eastAsia="ja-JP"/>
        </w:rPr>
        <w:t xml:space="preserve">in the </w:t>
      </w:r>
      <w:r w:rsidR="00BF668D">
        <w:rPr>
          <w:rFonts w:eastAsia="MS Mincho"/>
          <w:lang w:eastAsia="ja-JP"/>
        </w:rPr>
        <w:t>Manufacturing</w:t>
      </w:r>
      <w:r w:rsidR="008329A1">
        <w:rPr>
          <w:rFonts w:eastAsia="MS Mincho"/>
          <w:lang w:eastAsia="ja-JP"/>
        </w:rPr>
        <w:t xml:space="preserve"> sector</w:t>
      </w:r>
      <w:r w:rsidR="00D150ED">
        <w:rPr>
          <w:rFonts w:eastAsia="MS Mincho"/>
          <w:lang w:eastAsia="ja-JP"/>
        </w:rPr>
        <w:t xml:space="preserve"> that </w:t>
      </w:r>
      <w:r w:rsidR="00BF668D">
        <w:rPr>
          <w:rFonts w:eastAsia="MS Mincho"/>
          <w:lang w:eastAsia="ja-JP"/>
        </w:rPr>
        <w:t>must control musculoskeletal disorders associated with overhead work</w:t>
      </w:r>
      <w:r w:rsidR="00D150ED">
        <w:rPr>
          <w:rFonts w:eastAsia="MS Mincho"/>
          <w:lang w:eastAsia="ja-JP"/>
        </w:rPr>
        <w:t xml:space="preserve">. </w:t>
      </w:r>
      <w:r w:rsidR="00452B47" w:rsidRPr="001F4A52">
        <w:rPr>
          <w:rFonts w:eastAsia="MS Mincho"/>
          <w:lang w:eastAsia="ja-JP"/>
        </w:rPr>
        <w:t xml:space="preserve">If a rigorous experimental study can determine the </w:t>
      </w:r>
      <w:r w:rsidR="001F4A52" w:rsidRPr="001F4A52">
        <w:rPr>
          <w:rFonts w:eastAsia="MS Mincho"/>
          <w:lang w:eastAsia="ja-JP"/>
        </w:rPr>
        <w:t>level of effectiveness and cost-</w:t>
      </w:r>
      <w:r w:rsidR="00BF668D">
        <w:rPr>
          <w:rFonts w:eastAsia="MS Mincho"/>
          <w:lang w:eastAsia="ja-JP"/>
        </w:rPr>
        <w:t>benefit of interventions</w:t>
      </w:r>
      <w:r w:rsidR="00452B47" w:rsidRPr="001F4A52">
        <w:rPr>
          <w:rFonts w:eastAsia="MS Mincho"/>
          <w:lang w:eastAsia="ja-JP"/>
        </w:rPr>
        <w:t xml:space="preserve">, other </w:t>
      </w:r>
      <w:r w:rsidR="008329A1">
        <w:rPr>
          <w:rFonts w:eastAsia="MS Mincho"/>
          <w:lang w:eastAsia="ja-JP"/>
        </w:rPr>
        <w:t>organizations</w:t>
      </w:r>
      <w:r w:rsidR="00452B47" w:rsidRPr="001F4A52">
        <w:rPr>
          <w:rFonts w:eastAsia="MS Mincho"/>
          <w:lang w:eastAsia="ja-JP"/>
        </w:rPr>
        <w:t xml:space="preserve"> may utilize this d</w:t>
      </w:r>
      <w:r w:rsidR="001F4A52" w:rsidRPr="001F4A52">
        <w:rPr>
          <w:rFonts w:eastAsia="MS Mincho"/>
          <w:lang w:eastAsia="ja-JP"/>
        </w:rPr>
        <w:t xml:space="preserve">ata to determine whether </w:t>
      </w:r>
      <w:r w:rsidR="00BF668D">
        <w:rPr>
          <w:rFonts w:eastAsia="MS Mincho"/>
          <w:lang w:eastAsia="ja-JP"/>
        </w:rPr>
        <w:t>these interventions</w:t>
      </w:r>
      <w:r w:rsidR="00452B47" w:rsidRPr="001F4A52">
        <w:rPr>
          <w:rFonts w:eastAsia="MS Mincho"/>
          <w:lang w:eastAsia="ja-JP"/>
        </w:rPr>
        <w:t xml:space="preserve"> should be </w:t>
      </w:r>
      <w:r w:rsidR="00BF668D">
        <w:rPr>
          <w:rFonts w:eastAsia="MS Mincho"/>
          <w:lang w:eastAsia="ja-JP"/>
        </w:rPr>
        <w:t>adopted.</w:t>
      </w:r>
      <w:r w:rsidR="00452B47" w:rsidRPr="001F4A52">
        <w:rPr>
          <w:rFonts w:eastAsia="MS Mincho"/>
          <w:lang w:eastAsia="ja-JP"/>
        </w:rPr>
        <w:t xml:space="preserve"> </w:t>
      </w:r>
    </w:p>
    <w:p w14:paraId="14987E10" w14:textId="77777777" w:rsidR="00411D7A" w:rsidRPr="001F4A52" w:rsidRDefault="00411D7A" w:rsidP="00E26B9D">
      <w:pPr>
        <w:rPr>
          <w:rFonts w:eastAsia="MS Mincho"/>
          <w:lang w:eastAsia="ja-JP"/>
        </w:rPr>
      </w:pPr>
    </w:p>
    <w:p w14:paraId="3928F3BF" w14:textId="77777777" w:rsidR="00572955" w:rsidRPr="001F4A52" w:rsidRDefault="00572955" w:rsidP="00572955">
      <w:pPr>
        <w:autoSpaceDE w:val="0"/>
        <w:autoSpaceDN w:val="0"/>
        <w:adjustRightInd w:val="0"/>
        <w:rPr>
          <w:color w:val="000000"/>
        </w:rPr>
      </w:pPr>
      <w:r w:rsidRPr="001F4A52">
        <w:rPr>
          <w:color w:val="000000"/>
        </w:rPr>
        <w:t>The findings from this project will be transferred to stakeholders</w:t>
      </w:r>
      <w:r w:rsidR="001F4A52" w:rsidRPr="001F4A52">
        <w:rPr>
          <w:color w:val="000000"/>
        </w:rPr>
        <w:t xml:space="preserve"> and</w:t>
      </w:r>
      <w:r w:rsidRPr="001F4A52">
        <w:rPr>
          <w:color w:val="000000"/>
        </w:rPr>
        <w:t xml:space="preserve"> OSH practitioners </w:t>
      </w:r>
      <w:r w:rsidR="00BF668D">
        <w:rPr>
          <w:color w:val="000000"/>
        </w:rPr>
        <w:t xml:space="preserve">in the private sector </w:t>
      </w:r>
      <w:r w:rsidRPr="001F4A52">
        <w:rPr>
          <w:color w:val="000000"/>
        </w:rPr>
        <w:t>using several channels:</w:t>
      </w:r>
    </w:p>
    <w:p w14:paraId="731BA83F" w14:textId="77777777" w:rsidR="00572955" w:rsidRPr="001F4A52" w:rsidRDefault="00572955" w:rsidP="00572955">
      <w:pPr>
        <w:autoSpaceDE w:val="0"/>
        <w:autoSpaceDN w:val="0"/>
        <w:adjustRightInd w:val="0"/>
        <w:ind w:left="390"/>
        <w:rPr>
          <w:color w:val="000000"/>
        </w:rPr>
      </w:pPr>
    </w:p>
    <w:p w14:paraId="07126C21" w14:textId="77777777" w:rsidR="00572955" w:rsidRPr="009F2BDC" w:rsidRDefault="00572955" w:rsidP="00572955">
      <w:pPr>
        <w:autoSpaceDE w:val="0"/>
        <w:autoSpaceDN w:val="0"/>
        <w:adjustRightInd w:val="0"/>
        <w:ind w:left="390"/>
        <w:rPr>
          <w:color w:val="000000"/>
        </w:rPr>
      </w:pPr>
      <w:r w:rsidRPr="009F2BDC">
        <w:rPr>
          <w:color w:val="000000"/>
        </w:rPr>
        <w:t>NIOSH (website, publications, and personnel)</w:t>
      </w:r>
    </w:p>
    <w:p w14:paraId="68CAEF8C" w14:textId="77777777" w:rsidR="00572955" w:rsidRPr="009F2BDC" w:rsidRDefault="009F2BDC" w:rsidP="00572955">
      <w:pPr>
        <w:pStyle w:val="ListParagraph"/>
        <w:numPr>
          <w:ilvl w:val="1"/>
          <w:numId w:val="37"/>
        </w:numPr>
        <w:autoSpaceDE w:val="0"/>
        <w:autoSpaceDN w:val="0"/>
        <w:adjustRightInd w:val="0"/>
        <w:spacing w:line="240" w:lineRule="auto"/>
        <w:contextualSpacing w:val="0"/>
        <w:jc w:val="left"/>
        <w:rPr>
          <w:color w:val="000000"/>
          <w:sz w:val="24"/>
          <w:szCs w:val="24"/>
        </w:rPr>
      </w:pPr>
      <w:r w:rsidRPr="009F2BDC">
        <w:rPr>
          <w:color w:val="000000"/>
          <w:sz w:val="24"/>
          <w:szCs w:val="24"/>
        </w:rPr>
        <w:lastRenderedPageBreak/>
        <w:t>A NIOSH publication is anticipated, in the form of a “Workplace Solution” document</w:t>
      </w:r>
      <w:r w:rsidR="00572955" w:rsidRPr="009F2BDC">
        <w:rPr>
          <w:color w:val="000000"/>
          <w:sz w:val="24"/>
          <w:szCs w:val="24"/>
        </w:rPr>
        <w:t>.</w:t>
      </w:r>
      <w:r w:rsidRPr="009F2BDC">
        <w:rPr>
          <w:color w:val="000000"/>
          <w:sz w:val="24"/>
          <w:szCs w:val="24"/>
        </w:rPr>
        <w:t xml:space="preserve">  This format conveys information about successful interventions to a wide audience in a less technical format.</w:t>
      </w:r>
      <w:r w:rsidR="00572955" w:rsidRPr="009F2BDC">
        <w:rPr>
          <w:color w:val="000000"/>
          <w:sz w:val="24"/>
          <w:szCs w:val="24"/>
        </w:rPr>
        <w:t xml:space="preserve"> </w:t>
      </w:r>
    </w:p>
    <w:p w14:paraId="4C54CB97" w14:textId="77777777" w:rsidR="00572955" w:rsidRPr="009F2BDC" w:rsidRDefault="00572955" w:rsidP="00572955">
      <w:pPr>
        <w:autoSpaceDE w:val="0"/>
        <w:autoSpaceDN w:val="0"/>
        <w:adjustRightInd w:val="0"/>
        <w:ind w:left="390"/>
        <w:rPr>
          <w:color w:val="000000"/>
        </w:rPr>
      </w:pPr>
    </w:p>
    <w:p w14:paraId="6C1331C0" w14:textId="77777777" w:rsidR="00572955" w:rsidRPr="009F2BDC" w:rsidRDefault="008329A1" w:rsidP="00572955">
      <w:pPr>
        <w:autoSpaceDE w:val="0"/>
        <w:autoSpaceDN w:val="0"/>
        <w:adjustRightInd w:val="0"/>
        <w:ind w:left="390"/>
        <w:rPr>
          <w:color w:val="000000"/>
        </w:rPr>
      </w:pPr>
      <w:r w:rsidRPr="009F2BDC">
        <w:rPr>
          <w:color w:val="000000"/>
        </w:rPr>
        <w:t>MNF</w:t>
      </w:r>
      <w:r w:rsidR="00572955" w:rsidRPr="009F2BDC">
        <w:rPr>
          <w:color w:val="000000"/>
        </w:rPr>
        <w:t xml:space="preserve"> trade organizations (website, publications, and personnel)</w:t>
      </w:r>
    </w:p>
    <w:p w14:paraId="3768810C" w14:textId="77777777" w:rsidR="00572955" w:rsidRPr="009F2BDC" w:rsidRDefault="00572955" w:rsidP="00572955">
      <w:pPr>
        <w:pStyle w:val="ListParagraph"/>
        <w:numPr>
          <w:ilvl w:val="1"/>
          <w:numId w:val="37"/>
        </w:numPr>
        <w:autoSpaceDE w:val="0"/>
        <w:autoSpaceDN w:val="0"/>
        <w:adjustRightInd w:val="0"/>
        <w:spacing w:line="240" w:lineRule="auto"/>
        <w:contextualSpacing w:val="0"/>
        <w:jc w:val="left"/>
        <w:rPr>
          <w:color w:val="000000"/>
          <w:sz w:val="24"/>
          <w:szCs w:val="24"/>
        </w:rPr>
      </w:pPr>
      <w:r w:rsidRPr="009F2BDC">
        <w:rPr>
          <w:color w:val="000000"/>
          <w:sz w:val="24"/>
          <w:szCs w:val="24"/>
        </w:rPr>
        <w:t>Links to the same dissemination products will also be provided directly</w:t>
      </w:r>
      <w:r w:rsidR="0046513E">
        <w:rPr>
          <w:color w:val="000000"/>
          <w:sz w:val="24"/>
          <w:szCs w:val="24"/>
        </w:rPr>
        <w:t xml:space="preserve"> to several trade organizations.  </w:t>
      </w:r>
      <w:r w:rsidRPr="009F2BDC">
        <w:rPr>
          <w:color w:val="000000"/>
          <w:sz w:val="24"/>
          <w:szCs w:val="24"/>
        </w:rPr>
        <w:t xml:space="preserve">Aspects of the studies will also be submitted for publication in trade journals. </w:t>
      </w:r>
    </w:p>
    <w:p w14:paraId="3F2B6B39" w14:textId="77777777" w:rsidR="00572955" w:rsidRPr="009F2BDC" w:rsidRDefault="00572955" w:rsidP="00572955">
      <w:pPr>
        <w:pStyle w:val="ListParagraph"/>
        <w:autoSpaceDE w:val="0"/>
        <w:autoSpaceDN w:val="0"/>
        <w:adjustRightInd w:val="0"/>
        <w:ind w:left="1080"/>
        <w:rPr>
          <w:color w:val="000000"/>
          <w:sz w:val="24"/>
          <w:szCs w:val="24"/>
        </w:rPr>
      </w:pPr>
    </w:p>
    <w:p w14:paraId="7FBD3694" w14:textId="77777777" w:rsidR="00572955" w:rsidRPr="009F2BDC" w:rsidRDefault="00572955" w:rsidP="00572955">
      <w:pPr>
        <w:autoSpaceDE w:val="0"/>
        <w:autoSpaceDN w:val="0"/>
        <w:adjustRightInd w:val="0"/>
        <w:ind w:left="390"/>
        <w:rPr>
          <w:color w:val="000000"/>
        </w:rPr>
      </w:pPr>
      <w:r w:rsidRPr="009F2BDC">
        <w:rPr>
          <w:color w:val="000000"/>
        </w:rPr>
        <w:t>Peer reviewed journals</w:t>
      </w:r>
    </w:p>
    <w:p w14:paraId="18E3D9E8" w14:textId="77777777" w:rsidR="00572955" w:rsidRPr="009F2BDC" w:rsidRDefault="009F2BDC" w:rsidP="00572955">
      <w:pPr>
        <w:pStyle w:val="ListParagraph"/>
        <w:numPr>
          <w:ilvl w:val="1"/>
          <w:numId w:val="37"/>
        </w:numPr>
        <w:autoSpaceDE w:val="0"/>
        <w:autoSpaceDN w:val="0"/>
        <w:adjustRightInd w:val="0"/>
        <w:spacing w:line="240" w:lineRule="auto"/>
        <w:contextualSpacing w:val="0"/>
        <w:jc w:val="left"/>
        <w:rPr>
          <w:color w:val="000000"/>
          <w:sz w:val="24"/>
          <w:szCs w:val="24"/>
        </w:rPr>
      </w:pPr>
      <w:r w:rsidRPr="009F2BDC">
        <w:rPr>
          <w:color w:val="000000"/>
          <w:sz w:val="24"/>
          <w:szCs w:val="24"/>
        </w:rPr>
        <w:t>A</w:t>
      </w:r>
      <w:r w:rsidR="00572955" w:rsidRPr="009F2BDC">
        <w:rPr>
          <w:color w:val="000000"/>
          <w:sz w:val="24"/>
          <w:szCs w:val="24"/>
        </w:rPr>
        <w:t xml:space="preserve">t least </w:t>
      </w:r>
      <w:r w:rsidRPr="009F2BDC">
        <w:rPr>
          <w:color w:val="000000"/>
          <w:sz w:val="24"/>
          <w:szCs w:val="24"/>
        </w:rPr>
        <w:t>three</w:t>
      </w:r>
      <w:r w:rsidR="00572955" w:rsidRPr="009F2BDC">
        <w:rPr>
          <w:color w:val="000000"/>
          <w:sz w:val="24"/>
          <w:szCs w:val="24"/>
        </w:rPr>
        <w:t xml:space="preserve"> manuscript</w:t>
      </w:r>
      <w:r w:rsidRPr="009F2BDC">
        <w:rPr>
          <w:color w:val="000000"/>
          <w:sz w:val="24"/>
          <w:szCs w:val="24"/>
        </w:rPr>
        <w:t>s</w:t>
      </w:r>
      <w:r w:rsidR="00572955" w:rsidRPr="009F2BDC">
        <w:rPr>
          <w:color w:val="000000"/>
          <w:sz w:val="24"/>
          <w:szCs w:val="24"/>
        </w:rPr>
        <w:t xml:space="preserve"> </w:t>
      </w:r>
      <w:r w:rsidRPr="009F2BDC">
        <w:rPr>
          <w:color w:val="000000"/>
          <w:sz w:val="24"/>
          <w:szCs w:val="24"/>
        </w:rPr>
        <w:t>are planned</w:t>
      </w:r>
      <w:r w:rsidR="00572955" w:rsidRPr="009F2BDC">
        <w:rPr>
          <w:color w:val="000000"/>
          <w:sz w:val="24"/>
          <w:szCs w:val="24"/>
        </w:rPr>
        <w:t xml:space="preserve"> for publication in </w:t>
      </w:r>
      <w:r w:rsidRPr="009F2BDC">
        <w:rPr>
          <w:color w:val="000000"/>
          <w:sz w:val="24"/>
          <w:szCs w:val="24"/>
        </w:rPr>
        <w:t>the</w:t>
      </w:r>
      <w:r w:rsidR="001F4A52" w:rsidRPr="009F2BDC">
        <w:rPr>
          <w:color w:val="000000"/>
          <w:sz w:val="24"/>
          <w:szCs w:val="24"/>
        </w:rPr>
        <w:t xml:space="preserve"> </w:t>
      </w:r>
      <w:r w:rsidR="00572955" w:rsidRPr="009F2BDC">
        <w:rPr>
          <w:color w:val="000000"/>
          <w:sz w:val="24"/>
          <w:szCs w:val="24"/>
        </w:rPr>
        <w:t xml:space="preserve">peer reviewed </w:t>
      </w:r>
      <w:r w:rsidRPr="009F2BDC">
        <w:rPr>
          <w:color w:val="000000"/>
          <w:sz w:val="24"/>
          <w:szCs w:val="24"/>
        </w:rPr>
        <w:t>literature</w:t>
      </w:r>
      <w:r w:rsidR="00572955" w:rsidRPr="009F2BDC">
        <w:rPr>
          <w:color w:val="000000"/>
          <w:sz w:val="24"/>
          <w:szCs w:val="24"/>
        </w:rPr>
        <w:t>. Main audiences for these types of journals are fellow researchers, but also OSH practitioners</w:t>
      </w:r>
      <w:r w:rsidRPr="009F2BDC">
        <w:rPr>
          <w:color w:val="000000"/>
          <w:sz w:val="24"/>
          <w:szCs w:val="24"/>
        </w:rPr>
        <w:t>, and stakeholders</w:t>
      </w:r>
      <w:r w:rsidR="00572955" w:rsidRPr="009F2BDC">
        <w:rPr>
          <w:color w:val="000000"/>
          <w:sz w:val="24"/>
          <w:szCs w:val="24"/>
        </w:rPr>
        <w:t xml:space="preserve">. </w:t>
      </w:r>
    </w:p>
    <w:p w14:paraId="782B62C8" w14:textId="77777777" w:rsidR="008329A1" w:rsidRPr="001F4A52" w:rsidRDefault="008329A1" w:rsidP="008329A1">
      <w:pPr>
        <w:pStyle w:val="ListParagraph"/>
        <w:autoSpaceDE w:val="0"/>
        <w:autoSpaceDN w:val="0"/>
        <w:adjustRightInd w:val="0"/>
        <w:spacing w:line="240" w:lineRule="auto"/>
        <w:contextualSpacing w:val="0"/>
        <w:jc w:val="left"/>
        <w:rPr>
          <w:color w:val="000000"/>
          <w:sz w:val="24"/>
          <w:szCs w:val="24"/>
        </w:rPr>
      </w:pPr>
    </w:p>
    <w:p w14:paraId="33799A21" w14:textId="77777777" w:rsidR="009A153F" w:rsidRDefault="009A153F" w:rsidP="0038553A">
      <w:pPr>
        <w:pStyle w:val="Heading2"/>
        <w:rPr>
          <w:b w:val="0"/>
        </w:rPr>
      </w:pPr>
      <w:bookmarkStart w:id="7" w:name="_Toc239826775"/>
      <w:bookmarkStart w:id="8" w:name="_Toc248821742"/>
      <w:bookmarkStart w:id="9" w:name="_Toc261966286"/>
    </w:p>
    <w:p w14:paraId="5B1AA70C" w14:textId="77777777" w:rsidR="0038553A" w:rsidRPr="00F81BA5" w:rsidRDefault="0038553A" w:rsidP="0038553A">
      <w:pPr>
        <w:pStyle w:val="Heading2"/>
        <w:rPr>
          <w:b w:val="0"/>
        </w:rPr>
      </w:pPr>
      <w:r w:rsidRPr="004B6905">
        <w:rPr>
          <w:b w:val="0"/>
        </w:rPr>
        <w:t>A3.</w:t>
      </w:r>
      <w:r w:rsidRPr="004B6905">
        <w:rPr>
          <w:b w:val="0"/>
        </w:rPr>
        <w:tab/>
        <w:t>Use of Improved Information Technology and Burden Reduction</w:t>
      </w:r>
      <w:bookmarkEnd w:id="7"/>
      <w:bookmarkEnd w:id="8"/>
      <w:bookmarkEnd w:id="9"/>
    </w:p>
    <w:p w14:paraId="28876701" w14:textId="77777777" w:rsidR="007E408F" w:rsidRDefault="007E408F" w:rsidP="0038553A"/>
    <w:p w14:paraId="6D875D90" w14:textId="77777777" w:rsidR="004B11CA" w:rsidRDefault="004B11CA" w:rsidP="004B11CA">
      <w:pPr>
        <w:ind w:firstLine="720"/>
      </w:pPr>
      <w:r>
        <w:t xml:space="preserve">This data collection does not involve the use of automated, electronic, mechanical or other technological collection techniques or other forms of information technology. Therefore, none of the responses will involve information technology. Electronic data collection procedures are not being used as they would impose a greater burden on this particular study sample. In order to reduce burden to the employees, data collection will occur at the workplace.  Computers are not accessible at these locations to employ to collect data. </w:t>
      </w:r>
      <w:r w:rsidR="008D218A">
        <w:t xml:space="preserve"> </w:t>
      </w:r>
      <w:r>
        <w:t>It would be simpler for the employees to fill out a paper and pencil survey as opposed to an online survey. With hard copy format questionnaires can be completed on the work shift at any location at any time.  Questionnaires will not contain any identifiers (coded with a study ID number) and will be deposited in a secure drop box.</w:t>
      </w:r>
    </w:p>
    <w:p w14:paraId="7D1D5319" w14:textId="77777777" w:rsidR="000250D3" w:rsidRDefault="000250D3" w:rsidP="004B11CA">
      <w:pPr>
        <w:ind w:firstLine="720"/>
      </w:pPr>
    </w:p>
    <w:p w14:paraId="6909D499" w14:textId="77777777" w:rsidR="0038553A" w:rsidRDefault="0038553A" w:rsidP="0038553A">
      <w:pPr>
        <w:pStyle w:val="Heading2"/>
        <w:rPr>
          <w:b w:val="0"/>
        </w:rPr>
      </w:pPr>
      <w:bookmarkStart w:id="10" w:name="_Toc239826776"/>
      <w:bookmarkStart w:id="11" w:name="_Toc248821743"/>
      <w:bookmarkStart w:id="12" w:name="_Toc261966287"/>
      <w:r w:rsidRPr="008B1340">
        <w:rPr>
          <w:b w:val="0"/>
        </w:rPr>
        <w:t>A4.</w:t>
      </w:r>
      <w:r w:rsidRPr="008B1340">
        <w:rPr>
          <w:b w:val="0"/>
        </w:rPr>
        <w:tab/>
        <w:t>Efforts to Identify Duplication and Use of Similar Information</w:t>
      </w:r>
      <w:bookmarkEnd w:id="10"/>
      <w:bookmarkEnd w:id="11"/>
      <w:bookmarkEnd w:id="12"/>
    </w:p>
    <w:p w14:paraId="392DEECA" w14:textId="77777777" w:rsidR="00BE39A8" w:rsidRDefault="00BE39A8" w:rsidP="00BE39A8">
      <w:pPr>
        <w:rPr>
          <w:lang w:eastAsia="ja-JP"/>
        </w:rPr>
      </w:pPr>
    </w:p>
    <w:p w14:paraId="322E82DE" w14:textId="77777777" w:rsidR="008B1340" w:rsidRDefault="000F3669" w:rsidP="00BE39A8">
      <w:pPr>
        <w:tabs>
          <w:tab w:val="left" w:pos="0"/>
          <w:tab w:val="left" w:pos="540"/>
        </w:tabs>
      </w:pPr>
      <w:r>
        <w:tab/>
      </w:r>
      <w:r w:rsidR="00BE39A8">
        <w:t xml:space="preserve">NIOSH has searched the scientific literature, contacted colleagues </w:t>
      </w:r>
      <w:r w:rsidR="00F22A4F">
        <w:t>throughout the occupational safety and health community</w:t>
      </w:r>
      <w:r w:rsidR="00BE39A8">
        <w:t xml:space="preserve">, </w:t>
      </w:r>
      <w:r w:rsidR="00F22A4F">
        <w:t xml:space="preserve">and </w:t>
      </w:r>
      <w:r w:rsidR="00BE39A8">
        <w:t>contacted professional, labor and industry organizations repre</w:t>
      </w:r>
      <w:r w:rsidR="00473E46">
        <w:t xml:space="preserve">senting </w:t>
      </w:r>
      <w:r w:rsidR="008B1340">
        <w:t>MNF</w:t>
      </w:r>
      <w:r w:rsidR="00473E46">
        <w:t xml:space="preserve"> workers.  NIOSH is</w:t>
      </w:r>
      <w:r w:rsidR="00BE39A8">
        <w:t xml:space="preserve"> unaware of any </w:t>
      </w:r>
      <w:r w:rsidR="00F22A4F">
        <w:t xml:space="preserve">prior </w:t>
      </w:r>
      <w:r w:rsidR="00BE39A8">
        <w:t>MSD intervention effectiveness stud</w:t>
      </w:r>
      <w:r w:rsidR="00F22A4F">
        <w:t>ies</w:t>
      </w:r>
      <w:r w:rsidR="00F63391">
        <w:t xml:space="preserve">, specific </w:t>
      </w:r>
      <w:r w:rsidR="00F22A4F">
        <w:t xml:space="preserve">to preventing shoulder injuries attributable to overhead assembly work, conducted as </w:t>
      </w:r>
      <w:r w:rsidR="008B1340">
        <w:t>a prospective</w:t>
      </w:r>
      <w:r w:rsidR="00BE39A8">
        <w:t xml:space="preserve"> </w:t>
      </w:r>
      <w:r w:rsidR="008B1340">
        <w:t>study</w:t>
      </w:r>
      <w:r w:rsidR="00BE39A8">
        <w:t xml:space="preserve"> design</w:t>
      </w:r>
      <w:r w:rsidR="008B1340">
        <w:t xml:space="preserve">, </w:t>
      </w:r>
      <w:r w:rsidR="00F22A4F">
        <w:t xml:space="preserve">with a </w:t>
      </w:r>
      <w:r w:rsidR="008B1340">
        <w:t>c</w:t>
      </w:r>
      <w:r w:rsidR="00F22A4F">
        <w:t xml:space="preserve">ontrol group and </w:t>
      </w:r>
      <w:r w:rsidR="00C52D3B">
        <w:t xml:space="preserve">group </w:t>
      </w:r>
      <w:r w:rsidR="00F22A4F">
        <w:t>randomization</w:t>
      </w:r>
      <w:r w:rsidR="00F63391">
        <w:t xml:space="preserve">.  Studies of preventive exercise as an intervention to work related </w:t>
      </w:r>
      <w:r w:rsidR="003635E9">
        <w:t xml:space="preserve">musculoskeletal symptoms, pain, and </w:t>
      </w:r>
      <w:r w:rsidR="00F63391">
        <w:t>injury have been conducted (</w:t>
      </w:r>
      <w:r w:rsidR="003635E9">
        <w:t xml:space="preserve">e.g. </w:t>
      </w:r>
      <w:proofErr w:type="spellStart"/>
      <w:r w:rsidR="003635E9">
        <w:t>Sjögren</w:t>
      </w:r>
      <w:proofErr w:type="spellEnd"/>
      <w:r w:rsidR="003635E9">
        <w:t xml:space="preserve"> et al., 2005; </w:t>
      </w:r>
      <w:proofErr w:type="spellStart"/>
      <w:r w:rsidR="003635E9">
        <w:t>Blangsted</w:t>
      </w:r>
      <w:proofErr w:type="spellEnd"/>
      <w:r w:rsidR="003635E9">
        <w:t xml:space="preserve"> et al., 2008;</w:t>
      </w:r>
      <w:r w:rsidR="00F63391">
        <w:t xml:space="preserve"> </w:t>
      </w:r>
      <w:r w:rsidR="003635E9">
        <w:t xml:space="preserve">Camargo et al, 2009; </w:t>
      </w:r>
      <w:proofErr w:type="spellStart"/>
      <w:r w:rsidR="003635E9">
        <w:t>Zebis</w:t>
      </w:r>
      <w:proofErr w:type="spellEnd"/>
      <w:r w:rsidR="003635E9">
        <w:t xml:space="preserve"> et al., 2011</w:t>
      </w:r>
      <w:r w:rsidR="00F63391">
        <w:t xml:space="preserve">).  However, </w:t>
      </w:r>
      <w:r w:rsidR="003635E9">
        <w:t xml:space="preserve">in </w:t>
      </w:r>
      <w:r w:rsidR="00F63391">
        <w:t>these studies</w:t>
      </w:r>
      <w:r w:rsidR="00575F99">
        <w:t xml:space="preserve"> </w:t>
      </w:r>
      <w:r w:rsidR="003635E9">
        <w:t xml:space="preserve">physical exercise interventions </w:t>
      </w:r>
      <w:r w:rsidR="00575F99">
        <w:t>were conducted as the sole preventive strategy and</w:t>
      </w:r>
      <w:r w:rsidR="00F63391">
        <w:t xml:space="preserve"> were not conducted </w:t>
      </w:r>
      <w:r w:rsidR="00F22A4F">
        <w:t>in parallel</w:t>
      </w:r>
      <w:r w:rsidR="00F63391">
        <w:t xml:space="preserve"> with a work design intervention to </w:t>
      </w:r>
      <w:r w:rsidR="004B6905">
        <w:t>allow</w:t>
      </w:r>
      <w:r w:rsidR="00F63391">
        <w:t xml:space="preserve"> a relative comparison of the </w:t>
      </w:r>
      <w:r w:rsidR="004B6905">
        <w:t xml:space="preserve">efficacy of the two approaches.  The unique nature of the </w:t>
      </w:r>
      <w:r w:rsidR="004B6905">
        <w:lastRenderedPageBreak/>
        <w:t>present study design will allow the combined effect of both interventions to be evaluated</w:t>
      </w:r>
      <w:r>
        <w:t xml:space="preserve"> and compared in their efficacy and cost-benefit</w:t>
      </w:r>
      <w:r w:rsidR="004B6905">
        <w:t>.</w:t>
      </w:r>
    </w:p>
    <w:p w14:paraId="3D5F3D10" w14:textId="77777777" w:rsidR="00BE39A8" w:rsidRDefault="00BE39A8" w:rsidP="00BE39A8">
      <w:pPr>
        <w:tabs>
          <w:tab w:val="left" w:pos="0"/>
          <w:tab w:val="left" w:pos="540"/>
        </w:tabs>
      </w:pPr>
      <w:r>
        <w:t xml:space="preserve"> </w:t>
      </w:r>
    </w:p>
    <w:p w14:paraId="09B6746B" w14:textId="77777777" w:rsidR="008D218A" w:rsidRDefault="008D218A" w:rsidP="00BE39A8">
      <w:pPr>
        <w:tabs>
          <w:tab w:val="left" w:pos="0"/>
          <w:tab w:val="left" w:pos="540"/>
        </w:tabs>
      </w:pPr>
    </w:p>
    <w:p w14:paraId="379CEC09" w14:textId="77777777" w:rsidR="0038553A" w:rsidRPr="00F81BA5" w:rsidRDefault="0038553A" w:rsidP="0038553A">
      <w:pPr>
        <w:pStyle w:val="Heading2"/>
        <w:rPr>
          <w:b w:val="0"/>
        </w:rPr>
      </w:pPr>
      <w:bookmarkStart w:id="13" w:name="_Toc239826777"/>
      <w:bookmarkStart w:id="14" w:name="_Toc248821744"/>
      <w:bookmarkStart w:id="15" w:name="_Toc261966288"/>
      <w:r w:rsidRPr="008B1340">
        <w:rPr>
          <w:b w:val="0"/>
        </w:rPr>
        <w:t>A5.</w:t>
      </w:r>
      <w:r w:rsidRPr="008B1340">
        <w:rPr>
          <w:b w:val="0"/>
        </w:rPr>
        <w:tab/>
        <w:t>Impact on Small Businesses or Other Small Entities</w:t>
      </w:r>
      <w:bookmarkEnd w:id="13"/>
      <w:bookmarkEnd w:id="14"/>
      <w:bookmarkEnd w:id="15"/>
    </w:p>
    <w:p w14:paraId="1A17F3D5" w14:textId="77777777" w:rsidR="001F197B" w:rsidRDefault="001F197B" w:rsidP="0038553A"/>
    <w:p w14:paraId="23F1EEB3" w14:textId="77777777" w:rsidR="0038553A" w:rsidRDefault="008B1340" w:rsidP="0038553A">
      <w:r>
        <w:t>No small businesses will be involved in the data collection.</w:t>
      </w:r>
      <w:r w:rsidR="000F3669">
        <w:t xml:space="preserve">  The data collection will be conducted in collaboration with Toyota Motors, which in 2011 had 317,000 employees.</w:t>
      </w:r>
    </w:p>
    <w:p w14:paraId="135F04F9" w14:textId="77777777" w:rsidR="008B1340" w:rsidRDefault="008B1340" w:rsidP="0038553A"/>
    <w:p w14:paraId="3F4E83EC" w14:textId="77777777" w:rsidR="0038553A" w:rsidRPr="00F81BA5" w:rsidRDefault="0038553A" w:rsidP="0038553A">
      <w:pPr>
        <w:pStyle w:val="Heading2"/>
        <w:rPr>
          <w:b w:val="0"/>
        </w:rPr>
      </w:pPr>
      <w:bookmarkStart w:id="16" w:name="_Toc239826778"/>
      <w:bookmarkStart w:id="17" w:name="_Toc248821745"/>
      <w:bookmarkStart w:id="18" w:name="_Toc261966289"/>
      <w:r w:rsidRPr="008B1340">
        <w:rPr>
          <w:b w:val="0"/>
        </w:rPr>
        <w:t>A6.</w:t>
      </w:r>
      <w:r w:rsidRPr="008B1340">
        <w:rPr>
          <w:b w:val="0"/>
        </w:rPr>
        <w:tab/>
        <w:t>Consequences of Information Collected Less Frequently</w:t>
      </w:r>
      <w:bookmarkEnd w:id="16"/>
      <w:bookmarkEnd w:id="17"/>
      <w:bookmarkEnd w:id="18"/>
    </w:p>
    <w:p w14:paraId="4227C8CE" w14:textId="77777777" w:rsidR="00343A22" w:rsidRDefault="00343A22" w:rsidP="0038553A"/>
    <w:p w14:paraId="0B4F5909" w14:textId="77777777" w:rsidR="00D14DD0" w:rsidRDefault="00343A22" w:rsidP="0038553A">
      <w:r>
        <w:t xml:space="preserve">Respondents will be asked to respond to the data collection </w:t>
      </w:r>
      <w:r w:rsidR="00AB2516">
        <w:t xml:space="preserve">once per month </w:t>
      </w:r>
      <w:r>
        <w:t xml:space="preserve">at </w:t>
      </w:r>
      <w:r w:rsidR="00A8221D">
        <w:t xml:space="preserve">three </w:t>
      </w:r>
      <w:r w:rsidR="000F3669">
        <w:t xml:space="preserve">intervals during the </w:t>
      </w:r>
      <w:r w:rsidR="00F63391">
        <w:t xml:space="preserve">pre-intervention </w:t>
      </w:r>
      <w:r>
        <w:t>baseline</w:t>
      </w:r>
      <w:r w:rsidR="00F63391">
        <w:t xml:space="preserve"> observations</w:t>
      </w:r>
      <w:r>
        <w:t xml:space="preserve"> </w:t>
      </w:r>
      <w:r w:rsidR="00A8221D">
        <w:t xml:space="preserve">and </w:t>
      </w:r>
      <w:r w:rsidR="00EC1189">
        <w:t>once per</w:t>
      </w:r>
      <w:r>
        <w:t xml:space="preserve"> month </w:t>
      </w:r>
      <w:r w:rsidR="00F63391">
        <w:t>during a four-month intervention</w:t>
      </w:r>
      <w:r>
        <w:t xml:space="preserve"> period. </w:t>
      </w:r>
      <w:r w:rsidR="00F63391">
        <w:t xml:space="preserve"> Three post-intervention observations will then be made </w:t>
      </w:r>
      <w:r w:rsidR="00285E0B">
        <w:t xml:space="preserve">at one month intervals, after the four month intervention period, </w:t>
      </w:r>
      <w:r w:rsidR="00F63391">
        <w:t>for a total of 10 monthly observation</w:t>
      </w:r>
      <w:r w:rsidR="00A8221D">
        <w:t xml:space="preserve">s.  Physical symptoms will be reported by way of questionnaire administration using the </w:t>
      </w:r>
      <w:r w:rsidR="00285E0B">
        <w:t xml:space="preserve">questionnaire </w:t>
      </w:r>
      <w:r w:rsidR="00A8221D">
        <w:t xml:space="preserve">instruments described in </w:t>
      </w:r>
      <w:r w:rsidR="00A8221D" w:rsidRPr="003635E9">
        <w:t xml:space="preserve">section </w:t>
      </w:r>
      <w:r w:rsidR="003635E9" w:rsidRPr="003635E9">
        <w:t>A1</w:t>
      </w:r>
      <w:r w:rsidR="00A8221D" w:rsidRPr="003635E9">
        <w:t>.</w:t>
      </w:r>
      <w:r w:rsidR="00A8221D">
        <w:t xml:space="preserve"> </w:t>
      </w:r>
      <w:r w:rsidR="007E702C">
        <w:t xml:space="preserve">The </w:t>
      </w:r>
      <w:r w:rsidR="004A1907">
        <w:t xml:space="preserve">data being collected </w:t>
      </w:r>
      <w:r w:rsidR="00A8221D">
        <w:t>will include</w:t>
      </w:r>
      <w:r w:rsidR="007E702C">
        <w:t xml:space="preserve"> self-reported </w:t>
      </w:r>
      <w:r w:rsidR="00EC1189">
        <w:t>shoulder function, upper extremity</w:t>
      </w:r>
      <w:r w:rsidR="007E702C">
        <w:t xml:space="preserve"> pain</w:t>
      </w:r>
      <w:r w:rsidR="00EC1189">
        <w:t xml:space="preserve"> symptoms</w:t>
      </w:r>
      <w:r w:rsidR="004A1907">
        <w:t xml:space="preserve">, </w:t>
      </w:r>
      <w:r w:rsidR="00EC1189">
        <w:t>and body part discomfort</w:t>
      </w:r>
      <w:r w:rsidR="00214159">
        <w:t xml:space="preserve"> </w:t>
      </w:r>
      <w:r w:rsidR="00214159" w:rsidRPr="002651B9">
        <w:t>(A</w:t>
      </w:r>
      <w:r w:rsidR="00473E46" w:rsidRPr="002651B9">
        <w:t xml:space="preserve">ttachments </w:t>
      </w:r>
      <w:r w:rsidR="00655DC3" w:rsidRPr="002651B9">
        <w:t>G</w:t>
      </w:r>
      <w:r w:rsidR="009166B9" w:rsidRPr="002651B9">
        <w:t xml:space="preserve">1- </w:t>
      </w:r>
      <w:r w:rsidR="00655DC3" w:rsidRPr="002651B9">
        <w:t>G5</w:t>
      </w:r>
      <w:r w:rsidR="00214159" w:rsidRPr="002651B9">
        <w:t>)</w:t>
      </w:r>
      <w:r w:rsidR="007E702C" w:rsidRPr="002651B9">
        <w:t>.</w:t>
      </w:r>
      <w:r w:rsidR="007E702C">
        <w:t xml:space="preserve"> The frequency of</w:t>
      </w:r>
      <w:r w:rsidR="004A1907">
        <w:t xml:space="preserve"> this</w:t>
      </w:r>
      <w:r w:rsidR="007E702C">
        <w:t xml:space="preserve"> data col</w:t>
      </w:r>
      <w:r w:rsidR="00D14DD0">
        <w:t xml:space="preserve">lection is justified based on several </w:t>
      </w:r>
      <w:r w:rsidR="001E09BF">
        <w:t>factors</w:t>
      </w:r>
      <w:r w:rsidR="00D14DD0">
        <w:t>:</w:t>
      </w:r>
    </w:p>
    <w:p w14:paraId="7E176BB5" w14:textId="77777777" w:rsidR="00D14DD0" w:rsidRDefault="00D14DD0" w:rsidP="0038553A"/>
    <w:p w14:paraId="638BFCDB" w14:textId="77777777" w:rsidR="00DD49FA" w:rsidRDefault="00DD49FA" w:rsidP="00DD49FA">
      <w:pPr>
        <w:numPr>
          <w:ilvl w:val="0"/>
          <w:numId w:val="49"/>
        </w:numPr>
      </w:pPr>
      <w:r>
        <w:t xml:space="preserve">A </w:t>
      </w:r>
      <w:r w:rsidR="00D95AC2">
        <w:t>shortcoming</w:t>
      </w:r>
      <w:r>
        <w:t xml:space="preserve"> of previous studies is the single measurement of </w:t>
      </w:r>
      <w:r w:rsidR="00D95AC2">
        <w:t xml:space="preserve">baseline and </w:t>
      </w:r>
      <w:r>
        <w:t>post-intervention</w:t>
      </w:r>
      <w:r w:rsidR="00D95AC2">
        <w:t xml:space="preserve"> symptoms</w:t>
      </w:r>
      <w:r>
        <w:t xml:space="preserve">.  Collecting multiple measurements </w:t>
      </w:r>
      <w:r w:rsidR="00285E0B">
        <w:t>prior to the introduction of the intervention</w:t>
      </w:r>
      <w:r>
        <w:t xml:space="preserve"> strengthens the study by avoiding regression to the mean effects.  Collecting measurements </w:t>
      </w:r>
      <w:r w:rsidR="00D95AC2">
        <w:t xml:space="preserve">less frequently </w:t>
      </w:r>
      <w:r>
        <w:t xml:space="preserve">(i.e. quarterly as opposed to monthly) </w:t>
      </w:r>
      <w:r w:rsidR="00D95AC2">
        <w:t xml:space="preserve">at </w:t>
      </w:r>
      <w:r>
        <w:t xml:space="preserve">multiple </w:t>
      </w:r>
      <w:r w:rsidR="00D95AC2">
        <w:t>intervals</w:t>
      </w:r>
      <w:r>
        <w:t xml:space="preserve"> pre- and post-intervention would increase</w:t>
      </w:r>
      <w:r w:rsidR="00D95AC2">
        <w:t xml:space="preserve"> the total study duration.</w:t>
      </w:r>
      <w:r w:rsidR="001E09BF">
        <w:t xml:space="preserve">  Keeping the study duration the same (10 months) and collecting the information less frequently would yield fewer observations and a less stable estimate of pre- and post-intervention symptoms.</w:t>
      </w:r>
    </w:p>
    <w:p w14:paraId="0C705260" w14:textId="77777777" w:rsidR="00D14DD0" w:rsidRDefault="00DD49FA" w:rsidP="00DD49FA">
      <w:pPr>
        <w:numPr>
          <w:ilvl w:val="0"/>
          <w:numId w:val="49"/>
        </w:numPr>
      </w:pPr>
      <w:r>
        <w:t>M</w:t>
      </w:r>
      <w:r w:rsidR="007E702C">
        <w:t xml:space="preserve">usculoskeletal </w:t>
      </w:r>
      <w:r w:rsidR="00EC1189">
        <w:t xml:space="preserve">exposures, symptoms, and </w:t>
      </w:r>
      <w:r w:rsidR="007E702C">
        <w:t>pain</w:t>
      </w:r>
      <w:r w:rsidR="004A1907">
        <w:t xml:space="preserve"> and </w:t>
      </w:r>
      <w:r w:rsidR="00EC1189">
        <w:t>discomfort</w:t>
      </w:r>
      <w:r w:rsidR="004A1907">
        <w:t xml:space="preserve"> can vary over time </w:t>
      </w:r>
      <w:r w:rsidR="00473E46">
        <w:t>(</w:t>
      </w:r>
      <w:proofErr w:type="spellStart"/>
      <w:r w:rsidR="00D300F9">
        <w:t>McGorry</w:t>
      </w:r>
      <w:proofErr w:type="spellEnd"/>
      <w:r w:rsidR="00D300F9">
        <w:t xml:space="preserve"> et al</w:t>
      </w:r>
      <w:r>
        <w:t>.,</w:t>
      </w:r>
      <w:r w:rsidR="00D300F9">
        <w:t xml:space="preserve"> 2011)</w:t>
      </w:r>
      <w:r w:rsidR="00473E46">
        <w:t xml:space="preserve"> </w:t>
      </w:r>
      <w:r w:rsidR="004A1907">
        <w:t xml:space="preserve">and </w:t>
      </w:r>
      <w:r w:rsidR="007E702C">
        <w:t xml:space="preserve">less frequent </w:t>
      </w:r>
      <w:r w:rsidR="001E09BF">
        <w:t>data collection</w:t>
      </w:r>
      <w:r w:rsidR="007E702C">
        <w:t xml:space="preserve"> would not be sensitive to episodes of pain that resolve </w:t>
      </w:r>
      <w:r w:rsidR="00EC1189">
        <w:t>more rapidly</w:t>
      </w:r>
      <w:r w:rsidR="00A8221D">
        <w:t xml:space="preserve">. </w:t>
      </w:r>
    </w:p>
    <w:p w14:paraId="4C14E72B" w14:textId="77777777" w:rsidR="00D14DD0" w:rsidRDefault="00D14DD0" w:rsidP="00DD49FA">
      <w:pPr>
        <w:numPr>
          <w:ilvl w:val="0"/>
          <w:numId w:val="49"/>
        </w:numPr>
      </w:pPr>
      <w:r>
        <w:t>P</w:t>
      </w:r>
      <w:r w:rsidR="00A8221D">
        <w:t>roblems with recall may affect longer intervals between symptom reporting by questionnaire</w:t>
      </w:r>
      <w:r w:rsidR="007E702C">
        <w:t>.</w:t>
      </w:r>
      <w:r w:rsidR="00A8221D">
        <w:t xml:space="preserve">  </w:t>
      </w:r>
    </w:p>
    <w:p w14:paraId="58F54299" w14:textId="77777777" w:rsidR="00D14DD0" w:rsidRDefault="00D14DD0" w:rsidP="0038553A"/>
    <w:p w14:paraId="5408C996" w14:textId="77777777" w:rsidR="00343A22" w:rsidRDefault="00285E0B" w:rsidP="0038553A">
      <w:r w:rsidRPr="00DD49FA">
        <w:t>Well-designed</w:t>
      </w:r>
      <w:r w:rsidR="00D14DD0" w:rsidRPr="00DD49FA">
        <w:t xml:space="preserve"> s</w:t>
      </w:r>
      <w:r w:rsidR="00A8221D" w:rsidRPr="00DD49FA">
        <w:t xml:space="preserve">tudies of shoulder preventive exercise have collected </w:t>
      </w:r>
      <w:r w:rsidR="00DD49FA">
        <w:t xml:space="preserve">symptom </w:t>
      </w:r>
      <w:r w:rsidR="00A8221D" w:rsidRPr="00DD49FA">
        <w:t xml:space="preserve">reports </w:t>
      </w:r>
      <w:r w:rsidR="005C3257" w:rsidRPr="00DD49FA">
        <w:t xml:space="preserve">at </w:t>
      </w:r>
      <w:r w:rsidR="00D95AC2">
        <w:t xml:space="preserve">multiple </w:t>
      </w:r>
      <w:r w:rsidR="00DD49FA" w:rsidRPr="00DD49FA">
        <w:t xml:space="preserve">intervals </w:t>
      </w:r>
      <w:r w:rsidR="00D95AC2">
        <w:t xml:space="preserve">and have done so </w:t>
      </w:r>
      <w:r>
        <w:t>much more</w:t>
      </w:r>
      <w:r w:rsidR="00DD49FA" w:rsidRPr="00DD49FA">
        <w:t xml:space="preserve"> frequent</w:t>
      </w:r>
      <w:r w:rsidR="00D95AC2">
        <w:t>ly</w:t>
      </w:r>
      <w:r w:rsidR="00DD49FA" w:rsidRPr="00DD49FA">
        <w:t xml:space="preserve"> </w:t>
      </w:r>
      <w:r>
        <w:t xml:space="preserve">than quarterly </w:t>
      </w:r>
      <w:r w:rsidR="005C3257" w:rsidRPr="00DD49FA">
        <w:t>(</w:t>
      </w:r>
      <w:r>
        <w:t xml:space="preserve">for example,  </w:t>
      </w:r>
      <w:proofErr w:type="spellStart"/>
      <w:r w:rsidR="005C3257" w:rsidRPr="00DD49FA">
        <w:t>Sjogren</w:t>
      </w:r>
      <w:proofErr w:type="spellEnd"/>
      <w:r w:rsidR="005C3257" w:rsidRPr="00DD49FA">
        <w:t xml:space="preserve"> et al, 2005</w:t>
      </w:r>
      <w:r>
        <w:t xml:space="preserve"> queries </w:t>
      </w:r>
      <w:proofErr w:type="spellStart"/>
      <w:r>
        <w:t>symotoms</w:t>
      </w:r>
      <w:proofErr w:type="spellEnd"/>
      <w:r>
        <w:t xml:space="preserve"> at 5 week intervals</w:t>
      </w:r>
      <w:r w:rsidR="005C3257" w:rsidRPr="00DD49FA">
        <w:t>)</w:t>
      </w:r>
      <w:r w:rsidR="00A8221D" w:rsidRPr="00DD49FA">
        <w:t>.</w:t>
      </w:r>
      <w:r w:rsidR="00A8221D">
        <w:t xml:space="preserve"> </w:t>
      </w:r>
      <w:r w:rsidR="007E702C">
        <w:t xml:space="preserve"> The planned frequency of data collection </w:t>
      </w:r>
      <w:r w:rsidR="001E09BF">
        <w:t xml:space="preserve">in the proposed study </w:t>
      </w:r>
      <w:r w:rsidR="007E702C">
        <w:t xml:space="preserve">is </w:t>
      </w:r>
      <w:r w:rsidR="00DD49FA">
        <w:t xml:space="preserve">believed to be justified, and reducing this frequency </w:t>
      </w:r>
      <w:r w:rsidR="00D95AC2">
        <w:t>would sacrifice</w:t>
      </w:r>
      <w:r w:rsidR="007E702C">
        <w:t xml:space="preserve"> </w:t>
      </w:r>
      <w:r w:rsidR="00D95AC2">
        <w:t xml:space="preserve">the ability to avoid mean regression effects and attain the </w:t>
      </w:r>
      <w:r w:rsidR="007E702C">
        <w:t xml:space="preserve">sensitivity </w:t>
      </w:r>
      <w:r w:rsidR="00EC1189">
        <w:t xml:space="preserve">needed </w:t>
      </w:r>
      <w:r w:rsidR="00DD49FA">
        <w:t>for an</w:t>
      </w:r>
      <w:r w:rsidR="007E702C">
        <w:t xml:space="preserve"> intervention effectiveness study</w:t>
      </w:r>
      <w:r w:rsidR="00DD49FA">
        <w:t xml:space="preserve"> of the highest quality</w:t>
      </w:r>
      <w:r w:rsidR="007E702C">
        <w:t xml:space="preserve">. </w:t>
      </w:r>
      <w:r w:rsidR="00343A22" w:rsidRPr="00F81BA5">
        <w:t>There are no legal obstacles to reduce the burden.</w:t>
      </w:r>
    </w:p>
    <w:p w14:paraId="702A6FCF" w14:textId="77777777" w:rsidR="00EC1189" w:rsidRDefault="00EC1189" w:rsidP="0038553A"/>
    <w:p w14:paraId="27103CC1" w14:textId="77777777" w:rsidR="00D95AC2" w:rsidRDefault="00D95AC2" w:rsidP="0038553A"/>
    <w:p w14:paraId="34F788F6" w14:textId="77777777" w:rsidR="0038553A" w:rsidRPr="00F81BA5" w:rsidRDefault="0038553A" w:rsidP="0038553A">
      <w:pPr>
        <w:pStyle w:val="Heading2"/>
        <w:rPr>
          <w:b w:val="0"/>
        </w:rPr>
      </w:pPr>
      <w:bookmarkStart w:id="19" w:name="_Toc239826779"/>
      <w:bookmarkStart w:id="20" w:name="_Toc248821746"/>
      <w:bookmarkStart w:id="21" w:name="_Toc261966290"/>
      <w:r w:rsidRPr="001E09BF">
        <w:rPr>
          <w:b w:val="0"/>
        </w:rPr>
        <w:t>A7.</w:t>
      </w:r>
      <w:r w:rsidRPr="001E09BF">
        <w:rPr>
          <w:b w:val="0"/>
        </w:rPr>
        <w:tab/>
        <w:t>Special Circumstances Relating</w:t>
      </w:r>
      <w:r w:rsidR="00EC1189" w:rsidRPr="001E09BF">
        <w:rPr>
          <w:b w:val="0"/>
        </w:rPr>
        <w:t xml:space="preserve"> </w:t>
      </w:r>
      <w:r w:rsidRPr="001E09BF">
        <w:rPr>
          <w:b w:val="0"/>
        </w:rPr>
        <w:t>to the Guidelines of 5 CFR 1320.5</w:t>
      </w:r>
      <w:bookmarkEnd w:id="19"/>
      <w:bookmarkEnd w:id="20"/>
      <w:bookmarkEnd w:id="21"/>
    </w:p>
    <w:p w14:paraId="174E1ED6" w14:textId="77777777" w:rsidR="00473E46" w:rsidRDefault="00473E46" w:rsidP="0038553A"/>
    <w:p w14:paraId="2B01A693" w14:textId="77777777" w:rsidR="0038553A" w:rsidRDefault="00EC1189" w:rsidP="0038553A">
      <w:r>
        <w:t xml:space="preserve">Information collection will occur more frequently than quarterly for the reason described in section A.6.  </w:t>
      </w:r>
      <w:r w:rsidR="0038553A" w:rsidRPr="00F81BA5">
        <w:t>There are no special circumstances associated with this data collection activity. This request fully complies with regulation 5 CFR 1320.5.</w:t>
      </w:r>
    </w:p>
    <w:p w14:paraId="79601D08" w14:textId="77777777" w:rsidR="001E09BF" w:rsidRDefault="001E09BF" w:rsidP="0038553A">
      <w:pPr>
        <w:pStyle w:val="Heading2"/>
        <w:ind w:left="720" w:hanging="720"/>
        <w:rPr>
          <w:b w:val="0"/>
        </w:rPr>
      </w:pPr>
      <w:bookmarkStart w:id="22" w:name="_Toc239826780"/>
      <w:bookmarkStart w:id="23" w:name="_Toc248821747"/>
      <w:bookmarkStart w:id="24" w:name="_Toc261966291"/>
    </w:p>
    <w:p w14:paraId="7746AE9E" w14:textId="77777777" w:rsidR="0038553A" w:rsidRPr="00F81BA5" w:rsidRDefault="0038553A" w:rsidP="0038553A">
      <w:pPr>
        <w:pStyle w:val="Heading2"/>
        <w:ind w:left="720" w:hanging="720"/>
        <w:rPr>
          <w:b w:val="0"/>
        </w:rPr>
      </w:pPr>
      <w:r w:rsidRPr="008D248E">
        <w:rPr>
          <w:b w:val="0"/>
        </w:rPr>
        <w:t>A8.</w:t>
      </w:r>
      <w:r w:rsidRPr="008D248E">
        <w:rPr>
          <w:b w:val="0"/>
        </w:rPr>
        <w:tab/>
        <w:t>Comments in Response to the Federal Register Notice and Efforts to Consult Outside the Agency</w:t>
      </w:r>
      <w:bookmarkEnd w:id="22"/>
      <w:bookmarkEnd w:id="23"/>
      <w:bookmarkEnd w:id="24"/>
    </w:p>
    <w:p w14:paraId="6DA5E732" w14:textId="77777777" w:rsidR="00CF3A2A" w:rsidRDefault="00CF3A2A" w:rsidP="0038553A">
      <w:pPr>
        <w:pStyle w:val="QuickA"/>
        <w:ind w:left="0" w:firstLine="0"/>
      </w:pPr>
    </w:p>
    <w:p w14:paraId="10A3567D" w14:textId="394F3866" w:rsidR="00CF3A2A" w:rsidRPr="000A310B" w:rsidRDefault="00FA7614" w:rsidP="00FA7614">
      <w:pPr>
        <w:pStyle w:val="QuickA"/>
        <w:tabs>
          <w:tab w:val="left" w:pos="0"/>
          <w:tab w:val="left" w:pos="360"/>
          <w:tab w:val="left" w:pos="1080"/>
        </w:tabs>
        <w:ind w:left="0" w:firstLine="0"/>
        <w:outlineLvl w:val="9"/>
      </w:pPr>
      <w:r>
        <w:t>A:</w:t>
      </w:r>
      <w:r w:rsidR="00473E46">
        <w:t xml:space="preserve"> </w:t>
      </w:r>
      <w:r>
        <w:t xml:space="preserve"> </w:t>
      </w:r>
      <w:r w:rsidR="00AF6B5C">
        <w:t>A</w:t>
      </w:r>
      <w:r w:rsidR="00CF3A2A" w:rsidRPr="00E07467">
        <w:t xml:space="preserve"> 60-day publication period in the </w:t>
      </w:r>
      <w:r w:rsidR="00CF3A2A" w:rsidRPr="00FA4E2B">
        <w:rPr>
          <w:i/>
        </w:rPr>
        <w:t>Federal Register</w:t>
      </w:r>
      <w:r w:rsidR="00CF3A2A" w:rsidRPr="00FA4E2B">
        <w:t xml:space="preserve"> (</w:t>
      </w:r>
      <w:r w:rsidR="0007303F">
        <w:t xml:space="preserve">June </w:t>
      </w:r>
      <w:r w:rsidR="002A31B5" w:rsidRPr="00830147">
        <w:t>5</w:t>
      </w:r>
      <w:r w:rsidR="00CF3A2A" w:rsidRPr="000A310B">
        <w:t>,</w:t>
      </w:r>
      <w:r w:rsidR="00AF6B5C" w:rsidRPr="000A310B">
        <w:t xml:space="preserve"> </w:t>
      </w:r>
      <w:r w:rsidR="002A31B5" w:rsidRPr="000A310B">
        <w:t xml:space="preserve">2015 </w:t>
      </w:r>
      <w:r w:rsidR="00AF6B5C" w:rsidRPr="000A310B">
        <w:t>v</w:t>
      </w:r>
      <w:r w:rsidR="00CF3A2A" w:rsidRPr="000A310B">
        <w:t xml:space="preserve">ol. </w:t>
      </w:r>
      <w:r w:rsidR="002A31B5" w:rsidRPr="000A310B">
        <w:t>80</w:t>
      </w:r>
      <w:r w:rsidR="00CF3A2A" w:rsidRPr="000A310B">
        <w:t xml:space="preserve">, No. </w:t>
      </w:r>
      <w:r w:rsidR="002A31B5" w:rsidRPr="000A310B">
        <w:t>108</w:t>
      </w:r>
      <w:r w:rsidR="00D7404A">
        <w:t>, pp.32131</w:t>
      </w:r>
      <w:r w:rsidR="002A31B5" w:rsidRPr="000A310B">
        <w:t>)</w:t>
      </w:r>
      <w:r w:rsidR="0079500F">
        <w:t xml:space="preserve"> </w:t>
      </w:r>
      <w:r w:rsidR="00D7404A">
        <w:t xml:space="preserve">(See </w:t>
      </w:r>
      <w:proofErr w:type="spellStart"/>
      <w:r w:rsidR="00D7404A">
        <w:t>Att</w:t>
      </w:r>
      <w:proofErr w:type="spellEnd"/>
      <w:r w:rsidR="00D7404A">
        <w:t xml:space="preserve"> B)</w:t>
      </w:r>
      <w:r w:rsidR="00CF3A2A" w:rsidRPr="00AF6B5C">
        <w:rPr>
          <w:u w:val="single"/>
        </w:rPr>
        <w:t xml:space="preserve"> </w:t>
      </w:r>
      <w:r w:rsidR="002A31B5" w:rsidRPr="000A310B">
        <w:t>No p</w:t>
      </w:r>
      <w:r w:rsidR="00EE1CB1" w:rsidRPr="00830147">
        <w:rPr>
          <w:bCs/>
          <w:iCs/>
        </w:rPr>
        <w:t>ublic comments were received</w:t>
      </w:r>
      <w:r w:rsidR="002A31B5" w:rsidRPr="00830147">
        <w:rPr>
          <w:bCs/>
          <w:iCs/>
        </w:rPr>
        <w:t>.</w:t>
      </w:r>
    </w:p>
    <w:p w14:paraId="6539AD7C" w14:textId="77777777" w:rsidR="00FA7614" w:rsidRDefault="00FA7614" w:rsidP="00FA7614">
      <w:pPr>
        <w:pStyle w:val="QuickA"/>
        <w:tabs>
          <w:tab w:val="left" w:pos="0"/>
          <w:tab w:val="left" w:pos="360"/>
          <w:tab w:val="left" w:pos="1080"/>
        </w:tabs>
        <w:ind w:left="0" w:firstLine="0"/>
        <w:outlineLvl w:val="9"/>
      </w:pPr>
    </w:p>
    <w:p w14:paraId="70C15119" w14:textId="77777777" w:rsidR="00981EEA" w:rsidRDefault="00FA7614" w:rsidP="00981EEA">
      <w:pPr>
        <w:pStyle w:val="QuickA"/>
        <w:tabs>
          <w:tab w:val="left" w:pos="0"/>
          <w:tab w:val="left" w:pos="360"/>
        </w:tabs>
        <w:ind w:left="0" w:firstLine="0"/>
      </w:pPr>
      <w:r>
        <w:t xml:space="preserve">B: </w:t>
      </w:r>
      <w:r w:rsidR="00473E46">
        <w:t xml:space="preserve"> </w:t>
      </w:r>
      <w:r w:rsidR="00CF3A2A" w:rsidRPr="005A4AEC">
        <w:t xml:space="preserve">NIOSH has consulted </w:t>
      </w:r>
      <w:r w:rsidR="0038553A" w:rsidRPr="00F81BA5">
        <w:t>with numerous individuals and organizations outside the agency regarding the availability and usefulness of the proposed data collection</w:t>
      </w:r>
      <w:r w:rsidR="00981EEA">
        <w:t>. The following chronology documents these contacts:</w:t>
      </w:r>
    </w:p>
    <w:p w14:paraId="4351313B" w14:textId="77777777" w:rsidR="008D248E" w:rsidRDefault="008D248E" w:rsidP="0038553A">
      <w:pPr>
        <w:pStyle w:val="Heading4"/>
        <w:rPr>
          <w:b/>
        </w:rPr>
      </w:pPr>
    </w:p>
    <w:p w14:paraId="1CDA75BC" w14:textId="77777777" w:rsidR="002B5001" w:rsidRPr="002B5001" w:rsidRDefault="002B5001" w:rsidP="00EE4839">
      <w:pPr>
        <w:rPr>
          <w:b/>
          <w:i/>
          <w:lang w:eastAsia="ja-JP"/>
        </w:rPr>
      </w:pPr>
      <w:r w:rsidRPr="002B5001">
        <w:rPr>
          <w:b/>
          <w:i/>
          <w:lang w:eastAsia="ja-JP"/>
        </w:rPr>
        <w:t>July, 2009</w:t>
      </w:r>
    </w:p>
    <w:p w14:paraId="03E363D9" w14:textId="77777777" w:rsidR="002B5001" w:rsidRDefault="002B5001" w:rsidP="00EE4839">
      <w:pPr>
        <w:rPr>
          <w:lang w:eastAsia="ja-JP"/>
        </w:rPr>
      </w:pPr>
    </w:p>
    <w:p w14:paraId="457A384D" w14:textId="77777777" w:rsidR="00EA6E88" w:rsidRDefault="002B5001" w:rsidP="00EE4839">
      <w:pPr>
        <w:rPr>
          <w:lang w:eastAsia="ja-JP"/>
        </w:rPr>
      </w:pPr>
      <w:r>
        <w:rPr>
          <w:lang w:eastAsia="ja-JP"/>
        </w:rPr>
        <w:t>The National Institute for Occupational Safety and Health (NIOSH) and Toyota Motor Engineering &amp; Manufacturing North America, Inc. (TEMA) Department of Environmental and Safety Engineering</w:t>
      </w:r>
      <w:r w:rsidR="00EA6E88">
        <w:rPr>
          <w:lang w:eastAsia="ja-JP"/>
        </w:rPr>
        <w:t xml:space="preserve"> sign a Memorandum of Understanding and</w:t>
      </w:r>
      <w:r>
        <w:rPr>
          <w:lang w:eastAsia="ja-JP"/>
        </w:rPr>
        <w:t xml:space="preserve"> establish a Partnership to use their collaborative efforts and expertise to advance the protection of workers, promote best practices, and encourage employers to develop and utilize safety and health management programs and effective prevention strategies and technologies.</w:t>
      </w:r>
      <w:r w:rsidR="00EA6E88">
        <w:rPr>
          <w:lang w:eastAsia="ja-JP"/>
        </w:rPr>
        <w:t xml:space="preserve">  The project objectives were discussed with senior management at TEMA (Mr. Kevin Butt, General Manager, Toyota Motor Engineering &amp; Manufacturing North America, Inc.)</w:t>
      </w:r>
      <w:r w:rsidR="00F8336F">
        <w:rPr>
          <w:lang w:eastAsia="ja-JP"/>
        </w:rPr>
        <w:t>.</w:t>
      </w:r>
    </w:p>
    <w:p w14:paraId="7CCEABD9" w14:textId="77777777" w:rsidR="001521E9" w:rsidRDefault="008D248E" w:rsidP="0038553A">
      <w:pPr>
        <w:pStyle w:val="Heading4"/>
        <w:rPr>
          <w:b/>
        </w:rPr>
      </w:pPr>
      <w:r w:rsidRPr="00D95AC2">
        <w:rPr>
          <w:b/>
        </w:rPr>
        <w:t>May, 2010</w:t>
      </w:r>
    </w:p>
    <w:p w14:paraId="1FA3A7C8" w14:textId="77777777" w:rsidR="008D248E" w:rsidRDefault="008D248E" w:rsidP="008D248E">
      <w:pPr>
        <w:rPr>
          <w:lang w:eastAsia="ja-JP"/>
        </w:rPr>
      </w:pPr>
    </w:p>
    <w:p w14:paraId="6468788C" w14:textId="77777777" w:rsidR="008D248E" w:rsidRDefault="008D248E" w:rsidP="008D248E">
      <w:pPr>
        <w:rPr>
          <w:lang w:eastAsia="ja-JP"/>
        </w:rPr>
      </w:pPr>
      <w:r>
        <w:rPr>
          <w:lang w:eastAsia="ja-JP"/>
        </w:rPr>
        <w:t xml:space="preserve">The project concept was presented at the National Occupational Research Agenda (NORA) Manufacturing Sector Council Meeting.  </w:t>
      </w:r>
      <w:r w:rsidR="00EE4839">
        <w:rPr>
          <w:lang w:eastAsia="ja-JP"/>
        </w:rPr>
        <w:t>This sector council is made up of industry</w:t>
      </w:r>
      <w:r w:rsidR="00EA6E88">
        <w:rPr>
          <w:lang w:eastAsia="ja-JP"/>
        </w:rPr>
        <w:t xml:space="preserve"> </w:t>
      </w:r>
      <w:r w:rsidR="00EE4839">
        <w:rPr>
          <w:lang w:eastAsia="ja-JP"/>
        </w:rPr>
        <w:t xml:space="preserve">leaders in the Manufacturing Sector. </w:t>
      </w:r>
      <w:r w:rsidR="00EA6E88">
        <w:rPr>
          <w:lang w:eastAsia="ja-JP"/>
        </w:rPr>
        <w:t xml:space="preserve"> The sector council is charged with shaping research priorities with respect to a national research agenda for </w:t>
      </w:r>
      <w:r w:rsidR="001021AF">
        <w:rPr>
          <w:lang w:eastAsia="ja-JP"/>
        </w:rPr>
        <w:t xml:space="preserve">occupational </w:t>
      </w:r>
      <w:r w:rsidR="00EA6E88">
        <w:rPr>
          <w:lang w:eastAsia="ja-JP"/>
        </w:rPr>
        <w:t>safety and health in the Manufacturing Sector.  Sector</w:t>
      </w:r>
      <w:r w:rsidR="00EE4839">
        <w:rPr>
          <w:lang w:eastAsia="ja-JP"/>
        </w:rPr>
        <w:t xml:space="preserve"> council members showed support for the project. </w:t>
      </w:r>
    </w:p>
    <w:p w14:paraId="16E58B59" w14:textId="77777777" w:rsidR="0038553A" w:rsidRDefault="00473E46" w:rsidP="0038553A">
      <w:pPr>
        <w:pStyle w:val="Heading4"/>
        <w:rPr>
          <w:b/>
        </w:rPr>
      </w:pPr>
      <w:r>
        <w:rPr>
          <w:b/>
        </w:rPr>
        <w:t>Ju</w:t>
      </w:r>
      <w:r w:rsidR="001A2F13">
        <w:rPr>
          <w:b/>
        </w:rPr>
        <w:t>ne</w:t>
      </w:r>
      <w:r w:rsidR="008D248E">
        <w:rPr>
          <w:b/>
        </w:rPr>
        <w:t>,</w:t>
      </w:r>
      <w:r>
        <w:rPr>
          <w:b/>
        </w:rPr>
        <w:t xml:space="preserve"> </w:t>
      </w:r>
      <w:r w:rsidR="0038553A" w:rsidRPr="002B72A0">
        <w:rPr>
          <w:b/>
        </w:rPr>
        <w:t>20</w:t>
      </w:r>
      <w:r w:rsidR="00FA7614" w:rsidRPr="002B72A0">
        <w:rPr>
          <w:b/>
        </w:rPr>
        <w:t>1</w:t>
      </w:r>
      <w:r w:rsidR="001521E9">
        <w:rPr>
          <w:b/>
        </w:rPr>
        <w:t>1</w:t>
      </w:r>
    </w:p>
    <w:p w14:paraId="7F1F8BCD" w14:textId="77777777" w:rsidR="00473E46" w:rsidRDefault="00473E46" w:rsidP="00302EC4">
      <w:pPr>
        <w:pStyle w:val="QuickA"/>
        <w:ind w:left="0" w:firstLine="0"/>
        <w:rPr>
          <w:color w:val="auto"/>
        </w:rPr>
      </w:pPr>
    </w:p>
    <w:p w14:paraId="784339B2" w14:textId="77777777" w:rsidR="00C1617D" w:rsidRPr="00167398" w:rsidRDefault="00473E46" w:rsidP="00302EC4">
      <w:pPr>
        <w:pStyle w:val="QuickA"/>
        <w:ind w:left="0" w:firstLine="0"/>
      </w:pPr>
      <w:r>
        <w:rPr>
          <w:color w:val="auto"/>
        </w:rPr>
        <w:t>T</w:t>
      </w:r>
      <w:r w:rsidR="0038553A" w:rsidRPr="00F81BA5">
        <w:t xml:space="preserve">he </w:t>
      </w:r>
      <w:r w:rsidR="00BD6EC8">
        <w:t xml:space="preserve">MSD intervention study was </w:t>
      </w:r>
      <w:r w:rsidR="0038553A" w:rsidRPr="00F81BA5">
        <w:t xml:space="preserve">peer-reviewed </w:t>
      </w:r>
      <w:r w:rsidR="001521E9">
        <w:t xml:space="preserve">as part of </w:t>
      </w:r>
      <w:r w:rsidR="00302EC4">
        <w:t xml:space="preserve">the NIOSH National </w:t>
      </w:r>
      <w:r w:rsidR="00302EC4">
        <w:lastRenderedPageBreak/>
        <w:t>Occupational Research Agenda (NORA) competitive process for intramural research.</w:t>
      </w:r>
      <w:r w:rsidR="0038553A" w:rsidRPr="00F81BA5">
        <w:t xml:space="preserve"> </w:t>
      </w:r>
      <w:r w:rsidR="001021AF">
        <w:t xml:space="preserve">This peer review was equivalent to a study section review of an NIH grant application.  </w:t>
      </w:r>
      <w:r w:rsidR="0038553A" w:rsidRPr="00F81BA5">
        <w:t xml:space="preserve">The project received </w:t>
      </w:r>
      <w:r w:rsidR="001A2F13">
        <w:t xml:space="preserve">a </w:t>
      </w:r>
      <w:r w:rsidR="00285E0B">
        <w:t>highly competitive</w:t>
      </w:r>
      <w:r w:rsidR="0038553A" w:rsidRPr="00F81BA5">
        <w:t xml:space="preserve"> score and </w:t>
      </w:r>
      <w:r w:rsidR="00302EC4">
        <w:t xml:space="preserve">was </w:t>
      </w:r>
      <w:r w:rsidR="001A2F13">
        <w:t>chosen</w:t>
      </w:r>
      <w:r w:rsidR="00302EC4">
        <w:t xml:space="preserve"> for funding by NIOSH</w:t>
      </w:r>
      <w:r w:rsidR="00285E0B">
        <w:t xml:space="preserve"> in FY2013</w:t>
      </w:r>
      <w:r w:rsidR="00C1617D">
        <w:t xml:space="preserve">. </w:t>
      </w:r>
      <w:r w:rsidR="00167398">
        <w:t>The review panel</w:t>
      </w:r>
      <w:r w:rsidR="00285E0B">
        <w:t xml:space="preserve"> members</w:t>
      </w:r>
      <w:r w:rsidR="00167398">
        <w:t xml:space="preserve"> for the NORA </w:t>
      </w:r>
      <w:r w:rsidR="00D64572">
        <w:t>Fiscal Year 201</w:t>
      </w:r>
      <w:r w:rsidR="001521E9">
        <w:t>2</w:t>
      </w:r>
      <w:r w:rsidR="00D64572">
        <w:t xml:space="preserve"> </w:t>
      </w:r>
      <w:r w:rsidR="00167398">
        <w:t xml:space="preserve">process is </w:t>
      </w:r>
      <w:r w:rsidR="00167398" w:rsidRPr="00167398">
        <w:t>listed below.</w:t>
      </w:r>
    </w:p>
    <w:p w14:paraId="4609562D" w14:textId="77777777" w:rsidR="00167398" w:rsidRDefault="00167398" w:rsidP="00302EC4">
      <w:pPr>
        <w:pStyle w:val="QuickA"/>
        <w:ind w:left="0" w:firstLine="0"/>
      </w:pPr>
    </w:p>
    <w:p w14:paraId="6F3BE791" w14:textId="77777777" w:rsidR="00B974ED" w:rsidRDefault="004E11F1" w:rsidP="00302EC4">
      <w:pPr>
        <w:pStyle w:val="QuickA"/>
        <w:ind w:left="0" w:firstLine="0"/>
        <w:rPr>
          <w:b/>
          <w:i/>
        </w:rPr>
      </w:pPr>
      <w:r>
        <w:rPr>
          <w:b/>
          <w:i/>
        </w:rPr>
        <w:t>October, 2014 - May</w:t>
      </w:r>
      <w:r w:rsidR="0007303F" w:rsidRPr="000A310B">
        <w:rPr>
          <w:b/>
          <w:i/>
        </w:rPr>
        <w:t>, 201</w:t>
      </w:r>
      <w:r>
        <w:rPr>
          <w:b/>
          <w:i/>
        </w:rPr>
        <w:t>5</w:t>
      </w:r>
    </w:p>
    <w:p w14:paraId="682FA31B" w14:textId="77777777" w:rsidR="0007303F" w:rsidRPr="000A310B" w:rsidRDefault="0007303F" w:rsidP="00302EC4">
      <w:pPr>
        <w:pStyle w:val="QuickA"/>
        <w:ind w:left="0" w:firstLine="0"/>
        <w:rPr>
          <w:b/>
          <w:i/>
        </w:rPr>
      </w:pPr>
    </w:p>
    <w:p w14:paraId="06911F59" w14:textId="77777777" w:rsidR="0007303F" w:rsidRDefault="0007303F" w:rsidP="00302EC4">
      <w:pPr>
        <w:pStyle w:val="QuickA"/>
        <w:ind w:left="0" w:firstLine="0"/>
      </w:pPr>
      <w:r>
        <w:t>Ongoing discussion</w:t>
      </w:r>
      <w:r w:rsidR="004E11F1">
        <w:t>s</w:t>
      </w:r>
      <w:r>
        <w:t xml:space="preserve"> of project </w:t>
      </w:r>
      <w:r w:rsidRPr="0007303F">
        <w:t xml:space="preserve">objectives </w:t>
      </w:r>
      <w:r>
        <w:t xml:space="preserve">and need for extension </w:t>
      </w:r>
      <w:r w:rsidRPr="0007303F">
        <w:t xml:space="preserve">were </w:t>
      </w:r>
      <w:r>
        <w:t>held</w:t>
      </w:r>
      <w:r w:rsidRPr="0007303F">
        <w:t xml:space="preserve"> with senior management at TEMA (Toyota Motor Engineering &amp; Ma</w:t>
      </w:r>
      <w:r>
        <w:t>nufacturing North America, Inc.</w:t>
      </w:r>
      <w:r w:rsidR="00987119">
        <w:t>)</w:t>
      </w:r>
      <w:r>
        <w:t xml:space="preserve"> in addition to safety specialists, line supervisors, and employees at Toyota Motors Manufacturing Kentucky (TMMK)</w:t>
      </w:r>
      <w:r w:rsidRPr="0007303F">
        <w:t>.</w:t>
      </w:r>
    </w:p>
    <w:p w14:paraId="086C5953" w14:textId="77777777" w:rsidR="00B974ED" w:rsidRDefault="00B974ED" w:rsidP="00302EC4">
      <w:pPr>
        <w:pStyle w:val="QuickA"/>
        <w:ind w:left="0" w:firstLine="0"/>
      </w:pPr>
    </w:p>
    <w:p w14:paraId="3FAB7D46" w14:textId="77777777" w:rsidR="00B974ED" w:rsidRPr="00167398" w:rsidRDefault="00C35675" w:rsidP="00302EC4">
      <w:pPr>
        <w:pStyle w:val="QuickA"/>
        <w:ind w:left="0" w:firstLine="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3150"/>
        <w:gridCol w:w="2808"/>
      </w:tblGrid>
      <w:tr w:rsidR="00167398" w:rsidRPr="00167398" w14:paraId="306EBA05" w14:textId="77777777" w:rsidTr="00774EE2">
        <w:tc>
          <w:tcPr>
            <w:tcW w:w="8856" w:type="dxa"/>
            <w:gridSpan w:val="3"/>
          </w:tcPr>
          <w:p w14:paraId="30F1C225" w14:textId="77777777" w:rsidR="00167398" w:rsidRPr="000278C3" w:rsidRDefault="00167398" w:rsidP="000278C3">
            <w:pPr>
              <w:autoSpaceDE w:val="0"/>
              <w:autoSpaceDN w:val="0"/>
              <w:adjustRightInd w:val="0"/>
              <w:jc w:val="center"/>
              <w:rPr>
                <w:b/>
                <w:bCs/>
                <w:sz w:val="28"/>
                <w:szCs w:val="28"/>
              </w:rPr>
            </w:pPr>
            <w:r w:rsidRPr="000278C3">
              <w:rPr>
                <w:b/>
                <w:bCs/>
                <w:sz w:val="28"/>
                <w:szCs w:val="28"/>
              </w:rPr>
              <w:lastRenderedPageBreak/>
              <w:t>201</w:t>
            </w:r>
            <w:r w:rsidR="001521E9">
              <w:rPr>
                <w:b/>
                <w:bCs/>
                <w:sz w:val="28"/>
                <w:szCs w:val="28"/>
              </w:rPr>
              <w:t>2</w:t>
            </w:r>
            <w:r w:rsidRPr="000278C3">
              <w:rPr>
                <w:b/>
                <w:bCs/>
                <w:sz w:val="28"/>
                <w:szCs w:val="28"/>
              </w:rPr>
              <w:t xml:space="preserve"> NIOSH NORA Peer Review</w:t>
            </w:r>
          </w:p>
          <w:p w14:paraId="45B1C581" w14:textId="77777777" w:rsidR="00167398" w:rsidRPr="000278C3" w:rsidRDefault="00167398" w:rsidP="000278C3">
            <w:pPr>
              <w:autoSpaceDE w:val="0"/>
              <w:autoSpaceDN w:val="0"/>
              <w:adjustRightInd w:val="0"/>
              <w:jc w:val="center"/>
              <w:rPr>
                <w:b/>
                <w:bCs/>
              </w:rPr>
            </w:pPr>
            <w:r w:rsidRPr="000278C3">
              <w:rPr>
                <w:b/>
                <w:bCs/>
              </w:rPr>
              <w:t>Intervention/Measurement/Training/Evaluation</w:t>
            </w:r>
          </w:p>
          <w:p w14:paraId="4FF2CB51" w14:textId="77777777" w:rsidR="00167398" w:rsidRPr="00167398" w:rsidRDefault="00167398" w:rsidP="000278C3">
            <w:pPr>
              <w:pStyle w:val="QuickA"/>
              <w:ind w:left="0" w:firstLine="0"/>
            </w:pPr>
          </w:p>
        </w:tc>
      </w:tr>
      <w:tr w:rsidR="00167398" w:rsidRPr="00167398" w14:paraId="053BDDDC" w14:textId="77777777" w:rsidTr="00774EE2">
        <w:tc>
          <w:tcPr>
            <w:tcW w:w="2898" w:type="dxa"/>
          </w:tcPr>
          <w:p w14:paraId="22E31242"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Randal Keller, Ph.D., C.I.H. </w:t>
            </w:r>
          </w:p>
          <w:p w14:paraId="7C40298B"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Scientific Review Officer </w:t>
            </w:r>
          </w:p>
          <w:p w14:paraId="4486A2D8"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SRA International, Inc. </w:t>
            </w:r>
          </w:p>
          <w:p w14:paraId="7C22214A"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Health and Civil Services Sector </w:t>
            </w:r>
          </w:p>
          <w:p w14:paraId="44641882" w14:textId="77777777" w:rsidR="00167398" w:rsidRPr="00774EE2" w:rsidRDefault="00C35675" w:rsidP="00C35675">
            <w:pPr>
              <w:autoSpaceDE w:val="0"/>
              <w:autoSpaceDN w:val="0"/>
              <w:adjustRightInd w:val="0"/>
              <w:rPr>
                <w:sz w:val="22"/>
                <w:szCs w:val="22"/>
              </w:rPr>
            </w:pPr>
            <w:r>
              <w:rPr>
                <w:b/>
                <w:bCs/>
                <w:color w:val="000000"/>
                <w:sz w:val="19"/>
                <w:szCs w:val="19"/>
              </w:rPr>
              <w:t>Scientific</w:t>
            </w:r>
            <w:r w:rsidRPr="00B974ED">
              <w:rPr>
                <w:b/>
                <w:bCs/>
                <w:color w:val="000000"/>
                <w:sz w:val="19"/>
                <w:szCs w:val="19"/>
              </w:rPr>
              <w:t xml:space="preserve"> Review</w:t>
            </w:r>
            <w:r>
              <w:rPr>
                <w:b/>
                <w:bCs/>
                <w:color w:val="000000"/>
                <w:sz w:val="19"/>
                <w:szCs w:val="19"/>
              </w:rPr>
              <w:t xml:space="preserve"> Officer</w:t>
            </w:r>
          </w:p>
        </w:tc>
        <w:tc>
          <w:tcPr>
            <w:tcW w:w="3150" w:type="dxa"/>
          </w:tcPr>
          <w:p w14:paraId="4F0CFA2F" w14:textId="77777777" w:rsidR="00C35675" w:rsidRPr="00B974ED" w:rsidRDefault="00C35675" w:rsidP="00C35675">
            <w:pPr>
              <w:autoSpaceDE w:val="0"/>
              <w:autoSpaceDN w:val="0"/>
              <w:adjustRightInd w:val="0"/>
              <w:rPr>
                <w:color w:val="000000"/>
                <w:sz w:val="19"/>
                <w:szCs w:val="19"/>
              </w:rPr>
            </w:pPr>
            <w:r w:rsidRPr="00B974ED">
              <w:rPr>
                <w:color w:val="000000"/>
                <w:sz w:val="19"/>
                <w:szCs w:val="19"/>
              </w:rPr>
              <w:t xml:space="preserve">Bryan Hardin, Ph.D., A.T.S. </w:t>
            </w:r>
          </w:p>
          <w:p w14:paraId="3FE6B770" w14:textId="77777777" w:rsidR="00C35675" w:rsidRPr="00B974ED" w:rsidRDefault="00C35675" w:rsidP="00C35675">
            <w:pPr>
              <w:autoSpaceDE w:val="0"/>
              <w:autoSpaceDN w:val="0"/>
              <w:adjustRightInd w:val="0"/>
              <w:rPr>
                <w:color w:val="000000"/>
                <w:sz w:val="19"/>
                <w:szCs w:val="19"/>
              </w:rPr>
            </w:pPr>
            <w:r w:rsidRPr="00B974ED">
              <w:rPr>
                <w:color w:val="000000"/>
                <w:sz w:val="19"/>
                <w:szCs w:val="19"/>
              </w:rPr>
              <w:t xml:space="preserve">Assistant Surgeon General (Retired) </w:t>
            </w:r>
          </w:p>
          <w:p w14:paraId="11181FC7" w14:textId="77777777" w:rsidR="00C35675" w:rsidRPr="00B974ED" w:rsidRDefault="00C35675" w:rsidP="00C35675">
            <w:pPr>
              <w:autoSpaceDE w:val="0"/>
              <w:autoSpaceDN w:val="0"/>
              <w:adjustRightInd w:val="0"/>
              <w:rPr>
                <w:color w:val="000000"/>
                <w:sz w:val="19"/>
                <w:szCs w:val="19"/>
              </w:rPr>
            </w:pPr>
            <w:proofErr w:type="spellStart"/>
            <w:r w:rsidRPr="00B974ED">
              <w:rPr>
                <w:color w:val="000000"/>
                <w:sz w:val="19"/>
                <w:szCs w:val="19"/>
              </w:rPr>
              <w:t>Veritox</w:t>
            </w:r>
            <w:proofErr w:type="spellEnd"/>
            <w:r w:rsidRPr="00B974ED">
              <w:rPr>
                <w:color w:val="000000"/>
                <w:sz w:val="19"/>
                <w:szCs w:val="19"/>
              </w:rPr>
              <w:t xml:space="preserve"> </w:t>
            </w:r>
          </w:p>
          <w:p w14:paraId="6587D1D5" w14:textId="77777777" w:rsidR="00C35675" w:rsidRPr="00B974ED" w:rsidRDefault="00C35675" w:rsidP="00C35675">
            <w:pPr>
              <w:autoSpaceDE w:val="0"/>
              <w:autoSpaceDN w:val="0"/>
              <w:adjustRightInd w:val="0"/>
              <w:rPr>
                <w:color w:val="000000"/>
                <w:sz w:val="19"/>
                <w:szCs w:val="19"/>
              </w:rPr>
            </w:pPr>
            <w:r w:rsidRPr="00B974ED">
              <w:rPr>
                <w:color w:val="000000"/>
                <w:sz w:val="19"/>
                <w:szCs w:val="19"/>
              </w:rPr>
              <w:t xml:space="preserve">RCF Expertise: Environmental Health Sciences </w:t>
            </w:r>
          </w:p>
          <w:p w14:paraId="2689CF97" w14:textId="77777777" w:rsidR="00C35675" w:rsidRPr="00B974ED" w:rsidRDefault="00C35675" w:rsidP="00C35675">
            <w:pPr>
              <w:autoSpaceDE w:val="0"/>
              <w:autoSpaceDN w:val="0"/>
              <w:adjustRightInd w:val="0"/>
              <w:rPr>
                <w:color w:val="000000"/>
                <w:sz w:val="19"/>
                <w:szCs w:val="19"/>
              </w:rPr>
            </w:pPr>
            <w:r w:rsidRPr="00B974ED">
              <w:rPr>
                <w:b/>
                <w:bCs/>
                <w:color w:val="000000"/>
                <w:sz w:val="19"/>
                <w:szCs w:val="19"/>
              </w:rPr>
              <w:t xml:space="preserve">Chairperson </w:t>
            </w:r>
          </w:p>
          <w:p w14:paraId="0FEDAD53" w14:textId="77777777" w:rsidR="00167398" w:rsidRPr="00774EE2" w:rsidRDefault="00167398" w:rsidP="00C35675">
            <w:pPr>
              <w:autoSpaceDE w:val="0"/>
              <w:autoSpaceDN w:val="0"/>
              <w:adjustRightInd w:val="0"/>
              <w:rPr>
                <w:sz w:val="22"/>
                <w:szCs w:val="22"/>
              </w:rPr>
            </w:pPr>
          </w:p>
        </w:tc>
        <w:tc>
          <w:tcPr>
            <w:tcW w:w="2808" w:type="dxa"/>
          </w:tcPr>
          <w:p w14:paraId="2C1EF7FC" w14:textId="77777777" w:rsidR="00C35675" w:rsidRPr="00B974ED" w:rsidRDefault="00C35675" w:rsidP="00C35675">
            <w:pPr>
              <w:autoSpaceDE w:val="0"/>
              <w:autoSpaceDN w:val="0"/>
              <w:adjustRightInd w:val="0"/>
              <w:rPr>
                <w:color w:val="000000"/>
                <w:sz w:val="19"/>
                <w:szCs w:val="19"/>
              </w:rPr>
            </w:pPr>
            <w:r w:rsidRPr="00B974ED">
              <w:rPr>
                <w:color w:val="000000"/>
                <w:sz w:val="19"/>
                <w:szCs w:val="19"/>
              </w:rPr>
              <w:t xml:space="preserve">Phillip Bishop, </w:t>
            </w:r>
            <w:proofErr w:type="spellStart"/>
            <w:r w:rsidRPr="00B974ED">
              <w:rPr>
                <w:color w:val="000000"/>
                <w:sz w:val="19"/>
                <w:szCs w:val="19"/>
              </w:rPr>
              <w:t>Ed.D</w:t>
            </w:r>
            <w:proofErr w:type="spellEnd"/>
            <w:r w:rsidRPr="00B974ED">
              <w:rPr>
                <w:color w:val="000000"/>
                <w:sz w:val="19"/>
                <w:szCs w:val="19"/>
              </w:rPr>
              <w:t xml:space="preserve">. </w:t>
            </w:r>
          </w:p>
          <w:p w14:paraId="3B1C462E" w14:textId="77777777" w:rsidR="00C35675" w:rsidRPr="00B974ED" w:rsidRDefault="00C35675" w:rsidP="00C35675">
            <w:pPr>
              <w:autoSpaceDE w:val="0"/>
              <w:autoSpaceDN w:val="0"/>
              <w:adjustRightInd w:val="0"/>
              <w:rPr>
                <w:color w:val="000000"/>
                <w:sz w:val="19"/>
                <w:szCs w:val="19"/>
              </w:rPr>
            </w:pPr>
            <w:r w:rsidRPr="00B974ED">
              <w:rPr>
                <w:color w:val="000000"/>
                <w:sz w:val="19"/>
                <w:szCs w:val="19"/>
              </w:rPr>
              <w:t xml:space="preserve">Fulbright Senior Specialist </w:t>
            </w:r>
          </w:p>
          <w:p w14:paraId="46BD1F10" w14:textId="77777777" w:rsidR="00C35675" w:rsidRPr="00B974ED" w:rsidRDefault="00C35675" w:rsidP="00C35675">
            <w:pPr>
              <w:autoSpaceDE w:val="0"/>
              <w:autoSpaceDN w:val="0"/>
              <w:adjustRightInd w:val="0"/>
              <w:rPr>
                <w:color w:val="000000"/>
                <w:sz w:val="19"/>
                <w:szCs w:val="19"/>
              </w:rPr>
            </w:pPr>
            <w:r w:rsidRPr="00B974ED">
              <w:rPr>
                <w:color w:val="000000"/>
                <w:sz w:val="19"/>
                <w:szCs w:val="19"/>
              </w:rPr>
              <w:t xml:space="preserve">University of Alabama </w:t>
            </w:r>
          </w:p>
          <w:p w14:paraId="605D862C" w14:textId="77777777" w:rsidR="00C35675" w:rsidRPr="00B974ED" w:rsidRDefault="00C35675" w:rsidP="00C35675">
            <w:pPr>
              <w:autoSpaceDE w:val="0"/>
              <w:autoSpaceDN w:val="0"/>
              <w:adjustRightInd w:val="0"/>
              <w:rPr>
                <w:color w:val="000000"/>
                <w:sz w:val="19"/>
                <w:szCs w:val="19"/>
              </w:rPr>
            </w:pPr>
            <w:r w:rsidRPr="00B974ED">
              <w:rPr>
                <w:color w:val="000000"/>
                <w:sz w:val="19"/>
                <w:szCs w:val="19"/>
              </w:rPr>
              <w:t xml:space="preserve">Department of Kinesiology </w:t>
            </w:r>
          </w:p>
          <w:p w14:paraId="7EF12C42" w14:textId="77777777" w:rsidR="00167398" w:rsidRPr="00774EE2" w:rsidRDefault="00C35675" w:rsidP="00C35675">
            <w:pPr>
              <w:pStyle w:val="QuickA"/>
              <w:ind w:left="0" w:firstLine="0"/>
              <w:rPr>
                <w:sz w:val="22"/>
                <w:szCs w:val="22"/>
              </w:rPr>
            </w:pPr>
            <w:r w:rsidRPr="00B974ED">
              <w:rPr>
                <w:b/>
                <w:bCs/>
                <w:sz w:val="19"/>
                <w:szCs w:val="19"/>
              </w:rPr>
              <w:t>Scientist Reviewer</w:t>
            </w:r>
          </w:p>
        </w:tc>
      </w:tr>
      <w:tr w:rsidR="00167398" w:rsidRPr="00167398" w14:paraId="5709D92B" w14:textId="77777777" w:rsidTr="00774EE2">
        <w:tc>
          <w:tcPr>
            <w:tcW w:w="2898" w:type="dxa"/>
          </w:tcPr>
          <w:p w14:paraId="64BAFA64" w14:textId="77777777" w:rsidR="00B974ED" w:rsidRPr="00B974ED" w:rsidRDefault="00B974ED" w:rsidP="00B974ED">
            <w:pPr>
              <w:autoSpaceDE w:val="0"/>
              <w:autoSpaceDN w:val="0"/>
              <w:adjustRightInd w:val="0"/>
              <w:rPr>
                <w:color w:val="000000"/>
                <w:sz w:val="19"/>
                <w:szCs w:val="19"/>
              </w:rPr>
            </w:pPr>
            <w:proofErr w:type="spellStart"/>
            <w:r w:rsidRPr="00B974ED">
              <w:rPr>
                <w:color w:val="000000"/>
                <w:sz w:val="19"/>
                <w:szCs w:val="19"/>
              </w:rPr>
              <w:t>Lezah</w:t>
            </w:r>
            <w:proofErr w:type="spellEnd"/>
            <w:r w:rsidRPr="00B974ED">
              <w:rPr>
                <w:color w:val="000000"/>
                <w:sz w:val="19"/>
                <w:szCs w:val="19"/>
              </w:rPr>
              <w:t xml:space="preserve"> Brown-Ellington, Ph.D., MSPH </w:t>
            </w:r>
          </w:p>
          <w:p w14:paraId="7424B461"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Assistant Professor </w:t>
            </w:r>
          </w:p>
          <w:p w14:paraId="3F28D637"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Illinois State University </w:t>
            </w:r>
          </w:p>
          <w:p w14:paraId="1CAEC1E4"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Health Sciences Department </w:t>
            </w:r>
          </w:p>
          <w:p w14:paraId="77510D5C" w14:textId="77777777" w:rsidR="00167398" w:rsidRPr="00774EE2" w:rsidRDefault="00B974ED" w:rsidP="00B974ED">
            <w:pPr>
              <w:autoSpaceDE w:val="0"/>
              <w:autoSpaceDN w:val="0"/>
              <w:adjustRightInd w:val="0"/>
              <w:rPr>
                <w:sz w:val="22"/>
                <w:szCs w:val="22"/>
              </w:rPr>
            </w:pPr>
            <w:r w:rsidRPr="00B974ED">
              <w:rPr>
                <w:b/>
                <w:bCs/>
                <w:color w:val="000000"/>
                <w:sz w:val="19"/>
                <w:szCs w:val="19"/>
              </w:rPr>
              <w:t>Scientist Reviewer</w:t>
            </w:r>
          </w:p>
        </w:tc>
        <w:tc>
          <w:tcPr>
            <w:tcW w:w="3150" w:type="dxa"/>
          </w:tcPr>
          <w:p w14:paraId="7B7A71D6"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David </w:t>
            </w:r>
            <w:proofErr w:type="spellStart"/>
            <w:r w:rsidRPr="00B974ED">
              <w:rPr>
                <w:color w:val="000000"/>
                <w:sz w:val="19"/>
                <w:szCs w:val="19"/>
              </w:rPr>
              <w:t>DeJoy</w:t>
            </w:r>
            <w:proofErr w:type="spellEnd"/>
            <w:r w:rsidRPr="00B974ED">
              <w:rPr>
                <w:color w:val="000000"/>
                <w:sz w:val="19"/>
                <w:szCs w:val="19"/>
              </w:rPr>
              <w:t xml:space="preserve">, Ph.D. </w:t>
            </w:r>
          </w:p>
          <w:p w14:paraId="236E22D8"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Professor Emeritus </w:t>
            </w:r>
          </w:p>
          <w:p w14:paraId="533B74EF"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University of Georgia, College of Public Health </w:t>
            </w:r>
          </w:p>
          <w:p w14:paraId="2B01E512"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Department of Health Promotion and Behavior </w:t>
            </w:r>
          </w:p>
          <w:p w14:paraId="02BD9AC4" w14:textId="77777777" w:rsidR="00B974ED" w:rsidRPr="00B974ED" w:rsidRDefault="00B974ED" w:rsidP="00B974ED">
            <w:pPr>
              <w:autoSpaceDE w:val="0"/>
              <w:autoSpaceDN w:val="0"/>
              <w:adjustRightInd w:val="0"/>
              <w:rPr>
                <w:color w:val="000000"/>
                <w:sz w:val="19"/>
                <w:szCs w:val="19"/>
              </w:rPr>
            </w:pPr>
            <w:r w:rsidRPr="00B974ED">
              <w:rPr>
                <w:b/>
                <w:bCs/>
                <w:color w:val="000000"/>
                <w:sz w:val="19"/>
                <w:szCs w:val="19"/>
              </w:rPr>
              <w:t xml:space="preserve">Scientist Reviewer </w:t>
            </w:r>
          </w:p>
          <w:p w14:paraId="3EE6FFA9" w14:textId="77777777" w:rsidR="00167398" w:rsidRPr="00774EE2" w:rsidRDefault="00167398" w:rsidP="000278C3">
            <w:pPr>
              <w:pStyle w:val="QuickA"/>
              <w:ind w:left="0" w:firstLine="0"/>
              <w:rPr>
                <w:sz w:val="22"/>
                <w:szCs w:val="22"/>
              </w:rPr>
            </w:pPr>
          </w:p>
        </w:tc>
        <w:tc>
          <w:tcPr>
            <w:tcW w:w="2808" w:type="dxa"/>
          </w:tcPr>
          <w:p w14:paraId="3EEAC18D"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Laura Geer, Ph.D., MHS </w:t>
            </w:r>
          </w:p>
          <w:p w14:paraId="4F100FD2"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Assistant Professor </w:t>
            </w:r>
          </w:p>
          <w:p w14:paraId="363BBDB6"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SUNY Downstate School of Public Health </w:t>
            </w:r>
          </w:p>
          <w:p w14:paraId="2CE9C177" w14:textId="77777777" w:rsidR="00B974ED" w:rsidRPr="00B974ED" w:rsidRDefault="00B974ED" w:rsidP="00B974ED">
            <w:pPr>
              <w:autoSpaceDE w:val="0"/>
              <w:autoSpaceDN w:val="0"/>
              <w:adjustRightInd w:val="0"/>
              <w:rPr>
                <w:color w:val="000000"/>
                <w:sz w:val="19"/>
                <w:szCs w:val="19"/>
              </w:rPr>
            </w:pPr>
            <w:proofErr w:type="spellStart"/>
            <w:r w:rsidRPr="00B974ED">
              <w:rPr>
                <w:color w:val="000000"/>
                <w:sz w:val="19"/>
                <w:szCs w:val="19"/>
              </w:rPr>
              <w:t>Dept</w:t>
            </w:r>
            <w:proofErr w:type="spellEnd"/>
            <w:r w:rsidRPr="00B974ED">
              <w:rPr>
                <w:color w:val="000000"/>
                <w:sz w:val="19"/>
                <w:szCs w:val="19"/>
              </w:rPr>
              <w:t xml:space="preserve"> of Environmental and Occupational Health Sciences </w:t>
            </w:r>
          </w:p>
          <w:p w14:paraId="1EAFBD9C" w14:textId="77777777" w:rsidR="00167398" w:rsidRPr="00774EE2" w:rsidRDefault="00B974ED" w:rsidP="00B974ED">
            <w:pPr>
              <w:pStyle w:val="QuickA"/>
              <w:ind w:left="0" w:firstLine="0"/>
              <w:rPr>
                <w:sz w:val="22"/>
                <w:szCs w:val="22"/>
              </w:rPr>
            </w:pPr>
            <w:r w:rsidRPr="00B974ED">
              <w:rPr>
                <w:b/>
                <w:bCs/>
                <w:sz w:val="19"/>
                <w:szCs w:val="19"/>
              </w:rPr>
              <w:t>Scientist Reviewe</w:t>
            </w:r>
            <w:r w:rsidR="00C35675">
              <w:rPr>
                <w:b/>
                <w:bCs/>
                <w:sz w:val="19"/>
                <w:szCs w:val="19"/>
              </w:rPr>
              <w:t>r</w:t>
            </w:r>
          </w:p>
        </w:tc>
      </w:tr>
      <w:tr w:rsidR="00167398" w:rsidRPr="00167398" w14:paraId="423693EA" w14:textId="77777777" w:rsidTr="00774EE2">
        <w:tc>
          <w:tcPr>
            <w:tcW w:w="2898" w:type="dxa"/>
          </w:tcPr>
          <w:p w14:paraId="2FDD3C1C"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David Hostler, Ph.D., CSCS </w:t>
            </w:r>
          </w:p>
          <w:p w14:paraId="5557D0D1"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Research Associate Professor of Emergency Medicine </w:t>
            </w:r>
          </w:p>
          <w:p w14:paraId="24F2C92E"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University of Pittsburgh </w:t>
            </w:r>
          </w:p>
          <w:p w14:paraId="111CA8BB"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Department of Emergency Medicine </w:t>
            </w:r>
          </w:p>
          <w:p w14:paraId="1381B832" w14:textId="77777777" w:rsidR="00B974ED" w:rsidRPr="00B974ED" w:rsidRDefault="00B974ED" w:rsidP="00B974ED">
            <w:pPr>
              <w:autoSpaceDE w:val="0"/>
              <w:autoSpaceDN w:val="0"/>
              <w:adjustRightInd w:val="0"/>
              <w:rPr>
                <w:color w:val="000000"/>
                <w:sz w:val="19"/>
                <w:szCs w:val="19"/>
              </w:rPr>
            </w:pPr>
            <w:r w:rsidRPr="00B974ED">
              <w:rPr>
                <w:b/>
                <w:bCs/>
                <w:color w:val="000000"/>
                <w:sz w:val="19"/>
                <w:szCs w:val="19"/>
              </w:rPr>
              <w:t xml:space="preserve">Scientist Reviewer </w:t>
            </w:r>
          </w:p>
          <w:p w14:paraId="72841AB8" w14:textId="77777777" w:rsidR="00167398" w:rsidRPr="00774EE2" w:rsidRDefault="00167398" w:rsidP="000278C3">
            <w:pPr>
              <w:pStyle w:val="QuickA"/>
              <w:ind w:left="0" w:firstLine="0"/>
              <w:rPr>
                <w:sz w:val="22"/>
                <w:szCs w:val="22"/>
              </w:rPr>
            </w:pPr>
          </w:p>
        </w:tc>
        <w:tc>
          <w:tcPr>
            <w:tcW w:w="3150" w:type="dxa"/>
          </w:tcPr>
          <w:p w14:paraId="51020CC3"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Virginia Howard, Ph.D. </w:t>
            </w:r>
          </w:p>
          <w:p w14:paraId="56B081DC"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Associate Professor of Epidemiology </w:t>
            </w:r>
          </w:p>
          <w:p w14:paraId="4C72B9C6"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University of Alabama at Birmingham </w:t>
            </w:r>
          </w:p>
          <w:p w14:paraId="684DCD80"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Department of Epidemiology </w:t>
            </w:r>
          </w:p>
          <w:p w14:paraId="0BD188E9" w14:textId="77777777" w:rsidR="00B974ED" w:rsidRPr="00B974ED" w:rsidRDefault="00B974ED" w:rsidP="00B974ED">
            <w:pPr>
              <w:autoSpaceDE w:val="0"/>
              <w:autoSpaceDN w:val="0"/>
              <w:adjustRightInd w:val="0"/>
              <w:rPr>
                <w:color w:val="000000"/>
                <w:sz w:val="19"/>
                <w:szCs w:val="19"/>
              </w:rPr>
            </w:pPr>
            <w:r w:rsidRPr="00B974ED">
              <w:rPr>
                <w:b/>
                <w:bCs/>
                <w:color w:val="000000"/>
                <w:sz w:val="19"/>
                <w:szCs w:val="19"/>
              </w:rPr>
              <w:t xml:space="preserve">Scientist Reviewer </w:t>
            </w:r>
          </w:p>
          <w:p w14:paraId="007E0B38" w14:textId="77777777" w:rsidR="00167398" w:rsidRPr="00774EE2" w:rsidRDefault="00167398" w:rsidP="000278C3">
            <w:pPr>
              <w:pStyle w:val="QuickA"/>
              <w:ind w:left="0" w:firstLine="0"/>
              <w:rPr>
                <w:sz w:val="22"/>
                <w:szCs w:val="22"/>
              </w:rPr>
            </w:pPr>
          </w:p>
        </w:tc>
        <w:tc>
          <w:tcPr>
            <w:tcW w:w="2808" w:type="dxa"/>
          </w:tcPr>
          <w:p w14:paraId="7E811C23"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Steven Johnson, Ph.D., P.E., C.P.E. </w:t>
            </w:r>
          </w:p>
          <w:p w14:paraId="3A215EC8"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Professor of Industrial Engineering </w:t>
            </w:r>
          </w:p>
          <w:p w14:paraId="2D3DEB9C"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University of Arkansas </w:t>
            </w:r>
          </w:p>
          <w:p w14:paraId="3B84880E"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Engineering Center </w:t>
            </w:r>
          </w:p>
          <w:p w14:paraId="66644665" w14:textId="77777777" w:rsidR="00B974ED" w:rsidRPr="00B974ED" w:rsidRDefault="00B974ED" w:rsidP="00B974ED">
            <w:pPr>
              <w:autoSpaceDE w:val="0"/>
              <w:autoSpaceDN w:val="0"/>
              <w:adjustRightInd w:val="0"/>
              <w:rPr>
                <w:color w:val="000000"/>
                <w:sz w:val="19"/>
                <w:szCs w:val="19"/>
              </w:rPr>
            </w:pPr>
            <w:r w:rsidRPr="00B974ED">
              <w:rPr>
                <w:b/>
                <w:bCs/>
                <w:color w:val="000000"/>
                <w:sz w:val="19"/>
                <w:szCs w:val="19"/>
              </w:rPr>
              <w:t xml:space="preserve">Scientist Reviewer </w:t>
            </w:r>
          </w:p>
          <w:p w14:paraId="2FED6B35" w14:textId="77777777" w:rsidR="00167398" w:rsidRPr="00774EE2" w:rsidRDefault="00167398" w:rsidP="000278C3">
            <w:pPr>
              <w:pStyle w:val="QuickA"/>
              <w:ind w:left="0" w:firstLine="0"/>
              <w:rPr>
                <w:sz w:val="22"/>
                <w:szCs w:val="22"/>
              </w:rPr>
            </w:pPr>
          </w:p>
        </w:tc>
      </w:tr>
      <w:tr w:rsidR="00167398" w:rsidRPr="00167398" w14:paraId="4E33A37E" w14:textId="77777777" w:rsidTr="00774EE2">
        <w:tc>
          <w:tcPr>
            <w:tcW w:w="2898" w:type="dxa"/>
          </w:tcPr>
          <w:p w14:paraId="42D552AC"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W. Monroe </w:t>
            </w:r>
            <w:proofErr w:type="spellStart"/>
            <w:r w:rsidRPr="00B974ED">
              <w:rPr>
                <w:color w:val="000000"/>
                <w:sz w:val="19"/>
                <w:szCs w:val="19"/>
              </w:rPr>
              <w:t>Keyserling</w:t>
            </w:r>
            <w:proofErr w:type="spellEnd"/>
            <w:r w:rsidRPr="00B974ED">
              <w:rPr>
                <w:color w:val="000000"/>
                <w:sz w:val="19"/>
                <w:szCs w:val="19"/>
              </w:rPr>
              <w:t xml:space="preserve">, Ph.D. </w:t>
            </w:r>
          </w:p>
          <w:p w14:paraId="0CD16216"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Associate Director </w:t>
            </w:r>
          </w:p>
          <w:p w14:paraId="57AC920D"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The University of Michigan </w:t>
            </w:r>
          </w:p>
          <w:p w14:paraId="126BCF12"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Center for Occupational Health and Safety Engineering </w:t>
            </w:r>
          </w:p>
          <w:p w14:paraId="4CF3B0EB" w14:textId="77777777" w:rsidR="00B974ED" w:rsidRPr="00B974ED" w:rsidRDefault="00B974ED" w:rsidP="00B974ED">
            <w:pPr>
              <w:autoSpaceDE w:val="0"/>
              <w:autoSpaceDN w:val="0"/>
              <w:adjustRightInd w:val="0"/>
              <w:rPr>
                <w:color w:val="000000"/>
                <w:sz w:val="19"/>
                <w:szCs w:val="19"/>
              </w:rPr>
            </w:pPr>
            <w:r w:rsidRPr="00B974ED">
              <w:rPr>
                <w:b/>
                <w:bCs/>
                <w:color w:val="000000"/>
                <w:sz w:val="19"/>
                <w:szCs w:val="19"/>
              </w:rPr>
              <w:t xml:space="preserve">Scientist Reviewer </w:t>
            </w:r>
          </w:p>
          <w:p w14:paraId="3BD6F6DF" w14:textId="77777777" w:rsidR="00167398" w:rsidRPr="00774EE2" w:rsidRDefault="00167398" w:rsidP="00B974ED">
            <w:pPr>
              <w:autoSpaceDE w:val="0"/>
              <w:autoSpaceDN w:val="0"/>
              <w:adjustRightInd w:val="0"/>
              <w:rPr>
                <w:sz w:val="22"/>
                <w:szCs w:val="22"/>
              </w:rPr>
            </w:pPr>
          </w:p>
        </w:tc>
        <w:tc>
          <w:tcPr>
            <w:tcW w:w="3150" w:type="dxa"/>
          </w:tcPr>
          <w:p w14:paraId="40C99823"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Kristen </w:t>
            </w:r>
            <w:proofErr w:type="spellStart"/>
            <w:r w:rsidRPr="00B974ED">
              <w:rPr>
                <w:color w:val="000000"/>
                <w:sz w:val="19"/>
                <w:szCs w:val="19"/>
              </w:rPr>
              <w:t>Kucera</w:t>
            </w:r>
            <w:proofErr w:type="spellEnd"/>
            <w:r w:rsidRPr="00B974ED">
              <w:rPr>
                <w:color w:val="000000"/>
                <w:sz w:val="19"/>
                <w:szCs w:val="19"/>
              </w:rPr>
              <w:t xml:space="preserve">, MSPH, Ph.D. </w:t>
            </w:r>
          </w:p>
          <w:p w14:paraId="10DE495D"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Epidemiologist, Assistant Professor </w:t>
            </w:r>
          </w:p>
          <w:p w14:paraId="3AB135AC"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Duke University </w:t>
            </w:r>
          </w:p>
          <w:p w14:paraId="3B64ECDD"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Department of Community and Family Medicine </w:t>
            </w:r>
          </w:p>
          <w:p w14:paraId="29DFAAE9" w14:textId="77777777" w:rsidR="00B974ED" w:rsidRPr="00B974ED" w:rsidRDefault="00B974ED" w:rsidP="00B974ED">
            <w:pPr>
              <w:autoSpaceDE w:val="0"/>
              <w:autoSpaceDN w:val="0"/>
              <w:adjustRightInd w:val="0"/>
              <w:rPr>
                <w:color w:val="000000"/>
                <w:sz w:val="19"/>
                <w:szCs w:val="19"/>
              </w:rPr>
            </w:pPr>
            <w:r w:rsidRPr="00B974ED">
              <w:rPr>
                <w:b/>
                <w:bCs/>
                <w:color w:val="000000"/>
                <w:sz w:val="19"/>
                <w:szCs w:val="19"/>
              </w:rPr>
              <w:t xml:space="preserve">Scientist Reviewer </w:t>
            </w:r>
          </w:p>
          <w:p w14:paraId="04AC7135" w14:textId="77777777" w:rsidR="00167398" w:rsidRPr="00774EE2" w:rsidRDefault="00167398" w:rsidP="000278C3">
            <w:pPr>
              <w:pStyle w:val="QuickA"/>
              <w:ind w:left="0" w:firstLine="0"/>
              <w:rPr>
                <w:sz w:val="22"/>
                <w:szCs w:val="22"/>
              </w:rPr>
            </w:pPr>
          </w:p>
        </w:tc>
        <w:tc>
          <w:tcPr>
            <w:tcW w:w="2808" w:type="dxa"/>
          </w:tcPr>
          <w:p w14:paraId="667FB972"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Lina Lander, Sc.D. </w:t>
            </w:r>
          </w:p>
          <w:p w14:paraId="4CFA3749"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Assistant Professor </w:t>
            </w:r>
          </w:p>
          <w:p w14:paraId="3627C270"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University of Nebraska Medical Center </w:t>
            </w:r>
          </w:p>
          <w:p w14:paraId="2E5B1124"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Department of Epidemiology </w:t>
            </w:r>
          </w:p>
          <w:p w14:paraId="76AD4C5F" w14:textId="77777777" w:rsidR="00B974ED" w:rsidRPr="00B974ED" w:rsidRDefault="00B974ED" w:rsidP="00B974ED">
            <w:pPr>
              <w:autoSpaceDE w:val="0"/>
              <w:autoSpaceDN w:val="0"/>
              <w:adjustRightInd w:val="0"/>
              <w:rPr>
                <w:color w:val="000000"/>
                <w:sz w:val="19"/>
                <w:szCs w:val="19"/>
              </w:rPr>
            </w:pPr>
            <w:r w:rsidRPr="00B974ED">
              <w:rPr>
                <w:b/>
                <w:bCs/>
                <w:color w:val="000000"/>
                <w:sz w:val="19"/>
                <w:szCs w:val="19"/>
              </w:rPr>
              <w:t xml:space="preserve">Scientist Reviewer </w:t>
            </w:r>
          </w:p>
          <w:p w14:paraId="7157BE7D" w14:textId="77777777" w:rsidR="00167398" w:rsidRPr="00774EE2" w:rsidRDefault="00167398" w:rsidP="000278C3">
            <w:pPr>
              <w:pStyle w:val="QuickA"/>
              <w:ind w:left="0" w:firstLine="0"/>
              <w:rPr>
                <w:sz w:val="22"/>
                <w:szCs w:val="22"/>
              </w:rPr>
            </w:pPr>
          </w:p>
        </w:tc>
      </w:tr>
      <w:tr w:rsidR="00167398" w:rsidRPr="00167398" w14:paraId="236749C2" w14:textId="77777777" w:rsidTr="00774EE2">
        <w:tc>
          <w:tcPr>
            <w:tcW w:w="2898" w:type="dxa"/>
          </w:tcPr>
          <w:p w14:paraId="2E13E9C6"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Grace </w:t>
            </w:r>
            <w:proofErr w:type="spellStart"/>
            <w:r w:rsidRPr="00B974ED">
              <w:rPr>
                <w:color w:val="000000"/>
                <w:sz w:val="19"/>
                <w:szCs w:val="19"/>
              </w:rPr>
              <w:t>Sembajwe</w:t>
            </w:r>
            <w:proofErr w:type="spellEnd"/>
            <w:r w:rsidRPr="00B974ED">
              <w:rPr>
                <w:color w:val="000000"/>
                <w:sz w:val="19"/>
                <w:szCs w:val="19"/>
              </w:rPr>
              <w:t xml:space="preserve">, DSc., MSc. </w:t>
            </w:r>
          </w:p>
          <w:p w14:paraId="4CFC11F8"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Research Associate </w:t>
            </w:r>
          </w:p>
          <w:p w14:paraId="7D4A240B"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Harvard School of Public Health </w:t>
            </w:r>
          </w:p>
          <w:p w14:paraId="2055A8BE"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Department of Environmental Health </w:t>
            </w:r>
          </w:p>
          <w:p w14:paraId="1137467C" w14:textId="77777777" w:rsidR="00B974ED" w:rsidRPr="00B974ED" w:rsidRDefault="00B974ED" w:rsidP="00B974ED">
            <w:pPr>
              <w:autoSpaceDE w:val="0"/>
              <w:autoSpaceDN w:val="0"/>
              <w:adjustRightInd w:val="0"/>
              <w:rPr>
                <w:color w:val="000000"/>
                <w:sz w:val="19"/>
                <w:szCs w:val="19"/>
              </w:rPr>
            </w:pPr>
            <w:r w:rsidRPr="00B974ED">
              <w:rPr>
                <w:b/>
                <w:bCs/>
                <w:color w:val="000000"/>
                <w:sz w:val="19"/>
                <w:szCs w:val="19"/>
              </w:rPr>
              <w:t xml:space="preserve">Scientist Reviewer </w:t>
            </w:r>
          </w:p>
          <w:p w14:paraId="1097C523" w14:textId="77777777" w:rsidR="00167398" w:rsidRPr="00774EE2" w:rsidRDefault="00167398" w:rsidP="000278C3">
            <w:pPr>
              <w:autoSpaceDE w:val="0"/>
              <w:autoSpaceDN w:val="0"/>
              <w:adjustRightInd w:val="0"/>
              <w:rPr>
                <w:sz w:val="22"/>
                <w:szCs w:val="22"/>
              </w:rPr>
            </w:pPr>
          </w:p>
        </w:tc>
        <w:tc>
          <w:tcPr>
            <w:tcW w:w="3150" w:type="dxa"/>
          </w:tcPr>
          <w:p w14:paraId="29728B22"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Tracey </w:t>
            </w:r>
            <w:proofErr w:type="spellStart"/>
            <w:r w:rsidRPr="00B974ED">
              <w:rPr>
                <w:color w:val="000000"/>
                <w:sz w:val="19"/>
                <w:szCs w:val="19"/>
              </w:rPr>
              <w:t>Wortham</w:t>
            </w:r>
            <w:proofErr w:type="spellEnd"/>
            <w:r w:rsidRPr="00B974ED">
              <w:rPr>
                <w:color w:val="000000"/>
                <w:sz w:val="19"/>
                <w:szCs w:val="19"/>
              </w:rPr>
              <w:t xml:space="preserve">, Ph.D. </w:t>
            </w:r>
          </w:p>
          <w:p w14:paraId="2A5072C4"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Associate Professor </w:t>
            </w:r>
          </w:p>
          <w:p w14:paraId="6B4F93C1"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Murray State University </w:t>
            </w:r>
          </w:p>
          <w:p w14:paraId="66E4490C" w14:textId="77777777"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Department of Occupational Safety &amp; Health </w:t>
            </w:r>
          </w:p>
          <w:p w14:paraId="5ED34DF7" w14:textId="77777777" w:rsidR="00B974ED" w:rsidRPr="00B974ED" w:rsidRDefault="00B974ED" w:rsidP="00B974ED">
            <w:pPr>
              <w:autoSpaceDE w:val="0"/>
              <w:autoSpaceDN w:val="0"/>
              <w:adjustRightInd w:val="0"/>
              <w:rPr>
                <w:color w:val="000000"/>
                <w:sz w:val="19"/>
                <w:szCs w:val="19"/>
              </w:rPr>
            </w:pPr>
            <w:r w:rsidRPr="00B974ED">
              <w:rPr>
                <w:b/>
                <w:bCs/>
                <w:color w:val="000000"/>
                <w:sz w:val="19"/>
                <w:szCs w:val="19"/>
              </w:rPr>
              <w:t xml:space="preserve">Scientist Reviewer </w:t>
            </w:r>
          </w:p>
          <w:p w14:paraId="6B62D931" w14:textId="77777777" w:rsidR="00167398" w:rsidRPr="00774EE2" w:rsidRDefault="00167398" w:rsidP="000278C3">
            <w:pPr>
              <w:autoSpaceDE w:val="0"/>
              <w:autoSpaceDN w:val="0"/>
              <w:adjustRightInd w:val="0"/>
              <w:rPr>
                <w:sz w:val="22"/>
                <w:szCs w:val="22"/>
              </w:rPr>
            </w:pPr>
          </w:p>
        </w:tc>
        <w:tc>
          <w:tcPr>
            <w:tcW w:w="2808" w:type="dxa"/>
          </w:tcPr>
          <w:p w14:paraId="4A330C2F" w14:textId="77777777" w:rsidR="00167398" w:rsidRPr="00774EE2" w:rsidRDefault="00167398" w:rsidP="000278C3">
            <w:pPr>
              <w:autoSpaceDE w:val="0"/>
              <w:autoSpaceDN w:val="0"/>
              <w:adjustRightInd w:val="0"/>
              <w:rPr>
                <w:b/>
                <w:bCs/>
                <w:sz w:val="22"/>
                <w:szCs w:val="22"/>
              </w:rPr>
            </w:pPr>
          </w:p>
        </w:tc>
      </w:tr>
    </w:tbl>
    <w:p w14:paraId="4C85536B" w14:textId="77777777" w:rsidR="00167398" w:rsidRDefault="00167398" w:rsidP="00302EC4">
      <w:pPr>
        <w:pStyle w:val="QuickA"/>
        <w:ind w:left="0" w:firstLine="0"/>
      </w:pPr>
    </w:p>
    <w:p w14:paraId="31DE15B3" w14:textId="77777777" w:rsidR="00B974ED" w:rsidRDefault="00B974ED" w:rsidP="00302EC4">
      <w:pPr>
        <w:pStyle w:val="QuickA"/>
        <w:ind w:left="0" w:firstLine="0"/>
      </w:pPr>
    </w:p>
    <w:p w14:paraId="2FF34819" w14:textId="77777777" w:rsidR="0038553A" w:rsidRDefault="0038553A" w:rsidP="0038553A">
      <w:pPr>
        <w:pStyle w:val="Heading2"/>
        <w:rPr>
          <w:b w:val="0"/>
        </w:rPr>
      </w:pPr>
      <w:bookmarkStart w:id="25" w:name="_Toc239826781"/>
      <w:bookmarkStart w:id="26" w:name="_Toc248821748"/>
      <w:bookmarkStart w:id="27" w:name="_Toc261966292"/>
      <w:r w:rsidRPr="00611B10">
        <w:rPr>
          <w:b w:val="0"/>
        </w:rPr>
        <w:t>A9.</w:t>
      </w:r>
      <w:r w:rsidRPr="00611B10">
        <w:rPr>
          <w:b w:val="0"/>
        </w:rPr>
        <w:tab/>
        <w:t>Explanation of Any Payment or Gift to Respondents</w:t>
      </w:r>
      <w:bookmarkEnd w:id="25"/>
      <w:bookmarkEnd w:id="26"/>
      <w:bookmarkEnd w:id="27"/>
      <w:r w:rsidRPr="00F81BA5">
        <w:rPr>
          <w:b w:val="0"/>
        </w:rPr>
        <w:t xml:space="preserve"> </w:t>
      </w:r>
    </w:p>
    <w:p w14:paraId="2321B948" w14:textId="77777777" w:rsidR="00535EF4" w:rsidRDefault="00535EF4" w:rsidP="00535EF4">
      <w:pPr>
        <w:rPr>
          <w:lang w:eastAsia="ja-JP"/>
        </w:rPr>
      </w:pPr>
    </w:p>
    <w:p w14:paraId="7B2B5203" w14:textId="77777777" w:rsidR="00366DE6" w:rsidRDefault="002C5374" w:rsidP="00885B9A">
      <w:r>
        <w:t xml:space="preserve">No </w:t>
      </w:r>
      <w:r w:rsidR="00A273E7">
        <w:t xml:space="preserve">direct </w:t>
      </w:r>
      <w:r>
        <w:t>payments or gifts will be</w:t>
      </w:r>
      <w:r w:rsidR="00A273E7">
        <w:t xml:space="preserve"> provided for respondents.  All questionnaire administration will take place during employee’s normal work shift hours while </w:t>
      </w:r>
      <w:r w:rsidR="001021AF">
        <w:t xml:space="preserve">the </w:t>
      </w:r>
      <w:r w:rsidR="00A273E7">
        <w:t>employee is on paid time.</w:t>
      </w:r>
    </w:p>
    <w:p w14:paraId="4E6BE30B" w14:textId="77777777" w:rsidR="00366DE6" w:rsidRDefault="00366DE6" w:rsidP="00885B9A"/>
    <w:p w14:paraId="5FCDBC99" w14:textId="47F6496E" w:rsidR="00885B9A" w:rsidRDefault="00A273E7" w:rsidP="00885B9A">
      <w:r>
        <w:t xml:space="preserve"> </w:t>
      </w:r>
    </w:p>
    <w:p w14:paraId="72C91152" w14:textId="77777777" w:rsidR="00A273E7" w:rsidRPr="00BE55F9" w:rsidRDefault="00A273E7" w:rsidP="00885B9A"/>
    <w:p w14:paraId="26AA6B87" w14:textId="2B4130CE" w:rsidR="0038553A" w:rsidRDefault="0038553A" w:rsidP="0038553A">
      <w:pPr>
        <w:pStyle w:val="Heading2"/>
        <w:rPr>
          <w:b w:val="0"/>
        </w:rPr>
      </w:pPr>
      <w:bookmarkStart w:id="28" w:name="_Toc239826782"/>
      <w:bookmarkStart w:id="29" w:name="_Toc248821749"/>
      <w:bookmarkStart w:id="30" w:name="_Toc261966293"/>
      <w:r w:rsidRPr="00F40D31">
        <w:rPr>
          <w:b w:val="0"/>
        </w:rPr>
        <w:lastRenderedPageBreak/>
        <w:t>A10.</w:t>
      </w:r>
      <w:r w:rsidRPr="00F40D31">
        <w:rPr>
          <w:b w:val="0"/>
        </w:rPr>
        <w:tab/>
      </w:r>
      <w:bookmarkEnd w:id="28"/>
      <w:bookmarkEnd w:id="29"/>
      <w:bookmarkEnd w:id="30"/>
      <w:r w:rsidR="00326F17">
        <w:rPr>
          <w:b w:val="0"/>
        </w:rPr>
        <w:t xml:space="preserve">Protection of the Privacy and Confidentiality of Information </w:t>
      </w:r>
      <w:r w:rsidR="00366DE6">
        <w:rPr>
          <w:b w:val="0"/>
        </w:rPr>
        <w:t xml:space="preserve">Provided   </w:t>
      </w:r>
      <w:r w:rsidR="00326F17">
        <w:rPr>
          <w:b w:val="0"/>
        </w:rPr>
        <w:t>by Respondents</w:t>
      </w:r>
    </w:p>
    <w:p w14:paraId="72EBF3E1" w14:textId="77777777" w:rsidR="00C02420" w:rsidRPr="00C02420" w:rsidRDefault="00C02420" w:rsidP="00C02420">
      <w:pPr>
        <w:rPr>
          <w:lang w:eastAsia="ja-JP"/>
        </w:rPr>
      </w:pPr>
    </w:p>
    <w:p w14:paraId="4BB841C2" w14:textId="7EE2A643" w:rsidR="00D7404A" w:rsidRPr="00D7404A" w:rsidRDefault="00FB4316" w:rsidP="00D7404A">
      <w:r>
        <w:t>T</w:t>
      </w:r>
      <w:r w:rsidR="00D7404A" w:rsidRPr="00D7404A">
        <w:t xml:space="preserve">he Privacy Act </w:t>
      </w:r>
      <w:r>
        <w:t>applies to this data collection activity.</w:t>
      </w:r>
      <w:r w:rsidR="00D7404A" w:rsidRPr="00D7404A">
        <w:t xml:space="preserve"> The applicable System of Records Notice is 09-20-0118, “Study at Work Sites Where Agents Suspected of Being Occupational Hazards Exist</w:t>
      </w:r>
      <w:r>
        <w:t>.</w:t>
      </w:r>
      <w:r w:rsidR="00D7404A" w:rsidRPr="00D7404A">
        <w:t>”</w:t>
      </w:r>
    </w:p>
    <w:p w14:paraId="60F7F6C6" w14:textId="77777777" w:rsidR="004D684D" w:rsidRDefault="004D684D" w:rsidP="00517669"/>
    <w:p w14:paraId="23C2E379" w14:textId="77777777" w:rsidR="00517669" w:rsidRDefault="00A273E7" w:rsidP="00517669">
      <w:r>
        <w:t>T</w:t>
      </w:r>
      <w:r w:rsidR="00B571FD" w:rsidRPr="00517669">
        <w:t>he only</w:t>
      </w:r>
      <w:r w:rsidR="0038553A" w:rsidRPr="00517669">
        <w:t xml:space="preserve"> </w:t>
      </w:r>
      <w:r w:rsidR="004B06D2" w:rsidRPr="00517669">
        <w:t>information in identifiable form (</w:t>
      </w:r>
      <w:r w:rsidR="0038553A" w:rsidRPr="00517669">
        <w:t>IIF</w:t>
      </w:r>
      <w:r w:rsidR="004B06D2" w:rsidRPr="00517669">
        <w:t>)</w:t>
      </w:r>
      <w:r>
        <w:t xml:space="preserve"> that</w:t>
      </w:r>
      <w:r w:rsidR="00B571FD" w:rsidRPr="00517669">
        <w:t xml:space="preserve"> is being collected </w:t>
      </w:r>
      <w:r>
        <w:t xml:space="preserve">is </w:t>
      </w:r>
      <w:r w:rsidR="00B571FD" w:rsidRPr="00517669">
        <w:t xml:space="preserve">for the purposes of informed consent. Each participant that enrolls in the study will be subsequently identified with </w:t>
      </w:r>
      <w:r w:rsidR="001021AF" w:rsidRPr="00517669">
        <w:t xml:space="preserve">only </w:t>
      </w:r>
      <w:r w:rsidR="00B571FD" w:rsidRPr="00517669">
        <w:t xml:space="preserve">a </w:t>
      </w:r>
      <w:r w:rsidR="001021AF">
        <w:t xml:space="preserve">random </w:t>
      </w:r>
      <w:r w:rsidR="0024519D">
        <w:t>study identification</w:t>
      </w:r>
      <w:r w:rsidR="00B571FD" w:rsidRPr="00517669">
        <w:t xml:space="preserve"> </w:t>
      </w:r>
      <w:r w:rsidR="001021AF">
        <w:t xml:space="preserve">number </w:t>
      </w:r>
      <w:r w:rsidR="00B571FD" w:rsidRPr="00517669">
        <w:t>on all other information collection</w:t>
      </w:r>
      <w:r w:rsidR="002B4177" w:rsidRPr="00517669">
        <w:t xml:space="preserve"> form</w:t>
      </w:r>
      <w:r w:rsidR="00EE1CB1">
        <w:t xml:space="preserve">s (see </w:t>
      </w:r>
      <w:r w:rsidR="004B06D2" w:rsidRPr="002651B9">
        <w:t xml:space="preserve">Attachment </w:t>
      </w:r>
      <w:r w:rsidR="002651B9" w:rsidRPr="002651B9">
        <w:t>J</w:t>
      </w:r>
      <w:r w:rsidR="00EE1CB1">
        <w:t xml:space="preserve"> for IRB approval</w:t>
      </w:r>
      <w:r w:rsidR="00C438A6" w:rsidRPr="002651B9">
        <w:t>)</w:t>
      </w:r>
      <w:r w:rsidR="0038553A" w:rsidRPr="002651B9">
        <w:t>.</w:t>
      </w:r>
      <w:bookmarkStart w:id="31" w:name="_Toc248224221"/>
    </w:p>
    <w:p w14:paraId="069D4EC2" w14:textId="77777777" w:rsidR="005C51CF" w:rsidRDefault="005C51CF" w:rsidP="00517669"/>
    <w:p w14:paraId="5BE32BFC" w14:textId="77777777" w:rsidR="005C51CF" w:rsidRDefault="00B07294" w:rsidP="00517669">
      <w:r w:rsidRPr="00B07294">
        <w:t xml:space="preserve">Several controls (safeguards) will be put into place to minimize the possibility of unauthorized access, use, or dissemination of the </w:t>
      </w:r>
      <w:r w:rsidRPr="00213918">
        <w:t>information being collected</w:t>
      </w:r>
      <w:r w:rsidR="00213918" w:rsidRPr="00213918">
        <w:t>. Records will be retained and destroyed in accordance with the applicable CDC Records Control Schedule</w:t>
      </w:r>
      <w:r w:rsidR="00D324DA">
        <w:t xml:space="preserve"> (</w:t>
      </w:r>
      <w:r w:rsidR="00D324DA" w:rsidRPr="00D324DA">
        <w:t xml:space="preserve">see </w:t>
      </w:r>
      <w:hyperlink r:id="rId11" w:history="1">
        <w:r w:rsidR="00D324DA" w:rsidRPr="00453414">
          <w:rPr>
            <w:rStyle w:val="Hyperlink"/>
          </w:rPr>
          <w:t>http://aops-mas-iis.od.cdc.gov/Policy/Doc/policy449.htm</w:t>
        </w:r>
      </w:hyperlink>
      <w:r w:rsidR="00D324DA">
        <w:rPr>
          <w:b/>
        </w:rPr>
        <w:t>)</w:t>
      </w:r>
      <w:r w:rsidR="00213918" w:rsidRPr="00213918">
        <w:t xml:space="preserve">. </w:t>
      </w:r>
    </w:p>
    <w:p w14:paraId="351B55A3" w14:textId="77777777" w:rsidR="00F26784" w:rsidRPr="00B07294" w:rsidRDefault="00F26784" w:rsidP="00517669"/>
    <w:bookmarkEnd w:id="31"/>
    <w:p w14:paraId="74B1280D" w14:textId="77777777" w:rsidR="00384D1F" w:rsidRDefault="00384D1F" w:rsidP="00384D1F">
      <w:r>
        <w:t>The study will collect both potentially sensitive data (self-reported MSD symptoms and results from shoulder functional assessments) and personal identifiers (name, address, phone number, employee clock number).  The method of handling the information will comply with the Freedom of Information Act and the Privacy Act of 1974. Disclosure under the Privacy Act System is permitted: to private contractors assisting NIOSH; to collaborating researchers under certain limited circumstances to conduct further investigations; to the Department of Justice in the event of litigation; and to a congressional office assisting individuals in obtaining their records. All data collection and records management practices and systems will adhere to all applicable federal, Health and Human Services (HHS), Centers for Disease Control (CDC), and NIOSH IT security policies and procedures [Security Requirements for Federal Information Technology Resources, January 2010; Health and Human Services Acquisition Regulation (HHSAR), Clause 352.239-72]. For example, data will be transcribed from hard copy and stored on encrypted CDs, flash drives, and/or ftp sites according to applicable Federal Information Processing Standards Publications (FIPS PUBS, see http://www.itl.nist.gov/fipspubs).  See the Information Security Plan in Attachment E for more information.</w:t>
      </w:r>
    </w:p>
    <w:p w14:paraId="4B5A72C2" w14:textId="77777777" w:rsidR="00384D1F" w:rsidRPr="00F81BA5" w:rsidRDefault="00384D1F" w:rsidP="0038553A"/>
    <w:p w14:paraId="616077E8" w14:textId="76BF7C34" w:rsidR="0038553A" w:rsidRPr="00F81BA5" w:rsidRDefault="0038553A" w:rsidP="0038553A">
      <w:r w:rsidRPr="00F81BA5">
        <w:t xml:space="preserve">Access to individual data will be limited to authorized NIOSH researchers and contractors. </w:t>
      </w:r>
      <w:r w:rsidR="007A482A" w:rsidRPr="00F81BA5">
        <w:t xml:space="preserve">Physical controls: </w:t>
      </w:r>
      <w:r w:rsidRPr="00F81BA5">
        <w:t>NIOSH facilities have 24-hour security</w:t>
      </w:r>
      <w:r w:rsidR="007A482A" w:rsidRPr="00F81BA5">
        <w:t xml:space="preserve"> guards</w:t>
      </w:r>
      <w:r w:rsidRPr="00F81BA5">
        <w:t xml:space="preserve">, </w:t>
      </w:r>
      <w:r w:rsidR="007A482A" w:rsidRPr="00F81BA5">
        <w:t>and key card ID badges must be used to enter the buildings.</w:t>
      </w:r>
      <w:r w:rsidR="00A54905" w:rsidRPr="00F81BA5">
        <w:t xml:space="preserve"> </w:t>
      </w:r>
      <w:r w:rsidR="001021AF">
        <w:t>The d</w:t>
      </w:r>
      <w:r w:rsidR="00A54905" w:rsidRPr="00F81BA5">
        <w:t xml:space="preserve">ata </w:t>
      </w:r>
      <w:r w:rsidR="001021AF">
        <w:t>will be collected in</w:t>
      </w:r>
      <w:r w:rsidR="00A54905" w:rsidRPr="00F81BA5">
        <w:t xml:space="preserve"> hardcopy form </w:t>
      </w:r>
      <w:r w:rsidR="001021AF">
        <w:t xml:space="preserve">and these hard copies </w:t>
      </w:r>
      <w:r w:rsidR="00A54905" w:rsidRPr="00F81BA5">
        <w:t xml:space="preserve">will be stored in locked rooms or cabinets. </w:t>
      </w:r>
      <w:r w:rsidR="001021AF">
        <w:t xml:space="preserve"> The hard copy data will be manually transcribed into a database in electronic format.  </w:t>
      </w:r>
      <w:r w:rsidR="00A54905" w:rsidRPr="00F81BA5">
        <w:t>Technical controls: a</w:t>
      </w:r>
      <w:r w:rsidRPr="00F81BA5">
        <w:t xml:space="preserve">ll </w:t>
      </w:r>
      <w:r w:rsidR="00A54905" w:rsidRPr="00F81BA5">
        <w:t xml:space="preserve">electronic </w:t>
      </w:r>
      <w:r w:rsidRPr="00F81BA5">
        <w:t xml:space="preserve">data will be stored on secure servers </w:t>
      </w:r>
      <w:r w:rsidR="00A54905" w:rsidRPr="00F81BA5">
        <w:t xml:space="preserve">that are protected with firewalls and </w:t>
      </w:r>
      <w:r w:rsidRPr="00F81BA5">
        <w:t>passwords. Any contractor charged with data collection, preparation, or management tasks to be performed away from a NIOSH facility will be required to follow equivalent procedures.</w:t>
      </w:r>
    </w:p>
    <w:p w14:paraId="4CE4F25F" w14:textId="77777777" w:rsidR="00A54905" w:rsidRPr="00F81BA5" w:rsidRDefault="00A54905" w:rsidP="0038553A"/>
    <w:p w14:paraId="0633005B" w14:textId="77777777" w:rsidR="00A54905" w:rsidRPr="00F81BA5" w:rsidRDefault="00A54905" w:rsidP="00A54905">
      <w:r w:rsidRPr="00F81BA5">
        <w:lastRenderedPageBreak/>
        <w:t xml:space="preserve">The process for handling security incidents is defined in the </w:t>
      </w:r>
      <w:r w:rsidRPr="00D324DA">
        <w:t xml:space="preserve">system's </w:t>
      </w:r>
      <w:r w:rsidR="004E57C1">
        <w:t xml:space="preserve">Information </w:t>
      </w:r>
      <w:r w:rsidRPr="00D324DA">
        <w:t>Security Plan</w:t>
      </w:r>
      <w:r w:rsidR="00D324DA" w:rsidRPr="00D324DA">
        <w:t xml:space="preserve"> </w:t>
      </w:r>
      <w:r w:rsidR="00D324DA" w:rsidRPr="002651B9">
        <w:t xml:space="preserve">(Attachment </w:t>
      </w:r>
      <w:r w:rsidR="004B6905" w:rsidRPr="002651B9">
        <w:t>E</w:t>
      </w:r>
      <w:r w:rsidR="00D324DA">
        <w:t>)</w:t>
      </w:r>
      <w:r w:rsidRPr="00D324DA">
        <w:t>.</w:t>
      </w:r>
      <w:r w:rsidRPr="00F81BA5">
        <w:t xml:space="preserve"> Event monitoring and incident response is a shared responsibility between the system's team and the Office of the Chief Information Security Officer (OCISO). Reports of suspicious security or adverse privacy related events should be directed to the component's Information Systems Security Officer,</w:t>
      </w:r>
      <w:r w:rsidR="0068283A" w:rsidRPr="00F81BA5">
        <w:t xml:space="preserve"> </w:t>
      </w:r>
      <w:r w:rsidRPr="00F81BA5">
        <w:t xml:space="preserve">CDC helpdesk, or to the CDC Incident Response Team. The CDC OCISO reports to the </w:t>
      </w:r>
      <w:smartTag w:uri="urn:schemas-microsoft-com:office:smarttags" w:element="place">
        <w:smartTag w:uri="urn:schemas-microsoft-com:office:smarttags" w:element="country-region">
          <w:r w:rsidRPr="00F81BA5">
            <w:t>HHS</w:t>
          </w:r>
        </w:smartTag>
        <w:r w:rsidRPr="00F81BA5">
          <w:t xml:space="preserve"> </w:t>
        </w:r>
        <w:smartTag w:uri="urn:schemas-microsoft-com:office:smarttags" w:element="country-region">
          <w:r w:rsidRPr="00F81BA5">
            <w:t>Secure</w:t>
          </w:r>
        </w:smartTag>
        <w:r w:rsidRPr="00F81BA5">
          <w:t xml:space="preserve"> </w:t>
        </w:r>
        <w:smartTag w:uri="urn:schemas-microsoft-com:office:smarttags" w:element="country-region">
          <w:r w:rsidRPr="00F81BA5">
            <w:t>One</w:t>
          </w:r>
        </w:smartTag>
        <w:r w:rsidR="0068283A" w:rsidRPr="00F81BA5">
          <w:t xml:space="preserve"> </w:t>
        </w:r>
        <w:smartTag w:uri="urn:schemas-microsoft-com:office:smarttags" w:element="country-region">
          <w:r w:rsidRPr="00F81BA5">
            <w:t>Communications</w:t>
          </w:r>
        </w:smartTag>
        <w:r w:rsidRPr="00F81BA5">
          <w:t xml:space="preserve"> </w:t>
        </w:r>
        <w:smartTag w:uri="urn:schemas-microsoft-com:office:smarttags" w:element="PlaceType">
          <w:r w:rsidRPr="00F81BA5">
            <w:t>Center</w:t>
          </w:r>
        </w:smartTag>
      </w:smartTag>
      <w:r w:rsidRPr="00F81BA5">
        <w:t>, which reports incidents to US-CERT as appropriate</w:t>
      </w:r>
    </w:p>
    <w:p w14:paraId="6DA14E5D" w14:textId="77777777" w:rsidR="0038553A" w:rsidRPr="00F81BA5" w:rsidRDefault="0038553A" w:rsidP="0038553A"/>
    <w:p w14:paraId="60484589" w14:textId="2B0CC7BC" w:rsidR="006575B7" w:rsidRDefault="006575B7" w:rsidP="0038553A">
      <w:r>
        <w:t>R</w:t>
      </w:r>
      <w:r w:rsidR="0038553A" w:rsidRPr="00F81BA5">
        <w:t xml:space="preserve">espondents </w:t>
      </w:r>
      <w:r w:rsidR="00B9342B" w:rsidRPr="00F81BA5">
        <w:t xml:space="preserve">will </w:t>
      </w:r>
      <w:r w:rsidR="0038553A" w:rsidRPr="00F81BA5">
        <w:t xml:space="preserve">be </w:t>
      </w:r>
      <w:r w:rsidR="00A273E7">
        <w:t>required</w:t>
      </w:r>
      <w:r w:rsidR="0067347A">
        <w:t xml:space="preserve"> to sign </w:t>
      </w:r>
      <w:r w:rsidR="00A273E7">
        <w:t xml:space="preserve">a </w:t>
      </w:r>
      <w:r>
        <w:t>w</w:t>
      </w:r>
      <w:r w:rsidR="0038553A" w:rsidRPr="00F81BA5">
        <w:t xml:space="preserve">ritten </w:t>
      </w:r>
      <w:r w:rsidR="00A273E7">
        <w:t xml:space="preserve">informed </w:t>
      </w:r>
      <w:r w:rsidR="0038553A" w:rsidRPr="00F81BA5">
        <w:t xml:space="preserve">consent </w:t>
      </w:r>
      <w:r w:rsidR="0067347A">
        <w:t xml:space="preserve">form </w:t>
      </w:r>
      <w:r w:rsidR="0038553A" w:rsidRPr="00F81BA5">
        <w:t>(</w:t>
      </w:r>
      <w:r w:rsidR="0067347A" w:rsidRPr="002651B9">
        <w:t xml:space="preserve">Attachment </w:t>
      </w:r>
      <w:r w:rsidR="004B6905" w:rsidRPr="002651B9">
        <w:t>F</w:t>
      </w:r>
      <w:r w:rsidR="0024519D" w:rsidRPr="002651B9">
        <w:t>).</w:t>
      </w:r>
      <w:r w:rsidR="0038553A" w:rsidRPr="00F81BA5">
        <w:t xml:space="preserve"> </w:t>
      </w:r>
      <w:r>
        <w:t>The form</w:t>
      </w:r>
      <w:r w:rsidR="0067347A">
        <w:t>s describe</w:t>
      </w:r>
      <w:r>
        <w:t xml:space="preserve"> h</w:t>
      </w:r>
      <w:r w:rsidRPr="006575B7">
        <w:t>ow respondents are informed about the intended uses of the information collection and plans for sharing the information.</w:t>
      </w:r>
    </w:p>
    <w:p w14:paraId="4FA08D6F" w14:textId="77777777" w:rsidR="006575B7" w:rsidRDefault="006575B7" w:rsidP="0038553A"/>
    <w:p w14:paraId="5D5EAE0B" w14:textId="2457400E" w:rsidR="006575B7" w:rsidRDefault="0038553A" w:rsidP="006575B7">
      <w:r w:rsidRPr="00F81BA5">
        <w:t xml:space="preserve">Respondents will be informed that their participation is voluntary, and that they may discontinue </w:t>
      </w:r>
      <w:r w:rsidR="00A273E7">
        <w:t xml:space="preserve">participation </w:t>
      </w:r>
      <w:r w:rsidRPr="00F81BA5">
        <w:t>at any time. They will also be advised that they will not lose any benefits to which they are otherwise entitled if they chose not to participate. The Privacy Act does apply</w:t>
      </w:r>
      <w:r w:rsidR="006575B7">
        <w:t xml:space="preserve"> and the informed consent form </w:t>
      </w:r>
      <w:r w:rsidR="006575B7" w:rsidRPr="00F81BA5">
        <w:t>(</w:t>
      </w:r>
      <w:bookmarkStart w:id="32" w:name="_Toc239826783"/>
      <w:bookmarkStart w:id="33" w:name="_Toc248821750"/>
      <w:bookmarkStart w:id="34" w:name="_Toc261966294"/>
      <w:r w:rsidR="00480A15" w:rsidRPr="002651B9">
        <w:t xml:space="preserve">Attachments </w:t>
      </w:r>
      <w:r w:rsidR="004B6905" w:rsidRPr="002651B9">
        <w:t>F</w:t>
      </w:r>
      <w:r w:rsidR="0067347A">
        <w:t xml:space="preserve">) address </w:t>
      </w:r>
      <w:r w:rsidR="006575B7" w:rsidRPr="006575B7">
        <w:t>the effect on the respondent of not responding to the data collection request, the intended uses of the data, with whom information will be shared, and the legal authority for the data collection.</w:t>
      </w:r>
    </w:p>
    <w:p w14:paraId="1447CA38" w14:textId="77777777" w:rsidR="006575B7" w:rsidRDefault="006575B7" w:rsidP="006575B7"/>
    <w:p w14:paraId="2125813D" w14:textId="77777777" w:rsidR="00A273E7" w:rsidRPr="00C26095" w:rsidRDefault="00A273E7" w:rsidP="006575B7"/>
    <w:p w14:paraId="36DBD229" w14:textId="77777777" w:rsidR="0038553A" w:rsidRPr="00C26095" w:rsidRDefault="0038553A" w:rsidP="006575B7">
      <w:pPr>
        <w:rPr>
          <w:sz w:val="28"/>
          <w:szCs w:val="28"/>
        </w:rPr>
      </w:pPr>
      <w:r w:rsidRPr="00A273E7">
        <w:rPr>
          <w:sz w:val="28"/>
          <w:szCs w:val="28"/>
        </w:rPr>
        <w:t>A11.</w:t>
      </w:r>
      <w:r w:rsidRPr="00A273E7">
        <w:rPr>
          <w:sz w:val="28"/>
          <w:szCs w:val="28"/>
        </w:rPr>
        <w:tab/>
      </w:r>
      <w:r w:rsidR="00326F17">
        <w:rPr>
          <w:sz w:val="28"/>
          <w:szCs w:val="28"/>
        </w:rPr>
        <w:t xml:space="preserve">Institutional Review Board (IRB) and </w:t>
      </w:r>
      <w:r w:rsidRPr="00A273E7">
        <w:rPr>
          <w:sz w:val="28"/>
          <w:szCs w:val="28"/>
        </w:rPr>
        <w:t>Justification for Sensitive Questions</w:t>
      </w:r>
      <w:bookmarkEnd w:id="32"/>
      <w:bookmarkEnd w:id="33"/>
      <w:bookmarkEnd w:id="34"/>
    </w:p>
    <w:p w14:paraId="2A1A2FEF" w14:textId="77777777" w:rsidR="008807A6" w:rsidRDefault="008807A6" w:rsidP="006575B7">
      <w:pPr>
        <w:rPr>
          <w:b/>
        </w:rPr>
      </w:pPr>
    </w:p>
    <w:p w14:paraId="49ADB0C6" w14:textId="77777777" w:rsidR="00326F17" w:rsidRDefault="00326F17" w:rsidP="006575B7">
      <w:pPr>
        <w:rPr>
          <w:b/>
        </w:rPr>
      </w:pPr>
      <w:r>
        <w:rPr>
          <w:b/>
        </w:rPr>
        <w:t>IRB Approval</w:t>
      </w:r>
    </w:p>
    <w:p w14:paraId="27638AAD" w14:textId="42411AE0" w:rsidR="006532BC" w:rsidRDefault="00945E01" w:rsidP="006575B7">
      <w:pPr>
        <w:rPr>
          <w:b/>
        </w:rPr>
      </w:pPr>
      <w:r>
        <w:t xml:space="preserve">IRB approval has been granted to the study protocol for this ICR.  The approved IRB protocol is in Attachment </w:t>
      </w:r>
      <w:r w:rsidR="004F4B0E">
        <w:t>J</w:t>
      </w:r>
      <w:r>
        <w:t>.</w:t>
      </w:r>
    </w:p>
    <w:p w14:paraId="30CBD428" w14:textId="77777777" w:rsidR="00DE7798" w:rsidRDefault="00DE7798" w:rsidP="006575B7">
      <w:pPr>
        <w:rPr>
          <w:b/>
        </w:rPr>
      </w:pPr>
    </w:p>
    <w:p w14:paraId="1696DD0C" w14:textId="77777777" w:rsidR="00326F17" w:rsidRDefault="00326F17" w:rsidP="006575B7">
      <w:pPr>
        <w:rPr>
          <w:b/>
        </w:rPr>
      </w:pPr>
      <w:r>
        <w:rPr>
          <w:b/>
        </w:rPr>
        <w:t>Sensitive Questions</w:t>
      </w:r>
    </w:p>
    <w:p w14:paraId="34AAD905" w14:textId="77777777" w:rsidR="00326F17" w:rsidRDefault="00326F17" w:rsidP="00326F17">
      <w:r w:rsidRPr="000D0283">
        <w:t>Th</w:t>
      </w:r>
      <w:r>
        <w:t>e questionnaire instruments contain questions that relate directly to upper extremity musculoskeletal symptoms of discomfort and/or pain and musculoskeletal function.  There are no questions pertaining to sexual behavior that would be considered sensitive.  The questionnaires are standard instruments for obtaining information on musculoskeletal symptoms, pain, and disorders.</w:t>
      </w:r>
      <w:r w:rsidR="00945E01">
        <w:t xml:space="preserve">  No social security numbers will be collected.</w:t>
      </w:r>
    </w:p>
    <w:p w14:paraId="19546F7B" w14:textId="77777777" w:rsidR="00326F17" w:rsidRPr="00F81BA5" w:rsidRDefault="00326F17" w:rsidP="006575B7">
      <w:pPr>
        <w:rPr>
          <w:b/>
        </w:rPr>
      </w:pPr>
    </w:p>
    <w:p w14:paraId="57459348" w14:textId="77777777" w:rsidR="0038553A" w:rsidRPr="00F81BA5" w:rsidRDefault="0038553A" w:rsidP="0038553A">
      <w:pPr>
        <w:pStyle w:val="Heading2"/>
        <w:rPr>
          <w:b w:val="0"/>
        </w:rPr>
      </w:pPr>
      <w:bookmarkStart w:id="35" w:name="_Toc239826784"/>
      <w:bookmarkStart w:id="36" w:name="_Toc248821751"/>
      <w:bookmarkStart w:id="37" w:name="_Toc261966295"/>
      <w:r w:rsidRPr="00453F43">
        <w:rPr>
          <w:b w:val="0"/>
        </w:rPr>
        <w:t>A12.</w:t>
      </w:r>
      <w:r w:rsidRPr="00453F43">
        <w:rPr>
          <w:b w:val="0"/>
        </w:rPr>
        <w:tab/>
        <w:t>Estimates of Annualized Burden Hours and Costs</w:t>
      </w:r>
      <w:bookmarkEnd w:id="35"/>
      <w:bookmarkEnd w:id="36"/>
      <w:bookmarkEnd w:id="37"/>
    </w:p>
    <w:p w14:paraId="23300394" w14:textId="77777777" w:rsidR="007979EA" w:rsidRPr="00F81BA5" w:rsidRDefault="007979EA" w:rsidP="0038553A"/>
    <w:p w14:paraId="0406171E" w14:textId="77777777" w:rsidR="0038553A" w:rsidRPr="00F81BA5" w:rsidRDefault="0038553A" w:rsidP="0038553A">
      <w:r w:rsidRPr="00545A0B">
        <w:t>A. Annualized Burden to Respondents</w:t>
      </w:r>
    </w:p>
    <w:p w14:paraId="78B17EE9" w14:textId="77777777" w:rsidR="0038553A" w:rsidRPr="00F81BA5" w:rsidRDefault="0038553A" w:rsidP="0038553A"/>
    <w:p w14:paraId="4C5EA682" w14:textId="38AA7198" w:rsidR="004B06D2" w:rsidRDefault="0038553A" w:rsidP="0038553A">
      <w:r w:rsidRPr="00F81BA5">
        <w:t xml:space="preserve">No direct costs will accrue to respondents. </w:t>
      </w:r>
      <w:r w:rsidR="0024519D">
        <w:t>A</w:t>
      </w:r>
      <w:r w:rsidR="00FB4316">
        <w:t>pproximately</w:t>
      </w:r>
      <w:r w:rsidR="007818E9">
        <w:t xml:space="preserve"> </w:t>
      </w:r>
      <w:r w:rsidR="00D4587A">
        <w:t>12</w:t>
      </w:r>
      <w:r w:rsidR="009F729B">
        <w:t>5</w:t>
      </w:r>
      <w:r w:rsidR="00D4587A">
        <w:t xml:space="preserve"> </w:t>
      </w:r>
      <w:r w:rsidR="007818E9">
        <w:t xml:space="preserve">individuals </w:t>
      </w:r>
      <w:r w:rsidR="00B350F8">
        <w:t xml:space="preserve">(two year approval) </w:t>
      </w:r>
      <w:r w:rsidR="007818E9">
        <w:t>will particip</w:t>
      </w:r>
      <w:r w:rsidR="00D4587A">
        <w:t>ate</w:t>
      </w:r>
      <w:r w:rsidR="007818E9">
        <w:t xml:space="preserve"> in the intervention </w:t>
      </w:r>
      <w:r w:rsidR="0024519D">
        <w:t xml:space="preserve">study </w:t>
      </w:r>
      <w:r w:rsidR="007818E9">
        <w:t>data collection</w:t>
      </w:r>
      <w:r w:rsidR="008E2BA5">
        <w:t xml:space="preserve">. </w:t>
      </w:r>
      <w:r w:rsidR="008E2BA5" w:rsidRPr="008E2BA5">
        <w:t xml:space="preserve">This </w:t>
      </w:r>
      <w:r w:rsidR="00DE7798">
        <w:t>is based on an estimate of 25-</w:t>
      </w:r>
      <w:r w:rsidR="00D4587A">
        <w:t>30</w:t>
      </w:r>
      <w:r w:rsidR="00D90C9C">
        <w:t xml:space="preserve"> individuals in each of four </w:t>
      </w:r>
      <w:r w:rsidR="00D4587A">
        <w:t>treatment condition</w:t>
      </w:r>
      <w:r w:rsidR="00D90C9C">
        <w:t>s</w:t>
      </w:r>
      <w:r w:rsidR="008E2BA5" w:rsidRPr="008E2BA5">
        <w:t xml:space="preserve">. </w:t>
      </w:r>
      <w:r w:rsidR="00141C61" w:rsidRPr="00141C61">
        <w:t>The hour-burden estimates include the t</w:t>
      </w:r>
      <w:r w:rsidR="00DE7798">
        <w:t xml:space="preserve">ime for reviewing the simple instructions and responding to the questions.  The questions are applicable to the respondent’s own perception of musculoskeletal well-being so there is no need for </w:t>
      </w:r>
      <w:r w:rsidR="00141C61" w:rsidRPr="00141C61">
        <w:t xml:space="preserve">searching existing data sources, </w:t>
      </w:r>
      <w:r w:rsidR="00141C61" w:rsidRPr="00141C61">
        <w:lastRenderedPageBreak/>
        <w:t xml:space="preserve">gathering and maintaining </w:t>
      </w:r>
      <w:r w:rsidR="00DE7798">
        <w:t xml:space="preserve">needed </w:t>
      </w:r>
      <w:r w:rsidR="00141C61" w:rsidRPr="00141C61">
        <w:t xml:space="preserve">data, </w:t>
      </w:r>
      <w:r w:rsidR="00DE7798">
        <w:t>or</w:t>
      </w:r>
      <w:r w:rsidR="00141C61" w:rsidRPr="00141C61">
        <w:t xml:space="preserve"> completing and reviewing the collection of information.</w:t>
      </w:r>
      <w:r w:rsidR="00141C61">
        <w:t xml:space="preserve"> All</w:t>
      </w:r>
      <w:r w:rsidR="00141C61" w:rsidRPr="00141C61">
        <w:t xml:space="preserve"> hour-burden estimates</w:t>
      </w:r>
      <w:r w:rsidR="00141C61">
        <w:t xml:space="preserve"> were derived based on </w:t>
      </w:r>
      <w:r w:rsidR="00D90C9C">
        <w:t>actual statistics</w:t>
      </w:r>
      <w:r w:rsidR="00141C61">
        <w:t xml:space="preserve"> reported in </w:t>
      </w:r>
      <w:r w:rsidR="00D90C9C">
        <w:t xml:space="preserve">published studies </w:t>
      </w:r>
      <w:r w:rsidR="00141C61">
        <w:t xml:space="preserve">for </w:t>
      </w:r>
      <w:r w:rsidR="00D4587A">
        <w:t xml:space="preserve">completion time of </w:t>
      </w:r>
      <w:r w:rsidR="00141C61">
        <w:t>these</w:t>
      </w:r>
      <w:r w:rsidR="00D4587A">
        <w:t xml:space="preserve"> questionnaire</w:t>
      </w:r>
      <w:r w:rsidR="00DE7798">
        <w:t xml:space="preserve"> instruments</w:t>
      </w:r>
      <w:r w:rsidR="00D90C9C">
        <w:t>,</w:t>
      </w:r>
      <w:r w:rsidR="00DE7798">
        <w:t xml:space="preserve"> or</w:t>
      </w:r>
      <w:r w:rsidR="00D90C9C">
        <w:t xml:space="preserve">, in the case of the </w:t>
      </w:r>
      <w:r w:rsidR="009F729B">
        <w:t xml:space="preserve">informed consent form and </w:t>
      </w:r>
      <w:r w:rsidR="00D90C9C" w:rsidRPr="002A10F7">
        <w:t>work organization questionnaire</w:t>
      </w:r>
      <w:r w:rsidR="00D90C9C">
        <w:t>,</w:t>
      </w:r>
      <w:r w:rsidR="00DE7798">
        <w:t xml:space="preserve"> from </w:t>
      </w:r>
      <w:r w:rsidR="00141C61">
        <w:t>prior CDC-NIOSH st</w:t>
      </w:r>
      <w:r w:rsidR="00DE7798">
        <w:t xml:space="preserve">udies that utilized these </w:t>
      </w:r>
      <w:r w:rsidR="009F729B">
        <w:t>or extremely similar</w:t>
      </w:r>
      <w:r w:rsidR="00DE7798">
        <w:t xml:space="preserve"> forms</w:t>
      </w:r>
      <w:r w:rsidR="00141C61">
        <w:t xml:space="preserve">. </w:t>
      </w:r>
      <w:r w:rsidR="00FB4316">
        <w:t xml:space="preserve"> The estimated annualized burden hours needed to complete the study is 23</w:t>
      </w:r>
      <w:r w:rsidR="00EA254C">
        <w:t>8</w:t>
      </w:r>
      <w:bookmarkStart w:id="38" w:name="_GoBack"/>
      <w:bookmarkEnd w:id="38"/>
      <w:r w:rsidR="00FB4316">
        <w:t>.</w:t>
      </w:r>
    </w:p>
    <w:p w14:paraId="6626986C" w14:textId="77777777" w:rsidR="00D4587A" w:rsidRDefault="00D4587A" w:rsidP="0038553A"/>
    <w:p w14:paraId="71B26736" w14:textId="77777777" w:rsidR="00D4587A" w:rsidRDefault="00D4587A" w:rsidP="0038553A"/>
    <w:p w14:paraId="72B6C01D" w14:textId="77777777" w:rsidR="00514252" w:rsidRPr="00B76500" w:rsidRDefault="00514252" w:rsidP="00366DE6">
      <w:r w:rsidRPr="00B76500">
        <w:t>Table A.12-1. Estimated Annualized Burden to Respondents</w:t>
      </w:r>
    </w:p>
    <w:p w14:paraId="67F50A59" w14:textId="77777777" w:rsidR="007F1CDE" w:rsidRPr="00B76500" w:rsidRDefault="007F1CDE" w:rsidP="00514252">
      <w:pPr>
        <w:jc w:val="center"/>
      </w:pPr>
    </w:p>
    <w:tbl>
      <w:tblPr>
        <w:tblW w:w="8583" w:type="dxa"/>
        <w:tblInd w:w="98" w:type="dxa"/>
        <w:tblLook w:val="04A0" w:firstRow="1" w:lastRow="0" w:firstColumn="1" w:lastColumn="0" w:noHBand="0" w:noVBand="1"/>
      </w:tblPr>
      <w:tblGrid>
        <w:gridCol w:w="1413"/>
        <w:gridCol w:w="2023"/>
        <w:gridCol w:w="1443"/>
        <w:gridCol w:w="1405"/>
        <w:gridCol w:w="1376"/>
        <w:gridCol w:w="923"/>
      </w:tblGrid>
      <w:tr w:rsidR="007F1CDE" w:rsidRPr="00B76500" w14:paraId="568096D4" w14:textId="77777777" w:rsidTr="00AC6641">
        <w:trPr>
          <w:trHeight w:val="1275"/>
        </w:trPr>
        <w:tc>
          <w:tcPr>
            <w:tcW w:w="1413" w:type="dxa"/>
            <w:tcBorders>
              <w:top w:val="single" w:sz="8" w:space="0" w:color="auto"/>
              <w:left w:val="single" w:sz="8" w:space="0" w:color="auto"/>
              <w:bottom w:val="single" w:sz="8" w:space="0" w:color="auto"/>
              <w:right w:val="single" w:sz="8" w:space="0" w:color="auto"/>
            </w:tcBorders>
            <w:shd w:val="clear" w:color="auto" w:fill="auto"/>
            <w:hideMark/>
          </w:tcPr>
          <w:p w14:paraId="3E9AF53D" w14:textId="77777777" w:rsidR="007F1CDE" w:rsidRPr="00B76500" w:rsidRDefault="007F1CDE" w:rsidP="007F1CDE">
            <w:pPr>
              <w:jc w:val="center"/>
              <w:rPr>
                <w:color w:val="000000"/>
              </w:rPr>
            </w:pPr>
            <w:r w:rsidRPr="00B76500">
              <w:rPr>
                <w:color w:val="000000"/>
              </w:rPr>
              <w:t>Type of Respondent</w:t>
            </w:r>
          </w:p>
        </w:tc>
        <w:tc>
          <w:tcPr>
            <w:tcW w:w="2023" w:type="dxa"/>
            <w:tcBorders>
              <w:top w:val="single" w:sz="8" w:space="0" w:color="auto"/>
              <w:left w:val="nil"/>
              <w:bottom w:val="single" w:sz="8" w:space="0" w:color="auto"/>
              <w:right w:val="single" w:sz="8" w:space="0" w:color="auto"/>
            </w:tcBorders>
            <w:shd w:val="clear" w:color="auto" w:fill="auto"/>
            <w:hideMark/>
          </w:tcPr>
          <w:p w14:paraId="59BEF721" w14:textId="77777777" w:rsidR="007F1CDE" w:rsidRPr="00B76500" w:rsidRDefault="007F1CDE" w:rsidP="007F1CDE">
            <w:pPr>
              <w:jc w:val="center"/>
              <w:rPr>
                <w:color w:val="000000"/>
              </w:rPr>
            </w:pPr>
            <w:r w:rsidRPr="00B76500">
              <w:rPr>
                <w:color w:val="000000"/>
              </w:rPr>
              <w:t>Form Name</w:t>
            </w:r>
          </w:p>
        </w:tc>
        <w:tc>
          <w:tcPr>
            <w:tcW w:w="1443" w:type="dxa"/>
            <w:tcBorders>
              <w:top w:val="single" w:sz="8" w:space="0" w:color="auto"/>
              <w:left w:val="nil"/>
              <w:bottom w:val="single" w:sz="8" w:space="0" w:color="auto"/>
              <w:right w:val="single" w:sz="8" w:space="0" w:color="auto"/>
            </w:tcBorders>
            <w:shd w:val="clear" w:color="auto" w:fill="auto"/>
            <w:hideMark/>
          </w:tcPr>
          <w:p w14:paraId="0E1BA241" w14:textId="77777777" w:rsidR="007F1CDE" w:rsidRPr="00B76500" w:rsidRDefault="007F1CDE" w:rsidP="007F1CDE">
            <w:pPr>
              <w:jc w:val="center"/>
              <w:rPr>
                <w:color w:val="000000"/>
              </w:rPr>
            </w:pPr>
            <w:r w:rsidRPr="00B76500">
              <w:rPr>
                <w:color w:val="000000"/>
              </w:rPr>
              <w:t>Number of Respondents</w:t>
            </w:r>
          </w:p>
        </w:tc>
        <w:tc>
          <w:tcPr>
            <w:tcW w:w="1405" w:type="dxa"/>
            <w:tcBorders>
              <w:top w:val="single" w:sz="8" w:space="0" w:color="auto"/>
              <w:left w:val="nil"/>
              <w:bottom w:val="single" w:sz="8" w:space="0" w:color="auto"/>
              <w:right w:val="single" w:sz="8" w:space="0" w:color="auto"/>
            </w:tcBorders>
            <w:shd w:val="clear" w:color="auto" w:fill="auto"/>
            <w:hideMark/>
          </w:tcPr>
          <w:p w14:paraId="552C555A" w14:textId="77777777" w:rsidR="007F1CDE" w:rsidRPr="00B76500" w:rsidRDefault="007F1CDE" w:rsidP="007F1CDE">
            <w:pPr>
              <w:jc w:val="center"/>
              <w:rPr>
                <w:color w:val="000000"/>
              </w:rPr>
            </w:pPr>
            <w:r w:rsidRPr="00B76500">
              <w:rPr>
                <w:color w:val="000000"/>
              </w:rPr>
              <w:t>Number of Responses per Respondent</w:t>
            </w:r>
          </w:p>
        </w:tc>
        <w:tc>
          <w:tcPr>
            <w:tcW w:w="1376" w:type="dxa"/>
            <w:tcBorders>
              <w:top w:val="single" w:sz="8" w:space="0" w:color="auto"/>
              <w:left w:val="nil"/>
              <w:bottom w:val="single" w:sz="8" w:space="0" w:color="auto"/>
              <w:right w:val="single" w:sz="8" w:space="0" w:color="auto"/>
            </w:tcBorders>
            <w:shd w:val="clear" w:color="auto" w:fill="auto"/>
            <w:hideMark/>
          </w:tcPr>
          <w:p w14:paraId="20D35150" w14:textId="77777777" w:rsidR="007F1CDE" w:rsidRPr="00B76500" w:rsidRDefault="007F1CDE" w:rsidP="007F1CDE">
            <w:pPr>
              <w:jc w:val="center"/>
              <w:rPr>
                <w:color w:val="000000"/>
              </w:rPr>
            </w:pPr>
            <w:r w:rsidRPr="00B76500">
              <w:rPr>
                <w:color w:val="000000"/>
              </w:rPr>
              <w:t>Avg. Burden per Response (in hours)</w:t>
            </w:r>
          </w:p>
        </w:tc>
        <w:tc>
          <w:tcPr>
            <w:tcW w:w="923" w:type="dxa"/>
            <w:tcBorders>
              <w:top w:val="single" w:sz="8" w:space="0" w:color="auto"/>
              <w:left w:val="nil"/>
              <w:bottom w:val="single" w:sz="8" w:space="0" w:color="auto"/>
              <w:right w:val="single" w:sz="8" w:space="0" w:color="auto"/>
            </w:tcBorders>
            <w:shd w:val="clear" w:color="auto" w:fill="auto"/>
            <w:hideMark/>
          </w:tcPr>
          <w:p w14:paraId="65E327F4" w14:textId="77777777" w:rsidR="007F1CDE" w:rsidRPr="00B76500" w:rsidRDefault="007F1CDE" w:rsidP="007F1CDE">
            <w:pPr>
              <w:jc w:val="center"/>
              <w:rPr>
                <w:color w:val="000000"/>
              </w:rPr>
            </w:pPr>
            <w:r w:rsidRPr="00B76500">
              <w:rPr>
                <w:color w:val="000000"/>
              </w:rPr>
              <w:t>Total Burden (in hours)</w:t>
            </w:r>
          </w:p>
        </w:tc>
      </w:tr>
      <w:tr w:rsidR="009F729B" w:rsidRPr="00B76500" w14:paraId="58378E1C" w14:textId="77777777" w:rsidTr="00AC6641">
        <w:trPr>
          <w:trHeight w:val="645"/>
        </w:trPr>
        <w:tc>
          <w:tcPr>
            <w:tcW w:w="1413" w:type="dxa"/>
            <w:vMerge w:val="restart"/>
            <w:tcBorders>
              <w:top w:val="nil"/>
              <w:left w:val="single" w:sz="8" w:space="0" w:color="auto"/>
              <w:bottom w:val="single" w:sz="8" w:space="0" w:color="000000"/>
              <w:right w:val="single" w:sz="8" w:space="0" w:color="auto"/>
            </w:tcBorders>
            <w:shd w:val="clear" w:color="auto" w:fill="auto"/>
            <w:vAlign w:val="center"/>
            <w:hideMark/>
          </w:tcPr>
          <w:p w14:paraId="1E271F08" w14:textId="77777777" w:rsidR="009F729B" w:rsidRPr="00B76500" w:rsidRDefault="0065644F" w:rsidP="007F1CDE">
            <w:pPr>
              <w:jc w:val="center"/>
              <w:rPr>
                <w:color w:val="000000"/>
              </w:rPr>
            </w:pPr>
            <w:r>
              <w:rPr>
                <w:color w:val="000000"/>
              </w:rPr>
              <w:t>Employees</w:t>
            </w:r>
          </w:p>
        </w:tc>
        <w:tc>
          <w:tcPr>
            <w:tcW w:w="2023" w:type="dxa"/>
            <w:tcBorders>
              <w:top w:val="nil"/>
              <w:left w:val="nil"/>
              <w:bottom w:val="single" w:sz="4" w:space="0" w:color="auto"/>
              <w:right w:val="single" w:sz="8" w:space="0" w:color="auto"/>
            </w:tcBorders>
            <w:shd w:val="clear" w:color="auto" w:fill="auto"/>
          </w:tcPr>
          <w:p w14:paraId="5DDE2B7A" w14:textId="77777777" w:rsidR="009F729B" w:rsidRPr="00B76500" w:rsidRDefault="009F729B" w:rsidP="00040C3B">
            <w:pPr>
              <w:pStyle w:val="NormalWeb"/>
              <w:tabs>
                <w:tab w:val="left" w:pos="540"/>
              </w:tabs>
              <w:rPr>
                <w:rFonts w:ascii="Times New Roman" w:eastAsia="MS Mincho" w:hAnsi="Times New Roman" w:cs="Times New Roman"/>
                <w:lang w:eastAsia="ja-JP"/>
              </w:rPr>
            </w:pPr>
            <w:r w:rsidRPr="00B76500">
              <w:rPr>
                <w:rFonts w:ascii="Times New Roman" w:eastAsia="MS Mincho" w:hAnsi="Times New Roman" w:cs="Times New Roman"/>
                <w:lang w:eastAsia="ja-JP"/>
              </w:rPr>
              <w:t>Informed Consent Form</w:t>
            </w:r>
          </w:p>
        </w:tc>
        <w:tc>
          <w:tcPr>
            <w:tcW w:w="1443" w:type="dxa"/>
            <w:tcBorders>
              <w:top w:val="nil"/>
              <w:left w:val="nil"/>
              <w:bottom w:val="single" w:sz="8" w:space="0" w:color="auto"/>
              <w:right w:val="single" w:sz="8" w:space="0" w:color="auto"/>
            </w:tcBorders>
            <w:shd w:val="clear" w:color="auto" w:fill="auto"/>
          </w:tcPr>
          <w:p w14:paraId="2F36E2A7" w14:textId="075EA03D" w:rsidR="009F729B" w:rsidRPr="00B76500" w:rsidRDefault="00B350F8" w:rsidP="00040C3B">
            <w:pPr>
              <w:pStyle w:val="NormalWeb"/>
              <w:tabs>
                <w:tab w:val="left" w:pos="540"/>
              </w:tabs>
              <w:jc w:val="center"/>
              <w:rPr>
                <w:rFonts w:ascii="Times New Roman" w:eastAsia="MS Mincho" w:hAnsi="Times New Roman" w:cs="Times New Roman"/>
                <w:lang w:eastAsia="ja-JP"/>
              </w:rPr>
            </w:pPr>
            <w:r>
              <w:rPr>
                <w:rFonts w:ascii="Times New Roman" w:eastAsia="MS Mincho" w:hAnsi="Times New Roman" w:cs="Times New Roman"/>
                <w:lang w:eastAsia="ja-JP"/>
              </w:rPr>
              <w:t>63</w:t>
            </w:r>
          </w:p>
        </w:tc>
        <w:tc>
          <w:tcPr>
            <w:tcW w:w="1405" w:type="dxa"/>
            <w:tcBorders>
              <w:top w:val="nil"/>
              <w:left w:val="nil"/>
              <w:bottom w:val="single" w:sz="8" w:space="0" w:color="auto"/>
              <w:right w:val="single" w:sz="8" w:space="0" w:color="auto"/>
            </w:tcBorders>
            <w:shd w:val="clear" w:color="auto" w:fill="auto"/>
          </w:tcPr>
          <w:p w14:paraId="67A1F9C1" w14:textId="77777777" w:rsidR="009F729B" w:rsidRPr="00B76500" w:rsidRDefault="009F729B" w:rsidP="00D4587A">
            <w:pPr>
              <w:pStyle w:val="NormalWeb"/>
              <w:tabs>
                <w:tab w:val="left" w:pos="540"/>
              </w:tabs>
              <w:jc w:val="center"/>
              <w:rPr>
                <w:rFonts w:ascii="Times New Roman" w:eastAsia="MS Mincho" w:hAnsi="Times New Roman" w:cs="Times New Roman"/>
                <w:lang w:eastAsia="ja-JP"/>
              </w:rPr>
            </w:pPr>
            <w:r w:rsidRPr="00B76500">
              <w:rPr>
                <w:rFonts w:ascii="Times New Roman" w:eastAsia="MS Mincho" w:hAnsi="Times New Roman" w:cs="Times New Roman"/>
                <w:lang w:eastAsia="ja-JP"/>
              </w:rPr>
              <w:t>1</w:t>
            </w:r>
          </w:p>
        </w:tc>
        <w:tc>
          <w:tcPr>
            <w:tcW w:w="1376" w:type="dxa"/>
            <w:tcBorders>
              <w:top w:val="nil"/>
              <w:left w:val="nil"/>
              <w:bottom w:val="single" w:sz="4" w:space="0" w:color="auto"/>
              <w:right w:val="single" w:sz="8" w:space="0" w:color="auto"/>
            </w:tcBorders>
            <w:shd w:val="clear" w:color="auto" w:fill="auto"/>
          </w:tcPr>
          <w:p w14:paraId="4BF76031" w14:textId="77777777" w:rsidR="009F729B" w:rsidRPr="00B76500" w:rsidRDefault="009F729B" w:rsidP="00040C3B">
            <w:pPr>
              <w:jc w:val="center"/>
            </w:pPr>
            <w:r w:rsidRPr="00B76500">
              <w:t>5/60</w:t>
            </w:r>
          </w:p>
        </w:tc>
        <w:tc>
          <w:tcPr>
            <w:tcW w:w="923" w:type="dxa"/>
            <w:tcBorders>
              <w:top w:val="nil"/>
              <w:left w:val="nil"/>
              <w:bottom w:val="single" w:sz="4" w:space="0" w:color="auto"/>
              <w:right w:val="single" w:sz="8" w:space="0" w:color="auto"/>
            </w:tcBorders>
            <w:shd w:val="clear" w:color="auto" w:fill="auto"/>
          </w:tcPr>
          <w:p w14:paraId="6C321409" w14:textId="5435FFBA" w:rsidR="009F729B" w:rsidRPr="00B76500" w:rsidRDefault="00B350F8" w:rsidP="00493E60">
            <w:pPr>
              <w:jc w:val="center"/>
            </w:pPr>
            <w:r>
              <w:t>5</w:t>
            </w:r>
          </w:p>
        </w:tc>
      </w:tr>
      <w:tr w:rsidR="009F729B" w:rsidRPr="00B76500" w14:paraId="383481E8" w14:textId="77777777" w:rsidTr="00AC6641">
        <w:trPr>
          <w:trHeight w:val="735"/>
        </w:trPr>
        <w:tc>
          <w:tcPr>
            <w:tcW w:w="1413" w:type="dxa"/>
            <w:vMerge/>
            <w:tcBorders>
              <w:top w:val="nil"/>
              <w:left w:val="single" w:sz="8" w:space="0" w:color="auto"/>
              <w:bottom w:val="single" w:sz="8" w:space="0" w:color="000000"/>
              <w:right w:val="single" w:sz="4" w:space="0" w:color="auto"/>
            </w:tcBorders>
            <w:vAlign w:val="center"/>
            <w:hideMark/>
          </w:tcPr>
          <w:p w14:paraId="6653B74A" w14:textId="77777777" w:rsidR="009F729B" w:rsidRPr="00B76500" w:rsidRDefault="009F729B" w:rsidP="007F1CDE">
            <w:pPr>
              <w:rPr>
                <w:color w:val="000000"/>
              </w:rPr>
            </w:pPr>
          </w:p>
        </w:tc>
        <w:tc>
          <w:tcPr>
            <w:tcW w:w="2023" w:type="dxa"/>
            <w:tcBorders>
              <w:top w:val="single" w:sz="4" w:space="0" w:color="auto"/>
              <w:left w:val="single" w:sz="4" w:space="0" w:color="auto"/>
              <w:bottom w:val="single" w:sz="4" w:space="0" w:color="auto"/>
              <w:right w:val="single" w:sz="4" w:space="0" w:color="auto"/>
            </w:tcBorders>
            <w:shd w:val="clear" w:color="auto" w:fill="auto"/>
          </w:tcPr>
          <w:p w14:paraId="34AB7A09" w14:textId="77777777" w:rsidR="009F729B" w:rsidRPr="00B76500" w:rsidRDefault="002A02ED" w:rsidP="00040C3B">
            <w:pPr>
              <w:pStyle w:val="NormalWeb"/>
              <w:tabs>
                <w:tab w:val="left" w:pos="540"/>
              </w:tabs>
              <w:rPr>
                <w:rFonts w:ascii="Times New Roman" w:eastAsia="MS Mincho" w:hAnsi="Times New Roman" w:cs="Times New Roman"/>
                <w:lang w:eastAsia="ja-JP"/>
              </w:rPr>
            </w:pPr>
            <w:r w:rsidRPr="00B76500">
              <w:rPr>
                <w:rFonts w:ascii="Times New Roman" w:eastAsia="MS Mincho" w:hAnsi="Times New Roman" w:cs="Times New Roman"/>
                <w:lang w:eastAsia="ja-JP"/>
              </w:rPr>
              <w:t>Consent of Photographic Image Release</w:t>
            </w:r>
          </w:p>
        </w:tc>
        <w:tc>
          <w:tcPr>
            <w:tcW w:w="1443" w:type="dxa"/>
            <w:tcBorders>
              <w:top w:val="nil"/>
              <w:left w:val="single" w:sz="4" w:space="0" w:color="auto"/>
              <w:bottom w:val="single" w:sz="8" w:space="0" w:color="auto"/>
              <w:right w:val="single" w:sz="8" w:space="0" w:color="auto"/>
            </w:tcBorders>
            <w:shd w:val="clear" w:color="auto" w:fill="auto"/>
          </w:tcPr>
          <w:p w14:paraId="3175712E" w14:textId="36A06BEC" w:rsidR="009F729B" w:rsidRPr="00B76500" w:rsidRDefault="00B350F8" w:rsidP="00040C3B">
            <w:pPr>
              <w:pStyle w:val="NormalWeb"/>
              <w:tabs>
                <w:tab w:val="left" w:pos="540"/>
              </w:tabs>
              <w:jc w:val="center"/>
              <w:rPr>
                <w:rFonts w:ascii="Times New Roman" w:eastAsia="MS Mincho" w:hAnsi="Times New Roman" w:cs="Times New Roman"/>
                <w:lang w:eastAsia="ja-JP"/>
              </w:rPr>
            </w:pPr>
            <w:r>
              <w:rPr>
                <w:rFonts w:ascii="Times New Roman" w:eastAsia="MS Mincho" w:hAnsi="Times New Roman" w:cs="Times New Roman"/>
                <w:lang w:eastAsia="ja-JP"/>
              </w:rPr>
              <w:t>63</w:t>
            </w:r>
          </w:p>
        </w:tc>
        <w:tc>
          <w:tcPr>
            <w:tcW w:w="1405" w:type="dxa"/>
            <w:tcBorders>
              <w:top w:val="nil"/>
              <w:left w:val="nil"/>
              <w:bottom w:val="single" w:sz="8" w:space="0" w:color="auto"/>
              <w:right w:val="single" w:sz="8" w:space="0" w:color="auto"/>
            </w:tcBorders>
            <w:shd w:val="clear" w:color="auto" w:fill="auto"/>
          </w:tcPr>
          <w:p w14:paraId="0183B740" w14:textId="77777777" w:rsidR="009F729B" w:rsidRPr="00B76500" w:rsidRDefault="002A02ED" w:rsidP="00D4587A">
            <w:pPr>
              <w:pStyle w:val="NormalWeb"/>
              <w:tabs>
                <w:tab w:val="left" w:pos="540"/>
              </w:tabs>
              <w:jc w:val="center"/>
              <w:rPr>
                <w:rFonts w:ascii="Times New Roman" w:eastAsia="MS Mincho" w:hAnsi="Times New Roman" w:cs="Times New Roman"/>
                <w:lang w:eastAsia="ja-JP"/>
              </w:rPr>
            </w:pPr>
            <w:r w:rsidRPr="00B76500">
              <w:rPr>
                <w:rFonts w:ascii="Times New Roman" w:eastAsia="MS Mincho" w:hAnsi="Times New Roman" w:cs="Times New Roman"/>
                <w:lang w:eastAsia="ja-JP"/>
              </w:rPr>
              <w:t>1</w:t>
            </w:r>
          </w:p>
        </w:tc>
        <w:tc>
          <w:tcPr>
            <w:tcW w:w="1376" w:type="dxa"/>
            <w:tcBorders>
              <w:top w:val="nil"/>
              <w:left w:val="nil"/>
              <w:bottom w:val="single" w:sz="4" w:space="0" w:color="auto"/>
              <w:right w:val="single" w:sz="8" w:space="0" w:color="auto"/>
            </w:tcBorders>
            <w:shd w:val="clear" w:color="auto" w:fill="auto"/>
          </w:tcPr>
          <w:p w14:paraId="3519B4F1" w14:textId="77777777" w:rsidR="009F729B" w:rsidRPr="00B76500" w:rsidRDefault="002A02ED" w:rsidP="00040C3B">
            <w:pPr>
              <w:jc w:val="center"/>
            </w:pPr>
            <w:r w:rsidRPr="00B76500">
              <w:t>2/60</w:t>
            </w:r>
          </w:p>
        </w:tc>
        <w:tc>
          <w:tcPr>
            <w:tcW w:w="923" w:type="dxa"/>
            <w:tcBorders>
              <w:top w:val="nil"/>
              <w:left w:val="nil"/>
              <w:bottom w:val="single" w:sz="4" w:space="0" w:color="auto"/>
              <w:right w:val="single" w:sz="8" w:space="0" w:color="auto"/>
            </w:tcBorders>
            <w:shd w:val="clear" w:color="auto" w:fill="auto"/>
          </w:tcPr>
          <w:p w14:paraId="363F5F37" w14:textId="4358FF0C" w:rsidR="009F729B" w:rsidRPr="00B76500" w:rsidRDefault="00B350F8" w:rsidP="00493E60">
            <w:pPr>
              <w:jc w:val="center"/>
            </w:pPr>
            <w:r>
              <w:t>2</w:t>
            </w:r>
          </w:p>
        </w:tc>
      </w:tr>
      <w:tr w:rsidR="002A02ED" w:rsidRPr="00B76500" w14:paraId="3CB5F5C7" w14:textId="77777777" w:rsidTr="00AC6641">
        <w:trPr>
          <w:trHeight w:val="735"/>
        </w:trPr>
        <w:tc>
          <w:tcPr>
            <w:tcW w:w="1413" w:type="dxa"/>
            <w:vMerge/>
            <w:tcBorders>
              <w:top w:val="nil"/>
              <w:left w:val="single" w:sz="8" w:space="0" w:color="auto"/>
              <w:bottom w:val="single" w:sz="8" w:space="0" w:color="000000"/>
              <w:right w:val="single" w:sz="4" w:space="0" w:color="auto"/>
            </w:tcBorders>
            <w:vAlign w:val="center"/>
          </w:tcPr>
          <w:p w14:paraId="51687700" w14:textId="77777777" w:rsidR="002A02ED" w:rsidRPr="00B76500" w:rsidRDefault="002A02ED" w:rsidP="007F1CDE">
            <w:pPr>
              <w:rPr>
                <w:color w:val="000000"/>
              </w:rPr>
            </w:pPr>
          </w:p>
        </w:tc>
        <w:tc>
          <w:tcPr>
            <w:tcW w:w="2023" w:type="dxa"/>
            <w:tcBorders>
              <w:top w:val="single" w:sz="4" w:space="0" w:color="auto"/>
              <w:left w:val="single" w:sz="4" w:space="0" w:color="auto"/>
              <w:bottom w:val="single" w:sz="4" w:space="0" w:color="auto"/>
              <w:right w:val="single" w:sz="4" w:space="0" w:color="auto"/>
            </w:tcBorders>
            <w:shd w:val="clear" w:color="auto" w:fill="auto"/>
          </w:tcPr>
          <w:p w14:paraId="2FAA0D0C" w14:textId="77777777" w:rsidR="002A02ED" w:rsidRPr="00B76500" w:rsidRDefault="002A02ED" w:rsidP="003A0BB2">
            <w:pPr>
              <w:pStyle w:val="NormalWeb"/>
              <w:tabs>
                <w:tab w:val="left" w:pos="540"/>
              </w:tabs>
              <w:rPr>
                <w:rFonts w:ascii="Times New Roman" w:eastAsia="MS Mincho" w:hAnsi="Times New Roman" w:cs="Times New Roman"/>
                <w:lang w:eastAsia="ja-JP"/>
              </w:rPr>
            </w:pPr>
            <w:r w:rsidRPr="00B76500">
              <w:rPr>
                <w:rFonts w:ascii="Times New Roman" w:eastAsia="MS Mincho" w:hAnsi="Times New Roman" w:cs="Times New Roman"/>
                <w:lang w:eastAsia="ja-JP"/>
              </w:rPr>
              <w:t>Physical Activity Readiness (PAR-Q)</w:t>
            </w:r>
          </w:p>
        </w:tc>
        <w:tc>
          <w:tcPr>
            <w:tcW w:w="1443" w:type="dxa"/>
            <w:tcBorders>
              <w:top w:val="nil"/>
              <w:left w:val="single" w:sz="4" w:space="0" w:color="auto"/>
              <w:bottom w:val="single" w:sz="8" w:space="0" w:color="auto"/>
              <w:right w:val="single" w:sz="8" w:space="0" w:color="auto"/>
            </w:tcBorders>
            <w:shd w:val="clear" w:color="auto" w:fill="auto"/>
          </w:tcPr>
          <w:p w14:paraId="29C35B3B" w14:textId="483D3FAF" w:rsidR="002A02ED" w:rsidRPr="00B76500" w:rsidRDefault="00B350F8" w:rsidP="003A0BB2">
            <w:pPr>
              <w:pStyle w:val="NormalWeb"/>
              <w:tabs>
                <w:tab w:val="left" w:pos="540"/>
              </w:tabs>
              <w:jc w:val="center"/>
              <w:rPr>
                <w:rFonts w:ascii="Times New Roman" w:eastAsia="MS Mincho" w:hAnsi="Times New Roman" w:cs="Times New Roman"/>
                <w:lang w:eastAsia="ja-JP"/>
              </w:rPr>
            </w:pPr>
            <w:r>
              <w:rPr>
                <w:rFonts w:ascii="Times New Roman" w:eastAsia="MS Mincho" w:hAnsi="Times New Roman" w:cs="Times New Roman"/>
                <w:lang w:eastAsia="ja-JP"/>
              </w:rPr>
              <w:t>63</w:t>
            </w:r>
          </w:p>
        </w:tc>
        <w:tc>
          <w:tcPr>
            <w:tcW w:w="1405" w:type="dxa"/>
            <w:tcBorders>
              <w:top w:val="nil"/>
              <w:left w:val="nil"/>
              <w:bottom w:val="single" w:sz="8" w:space="0" w:color="auto"/>
              <w:right w:val="single" w:sz="8" w:space="0" w:color="auto"/>
            </w:tcBorders>
            <w:shd w:val="clear" w:color="auto" w:fill="auto"/>
          </w:tcPr>
          <w:p w14:paraId="468FA00E" w14:textId="77777777" w:rsidR="002A02ED" w:rsidRPr="00B76500" w:rsidRDefault="002A02ED" w:rsidP="003A0BB2">
            <w:pPr>
              <w:pStyle w:val="NormalWeb"/>
              <w:tabs>
                <w:tab w:val="left" w:pos="540"/>
              </w:tabs>
              <w:jc w:val="center"/>
              <w:rPr>
                <w:rFonts w:ascii="Times New Roman" w:eastAsia="MS Mincho" w:hAnsi="Times New Roman" w:cs="Times New Roman"/>
                <w:lang w:eastAsia="ja-JP"/>
              </w:rPr>
            </w:pPr>
            <w:r w:rsidRPr="00B76500">
              <w:rPr>
                <w:rFonts w:ascii="Times New Roman" w:eastAsia="MS Mincho" w:hAnsi="Times New Roman" w:cs="Times New Roman"/>
                <w:lang w:eastAsia="ja-JP"/>
              </w:rPr>
              <w:t>1</w:t>
            </w:r>
          </w:p>
        </w:tc>
        <w:tc>
          <w:tcPr>
            <w:tcW w:w="1376" w:type="dxa"/>
            <w:tcBorders>
              <w:top w:val="nil"/>
              <w:left w:val="nil"/>
              <w:bottom w:val="single" w:sz="4" w:space="0" w:color="auto"/>
              <w:right w:val="single" w:sz="8" w:space="0" w:color="auto"/>
            </w:tcBorders>
            <w:shd w:val="clear" w:color="auto" w:fill="auto"/>
          </w:tcPr>
          <w:p w14:paraId="0EFC06B7" w14:textId="77777777" w:rsidR="002A02ED" w:rsidRPr="00B76500" w:rsidRDefault="002A02ED" w:rsidP="003A0BB2">
            <w:pPr>
              <w:jc w:val="center"/>
            </w:pPr>
            <w:r w:rsidRPr="00B76500">
              <w:t>2/60</w:t>
            </w:r>
          </w:p>
        </w:tc>
        <w:tc>
          <w:tcPr>
            <w:tcW w:w="923" w:type="dxa"/>
            <w:tcBorders>
              <w:top w:val="nil"/>
              <w:left w:val="nil"/>
              <w:bottom w:val="single" w:sz="4" w:space="0" w:color="auto"/>
              <w:right w:val="single" w:sz="8" w:space="0" w:color="auto"/>
            </w:tcBorders>
            <w:shd w:val="clear" w:color="auto" w:fill="auto"/>
          </w:tcPr>
          <w:p w14:paraId="759A54D9" w14:textId="70C0EB9F" w:rsidR="002A02ED" w:rsidRPr="00B76500" w:rsidRDefault="00B350F8" w:rsidP="003A0BB2">
            <w:pPr>
              <w:jc w:val="center"/>
            </w:pPr>
            <w:r>
              <w:t>2</w:t>
            </w:r>
          </w:p>
        </w:tc>
      </w:tr>
      <w:tr w:rsidR="002A02ED" w:rsidRPr="00B76500" w14:paraId="12959938" w14:textId="77777777" w:rsidTr="00AC6641">
        <w:trPr>
          <w:trHeight w:val="1095"/>
        </w:trPr>
        <w:tc>
          <w:tcPr>
            <w:tcW w:w="1413" w:type="dxa"/>
            <w:vMerge/>
            <w:tcBorders>
              <w:top w:val="nil"/>
              <w:left w:val="single" w:sz="8" w:space="0" w:color="auto"/>
              <w:bottom w:val="single" w:sz="8" w:space="0" w:color="000000"/>
              <w:right w:val="single" w:sz="4" w:space="0" w:color="auto"/>
            </w:tcBorders>
            <w:vAlign w:val="center"/>
            <w:hideMark/>
          </w:tcPr>
          <w:p w14:paraId="2BA2B154" w14:textId="77777777" w:rsidR="002A02ED" w:rsidRPr="00B76500" w:rsidRDefault="002A02ED" w:rsidP="007F1CDE">
            <w:pPr>
              <w:rPr>
                <w:color w:val="000000"/>
              </w:rPr>
            </w:pPr>
          </w:p>
        </w:tc>
        <w:tc>
          <w:tcPr>
            <w:tcW w:w="2023" w:type="dxa"/>
            <w:tcBorders>
              <w:top w:val="single" w:sz="4" w:space="0" w:color="auto"/>
              <w:left w:val="nil"/>
              <w:bottom w:val="single" w:sz="4" w:space="0" w:color="auto"/>
              <w:right w:val="single" w:sz="8" w:space="0" w:color="auto"/>
            </w:tcBorders>
            <w:shd w:val="clear" w:color="auto" w:fill="auto"/>
          </w:tcPr>
          <w:p w14:paraId="1B79BBC9" w14:textId="77777777" w:rsidR="002A02ED" w:rsidRPr="00B76500" w:rsidRDefault="002A02ED" w:rsidP="00040C3B">
            <w:pPr>
              <w:pStyle w:val="NormalWeb"/>
              <w:tabs>
                <w:tab w:val="left" w:pos="540"/>
              </w:tabs>
              <w:rPr>
                <w:rFonts w:ascii="Times New Roman" w:eastAsia="MS Mincho" w:hAnsi="Times New Roman" w:cs="Times New Roman"/>
                <w:lang w:eastAsia="ja-JP"/>
              </w:rPr>
            </w:pPr>
            <w:r w:rsidRPr="00B76500">
              <w:rPr>
                <w:rFonts w:ascii="Times New Roman" w:eastAsia="MS Mincho" w:hAnsi="Times New Roman" w:cs="Times New Roman"/>
                <w:lang w:eastAsia="ja-JP"/>
              </w:rPr>
              <w:t>Shoulder Rating Questionnaire (SRQ)</w:t>
            </w:r>
          </w:p>
        </w:tc>
        <w:tc>
          <w:tcPr>
            <w:tcW w:w="1443" w:type="dxa"/>
            <w:tcBorders>
              <w:top w:val="nil"/>
              <w:left w:val="nil"/>
              <w:bottom w:val="single" w:sz="4" w:space="0" w:color="auto"/>
              <w:right w:val="single" w:sz="8" w:space="0" w:color="auto"/>
            </w:tcBorders>
            <w:shd w:val="clear" w:color="auto" w:fill="auto"/>
          </w:tcPr>
          <w:p w14:paraId="2825C073" w14:textId="341C24CE" w:rsidR="002A02ED" w:rsidRPr="00B76500" w:rsidRDefault="00B350F8" w:rsidP="00040C3B">
            <w:pPr>
              <w:pStyle w:val="NormalWeb"/>
              <w:tabs>
                <w:tab w:val="left" w:pos="540"/>
              </w:tabs>
              <w:jc w:val="center"/>
              <w:rPr>
                <w:rFonts w:ascii="Times New Roman" w:eastAsia="MS Mincho" w:hAnsi="Times New Roman" w:cs="Times New Roman"/>
                <w:lang w:eastAsia="ja-JP"/>
              </w:rPr>
            </w:pPr>
            <w:r>
              <w:rPr>
                <w:rFonts w:ascii="Times New Roman" w:eastAsia="MS Mincho" w:hAnsi="Times New Roman" w:cs="Times New Roman"/>
                <w:lang w:eastAsia="ja-JP"/>
              </w:rPr>
              <w:t>63</w:t>
            </w:r>
          </w:p>
        </w:tc>
        <w:tc>
          <w:tcPr>
            <w:tcW w:w="1405" w:type="dxa"/>
            <w:tcBorders>
              <w:top w:val="nil"/>
              <w:left w:val="nil"/>
              <w:bottom w:val="single" w:sz="4" w:space="0" w:color="auto"/>
              <w:right w:val="single" w:sz="4" w:space="0" w:color="auto"/>
            </w:tcBorders>
            <w:shd w:val="clear" w:color="auto" w:fill="auto"/>
          </w:tcPr>
          <w:p w14:paraId="4B54B89E" w14:textId="77777777" w:rsidR="002A02ED" w:rsidRPr="00B76500" w:rsidRDefault="002A02ED" w:rsidP="00D4587A">
            <w:pPr>
              <w:pStyle w:val="NormalWeb"/>
              <w:tabs>
                <w:tab w:val="left" w:pos="540"/>
              </w:tabs>
              <w:jc w:val="center"/>
              <w:rPr>
                <w:rFonts w:ascii="Times New Roman" w:eastAsia="MS Mincho" w:hAnsi="Times New Roman" w:cs="Times New Roman"/>
                <w:lang w:eastAsia="ja-JP"/>
              </w:rPr>
            </w:pPr>
            <w:r w:rsidRPr="00B76500">
              <w:rPr>
                <w:rFonts w:ascii="Times New Roman" w:eastAsia="MS Mincho" w:hAnsi="Times New Roman" w:cs="Times New Roman"/>
                <w:lang w:eastAsia="ja-JP"/>
              </w:rPr>
              <w:t>10</w:t>
            </w:r>
          </w:p>
        </w:tc>
        <w:tc>
          <w:tcPr>
            <w:tcW w:w="1376" w:type="dxa"/>
            <w:tcBorders>
              <w:top w:val="single" w:sz="4" w:space="0" w:color="auto"/>
              <w:left w:val="single" w:sz="4" w:space="0" w:color="auto"/>
              <w:bottom w:val="single" w:sz="4" w:space="0" w:color="auto"/>
              <w:right w:val="single" w:sz="4" w:space="0" w:color="auto"/>
            </w:tcBorders>
            <w:shd w:val="clear" w:color="auto" w:fill="auto"/>
          </w:tcPr>
          <w:p w14:paraId="0C3B721F" w14:textId="77777777" w:rsidR="002A02ED" w:rsidRPr="00B76500" w:rsidRDefault="002A02ED" w:rsidP="00F7459F">
            <w:pPr>
              <w:jc w:val="center"/>
            </w:pPr>
            <w:r w:rsidRPr="00B76500">
              <w:t>4/60</w:t>
            </w:r>
          </w:p>
        </w:tc>
        <w:tc>
          <w:tcPr>
            <w:tcW w:w="923" w:type="dxa"/>
            <w:tcBorders>
              <w:top w:val="single" w:sz="4" w:space="0" w:color="auto"/>
              <w:left w:val="single" w:sz="4" w:space="0" w:color="auto"/>
              <w:bottom w:val="single" w:sz="4" w:space="0" w:color="auto"/>
              <w:right w:val="single" w:sz="4" w:space="0" w:color="auto"/>
            </w:tcBorders>
            <w:shd w:val="clear" w:color="auto" w:fill="auto"/>
          </w:tcPr>
          <w:p w14:paraId="5F95D83E" w14:textId="36BCB7FF" w:rsidR="002A02ED" w:rsidRPr="00B76500" w:rsidRDefault="00B350F8" w:rsidP="00D4587A">
            <w:pPr>
              <w:jc w:val="center"/>
            </w:pPr>
            <w:r>
              <w:t>42</w:t>
            </w:r>
          </w:p>
        </w:tc>
      </w:tr>
      <w:tr w:rsidR="002A02ED" w:rsidRPr="00B76500" w14:paraId="4E645557" w14:textId="77777777" w:rsidTr="00AC6641">
        <w:trPr>
          <w:trHeight w:val="960"/>
        </w:trPr>
        <w:tc>
          <w:tcPr>
            <w:tcW w:w="1413" w:type="dxa"/>
            <w:vMerge/>
            <w:tcBorders>
              <w:top w:val="nil"/>
              <w:left w:val="single" w:sz="8" w:space="0" w:color="auto"/>
              <w:bottom w:val="single" w:sz="8" w:space="0" w:color="000000"/>
              <w:right w:val="single" w:sz="8" w:space="0" w:color="auto"/>
            </w:tcBorders>
            <w:vAlign w:val="center"/>
            <w:hideMark/>
          </w:tcPr>
          <w:p w14:paraId="1023B2E4" w14:textId="77777777" w:rsidR="002A02ED" w:rsidRPr="00B76500" w:rsidRDefault="002A02ED" w:rsidP="007F1CDE">
            <w:pPr>
              <w:rPr>
                <w:color w:val="000000"/>
              </w:rPr>
            </w:pPr>
          </w:p>
        </w:tc>
        <w:tc>
          <w:tcPr>
            <w:tcW w:w="2023" w:type="dxa"/>
            <w:tcBorders>
              <w:top w:val="single" w:sz="4" w:space="0" w:color="auto"/>
              <w:left w:val="single" w:sz="4" w:space="0" w:color="auto"/>
              <w:bottom w:val="single" w:sz="4" w:space="0" w:color="auto"/>
              <w:right w:val="single" w:sz="4" w:space="0" w:color="auto"/>
            </w:tcBorders>
            <w:shd w:val="clear" w:color="auto" w:fill="auto"/>
          </w:tcPr>
          <w:p w14:paraId="44929B7C" w14:textId="77777777" w:rsidR="002A02ED" w:rsidRPr="00B76500" w:rsidRDefault="002A02ED" w:rsidP="00040C3B">
            <w:pPr>
              <w:pStyle w:val="NormalWeb"/>
              <w:tabs>
                <w:tab w:val="left" w:pos="540"/>
              </w:tabs>
              <w:rPr>
                <w:rFonts w:ascii="Times New Roman" w:eastAsia="MS Mincho" w:hAnsi="Times New Roman" w:cs="Times New Roman"/>
                <w:lang w:eastAsia="ja-JP"/>
              </w:rPr>
            </w:pPr>
            <w:r w:rsidRPr="00B76500">
              <w:rPr>
                <w:rFonts w:ascii="Times New Roman" w:eastAsia="MS Mincho" w:hAnsi="Times New Roman" w:cs="Times New Roman"/>
                <w:lang w:eastAsia="ja-JP"/>
              </w:rPr>
              <w:t>Disabilities of the Arm Shoulder and Hand (DASH)</w:t>
            </w:r>
          </w:p>
        </w:tc>
        <w:tc>
          <w:tcPr>
            <w:tcW w:w="1443" w:type="dxa"/>
            <w:tcBorders>
              <w:top w:val="single" w:sz="4" w:space="0" w:color="auto"/>
              <w:left w:val="single" w:sz="4" w:space="0" w:color="auto"/>
              <w:bottom w:val="single" w:sz="4" w:space="0" w:color="auto"/>
              <w:right w:val="single" w:sz="4" w:space="0" w:color="auto"/>
            </w:tcBorders>
            <w:shd w:val="clear" w:color="auto" w:fill="auto"/>
          </w:tcPr>
          <w:p w14:paraId="4763C8E6" w14:textId="00EB7E38" w:rsidR="002A02ED" w:rsidRPr="00B76500" w:rsidRDefault="00B350F8" w:rsidP="00040C3B">
            <w:pPr>
              <w:pStyle w:val="NormalWeb"/>
              <w:tabs>
                <w:tab w:val="left" w:pos="540"/>
              </w:tabs>
              <w:jc w:val="center"/>
              <w:rPr>
                <w:rFonts w:ascii="Times New Roman" w:eastAsia="MS Mincho" w:hAnsi="Times New Roman" w:cs="Times New Roman"/>
                <w:lang w:eastAsia="ja-JP"/>
              </w:rPr>
            </w:pPr>
            <w:r>
              <w:rPr>
                <w:rFonts w:ascii="Times New Roman" w:eastAsia="MS Mincho" w:hAnsi="Times New Roman" w:cs="Times New Roman"/>
                <w:lang w:eastAsia="ja-JP"/>
              </w:rPr>
              <w:t>63</w:t>
            </w: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5A1F0C20" w14:textId="77777777" w:rsidR="002A02ED" w:rsidRPr="00B76500" w:rsidRDefault="002A02ED" w:rsidP="00D4587A">
            <w:pPr>
              <w:pStyle w:val="NormalWeb"/>
              <w:tabs>
                <w:tab w:val="left" w:pos="540"/>
              </w:tabs>
              <w:jc w:val="center"/>
              <w:rPr>
                <w:rFonts w:ascii="Times New Roman" w:eastAsia="MS Mincho" w:hAnsi="Times New Roman" w:cs="Times New Roman"/>
                <w:lang w:eastAsia="ja-JP"/>
              </w:rPr>
            </w:pPr>
            <w:r w:rsidRPr="00B76500">
              <w:rPr>
                <w:rFonts w:ascii="Times New Roman" w:eastAsia="MS Mincho" w:hAnsi="Times New Roman" w:cs="Times New Roman"/>
                <w:lang w:eastAsia="ja-JP"/>
              </w:rPr>
              <w:t>10</w:t>
            </w:r>
          </w:p>
        </w:tc>
        <w:tc>
          <w:tcPr>
            <w:tcW w:w="1376" w:type="dxa"/>
            <w:tcBorders>
              <w:top w:val="single" w:sz="4" w:space="0" w:color="auto"/>
              <w:left w:val="single" w:sz="4" w:space="0" w:color="auto"/>
              <w:bottom w:val="single" w:sz="4" w:space="0" w:color="auto"/>
              <w:right w:val="single" w:sz="4" w:space="0" w:color="auto"/>
            </w:tcBorders>
            <w:shd w:val="clear" w:color="auto" w:fill="auto"/>
          </w:tcPr>
          <w:p w14:paraId="74210907" w14:textId="77777777" w:rsidR="002A02ED" w:rsidRPr="00B76500" w:rsidRDefault="002A02ED" w:rsidP="00040C3B">
            <w:pPr>
              <w:jc w:val="center"/>
            </w:pPr>
            <w:r w:rsidRPr="00B76500">
              <w:t>6 /60</w:t>
            </w:r>
          </w:p>
        </w:tc>
        <w:tc>
          <w:tcPr>
            <w:tcW w:w="923" w:type="dxa"/>
            <w:tcBorders>
              <w:top w:val="single" w:sz="4" w:space="0" w:color="auto"/>
              <w:left w:val="single" w:sz="4" w:space="0" w:color="auto"/>
              <w:bottom w:val="single" w:sz="4" w:space="0" w:color="auto"/>
              <w:right w:val="single" w:sz="4" w:space="0" w:color="auto"/>
            </w:tcBorders>
            <w:shd w:val="clear" w:color="auto" w:fill="auto"/>
          </w:tcPr>
          <w:p w14:paraId="326456D7" w14:textId="6555CFE2" w:rsidR="002A02ED" w:rsidRPr="00B76500" w:rsidRDefault="00B350F8" w:rsidP="00493E60">
            <w:pPr>
              <w:jc w:val="center"/>
            </w:pPr>
            <w:r>
              <w:t>63</w:t>
            </w:r>
          </w:p>
        </w:tc>
      </w:tr>
      <w:tr w:rsidR="002A02ED" w:rsidRPr="00B76500" w14:paraId="1ADFEF98" w14:textId="77777777" w:rsidTr="0065644F">
        <w:trPr>
          <w:trHeight w:val="645"/>
        </w:trPr>
        <w:tc>
          <w:tcPr>
            <w:tcW w:w="1413" w:type="dxa"/>
            <w:vMerge/>
            <w:tcBorders>
              <w:top w:val="nil"/>
              <w:left w:val="single" w:sz="8" w:space="0" w:color="auto"/>
              <w:bottom w:val="single" w:sz="8" w:space="0" w:color="000000"/>
              <w:right w:val="single" w:sz="8" w:space="0" w:color="auto"/>
            </w:tcBorders>
            <w:vAlign w:val="center"/>
            <w:hideMark/>
          </w:tcPr>
          <w:p w14:paraId="7A2ABF45" w14:textId="77777777" w:rsidR="002A02ED" w:rsidRPr="00B76500" w:rsidRDefault="002A02ED" w:rsidP="007F1CDE">
            <w:pPr>
              <w:rPr>
                <w:color w:val="000000"/>
              </w:rPr>
            </w:pPr>
          </w:p>
        </w:tc>
        <w:tc>
          <w:tcPr>
            <w:tcW w:w="2023" w:type="dxa"/>
            <w:tcBorders>
              <w:top w:val="single" w:sz="4" w:space="0" w:color="auto"/>
              <w:left w:val="nil"/>
              <w:bottom w:val="single" w:sz="8" w:space="0" w:color="auto"/>
              <w:right w:val="single" w:sz="8" w:space="0" w:color="auto"/>
            </w:tcBorders>
            <w:shd w:val="clear" w:color="auto" w:fill="auto"/>
          </w:tcPr>
          <w:p w14:paraId="54F8C402" w14:textId="77777777" w:rsidR="002A02ED" w:rsidRPr="00B76500" w:rsidRDefault="002A02ED" w:rsidP="00040C3B">
            <w:pPr>
              <w:pStyle w:val="NormalWeb"/>
              <w:tabs>
                <w:tab w:val="left" w:pos="540"/>
              </w:tabs>
              <w:rPr>
                <w:rFonts w:ascii="Times New Roman" w:eastAsia="MS Mincho" w:hAnsi="Times New Roman" w:cs="Times New Roman"/>
                <w:lang w:eastAsia="ja-JP"/>
              </w:rPr>
            </w:pPr>
            <w:r w:rsidRPr="00B76500">
              <w:rPr>
                <w:rFonts w:ascii="Times New Roman" w:eastAsia="MS Mincho" w:hAnsi="Times New Roman" w:cs="Times New Roman"/>
                <w:lang w:eastAsia="ja-JP"/>
              </w:rPr>
              <w:t>Standardized Nordic Questionnaire for Musculoskeletal Symptoms Instrument</w:t>
            </w:r>
          </w:p>
        </w:tc>
        <w:tc>
          <w:tcPr>
            <w:tcW w:w="1443" w:type="dxa"/>
            <w:tcBorders>
              <w:top w:val="single" w:sz="4" w:space="0" w:color="auto"/>
              <w:left w:val="nil"/>
              <w:bottom w:val="single" w:sz="8" w:space="0" w:color="auto"/>
              <w:right w:val="single" w:sz="8" w:space="0" w:color="auto"/>
            </w:tcBorders>
            <w:shd w:val="clear" w:color="auto" w:fill="auto"/>
          </w:tcPr>
          <w:p w14:paraId="66846A00" w14:textId="2814EB05" w:rsidR="002A02ED" w:rsidRPr="00B76500" w:rsidRDefault="00B350F8" w:rsidP="00040C3B">
            <w:pPr>
              <w:pStyle w:val="NormalWeb"/>
              <w:tabs>
                <w:tab w:val="left" w:pos="540"/>
              </w:tabs>
              <w:jc w:val="center"/>
              <w:rPr>
                <w:rFonts w:ascii="Times New Roman" w:eastAsia="MS Mincho" w:hAnsi="Times New Roman" w:cs="Times New Roman"/>
                <w:lang w:eastAsia="ja-JP"/>
              </w:rPr>
            </w:pPr>
            <w:r>
              <w:rPr>
                <w:rFonts w:ascii="Times New Roman" w:eastAsia="MS Mincho" w:hAnsi="Times New Roman" w:cs="Times New Roman"/>
                <w:lang w:eastAsia="ja-JP"/>
              </w:rPr>
              <w:t>63</w:t>
            </w:r>
          </w:p>
        </w:tc>
        <w:tc>
          <w:tcPr>
            <w:tcW w:w="1405" w:type="dxa"/>
            <w:tcBorders>
              <w:top w:val="single" w:sz="4" w:space="0" w:color="auto"/>
              <w:left w:val="nil"/>
              <w:bottom w:val="single" w:sz="8" w:space="0" w:color="auto"/>
              <w:right w:val="single" w:sz="8" w:space="0" w:color="auto"/>
            </w:tcBorders>
            <w:shd w:val="clear" w:color="auto" w:fill="auto"/>
          </w:tcPr>
          <w:p w14:paraId="00E363B6" w14:textId="77777777" w:rsidR="002A02ED" w:rsidRPr="00B76500" w:rsidRDefault="002A02ED" w:rsidP="00D4587A">
            <w:pPr>
              <w:pStyle w:val="NormalWeb"/>
              <w:tabs>
                <w:tab w:val="left" w:pos="540"/>
              </w:tabs>
              <w:jc w:val="center"/>
              <w:rPr>
                <w:rFonts w:ascii="Times New Roman" w:eastAsia="MS Mincho" w:hAnsi="Times New Roman" w:cs="Times New Roman"/>
                <w:lang w:eastAsia="ja-JP"/>
              </w:rPr>
            </w:pPr>
            <w:r w:rsidRPr="00B76500">
              <w:rPr>
                <w:rFonts w:ascii="Times New Roman" w:eastAsia="MS Mincho" w:hAnsi="Times New Roman" w:cs="Times New Roman"/>
                <w:lang w:eastAsia="ja-JP"/>
              </w:rPr>
              <w:t>10</w:t>
            </w:r>
          </w:p>
        </w:tc>
        <w:tc>
          <w:tcPr>
            <w:tcW w:w="1376" w:type="dxa"/>
            <w:tcBorders>
              <w:top w:val="single" w:sz="4" w:space="0" w:color="auto"/>
              <w:left w:val="nil"/>
              <w:bottom w:val="single" w:sz="8" w:space="0" w:color="auto"/>
              <w:right w:val="single" w:sz="8" w:space="0" w:color="auto"/>
            </w:tcBorders>
            <w:shd w:val="clear" w:color="auto" w:fill="auto"/>
          </w:tcPr>
          <w:p w14:paraId="2E74EB33" w14:textId="77777777" w:rsidR="002A02ED" w:rsidRPr="00B76500" w:rsidRDefault="002A02ED" w:rsidP="00040C3B">
            <w:pPr>
              <w:jc w:val="center"/>
            </w:pPr>
            <w:r w:rsidRPr="00B76500">
              <w:t>4/60</w:t>
            </w:r>
          </w:p>
        </w:tc>
        <w:tc>
          <w:tcPr>
            <w:tcW w:w="923" w:type="dxa"/>
            <w:tcBorders>
              <w:top w:val="single" w:sz="4" w:space="0" w:color="auto"/>
              <w:left w:val="nil"/>
              <w:bottom w:val="single" w:sz="8" w:space="0" w:color="auto"/>
              <w:right w:val="single" w:sz="8" w:space="0" w:color="auto"/>
            </w:tcBorders>
            <w:shd w:val="clear" w:color="auto" w:fill="auto"/>
          </w:tcPr>
          <w:p w14:paraId="566FD234" w14:textId="4588DC8F" w:rsidR="002A02ED" w:rsidRPr="00B76500" w:rsidRDefault="00B350F8" w:rsidP="00D474D5">
            <w:pPr>
              <w:jc w:val="center"/>
            </w:pPr>
            <w:r>
              <w:t>42</w:t>
            </w:r>
          </w:p>
        </w:tc>
      </w:tr>
      <w:tr w:rsidR="002A02ED" w:rsidRPr="00B76500" w14:paraId="66D941FF" w14:textId="77777777" w:rsidTr="0065644F">
        <w:trPr>
          <w:trHeight w:val="385"/>
        </w:trPr>
        <w:tc>
          <w:tcPr>
            <w:tcW w:w="1413" w:type="dxa"/>
            <w:vMerge/>
            <w:tcBorders>
              <w:top w:val="nil"/>
              <w:left w:val="single" w:sz="8" w:space="0" w:color="auto"/>
              <w:bottom w:val="single" w:sz="4" w:space="0" w:color="auto"/>
              <w:right w:val="single" w:sz="8" w:space="0" w:color="auto"/>
            </w:tcBorders>
            <w:vAlign w:val="center"/>
            <w:hideMark/>
          </w:tcPr>
          <w:p w14:paraId="1BF75C28" w14:textId="77777777" w:rsidR="002A02ED" w:rsidRPr="00B76500" w:rsidRDefault="002A02ED" w:rsidP="007F1CDE">
            <w:pPr>
              <w:rPr>
                <w:color w:val="000000"/>
              </w:rPr>
            </w:pPr>
          </w:p>
        </w:tc>
        <w:tc>
          <w:tcPr>
            <w:tcW w:w="2023" w:type="dxa"/>
            <w:tcBorders>
              <w:top w:val="nil"/>
              <w:left w:val="nil"/>
              <w:bottom w:val="single" w:sz="4" w:space="0" w:color="auto"/>
              <w:right w:val="single" w:sz="8" w:space="0" w:color="auto"/>
            </w:tcBorders>
            <w:shd w:val="clear" w:color="auto" w:fill="auto"/>
          </w:tcPr>
          <w:p w14:paraId="7B973E5F" w14:textId="77777777" w:rsidR="002A02ED" w:rsidRPr="00B76500" w:rsidRDefault="002A02ED" w:rsidP="00040C3B">
            <w:pPr>
              <w:pStyle w:val="NormalWeb"/>
              <w:tabs>
                <w:tab w:val="left" w:pos="540"/>
              </w:tabs>
              <w:rPr>
                <w:rFonts w:ascii="Times New Roman" w:eastAsia="MS Mincho" w:hAnsi="Times New Roman" w:cs="Times New Roman"/>
                <w:lang w:eastAsia="ja-JP"/>
              </w:rPr>
            </w:pPr>
            <w:r w:rsidRPr="00B76500">
              <w:rPr>
                <w:rFonts w:ascii="Times New Roman" w:eastAsia="MS Mincho" w:hAnsi="Times New Roman" w:cs="Times New Roman"/>
                <w:lang w:eastAsia="ja-JP"/>
              </w:rPr>
              <w:t>Work Organization Questionnaire</w:t>
            </w:r>
          </w:p>
          <w:p w14:paraId="7440CC87" w14:textId="77777777" w:rsidR="002A02ED" w:rsidRPr="00B76500" w:rsidRDefault="002A02ED" w:rsidP="007F1CDE">
            <w:pPr>
              <w:jc w:val="center"/>
              <w:rPr>
                <w:color w:val="000000"/>
              </w:rPr>
            </w:pPr>
          </w:p>
        </w:tc>
        <w:tc>
          <w:tcPr>
            <w:tcW w:w="1443" w:type="dxa"/>
            <w:tcBorders>
              <w:top w:val="nil"/>
              <w:left w:val="nil"/>
              <w:bottom w:val="single" w:sz="4" w:space="0" w:color="auto"/>
              <w:right w:val="single" w:sz="8" w:space="0" w:color="auto"/>
            </w:tcBorders>
            <w:shd w:val="clear" w:color="auto" w:fill="auto"/>
          </w:tcPr>
          <w:p w14:paraId="74F3475C" w14:textId="2E822734" w:rsidR="002A02ED" w:rsidRPr="00B76500" w:rsidRDefault="00B350F8" w:rsidP="007F1CDE">
            <w:pPr>
              <w:jc w:val="center"/>
              <w:rPr>
                <w:color w:val="000000"/>
              </w:rPr>
            </w:pPr>
            <w:r>
              <w:rPr>
                <w:rFonts w:eastAsia="MS Mincho"/>
                <w:lang w:eastAsia="ja-JP"/>
              </w:rPr>
              <w:t>63</w:t>
            </w:r>
          </w:p>
        </w:tc>
        <w:tc>
          <w:tcPr>
            <w:tcW w:w="1405" w:type="dxa"/>
            <w:tcBorders>
              <w:top w:val="nil"/>
              <w:left w:val="nil"/>
              <w:bottom w:val="single" w:sz="4" w:space="0" w:color="auto"/>
              <w:right w:val="single" w:sz="8" w:space="0" w:color="auto"/>
            </w:tcBorders>
            <w:shd w:val="clear" w:color="auto" w:fill="auto"/>
          </w:tcPr>
          <w:p w14:paraId="3405790D" w14:textId="77777777" w:rsidR="002A02ED" w:rsidRPr="00B76500" w:rsidRDefault="002A02ED" w:rsidP="007F1CDE">
            <w:pPr>
              <w:jc w:val="center"/>
              <w:rPr>
                <w:color w:val="000000"/>
              </w:rPr>
            </w:pPr>
            <w:r w:rsidRPr="00B76500">
              <w:rPr>
                <w:rFonts w:eastAsia="MS Mincho"/>
                <w:lang w:eastAsia="ja-JP"/>
              </w:rPr>
              <w:t>3</w:t>
            </w:r>
          </w:p>
        </w:tc>
        <w:tc>
          <w:tcPr>
            <w:tcW w:w="1376" w:type="dxa"/>
            <w:tcBorders>
              <w:top w:val="single" w:sz="8" w:space="0" w:color="auto"/>
              <w:left w:val="nil"/>
              <w:bottom w:val="single" w:sz="4" w:space="0" w:color="auto"/>
              <w:right w:val="single" w:sz="8" w:space="0" w:color="auto"/>
            </w:tcBorders>
            <w:shd w:val="clear" w:color="auto" w:fill="auto"/>
          </w:tcPr>
          <w:p w14:paraId="5101BF77" w14:textId="77777777" w:rsidR="002A02ED" w:rsidRPr="00B76500" w:rsidRDefault="002A02ED" w:rsidP="007F1CDE">
            <w:pPr>
              <w:jc w:val="center"/>
              <w:rPr>
                <w:color w:val="000000"/>
              </w:rPr>
            </w:pPr>
            <w:r w:rsidRPr="00B76500">
              <w:t>26/60</w:t>
            </w:r>
          </w:p>
        </w:tc>
        <w:tc>
          <w:tcPr>
            <w:tcW w:w="923" w:type="dxa"/>
            <w:tcBorders>
              <w:top w:val="single" w:sz="8" w:space="0" w:color="auto"/>
              <w:left w:val="nil"/>
              <w:bottom w:val="single" w:sz="4" w:space="0" w:color="auto"/>
              <w:right w:val="single" w:sz="8" w:space="0" w:color="auto"/>
            </w:tcBorders>
            <w:shd w:val="clear" w:color="auto" w:fill="auto"/>
          </w:tcPr>
          <w:p w14:paraId="4B1B069B" w14:textId="5226B3C8" w:rsidR="002A02ED" w:rsidRPr="00B76500" w:rsidRDefault="00B350F8" w:rsidP="00D474D5">
            <w:pPr>
              <w:jc w:val="center"/>
            </w:pPr>
            <w:r>
              <w:t>82</w:t>
            </w:r>
          </w:p>
        </w:tc>
      </w:tr>
      <w:tr w:rsidR="0065644F" w:rsidRPr="00B76500" w14:paraId="380CB6EE" w14:textId="77777777" w:rsidTr="00770B32">
        <w:trPr>
          <w:trHeight w:val="385"/>
        </w:trPr>
        <w:tc>
          <w:tcPr>
            <w:tcW w:w="8583" w:type="dxa"/>
            <w:gridSpan w:val="6"/>
            <w:tcBorders>
              <w:top w:val="single" w:sz="4" w:space="0" w:color="auto"/>
              <w:left w:val="single" w:sz="8" w:space="0" w:color="auto"/>
              <w:bottom w:val="single" w:sz="8" w:space="0" w:color="000000"/>
              <w:right w:val="single" w:sz="8" w:space="0" w:color="auto"/>
            </w:tcBorders>
            <w:vAlign w:val="center"/>
          </w:tcPr>
          <w:p w14:paraId="37C5BDBC" w14:textId="3BA27689" w:rsidR="0065644F" w:rsidRPr="00B76500" w:rsidRDefault="0065644F" w:rsidP="00EA254C">
            <w:pPr>
              <w:jc w:val="center"/>
            </w:pPr>
            <w:r>
              <w:t xml:space="preserve">Total                                                                                                                       </w:t>
            </w:r>
            <w:r w:rsidR="00B350F8">
              <w:t>23</w:t>
            </w:r>
            <w:r w:rsidR="00EA254C">
              <w:t>8</w:t>
            </w:r>
          </w:p>
        </w:tc>
      </w:tr>
    </w:tbl>
    <w:p w14:paraId="5AD295EF" w14:textId="77777777" w:rsidR="007F1CDE" w:rsidRPr="00B76500" w:rsidRDefault="007F1CDE" w:rsidP="00514252">
      <w:pPr>
        <w:jc w:val="center"/>
      </w:pPr>
    </w:p>
    <w:p w14:paraId="5BCEEAFB" w14:textId="77777777" w:rsidR="0038553A" w:rsidRPr="00B76500" w:rsidRDefault="0038553A" w:rsidP="0038553A"/>
    <w:p w14:paraId="2C19945F" w14:textId="77777777" w:rsidR="0038553A" w:rsidRPr="00B76500" w:rsidRDefault="0038553A" w:rsidP="0038553A">
      <w:r w:rsidRPr="00B76500">
        <w:lastRenderedPageBreak/>
        <w:t>B. Annualized Cost to Respondents</w:t>
      </w:r>
    </w:p>
    <w:p w14:paraId="6C5DDDA5" w14:textId="77777777" w:rsidR="0038553A" w:rsidRPr="00B76500" w:rsidRDefault="0038553A" w:rsidP="0038553A"/>
    <w:p w14:paraId="680CFAAD" w14:textId="77777777" w:rsidR="00040C3B" w:rsidRPr="00B76500" w:rsidRDefault="00040C3B" w:rsidP="003938D6">
      <w:r w:rsidRPr="00B76500">
        <w:t xml:space="preserve">There is no cost to respondents as the questionnaires will be administered during working hours.  </w:t>
      </w:r>
      <w:r w:rsidR="0038553A" w:rsidRPr="00B76500">
        <w:t xml:space="preserve">The total estimated cost to </w:t>
      </w:r>
      <w:r w:rsidRPr="00B76500">
        <w:t>Toyota is</w:t>
      </w:r>
      <w:r w:rsidR="0038553A" w:rsidRPr="00B76500">
        <w:t xml:space="preserve"> </w:t>
      </w:r>
      <w:r w:rsidR="00E23997" w:rsidRPr="00B76500">
        <w:rPr>
          <w:color w:val="000000"/>
          <w:szCs w:val="22"/>
        </w:rPr>
        <w:t>$</w:t>
      </w:r>
      <w:r w:rsidR="00AA5A21" w:rsidRPr="00B76500">
        <w:rPr>
          <w:color w:val="000000"/>
          <w:szCs w:val="22"/>
        </w:rPr>
        <w:t>1</w:t>
      </w:r>
      <w:r w:rsidR="00AC6641" w:rsidRPr="00B76500">
        <w:rPr>
          <w:color w:val="000000"/>
          <w:szCs w:val="22"/>
        </w:rPr>
        <w:t>2</w:t>
      </w:r>
      <w:r w:rsidR="00AA5A21" w:rsidRPr="00B76500">
        <w:rPr>
          <w:color w:val="000000"/>
          <w:szCs w:val="22"/>
        </w:rPr>
        <w:t>,</w:t>
      </w:r>
      <w:r w:rsidR="00B76500">
        <w:rPr>
          <w:color w:val="000000"/>
          <w:szCs w:val="22"/>
        </w:rPr>
        <w:t>272</w:t>
      </w:r>
      <w:r w:rsidR="00AA5A21" w:rsidRPr="00B76500">
        <w:rPr>
          <w:color w:val="000000"/>
          <w:szCs w:val="22"/>
        </w:rPr>
        <w:t xml:space="preserve">, </w:t>
      </w:r>
      <w:r w:rsidR="0038553A" w:rsidRPr="00B76500">
        <w:t xml:space="preserve">as summarized in Table A.12-2. </w:t>
      </w:r>
      <w:r w:rsidR="00AA5A21" w:rsidRPr="00B76500">
        <w:t xml:space="preserve"> The hourly wage rate of $26 is averaged for the personnel (team members) who will be eligible for participation in the study.</w:t>
      </w:r>
    </w:p>
    <w:p w14:paraId="54F9A2E0" w14:textId="77777777" w:rsidR="003938D6" w:rsidRDefault="003938D6" w:rsidP="003938D6">
      <w:r w:rsidRPr="00B76500">
        <w:t>.</w:t>
      </w:r>
    </w:p>
    <w:p w14:paraId="07EA5806" w14:textId="77777777" w:rsidR="00770B32" w:rsidRDefault="00770B32" w:rsidP="003938D6"/>
    <w:p w14:paraId="443FA031" w14:textId="77777777" w:rsidR="00770B32" w:rsidRDefault="00770B32" w:rsidP="003938D6"/>
    <w:p w14:paraId="57F1529D" w14:textId="77777777" w:rsidR="00770B32" w:rsidRPr="00B76500" w:rsidRDefault="00770B32" w:rsidP="003938D6"/>
    <w:p w14:paraId="5FFB3091" w14:textId="77777777" w:rsidR="00EC77C4" w:rsidRPr="00B76500" w:rsidRDefault="00EC77C4" w:rsidP="00514252">
      <w:pPr>
        <w:jc w:val="center"/>
      </w:pPr>
    </w:p>
    <w:p w14:paraId="42831B38" w14:textId="77777777" w:rsidR="0038553A" w:rsidRPr="00B76500" w:rsidRDefault="0038553A" w:rsidP="00514252">
      <w:pPr>
        <w:jc w:val="center"/>
      </w:pPr>
      <w:r w:rsidRPr="00B76500">
        <w:t>Table A.12-2. Estimated Annualized Cost to Respondents</w:t>
      </w:r>
    </w:p>
    <w:p w14:paraId="3AB80671" w14:textId="77777777" w:rsidR="007F1CDE" w:rsidRPr="00B76500" w:rsidRDefault="007F1CDE" w:rsidP="00514252">
      <w:pPr>
        <w:jc w:val="center"/>
      </w:pPr>
    </w:p>
    <w:tbl>
      <w:tblPr>
        <w:tblW w:w="8280" w:type="dxa"/>
        <w:tblInd w:w="198" w:type="dxa"/>
        <w:tblLook w:val="04A0" w:firstRow="1" w:lastRow="0" w:firstColumn="1" w:lastColumn="0" w:noHBand="0" w:noVBand="1"/>
      </w:tblPr>
      <w:tblGrid>
        <w:gridCol w:w="1701"/>
        <w:gridCol w:w="2206"/>
        <w:gridCol w:w="1403"/>
        <w:gridCol w:w="1283"/>
        <w:gridCol w:w="1687"/>
      </w:tblGrid>
      <w:tr w:rsidR="00E23997" w:rsidRPr="00B76500" w14:paraId="7AA1F3EE" w14:textId="77777777" w:rsidTr="00AC6641">
        <w:trPr>
          <w:trHeight w:val="1275"/>
        </w:trPr>
        <w:tc>
          <w:tcPr>
            <w:tcW w:w="1701" w:type="dxa"/>
            <w:tcBorders>
              <w:top w:val="single" w:sz="8" w:space="0" w:color="auto"/>
              <w:left w:val="single" w:sz="8" w:space="0" w:color="auto"/>
              <w:bottom w:val="single" w:sz="8" w:space="0" w:color="auto"/>
              <w:right w:val="single" w:sz="8" w:space="0" w:color="auto"/>
            </w:tcBorders>
            <w:shd w:val="clear" w:color="auto" w:fill="auto"/>
            <w:hideMark/>
          </w:tcPr>
          <w:p w14:paraId="40DBE163" w14:textId="77777777" w:rsidR="00E23997" w:rsidRPr="00B76500" w:rsidRDefault="00E23997" w:rsidP="007F1CDE">
            <w:pPr>
              <w:jc w:val="center"/>
              <w:rPr>
                <w:color w:val="000000"/>
              </w:rPr>
            </w:pPr>
            <w:r w:rsidRPr="00B76500">
              <w:rPr>
                <w:color w:val="000000"/>
              </w:rPr>
              <w:t>Type of Respondent</w:t>
            </w:r>
          </w:p>
        </w:tc>
        <w:tc>
          <w:tcPr>
            <w:tcW w:w="2206" w:type="dxa"/>
            <w:tcBorders>
              <w:top w:val="single" w:sz="8" w:space="0" w:color="auto"/>
              <w:left w:val="nil"/>
              <w:bottom w:val="single" w:sz="8" w:space="0" w:color="auto"/>
              <w:right w:val="single" w:sz="8" w:space="0" w:color="auto"/>
            </w:tcBorders>
            <w:shd w:val="clear" w:color="auto" w:fill="auto"/>
            <w:hideMark/>
          </w:tcPr>
          <w:p w14:paraId="4E625F9E" w14:textId="77777777" w:rsidR="00E23997" w:rsidRPr="00B76500" w:rsidRDefault="00E23997" w:rsidP="007F1CDE">
            <w:pPr>
              <w:jc w:val="center"/>
              <w:rPr>
                <w:color w:val="000000"/>
              </w:rPr>
            </w:pPr>
            <w:r w:rsidRPr="00B76500">
              <w:rPr>
                <w:color w:val="000000"/>
              </w:rPr>
              <w:t>Form Name</w:t>
            </w:r>
          </w:p>
        </w:tc>
        <w:tc>
          <w:tcPr>
            <w:tcW w:w="1403" w:type="dxa"/>
            <w:tcBorders>
              <w:top w:val="single" w:sz="8" w:space="0" w:color="auto"/>
              <w:left w:val="nil"/>
              <w:bottom w:val="single" w:sz="8" w:space="0" w:color="auto"/>
              <w:right w:val="single" w:sz="8" w:space="0" w:color="auto"/>
            </w:tcBorders>
            <w:shd w:val="clear" w:color="auto" w:fill="auto"/>
            <w:hideMark/>
          </w:tcPr>
          <w:p w14:paraId="2EFB0345" w14:textId="77777777" w:rsidR="00E23997" w:rsidRPr="00B76500" w:rsidRDefault="00E23997" w:rsidP="007F1CDE">
            <w:pPr>
              <w:jc w:val="center"/>
              <w:rPr>
                <w:color w:val="000000"/>
              </w:rPr>
            </w:pPr>
            <w:r w:rsidRPr="00B76500">
              <w:rPr>
                <w:color w:val="000000"/>
              </w:rPr>
              <w:t>Total Burden (in hours)</w:t>
            </w:r>
          </w:p>
        </w:tc>
        <w:tc>
          <w:tcPr>
            <w:tcW w:w="1283" w:type="dxa"/>
            <w:tcBorders>
              <w:top w:val="single" w:sz="8" w:space="0" w:color="auto"/>
              <w:left w:val="nil"/>
              <w:bottom w:val="single" w:sz="8" w:space="0" w:color="auto"/>
              <w:right w:val="single" w:sz="8" w:space="0" w:color="auto"/>
            </w:tcBorders>
            <w:shd w:val="clear" w:color="auto" w:fill="auto"/>
            <w:hideMark/>
          </w:tcPr>
          <w:p w14:paraId="6EB943DB" w14:textId="77777777" w:rsidR="00E23997" w:rsidRPr="00B76500" w:rsidRDefault="00E23997" w:rsidP="007F1CDE">
            <w:pPr>
              <w:jc w:val="center"/>
              <w:rPr>
                <w:color w:val="000000"/>
              </w:rPr>
            </w:pPr>
            <w:r w:rsidRPr="00B76500">
              <w:rPr>
                <w:color w:val="000000"/>
              </w:rPr>
              <w:t>Average Hourly Wage Rate</w:t>
            </w:r>
          </w:p>
        </w:tc>
        <w:tc>
          <w:tcPr>
            <w:tcW w:w="1687" w:type="dxa"/>
            <w:tcBorders>
              <w:top w:val="single" w:sz="8" w:space="0" w:color="auto"/>
              <w:left w:val="nil"/>
              <w:bottom w:val="single" w:sz="8" w:space="0" w:color="auto"/>
              <w:right w:val="single" w:sz="8" w:space="0" w:color="auto"/>
            </w:tcBorders>
            <w:shd w:val="clear" w:color="auto" w:fill="auto"/>
            <w:hideMark/>
          </w:tcPr>
          <w:p w14:paraId="546D27F0" w14:textId="77777777" w:rsidR="00E23997" w:rsidRPr="00B76500" w:rsidRDefault="00E23997" w:rsidP="007F1CDE">
            <w:pPr>
              <w:jc w:val="center"/>
              <w:rPr>
                <w:color w:val="000000"/>
              </w:rPr>
            </w:pPr>
            <w:r w:rsidRPr="00B76500">
              <w:rPr>
                <w:color w:val="000000"/>
              </w:rPr>
              <w:t>Total Respondent Costs</w:t>
            </w:r>
          </w:p>
        </w:tc>
      </w:tr>
      <w:tr w:rsidR="00AC6641" w:rsidRPr="00B76500" w14:paraId="6690D2DB" w14:textId="77777777" w:rsidTr="00AC6641">
        <w:trPr>
          <w:trHeight w:val="645"/>
        </w:trPr>
        <w:tc>
          <w:tcPr>
            <w:tcW w:w="1701" w:type="dxa"/>
            <w:vMerge w:val="restart"/>
            <w:tcBorders>
              <w:top w:val="nil"/>
              <w:left w:val="single" w:sz="8" w:space="0" w:color="auto"/>
              <w:right w:val="single" w:sz="8" w:space="0" w:color="auto"/>
            </w:tcBorders>
            <w:shd w:val="clear" w:color="auto" w:fill="auto"/>
            <w:vAlign w:val="center"/>
            <w:hideMark/>
          </w:tcPr>
          <w:p w14:paraId="3217F82F" w14:textId="77777777" w:rsidR="00AC6641" w:rsidRPr="00B76500" w:rsidRDefault="001E5412" w:rsidP="007F1CDE">
            <w:pPr>
              <w:jc w:val="center"/>
              <w:rPr>
                <w:color w:val="000000"/>
              </w:rPr>
            </w:pPr>
            <w:r>
              <w:rPr>
                <w:color w:val="000000"/>
              </w:rPr>
              <w:t>Employees</w:t>
            </w:r>
          </w:p>
        </w:tc>
        <w:tc>
          <w:tcPr>
            <w:tcW w:w="2206" w:type="dxa"/>
            <w:tcBorders>
              <w:top w:val="nil"/>
              <w:left w:val="nil"/>
              <w:bottom w:val="single" w:sz="4" w:space="0" w:color="auto"/>
              <w:right w:val="single" w:sz="8" w:space="0" w:color="auto"/>
            </w:tcBorders>
            <w:shd w:val="clear" w:color="auto" w:fill="auto"/>
          </w:tcPr>
          <w:p w14:paraId="5C98ED54" w14:textId="77777777" w:rsidR="00AC6641" w:rsidRPr="0074094D" w:rsidRDefault="00AC6641" w:rsidP="00040C3B">
            <w:pPr>
              <w:pStyle w:val="NormalWeb"/>
              <w:tabs>
                <w:tab w:val="left" w:pos="540"/>
              </w:tabs>
              <w:rPr>
                <w:rFonts w:ascii="Times New Roman" w:eastAsia="MS Mincho" w:hAnsi="Times New Roman" w:cs="Times New Roman"/>
                <w:lang w:eastAsia="ja-JP"/>
              </w:rPr>
            </w:pPr>
            <w:r w:rsidRPr="0074094D">
              <w:rPr>
                <w:rFonts w:ascii="Times New Roman" w:eastAsia="MS Mincho" w:hAnsi="Times New Roman" w:cs="Times New Roman"/>
                <w:lang w:eastAsia="ja-JP"/>
              </w:rPr>
              <w:t>Informed Consent Form</w:t>
            </w:r>
          </w:p>
        </w:tc>
        <w:tc>
          <w:tcPr>
            <w:tcW w:w="1403" w:type="dxa"/>
            <w:tcBorders>
              <w:top w:val="single" w:sz="8" w:space="0" w:color="auto"/>
              <w:left w:val="nil"/>
              <w:bottom w:val="single" w:sz="4" w:space="0" w:color="auto"/>
              <w:right w:val="single" w:sz="8" w:space="0" w:color="auto"/>
            </w:tcBorders>
            <w:shd w:val="clear" w:color="auto" w:fill="auto"/>
          </w:tcPr>
          <w:p w14:paraId="71D58994" w14:textId="74976C7A" w:rsidR="00AC6641" w:rsidRPr="0074094D" w:rsidRDefault="00B350F8" w:rsidP="00AA5A21">
            <w:pPr>
              <w:jc w:val="center"/>
            </w:pPr>
            <w:r>
              <w:t>5</w:t>
            </w:r>
          </w:p>
        </w:tc>
        <w:tc>
          <w:tcPr>
            <w:tcW w:w="1283" w:type="dxa"/>
            <w:tcBorders>
              <w:top w:val="single" w:sz="8" w:space="0" w:color="auto"/>
              <w:left w:val="nil"/>
              <w:bottom w:val="single" w:sz="8" w:space="0" w:color="auto"/>
              <w:right w:val="single" w:sz="8" w:space="0" w:color="auto"/>
            </w:tcBorders>
            <w:shd w:val="clear" w:color="auto" w:fill="auto"/>
            <w:noWrap/>
          </w:tcPr>
          <w:p w14:paraId="280BD958" w14:textId="77777777" w:rsidR="00AC6641" w:rsidRPr="0074094D" w:rsidRDefault="00AC6641" w:rsidP="00AA5A21">
            <w:pPr>
              <w:jc w:val="center"/>
              <w:rPr>
                <w:color w:val="000000"/>
              </w:rPr>
            </w:pPr>
            <w:r w:rsidRPr="0074094D">
              <w:rPr>
                <w:color w:val="000000"/>
              </w:rPr>
              <w:t>$26</w:t>
            </w:r>
          </w:p>
        </w:tc>
        <w:tc>
          <w:tcPr>
            <w:tcW w:w="1687" w:type="dxa"/>
            <w:tcBorders>
              <w:top w:val="single" w:sz="8" w:space="0" w:color="auto"/>
              <w:left w:val="nil"/>
              <w:bottom w:val="single" w:sz="8" w:space="0" w:color="auto"/>
              <w:right w:val="single" w:sz="8" w:space="0" w:color="auto"/>
            </w:tcBorders>
            <w:shd w:val="clear" w:color="auto" w:fill="auto"/>
            <w:noWrap/>
          </w:tcPr>
          <w:p w14:paraId="699DD211" w14:textId="041E56CF" w:rsidR="00AC6641" w:rsidRPr="0074094D" w:rsidRDefault="00AC6641" w:rsidP="00B350F8">
            <w:pPr>
              <w:jc w:val="center"/>
            </w:pPr>
            <w:r w:rsidRPr="0074094D">
              <w:t>$</w:t>
            </w:r>
            <w:r w:rsidR="00B350F8">
              <w:t>130</w:t>
            </w:r>
          </w:p>
        </w:tc>
      </w:tr>
      <w:tr w:rsidR="002A02ED" w:rsidRPr="00B76500" w14:paraId="71BC8088" w14:textId="77777777" w:rsidTr="00AC6641">
        <w:trPr>
          <w:trHeight w:val="735"/>
        </w:trPr>
        <w:tc>
          <w:tcPr>
            <w:tcW w:w="1701" w:type="dxa"/>
            <w:vMerge/>
            <w:tcBorders>
              <w:left w:val="single" w:sz="8" w:space="0" w:color="auto"/>
              <w:right w:val="single" w:sz="4" w:space="0" w:color="auto"/>
            </w:tcBorders>
            <w:shd w:val="clear" w:color="auto" w:fill="auto"/>
            <w:vAlign w:val="center"/>
          </w:tcPr>
          <w:p w14:paraId="5CF5FEFD" w14:textId="77777777" w:rsidR="002A02ED" w:rsidRPr="00B76500" w:rsidRDefault="002A02ED" w:rsidP="007F1CDE">
            <w:pPr>
              <w:rPr>
                <w:color w:val="000000"/>
              </w:rPr>
            </w:pP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64440B2C" w14:textId="77777777" w:rsidR="002A02ED" w:rsidRPr="0074094D" w:rsidRDefault="002A02ED" w:rsidP="00040C3B">
            <w:pPr>
              <w:pStyle w:val="NormalWeb"/>
              <w:tabs>
                <w:tab w:val="left" w:pos="540"/>
              </w:tabs>
              <w:rPr>
                <w:rFonts w:ascii="Times New Roman" w:eastAsia="MS Mincho" w:hAnsi="Times New Roman" w:cs="Times New Roman"/>
                <w:lang w:eastAsia="ja-JP"/>
              </w:rPr>
            </w:pPr>
            <w:r w:rsidRPr="0074094D">
              <w:rPr>
                <w:rFonts w:ascii="Times New Roman" w:eastAsia="MS Mincho" w:hAnsi="Times New Roman" w:cs="Times New Roman"/>
                <w:lang w:eastAsia="ja-JP"/>
              </w:rPr>
              <w:t>Consent of Photographic Image Release</w:t>
            </w:r>
          </w:p>
        </w:tc>
        <w:tc>
          <w:tcPr>
            <w:tcW w:w="1403" w:type="dxa"/>
            <w:tcBorders>
              <w:top w:val="single" w:sz="8" w:space="0" w:color="auto"/>
              <w:left w:val="single" w:sz="4" w:space="0" w:color="auto"/>
              <w:bottom w:val="single" w:sz="4" w:space="0" w:color="auto"/>
              <w:right w:val="single" w:sz="8" w:space="0" w:color="auto"/>
            </w:tcBorders>
            <w:shd w:val="clear" w:color="auto" w:fill="auto"/>
          </w:tcPr>
          <w:p w14:paraId="216D79F8" w14:textId="1AF4FCF9" w:rsidR="002A02ED" w:rsidRPr="0074094D" w:rsidRDefault="00B350F8" w:rsidP="00AA5A21">
            <w:pPr>
              <w:jc w:val="center"/>
            </w:pPr>
            <w:r>
              <w:t>2</w:t>
            </w:r>
          </w:p>
        </w:tc>
        <w:tc>
          <w:tcPr>
            <w:tcW w:w="1283" w:type="dxa"/>
            <w:tcBorders>
              <w:top w:val="single" w:sz="8" w:space="0" w:color="auto"/>
              <w:left w:val="nil"/>
              <w:bottom w:val="single" w:sz="8" w:space="0" w:color="auto"/>
              <w:right w:val="single" w:sz="8" w:space="0" w:color="auto"/>
            </w:tcBorders>
            <w:shd w:val="clear" w:color="auto" w:fill="auto"/>
            <w:noWrap/>
          </w:tcPr>
          <w:p w14:paraId="7FECD08B" w14:textId="77777777" w:rsidR="002A02ED" w:rsidRPr="0074094D" w:rsidRDefault="002A02ED" w:rsidP="00AA5A21">
            <w:pPr>
              <w:jc w:val="center"/>
              <w:rPr>
                <w:color w:val="000000"/>
              </w:rPr>
            </w:pPr>
            <w:r w:rsidRPr="0074094D">
              <w:rPr>
                <w:color w:val="000000"/>
              </w:rPr>
              <w:t>$26</w:t>
            </w:r>
          </w:p>
        </w:tc>
        <w:tc>
          <w:tcPr>
            <w:tcW w:w="1687" w:type="dxa"/>
            <w:tcBorders>
              <w:top w:val="single" w:sz="8" w:space="0" w:color="auto"/>
              <w:left w:val="nil"/>
              <w:bottom w:val="single" w:sz="8" w:space="0" w:color="auto"/>
              <w:right w:val="single" w:sz="8" w:space="0" w:color="auto"/>
            </w:tcBorders>
            <w:shd w:val="clear" w:color="auto" w:fill="auto"/>
            <w:noWrap/>
          </w:tcPr>
          <w:p w14:paraId="3B096034" w14:textId="7575B285" w:rsidR="002A02ED" w:rsidRPr="0074094D" w:rsidRDefault="002A02ED" w:rsidP="00B350F8">
            <w:pPr>
              <w:jc w:val="center"/>
            </w:pPr>
            <w:r w:rsidRPr="0074094D">
              <w:t>$</w:t>
            </w:r>
            <w:r w:rsidR="00B350F8">
              <w:t>52</w:t>
            </w:r>
          </w:p>
        </w:tc>
      </w:tr>
      <w:tr w:rsidR="00AC6641" w:rsidRPr="00B76500" w14:paraId="0CF29499" w14:textId="77777777" w:rsidTr="00AC6641">
        <w:trPr>
          <w:trHeight w:val="735"/>
        </w:trPr>
        <w:tc>
          <w:tcPr>
            <w:tcW w:w="1701" w:type="dxa"/>
            <w:vMerge/>
            <w:tcBorders>
              <w:left w:val="single" w:sz="8" w:space="0" w:color="auto"/>
              <w:right w:val="single" w:sz="4" w:space="0" w:color="auto"/>
            </w:tcBorders>
            <w:shd w:val="clear" w:color="auto" w:fill="auto"/>
            <w:vAlign w:val="center"/>
            <w:hideMark/>
          </w:tcPr>
          <w:p w14:paraId="679BD2D8" w14:textId="77777777" w:rsidR="00AC6641" w:rsidRPr="00B76500" w:rsidRDefault="00AC6641" w:rsidP="007F1CDE">
            <w:pPr>
              <w:rPr>
                <w:color w:val="000000"/>
              </w:rPr>
            </w:pP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5FF4A8F8" w14:textId="77777777" w:rsidR="00AC6641" w:rsidRPr="0074094D" w:rsidRDefault="00AC6641" w:rsidP="00040C3B">
            <w:pPr>
              <w:pStyle w:val="NormalWeb"/>
              <w:tabs>
                <w:tab w:val="left" w:pos="540"/>
              </w:tabs>
              <w:rPr>
                <w:rFonts w:ascii="Times New Roman" w:eastAsia="MS Mincho" w:hAnsi="Times New Roman" w:cs="Times New Roman"/>
                <w:lang w:eastAsia="ja-JP"/>
              </w:rPr>
            </w:pPr>
            <w:r w:rsidRPr="0074094D">
              <w:rPr>
                <w:rFonts w:ascii="Times New Roman" w:eastAsia="MS Mincho" w:hAnsi="Times New Roman" w:cs="Times New Roman"/>
                <w:lang w:eastAsia="ja-JP"/>
              </w:rPr>
              <w:t>Physical Activity Readiness (PAR-Q)</w:t>
            </w:r>
          </w:p>
        </w:tc>
        <w:tc>
          <w:tcPr>
            <w:tcW w:w="1403" w:type="dxa"/>
            <w:tcBorders>
              <w:top w:val="single" w:sz="8" w:space="0" w:color="auto"/>
              <w:left w:val="single" w:sz="4" w:space="0" w:color="auto"/>
              <w:bottom w:val="single" w:sz="4" w:space="0" w:color="auto"/>
              <w:right w:val="single" w:sz="8" w:space="0" w:color="auto"/>
            </w:tcBorders>
            <w:shd w:val="clear" w:color="auto" w:fill="auto"/>
          </w:tcPr>
          <w:p w14:paraId="48031FA4" w14:textId="3F4E8603" w:rsidR="00AC6641" w:rsidRPr="0074094D" w:rsidRDefault="00B350F8" w:rsidP="00AA5A21">
            <w:pPr>
              <w:jc w:val="center"/>
            </w:pPr>
            <w:r>
              <w:t>2</w:t>
            </w:r>
          </w:p>
        </w:tc>
        <w:tc>
          <w:tcPr>
            <w:tcW w:w="1283" w:type="dxa"/>
            <w:tcBorders>
              <w:top w:val="single" w:sz="8" w:space="0" w:color="auto"/>
              <w:left w:val="nil"/>
              <w:bottom w:val="single" w:sz="8" w:space="0" w:color="auto"/>
              <w:right w:val="single" w:sz="8" w:space="0" w:color="auto"/>
            </w:tcBorders>
            <w:shd w:val="clear" w:color="auto" w:fill="auto"/>
            <w:noWrap/>
          </w:tcPr>
          <w:p w14:paraId="3AE19F7C" w14:textId="77777777" w:rsidR="00AC6641" w:rsidRPr="0074094D" w:rsidRDefault="00AC6641" w:rsidP="00AA5A21">
            <w:pPr>
              <w:jc w:val="center"/>
            </w:pPr>
            <w:r w:rsidRPr="0074094D">
              <w:rPr>
                <w:color w:val="000000"/>
              </w:rPr>
              <w:t>$26</w:t>
            </w:r>
          </w:p>
        </w:tc>
        <w:tc>
          <w:tcPr>
            <w:tcW w:w="1687" w:type="dxa"/>
            <w:tcBorders>
              <w:top w:val="single" w:sz="8" w:space="0" w:color="auto"/>
              <w:left w:val="nil"/>
              <w:bottom w:val="single" w:sz="8" w:space="0" w:color="auto"/>
              <w:right w:val="single" w:sz="8" w:space="0" w:color="auto"/>
            </w:tcBorders>
            <w:shd w:val="clear" w:color="auto" w:fill="auto"/>
            <w:noWrap/>
          </w:tcPr>
          <w:p w14:paraId="7CB027C4" w14:textId="0F6F534F" w:rsidR="00AC6641" w:rsidRPr="0074094D" w:rsidRDefault="00AC6641" w:rsidP="00B350F8">
            <w:pPr>
              <w:jc w:val="center"/>
            </w:pPr>
            <w:r w:rsidRPr="0074094D">
              <w:t>$</w:t>
            </w:r>
            <w:r w:rsidR="00B350F8">
              <w:t>52</w:t>
            </w:r>
          </w:p>
        </w:tc>
      </w:tr>
      <w:tr w:rsidR="00AC6641" w:rsidRPr="00B76500" w14:paraId="61B1CE34" w14:textId="77777777" w:rsidTr="00AC6641">
        <w:trPr>
          <w:trHeight w:val="1095"/>
        </w:trPr>
        <w:tc>
          <w:tcPr>
            <w:tcW w:w="1701" w:type="dxa"/>
            <w:vMerge/>
            <w:tcBorders>
              <w:left w:val="single" w:sz="8" w:space="0" w:color="auto"/>
              <w:right w:val="single" w:sz="4" w:space="0" w:color="auto"/>
            </w:tcBorders>
            <w:shd w:val="clear" w:color="auto" w:fill="auto"/>
            <w:vAlign w:val="center"/>
            <w:hideMark/>
          </w:tcPr>
          <w:p w14:paraId="513B77F0" w14:textId="77777777" w:rsidR="00AC6641" w:rsidRPr="00B76500" w:rsidRDefault="00AC6641" w:rsidP="007F1CDE">
            <w:pPr>
              <w:rPr>
                <w:color w:val="000000"/>
              </w:rPr>
            </w:pPr>
          </w:p>
        </w:tc>
        <w:tc>
          <w:tcPr>
            <w:tcW w:w="2206" w:type="dxa"/>
            <w:tcBorders>
              <w:top w:val="single" w:sz="4" w:space="0" w:color="auto"/>
              <w:left w:val="nil"/>
              <w:bottom w:val="single" w:sz="4" w:space="0" w:color="auto"/>
              <w:right w:val="single" w:sz="4" w:space="0" w:color="auto"/>
            </w:tcBorders>
            <w:shd w:val="clear" w:color="auto" w:fill="auto"/>
          </w:tcPr>
          <w:p w14:paraId="71752187" w14:textId="77777777" w:rsidR="00AC6641" w:rsidRPr="0074094D" w:rsidRDefault="00AC6641" w:rsidP="00040C3B">
            <w:pPr>
              <w:pStyle w:val="NormalWeb"/>
              <w:tabs>
                <w:tab w:val="left" w:pos="540"/>
              </w:tabs>
              <w:rPr>
                <w:rFonts w:ascii="Times New Roman" w:eastAsia="MS Mincho" w:hAnsi="Times New Roman" w:cs="Times New Roman"/>
                <w:lang w:eastAsia="ja-JP"/>
              </w:rPr>
            </w:pPr>
            <w:r w:rsidRPr="0074094D">
              <w:rPr>
                <w:rFonts w:ascii="Times New Roman" w:eastAsia="MS Mincho" w:hAnsi="Times New Roman" w:cs="Times New Roman"/>
                <w:lang w:eastAsia="ja-JP"/>
              </w:rPr>
              <w:t>Shoulder Rating Questionnaire (SRQ)</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35943519" w14:textId="54CC8A23" w:rsidR="00AC6641" w:rsidRPr="0074094D" w:rsidRDefault="00B350F8" w:rsidP="00AA5A21">
            <w:pPr>
              <w:jc w:val="center"/>
            </w:pPr>
            <w:r>
              <w:t>42</w:t>
            </w:r>
          </w:p>
        </w:tc>
        <w:tc>
          <w:tcPr>
            <w:tcW w:w="1283" w:type="dxa"/>
            <w:tcBorders>
              <w:top w:val="nil"/>
              <w:left w:val="single" w:sz="4" w:space="0" w:color="auto"/>
              <w:bottom w:val="single" w:sz="4" w:space="0" w:color="auto"/>
              <w:right w:val="single" w:sz="8" w:space="0" w:color="auto"/>
            </w:tcBorders>
            <w:shd w:val="clear" w:color="auto" w:fill="auto"/>
            <w:noWrap/>
          </w:tcPr>
          <w:p w14:paraId="11C5E011" w14:textId="77777777" w:rsidR="00AC6641" w:rsidRPr="0074094D" w:rsidRDefault="00AC6641" w:rsidP="00AA5A21">
            <w:pPr>
              <w:jc w:val="center"/>
            </w:pPr>
            <w:r w:rsidRPr="0074094D">
              <w:rPr>
                <w:color w:val="000000"/>
              </w:rPr>
              <w:t>$26</w:t>
            </w:r>
          </w:p>
        </w:tc>
        <w:tc>
          <w:tcPr>
            <w:tcW w:w="1687" w:type="dxa"/>
            <w:tcBorders>
              <w:top w:val="nil"/>
              <w:left w:val="nil"/>
              <w:bottom w:val="single" w:sz="4" w:space="0" w:color="auto"/>
              <w:right w:val="single" w:sz="8" w:space="0" w:color="auto"/>
            </w:tcBorders>
            <w:shd w:val="clear" w:color="auto" w:fill="auto"/>
            <w:noWrap/>
          </w:tcPr>
          <w:p w14:paraId="6F31B9CD" w14:textId="2E7F9716" w:rsidR="00AC6641" w:rsidRPr="0074094D" w:rsidRDefault="00AC6641" w:rsidP="00B350F8">
            <w:pPr>
              <w:jc w:val="center"/>
            </w:pPr>
            <w:r w:rsidRPr="0074094D">
              <w:t>$</w:t>
            </w:r>
            <w:r w:rsidR="00B350F8">
              <w:t>1092</w:t>
            </w:r>
          </w:p>
        </w:tc>
      </w:tr>
      <w:tr w:rsidR="00AC6641" w:rsidRPr="00B76500" w14:paraId="7F247094" w14:textId="77777777" w:rsidTr="00AC6641">
        <w:trPr>
          <w:trHeight w:val="960"/>
        </w:trPr>
        <w:tc>
          <w:tcPr>
            <w:tcW w:w="1701" w:type="dxa"/>
            <w:vMerge/>
            <w:tcBorders>
              <w:left w:val="single" w:sz="8" w:space="0" w:color="auto"/>
              <w:right w:val="single" w:sz="8" w:space="0" w:color="auto"/>
            </w:tcBorders>
            <w:shd w:val="clear" w:color="auto" w:fill="auto"/>
            <w:vAlign w:val="center"/>
            <w:hideMark/>
          </w:tcPr>
          <w:p w14:paraId="7D408DE8" w14:textId="77777777" w:rsidR="00AC6641" w:rsidRPr="00B76500" w:rsidRDefault="00AC6641" w:rsidP="007F1CDE">
            <w:pPr>
              <w:rPr>
                <w:color w:val="000000"/>
              </w:rPr>
            </w:pP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30910880" w14:textId="77777777" w:rsidR="00AC6641" w:rsidRPr="0074094D" w:rsidRDefault="00AC6641" w:rsidP="00040C3B">
            <w:pPr>
              <w:pStyle w:val="NormalWeb"/>
              <w:tabs>
                <w:tab w:val="left" w:pos="540"/>
              </w:tabs>
              <w:rPr>
                <w:rFonts w:ascii="Times New Roman" w:eastAsia="MS Mincho" w:hAnsi="Times New Roman" w:cs="Times New Roman"/>
                <w:lang w:eastAsia="ja-JP"/>
              </w:rPr>
            </w:pPr>
            <w:r w:rsidRPr="0074094D">
              <w:rPr>
                <w:rFonts w:ascii="Times New Roman" w:eastAsia="MS Mincho" w:hAnsi="Times New Roman" w:cs="Times New Roman"/>
                <w:lang w:eastAsia="ja-JP"/>
              </w:rPr>
              <w:t>Disabilities of the Arm Shoulder and Hand (DASH)</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46FFDCDC" w14:textId="2EC43002" w:rsidR="00AC6641" w:rsidRPr="0074094D" w:rsidRDefault="00B350F8" w:rsidP="00AA5A21">
            <w:pPr>
              <w:jc w:val="center"/>
            </w:pPr>
            <w:r>
              <w:t>63</w:t>
            </w:r>
          </w:p>
        </w:tc>
        <w:tc>
          <w:tcPr>
            <w:tcW w:w="1283" w:type="dxa"/>
            <w:tcBorders>
              <w:top w:val="single" w:sz="4" w:space="0" w:color="auto"/>
              <w:left w:val="single" w:sz="4" w:space="0" w:color="auto"/>
              <w:bottom w:val="single" w:sz="4" w:space="0" w:color="auto"/>
              <w:right w:val="single" w:sz="4" w:space="0" w:color="auto"/>
            </w:tcBorders>
            <w:shd w:val="clear" w:color="auto" w:fill="auto"/>
            <w:noWrap/>
          </w:tcPr>
          <w:p w14:paraId="60C8ACE6" w14:textId="77777777" w:rsidR="00AC6641" w:rsidRPr="0074094D" w:rsidRDefault="00AC6641" w:rsidP="00AA5A21">
            <w:pPr>
              <w:jc w:val="center"/>
            </w:pPr>
            <w:r w:rsidRPr="0074094D">
              <w:rPr>
                <w:color w:val="000000"/>
              </w:rPr>
              <w:t>$26</w:t>
            </w:r>
          </w:p>
        </w:tc>
        <w:tc>
          <w:tcPr>
            <w:tcW w:w="1687" w:type="dxa"/>
            <w:tcBorders>
              <w:top w:val="single" w:sz="4" w:space="0" w:color="auto"/>
              <w:left w:val="single" w:sz="4" w:space="0" w:color="auto"/>
              <w:bottom w:val="single" w:sz="4" w:space="0" w:color="auto"/>
              <w:right w:val="single" w:sz="4" w:space="0" w:color="auto"/>
            </w:tcBorders>
            <w:shd w:val="clear" w:color="auto" w:fill="auto"/>
            <w:noWrap/>
          </w:tcPr>
          <w:p w14:paraId="0D9DF09D" w14:textId="3E1337DF" w:rsidR="00AC6641" w:rsidRPr="0074094D" w:rsidRDefault="00AC6641" w:rsidP="00B350F8">
            <w:pPr>
              <w:jc w:val="center"/>
            </w:pPr>
            <w:r w:rsidRPr="0074094D">
              <w:t>$</w:t>
            </w:r>
            <w:r w:rsidR="00B350F8">
              <w:t>1638</w:t>
            </w:r>
          </w:p>
        </w:tc>
      </w:tr>
      <w:tr w:rsidR="00AC6641" w:rsidRPr="00B76500" w14:paraId="3BB956DA" w14:textId="77777777" w:rsidTr="00AC6641">
        <w:trPr>
          <w:trHeight w:val="645"/>
        </w:trPr>
        <w:tc>
          <w:tcPr>
            <w:tcW w:w="1701" w:type="dxa"/>
            <w:vMerge/>
            <w:tcBorders>
              <w:left w:val="single" w:sz="8" w:space="0" w:color="auto"/>
              <w:right w:val="single" w:sz="8" w:space="0" w:color="auto"/>
            </w:tcBorders>
            <w:shd w:val="clear" w:color="auto" w:fill="auto"/>
            <w:vAlign w:val="center"/>
            <w:hideMark/>
          </w:tcPr>
          <w:p w14:paraId="33FFCACA" w14:textId="77777777" w:rsidR="00AC6641" w:rsidRPr="00B76500" w:rsidRDefault="00AC6641" w:rsidP="007F1CDE">
            <w:pPr>
              <w:rPr>
                <w:color w:val="000000"/>
              </w:rPr>
            </w:pPr>
          </w:p>
        </w:tc>
        <w:tc>
          <w:tcPr>
            <w:tcW w:w="2206" w:type="dxa"/>
            <w:tcBorders>
              <w:top w:val="single" w:sz="4" w:space="0" w:color="auto"/>
              <w:left w:val="nil"/>
              <w:bottom w:val="single" w:sz="8" w:space="0" w:color="auto"/>
              <w:right w:val="single" w:sz="8" w:space="0" w:color="auto"/>
            </w:tcBorders>
            <w:shd w:val="clear" w:color="auto" w:fill="auto"/>
          </w:tcPr>
          <w:p w14:paraId="771365F2" w14:textId="77777777" w:rsidR="00AC6641" w:rsidRPr="0074094D" w:rsidRDefault="00AC6641" w:rsidP="00040C3B">
            <w:pPr>
              <w:pStyle w:val="NormalWeb"/>
              <w:tabs>
                <w:tab w:val="left" w:pos="540"/>
              </w:tabs>
              <w:rPr>
                <w:rFonts w:ascii="Times New Roman" w:eastAsia="MS Mincho" w:hAnsi="Times New Roman" w:cs="Times New Roman"/>
                <w:lang w:eastAsia="ja-JP"/>
              </w:rPr>
            </w:pPr>
            <w:r w:rsidRPr="0074094D">
              <w:rPr>
                <w:rFonts w:ascii="Times New Roman" w:eastAsia="MS Mincho" w:hAnsi="Times New Roman" w:cs="Times New Roman"/>
                <w:lang w:eastAsia="ja-JP"/>
              </w:rPr>
              <w:t>Standardized Nordic Questionnaire for Musculoskeletal Symptoms Instrument</w:t>
            </w:r>
          </w:p>
        </w:tc>
        <w:tc>
          <w:tcPr>
            <w:tcW w:w="1403" w:type="dxa"/>
            <w:tcBorders>
              <w:top w:val="single" w:sz="4" w:space="0" w:color="auto"/>
              <w:left w:val="nil"/>
              <w:bottom w:val="nil"/>
              <w:right w:val="single" w:sz="8" w:space="0" w:color="auto"/>
            </w:tcBorders>
            <w:shd w:val="clear" w:color="auto" w:fill="auto"/>
          </w:tcPr>
          <w:p w14:paraId="3E3AE874" w14:textId="4DA02D0F" w:rsidR="00AC6641" w:rsidRPr="0074094D" w:rsidRDefault="00B350F8" w:rsidP="00AA5A21">
            <w:pPr>
              <w:jc w:val="center"/>
            </w:pPr>
            <w:r>
              <w:t>42</w:t>
            </w:r>
          </w:p>
        </w:tc>
        <w:tc>
          <w:tcPr>
            <w:tcW w:w="1283" w:type="dxa"/>
            <w:tcBorders>
              <w:top w:val="single" w:sz="4" w:space="0" w:color="auto"/>
              <w:left w:val="nil"/>
              <w:bottom w:val="single" w:sz="8" w:space="0" w:color="auto"/>
              <w:right w:val="single" w:sz="8" w:space="0" w:color="auto"/>
            </w:tcBorders>
            <w:shd w:val="clear" w:color="auto" w:fill="auto"/>
            <w:noWrap/>
          </w:tcPr>
          <w:p w14:paraId="74F48793" w14:textId="77777777" w:rsidR="00AC6641" w:rsidRPr="0074094D" w:rsidRDefault="00AC6641" w:rsidP="00AA5A21">
            <w:pPr>
              <w:jc w:val="center"/>
            </w:pPr>
            <w:r w:rsidRPr="0074094D">
              <w:rPr>
                <w:color w:val="000000"/>
              </w:rPr>
              <w:t>$26</w:t>
            </w:r>
          </w:p>
        </w:tc>
        <w:tc>
          <w:tcPr>
            <w:tcW w:w="1687" w:type="dxa"/>
            <w:tcBorders>
              <w:top w:val="single" w:sz="4" w:space="0" w:color="auto"/>
              <w:left w:val="nil"/>
              <w:bottom w:val="single" w:sz="8" w:space="0" w:color="auto"/>
              <w:right w:val="single" w:sz="8" w:space="0" w:color="auto"/>
            </w:tcBorders>
            <w:shd w:val="clear" w:color="auto" w:fill="auto"/>
            <w:noWrap/>
          </w:tcPr>
          <w:p w14:paraId="6401FFA5" w14:textId="73F5ED2D" w:rsidR="00AC6641" w:rsidRPr="0074094D" w:rsidRDefault="00AC6641" w:rsidP="00B350F8">
            <w:pPr>
              <w:jc w:val="center"/>
            </w:pPr>
            <w:r w:rsidRPr="0074094D">
              <w:t>$</w:t>
            </w:r>
            <w:r w:rsidR="00B350F8">
              <w:t>1092</w:t>
            </w:r>
          </w:p>
        </w:tc>
      </w:tr>
      <w:tr w:rsidR="00AC6641" w:rsidRPr="00B76500" w14:paraId="52443EA4" w14:textId="77777777" w:rsidTr="00AC6641">
        <w:trPr>
          <w:trHeight w:val="322"/>
        </w:trPr>
        <w:tc>
          <w:tcPr>
            <w:tcW w:w="1701" w:type="dxa"/>
            <w:vMerge/>
            <w:tcBorders>
              <w:left w:val="single" w:sz="8" w:space="0" w:color="auto"/>
              <w:right w:val="single" w:sz="8" w:space="0" w:color="auto"/>
            </w:tcBorders>
            <w:shd w:val="clear" w:color="auto" w:fill="auto"/>
            <w:vAlign w:val="center"/>
            <w:hideMark/>
          </w:tcPr>
          <w:p w14:paraId="5045B0FA" w14:textId="77777777" w:rsidR="00AC6641" w:rsidRPr="00B76500" w:rsidRDefault="00AC6641" w:rsidP="007F1CDE">
            <w:pPr>
              <w:rPr>
                <w:color w:val="000000"/>
              </w:rPr>
            </w:pPr>
          </w:p>
        </w:tc>
        <w:tc>
          <w:tcPr>
            <w:tcW w:w="2206" w:type="dxa"/>
            <w:tcBorders>
              <w:top w:val="nil"/>
              <w:left w:val="nil"/>
              <w:bottom w:val="single" w:sz="8" w:space="0" w:color="auto"/>
              <w:right w:val="single" w:sz="8" w:space="0" w:color="auto"/>
            </w:tcBorders>
            <w:shd w:val="clear" w:color="auto" w:fill="auto"/>
          </w:tcPr>
          <w:p w14:paraId="1CA3411D" w14:textId="77777777" w:rsidR="00AC6641" w:rsidRPr="0074094D" w:rsidRDefault="00AC6641" w:rsidP="00040C3B">
            <w:pPr>
              <w:pStyle w:val="NormalWeb"/>
              <w:tabs>
                <w:tab w:val="left" w:pos="540"/>
              </w:tabs>
              <w:rPr>
                <w:rFonts w:ascii="Times New Roman" w:eastAsia="MS Mincho" w:hAnsi="Times New Roman" w:cs="Times New Roman"/>
                <w:lang w:eastAsia="ja-JP"/>
              </w:rPr>
            </w:pPr>
            <w:r w:rsidRPr="0074094D">
              <w:rPr>
                <w:rFonts w:ascii="Times New Roman" w:eastAsia="MS Mincho" w:hAnsi="Times New Roman" w:cs="Times New Roman"/>
                <w:lang w:eastAsia="ja-JP"/>
              </w:rPr>
              <w:t>Work Organization Questionnaire</w:t>
            </w:r>
          </w:p>
          <w:p w14:paraId="3E05A44A" w14:textId="77777777" w:rsidR="00AC6641" w:rsidRPr="0074094D" w:rsidRDefault="00AC6641" w:rsidP="007F1CDE">
            <w:pPr>
              <w:jc w:val="center"/>
              <w:rPr>
                <w:color w:val="000000"/>
              </w:rPr>
            </w:pPr>
          </w:p>
        </w:tc>
        <w:tc>
          <w:tcPr>
            <w:tcW w:w="1403" w:type="dxa"/>
            <w:tcBorders>
              <w:top w:val="single" w:sz="8" w:space="0" w:color="auto"/>
              <w:left w:val="nil"/>
              <w:bottom w:val="nil"/>
              <w:right w:val="single" w:sz="8" w:space="0" w:color="auto"/>
            </w:tcBorders>
            <w:shd w:val="clear" w:color="auto" w:fill="auto"/>
          </w:tcPr>
          <w:p w14:paraId="797C91E8" w14:textId="3C98CE56" w:rsidR="00AC6641" w:rsidRPr="0074094D" w:rsidRDefault="00B350F8" w:rsidP="00D474D5">
            <w:pPr>
              <w:jc w:val="center"/>
            </w:pPr>
            <w:r>
              <w:t>82</w:t>
            </w:r>
          </w:p>
        </w:tc>
        <w:tc>
          <w:tcPr>
            <w:tcW w:w="1283" w:type="dxa"/>
            <w:tcBorders>
              <w:top w:val="nil"/>
              <w:left w:val="nil"/>
              <w:bottom w:val="single" w:sz="8" w:space="0" w:color="auto"/>
              <w:right w:val="single" w:sz="8" w:space="0" w:color="auto"/>
            </w:tcBorders>
            <w:shd w:val="clear" w:color="auto" w:fill="auto"/>
            <w:noWrap/>
          </w:tcPr>
          <w:p w14:paraId="3AF6681E" w14:textId="77777777" w:rsidR="00AC6641" w:rsidRPr="0074094D" w:rsidRDefault="00AC6641" w:rsidP="007F1CDE">
            <w:pPr>
              <w:jc w:val="center"/>
              <w:rPr>
                <w:color w:val="000000"/>
              </w:rPr>
            </w:pPr>
            <w:r w:rsidRPr="0074094D">
              <w:rPr>
                <w:color w:val="000000"/>
              </w:rPr>
              <w:t>$26</w:t>
            </w:r>
          </w:p>
        </w:tc>
        <w:tc>
          <w:tcPr>
            <w:tcW w:w="1687" w:type="dxa"/>
            <w:tcBorders>
              <w:top w:val="nil"/>
              <w:left w:val="nil"/>
              <w:bottom w:val="single" w:sz="8" w:space="0" w:color="auto"/>
              <w:right w:val="single" w:sz="8" w:space="0" w:color="auto"/>
            </w:tcBorders>
            <w:shd w:val="clear" w:color="auto" w:fill="auto"/>
            <w:noWrap/>
          </w:tcPr>
          <w:p w14:paraId="1A052409" w14:textId="4D307DCD" w:rsidR="00AC6641" w:rsidRPr="0074094D" w:rsidRDefault="00AC6641" w:rsidP="00B350F8">
            <w:pPr>
              <w:jc w:val="center"/>
              <w:rPr>
                <w:color w:val="000000"/>
                <w:szCs w:val="22"/>
              </w:rPr>
            </w:pPr>
            <w:r w:rsidRPr="0074094D">
              <w:t>$</w:t>
            </w:r>
            <w:r w:rsidR="00B350F8">
              <w:t>2132</w:t>
            </w:r>
          </w:p>
        </w:tc>
      </w:tr>
      <w:tr w:rsidR="00B76500" w:rsidRPr="00B76500" w14:paraId="42BF5037" w14:textId="77777777" w:rsidTr="001E5412">
        <w:trPr>
          <w:trHeight w:val="330"/>
        </w:trPr>
        <w:tc>
          <w:tcPr>
            <w:tcW w:w="8280"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14:paraId="1F23FD76" w14:textId="58570307" w:rsidR="00B76500" w:rsidRPr="00B76500" w:rsidRDefault="00B76500" w:rsidP="00B350F8">
            <w:pPr>
              <w:jc w:val="center"/>
              <w:rPr>
                <w:color w:val="000000"/>
                <w:szCs w:val="22"/>
              </w:rPr>
            </w:pPr>
            <w:r w:rsidRPr="00B76500">
              <w:rPr>
                <w:color w:val="000000"/>
              </w:rPr>
              <w:t>Total</w:t>
            </w:r>
            <w:r>
              <w:rPr>
                <w:color w:val="000000"/>
              </w:rPr>
              <w:t xml:space="preserve">                                                                                                     $</w:t>
            </w:r>
            <w:r w:rsidR="00B350F8">
              <w:rPr>
                <w:color w:val="000000"/>
              </w:rPr>
              <w:t>6136</w:t>
            </w:r>
          </w:p>
        </w:tc>
      </w:tr>
    </w:tbl>
    <w:p w14:paraId="4075183C" w14:textId="77777777" w:rsidR="007F1CDE" w:rsidRPr="007F1CDE" w:rsidRDefault="007F1CDE" w:rsidP="007F1CDE"/>
    <w:p w14:paraId="672F8FDC" w14:textId="77777777" w:rsidR="0038553A" w:rsidRDefault="0038553A" w:rsidP="0038553A">
      <w:r w:rsidRPr="007F1CDE">
        <w:t xml:space="preserve">   </w:t>
      </w:r>
    </w:p>
    <w:p w14:paraId="26AED180" w14:textId="77777777" w:rsidR="002A10F7" w:rsidRDefault="002A10F7" w:rsidP="0038553A"/>
    <w:p w14:paraId="1BA7E887" w14:textId="77777777" w:rsidR="002A10F7" w:rsidRPr="007F1CDE" w:rsidRDefault="002A10F7" w:rsidP="0038553A"/>
    <w:p w14:paraId="13905265" w14:textId="77777777" w:rsidR="0038553A" w:rsidRDefault="0038553A" w:rsidP="0038553A">
      <w:pPr>
        <w:outlineLvl w:val="1"/>
        <w:rPr>
          <w:rStyle w:val="Heading2Char"/>
          <w:b w:val="0"/>
        </w:rPr>
      </w:pPr>
      <w:bookmarkStart w:id="39" w:name="_Toc239826785"/>
      <w:bookmarkStart w:id="40" w:name="_Toc248224222"/>
      <w:bookmarkStart w:id="41" w:name="_Toc248224359"/>
      <w:bookmarkStart w:id="42" w:name="_Toc248224902"/>
      <w:bookmarkStart w:id="43" w:name="_Toc248225333"/>
      <w:bookmarkStart w:id="44" w:name="_Toc248225622"/>
      <w:bookmarkStart w:id="45" w:name="_Toc248821752"/>
      <w:bookmarkStart w:id="46" w:name="_Toc261966296"/>
      <w:r w:rsidRPr="00040C3B">
        <w:rPr>
          <w:rStyle w:val="Heading2Char"/>
          <w:b w:val="0"/>
        </w:rPr>
        <w:t>A13.</w:t>
      </w:r>
      <w:r w:rsidRPr="00040C3B">
        <w:rPr>
          <w:rStyle w:val="Heading2Char"/>
          <w:b w:val="0"/>
        </w:rPr>
        <w:tab/>
        <w:t>Estimates of Other Total Annual Cost Burden to Respondents or Record Keepers</w:t>
      </w:r>
      <w:bookmarkEnd w:id="39"/>
      <w:bookmarkEnd w:id="40"/>
      <w:bookmarkEnd w:id="41"/>
      <w:bookmarkEnd w:id="42"/>
      <w:bookmarkEnd w:id="43"/>
      <w:bookmarkEnd w:id="44"/>
      <w:bookmarkEnd w:id="45"/>
      <w:bookmarkEnd w:id="46"/>
    </w:p>
    <w:p w14:paraId="22B5ADE2" w14:textId="77777777" w:rsidR="003938D6" w:rsidRPr="00F81BA5" w:rsidRDefault="003938D6" w:rsidP="0038553A">
      <w:pPr>
        <w:outlineLvl w:val="1"/>
        <w:rPr>
          <w:rStyle w:val="Heading2Char"/>
          <w:b w:val="0"/>
        </w:rPr>
      </w:pPr>
    </w:p>
    <w:p w14:paraId="2EDC6BA1" w14:textId="77777777" w:rsidR="0038553A" w:rsidRPr="00F81BA5" w:rsidRDefault="0038553A" w:rsidP="0038553A">
      <w:r w:rsidRPr="00F81BA5">
        <w:t>There are no capital or maintenance costs to respondents.</w:t>
      </w:r>
    </w:p>
    <w:p w14:paraId="5919BFA0" w14:textId="77777777" w:rsidR="0038553A" w:rsidRPr="00F81BA5" w:rsidRDefault="0038553A" w:rsidP="0038553A"/>
    <w:p w14:paraId="4BD9498C" w14:textId="77777777" w:rsidR="0038553A" w:rsidRDefault="0038553A" w:rsidP="0038553A">
      <w:pPr>
        <w:pStyle w:val="Heading2"/>
        <w:rPr>
          <w:b w:val="0"/>
        </w:rPr>
      </w:pPr>
      <w:bookmarkStart w:id="47" w:name="_Toc239826786"/>
      <w:bookmarkStart w:id="48" w:name="_Toc248821753"/>
      <w:bookmarkStart w:id="49" w:name="_Toc261966297"/>
      <w:r w:rsidRPr="00950A99">
        <w:rPr>
          <w:b w:val="0"/>
        </w:rPr>
        <w:t>A14.</w:t>
      </w:r>
      <w:r w:rsidRPr="00950A99">
        <w:rPr>
          <w:b w:val="0"/>
        </w:rPr>
        <w:tab/>
        <w:t>Annualized Cost to the Government</w:t>
      </w:r>
      <w:bookmarkEnd w:id="47"/>
      <w:bookmarkEnd w:id="48"/>
      <w:bookmarkEnd w:id="49"/>
    </w:p>
    <w:p w14:paraId="69E75354" w14:textId="77777777" w:rsidR="00125462" w:rsidRPr="00125462" w:rsidRDefault="00125462" w:rsidP="00125462">
      <w:pPr>
        <w:rPr>
          <w:lang w:eastAsia="ja-JP"/>
        </w:rPr>
      </w:pPr>
    </w:p>
    <w:p w14:paraId="6A74A4B1" w14:textId="29BEE3B8" w:rsidR="0038553A" w:rsidRDefault="0038553A" w:rsidP="0038553A">
      <w:r w:rsidRPr="00F81BA5">
        <w:t xml:space="preserve">Total costs include work performed </w:t>
      </w:r>
      <w:r w:rsidR="00535E57">
        <w:t xml:space="preserve">over the course of </w:t>
      </w:r>
      <w:r w:rsidR="005C0129">
        <w:t>two</w:t>
      </w:r>
      <w:r w:rsidR="00535E57">
        <w:t xml:space="preserve"> years</w:t>
      </w:r>
      <w:r w:rsidR="00535E57" w:rsidRPr="00F81BA5">
        <w:t xml:space="preserve"> </w:t>
      </w:r>
      <w:r w:rsidRPr="00F81BA5">
        <w:t xml:space="preserve">by </w:t>
      </w:r>
      <w:r w:rsidR="00125462">
        <w:t>CDC</w:t>
      </w:r>
      <w:r w:rsidR="00077388">
        <w:t xml:space="preserve"> research personnel</w:t>
      </w:r>
      <w:r w:rsidR="00535E57">
        <w:t xml:space="preserve"> </w:t>
      </w:r>
      <w:r w:rsidR="00950A99">
        <w:t xml:space="preserve">at partial levels of effort </w:t>
      </w:r>
      <w:r w:rsidR="00535E57">
        <w:t xml:space="preserve">(1 </w:t>
      </w:r>
      <w:r w:rsidR="000D0283">
        <w:t>research industrial engineer</w:t>
      </w:r>
      <w:r w:rsidR="00535E57">
        <w:t xml:space="preserve">, </w:t>
      </w:r>
      <w:r w:rsidR="000D0283">
        <w:t>1</w:t>
      </w:r>
      <w:r w:rsidR="00535E57">
        <w:t xml:space="preserve"> </w:t>
      </w:r>
      <w:r w:rsidR="000D0283">
        <w:t>safety engineer</w:t>
      </w:r>
      <w:r w:rsidR="00535E57" w:rsidRPr="00F81BA5">
        <w:t>,</w:t>
      </w:r>
      <w:r w:rsidR="000D0283">
        <w:t xml:space="preserve"> 1 industrial hygienist,</w:t>
      </w:r>
      <w:r w:rsidR="00535E57">
        <w:t xml:space="preserve"> and 1 statistician)</w:t>
      </w:r>
      <w:r w:rsidR="00125462">
        <w:t xml:space="preserve">, including </w:t>
      </w:r>
      <w:r w:rsidRPr="00F81BA5">
        <w:t>tasks such as: (</w:t>
      </w:r>
      <w:r w:rsidR="00896A38">
        <w:t>1</w:t>
      </w:r>
      <w:r w:rsidRPr="00F81BA5">
        <w:t>) development of sampl</w:t>
      </w:r>
      <w:r w:rsidR="00535E57">
        <w:t>ing</w:t>
      </w:r>
      <w:r w:rsidRPr="00F81BA5">
        <w:t xml:space="preserve"> frame and sample selection; (</w:t>
      </w:r>
      <w:r w:rsidR="00896A38">
        <w:t>2</w:t>
      </w:r>
      <w:r w:rsidRPr="00F81BA5">
        <w:t>) survey conduct; (</w:t>
      </w:r>
      <w:r w:rsidR="00896A38">
        <w:t>3</w:t>
      </w:r>
      <w:r w:rsidRPr="00F81BA5">
        <w:t>) sample tracking; (</w:t>
      </w:r>
      <w:r w:rsidR="00896A38">
        <w:t>4</w:t>
      </w:r>
      <w:r w:rsidRPr="00F81BA5">
        <w:t>) data receipt and processing; and (</w:t>
      </w:r>
      <w:r w:rsidR="00896A38">
        <w:t>5</w:t>
      </w:r>
      <w:r w:rsidRPr="00F81BA5">
        <w:t>) data entry and delivery.  Estimated annualized costs to the Federal Government for the survey period are presented in Table A.14-1 belo</w:t>
      </w:r>
      <w:r w:rsidRPr="004F4B0E">
        <w:t>w.</w:t>
      </w:r>
      <w:r w:rsidR="00E3415F" w:rsidRPr="004F4B0E">
        <w:t xml:space="preserve">  This was calculated by distributing the</w:t>
      </w:r>
      <w:r w:rsidR="005C0129" w:rsidRPr="004F4B0E">
        <w:t xml:space="preserve"> estimated total</w:t>
      </w:r>
      <w:r w:rsidR="00E3415F" w:rsidRPr="004F4B0E">
        <w:t xml:space="preserve"> costs over the two years (FY2016 and FY2017).</w:t>
      </w:r>
      <w:r w:rsidR="00D7404A">
        <w:t xml:space="preserve"> The total cost average for the two years is $173,041.00</w:t>
      </w:r>
      <w:r w:rsidR="00FB4316">
        <w:t xml:space="preserve"> making the annualized cost to the federal government $86,520.50.</w:t>
      </w:r>
    </w:p>
    <w:p w14:paraId="56B0C948" w14:textId="77777777" w:rsidR="00D7404A" w:rsidRDefault="00D7404A" w:rsidP="00514252">
      <w:pPr>
        <w:jc w:val="center"/>
      </w:pPr>
    </w:p>
    <w:p w14:paraId="5726BB0D" w14:textId="77777777" w:rsidR="00D7404A" w:rsidRDefault="00D7404A" w:rsidP="00514252">
      <w:pPr>
        <w:jc w:val="center"/>
      </w:pPr>
    </w:p>
    <w:p w14:paraId="4FC40C78" w14:textId="77777777" w:rsidR="0038553A" w:rsidRDefault="0038553A" w:rsidP="00514252">
      <w:pPr>
        <w:jc w:val="center"/>
      </w:pPr>
      <w:r w:rsidRPr="00F81BA5">
        <w:t>Table A.14-1. Estimated Annualized Cost to the Federal Government</w:t>
      </w:r>
    </w:p>
    <w:p w14:paraId="2F1F3CAC" w14:textId="77777777" w:rsidR="00125462" w:rsidRDefault="00125462" w:rsidP="00514252">
      <w:pPr>
        <w:jc w:val="center"/>
      </w:pPr>
    </w:p>
    <w:tbl>
      <w:tblPr>
        <w:tblW w:w="7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790"/>
        <w:gridCol w:w="1197"/>
        <w:gridCol w:w="1353"/>
        <w:gridCol w:w="1323"/>
      </w:tblGrid>
      <w:tr w:rsidR="00C044A5" w14:paraId="53279B30" w14:textId="77777777" w:rsidTr="000A310B">
        <w:tc>
          <w:tcPr>
            <w:tcW w:w="1595" w:type="dxa"/>
          </w:tcPr>
          <w:p w14:paraId="5C676D99" w14:textId="77777777" w:rsidR="00C044A5" w:rsidRPr="005E6B07" w:rsidRDefault="00C044A5" w:rsidP="006329F1">
            <w:pPr>
              <w:jc w:val="center"/>
              <w:rPr>
                <w:color w:val="000000"/>
              </w:rPr>
            </w:pPr>
          </w:p>
        </w:tc>
        <w:tc>
          <w:tcPr>
            <w:tcW w:w="1790" w:type="dxa"/>
          </w:tcPr>
          <w:p w14:paraId="06E45BA1" w14:textId="77777777" w:rsidR="00C044A5" w:rsidRPr="004F4B0E" w:rsidRDefault="00C044A5" w:rsidP="00830147">
            <w:pPr>
              <w:jc w:val="center"/>
              <w:rPr>
                <w:color w:val="000000"/>
              </w:rPr>
            </w:pPr>
            <w:r w:rsidRPr="004F4B0E">
              <w:rPr>
                <w:color w:val="000000"/>
              </w:rPr>
              <w:t>FY2016</w:t>
            </w:r>
          </w:p>
        </w:tc>
        <w:tc>
          <w:tcPr>
            <w:tcW w:w="1197" w:type="dxa"/>
          </w:tcPr>
          <w:p w14:paraId="019BE930" w14:textId="77777777" w:rsidR="00C044A5" w:rsidRPr="004F4B0E" w:rsidRDefault="0068701F" w:rsidP="006329F1">
            <w:pPr>
              <w:jc w:val="center"/>
              <w:rPr>
                <w:color w:val="000000"/>
              </w:rPr>
            </w:pPr>
            <w:r w:rsidRPr="004F4B0E">
              <w:rPr>
                <w:color w:val="000000"/>
              </w:rPr>
              <w:t>FY2017</w:t>
            </w:r>
          </w:p>
        </w:tc>
        <w:tc>
          <w:tcPr>
            <w:tcW w:w="1353" w:type="dxa"/>
          </w:tcPr>
          <w:p w14:paraId="554D84AB" w14:textId="77777777" w:rsidR="00C044A5" w:rsidRPr="005E6B07" w:rsidRDefault="00C044A5" w:rsidP="006329F1">
            <w:pPr>
              <w:jc w:val="center"/>
              <w:rPr>
                <w:color w:val="000000"/>
              </w:rPr>
            </w:pPr>
            <w:r w:rsidRPr="005E6B07">
              <w:rPr>
                <w:color w:val="000000"/>
              </w:rPr>
              <w:t>TOTAL</w:t>
            </w:r>
          </w:p>
          <w:p w14:paraId="19E770BC" w14:textId="77777777" w:rsidR="00C044A5" w:rsidRPr="005E6B07" w:rsidRDefault="00C044A5" w:rsidP="006329F1">
            <w:pPr>
              <w:jc w:val="center"/>
              <w:rPr>
                <w:color w:val="000000"/>
              </w:rPr>
            </w:pPr>
            <w:r w:rsidRPr="005E6B07">
              <w:rPr>
                <w:color w:val="000000"/>
              </w:rPr>
              <w:t>PROJECT</w:t>
            </w:r>
          </w:p>
        </w:tc>
        <w:tc>
          <w:tcPr>
            <w:tcW w:w="1323" w:type="dxa"/>
          </w:tcPr>
          <w:p w14:paraId="5EDCAEB7" w14:textId="77777777" w:rsidR="00C044A5" w:rsidRPr="005E6B07" w:rsidRDefault="00C044A5" w:rsidP="006329F1">
            <w:pPr>
              <w:jc w:val="center"/>
              <w:rPr>
                <w:color w:val="000000"/>
              </w:rPr>
            </w:pPr>
            <w:r w:rsidRPr="005E6B07">
              <w:rPr>
                <w:color w:val="000000"/>
              </w:rPr>
              <w:t>Annualized Cost</w:t>
            </w:r>
          </w:p>
        </w:tc>
      </w:tr>
      <w:tr w:rsidR="00C044A5" w14:paraId="63B2EBD5" w14:textId="77777777" w:rsidTr="0068701F">
        <w:tc>
          <w:tcPr>
            <w:tcW w:w="1595" w:type="dxa"/>
          </w:tcPr>
          <w:p w14:paraId="3179722E" w14:textId="77777777" w:rsidR="00C044A5" w:rsidRPr="005E6B07" w:rsidRDefault="00C044A5" w:rsidP="006329F1">
            <w:pPr>
              <w:jc w:val="center"/>
              <w:rPr>
                <w:color w:val="000000"/>
              </w:rPr>
            </w:pPr>
            <w:r w:rsidRPr="005E6B07">
              <w:rPr>
                <w:color w:val="000000"/>
              </w:rPr>
              <w:t>CDC Personnel Salaries and Benefits</w:t>
            </w:r>
            <w:r w:rsidRPr="005E6B07">
              <w:rPr>
                <w:color w:val="000000"/>
                <w:sz w:val="28"/>
                <w:szCs w:val="28"/>
                <w:vertAlign w:val="superscript"/>
              </w:rPr>
              <w:t xml:space="preserve"> a</w:t>
            </w:r>
          </w:p>
        </w:tc>
        <w:tc>
          <w:tcPr>
            <w:tcW w:w="1790" w:type="dxa"/>
            <w:vAlign w:val="center"/>
          </w:tcPr>
          <w:p w14:paraId="1B1E1E36" w14:textId="77777777" w:rsidR="00C044A5" w:rsidRPr="004F4B0E" w:rsidRDefault="0068701F" w:rsidP="0068701F">
            <w:pPr>
              <w:jc w:val="center"/>
              <w:rPr>
                <w:color w:val="000000"/>
                <w:sz w:val="22"/>
                <w:szCs w:val="22"/>
              </w:rPr>
            </w:pPr>
            <w:r w:rsidRPr="004F4B0E">
              <w:rPr>
                <w:color w:val="000000"/>
                <w:sz w:val="22"/>
                <w:szCs w:val="22"/>
              </w:rPr>
              <w:t>84,420.50</w:t>
            </w:r>
          </w:p>
        </w:tc>
        <w:tc>
          <w:tcPr>
            <w:tcW w:w="1197" w:type="dxa"/>
            <w:vAlign w:val="center"/>
          </w:tcPr>
          <w:p w14:paraId="6D79CCBD" w14:textId="77777777" w:rsidR="00C044A5" w:rsidRPr="004F4B0E" w:rsidRDefault="0068701F" w:rsidP="0068701F">
            <w:pPr>
              <w:jc w:val="center"/>
              <w:rPr>
                <w:color w:val="000000"/>
                <w:sz w:val="22"/>
                <w:szCs w:val="22"/>
              </w:rPr>
            </w:pPr>
            <w:r w:rsidRPr="004F4B0E">
              <w:rPr>
                <w:color w:val="000000"/>
                <w:sz w:val="22"/>
                <w:szCs w:val="22"/>
              </w:rPr>
              <w:t>84,420.50</w:t>
            </w:r>
          </w:p>
        </w:tc>
        <w:tc>
          <w:tcPr>
            <w:tcW w:w="1353" w:type="dxa"/>
            <w:vAlign w:val="center"/>
          </w:tcPr>
          <w:p w14:paraId="74B067AB" w14:textId="77777777" w:rsidR="00C044A5" w:rsidRPr="005E6B07" w:rsidRDefault="00C044A5" w:rsidP="0068701F">
            <w:pPr>
              <w:jc w:val="center"/>
              <w:rPr>
                <w:color w:val="000000"/>
                <w:sz w:val="22"/>
                <w:szCs w:val="22"/>
              </w:rPr>
            </w:pPr>
            <w:r w:rsidRPr="005E6B07">
              <w:rPr>
                <w:color w:val="000000"/>
                <w:sz w:val="22"/>
                <w:szCs w:val="22"/>
              </w:rPr>
              <w:t>168,841</w:t>
            </w:r>
          </w:p>
        </w:tc>
        <w:tc>
          <w:tcPr>
            <w:tcW w:w="1323" w:type="dxa"/>
            <w:vAlign w:val="center"/>
          </w:tcPr>
          <w:p w14:paraId="2E85F273" w14:textId="77777777" w:rsidR="00C044A5" w:rsidRPr="005E6B07" w:rsidRDefault="0068701F" w:rsidP="0068701F">
            <w:pPr>
              <w:jc w:val="center"/>
              <w:rPr>
                <w:color w:val="000000"/>
                <w:sz w:val="22"/>
                <w:szCs w:val="22"/>
              </w:rPr>
            </w:pPr>
            <w:r>
              <w:rPr>
                <w:color w:val="000000"/>
                <w:sz w:val="22"/>
                <w:szCs w:val="22"/>
              </w:rPr>
              <w:t>84,420.50</w:t>
            </w:r>
          </w:p>
        </w:tc>
      </w:tr>
      <w:tr w:rsidR="00C044A5" w14:paraId="1FAE35E7" w14:textId="77777777" w:rsidTr="0068701F">
        <w:tc>
          <w:tcPr>
            <w:tcW w:w="1595" w:type="dxa"/>
          </w:tcPr>
          <w:p w14:paraId="620E4436" w14:textId="77777777" w:rsidR="00C044A5" w:rsidRPr="005E6B07" w:rsidRDefault="00C044A5" w:rsidP="006329F1">
            <w:pPr>
              <w:jc w:val="center"/>
              <w:rPr>
                <w:color w:val="000000"/>
              </w:rPr>
            </w:pPr>
            <w:r w:rsidRPr="005E6B07">
              <w:rPr>
                <w:color w:val="000000"/>
              </w:rPr>
              <w:t>Travel</w:t>
            </w:r>
          </w:p>
        </w:tc>
        <w:tc>
          <w:tcPr>
            <w:tcW w:w="1790" w:type="dxa"/>
            <w:vAlign w:val="center"/>
          </w:tcPr>
          <w:p w14:paraId="585BB2CB" w14:textId="77777777" w:rsidR="00C044A5" w:rsidRPr="004F4B0E" w:rsidRDefault="0068701F" w:rsidP="0068701F">
            <w:pPr>
              <w:jc w:val="center"/>
              <w:rPr>
                <w:iCs/>
                <w:sz w:val="22"/>
                <w:szCs w:val="22"/>
              </w:rPr>
            </w:pPr>
            <w:r w:rsidRPr="004F4B0E">
              <w:rPr>
                <w:color w:val="000000"/>
                <w:sz w:val="22"/>
                <w:szCs w:val="22"/>
              </w:rPr>
              <w:t>2,100</w:t>
            </w:r>
          </w:p>
        </w:tc>
        <w:tc>
          <w:tcPr>
            <w:tcW w:w="1197" w:type="dxa"/>
            <w:vAlign w:val="center"/>
          </w:tcPr>
          <w:p w14:paraId="50E6F428" w14:textId="77777777" w:rsidR="00C044A5" w:rsidRPr="004F4B0E" w:rsidRDefault="0068701F" w:rsidP="0068701F">
            <w:pPr>
              <w:jc w:val="center"/>
              <w:rPr>
                <w:color w:val="000000"/>
                <w:sz w:val="22"/>
                <w:szCs w:val="22"/>
              </w:rPr>
            </w:pPr>
            <w:r w:rsidRPr="004F4B0E">
              <w:rPr>
                <w:color w:val="000000"/>
                <w:sz w:val="22"/>
                <w:szCs w:val="22"/>
              </w:rPr>
              <w:t>2,100</w:t>
            </w:r>
          </w:p>
        </w:tc>
        <w:tc>
          <w:tcPr>
            <w:tcW w:w="1353" w:type="dxa"/>
            <w:vAlign w:val="center"/>
          </w:tcPr>
          <w:p w14:paraId="47317746" w14:textId="77777777" w:rsidR="00C044A5" w:rsidRPr="005E6B07" w:rsidRDefault="00C044A5" w:rsidP="0068701F">
            <w:pPr>
              <w:jc w:val="center"/>
              <w:rPr>
                <w:color w:val="000000"/>
                <w:sz w:val="22"/>
                <w:szCs w:val="22"/>
              </w:rPr>
            </w:pPr>
            <w:r w:rsidRPr="005E6B07">
              <w:rPr>
                <w:iCs/>
                <w:sz w:val="22"/>
                <w:szCs w:val="22"/>
              </w:rPr>
              <w:t>4,200</w:t>
            </w:r>
          </w:p>
        </w:tc>
        <w:tc>
          <w:tcPr>
            <w:tcW w:w="1323" w:type="dxa"/>
            <w:vAlign w:val="center"/>
          </w:tcPr>
          <w:p w14:paraId="4FB9A2FA" w14:textId="77777777" w:rsidR="00C044A5" w:rsidRPr="005E6B07" w:rsidRDefault="0068701F" w:rsidP="0068701F">
            <w:pPr>
              <w:jc w:val="center"/>
              <w:rPr>
                <w:color w:val="000000"/>
                <w:sz w:val="22"/>
                <w:szCs w:val="22"/>
              </w:rPr>
            </w:pPr>
            <w:r>
              <w:rPr>
                <w:color w:val="000000"/>
                <w:sz w:val="22"/>
                <w:szCs w:val="22"/>
              </w:rPr>
              <w:t>2,100</w:t>
            </w:r>
          </w:p>
        </w:tc>
      </w:tr>
      <w:tr w:rsidR="00C044A5" w14:paraId="3DC06A32" w14:textId="77777777" w:rsidTr="0068701F">
        <w:tc>
          <w:tcPr>
            <w:tcW w:w="1595" w:type="dxa"/>
          </w:tcPr>
          <w:p w14:paraId="795693AA" w14:textId="77777777" w:rsidR="00C044A5" w:rsidRPr="005E6B07" w:rsidRDefault="00C044A5" w:rsidP="00D324DA">
            <w:pPr>
              <w:jc w:val="center"/>
              <w:rPr>
                <w:color w:val="000000"/>
              </w:rPr>
            </w:pPr>
            <w:r w:rsidRPr="005E6B07">
              <w:rPr>
                <w:color w:val="000000"/>
              </w:rPr>
              <w:t xml:space="preserve">Contractual </w:t>
            </w:r>
          </w:p>
        </w:tc>
        <w:tc>
          <w:tcPr>
            <w:tcW w:w="1790" w:type="dxa"/>
            <w:vAlign w:val="center"/>
          </w:tcPr>
          <w:p w14:paraId="096BDC2B" w14:textId="77777777" w:rsidR="00C044A5" w:rsidRPr="004F4B0E" w:rsidRDefault="00C044A5" w:rsidP="0068701F">
            <w:pPr>
              <w:jc w:val="center"/>
              <w:rPr>
                <w:iCs/>
                <w:sz w:val="22"/>
                <w:szCs w:val="22"/>
              </w:rPr>
            </w:pPr>
          </w:p>
        </w:tc>
        <w:tc>
          <w:tcPr>
            <w:tcW w:w="1197" w:type="dxa"/>
            <w:vAlign w:val="center"/>
          </w:tcPr>
          <w:p w14:paraId="09EA1765" w14:textId="77777777" w:rsidR="00C044A5" w:rsidRPr="004F4B0E" w:rsidRDefault="00C044A5" w:rsidP="0068701F">
            <w:pPr>
              <w:jc w:val="center"/>
              <w:rPr>
                <w:color w:val="000000"/>
                <w:sz w:val="22"/>
                <w:szCs w:val="22"/>
              </w:rPr>
            </w:pPr>
          </w:p>
        </w:tc>
        <w:tc>
          <w:tcPr>
            <w:tcW w:w="1353" w:type="dxa"/>
            <w:vAlign w:val="center"/>
          </w:tcPr>
          <w:p w14:paraId="749032E3" w14:textId="77777777" w:rsidR="00C044A5" w:rsidRPr="005E6B07" w:rsidRDefault="00C044A5" w:rsidP="0068701F">
            <w:pPr>
              <w:jc w:val="center"/>
              <w:rPr>
                <w:color w:val="000000"/>
                <w:sz w:val="22"/>
                <w:szCs w:val="22"/>
              </w:rPr>
            </w:pPr>
          </w:p>
        </w:tc>
        <w:tc>
          <w:tcPr>
            <w:tcW w:w="1323" w:type="dxa"/>
            <w:vAlign w:val="center"/>
          </w:tcPr>
          <w:p w14:paraId="5AFD2D51" w14:textId="77777777" w:rsidR="00C044A5" w:rsidRPr="005E6B07" w:rsidRDefault="00C044A5" w:rsidP="0068701F">
            <w:pPr>
              <w:jc w:val="center"/>
              <w:rPr>
                <w:color w:val="000000"/>
                <w:sz w:val="22"/>
                <w:szCs w:val="22"/>
              </w:rPr>
            </w:pPr>
          </w:p>
        </w:tc>
      </w:tr>
      <w:tr w:rsidR="00C044A5" w14:paraId="5E965DF8" w14:textId="77777777" w:rsidTr="0068701F">
        <w:tc>
          <w:tcPr>
            <w:tcW w:w="1595" w:type="dxa"/>
          </w:tcPr>
          <w:p w14:paraId="19B6DDFA" w14:textId="77777777" w:rsidR="00C044A5" w:rsidRPr="005E6B07" w:rsidRDefault="00C044A5" w:rsidP="006329F1">
            <w:pPr>
              <w:jc w:val="center"/>
              <w:rPr>
                <w:color w:val="000000"/>
              </w:rPr>
            </w:pPr>
            <w:r w:rsidRPr="005E6B07">
              <w:rPr>
                <w:color w:val="000000"/>
              </w:rPr>
              <w:t>Supplies</w:t>
            </w:r>
          </w:p>
        </w:tc>
        <w:tc>
          <w:tcPr>
            <w:tcW w:w="1790" w:type="dxa"/>
            <w:vAlign w:val="center"/>
          </w:tcPr>
          <w:p w14:paraId="176E832F" w14:textId="77777777" w:rsidR="00C044A5" w:rsidRPr="004F4B0E" w:rsidRDefault="00C044A5" w:rsidP="0068701F">
            <w:pPr>
              <w:jc w:val="center"/>
              <w:rPr>
                <w:iCs/>
                <w:sz w:val="22"/>
                <w:szCs w:val="22"/>
              </w:rPr>
            </w:pPr>
          </w:p>
        </w:tc>
        <w:tc>
          <w:tcPr>
            <w:tcW w:w="1197" w:type="dxa"/>
            <w:vAlign w:val="center"/>
          </w:tcPr>
          <w:p w14:paraId="05AB60DE" w14:textId="77777777" w:rsidR="00C044A5" w:rsidRPr="004F4B0E" w:rsidRDefault="00C044A5" w:rsidP="0068701F">
            <w:pPr>
              <w:jc w:val="center"/>
              <w:rPr>
                <w:color w:val="000000"/>
                <w:sz w:val="22"/>
                <w:szCs w:val="22"/>
              </w:rPr>
            </w:pPr>
          </w:p>
        </w:tc>
        <w:tc>
          <w:tcPr>
            <w:tcW w:w="1353" w:type="dxa"/>
            <w:vAlign w:val="center"/>
          </w:tcPr>
          <w:p w14:paraId="1AAFE05E" w14:textId="77777777" w:rsidR="00C044A5" w:rsidRPr="005E6B07" w:rsidRDefault="00C044A5" w:rsidP="0068701F">
            <w:pPr>
              <w:jc w:val="center"/>
              <w:rPr>
                <w:color w:val="000000"/>
                <w:sz w:val="22"/>
                <w:szCs w:val="22"/>
              </w:rPr>
            </w:pPr>
          </w:p>
        </w:tc>
        <w:tc>
          <w:tcPr>
            <w:tcW w:w="1323" w:type="dxa"/>
            <w:vAlign w:val="center"/>
          </w:tcPr>
          <w:p w14:paraId="683F4712" w14:textId="77777777" w:rsidR="00C044A5" w:rsidRPr="005E6B07" w:rsidRDefault="00C044A5" w:rsidP="0068701F">
            <w:pPr>
              <w:jc w:val="center"/>
              <w:rPr>
                <w:color w:val="000000"/>
                <w:sz w:val="22"/>
                <w:szCs w:val="22"/>
              </w:rPr>
            </w:pPr>
          </w:p>
        </w:tc>
      </w:tr>
      <w:tr w:rsidR="00C044A5" w14:paraId="081FB89A" w14:textId="77777777" w:rsidTr="0068701F">
        <w:tc>
          <w:tcPr>
            <w:tcW w:w="1595" w:type="dxa"/>
          </w:tcPr>
          <w:p w14:paraId="499FEA87" w14:textId="77777777" w:rsidR="00C044A5" w:rsidRPr="005E6B07" w:rsidRDefault="00C044A5" w:rsidP="009D2203">
            <w:pPr>
              <w:jc w:val="center"/>
              <w:rPr>
                <w:color w:val="000000"/>
              </w:rPr>
            </w:pPr>
            <w:r w:rsidRPr="005E6B07">
              <w:rPr>
                <w:color w:val="000000"/>
              </w:rPr>
              <w:t xml:space="preserve">OTHER </w:t>
            </w:r>
          </w:p>
          <w:p w14:paraId="16F52B6A" w14:textId="77777777" w:rsidR="00C044A5" w:rsidRPr="005E6B07" w:rsidRDefault="00C044A5" w:rsidP="009D2203">
            <w:pPr>
              <w:jc w:val="center"/>
              <w:rPr>
                <w:color w:val="000000"/>
              </w:rPr>
            </w:pPr>
          </w:p>
        </w:tc>
        <w:tc>
          <w:tcPr>
            <w:tcW w:w="1790" w:type="dxa"/>
            <w:vAlign w:val="center"/>
          </w:tcPr>
          <w:p w14:paraId="568F4A56" w14:textId="77777777" w:rsidR="00C044A5" w:rsidRPr="004F4B0E" w:rsidRDefault="00C044A5" w:rsidP="0068701F">
            <w:pPr>
              <w:jc w:val="center"/>
              <w:rPr>
                <w:color w:val="000000"/>
                <w:szCs w:val="22"/>
              </w:rPr>
            </w:pPr>
          </w:p>
        </w:tc>
        <w:tc>
          <w:tcPr>
            <w:tcW w:w="1197" w:type="dxa"/>
            <w:vAlign w:val="center"/>
          </w:tcPr>
          <w:p w14:paraId="5223B45C" w14:textId="77777777" w:rsidR="00C044A5" w:rsidRPr="004F4B0E" w:rsidRDefault="00C044A5" w:rsidP="0068701F">
            <w:pPr>
              <w:jc w:val="center"/>
              <w:rPr>
                <w:color w:val="000000"/>
                <w:szCs w:val="22"/>
              </w:rPr>
            </w:pPr>
          </w:p>
        </w:tc>
        <w:tc>
          <w:tcPr>
            <w:tcW w:w="1353" w:type="dxa"/>
            <w:vAlign w:val="center"/>
          </w:tcPr>
          <w:p w14:paraId="3ECB1593" w14:textId="77777777" w:rsidR="00C044A5" w:rsidRPr="005E6B07" w:rsidRDefault="00C044A5" w:rsidP="0068701F">
            <w:pPr>
              <w:jc w:val="center"/>
              <w:rPr>
                <w:rFonts w:ascii="Calibri" w:hAnsi="Calibri" w:cs="Calibri"/>
                <w:color w:val="000000"/>
                <w:sz w:val="22"/>
                <w:szCs w:val="22"/>
              </w:rPr>
            </w:pPr>
          </w:p>
        </w:tc>
        <w:tc>
          <w:tcPr>
            <w:tcW w:w="1323" w:type="dxa"/>
            <w:vAlign w:val="center"/>
          </w:tcPr>
          <w:p w14:paraId="10076E50" w14:textId="77777777" w:rsidR="00C044A5" w:rsidRPr="005E6B07" w:rsidRDefault="00C044A5" w:rsidP="0068701F">
            <w:pPr>
              <w:jc w:val="center"/>
              <w:rPr>
                <w:rFonts w:ascii="Calibri" w:hAnsi="Calibri" w:cs="Calibri"/>
                <w:color w:val="000000"/>
                <w:sz w:val="22"/>
                <w:szCs w:val="22"/>
              </w:rPr>
            </w:pPr>
          </w:p>
        </w:tc>
      </w:tr>
      <w:tr w:rsidR="00C044A5" w14:paraId="0A7550F3" w14:textId="77777777" w:rsidTr="0068701F">
        <w:tc>
          <w:tcPr>
            <w:tcW w:w="1595" w:type="dxa"/>
          </w:tcPr>
          <w:p w14:paraId="43F98EA3" w14:textId="77777777" w:rsidR="00C044A5" w:rsidRPr="005E6B07" w:rsidRDefault="00896A38" w:rsidP="00BE0FAA">
            <w:pPr>
              <w:jc w:val="center"/>
              <w:rPr>
                <w:color w:val="000000"/>
              </w:rPr>
            </w:pPr>
            <w:r w:rsidRPr="005E6B07">
              <w:rPr>
                <w:color w:val="000000"/>
                <w:szCs w:val="22"/>
              </w:rPr>
              <w:t>TOTAL</w:t>
            </w:r>
          </w:p>
        </w:tc>
        <w:tc>
          <w:tcPr>
            <w:tcW w:w="1790" w:type="dxa"/>
            <w:vAlign w:val="center"/>
          </w:tcPr>
          <w:p w14:paraId="57E1E0E0" w14:textId="77777777" w:rsidR="00C044A5" w:rsidRPr="004F4B0E" w:rsidRDefault="005C0129" w:rsidP="0068701F">
            <w:pPr>
              <w:jc w:val="center"/>
              <w:rPr>
                <w:color w:val="000000"/>
                <w:szCs w:val="22"/>
              </w:rPr>
            </w:pPr>
            <w:r w:rsidRPr="004F4B0E">
              <w:rPr>
                <w:color w:val="000000"/>
                <w:sz w:val="22"/>
                <w:szCs w:val="22"/>
              </w:rPr>
              <w:t>86,520.5</w:t>
            </w:r>
          </w:p>
        </w:tc>
        <w:tc>
          <w:tcPr>
            <w:tcW w:w="1197" w:type="dxa"/>
            <w:vAlign w:val="center"/>
          </w:tcPr>
          <w:p w14:paraId="0F7CCD2A" w14:textId="77777777" w:rsidR="00C044A5" w:rsidRPr="004F4B0E" w:rsidRDefault="005C0129" w:rsidP="0068701F">
            <w:pPr>
              <w:jc w:val="center"/>
              <w:rPr>
                <w:color w:val="000000"/>
                <w:szCs w:val="22"/>
              </w:rPr>
            </w:pPr>
            <w:r w:rsidRPr="004F4B0E">
              <w:rPr>
                <w:color w:val="000000"/>
                <w:sz w:val="22"/>
                <w:szCs w:val="22"/>
              </w:rPr>
              <w:t>86,520.5</w:t>
            </w:r>
          </w:p>
        </w:tc>
        <w:tc>
          <w:tcPr>
            <w:tcW w:w="1353" w:type="dxa"/>
            <w:vAlign w:val="center"/>
          </w:tcPr>
          <w:p w14:paraId="41D78B4A" w14:textId="77777777" w:rsidR="00C044A5" w:rsidRPr="005E6B07" w:rsidRDefault="00C044A5" w:rsidP="0068701F">
            <w:pPr>
              <w:jc w:val="center"/>
              <w:rPr>
                <w:color w:val="000000"/>
                <w:szCs w:val="22"/>
              </w:rPr>
            </w:pPr>
            <w:r>
              <w:rPr>
                <w:color w:val="000000"/>
                <w:sz w:val="22"/>
                <w:szCs w:val="22"/>
              </w:rPr>
              <w:t>173,041</w:t>
            </w:r>
          </w:p>
        </w:tc>
        <w:tc>
          <w:tcPr>
            <w:tcW w:w="1323" w:type="dxa"/>
            <w:vAlign w:val="center"/>
          </w:tcPr>
          <w:p w14:paraId="05077738" w14:textId="77777777" w:rsidR="00C044A5" w:rsidRPr="005E6B07" w:rsidRDefault="0068701F" w:rsidP="0068701F">
            <w:pPr>
              <w:jc w:val="center"/>
              <w:rPr>
                <w:color w:val="000000"/>
                <w:szCs w:val="22"/>
              </w:rPr>
            </w:pPr>
            <w:r>
              <w:rPr>
                <w:color w:val="000000"/>
                <w:sz w:val="22"/>
                <w:szCs w:val="22"/>
              </w:rPr>
              <w:t>86,520.5</w:t>
            </w:r>
          </w:p>
        </w:tc>
      </w:tr>
    </w:tbl>
    <w:p w14:paraId="51AF3731" w14:textId="77777777" w:rsidR="00077388" w:rsidRDefault="00077388" w:rsidP="0038553A">
      <w:pPr>
        <w:pStyle w:val="Heading2"/>
        <w:rPr>
          <w:b w:val="0"/>
          <w:sz w:val="20"/>
          <w:szCs w:val="20"/>
        </w:rPr>
      </w:pPr>
      <w:bookmarkStart w:id="50" w:name="_Toc239826787"/>
      <w:bookmarkStart w:id="51" w:name="_Toc248821754"/>
      <w:bookmarkStart w:id="52" w:name="_Toc261966298"/>
      <w:proofErr w:type="spellStart"/>
      <w:r w:rsidRPr="00077388">
        <w:rPr>
          <w:b w:val="0"/>
          <w:vertAlign w:val="superscript"/>
        </w:rPr>
        <w:t>a</w:t>
      </w:r>
      <w:proofErr w:type="spellEnd"/>
      <w:r w:rsidRPr="00077388">
        <w:rPr>
          <w:b w:val="0"/>
          <w:vertAlign w:val="superscript"/>
        </w:rPr>
        <w:t xml:space="preserve"> </w:t>
      </w:r>
      <w:r w:rsidRPr="00077388">
        <w:rPr>
          <w:b w:val="0"/>
          <w:sz w:val="20"/>
          <w:szCs w:val="20"/>
        </w:rPr>
        <w:t>Includes a 3% personnel cost of living salary increase per year</w:t>
      </w:r>
    </w:p>
    <w:p w14:paraId="49E5467D" w14:textId="77777777" w:rsidR="00040C3B" w:rsidRDefault="00040C3B" w:rsidP="00040C3B">
      <w:pPr>
        <w:rPr>
          <w:highlight w:val="cyan"/>
          <w:lang w:eastAsia="ja-JP"/>
        </w:rPr>
      </w:pPr>
    </w:p>
    <w:p w14:paraId="7BCE14A1" w14:textId="77777777" w:rsidR="00040C3B" w:rsidRPr="00040C3B" w:rsidRDefault="00040C3B" w:rsidP="00040C3B">
      <w:pPr>
        <w:rPr>
          <w:highlight w:val="cyan"/>
          <w:lang w:eastAsia="ja-JP"/>
        </w:rPr>
      </w:pPr>
    </w:p>
    <w:p w14:paraId="2BFA61EB" w14:textId="77777777" w:rsidR="0038553A" w:rsidRPr="00F81BA5" w:rsidRDefault="0038553A" w:rsidP="0038553A">
      <w:pPr>
        <w:pStyle w:val="Heading2"/>
        <w:rPr>
          <w:b w:val="0"/>
        </w:rPr>
      </w:pPr>
      <w:r w:rsidRPr="005E6B07">
        <w:rPr>
          <w:b w:val="0"/>
        </w:rPr>
        <w:t>A15.</w:t>
      </w:r>
      <w:r w:rsidRPr="005E6B07">
        <w:rPr>
          <w:b w:val="0"/>
        </w:rPr>
        <w:tab/>
        <w:t>Explanation for Program Changes or Adjustments</w:t>
      </w:r>
      <w:bookmarkEnd w:id="50"/>
      <w:bookmarkEnd w:id="51"/>
      <w:bookmarkEnd w:id="52"/>
    </w:p>
    <w:p w14:paraId="3F8B50E8" w14:textId="77777777" w:rsidR="007C1590" w:rsidRDefault="007C1590" w:rsidP="0038553A"/>
    <w:p w14:paraId="5EABBAA2" w14:textId="3590A017" w:rsidR="0038553A" w:rsidRDefault="00994E17" w:rsidP="0038553A">
      <w:r>
        <w:t>This is a reinstatement</w:t>
      </w:r>
      <w:r w:rsidR="00FB4316">
        <w:t>.  The</w:t>
      </w:r>
      <w:r w:rsidR="00404F81">
        <w:t xml:space="preserve">re is a </w:t>
      </w:r>
      <w:r w:rsidR="00FB4316">
        <w:t>reduction in</w:t>
      </w:r>
      <w:r w:rsidR="004B1B33">
        <w:t xml:space="preserve"> the original number of</w:t>
      </w:r>
      <w:r w:rsidR="00FB4316">
        <w:t xml:space="preserve"> respondents and burden hours </w:t>
      </w:r>
      <w:r w:rsidR="00404F81">
        <w:t xml:space="preserve">as the study was not completed during the </w:t>
      </w:r>
      <w:r w:rsidR="004B1B33">
        <w:t>previous</w:t>
      </w:r>
      <w:r w:rsidR="00404F81">
        <w:t xml:space="preserve"> approval period.</w:t>
      </w:r>
    </w:p>
    <w:p w14:paraId="7D23B755" w14:textId="77777777" w:rsidR="00040C3B" w:rsidRDefault="00040C3B" w:rsidP="0038553A"/>
    <w:p w14:paraId="5E3D39F4" w14:textId="77777777" w:rsidR="005E6B07" w:rsidRPr="00F81BA5" w:rsidRDefault="005E6B07" w:rsidP="0038553A"/>
    <w:p w14:paraId="6DE52C11" w14:textId="77777777" w:rsidR="0038553A" w:rsidRPr="00F81BA5" w:rsidRDefault="0038553A" w:rsidP="0038553A">
      <w:pPr>
        <w:pStyle w:val="Heading2"/>
        <w:rPr>
          <w:b w:val="0"/>
        </w:rPr>
      </w:pPr>
      <w:bookmarkStart w:id="53" w:name="_Toc239826788"/>
      <w:bookmarkStart w:id="54" w:name="_Toc248821755"/>
      <w:bookmarkStart w:id="55" w:name="_Toc261966299"/>
      <w:bookmarkStart w:id="56" w:name="OLE_LINK11"/>
      <w:bookmarkStart w:id="57" w:name="OLE_LINK12"/>
      <w:r w:rsidRPr="005E6B07">
        <w:rPr>
          <w:b w:val="0"/>
        </w:rPr>
        <w:t>A16.</w:t>
      </w:r>
      <w:r w:rsidRPr="005E6B07">
        <w:rPr>
          <w:b w:val="0"/>
        </w:rPr>
        <w:tab/>
        <w:t>Plans for Tabulation and Publication and Project Time Schedule</w:t>
      </w:r>
      <w:bookmarkEnd w:id="53"/>
      <w:bookmarkEnd w:id="54"/>
      <w:bookmarkEnd w:id="55"/>
    </w:p>
    <w:p w14:paraId="0BD86DA2" w14:textId="77777777" w:rsidR="00F0406C" w:rsidRDefault="00F0406C" w:rsidP="0038553A"/>
    <w:p w14:paraId="08F2913C" w14:textId="77777777" w:rsidR="0038553A" w:rsidRPr="005E6B07" w:rsidRDefault="0038553A" w:rsidP="0038553A">
      <w:pPr>
        <w:rPr>
          <w:i/>
        </w:rPr>
      </w:pPr>
      <w:r w:rsidRPr="005E6B07">
        <w:rPr>
          <w:i/>
        </w:rPr>
        <w:t>Statistical Analysis of the Data</w:t>
      </w:r>
    </w:p>
    <w:p w14:paraId="5CBA52CF" w14:textId="77777777" w:rsidR="00514252" w:rsidRPr="00F81BA5" w:rsidRDefault="00514252" w:rsidP="0038553A"/>
    <w:p w14:paraId="7307A8E3" w14:textId="77777777" w:rsidR="00E3415F" w:rsidRDefault="00A93C5E" w:rsidP="0038553A">
      <w:r w:rsidRPr="004F4B0E">
        <w:t xml:space="preserve">Data collection </w:t>
      </w:r>
      <w:r w:rsidR="00E3415F" w:rsidRPr="004F4B0E">
        <w:rPr>
          <w:i/>
        </w:rPr>
        <w:t>for an individual participant</w:t>
      </w:r>
      <w:r w:rsidR="00E3415F" w:rsidRPr="004F4B0E">
        <w:t xml:space="preserve"> </w:t>
      </w:r>
      <w:r w:rsidRPr="004F4B0E">
        <w:t xml:space="preserve">will be completed </w:t>
      </w:r>
      <w:r w:rsidR="00171BC0" w:rsidRPr="004F4B0E">
        <w:t xml:space="preserve">over </w:t>
      </w:r>
      <w:r w:rsidR="005E6B07" w:rsidRPr="004F4B0E">
        <w:t xml:space="preserve">a </w:t>
      </w:r>
      <w:r w:rsidR="00950A99" w:rsidRPr="004F4B0E">
        <w:t>10</w:t>
      </w:r>
      <w:r w:rsidR="00E3415F" w:rsidRPr="004F4B0E">
        <w:t xml:space="preserve"> </w:t>
      </w:r>
      <w:r w:rsidR="00950A99" w:rsidRPr="004F4B0E">
        <w:t>month</w:t>
      </w:r>
      <w:r w:rsidR="005E6B07" w:rsidRPr="004F4B0E">
        <w:t xml:space="preserve"> period</w:t>
      </w:r>
      <w:r w:rsidR="00E3415F" w:rsidRPr="004F4B0E">
        <w:t>.  However, we are requesting a two year reinstatement to account for the time horizon necessary to recruit participants.</w:t>
      </w:r>
      <w:r w:rsidR="005C0129" w:rsidRPr="004F4B0E">
        <w:t xml:space="preserve">  We have encountered unforeseeable delays due to conditions in the industry with which we are partnering.  This past experience leads us to allow for a 6 to 12 month period for full recruitment of participants.</w:t>
      </w:r>
    </w:p>
    <w:p w14:paraId="07E6F691" w14:textId="77777777" w:rsidR="00E3415F" w:rsidRDefault="00E3415F" w:rsidP="0038553A"/>
    <w:p w14:paraId="428DD3F2" w14:textId="77777777" w:rsidR="007C6F6F" w:rsidRPr="00F81BA5" w:rsidRDefault="006F1144" w:rsidP="0038553A">
      <w:r w:rsidRPr="00D324DA">
        <w:t xml:space="preserve">A full description of the </w:t>
      </w:r>
      <w:r w:rsidR="0067347A" w:rsidRPr="00D324DA">
        <w:t xml:space="preserve">statistical </w:t>
      </w:r>
      <w:r w:rsidRPr="00D324DA">
        <w:t xml:space="preserve">protocol is </w:t>
      </w:r>
      <w:r w:rsidRPr="008E2BA5">
        <w:t xml:space="preserve">provided in </w:t>
      </w:r>
      <w:r w:rsidR="0067347A" w:rsidRPr="008E2BA5">
        <w:t>Part B</w:t>
      </w:r>
      <w:r w:rsidR="008E2BA5" w:rsidRPr="008E2BA5">
        <w:t>1 and B2</w:t>
      </w:r>
      <w:r w:rsidR="0067347A" w:rsidRPr="008E2BA5">
        <w:t xml:space="preserve"> of this ICR. </w:t>
      </w:r>
      <w:r w:rsidR="00950A99">
        <w:t xml:space="preserve"> </w:t>
      </w:r>
      <w:r w:rsidR="007C6F6F" w:rsidRPr="008E2BA5">
        <w:t>Results will be made available through publication in scientific journals and notices in trade publications</w:t>
      </w:r>
      <w:r w:rsidR="00950A99">
        <w:t>.</w:t>
      </w:r>
      <w:r w:rsidR="00E440B8">
        <w:t xml:space="preserve">  NIOSH dissemination strategies will be adopted and are anticipated to include a web-based topic page and a NIOSH numbered publication in the format</w:t>
      </w:r>
      <w:r w:rsidR="007C6F6F" w:rsidRPr="008E2BA5">
        <w:t xml:space="preserve"> </w:t>
      </w:r>
      <w:r w:rsidR="00E440B8">
        <w:t>of a workplace solution.  Other</w:t>
      </w:r>
      <w:r w:rsidR="007C6F6F" w:rsidRPr="008E2BA5">
        <w:t xml:space="preserve"> digital media </w:t>
      </w:r>
      <w:r w:rsidR="00E440B8">
        <w:t>dissemination approaches will be adopted</w:t>
      </w:r>
      <w:r w:rsidR="007C6F6F" w:rsidRPr="00F81BA5">
        <w:t>.</w:t>
      </w:r>
    </w:p>
    <w:p w14:paraId="5608B864" w14:textId="77777777" w:rsidR="0038553A" w:rsidRPr="00F81BA5" w:rsidRDefault="0038553A" w:rsidP="0038553A"/>
    <w:p w14:paraId="2796A720" w14:textId="77777777" w:rsidR="0038553A" w:rsidRPr="005E6B07" w:rsidRDefault="0038553A" w:rsidP="0038553A">
      <w:pPr>
        <w:rPr>
          <w:i/>
        </w:rPr>
      </w:pPr>
      <w:r w:rsidRPr="005E6B07">
        <w:rPr>
          <w:i/>
        </w:rPr>
        <w:t>Project Time Schedule</w:t>
      </w:r>
    </w:p>
    <w:p w14:paraId="59964573" w14:textId="77777777" w:rsidR="0038553A" w:rsidRPr="00F81BA5" w:rsidRDefault="0038553A" w:rsidP="009B0789">
      <w:pPr>
        <w:pStyle w:val="TableTitle"/>
        <w:jc w:val="center"/>
        <w:rPr>
          <w:rFonts w:ascii="Times New Roman" w:hAnsi="Times New Roman"/>
          <w:b w:val="0"/>
          <w:sz w:val="24"/>
          <w:szCs w:val="24"/>
        </w:rPr>
      </w:pPr>
      <w:bookmarkStart w:id="58" w:name="_Toc140979763"/>
      <w:bookmarkEnd w:id="56"/>
      <w:bookmarkEnd w:id="57"/>
      <w:r w:rsidRPr="00F81BA5">
        <w:rPr>
          <w:rFonts w:ascii="Times New Roman" w:hAnsi="Times New Roman"/>
          <w:b w:val="0"/>
          <w:sz w:val="24"/>
          <w:szCs w:val="24"/>
        </w:rPr>
        <w:t>Table A.16-1. Project Time Schedule</w:t>
      </w:r>
      <w:bookmarkEnd w:id="58"/>
    </w:p>
    <w:tbl>
      <w:tblPr>
        <w:tblW w:w="882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7"/>
        <w:gridCol w:w="3960"/>
      </w:tblGrid>
      <w:tr w:rsidR="00040C3B" w:rsidRPr="00186952" w14:paraId="6275F559" w14:textId="77777777" w:rsidTr="00040C3B">
        <w:trPr>
          <w:cantSplit/>
        </w:trPr>
        <w:tc>
          <w:tcPr>
            <w:tcW w:w="2757" w:type="pct"/>
            <w:tcBorders>
              <w:bottom w:val="single" w:sz="4" w:space="0" w:color="auto"/>
            </w:tcBorders>
            <w:noWrap/>
          </w:tcPr>
          <w:p w14:paraId="74F329E9" w14:textId="77777777" w:rsidR="00040C3B" w:rsidRPr="00186952" w:rsidRDefault="00040C3B" w:rsidP="00040C3B">
            <w:pPr>
              <w:widowControl w:val="0"/>
              <w:autoSpaceDE w:val="0"/>
              <w:autoSpaceDN w:val="0"/>
              <w:adjustRightInd w:val="0"/>
              <w:spacing w:before="80" w:after="80"/>
              <w:jc w:val="center"/>
              <w:outlineLvl w:val="0"/>
              <w:rPr>
                <w:bCs/>
                <w:color w:val="000000"/>
              </w:rPr>
            </w:pPr>
            <w:r w:rsidRPr="00186952">
              <w:rPr>
                <w:bCs/>
                <w:color w:val="000000"/>
              </w:rPr>
              <w:t>Activity</w:t>
            </w:r>
          </w:p>
        </w:tc>
        <w:tc>
          <w:tcPr>
            <w:tcW w:w="2243" w:type="pct"/>
            <w:tcBorders>
              <w:bottom w:val="single" w:sz="4" w:space="0" w:color="auto"/>
            </w:tcBorders>
            <w:noWrap/>
          </w:tcPr>
          <w:p w14:paraId="2F9BC762" w14:textId="77777777" w:rsidR="00040C3B" w:rsidRPr="00186952" w:rsidRDefault="00040C3B" w:rsidP="00040C3B">
            <w:pPr>
              <w:widowControl w:val="0"/>
              <w:autoSpaceDE w:val="0"/>
              <w:autoSpaceDN w:val="0"/>
              <w:adjustRightInd w:val="0"/>
              <w:spacing w:before="80" w:after="80"/>
              <w:jc w:val="center"/>
              <w:outlineLvl w:val="0"/>
              <w:rPr>
                <w:bCs/>
                <w:color w:val="000000"/>
              </w:rPr>
            </w:pPr>
            <w:r w:rsidRPr="00186952">
              <w:rPr>
                <w:bCs/>
                <w:color w:val="000000"/>
              </w:rPr>
              <w:t>Time Schedule</w:t>
            </w:r>
          </w:p>
          <w:p w14:paraId="063CB845" w14:textId="77777777" w:rsidR="00040C3B" w:rsidRPr="00186952" w:rsidRDefault="00040C3B" w:rsidP="00040C3B">
            <w:pPr>
              <w:widowControl w:val="0"/>
              <w:autoSpaceDE w:val="0"/>
              <w:autoSpaceDN w:val="0"/>
              <w:adjustRightInd w:val="0"/>
              <w:spacing w:before="80" w:after="80"/>
              <w:jc w:val="center"/>
              <w:outlineLvl w:val="0"/>
              <w:rPr>
                <w:bCs/>
                <w:color w:val="000000"/>
              </w:rPr>
            </w:pPr>
            <w:r w:rsidRPr="00186952">
              <w:rPr>
                <w:bCs/>
                <w:color w:val="000000"/>
              </w:rPr>
              <w:t xml:space="preserve"> (Months After OMB Approval)</w:t>
            </w:r>
          </w:p>
        </w:tc>
      </w:tr>
      <w:tr w:rsidR="002C56B1" w:rsidRPr="00186952" w14:paraId="53DAE335" w14:textId="77777777" w:rsidTr="00040C3B">
        <w:trPr>
          <w:cantSplit/>
        </w:trPr>
        <w:tc>
          <w:tcPr>
            <w:tcW w:w="2757" w:type="pct"/>
            <w:noWrap/>
          </w:tcPr>
          <w:p w14:paraId="62523FB5" w14:textId="77777777" w:rsidR="002C56B1" w:rsidRPr="00882B32" w:rsidRDefault="002C56B1" w:rsidP="00186952">
            <w:pPr>
              <w:autoSpaceDE w:val="0"/>
              <w:autoSpaceDN w:val="0"/>
              <w:adjustRightInd w:val="0"/>
              <w:rPr>
                <w:color w:val="000000"/>
                <w:sz w:val="22"/>
                <w:szCs w:val="22"/>
              </w:rPr>
            </w:pPr>
            <w:r w:rsidRPr="00882B32">
              <w:rPr>
                <w:color w:val="000000"/>
                <w:sz w:val="22"/>
                <w:szCs w:val="22"/>
              </w:rPr>
              <w:t>Finalize preventive exercise protocol</w:t>
            </w:r>
            <w:r w:rsidR="00186952" w:rsidRPr="00882B32">
              <w:rPr>
                <w:color w:val="000000"/>
                <w:sz w:val="22"/>
                <w:szCs w:val="22"/>
              </w:rPr>
              <w:t xml:space="preserve"> (exercise intervention)</w:t>
            </w:r>
          </w:p>
        </w:tc>
        <w:tc>
          <w:tcPr>
            <w:tcW w:w="2243" w:type="pct"/>
            <w:noWrap/>
          </w:tcPr>
          <w:p w14:paraId="0862DD92" w14:textId="77777777" w:rsidR="002C56B1" w:rsidRPr="00882B32" w:rsidRDefault="002C56B1" w:rsidP="009B3E61">
            <w:pPr>
              <w:widowControl w:val="0"/>
              <w:autoSpaceDE w:val="0"/>
              <w:autoSpaceDN w:val="0"/>
              <w:adjustRightInd w:val="0"/>
              <w:spacing w:before="80" w:after="80"/>
              <w:outlineLvl w:val="0"/>
              <w:rPr>
                <w:bCs/>
                <w:color w:val="000000"/>
                <w:sz w:val="22"/>
                <w:szCs w:val="22"/>
              </w:rPr>
            </w:pPr>
            <w:r w:rsidRPr="00882B32">
              <w:rPr>
                <w:bCs/>
                <w:color w:val="000000"/>
                <w:sz w:val="22"/>
                <w:szCs w:val="22"/>
              </w:rPr>
              <w:t>0</w:t>
            </w:r>
          </w:p>
        </w:tc>
      </w:tr>
      <w:tr w:rsidR="009D27BA" w:rsidRPr="004F4B0E" w14:paraId="34F67E97" w14:textId="77777777" w:rsidTr="00040C3B">
        <w:trPr>
          <w:cantSplit/>
        </w:trPr>
        <w:tc>
          <w:tcPr>
            <w:tcW w:w="2757" w:type="pct"/>
            <w:noWrap/>
          </w:tcPr>
          <w:p w14:paraId="0F4B58CD" w14:textId="77777777" w:rsidR="009D27BA" w:rsidRPr="004F4B0E" w:rsidRDefault="009D27BA" w:rsidP="00040C3B">
            <w:pPr>
              <w:autoSpaceDE w:val="0"/>
              <w:autoSpaceDN w:val="0"/>
              <w:adjustRightInd w:val="0"/>
              <w:rPr>
                <w:color w:val="000000"/>
                <w:sz w:val="22"/>
                <w:szCs w:val="22"/>
              </w:rPr>
            </w:pPr>
            <w:r w:rsidRPr="004F4B0E">
              <w:rPr>
                <w:color w:val="000000"/>
                <w:sz w:val="22"/>
                <w:szCs w:val="22"/>
              </w:rPr>
              <w:t>Random assignment of treatment conditions to line and work shift</w:t>
            </w:r>
            <w:r w:rsidR="00186952" w:rsidRPr="004F4B0E">
              <w:rPr>
                <w:color w:val="000000"/>
                <w:sz w:val="22"/>
                <w:szCs w:val="22"/>
              </w:rPr>
              <w:t xml:space="preserve"> (cluster randomization)</w:t>
            </w:r>
          </w:p>
        </w:tc>
        <w:tc>
          <w:tcPr>
            <w:tcW w:w="2243" w:type="pct"/>
            <w:noWrap/>
          </w:tcPr>
          <w:p w14:paraId="589A5D34" w14:textId="77777777" w:rsidR="009D27BA" w:rsidRPr="004F4B0E" w:rsidRDefault="009D27BA" w:rsidP="00830147">
            <w:pPr>
              <w:widowControl w:val="0"/>
              <w:autoSpaceDE w:val="0"/>
              <w:autoSpaceDN w:val="0"/>
              <w:adjustRightInd w:val="0"/>
              <w:spacing w:before="80" w:after="80"/>
              <w:outlineLvl w:val="0"/>
              <w:rPr>
                <w:bCs/>
                <w:color w:val="000000"/>
                <w:sz w:val="22"/>
                <w:szCs w:val="22"/>
              </w:rPr>
            </w:pPr>
            <w:r w:rsidRPr="004F4B0E">
              <w:rPr>
                <w:bCs/>
                <w:color w:val="000000"/>
                <w:sz w:val="22"/>
                <w:szCs w:val="22"/>
              </w:rPr>
              <w:t xml:space="preserve">Within </w:t>
            </w:r>
            <w:r w:rsidR="0099042F" w:rsidRPr="004F4B0E">
              <w:rPr>
                <w:bCs/>
                <w:color w:val="000000"/>
                <w:sz w:val="22"/>
                <w:szCs w:val="22"/>
              </w:rPr>
              <w:t>1</w:t>
            </w:r>
            <w:r w:rsidR="00AA3E1F" w:rsidRPr="004F4B0E">
              <w:rPr>
                <w:bCs/>
                <w:color w:val="000000"/>
                <w:sz w:val="22"/>
                <w:szCs w:val="22"/>
              </w:rPr>
              <w:t xml:space="preserve">2 </w:t>
            </w:r>
            <w:r w:rsidRPr="004F4B0E">
              <w:rPr>
                <w:bCs/>
                <w:color w:val="000000"/>
                <w:sz w:val="22"/>
                <w:szCs w:val="22"/>
              </w:rPr>
              <w:t>months after OMB approval</w:t>
            </w:r>
          </w:p>
        </w:tc>
      </w:tr>
      <w:tr w:rsidR="009B3E61" w:rsidRPr="004F4B0E" w14:paraId="7FEAF605" w14:textId="77777777" w:rsidTr="00040C3B">
        <w:trPr>
          <w:cantSplit/>
        </w:trPr>
        <w:tc>
          <w:tcPr>
            <w:tcW w:w="2757" w:type="pct"/>
            <w:noWrap/>
          </w:tcPr>
          <w:p w14:paraId="6F633381" w14:textId="77777777" w:rsidR="009B3E61" w:rsidRPr="004F4B0E" w:rsidRDefault="00186952" w:rsidP="00186952">
            <w:pPr>
              <w:autoSpaceDE w:val="0"/>
              <w:autoSpaceDN w:val="0"/>
              <w:adjustRightInd w:val="0"/>
              <w:rPr>
                <w:color w:val="000000"/>
                <w:sz w:val="22"/>
                <w:szCs w:val="22"/>
              </w:rPr>
            </w:pPr>
            <w:r w:rsidRPr="004F4B0E">
              <w:rPr>
                <w:color w:val="000000"/>
                <w:sz w:val="22"/>
                <w:szCs w:val="22"/>
              </w:rPr>
              <w:t xml:space="preserve">Recruitment of study participants, participant informed consent and enrollment. </w:t>
            </w:r>
          </w:p>
        </w:tc>
        <w:tc>
          <w:tcPr>
            <w:tcW w:w="2243" w:type="pct"/>
            <w:noWrap/>
          </w:tcPr>
          <w:p w14:paraId="4BBBD519" w14:textId="77777777" w:rsidR="009B3E61" w:rsidRPr="004F4B0E" w:rsidRDefault="009B3E61" w:rsidP="00830147">
            <w:pPr>
              <w:widowControl w:val="0"/>
              <w:autoSpaceDE w:val="0"/>
              <w:autoSpaceDN w:val="0"/>
              <w:adjustRightInd w:val="0"/>
              <w:spacing w:before="80" w:after="80"/>
              <w:outlineLvl w:val="0"/>
              <w:rPr>
                <w:bCs/>
                <w:color w:val="000000"/>
                <w:sz w:val="22"/>
                <w:szCs w:val="22"/>
              </w:rPr>
            </w:pPr>
            <w:r w:rsidRPr="004F4B0E">
              <w:rPr>
                <w:bCs/>
                <w:color w:val="000000"/>
                <w:sz w:val="22"/>
                <w:szCs w:val="22"/>
              </w:rPr>
              <w:t xml:space="preserve">Within </w:t>
            </w:r>
            <w:r w:rsidR="0099042F" w:rsidRPr="004F4B0E">
              <w:rPr>
                <w:bCs/>
                <w:color w:val="000000"/>
                <w:sz w:val="22"/>
                <w:szCs w:val="22"/>
              </w:rPr>
              <w:t>1</w:t>
            </w:r>
            <w:r w:rsidR="00AA3E1F" w:rsidRPr="004F4B0E">
              <w:rPr>
                <w:bCs/>
                <w:color w:val="000000"/>
                <w:sz w:val="22"/>
                <w:szCs w:val="22"/>
              </w:rPr>
              <w:t xml:space="preserve">2 </w:t>
            </w:r>
            <w:r w:rsidRPr="004F4B0E">
              <w:rPr>
                <w:bCs/>
                <w:color w:val="000000"/>
                <w:sz w:val="22"/>
                <w:szCs w:val="22"/>
              </w:rPr>
              <w:t>months after OMB approval</w:t>
            </w:r>
          </w:p>
        </w:tc>
      </w:tr>
      <w:tr w:rsidR="009B3E61" w:rsidRPr="004F4B0E" w14:paraId="4B0DF27B" w14:textId="77777777" w:rsidTr="00040C3B">
        <w:trPr>
          <w:cantSplit/>
        </w:trPr>
        <w:tc>
          <w:tcPr>
            <w:tcW w:w="2757" w:type="pct"/>
            <w:noWrap/>
          </w:tcPr>
          <w:p w14:paraId="73ED2B21" w14:textId="77777777" w:rsidR="009B3E61" w:rsidRPr="004F4B0E" w:rsidRDefault="009B3E61" w:rsidP="00040C3B">
            <w:pPr>
              <w:autoSpaceDE w:val="0"/>
              <w:autoSpaceDN w:val="0"/>
              <w:adjustRightInd w:val="0"/>
              <w:rPr>
                <w:color w:val="000000"/>
                <w:sz w:val="22"/>
                <w:szCs w:val="22"/>
              </w:rPr>
            </w:pPr>
            <w:r w:rsidRPr="004F4B0E">
              <w:rPr>
                <w:color w:val="000000"/>
                <w:sz w:val="22"/>
                <w:szCs w:val="22"/>
              </w:rPr>
              <w:t>First of three monthly baseline symptom surveys</w:t>
            </w:r>
          </w:p>
        </w:tc>
        <w:tc>
          <w:tcPr>
            <w:tcW w:w="2243" w:type="pct"/>
            <w:noWrap/>
          </w:tcPr>
          <w:p w14:paraId="6C9C8101" w14:textId="77777777" w:rsidR="009B3E61" w:rsidRPr="004F4B0E" w:rsidRDefault="009B3E61" w:rsidP="00830147">
            <w:pPr>
              <w:widowControl w:val="0"/>
              <w:autoSpaceDE w:val="0"/>
              <w:autoSpaceDN w:val="0"/>
              <w:adjustRightInd w:val="0"/>
              <w:spacing w:before="80" w:after="80"/>
              <w:outlineLvl w:val="0"/>
              <w:rPr>
                <w:bCs/>
                <w:color w:val="000000"/>
                <w:sz w:val="22"/>
                <w:szCs w:val="22"/>
              </w:rPr>
            </w:pPr>
            <w:r w:rsidRPr="004F4B0E">
              <w:rPr>
                <w:bCs/>
                <w:color w:val="000000"/>
                <w:sz w:val="22"/>
                <w:szCs w:val="22"/>
              </w:rPr>
              <w:t xml:space="preserve">Within </w:t>
            </w:r>
            <w:r w:rsidR="0099042F" w:rsidRPr="004F4B0E">
              <w:rPr>
                <w:bCs/>
                <w:color w:val="000000"/>
                <w:sz w:val="22"/>
                <w:szCs w:val="22"/>
              </w:rPr>
              <w:t>1</w:t>
            </w:r>
            <w:r w:rsidR="00AA3E1F" w:rsidRPr="004F4B0E">
              <w:rPr>
                <w:bCs/>
                <w:color w:val="000000"/>
                <w:sz w:val="22"/>
                <w:szCs w:val="22"/>
              </w:rPr>
              <w:t xml:space="preserve">3 </w:t>
            </w:r>
            <w:r w:rsidRPr="004F4B0E">
              <w:rPr>
                <w:bCs/>
                <w:color w:val="000000"/>
                <w:sz w:val="22"/>
                <w:szCs w:val="22"/>
              </w:rPr>
              <w:t>months after OMB approval</w:t>
            </w:r>
          </w:p>
        </w:tc>
      </w:tr>
      <w:tr w:rsidR="00180E63" w:rsidRPr="004F4B0E" w14:paraId="7B0E913D" w14:textId="77777777" w:rsidTr="00040C3B">
        <w:trPr>
          <w:cantSplit/>
        </w:trPr>
        <w:tc>
          <w:tcPr>
            <w:tcW w:w="2757" w:type="pct"/>
            <w:noWrap/>
          </w:tcPr>
          <w:p w14:paraId="711C40E8" w14:textId="77777777" w:rsidR="00180E63" w:rsidRPr="004F4B0E" w:rsidRDefault="00180E63" w:rsidP="009B3E61">
            <w:pPr>
              <w:autoSpaceDE w:val="0"/>
              <w:autoSpaceDN w:val="0"/>
              <w:adjustRightInd w:val="0"/>
              <w:rPr>
                <w:color w:val="000000"/>
                <w:sz w:val="22"/>
                <w:szCs w:val="22"/>
              </w:rPr>
            </w:pPr>
            <w:r w:rsidRPr="004F4B0E">
              <w:rPr>
                <w:color w:val="000000"/>
                <w:sz w:val="22"/>
                <w:szCs w:val="22"/>
              </w:rPr>
              <w:t>Second of three monthly baseline symptom surveys</w:t>
            </w:r>
          </w:p>
        </w:tc>
        <w:tc>
          <w:tcPr>
            <w:tcW w:w="2243" w:type="pct"/>
            <w:noWrap/>
          </w:tcPr>
          <w:p w14:paraId="63F2F785" w14:textId="77777777" w:rsidR="00180E63" w:rsidRPr="004F4B0E" w:rsidRDefault="00180E63" w:rsidP="00830147">
            <w:pPr>
              <w:widowControl w:val="0"/>
              <w:autoSpaceDE w:val="0"/>
              <w:autoSpaceDN w:val="0"/>
              <w:adjustRightInd w:val="0"/>
              <w:spacing w:before="80" w:after="80"/>
              <w:outlineLvl w:val="0"/>
              <w:rPr>
                <w:bCs/>
                <w:color w:val="000000"/>
                <w:sz w:val="22"/>
                <w:szCs w:val="22"/>
              </w:rPr>
            </w:pPr>
            <w:r w:rsidRPr="004F4B0E">
              <w:rPr>
                <w:bCs/>
                <w:color w:val="000000"/>
                <w:sz w:val="22"/>
                <w:szCs w:val="22"/>
              </w:rPr>
              <w:t xml:space="preserve">Within </w:t>
            </w:r>
            <w:r w:rsidR="0099042F" w:rsidRPr="004F4B0E">
              <w:rPr>
                <w:bCs/>
                <w:color w:val="000000"/>
                <w:sz w:val="22"/>
                <w:szCs w:val="22"/>
              </w:rPr>
              <w:t>1</w:t>
            </w:r>
            <w:r w:rsidR="00AA3E1F" w:rsidRPr="004F4B0E">
              <w:rPr>
                <w:bCs/>
                <w:color w:val="000000"/>
                <w:sz w:val="22"/>
                <w:szCs w:val="22"/>
              </w:rPr>
              <w:t xml:space="preserve">4 </w:t>
            </w:r>
            <w:r w:rsidRPr="004F4B0E">
              <w:rPr>
                <w:bCs/>
                <w:color w:val="000000"/>
                <w:sz w:val="22"/>
                <w:szCs w:val="22"/>
              </w:rPr>
              <w:t>months after OMB approval</w:t>
            </w:r>
          </w:p>
        </w:tc>
      </w:tr>
      <w:tr w:rsidR="00180E63" w:rsidRPr="004F4B0E" w14:paraId="79F5B151" w14:textId="77777777" w:rsidTr="00040C3B">
        <w:trPr>
          <w:cantSplit/>
        </w:trPr>
        <w:tc>
          <w:tcPr>
            <w:tcW w:w="2757" w:type="pct"/>
            <w:noWrap/>
          </w:tcPr>
          <w:p w14:paraId="78E6CEE3" w14:textId="77777777" w:rsidR="00180E63" w:rsidRPr="004F4B0E" w:rsidRDefault="00180E63" w:rsidP="009B3E61">
            <w:pPr>
              <w:autoSpaceDE w:val="0"/>
              <w:autoSpaceDN w:val="0"/>
              <w:adjustRightInd w:val="0"/>
              <w:rPr>
                <w:color w:val="000000"/>
                <w:sz w:val="22"/>
                <w:szCs w:val="22"/>
              </w:rPr>
            </w:pPr>
            <w:r w:rsidRPr="004F4B0E">
              <w:rPr>
                <w:color w:val="000000"/>
                <w:sz w:val="22"/>
                <w:szCs w:val="22"/>
              </w:rPr>
              <w:t>Third of three monthly baseline symptom surveys</w:t>
            </w:r>
          </w:p>
        </w:tc>
        <w:tc>
          <w:tcPr>
            <w:tcW w:w="2243" w:type="pct"/>
            <w:noWrap/>
          </w:tcPr>
          <w:p w14:paraId="499BD2E0" w14:textId="77777777" w:rsidR="00180E63" w:rsidRPr="004F4B0E" w:rsidRDefault="00180E63" w:rsidP="00830147">
            <w:pPr>
              <w:widowControl w:val="0"/>
              <w:autoSpaceDE w:val="0"/>
              <w:autoSpaceDN w:val="0"/>
              <w:adjustRightInd w:val="0"/>
              <w:spacing w:before="80" w:after="80"/>
              <w:outlineLvl w:val="0"/>
              <w:rPr>
                <w:bCs/>
                <w:color w:val="000000"/>
                <w:sz w:val="22"/>
                <w:szCs w:val="22"/>
              </w:rPr>
            </w:pPr>
            <w:r w:rsidRPr="004F4B0E">
              <w:rPr>
                <w:bCs/>
                <w:color w:val="000000"/>
                <w:sz w:val="22"/>
                <w:szCs w:val="22"/>
              </w:rPr>
              <w:t xml:space="preserve">Within </w:t>
            </w:r>
            <w:r w:rsidR="0099042F" w:rsidRPr="004F4B0E">
              <w:rPr>
                <w:bCs/>
                <w:color w:val="000000"/>
                <w:sz w:val="22"/>
                <w:szCs w:val="22"/>
              </w:rPr>
              <w:t>1</w:t>
            </w:r>
            <w:r w:rsidR="00AA3E1F" w:rsidRPr="004F4B0E">
              <w:rPr>
                <w:bCs/>
                <w:color w:val="000000"/>
                <w:sz w:val="22"/>
                <w:szCs w:val="22"/>
              </w:rPr>
              <w:t xml:space="preserve">5 </w:t>
            </w:r>
            <w:r w:rsidRPr="004F4B0E">
              <w:rPr>
                <w:bCs/>
                <w:color w:val="000000"/>
                <w:sz w:val="22"/>
                <w:szCs w:val="22"/>
              </w:rPr>
              <w:t>months after OMB approval</w:t>
            </w:r>
          </w:p>
        </w:tc>
      </w:tr>
      <w:tr w:rsidR="00180E63" w:rsidRPr="004F4B0E" w14:paraId="726732DE" w14:textId="77777777" w:rsidTr="00040C3B">
        <w:trPr>
          <w:cantSplit/>
        </w:trPr>
        <w:tc>
          <w:tcPr>
            <w:tcW w:w="2757" w:type="pct"/>
            <w:noWrap/>
          </w:tcPr>
          <w:p w14:paraId="61A05760" w14:textId="77777777" w:rsidR="00180E63" w:rsidRPr="004F4B0E" w:rsidRDefault="00180E63" w:rsidP="00830147">
            <w:pPr>
              <w:autoSpaceDE w:val="0"/>
              <w:autoSpaceDN w:val="0"/>
              <w:adjustRightInd w:val="0"/>
              <w:rPr>
                <w:color w:val="000000"/>
                <w:sz w:val="22"/>
                <w:szCs w:val="22"/>
              </w:rPr>
            </w:pPr>
            <w:r w:rsidRPr="004F4B0E">
              <w:rPr>
                <w:color w:val="000000"/>
                <w:sz w:val="22"/>
                <w:szCs w:val="22"/>
              </w:rPr>
              <w:t xml:space="preserve">Installation of </w:t>
            </w:r>
            <w:r w:rsidR="00186952" w:rsidRPr="004F4B0E">
              <w:rPr>
                <w:color w:val="000000"/>
                <w:sz w:val="22"/>
                <w:szCs w:val="22"/>
              </w:rPr>
              <w:t>tool support intervention</w:t>
            </w:r>
            <w:r w:rsidRPr="004F4B0E">
              <w:rPr>
                <w:color w:val="000000"/>
                <w:sz w:val="22"/>
                <w:szCs w:val="22"/>
              </w:rPr>
              <w:t xml:space="preserve"> devices</w:t>
            </w:r>
            <w:r w:rsidR="00186952" w:rsidRPr="004F4B0E">
              <w:rPr>
                <w:color w:val="000000"/>
                <w:sz w:val="22"/>
                <w:szCs w:val="22"/>
              </w:rPr>
              <w:t xml:space="preserve"> – begin intervention period</w:t>
            </w:r>
          </w:p>
        </w:tc>
        <w:tc>
          <w:tcPr>
            <w:tcW w:w="2243" w:type="pct"/>
            <w:noWrap/>
          </w:tcPr>
          <w:p w14:paraId="5F44EDE4" w14:textId="77777777" w:rsidR="00180E63" w:rsidRPr="004F4B0E" w:rsidRDefault="00180E63" w:rsidP="00830147">
            <w:pPr>
              <w:widowControl w:val="0"/>
              <w:autoSpaceDE w:val="0"/>
              <w:autoSpaceDN w:val="0"/>
              <w:adjustRightInd w:val="0"/>
              <w:spacing w:before="80" w:after="80"/>
              <w:outlineLvl w:val="0"/>
              <w:rPr>
                <w:bCs/>
                <w:color w:val="000000"/>
                <w:sz w:val="22"/>
                <w:szCs w:val="22"/>
              </w:rPr>
            </w:pPr>
            <w:r w:rsidRPr="004F4B0E">
              <w:rPr>
                <w:bCs/>
                <w:color w:val="000000"/>
                <w:sz w:val="22"/>
                <w:szCs w:val="22"/>
              </w:rPr>
              <w:t xml:space="preserve">Within </w:t>
            </w:r>
            <w:r w:rsidR="0099042F" w:rsidRPr="004F4B0E">
              <w:rPr>
                <w:bCs/>
                <w:color w:val="000000"/>
                <w:sz w:val="22"/>
                <w:szCs w:val="22"/>
              </w:rPr>
              <w:t>1</w:t>
            </w:r>
            <w:r w:rsidR="00AA3E1F" w:rsidRPr="004F4B0E">
              <w:rPr>
                <w:bCs/>
                <w:color w:val="000000"/>
                <w:sz w:val="22"/>
                <w:szCs w:val="22"/>
              </w:rPr>
              <w:t xml:space="preserve">5 </w:t>
            </w:r>
            <w:r w:rsidRPr="004F4B0E">
              <w:rPr>
                <w:bCs/>
                <w:color w:val="000000"/>
                <w:sz w:val="22"/>
                <w:szCs w:val="22"/>
              </w:rPr>
              <w:t>months after OMB approval</w:t>
            </w:r>
          </w:p>
        </w:tc>
      </w:tr>
      <w:tr w:rsidR="00180E63" w:rsidRPr="004F4B0E" w14:paraId="3EAEF145" w14:textId="77777777" w:rsidTr="00040C3B">
        <w:trPr>
          <w:cantSplit/>
        </w:trPr>
        <w:tc>
          <w:tcPr>
            <w:tcW w:w="2757" w:type="pct"/>
            <w:noWrap/>
          </w:tcPr>
          <w:p w14:paraId="7C177631" w14:textId="77777777" w:rsidR="00180E63" w:rsidRPr="004F4B0E" w:rsidRDefault="00180E63" w:rsidP="00040C3B">
            <w:pPr>
              <w:autoSpaceDE w:val="0"/>
              <w:autoSpaceDN w:val="0"/>
              <w:adjustRightInd w:val="0"/>
              <w:rPr>
                <w:color w:val="000000"/>
                <w:sz w:val="22"/>
                <w:szCs w:val="22"/>
              </w:rPr>
            </w:pPr>
            <w:r w:rsidRPr="004F4B0E">
              <w:rPr>
                <w:color w:val="000000"/>
                <w:sz w:val="22"/>
                <w:szCs w:val="22"/>
              </w:rPr>
              <w:t>Month 1 intervention period symptom survey</w:t>
            </w:r>
          </w:p>
        </w:tc>
        <w:tc>
          <w:tcPr>
            <w:tcW w:w="2243" w:type="pct"/>
            <w:noWrap/>
          </w:tcPr>
          <w:p w14:paraId="2B1E2645" w14:textId="77777777" w:rsidR="00180E63" w:rsidRPr="004F4B0E" w:rsidRDefault="000D1EDC" w:rsidP="00830147">
            <w:pPr>
              <w:widowControl w:val="0"/>
              <w:autoSpaceDE w:val="0"/>
              <w:autoSpaceDN w:val="0"/>
              <w:adjustRightInd w:val="0"/>
              <w:outlineLvl w:val="0"/>
              <w:rPr>
                <w:bCs/>
                <w:color w:val="000000"/>
                <w:sz w:val="22"/>
                <w:szCs w:val="22"/>
              </w:rPr>
            </w:pPr>
            <w:r w:rsidRPr="004F4B0E">
              <w:rPr>
                <w:bCs/>
                <w:color w:val="000000"/>
                <w:sz w:val="22"/>
                <w:szCs w:val="22"/>
              </w:rPr>
              <w:t xml:space="preserve">Within </w:t>
            </w:r>
            <w:r w:rsidR="0099042F" w:rsidRPr="004F4B0E">
              <w:rPr>
                <w:bCs/>
                <w:color w:val="000000"/>
                <w:sz w:val="22"/>
                <w:szCs w:val="22"/>
              </w:rPr>
              <w:t>1</w:t>
            </w:r>
            <w:r w:rsidR="00AA3E1F" w:rsidRPr="004F4B0E">
              <w:rPr>
                <w:bCs/>
                <w:color w:val="000000"/>
                <w:sz w:val="22"/>
                <w:szCs w:val="22"/>
              </w:rPr>
              <w:t xml:space="preserve">6 </w:t>
            </w:r>
            <w:r w:rsidRPr="004F4B0E">
              <w:rPr>
                <w:bCs/>
                <w:color w:val="000000"/>
                <w:sz w:val="22"/>
                <w:szCs w:val="22"/>
              </w:rPr>
              <w:t>months after OMB approval</w:t>
            </w:r>
          </w:p>
        </w:tc>
      </w:tr>
      <w:tr w:rsidR="00180E63" w:rsidRPr="004F4B0E" w14:paraId="67B4713A" w14:textId="77777777" w:rsidTr="00040C3B">
        <w:trPr>
          <w:cantSplit/>
        </w:trPr>
        <w:tc>
          <w:tcPr>
            <w:tcW w:w="2757" w:type="pct"/>
            <w:noWrap/>
          </w:tcPr>
          <w:p w14:paraId="586AB37D" w14:textId="77777777" w:rsidR="00180E63" w:rsidRPr="004F4B0E" w:rsidRDefault="00180E63" w:rsidP="00180E63">
            <w:pPr>
              <w:autoSpaceDE w:val="0"/>
              <w:autoSpaceDN w:val="0"/>
              <w:adjustRightInd w:val="0"/>
              <w:rPr>
                <w:color w:val="000000"/>
                <w:sz w:val="22"/>
                <w:szCs w:val="22"/>
              </w:rPr>
            </w:pPr>
            <w:r w:rsidRPr="004F4B0E">
              <w:rPr>
                <w:color w:val="000000"/>
                <w:sz w:val="22"/>
                <w:szCs w:val="22"/>
              </w:rPr>
              <w:t>Month 2 intervention period symptom survey</w:t>
            </w:r>
          </w:p>
        </w:tc>
        <w:tc>
          <w:tcPr>
            <w:tcW w:w="2243" w:type="pct"/>
            <w:noWrap/>
          </w:tcPr>
          <w:p w14:paraId="1074B0EF" w14:textId="77777777" w:rsidR="00180E63" w:rsidRPr="004F4B0E" w:rsidRDefault="000D1EDC" w:rsidP="00830147">
            <w:pPr>
              <w:widowControl w:val="0"/>
              <w:autoSpaceDE w:val="0"/>
              <w:autoSpaceDN w:val="0"/>
              <w:adjustRightInd w:val="0"/>
              <w:outlineLvl w:val="0"/>
              <w:rPr>
                <w:bCs/>
                <w:color w:val="000000"/>
                <w:sz w:val="22"/>
                <w:szCs w:val="22"/>
              </w:rPr>
            </w:pPr>
            <w:r w:rsidRPr="004F4B0E">
              <w:rPr>
                <w:bCs/>
                <w:color w:val="000000"/>
                <w:sz w:val="22"/>
                <w:szCs w:val="22"/>
              </w:rPr>
              <w:t xml:space="preserve">Within </w:t>
            </w:r>
            <w:r w:rsidR="0099042F" w:rsidRPr="004F4B0E">
              <w:rPr>
                <w:bCs/>
                <w:color w:val="000000"/>
                <w:sz w:val="22"/>
                <w:szCs w:val="22"/>
              </w:rPr>
              <w:t>1</w:t>
            </w:r>
            <w:r w:rsidR="00AA3E1F" w:rsidRPr="004F4B0E">
              <w:rPr>
                <w:bCs/>
                <w:color w:val="000000"/>
                <w:sz w:val="22"/>
                <w:szCs w:val="22"/>
              </w:rPr>
              <w:t xml:space="preserve">7 </w:t>
            </w:r>
            <w:r w:rsidRPr="004F4B0E">
              <w:rPr>
                <w:bCs/>
                <w:color w:val="000000"/>
                <w:sz w:val="22"/>
                <w:szCs w:val="22"/>
              </w:rPr>
              <w:t>months after OMB approval</w:t>
            </w:r>
          </w:p>
        </w:tc>
      </w:tr>
      <w:tr w:rsidR="000D1EDC" w:rsidRPr="004F4B0E" w14:paraId="47CDD0CA" w14:textId="77777777" w:rsidTr="00040C3B">
        <w:trPr>
          <w:cantSplit/>
        </w:trPr>
        <w:tc>
          <w:tcPr>
            <w:tcW w:w="2757" w:type="pct"/>
            <w:noWrap/>
          </w:tcPr>
          <w:p w14:paraId="1068A4F3" w14:textId="77777777" w:rsidR="000D1EDC" w:rsidRPr="004F4B0E" w:rsidRDefault="000D1EDC" w:rsidP="00180E63">
            <w:pPr>
              <w:autoSpaceDE w:val="0"/>
              <w:autoSpaceDN w:val="0"/>
              <w:adjustRightInd w:val="0"/>
              <w:rPr>
                <w:color w:val="000000"/>
                <w:sz w:val="22"/>
                <w:szCs w:val="22"/>
              </w:rPr>
            </w:pPr>
            <w:r w:rsidRPr="004F4B0E">
              <w:rPr>
                <w:color w:val="000000"/>
                <w:sz w:val="22"/>
                <w:szCs w:val="22"/>
              </w:rPr>
              <w:t>Month 3 intervention period symptom survey</w:t>
            </w:r>
          </w:p>
        </w:tc>
        <w:tc>
          <w:tcPr>
            <w:tcW w:w="2243" w:type="pct"/>
            <w:noWrap/>
          </w:tcPr>
          <w:p w14:paraId="198CC0D1" w14:textId="77777777" w:rsidR="000D1EDC" w:rsidRPr="004F4B0E" w:rsidRDefault="000D1EDC" w:rsidP="00830147">
            <w:pPr>
              <w:widowControl w:val="0"/>
              <w:autoSpaceDE w:val="0"/>
              <w:autoSpaceDN w:val="0"/>
              <w:adjustRightInd w:val="0"/>
              <w:outlineLvl w:val="0"/>
              <w:rPr>
                <w:bCs/>
                <w:color w:val="000000"/>
                <w:sz w:val="22"/>
                <w:szCs w:val="22"/>
              </w:rPr>
            </w:pPr>
            <w:r w:rsidRPr="004F4B0E">
              <w:rPr>
                <w:bCs/>
                <w:color w:val="000000"/>
                <w:sz w:val="22"/>
                <w:szCs w:val="22"/>
              </w:rPr>
              <w:t xml:space="preserve">Within </w:t>
            </w:r>
            <w:r w:rsidR="0099042F" w:rsidRPr="004F4B0E">
              <w:rPr>
                <w:bCs/>
                <w:color w:val="000000"/>
                <w:sz w:val="22"/>
                <w:szCs w:val="22"/>
              </w:rPr>
              <w:t>1</w:t>
            </w:r>
            <w:r w:rsidR="00AA3E1F" w:rsidRPr="004F4B0E">
              <w:rPr>
                <w:bCs/>
                <w:color w:val="000000"/>
                <w:sz w:val="22"/>
                <w:szCs w:val="22"/>
              </w:rPr>
              <w:t xml:space="preserve">8 </w:t>
            </w:r>
            <w:r w:rsidRPr="004F4B0E">
              <w:rPr>
                <w:bCs/>
                <w:color w:val="000000"/>
                <w:sz w:val="22"/>
                <w:szCs w:val="22"/>
              </w:rPr>
              <w:t>months after OMB approval</w:t>
            </w:r>
          </w:p>
        </w:tc>
      </w:tr>
      <w:tr w:rsidR="000D1EDC" w:rsidRPr="004F4B0E" w14:paraId="7C9F2D6E" w14:textId="77777777" w:rsidTr="00040C3B">
        <w:trPr>
          <w:cantSplit/>
        </w:trPr>
        <w:tc>
          <w:tcPr>
            <w:tcW w:w="2757" w:type="pct"/>
            <w:noWrap/>
          </w:tcPr>
          <w:p w14:paraId="3DCFBE6F" w14:textId="77777777" w:rsidR="000D1EDC" w:rsidRPr="004F4B0E" w:rsidRDefault="000D1EDC" w:rsidP="00180E63">
            <w:pPr>
              <w:autoSpaceDE w:val="0"/>
              <w:autoSpaceDN w:val="0"/>
              <w:adjustRightInd w:val="0"/>
              <w:rPr>
                <w:color w:val="000000"/>
                <w:sz w:val="22"/>
                <w:szCs w:val="22"/>
              </w:rPr>
            </w:pPr>
            <w:r w:rsidRPr="004F4B0E">
              <w:rPr>
                <w:color w:val="000000"/>
                <w:sz w:val="22"/>
                <w:szCs w:val="22"/>
              </w:rPr>
              <w:t>Month 4 intervention period symptom survey</w:t>
            </w:r>
          </w:p>
        </w:tc>
        <w:tc>
          <w:tcPr>
            <w:tcW w:w="2243" w:type="pct"/>
            <w:noWrap/>
          </w:tcPr>
          <w:p w14:paraId="65C97520" w14:textId="77777777" w:rsidR="000D1EDC" w:rsidRPr="004F4B0E" w:rsidRDefault="000D1EDC" w:rsidP="00830147">
            <w:pPr>
              <w:widowControl w:val="0"/>
              <w:autoSpaceDE w:val="0"/>
              <w:autoSpaceDN w:val="0"/>
              <w:adjustRightInd w:val="0"/>
              <w:outlineLvl w:val="0"/>
              <w:rPr>
                <w:bCs/>
                <w:color w:val="000000"/>
                <w:sz w:val="22"/>
                <w:szCs w:val="22"/>
              </w:rPr>
            </w:pPr>
            <w:r w:rsidRPr="004F4B0E">
              <w:rPr>
                <w:bCs/>
                <w:color w:val="000000"/>
                <w:sz w:val="22"/>
                <w:szCs w:val="22"/>
              </w:rPr>
              <w:t xml:space="preserve">Within </w:t>
            </w:r>
            <w:r w:rsidR="0068701F" w:rsidRPr="004F4B0E">
              <w:rPr>
                <w:bCs/>
                <w:color w:val="000000"/>
                <w:sz w:val="22"/>
                <w:szCs w:val="22"/>
              </w:rPr>
              <w:t>1</w:t>
            </w:r>
            <w:r w:rsidR="00AA3E1F" w:rsidRPr="004F4B0E">
              <w:rPr>
                <w:bCs/>
                <w:color w:val="000000"/>
                <w:sz w:val="22"/>
                <w:szCs w:val="22"/>
              </w:rPr>
              <w:t xml:space="preserve">9 </w:t>
            </w:r>
            <w:r w:rsidRPr="004F4B0E">
              <w:rPr>
                <w:bCs/>
                <w:color w:val="000000"/>
                <w:sz w:val="22"/>
                <w:szCs w:val="22"/>
              </w:rPr>
              <w:t>months after OMB approval</w:t>
            </w:r>
          </w:p>
        </w:tc>
      </w:tr>
      <w:tr w:rsidR="000D1EDC" w:rsidRPr="004F4B0E" w14:paraId="1626F6A8" w14:textId="77777777" w:rsidTr="00040C3B">
        <w:trPr>
          <w:cantSplit/>
        </w:trPr>
        <w:tc>
          <w:tcPr>
            <w:tcW w:w="2757" w:type="pct"/>
            <w:noWrap/>
          </w:tcPr>
          <w:p w14:paraId="019EC8E1" w14:textId="77777777" w:rsidR="000D1EDC" w:rsidRPr="004F4B0E" w:rsidRDefault="00186952" w:rsidP="00186952">
            <w:pPr>
              <w:autoSpaceDE w:val="0"/>
              <w:autoSpaceDN w:val="0"/>
              <w:adjustRightInd w:val="0"/>
              <w:rPr>
                <w:color w:val="000000"/>
                <w:sz w:val="22"/>
                <w:szCs w:val="22"/>
              </w:rPr>
            </w:pPr>
            <w:r w:rsidRPr="004F4B0E">
              <w:rPr>
                <w:color w:val="000000"/>
                <w:sz w:val="22"/>
                <w:szCs w:val="22"/>
              </w:rPr>
              <w:t xml:space="preserve">Complete </w:t>
            </w:r>
            <w:r w:rsidR="000D1EDC" w:rsidRPr="004F4B0E">
              <w:rPr>
                <w:color w:val="000000"/>
                <w:sz w:val="22"/>
                <w:szCs w:val="22"/>
              </w:rPr>
              <w:t>analysis</w:t>
            </w:r>
            <w:r w:rsidRPr="004F4B0E">
              <w:rPr>
                <w:color w:val="000000"/>
                <w:sz w:val="22"/>
                <w:szCs w:val="22"/>
              </w:rPr>
              <w:t xml:space="preserve"> determining effectiveness of interventions.</w:t>
            </w:r>
          </w:p>
        </w:tc>
        <w:tc>
          <w:tcPr>
            <w:tcW w:w="2243" w:type="pct"/>
            <w:noWrap/>
          </w:tcPr>
          <w:p w14:paraId="438D1337" w14:textId="77777777" w:rsidR="000D1EDC" w:rsidRPr="004F4B0E" w:rsidRDefault="00186952" w:rsidP="0068701F">
            <w:pPr>
              <w:widowControl w:val="0"/>
              <w:autoSpaceDE w:val="0"/>
              <w:autoSpaceDN w:val="0"/>
              <w:adjustRightInd w:val="0"/>
              <w:outlineLvl w:val="0"/>
              <w:rPr>
                <w:bCs/>
                <w:color w:val="000000"/>
                <w:sz w:val="22"/>
                <w:szCs w:val="22"/>
              </w:rPr>
            </w:pPr>
            <w:r w:rsidRPr="004F4B0E">
              <w:rPr>
                <w:bCs/>
                <w:color w:val="000000"/>
                <w:sz w:val="22"/>
                <w:szCs w:val="22"/>
              </w:rPr>
              <w:t xml:space="preserve">Within </w:t>
            </w:r>
            <w:r w:rsidR="0068701F" w:rsidRPr="004F4B0E">
              <w:rPr>
                <w:bCs/>
                <w:color w:val="000000"/>
                <w:sz w:val="22"/>
                <w:szCs w:val="22"/>
              </w:rPr>
              <w:t>2</w:t>
            </w:r>
            <w:r w:rsidR="00AA3E1F" w:rsidRPr="004F4B0E">
              <w:rPr>
                <w:bCs/>
                <w:color w:val="000000"/>
                <w:sz w:val="22"/>
                <w:szCs w:val="22"/>
              </w:rPr>
              <w:t>2</w:t>
            </w:r>
            <w:r w:rsidR="00B476C0" w:rsidRPr="004F4B0E">
              <w:rPr>
                <w:bCs/>
                <w:color w:val="000000"/>
                <w:sz w:val="22"/>
                <w:szCs w:val="22"/>
              </w:rPr>
              <w:t xml:space="preserve"> </w:t>
            </w:r>
            <w:r w:rsidRPr="004F4B0E">
              <w:rPr>
                <w:bCs/>
                <w:color w:val="000000"/>
                <w:sz w:val="22"/>
                <w:szCs w:val="22"/>
              </w:rPr>
              <w:t>months after OMB approval</w:t>
            </w:r>
          </w:p>
        </w:tc>
      </w:tr>
    </w:tbl>
    <w:p w14:paraId="6FD14985" w14:textId="77777777" w:rsidR="002651B9" w:rsidRDefault="002651B9" w:rsidP="0038553A">
      <w:pPr>
        <w:pStyle w:val="Heading2"/>
        <w:rPr>
          <w:b w:val="0"/>
        </w:rPr>
      </w:pPr>
      <w:bookmarkStart w:id="59" w:name="_Toc239826789"/>
      <w:bookmarkStart w:id="60" w:name="_Toc248821756"/>
      <w:bookmarkStart w:id="61" w:name="_Toc261966300"/>
    </w:p>
    <w:p w14:paraId="4AFE5FE3" w14:textId="77777777" w:rsidR="0038553A" w:rsidRDefault="0038553A" w:rsidP="0038553A">
      <w:pPr>
        <w:pStyle w:val="Heading2"/>
        <w:rPr>
          <w:b w:val="0"/>
        </w:rPr>
      </w:pPr>
      <w:r w:rsidRPr="00040C3B">
        <w:rPr>
          <w:b w:val="0"/>
        </w:rPr>
        <w:t>A17.</w:t>
      </w:r>
      <w:r w:rsidRPr="00040C3B">
        <w:rPr>
          <w:b w:val="0"/>
        </w:rPr>
        <w:tab/>
        <w:t>Reason(s) Display of OMB Expiration Date is Inappropriate</w:t>
      </w:r>
      <w:bookmarkEnd w:id="59"/>
      <w:bookmarkEnd w:id="60"/>
      <w:bookmarkEnd w:id="61"/>
    </w:p>
    <w:p w14:paraId="1BB168F3" w14:textId="77777777" w:rsidR="00B9590E" w:rsidRPr="00B9590E" w:rsidRDefault="00B9590E" w:rsidP="00B9590E">
      <w:pPr>
        <w:rPr>
          <w:lang w:eastAsia="ja-JP"/>
        </w:rPr>
      </w:pPr>
    </w:p>
    <w:p w14:paraId="0013F1D2" w14:textId="77777777" w:rsidR="0038553A" w:rsidRPr="00F81BA5" w:rsidRDefault="004D684D" w:rsidP="0038553A">
      <w:r>
        <w:t>The display of the OMB expiration date is not inappropriate.</w:t>
      </w:r>
    </w:p>
    <w:p w14:paraId="1830B9F7" w14:textId="77777777" w:rsidR="0038553A" w:rsidRPr="00F81BA5" w:rsidRDefault="0038553A" w:rsidP="0038553A"/>
    <w:p w14:paraId="205B06CF" w14:textId="77777777" w:rsidR="0038553A" w:rsidRDefault="0038553A" w:rsidP="0038553A">
      <w:pPr>
        <w:pStyle w:val="Heading2"/>
        <w:rPr>
          <w:b w:val="0"/>
        </w:rPr>
      </w:pPr>
      <w:bookmarkStart w:id="62" w:name="_Toc239826790"/>
      <w:bookmarkStart w:id="63" w:name="_Toc248821757"/>
      <w:bookmarkStart w:id="64" w:name="_Toc261966301"/>
      <w:r w:rsidRPr="00040C3B">
        <w:rPr>
          <w:b w:val="0"/>
        </w:rPr>
        <w:t>A18.</w:t>
      </w:r>
      <w:r w:rsidRPr="00040C3B">
        <w:rPr>
          <w:b w:val="0"/>
        </w:rPr>
        <w:tab/>
        <w:t>Exceptions to Certification for Paperwork Reduction Act Submissions</w:t>
      </w:r>
      <w:bookmarkEnd w:id="62"/>
      <w:bookmarkEnd w:id="63"/>
      <w:bookmarkEnd w:id="64"/>
    </w:p>
    <w:p w14:paraId="5F20FEAB" w14:textId="77777777" w:rsidR="00B9590E" w:rsidRPr="00B9590E" w:rsidRDefault="00B9590E" w:rsidP="00B9590E">
      <w:pPr>
        <w:rPr>
          <w:lang w:eastAsia="ja-JP"/>
        </w:rPr>
      </w:pPr>
    </w:p>
    <w:p w14:paraId="0FD6DB16" w14:textId="77777777" w:rsidR="0038553A" w:rsidRPr="00F81BA5" w:rsidRDefault="0038553A" w:rsidP="0038553A">
      <w:pPr>
        <w:rPr>
          <w:color w:val="000000"/>
          <w:lang w:eastAsia="ja-JP"/>
        </w:rPr>
      </w:pPr>
      <w:r w:rsidRPr="00F81BA5">
        <w:t xml:space="preserve">There are no exceptions to </w:t>
      </w:r>
      <w:r w:rsidR="004D684D">
        <w:t>this</w:t>
      </w:r>
      <w:r w:rsidR="00FF628D">
        <w:t xml:space="preserve"> </w:t>
      </w:r>
      <w:r w:rsidRPr="00F81BA5">
        <w:t>certification statement.</w:t>
      </w:r>
    </w:p>
    <w:sectPr w:rsidR="0038553A" w:rsidRPr="00F81BA5" w:rsidSect="0038553A">
      <w:headerReference w:type="even" r:id="rId12"/>
      <w:headerReference w:type="default" r:id="rId13"/>
      <w:headerReference w:type="first" r:id="rId14"/>
      <w:type w:val="continuous"/>
      <w:pgSz w:w="12240" w:h="15840" w:code="1"/>
      <w:pgMar w:top="1440" w:right="1800" w:bottom="1440" w:left="180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03D90" w14:textId="77777777" w:rsidR="00404F81" w:rsidRDefault="00404F81">
      <w:r>
        <w:separator/>
      </w:r>
    </w:p>
  </w:endnote>
  <w:endnote w:type="continuationSeparator" w:id="0">
    <w:p w14:paraId="197910BE" w14:textId="77777777" w:rsidR="00404F81" w:rsidRDefault="00404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910D0" w14:textId="77777777" w:rsidR="00404F81" w:rsidRDefault="00404F81" w:rsidP="003855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96D7E0" w14:textId="77777777" w:rsidR="00404F81" w:rsidRDefault="00404F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BCC23" w14:textId="77777777" w:rsidR="00404F81" w:rsidRPr="00F0710F" w:rsidRDefault="00404F81" w:rsidP="0038553A">
    <w:pPr>
      <w:pStyle w:val="Footer"/>
      <w:framePr w:wrap="around" w:vAnchor="text" w:hAnchor="margin" w:xAlign="center" w:y="1"/>
      <w:rPr>
        <w:rStyle w:val="PageNumber"/>
        <w:sz w:val="24"/>
        <w:szCs w:val="24"/>
      </w:rPr>
    </w:pPr>
    <w:r w:rsidRPr="00F0710F">
      <w:rPr>
        <w:rStyle w:val="PageNumber"/>
        <w:sz w:val="24"/>
        <w:szCs w:val="24"/>
      </w:rPr>
      <w:fldChar w:fldCharType="begin"/>
    </w:r>
    <w:r w:rsidRPr="00F0710F">
      <w:rPr>
        <w:rStyle w:val="PageNumber"/>
        <w:sz w:val="24"/>
        <w:szCs w:val="24"/>
      </w:rPr>
      <w:instrText xml:space="preserve">PAGE  </w:instrText>
    </w:r>
    <w:r w:rsidRPr="00F0710F">
      <w:rPr>
        <w:rStyle w:val="PageNumber"/>
        <w:sz w:val="24"/>
        <w:szCs w:val="24"/>
      </w:rPr>
      <w:fldChar w:fldCharType="separate"/>
    </w:r>
    <w:r w:rsidR="00EA254C">
      <w:rPr>
        <w:rStyle w:val="PageNumber"/>
        <w:noProof/>
        <w:sz w:val="24"/>
        <w:szCs w:val="24"/>
      </w:rPr>
      <w:t>16</w:t>
    </w:r>
    <w:r w:rsidRPr="00F0710F">
      <w:rPr>
        <w:rStyle w:val="PageNumber"/>
        <w:sz w:val="24"/>
        <w:szCs w:val="24"/>
      </w:rPr>
      <w:fldChar w:fldCharType="end"/>
    </w:r>
  </w:p>
  <w:p w14:paraId="6A93354D" w14:textId="77777777" w:rsidR="00404F81" w:rsidRPr="00C7102E" w:rsidRDefault="00404F81" w:rsidP="0038553A">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2BF8C" w14:textId="77777777" w:rsidR="00404F81" w:rsidRDefault="00404F81">
      <w:r>
        <w:separator/>
      </w:r>
    </w:p>
  </w:footnote>
  <w:footnote w:type="continuationSeparator" w:id="0">
    <w:p w14:paraId="11489349" w14:textId="77777777" w:rsidR="00404F81" w:rsidRDefault="00404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7C945" w14:textId="77777777" w:rsidR="00404F81" w:rsidRDefault="00404F81" w:rsidP="0038553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FC278" w14:textId="77777777" w:rsidR="00404F81" w:rsidRDefault="00404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8DF70" w14:textId="77777777" w:rsidR="00404F81" w:rsidRDefault="00404F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upperLetter"/>
      <w:lvlText w:val="%1."/>
      <w:lvlJc w:val="left"/>
      <w:pPr>
        <w:tabs>
          <w:tab w:val="num" w:pos="1080"/>
        </w:tabs>
      </w:pPr>
    </w:lvl>
  </w:abstractNum>
  <w:abstractNum w:abstractNumId="2" w15:restartNumberingAfterBreak="0">
    <w:nsid w:val="00000007"/>
    <w:multiLevelType w:val="multilevel"/>
    <w:tmpl w:val="00000000"/>
    <w:name w:val="AutoList2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8"/>
    <w:multiLevelType w:val="multilevel"/>
    <w:tmpl w:val="00000000"/>
    <w:name w:val="AutoList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A"/>
    <w:multiLevelType w:val="multilevel"/>
    <w:tmpl w:val="00000000"/>
    <w:name w:val="AutoList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B"/>
    <w:multiLevelType w:val="multilevel"/>
    <w:tmpl w:val="00000000"/>
    <w:name w:val="AutoList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F"/>
    <w:multiLevelType w:val="multilevel"/>
    <w:tmpl w:val="00000000"/>
    <w:name w:val="AutoList13"/>
    <w:lvl w:ilvl="0">
      <w:start w:val="1"/>
      <w:numFmt w:val="lowerLetter"/>
      <w:lvlText w:val="(%1)"/>
      <w:lvlJc w:val="left"/>
    </w:lvl>
    <w:lvl w:ilvl="1">
      <w:start w:val="1"/>
      <w:numFmt w:val="decimal"/>
      <w:lvlText w:val="%2)"/>
      <w:lvlJc w:val="left"/>
    </w:lvl>
    <w:lvl w:ilvl="2">
      <w:start w:val="1"/>
      <w:numFmt w:val="upp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15:restartNumberingAfterBreak="0">
    <w:nsid w:val="05CF0381"/>
    <w:multiLevelType w:val="hybridMultilevel"/>
    <w:tmpl w:val="FDB83FB4"/>
    <w:lvl w:ilvl="0" w:tplc="25B01538">
      <w:start w:val="10"/>
      <w:numFmt w:val="upperRoman"/>
      <w:lvlText w:val="%1."/>
      <w:lvlJc w:val="left"/>
      <w:pPr>
        <w:tabs>
          <w:tab w:val="num" w:pos="1080"/>
        </w:tabs>
        <w:ind w:left="1080" w:hanging="720"/>
      </w:pPr>
      <w:rPr>
        <w:rFonts w:hint="default"/>
        <w:u w:val="single"/>
      </w:rPr>
    </w:lvl>
    <w:lvl w:ilvl="1" w:tplc="A628CB64">
      <w:start w:val="2"/>
      <w:numFmt w:val="decimal"/>
      <w:lvlText w:val="%2."/>
      <w:lvlJc w:val="left"/>
      <w:pPr>
        <w:tabs>
          <w:tab w:val="num" w:pos="1440"/>
        </w:tabs>
        <w:ind w:left="1440" w:hanging="360"/>
      </w:pPr>
      <w:rPr>
        <w:rFonts w:hint="default"/>
        <w:u w:val="single"/>
      </w:rPr>
    </w:lvl>
    <w:lvl w:ilvl="2" w:tplc="04090015">
      <w:start w:val="1"/>
      <w:numFmt w:val="upperLetter"/>
      <w:lvlText w:val="%3."/>
      <w:lvlJc w:val="left"/>
      <w:pPr>
        <w:tabs>
          <w:tab w:val="num" w:pos="2340"/>
        </w:tabs>
        <w:ind w:left="2340" w:hanging="360"/>
      </w:pPr>
      <w:rPr>
        <w:rFonts w:hint="default"/>
        <w:u w:val="singl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77D7EB3"/>
    <w:multiLevelType w:val="hybridMultilevel"/>
    <w:tmpl w:val="D292CC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9065932"/>
    <w:multiLevelType w:val="hybridMultilevel"/>
    <w:tmpl w:val="FB905A58"/>
    <w:lvl w:ilvl="0" w:tplc="B226E00E">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15:restartNumberingAfterBreak="0">
    <w:nsid w:val="0B1C55A7"/>
    <w:multiLevelType w:val="hybridMultilevel"/>
    <w:tmpl w:val="41722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F03018"/>
    <w:multiLevelType w:val="hybridMultilevel"/>
    <w:tmpl w:val="C3867E76"/>
    <w:lvl w:ilvl="0" w:tplc="3B78BA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CE7330A"/>
    <w:multiLevelType w:val="hybridMultilevel"/>
    <w:tmpl w:val="D980C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AA5C47"/>
    <w:multiLevelType w:val="hybridMultilevel"/>
    <w:tmpl w:val="F8DC9F5C"/>
    <w:lvl w:ilvl="0" w:tplc="BBA66CE2">
      <w:start w:val="1"/>
      <w:numFmt w:val="decimal"/>
      <w:lvlText w:val="%1."/>
      <w:lvlJc w:val="left"/>
      <w:pPr>
        <w:tabs>
          <w:tab w:val="num" w:pos="840"/>
        </w:tabs>
        <w:ind w:left="840" w:hanging="480"/>
      </w:pPr>
      <w:rPr>
        <w:rFonts w:hint="default"/>
      </w:rPr>
    </w:lvl>
    <w:lvl w:ilvl="1" w:tplc="02223EB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ED002F3"/>
    <w:multiLevelType w:val="hybridMultilevel"/>
    <w:tmpl w:val="CC9AD5C0"/>
    <w:lvl w:ilvl="0" w:tplc="055E38F0">
      <w:start w:val="1"/>
      <w:numFmt w:val="bullet"/>
      <w:pStyle w:val="AppHeading1"/>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D629A6"/>
    <w:multiLevelType w:val="hybridMultilevel"/>
    <w:tmpl w:val="E456739C"/>
    <w:lvl w:ilvl="0" w:tplc="066A62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29B0067"/>
    <w:multiLevelType w:val="hybridMultilevel"/>
    <w:tmpl w:val="D21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10327C"/>
    <w:multiLevelType w:val="hybridMultilevel"/>
    <w:tmpl w:val="D5780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CB0974"/>
    <w:multiLevelType w:val="hybridMultilevel"/>
    <w:tmpl w:val="CAB2C00C"/>
    <w:lvl w:ilvl="0" w:tplc="39EA1366">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8441EAD"/>
    <w:multiLevelType w:val="hybridMultilevel"/>
    <w:tmpl w:val="1C007DA0"/>
    <w:lvl w:ilvl="0" w:tplc="5ADE8F2A">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CA17C2A"/>
    <w:multiLevelType w:val="hybridMultilevel"/>
    <w:tmpl w:val="1B8E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924A97"/>
    <w:multiLevelType w:val="hybridMultilevel"/>
    <w:tmpl w:val="AACAA9BC"/>
    <w:lvl w:ilvl="0" w:tplc="066A62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02E2CEB"/>
    <w:multiLevelType w:val="hybridMultilevel"/>
    <w:tmpl w:val="FB488C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3506F99"/>
    <w:multiLevelType w:val="multilevel"/>
    <w:tmpl w:val="AACAA9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37901EB"/>
    <w:multiLevelType w:val="hybridMultilevel"/>
    <w:tmpl w:val="722C63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3B521CA"/>
    <w:multiLevelType w:val="hybridMultilevel"/>
    <w:tmpl w:val="9D822512"/>
    <w:lvl w:ilvl="0" w:tplc="A1EC7D62">
      <w:start w:val="1"/>
      <w:numFmt w:val="upperRoman"/>
      <w:lvlText w:val="%1."/>
      <w:lvlJc w:val="left"/>
      <w:pPr>
        <w:tabs>
          <w:tab w:val="num" w:pos="720"/>
        </w:tabs>
        <w:ind w:left="720" w:hanging="720"/>
      </w:pPr>
      <w:rPr>
        <w:rFonts w:hint="default"/>
        <w:u w:val="single"/>
      </w:rPr>
    </w:lvl>
    <w:lvl w:ilvl="1" w:tplc="82AA39B8">
      <w:start w:val="1"/>
      <w:numFmt w:val="upperLetter"/>
      <w:lvlText w:val="%2."/>
      <w:lvlJc w:val="left"/>
      <w:pPr>
        <w:tabs>
          <w:tab w:val="num" w:pos="720"/>
        </w:tabs>
        <w:ind w:left="720" w:hanging="360"/>
      </w:pPr>
      <w:rPr>
        <w:rFonts w:hint="default"/>
        <w:u w:val="none"/>
      </w:rPr>
    </w:lvl>
    <w:lvl w:ilvl="2" w:tplc="19A420FA">
      <w:start w:val="1"/>
      <w:numFmt w:val="upperLetter"/>
      <w:lvlText w:val="%3."/>
      <w:lvlJc w:val="left"/>
      <w:pPr>
        <w:tabs>
          <w:tab w:val="num" w:pos="2340"/>
        </w:tabs>
        <w:ind w:left="2340" w:hanging="360"/>
      </w:pPr>
      <w:rPr>
        <w:rFonts w:hint="default"/>
        <w:u w:val="none"/>
      </w:rPr>
    </w:lvl>
    <w:lvl w:ilvl="3" w:tplc="DD303D32">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4FF7C97"/>
    <w:multiLevelType w:val="hybridMultilevel"/>
    <w:tmpl w:val="7138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2162BF"/>
    <w:multiLevelType w:val="hybridMultilevel"/>
    <w:tmpl w:val="F4920FC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D9262E7"/>
    <w:multiLevelType w:val="hybridMultilevel"/>
    <w:tmpl w:val="E7FE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495D27"/>
    <w:multiLevelType w:val="singleLevel"/>
    <w:tmpl w:val="6FE2D3D2"/>
    <w:lvl w:ilvl="0">
      <w:start w:val="1"/>
      <w:numFmt w:val="bullet"/>
      <w:pStyle w:val="SP-SglSpPara"/>
      <w:lvlText w:val="–"/>
      <w:lvlJc w:val="left"/>
      <w:pPr>
        <w:tabs>
          <w:tab w:val="num" w:pos="1728"/>
        </w:tabs>
        <w:ind w:left="1728" w:hanging="576"/>
      </w:pPr>
      <w:rPr>
        <w:rFonts w:ascii="Garamond" w:hAnsi="Garamond" w:hint="default"/>
        <w:sz w:val="28"/>
        <w:szCs w:val="36"/>
      </w:rPr>
    </w:lvl>
  </w:abstractNum>
  <w:abstractNum w:abstractNumId="31" w15:restartNumberingAfterBreak="0">
    <w:nsid w:val="3676075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33" w15:restartNumberingAfterBreak="0">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66C5CB7"/>
    <w:multiLevelType w:val="hybridMultilevel"/>
    <w:tmpl w:val="C9B4B192"/>
    <w:lvl w:ilvl="0" w:tplc="C16017F0">
      <w:start w:val="1"/>
      <w:numFmt w:val="upperLetter"/>
      <w:lvlText w:val="%1)"/>
      <w:lvlJc w:val="left"/>
      <w:pPr>
        <w:tabs>
          <w:tab w:val="num" w:pos="720"/>
        </w:tabs>
        <w:ind w:left="720" w:hanging="360"/>
      </w:pPr>
      <w:rPr>
        <w:rFonts w:hint="default"/>
      </w:rPr>
    </w:lvl>
    <w:lvl w:ilvl="1" w:tplc="A7C012C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6D054FF"/>
    <w:multiLevelType w:val="hybridMultilevel"/>
    <w:tmpl w:val="9214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501637"/>
    <w:multiLevelType w:val="hybridMultilevel"/>
    <w:tmpl w:val="C9E6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AA1D37"/>
    <w:multiLevelType w:val="hybridMultilevel"/>
    <w:tmpl w:val="8980802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4DB83FA4"/>
    <w:multiLevelType w:val="hybridMultilevel"/>
    <w:tmpl w:val="CA9425FE"/>
    <w:lvl w:ilvl="0" w:tplc="7D1C3BBA">
      <w:start w:val="1"/>
      <w:numFmt w:val="decimal"/>
      <w:lvlText w:val="%1."/>
      <w:lvlJc w:val="left"/>
      <w:pPr>
        <w:tabs>
          <w:tab w:val="num" w:pos="466"/>
        </w:tabs>
        <w:ind w:left="466" w:hanging="360"/>
      </w:pPr>
      <w:rPr>
        <w:rFonts w:hint="default"/>
      </w:rPr>
    </w:lvl>
    <w:lvl w:ilvl="1" w:tplc="04090019">
      <w:start w:val="1"/>
      <w:numFmt w:val="lowerLetter"/>
      <w:lvlText w:val="%2."/>
      <w:lvlJc w:val="left"/>
      <w:pPr>
        <w:tabs>
          <w:tab w:val="num" w:pos="1186"/>
        </w:tabs>
        <w:ind w:left="1186" w:hanging="360"/>
      </w:pPr>
    </w:lvl>
    <w:lvl w:ilvl="2" w:tplc="0409001B" w:tentative="1">
      <w:start w:val="1"/>
      <w:numFmt w:val="lowerRoman"/>
      <w:lvlText w:val="%3."/>
      <w:lvlJc w:val="right"/>
      <w:pPr>
        <w:tabs>
          <w:tab w:val="num" w:pos="1906"/>
        </w:tabs>
        <w:ind w:left="1906" w:hanging="180"/>
      </w:pPr>
    </w:lvl>
    <w:lvl w:ilvl="3" w:tplc="0409000F" w:tentative="1">
      <w:start w:val="1"/>
      <w:numFmt w:val="decimal"/>
      <w:lvlText w:val="%4."/>
      <w:lvlJc w:val="left"/>
      <w:pPr>
        <w:tabs>
          <w:tab w:val="num" w:pos="2626"/>
        </w:tabs>
        <w:ind w:left="2626" w:hanging="360"/>
      </w:pPr>
    </w:lvl>
    <w:lvl w:ilvl="4" w:tplc="04090019" w:tentative="1">
      <w:start w:val="1"/>
      <w:numFmt w:val="lowerLetter"/>
      <w:lvlText w:val="%5."/>
      <w:lvlJc w:val="left"/>
      <w:pPr>
        <w:tabs>
          <w:tab w:val="num" w:pos="3346"/>
        </w:tabs>
        <w:ind w:left="3346" w:hanging="360"/>
      </w:pPr>
    </w:lvl>
    <w:lvl w:ilvl="5" w:tplc="0409001B" w:tentative="1">
      <w:start w:val="1"/>
      <w:numFmt w:val="lowerRoman"/>
      <w:lvlText w:val="%6."/>
      <w:lvlJc w:val="right"/>
      <w:pPr>
        <w:tabs>
          <w:tab w:val="num" w:pos="4066"/>
        </w:tabs>
        <w:ind w:left="4066" w:hanging="180"/>
      </w:pPr>
    </w:lvl>
    <w:lvl w:ilvl="6" w:tplc="0409000F" w:tentative="1">
      <w:start w:val="1"/>
      <w:numFmt w:val="decimal"/>
      <w:lvlText w:val="%7."/>
      <w:lvlJc w:val="left"/>
      <w:pPr>
        <w:tabs>
          <w:tab w:val="num" w:pos="4786"/>
        </w:tabs>
        <w:ind w:left="4786" w:hanging="360"/>
      </w:pPr>
    </w:lvl>
    <w:lvl w:ilvl="7" w:tplc="04090019" w:tentative="1">
      <w:start w:val="1"/>
      <w:numFmt w:val="lowerLetter"/>
      <w:lvlText w:val="%8."/>
      <w:lvlJc w:val="left"/>
      <w:pPr>
        <w:tabs>
          <w:tab w:val="num" w:pos="5506"/>
        </w:tabs>
        <w:ind w:left="5506" w:hanging="360"/>
      </w:pPr>
    </w:lvl>
    <w:lvl w:ilvl="8" w:tplc="0409001B" w:tentative="1">
      <w:start w:val="1"/>
      <w:numFmt w:val="lowerRoman"/>
      <w:lvlText w:val="%9."/>
      <w:lvlJc w:val="right"/>
      <w:pPr>
        <w:tabs>
          <w:tab w:val="num" w:pos="6226"/>
        </w:tabs>
        <w:ind w:left="6226" w:hanging="180"/>
      </w:pPr>
    </w:lvl>
  </w:abstractNum>
  <w:abstractNum w:abstractNumId="39" w15:restartNumberingAfterBreak="0">
    <w:nsid w:val="4DF16EDB"/>
    <w:multiLevelType w:val="hybridMultilevel"/>
    <w:tmpl w:val="9060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642385"/>
    <w:multiLevelType w:val="hybridMultilevel"/>
    <w:tmpl w:val="739EF2E4"/>
    <w:lvl w:ilvl="0" w:tplc="6840B8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1B95A77"/>
    <w:multiLevelType w:val="hybridMultilevel"/>
    <w:tmpl w:val="DA1E48F4"/>
    <w:lvl w:ilvl="0" w:tplc="96106E9E">
      <w:start w:val="1"/>
      <w:numFmt w:val="bullet"/>
      <w:lvlText w:val=""/>
      <w:lvlJc w:val="left"/>
      <w:pPr>
        <w:tabs>
          <w:tab w:val="num" w:pos="720"/>
        </w:tabs>
        <w:ind w:left="720" w:hanging="360"/>
      </w:pPr>
      <w:rPr>
        <w:rFonts w:ascii="Symbol" w:hAnsi="Symbol" w:hint="default"/>
        <w:sz w:val="20"/>
      </w:rPr>
    </w:lvl>
    <w:lvl w:ilvl="1" w:tplc="07C451E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27C2071"/>
    <w:multiLevelType w:val="hybridMultilevel"/>
    <w:tmpl w:val="7716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245152"/>
    <w:multiLevelType w:val="hybridMultilevel"/>
    <w:tmpl w:val="256E31C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90A2E7F"/>
    <w:multiLevelType w:val="multilevel"/>
    <w:tmpl w:val="CC9AD5C0"/>
    <w:lvl w:ilvl="0">
      <w:start w:val="1"/>
      <w:numFmt w:val="bullet"/>
      <w:lvlText w:val=""/>
      <w:lvlJc w:val="left"/>
      <w:pPr>
        <w:tabs>
          <w:tab w:val="num" w:pos="1152"/>
        </w:tabs>
        <w:ind w:left="1152" w:hanging="57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DC22666"/>
    <w:multiLevelType w:val="hybridMultilevel"/>
    <w:tmpl w:val="B660F92E"/>
    <w:lvl w:ilvl="0" w:tplc="E03E4C20">
      <w:start w:val="100"/>
      <w:numFmt w:val="upperRoman"/>
      <w:lvlText w:val="%1."/>
      <w:lvlJc w:val="left"/>
      <w:pPr>
        <w:tabs>
          <w:tab w:val="num" w:pos="1800"/>
        </w:tabs>
        <w:ind w:left="1800" w:hanging="720"/>
      </w:pPr>
      <w:rPr>
        <w:rFonts w:cs="Arial" w:hint="default"/>
        <w:b w:val="0"/>
        <w:color w:val="000000"/>
        <w:sz w:val="28"/>
        <w:u w:val="singl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15:restartNumberingAfterBreak="0">
    <w:nsid w:val="5F4B13B6"/>
    <w:multiLevelType w:val="hybridMultilevel"/>
    <w:tmpl w:val="C7D49F7E"/>
    <w:lvl w:ilvl="0" w:tplc="7AC6868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11B224E"/>
    <w:multiLevelType w:val="multilevel"/>
    <w:tmpl w:val="973E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DA042F"/>
    <w:multiLevelType w:val="multilevel"/>
    <w:tmpl w:val="9D822512"/>
    <w:lvl w:ilvl="0">
      <w:start w:val="1"/>
      <w:numFmt w:val="upperRoman"/>
      <w:lvlText w:val="%1."/>
      <w:lvlJc w:val="left"/>
      <w:pPr>
        <w:tabs>
          <w:tab w:val="num" w:pos="720"/>
        </w:tabs>
        <w:ind w:left="720" w:hanging="720"/>
      </w:pPr>
      <w:rPr>
        <w:rFonts w:hint="default"/>
        <w:u w:val="single"/>
      </w:rPr>
    </w:lvl>
    <w:lvl w:ilvl="1">
      <w:start w:val="1"/>
      <w:numFmt w:val="upperLetter"/>
      <w:lvlText w:val="%2."/>
      <w:lvlJc w:val="left"/>
      <w:pPr>
        <w:tabs>
          <w:tab w:val="num" w:pos="720"/>
        </w:tabs>
        <w:ind w:left="720" w:hanging="360"/>
      </w:pPr>
      <w:rPr>
        <w:rFonts w:hint="default"/>
        <w:u w:val="none"/>
      </w:rPr>
    </w:lvl>
    <w:lvl w:ilvl="2">
      <w:start w:val="1"/>
      <w:numFmt w:val="upperLetter"/>
      <w:lvlText w:val="%3."/>
      <w:lvlJc w:val="left"/>
      <w:pPr>
        <w:tabs>
          <w:tab w:val="num" w:pos="2340"/>
        </w:tabs>
        <w:ind w:left="2340" w:hanging="360"/>
      </w:pPr>
      <w:rPr>
        <w:rFonts w:hint="default"/>
        <w:u w:val="none"/>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67265DA3"/>
    <w:multiLevelType w:val="hybridMultilevel"/>
    <w:tmpl w:val="FF90D28C"/>
    <w:lvl w:ilvl="0" w:tplc="2FC64F70">
      <w:start w:val="1"/>
      <w:numFmt w:val="upperLetter"/>
      <w:lvlText w:val="%1."/>
      <w:lvlJc w:val="left"/>
      <w:pPr>
        <w:tabs>
          <w:tab w:val="num" w:pos="3270"/>
        </w:tabs>
        <w:ind w:left="3270" w:hanging="465"/>
      </w:pPr>
      <w:rPr>
        <w:rFonts w:hint="default"/>
      </w:rPr>
    </w:lvl>
    <w:lvl w:ilvl="1" w:tplc="04090019" w:tentative="1">
      <w:start w:val="1"/>
      <w:numFmt w:val="lowerLetter"/>
      <w:lvlText w:val="%2."/>
      <w:lvlJc w:val="left"/>
      <w:pPr>
        <w:tabs>
          <w:tab w:val="num" w:pos="3885"/>
        </w:tabs>
        <w:ind w:left="3885" w:hanging="360"/>
      </w:pPr>
    </w:lvl>
    <w:lvl w:ilvl="2" w:tplc="0409001B" w:tentative="1">
      <w:start w:val="1"/>
      <w:numFmt w:val="lowerRoman"/>
      <w:lvlText w:val="%3."/>
      <w:lvlJc w:val="right"/>
      <w:pPr>
        <w:tabs>
          <w:tab w:val="num" w:pos="4605"/>
        </w:tabs>
        <w:ind w:left="4605" w:hanging="180"/>
      </w:pPr>
    </w:lvl>
    <w:lvl w:ilvl="3" w:tplc="0409000F" w:tentative="1">
      <w:start w:val="1"/>
      <w:numFmt w:val="decimal"/>
      <w:lvlText w:val="%4."/>
      <w:lvlJc w:val="left"/>
      <w:pPr>
        <w:tabs>
          <w:tab w:val="num" w:pos="5325"/>
        </w:tabs>
        <w:ind w:left="5325" w:hanging="360"/>
      </w:pPr>
    </w:lvl>
    <w:lvl w:ilvl="4" w:tplc="04090019" w:tentative="1">
      <w:start w:val="1"/>
      <w:numFmt w:val="lowerLetter"/>
      <w:lvlText w:val="%5."/>
      <w:lvlJc w:val="left"/>
      <w:pPr>
        <w:tabs>
          <w:tab w:val="num" w:pos="6045"/>
        </w:tabs>
        <w:ind w:left="6045" w:hanging="360"/>
      </w:pPr>
    </w:lvl>
    <w:lvl w:ilvl="5" w:tplc="0409001B" w:tentative="1">
      <w:start w:val="1"/>
      <w:numFmt w:val="lowerRoman"/>
      <w:lvlText w:val="%6."/>
      <w:lvlJc w:val="right"/>
      <w:pPr>
        <w:tabs>
          <w:tab w:val="num" w:pos="6765"/>
        </w:tabs>
        <w:ind w:left="6765" w:hanging="180"/>
      </w:pPr>
    </w:lvl>
    <w:lvl w:ilvl="6" w:tplc="0409000F" w:tentative="1">
      <w:start w:val="1"/>
      <w:numFmt w:val="decimal"/>
      <w:lvlText w:val="%7."/>
      <w:lvlJc w:val="left"/>
      <w:pPr>
        <w:tabs>
          <w:tab w:val="num" w:pos="7485"/>
        </w:tabs>
        <w:ind w:left="7485" w:hanging="360"/>
      </w:pPr>
    </w:lvl>
    <w:lvl w:ilvl="7" w:tplc="04090019" w:tentative="1">
      <w:start w:val="1"/>
      <w:numFmt w:val="lowerLetter"/>
      <w:lvlText w:val="%8."/>
      <w:lvlJc w:val="left"/>
      <w:pPr>
        <w:tabs>
          <w:tab w:val="num" w:pos="8205"/>
        </w:tabs>
        <w:ind w:left="8205" w:hanging="360"/>
      </w:pPr>
    </w:lvl>
    <w:lvl w:ilvl="8" w:tplc="0409001B" w:tentative="1">
      <w:start w:val="1"/>
      <w:numFmt w:val="lowerRoman"/>
      <w:lvlText w:val="%9."/>
      <w:lvlJc w:val="right"/>
      <w:pPr>
        <w:tabs>
          <w:tab w:val="num" w:pos="8925"/>
        </w:tabs>
        <w:ind w:left="8925" w:hanging="180"/>
      </w:pPr>
    </w:lvl>
  </w:abstractNum>
  <w:abstractNum w:abstractNumId="50" w15:restartNumberingAfterBreak="0">
    <w:nsid w:val="69F52217"/>
    <w:multiLevelType w:val="hybridMultilevel"/>
    <w:tmpl w:val="F2EE1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AC254E2"/>
    <w:multiLevelType w:val="hybridMultilevel"/>
    <w:tmpl w:val="ABFC55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C582C58"/>
    <w:multiLevelType w:val="hybridMultilevel"/>
    <w:tmpl w:val="D0C22D1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FB834A3"/>
    <w:multiLevelType w:val="multilevel"/>
    <w:tmpl w:val="976226A0"/>
    <w:lvl w:ilvl="0">
      <w:start w:val="1"/>
      <w:numFmt w:val="decimal"/>
      <w:lvlText w:val="%1."/>
      <w:lvlJc w:val="left"/>
      <w:pPr>
        <w:tabs>
          <w:tab w:val="num" w:pos="840"/>
        </w:tabs>
        <w:ind w:left="840" w:hanging="4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lvlOverride w:ilvl="0">
      <w:startOverride w:val="1"/>
      <w:lvl w:ilvl="0">
        <w:start w:val="1"/>
        <w:numFmt w:val="upperLetter"/>
        <w:lvlText w:val="%1."/>
        <w:lvlJc w:val="left"/>
      </w:lvl>
    </w:lvlOverride>
  </w:num>
  <w:num w:numId="2">
    <w:abstractNumId w:val="2"/>
    <w:lvlOverride w:ilvl="0">
      <w:startOverride w:val="2"/>
      <w:lvl w:ilvl="0">
        <w:start w:val="2"/>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15"/>
  </w:num>
  <w:num w:numId="4">
    <w:abstractNumId w:val="38"/>
  </w:num>
  <w:num w:numId="5">
    <w:abstractNumId w:val="14"/>
  </w:num>
  <w:num w:numId="6">
    <w:abstractNumId w:val="30"/>
  </w:num>
  <w:num w:numId="7">
    <w:abstractNumId w:val="7"/>
  </w:num>
  <w:num w:numId="8">
    <w:abstractNumId w:val="52"/>
  </w:num>
  <w:num w:numId="9">
    <w:abstractNumId w:val="28"/>
  </w:num>
  <w:num w:numId="10">
    <w:abstractNumId w:val="23"/>
  </w:num>
  <w:num w:numId="11">
    <w:abstractNumId w:val="31"/>
  </w:num>
  <w:num w:numId="12">
    <w:abstractNumId w:val="8"/>
  </w:num>
  <w:num w:numId="13">
    <w:abstractNumId w:val="9"/>
  </w:num>
  <w:num w:numId="14">
    <w:abstractNumId w:val="33"/>
  </w:num>
  <w:num w:numId="15">
    <w:abstractNumId w:val="16"/>
  </w:num>
  <w:num w:numId="16">
    <w:abstractNumId w:val="22"/>
  </w:num>
  <w:num w:numId="17">
    <w:abstractNumId w:val="26"/>
  </w:num>
  <w:num w:numId="18">
    <w:abstractNumId w:val="13"/>
  </w:num>
  <w:num w:numId="19">
    <w:abstractNumId w:val="11"/>
  </w:num>
  <w:num w:numId="20">
    <w:abstractNumId w:val="20"/>
  </w:num>
  <w:num w:numId="21">
    <w:abstractNumId w:val="40"/>
  </w:num>
  <w:num w:numId="22">
    <w:abstractNumId w:val="32"/>
  </w:num>
  <w:num w:numId="23">
    <w:abstractNumId w:val="34"/>
  </w:num>
  <w:num w:numId="24">
    <w:abstractNumId w:val="19"/>
  </w:num>
  <w:num w:numId="25">
    <w:abstractNumId w:val="43"/>
  </w:num>
  <w:num w:numId="26">
    <w:abstractNumId w:val="49"/>
  </w:num>
  <w:num w:numId="27">
    <w:abstractNumId w:val="46"/>
  </w:num>
  <w:num w:numId="28">
    <w:abstractNumId w:val="47"/>
  </w:num>
  <w:num w:numId="29">
    <w:abstractNumId w:val="24"/>
  </w:num>
  <w:num w:numId="30">
    <w:abstractNumId w:val="45"/>
  </w:num>
  <w:num w:numId="31">
    <w:abstractNumId w:val="53"/>
  </w:num>
  <w:num w:numId="32">
    <w:abstractNumId w:val="48"/>
  </w:num>
  <w:num w:numId="33">
    <w:abstractNumId w:val="44"/>
  </w:num>
  <w:num w:numId="34">
    <w:abstractNumId w:val="41"/>
  </w:num>
  <w:num w:numId="35">
    <w:abstractNumId w:val="25"/>
  </w:num>
  <w:num w:numId="36">
    <w:abstractNumId w:val="50"/>
  </w:num>
  <w:num w:numId="37">
    <w:abstractNumId w:val="51"/>
  </w:num>
  <w:num w:numId="38">
    <w:abstractNumId w:val="42"/>
  </w:num>
  <w:num w:numId="39">
    <w:abstractNumId w:val="37"/>
  </w:num>
  <w:num w:numId="40">
    <w:abstractNumId w:val="10"/>
  </w:num>
  <w:num w:numId="41">
    <w:abstractNumId w:val="39"/>
  </w:num>
  <w:num w:numId="42">
    <w:abstractNumId w:val="17"/>
  </w:num>
  <w:num w:numId="4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18"/>
  </w:num>
  <w:num w:numId="46">
    <w:abstractNumId w:val="12"/>
  </w:num>
  <w:num w:numId="47">
    <w:abstractNumId w:val="27"/>
  </w:num>
  <w:num w:numId="48">
    <w:abstractNumId w:val="36"/>
  </w:num>
  <w:num w:numId="49">
    <w:abstractNumId w:val="35"/>
  </w:num>
  <w:num w:numId="50">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s>
  <w:rsids>
    <w:rsidRoot w:val="0038553A"/>
    <w:rsid w:val="00000A67"/>
    <w:rsid w:val="00006DBF"/>
    <w:rsid w:val="0000728B"/>
    <w:rsid w:val="00011C69"/>
    <w:rsid w:val="00015DCB"/>
    <w:rsid w:val="0002200D"/>
    <w:rsid w:val="0002343D"/>
    <w:rsid w:val="00023587"/>
    <w:rsid w:val="000250D3"/>
    <w:rsid w:val="0002744B"/>
    <w:rsid w:val="000274A0"/>
    <w:rsid w:val="000278C3"/>
    <w:rsid w:val="00031545"/>
    <w:rsid w:val="00040C3B"/>
    <w:rsid w:val="000411AF"/>
    <w:rsid w:val="0004147C"/>
    <w:rsid w:val="00041A17"/>
    <w:rsid w:val="000435F9"/>
    <w:rsid w:val="0004538C"/>
    <w:rsid w:val="00050A2B"/>
    <w:rsid w:val="00054885"/>
    <w:rsid w:val="000609FA"/>
    <w:rsid w:val="000672D4"/>
    <w:rsid w:val="000727C1"/>
    <w:rsid w:val="000729F8"/>
    <w:rsid w:val="0007303F"/>
    <w:rsid w:val="00077388"/>
    <w:rsid w:val="000814FA"/>
    <w:rsid w:val="0008517E"/>
    <w:rsid w:val="000862E6"/>
    <w:rsid w:val="000A17B3"/>
    <w:rsid w:val="000A310B"/>
    <w:rsid w:val="000A6DC4"/>
    <w:rsid w:val="000B4DA9"/>
    <w:rsid w:val="000B6B56"/>
    <w:rsid w:val="000C2691"/>
    <w:rsid w:val="000C3E90"/>
    <w:rsid w:val="000C6194"/>
    <w:rsid w:val="000D0283"/>
    <w:rsid w:val="000D1EDC"/>
    <w:rsid w:val="000E7992"/>
    <w:rsid w:val="000F05D2"/>
    <w:rsid w:val="000F3669"/>
    <w:rsid w:val="000F3CF1"/>
    <w:rsid w:val="00100F38"/>
    <w:rsid w:val="001021AF"/>
    <w:rsid w:val="00102386"/>
    <w:rsid w:val="001030D8"/>
    <w:rsid w:val="00104D3F"/>
    <w:rsid w:val="00105A3C"/>
    <w:rsid w:val="00105E07"/>
    <w:rsid w:val="00107C1B"/>
    <w:rsid w:val="00110E34"/>
    <w:rsid w:val="00116A75"/>
    <w:rsid w:val="001218E2"/>
    <w:rsid w:val="00122227"/>
    <w:rsid w:val="001228A5"/>
    <w:rsid w:val="00123F0B"/>
    <w:rsid w:val="00125462"/>
    <w:rsid w:val="00131CE9"/>
    <w:rsid w:val="001338ED"/>
    <w:rsid w:val="00135678"/>
    <w:rsid w:val="00137A2C"/>
    <w:rsid w:val="00141C61"/>
    <w:rsid w:val="00150DA5"/>
    <w:rsid w:val="001521E9"/>
    <w:rsid w:val="00152CCF"/>
    <w:rsid w:val="00154ADB"/>
    <w:rsid w:val="00163356"/>
    <w:rsid w:val="00167398"/>
    <w:rsid w:val="001715A0"/>
    <w:rsid w:val="00171BC0"/>
    <w:rsid w:val="001734D5"/>
    <w:rsid w:val="00174994"/>
    <w:rsid w:val="00180E63"/>
    <w:rsid w:val="00186952"/>
    <w:rsid w:val="00186E4E"/>
    <w:rsid w:val="00191EAF"/>
    <w:rsid w:val="0019660B"/>
    <w:rsid w:val="00197764"/>
    <w:rsid w:val="001A2F13"/>
    <w:rsid w:val="001A5661"/>
    <w:rsid w:val="001A7C92"/>
    <w:rsid w:val="001B7DC9"/>
    <w:rsid w:val="001D2F0A"/>
    <w:rsid w:val="001D4567"/>
    <w:rsid w:val="001D7619"/>
    <w:rsid w:val="001D792A"/>
    <w:rsid w:val="001E09BF"/>
    <w:rsid w:val="001E5412"/>
    <w:rsid w:val="001E774F"/>
    <w:rsid w:val="001F02A3"/>
    <w:rsid w:val="001F11DB"/>
    <w:rsid w:val="001F197B"/>
    <w:rsid w:val="001F4A52"/>
    <w:rsid w:val="002052A8"/>
    <w:rsid w:val="0020565C"/>
    <w:rsid w:val="00206F70"/>
    <w:rsid w:val="00207491"/>
    <w:rsid w:val="00213918"/>
    <w:rsid w:val="00214159"/>
    <w:rsid w:val="00214E0F"/>
    <w:rsid w:val="002150E4"/>
    <w:rsid w:val="002201FB"/>
    <w:rsid w:val="00222123"/>
    <w:rsid w:val="00226509"/>
    <w:rsid w:val="00240E38"/>
    <w:rsid w:val="00242A30"/>
    <w:rsid w:val="0024519D"/>
    <w:rsid w:val="00247D2E"/>
    <w:rsid w:val="00250EC5"/>
    <w:rsid w:val="0025199E"/>
    <w:rsid w:val="00251CC7"/>
    <w:rsid w:val="00254C1D"/>
    <w:rsid w:val="002567D7"/>
    <w:rsid w:val="00256F10"/>
    <w:rsid w:val="00262BBF"/>
    <w:rsid w:val="00264E82"/>
    <w:rsid w:val="002651B9"/>
    <w:rsid w:val="00266DAC"/>
    <w:rsid w:val="00270B64"/>
    <w:rsid w:val="002735F3"/>
    <w:rsid w:val="00285E0B"/>
    <w:rsid w:val="002873C1"/>
    <w:rsid w:val="002873C6"/>
    <w:rsid w:val="002A02ED"/>
    <w:rsid w:val="002A032B"/>
    <w:rsid w:val="002A10F7"/>
    <w:rsid w:val="002A31B5"/>
    <w:rsid w:val="002B3D94"/>
    <w:rsid w:val="002B4177"/>
    <w:rsid w:val="002B4E5A"/>
    <w:rsid w:val="002B5001"/>
    <w:rsid w:val="002B72A0"/>
    <w:rsid w:val="002C06C1"/>
    <w:rsid w:val="002C40BD"/>
    <w:rsid w:val="002C5374"/>
    <w:rsid w:val="002C56B1"/>
    <w:rsid w:val="002D07DB"/>
    <w:rsid w:val="002D461F"/>
    <w:rsid w:val="002D6084"/>
    <w:rsid w:val="002E4BFF"/>
    <w:rsid w:val="002F41B0"/>
    <w:rsid w:val="002F5857"/>
    <w:rsid w:val="002F76AE"/>
    <w:rsid w:val="00300049"/>
    <w:rsid w:val="003006C1"/>
    <w:rsid w:val="00302EC4"/>
    <w:rsid w:val="00304325"/>
    <w:rsid w:val="00305614"/>
    <w:rsid w:val="0030631F"/>
    <w:rsid w:val="00312312"/>
    <w:rsid w:val="00313CC3"/>
    <w:rsid w:val="00321421"/>
    <w:rsid w:val="00324F16"/>
    <w:rsid w:val="00326F17"/>
    <w:rsid w:val="003302C3"/>
    <w:rsid w:val="00330FB5"/>
    <w:rsid w:val="00332F13"/>
    <w:rsid w:val="0033392F"/>
    <w:rsid w:val="003405A7"/>
    <w:rsid w:val="00340A81"/>
    <w:rsid w:val="00342923"/>
    <w:rsid w:val="003432BB"/>
    <w:rsid w:val="00343A22"/>
    <w:rsid w:val="003465EE"/>
    <w:rsid w:val="00355E94"/>
    <w:rsid w:val="0035797D"/>
    <w:rsid w:val="00361B17"/>
    <w:rsid w:val="003635E9"/>
    <w:rsid w:val="00365BFB"/>
    <w:rsid w:val="00366DE6"/>
    <w:rsid w:val="00373430"/>
    <w:rsid w:val="003773AD"/>
    <w:rsid w:val="00382724"/>
    <w:rsid w:val="00384D1F"/>
    <w:rsid w:val="0038553A"/>
    <w:rsid w:val="00387AEC"/>
    <w:rsid w:val="00390F48"/>
    <w:rsid w:val="003938D6"/>
    <w:rsid w:val="00395B86"/>
    <w:rsid w:val="0039606F"/>
    <w:rsid w:val="00396577"/>
    <w:rsid w:val="00396751"/>
    <w:rsid w:val="003A0A26"/>
    <w:rsid w:val="003A0BB2"/>
    <w:rsid w:val="003B554E"/>
    <w:rsid w:val="003C0C00"/>
    <w:rsid w:val="003C28F4"/>
    <w:rsid w:val="003C2CD7"/>
    <w:rsid w:val="004012CC"/>
    <w:rsid w:val="00404F81"/>
    <w:rsid w:val="004107D5"/>
    <w:rsid w:val="0041085F"/>
    <w:rsid w:val="00411D7A"/>
    <w:rsid w:val="0042216E"/>
    <w:rsid w:val="004338B5"/>
    <w:rsid w:val="00436B64"/>
    <w:rsid w:val="00440224"/>
    <w:rsid w:val="004408C6"/>
    <w:rsid w:val="00447816"/>
    <w:rsid w:val="00447F45"/>
    <w:rsid w:val="00452B47"/>
    <w:rsid w:val="00453F43"/>
    <w:rsid w:val="00454018"/>
    <w:rsid w:val="004603FC"/>
    <w:rsid w:val="00460A18"/>
    <w:rsid w:val="00461B7D"/>
    <w:rsid w:val="0046513E"/>
    <w:rsid w:val="00473E46"/>
    <w:rsid w:val="00477792"/>
    <w:rsid w:val="004808F8"/>
    <w:rsid w:val="00480A15"/>
    <w:rsid w:val="00484B91"/>
    <w:rsid w:val="004872F6"/>
    <w:rsid w:val="004925FB"/>
    <w:rsid w:val="00493E60"/>
    <w:rsid w:val="00497E52"/>
    <w:rsid w:val="004A079E"/>
    <w:rsid w:val="004A1907"/>
    <w:rsid w:val="004A1DCC"/>
    <w:rsid w:val="004A30AE"/>
    <w:rsid w:val="004A524C"/>
    <w:rsid w:val="004A61ED"/>
    <w:rsid w:val="004B06D2"/>
    <w:rsid w:val="004B11CA"/>
    <w:rsid w:val="004B1B33"/>
    <w:rsid w:val="004B3E61"/>
    <w:rsid w:val="004B6905"/>
    <w:rsid w:val="004C1A76"/>
    <w:rsid w:val="004C383F"/>
    <w:rsid w:val="004C3CFC"/>
    <w:rsid w:val="004D26DF"/>
    <w:rsid w:val="004D684D"/>
    <w:rsid w:val="004E0F65"/>
    <w:rsid w:val="004E11F1"/>
    <w:rsid w:val="004E57C1"/>
    <w:rsid w:val="004E73C2"/>
    <w:rsid w:val="004F1454"/>
    <w:rsid w:val="004F2734"/>
    <w:rsid w:val="004F3181"/>
    <w:rsid w:val="004F4B0E"/>
    <w:rsid w:val="004F575A"/>
    <w:rsid w:val="005009F8"/>
    <w:rsid w:val="0050321A"/>
    <w:rsid w:val="00504FC7"/>
    <w:rsid w:val="00506425"/>
    <w:rsid w:val="005109B6"/>
    <w:rsid w:val="00514252"/>
    <w:rsid w:val="00514406"/>
    <w:rsid w:val="005161EA"/>
    <w:rsid w:val="00516A1B"/>
    <w:rsid w:val="00517669"/>
    <w:rsid w:val="005215AC"/>
    <w:rsid w:val="0052641B"/>
    <w:rsid w:val="00530AF0"/>
    <w:rsid w:val="0053489A"/>
    <w:rsid w:val="00535E57"/>
    <w:rsid w:val="00535EF4"/>
    <w:rsid w:val="00536555"/>
    <w:rsid w:val="00537447"/>
    <w:rsid w:val="00545A0B"/>
    <w:rsid w:val="0055450C"/>
    <w:rsid w:val="00554C33"/>
    <w:rsid w:val="005559F6"/>
    <w:rsid w:val="00556912"/>
    <w:rsid w:val="0055704D"/>
    <w:rsid w:val="00562603"/>
    <w:rsid w:val="00562C18"/>
    <w:rsid w:val="00566480"/>
    <w:rsid w:val="00570F52"/>
    <w:rsid w:val="00570FE5"/>
    <w:rsid w:val="00572955"/>
    <w:rsid w:val="0057471F"/>
    <w:rsid w:val="00575242"/>
    <w:rsid w:val="00575F99"/>
    <w:rsid w:val="005772E4"/>
    <w:rsid w:val="00577C0A"/>
    <w:rsid w:val="00582B09"/>
    <w:rsid w:val="005904CF"/>
    <w:rsid w:val="005918EE"/>
    <w:rsid w:val="00594A55"/>
    <w:rsid w:val="005952AA"/>
    <w:rsid w:val="0059532F"/>
    <w:rsid w:val="00595BC6"/>
    <w:rsid w:val="005A269F"/>
    <w:rsid w:val="005A7DB9"/>
    <w:rsid w:val="005B25C2"/>
    <w:rsid w:val="005B3A0E"/>
    <w:rsid w:val="005B3C6D"/>
    <w:rsid w:val="005C0129"/>
    <w:rsid w:val="005C3257"/>
    <w:rsid w:val="005C51CF"/>
    <w:rsid w:val="005C6978"/>
    <w:rsid w:val="005D493D"/>
    <w:rsid w:val="005E394A"/>
    <w:rsid w:val="005E4C32"/>
    <w:rsid w:val="005E5E58"/>
    <w:rsid w:val="005E6B07"/>
    <w:rsid w:val="005E7827"/>
    <w:rsid w:val="005F2E84"/>
    <w:rsid w:val="005F3E34"/>
    <w:rsid w:val="006013E6"/>
    <w:rsid w:val="00602264"/>
    <w:rsid w:val="006036BD"/>
    <w:rsid w:val="0061006D"/>
    <w:rsid w:val="006100EC"/>
    <w:rsid w:val="00611B10"/>
    <w:rsid w:val="00614F1C"/>
    <w:rsid w:val="0062133A"/>
    <w:rsid w:val="00622A0B"/>
    <w:rsid w:val="00625033"/>
    <w:rsid w:val="00631F04"/>
    <w:rsid w:val="006329C1"/>
    <w:rsid w:val="006329F1"/>
    <w:rsid w:val="00633274"/>
    <w:rsid w:val="00633686"/>
    <w:rsid w:val="006358C3"/>
    <w:rsid w:val="00641A4D"/>
    <w:rsid w:val="00646C94"/>
    <w:rsid w:val="006504DE"/>
    <w:rsid w:val="006532BC"/>
    <w:rsid w:val="00655DC3"/>
    <w:rsid w:val="0065644F"/>
    <w:rsid w:val="006575B7"/>
    <w:rsid w:val="00657775"/>
    <w:rsid w:val="0066311E"/>
    <w:rsid w:val="00664C05"/>
    <w:rsid w:val="0067347A"/>
    <w:rsid w:val="00675996"/>
    <w:rsid w:val="0068254A"/>
    <w:rsid w:val="0068283A"/>
    <w:rsid w:val="0068701F"/>
    <w:rsid w:val="00691A38"/>
    <w:rsid w:val="00692F20"/>
    <w:rsid w:val="006A0336"/>
    <w:rsid w:val="006A3D8D"/>
    <w:rsid w:val="006B162C"/>
    <w:rsid w:val="006B41E0"/>
    <w:rsid w:val="006C62DA"/>
    <w:rsid w:val="006D1634"/>
    <w:rsid w:val="006E0A6C"/>
    <w:rsid w:val="006E7EB7"/>
    <w:rsid w:val="006F1144"/>
    <w:rsid w:val="007018D8"/>
    <w:rsid w:val="00702D52"/>
    <w:rsid w:val="007069B6"/>
    <w:rsid w:val="00724FC5"/>
    <w:rsid w:val="00725031"/>
    <w:rsid w:val="007255FD"/>
    <w:rsid w:val="007260C2"/>
    <w:rsid w:val="00734CA2"/>
    <w:rsid w:val="00735B03"/>
    <w:rsid w:val="00740165"/>
    <w:rsid w:val="0074094D"/>
    <w:rsid w:val="007444DB"/>
    <w:rsid w:val="00757A13"/>
    <w:rsid w:val="00765EDE"/>
    <w:rsid w:val="00770B32"/>
    <w:rsid w:val="00771489"/>
    <w:rsid w:val="00771D9D"/>
    <w:rsid w:val="00774EE2"/>
    <w:rsid w:val="007758CF"/>
    <w:rsid w:val="00776A7F"/>
    <w:rsid w:val="007818E9"/>
    <w:rsid w:val="00781C06"/>
    <w:rsid w:val="00781F70"/>
    <w:rsid w:val="00793AE1"/>
    <w:rsid w:val="007946FA"/>
    <w:rsid w:val="0079500F"/>
    <w:rsid w:val="00795237"/>
    <w:rsid w:val="007979EA"/>
    <w:rsid w:val="007A0C69"/>
    <w:rsid w:val="007A352E"/>
    <w:rsid w:val="007A482A"/>
    <w:rsid w:val="007A4ED8"/>
    <w:rsid w:val="007A60E8"/>
    <w:rsid w:val="007A66F8"/>
    <w:rsid w:val="007C1590"/>
    <w:rsid w:val="007C37C7"/>
    <w:rsid w:val="007C6F6F"/>
    <w:rsid w:val="007C782B"/>
    <w:rsid w:val="007E1904"/>
    <w:rsid w:val="007E408F"/>
    <w:rsid w:val="007E702C"/>
    <w:rsid w:val="007F0FA5"/>
    <w:rsid w:val="007F1CDE"/>
    <w:rsid w:val="007F1D28"/>
    <w:rsid w:val="007F6D49"/>
    <w:rsid w:val="00810E4F"/>
    <w:rsid w:val="00811A71"/>
    <w:rsid w:val="0081549A"/>
    <w:rsid w:val="008203E3"/>
    <w:rsid w:val="00820D0F"/>
    <w:rsid w:val="00821537"/>
    <w:rsid w:val="008250BB"/>
    <w:rsid w:val="00826C3F"/>
    <w:rsid w:val="00830147"/>
    <w:rsid w:val="008329A1"/>
    <w:rsid w:val="0083638E"/>
    <w:rsid w:val="0083640B"/>
    <w:rsid w:val="00837B57"/>
    <w:rsid w:val="0085149C"/>
    <w:rsid w:val="00851C87"/>
    <w:rsid w:val="00851CF6"/>
    <w:rsid w:val="008528F0"/>
    <w:rsid w:val="00856654"/>
    <w:rsid w:val="00856C2F"/>
    <w:rsid w:val="008579C8"/>
    <w:rsid w:val="00865674"/>
    <w:rsid w:val="008807A6"/>
    <w:rsid w:val="00882270"/>
    <w:rsid w:val="00882B32"/>
    <w:rsid w:val="00883D81"/>
    <w:rsid w:val="00885B9A"/>
    <w:rsid w:val="00891B5C"/>
    <w:rsid w:val="00896986"/>
    <w:rsid w:val="00896A38"/>
    <w:rsid w:val="008A0D90"/>
    <w:rsid w:val="008A700F"/>
    <w:rsid w:val="008B0B4D"/>
    <w:rsid w:val="008B1340"/>
    <w:rsid w:val="008B3437"/>
    <w:rsid w:val="008B7045"/>
    <w:rsid w:val="008B74D4"/>
    <w:rsid w:val="008C0287"/>
    <w:rsid w:val="008C1218"/>
    <w:rsid w:val="008C126E"/>
    <w:rsid w:val="008C563E"/>
    <w:rsid w:val="008C6C2D"/>
    <w:rsid w:val="008D2156"/>
    <w:rsid w:val="008D218A"/>
    <w:rsid w:val="008D248E"/>
    <w:rsid w:val="008D4CDF"/>
    <w:rsid w:val="008D4F52"/>
    <w:rsid w:val="008E0AAF"/>
    <w:rsid w:val="008E2BA5"/>
    <w:rsid w:val="008E529C"/>
    <w:rsid w:val="008E6063"/>
    <w:rsid w:val="008F21A6"/>
    <w:rsid w:val="008F5B73"/>
    <w:rsid w:val="00904FC9"/>
    <w:rsid w:val="00907337"/>
    <w:rsid w:val="00907679"/>
    <w:rsid w:val="009130EB"/>
    <w:rsid w:val="009166B9"/>
    <w:rsid w:val="00926A02"/>
    <w:rsid w:val="00926ADA"/>
    <w:rsid w:val="009273DD"/>
    <w:rsid w:val="009303C0"/>
    <w:rsid w:val="009306A3"/>
    <w:rsid w:val="009457AB"/>
    <w:rsid w:val="00945E01"/>
    <w:rsid w:val="00946903"/>
    <w:rsid w:val="009505F6"/>
    <w:rsid w:val="0095062C"/>
    <w:rsid w:val="00950A99"/>
    <w:rsid w:val="00952769"/>
    <w:rsid w:val="00952FDF"/>
    <w:rsid w:val="00953103"/>
    <w:rsid w:val="00957D98"/>
    <w:rsid w:val="00957DB2"/>
    <w:rsid w:val="0096162E"/>
    <w:rsid w:val="00962E76"/>
    <w:rsid w:val="00966565"/>
    <w:rsid w:val="0097286C"/>
    <w:rsid w:val="00981EEA"/>
    <w:rsid w:val="00982084"/>
    <w:rsid w:val="00982AAE"/>
    <w:rsid w:val="00987119"/>
    <w:rsid w:val="0099042F"/>
    <w:rsid w:val="0099086C"/>
    <w:rsid w:val="00991325"/>
    <w:rsid w:val="00992B51"/>
    <w:rsid w:val="00994E17"/>
    <w:rsid w:val="009950C0"/>
    <w:rsid w:val="00996234"/>
    <w:rsid w:val="009A153F"/>
    <w:rsid w:val="009A33F7"/>
    <w:rsid w:val="009A3CA4"/>
    <w:rsid w:val="009A50AD"/>
    <w:rsid w:val="009B0789"/>
    <w:rsid w:val="009B1122"/>
    <w:rsid w:val="009B3E61"/>
    <w:rsid w:val="009B7999"/>
    <w:rsid w:val="009C12F1"/>
    <w:rsid w:val="009D2203"/>
    <w:rsid w:val="009D27BA"/>
    <w:rsid w:val="009E26BD"/>
    <w:rsid w:val="009E3D9F"/>
    <w:rsid w:val="009E4A51"/>
    <w:rsid w:val="009E5843"/>
    <w:rsid w:val="009F129F"/>
    <w:rsid w:val="009F2BDC"/>
    <w:rsid w:val="009F4597"/>
    <w:rsid w:val="009F729B"/>
    <w:rsid w:val="00A00441"/>
    <w:rsid w:val="00A23976"/>
    <w:rsid w:val="00A24928"/>
    <w:rsid w:val="00A273E7"/>
    <w:rsid w:val="00A2780D"/>
    <w:rsid w:val="00A40583"/>
    <w:rsid w:val="00A40987"/>
    <w:rsid w:val="00A40E3D"/>
    <w:rsid w:val="00A45D9D"/>
    <w:rsid w:val="00A51B40"/>
    <w:rsid w:val="00A51C4E"/>
    <w:rsid w:val="00A54801"/>
    <w:rsid w:val="00A54905"/>
    <w:rsid w:val="00A56978"/>
    <w:rsid w:val="00A56B77"/>
    <w:rsid w:val="00A618CA"/>
    <w:rsid w:val="00A64D22"/>
    <w:rsid w:val="00A72BDC"/>
    <w:rsid w:val="00A759C3"/>
    <w:rsid w:val="00A8221D"/>
    <w:rsid w:val="00A8354E"/>
    <w:rsid w:val="00A84E49"/>
    <w:rsid w:val="00A90261"/>
    <w:rsid w:val="00A9179D"/>
    <w:rsid w:val="00A93C5E"/>
    <w:rsid w:val="00A96A72"/>
    <w:rsid w:val="00AA077C"/>
    <w:rsid w:val="00AA2B66"/>
    <w:rsid w:val="00AA37DC"/>
    <w:rsid w:val="00AA3E1F"/>
    <w:rsid w:val="00AA5A21"/>
    <w:rsid w:val="00AA6B56"/>
    <w:rsid w:val="00AA7E50"/>
    <w:rsid w:val="00AB1821"/>
    <w:rsid w:val="00AB1A46"/>
    <w:rsid w:val="00AB1ED9"/>
    <w:rsid w:val="00AB2516"/>
    <w:rsid w:val="00AB3804"/>
    <w:rsid w:val="00AB3C11"/>
    <w:rsid w:val="00AC23F3"/>
    <w:rsid w:val="00AC34F0"/>
    <w:rsid w:val="00AC6641"/>
    <w:rsid w:val="00AC69A9"/>
    <w:rsid w:val="00AD16D2"/>
    <w:rsid w:val="00AD5E6F"/>
    <w:rsid w:val="00AE18D6"/>
    <w:rsid w:val="00AE42D7"/>
    <w:rsid w:val="00AF1E11"/>
    <w:rsid w:val="00AF2F72"/>
    <w:rsid w:val="00AF6B5C"/>
    <w:rsid w:val="00AF707B"/>
    <w:rsid w:val="00B000D7"/>
    <w:rsid w:val="00B06DC6"/>
    <w:rsid w:val="00B07294"/>
    <w:rsid w:val="00B14525"/>
    <w:rsid w:val="00B3264F"/>
    <w:rsid w:val="00B3349E"/>
    <w:rsid w:val="00B350F8"/>
    <w:rsid w:val="00B370C4"/>
    <w:rsid w:val="00B370E1"/>
    <w:rsid w:val="00B3734D"/>
    <w:rsid w:val="00B438EA"/>
    <w:rsid w:val="00B476C0"/>
    <w:rsid w:val="00B4774F"/>
    <w:rsid w:val="00B51D96"/>
    <w:rsid w:val="00B57022"/>
    <w:rsid w:val="00B571FD"/>
    <w:rsid w:val="00B577B5"/>
    <w:rsid w:val="00B6058D"/>
    <w:rsid w:val="00B60EC1"/>
    <w:rsid w:val="00B64719"/>
    <w:rsid w:val="00B66571"/>
    <w:rsid w:val="00B71F8F"/>
    <w:rsid w:val="00B73B27"/>
    <w:rsid w:val="00B76500"/>
    <w:rsid w:val="00B767C7"/>
    <w:rsid w:val="00B77D7A"/>
    <w:rsid w:val="00B9342B"/>
    <w:rsid w:val="00B946DC"/>
    <w:rsid w:val="00B9590E"/>
    <w:rsid w:val="00B974ED"/>
    <w:rsid w:val="00BA4E3E"/>
    <w:rsid w:val="00BA5698"/>
    <w:rsid w:val="00BB1AA7"/>
    <w:rsid w:val="00BB4294"/>
    <w:rsid w:val="00BB4E3C"/>
    <w:rsid w:val="00BB65F3"/>
    <w:rsid w:val="00BC0764"/>
    <w:rsid w:val="00BC4887"/>
    <w:rsid w:val="00BC77A1"/>
    <w:rsid w:val="00BD04E3"/>
    <w:rsid w:val="00BD1450"/>
    <w:rsid w:val="00BD4823"/>
    <w:rsid w:val="00BD6EC8"/>
    <w:rsid w:val="00BD7433"/>
    <w:rsid w:val="00BE06B1"/>
    <w:rsid w:val="00BE0E22"/>
    <w:rsid w:val="00BE0FAA"/>
    <w:rsid w:val="00BE1DF3"/>
    <w:rsid w:val="00BE39A8"/>
    <w:rsid w:val="00BF2511"/>
    <w:rsid w:val="00BF2562"/>
    <w:rsid w:val="00BF668D"/>
    <w:rsid w:val="00C02420"/>
    <w:rsid w:val="00C035D5"/>
    <w:rsid w:val="00C03F0F"/>
    <w:rsid w:val="00C044A5"/>
    <w:rsid w:val="00C0550E"/>
    <w:rsid w:val="00C127DF"/>
    <w:rsid w:val="00C1581B"/>
    <w:rsid w:val="00C15963"/>
    <w:rsid w:val="00C1617D"/>
    <w:rsid w:val="00C207B8"/>
    <w:rsid w:val="00C26095"/>
    <w:rsid w:val="00C26AD3"/>
    <w:rsid w:val="00C26FBF"/>
    <w:rsid w:val="00C27EC7"/>
    <w:rsid w:val="00C30028"/>
    <w:rsid w:val="00C33CDE"/>
    <w:rsid w:val="00C35675"/>
    <w:rsid w:val="00C36947"/>
    <w:rsid w:val="00C438A6"/>
    <w:rsid w:val="00C44CE7"/>
    <w:rsid w:val="00C52D3B"/>
    <w:rsid w:val="00C61B68"/>
    <w:rsid w:val="00C64DEF"/>
    <w:rsid w:val="00C65D02"/>
    <w:rsid w:val="00C762E7"/>
    <w:rsid w:val="00C80151"/>
    <w:rsid w:val="00C808EB"/>
    <w:rsid w:val="00C823A5"/>
    <w:rsid w:val="00C83AC4"/>
    <w:rsid w:val="00C83AEE"/>
    <w:rsid w:val="00C97831"/>
    <w:rsid w:val="00CA5EDD"/>
    <w:rsid w:val="00CB1BCE"/>
    <w:rsid w:val="00CD0C88"/>
    <w:rsid w:val="00CD30C7"/>
    <w:rsid w:val="00CD70CC"/>
    <w:rsid w:val="00CE07C2"/>
    <w:rsid w:val="00CE0B77"/>
    <w:rsid w:val="00CF2129"/>
    <w:rsid w:val="00CF2380"/>
    <w:rsid w:val="00CF3A2A"/>
    <w:rsid w:val="00CF3FB2"/>
    <w:rsid w:val="00D00366"/>
    <w:rsid w:val="00D032DF"/>
    <w:rsid w:val="00D038CF"/>
    <w:rsid w:val="00D06026"/>
    <w:rsid w:val="00D117B8"/>
    <w:rsid w:val="00D14DD0"/>
    <w:rsid w:val="00D150ED"/>
    <w:rsid w:val="00D21BB1"/>
    <w:rsid w:val="00D22AB4"/>
    <w:rsid w:val="00D300F9"/>
    <w:rsid w:val="00D324DA"/>
    <w:rsid w:val="00D352E8"/>
    <w:rsid w:val="00D4587A"/>
    <w:rsid w:val="00D46D34"/>
    <w:rsid w:val="00D474D5"/>
    <w:rsid w:val="00D506FA"/>
    <w:rsid w:val="00D54605"/>
    <w:rsid w:val="00D551EE"/>
    <w:rsid w:val="00D56D10"/>
    <w:rsid w:val="00D6064D"/>
    <w:rsid w:val="00D64572"/>
    <w:rsid w:val="00D71A0D"/>
    <w:rsid w:val="00D7267A"/>
    <w:rsid w:val="00D7404A"/>
    <w:rsid w:val="00D76897"/>
    <w:rsid w:val="00D77CCB"/>
    <w:rsid w:val="00D82776"/>
    <w:rsid w:val="00D82972"/>
    <w:rsid w:val="00D84824"/>
    <w:rsid w:val="00D85B2F"/>
    <w:rsid w:val="00D907DD"/>
    <w:rsid w:val="00D90C9C"/>
    <w:rsid w:val="00D95AC2"/>
    <w:rsid w:val="00DC1537"/>
    <w:rsid w:val="00DC18EC"/>
    <w:rsid w:val="00DC48CD"/>
    <w:rsid w:val="00DC50DF"/>
    <w:rsid w:val="00DD1D83"/>
    <w:rsid w:val="00DD3269"/>
    <w:rsid w:val="00DD49FA"/>
    <w:rsid w:val="00DE0268"/>
    <w:rsid w:val="00DE3D7A"/>
    <w:rsid w:val="00DE6E1A"/>
    <w:rsid w:val="00DE74E9"/>
    <w:rsid w:val="00DE7509"/>
    <w:rsid w:val="00DE7798"/>
    <w:rsid w:val="00DE7C54"/>
    <w:rsid w:val="00DF176A"/>
    <w:rsid w:val="00DF2745"/>
    <w:rsid w:val="00DF395C"/>
    <w:rsid w:val="00E014EF"/>
    <w:rsid w:val="00E03D9F"/>
    <w:rsid w:val="00E07467"/>
    <w:rsid w:val="00E1565E"/>
    <w:rsid w:val="00E16B93"/>
    <w:rsid w:val="00E2132B"/>
    <w:rsid w:val="00E23997"/>
    <w:rsid w:val="00E26B9D"/>
    <w:rsid w:val="00E3415F"/>
    <w:rsid w:val="00E352F8"/>
    <w:rsid w:val="00E40C42"/>
    <w:rsid w:val="00E40DAB"/>
    <w:rsid w:val="00E419EE"/>
    <w:rsid w:val="00E440B8"/>
    <w:rsid w:val="00E47ACC"/>
    <w:rsid w:val="00E523B2"/>
    <w:rsid w:val="00E564BE"/>
    <w:rsid w:val="00E63D32"/>
    <w:rsid w:val="00E8554F"/>
    <w:rsid w:val="00E91708"/>
    <w:rsid w:val="00E97314"/>
    <w:rsid w:val="00EA254C"/>
    <w:rsid w:val="00EA6E88"/>
    <w:rsid w:val="00EB3A2B"/>
    <w:rsid w:val="00EC1189"/>
    <w:rsid w:val="00EC2B8B"/>
    <w:rsid w:val="00EC2E93"/>
    <w:rsid w:val="00EC77C4"/>
    <w:rsid w:val="00ED03DD"/>
    <w:rsid w:val="00ED0B8C"/>
    <w:rsid w:val="00ED178F"/>
    <w:rsid w:val="00ED5E77"/>
    <w:rsid w:val="00ED6D06"/>
    <w:rsid w:val="00EE1CB1"/>
    <w:rsid w:val="00EE4839"/>
    <w:rsid w:val="00EE626D"/>
    <w:rsid w:val="00EF50AC"/>
    <w:rsid w:val="00EF5613"/>
    <w:rsid w:val="00EF57D2"/>
    <w:rsid w:val="00EF7919"/>
    <w:rsid w:val="00F017EA"/>
    <w:rsid w:val="00F0406C"/>
    <w:rsid w:val="00F041B8"/>
    <w:rsid w:val="00F133F2"/>
    <w:rsid w:val="00F14640"/>
    <w:rsid w:val="00F157D5"/>
    <w:rsid w:val="00F17791"/>
    <w:rsid w:val="00F2045C"/>
    <w:rsid w:val="00F22A4F"/>
    <w:rsid w:val="00F24EF2"/>
    <w:rsid w:val="00F26784"/>
    <w:rsid w:val="00F300D3"/>
    <w:rsid w:val="00F3527D"/>
    <w:rsid w:val="00F37DDE"/>
    <w:rsid w:val="00F40D31"/>
    <w:rsid w:val="00F420C4"/>
    <w:rsid w:val="00F54AD0"/>
    <w:rsid w:val="00F63391"/>
    <w:rsid w:val="00F64ECE"/>
    <w:rsid w:val="00F66ED2"/>
    <w:rsid w:val="00F7459F"/>
    <w:rsid w:val="00F777F0"/>
    <w:rsid w:val="00F81BA5"/>
    <w:rsid w:val="00F8315A"/>
    <w:rsid w:val="00F8336F"/>
    <w:rsid w:val="00F87798"/>
    <w:rsid w:val="00F913BF"/>
    <w:rsid w:val="00FA34E3"/>
    <w:rsid w:val="00FA4A87"/>
    <w:rsid w:val="00FA4E2B"/>
    <w:rsid w:val="00FA56DB"/>
    <w:rsid w:val="00FA7614"/>
    <w:rsid w:val="00FB0A7D"/>
    <w:rsid w:val="00FB1376"/>
    <w:rsid w:val="00FB1FD5"/>
    <w:rsid w:val="00FB4316"/>
    <w:rsid w:val="00FC3874"/>
    <w:rsid w:val="00FC4C0A"/>
    <w:rsid w:val="00FC5975"/>
    <w:rsid w:val="00FD162D"/>
    <w:rsid w:val="00FE0EF1"/>
    <w:rsid w:val="00FE5613"/>
    <w:rsid w:val="00FE6EB1"/>
    <w:rsid w:val="00FE7812"/>
    <w:rsid w:val="00FF167F"/>
    <w:rsid w:val="00FF33ED"/>
    <w:rsid w:val="00FF3514"/>
    <w:rsid w:val="00FF610D"/>
    <w:rsid w:val="00FF6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4337"/>
    <o:shapelayout v:ext="edit">
      <o:idmap v:ext="edit" data="1"/>
    </o:shapelayout>
  </w:shapeDefaults>
  <w:decimalSymbol w:val="."/>
  <w:listSeparator w:val=","/>
  <w14:docId w14:val="6128A7D0"/>
  <w15:docId w15:val="{8A8AD746-5C86-443C-9FD2-040B1EF5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Sec.Head"/>
    <w:basedOn w:val="Normal"/>
    <w:next w:val="Normal"/>
    <w:link w:val="Heading1Char"/>
    <w:qFormat/>
    <w:rsid w:val="0038553A"/>
    <w:pPr>
      <w:keepNext/>
      <w:widowControl w:val="0"/>
      <w:autoSpaceDE w:val="0"/>
      <w:autoSpaceDN w:val="0"/>
      <w:adjustRightInd w:val="0"/>
      <w:spacing w:before="240" w:after="60"/>
      <w:outlineLvl w:val="0"/>
    </w:pPr>
    <w:rPr>
      <w:rFonts w:cs="Arial"/>
      <w:b/>
      <w:bCs/>
      <w:color w:val="000000"/>
      <w:kern w:val="32"/>
      <w:sz w:val="32"/>
      <w:szCs w:val="32"/>
      <w:lang w:eastAsia="ja-JP"/>
    </w:rPr>
  </w:style>
  <w:style w:type="paragraph" w:styleId="Heading2">
    <w:name w:val="heading 2"/>
    <w:aliases w:val="H2-Sec. Head"/>
    <w:basedOn w:val="Normal"/>
    <w:next w:val="Normal"/>
    <w:link w:val="Heading2Char"/>
    <w:qFormat/>
    <w:rsid w:val="0038553A"/>
    <w:pPr>
      <w:keepNext/>
      <w:widowControl w:val="0"/>
      <w:autoSpaceDE w:val="0"/>
      <w:autoSpaceDN w:val="0"/>
      <w:adjustRightInd w:val="0"/>
      <w:spacing w:before="240" w:after="60"/>
      <w:outlineLvl w:val="1"/>
    </w:pPr>
    <w:rPr>
      <w:rFonts w:cs="Arial"/>
      <w:b/>
      <w:color w:val="000000"/>
      <w:sz w:val="28"/>
      <w:szCs w:val="28"/>
      <w:lang w:eastAsia="ja-JP"/>
    </w:rPr>
  </w:style>
  <w:style w:type="paragraph" w:styleId="Heading3">
    <w:name w:val="heading 3"/>
    <w:aliases w:val="H3-Sec. Head + 13 pt,H3-Sec. Head"/>
    <w:basedOn w:val="Normal"/>
    <w:next w:val="Normal"/>
    <w:link w:val="Heading3Char"/>
    <w:qFormat/>
    <w:rsid w:val="0038553A"/>
    <w:pPr>
      <w:keepNext/>
      <w:spacing w:before="240" w:after="60"/>
      <w:outlineLvl w:val="2"/>
    </w:pPr>
    <w:rPr>
      <w:rFonts w:cs="Arial"/>
      <w:b/>
      <w:color w:val="000000"/>
      <w:sz w:val="26"/>
      <w:szCs w:val="26"/>
      <w:u w:val="single"/>
      <w:lang w:eastAsia="ja-JP"/>
    </w:rPr>
  </w:style>
  <w:style w:type="paragraph" w:styleId="Heading4">
    <w:name w:val="heading 4"/>
    <w:aliases w:val="H4 Sec.Heading"/>
    <w:basedOn w:val="Normal"/>
    <w:next w:val="Normal"/>
    <w:link w:val="Heading4Char"/>
    <w:qFormat/>
    <w:rsid w:val="0038553A"/>
    <w:pPr>
      <w:keepNext/>
      <w:widowControl w:val="0"/>
      <w:autoSpaceDE w:val="0"/>
      <w:autoSpaceDN w:val="0"/>
      <w:adjustRightInd w:val="0"/>
      <w:spacing w:before="240" w:after="60"/>
      <w:outlineLvl w:val="3"/>
    </w:pPr>
    <w:rPr>
      <w:i/>
      <w:color w:val="000000"/>
      <w:szCs w:val="28"/>
      <w:lang w:eastAsia="ja-JP"/>
    </w:rPr>
  </w:style>
  <w:style w:type="paragraph" w:styleId="Heading5">
    <w:name w:val="heading 5"/>
    <w:basedOn w:val="Normal"/>
    <w:next w:val="Normal"/>
    <w:link w:val="Heading5Char"/>
    <w:qFormat/>
    <w:rsid w:val="0038553A"/>
    <w:pPr>
      <w:widowControl w:val="0"/>
      <w:autoSpaceDE w:val="0"/>
      <w:autoSpaceDN w:val="0"/>
      <w:adjustRightInd w:val="0"/>
      <w:spacing w:before="240" w:after="60"/>
      <w:outlineLvl w:val="4"/>
    </w:pPr>
    <w:rPr>
      <w:color w:val="000000"/>
      <w:sz w:val="26"/>
      <w:szCs w:val="26"/>
      <w:lang w:eastAsia="ja-JP"/>
    </w:rPr>
  </w:style>
  <w:style w:type="paragraph" w:styleId="Heading6">
    <w:name w:val="heading 6"/>
    <w:basedOn w:val="Normal"/>
    <w:next w:val="Normal"/>
    <w:link w:val="Heading6Char"/>
    <w:qFormat/>
    <w:rsid w:val="0038553A"/>
    <w:pPr>
      <w:widowControl w:val="0"/>
      <w:autoSpaceDE w:val="0"/>
      <w:autoSpaceDN w:val="0"/>
      <w:adjustRightInd w:val="0"/>
      <w:spacing w:before="240" w:after="60"/>
      <w:outlineLvl w:val="5"/>
    </w:pPr>
    <w:rPr>
      <w:color w:val="000000"/>
      <w:sz w:val="22"/>
      <w:szCs w:val="22"/>
      <w:lang w:eastAsia="ja-JP"/>
    </w:rPr>
  </w:style>
  <w:style w:type="paragraph" w:styleId="Heading7">
    <w:name w:val="heading 7"/>
    <w:basedOn w:val="Normal"/>
    <w:next w:val="Normal"/>
    <w:link w:val="Heading7Char"/>
    <w:qFormat/>
    <w:rsid w:val="0038553A"/>
    <w:pPr>
      <w:widowControl w:val="0"/>
      <w:autoSpaceDE w:val="0"/>
      <w:autoSpaceDN w:val="0"/>
      <w:adjustRightInd w:val="0"/>
      <w:spacing w:before="240" w:after="60"/>
      <w:outlineLvl w:val="6"/>
    </w:pPr>
    <w:rPr>
      <w:color w:val="000000"/>
      <w:lang w:eastAsia="ja-JP"/>
    </w:rPr>
  </w:style>
  <w:style w:type="paragraph" w:styleId="Heading8">
    <w:name w:val="heading 8"/>
    <w:basedOn w:val="Normal"/>
    <w:next w:val="Normal"/>
    <w:qFormat/>
    <w:rsid w:val="0038553A"/>
    <w:pPr>
      <w:widowControl w:val="0"/>
      <w:autoSpaceDE w:val="0"/>
      <w:autoSpaceDN w:val="0"/>
      <w:adjustRightInd w:val="0"/>
      <w:spacing w:before="240" w:after="60"/>
      <w:outlineLvl w:val="7"/>
    </w:pPr>
    <w:rPr>
      <w:i/>
      <w:iCs/>
      <w:color w:val="000000"/>
      <w:lang w:eastAsia="ja-JP"/>
    </w:rPr>
  </w:style>
  <w:style w:type="paragraph" w:styleId="Heading9">
    <w:name w:val="heading 9"/>
    <w:basedOn w:val="Normal"/>
    <w:next w:val="Normal"/>
    <w:qFormat/>
    <w:rsid w:val="0038553A"/>
    <w:pPr>
      <w:widowControl w:val="0"/>
      <w:autoSpaceDE w:val="0"/>
      <w:autoSpaceDN w:val="0"/>
      <w:adjustRightInd w:val="0"/>
      <w:spacing w:before="240" w:after="60"/>
      <w:outlineLvl w:val="8"/>
    </w:pPr>
    <w:rPr>
      <w:rFonts w:ascii="Arial" w:hAnsi="Arial" w:cs="Arial"/>
      <w:color w:val="00000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38553A"/>
    <w:rPr>
      <w:rFonts w:cs="Arial"/>
      <w:b/>
      <w:bCs/>
      <w:color w:val="000000"/>
      <w:kern w:val="32"/>
      <w:sz w:val="32"/>
      <w:szCs w:val="32"/>
      <w:lang w:val="en-US" w:eastAsia="ja-JP" w:bidi="ar-SA"/>
    </w:rPr>
  </w:style>
  <w:style w:type="character" w:customStyle="1" w:styleId="Heading2Char">
    <w:name w:val="Heading 2 Char"/>
    <w:aliases w:val="H2-Sec. Head Char"/>
    <w:link w:val="Heading2"/>
    <w:rsid w:val="0038553A"/>
    <w:rPr>
      <w:rFonts w:cs="Arial"/>
      <w:b/>
      <w:color w:val="000000"/>
      <w:sz w:val="28"/>
      <w:szCs w:val="28"/>
      <w:lang w:val="en-US" w:eastAsia="ja-JP" w:bidi="ar-SA"/>
    </w:rPr>
  </w:style>
  <w:style w:type="character" w:customStyle="1" w:styleId="Heading3Char">
    <w:name w:val="Heading 3 Char"/>
    <w:aliases w:val="H3-Sec. Head + 13 pt Char,H3-Sec. Head Char"/>
    <w:link w:val="Heading3"/>
    <w:rsid w:val="0038553A"/>
    <w:rPr>
      <w:rFonts w:cs="Arial"/>
      <w:b/>
      <w:color w:val="000000"/>
      <w:sz w:val="26"/>
      <w:szCs w:val="26"/>
      <w:u w:val="single"/>
      <w:lang w:val="en-US" w:eastAsia="ja-JP" w:bidi="ar-SA"/>
    </w:rPr>
  </w:style>
  <w:style w:type="character" w:customStyle="1" w:styleId="Heading4Char">
    <w:name w:val="Heading 4 Char"/>
    <w:aliases w:val="H4 Sec.Heading Char"/>
    <w:link w:val="Heading4"/>
    <w:rsid w:val="0038553A"/>
    <w:rPr>
      <w:i/>
      <w:color w:val="000000"/>
      <w:sz w:val="24"/>
      <w:szCs w:val="28"/>
      <w:lang w:val="en-US" w:eastAsia="ja-JP" w:bidi="ar-SA"/>
    </w:rPr>
  </w:style>
  <w:style w:type="character" w:customStyle="1" w:styleId="Heading5Char">
    <w:name w:val="Heading 5 Char"/>
    <w:link w:val="Heading5"/>
    <w:rsid w:val="0038553A"/>
    <w:rPr>
      <w:color w:val="000000"/>
      <w:sz w:val="26"/>
      <w:szCs w:val="26"/>
      <w:lang w:val="en-US" w:eastAsia="ja-JP" w:bidi="ar-SA"/>
    </w:rPr>
  </w:style>
  <w:style w:type="character" w:customStyle="1" w:styleId="Heading6Char">
    <w:name w:val="Heading 6 Char"/>
    <w:link w:val="Heading6"/>
    <w:rsid w:val="0038553A"/>
    <w:rPr>
      <w:color w:val="000000"/>
      <w:sz w:val="22"/>
      <w:szCs w:val="22"/>
      <w:lang w:val="en-US" w:eastAsia="ja-JP" w:bidi="ar-SA"/>
    </w:rPr>
  </w:style>
  <w:style w:type="character" w:customStyle="1" w:styleId="Heading7Char">
    <w:name w:val="Heading 7 Char"/>
    <w:link w:val="Heading7"/>
    <w:rsid w:val="0038553A"/>
    <w:rPr>
      <w:color w:val="000000"/>
      <w:sz w:val="24"/>
      <w:szCs w:val="24"/>
      <w:lang w:val="en-US" w:eastAsia="ja-JP" w:bidi="ar-SA"/>
    </w:rPr>
  </w:style>
  <w:style w:type="character" w:styleId="FootnoteReference">
    <w:name w:val="footnote reference"/>
    <w:semiHidden/>
    <w:rsid w:val="0038553A"/>
  </w:style>
  <w:style w:type="paragraph" w:customStyle="1" w:styleId="Level1">
    <w:name w:val="Level 1"/>
    <w:basedOn w:val="Normal"/>
    <w:rsid w:val="0038553A"/>
    <w:pPr>
      <w:widowControl w:val="0"/>
      <w:autoSpaceDE w:val="0"/>
      <w:autoSpaceDN w:val="0"/>
      <w:adjustRightInd w:val="0"/>
      <w:ind w:left="360" w:hanging="360"/>
      <w:outlineLvl w:val="0"/>
    </w:pPr>
    <w:rPr>
      <w:color w:val="000000"/>
      <w:lang w:eastAsia="ja-JP"/>
    </w:rPr>
  </w:style>
  <w:style w:type="paragraph" w:customStyle="1" w:styleId="QuickA">
    <w:name w:val="Quick A."/>
    <w:basedOn w:val="Normal"/>
    <w:uiPriority w:val="99"/>
    <w:rsid w:val="0038553A"/>
    <w:pPr>
      <w:widowControl w:val="0"/>
      <w:autoSpaceDE w:val="0"/>
      <w:autoSpaceDN w:val="0"/>
      <w:adjustRightInd w:val="0"/>
      <w:ind w:left="1080" w:hanging="360"/>
      <w:outlineLvl w:val="0"/>
    </w:pPr>
    <w:rPr>
      <w:color w:val="000000"/>
      <w:lang w:eastAsia="ja-JP"/>
    </w:rPr>
  </w:style>
  <w:style w:type="paragraph" w:customStyle="1" w:styleId="Level2">
    <w:name w:val="Level 2"/>
    <w:basedOn w:val="Normal"/>
    <w:rsid w:val="0038553A"/>
    <w:pPr>
      <w:widowControl w:val="0"/>
      <w:autoSpaceDE w:val="0"/>
      <w:autoSpaceDN w:val="0"/>
      <w:adjustRightInd w:val="0"/>
      <w:ind w:left="720" w:hanging="360"/>
      <w:outlineLvl w:val="1"/>
    </w:pPr>
    <w:rPr>
      <w:color w:val="000000"/>
      <w:lang w:eastAsia="ja-JP"/>
    </w:rPr>
  </w:style>
  <w:style w:type="character" w:styleId="Strong">
    <w:name w:val="Strong"/>
    <w:qFormat/>
    <w:rsid w:val="0038553A"/>
    <w:rPr>
      <w:b/>
      <w:bCs/>
    </w:rPr>
  </w:style>
  <w:style w:type="paragraph" w:styleId="Footer">
    <w:name w:val="footer"/>
    <w:basedOn w:val="Normal"/>
    <w:rsid w:val="0038553A"/>
    <w:pPr>
      <w:tabs>
        <w:tab w:val="center" w:pos="4320"/>
        <w:tab w:val="right" w:pos="8640"/>
      </w:tabs>
      <w:outlineLvl w:val="0"/>
    </w:pPr>
    <w:rPr>
      <w:color w:val="000000"/>
      <w:sz w:val="20"/>
      <w:szCs w:val="20"/>
      <w:lang w:eastAsia="ja-JP"/>
    </w:rPr>
  </w:style>
  <w:style w:type="character" w:styleId="PageNumber">
    <w:name w:val="page number"/>
    <w:basedOn w:val="DefaultParagraphFont"/>
    <w:rsid w:val="0038553A"/>
  </w:style>
  <w:style w:type="paragraph" w:styleId="TOC1">
    <w:name w:val="toc 1"/>
    <w:basedOn w:val="Normal"/>
    <w:next w:val="Normal"/>
    <w:autoRedefine/>
    <w:uiPriority w:val="39"/>
    <w:rsid w:val="0038553A"/>
    <w:pPr>
      <w:widowControl w:val="0"/>
      <w:autoSpaceDE w:val="0"/>
      <w:autoSpaceDN w:val="0"/>
      <w:adjustRightInd w:val="0"/>
      <w:outlineLvl w:val="0"/>
    </w:pPr>
    <w:rPr>
      <w:color w:val="000000"/>
      <w:lang w:eastAsia="ja-JP"/>
    </w:rPr>
  </w:style>
  <w:style w:type="table" w:styleId="TableGrid">
    <w:name w:val="Table Grid"/>
    <w:basedOn w:val="TableNormal"/>
    <w:uiPriority w:val="59"/>
    <w:rsid w:val="00385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8553A"/>
    <w:rPr>
      <w:color w:val="983738"/>
      <w:u w:val="single"/>
    </w:rPr>
  </w:style>
  <w:style w:type="paragraph" w:styleId="BalloonText">
    <w:name w:val="Balloon Text"/>
    <w:basedOn w:val="Normal"/>
    <w:link w:val="BalloonTextChar"/>
    <w:semiHidden/>
    <w:rsid w:val="0038553A"/>
    <w:pPr>
      <w:widowControl w:val="0"/>
      <w:autoSpaceDE w:val="0"/>
      <w:autoSpaceDN w:val="0"/>
      <w:adjustRightInd w:val="0"/>
      <w:outlineLvl w:val="0"/>
    </w:pPr>
    <w:rPr>
      <w:rFonts w:ascii="Tahoma" w:hAnsi="Tahoma" w:cs="Tahoma"/>
      <w:color w:val="000000"/>
      <w:sz w:val="16"/>
      <w:szCs w:val="16"/>
      <w:lang w:eastAsia="ja-JP"/>
    </w:rPr>
  </w:style>
  <w:style w:type="character" w:customStyle="1" w:styleId="BalloonTextChar">
    <w:name w:val="Balloon Text Char"/>
    <w:link w:val="BalloonText"/>
    <w:rsid w:val="0038553A"/>
    <w:rPr>
      <w:rFonts w:ascii="Tahoma" w:hAnsi="Tahoma" w:cs="Tahoma"/>
      <w:color w:val="000000"/>
      <w:sz w:val="16"/>
      <w:szCs w:val="16"/>
      <w:lang w:val="en-US" w:eastAsia="ja-JP" w:bidi="ar-SA"/>
    </w:rPr>
  </w:style>
  <w:style w:type="character" w:styleId="CommentReference">
    <w:name w:val="annotation reference"/>
    <w:semiHidden/>
    <w:rsid w:val="0038553A"/>
    <w:rPr>
      <w:sz w:val="16"/>
      <w:szCs w:val="16"/>
    </w:rPr>
  </w:style>
  <w:style w:type="paragraph" w:styleId="CommentText">
    <w:name w:val="annotation text"/>
    <w:basedOn w:val="Normal"/>
    <w:link w:val="CommentTextChar1"/>
    <w:semiHidden/>
    <w:rsid w:val="0038553A"/>
    <w:pPr>
      <w:widowControl w:val="0"/>
      <w:autoSpaceDE w:val="0"/>
      <w:autoSpaceDN w:val="0"/>
      <w:adjustRightInd w:val="0"/>
      <w:outlineLvl w:val="0"/>
    </w:pPr>
    <w:rPr>
      <w:color w:val="000000"/>
      <w:sz w:val="20"/>
      <w:szCs w:val="20"/>
      <w:lang w:eastAsia="ja-JP"/>
    </w:rPr>
  </w:style>
  <w:style w:type="character" w:customStyle="1" w:styleId="CommentTextChar1">
    <w:name w:val="Comment Text Char1"/>
    <w:link w:val="CommentText"/>
    <w:rsid w:val="0038553A"/>
    <w:rPr>
      <w:color w:val="000000"/>
      <w:lang w:val="en-US" w:eastAsia="ja-JP" w:bidi="ar-SA"/>
    </w:rPr>
  </w:style>
  <w:style w:type="paragraph" w:styleId="FootnoteText">
    <w:name w:val="footnote text"/>
    <w:aliases w:val="F1"/>
    <w:basedOn w:val="Normal"/>
    <w:link w:val="FootnoteTextChar"/>
    <w:semiHidden/>
    <w:rsid w:val="0038553A"/>
    <w:pPr>
      <w:framePr w:hSpace="187" w:wrap="around" w:vAnchor="text" w:hAnchor="text" w:y="1"/>
      <w:spacing w:after="100" w:line="220" w:lineRule="exact"/>
      <w:ind w:left="86" w:hanging="86"/>
      <w:outlineLvl w:val="0"/>
    </w:pPr>
    <w:rPr>
      <w:color w:val="000000"/>
      <w:sz w:val="20"/>
      <w:szCs w:val="20"/>
      <w:lang w:eastAsia="ja-JP"/>
    </w:rPr>
  </w:style>
  <w:style w:type="character" w:customStyle="1" w:styleId="FootnoteTextChar">
    <w:name w:val="Footnote Text Char"/>
    <w:aliases w:val="F1 Char"/>
    <w:link w:val="FootnoteText"/>
    <w:semiHidden/>
    <w:rsid w:val="00F64ECE"/>
    <w:rPr>
      <w:color w:val="000000"/>
      <w:lang w:val="en-US" w:eastAsia="ja-JP" w:bidi="ar-SA"/>
    </w:rPr>
  </w:style>
  <w:style w:type="character" w:styleId="FollowedHyperlink">
    <w:name w:val="FollowedHyperlink"/>
    <w:rsid w:val="0038553A"/>
    <w:rPr>
      <w:color w:val="703637"/>
      <w:u w:val="single"/>
    </w:rPr>
  </w:style>
  <w:style w:type="paragraph" w:customStyle="1" w:styleId="AppHeading1">
    <w:name w:val="App Heading 1"/>
    <w:basedOn w:val="Heading1"/>
    <w:rsid w:val="0038553A"/>
    <w:pPr>
      <w:widowControl/>
      <w:numPr>
        <w:numId w:val="5"/>
      </w:numPr>
      <w:tabs>
        <w:tab w:val="clear" w:pos="1152"/>
      </w:tabs>
      <w:autoSpaceDE/>
      <w:autoSpaceDN/>
      <w:adjustRightInd/>
      <w:spacing w:after="240"/>
      <w:ind w:left="0" w:firstLine="0"/>
      <w:jc w:val="center"/>
    </w:pPr>
    <w:rPr>
      <w:rFonts w:ascii="Verdana" w:eastAsia="MS Mincho" w:hAnsi="Verdana" w:cs="Times New Roman"/>
      <w:color w:val="auto"/>
      <w:kern w:val="28"/>
      <w:sz w:val="26"/>
      <w:szCs w:val="28"/>
      <w:lang w:eastAsia="en-US"/>
    </w:rPr>
  </w:style>
  <w:style w:type="paragraph" w:customStyle="1" w:styleId="TableTitle">
    <w:name w:val="Table Title"/>
    <w:basedOn w:val="Normal"/>
    <w:rsid w:val="0038553A"/>
    <w:pPr>
      <w:keepNext/>
      <w:keepLines/>
      <w:spacing w:before="320" w:after="120"/>
      <w:ind w:left="1440" w:hanging="1440"/>
    </w:pPr>
    <w:rPr>
      <w:rFonts w:ascii="Verdana" w:eastAsia="MS Mincho" w:hAnsi="Verdana"/>
      <w:b/>
      <w:sz w:val="20"/>
      <w:szCs w:val="20"/>
    </w:rPr>
  </w:style>
  <w:style w:type="paragraph" w:styleId="HTMLPreformatted">
    <w:name w:val="HTML Preformatted"/>
    <w:basedOn w:val="Normal"/>
    <w:rsid w:val="0038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38553A"/>
    <w:pPr>
      <w:spacing w:before="100" w:beforeAutospacing="1" w:after="100" w:afterAutospacing="1"/>
    </w:pPr>
    <w:rPr>
      <w:rFonts w:ascii="Arial" w:hAnsi="Arial" w:cs="Arial"/>
    </w:rPr>
  </w:style>
  <w:style w:type="paragraph" w:styleId="CommentSubject">
    <w:name w:val="annotation subject"/>
    <w:basedOn w:val="CommentText"/>
    <w:next w:val="CommentText"/>
    <w:link w:val="CommentSubjectChar"/>
    <w:semiHidden/>
    <w:rsid w:val="0038553A"/>
    <w:pPr>
      <w:widowControl/>
      <w:autoSpaceDE/>
      <w:autoSpaceDN/>
      <w:adjustRightInd/>
      <w:outlineLvl w:val="9"/>
    </w:pPr>
    <w:rPr>
      <w:b/>
      <w:bCs/>
      <w:color w:val="auto"/>
      <w:lang w:eastAsia="en-US"/>
    </w:rPr>
  </w:style>
  <w:style w:type="character" w:customStyle="1" w:styleId="CommentSubjectChar">
    <w:name w:val="Comment Subject Char"/>
    <w:link w:val="CommentSubject"/>
    <w:rsid w:val="0038553A"/>
    <w:rPr>
      <w:b/>
      <w:bCs/>
      <w:color w:val="000000"/>
      <w:lang w:val="en-US" w:eastAsia="en-US" w:bidi="ar-SA"/>
    </w:rPr>
  </w:style>
  <w:style w:type="paragraph" w:styleId="BodyText">
    <w:name w:val="Body Text"/>
    <w:basedOn w:val="Normal"/>
    <w:rsid w:val="0038553A"/>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Pr>
      <w:sz w:val="23"/>
      <w:szCs w:val="20"/>
    </w:rPr>
  </w:style>
  <w:style w:type="paragraph" w:customStyle="1" w:styleId="L1-FlLSp12">
    <w:name w:val="L1-FlL Sp&amp;1/2"/>
    <w:basedOn w:val="Normal"/>
    <w:rsid w:val="0038553A"/>
    <w:pPr>
      <w:tabs>
        <w:tab w:val="left" w:pos="1152"/>
      </w:tabs>
      <w:spacing w:line="360" w:lineRule="atLeast"/>
    </w:pPr>
    <w:rPr>
      <w:rFonts w:ascii="Garamond" w:hAnsi="Garamond"/>
      <w:szCs w:val="20"/>
    </w:rPr>
  </w:style>
  <w:style w:type="paragraph" w:customStyle="1" w:styleId="N1-1stBullet">
    <w:name w:val="N1-1st Bullet"/>
    <w:basedOn w:val="Normal"/>
    <w:rsid w:val="0038553A"/>
    <w:pPr>
      <w:tabs>
        <w:tab w:val="num" w:pos="1152"/>
      </w:tabs>
      <w:spacing w:after="240" w:line="240" w:lineRule="atLeast"/>
      <w:ind w:left="1152" w:hanging="576"/>
    </w:pPr>
    <w:rPr>
      <w:rFonts w:ascii="Garamond" w:hAnsi="Garamond"/>
      <w:szCs w:val="20"/>
    </w:rPr>
  </w:style>
  <w:style w:type="paragraph" w:styleId="EndnoteText">
    <w:name w:val="endnote text"/>
    <w:basedOn w:val="Normal"/>
    <w:rsid w:val="0038553A"/>
    <w:rPr>
      <w:rFonts w:ascii="Arial" w:hAnsi="Arial"/>
      <w:sz w:val="20"/>
      <w:szCs w:val="20"/>
    </w:rPr>
  </w:style>
  <w:style w:type="character" w:styleId="EndnoteReference">
    <w:name w:val="endnote reference"/>
    <w:rsid w:val="0038553A"/>
    <w:rPr>
      <w:vertAlign w:val="superscript"/>
    </w:rPr>
  </w:style>
  <w:style w:type="paragraph" w:styleId="Header">
    <w:name w:val="header"/>
    <w:basedOn w:val="Normal"/>
    <w:rsid w:val="0038553A"/>
    <w:pPr>
      <w:tabs>
        <w:tab w:val="center" w:pos="4320"/>
        <w:tab w:val="right" w:pos="8640"/>
      </w:tabs>
      <w:autoSpaceDE w:val="0"/>
      <w:autoSpaceDN w:val="0"/>
      <w:adjustRightInd w:val="0"/>
    </w:pPr>
    <w:rPr>
      <w:rFonts w:ascii="Arial" w:hAnsi="Arial"/>
      <w:sz w:val="20"/>
      <w:szCs w:val="20"/>
    </w:rPr>
  </w:style>
  <w:style w:type="paragraph" w:styleId="Closing">
    <w:name w:val="Closing"/>
    <w:basedOn w:val="Normal"/>
    <w:link w:val="ClosingChar"/>
    <w:rsid w:val="0038553A"/>
  </w:style>
  <w:style w:type="character" w:customStyle="1" w:styleId="ClosingChar">
    <w:name w:val="Closing Char"/>
    <w:link w:val="Closing"/>
    <w:rsid w:val="0038553A"/>
    <w:rPr>
      <w:sz w:val="24"/>
      <w:szCs w:val="24"/>
      <w:lang w:val="en-US" w:eastAsia="en-US" w:bidi="ar-SA"/>
    </w:rPr>
  </w:style>
  <w:style w:type="paragraph" w:styleId="Signature">
    <w:name w:val="Signature"/>
    <w:basedOn w:val="Normal"/>
    <w:link w:val="SignatureChar"/>
    <w:rsid w:val="0038553A"/>
  </w:style>
  <w:style w:type="character" w:customStyle="1" w:styleId="SignatureChar">
    <w:name w:val="Signature Char"/>
    <w:link w:val="Signature"/>
    <w:rsid w:val="0038553A"/>
    <w:rPr>
      <w:sz w:val="24"/>
      <w:szCs w:val="24"/>
      <w:lang w:val="en-US" w:eastAsia="en-US" w:bidi="ar-SA"/>
    </w:rPr>
  </w:style>
  <w:style w:type="paragraph" w:customStyle="1" w:styleId="SL-FlLftSgl">
    <w:name w:val="SL-Fl Lft Sgl"/>
    <w:rsid w:val="0038553A"/>
    <w:pPr>
      <w:spacing w:line="240" w:lineRule="atLeast"/>
      <w:jc w:val="both"/>
    </w:pPr>
    <w:rPr>
      <w:sz w:val="22"/>
    </w:rPr>
  </w:style>
  <w:style w:type="paragraph" w:customStyle="1" w:styleId="SL-FlLftSglCharChar">
    <w:name w:val="SL-Fl Lft Sgl Char Char"/>
    <w:link w:val="SL-FlLftSglCharCharChar"/>
    <w:rsid w:val="0038553A"/>
    <w:pPr>
      <w:spacing w:line="240" w:lineRule="atLeast"/>
      <w:jc w:val="both"/>
    </w:pPr>
    <w:rPr>
      <w:rFonts w:ascii="Arial" w:hAnsi="Arial"/>
      <w:sz w:val="24"/>
      <w:szCs w:val="24"/>
    </w:rPr>
  </w:style>
  <w:style w:type="character" w:customStyle="1" w:styleId="SL-FlLftSglCharCharChar">
    <w:name w:val="SL-Fl Lft Sgl Char Char Char"/>
    <w:link w:val="SL-FlLftSglCharChar"/>
    <w:rsid w:val="0038553A"/>
    <w:rPr>
      <w:rFonts w:ascii="Arial" w:hAnsi="Arial"/>
      <w:sz w:val="24"/>
      <w:szCs w:val="24"/>
      <w:lang w:val="en-US" w:eastAsia="en-US" w:bidi="ar-SA"/>
    </w:rPr>
  </w:style>
  <w:style w:type="paragraph" w:customStyle="1" w:styleId="SL-FlLftSglCharCharCharCharChar">
    <w:name w:val="SL-Fl Lft Sgl Char Char Char Char Char"/>
    <w:link w:val="SL-FlLftSglCharCharCharCharCharChar"/>
    <w:rsid w:val="0038553A"/>
    <w:pPr>
      <w:spacing w:line="240" w:lineRule="atLeast"/>
      <w:jc w:val="both"/>
    </w:pPr>
    <w:rPr>
      <w:rFonts w:ascii="Arial" w:hAnsi="Arial"/>
      <w:sz w:val="24"/>
      <w:szCs w:val="24"/>
    </w:rPr>
  </w:style>
  <w:style w:type="character" w:customStyle="1" w:styleId="SL-FlLftSglCharCharCharCharCharChar">
    <w:name w:val="SL-Fl Lft Sgl Char Char Char Char Char Char"/>
    <w:link w:val="SL-FlLftSglCharCharCharCharChar"/>
    <w:rsid w:val="0038553A"/>
    <w:rPr>
      <w:rFonts w:ascii="Arial" w:hAnsi="Arial"/>
      <w:sz w:val="24"/>
      <w:szCs w:val="24"/>
      <w:lang w:val="en-US" w:eastAsia="en-US" w:bidi="ar-SA"/>
    </w:rPr>
  </w:style>
  <w:style w:type="paragraph" w:customStyle="1" w:styleId="R0-FLLftSglBoldItalic">
    <w:name w:val="R0-FL Lft Sgl Bold Italic"/>
    <w:basedOn w:val="Heading1"/>
    <w:rsid w:val="0038553A"/>
    <w:pPr>
      <w:widowControl/>
      <w:tabs>
        <w:tab w:val="left" w:pos="1152"/>
      </w:tabs>
      <w:autoSpaceDE/>
      <w:autoSpaceDN/>
      <w:adjustRightInd/>
      <w:spacing w:before="0" w:after="0" w:line="240" w:lineRule="atLeast"/>
    </w:pPr>
    <w:rPr>
      <w:rFonts w:ascii="Franklin Gothic Medium" w:hAnsi="Franklin Gothic Medium" w:cs="Times New Roman Bold"/>
      <w:b w:val="0"/>
      <w:bCs w:val="0"/>
      <w:i/>
      <w:color w:val="auto"/>
      <w:kern w:val="0"/>
      <w:sz w:val="24"/>
      <w:szCs w:val="24"/>
      <w:lang w:eastAsia="en-US"/>
    </w:rPr>
  </w:style>
  <w:style w:type="paragraph" w:customStyle="1" w:styleId="SP-SglSpPara">
    <w:name w:val="SP-Sgl Sp Para"/>
    <w:basedOn w:val="Normal"/>
    <w:rsid w:val="0038553A"/>
    <w:pPr>
      <w:numPr>
        <w:numId w:val="6"/>
      </w:numPr>
      <w:tabs>
        <w:tab w:val="clear" w:pos="1728"/>
        <w:tab w:val="left" w:pos="576"/>
      </w:tabs>
      <w:ind w:left="0" w:firstLine="576"/>
    </w:pPr>
  </w:style>
  <w:style w:type="paragraph" w:customStyle="1" w:styleId="sl-fllftsgl0">
    <w:name w:val="sl-fllftsgl"/>
    <w:basedOn w:val="Normal"/>
    <w:rsid w:val="0038553A"/>
    <w:pPr>
      <w:spacing w:before="100" w:beforeAutospacing="1" w:after="100" w:afterAutospacing="1"/>
    </w:pPr>
    <w:rPr>
      <w:rFonts w:eastAsia="Batang"/>
      <w:lang w:eastAsia="ko-KR"/>
    </w:rPr>
  </w:style>
  <w:style w:type="paragraph" w:customStyle="1" w:styleId="A1-1stLeader">
    <w:name w:val="A1-1st Leader"/>
    <w:rsid w:val="0038553A"/>
    <w:pPr>
      <w:tabs>
        <w:tab w:val="right" w:leader="dot" w:pos="7200"/>
        <w:tab w:val="right" w:pos="7488"/>
        <w:tab w:val="left" w:pos="7632"/>
      </w:tabs>
      <w:spacing w:line="240" w:lineRule="atLeast"/>
      <w:ind w:left="1710" w:hanging="270"/>
    </w:pPr>
    <w:rPr>
      <w:rFonts w:ascii="Arial" w:hAnsi="Arial"/>
    </w:rPr>
  </w:style>
  <w:style w:type="paragraph" w:styleId="ListParagraph">
    <w:name w:val="List Paragraph"/>
    <w:basedOn w:val="Normal"/>
    <w:uiPriority w:val="34"/>
    <w:qFormat/>
    <w:rsid w:val="0038553A"/>
    <w:pPr>
      <w:spacing w:line="240" w:lineRule="atLeast"/>
      <w:ind w:left="720"/>
      <w:contextualSpacing/>
      <w:jc w:val="both"/>
    </w:pPr>
    <w:rPr>
      <w:sz w:val="22"/>
      <w:szCs w:val="20"/>
    </w:rPr>
  </w:style>
  <w:style w:type="paragraph" w:styleId="TOC3">
    <w:name w:val="toc 3"/>
    <w:basedOn w:val="Normal"/>
    <w:next w:val="Normal"/>
    <w:autoRedefine/>
    <w:semiHidden/>
    <w:rsid w:val="0038553A"/>
    <w:pPr>
      <w:ind w:left="480"/>
    </w:pPr>
  </w:style>
  <w:style w:type="paragraph" w:styleId="TOC2">
    <w:name w:val="toc 2"/>
    <w:basedOn w:val="Normal"/>
    <w:next w:val="Normal"/>
    <w:autoRedefine/>
    <w:uiPriority w:val="39"/>
    <w:rsid w:val="0038553A"/>
    <w:pPr>
      <w:ind w:left="240"/>
    </w:pPr>
  </w:style>
  <w:style w:type="paragraph" w:customStyle="1" w:styleId="Enclosure">
    <w:name w:val="Enclosure"/>
    <w:basedOn w:val="Normal"/>
    <w:rsid w:val="00F64ECE"/>
  </w:style>
  <w:style w:type="paragraph" w:customStyle="1" w:styleId="CcList">
    <w:name w:val="Cc List"/>
    <w:basedOn w:val="Normal"/>
    <w:rsid w:val="00F64ECE"/>
  </w:style>
  <w:style w:type="paragraph" w:customStyle="1" w:styleId="N2-2ndBullet">
    <w:name w:val="N2-2nd Bullet"/>
    <w:basedOn w:val="Normal"/>
    <w:rsid w:val="00F64ECE"/>
    <w:pPr>
      <w:tabs>
        <w:tab w:val="left" w:pos="1728"/>
      </w:tabs>
      <w:spacing w:after="240" w:line="240" w:lineRule="atLeast"/>
      <w:ind w:left="1728" w:hanging="576"/>
    </w:pPr>
    <w:rPr>
      <w:rFonts w:ascii="Garamond" w:hAnsi="Garamond"/>
      <w:szCs w:val="20"/>
    </w:rPr>
  </w:style>
  <w:style w:type="paragraph" w:styleId="BodyTextIndent3">
    <w:name w:val="Body Text Indent 3"/>
    <w:basedOn w:val="Normal"/>
    <w:rsid w:val="00F64ECE"/>
    <w:pPr>
      <w:autoSpaceDE w:val="0"/>
      <w:autoSpaceDN w:val="0"/>
      <w:adjustRightInd w:val="0"/>
      <w:ind w:left="1800" w:firstLine="360"/>
    </w:pPr>
    <w:rPr>
      <w:b/>
      <w:bCs/>
      <w:color w:val="000000"/>
    </w:rPr>
  </w:style>
  <w:style w:type="paragraph" w:customStyle="1" w:styleId="BulletNumber">
    <w:name w:val="BulletNumber"/>
    <w:basedOn w:val="Normal"/>
    <w:rsid w:val="00F64ECE"/>
    <w:pPr>
      <w:tabs>
        <w:tab w:val="num" w:pos="720"/>
      </w:tabs>
      <w:ind w:left="720"/>
    </w:pPr>
    <w:rPr>
      <w:color w:val="000000"/>
    </w:rPr>
  </w:style>
  <w:style w:type="paragraph" w:customStyle="1" w:styleId="Default">
    <w:name w:val="Default"/>
    <w:rsid w:val="00F64ECE"/>
    <w:pPr>
      <w:widowControl w:val="0"/>
      <w:autoSpaceDE w:val="0"/>
      <w:autoSpaceDN w:val="0"/>
      <w:adjustRightInd w:val="0"/>
    </w:pPr>
    <w:rPr>
      <w:color w:val="000000"/>
      <w:sz w:val="24"/>
      <w:szCs w:val="24"/>
    </w:rPr>
  </w:style>
  <w:style w:type="paragraph" w:customStyle="1" w:styleId="CM25">
    <w:name w:val="CM25"/>
    <w:basedOn w:val="Default"/>
    <w:next w:val="Default"/>
    <w:rsid w:val="00F64ECE"/>
    <w:pPr>
      <w:spacing w:after="60"/>
    </w:pPr>
    <w:rPr>
      <w:color w:val="auto"/>
    </w:rPr>
  </w:style>
  <w:style w:type="paragraph" w:customStyle="1" w:styleId="CM26">
    <w:name w:val="CM26"/>
    <w:basedOn w:val="Default"/>
    <w:next w:val="Default"/>
    <w:rsid w:val="00F64ECE"/>
    <w:pPr>
      <w:spacing w:after="358"/>
    </w:pPr>
    <w:rPr>
      <w:color w:val="auto"/>
    </w:rPr>
  </w:style>
  <w:style w:type="paragraph" w:customStyle="1" w:styleId="CM27">
    <w:name w:val="CM27"/>
    <w:basedOn w:val="Default"/>
    <w:next w:val="Default"/>
    <w:rsid w:val="00F64ECE"/>
    <w:pPr>
      <w:spacing w:after="233"/>
    </w:pPr>
    <w:rPr>
      <w:color w:val="auto"/>
    </w:rPr>
  </w:style>
  <w:style w:type="paragraph" w:customStyle="1" w:styleId="CM28">
    <w:name w:val="CM28"/>
    <w:basedOn w:val="Default"/>
    <w:next w:val="Default"/>
    <w:rsid w:val="00F64ECE"/>
    <w:pPr>
      <w:spacing w:after="140"/>
    </w:pPr>
    <w:rPr>
      <w:color w:val="auto"/>
    </w:rPr>
  </w:style>
  <w:style w:type="paragraph" w:customStyle="1" w:styleId="CM5">
    <w:name w:val="CM5"/>
    <w:basedOn w:val="Default"/>
    <w:next w:val="Default"/>
    <w:rsid w:val="00F64ECE"/>
    <w:rPr>
      <w:color w:val="auto"/>
    </w:rPr>
  </w:style>
  <w:style w:type="paragraph" w:customStyle="1" w:styleId="CM29">
    <w:name w:val="CM29"/>
    <w:basedOn w:val="Default"/>
    <w:next w:val="Default"/>
    <w:rsid w:val="00F64ECE"/>
    <w:pPr>
      <w:spacing w:after="280"/>
    </w:pPr>
    <w:rPr>
      <w:color w:val="auto"/>
    </w:rPr>
  </w:style>
  <w:style w:type="paragraph" w:customStyle="1" w:styleId="C2-CtrSglSp">
    <w:name w:val="C2-Ctr Sgl Sp"/>
    <w:basedOn w:val="Normal"/>
    <w:rsid w:val="00F64ECE"/>
    <w:pPr>
      <w:keepLines/>
      <w:spacing w:line="240" w:lineRule="atLeast"/>
      <w:jc w:val="center"/>
    </w:pPr>
    <w:rPr>
      <w:rFonts w:ascii="Garamond" w:hAnsi="Garamond"/>
      <w:szCs w:val="20"/>
    </w:rPr>
  </w:style>
  <w:style w:type="paragraph" w:customStyle="1" w:styleId="C3-CtrSp12">
    <w:name w:val="C3-Ctr Sp&amp;1/2"/>
    <w:rsid w:val="00F64ECE"/>
    <w:pPr>
      <w:keepLines/>
      <w:spacing w:line="360" w:lineRule="atLeast"/>
      <w:jc w:val="center"/>
    </w:pPr>
    <w:rPr>
      <w:sz w:val="22"/>
    </w:rPr>
  </w:style>
  <w:style w:type="character" w:styleId="Emphasis">
    <w:name w:val="Emphasis"/>
    <w:qFormat/>
    <w:rsid w:val="00F64ECE"/>
    <w:rPr>
      <w:i/>
      <w:iCs/>
    </w:rPr>
  </w:style>
  <w:style w:type="paragraph" w:customStyle="1" w:styleId="C1-CtrBoldHd">
    <w:name w:val="C1-Ctr BoldHd"/>
    <w:rsid w:val="00F64ECE"/>
    <w:pPr>
      <w:keepNext/>
      <w:spacing w:line="240" w:lineRule="atLeast"/>
      <w:jc w:val="center"/>
    </w:pPr>
    <w:rPr>
      <w:rFonts w:ascii="Arial" w:hAnsi="Arial"/>
      <w:b/>
      <w:caps/>
    </w:rPr>
  </w:style>
  <w:style w:type="paragraph" w:customStyle="1" w:styleId="Q1-FirstLevelQuestion">
    <w:name w:val="Q1-First Level Question"/>
    <w:rsid w:val="00F64ECE"/>
    <w:pPr>
      <w:tabs>
        <w:tab w:val="left" w:pos="720"/>
      </w:tabs>
      <w:spacing w:line="240" w:lineRule="atLeast"/>
      <w:ind w:left="720" w:hanging="720"/>
      <w:jc w:val="both"/>
    </w:pPr>
    <w:rPr>
      <w:rFonts w:ascii="Arial" w:hAnsi="Arial"/>
    </w:rPr>
  </w:style>
  <w:style w:type="paragraph" w:customStyle="1" w:styleId="CT-ContractInformation">
    <w:name w:val="CT-Contract Information"/>
    <w:basedOn w:val="Normal"/>
    <w:rsid w:val="00F64ECE"/>
    <w:pPr>
      <w:tabs>
        <w:tab w:val="left" w:pos="2232"/>
      </w:tabs>
      <w:spacing w:line="240" w:lineRule="exact"/>
    </w:pPr>
    <w:rPr>
      <w:vanish/>
    </w:rPr>
  </w:style>
  <w:style w:type="paragraph" w:customStyle="1" w:styleId="E1-Equation">
    <w:name w:val="E1-Equation"/>
    <w:basedOn w:val="Normal"/>
    <w:rsid w:val="00F64ECE"/>
    <w:pPr>
      <w:tabs>
        <w:tab w:val="center" w:pos="4680"/>
        <w:tab w:val="right" w:pos="9360"/>
      </w:tabs>
    </w:pPr>
  </w:style>
  <w:style w:type="paragraph" w:customStyle="1" w:styleId="E2-Equation">
    <w:name w:val="E2-Equation"/>
    <w:basedOn w:val="Normal"/>
    <w:rsid w:val="00F64ECE"/>
    <w:pPr>
      <w:tabs>
        <w:tab w:val="right" w:pos="1152"/>
        <w:tab w:val="center" w:pos="1440"/>
        <w:tab w:val="left" w:pos="1728"/>
      </w:tabs>
      <w:ind w:left="1728" w:hanging="1728"/>
    </w:pPr>
  </w:style>
  <w:style w:type="paragraph" w:customStyle="1" w:styleId="Header-1">
    <w:name w:val="Header-1"/>
    <w:basedOn w:val="Heading1"/>
    <w:rsid w:val="00F64ECE"/>
    <w:pPr>
      <w:framePr w:hSpace="187" w:wrap="around" w:vAnchor="text" w:hAnchor="text" w:y="1"/>
      <w:tabs>
        <w:tab w:val="left" w:pos="1152"/>
      </w:tabs>
      <w:spacing w:before="0" w:after="0" w:line="240" w:lineRule="atLeast"/>
      <w:ind w:left="1152" w:hanging="1152"/>
      <w:suppressOverlap/>
      <w:jc w:val="right"/>
    </w:pPr>
    <w:rPr>
      <w:rFonts w:ascii="Franklin Gothic Medium" w:hAnsi="Franklin Gothic Medium" w:cs="Times New Roman"/>
      <w:bCs w:val="0"/>
      <w:color w:val="324162"/>
      <w:kern w:val="0"/>
      <w:sz w:val="20"/>
      <w:szCs w:val="24"/>
    </w:rPr>
  </w:style>
  <w:style w:type="paragraph" w:customStyle="1" w:styleId="Heading0">
    <w:name w:val="Heading 0"/>
    <w:aliases w:val="H0-Chap Head"/>
    <w:basedOn w:val="Heading1"/>
    <w:rsid w:val="00F64ECE"/>
    <w:pPr>
      <w:tabs>
        <w:tab w:val="left" w:pos="1152"/>
      </w:tabs>
      <w:spacing w:before="0" w:after="0" w:line="360" w:lineRule="atLeast"/>
      <w:ind w:left="1152" w:hanging="1152"/>
      <w:jc w:val="right"/>
    </w:pPr>
    <w:rPr>
      <w:rFonts w:ascii="Franklin Gothic Medium" w:hAnsi="Franklin Gothic Medium" w:cs="Times New Roman"/>
      <w:bCs w:val="0"/>
      <w:color w:val="324162"/>
      <w:kern w:val="0"/>
      <w:sz w:val="40"/>
      <w:szCs w:val="24"/>
    </w:rPr>
  </w:style>
  <w:style w:type="paragraph" w:customStyle="1" w:styleId="N0-FlLftBullet">
    <w:name w:val="N0-Fl Lft Bullet"/>
    <w:basedOn w:val="Normal"/>
    <w:rsid w:val="00F64ECE"/>
    <w:pPr>
      <w:tabs>
        <w:tab w:val="left" w:pos="576"/>
      </w:tabs>
      <w:spacing w:after="240"/>
      <w:ind w:left="576" w:hanging="576"/>
    </w:pPr>
  </w:style>
  <w:style w:type="paragraph" w:customStyle="1" w:styleId="N3-3rdBullet">
    <w:name w:val="N3-3rd Bullet"/>
    <w:basedOn w:val="Normal"/>
    <w:rsid w:val="00F64ECE"/>
    <w:pPr>
      <w:tabs>
        <w:tab w:val="num" w:pos="2304"/>
      </w:tabs>
      <w:spacing w:after="240"/>
      <w:ind w:left="2304" w:hanging="576"/>
    </w:pPr>
  </w:style>
  <w:style w:type="paragraph" w:customStyle="1" w:styleId="N4-4thBullet">
    <w:name w:val="N4-4th Bullet"/>
    <w:basedOn w:val="Normal"/>
    <w:rsid w:val="00F64ECE"/>
    <w:pPr>
      <w:tabs>
        <w:tab w:val="num" w:pos="2880"/>
      </w:tabs>
      <w:spacing w:after="240"/>
      <w:ind w:left="2880" w:hanging="576"/>
    </w:pPr>
  </w:style>
  <w:style w:type="paragraph" w:customStyle="1" w:styleId="N5-5thBullet">
    <w:name w:val="N5-5th Bullet"/>
    <w:basedOn w:val="Normal"/>
    <w:rsid w:val="00F64ECE"/>
    <w:pPr>
      <w:tabs>
        <w:tab w:val="left" w:pos="3456"/>
      </w:tabs>
      <w:spacing w:after="240"/>
      <w:ind w:left="3456" w:hanging="576"/>
    </w:pPr>
  </w:style>
  <w:style w:type="paragraph" w:customStyle="1" w:styleId="N6-DateInd">
    <w:name w:val="N6-Date Ind."/>
    <w:basedOn w:val="Normal"/>
    <w:rsid w:val="00F64ECE"/>
    <w:pPr>
      <w:tabs>
        <w:tab w:val="left" w:pos="4910"/>
      </w:tabs>
      <w:ind w:left="4910"/>
    </w:pPr>
  </w:style>
  <w:style w:type="paragraph" w:customStyle="1" w:styleId="N7-3Block">
    <w:name w:val="N7-3&quot; Block"/>
    <w:basedOn w:val="Normal"/>
    <w:rsid w:val="00F64ECE"/>
    <w:pPr>
      <w:tabs>
        <w:tab w:val="left" w:pos="1152"/>
      </w:tabs>
      <w:ind w:left="1152" w:right="1152"/>
    </w:pPr>
  </w:style>
  <w:style w:type="paragraph" w:customStyle="1" w:styleId="N8-QxQBlock">
    <w:name w:val="N8-QxQ Block"/>
    <w:basedOn w:val="Normal"/>
    <w:rsid w:val="00F64ECE"/>
    <w:pPr>
      <w:tabs>
        <w:tab w:val="left" w:pos="1152"/>
      </w:tabs>
      <w:spacing w:after="360" w:line="360" w:lineRule="atLeast"/>
      <w:ind w:left="1152" w:hanging="1152"/>
    </w:pPr>
  </w:style>
  <w:style w:type="paragraph" w:customStyle="1" w:styleId="P1-StandPara">
    <w:name w:val="P1-Stand Para"/>
    <w:basedOn w:val="Normal"/>
    <w:rsid w:val="00F64ECE"/>
    <w:pPr>
      <w:spacing w:line="360" w:lineRule="atLeast"/>
      <w:ind w:firstLine="1152"/>
    </w:pPr>
  </w:style>
  <w:style w:type="paragraph" w:customStyle="1" w:styleId="Q1-BestFinQ">
    <w:name w:val="Q1-Best/Fin Q"/>
    <w:basedOn w:val="Heading1"/>
    <w:rsid w:val="00F64ECE"/>
    <w:pPr>
      <w:tabs>
        <w:tab w:val="left" w:pos="1152"/>
      </w:tabs>
      <w:spacing w:before="0" w:after="360" w:line="240" w:lineRule="atLeast"/>
      <w:ind w:left="1152" w:hanging="1152"/>
    </w:pPr>
    <w:rPr>
      <w:rFonts w:ascii="Franklin Gothic Medium" w:hAnsi="Franklin Gothic Medium" w:cs="Times New Roman Bold"/>
      <w:bCs w:val="0"/>
      <w:kern w:val="0"/>
      <w:sz w:val="24"/>
      <w:szCs w:val="24"/>
    </w:rPr>
  </w:style>
  <w:style w:type="paragraph" w:customStyle="1" w:styleId="R1-ResPara">
    <w:name w:val="R1-Res. Para"/>
    <w:basedOn w:val="Normal"/>
    <w:rsid w:val="00F64ECE"/>
    <w:pPr>
      <w:ind w:left="288"/>
    </w:pPr>
  </w:style>
  <w:style w:type="paragraph" w:customStyle="1" w:styleId="R2-ResBullet">
    <w:name w:val="R2-Res Bullet"/>
    <w:basedOn w:val="Normal"/>
    <w:rsid w:val="00F64ECE"/>
    <w:pPr>
      <w:tabs>
        <w:tab w:val="left" w:pos="720"/>
      </w:tabs>
      <w:ind w:left="720" w:hanging="432"/>
    </w:pPr>
  </w:style>
  <w:style w:type="paragraph" w:customStyle="1" w:styleId="RF-Reference">
    <w:name w:val="RF-Reference"/>
    <w:basedOn w:val="Normal"/>
    <w:rsid w:val="00F64ECE"/>
    <w:pPr>
      <w:spacing w:line="240" w:lineRule="exact"/>
      <w:ind w:left="216" w:hanging="216"/>
    </w:pPr>
  </w:style>
  <w:style w:type="paragraph" w:customStyle="1" w:styleId="RH-SglSpHead">
    <w:name w:val="RH-Sgl Sp Head"/>
    <w:basedOn w:val="Heading1"/>
    <w:next w:val="Normal"/>
    <w:rsid w:val="00F64ECE"/>
    <w:pPr>
      <w:pBdr>
        <w:bottom w:val="single" w:sz="24" w:space="1" w:color="AFBED9"/>
      </w:pBdr>
      <w:tabs>
        <w:tab w:val="left" w:pos="1152"/>
      </w:tabs>
      <w:spacing w:before="0" w:after="480" w:line="360" w:lineRule="exact"/>
      <w:ind w:left="1152" w:hanging="1152"/>
    </w:pPr>
    <w:rPr>
      <w:rFonts w:ascii="Franklin Gothic Medium" w:hAnsi="Franklin Gothic Medium" w:cs="Times New Roman"/>
      <w:bCs w:val="0"/>
      <w:color w:val="324162"/>
      <w:kern w:val="0"/>
      <w:sz w:val="36"/>
      <w:szCs w:val="24"/>
      <w:u w:color="324162"/>
    </w:rPr>
  </w:style>
  <w:style w:type="paragraph" w:customStyle="1" w:styleId="RL-FlLftSgl">
    <w:name w:val="RL-Fl Lft Sgl"/>
    <w:basedOn w:val="Heading1"/>
    <w:rsid w:val="00F64ECE"/>
    <w:pPr>
      <w:tabs>
        <w:tab w:val="left" w:pos="1152"/>
      </w:tabs>
      <w:spacing w:before="0" w:after="0" w:line="240" w:lineRule="atLeast"/>
    </w:pPr>
    <w:rPr>
      <w:rFonts w:ascii="Franklin Gothic Medium" w:hAnsi="Franklin Gothic Medium" w:cs="Times New Roman"/>
      <w:bCs w:val="0"/>
      <w:color w:val="324162"/>
      <w:kern w:val="0"/>
      <w:sz w:val="24"/>
      <w:szCs w:val="24"/>
    </w:rPr>
  </w:style>
  <w:style w:type="paragraph" w:customStyle="1" w:styleId="SH-SglSpHead">
    <w:name w:val="SH-Sgl Sp Head"/>
    <w:basedOn w:val="Heading1"/>
    <w:rsid w:val="00F64ECE"/>
    <w:pPr>
      <w:tabs>
        <w:tab w:val="left" w:pos="576"/>
        <w:tab w:val="left" w:pos="1152"/>
      </w:tabs>
      <w:spacing w:before="0" w:after="360" w:line="240" w:lineRule="atLeast"/>
      <w:ind w:left="576" w:hanging="576"/>
    </w:pPr>
    <w:rPr>
      <w:rFonts w:ascii="Franklin Gothic Medium" w:hAnsi="Franklin Gothic Medium" w:cs="Times New Roman"/>
      <w:b w:val="0"/>
      <w:bCs w:val="0"/>
      <w:color w:val="324162"/>
      <w:kern w:val="0"/>
      <w:sz w:val="24"/>
      <w:szCs w:val="24"/>
    </w:rPr>
  </w:style>
  <w:style w:type="paragraph" w:customStyle="1" w:styleId="SU-FlLftUndln">
    <w:name w:val="SU-Fl Lft Undln"/>
    <w:basedOn w:val="Normal"/>
    <w:rsid w:val="00F64ECE"/>
    <w:pPr>
      <w:keepNext/>
      <w:spacing w:line="240" w:lineRule="exact"/>
    </w:pPr>
    <w:rPr>
      <w:u w:val="single"/>
    </w:rPr>
  </w:style>
  <w:style w:type="paragraph" w:customStyle="1" w:styleId="T0-ChapPgHd">
    <w:name w:val="T0-Chap/Pg Hd"/>
    <w:basedOn w:val="Normal"/>
    <w:rsid w:val="00F64ECE"/>
    <w:pPr>
      <w:tabs>
        <w:tab w:val="left" w:pos="8640"/>
      </w:tabs>
    </w:pPr>
    <w:rPr>
      <w:rFonts w:ascii="Franklin Gothic Medium" w:hAnsi="Franklin Gothic Medium"/>
      <w:u w:val="words"/>
    </w:rPr>
  </w:style>
  <w:style w:type="paragraph" w:customStyle="1" w:styleId="TC-TableofContentsHeading">
    <w:name w:val="TC-Table of Contents Heading"/>
    <w:basedOn w:val="Heading1"/>
    <w:next w:val="T0-ChapPgHd"/>
    <w:rsid w:val="00F64ECE"/>
    <w:pPr>
      <w:pBdr>
        <w:bottom w:val="single" w:sz="24" w:space="1" w:color="AFBED7"/>
      </w:pBdr>
      <w:spacing w:before="0" w:after="720" w:line="360" w:lineRule="atLeast"/>
      <w:ind w:left="6869"/>
      <w:jc w:val="center"/>
    </w:pPr>
    <w:rPr>
      <w:rFonts w:ascii="Franklin Gothic Medium" w:hAnsi="Franklin Gothic Medium" w:cs="Times New Roman"/>
      <w:bCs w:val="0"/>
      <w:color w:val="324162"/>
      <w:kern w:val="0"/>
      <w:szCs w:val="24"/>
    </w:rPr>
  </w:style>
  <w:style w:type="paragraph" w:customStyle="1" w:styleId="TF-TblFN">
    <w:name w:val="TF-Tbl FN"/>
    <w:basedOn w:val="FootnoteText"/>
    <w:rsid w:val="00F64ECE"/>
    <w:pPr>
      <w:framePr w:hSpace="0" w:wrap="auto" w:vAnchor="margin" w:yAlign="inline"/>
      <w:tabs>
        <w:tab w:val="left" w:pos="120"/>
      </w:tabs>
      <w:spacing w:before="120" w:after="0" w:line="200" w:lineRule="atLeast"/>
      <w:ind w:left="115" w:hanging="115"/>
      <w:outlineLvl w:val="9"/>
    </w:pPr>
    <w:rPr>
      <w:rFonts w:ascii="Franklin Gothic Medium" w:hAnsi="Franklin Gothic Medium"/>
      <w:color w:val="auto"/>
      <w:sz w:val="16"/>
      <w:lang w:eastAsia="en-US"/>
    </w:rPr>
  </w:style>
  <w:style w:type="paragraph" w:customStyle="1" w:styleId="TH-TableHeading">
    <w:name w:val="TH-Table Heading"/>
    <w:basedOn w:val="Heading1"/>
    <w:rsid w:val="00F64ECE"/>
    <w:pPr>
      <w:tabs>
        <w:tab w:val="left" w:pos="1152"/>
      </w:tabs>
      <w:spacing w:before="0" w:after="0" w:line="240" w:lineRule="atLeast"/>
      <w:jc w:val="center"/>
    </w:pPr>
    <w:rPr>
      <w:rFonts w:ascii="Franklin Gothic Medium" w:hAnsi="Franklin Gothic Medium" w:cs="Times New Roman"/>
      <w:bCs w:val="0"/>
      <w:kern w:val="0"/>
      <w:sz w:val="20"/>
      <w:szCs w:val="24"/>
    </w:rPr>
  </w:style>
  <w:style w:type="paragraph" w:customStyle="1" w:styleId="TT-TableTitle">
    <w:name w:val="TT-Table Title"/>
    <w:basedOn w:val="Heading1"/>
    <w:rsid w:val="00F64ECE"/>
    <w:pPr>
      <w:tabs>
        <w:tab w:val="left" w:pos="1440"/>
      </w:tabs>
      <w:spacing w:before="0" w:after="0" w:line="240" w:lineRule="atLeast"/>
      <w:ind w:left="1152" w:hanging="1152"/>
    </w:pPr>
    <w:rPr>
      <w:rFonts w:ascii="Franklin Gothic Medium" w:hAnsi="Franklin Gothic Medium" w:cs="Times New Roman"/>
      <w:b w:val="0"/>
      <w:bCs w:val="0"/>
      <w:kern w:val="0"/>
      <w:sz w:val="22"/>
      <w:szCs w:val="24"/>
    </w:rPr>
  </w:style>
  <w:style w:type="paragraph" w:customStyle="1" w:styleId="TX-TableText">
    <w:name w:val="TX-Table Text"/>
    <w:basedOn w:val="Normal"/>
    <w:rsid w:val="00F64ECE"/>
    <w:rPr>
      <w:rFonts w:ascii="Franklin Gothic Medium" w:hAnsi="Franklin Gothic Medium"/>
      <w:sz w:val="20"/>
    </w:rPr>
  </w:style>
  <w:style w:type="paragraph" w:styleId="PlainText">
    <w:name w:val="Plain Text"/>
    <w:basedOn w:val="Normal"/>
    <w:rsid w:val="00F64ECE"/>
    <w:rPr>
      <w:rFonts w:ascii="Courier New" w:hAnsi="Courier New" w:cs="Courier New"/>
      <w:sz w:val="20"/>
      <w:szCs w:val="20"/>
    </w:rPr>
  </w:style>
  <w:style w:type="paragraph" w:styleId="Caption">
    <w:name w:val="caption"/>
    <w:basedOn w:val="Normal"/>
    <w:next w:val="Normal"/>
    <w:qFormat/>
    <w:rsid w:val="00F64ECE"/>
    <w:rPr>
      <w:b/>
      <w:bCs/>
      <w:sz w:val="20"/>
      <w:szCs w:val="20"/>
    </w:rPr>
  </w:style>
  <w:style w:type="paragraph" w:customStyle="1" w:styleId="FormBodyTextHanging">
    <w:name w:val="Form Body Text Hanging"/>
    <w:basedOn w:val="Normal"/>
    <w:rsid w:val="00054885"/>
    <w:pPr>
      <w:tabs>
        <w:tab w:val="right" w:pos="9360"/>
      </w:tabs>
      <w:spacing w:before="60" w:after="60"/>
      <w:ind w:left="720" w:hanging="720"/>
    </w:pPr>
    <w:rPr>
      <w:sz w:val="20"/>
    </w:rPr>
  </w:style>
  <w:style w:type="paragraph" w:customStyle="1" w:styleId="StyleLeft01After3pt">
    <w:name w:val="Style Left:  0.1&quot; After:  3 pt"/>
    <w:basedOn w:val="Normal"/>
    <w:rsid w:val="00054885"/>
    <w:pPr>
      <w:ind w:left="144"/>
    </w:pPr>
    <w:rPr>
      <w:sz w:val="20"/>
      <w:szCs w:val="20"/>
    </w:rPr>
  </w:style>
  <w:style w:type="paragraph" w:customStyle="1" w:styleId="FormBodyText">
    <w:name w:val="Form Body Text"/>
    <w:basedOn w:val="FormBodyTextHanging"/>
    <w:rsid w:val="00054885"/>
    <w:pPr>
      <w:ind w:left="0" w:firstLine="0"/>
    </w:pPr>
    <w:rPr>
      <w:szCs w:val="20"/>
    </w:rPr>
  </w:style>
  <w:style w:type="paragraph" w:customStyle="1" w:styleId="FormBodyTextIndent">
    <w:name w:val="Form Body Text Indent"/>
    <w:basedOn w:val="FormBodyTextHanging"/>
    <w:rsid w:val="00054885"/>
    <w:pPr>
      <w:ind w:left="1440"/>
    </w:pPr>
    <w:rPr>
      <w:szCs w:val="20"/>
    </w:rPr>
  </w:style>
  <w:style w:type="character" w:customStyle="1" w:styleId="CharChar">
    <w:name w:val="Char Char"/>
    <w:rsid w:val="00054885"/>
    <w:rPr>
      <w:rFonts w:cs="Arial"/>
      <w:b/>
      <w:color w:val="000000"/>
      <w:sz w:val="26"/>
      <w:szCs w:val="26"/>
      <w:u w:val="single"/>
      <w:lang w:val="en-US" w:eastAsia="ja-JP" w:bidi="ar-SA"/>
    </w:rPr>
  </w:style>
  <w:style w:type="table" w:customStyle="1" w:styleId="TableWestatStandardFormat">
    <w:name w:val="Table Westat Standard Format"/>
    <w:basedOn w:val="TableNormal"/>
    <w:rsid w:val="00054885"/>
    <w:pPr>
      <w:numPr>
        <w:numId w:val="29"/>
      </w:numPr>
      <w:ind w:left="0" w:firstLine="0"/>
    </w:pPr>
    <w:rPr>
      <w:rFonts w:ascii="Franklin Gothic Medium" w:hAnsi="Franklin Gothic Medium"/>
    </w:rPr>
    <w:tblPr>
      <w:tblBorders>
        <w:top w:val="single" w:sz="4" w:space="0" w:color="auto"/>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character" w:customStyle="1" w:styleId="CommentTextChar">
    <w:name w:val="Comment Text Char"/>
    <w:locked/>
    <w:rsid w:val="00506425"/>
    <w:rPr>
      <w:rFonts w:cs="Times New Roman"/>
      <w:lang w:val="en-US" w:eastAsia="en-US" w:bidi="ar-SA"/>
    </w:rPr>
  </w:style>
  <w:style w:type="character" w:customStyle="1" w:styleId="RefList">
    <w:name w:val="[RefList]"/>
    <w:rsid w:val="00FD1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462306">
      <w:bodyDiv w:val="1"/>
      <w:marLeft w:val="0"/>
      <w:marRight w:val="0"/>
      <w:marTop w:val="0"/>
      <w:marBottom w:val="0"/>
      <w:divBdr>
        <w:top w:val="none" w:sz="0" w:space="0" w:color="auto"/>
        <w:left w:val="none" w:sz="0" w:space="0" w:color="auto"/>
        <w:bottom w:val="none" w:sz="0" w:space="0" w:color="auto"/>
        <w:right w:val="none" w:sz="0" w:space="0" w:color="auto"/>
      </w:divBdr>
    </w:div>
    <w:div w:id="817575237">
      <w:bodyDiv w:val="1"/>
      <w:marLeft w:val="0"/>
      <w:marRight w:val="0"/>
      <w:marTop w:val="0"/>
      <w:marBottom w:val="0"/>
      <w:divBdr>
        <w:top w:val="none" w:sz="0" w:space="0" w:color="auto"/>
        <w:left w:val="none" w:sz="0" w:space="0" w:color="auto"/>
        <w:bottom w:val="none" w:sz="0" w:space="0" w:color="auto"/>
        <w:right w:val="none" w:sz="0" w:space="0" w:color="auto"/>
      </w:divBdr>
    </w:div>
    <w:div w:id="1087658122">
      <w:bodyDiv w:val="1"/>
      <w:marLeft w:val="0"/>
      <w:marRight w:val="0"/>
      <w:marTop w:val="0"/>
      <w:marBottom w:val="0"/>
      <w:divBdr>
        <w:top w:val="none" w:sz="0" w:space="0" w:color="auto"/>
        <w:left w:val="none" w:sz="0" w:space="0" w:color="auto"/>
        <w:bottom w:val="none" w:sz="0" w:space="0" w:color="auto"/>
        <w:right w:val="none" w:sz="0" w:space="0" w:color="auto"/>
      </w:divBdr>
    </w:div>
    <w:div w:id="1482426143">
      <w:bodyDiv w:val="1"/>
      <w:marLeft w:val="0"/>
      <w:marRight w:val="0"/>
      <w:marTop w:val="0"/>
      <w:marBottom w:val="0"/>
      <w:divBdr>
        <w:top w:val="none" w:sz="0" w:space="0" w:color="auto"/>
        <w:left w:val="none" w:sz="0" w:space="0" w:color="auto"/>
        <w:bottom w:val="none" w:sz="0" w:space="0" w:color="auto"/>
        <w:right w:val="none" w:sz="0" w:space="0" w:color="auto"/>
      </w:divBdr>
    </w:div>
    <w:div w:id="202624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ops-mas-iis.od.cdc.gov/Policy/Doc/policy449.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FD328-87CB-4BBA-887F-84A94F78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18</Pages>
  <Words>4610</Words>
  <Characters>27954</Characters>
  <Application>Microsoft Office Word</Application>
  <DocSecurity>0</DocSecurity>
  <Lines>232</Lines>
  <Paragraphs>64</Paragraphs>
  <ScaleCrop>false</ScaleCrop>
  <HeadingPairs>
    <vt:vector size="2" baseType="variant">
      <vt:variant>
        <vt:lpstr>Title</vt:lpstr>
      </vt:variant>
      <vt:variant>
        <vt:i4>1</vt:i4>
      </vt:variant>
    </vt:vector>
  </HeadingPairs>
  <TitlesOfParts>
    <vt:vector size="1" baseType="lpstr">
      <vt:lpstr>NATIONAL SURVEY OF U</vt:lpstr>
    </vt:vector>
  </TitlesOfParts>
  <Company>ITSO</Company>
  <LinksUpToDate>false</LinksUpToDate>
  <CharactersWithSpaces>32500</CharactersWithSpaces>
  <SharedDoc>false</SharedDoc>
  <HLinks>
    <vt:vector size="12" baseType="variant">
      <vt:variant>
        <vt:i4>6815800</vt:i4>
      </vt:variant>
      <vt:variant>
        <vt:i4>12</vt:i4>
      </vt:variant>
      <vt:variant>
        <vt:i4>0</vt:i4>
      </vt:variant>
      <vt:variant>
        <vt:i4>5</vt:i4>
      </vt:variant>
      <vt:variant>
        <vt:lpwstr>http://aops-mas-iis.od.cdc.gov/Policy/Doc/policy449.htm</vt:lpwstr>
      </vt:variant>
      <vt:variant>
        <vt:lpwstr/>
      </vt:variant>
      <vt:variant>
        <vt:i4>4259842</vt:i4>
      </vt:variant>
      <vt:variant>
        <vt:i4>9</vt:i4>
      </vt:variant>
      <vt:variant>
        <vt:i4>0</vt:i4>
      </vt:variant>
      <vt:variant>
        <vt:i4>5</vt:i4>
      </vt:variant>
      <vt:variant>
        <vt:lpwstr>http://www.itl.nist.gov/fipspubs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SURVEY OF U</dc:title>
  <dc:creator>Jan Birdsey</dc:creator>
  <cp:lastModifiedBy>Cenac, Carol E. (CDC/OD/OADS)</cp:lastModifiedBy>
  <cp:revision>10</cp:revision>
  <cp:lastPrinted>2015-11-03T15:13:00Z</cp:lastPrinted>
  <dcterms:created xsi:type="dcterms:W3CDTF">2015-11-03T15:19:00Z</dcterms:created>
  <dcterms:modified xsi:type="dcterms:W3CDTF">2015-11-17T14:38:00Z</dcterms:modified>
</cp:coreProperties>
</file>