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B8E6E" w14:textId="453ED43A" w:rsidR="00C252F7" w:rsidRPr="003C511F" w:rsidRDefault="00C252F7" w:rsidP="00C252F7">
      <w:pPr>
        <w:pStyle w:val="NoSpacing"/>
        <w:jc w:val="center"/>
        <w:rPr>
          <w:b/>
        </w:rPr>
      </w:pPr>
      <w:bookmarkStart w:id="0" w:name="_GoBack"/>
      <w:bookmarkEnd w:id="0"/>
      <w:r w:rsidRPr="003C511F">
        <w:rPr>
          <w:b/>
        </w:rPr>
        <w:t>Project Engage</w:t>
      </w:r>
      <w:r w:rsidR="008A348C">
        <w:rPr>
          <w:b/>
        </w:rPr>
        <w:t xml:space="preserve"> 2.0</w:t>
      </w:r>
      <w:r w:rsidRPr="003C511F">
        <w:rPr>
          <w:b/>
        </w:rPr>
        <w:t>: Engaging Gay “Community” Activism for Syphilis Prevention</w:t>
      </w:r>
    </w:p>
    <w:p w14:paraId="3443DF5D" w14:textId="77777777" w:rsidR="00C252F7" w:rsidRDefault="00C252F7" w:rsidP="00C252F7">
      <w:pPr>
        <w:pStyle w:val="NoSpacing"/>
        <w:jc w:val="center"/>
        <w:rPr>
          <w:b/>
        </w:rPr>
      </w:pPr>
    </w:p>
    <w:p w14:paraId="2ADCBE9D" w14:textId="309BB704" w:rsidR="00C252F7" w:rsidRDefault="00C252F7" w:rsidP="00C252F7">
      <w:pPr>
        <w:pStyle w:val="NoSpacing"/>
        <w:jc w:val="center"/>
        <w:rPr>
          <w:b/>
        </w:rPr>
      </w:pPr>
      <w:r>
        <w:rPr>
          <w:b/>
        </w:rPr>
        <w:t xml:space="preserve">Generic Information Collection Request under OMB </w:t>
      </w:r>
      <w:r w:rsidR="007764EA">
        <w:rPr>
          <w:b/>
        </w:rPr>
        <w:t>#0920-0840</w:t>
      </w:r>
    </w:p>
    <w:p w14:paraId="71895FFA" w14:textId="77777777" w:rsidR="00C252F7" w:rsidRDefault="00C252F7" w:rsidP="00C252F7">
      <w:pPr>
        <w:pStyle w:val="NoSpacing"/>
        <w:jc w:val="center"/>
        <w:rPr>
          <w:b/>
        </w:rPr>
      </w:pPr>
    </w:p>
    <w:p w14:paraId="3E33FCF2" w14:textId="77777777" w:rsidR="00C252F7" w:rsidRDefault="00C252F7" w:rsidP="00C252F7">
      <w:pPr>
        <w:pStyle w:val="NoSpacing"/>
        <w:jc w:val="center"/>
        <w:rPr>
          <w:b/>
        </w:rPr>
      </w:pPr>
    </w:p>
    <w:p w14:paraId="6B7BA4F5" w14:textId="77777777" w:rsidR="00C252F7" w:rsidRDefault="00C252F7" w:rsidP="00C252F7">
      <w:pPr>
        <w:pStyle w:val="NoSpacing"/>
        <w:jc w:val="center"/>
        <w:rPr>
          <w:b/>
        </w:rPr>
      </w:pPr>
    </w:p>
    <w:p w14:paraId="01742B11" w14:textId="77777777" w:rsidR="00C252F7" w:rsidRDefault="00C252F7" w:rsidP="00C252F7">
      <w:pPr>
        <w:pStyle w:val="NoSpacing"/>
        <w:jc w:val="center"/>
        <w:rPr>
          <w:b/>
        </w:rPr>
      </w:pPr>
    </w:p>
    <w:p w14:paraId="60A4D98E" w14:textId="77777777" w:rsidR="00C252F7" w:rsidRDefault="00C252F7" w:rsidP="00C252F7">
      <w:pPr>
        <w:pStyle w:val="NoSpacing"/>
        <w:jc w:val="center"/>
        <w:rPr>
          <w:b/>
        </w:rPr>
      </w:pPr>
      <w:r>
        <w:rPr>
          <w:b/>
        </w:rPr>
        <w:t>Section B: Supporting Statement</w:t>
      </w:r>
    </w:p>
    <w:p w14:paraId="2F3B0723" w14:textId="77777777" w:rsidR="00C252F7" w:rsidRDefault="00C252F7" w:rsidP="00C252F7">
      <w:pPr>
        <w:pStyle w:val="NoSpacing"/>
        <w:jc w:val="center"/>
        <w:rPr>
          <w:b/>
        </w:rPr>
      </w:pPr>
    </w:p>
    <w:p w14:paraId="068D93E6" w14:textId="77777777" w:rsidR="00C252F7" w:rsidRDefault="00C252F7" w:rsidP="00C252F7">
      <w:pPr>
        <w:pStyle w:val="NoSpacing"/>
        <w:jc w:val="center"/>
        <w:rPr>
          <w:b/>
        </w:rPr>
      </w:pPr>
    </w:p>
    <w:p w14:paraId="006F8B4B" w14:textId="77777777" w:rsidR="00C252F7" w:rsidRDefault="00C252F7" w:rsidP="00C252F7">
      <w:pPr>
        <w:pStyle w:val="NoSpacing"/>
        <w:jc w:val="center"/>
        <w:rPr>
          <w:b/>
        </w:rPr>
      </w:pPr>
    </w:p>
    <w:p w14:paraId="523F5A37" w14:textId="77777777" w:rsidR="00C252F7" w:rsidRDefault="00C252F7" w:rsidP="00C252F7">
      <w:pPr>
        <w:pStyle w:val="NoSpacing"/>
        <w:jc w:val="center"/>
        <w:rPr>
          <w:b/>
        </w:rPr>
      </w:pPr>
    </w:p>
    <w:p w14:paraId="6374E2FF" w14:textId="2D229368" w:rsidR="00C252F7" w:rsidRPr="00C861B4" w:rsidRDefault="003B2593" w:rsidP="00C252F7">
      <w:pPr>
        <w:pStyle w:val="NoSpacing"/>
        <w:jc w:val="center"/>
        <w:rPr>
          <w:rFonts w:cs="Times New Roman"/>
          <w:b/>
          <w:szCs w:val="24"/>
        </w:rPr>
      </w:pPr>
      <w:r>
        <w:rPr>
          <w:b/>
        </w:rPr>
        <w:t>April 28,</w:t>
      </w:r>
      <w:r w:rsidR="008A348C">
        <w:rPr>
          <w:b/>
        </w:rPr>
        <w:t xml:space="preserve"> 2018</w:t>
      </w:r>
    </w:p>
    <w:p w14:paraId="16352EF9" w14:textId="77777777" w:rsidR="00C252F7" w:rsidRPr="00C861B4" w:rsidRDefault="00C252F7" w:rsidP="00C252F7">
      <w:pPr>
        <w:pStyle w:val="NoSpacing"/>
        <w:jc w:val="center"/>
        <w:rPr>
          <w:rFonts w:cs="Times New Roman"/>
          <w:b/>
          <w:szCs w:val="24"/>
        </w:rPr>
      </w:pPr>
    </w:p>
    <w:p w14:paraId="1157D43C" w14:textId="77777777" w:rsidR="00C252F7" w:rsidRPr="00C861B4" w:rsidRDefault="00C252F7" w:rsidP="00C252F7">
      <w:pPr>
        <w:pStyle w:val="NoSpacing"/>
        <w:jc w:val="center"/>
        <w:rPr>
          <w:rFonts w:cs="Times New Roman"/>
          <w:b/>
          <w:szCs w:val="24"/>
        </w:rPr>
      </w:pPr>
    </w:p>
    <w:p w14:paraId="7175CA1A" w14:textId="77777777" w:rsidR="00C252F7" w:rsidRPr="00C861B4" w:rsidRDefault="00C252F7" w:rsidP="00C252F7">
      <w:pPr>
        <w:pStyle w:val="NoSpacing"/>
        <w:contextualSpacing/>
        <w:jc w:val="center"/>
        <w:rPr>
          <w:rFonts w:cs="Times New Roman"/>
          <w:b/>
          <w:szCs w:val="24"/>
        </w:rPr>
      </w:pPr>
      <w:r w:rsidRPr="00C861B4">
        <w:rPr>
          <w:rFonts w:cs="Times New Roman"/>
          <w:b/>
          <w:szCs w:val="24"/>
        </w:rPr>
        <w:t>CONTACT</w:t>
      </w:r>
    </w:p>
    <w:p w14:paraId="4ED72C26" w14:textId="77777777" w:rsidR="00C252F7" w:rsidRPr="00C861B4" w:rsidRDefault="00C252F7" w:rsidP="00C252F7">
      <w:pPr>
        <w:contextualSpacing/>
        <w:jc w:val="center"/>
      </w:pPr>
      <w:r w:rsidRPr="00C861B4">
        <w:rPr>
          <w:bCs/>
          <w:shd w:val="clear" w:color="auto" w:fill="FFFFFF"/>
        </w:rPr>
        <w:t>Monique Carry, PhD</w:t>
      </w:r>
      <w:r w:rsidRPr="00C861B4">
        <w:t>, MA</w:t>
      </w:r>
      <w:r w:rsidRPr="00C861B4">
        <w:br/>
        <w:t>Behavioral Scientist</w:t>
      </w:r>
    </w:p>
    <w:p w14:paraId="2FC58C71" w14:textId="77777777" w:rsidR="00C252F7" w:rsidRPr="00C861B4" w:rsidRDefault="00C252F7" w:rsidP="00C252F7">
      <w:pPr>
        <w:contextualSpacing/>
        <w:jc w:val="center"/>
        <w:rPr>
          <w:shd w:val="clear" w:color="auto" w:fill="FFFFFF"/>
        </w:rPr>
      </w:pPr>
      <w:r w:rsidRPr="00C861B4">
        <w:rPr>
          <w:shd w:val="clear" w:color="auto" w:fill="FFFFFF"/>
        </w:rPr>
        <w:t>Centers for Disease Control and Prevention</w:t>
      </w:r>
      <w:r w:rsidRPr="00C861B4">
        <w:br/>
      </w:r>
      <w:r w:rsidRPr="00C861B4">
        <w:rPr>
          <w:shd w:val="clear" w:color="auto" w:fill="FFFFFF"/>
        </w:rPr>
        <w:t>Division of HIV/AIDS Prevention</w:t>
      </w:r>
      <w:r w:rsidRPr="00C861B4">
        <w:t xml:space="preserve"> </w:t>
      </w:r>
      <w:r w:rsidRPr="00C861B4">
        <w:br/>
      </w:r>
      <w:r w:rsidRPr="00C861B4">
        <w:rPr>
          <w:shd w:val="clear" w:color="auto" w:fill="FFFFFF"/>
        </w:rPr>
        <w:t>1600 Clifton Road, NE, Mailstop E-44</w:t>
      </w:r>
      <w:r w:rsidRPr="00C861B4">
        <w:br/>
      </w:r>
      <w:r w:rsidRPr="00C861B4">
        <w:rPr>
          <w:shd w:val="clear" w:color="auto" w:fill="FFFFFF"/>
        </w:rPr>
        <w:t>Atlanta, GA 30329</w:t>
      </w:r>
      <w:r w:rsidRPr="00C861B4">
        <w:br/>
      </w:r>
      <w:r w:rsidRPr="00C861B4">
        <w:rPr>
          <w:shd w:val="clear" w:color="auto" w:fill="FFFFFF"/>
        </w:rPr>
        <w:t>Phone: 404-639-2275</w:t>
      </w:r>
    </w:p>
    <w:p w14:paraId="48A98E56" w14:textId="77777777" w:rsidR="00C252F7" w:rsidRPr="00C861B4" w:rsidRDefault="00C252F7" w:rsidP="00C252F7">
      <w:pPr>
        <w:pStyle w:val="NoSpacing"/>
        <w:contextualSpacing/>
        <w:jc w:val="center"/>
        <w:rPr>
          <w:rFonts w:cs="Times New Roman"/>
          <w:szCs w:val="24"/>
        </w:rPr>
      </w:pPr>
      <w:r w:rsidRPr="00C861B4">
        <w:rPr>
          <w:rFonts w:cs="Times New Roman"/>
          <w:szCs w:val="24"/>
          <w:shd w:val="clear" w:color="auto" w:fill="FFFFFF"/>
        </w:rPr>
        <w:t>Fax: 404-639-8622</w:t>
      </w:r>
      <w:r w:rsidRPr="00C861B4">
        <w:rPr>
          <w:rFonts w:cs="Times New Roman"/>
          <w:szCs w:val="24"/>
        </w:rPr>
        <w:br/>
      </w:r>
      <w:r w:rsidRPr="00C861B4">
        <w:rPr>
          <w:rFonts w:cs="Times New Roman"/>
          <w:szCs w:val="24"/>
          <w:shd w:val="clear" w:color="auto" w:fill="FFFFFF"/>
        </w:rPr>
        <w:t>E-mail:</w:t>
      </w:r>
      <w:r w:rsidRPr="00C861B4">
        <w:rPr>
          <w:rFonts w:cs="Times New Roman"/>
          <w:szCs w:val="24"/>
        </w:rPr>
        <w:t> </w:t>
      </w:r>
      <w:hyperlink r:id="rId9" w:history="1">
        <w:r w:rsidRPr="00C861B4">
          <w:rPr>
            <w:rStyle w:val="Hyperlink"/>
            <w:rFonts w:cs="Times New Roman"/>
            <w:szCs w:val="24"/>
          </w:rPr>
          <w:t>mcarry@cdc.gov</w:t>
        </w:r>
      </w:hyperlink>
    </w:p>
    <w:p w14:paraId="7424E0EB" w14:textId="77777777" w:rsidR="0040239B" w:rsidRDefault="0040239B" w:rsidP="0040239B">
      <w:pPr>
        <w:pStyle w:val="NoSpacing"/>
        <w:jc w:val="center"/>
        <w:rPr>
          <w:b/>
        </w:rPr>
      </w:pPr>
    </w:p>
    <w:p w14:paraId="45D58C69" w14:textId="77777777" w:rsidR="00DC57CC" w:rsidRDefault="00DC57CC"/>
    <w:p w14:paraId="2C78677F" w14:textId="77777777" w:rsidR="005342FB" w:rsidRDefault="005342FB">
      <w:pPr>
        <w:spacing w:after="200" w:line="276" w:lineRule="auto"/>
        <w:rPr>
          <w:rFonts w:eastAsiaTheme="minorHAnsi" w:cstheme="minorBidi"/>
          <w:szCs w:val="22"/>
        </w:rPr>
      </w:pPr>
      <w:r>
        <w:br w:type="page"/>
      </w:r>
    </w:p>
    <w:p w14:paraId="22273454" w14:textId="77777777" w:rsidR="005342FB" w:rsidRDefault="005342FB" w:rsidP="00D3747B">
      <w:pPr>
        <w:pStyle w:val="NoSpacing"/>
        <w:pBdr>
          <w:bottom w:val="single" w:sz="4" w:space="1" w:color="auto"/>
        </w:pBdr>
        <w:rPr>
          <w:b/>
        </w:rPr>
      </w:pPr>
      <w:r w:rsidRPr="00D3747B">
        <w:rPr>
          <w:b/>
        </w:rPr>
        <w:lastRenderedPageBreak/>
        <w:t>TABLE OF CONTENTS</w:t>
      </w:r>
    </w:p>
    <w:p w14:paraId="550F2F0A" w14:textId="77777777" w:rsidR="00D3747B" w:rsidRPr="00D3747B" w:rsidRDefault="00D3747B" w:rsidP="005342FB">
      <w:pPr>
        <w:pStyle w:val="NoSpacing"/>
        <w:rPr>
          <w:b/>
        </w:rPr>
      </w:pPr>
    </w:p>
    <w:sdt>
      <w:sdtPr>
        <w:id w:val="1342736994"/>
        <w:docPartObj>
          <w:docPartGallery w:val="Table of Contents"/>
          <w:docPartUnique/>
        </w:docPartObj>
      </w:sdtPr>
      <w:sdtEndPr>
        <w:rPr>
          <w:b/>
          <w:bCs/>
          <w:noProof/>
        </w:rPr>
      </w:sdtEndPr>
      <w:sdtContent>
        <w:p w14:paraId="644FBF1C" w14:textId="4755DD1C" w:rsidR="0047153A" w:rsidRDefault="00D3747B">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5950354" w:history="1">
            <w:r w:rsidR="0047153A" w:rsidRPr="00EA6AA3">
              <w:rPr>
                <w:rStyle w:val="Hyperlink"/>
                <w:rFonts w:eastAsiaTheme="majorEastAsia"/>
                <w:noProof/>
              </w:rPr>
              <w:t>1.</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Respondent Universe and Sampling Methods</w:t>
            </w:r>
            <w:r w:rsidR="0047153A">
              <w:rPr>
                <w:noProof/>
                <w:webHidden/>
              </w:rPr>
              <w:tab/>
            </w:r>
            <w:r w:rsidR="0047153A">
              <w:rPr>
                <w:noProof/>
                <w:webHidden/>
              </w:rPr>
              <w:fldChar w:fldCharType="begin"/>
            </w:r>
            <w:r w:rsidR="0047153A">
              <w:rPr>
                <w:noProof/>
                <w:webHidden/>
              </w:rPr>
              <w:instrText xml:space="preserve"> PAGEREF _Toc475950354 \h </w:instrText>
            </w:r>
            <w:r w:rsidR="0047153A">
              <w:rPr>
                <w:noProof/>
                <w:webHidden/>
              </w:rPr>
            </w:r>
            <w:r w:rsidR="0047153A">
              <w:rPr>
                <w:noProof/>
                <w:webHidden/>
              </w:rPr>
              <w:fldChar w:fldCharType="separate"/>
            </w:r>
            <w:r w:rsidR="00225610">
              <w:rPr>
                <w:noProof/>
                <w:webHidden/>
              </w:rPr>
              <w:t>3</w:t>
            </w:r>
            <w:r w:rsidR="0047153A">
              <w:rPr>
                <w:noProof/>
                <w:webHidden/>
              </w:rPr>
              <w:fldChar w:fldCharType="end"/>
            </w:r>
          </w:hyperlink>
        </w:p>
        <w:p w14:paraId="62637AC6" w14:textId="3D6B4E6A" w:rsidR="0047153A" w:rsidRDefault="00517ADC">
          <w:pPr>
            <w:pStyle w:val="TOC1"/>
            <w:tabs>
              <w:tab w:val="left" w:pos="440"/>
              <w:tab w:val="right" w:leader="dot" w:pos="10070"/>
            </w:tabs>
            <w:rPr>
              <w:rFonts w:asciiTheme="minorHAnsi" w:eastAsiaTheme="minorEastAsia" w:hAnsiTheme="minorHAnsi" w:cstheme="minorBidi"/>
              <w:noProof/>
              <w:sz w:val="22"/>
              <w:szCs w:val="22"/>
            </w:rPr>
          </w:pPr>
          <w:hyperlink w:anchor="_Toc475950355" w:history="1">
            <w:r w:rsidR="0047153A" w:rsidRPr="00EA6AA3">
              <w:rPr>
                <w:rStyle w:val="Hyperlink"/>
                <w:rFonts w:eastAsiaTheme="majorEastAsia"/>
                <w:noProof/>
              </w:rPr>
              <w:t>2.</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Procedures for the Collection of Information</w:t>
            </w:r>
            <w:r w:rsidR="0047153A">
              <w:rPr>
                <w:noProof/>
                <w:webHidden/>
              </w:rPr>
              <w:tab/>
            </w:r>
            <w:r w:rsidR="0047153A">
              <w:rPr>
                <w:noProof/>
                <w:webHidden/>
              </w:rPr>
              <w:fldChar w:fldCharType="begin"/>
            </w:r>
            <w:r w:rsidR="0047153A">
              <w:rPr>
                <w:noProof/>
                <w:webHidden/>
              </w:rPr>
              <w:instrText xml:space="preserve"> PAGEREF _Toc475950355 \h </w:instrText>
            </w:r>
            <w:r w:rsidR="0047153A">
              <w:rPr>
                <w:noProof/>
                <w:webHidden/>
              </w:rPr>
            </w:r>
            <w:r w:rsidR="0047153A">
              <w:rPr>
                <w:noProof/>
                <w:webHidden/>
              </w:rPr>
              <w:fldChar w:fldCharType="separate"/>
            </w:r>
            <w:r w:rsidR="00225610">
              <w:rPr>
                <w:noProof/>
                <w:webHidden/>
              </w:rPr>
              <w:t>6</w:t>
            </w:r>
            <w:r w:rsidR="0047153A">
              <w:rPr>
                <w:noProof/>
                <w:webHidden/>
              </w:rPr>
              <w:fldChar w:fldCharType="end"/>
            </w:r>
          </w:hyperlink>
        </w:p>
        <w:p w14:paraId="1D69E376" w14:textId="58AC09BB" w:rsidR="0047153A" w:rsidRDefault="00517ADC">
          <w:pPr>
            <w:pStyle w:val="TOC1"/>
            <w:tabs>
              <w:tab w:val="left" w:pos="440"/>
              <w:tab w:val="right" w:leader="dot" w:pos="10070"/>
            </w:tabs>
            <w:rPr>
              <w:rFonts w:asciiTheme="minorHAnsi" w:eastAsiaTheme="minorEastAsia" w:hAnsiTheme="minorHAnsi" w:cstheme="minorBidi"/>
              <w:noProof/>
              <w:sz w:val="22"/>
              <w:szCs w:val="22"/>
            </w:rPr>
          </w:pPr>
          <w:hyperlink w:anchor="_Toc475950356" w:history="1">
            <w:r w:rsidR="0047153A" w:rsidRPr="00EA6AA3">
              <w:rPr>
                <w:rStyle w:val="Hyperlink"/>
                <w:rFonts w:eastAsiaTheme="majorEastAsia"/>
                <w:noProof/>
              </w:rPr>
              <w:t>3.</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Methods to Maximize Response Rates and Deal with No Response</w:t>
            </w:r>
            <w:r w:rsidR="0047153A">
              <w:rPr>
                <w:noProof/>
                <w:webHidden/>
              </w:rPr>
              <w:tab/>
            </w:r>
            <w:r w:rsidR="0047153A">
              <w:rPr>
                <w:noProof/>
                <w:webHidden/>
              </w:rPr>
              <w:fldChar w:fldCharType="begin"/>
            </w:r>
            <w:r w:rsidR="0047153A">
              <w:rPr>
                <w:noProof/>
                <w:webHidden/>
              </w:rPr>
              <w:instrText xml:space="preserve"> PAGEREF _Toc475950356 \h </w:instrText>
            </w:r>
            <w:r w:rsidR="0047153A">
              <w:rPr>
                <w:noProof/>
                <w:webHidden/>
              </w:rPr>
            </w:r>
            <w:r w:rsidR="0047153A">
              <w:rPr>
                <w:noProof/>
                <w:webHidden/>
              </w:rPr>
              <w:fldChar w:fldCharType="separate"/>
            </w:r>
            <w:r w:rsidR="00225610">
              <w:rPr>
                <w:noProof/>
                <w:webHidden/>
              </w:rPr>
              <w:t>7</w:t>
            </w:r>
            <w:r w:rsidR="0047153A">
              <w:rPr>
                <w:noProof/>
                <w:webHidden/>
              </w:rPr>
              <w:fldChar w:fldCharType="end"/>
            </w:r>
          </w:hyperlink>
        </w:p>
        <w:p w14:paraId="0247DE11" w14:textId="5AFE20E0" w:rsidR="0047153A" w:rsidRDefault="00517ADC">
          <w:pPr>
            <w:pStyle w:val="TOC1"/>
            <w:tabs>
              <w:tab w:val="left" w:pos="440"/>
              <w:tab w:val="right" w:leader="dot" w:pos="10070"/>
            </w:tabs>
            <w:rPr>
              <w:rFonts w:asciiTheme="minorHAnsi" w:eastAsiaTheme="minorEastAsia" w:hAnsiTheme="minorHAnsi" w:cstheme="minorBidi"/>
              <w:noProof/>
              <w:sz w:val="22"/>
              <w:szCs w:val="22"/>
            </w:rPr>
          </w:pPr>
          <w:hyperlink w:anchor="_Toc475950357" w:history="1">
            <w:r w:rsidR="0047153A" w:rsidRPr="00EA6AA3">
              <w:rPr>
                <w:rStyle w:val="Hyperlink"/>
                <w:rFonts w:eastAsiaTheme="majorEastAsia"/>
                <w:noProof/>
              </w:rPr>
              <w:t>4.</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Tests of Procedures or Methods to be Undertaken</w:t>
            </w:r>
            <w:r w:rsidR="0047153A">
              <w:rPr>
                <w:noProof/>
                <w:webHidden/>
              </w:rPr>
              <w:tab/>
            </w:r>
            <w:r w:rsidR="0047153A">
              <w:rPr>
                <w:noProof/>
                <w:webHidden/>
              </w:rPr>
              <w:fldChar w:fldCharType="begin"/>
            </w:r>
            <w:r w:rsidR="0047153A">
              <w:rPr>
                <w:noProof/>
                <w:webHidden/>
              </w:rPr>
              <w:instrText xml:space="preserve"> PAGEREF _Toc475950357 \h </w:instrText>
            </w:r>
            <w:r w:rsidR="0047153A">
              <w:rPr>
                <w:noProof/>
                <w:webHidden/>
              </w:rPr>
            </w:r>
            <w:r w:rsidR="0047153A">
              <w:rPr>
                <w:noProof/>
                <w:webHidden/>
              </w:rPr>
              <w:fldChar w:fldCharType="separate"/>
            </w:r>
            <w:r w:rsidR="00225610">
              <w:rPr>
                <w:noProof/>
                <w:webHidden/>
              </w:rPr>
              <w:t>7</w:t>
            </w:r>
            <w:r w:rsidR="0047153A">
              <w:rPr>
                <w:noProof/>
                <w:webHidden/>
              </w:rPr>
              <w:fldChar w:fldCharType="end"/>
            </w:r>
          </w:hyperlink>
        </w:p>
        <w:p w14:paraId="1A1EEE7F" w14:textId="62401853" w:rsidR="0047153A" w:rsidRDefault="00517ADC">
          <w:pPr>
            <w:pStyle w:val="TOC1"/>
            <w:tabs>
              <w:tab w:val="left" w:pos="440"/>
              <w:tab w:val="right" w:leader="dot" w:pos="10070"/>
            </w:tabs>
            <w:rPr>
              <w:rFonts w:asciiTheme="minorHAnsi" w:eastAsiaTheme="minorEastAsia" w:hAnsiTheme="minorHAnsi" w:cstheme="minorBidi"/>
              <w:noProof/>
              <w:sz w:val="22"/>
              <w:szCs w:val="22"/>
            </w:rPr>
          </w:pPr>
          <w:hyperlink w:anchor="_Toc475950358" w:history="1">
            <w:r w:rsidR="0047153A" w:rsidRPr="00EA6AA3">
              <w:rPr>
                <w:rStyle w:val="Hyperlink"/>
                <w:rFonts w:eastAsiaTheme="majorEastAsia"/>
                <w:noProof/>
              </w:rPr>
              <w:t>5.</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Individuals Consulted on Statistical Aspects and Individuals Collecting and/or Analyzing Data</w:t>
            </w:r>
            <w:r w:rsidR="0047153A">
              <w:rPr>
                <w:noProof/>
                <w:webHidden/>
              </w:rPr>
              <w:tab/>
            </w:r>
            <w:r w:rsidR="0047153A">
              <w:rPr>
                <w:noProof/>
                <w:webHidden/>
              </w:rPr>
              <w:fldChar w:fldCharType="begin"/>
            </w:r>
            <w:r w:rsidR="0047153A">
              <w:rPr>
                <w:noProof/>
                <w:webHidden/>
              </w:rPr>
              <w:instrText xml:space="preserve"> PAGEREF _Toc475950358 \h </w:instrText>
            </w:r>
            <w:r w:rsidR="0047153A">
              <w:rPr>
                <w:noProof/>
                <w:webHidden/>
              </w:rPr>
            </w:r>
            <w:r w:rsidR="0047153A">
              <w:rPr>
                <w:noProof/>
                <w:webHidden/>
              </w:rPr>
              <w:fldChar w:fldCharType="separate"/>
            </w:r>
            <w:r w:rsidR="00225610">
              <w:rPr>
                <w:noProof/>
                <w:webHidden/>
              </w:rPr>
              <w:t>7</w:t>
            </w:r>
            <w:r w:rsidR="0047153A">
              <w:rPr>
                <w:noProof/>
                <w:webHidden/>
              </w:rPr>
              <w:fldChar w:fldCharType="end"/>
            </w:r>
          </w:hyperlink>
        </w:p>
        <w:p w14:paraId="57C56836" w14:textId="77777777" w:rsidR="00D3747B" w:rsidRDefault="00D3747B">
          <w:r>
            <w:rPr>
              <w:b/>
              <w:bCs/>
              <w:noProof/>
            </w:rPr>
            <w:fldChar w:fldCharType="end"/>
          </w:r>
        </w:p>
      </w:sdtContent>
    </w:sdt>
    <w:p w14:paraId="4B3BCA3D" w14:textId="77777777" w:rsidR="005342FB" w:rsidRDefault="005342FB" w:rsidP="005342FB">
      <w:pPr>
        <w:pStyle w:val="NoSpacing"/>
      </w:pPr>
    </w:p>
    <w:p w14:paraId="4FCA7235" w14:textId="77777777" w:rsidR="005342FB" w:rsidRDefault="00D3747B" w:rsidP="00FF1B1C">
      <w:pPr>
        <w:pStyle w:val="NoSpacing"/>
        <w:pBdr>
          <w:bottom w:val="single" w:sz="4" w:space="1" w:color="auto"/>
        </w:pBdr>
        <w:rPr>
          <w:b/>
        </w:rPr>
      </w:pPr>
      <w:r w:rsidRPr="00D3747B">
        <w:rPr>
          <w:b/>
        </w:rPr>
        <w:t>EXHIBITS</w:t>
      </w:r>
    </w:p>
    <w:p w14:paraId="248C323F" w14:textId="77777777" w:rsidR="00FF1B1C" w:rsidRPr="00D3747B" w:rsidRDefault="00FF1B1C" w:rsidP="005342FB">
      <w:pPr>
        <w:pStyle w:val="NoSpacing"/>
        <w:rPr>
          <w:b/>
        </w:rPr>
      </w:pPr>
    </w:p>
    <w:p w14:paraId="60B91979" w14:textId="66DE4775" w:rsidR="0047153A" w:rsidRDefault="007F29CE">
      <w:pPr>
        <w:pStyle w:val="TableofFigures"/>
        <w:tabs>
          <w:tab w:val="right" w:leader="dot" w:pos="10070"/>
        </w:tabs>
        <w:rPr>
          <w:rFonts w:asciiTheme="minorHAnsi" w:eastAsiaTheme="minorEastAsia" w:hAnsiTheme="minorHAnsi" w:cstheme="minorBidi"/>
          <w:noProof/>
          <w:sz w:val="22"/>
          <w:szCs w:val="22"/>
        </w:rPr>
      </w:pPr>
      <w:r>
        <w:fldChar w:fldCharType="begin"/>
      </w:r>
      <w:r>
        <w:instrText xml:space="preserve"> TOC \h \z \c "Exhibit" </w:instrText>
      </w:r>
      <w:r>
        <w:fldChar w:fldCharType="separate"/>
      </w:r>
      <w:hyperlink w:anchor="_Toc475950364" w:history="1">
        <w:r w:rsidR="0047153A" w:rsidRPr="002A5FB3">
          <w:rPr>
            <w:rStyle w:val="Hyperlink"/>
            <w:rFonts w:eastAsia="MS Mincho"/>
            <w:noProof/>
          </w:rPr>
          <w:t>Exhibit</w:t>
        </w:r>
        <w:r w:rsidR="0047153A" w:rsidRPr="002A5FB3">
          <w:rPr>
            <w:rStyle w:val="Hyperlink"/>
            <w:noProof/>
          </w:rPr>
          <w:t xml:space="preserve"> B1.1: Summary of Recruitment Targets</w:t>
        </w:r>
        <w:r w:rsidR="0047153A">
          <w:rPr>
            <w:noProof/>
            <w:webHidden/>
          </w:rPr>
          <w:tab/>
        </w:r>
        <w:r w:rsidR="0047153A">
          <w:rPr>
            <w:noProof/>
            <w:webHidden/>
          </w:rPr>
          <w:fldChar w:fldCharType="begin"/>
        </w:r>
        <w:r w:rsidR="0047153A">
          <w:rPr>
            <w:noProof/>
            <w:webHidden/>
          </w:rPr>
          <w:instrText xml:space="preserve"> PAGEREF _Toc475950364 \h </w:instrText>
        </w:r>
        <w:r w:rsidR="0047153A">
          <w:rPr>
            <w:noProof/>
            <w:webHidden/>
          </w:rPr>
        </w:r>
        <w:r w:rsidR="0047153A">
          <w:rPr>
            <w:noProof/>
            <w:webHidden/>
          </w:rPr>
          <w:fldChar w:fldCharType="separate"/>
        </w:r>
        <w:r w:rsidR="00225610">
          <w:rPr>
            <w:noProof/>
            <w:webHidden/>
          </w:rPr>
          <w:t>5</w:t>
        </w:r>
        <w:r w:rsidR="0047153A">
          <w:rPr>
            <w:noProof/>
            <w:webHidden/>
          </w:rPr>
          <w:fldChar w:fldCharType="end"/>
        </w:r>
      </w:hyperlink>
    </w:p>
    <w:p w14:paraId="38132DDE" w14:textId="786850A2" w:rsidR="0047153A" w:rsidRDefault="00517ADC">
      <w:pPr>
        <w:pStyle w:val="TableofFigures"/>
        <w:tabs>
          <w:tab w:val="right" w:leader="dot" w:pos="10070"/>
        </w:tabs>
        <w:rPr>
          <w:rFonts w:asciiTheme="minorHAnsi" w:eastAsiaTheme="minorEastAsia" w:hAnsiTheme="minorHAnsi" w:cstheme="minorBidi"/>
          <w:noProof/>
          <w:sz w:val="22"/>
          <w:szCs w:val="22"/>
        </w:rPr>
      </w:pPr>
      <w:hyperlink w:anchor="_Toc475950365" w:history="1">
        <w:r w:rsidR="0047153A" w:rsidRPr="002A5FB3">
          <w:rPr>
            <w:rStyle w:val="Hyperlink"/>
            <w:noProof/>
          </w:rPr>
          <w:t xml:space="preserve">Exhibit </w:t>
        </w:r>
        <w:r w:rsidR="009E0726">
          <w:rPr>
            <w:rStyle w:val="Hyperlink"/>
            <w:noProof/>
          </w:rPr>
          <w:t>B</w:t>
        </w:r>
        <w:r w:rsidR="0047153A" w:rsidRPr="002A5FB3">
          <w:rPr>
            <w:rStyle w:val="Hyperlink"/>
            <w:noProof/>
          </w:rPr>
          <w:t>5.1: Statistical Consultants</w:t>
        </w:r>
        <w:r w:rsidR="0047153A">
          <w:rPr>
            <w:noProof/>
            <w:webHidden/>
          </w:rPr>
          <w:tab/>
        </w:r>
        <w:r w:rsidR="0047153A">
          <w:rPr>
            <w:noProof/>
            <w:webHidden/>
          </w:rPr>
          <w:fldChar w:fldCharType="begin"/>
        </w:r>
        <w:r w:rsidR="0047153A">
          <w:rPr>
            <w:noProof/>
            <w:webHidden/>
          </w:rPr>
          <w:instrText xml:space="preserve"> PAGEREF _Toc475950365 \h </w:instrText>
        </w:r>
        <w:r w:rsidR="0047153A">
          <w:rPr>
            <w:noProof/>
            <w:webHidden/>
          </w:rPr>
        </w:r>
        <w:r w:rsidR="0047153A">
          <w:rPr>
            <w:noProof/>
            <w:webHidden/>
          </w:rPr>
          <w:fldChar w:fldCharType="separate"/>
        </w:r>
        <w:r w:rsidR="00225610">
          <w:rPr>
            <w:noProof/>
            <w:webHidden/>
          </w:rPr>
          <w:t>8</w:t>
        </w:r>
        <w:r w:rsidR="0047153A">
          <w:rPr>
            <w:noProof/>
            <w:webHidden/>
          </w:rPr>
          <w:fldChar w:fldCharType="end"/>
        </w:r>
      </w:hyperlink>
    </w:p>
    <w:p w14:paraId="7BD91D5C" w14:textId="77777777" w:rsidR="00FF1B1C" w:rsidRDefault="007F29CE" w:rsidP="007F29CE">
      <w:pPr>
        <w:pStyle w:val="NoSpacing"/>
        <w:spacing w:line="360" w:lineRule="auto"/>
        <w:rPr>
          <w:b/>
        </w:rPr>
      </w:pPr>
      <w:r>
        <w:fldChar w:fldCharType="end"/>
      </w:r>
      <w:r w:rsidRPr="00D3747B">
        <w:rPr>
          <w:b/>
        </w:rPr>
        <w:t xml:space="preserve"> </w:t>
      </w:r>
    </w:p>
    <w:p w14:paraId="53485745" w14:textId="77777777" w:rsidR="005342FB" w:rsidRPr="00E451A4" w:rsidRDefault="005342FB" w:rsidP="00E451A4">
      <w:pPr>
        <w:pStyle w:val="NoSpacing"/>
        <w:tabs>
          <w:tab w:val="left" w:pos="360"/>
        </w:tabs>
      </w:pPr>
      <w:r w:rsidRPr="00D3747B">
        <w:rPr>
          <w:b/>
        </w:rPr>
        <w:br w:type="page"/>
      </w:r>
    </w:p>
    <w:p w14:paraId="1948CDDB" w14:textId="77777777" w:rsidR="005342FB" w:rsidRDefault="005342FB" w:rsidP="005342FB">
      <w:pPr>
        <w:pStyle w:val="Heading1"/>
      </w:pPr>
      <w:bookmarkStart w:id="1" w:name="_Toc475950354"/>
      <w:r>
        <w:lastRenderedPageBreak/>
        <w:t>Respondent Universe and Sampling Methods</w:t>
      </w:r>
      <w:bookmarkEnd w:id="1"/>
    </w:p>
    <w:p w14:paraId="190E1198" w14:textId="77777777" w:rsidR="005342FB" w:rsidRDefault="005342FB" w:rsidP="005342FB"/>
    <w:p w14:paraId="7EAD2A74" w14:textId="6C787B04" w:rsidR="007A2269" w:rsidRPr="007B5EDC" w:rsidRDefault="00045E22" w:rsidP="007A2269">
      <w:pPr>
        <w:spacing w:line="360" w:lineRule="auto"/>
      </w:pPr>
      <w:r w:rsidRPr="00E131A3">
        <w:t xml:space="preserve">We plan to recruit approximately </w:t>
      </w:r>
      <w:r w:rsidR="00977F49">
        <w:t>64</w:t>
      </w:r>
      <w:r w:rsidR="00977F49" w:rsidRPr="00E131A3">
        <w:t xml:space="preserve"> </w:t>
      </w:r>
      <w:r w:rsidRPr="00E131A3">
        <w:t xml:space="preserve">black/African American MSM </w:t>
      </w:r>
      <w:r w:rsidR="00686E78">
        <w:t xml:space="preserve">(BMSM) </w:t>
      </w:r>
      <w:r w:rsidRPr="00E131A3">
        <w:t xml:space="preserve">to discuss the notion of community and its relevance to sexual health activism. </w:t>
      </w:r>
      <w:r w:rsidR="007A2269" w:rsidRPr="007A2269">
        <w:t xml:space="preserve">The sample will be stratified by city (New Orleans and Washington, DC) and age (18-34, 35+). In each city, we will target recruiting approximately sixteen black/African American MSM age 18-34 and sixteen age 35+.   </w:t>
      </w:r>
    </w:p>
    <w:p w14:paraId="6B1D65F6" w14:textId="77777777" w:rsidR="00045E22" w:rsidRDefault="00045E22" w:rsidP="007A2269">
      <w:pPr>
        <w:spacing w:line="360" w:lineRule="auto"/>
        <w:rPr>
          <w:b/>
        </w:rPr>
      </w:pPr>
    </w:p>
    <w:p w14:paraId="74C63A88" w14:textId="77777777" w:rsidR="00554673" w:rsidRDefault="002A4110" w:rsidP="00D207FC">
      <w:pPr>
        <w:rPr>
          <w:b/>
        </w:rPr>
      </w:pPr>
      <w:r>
        <w:rPr>
          <w:b/>
        </w:rPr>
        <w:t>Sampling Methods</w:t>
      </w:r>
    </w:p>
    <w:p w14:paraId="73C07C86" w14:textId="77777777" w:rsidR="002A4110" w:rsidRDefault="002A4110" w:rsidP="00D207FC"/>
    <w:p w14:paraId="71DE596D" w14:textId="05652703" w:rsidR="002A4110" w:rsidRDefault="0081578D" w:rsidP="007764EA">
      <w:pPr>
        <w:spacing w:line="360" w:lineRule="auto"/>
      </w:pPr>
      <w:r w:rsidRPr="00E131A3">
        <w:t>The overall sampling strategy for this study is specifically designed for qualitative analysis.</w:t>
      </w:r>
      <w:r w:rsidRPr="00E131A3">
        <w:rPr>
          <w:b/>
          <w:bCs/>
        </w:rPr>
        <w:t xml:space="preserve"> </w:t>
      </w:r>
      <w:r w:rsidRPr="00E131A3">
        <w:t>Recruiting a probability sample is unnecessary for this type of research and findings could be misleading to the broader scientific community and the general public.  We intend to use a purposive sample that is designed to ensure that a wide range of experiences are available</w:t>
      </w:r>
      <w:r>
        <w:t>.</w:t>
      </w:r>
    </w:p>
    <w:p w14:paraId="25B4A580" w14:textId="77777777" w:rsidR="007764EA" w:rsidRDefault="007764EA" w:rsidP="002A4110">
      <w:pPr>
        <w:rPr>
          <w:rFonts w:ascii="Arial" w:hAnsi="Arial" w:cs="Arial"/>
          <w:b/>
          <w:i/>
          <w:color w:val="1F497D"/>
          <w:sz w:val="20"/>
          <w:szCs w:val="20"/>
          <w:lang w:bidi="en-US"/>
        </w:rPr>
      </w:pPr>
    </w:p>
    <w:p w14:paraId="7A199C43" w14:textId="2FDFC8BA" w:rsidR="002A4110" w:rsidRPr="00045E22" w:rsidRDefault="002A4110" w:rsidP="002A4110">
      <w:pPr>
        <w:rPr>
          <w:i/>
          <w:lang w:bidi="en-US"/>
        </w:rPr>
      </w:pPr>
      <w:r w:rsidRPr="00896EEA">
        <w:rPr>
          <w:i/>
          <w:lang w:bidi="en-US"/>
        </w:rPr>
        <w:t xml:space="preserve">Sampling Plan </w:t>
      </w:r>
      <w:r w:rsidR="00686E78">
        <w:rPr>
          <w:i/>
        </w:rPr>
        <w:t>BMSM</w:t>
      </w:r>
      <w:r w:rsidR="00F439E0" w:rsidRPr="00BF0C9B" w:rsidDel="003750AD">
        <w:rPr>
          <w:i/>
        </w:rPr>
        <w:t xml:space="preserve"> </w:t>
      </w:r>
    </w:p>
    <w:p w14:paraId="438CA54F" w14:textId="77777777" w:rsidR="00896EEA" w:rsidRPr="00896EEA" w:rsidRDefault="00896EEA" w:rsidP="002A4110">
      <w:pPr>
        <w:rPr>
          <w:i/>
          <w:lang w:bidi="en-US"/>
        </w:rPr>
      </w:pPr>
    </w:p>
    <w:p w14:paraId="05AEA1FE" w14:textId="7344C3F7" w:rsidR="002A4110" w:rsidRPr="00896EEA" w:rsidRDefault="00045E22" w:rsidP="007764EA">
      <w:pPr>
        <w:spacing w:line="360" w:lineRule="auto"/>
        <w:rPr>
          <w:color w:val="FF0000"/>
        </w:rPr>
      </w:pPr>
      <w:r>
        <w:rPr>
          <w:rFonts w:eastAsia="Arial Narrow"/>
          <w:bCs/>
          <w:spacing w:val="2"/>
          <w:position w:val="-1"/>
        </w:rPr>
        <w:t>This study</w:t>
      </w:r>
      <w:r w:rsidRPr="00896EEA">
        <w:rPr>
          <w:rFonts w:eastAsia="Arial Narrow"/>
          <w:bCs/>
          <w:spacing w:val="2"/>
          <w:position w:val="-1"/>
        </w:rPr>
        <w:t xml:space="preserve"> will utilize </w:t>
      </w:r>
      <w:r>
        <w:rPr>
          <w:rFonts w:eastAsia="Arial Narrow"/>
          <w:bCs/>
          <w:spacing w:val="2"/>
          <w:position w:val="-1"/>
        </w:rPr>
        <w:t>purposive</w:t>
      </w:r>
      <w:r w:rsidRPr="00896EEA">
        <w:rPr>
          <w:rFonts w:eastAsia="Arial Narrow"/>
          <w:bCs/>
          <w:spacing w:val="2"/>
          <w:position w:val="-1"/>
        </w:rPr>
        <w:t xml:space="preserve"> sampling to select </w:t>
      </w:r>
      <w:r w:rsidR="00686E78">
        <w:rPr>
          <w:rFonts w:eastAsia="Arial Narrow"/>
          <w:bCs/>
          <w:spacing w:val="2"/>
          <w:position w:val="-1"/>
        </w:rPr>
        <w:t>BMSM</w:t>
      </w:r>
      <w:r>
        <w:rPr>
          <w:rFonts w:eastAsia="Arial Narrow"/>
          <w:bCs/>
          <w:spacing w:val="2"/>
          <w:position w:val="-1"/>
        </w:rPr>
        <w:t xml:space="preserve"> </w:t>
      </w:r>
      <w:r w:rsidRPr="00896EEA">
        <w:rPr>
          <w:rFonts w:eastAsia="Arial Narrow"/>
          <w:bCs/>
          <w:spacing w:val="2"/>
          <w:position w:val="-1"/>
        </w:rPr>
        <w:t>to participate in the study</w:t>
      </w:r>
      <w:r>
        <w:rPr>
          <w:rFonts w:eastAsia="Arial Narrow"/>
          <w:bCs/>
          <w:spacing w:val="2"/>
          <w:position w:val="-1"/>
        </w:rPr>
        <w:t xml:space="preserve">. </w:t>
      </w:r>
      <w:r w:rsidRPr="00E131A3">
        <w:t xml:space="preserve">Purposive sampling is based on strong theoretical reasons for the choice of cases to be included in the sample.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 Instead, </w:t>
      </w:r>
      <w:r w:rsidR="008267FB">
        <w:t>a</w:t>
      </w:r>
      <w:r w:rsidRPr="00E131A3">
        <w:t xml:space="preserve"> qualitative research design that includes purposive sampling</w:t>
      </w:r>
      <w:r w:rsidR="008267FB">
        <w:t>,</w:t>
      </w:r>
      <w:r w:rsidRPr="00E131A3">
        <w:t xml:space="preserve"> tend</w:t>
      </w:r>
      <w:r w:rsidR="008267FB">
        <w:t>s</w:t>
      </w:r>
      <w:r w:rsidRPr="00E131A3">
        <w:t xml:space="preserve"> to be interested in the intricacies of the sample being studied.</w:t>
      </w:r>
      <w:r>
        <w:t xml:space="preserve"> T</w:t>
      </w:r>
      <w:r w:rsidRPr="00E131A3">
        <w:t xml:space="preserve">o select a representative probability sample, it would be necessary to find or build a sampling frame of </w:t>
      </w:r>
      <w:r w:rsidR="00686E78">
        <w:t>BMSM</w:t>
      </w:r>
      <w:r w:rsidRPr="00E131A3">
        <w:t xml:space="preserve"> in the cities of interest, which is not currently available and -- if feasible -- would require a long lead time.  Therefore, using a non-representative sample shortens the period of data collection and allows for quick analysis of results, thus meeting the research goals.</w:t>
      </w:r>
      <w:r>
        <w:t xml:space="preserve"> </w:t>
      </w:r>
      <w:r w:rsidR="009665D0">
        <w:rPr>
          <w:rFonts w:eastAsia="Arial Narrow"/>
          <w:bCs/>
          <w:spacing w:val="2"/>
          <w:position w:val="-1"/>
        </w:rPr>
        <w:t xml:space="preserve">Exhibit </w:t>
      </w:r>
      <w:r w:rsidR="003B2593">
        <w:rPr>
          <w:rFonts w:eastAsia="Arial Narrow"/>
          <w:bCs/>
          <w:spacing w:val="2"/>
          <w:position w:val="-1"/>
        </w:rPr>
        <w:t>B</w:t>
      </w:r>
      <w:r w:rsidR="009665D0">
        <w:rPr>
          <w:rFonts w:eastAsia="Arial Narrow"/>
          <w:bCs/>
          <w:spacing w:val="2"/>
          <w:position w:val="-1"/>
        </w:rPr>
        <w:t>1.1</w:t>
      </w:r>
      <w:r w:rsidR="002A4110" w:rsidRPr="00896EEA">
        <w:rPr>
          <w:rFonts w:eastAsia="Arial Narrow"/>
          <w:bCs/>
          <w:spacing w:val="2"/>
          <w:position w:val="-1"/>
        </w:rPr>
        <w:t xml:space="preserve"> shows the sampling targets </w:t>
      </w:r>
      <w:r w:rsidR="00686E78">
        <w:t>BMSM</w:t>
      </w:r>
      <w:r w:rsidR="00977F49">
        <w:rPr>
          <w:rFonts w:eastAsia="Arial Narrow"/>
          <w:bCs/>
          <w:spacing w:val="2"/>
          <w:position w:val="-1"/>
        </w:rPr>
        <w:t>.</w:t>
      </w:r>
    </w:p>
    <w:p w14:paraId="17893C08" w14:textId="77777777" w:rsidR="002A4110" w:rsidRDefault="002A4110" w:rsidP="007764EA">
      <w:pPr>
        <w:spacing w:line="360" w:lineRule="auto"/>
        <w:rPr>
          <w:rFonts w:ascii="Arial" w:eastAsia="Arial Narrow" w:hAnsi="Arial" w:cs="Arial"/>
          <w:bCs/>
          <w:spacing w:val="2"/>
          <w:position w:val="-1"/>
          <w:sz w:val="20"/>
          <w:szCs w:val="20"/>
        </w:rPr>
      </w:pPr>
    </w:p>
    <w:p w14:paraId="06D0BF93" w14:textId="72831C4B" w:rsidR="002A4110" w:rsidRPr="009665D0" w:rsidRDefault="00045E22" w:rsidP="007764EA">
      <w:pPr>
        <w:spacing w:line="360" w:lineRule="auto"/>
      </w:pPr>
      <w:r>
        <w:t xml:space="preserve">Potential </w:t>
      </w:r>
      <w:r w:rsidR="00686E78">
        <w:t>respondents</w:t>
      </w:r>
      <w:r w:rsidR="00885D92">
        <w:t xml:space="preserve"> </w:t>
      </w:r>
      <w:r w:rsidR="00885D92" w:rsidRPr="009665D0">
        <w:t>will</w:t>
      </w:r>
      <w:r w:rsidR="002A4110" w:rsidRPr="009665D0">
        <w:t xml:space="preserve"> be screened for eligibility until each target is met in each </w:t>
      </w:r>
      <w:r>
        <w:t>city</w:t>
      </w:r>
      <w:r w:rsidR="002A4110" w:rsidRPr="009665D0">
        <w:t xml:space="preserve">. During data collection, study staff will assess whether adjustments to these proposed targets are needed in order to reach </w:t>
      </w:r>
      <w:r w:rsidR="00977F49">
        <w:t>64</w:t>
      </w:r>
      <w:r w:rsidR="00977F49" w:rsidRPr="009665D0">
        <w:t xml:space="preserve"> </w:t>
      </w:r>
      <w:r w:rsidR="00686E78">
        <w:t>respondents</w:t>
      </w:r>
      <w:r w:rsidR="002A4110" w:rsidRPr="009665D0">
        <w:t xml:space="preserve">. </w:t>
      </w:r>
      <w:r w:rsidR="002A4110" w:rsidRPr="009665D0">
        <w:rPr>
          <w:rFonts w:eastAsia="Arial Narrow"/>
          <w:bCs/>
          <w:spacing w:val="2"/>
          <w:position w:val="-1"/>
        </w:rPr>
        <w:t xml:space="preserve">The following inclusion and exclusion criteria will be used to determine eligibility </w:t>
      </w:r>
      <w:r w:rsidR="00686E78">
        <w:t>BMSM</w:t>
      </w:r>
      <w:r w:rsidR="003750AD" w:rsidRPr="009665D0" w:rsidDel="003750AD">
        <w:rPr>
          <w:rFonts w:eastAsia="Arial Narrow"/>
          <w:bCs/>
          <w:spacing w:val="2"/>
          <w:position w:val="-1"/>
        </w:rPr>
        <w:t xml:space="preserve"> </w:t>
      </w:r>
      <w:r w:rsidR="002A4110" w:rsidRPr="009665D0">
        <w:rPr>
          <w:rFonts w:eastAsia="Arial Narrow"/>
          <w:bCs/>
          <w:spacing w:val="2"/>
          <w:position w:val="-1"/>
        </w:rPr>
        <w:t xml:space="preserve">to participate in this study:   </w:t>
      </w:r>
    </w:p>
    <w:p w14:paraId="11521484" w14:textId="77777777" w:rsidR="002A4110" w:rsidRPr="009665D0" w:rsidRDefault="002A4110" w:rsidP="002A4110">
      <w:pPr>
        <w:rPr>
          <w:rFonts w:eastAsia="Arial Narrow"/>
          <w:bCs/>
          <w:i/>
          <w:spacing w:val="2"/>
          <w:position w:val="-1"/>
          <w:u w:val="single"/>
        </w:rPr>
      </w:pPr>
    </w:p>
    <w:p w14:paraId="33B9CF3A" w14:textId="77777777" w:rsidR="00377FFB" w:rsidRPr="00045E22" w:rsidRDefault="00377FFB" w:rsidP="00377FFB">
      <w:pPr>
        <w:pStyle w:val="Body"/>
        <w:spacing w:line="480" w:lineRule="auto"/>
        <w:rPr>
          <w:rFonts w:ascii="Times New Roman" w:hAnsi="Times New Roman" w:cs="Times New Roman"/>
          <w:bCs/>
          <w:i/>
          <w:sz w:val="24"/>
          <w:szCs w:val="24"/>
          <w:lang w:val="fr-FR"/>
        </w:rPr>
      </w:pPr>
      <w:r w:rsidRPr="00045E22">
        <w:rPr>
          <w:rFonts w:ascii="Times New Roman" w:hAnsi="Times New Roman" w:cs="Times New Roman"/>
          <w:bCs/>
          <w:i/>
          <w:sz w:val="24"/>
          <w:szCs w:val="24"/>
        </w:rPr>
        <w:t xml:space="preserve">MSM </w:t>
      </w:r>
      <w:r w:rsidRPr="00045E22">
        <w:rPr>
          <w:rFonts w:ascii="Times New Roman" w:hAnsi="Times New Roman" w:cs="Times New Roman"/>
          <w:bCs/>
          <w:i/>
          <w:sz w:val="24"/>
          <w:szCs w:val="24"/>
          <w:lang w:val="fr-FR"/>
        </w:rPr>
        <w:t>participant inclusion criteria:</w:t>
      </w:r>
    </w:p>
    <w:p w14:paraId="7A4FA8DA" w14:textId="071B3528" w:rsidR="00377FFB" w:rsidRPr="00E131A3" w:rsidRDefault="00377FFB" w:rsidP="00377FFB">
      <w:pPr>
        <w:pStyle w:val="Body"/>
        <w:spacing w:line="480" w:lineRule="auto"/>
        <w:rPr>
          <w:rFonts w:ascii="Times New Roman" w:eastAsia="Times New Roman" w:hAnsi="Times New Roman" w:cs="Times New Roman"/>
          <w:sz w:val="24"/>
          <w:szCs w:val="24"/>
        </w:rPr>
      </w:pPr>
      <w:r w:rsidRPr="00E131A3">
        <w:rPr>
          <w:rFonts w:ascii="Times New Roman" w:hAnsi="Times New Roman" w:cs="Times New Roman"/>
          <w:sz w:val="24"/>
          <w:szCs w:val="24"/>
        </w:rPr>
        <w:t xml:space="preserve">Eligible </w:t>
      </w:r>
      <w:r w:rsidR="00686E78">
        <w:rPr>
          <w:rFonts w:ascii="Times New Roman" w:hAnsi="Times New Roman" w:cs="Times New Roman"/>
          <w:sz w:val="24"/>
          <w:szCs w:val="24"/>
        </w:rPr>
        <w:t>respondents</w:t>
      </w:r>
      <w:r w:rsidRPr="00E131A3">
        <w:rPr>
          <w:rFonts w:ascii="Times New Roman" w:hAnsi="Times New Roman" w:cs="Times New Roman"/>
          <w:sz w:val="24"/>
          <w:szCs w:val="24"/>
        </w:rPr>
        <w:t xml:space="preserve"> will be:</w:t>
      </w:r>
    </w:p>
    <w:p w14:paraId="5D0DA9A8"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18 years or older</w:t>
      </w:r>
    </w:p>
    <w:p w14:paraId="7032729C"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Male</w:t>
      </w:r>
    </w:p>
    <w:p w14:paraId="5A63D00B"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Non-Hispanic, black/African American</w:t>
      </w:r>
    </w:p>
    <w:p w14:paraId="42311C20"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Had oral or anal sex with a male in the past 12 months</w:t>
      </w:r>
    </w:p>
    <w:p w14:paraId="7110C134"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 xml:space="preserve">Lives in the metropolitan statistical areas of Washington, DC or New Orleans, LA </w:t>
      </w:r>
    </w:p>
    <w:p w14:paraId="2AD0CFF8" w14:textId="77777777" w:rsidR="00377FFB" w:rsidRPr="00E131A3" w:rsidRDefault="00377FFB" w:rsidP="00377FFB">
      <w:pPr>
        <w:pStyle w:val="ListParagraph"/>
        <w:numPr>
          <w:ilvl w:val="1"/>
          <w:numId w:val="16"/>
        </w:numPr>
        <w:pBdr>
          <w:top w:val="nil"/>
          <w:left w:val="nil"/>
          <w:bottom w:val="nil"/>
          <w:right w:val="nil"/>
          <w:between w:val="nil"/>
          <w:bar w:val="nil"/>
        </w:pBdr>
        <w:contextualSpacing w:val="0"/>
      </w:pPr>
      <w:r w:rsidRPr="00E131A3">
        <w:t xml:space="preserve">For Washington, DC: Resident of either Montgomery County, District of Columbia, Prince George’s County, Arlington County, or Alexandria County. </w:t>
      </w:r>
    </w:p>
    <w:p w14:paraId="27C71C1C" w14:textId="77777777" w:rsidR="00377FFB" w:rsidRPr="00045E22" w:rsidRDefault="00377FFB" w:rsidP="00377FFB">
      <w:pPr>
        <w:pStyle w:val="ListParagraph"/>
        <w:numPr>
          <w:ilvl w:val="1"/>
          <w:numId w:val="16"/>
        </w:numPr>
        <w:pBdr>
          <w:top w:val="nil"/>
          <w:left w:val="nil"/>
          <w:bottom w:val="nil"/>
          <w:right w:val="nil"/>
          <w:between w:val="nil"/>
          <w:bar w:val="nil"/>
        </w:pBdr>
        <w:contextualSpacing w:val="0"/>
        <w:rPr>
          <w:i/>
        </w:rPr>
      </w:pPr>
      <w:r w:rsidRPr="00E131A3">
        <w:t>For New Orleans, LA: Resident of either Orleans Parish, Jefferson Parish, or St. Bernard Parish</w:t>
      </w:r>
      <w:r w:rsidRPr="00E131A3">
        <w:br/>
      </w:r>
    </w:p>
    <w:p w14:paraId="1C8E2ECC" w14:textId="77777777" w:rsidR="00377FFB" w:rsidRPr="00045E22" w:rsidRDefault="00377FFB" w:rsidP="00377FFB">
      <w:pPr>
        <w:pStyle w:val="Body"/>
        <w:spacing w:line="480" w:lineRule="auto"/>
        <w:rPr>
          <w:rFonts w:ascii="Times New Roman" w:hAnsi="Times New Roman" w:cs="Times New Roman"/>
          <w:bCs/>
          <w:i/>
          <w:sz w:val="24"/>
          <w:szCs w:val="24"/>
          <w:lang w:val="fr-FR"/>
        </w:rPr>
      </w:pPr>
      <w:r w:rsidRPr="00045E22">
        <w:rPr>
          <w:rFonts w:ascii="Times New Roman" w:hAnsi="Times New Roman" w:cs="Times New Roman"/>
          <w:i/>
          <w:sz w:val="24"/>
          <w:szCs w:val="24"/>
        </w:rPr>
        <w:t xml:space="preserve">MSM </w:t>
      </w:r>
      <w:r w:rsidRPr="00045E22">
        <w:rPr>
          <w:rFonts w:ascii="Times New Roman" w:hAnsi="Times New Roman" w:cs="Times New Roman"/>
          <w:bCs/>
          <w:i/>
          <w:sz w:val="24"/>
          <w:szCs w:val="24"/>
          <w:lang w:val="fr-FR"/>
        </w:rPr>
        <w:t>participant exclusion criteria:</w:t>
      </w:r>
    </w:p>
    <w:p w14:paraId="15A60CAC" w14:textId="6E8790F6" w:rsidR="00377FFB" w:rsidRPr="00E131A3" w:rsidRDefault="00686E78" w:rsidP="00377FFB">
      <w:pPr>
        <w:pStyle w:val="Body"/>
        <w:spacing w:line="480" w:lineRule="auto"/>
        <w:rPr>
          <w:rFonts w:ascii="Times New Roman" w:eastAsia="Times New Roman" w:hAnsi="Times New Roman" w:cs="Times New Roman"/>
          <w:sz w:val="24"/>
          <w:szCs w:val="24"/>
        </w:rPr>
      </w:pPr>
      <w:r>
        <w:rPr>
          <w:rFonts w:ascii="Times New Roman" w:hAnsi="Times New Roman" w:cs="Times New Roman"/>
          <w:sz w:val="24"/>
          <w:szCs w:val="24"/>
        </w:rPr>
        <w:t>Respondents</w:t>
      </w:r>
      <w:r w:rsidR="00377FFB" w:rsidRPr="00E131A3">
        <w:rPr>
          <w:rFonts w:ascii="Times New Roman" w:hAnsi="Times New Roman" w:cs="Times New Roman"/>
          <w:sz w:val="24"/>
          <w:szCs w:val="24"/>
        </w:rPr>
        <w:t xml:space="preserve"> will be excluded from the study if they are:</w:t>
      </w:r>
    </w:p>
    <w:p w14:paraId="1E40DDAE"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17 years or younger</w:t>
      </w:r>
    </w:p>
    <w:p w14:paraId="398522B8"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Identify as female or transgender</w:t>
      </w:r>
    </w:p>
    <w:p w14:paraId="4391C3C3"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 xml:space="preserve">Not non-Hispanic, black/African American </w:t>
      </w:r>
    </w:p>
    <w:p w14:paraId="4A0FDE4A"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Unable to converse easily in English</w:t>
      </w:r>
    </w:p>
    <w:p w14:paraId="5DCF9D8A"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Have not had at least one reported instance of oral or anal sex with a male in the past 12 months</w:t>
      </w:r>
    </w:p>
    <w:p w14:paraId="00DB9D1D"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 xml:space="preserve">Are from an area outside of the MSA for the target cities. </w:t>
      </w:r>
    </w:p>
    <w:p w14:paraId="0DD86DBD" w14:textId="45CB56C5" w:rsidR="003750AD" w:rsidRDefault="003750AD" w:rsidP="007764EA">
      <w:pPr>
        <w:spacing w:before="240" w:line="360" w:lineRule="auto"/>
        <w:rPr>
          <w:rFonts w:eastAsia="Arial Narrow"/>
          <w:bCs/>
          <w:spacing w:val="2"/>
          <w:position w:val="-1"/>
        </w:rPr>
      </w:pPr>
      <w:r>
        <w:rPr>
          <w:rFonts w:eastAsia="Arial Narrow"/>
          <w:bCs/>
          <w:spacing w:val="2"/>
          <w:position w:val="-1"/>
        </w:rPr>
        <w:t>R</w:t>
      </w:r>
      <w:r w:rsidRPr="00896EEA">
        <w:rPr>
          <w:rFonts w:eastAsia="Arial Narrow"/>
          <w:bCs/>
          <w:spacing w:val="2"/>
          <w:position w:val="-1"/>
        </w:rPr>
        <w:t xml:space="preserve">ecruitment strategies  are described </w:t>
      </w:r>
      <w:r>
        <w:rPr>
          <w:rFonts w:eastAsia="Arial Narrow"/>
          <w:bCs/>
          <w:spacing w:val="2"/>
          <w:position w:val="-1"/>
        </w:rPr>
        <w:t>below:</w:t>
      </w:r>
    </w:p>
    <w:p w14:paraId="73F03FFA" w14:textId="0195729D" w:rsidR="00656863" w:rsidRPr="00656863" w:rsidRDefault="00656863" w:rsidP="007764EA">
      <w:pPr>
        <w:spacing w:before="240" w:line="360" w:lineRule="auto"/>
        <w:rPr>
          <w:i/>
          <w:color w:val="000000"/>
        </w:rPr>
      </w:pPr>
      <w:r w:rsidRPr="00656863">
        <w:rPr>
          <w:i/>
          <w:color w:val="000000"/>
        </w:rPr>
        <w:t xml:space="preserve">Recruitment of </w:t>
      </w:r>
      <w:r w:rsidR="00686E78">
        <w:rPr>
          <w:i/>
          <w:color w:val="000000"/>
        </w:rPr>
        <w:t>BMSM</w:t>
      </w:r>
    </w:p>
    <w:p w14:paraId="7E2D3D9F" w14:textId="77777777" w:rsidR="007A2269" w:rsidRPr="007A2269" w:rsidRDefault="007A2269" w:rsidP="007A2269">
      <w:pPr>
        <w:spacing w:before="240" w:line="360" w:lineRule="auto"/>
        <w:rPr>
          <w:color w:val="000000"/>
        </w:rPr>
      </w:pPr>
      <w:r w:rsidRPr="007A2269">
        <w:rPr>
          <w:color w:val="000000"/>
        </w:rPr>
        <w:t>The recruitment strategy will largely rely on two methods: community-based organization led recruitment and recruitment via social media.</w:t>
      </w:r>
    </w:p>
    <w:p w14:paraId="6BDF4BF5" w14:textId="6777B025" w:rsidR="00377FFB" w:rsidRPr="00045E22" w:rsidRDefault="007A2269" w:rsidP="00045E22">
      <w:pPr>
        <w:pStyle w:val="ListParagraph"/>
        <w:numPr>
          <w:ilvl w:val="0"/>
          <w:numId w:val="18"/>
        </w:numPr>
        <w:spacing w:before="240"/>
        <w:rPr>
          <w:i/>
          <w:color w:val="000000"/>
        </w:rPr>
      </w:pPr>
      <w:r>
        <w:rPr>
          <w:i/>
          <w:color w:val="000000"/>
        </w:rPr>
        <w:t>Community-</w:t>
      </w:r>
      <w:r w:rsidR="007B5EDC">
        <w:rPr>
          <w:i/>
          <w:color w:val="000000"/>
        </w:rPr>
        <w:t>based</w:t>
      </w:r>
      <w:r>
        <w:rPr>
          <w:i/>
          <w:color w:val="000000"/>
        </w:rPr>
        <w:t xml:space="preserve"> organization recruitment</w:t>
      </w:r>
    </w:p>
    <w:p w14:paraId="50F19978" w14:textId="5E27C5E7" w:rsidR="00377FFB" w:rsidRPr="00377FFB" w:rsidRDefault="007B5EDC" w:rsidP="00AF0F06">
      <w:pPr>
        <w:spacing w:before="240" w:line="360" w:lineRule="auto"/>
        <w:rPr>
          <w:color w:val="000000"/>
        </w:rPr>
      </w:pPr>
      <w:r w:rsidRPr="007A2269">
        <w:rPr>
          <w:color w:val="000000"/>
        </w:rPr>
        <w:t>NNPHI will work will contract two local partners in both New Orleans and Washington DC (one in each) to oversee recruitment (as well as to provide facilities in which the focus groups will be conducted). Priority will be given to local partners listed by interview participants during the first round of Project Engage. Otherwise, local partners with services targeted at black/African American MSM will be selected. Selected local partners will be asked to recruit participants both actively, i.e. contacting and speaking with potential participants (or working with other local partners to do so), and passively by hanging/making available provided flyers with project details and NNPHI contact information</w:t>
      </w:r>
      <w:r>
        <w:rPr>
          <w:color w:val="000000"/>
        </w:rPr>
        <w:t>.</w:t>
      </w:r>
      <w:r w:rsidRPr="007A2269">
        <w:rPr>
          <w:color w:val="000000"/>
        </w:rPr>
        <w:t xml:space="preserve"> </w:t>
      </w:r>
      <w:r w:rsidR="00377FFB" w:rsidRPr="00377FFB">
        <w:rPr>
          <w:color w:val="000000"/>
        </w:rPr>
        <w:t xml:space="preserve">Active recruitment by the </w:t>
      </w:r>
      <w:r>
        <w:rPr>
          <w:color w:val="000000"/>
        </w:rPr>
        <w:t xml:space="preserve">community partners </w:t>
      </w:r>
      <w:r w:rsidR="00377FFB" w:rsidRPr="00377FFB">
        <w:rPr>
          <w:color w:val="000000"/>
        </w:rPr>
        <w:t xml:space="preserve">will consist of attending venues and approaching potentially eligible </w:t>
      </w:r>
      <w:r w:rsidR="00686E78">
        <w:rPr>
          <w:color w:val="000000"/>
        </w:rPr>
        <w:t>respondents</w:t>
      </w:r>
      <w:r w:rsidR="00377FFB" w:rsidRPr="00377FFB">
        <w:rPr>
          <w:color w:val="000000"/>
        </w:rPr>
        <w:t xml:space="preserve"> and providing them with an information flyer that states a telephone number for study staff and basic information regarding the study (see </w:t>
      </w:r>
      <w:r w:rsidR="008267FB" w:rsidRPr="00322A33">
        <w:rPr>
          <w:b/>
          <w:bCs/>
          <w:color w:val="000000"/>
        </w:rPr>
        <w:t>Attachment 3a and 3b</w:t>
      </w:r>
      <w:r w:rsidR="00377FFB" w:rsidRPr="00377FFB">
        <w:rPr>
          <w:color w:val="000000"/>
        </w:rPr>
        <w:t xml:space="preserve">). All recruitment materials indicate the voluntary nature of the study and will include information about the purpose, target audience, time commitment, notification that it is a recorded telephone interview, contact information, and the token of appreciation. Staff will then conduct a brief eligibility screener </w:t>
      </w:r>
      <w:r w:rsidR="0047153A">
        <w:rPr>
          <w:color w:val="000000"/>
        </w:rPr>
        <w:t xml:space="preserve">(see </w:t>
      </w:r>
      <w:r w:rsidR="0047153A" w:rsidRPr="00322A33">
        <w:rPr>
          <w:b/>
          <w:color w:val="000000"/>
        </w:rPr>
        <w:t>Attachment 5a</w:t>
      </w:r>
      <w:r w:rsidR="0047153A">
        <w:rPr>
          <w:color w:val="000000"/>
        </w:rPr>
        <w:t xml:space="preserve">) </w:t>
      </w:r>
      <w:r w:rsidR="00377FFB" w:rsidRPr="00377FFB">
        <w:rPr>
          <w:color w:val="000000"/>
        </w:rPr>
        <w:t xml:space="preserve">using questions included in the outreach recruitment procedures and, if eligible, request contact information to be provided to </w:t>
      </w:r>
      <w:r>
        <w:rPr>
          <w:color w:val="000000"/>
        </w:rPr>
        <w:t>recruitment</w:t>
      </w:r>
      <w:r w:rsidRPr="00377FFB">
        <w:rPr>
          <w:color w:val="000000"/>
        </w:rPr>
        <w:t xml:space="preserve"> </w:t>
      </w:r>
      <w:r w:rsidR="00377FFB" w:rsidRPr="00377FFB">
        <w:rPr>
          <w:color w:val="000000"/>
        </w:rPr>
        <w:t xml:space="preserve">staff to schedule </w:t>
      </w:r>
      <w:r>
        <w:rPr>
          <w:color w:val="000000"/>
        </w:rPr>
        <w:t>participation in focus group</w:t>
      </w:r>
      <w:r w:rsidR="00377FFB" w:rsidRPr="00377FFB">
        <w:rPr>
          <w:color w:val="000000"/>
        </w:rPr>
        <w:t xml:space="preserve"> at a later date. If eligibility screening is not possible during active recruitment, recruiters will collect limited contact information (e.g., first name, initial of last name, phone number, email address) in order for recruitment support staff to contact and screen potential </w:t>
      </w:r>
      <w:r w:rsidR="00686E78">
        <w:rPr>
          <w:color w:val="000000"/>
        </w:rPr>
        <w:t>respondents</w:t>
      </w:r>
      <w:r w:rsidR="00377FFB" w:rsidRPr="00377FFB">
        <w:rPr>
          <w:color w:val="000000"/>
        </w:rPr>
        <w:t xml:space="preserve"> on the phone at a more convenient time. If contact information is not collected from a potential participant at the recruitment venue, the recruitment support staff will encourage the individual to use the flyer (</w:t>
      </w:r>
      <w:r w:rsidR="0047153A" w:rsidRPr="00322A33">
        <w:rPr>
          <w:b/>
          <w:bCs/>
          <w:color w:val="000000"/>
        </w:rPr>
        <w:t xml:space="preserve">Attachment </w:t>
      </w:r>
      <w:r w:rsidR="003B2593">
        <w:rPr>
          <w:b/>
          <w:bCs/>
          <w:color w:val="000000"/>
        </w:rPr>
        <w:t>3a</w:t>
      </w:r>
      <w:r w:rsidR="00377FFB" w:rsidRPr="00377FFB">
        <w:rPr>
          <w:color w:val="000000"/>
        </w:rPr>
        <w:t xml:space="preserve">) to contact </w:t>
      </w:r>
      <w:r>
        <w:rPr>
          <w:color w:val="000000"/>
        </w:rPr>
        <w:t>recruitment</w:t>
      </w:r>
      <w:r w:rsidRPr="00377FFB">
        <w:rPr>
          <w:color w:val="000000"/>
        </w:rPr>
        <w:t xml:space="preserve"> </w:t>
      </w:r>
      <w:r w:rsidR="00377FFB" w:rsidRPr="00377FFB">
        <w:rPr>
          <w:color w:val="000000"/>
        </w:rPr>
        <w:t xml:space="preserve">staff at a later time for eligibility screening. </w:t>
      </w:r>
    </w:p>
    <w:p w14:paraId="1A58259D" w14:textId="1DBE8AE0" w:rsidR="00377FFB" w:rsidRPr="00045E22" w:rsidRDefault="00377FFB" w:rsidP="00AF0F06">
      <w:pPr>
        <w:pStyle w:val="ListParagraph"/>
        <w:numPr>
          <w:ilvl w:val="0"/>
          <w:numId w:val="18"/>
        </w:numPr>
        <w:spacing w:before="240" w:line="360" w:lineRule="auto"/>
        <w:rPr>
          <w:i/>
          <w:color w:val="000000"/>
        </w:rPr>
      </w:pPr>
      <w:r w:rsidRPr="00377FFB">
        <w:rPr>
          <w:i/>
          <w:color w:val="000000"/>
        </w:rPr>
        <w:t>Passive R</w:t>
      </w:r>
      <w:r w:rsidRPr="00045E22">
        <w:rPr>
          <w:i/>
          <w:color w:val="000000"/>
        </w:rPr>
        <w:t>ecruitment</w:t>
      </w:r>
      <w:r w:rsidR="007B5EDC">
        <w:rPr>
          <w:i/>
          <w:color w:val="000000"/>
        </w:rPr>
        <w:t xml:space="preserve"> via Social Media</w:t>
      </w:r>
      <w:r w:rsidRPr="00045E22">
        <w:rPr>
          <w:i/>
          <w:color w:val="000000"/>
        </w:rPr>
        <w:t xml:space="preserve"> </w:t>
      </w:r>
    </w:p>
    <w:p w14:paraId="028BD1A8" w14:textId="77777777" w:rsidR="007B5EDC" w:rsidRDefault="007B5EDC" w:rsidP="00AF0F0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u w:color="000000"/>
        </w:rPr>
      </w:pPr>
    </w:p>
    <w:p w14:paraId="19D0A629" w14:textId="3954BAB7" w:rsidR="007B5EDC" w:rsidRPr="007B5EDC" w:rsidRDefault="007B5EDC" w:rsidP="00AF0F0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u w:color="000000"/>
        </w:rPr>
      </w:pPr>
      <w:r w:rsidRPr="007B5EDC">
        <w:rPr>
          <w:color w:val="000000"/>
          <w:u w:color="000000"/>
        </w:rPr>
        <w:t>NNPHI will also recruit via social media, relying largely on dating apps targeting MSM such as:</w:t>
      </w:r>
    </w:p>
    <w:p w14:paraId="7483405E" w14:textId="77777777" w:rsidR="007B5EDC" w:rsidRPr="007B5EDC" w:rsidRDefault="007B5EDC" w:rsidP="00AF0F06">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u w:color="000000"/>
        </w:rPr>
      </w:pPr>
      <w:r w:rsidRPr="007B5EDC">
        <w:rPr>
          <w:color w:val="000000"/>
          <w:u w:color="000000"/>
        </w:rPr>
        <w:t>Scruff</w:t>
      </w:r>
    </w:p>
    <w:p w14:paraId="6A494F4E" w14:textId="77777777" w:rsidR="007B5EDC" w:rsidRPr="007B5EDC" w:rsidRDefault="007B5EDC" w:rsidP="00AF0F06">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u w:color="000000"/>
        </w:rPr>
      </w:pPr>
      <w:r w:rsidRPr="007B5EDC">
        <w:rPr>
          <w:color w:val="000000"/>
          <w:u w:color="000000"/>
        </w:rPr>
        <w:t>Adam4Adam</w:t>
      </w:r>
    </w:p>
    <w:p w14:paraId="1974589A" w14:textId="77777777" w:rsidR="007B5EDC" w:rsidRPr="007B5EDC" w:rsidRDefault="007B5EDC" w:rsidP="00AF0F06">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u w:color="000000"/>
        </w:rPr>
      </w:pPr>
      <w:r w:rsidRPr="007B5EDC">
        <w:rPr>
          <w:color w:val="000000"/>
          <w:u w:color="000000"/>
        </w:rPr>
        <w:t>Jack’d</w:t>
      </w:r>
    </w:p>
    <w:p w14:paraId="1F77C9B0" w14:textId="77777777" w:rsidR="007B5EDC" w:rsidRPr="007B5EDC" w:rsidRDefault="007B5EDC" w:rsidP="00AF0F06">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u w:color="000000"/>
        </w:rPr>
      </w:pPr>
      <w:r w:rsidRPr="007B5EDC">
        <w:rPr>
          <w:color w:val="000000"/>
          <w:u w:color="000000"/>
        </w:rPr>
        <w:t>Growlr</w:t>
      </w:r>
    </w:p>
    <w:p w14:paraId="51813230" w14:textId="77777777" w:rsidR="007B5EDC" w:rsidRPr="007B5EDC" w:rsidRDefault="007B5EDC" w:rsidP="00AF0F06">
      <w:pPr>
        <w:numPr>
          <w:ilvl w:val="0"/>
          <w:numId w:val="1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u w:color="000000"/>
        </w:rPr>
      </w:pPr>
      <w:r w:rsidRPr="007B5EDC">
        <w:rPr>
          <w:color w:val="000000"/>
          <w:u w:color="000000"/>
        </w:rPr>
        <w:t>Daddy Hunt</w:t>
      </w:r>
    </w:p>
    <w:p w14:paraId="40BA135E" w14:textId="394EF18C" w:rsidR="00377FFB" w:rsidRPr="00377FFB" w:rsidRDefault="007B5EDC" w:rsidP="0022561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line="360" w:lineRule="auto"/>
        <w:rPr>
          <w:color w:val="000000"/>
        </w:rPr>
      </w:pPr>
      <w:r w:rsidRPr="007B5EDC">
        <w:rPr>
          <w:color w:val="000000"/>
          <w:u w:color="000000"/>
        </w:rPr>
        <w:t>The information advertising the study on these apps will be the same as the flyers: the study purpose, target audience, time commitment, notification that it is a recorded focus group, local partner contact information, and the token of appreciation.</w:t>
      </w:r>
      <w:r w:rsidR="00377FFB" w:rsidRPr="00045E22">
        <w:rPr>
          <w:color w:val="000000"/>
        </w:rPr>
        <w:t>These are the same study materials used for active recruitment</w:t>
      </w:r>
      <w:r w:rsidR="0047153A">
        <w:rPr>
          <w:color w:val="000000"/>
        </w:rPr>
        <w:t xml:space="preserve"> (</w:t>
      </w:r>
      <w:r w:rsidR="0047153A" w:rsidRPr="00322A33">
        <w:rPr>
          <w:b/>
          <w:bCs/>
          <w:color w:val="000000"/>
        </w:rPr>
        <w:t>Attachment 3a and 3b</w:t>
      </w:r>
      <w:r w:rsidR="0047153A">
        <w:rPr>
          <w:bCs/>
          <w:color w:val="000000"/>
        </w:rPr>
        <w:t>)</w:t>
      </w:r>
      <w:r w:rsidR="00377FFB" w:rsidRPr="00045E22">
        <w:rPr>
          <w:color w:val="000000"/>
        </w:rPr>
        <w:t xml:space="preserve">. </w:t>
      </w:r>
    </w:p>
    <w:p w14:paraId="3765D01A" w14:textId="77777777" w:rsidR="00896EEA" w:rsidRPr="009665D0" w:rsidRDefault="00896EEA" w:rsidP="00896EEA">
      <w:pPr>
        <w:rPr>
          <w:b/>
          <w:i/>
          <w:color w:val="1F497D"/>
          <w:lang w:bidi="en-US"/>
        </w:rPr>
      </w:pPr>
    </w:p>
    <w:p w14:paraId="7B64C4F4" w14:textId="4AE8CF30" w:rsidR="009665D0" w:rsidRDefault="00377FFB" w:rsidP="00001FF0">
      <w:pPr>
        <w:pStyle w:val="Caption"/>
      </w:pPr>
      <w:bookmarkStart w:id="2" w:name="_Toc475950364"/>
      <w:r w:rsidRPr="00045E22">
        <w:rPr>
          <w:rFonts w:eastAsia="MS Mincho"/>
          <w:iCs w:val="0"/>
          <w:szCs w:val="24"/>
        </w:rPr>
        <w:t>Exhibit</w:t>
      </w:r>
      <w:r w:rsidR="00792029" w:rsidRPr="009665D0">
        <w:t xml:space="preserve"> </w:t>
      </w:r>
      <w:r w:rsidR="00686E78">
        <w:t>B</w:t>
      </w:r>
      <w:r w:rsidR="00517ADC">
        <w:fldChar w:fldCharType="begin"/>
      </w:r>
      <w:r w:rsidR="00517ADC">
        <w:instrText xml:space="preserve"> STYLEREF 1 \s </w:instrText>
      </w:r>
      <w:r w:rsidR="00517ADC">
        <w:fldChar w:fldCharType="separate"/>
      </w:r>
      <w:r w:rsidR="008B2F17" w:rsidRPr="009665D0">
        <w:rPr>
          <w:noProof/>
        </w:rPr>
        <w:t>1</w:t>
      </w:r>
      <w:r w:rsidR="00517ADC">
        <w:rPr>
          <w:noProof/>
        </w:rPr>
        <w:fldChar w:fldCharType="end"/>
      </w:r>
      <w:r w:rsidR="007F29CE" w:rsidRPr="009665D0">
        <w:t>.</w:t>
      </w:r>
      <w:r w:rsidR="00517ADC">
        <w:fldChar w:fldCharType="begin"/>
      </w:r>
      <w:r w:rsidR="00517ADC">
        <w:instrText xml:space="preserve"> SEQ Exhibit \* ARABIC \s 1 </w:instrText>
      </w:r>
      <w:r w:rsidR="00517ADC">
        <w:fldChar w:fldCharType="separate"/>
      </w:r>
      <w:r w:rsidR="008B2F17" w:rsidRPr="009665D0">
        <w:rPr>
          <w:noProof/>
        </w:rPr>
        <w:t>1</w:t>
      </w:r>
      <w:r w:rsidR="00517ADC">
        <w:rPr>
          <w:noProof/>
        </w:rPr>
        <w:fldChar w:fldCharType="end"/>
      </w:r>
      <w:r w:rsidR="00792029" w:rsidRPr="009665D0">
        <w:t>: Summary of Recruitment Targets</w:t>
      </w:r>
      <w:bookmarkEnd w:id="2"/>
    </w:p>
    <w:tbl>
      <w:tblPr>
        <w:tblW w:w="57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5"/>
        <w:gridCol w:w="1915"/>
      </w:tblGrid>
      <w:tr w:rsidR="00AF0F06" w:rsidRPr="007A2269" w14:paraId="1F5FB83A" w14:textId="77777777" w:rsidTr="00AF0F06">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82542E" w14:textId="77777777" w:rsidR="00AF0F06" w:rsidRPr="00AF0F06" w:rsidRDefault="00AF0F06" w:rsidP="00AF0F06">
            <w:pPr>
              <w:pStyle w:val="Body"/>
              <w:spacing w:after="200" w:line="276" w:lineRule="auto"/>
              <w:rPr>
                <w:rFonts w:ascii="Times New Roman" w:hAnsi="Times New Roman" w:cs="Times New Roman"/>
                <w:b/>
                <w:bCs/>
                <w:sz w:val="24"/>
                <w:szCs w:val="24"/>
              </w:rPr>
            </w:pPr>
            <w:r w:rsidRPr="00AF0F06">
              <w:rPr>
                <w:rFonts w:ascii="Times New Roman" w:hAnsi="Times New Roman" w:cs="Times New Roman"/>
                <w:b/>
                <w:bCs/>
                <w:sz w:val="24"/>
                <w:szCs w:val="24"/>
              </w:rPr>
              <w:t>Age</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E4368F" w14:textId="77777777" w:rsidR="00AF0F06" w:rsidRPr="00AF0F06" w:rsidRDefault="00AF0F06" w:rsidP="00AF0F06">
            <w:pPr>
              <w:pStyle w:val="Body"/>
              <w:spacing w:after="200" w:line="276" w:lineRule="auto"/>
              <w:rPr>
                <w:rFonts w:ascii="Times New Roman" w:hAnsi="Times New Roman" w:cs="Times New Roman"/>
                <w:b/>
                <w:bCs/>
                <w:sz w:val="24"/>
                <w:szCs w:val="24"/>
              </w:rPr>
            </w:pPr>
            <w:r w:rsidRPr="00AF0F06">
              <w:rPr>
                <w:rFonts w:ascii="Times New Roman" w:hAnsi="Times New Roman" w:cs="Times New Roman"/>
                <w:b/>
                <w:bCs/>
                <w:sz w:val="24"/>
                <w:szCs w:val="24"/>
              </w:rPr>
              <w:t>New Orleans</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0E0196" w14:textId="77777777" w:rsidR="00AF0F06" w:rsidRPr="00AF0F06" w:rsidRDefault="00AF0F06" w:rsidP="00AF0F06">
            <w:pPr>
              <w:pStyle w:val="Body"/>
              <w:spacing w:after="200" w:line="276" w:lineRule="auto"/>
              <w:rPr>
                <w:rFonts w:ascii="Times New Roman" w:hAnsi="Times New Roman" w:cs="Times New Roman"/>
                <w:b/>
                <w:bCs/>
                <w:sz w:val="24"/>
                <w:szCs w:val="24"/>
              </w:rPr>
            </w:pPr>
            <w:r w:rsidRPr="00AF0F06">
              <w:rPr>
                <w:rFonts w:ascii="Times New Roman" w:hAnsi="Times New Roman" w:cs="Times New Roman"/>
                <w:b/>
                <w:bCs/>
                <w:sz w:val="24"/>
                <w:szCs w:val="24"/>
              </w:rPr>
              <w:t>Washington DC</w:t>
            </w:r>
          </w:p>
        </w:tc>
      </w:tr>
      <w:tr w:rsidR="00AF0F06" w:rsidRPr="007A2269" w14:paraId="6CBAAE0A" w14:textId="77777777" w:rsidTr="00AF0F06">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B4FA7" w14:textId="77777777" w:rsidR="00AF0F06" w:rsidRPr="00225610" w:rsidRDefault="00AF0F06" w:rsidP="00AF0F06">
            <w:pPr>
              <w:pStyle w:val="Body"/>
              <w:spacing w:after="200" w:line="276" w:lineRule="auto"/>
              <w:rPr>
                <w:rFonts w:ascii="Times New Roman" w:hAnsi="Times New Roman" w:cs="Times New Roman"/>
                <w:bCs/>
                <w:sz w:val="24"/>
                <w:szCs w:val="24"/>
              </w:rPr>
            </w:pPr>
            <w:r w:rsidRPr="00225610">
              <w:rPr>
                <w:rFonts w:ascii="Times New Roman" w:hAnsi="Times New Roman" w:cs="Times New Roman"/>
                <w:bCs/>
                <w:sz w:val="24"/>
                <w:szCs w:val="24"/>
              </w:rPr>
              <w:t>18-34</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B978E" w14:textId="77777777" w:rsidR="00AF0F06" w:rsidRPr="00225610" w:rsidRDefault="00AF0F06" w:rsidP="00AF0F06">
            <w:pPr>
              <w:pStyle w:val="Body"/>
              <w:spacing w:after="200" w:line="276" w:lineRule="auto"/>
              <w:rPr>
                <w:rFonts w:ascii="Times New Roman" w:hAnsi="Times New Roman" w:cs="Times New Roman"/>
                <w:bCs/>
                <w:sz w:val="24"/>
                <w:szCs w:val="24"/>
              </w:rPr>
            </w:pPr>
            <w:r w:rsidRPr="00225610">
              <w:rPr>
                <w:rFonts w:ascii="Times New Roman" w:hAnsi="Times New Roman" w:cs="Times New Roman"/>
                <w:bCs/>
                <w:sz w:val="24"/>
                <w:szCs w:val="24"/>
              </w:rPr>
              <w:t>16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1ECEB" w14:textId="77777777" w:rsidR="00AF0F06" w:rsidRPr="00225610" w:rsidRDefault="00AF0F06" w:rsidP="00AF0F06">
            <w:pPr>
              <w:pStyle w:val="Body"/>
              <w:spacing w:after="200" w:line="276" w:lineRule="auto"/>
              <w:rPr>
                <w:rFonts w:ascii="Times New Roman" w:hAnsi="Times New Roman" w:cs="Times New Roman"/>
                <w:bCs/>
                <w:sz w:val="24"/>
                <w:szCs w:val="24"/>
              </w:rPr>
            </w:pPr>
            <w:r w:rsidRPr="00225610">
              <w:rPr>
                <w:rFonts w:ascii="Times New Roman" w:hAnsi="Times New Roman" w:cs="Times New Roman"/>
                <w:bCs/>
                <w:sz w:val="24"/>
                <w:szCs w:val="24"/>
              </w:rPr>
              <w:t>16</w:t>
            </w:r>
          </w:p>
        </w:tc>
      </w:tr>
      <w:tr w:rsidR="00AF0F06" w:rsidRPr="007A2269" w14:paraId="76556C0F" w14:textId="77777777" w:rsidTr="00AF0F06">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39817" w14:textId="77777777" w:rsidR="00AF0F06" w:rsidRPr="00225610" w:rsidRDefault="00AF0F06" w:rsidP="00AF0F06">
            <w:pPr>
              <w:pStyle w:val="Body"/>
              <w:spacing w:after="200" w:line="276" w:lineRule="auto"/>
              <w:rPr>
                <w:rFonts w:ascii="Times New Roman" w:hAnsi="Times New Roman" w:cs="Times New Roman"/>
                <w:bCs/>
                <w:sz w:val="24"/>
                <w:szCs w:val="24"/>
              </w:rPr>
            </w:pPr>
            <w:r w:rsidRPr="00225610">
              <w:rPr>
                <w:rFonts w:ascii="Times New Roman" w:hAnsi="Times New Roman" w:cs="Times New Roman"/>
                <w:bCs/>
                <w:sz w:val="24"/>
                <w:szCs w:val="24"/>
              </w:rPr>
              <w:t>35+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E77E9" w14:textId="77777777" w:rsidR="00AF0F06" w:rsidRPr="00225610" w:rsidRDefault="00AF0F06" w:rsidP="00AF0F06">
            <w:pPr>
              <w:pStyle w:val="Body"/>
              <w:spacing w:after="200" w:line="276" w:lineRule="auto"/>
              <w:rPr>
                <w:rFonts w:ascii="Times New Roman" w:hAnsi="Times New Roman" w:cs="Times New Roman"/>
                <w:bCs/>
                <w:sz w:val="24"/>
                <w:szCs w:val="24"/>
              </w:rPr>
            </w:pPr>
            <w:r w:rsidRPr="00225610">
              <w:rPr>
                <w:rFonts w:ascii="Times New Roman" w:hAnsi="Times New Roman" w:cs="Times New Roman"/>
                <w:bCs/>
                <w:sz w:val="24"/>
                <w:szCs w:val="24"/>
              </w:rPr>
              <w:t>16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AD90C" w14:textId="77777777" w:rsidR="00AF0F06" w:rsidRPr="00225610" w:rsidRDefault="00AF0F06" w:rsidP="00AF0F06">
            <w:pPr>
              <w:pStyle w:val="Body"/>
              <w:spacing w:after="200" w:line="276" w:lineRule="auto"/>
              <w:rPr>
                <w:rFonts w:ascii="Times New Roman" w:hAnsi="Times New Roman" w:cs="Times New Roman"/>
                <w:bCs/>
                <w:sz w:val="24"/>
                <w:szCs w:val="24"/>
              </w:rPr>
            </w:pPr>
            <w:r w:rsidRPr="00225610">
              <w:rPr>
                <w:rFonts w:ascii="Times New Roman" w:hAnsi="Times New Roman" w:cs="Times New Roman"/>
                <w:bCs/>
                <w:sz w:val="24"/>
                <w:szCs w:val="24"/>
              </w:rPr>
              <w:t>16</w:t>
            </w:r>
          </w:p>
        </w:tc>
      </w:tr>
      <w:tr w:rsidR="00AF0F06" w:rsidRPr="007A2269" w14:paraId="42EA32A3" w14:textId="77777777" w:rsidTr="00AF0F06">
        <w:tblPrEx>
          <w:shd w:val="clear" w:color="auto" w:fill="auto"/>
        </w:tblPrEx>
        <w:trPr>
          <w:trHeight w:val="241"/>
        </w:trPr>
        <w:tc>
          <w:tcPr>
            <w:tcW w:w="38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F7F53" w14:textId="77777777" w:rsidR="00AF0F06" w:rsidRPr="007A2269" w:rsidRDefault="00AF0F06" w:rsidP="00AF0F06">
            <w:pPr>
              <w:spacing w:line="360" w:lineRule="auto"/>
            </w:pPr>
            <w:r w:rsidRPr="007A2269">
              <w:t xml:space="preserve">Total Desired Number of Participants </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46101" w14:textId="77777777" w:rsidR="00AF0F06" w:rsidRPr="007A2269" w:rsidRDefault="00AF0F06" w:rsidP="00AF0F06">
            <w:pPr>
              <w:spacing w:line="360" w:lineRule="auto"/>
            </w:pPr>
            <w:r w:rsidRPr="007A2269">
              <w:t>64</w:t>
            </w:r>
          </w:p>
        </w:tc>
      </w:tr>
    </w:tbl>
    <w:p w14:paraId="572D02AA" w14:textId="77777777" w:rsidR="003750AD" w:rsidRPr="003750AD" w:rsidRDefault="003750AD" w:rsidP="00045E22"/>
    <w:p w14:paraId="2755D0E1" w14:textId="77777777" w:rsidR="005342FB" w:rsidRPr="00BF0C9B" w:rsidRDefault="005342FB" w:rsidP="005342FB">
      <w:pPr>
        <w:pStyle w:val="Heading1"/>
      </w:pPr>
      <w:bookmarkStart w:id="3" w:name="_Toc475950355"/>
      <w:r w:rsidRPr="00BB6466">
        <w:t>Procedures for the Collection of Information</w:t>
      </w:r>
      <w:bookmarkEnd w:id="3"/>
    </w:p>
    <w:p w14:paraId="223B082E" w14:textId="77777777" w:rsidR="005342FB" w:rsidRDefault="005342FB" w:rsidP="005342FB"/>
    <w:p w14:paraId="4DB58847" w14:textId="760ED5AC" w:rsidR="00971839" w:rsidRDefault="00BF0C9B" w:rsidP="007764EA">
      <w:pPr>
        <w:spacing w:line="360" w:lineRule="auto"/>
      </w:pPr>
      <w:r>
        <w:t>Recruitment staff will be provided and instructed to utilize recruitment flyers to garner participation in the study (</w:t>
      </w:r>
      <w:r w:rsidR="003B2593">
        <w:rPr>
          <w:b/>
          <w:bCs/>
          <w:color w:val="000000"/>
        </w:rPr>
        <w:t>Attachment 3a</w:t>
      </w:r>
      <w:r>
        <w:t xml:space="preserve">). Recruitment flyers will provide potential </w:t>
      </w:r>
      <w:r w:rsidR="00686E78">
        <w:t>respondents</w:t>
      </w:r>
      <w:r w:rsidRPr="00F462EA">
        <w:t xml:space="preserve"> with information about the study and a phone number to call to be screened for study eligibility</w:t>
      </w:r>
      <w:r w:rsidR="00BB6466">
        <w:t xml:space="preserve">. </w:t>
      </w:r>
      <w:r w:rsidR="00CE5D33">
        <w:t>After</w:t>
      </w:r>
      <w:r w:rsidR="000F725C" w:rsidRPr="000F725C">
        <w:t xml:space="preserve"> completion of each screening/recruitment session, NNPHI staff will use limited contact information (e.g., name, email, telephone number) to set up appointments to complete the informed consent process and </w:t>
      </w:r>
      <w:r w:rsidR="00C80097">
        <w:t>schedule participation in focus group</w:t>
      </w:r>
      <w:r w:rsidR="000F725C" w:rsidRPr="000F725C">
        <w:t xml:space="preserve">. Limited contact information will be kept in a secured location (locked in filing cabinet in locked office when not in use). </w:t>
      </w:r>
      <w:r w:rsidR="007D3934" w:rsidRPr="00BB6466">
        <w:t xml:space="preserve">At the time of </w:t>
      </w:r>
      <w:r w:rsidR="00C80097">
        <w:t>each focus group</w:t>
      </w:r>
      <w:r w:rsidR="007D3934" w:rsidRPr="00BB6466">
        <w:t xml:space="preserve">, staff will review the study procedures, after which </w:t>
      </w:r>
      <w:r w:rsidR="00686E78">
        <w:t>respondents</w:t>
      </w:r>
      <w:r w:rsidR="007D3934" w:rsidRPr="00BB6466">
        <w:t xml:space="preserve"> will </w:t>
      </w:r>
      <w:r w:rsidRPr="00BB6466">
        <w:t>be read the</w:t>
      </w:r>
      <w:r w:rsidR="007D3934" w:rsidRPr="00BB6466">
        <w:t xml:space="preserve"> informed consent (</w:t>
      </w:r>
      <w:r w:rsidR="007D3934" w:rsidRPr="00322A33">
        <w:rPr>
          <w:b/>
        </w:rPr>
        <w:t xml:space="preserve">Attachment </w:t>
      </w:r>
      <w:r w:rsidR="00686E78" w:rsidRPr="00322A33">
        <w:rPr>
          <w:b/>
        </w:rPr>
        <w:t>4</w:t>
      </w:r>
      <w:r w:rsidR="007D3934" w:rsidRPr="00BB6466">
        <w:t>).</w:t>
      </w:r>
      <w:r w:rsidR="007D3934">
        <w:t xml:space="preserve"> </w:t>
      </w:r>
      <w:r w:rsidR="00F462EA">
        <w:t xml:space="preserve"> </w:t>
      </w:r>
    </w:p>
    <w:p w14:paraId="16AA655F" w14:textId="77777777" w:rsidR="00045E22" w:rsidRDefault="00045E22" w:rsidP="007B4308"/>
    <w:p w14:paraId="4839F524" w14:textId="77777777" w:rsidR="00F462EA" w:rsidRDefault="007D3934" w:rsidP="007B4308">
      <w:r>
        <w:t>The following data collection instruments will be used in this study:</w:t>
      </w:r>
    </w:p>
    <w:p w14:paraId="727E4EC0" w14:textId="77777777" w:rsidR="007D3934" w:rsidRDefault="007D3934" w:rsidP="007B4308"/>
    <w:p w14:paraId="01F021BE" w14:textId="702B4723" w:rsidR="00971839" w:rsidRDefault="007D3934" w:rsidP="007764EA">
      <w:pPr>
        <w:spacing w:line="360" w:lineRule="auto"/>
      </w:pPr>
      <w:r w:rsidRPr="00BB6466">
        <w:rPr>
          <w:i/>
        </w:rPr>
        <w:t>Eligibili</w:t>
      </w:r>
      <w:r w:rsidR="00686E78">
        <w:rPr>
          <w:i/>
        </w:rPr>
        <w:t>ty Screeners for B</w:t>
      </w:r>
      <w:r w:rsidR="00377FFB" w:rsidRPr="00BB6466">
        <w:rPr>
          <w:i/>
        </w:rPr>
        <w:t>MSM</w:t>
      </w:r>
      <w:r w:rsidRPr="00BB6466">
        <w:t xml:space="preserve">: Eligibility screeners will be utilized to identify eligible </w:t>
      </w:r>
      <w:r w:rsidR="00686E78">
        <w:t>respondents</w:t>
      </w:r>
      <w:r w:rsidRPr="00BB6466">
        <w:t xml:space="preserve"> and take approximately 5 minutes to complete (</w:t>
      </w:r>
      <w:r w:rsidRPr="00322A33">
        <w:rPr>
          <w:b/>
        </w:rPr>
        <w:t xml:space="preserve">Attachment </w:t>
      </w:r>
      <w:r w:rsidR="00686E78" w:rsidRPr="00322A33">
        <w:rPr>
          <w:b/>
        </w:rPr>
        <w:t>5</w:t>
      </w:r>
      <w:r w:rsidR="00C262EC" w:rsidRPr="00322A33">
        <w:rPr>
          <w:b/>
        </w:rPr>
        <w:t>a</w:t>
      </w:r>
      <w:r w:rsidRPr="00BB6466">
        <w:t xml:space="preserve">). </w:t>
      </w:r>
      <w:r w:rsidR="00BB6466" w:rsidRPr="00BB6466">
        <w:t>If</w:t>
      </w:r>
      <w:r w:rsidR="009D2A56" w:rsidRPr="00BB6466">
        <w:t xml:space="preserve"> eligible, request contact information to be provided to NNPHI staff to schedule </w:t>
      </w:r>
      <w:r w:rsidR="00977F49">
        <w:t>participation in the appropriate focus group</w:t>
      </w:r>
      <w:r w:rsidR="009D2A56" w:rsidRPr="00BB6466">
        <w:t xml:space="preserve"> at a later date. If eligibility screening is not possible during active recruitment, recruiters will collect limited contact information (e.g., first name, initial of last name, phone number, email address) in order for recruitment support staff or NNPHI staff to contact and screen potential </w:t>
      </w:r>
      <w:r w:rsidR="00686E78">
        <w:t>respondents</w:t>
      </w:r>
      <w:r w:rsidR="009D2A56" w:rsidRPr="00BB6466">
        <w:t xml:space="preserve"> on the phone at a more convenient time. If contact information is not collected from a potential participant at the recruitment venue, the recruitment support staff will encourage the individual to use the </w:t>
      </w:r>
      <w:r w:rsidR="0047153A">
        <w:t>recruitment</w:t>
      </w:r>
      <w:r w:rsidR="009D2A56" w:rsidRPr="00BB6466">
        <w:t xml:space="preserve"> flyer (</w:t>
      </w:r>
      <w:r w:rsidR="009D2A56" w:rsidRPr="00BB6466">
        <w:rPr>
          <w:bCs/>
        </w:rPr>
        <w:t xml:space="preserve">Attachment </w:t>
      </w:r>
      <w:r w:rsidR="0047153A">
        <w:rPr>
          <w:bCs/>
        </w:rPr>
        <w:t>3b</w:t>
      </w:r>
      <w:r w:rsidR="009D2A56" w:rsidRPr="00BB6466">
        <w:t>) to contact NNPHI staff at a later time for eligibility screening.</w:t>
      </w:r>
    </w:p>
    <w:p w14:paraId="00677D7E" w14:textId="77777777" w:rsidR="007D3934" w:rsidRDefault="007D3934" w:rsidP="007B4308"/>
    <w:p w14:paraId="1D45F602" w14:textId="421C272B" w:rsidR="00F462EA" w:rsidRDefault="004B79F4" w:rsidP="007764EA">
      <w:pPr>
        <w:spacing w:line="360" w:lineRule="auto"/>
      </w:pPr>
      <w:r>
        <w:rPr>
          <w:i/>
        </w:rPr>
        <w:t>Focus Groups</w:t>
      </w:r>
      <w:r w:rsidR="00C262EC" w:rsidRPr="00C262EC">
        <w:rPr>
          <w:i/>
        </w:rPr>
        <w:t>:</w:t>
      </w:r>
      <w:r w:rsidR="00C262EC" w:rsidRPr="00C262EC">
        <w:t xml:space="preserve"> All </w:t>
      </w:r>
      <w:r>
        <w:t>focus groups</w:t>
      </w:r>
      <w:r w:rsidRPr="00C262EC">
        <w:t xml:space="preserve"> </w:t>
      </w:r>
      <w:r w:rsidR="00C262EC" w:rsidRPr="00C262EC">
        <w:t xml:space="preserve">will be conducted by </w:t>
      </w:r>
      <w:r w:rsidR="000F725C">
        <w:t xml:space="preserve">NNPHI </w:t>
      </w:r>
      <w:r w:rsidR="00C262EC">
        <w:t>study staff</w:t>
      </w:r>
      <w:r w:rsidR="00C262EC" w:rsidRPr="00C262EC">
        <w:t xml:space="preserve"> using </w:t>
      </w:r>
      <w:r w:rsidRPr="00C262EC">
        <w:t>one focus</w:t>
      </w:r>
      <w:r>
        <w:t xml:space="preserve"> group</w:t>
      </w:r>
      <w:r w:rsidR="00C262EC" w:rsidRPr="00C262EC">
        <w:t xml:space="preserve"> guide for </w:t>
      </w:r>
      <w:r w:rsidR="000F725C">
        <w:t xml:space="preserve">all </w:t>
      </w:r>
      <w:r w:rsidR="00686E78">
        <w:t>respondents</w:t>
      </w:r>
      <w:r w:rsidR="00C262EC">
        <w:t xml:space="preserve"> (</w:t>
      </w:r>
      <w:r w:rsidR="00C262EC" w:rsidRPr="00322A33">
        <w:rPr>
          <w:b/>
        </w:rPr>
        <w:t xml:space="preserve">Attachments </w:t>
      </w:r>
      <w:r w:rsidR="00686E78" w:rsidRPr="00322A33">
        <w:rPr>
          <w:b/>
        </w:rPr>
        <w:t>5</w:t>
      </w:r>
      <w:r w:rsidR="000F725C" w:rsidRPr="00322A33">
        <w:rPr>
          <w:b/>
        </w:rPr>
        <w:t>b</w:t>
      </w:r>
      <w:r w:rsidR="00C262EC">
        <w:t>)</w:t>
      </w:r>
      <w:r w:rsidR="00C262EC" w:rsidRPr="00C262EC">
        <w:t xml:space="preserve">. </w:t>
      </w:r>
      <w:r w:rsidR="00BB6466" w:rsidRPr="00BB6466">
        <w:t xml:space="preserve">The </w:t>
      </w:r>
      <w:r w:rsidR="00C80097">
        <w:t>focus group guide</w:t>
      </w:r>
      <w:r w:rsidR="00BB6466" w:rsidRPr="00BB6466">
        <w:t xml:space="preserve"> will focus largely on qualitative open-ended questions about their perceptions of community, including their understanding of the gay community and the black gay community. </w:t>
      </w:r>
      <w:r w:rsidR="00BB6466" w:rsidRPr="00E131A3">
        <w:t xml:space="preserve">Open-ended questions will allow </w:t>
      </w:r>
      <w:r w:rsidR="00686E78">
        <w:t>respondents</w:t>
      </w:r>
      <w:r w:rsidR="00BB6466" w:rsidRPr="00E131A3">
        <w:t xml:space="preserve"> to respond freely of their own accord. The NNPHI project team member will guide the discussion with probing questions as needed.</w:t>
      </w:r>
      <w:r w:rsidR="00BB6466" w:rsidRPr="00BB6466">
        <w:t xml:space="preserve"> </w:t>
      </w:r>
      <w:r w:rsidR="00C262EC" w:rsidRPr="00C262EC">
        <w:t xml:space="preserve">All </w:t>
      </w:r>
      <w:r w:rsidR="00C80097">
        <w:t>focus group</w:t>
      </w:r>
      <w:r w:rsidR="00C80097" w:rsidRPr="00C262EC">
        <w:t xml:space="preserve"> </w:t>
      </w:r>
      <w:r w:rsidR="00C262EC" w:rsidRPr="00C262EC">
        <w:t xml:space="preserve">data will be recorded by </w:t>
      </w:r>
      <w:r w:rsidR="00C262EC">
        <w:t>study staff</w:t>
      </w:r>
      <w:r w:rsidR="00C262EC" w:rsidRPr="00C262EC">
        <w:t xml:space="preserve"> </w:t>
      </w:r>
      <w:r w:rsidR="00BF0C9B" w:rsidRPr="00C262EC">
        <w:t>with the con</w:t>
      </w:r>
      <w:r w:rsidR="00BF0C9B">
        <w:t xml:space="preserve">sent of </w:t>
      </w:r>
      <w:r w:rsidR="003B2593">
        <w:t>focus group</w:t>
      </w:r>
      <w:r w:rsidR="00BF0C9B">
        <w:t xml:space="preserve"> </w:t>
      </w:r>
      <w:r w:rsidR="00686E78">
        <w:t>respondents</w:t>
      </w:r>
      <w:r w:rsidR="00C80097">
        <w:t>.</w:t>
      </w:r>
      <w:r w:rsidR="00225610">
        <w:t xml:space="preserve"> </w:t>
      </w:r>
      <w:r w:rsidR="00686E78">
        <w:t>Respondents</w:t>
      </w:r>
      <w:r w:rsidR="00C262EC" w:rsidRPr="00C262EC">
        <w:t xml:space="preserve"> will be reminded by the interviewer not to use full names or identifying information during the </w:t>
      </w:r>
      <w:r w:rsidR="00C80097">
        <w:t>focus group.</w:t>
      </w:r>
      <w:r w:rsidR="00C262EC" w:rsidRPr="00C262EC">
        <w:t xml:space="preserve"> Study staff will perform the transcription of all audio-recordings and maintain all transcripts on password protected/encrypted laptops.</w:t>
      </w:r>
      <w:r w:rsidR="00C262EC">
        <w:t xml:space="preserve"> </w:t>
      </w:r>
    </w:p>
    <w:p w14:paraId="1FFB7D27" w14:textId="52B6297B" w:rsidR="00F462EA" w:rsidRDefault="00F462EA" w:rsidP="007764EA">
      <w:pPr>
        <w:spacing w:line="360" w:lineRule="auto"/>
      </w:pPr>
    </w:p>
    <w:p w14:paraId="3D4AA3B7" w14:textId="55E8BE02" w:rsidR="004F75AD" w:rsidRDefault="00720E62" w:rsidP="007764EA">
      <w:pPr>
        <w:autoSpaceDE w:val="0"/>
        <w:autoSpaceDN w:val="0"/>
        <w:adjustRightInd w:val="0"/>
        <w:spacing w:line="360" w:lineRule="auto"/>
      </w:pPr>
      <w:r w:rsidRPr="003F5C65">
        <w:t xml:space="preserve">Transcripts </w:t>
      </w:r>
      <w:r w:rsidR="00E769A2">
        <w:t xml:space="preserve">will be coded and analyzed used the NVivo qualitative data analysis software program. </w:t>
      </w:r>
      <w:r w:rsidR="0016459B">
        <w:t xml:space="preserve">Information from the structured response questions will be analyzed using the Microsoft Excel and SPSS software programs. </w:t>
      </w:r>
      <w:r w:rsidR="003B2593">
        <w:t>Focus group</w:t>
      </w:r>
      <w:r w:rsidR="00E769A2">
        <w:t xml:space="preserve"> transcripts</w:t>
      </w:r>
      <w:r w:rsidR="0016459B">
        <w:t>,</w:t>
      </w:r>
      <w:r w:rsidR="00E769A2">
        <w:t xml:space="preserve"> </w:t>
      </w:r>
      <w:r w:rsidRPr="003F5C65">
        <w:t>NVivo</w:t>
      </w:r>
      <w:r w:rsidR="00E557C3">
        <w:t xml:space="preserve"> files</w:t>
      </w:r>
      <w:r w:rsidR="0016459B">
        <w:t>, and oth</w:t>
      </w:r>
      <w:r w:rsidR="00E557C3">
        <w:t>er structured response data fil</w:t>
      </w:r>
      <w:r w:rsidR="0016459B">
        <w:t>es</w:t>
      </w:r>
      <w:r w:rsidR="00AC1ACA">
        <w:t xml:space="preserve"> </w:t>
      </w:r>
      <w:r w:rsidRPr="003F5C65">
        <w:t>will be stored on and edited from a CDC</w:t>
      </w:r>
      <w:r>
        <w:t>-</w:t>
      </w:r>
      <w:r w:rsidRPr="003F5C65">
        <w:t xml:space="preserve">approved encrypted USB drive plugged into a standalone, non-networked </w:t>
      </w:r>
      <w:r>
        <w:t>computer without Internet access</w:t>
      </w:r>
      <w:r w:rsidRPr="003F5C65">
        <w:t>. Only project staff will have access to the records, study documents, and data.</w:t>
      </w:r>
    </w:p>
    <w:p w14:paraId="7377815D" w14:textId="77777777" w:rsidR="00720E62" w:rsidRDefault="00720E62" w:rsidP="00720E62">
      <w:pPr>
        <w:autoSpaceDE w:val="0"/>
        <w:autoSpaceDN w:val="0"/>
        <w:adjustRightInd w:val="0"/>
      </w:pPr>
    </w:p>
    <w:p w14:paraId="4AAABD7A" w14:textId="77777777" w:rsidR="005342FB" w:rsidRDefault="005342FB" w:rsidP="005342FB">
      <w:pPr>
        <w:pStyle w:val="Heading1"/>
      </w:pPr>
      <w:bookmarkStart w:id="4" w:name="_Toc475950356"/>
      <w:r>
        <w:t>Methods to Maximize Response Rates and Deal with No Response</w:t>
      </w:r>
      <w:bookmarkEnd w:id="4"/>
    </w:p>
    <w:p w14:paraId="1333D25B" w14:textId="77777777" w:rsidR="005342FB" w:rsidRDefault="005342FB" w:rsidP="005342FB"/>
    <w:p w14:paraId="617B0A91" w14:textId="6906C734" w:rsidR="0014326C" w:rsidRDefault="0014326C" w:rsidP="007764EA">
      <w:pPr>
        <w:autoSpaceDE w:val="0"/>
        <w:autoSpaceDN w:val="0"/>
        <w:adjustRightInd w:val="0"/>
        <w:spacing w:line="360" w:lineRule="auto"/>
        <w:rPr>
          <w:bCs/>
        </w:rPr>
      </w:pPr>
      <w:r>
        <w:rPr>
          <w:bCs/>
        </w:rPr>
        <w:t>We will use the following procedures to maximize cooperation and to achieve the desired response rate:</w:t>
      </w:r>
    </w:p>
    <w:p w14:paraId="128815D5" w14:textId="441500D0" w:rsidR="000F725C" w:rsidRDefault="000F725C" w:rsidP="007764EA">
      <w:pPr>
        <w:numPr>
          <w:ilvl w:val="0"/>
          <w:numId w:val="8"/>
        </w:numPr>
        <w:autoSpaceDE w:val="0"/>
        <w:autoSpaceDN w:val="0"/>
        <w:adjustRightInd w:val="0"/>
        <w:spacing w:line="360" w:lineRule="auto"/>
        <w:jc w:val="both"/>
        <w:rPr>
          <w:b/>
          <w:bCs/>
        </w:rPr>
      </w:pPr>
      <w:r>
        <w:rPr>
          <w:bCs/>
        </w:rPr>
        <w:t xml:space="preserve">All recruitment materials indicate the voluntary nature of the study and participation is due in part to interest in the study and participation from </w:t>
      </w:r>
      <w:r w:rsidR="00686E78">
        <w:rPr>
          <w:bCs/>
        </w:rPr>
        <w:t>BMSM.</w:t>
      </w:r>
      <w:r>
        <w:rPr>
          <w:bCs/>
        </w:rPr>
        <w:t xml:space="preserve"> </w:t>
      </w:r>
    </w:p>
    <w:p w14:paraId="52B83CFB" w14:textId="5AB241DE" w:rsidR="004F75AD" w:rsidRDefault="004F75AD" w:rsidP="007764EA">
      <w:pPr>
        <w:numPr>
          <w:ilvl w:val="0"/>
          <w:numId w:val="8"/>
        </w:numPr>
        <w:autoSpaceDE w:val="0"/>
        <w:autoSpaceDN w:val="0"/>
        <w:adjustRightInd w:val="0"/>
        <w:spacing w:line="360" w:lineRule="auto"/>
        <w:jc w:val="both"/>
        <w:rPr>
          <w:bCs/>
        </w:rPr>
      </w:pPr>
      <w:r>
        <w:rPr>
          <w:bCs/>
        </w:rPr>
        <w:t>A token of appreciation of $</w:t>
      </w:r>
      <w:r w:rsidR="00C80097">
        <w:rPr>
          <w:bCs/>
        </w:rPr>
        <w:t>5</w:t>
      </w:r>
      <w:r>
        <w:rPr>
          <w:bCs/>
        </w:rPr>
        <w:t>0, in the form of</w:t>
      </w:r>
      <w:r w:rsidR="00197217">
        <w:rPr>
          <w:bCs/>
        </w:rPr>
        <w:t xml:space="preserve"> </w:t>
      </w:r>
      <w:r w:rsidR="00C80097">
        <w:rPr>
          <w:bCs/>
        </w:rPr>
        <w:t>a Visa</w:t>
      </w:r>
      <w:r w:rsidR="0047153A">
        <w:rPr>
          <w:bCs/>
        </w:rPr>
        <w:t xml:space="preserve"> </w:t>
      </w:r>
      <w:r w:rsidR="009410ED">
        <w:rPr>
          <w:bCs/>
        </w:rPr>
        <w:t>gift card</w:t>
      </w:r>
      <w:r>
        <w:rPr>
          <w:bCs/>
        </w:rPr>
        <w:t xml:space="preserve">, will be provided to </w:t>
      </w:r>
      <w:r w:rsidR="00686E78">
        <w:rPr>
          <w:bCs/>
        </w:rPr>
        <w:t>respondents</w:t>
      </w:r>
      <w:r>
        <w:rPr>
          <w:bCs/>
        </w:rPr>
        <w:t xml:space="preserve"> upon completion of </w:t>
      </w:r>
      <w:r w:rsidR="00C80097">
        <w:rPr>
          <w:bCs/>
        </w:rPr>
        <w:t>focus group.</w:t>
      </w:r>
      <w:r>
        <w:rPr>
          <w:bCs/>
        </w:rPr>
        <w:t xml:space="preserve"> </w:t>
      </w:r>
    </w:p>
    <w:p w14:paraId="34481721" w14:textId="77777777" w:rsidR="005342FB" w:rsidRDefault="005342FB" w:rsidP="005342FB">
      <w:pPr>
        <w:pStyle w:val="Heading1"/>
      </w:pPr>
      <w:bookmarkStart w:id="5" w:name="_Toc475950357"/>
      <w:r>
        <w:t>Tests of Procedures or Methods to be Undertaken</w:t>
      </w:r>
      <w:bookmarkEnd w:id="5"/>
    </w:p>
    <w:p w14:paraId="4CAC2195" w14:textId="77777777" w:rsidR="008A18E1" w:rsidRDefault="008A18E1" w:rsidP="005342FB"/>
    <w:p w14:paraId="0291393F" w14:textId="0D8A9559" w:rsidR="004F75AD" w:rsidRDefault="004F75AD" w:rsidP="007764EA">
      <w:pPr>
        <w:autoSpaceDE w:val="0"/>
        <w:autoSpaceDN w:val="0"/>
        <w:adjustRightInd w:val="0"/>
        <w:spacing w:line="360" w:lineRule="auto"/>
        <w:jc w:val="both"/>
      </w:pPr>
      <w:r>
        <w:t xml:space="preserve">Our </w:t>
      </w:r>
      <w:r w:rsidR="00C24CB1">
        <w:t xml:space="preserve">research </w:t>
      </w:r>
      <w:r>
        <w:t xml:space="preserve">team includes experts with </w:t>
      </w:r>
      <w:r w:rsidR="00C24CB1">
        <w:t>experience conducting research with</w:t>
      </w:r>
      <w:r w:rsidR="009410ED">
        <w:t xml:space="preserve"> </w:t>
      </w:r>
      <w:r w:rsidR="000F725C">
        <w:t>community partners</w:t>
      </w:r>
      <w:r w:rsidR="009410ED">
        <w:t xml:space="preserve">, </w:t>
      </w:r>
      <w:r w:rsidR="009E69A3">
        <w:t>Lesbian, gay, bisexual, and transgender (</w:t>
      </w:r>
      <w:r w:rsidR="009410ED">
        <w:t>LGBT</w:t>
      </w:r>
      <w:r w:rsidR="009E69A3">
        <w:t>)</w:t>
      </w:r>
      <w:r>
        <w:t xml:space="preserve"> populations and qualitative research, including screening and interview development and testing. </w:t>
      </w:r>
      <w:r w:rsidR="000F725C">
        <w:t xml:space="preserve">NNPHI staff </w:t>
      </w:r>
      <w:r>
        <w:t xml:space="preserve">will conduct pretesting of the screening tool and interviews on </w:t>
      </w:r>
      <w:r w:rsidR="000F725C">
        <w:t xml:space="preserve">at least </w:t>
      </w:r>
      <w:r w:rsidR="00BF0C9B">
        <w:t>three mock</w:t>
      </w:r>
      <w:r>
        <w:t xml:space="preserve"> respondents to assess question wording, skip patterns, question sensitivity, and overall flow of the interview</w:t>
      </w:r>
      <w:r w:rsidR="00DE77DD">
        <w:t xml:space="preserve"> and t</w:t>
      </w:r>
      <w:r w:rsidRPr="004F75AD">
        <w:t>o estimate respo</w:t>
      </w:r>
      <w:r w:rsidR="00DE77DD">
        <w:t>nse burden for each respondent</w:t>
      </w:r>
      <w:r w:rsidRPr="004F75AD">
        <w:t xml:space="preserve">. </w:t>
      </w:r>
      <w:r w:rsidR="00C24CB1">
        <w:t xml:space="preserve">Non-CDC members of the research team will be responsible for recruiting respondents and collecting the data in the </w:t>
      </w:r>
      <w:r w:rsidR="009410ED">
        <w:t>three cities</w:t>
      </w:r>
      <w:r w:rsidR="00C24CB1">
        <w:t xml:space="preserve"> as well as for generating transcripts that contain no PII.</w:t>
      </w:r>
      <w:r w:rsidRPr="004F75AD">
        <w:t xml:space="preserve"> </w:t>
      </w:r>
    </w:p>
    <w:p w14:paraId="184DD518" w14:textId="77777777" w:rsidR="005342FB" w:rsidRDefault="005342FB" w:rsidP="005342FB">
      <w:pPr>
        <w:pStyle w:val="Heading1"/>
      </w:pPr>
      <w:bookmarkStart w:id="6" w:name="_Toc475950358"/>
      <w:r>
        <w:t>Individuals Consulted on Statistical Aspects and Individuals Collecting and/or Analyzing Data</w:t>
      </w:r>
      <w:bookmarkEnd w:id="6"/>
    </w:p>
    <w:p w14:paraId="7CF4BDD4" w14:textId="77777777" w:rsidR="008A18E1" w:rsidRDefault="008A18E1" w:rsidP="005342FB"/>
    <w:p w14:paraId="27BD7B2E" w14:textId="393CA5CC" w:rsidR="006161DE" w:rsidRDefault="008A18E1" w:rsidP="007764EA">
      <w:pPr>
        <w:spacing w:line="360" w:lineRule="auto"/>
      </w:pPr>
      <w:r w:rsidRPr="00322A33">
        <w:rPr>
          <w:b/>
        </w:rPr>
        <w:t xml:space="preserve">Exhibit </w:t>
      </w:r>
      <w:r w:rsidR="009E0726" w:rsidRPr="00322A33">
        <w:rPr>
          <w:b/>
        </w:rPr>
        <w:t>B</w:t>
      </w:r>
      <w:r w:rsidR="00FF1B1C" w:rsidRPr="00322A33">
        <w:rPr>
          <w:b/>
        </w:rPr>
        <w:t>5.1</w:t>
      </w:r>
      <w:r>
        <w:t xml:space="preserve"> </w:t>
      </w:r>
      <w:r w:rsidRPr="008A18E1">
        <w:t xml:space="preserve">below lists the project team members who were consulted on the aspects of research design and those who will be collecting and analyzing the data. Please note: The CDC </w:t>
      </w:r>
      <w:r>
        <w:t>staff</w:t>
      </w:r>
      <w:r w:rsidRPr="008A18E1">
        <w:t xml:space="preserve">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006161DE">
        <w:t xml:space="preserve">The data are primarily qualitative in nature and will be analyzed accordingly. </w:t>
      </w:r>
    </w:p>
    <w:p w14:paraId="54236321" w14:textId="06335424" w:rsidR="005342FB" w:rsidRDefault="008A18E1" w:rsidP="007764EA">
      <w:pPr>
        <w:spacing w:line="360" w:lineRule="auto"/>
      </w:pPr>
      <w:r w:rsidRPr="008A18E1">
        <w:t xml:space="preserve">The </w:t>
      </w:r>
      <w:r w:rsidR="00C24CB1">
        <w:t xml:space="preserve">CDC </w:t>
      </w:r>
      <w:r>
        <w:t>staff</w:t>
      </w:r>
      <w:r w:rsidRPr="008A18E1">
        <w:t xml:space="preserve"> will </w:t>
      </w:r>
      <w:r w:rsidR="00D80D49">
        <w:t xml:space="preserve">be non-engaged in the direct collection of information; CDC staff will </w:t>
      </w:r>
      <w:r w:rsidRPr="008A18E1">
        <w:t xml:space="preserve">neither collect data from nor interact with research </w:t>
      </w:r>
      <w:r w:rsidR="00686E78">
        <w:t>respondents</w:t>
      </w:r>
      <w:r w:rsidR="00D80D49">
        <w:t xml:space="preserve"> (</w:t>
      </w:r>
      <w:r w:rsidR="00D80D49" w:rsidRPr="00D80D49">
        <w:rPr>
          <w:b/>
        </w:rPr>
        <w:t>Attachment 7</w:t>
      </w:r>
      <w:r w:rsidR="00D80D49">
        <w:t>)</w:t>
      </w:r>
      <w:r w:rsidRPr="008A18E1">
        <w:t xml:space="preserve">. Data will be collected by members of </w:t>
      </w:r>
      <w:r w:rsidR="009E69A3">
        <w:t xml:space="preserve">partner </w:t>
      </w:r>
      <w:r w:rsidRPr="008A18E1">
        <w:t xml:space="preserve">project staff listed. No individual identifiers will be linkable to collected data, and no individually identifiable private information will be shared with or accessible by CDC staff. </w:t>
      </w:r>
      <w:r w:rsidR="00C24CB1">
        <w:t>All members of the research team will work together to analyze the data and generate reports containing summaries of the findings.</w:t>
      </w:r>
    </w:p>
    <w:p w14:paraId="6C9EBF3A" w14:textId="77777777" w:rsidR="007F29CE" w:rsidRDefault="007F29CE" w:rsidP="005342FB"/>
    <w:p w14:paraId="211B16E6" w14:textId="60EB8D0E" w:rsidR="008A18E1" w:rsidRDefault="007F29CE" w:rsidP="007F29CE">
      <w:pPr>
        <w:pStyle w:val="Caption"/>
      </w:pPr>
      <w:bookmarkStart w:id="7" w:name="_Toc475950365"/>
      <w:r>
        <w:t xml:space="preserve">Exhibit </w:t>
      </w:r>
      <w:r w:rsidR="009E0726">
        <w:t>B</w:t>
      </w:r>
      <w:r w:rsidR="00517ADC">
        <w:fldChar w:fldCharType="begin"/>
      </w:r>
      <w:r w:rsidR="00517ADC">
        <w:instrText xml:space="preserve"> STYLEREF 1 \s </w:instrText>
      </w:r>
      <w:r w:rsidR="00517ADC">
        <w:fldChar w:fldCharType="separate"/>
      </w:r>
      <w:r w:rsidR="008B2F17">
        <w:rPr>
          <w:noProof/>
        </w:rPr>
        <w:t>5</w:t>
      </w:r>
      <w:r w:rsidR="00517ADC">
        <w:rPr>
          <w:noProof/>
        </w:rPr>
        <w:fldChar w:fldCharType="end"/>
      </w:r>
      <w:r>
        <w:t>.</w:t>
      </w:r>
      <w:r w:rsidR="00517ADC">
        <w:fldChar w:fldCharType="begin"/>
      </w:r>
      <w:r w:rsidR="00517ADC">
        <w:instrText xml:space="preserve"> SEQ Exhibit \* ARABIC \s 1 </w:instrText>
      </w:r>
      <w:r w:rsidR="00517ADC">
        <w:fldChar w:fldCharType="separate"/>
      </w:r>
      <w:r w:rsidR="008B2F17">
        <w:rPr>
          <w:noProof/>
        </w:rPr>
        <w:t>1</w:t>
      </w:r>
      <w:r w:rsidR="00517ADC">
        <w:rPr>
          <w:noProof/>
        </w:rPr>
        <w:fldChar w:fldCharType="end"/>
      </w:r>
      <w:r>
        <w:t>: Statistical Consultants</w:t>
      </w:r>
      <w:bookmarkEnd w:id="7"/>
    </w:p>
    <w:tbl>
      <w:tblPr>
        <w:tblStyle w:val="TableGrid"/>
        <w:tblW w:w="0" w:type="auto"/>
        <w:tblLook w:val="04A0" w:firstRow="1" w:lastRow="0" w:firstColumn="1" w:lastColumn="0" w:noHBand="0" w:noVBand="1"/>
      </w:tblPr>
      <w:tblGrid>
        <w:gridCol w:w="2138"/>
        <w:gridCol w:w="2494"/>
        <w:gridCol w:w="3558"/>
      </w:tblGrid>
      <w:tr w:rsidR="00B423EE" w:rsidRPr="008A18E1" w14:paraId="36EE182B" w14:textId="77777777" w:rsidTr="0081578D">
        <w:tc>
          <w:tcPr>
            <w:tcW w:w="2138" w:type="dxa"/>
            <w:shd w:val="clear" w:color="auto" w:fill="B8CCE4" w:themeFill="accent1" w:themeFillTint="66"/>
          </w:tcPr>
          <w:p w14:paraId="274A2EBA" w14:textId="77777777" w:rsidR="00B423EE" w:rsidRPr="00B423EE" w:rsidRDefault="00B423EE" w:rsidP="005342FB">
            <w:pPr>
              <w:rPr>
                <w:b/>
                <w:sz w:val="20"/>
                <w:szCs w:val="20"/>
              </w:rPr>
            </w:pPr>
            <w:r w:rsidRPr="00B423EE">
              <w:rPr>
                <w:b/>
                <w:sz w:val="20"/>
                <w:szCs w:val="20"/>
              </w:rPr>
              <w:t>Team Member</w:t>
            </w:r>
          </w:p>
        </w:tc>
        <w:tc>
          <w:tcPr>
            <w:tcW w:w="2494" w:type="dxa"/>
            <w:shd w:val="clear" w:color="auto" w:fill="B8CCE4" w:themeFill="accent1" w:themeFillTint="66"/>
          </w:tcPr>
          <w:p w14:paraId="63EF5FBF" w14:textId="77777777" w:rsidR="00B423EE" w:rsidRPr="00B423EE" w:rsidRDefault="00B423EE" w:rsidP="005342FB">
            <w:pPr>
              <w:rPr>
                <w:b/>
                <w:sz w:val="20"/>
                <w:szCs w:val="20"/>
              </w:rPr>
            </w:pPr>
            <w:r w:rsidRPr="00B423EE">
              <w:rPr>
                <w:b/>
                <w:sz w:val="20"/>
                <w:szCs w:val="20"/>
              </w:rPr>
              <w:t>Organization</w:t>
            </w:r>
          </w:p>
        </w:tc>
        <w:tc>
          <w:tcPr>
            <w:tcW w:w="3558" w:type="dxa"/>
            <w:shd w:val="clear" w:color="auto" w:fill="B8CCE4" w:themeFill="accent1" w:themeFillTint="66"/>
          </w:tcPr>
          <w:p w14:paraId="71391BD8" w14:textId="77777777" w:rsidR="00B423EE" w:rsidRPr="00B423EE" w:rsidRDefault="00B423EE" w:rsidP="005342FB">
            <w:pPr>
              <w:rPr>
                <w:b/>
                <w:sz w:val="20"/>
                <w:szCs w:val="20"/>
              </w:rPr>
            </w:pPr>
            <w:r w:rsidRPr="00B423EE">
              <w:rPr>
                <w:b/>
                <w:sz w:val="20"/>
                <w:szCs w:val="20"/>
              </w:rPr>
              <w:t>Email</w:t>
            </w:r>
          </w:p>
        </w:tc>
      </w:tr>
      <w:tr w:rsidR="00B423EE" w:rsidRPr="008A18E1" w14:paraId="0A565939" w14:textId="77777777" w:rsidTr="00DE77DD">
        <w:tc>
          <w:tcPr>
            <w:tcW w:w="2138" w:type="dxa"/>
          </w:tcPr>
          <w:p w14:paraId="6721F645" w14:textId="16003077" w:rsidR="00B423EE" w:rsidRPr="00B423EE" w:rsidRDefault="0081578D" w:rsidP="005342FB">
            <w:pPr>
              <w:rPr>
                <w:sz w:val="20"/>
                <w:szCs w:val="20"/>
              </w:rPr>
            </w:pPr>
            <w:r>
              <w:rPr>
                <w:sz w:val="20"/>
                <w:szCs w:val="20"/>
              </w:rPr>
              <w:t>Monique Carry</w:t>
            </w:r>
          </w:p>
        </w:tc>
        <w:tc>
          <w:tcPr>
            <w:tcW w:w="2494" w:type="dxa"/>
          </w:tcPr>
          <w:p w14:paraId="1CF1AE4E" w14:textId="77777777" w:rsidR="00B423EE" w:rsidRPr="00B423EE" w:rsidRDefault="00B423EE" w:rsidP="005342FB">
            <w:pPr>
              <w:rPr>
                <w:sz w:val="20"/>
                <w:szCs w:val="20"/>
              </w:rPr>
            </w:pPr>
            <w:r w:rsidRPr="00B423EE">
              <w:rPr>
                <w:sz w:val="20"/>
                <w:szCs w:val="20"/>
              </w:rPr>
              <w:t>CDC</w:t>
            </w:r>
          </w:p>
        </w:tc>
        <w:tc>
          <w:tcPr>
            <w:tcW w:w="3558" w:type="dxa"/>
          </w:tcPr>
          <w:p w14:paraId="7EB895C3" w14:textId="3010D387" w:rsidR="00B423EE" w:rsidRPr="00B423EE" w:rsidRDefault="0081578D" w:rsidP="005342FB">
            <w:pPr>
              <w:rPr>
                <w:sz w:val="20"/>
                <w:szCs w:val="20"/>
              </w:rPr>
            </w:pPr>
            <w:r>
              <w:rPr>
                <w:sz w:val="20"/>
                <w:szCs w:val="20"/>
              </w:rPr>
              <w:t>Kju8</w:t>
            </w:r>
            <w:r w:rsidR="00B423EE" w:rsidRPr="00B423EE">
              <w:rPr>
                <w:sz w:val="20"/>
                <w:szCs w:val="20"/>
              </w:rPr>
              <w:t>@cdc.gov</w:t>
            </w:r>
          </w:p>
        </w:tc>
      </w:tr>
      <w:tr w:rsidR="00B423EE" w:rsidRPr="008A18E1" w14:paraId="78EB57E0" w14:textId="77777777" w:rsidTr="00DE77DD">
        <w:tc>
          <w:tcPr>
            <w:tcW w:w="2138" w:type="dxa"/>
          </w:tcPr>
          <w:p w14:paraId="4F060AD1" w14:textId="770CBA26" w:rsidR="00B423EE" w:rsidRPr="00B423EE" w:rsidRDefault="0081578D" w:rsidP="00B423EE">
            <w:pPr>
              <w:rPr>
                <w:sz w:val="20"/>
                <w:szCs w:val="20"/>
              </w:rPr>
            </w:pPr>
            <w:r>
              <w:rPr>
                <w:sz w:val="20"/>
                <w:szCs w:val="20"/>
              </w:rPr>
              <w:t>Aaron Alford</w:t>
            </w:r>
          </w:p>
        </w:tc>
        <w:tc>
          <w:tcPr>
            <w:tcW w:w="2494" w:type="dxa"/>
          </w:tcPr>
          <w:p w14:paraId="35D9D748" w14:textId="23F490E8" w:rsidR="00B423EE" w:rsidRPr="00B423EE" w:rsidRDefault="0081578D" w:rsidP="00B423EE">
            <w:pPr>
              <w:rPr>
                <w:sz w:val="20"/>
                <w:szCs w:val="20"/>
              </w:rPr>
            </w:pPr>
            <w:r>
              <w:rPr>
                <w:sz w:val="20"/>
                <w:szCs w:val="20"/>
              </w:rPr>
              <w:t>NNPHI</w:t>
            </w:r>
          </w:p>
        </w:tc>
        <w:tc>
          <w:tcPr>
            <w:tcW w:w="3558" w:type="dxa"/>
          </w:tcPr>
          <w:p w14:paraId="0124B974" w14:textId="490BA558" w:rsidR="00B423EE" w:rsidRPr="00B423EE" w:rsidRDefault="0081578D" w:rsidP="00B423EE">
            <w:pPr>
              <w:rPr>
                <w:sz w:val="20"/>
                <w:szCs w:val="20"/>
              </w:rPr>
            </w:pPr>
            <w:r>
              <w:rPr>
                <w:sz w:val="20"/>
                <w:szCs w:val="20"/>
              </w:rPr>
              <w:t>AAlford@nnphi.org</w:t>
            </w:r>
          </w:p>
        </w:tc>
      </w:tr>
      <w:tr w:rsidR="00B423EE" w:rsidRPr="008A18E1" w14:paraId="500BB100" w14:textId="77777777" w:rsidTr="00DE77DD">
        <w:tc>
          <w:tcPr>
            <w:tcW w:w="2138" w:type="dxa"/>
          </w:tcPr>
          <w:p w14:paraId="77972A2D" w14:textId="7823036C" w:rsidR="00B423EE" w:rsidRPr="00B423EE" w:rsidRDefault="0081578D" w:rsidP="00B423EE">
            <w:pPr>
              <w:rPr>
                <w:sz w:val="20"/>
                <w:szCs w:val="20"/>
              </w:rPr>
            </w:pPr>
            <w:r>
              <w:rPr>
                <w:sz w:val="20"/>
                <w:szCs w:val="20"/>
              </w:rPr>
              <w:t>Brittany Bickford</w:t>
            </w:r>
          </w:p>
        </w:tc>
        <w:tc>
          <w:tcPr>
            <w:tcW w:w="2494" w:type="dxa"/>
          </w:tcPr>
          <w:p w14:paraId="7D3A0B30" w14:textId="3F71B0EA" w:rsidR="00B423EE" w:rsidRPr="00B423EE" w:rsidRDefault="0081578D" w:rsidP="00B423EE">
            <w:pPr>
              <w:rPr>
                <w:sz w:val="20"/>
                <w:szCs w:val="20"/>
              </w:rPr>
            </w:pPr>
            <w:r>
              <w:rPr>
                <w:sz w:val="20"/>
                <w:szCs w:val="20"/>
              </w:rPr>
              <w:t>NNPHI</w:t>
            </w:r>
          </w:p>
        </w:tc>
        <w:tc>
          <w:tcPr>
            <w:tcW w:w="3558" w:type="dxa"/>
          </w:tcPr>
          <w:p w14:paraId="36CC209B" w14:textId="395FB98D" w:rsidR="00B423EE" w:rsidRPr="00B423EE" w:rsidRDefault="0081578D" w:rsidP="00B423EE">
            <w:pPr>
              <w:rPr>
                <w:sz w:val="20"/>
                <w:szCs w:val="20"/>
              </w:rPr>
            </w:pPr>
            <w:r>
              <w:rPr>
                <w:sz w:val="20"/>
                <w:szCs w:val="20"/>
              </w:rPr>
              <w:t>BBickford@nnphi.org</w:t>
            </w:r>
          </w:p>
        </w:tc>
      </w:tr>
      <w:tr w:rsidR="00B423EE" w:rsidRPr="008A18E1" w14:paraId="40BD3618" w14:textId="77777777" w:rsidTr="00DE77DD">
        <w:tc>
          <w:tcPr>
            <w:tcW w:w="2138" w:type="dxa"/>
          </w:tcPr>
          <w:p w14:paraId="6B922CE8" w14:textId="7C5039E8" w:rsidR="00B423EE" w:rsidRPr="00B423EE" w:rsidRDefault="0081578D" w:rsidP="00B423EE">
            <w:pPr>
              <w:rPr>
                <w:sz w:val="20"/>
                <w:szCs w:val="20"/>
              </w:rPr>
            </w:pPr>
            <w:r>
              <w:rPr>
                <w:sz w:val="20"/>
                <w:szCs w:val="20"/>
              </w:rPr>
              <w:t>Jennifer Edwards</w:t>
            </w:r>
          </w:p>
        </w:tc>
        <w:tc>
          <w:tcPr>
            <w:tcW w:w="2494" w:type="dxa"/>
          </w:tcPr>
          <w:p w14:paraId="61D1AD4D" w14:textId="08E235AE" w:rsidR="00B423EE" w:rsidRPr="00B423EE" w:rsidRDefault="0081578D" w:rsidP="00B423EE">
            <w:pPr>
              <w:rPr>
                <w:sz w:val="20"/>
                <w:szCs w:val="20"/>
              </w:rPr>
            </w:pPr>
            <w:r>
              <w:rPr>
                <w:sz w:val="20"/>
                <w:szCs w:val="20"/>
              </w:rPr>
              <w:t>NNPHI</w:t>
            </w:r>
          </w:p>
        </w:tc>
        <w:tc>
          <w:tcPr>
            <w:tcW w:w="3558" w:type="dxa"/>
          </w:tcPr>
          <w:p w14:paraId="43F247E7" w14:textId="7E2C60A1" w:rsidR="00B423EE" w:rsidRPr="00B423EE" w:rsidRDefault="0081578D" w:rsidP="00B423EE">
            <w:pPr>
              <w:rPr>
                <w:sz w:val="20"/>
                <w:szCs w:val="20"/>
              </w:rPr>
            </w:pPr>
            <w:r>
              <w:rPr>
                <w:sz w:val="20"/>
                <w:szCs w:val="20"/>
              </w:rPr>
              <w:t>jedwards@nnphi.org</w:t>
            </w:r>
          </w:p>
        </w:tc>
      </w:tr>
    </w:tbl>
    <w:p w14:paraId="1D050A95" w14:textId="56920EA1" w:rsidR="00013F21" w:rsidRDefault="0053739F" w:rsidP="00013F21">
      <w:r>
        <w:rPr>
          <w:noProof/>
        </w:rPr>
        <w:fldChar w:fldCharType="begin"/>
      </w:r>
      <w:r>
        <w:instrText xml:space="preserve"> ADDIN EN.REFLIST </w:instrText>
      </w:r>
      <w:r>
        <w:rPr>
          <w:noProof/>
        </w:rPr>
        <w:fldChar w:fldCharType="end"/>
      </w:r>
    </w:p>
    <w:sectPr w:rsidR="00013F21" w:rsidSect="006C6578">
      <w:footerReference w:type="default" r:id="rId10"/>
      <w:endnotePr>
        <w:numFmt w:val="decimal"/>
      </w:end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F3157" w14:textId="77777777" w:rsidR="00AF0F06" w:rsidRDefault="00AF0F06" w:rsidP="008B5D54">
      <w:r>
        <w:separator/>
      </w:r>
    </w:p>
  </w:endnote>
  <w:endnote w:type="continuationSeparator" w:id="0">
    <w:p w14:paraId="34773127" w14:textId="77777777" w:rsidR="00AF0F06" w:rsidRDefault="00AF0F0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701C99FF" w14:textId="26847487" w:rsidR="00AF0F06" w:rsidRDefault="00AF0F06">
        <w:pPr>
          <w:pStyle w:val="Footer"/>
          <w:jc w:val="right"/>
        </w:pPr>
        <w:r>
          <w:fldChar w:fldCharType="begin"/>
        </w:r>
        <w:r>
          <w:instrText xml:space="preserve"> PAGE   \* MERGEFORMAT </w:instrText>
        </w:r>
        <w:r>
          <w:fldChar w:fldCharType="separate"/>
        </w:r>
        <w:r w:rsidR="00517ADC">
          <w:rPr>
            <w:noProof/>
          </w:rPr>
          <w:t>1</w:t>
        </w:r>
        <w:r>
          <w:rPr>
            <w:noProof/>
          </w:rPr>
          <w:fldChar w:fldCharType="end"/>
        </w:r>
      </w:p>
    </w:sdtContent>
  </w:sdt>
  <w:p w14:paraId="144CBD9B" w14:textId="77777777" w:rsidR="00AF0F06" w:rsidRDefault="00AF0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79E97" w14:textId="77777777" w:rsidR="00AF0F06" w:rsidRDefault="00AF0F06" w:rsidP="008B5D54">
      <w:r>
        <w:separator/>
      </w:r>
    </w:p>
  </w:footnote>
  <w:footnote w:type="continuationSeparator" w:id="0">
    <w:p w14:paraId="4D46FA75" w14:textId="77777777" w:rsidR="00AF0F06" w:rsidRDefault="00AF0F0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C0107"/>
    <w:multiLevelType w:val="hybridMultilevel"/>
    <w:tmpl w:val="3940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940B0"/>
    <w:multiLevelType w:val="hybridMultilevel"/>
    <w:tmpl w:val="D65E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D2C5F"/>
    <w:multiLevelType w:val="hybridMultilevel"/>
    <w:tmpl w:val="D75EC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975D34"/>
    <w:multiLevelType w:val="hybridMultilevel"/>
    <w:tmpl w:val="AE62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465588"/>
    <w:multiLevelType w:val="hybridMultilevel"/>
    <w:tmpl w:val="A0267D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7"/>
  </w:num>
  <w:num w:numId="5">
    <w:abstractNumId w:val="10"/>
  </w:num>
  <w:num w:numId="6">
    <w:abstractNumId w:val="2"/>
  </w:num>
  <w:num w:numId="7">
    <w:abstractNumId w:val="0"/>
  </w:num>
  <w:num w:numId="8">
    <w:abstractNumId w:val="5"/>
  </w:num>
  <w:num w:numId="9">
    <w:abstractNumId w:val="15"/>
  </w:num>
  <w:num w:numId="10">
    <w:abstractNumId w:val="14"/>
  </w:num>
  <w:num w:numId="11">
    <w:abstractNumId w:val="12"/>
  </w:num>
  <w:num w:numId="12">
    <w:abstractNumId w:val="17"/>
  </w:num>
  <w:num w:numId="13">
    <w:abstractNumId w:val="1"/>
  </w:num>
  <w:num w:numId="14">
    <w:abstractNumId w:val="6"/>
  </w:num>
  <w:num w:numId="15">
    <w:abstractNumId w:val="8"/>
  </w:num>
  <w:num w:numId="16">
    <w:abstractNumId w:val="11"/>
  </w:num>
  <w:num w:numId="17">
    <w:abstractNumId w:val="4"/>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NjE2NLMwMTQ1tzBW0lEKTi0uzszPAykwrAUA0xIYXCwAAAA="/>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1FF0"/>
    <w:rsid w:val="00013F21"/>
    <w:rsid w:val="000366A9"/>
    <w:rsid w:val="00045E22"/>
    <w:rsid w:val="000D03CA"/>
    <w:rsid w:val="000F3E2A"/>
    <w:rsid w:val="000F725C"/>
    <w:rsid w:val="00100746"/>
    <w:rsid w:val="00103914"/>
    <w:rsid w:val="00104443"/>
    <w:rsid w:val="0014326C"/>
    <w:rsid w:val="00147E80"/>
    <w:rsid w:val="00151B30"/>
    <w:rsid w:val="0016459B"/>
    <w:rsid w:val="00177C45"/>
    <w:rsid w:val="00187F1C"/>
    <w:rsid w:val="00197217"/>
    <w:rsid w:val="001E4FDC"/>
    <w:rsid w:val="00203FC0"/>
    <w:rsid w:val="00225610"/>
    <w:rsid w:val="002339F6"/>
    <w:rsid w:val="002A4110"/>
    <w:rsid w:val="00311E64"/>
    <w:rsid w:val="0031423B"/>
    <w:rsid w:val="0032129A"/>
    <w:rsid w:val="00322A33"/>
    <w:rsid w:val="00325C9D"/>
    <w:rsid w:val="00347B16"/>
    <w:rsid w:val="00357363"/>
    <w:rsid w:val="00361089"/>
    <w:rsid w:val="003750AD"/>
    <w:rsid w:val="00377FFB"/>
    <w:rsid w:val="003908E6"/>
    <w:rsid w:val="003978FC"/>
    <w:rsid w:val="003A2A70"/>
    <w:rsid w:val="003B2593"/>
    <w:rsid w:val="003B7B35"/>
    <w:rsid w:val="003D1CCB"/>
    <w:rsid w:val="003D3BBE"/>
    <w:rsid w:val="003D4F04"/>
    <w:rsid w:val="0040239B"/>
    <w:rsid w:val="0047153A"/>
    <w:rsid w:val="004B79F4"/>
    <w:rsid w:val="004F75AD"/>
    <w:rsid w:val="00517ADC"/>
    <w:rsid w:val="00527188"/>
    <w:rsid w:val="005339B7"/>
    <w:rsid w:val="005342FB"/>
    <w:rsid w:val="0053739F"/>
    <w:rsid w:val="00554673"/>
    <w:rsid w:val="0055675E"/>
    <w:rsid w:val="005A3A8D"/>
    <w:rsid w:val="005A6CB0"/>
    <w:rsid w:val="005C226C"/>
    <w:rsid w:val="005D0F7C"/>
    <w:rsid w:val="005E2E30"/>
    <w:rsid w:val="005F079D"/>
    <w:rsid w:val="00606E0F"/>
    <w:rsid w:val="00607C89"/>
    <w:rsid w:val="00615AD1"/>
    <w:rsid w:val="006161DE"/>
    <w:rsid w:val="00644E20"/>
    <w:rsid w:val="00656863"/>
    <w:rsid w:val="00670D29"/>
    <w:rsid w:val="00686860"/>
    <w:rsid w:val="00686E78"/>
    <w:rsid w:val="006B0155"/>
    <w:rsid w:val="006C6578"/>
    <w:rsid w:val="006E3721"/>
    <w:rsid w:val="007045FC"/>
    <w:rsid w:val="00710EE4"/>
    <w:rsid w:val="00720E62"/>
    <w:rsid w:val="007764EA"/>
    <w:rsid w:val="00786952"/>
    <w:rsid w:val="00792029"/>
    <w:rsid w:val="007A2269"/>
    <w:rsid w:val="007A56E0"/>
    <w:rsid w:val="007B4308"/>
    <w:rsid w:val="007B5EDC"/>
    <w:rsid w:val="007C43A0"/>
    <w:rsid w:val="007D3934"/>
    <w:rsid w:val="007F29CE"/>
    <w:rsid w:val="007F5034"/>
    <w:rsid w:val="0081578D"/>
    <w:rsid w:val="008238F6"/>
    <w:rsid w:val="008253CC"/>
    <w:rsid w:val="008267FB"/>
    <w:rsid w:val="00851A91"/>
    <w:rsid w:val="00885D92"/>
    <w:rsid w:val="00892BA9"/>
    <w:rsid w:val="00896EEA"/>
    <w:rsid w:val="008A05ED"/>
    <w:rsid w:val="008A0FC0"/>
    <w:rsid w:val="008A18E1"/>
    <w:rsid w:val="008A348C"/>
    <w:rsid w:val="008B22CA"/>
    <w:rsid w:val="008B2F17"/>
    <w:rsid w:val="008B5D54"/>
    <w:rsid w:val="008D34B2"/>
    <w:rsid w:val="008D61A7"/>
    <w:rsid w:val="008F519C"/>
    <w:rsid w:val="00912699"/>
    <w:rsid w:val="00914C58"/>
    <w:rsid w:val="00922C45"/>
    <w:rsid w:val="0092419F"/>
    <w:rsid w:val="0092509A"/>
    <w:rsid w:val="00937383"/>
    <w:rsid w:val="009410ED"/>
    <w:rsid w:val="00945206"/>
    <w:rsid w:val="00947E53"/>
    <w:rsid w:val="009665D0"/>
    <w:rsid w:val="00971839"/>
    <w:rsid w:val="00977F49"/>
    <w:rsid w:val="009D2A56"/>
    <w:rsid w:val="009E0726"/>
    <w:rsid w:val="009E69A3"/>
    <w:rsid w:val="00A9552C"/>
    <w:rsid w:val="00AB6846"/>
    <w:rsid w:val="00AC1ACA"/>
    <w:rsid w:val="00AC47D6"/>
    <w:rsid w:val="00AF0F06"/>
    <w:rsid w:val="00AF3A32"/>
    <w:rsid w:val="00B27474"/>
    <w:rsid w:val="00B423EE"/>
    <w:rsid w:val="00B55735"/>
    <w:rsid w:val="00B608AC"/>
    <w:rsid w:val="00B950D4"/>
    <w:rsid w:val="00B96201"/>
    <w:rsid w:val="00BB6466"/>
    <w:rsid w:val="00BF0C9B"/>
    <w:rsid w:val="00C24CB1"/>
    <w:rsid w:val="00C252F7"/>
    <w:rsid w:val="00C262EC"/>
    <w:rsid w:val="00C33466"/>
    <w:rsid w:val="00C472F1"/>
    <w:rsid w:val="00C722C4"/>
    <w:rsid w:val="00C80097"/>
    <w:rsid w:val="00C946C2"/>
    <w:rsid w:val="00CB6A7F"/>
    <w:rsid w:val="00CC00C1"/>
    <w:rsid w:val="00CC755C"/>
    <w:rsid w:val="00CD1409"/>
    <w:rsid w:val="00CD6D16"/>
    <w:rsid w:val="00CE5D33"/>
    <w:rsid w:val="00D0040C"/>
    <w:rsid w:val="00D025A5"/>
    <w:rsid w:val="00D05CDE"/>
    <w:rsid w:val="00D14157"/>
    <w:rsid w:val="00D207FC"/>
    <w:rsid w:val="00D3747B"/>
    <w:rsid w:val="00D554F6"/>
    <w:rsid w:val="00D80D49"/>
    <w:rsid w:val="00D90173"/>
    <w:rsid w:val="00DC57CC"/>
    <w:rsid w:val="00DE69FC"/>
    <w:rsid w:val="00DE77DD"/>
    <w:rsid w:val="00DF4654"/>
    <w:rsid w:val="00DF6A21"/>
    <w:rsid w:val="00E04084"/>
    <w:rsid w:val="00E3297C"/>
    <w:rsid w:val="00E451A4"/>
    <w:rsid w:val="00E557C3"/>
    <w:rsid w:val="00E563E0"/>
    <w:rsid w:val="00E64B34"/>
    <w:rsid w:val="00E769A2"/>
    <w:rsid w:val="00EA0E5E"/>
    <w:rsid w:val="00EE64BF"/>
    <w:rsid w:val="00EF6C5B"/>
    <w:rsid w:val="00F013BE"/>
    <w:rsid w:val="00F14C7C"/>
    <w:rsid w:val="00F21E20"/>
    <w:rsid w:val="00F439E0"/>
    <w:rsid w:val="00F462EA"/>
    <w:rsid w:val="00FA09E0"/>
    <w:rsid w:val="00FB42B0"/>
    <w:rsid w:val="00FC0B16"/>
    <w:rsid w:val="00FC2972"/>
    <w:rsid w:val="00FE576A"/>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56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diumGrid1-Accent21">
    <w:name w:val="Medium Grid 1 - Accent 21"/>
    <w:basedOn w:val="Normal"/>
    <w:link w:val="MediumGrid1-Accent2Char"/>
    <w:uiPriority w:val="34"/>
    <w:qFormat/>
    <w:rsid w:val="002A411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2A4110"/>
    <w:rPr>
      <w:rFonts w:ascii="Cambria" w:eastAsia="MS Mincho" w:hAnsi="Cambria" w:cs="Times New Roman"/>
      <w:sz w:val="24"/>
      <w:szCs w:val="24"/>
    </w:rPr>
  </w:style>
  <w:style w:type="character" w:customStyle="1" w:styleId="ListParagraphChar">
    <w:name w:val="List Paragraph Char"/>
    <w:link w:val="ListParagraph"/>
    <w:uiPriority w:val="34"/>
    <w:locked/>
    <w:rsid w:val="00896EEA"/>
    <w:rPr>
      <w:rFonts w:ascii="Times New Roman" w:eastAsia="Times New Roman" w:hAnsi="Times New Roman" w:cs="Times New Roman"/>
      <w:sz w:val="24"/>
      <w:szCs w:val="24"/>
    </w:rPr>
  </w:style>
  <w:style w:type="paragraph" w:customStyle="1" w:styleId="Body">
    <w:name w:val="Body"/>
    <w:rsid w:val="003750A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diumGrid1-Accent21">
    <w:name w:val="Medium Grid 1 - Accent 21"/>
    <w:basedOn w:val="Normal"/>
    <w:link w:val="MediumGrid1-Accent2Char"/>
    <w:uiPriority w:val="34"/>
    <w:qFormat/>
    <w:rsid w:val="002A411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2A4110"/>
    <w:rPr>
      <w:rFonts w:ascii="Cambria" w:eastAsia="MS Mincho" w:hAnsi="Cambria" w:cs="Times New Roman"/>
      <w:sz w:val="24"/>
      <w:szCs w:val="24"/>
    </w:rPr>
  </w:style>
  <w:style w:type="character" w:customStyle="1" w:styleId="ListParagraphChar">
    <w:name w:val="List Paragraph Char"/>
    <w:link w:val="ListParagraph"/>
    <w:uiPriority w:val="34"/>
    <w:locked/>
    <w:rsid w:val="00896EEA"/>
    <w:rPr>
      <w:rFonts w:ascii="Times New Roman" w:eastAsia="Times New Roman" w:hAnsi="Times New Roman" w:cs="Times New Roman"/>
      <w:sz w:val="24"/>
      <w:szCs w:val="24"/>
    </w:rPr>
  </w:style>
  <w:style w:type="paragraph" w:customStyle="1" w:styleId="Body">
    <w:name w:val="Body"/>
    <w:rsid w:val="003750A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38378754">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carr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55FFB97-27ED-4C95-A79F-1C962AA8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Kju8</dc:creator>
  <cp:keywords/>
  <dc:description/>
  <cp:lastModifiedBy>SYSTEM</cp:lastModifiedBy>
  <cp:revision>2</cp:revision>
  <dcterms:created xsi:type="dcterms:W3CDTF">2018-07-13T15:07:00Z</dcterms:created>
  <dcterms:modified xsi:type="dcterms:W3CDTF">2018-07-13T15:07:00Z</dcterms:modified>
</cp:coreProperties>
</file>