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0B775" w14:textId="13DA1E3B" w:rsidR="00CE0945" w:rsidRPr="007C4AC4" w:rsidRDefault="00CE0945" w:rsidP="00CE0945">
      <w:pPr>
        <w:widowControl w:val="0"/>
        <w:autoSpaceDE w:val="0"/>
        <w:autoSpaceDN w:val="0"/>
        <w:adjustRightInd w:val="0"/>
        <w:jc w:val="center"/>
        <w:rPr>
          <w:bCs/>
          <w:iCs/>
          <w:color w:val="000000"/>
        </w:rPr>
      </w:pPr>
      <w:bookmarkStart w:id="0" w:name="_GoBack"/>
      <w:bookmarkEnd w:id="0"/>
      <w:r w:rsidRPr="007C4AC4">
        <w:rPr>
          <w:bCs/>
          <w:iCs/>
          <w:color w:val="000000"/>
        </w:rPr>
        <w:t>Request for Sub-collection under the Generic ICR:</w:t>
      </w:r>
    </w:p>
    <w:p w14:paraId="288AB4BC" w14:textId="77777777" w:rsidR="00CE0945" w:rsidRPr="007C4AC4" w:rsidRDefault="00CE0945" w:rsidP="00CE0945">
      <w:pPr>
        <w:widowControl w:val="0"/>
        <w:autoSpaceDE w:val="0"/>
        <w:autoSpaceDN w:val="0"/>
        <w:adjustRightInd w:val="0"/>
        <w:jc w:val="center"/>
        <w:rPr>
          <w:bCs/>
          <w:iCs/>
          <w:color w:val="000000"/>
        </w:rPr>
      </w:pPr>
      <w:r w:rsidRPr="007C4AC4">
        <w:rPr>
          <w:bCs/>
          <w:iCs/>
          <w:color w:val="000000"/>
        </w:rPr>
        <w:t>Formative Research and Tool Development</w:t>
      </w:r>
    </w:p>
    <w:p w14:paraId="1C4CEEB5" w14:textId="6C4450BC" w:rsidR="00492385" w:rsidRDefault="00CE0945" w:rsidP="00CE0945">
      <w:pPr>
        <w:autoSpaceDE w:val="0"/>
        <w:autoSpaceDN w:val="0"/>
        <w:adjustRightInd w:val="0"/>
        <w:jc w:val="center"/>
        <w:rPr>
          <w:b/>
          <w:bCs/>
        </w:rPr>
      </w:pPr>
      <w:r w:rsidRPr="00E13017">
        <w:rPr>
          <w:bCs/>
          <w:iCs/>
          <w:color w:val="000000"/>
        </w:rPr>
        <w:t xml:space="preserve">OMB </w:t>
      </w:r>
      <w:r>
        <w:rPr>
          <w:bCs/>
          <w:iCs/>
          <w:color w:val="000000"/>
        </w:rPr>
        <w:t>0920-0840</w:t>
      </w:r>
      <w:r w:rsidRPr="007C4AC4">
        <w:rPr>
          <w:bCs/>
          <w:iCs/>
          <w:color w:val="000000"/>
        </w:rPr>
        <w:t xml:space="preserve">, Expiration Date </w:t>
      </w:r>
      <w:r>
        <w:rPr>
          <w:bCs/>
          <w:iCs/>
          <w:color w:val="000000"/>
        </w:rPr>
        <w:t>01/31/2019</w:t>
      </w:r>
    </w:p>
    <w:p w14:paraId="37C4A2B0" w14:textId="77777777" w:rsidR="00CE0945" w:rsidRDefault="00CE0945" w:rsidP="00492385">
      <w:pPr>
        <w:autoSpaceDE w:val="0"/>
        <w:autoSpaceDN w:val="0"/>
        <w:adjustRightInd w:val="0"/>
        <w:rPr>
          <w:b/>
          <w:bCs/>
        </w:rPr>
      </w:pPr>
    </w:p>
    <w:p w14:paraId="0DA1FA01" w14:textId="77777777" w:rsidR="00CE0945" w:rsidRDefault="00CE0945" w:rsidP="00492385">
      <w:pPr>
        <w:autoSpaceDE w:val="0"/>
        <w:autoSpaceDN w:val="0"/>
        <w:adjustRightInd w:val="0"/>
        <w:rPr>
          <w:b/>
          <w:bCs/>
        </w:rPr>
      </w:pPr>
    </w:p>
    <w:p w14:paraId="4E6E61CE" w14:textId="38F18338" w:rsidR="00492385" w:rsidRDefault="000C19FE" w:rsidP="00492385">
      <w:pPr>
        <w:autoSpaceDE w:val="0"/>
        <w:autoSpaceDN w:val="0"/>
        <w:adjustRightInd w:val="0"/>
        <w:jc w:val="center"/>
        <w:rPr>
          <w:b/>
        </w:rPr>
      </w:pPr>
      <w:r>
        <w:rPr>
          <w:b/>
        </w:rPr>
        <w:t xml:space="preserve">Developing </w:t>
      </w:r>
      <w:r w:rsidR="00492385">
        <w:rPr>
          <w:b/>
        </w:rPr>
        <w:t>Tools to Engage Adolescent Men Who Have Sex with Men (AMSM)</w:t>
      </w:r>
    </w:p>
    <w:p w14:paraId="7BAB03AF" w14:textId="77777777" w:rsidR="00492385" w:rsidRDefault="00492385" w:rsidP="00492385">
      <w:pPr>
        <w:jc w:val="center"/>
        <w:rPr>
          <w:b/>
        </w:rPr>
      </w:pPr>
    </w:p>
    <w:p w14:paraId="6AB94755" w14:textId="77777777" w:rsidR="00492385" w:rsidRDefault="00492385" w:rsidP="00492385">
      <w:pPr>
        <w:jc w:val="center"/>
        <w:rPr>
          <w:b/>
        </w:rPr>
      </w:pPr>
    </w:p>
    <w:p w14:paraId="676C4B3F" w14:textId="77777777" w:rsidR="00A40005" w:rsidRPr="0074427A" w:rsidRDefault="00A40005" w:rsidP="00A40005">
      <w:pPr>
        <w:autoSpaceDE w:val="0"/>
        <w:autoSpaceDN w:val="0"/>
        <w:adjustRightInd w:val="0"/>
        <w:jc w:val="center"/>
        <w:rPr>
          <w:bCs/>
          <w:iCs/>
        </w:rPr>
      </w:pPr>
      <w:r w:rsidRPr="0074427A">
        <w:rPr>
          <w:bCs/>
          <w:iCs/>
        </w:rPr>
        <w:t>OMB No: 0920-0840</w:t>
      </w:r>
    </w:p>
    <w:p w14:paraId="408F8C6C" w14:textId="77777777" w:rsidR="00A40005" w:rsidRPr="0074427A" w:rsidRDefault="00A40005" w:rsidP="00A40005">
      <w:pPr>
        <w:autoSpaceDE w:val="0"/>
        <w:autoSpaceDN w:val="0"/>
        <w:adjustRightInd w:val="0"/>
        <w:jc w:val="center"/>
        <w:rPr>
          <w:bCs/>
          <w:iCs/>
        </w:rPr>
      </w:pPr>
      <w:r w:rsidRPr="0074427A">
        <w:rPr>
          <w:bCs/>
          <w:iCs/>
        </w:rPr>
        <w:t>Exp. Date: 01/31/2019</w:t>
      </w:r>
    </w:p>
    <w:p w14:paraId="5E0AF196" w14:textId="77777777" w:rsidR="00A40005" w:rsidRDefault="00A40005" w:rsidP="00A40005">
      <w:pPr>
        <w:autoSpaceDE w:val="0"/>
        <w:autoSpaceDN w:val="0"/>
        <w:adjustRightInd w:val="0"/>
        <w:jc w:val="center"/>
        <w:rPr>
          <w:b/>
          <w:bCs/>
          <w:iCs/>
        </w:rPr>
      </w:pPr>
    </w:p>
    <w:p w14:paraId="35A1A1DF" w14:textId="77777777" w:rsidR="00492385" w:rsidRDefault="00492385" w:rsidP="00492385">
      <w:pPr>
        <w:jc w:val="center"/>
        <w:rPr>
          <w:b/>
        </w:rPr>
      </w:pPr>
    </w:p>
    <w:p w14:paraId="14CBCA65" w14:textId="77777777" w:rsidR="00492385" w:rsidRDefault="00492385" w:rsidP="00492385">
      <w:pPr>
        <w:jc w:val="center"/>
        <w:rPr>
          <w:b/>
        </w:rPr>
      </w:pPr>
    </w:p>
    <w:p w14:paraId="69204B1F" w14:textId="7841EDF6" w:rsidR="00492385" w:rsidRDefault="00C566E7" w:rsidP="00492385">
      <w:pPr>
        <w:jc w:val="center"/>
        <w:rPr>
          <w:b/>
        </w:rPr>
      </w:pPr>
      <w:r>
        <w:rPr>
          <w:b/>
        </w:rPr>
        <w:t>Supporting Statement</w:t>
      </w:r>
    </w:p>
    <w:p w14:paraId="4A5D4C38" w14:textId="1452EC9B" w:rsidR="00C566E7" w:rsidRDefault="00C566E7" w:rsidP="00492385">
      <w:pPr>
        <w:jc w:val="center"/>
        <w:rPr>
          <w:b/>
        </w:rPr>
      </w:pPr>
      <w:r>
        <w:rPr>
          <w:b/>
        </w:rPr>
        <w:t>Part B</w:t>
      </w:r>
    </w:p>
    <w:p w14:paraId="16EEDA94" w14:textId="77777777" w:rsidR="00492385" w:rsidRDefault="00492385" w:rsidP="00492385">
      <w:pPr>
        <w:jc w:val="center"/>
        <w:rPr>
          <w:b/>
        </w:rPr>
      </w:pPr>
    </w:p>
    <w:p w14:paraId="7EB9A824" w14:textId="77777777" w:rsidR="00492385" w:rsidRDefault="00492385" w:rsidP="00492385">
      <w:pPr>
        <w:jc w:val="center"/>
        <w:rPr>
          <w:b/>
          <w:noProof/>
        </w:rPr>
      </w:pPr>
    </w:p>
    <w:p w14:paraId="33745B86" w14:textId="37B5C13A" w:rsidR="00492385" w:rsidRDefault="00F06555" w:rsidP="00492385">
      <w:pPr>
        <w:jc w:val="center"/>
        <w:rPr>
          <w:b/>
        </w:rPr>
      </w:pPr>
      <w:r>
        <w:rPr>
          <w:b/>
          <w:noProof/>
        </w:rPr>
        <w:t>September 7, 2017</w:t>
      </w:r>
    </w:p>
    <w:p w14:paraId="11E7F3A2" w14:textId="77777777" w:rsidR="00492385" w:rsidRDefault="00492385" w:rsidP="00492385">
      <w:pPr>
        <w:jc w:val="center"/>
        <w:rPr>
          <w:b/>
        </w:rPr>
      </w:pPr>
    </w:p>
    <w:p w14:paraId="0A7A3A10" w14:textId="77777777" w:rsidR="00492385" w:rsidRDefault="00492385" w:rsidP="00492385">
      <w:pPr>
        <w:jc w:val="center"/>
        <w:rPr>
          <w:b/>
        </w:rPr>
      </w:pPr>
      <w:r>
        <w:rPr>
          <w:b/>
        </w:rPr>
        <w:t>CONTACT</w:t>
      </w:r>
    </w:p>
    <w:p w14:paraId="0E1231BC" w14:textId="0338305C" w:rsidR="00492385" w:rsidRDefault="00492385" w:rsidP="00492385">
      <w:pPr>
        <w:jc w:val="center"/>
        <w:rPr>
          <w:shd w:val="clear" w:color="auto" w:fill="FFFFFF"/>
        </w:rPr>
      </w:pPr>
      <w:r>
        <w:rPr>
          <w:bCs/>
          <w:shd w:val="clear" w:color="auto" w:fill="FFFFFF"/>
        </w:rPr>
        <w:t>Rich</w:t>
      </w:r>
      <w:r w:rsidR="006230C5">
        <w:rPr>
          <w:bCs/>
          <w:shd w:val="clear" w:color="auto" w:fill="FFFFFF"/>
        </w:rPr>
        <w:t>ard</w:t>
      </w:r>
      <w:r>
        <w:rPr>
          <w:bCs/>
          <w:shd w:val="clear" w:color="auto" w:fill="FFFFFF"/>
        </w:rPr>
        <w:t xml:space="preserve"> Dunville, MPH</w:t>
      </w:r>
      <w:r>
        <w:br/>
      </w:r>
      <w:r w:rsidR="009E35D6">
        <w:t>Research Officer</w:t>
      </w:r>
    </w:p>
    <w:p w14:paraId="6B0ABC6E" w14:textId="77777777" w:rsidR="00492385" w:rsidRDefault="00492385" w:rsidP="00492385">
      <w:pPr>
        <w:jc w:val="center"/>
      </w:pPr>
      <w:r>
        <w:rPr>
          <w:shd w:val="clear" w:color="auto" w:fill="FFFFFF"/>
        </w:rPr>
        <w:t>Centers for Disease Control and Prevention</w:t>
      </w:r>
      <w:r>
        <w:br/>
      </w:r>
      <w:r>
        <w:rPr>
          <w:shd w:val="clear" w:color="auto" w:fill="FFFFFF"/>
        </w:rPr>
        <w:t>Division of Adolescent and School Health</w:t>
      </w:r>
      <w:r>
        <w:br/>
      </w:r>
      <w:r>
        <w:rPr>
          <w:shd w:val="clear" w:color="auto" w:fill="FFFFFF"/>
        </w:rPr>
        <w:t>1600 Clifton Road, NE</w:t>
      </w:r>
      <w:r>
        <w:br/>
      </w:r>
      <w:r>
        <w:rPr>
          <w:shd w:val="clear" w:color="auto" w:fill="FFFFFF"/>
        </w:rPr>
        <w:t>Atlanta, GA 30333</w:t>
      </w:r>
      <w:r>
        <w:br/>
      </w:r>
      <w:r>
        <w:rPr>
          <w:shd w:val="clear" w:color="auto" w:fill="FFFFFF"/>
        </w:rPr>
        <w:t>Phone: 404-769-3290</w:t>
      </w:r>
      <w:r>
        <w:br/>
      </w:r>
      <w:r>
        <w:rPr>
          <w:shd w:val="clear" w:color="auto" w:fill="FFFFFF"/>
        </w:rPr>
        <w:t>Fax: 404-639-1950</w:t>
      </w:r>
      <w:r>
        <w:br/>
      </w:r>
      <w:r>
        <w:rPr>
          <w:shd w:val="clear" w:color="auto" w:fill="FFFFFF"/>
        </w:rPr>
        <w:t>E-mail:</w:t>
      </w:r>
      <w:r>
        <w:t> </w:t>
      </w:r>
      <w:r>
        <w:rPr>
          <w:u w:val="single"/>
        </w:rPr>
        <w:t>dgo2@cdc.gov</w:t>
      </w:r>
    </w:p>
    <w:p w14:paraId="15EBBE93" w14:textId="77777777" w:rsidR="00492385" w:rsidRDefault="00492385" w:rsidP="00492385">
      <w:pPr>
        <w:rPr>
          <w:b/>
          <w:bCs/>
        </w:rPr>
      </w:pPr>
    </w:p>
    <w:p w14:paraId="0FFAD590" w14:textId="77777777" w:rsidR="00492385" w:rsidRDefault="00492385" w:rsidP="00492385">
      <w:pPr>
        <w:rPr>
          <w:b/>
          <w:i/>
          <w:iCs/>
        </w:rPr>
      </w:pPr>
    </w:p>
    <w:p w14:paraId="24DFA5B8" w14:textId="77777777" w:rsidR="00492385" w:rsidRDefault="00492385" w:rsidP="00492385">
      <w:pPr>
        <w:rPr>
          <w:b/>
          <w:i/>
          <w:iCs/>
        </w:rPr>
      </w:pPr>
    </w:p>
    <w:p w14:paraId="32E5445C" w14:textId="77777777" w:rsidR="00492385" w:rsidRDefault="00492385" w:rsidP="00492385">
      <w:pPr>
        <w:rPr>
          <w:noProof/>
        </w:rPr>
      </w:pPr>
    </w:p>
    <w:p w14:paraId="207C3FF6" w14:textId="77777777" w:rsidR="00492385" w:rsidRDefault="00492385" w:rsidP="00492385">
      <w:pPr>
        <w:rPr>
          <w:noProof/>
        </w:rPr>
      </w:pPr>
    </w:p>
    <w:p w14:paraId="59AE7F3B" w14:textId="77777777" w:rsidR="00492385" w:rsidRDefault="00492385" w:rsidP="00492385">
      <w:r>
        <w:t xml:space="preserve"> </w:t>
      </w:r>
    </w:p>
    <w:p w14:paraId="1653E37C" w14:textId="77777777" w:rsidR="00492385" w:rsidRDefault="00492385" w:rsidP="00492385"/>
    <w:p w14:paraId="2B4AD8DA" w14:textId="77777777" w:rsidR="00492385" w:rsidRDefault="00492385" w:rsidP="00492385">
      <w:pPr>
        <w:rPr>
          <w:b/>
          <w:bCs/>
        </w:rPr>
        <w:sectPr w:rsidR="00492385">
          <w:footerReference w:type="default" r:id="rId8"/>
          <w:pgSz w:w="12240" w:h="15840"/>
          <w:pgMar w:top="1440" w:right="1440" w:bottom="1440" w:left="1440" w:header="720" w:footer="720" w:gutter="0"/>
          <w:pgNumType w:fmt="lowerRoman" w:start="1"/>
          <w:cols w:space="720"/>
        </w:sectPr>
      </w:pPr>
    </w:p>
    <w:p w14:paraId="716DDDA3" w14:textId="77777777" w:rsidR="00492385" w:rsidRDefault="00492385" w:rsidP="00492385">
      <w:pPr>
        <w:pBdr>
          <w:bottom w:val="single" w:sz="4" w:space="1" w:color="660000"/>
        </w:pBdr>
        <w:autoSpaceDE w:val="0"/>
        <w:autoSpaceDN w:val="0"/>
        <w:adjustRightInd w:val="0"/>
        <w:rPr>
          <w:b/>
          <w:bCs/>
        </w:rPr>
      </w:pPr>
      <w:r>
        <w:rPr>
          <w:b/>
          <w:bCs/>
        </w:rPr>
        <w:lastRenderedPageBreak/>
        <w:t>TABLE OF CONTENTS</w:t>
      </w:r>
    </w:p>
    <w:p w14:paraId="1EDCAA22" w14:textId="77777777" w:rsidR="00492385" w:rsidRDefault="00492385" w:rsidP="00492385">
      <w:pPr>
        <w:autoSpaceDE w:val="0"/>
        <w:autoSpaceDN w:val="0"/>
        <w:adjustRightInd w:val="0"/>
        <w:rPr>
          <w:b/>
          <w:bCs/>
        </w:rPr>
      </w:pPr>
    </w:p>
    <w:p w14:paraId="12778DD5" w14:textId="77777777" w:rsidR="00492385" w:rsidRDefault="00492385" w:rsidP="00492385">
      <w:pPr>
        <w:pStyle w:val="TOC2"/>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r:id="rId9" w:anchor="_Toc464646193" w:history="1">
        <w:r>
          <w:rPr>
            <w:rStyle w:val="Hyperlink"/>
            <w:noProof/>
          </w:rPr>
          <w:t xml:space="preserve">1. </w:t>
        </w:r>
        <w:r>
          <w:rPr>
            <w:rStyle w:val="Hyperlink"/>
            <w:noProof/>
          </w:rPr>
          <w:tab/>
          <w:t>Respondent Universe and Sampling Methods</w:t>
        </w:r>
        <w:r>
          <w:rPr>
            <w:rStyle w:val="Hyperlink"/>
            <w:noProof/>
            <w:webHidden/>
          </w:rPr>
          <w:tab/>
        </w:r>
        <w:r>
          <w:rPr>
            <w:rStyle w:val="Hyperlink"/>
            <w:noProof/>
            <w:webHidden/>
          </w:rPr>
          <w:fldChar w:fldCharType="begin"/>
        </w:r>
        <w:r>
          <w:rPr>
            <w:rStyle w:val="Hyperlink"/>
            <w:noProof/>
            <w:webHidden/>
          </w:rPr>
          <w:instrText xml:space="preserve"> PAGEREF _Toc464646193 \h </w:instrText>
        </w:r>
        <w:r>
          <w:rPr>
            <w:rStyle w:val="Hyperlink"/>
            <w:noProof/>
            <w:webHidden/>
          </w:rPr>
        </w:r>
        <w:r>
          <w:rPr>
            <w:rStyle w:val="Hyperlink"/>
            <w:noProof/>
            <w:webHidden/>
          </w:rPr>
          <w:fldChar w:fldCharType="separate"/>
        </w:r>
        <w:r w:rsidR="00930F0F">
          <w:rPr>
            <w:rStyle w:val="Hyperlink"/>
            <w:noProof/>
            <w:webHidden/>
          </w:rPr>
          <w:t>3</w:t>
        </w:r>
        <w:r>
          <w:rPr>
            <w:rStyle w:val="Hyperlink"/>
            <w:noProof/>
            <w:webHidden/>
          </w:rPr>
          <w:fldChar w:fldCharType="end"/>
        </w:r>
      </w:hyperlink>
    </w:p>
    <w:p w14:paraId="0F88CFB1" w14:textId="77777777" w:rsidR="00492385" w:rsidRDefault="004F06E5" w:rsidP="00492385">
      <w:pPr>
        <w:pStyle w:val="TOC2"/>
        <w:rPr>
          <w:rFonts w:asciiTheme="minorHAnsi" w:eastAsiaTheme="minorEastAsia" w:hAnsiTheme="minorHAnsi" w:cstheme="minorBidi"/>
          <w:noProof/>
          <w:sz w:val="22"/>
          <w:szCs w:val="22"/>
        </w:rPr>
      </w:pPr>
      <w:hyperlink r:id="rId10" w:anchor="_Toc464646194" w:history="1">
        <w:r w:rsidR="00492385">
          <w:rPr>
            <w:rStyle w:val="Hyperlink"/>
            <w:noProof/>
          </w:rPr>
          <w:t>2.</w:t>
        </w:r>
        <w:r w:rsidR="00492385">
          <w:rPr>
            <w:rStyle w:val="Hyperlink"/>
            <w:rFonts w:asciiTheme="minorHAnsi" w:eastAsiaTheme="minorEastAsia" w:hAnsiTheme="minorHAnsi" w:cstheme="minorBidi"/>
            <w:noProof/>
            <w:sz w:val="22"/>
            <w:szCs w:val="22"/>
          </w:rPr>
          <w:tab/>
        </w:r>
        <w:r w:rsidR="00492385">
          <w:rPr>
            <w:rStyle w:val="Hyperlink"/>
            <w:noProof/>
          </w:rPr>
          <w:t>Procedures for the Collection of Information</w:t>
        </w:r>
        <w:r w:rsidR="00492385">
          <w:rPr>
            <w:rStyle w:val="Hyperlink"/>
            <w:noProof/>
            <w:webHidden/>
          </w:rPr>
          <w:tab/>
        </w:r>
        <w:r w:rsidR="00492385">
          <w:rPr>
            <w:rStyle w:val="Hyperlink"/>
            <w:noProof/>
            <w:webHidden/>
          </w:rPr>
          <w:fldChar w:fldCharType="begin"/>
        </w:r>
        <w:r w:rsidR="00492385">
          <w:rPr>
            <w:rStyle w:val="Hyperlink"/>
            <w:noProof/>
            <w:webHidden/>
          </w:rPr>
          <w:instrText xml:space="preserve"> PAGEREF _Toc464646194 \h </w:instrText>
        </w:r>
        <w:r w:rsidR="00492385">
          <w:rPr>
            <w:rStyle w:val="Hyperlink"/>
            <w:noProof/>
            <w:webHidden/>
          </w:rPr>
        </w:r>
        <w:r w:rsidR="00492385">
          <w:rPr>
            <w:rStyle w:val="Hyperlink"/>
            <w:noProof/>
            <w:webHidden/>
          </w:rPr>
          <w:fldChar w:fldCharType="separate"/>
        </w:r>
        <w:r w:rsidR="00930F0F">
          <w:rPr>
            <w:rStyle w:val="Hyperlink"/>
            <w:noProof/>
            <w:webHidden/>
          </w:rPr>
          <w:t>5</w:t>
        </w:r>
        <w:r w:rsidR="00492385">
          <w:rPr>
            <w:rStyle w:val="Hyperlink"/>
            <w:noProof/>
            <w:webHidden/>
          </w:rPr>
          <w:fldChar w:fldCharType="end"/>
        </w:r>
      </w:hyperlink>
    </w:p>
    <w:p w14:paraId="0E946C55" w14:textId="77777777" w:rsidR="00492385" w:rsidRDefault="004F06E5" w:rsidP="00492385">
      <w:pPr>
        <w:pStyle w:val="TOC2"/>
        <w:rPr>
          <w:rFonts w:asciiTheme="minorHAnsi" w:eastAsiaTheme="minorEastAsia" w:hAnsiTheme="minorHAnsi" w:cstheme="minorBidi"/>
          <w:noProof/>
          <w:sz w:val="22"/>
          <w:szCs w:val="22"/>
        </w:rPr>
      </w:pPr>
      <w:hyperlink r:id="rId11" w:anchor="_Toc464646195" w:history="1">
        <w:r w:rsidR="00492385">
          <w:rPr>
            <w:rStyle w:val="Hyperlink"/>
            <w:noProof/>
          </w:rPr>
          <w:t>3.</w:t>
        </w:r>
        <w:r w:rsidR="00492385">
          <w:rPr>
            <w:rStyle w:val="Hyperlink"/>
            <w:rFonts w:asciiTheme="minorHAnsi" w:eastAsiaTheme="minorEastAsia" w:hAnsiTheme="minorHAnsi" w:cstheme="minorBidi"/>
            <w:noProof/>
            <w:sz w:val="22"/>
            <w:szCs w:val="22"/>
          </w:rPr>
          <w:tab/>
        </w:r>
        <w:r w:rsidR="00492385">
          <w:rPr>
            <w:rStyle w:val="Hyperlink"/>
            <w:noProof/>
          </w:rPr>
          <w:t>Methods to Maximize Response Rates and Deal with Nonresponse</w:t>
        </w:r>
        <w:r w:rsidR="00492385">
          <w:rPr>
            <w:rStyle w:val="Hyperlink"/>
            <w:noProof/>
            <w:webHidden/>
          </w:rPr>
          <w:tab/>
        </w:r>
        <w:r w:rsidR="00492385">
          <w:rPr>
            <w:rStyle w:val="Hyperlink"/>
            <w:noProof/>
            <w:webHidden/>
          </w:rPr>
          <w:fldChar w:fldCharType="begin"/>
        </w:r>
        <w:r w:rsidR="00492385">
          <w:rPr>
            <w:rStyle w:val="Hyperlink"/>
            <w:noProof/>
            <w:webHidden/>
          </w:rPr>
          <w:instrText xml:space="preserve"> PAGEREF _Toc464646195 \h </w:instrText>
        </w:r>
        <w:r w:rsidR="00492385">
          <w:rPr>
            <w:rStyle w:val="Hyperlink"/>
            <w:noProof/>
            <w:webHidden/>
          </w:rPr>
        </w:r>
        <w:r w:rsidR="00492385">
          <w:rPr>
            <w:rStyle w:val="Hyperlink"/>
            <w:noProof/>
            <w:webHidden/>
          </w:rPr>
          <w:fldChar w:fldCharType="separate"/>
        </w:r>
        <w:r w:rsidR="00930F0F">
          <w:rPr>
            <w:rStyle w:val="Hyperlink"/>
            <w:noProof/>
            <w:webHidden/>
          </w:rPr>
          <w:t>6</w:t>
        </w:r>
        <w:r w:rsidR="00492385">
          <w:rPr>
            <w:rStyle w:val="Hyperlink"/>
            <w:noProof/>
            <w:webHidden/>
          </w:rPr>
          <w:fldChar w:fldCharType="end"/>
        </w:r>
      </w:hyperlink>
    </w:p>
    <w:p w14:paraId="6F0CA0BD" w14:textId="77777777" w:rsidR="00492385" w:rsidRDefault="004F06E5" w:rsidP="00492385">
      <w:pPr>
        <w:pStyle w:val="TOC2"/>
        <w:rPr>
          <w:rFonts w:asciiTheme="minorHAnsi" w:eastAsiaTheme="minorEastAsia" w:hAnsiTheme="minorHAnsi" w:cstheme="minorBidi"/>
          <w:noProof/>
          <w:sz w:val="22"/>
          <w:szCs w:val="22"/>
        </w:rPr>
      </w:pPr>
      <w:hyperlink r:id="rId12" w:anchor="_Toc464646196" w:history="1">
        <w:r w:rsidR="00492385">
          <w:rPr>
            <w:rStyle w:val="Hyperlink"/>
            <w:noProof/>
          </w:rPr>
          <w:t>4.</w:t>
        </w:r>
        <w:r w:rsidR="00492385">
          <w:rPr>
            <w:rStyle w:val="Hyperlink"/>
            <w:rFonts w:asciiTheme="minorHAnsi" w:eastAsiaTheme="minorEastAsia" w:hAnsiTheme="minorHAnsi" w:cstheme="minorBidi"/>
            <w:noProof/>
            <w:sz w:val="22"/>
            <w:szCs w:val="22"/>
          </w:rPr>
          <w:tab/>
        </w:r>
        <w:r w:rsidR="00492385">
          <w:rPr>
            <w:rStyle w:val="Hyperlink"/>
            <w:noProof/>
          </w:rPr>
          <w:t>Test of Procedures or Methods to be Undertaken</w:t>
        </w:r>
        <w:r w:rsidR="00492385">
          <w:rPr>
            <w:rStyle w:val="Hyperlink"/>
            <w:noProof/>
            <w:webHidden/>
          </w:rPr>
          <w:tab/>
        </w:r>
        <w:r w:rsidR="00492385">
          <w:rPr>
            <w:rStyle w:val="Hyperlink"/>
            <w:noProof/>
            <w:webHidden/>
          </w:rPr>
          <w:fldChar w:fldCharType="begin"/>
        </w:r>
        <w:r w:rsidR="00492385">
          <w:rPr>
            <w:rStyle w:val="Hyperlink"/>
            <w:noProof/>
            <w:webHidden/>
          </w:rPr>
          <w:instrText xml:space="preserve"> PAGEREF _Toc464646196 \h </w:instrText>
        </w:r>
        <w:r w:rsidR="00492385">
          <w:rPr>
            <w:rStyle w:val="Hyperlink"/>
            <w:noProof/>
            <w:webHidden/>
          </w:rPr>
        </w:r>
        <w:r w:rsidR="00492385">
          <w:rPr>
            <w:rStyle w:val="Hyperlink"/>
            <w:noProof/>
            <w:webHidden/>
          </w:rPr>
          <w:fldChar w:fldCharType="separate"/>
        </w:r>
        <w:r w:rsidR="00930F0F">
          <w:rPr>
            <w:rStyle w:val="Hyperlink"/>
            <w:noProof/>
            <w:webHidden/>
          </w:rPr>
          <w:t>7</w:t>
        </w:r>
        <w:r w:rsidR="00492385">
          <w:rPr>
            <w:rStyle w:val="Hyperlink"/>
            <w:noProof/>
            <w:webHidden/>
          </w:rPr>
          <w:fldChar w:fldCharType="end"/>
        </w:r>
      </w:hyperlink>
    </w:p>
    <w:p w14:paraId="527F64C6" w14:textId="77777777" w:rsidR="00492385" w:rsidRDefault="004F06E5" w:rsidP="00492385">
      <w:pPr>
        <w:pStyle w:val="TOC2"/>
        <w:rPr>
          <w:rFonts w:asciiTheme="minorHAnsi" w:eastAsiaTheme="minorEastAsia" w:hAnsiTheme="minorHAnsi" w:cstheme="minorBidi"/>
          <w:noProof/>
          <w:sz w:val="22"/>
          <w:szCs w:val="22"/>
        </w:rPr>
      </w:pPr>
      <w:hyperlink r:id="rId13" w:anchor="_Toc464646197" w:history="1">
        <w:r w:rsidR="00492385">
          <w:rPr>
            <w:rStyle w:val="Hyperlink"/>
            <w:noProof/>
          </w:rPr>
          <w:t>5.</w:t>
        </w:r>
        <w:r w:rsidR="00492385">
          <w:rPr>
            <w:rStyle w:val="Hyperlink"/>
            <w:rFonts w:asciiTheme="minorHAnsi" w:eastAsiaTheme="minorEastAsia" w:hAnsiTheme="minorHAnsi" w:cstheme="minorBidi"/>
            <w:noProof/>
            <w:sz w:val="22"/>
            <w:szCs w:val="22"/>
          </w:rPr>
          <w:tab/>
        </w:r>
        <w:r w:rsidR="00492385">
          <w:rPr>
            <w:rStyle w:val="Hyperlink"/>
            <w:noProof/>
          </w:rPr>
          <w:t>Individuals Consulted on Statistical Aspects and Individuals Collecting and/or Analyzing Data</w:t>
        </w:r>
        <w:r w:rsidR="00492385">
          <w:rPr>
            <w:rStyle w:val="Hyperlink"/>
            <w:noProof/>
            <w:webHidden/>
          </w:rPr>
          <w:tab/>
        </w:r>
        <w:r w:rsidR="00492385">
          <w:rPr>
            <w:rStyle w:val="Hyperlink"/>
            <w:noProof/>
            <w:webHidden/>
          </w:rPr>
          <w:fldChar w:fldCharType="begin"/>
        </w:r>
        <w:r w:rsidR="00492385">
          <w:rPr>
            <w:rStyle w:val="Hyperlink"/>
            <w:noProof/>
            <w:webHidden/>
          </w:rPr>
          <w:instrText xml:space="preserve"> PAGEREF _Toc464646197 \h </w:instrText>
        </w:r>
        <w:r w:rsidR="00492385">
          <w:rPr>
            <w:rStyle w:val="Hyperlink"/>
            <w:noProof/>
            <w:webHidden/>
          </w:rPr>
        </w:r>
        <w:r w:rsidR="00492385">
          <w:rPr>
            <w:rStyle w:val="Hyperlink"/>
            <w:noProof/>
            <w:webHidden/>
          </w:rPr>
          <w:fldChar w:fldCharType="separate"/>
        </w:r>
        <w:r w:rsidR="00930F0F">
          <w:rPr>
            <w:rStyle w:val="Hyperlink"/>
            <w:noProof/>
            <w:webHidden/>
          </w:rPr>
          <w:t>7</w:t>
        </w:r>
        <w:r w:rsidR="00492385">
          <w:rPr>
            <w:rStyle w:val="Hyperlink"/>
            <w:noProof/>
            <w:webHidden/>
          </w:rPr>
          <w:fldChar w:fldCharType="end"/>
        </w:r>
      </w:hyperlink>
    </w:p>
    <w:p w14:paraId="7C49F258" w14:textId="77777777" w:rsidR="00492385" w:rsidRDefault="00492385" w:rsidP="00492385">
      <w:pPr>
        <w:autoSpaceDE w:val="0"/>
        <w:autoSpaceDN w:val="0"/>
        <w:adjustRightInd w:val="0"/>
        <w:rPr>
          <w:i/>
        </w:rPr>
      </w:pPr>
      <w:r>
        <w:rPr>
          <w:b/>
          <w:bCs/>
        </w:rPr>
        <w:fldChar w:fldCharType="end"/>
      </w:r>
      <w:r>
        <w:rPr>
          <w:i/>
        </w:rPr>
        <w:t xml:space="preserve"> </w:t>
      </w:r>
    </w:p>
    <w:p w14:paraId="3BE301D2" w14:textId="77777777" w:rsidR="00492385" w:rsidRDefault="00492385" w:rsidP="00492385">
      <w:pPr>
        <w:spacing w:after="200" w:line="276" w:lineRule="auto"/>
        <w:rPr>
          <w:b/>
        </w:rPr>
      </w:pPr>
      <w:bookmarkStart w:id="1" w:name="_Toc306891233"/>
      <w:bookmarkStart w:id="2" w:name="_Toc235958534"/>
    </w:p>
    <w:p w14:paraId="0EC9A5D7" w14:textId="671FF98B" w:rsidR="008305A4" w:rsidRDefault="00492385">
      <w:pPr>
        <w:spacing w:after="160" w:line="259" w:lineRule="auto"/>
        <w:rPr>
          <w:b/>
        </w:rPr>
      </w:pPr>
      <w:r>
        <w:rPr>
          <w:b/>
        </w:rPr>
        <w:br w:type="page"/>
      </w:r>
    </w:p>
    <w:p w14:paraId="445AB6B4" w14:textId="77777777" w:rsidR="00492385" w:rsidRDefault="00492385" w:rsidP="00492385">
      <w:pPr>
        <w:rPr>
          <w:b/>
        </w:rPr>
      </w:pPr>
    </w:p>
    <w:p w14:paraId="68EBE6B2" w14:textId="3C5901FB" w:rsidR="00492385" w:rsidRDefault="008305A4" w:rsidP="00492385">
      <w:pPr>
        <w:spacing w:after="200" w:line="276" w:lineRule="auto"/>
        <w:rPr>
          <w:b/>
        </w:rPr>
      </w:pPr>
      <w:r>
        <w:rPr>
          <w:b/>
        </w:rPr>
        <w:t>Supporting</w:t>
      </w:r>
      <w:r w:rsidR="00492385">
        <w:rPr>
          <w:b/>
        </w:rPr>
        <w:t xml:space="preserve"> Statement</w:t>
      </w:r>
    </w:p>
    <w:p w14:paraId="3CFE2058" w14:textId="77777777" w:rsidR="00492385" w:rsidRDefault="00492385" w:rsidP="00492385">
      <w:pPr>
        <w:rPr>
          <w:b/>
        </w:rPr>
      </w:pPr>
      <w:r>
        <w:rPr>
          <w:b/>
        </w:rPr>
        <w:t xml:space="preserve">B. </w:t>
      </w:r>
      <w:r>
        <w:rPr>
          <w:b/>
          <w:u w:val="single"/>
        </w:rPr>
        <w:t>Collections of Information Employing Statistical Methods</w:t>
      </w:r>
    </w:p>
    <w:p w14:paraId="7C2B9619" w14:textId="77777777" w:rsidR="00492385" w:rsidRDefault="00492385" w:rsidP="00492385">
      <w:pPr>
        <w:rPr>
          <w:b/>
          <w:u w:val="single"/>
        </w:rPr>
      </w:pPr>
    </w:p>
    <w:p w14:paraId="2F2A3DE3" w14:textId="77777777" w:rsidR="00492385" w:rsidRDefault="00492385" w:rsidP="00492385">
      <w:pPr>
        <w:pStyle w:val="Heading2"/>
        <w:rPr>
          <w:rFonts w:ascii="Times New Roman" w:hAnsi="Times New Roman" w:cs="Times New Roman"/>
          <w:i w:val="0"/>
          <w:sz w:val="24"/>
          <w:szCs w:val="24"/>
        </w:rPr>
      </w:pPr>
      <w:bookmarkStart w:id="3" w:name="_Toc464646193"/>
      <w:r>
        <w:rPr>
          <w:rFonts w:ascii="Times New Roman" w:hAnsi="Times New Roman" w:cs="Times New Roman"/>
          <w:i w:val="0"/>
          <w:sz w:val="24"/>
          <w:szCs w:val="24"/>
        </w:rPr>
        <w:t>1. Respondent Universe and Sampling Methods</w:t>
      </w:r>
      <w:bookmarkEnd w:id="3"/>
    </w:p>
    <w:p w14:paraId="0294EA3C" w14:textId="77777777" w:rsidR="00492385" w:rsidRDefault="00492385" w:rsidP="00492385">
      <w:pPr>
        <w:tabs>
          <w:tab w:val="left" w:pos="2303"/>
        </w:tabs>
      </w:pPr>
      <w:bookmarkStart w:id="4" w:name="_Toc235958535"/>
      <w:bookmarkEnd w:id="1"/>
      <w:bookmarkEnd w:id="2"/>
    </w:p>
    <w:p w14:paraId="25EABF30" w14:textId="77777777" w:rsidR="00492385" w:rsidRDefault="00492385" w:rsidP="00492385">
      <w:pPr>
        <w:autoSpaceDE w:val="0"/>
        <w:autoSpaceDN w:val="0"/>
        <w:adjustRightInd w:val="0"/>
        <w:rPr>
          <w:u w:val="single"/>
        </w:rPr>
      </w:pPr>
      <w:r>
        <w:rPr>
          <w:u w:val="single"/>
        </w:rPr>
        <w:t>Respondent Universe</w:t>
      </w:r>
    </w:p>
    <w:p w14:paraId="39B5618B" w14:textId="2976C4F0" w:rsidR="00492385" w:rsidRDefault="00492385" w:rsidP="00492385">
      <w:r>
        <w:t xml:space="preserve">This formative research study will enroll adolescents at high risk for HIV, living across the United States </w:t>
      </w:r>
      <w:r w:rsidR="00361264">
        <w:t xml:space="preserve">into online and in-person focus groups </w:t>
      </w:r>
      <w:r>
        <w:t xml:space="preserve">using </w:t>
      </w:r>
      <w:r w:rsidR="0076221E">
        <w:t>multiple recruitment methods</w:t>
      </w:r>
      <w:r w:rsidR="00AF661A">
        <w:t>. Participants will be recruited to online focus group using the InsideHeads platform. In-person focus groups will involve recruitment through social media and broad based recruitment in the focus group cities (Boston</w:t>
      </w:r>
      <w:r w:rsidR="00F06555">
        <w:t xml:space="preserve"> and </w:t>
      </w:r>
      <w:r w:rsidR="00AF661A">
        <w:t xml:space="preserve">Philadelphia). </w:t>
      </w:r>
    </w:p>
    <w:p w14:paraId="1C1710D9" w14:textId="77777777" w:rsidR="00954778" w:rsidRDefault="00954778" w:rsidP="00492385"/>
    <w:p w14:paraId="3BEE1845" w14:textId="1415E82D" w:rsidR="00954778" w:rsidRPr="0076221E" w:rsidRDefault="00954778" w:rsidP="00492385">
      <w:pPr>
        <w:rPr>
          <w:rFonts w:ascii="Arial" w:hAnsi="Arial" w:cs="Arial"/>
        </w:rPr>
      </w:pPr>
      <w:r>
        <w:t xml:space="preserve">The 2015 Youth Risk Behavior Survey (YRBS), with data from 25 states and 19 cities, estimates that 2% of high school youth identify as gay or lesbian, 6% as bisexual, and 3.2% are unsure. Some 1.7% of youth report same-sex contact only, and 4.6% report sexual contact with both females and males.  </w:t>
      </w:r>
    </w:p>
    <w:p w14:paraId="695E8BC5" w14:textId="77777777" w:rsidR="00AF661A" w:rsidRDefault="00AF661A" w:rsidP="00AF661A">
      <w:pPr>
        <w:tabs>
          <w:tab w:val="left" w:pos="6495"/>
        </w:tabs>
        <w:rPr>
          <w:i/>
        </w:rPr>
      </w:pPr>
    </w:p>
    <w:p w14:paraId="19EFDEA4" w14:textId="77777777" w:rsidR="00C5569B" w:rsidRDefault="00AF661A" w:rsidP="00AF661A">
      <w:pPr>
        <w:tabs>
          <w:tab w:val="left" w:pos="6495"/>
        </w:tabs>
        <w:rPr>
          <w:i/>
        </w:rPr>
      </w:pPr>
      <w:r w:rsidRPr="00AF661A">
        <w:rPr>
          <w:i/>
        </w:rPr>
        <w:t>Inclusion Criteria</w:t>
      </w:r>
    </w:p>
    <w:p w14:paraId="42606B96" w14:textId="4ECF2ABD" w:rsidR="00C5569B" w:rsidRDefault="00C5569B" w:rsidP="00C5569B">
      <w:r w:rsidRPr="00C5569B">
        <w:t xml:space="preserve"> </w:t>
      </w:r>
      <w:r>
        <w:t>Our intended recruitment is summarized below:</w:t>
      </w:r>
    </w:p>
    <w:p w14:paraId="080C32F6" w14:textId="77777777" w:rsidR="00C5569B" w:rsidRPr="00330DFC" w:rsidRDefault="00C5569B" w:rsidP="00C5569B">
      <w:pPr>
        <w:pStyle w:val="ListParagraph"/>
      </w:pPr>
    </w:p>
    <w:tbl>
      <w:tblPr>
        <w:tblStyle w:val="TableGrid"/>
        <w:tblW w:w="0" w:type="auto"/>
        <w:tblLook w:val="04A0" w:firstRow="1" w:lastRow="0" w:firstColumn="1" w:lastColumn="0" w:noHBand="0" w:noVBand="1"/>
      </w:tblPr>
      <w:tblGrid>
        <w:gridCol w:w="571"/>
        <w:gridCol w:w="1423"/>
        <w:gridCol w:w="1858"/>
        <w:gridCol w:w="618"/>
        <w:gridCol w:w="1612"/>
        <w:gridCol w:w="1315"/>
        <w:gridCol w:w="1953"/>
      </w:tblGrid>
      <w:tr w:rsidR="00C5569B" w14:paraId="79641F42" w14:textId="77777777" w:rsidTr="001B2F08">
        <w:tc>
          <w:tcPr>
            <w:tcW w:w="571" w:type="dxa"/>
          </w:tcPr>
          <w:p w14:paraId="570BB632" w14:textId="77777777" w:rsidR="00C5569B" w:rsidRDefault="00C5569B" w:rsidP="00783E6C">
            <w:r>
              <w:t>FG No.</w:t>
            </w:r>
          </w:p>
        </w:tc>
        <w:tc>
          <w:tcPr>
            <w:tcW w:w="1423" w:type="dxa"/>
          </w:tcPr>
          <w:p w14:paraId="77598A28" w14:textId="77777777" w:rsidR="00C5569B" w:rsidRDefault="00C5569B" w:rsidP="00783E6C">
            <w:r>
              <w:t>Type of Focus Group</w:t>
            </w:r>
          </w:p>
        </w:tc>
        <w:tc>
          <w:tcPr>
            <w:tcW w:w="1858" w:type="dxa"/>
          </w:tcPr>
          <w:p w14:paraId="4116133F" w14:textId="77777777" w:rsidR="00C5569B" w:rsidRDefault="00C5569B" w:rsidP="00783E6C">
            <w:r>
              <w:t>Sample/ Location</w:t>
            </w:r>
          </w:p>
        </w:tc>
        <w:tc>
          <w:tcPr>
            <w:tcW w:w="618" w:type="dxa"/>
          </w:tcPr>
          <w:p w14:paraId="06ED3553" w14:textId="77777777" w:rsidR="00C5569B" w:rsidRDefault="00C5569B" w:rsidP="00783E6C">
            <w:pPr>
              <w:jc w:val="center"/>
            </w:pPr>
            <w:r>
              <w:t>N</w:t>
            </w:r>
          </w:p>
        </w:tc>
        <w:tc>
          <w:tcPr>
            <w:tcW w:w="1612" w:type="dxa"/>
          </w:tcPr>
          <w:p w14:paraId="55237809" w14:textId="77777777" w:rsidR="00C5569B" w:rsidRDefault="00C5569B" w:rsidP="00783E6C">
            <w:r>
              <w:t>Type of Respondents</w:t>
            </w:r>
          </w:p>
        </w:tc>
        <w:tc>
          <w:tcPr>
            <w:tcW w:w="1315" w:type="dxa"/>
          </w:tcPr>
          <w:p w14:paraId="4CC0C4AA" w14:textId="77777777" w:rsidR="00C5569B" w:rsidRDefault="00C5569B" w:rsidP="00783E6C">
            <w:r>
              <w:t>Age Range</w:t>
            </w:r>
          </w:p>
        </w:tc>
        <w:tc>
          <w:tcPr>
            <w:tcW w:w="1953" w:type="dxa"/>
          </w:tcPr>
          <w:p w14:paraId="1A458DF8" w14:textId="77777777" w:rsidR="00C5569B" w:rsidRDefault="00C5569B" w:rsidP="00783E6C">
            <w:r>
              <w:t>Race/Ethnicity</w:t>
            </w:r>
          </w:p>
        </w:tc>
      </w:tr>
      <w:tr w:rsidR="00C5569B" w14:paraId="400EA6F9" w14:textId="77777777" w:rsidTr="001B2F08">
        <w:tc>
          <w:tcPr>
            <w:tcW w:w="571" w:type="dxa"/>
          </w:tcPr>
          <w:p w14:paraId="111021B6" w14:textId="77777777" w:rsidR="00C5569B" w:rsidRDefault="00C5569B" w:rsidP="00783E6C">
            <w:r>
              <w:t>1</w:t>
            </w:r>
          </w:p>
        </w:tc>
        <w:tc>
          <w:tcPr>
            <w:tcW w:w="1423" w:type="dxa"/>
          </w:tcPr>
          <w:p w14:paraId="32EA0AF9" w14:textId="77777777" w:rsidR="00C5569B" w:rsidRDefault="00C5569B" w:rsidP="00783E6C">
            <w:r>
              <w:t>Online</w:t>
            </w:r>
          </w:p>
        </w:tc>
        <w:tc>
          <w:tcPr>
            <w:tcW w:w="1858" w:type="dxa"/>
          </w:tcPr>
          <w:p w14:paraId="57B3D3B6" w14:textId="77777777" w:rsidR="00C5569B" w:rsidRDefault="00C5569B" w:rsidP="00783E6C">
            <w:r>
              <w:t>National (urban)</w:t>
            </w:r>
          </w:p>
        </w:tc>
        <w:tc>
          <w:tcPr>
            <w:tcW w:w="618" w:type="dxa"/>
          </w:tcPr>
          <w:p w14:paraId="28CDE47B" w14:textId="77777777" w:rsidR="00C5569B" w:rsidRDefault="00C5569B" w:rsidP="00783E6C">
            <w:pPr>
              <w:jc w:val="center"/>
            </w:pPr>
            <w:r>
              <w:t>12</w:t>
            </w:r>
          </w:p>
        </w:tc>
        <w:tc>
          <w:tcPr>
            <w:tcW w:w="1612" w:type="dxa"/>
          </w:tcPr>
          <w:p w14:paraId="7DC303B8" w14:textId="77777777" w:rsidR="00C5569B" w:rsidRDefault="00C5569B" w:rsidP="00783E6C">
            <w:r>
              <w:t>AMSM</w:t>
            </w:r>
            <w:r w:rsidRPr="0017612F">
              <w:rPr>
                <w:vertAlign w:val="superscript"/>
              </w:rPr>
              <w:t>1</w:t>
            </w:r>
          </w:p>
        </w:tc>
        <w:tc>
          <w:tcPr>
            <w:tcW w:w="1315" w:type="dxa"/>
          </w:tcPr>
          <w:p w14:paraId="3D729D29" w14:textId="77777777" w:rsidR="00C5569B" w:rsidRDefault="00C5569B" w:rsidP="00783E6C">
            <w:r>
              <w:t>13-18 years</w:t>
            </w:r>
            <w:r w:rsidRPr="008B45C9">
              <w:rPr>
                <w:vertAlign w:val="superscript"/>
              </w:rPr>
              <w:t>2</w:t>
            </w:r>
          </w:p>
        </w:tc>
        <w:tc>
          <w:tcPr>
            <w:tcW w:w="1953" w:type="dxa"/>
          </w:tcPr>
          <w:p w14:paraId="7103F659" w14:textId="77777777" w:rsidR="00C5569B" w:rsidRDefault="00C5569B" w:rsidP="00783E6C">
            <w:r>
              <w:t>All</w:t>
            </w:r>
          </w:p>
        </w:tc>
      </w:tr>
      <w:tr w:rsidR="00C5569B" w14:paraId="56AFC706" w14:textId="77777777" w:rsidTr="001B2F08">
        <w:tc>
          <w:tcPr>
            <w:tcW w:w="571" w:type="dxa"/>
          </w:tcPr>
          <w:p w14:paraId="0D287501" w14:textId="77777777" w:rsidR="00C5569B" w:rsidRDefault="00C5569B" w:rsidP="00783E6C">
            <w:r>
              <w:t>2</w:t>
            </w:r>
          </w:p>
        </w:tc>
        <w:tc>
          <w:tcPr>
            <w:tcW w:w="1423" w:type="dxa"/>
          </w:tcPr>
          <w:p w14:paraId="641D52F8" w14:textId="77777777" w:rsidR="00C5569B" w:rsidRDefault="00C5569B" w:rsidP="00783E6C">
            <w:r>
              <w:t>Online</w:t>
            </w:r>
          </w:p>
        </w:tc>
        <w:tc>
          <w:tcPr>
            <w:tcW w:w="1858" w:type="dxa"/>
          </w:tcPr>
          <w:p w14:paraId="5404E95B" w14:textId="77777777" w:rsidR="00C5569B" w:rsidRDefault="00C5569B" w:rsidP="00783E6C">
            <w:r>
              <w:t>National (rural)</w:t>
            </w:r>
          </w:p>
        </w:tc>
        <w:tc>
          <w:tcPr>
            <w:tcW w:w="618" w:type="dxa"/>
          </w:tcPr>
          <w:p w14:paraId="5B792C29" w14:textId="77777777" w:rsidR="00C5569B" w:rsidRDefault="00C5569B" w:rsidP="00783E6C">
            <w:pPr>
              <w:jc w:val="center"/>
            </w:pPr>
            <w:r>
              <w:t>12</w:t>
            </w:r>
          </w:p>
        </w:tc>
        <w:tc>
          <w:tcPr>
            <w:tcW w:w="1612" w:type="dxa"/>
          </w:tcPr>
          <w:p w14:paraId="52A01482" w14:textId="77777777" w:rsidR="00C5569B" w:rsidRDefault="00C5569B" w:rsidP="00783E6C">
            <w:r>
              <w:t>AMSM</w:t>
            </w:r>
            <w:r w:rsidRPr="0017612F">
              <w:rPr>
                <w:vertAlign w:val="superscript"/>
              </w:rPr>
              <w:t>1</w:t>
            </w:r>
          </w:p>
        </w:tc>
        <w:tc>
          <w:tcPr>
            <w:tcW w:w="1315" w:type="dxa"/>
          </w:tcPr>
          <w:p w14:paraId="623FA37B" w14:textId="77777777" w:rsidR="00C5569B" w:rsidRDefault="00C5569B" w:rsidP="00783E6C">
            <w:r>
              <w:t>13-18 years</w:t>
            </w:r>
            <w:r w:rsidRPr="008B45C9">
              <w:rPr>
                <w:vertAlign w:val="superscript"/>
              </w:rPr>
              <w:t>2</w:t>
            </w:r>
          </w:p>
        </w:tc>
        <w:tc>
          <w:tcPr>
            <w:tcW w:w="1953" w:type="dxa"/>
          </w:tcPr>
          <w:p w14:paraId="3E6F80DF" w14:textId="77777777" w:rsidR="00C5569B" w:rsidRDefault="00C5569B" w:rsidP="00783E6C">
            <w:r>
              <w:t>All</w:t>
            </w:r>
          </w:p>
        </w:tc>
      </w:tr>
      <w:tr w:rsidR="00C5569B" w14:paraId="58FD89A9" w14:textId="77777777" w:rsidTr="001B2F08">
        <w:tc>
          <w:tcPr>
            <w:tcW w:w="571" w:type="dxa"/>
          </w:tcPr>
          <w:p w14:paraId="30730D1E" w14:textId="77777777" w:rsidR="00C5569B" w:rsidRDefault="00C5569B" w:rsidP="00783E6C">
            <w:r>
              <w:t>3</w:t>
            </w:r>
          </w:p>
        </w:tc>
        <w:tc>
          <w:tcPr>
            <w:tcW w:w="1423" w:type="dxa"/>
          </w:tcPr>
          <w:p w14:paraId="48CB0CDE" w14:textId="77777777" w:rsidR="00C5569B" w:rsidRDefault="00C5569B" w:rsidP="00783E6C">
            <w:r>
              <w:t>In person</w:t>
            </w:r>
          </w:p>
        </w:tc>
        <w:tc>
          <w:tcPr>
            <w:tcW w:w="1858" w:type="dxa"/>
          </w:tcPr>
          <w:p w14:paraId="30B979BD" w14:textId="77777777" w:rsidR="00C5569B" w:rsidRDefault="00C5569B" w:rsidP="00783E6C">
            <w:r>
              <w:t>Philadelphia PA</w:t>
            </w:r>
          </w:p>
        </w:tc>
        <w:tc>
          <w:tcPr>
            <w:tcW w:w="618" w:type="dxa"/>
          </w:tcPr>
          <w:p w14:paraId="56802060" w14:textId="77777777" w:rsidR="00C5569B" w:rsidRDefault="00C5569B" w:rsidP="00783E6C">
            <w:pPr>
              <w:jc w:val="center"/>
            </w:pPr>
            <w:r>
              <w:t>12</w:t>
            </w:r>
          </w:p>
        </w:tc>
        <w:tc>
          <w:tcPr>
            <w:tcW w:w="1612" w:type="dxa"/>
          </w:tcPr>
          <w:p w14:paraId="0C66DF1D" w14:textId="77777777" w:rsidR="00C5569B" w:rsidRDefault="00C5569B" w:rsidP="00783E6C">
            <w:r>
              <w:t>AMSM</w:t>
            </w:r>
            <w:r w:rsidRPr="0017612F">
              <w:rPr>
                <w:vertAlign w:val="superscript"/>
              </w:rPr>
              <w:t>1</w:t>
            </w:r>
          </w:p>
        </w:tc>
        <w:tc>
          <w:tcPr>
            <w:tcW w:w="1315" w:type="dxa"/>
          </w:tcPr>
          <w:p w14:paraId="618A2603" w14:textId="77777777" w:rsidR="00C5569B" w:rsidRDefault="00C5569B" w:rsidP="00783E6C">
            <w:r>
              <w:t>14-17 years</w:t>
            </w:r>
          </w:p>
        </w:tc>
        <w:tc>
          <w:tcPr>
            <w:tcW w:w="1953" w:type="dxa"/>
          </w:tcPr>
          <w:p w14:paraId="0BE13010" w14:textId="77777777" w:rsidR="00C5569B" w:rsidRDefault="00C5569B" w:rsidP="00783E6C">
            <w:r>
              <w:t>Oversample Black</w:t>
            </w:r>
          </w:p>
        </w:tc>
      </w:tr>
      <w:tr w:rsidR="00C5569B" w14:paraId="37BC90CE" w14:textId="77777777" w:rsidTr="001B2F08">
        <w:tc>
          <w:tcPr>
            <w:tcW w:w="571" w:type="dxa"/>
          </w:tcPr>
          <w:p w14:paraId="6D16D8DA" w14:textId="4C6DF2D2" w:rsidR="00C5569B" w:rsidRDefault="005129C4" w:rsidP="00783E6C">
            <w:r>
              <w:t>4</w:t>
            </w:r>
          </w:p>
        </w:tc>
        <w:tc>
          <w:tcPr>
            <w:tcW w:w="1423" w:type="dxa"/>
          </w:tcPr>
          <w:p w14:paraId="208A0F79" w14:textId="77777777" w:rsidR="00C5569B" w:rsidRDefault="00C5569B" w:rsidP="00783E6C">
            <w:r>
              <w:t>In person</w:t>
            </w:r>
          </w:p>
        </w:tc>
        <w:tc>
          <w:tcPr>
            <w:tcW w:w="1858" w:type="dxa"/>
          </w:tcPr>
          <w:p w14:paraId="6B804B21" w14:textId="77777777" w:rsidR="00C5569B" w:rsidRDefault="00C5569B" w:rsidP="00783E6C">
            <w:r>
              <w:t>Boston MA</w:t>
            </w:r>
          </w:p>
        </w:tc>
        <w:tc>
          <w:tcPr>
            <w:tcW w:w="618" w:type="dxa"/>
          </w:tcPr>
          <w:p w14:paraId="33CF1757" w14:textId="77777777" w:rsidR="00C5569B" w:rsidRDefault="00C5569B" w:rsidP="00783E6C">
            <w:pPr>
              <w:jc w:val="center"/>
            </w:pPr>
            <w:r>
              <w:t>12</w:t>
            </w:r>
          </w:p>
        </w:tc>
        <w:tc>
          <w:tcPr>
            <w:tcW w:w="1612" w:type="dxa"/>
          </w:tcPr>
          <w:p w14:paraId="2ABF433E" w14:textId="77777777" w:rsidR="00C5569B" w:rsidRDefault="00C5569B" w:rsidP="00783E6C">
            <w:r>
              <w:t>AMSM</w:t>
            </w:r>
            <w:r w:rsidRPr="0017612F">
              <w:rPr>
                <w:vertAlign w:val="superscript"/>
              </w:rPr>
              <w:t>1</w:t>
            </w:r>
          </w:p>
        </w:tc>
        <w:tc>
          <w:tcPr>
            <w:tcW w:w="1315" w:type="dxa"/>
          </w:tcPr>
          <w:p w14:paraId="068364D0" w14:textId="77777777" w:rsidR="00C5569B" w:rsidRDefault="00C5569B" w:rsidP="00783E6C">
            <w:r>
              <w:t>14-17 years</w:t>
            </w:r>
          </w:p>
        </w:tc>
        <w:tc>
          <w:tcPr>
            <w:tcW w:w="1953" w:type="dxa"/>
          </w:tcPr>
          <w:p w14:paraId="79BF3762" w14:textId="77777777" w:rsidR="00C5569B" w:rsidRDefault="00C5569B" w:rsidP="00783E6C">
            <w:r>
              <w:t>All</w:t>
            </w:r>
          </w:p>
        </w:tc>
      </w:tr>
      <w:tr w:rsidR="00C5569B" w14:paraId="79828434" w14:textId="77777777" w:rsidTr="001B2F08">
        <w:tc>
          <w:tcPr>
            <w:tcW w:w="571" w:type="dxa"/>
          </w:tcPr>
          <w:p w14:paraId="580BFF62" w14:textId="31092EA4" w:rsidR="00C5569B" w:rsidRDefault="005129C4" w:rsidP="00783E6C">
            <w:r>
              <w:t>5</w:t>
            </w:r>
          </w:p>
        </w:tc>
        <w:tc>
          <w:tcPr>
            <w:tcW w:w="1423" w:type="dxa"/>
          </w:tcPr>
          <w:p w14:paraId="5F51368E" w14:textId="77777777" w:rsidR="00C5569B" w:rsidRDefault="00C5569B" w:rsidP="00783E6C">
            <w:r>
              <w:t>Online</w:t>
            </w:r>
          </w:p>
        </w:tc>
        <w:tc>
          <w:tcPr>
            <w:tcW w:w="1858" w:type="dxa"/>
          </w:tcPr>
          <w:p w14:paraId="49A6CB43" w14:textId="77777777" w:rsidR="00C5569B" w:rsidRDefault="00C5569B" w:rsidP="00783E6C">
            <w:r>
              <w:t>National</w:t>
            </w:r>
          </w:p>
        </w:tc>
        <w:tc>
          <w:tcPr>
            <w:tcW w:w="618" w:type="dxa"/>
          </w:tcPr>
          <w:p w14:paraId="1ED0B5D7" w14:textId="77777777" w:rsidR="00C5569B" w:rsidRDefault="00C5569B" w:rsidP="00783E6C">
            <w:pPr>
              <w:jc w:val="center"/>
            </w:pPr>
            <w:r>
              <w:t>12</w:t>
            </w:r>
          </w:p>
        </w:tc>
        <w:tc>
          <w:tcPr>
            <w:tcW w:w="1612" w:type="dxa"/>
          </w:tcPr>
          <w:p w14:paraId="47DCAD2E" w14:textId="77777777" w:rsidR="00C5569B" w:rsidRDefault="00C5569B" w:rsidP="00783E6C">
            <w:r>
              <w:t>Transgender</w:t>
            </w:r>
            <w:r>
              <w:rPr>
                <w:vertAlign w:val="superscript"/>
              </w:rPr>
              <w:t>3</w:t>
            </w:r>
          </w:p>
        </w:tc>
        <w:tc>
          <w:tcPr>
            <w:tcW w:w="1315" w:type="dxa"/>
          </w:tcPr>
          <w:p w14:paraId="77ECA0C3" w14:textId="77777777" w:rsidR="00C5569B" w:rsidRDefault="00C5569B" w:rsidP="00783E6C">
            <w:r>
              <w:t>13-17 years</w:t>
            </w:r>
          </w:p>
        </w:tc>
        <w:tc>
          <w:tcPr>
            <w:tcW w:w="1953" w:type="dxa"/>
          </w:tcPr>
          <w:p w14:paraId="4BE05DFD" w14:textId="77777777" w:rsidR="00C5569B" w:rsidRDefault="00C5569B" w:rsidP="00783E6C">
            <w:r>
              <w:t>All</w:t>
            </w:r>
          </w:p>
        </w:tc>
      </w:tr>
      <w:tr w:rsidR="00C5569B" w14:paraId="5548F45F" w14:textId="77777777" w:rsidTr="001B2F08">
        <w:tc>
          <w:tcPr>
            <w:tcW w:w="571" w:type="dxa"/>
          </w:tcPr>
          <w:p w14:paraId="1F16C22B" w14:textId="484F26F0" w:rsidR="00C5569B" w:rsidRDefault="005129C4" w:rsidP="00783E6C">
            <w:r>
              <w:t>6</w:t>
            </w:r>
          </w:p>
        </w:tc>
        <w:tc>
          <w:tcPr>
            <w:tcW w:w="1423" w:type="dxa"/>
          </w:tcPr>
          <w:p w14:paraId="4723A817" w14:textId="77777777" w:rsidR="00C5569B" w:rsidRDefault="00C5569B" w:rsidP="00783E6C">
            <w:r>
              <w:t>Online</w:t>
            </w:r>
          </w:p>
        </w:tc>
        <w:tc>
          <w:tcPr>
            <w:tcW w:w="1858" w:type="dxa"/>
          </w:tcPr>
          <w:p w14:paraId="3DF4443C" w14:textId="77777777" w:rsidR="00C5569B" w:rsidRDefault="00C5569B" w:rsidP="00783E6C">
            <w:r>
              <w:t>National</w:t>
            </w:r>
          </w:p>
        </w:tc>
        <w:tc>
          <w:tcPr>
            <w:tcW w:w="618" w:type="dxa"/>
          </w:tcPr>
          <w:p w14:paraId="5EEA8F61" w14:textId="77777777" w:rsidR="00C5569B" w:rsidRDefault="00C5569B" w:rsidP="00783E6C">
            <w:pPr>
              <w:jc w:val="center"/>
            </w:pPr>
            <w:r>
              <w:t>12</w:t>
            </w:r>
          </w:p>
        </w:tc>
        <w:tc>
          <w:tcPr>
            <w:tcW w:w="1612" w:type="dxa"/>
          </w:tcPr>
          <w:p w14:paraId="678B776B" w14:textId="77777777" w:rsidR="00C5569B" w:rsidRDefault="00C5569B" w:rsidP="00783E6C">
            <w:r>
              <w:t>Transgender</w:t>
            </w:r>
            <w:r>
              <w:rPr>
                <w:vertAlign w:val="superscript"/>
              </w:rPr>
              <w:t>3</w:t>
            </w:r>
          </w:p>
        </w:tc>
        <w:tc>
          <w:tcPr>
            <w:tcW w:w="1315" w:type="dxa"/>
          </w:tcPr>
          <w:p w14:paraId="6C713563" w14:textId="77777777" w:rsidR="00C5569B" w:rsidRDefault="00C5569B" w:rsidP="00783E6C">
            <w:r>
              <w:t>18-24 years</w:t>
            </w:r>
          </w:p>
        </w:tc>
        <w:tc>
          <w:tcPr>
            <w:tcW w:w="1953" w:type="dxa"/>
          </w:tcPr>
          <w:p w14:paraId="4E19F7EC" w14:textId="77777777" w:rsidR="00C5569B" w:rsidRDefault="00C5569B" w:rsidP="00783E6C">
            <w:r>
              <w:t>All</w:t>
            </w:r>
          </w:p>
        </w:tc>
      </w:tr>
    </w:tbl>
    <w:p w14:paraId="6AD3BFF8" w14:textId="77777777" w:rsidR="00C5569B" w:rsidRDefault="00C5569B" w:rsidP="00C5569B">
      <w:pPr>
        <w:ind w:left="360"/>
      </w:pPr>
    </w:p>
    <w:p w14:paraId="587876AB" w14:textId="77777777" w:rsidR="00C5569B" w:rsidRDefault="00C5569B" w:rsidP="00C5569B">
      <w:pPr>
        <w:ind w:left="360"/>
      </w:pPr>
      <w:r w:rsidRPr="00F55353">
        <w:rPr>
          <w:vertAlign w:val="superscript"/>
        </w:rPr>
        <w:t>1</w:t>
      </w:r>
      <w:r>
        <w:t xml:space="preserve"> Cis-gender male attracted to other males, sexually active or inactive</w:t>
      </w:r>
    </w:p>
    <w:p w14:paraId="206D556A" w14:textId="77777777" w:rsidR="00C5569B" w:rsidRDefault="00C5569B" w:rsidP="00C5569B">
      <w:pPr>
        <w:ind w:left="360"/>
      </w:pPr>
      <w:r>
        <w:rPr>
          <w:vertAlign w:val="superscript"/>
        </w:rPr>
        <w:t>2</w:t>
      </w:r>
      <w:r>
        <w:t xml:space="preserve"> Breakout sessions for ages 13-15 and 16-18</w:t>
      </w:r>
    </w:p>
    <w:p w14:paraId="1D728E70" w14:textId="77777777" w:rsidR="00C5569B" w:rsidRDefault="00C5569B" w:rsidP="00C5569B">
      <w:pPr>
        <w:ind w:left="360"/>
      </w:pPr>
      <w:r>
        <w:rPr>
          <w:vertAlign w:val="superscript"/>
        </w:rPr>
        <w:t>3</w:t>
      </w:r>
      <w:r>
        <w:t xml:space="preserve"> Male assigned at birth or female assigned at birth (breakout sessions for each)</w:t>
      </w:r>
    </w:p>
    <w:p w14:paraId="54ABE50F" w14:textId="223CEF4E" w:rsidR="00AF661A" w:rsidRPr="00AF661A" w:rsidRDefault="00AF661A" w:rsidP="00AF661A">
      <w:pPr>
        <w:tabs>
          <w:tab w:val="left" w:pos="6495"/>
        </w:tabs>
        <w:rPr>
          <w:i/>
        </w:rPr>
      </w:pPr>
    </w:p>
    <w:p w14:paraId="15891E6B" w14:textId="775E98AF" w:rsidR="00AF661A" w:rsidRPr="00AF661A" w:rsidRDefault="00AF661A" w:rsidP="00AF661A">
      <w:pPr>
        <w:pStyle w:val="CommentText"/>
        <w:rPr>
          <w:sz w:val="24"/>
          <w:szCs w:val="24"/>
        </w:rPr>
      </w:pPr>
      <w:r w:rsidRPr="00AF661A">
        <w:rPr>
          <w:sz w:val="24"/>
          <w:szCs w:val="24"/>
        </w:rPr>
        <w:t xml:space="preserve">*The 14-17 year old age range for in-person focus groups is necessary because the CDC </w:t>
      </w:r>
      <w:r w:rsidR="006230C5">
        <w:rPr>
          <w:sz w:val="24"/>
          <w:szCs w:val="24"/>
          <w:lang w:val="en-US"/>
        </w:rPr>
        <w:t>Division</w:t>
      </w:r>
      <w:r w:rsidR="006230C5" w:rsidRPr="00AF661A">
        <w:rPr>
          <w:sz w:val="24"/>
          <w:szCs w:val="24"/>
        </w:rPr>
        <w:t xml:space="preserve"> </w:t>
      </w:r>
      <w:r w:rsidRPr="00AF661A">
        <w:rPr>
          <w:sz w:val="24"/>
          <w:szCs w:val="24"/>
        </w:rPr>
        <w:t>of Adolescent and School Health  is particularly interested in this understudied population to better understand the existing gaps in primary prevention of HIV. The project will develop tools and strategies for this population in order to address the striking disparities in HIV infection, particularly among Black and Latino, gay/bisexual young men and transgender youth (which the CDC defines as ages 13-24). In summary, it is critical to do research with this younger age range because:</w:t>
      </w:r>
    </w:p>
    <w:p w14:paraId="4860AA84" w14:textId="77777777" w:rsidR="00AF661A" w:rsidRPr="00AF661A" w:rsidRDefault="00AF661A" w:rsidP="00AF661A">
      <w:pPr>
        <w:pStyle w:val="CommentText"/>
        <w:numPr>
          <w:ilvl w:val="0"/>
          <w:numId w:val="9"/>
        </w:numPr>
        <w:rPr>
          <w:sz w:val="24"/>
          <w:szCs w:val="24"/>
        </w:rPr>
      </w:pPr>
      <w:r w:rsidRPr="00AF661A">
        <w:rPr>
          <w:sz w:val="24"/>
          <w:szCs w:val="24"/>
        </w:rPr>
        <w:t>There is a dearth of prior research with sexual and gender minority youth, especially under age 18</w:t>
      </w:r>
    </w:p>
    <w:p w14:paraId="3F7A53E8" w14:textId="77777777" w:rsidR="00AF661A" w:rsidRPr="00AF661A" w:rsidRDefault="00AF661A" w:rsidP="00AF661A">
      <w:pPr>
        <w:pStyle w:val="CommentText"/>
        <w:numPr>
          <w:ilvl w:val="0"/>
          <w:numId w:val="9"/>
        </w:numPr>
        <w:rPr>
          <w:sz w:val="24"/>
          <w:szCs w:val="24"/>
        </w:rPr>
      </w:pPr>
      <w:r w:rsidRPr="00AF661A">
        <w:rPr>
          <w:sz w:val="24"/>
          <w:szCs w:val="24"/>
        </w:rPr>
        <w:t>Primary prevention with adolescents is necessary to reduce new infections</w:t>
      </w:r>
    </w:p>
    <w:p w14:paraId="52F1CFD6" w14:textId="77777777" w:rsidR="00AF661A" w:rsidRPr="00AF661A" w:rsidRDefault="00AF661A" w:rsidP="00AF661A">
      <w:pPr>
        <w:pStyle w:val="CommentText"/>
        <w:numPr>
          <w:ilvl w:val="0"/>
          <w:numId w:val="9"/>
        </w:numPr>
        <w:rPr>
          <w:sz w:val="24"/>
          <w:szCs w:val="24"/>
        </w:rPr>
      </w:pPr>
      <w:r w:rsidRPr="00AF661A">
        <w:rPr>
          <w:sz w:val="24"/>
          <w:szCs w:val="24"/>
        </w:rPr>
        <w:t>This population needs to be prioritized to address the shocking racial/ethnic, sexual orientation, and age disparities in new diagnosis data</w:t>
      </w:r>
    </w:p>
    <w:p w14:paraId="21BF1571" w14:textId="77777777" w:rsidR="00AF661A" w:rsidRPr="00AF661A" w:rsidRDefault="00AF661A" w:rsidP="00AF661A">
      <w:pPr>
        <w:pStyle w:val="CommentText"/>
        <w:rPr>
          <w:sz w:val="24"/>
          <w:szCs w:val="24"/>
        </w:rPr>
      </w:pPr>
    </w:p>
    <w:p w14:paraId="3AA65B94" w14:textId="77777777" w:rsidR="00AF661A" w:rsidRPr="00AF661A" w:rsidRDefault="00AF661A" w:rsidP="00AF661A">
      <w:pPr>
        <w:rPr>
          <w:i/>
        </w:rPr>
      </w:pPr>
      <w:r w:rsidRPr="00AF661A">
        <w:rPr>
          <w:i/>
        </w:rPr>
        <w:t>Exclusion Criteria</w:t>
      </w:r>
    </w:p>
    <w:p w14:paraId="1B141A34" w14:textId="77777777" w:rsidR="00AF661A" w:rsidRPr="00AF661A" w:rsidRDefault="00AF661A" w:rsidP="00AF661A">
      <w:r w:rsidRPr="00AF661A">
        <w:t xml:space="preserve">Participants would be excluded from the focus group if they are unable to complete the screening and consent process. </w:t>
      </w:r>
    </w:p>
    <w:p w14:paraId="7B289519" w14:textId="77777777" w:rsidR="00492385" w:rsidRDefault="00492385" w:rsidP="00492385">
      <w:pPr>
        <w:autoSpaceDE w:val="0"/>
        <w:autoSpaceDN w:val="0"/>
        <w:adjustRightInd w:val="0"/>
        <w:rPr>
          <w:u w:val="single"/>
        </w:rPr>
      </w:pPr>
    </w:p>
    <w:p w14:paraId="5EECD0EC" w14:textId="77777777" w:rsidR="00492385" w:rsidRDefault="00492385" w:rsidP="00492385">
      <w:pPr>
        <w:autoSpaceDE w:val="0"/>
        <w:autoSpaceDN w:val="0"/>
        <w:adjustRightInd w:val="0"/>
        <w:rPr>
          <w:u w:val="single"/>
        </w:rPr>
      </w:pPr>
      <w:r>
        <w:rPr>
          <w:u w:val="single"/>
        </w:rPr>
        <w:t>Sample Size</w:t>
      </w:r>
    </w:p>
    <w:p w14:paraId="3E17DCDA" w14:textId="1F95AB78" w:rsidR="00492385" w:rsidRDefault="00361264" w:rsidP="00492385">
      <w:r>
        <w:t>For online and in-person focus groups collectively,</w:t>
      </w:r>
      <w:r w:rsidR="00492385">
        <w:t xml:space="preserve"> the target sample size is a maximum of </w:t>
      </w:r>
      <w:r w:rsidR="005129C4">
        <w:t>72</w:t>
      </w:r>
      <w:r>
        <w:t xml:space="preserve"> participants. </w:t>
      </w:r>
    </w:p>
    <w:p w14:paraId="34807F59" w14:textId="77777777" w:rsidR="00492385" w:rsidRDefault="00492385" w:rsidP="00492385"/>
    <w:p w14:paraId="40A23F3E" w14:textId="09B55F86" w:rsidR="00492385" w:rsidRDefault="00492385" w:rsidP="00492385">
      <w:r>
        <w:t xml:space="preserve">Sample sizes </w:t>
      </w:r>
      <w:r w:rsidR="00361264">
        <w:t>for each component of the focus groups:</w:t>
      </w:r>
    </w:p>
    <w:p w14:paraId="2B60F30F" w14:textId="75109EE1" w:rsidR="00492385" w:rsidRDefault="00361264" w:rsidP="00492385">
      <w:pPr>
        <w:pStyle w:val="ListParagraph"/>
        <w:numPr>
          <w:ilvl w:val="0"/>
          <w:numId w:val="1"/>
        </w:numPr>
        <w:rPr>
          <w:rFonts w:ascii="Times New Roman" w:hAnsi="Times New Roman"/>
          <w:sz w:val="24"/>
          <w:szCs w:val="24"/>
        </w:rPr>
      </w:pPr>
      <w:r>
        <w:rPr>
          <w:rFonts w:ascii="Times New Roman" w:hAnsi="Times New Roman"/>
          <w:sz w:val="24"/>
          <w:szCs w:val="24"/>
          <w:lang w:val="en-US"/>
        </w:rPr>
        <w:t>Online focus groups – A maximum of 48 participants (24 transgender youth age 13-24, 24 AMSM age 13-18)</w:t>
      </w:r>
    </w:p>
    <w:p w14:paraId="41594F81" w14:textId="63983E38" w:rsidR="00492385" w:rsidRDefault="00361264" w:rsidP="00492385">
      <w:pPr>
        <w:pStyle w:val="ListParagraph"/>
        <w:numPr>
          <w:ilvl w:val="0"/>
          <w:numId w:val="1"/>
        </w:numPr>
        <w:rPr>
          <w:rFonts w:ascii="Times New Roman" w:hAnsi="Times New Roman"/>
          <w:sz w:val="24"/>
          <w:szCs w:val="24"/>
        </w:rPr>
      </w:pPr>
      <w:r>
        <w:rPr>
          <w:rFonts w:ascii="Times New Roman" w:hAnsi="Times New Roman"/>
          <w:sz w:val="24"/>
          <w:szCs w:val="24"/>
          <w:lang w:val="en-US"/>
        </w:rPr>
        <w:t xml:space="preserve">In-person focus groups </w:t>
      </w:r>
      <w:r w:rsidR="00492385">
        <w:rPr>
          <w:rFonts w:ascii="Times New Roman" w:hAnsi="Times New Roman"/>
          <w:sz w:val="24"/>
          <w:szCs w:val="24"/>
          <w:lang w:val="en-US"/>
        </w:rPr>
        <w:t xml:space="preserve">– A maximum of </w:t>
      </w:r>
      <w:r w:rsidR="005129C4">
        <w:rPr>
          <w:rFonts w:ascii="Times New Roman" w:hAnsi="Times New Roman"/>
          <w:sz w:val="24"/>
          <w:szCs w:val="24"/>
          <w:lang w:val="en-US"/>
        </w:rPr>
        <w:t>24</w:t>
      </w:r>
      <w:r>
        <w:rPr>
          <w:rFonts w:ascii="Times New Roman" w:hAnsi="Times New Roman"/>
          <w:sz w:val="24"/>
          <w:szCs w:val="24"/>
          <w:lang w:val="en-US"/>
        </w:rPr>
        <w:t xml:space="preserve"> participants (</w:t>
      </w:r>
      <w:r w:rsidR="005129C4">
        <w:rPr>
          <w:rFonts w:ascii="Times New Roman" w:hAnsi="Times New Roman"/>
          <w:sz w:val="24"/>
          <w:szCs w:val="24"/>
          <w:lang w:val="en-US"/>
        </w:rPr>
        <w:t>24</w:t>
      </w:r>
      <w:r>
        <w:rPr>
          <w:rFonts w:ascii="Times New Roman" w:hAnsi="Times New Roman"/>
          <w:sz w:val="24"/>
          <w:szCs w:val="24"/>
          <w:lang w:val="en-US"/>
        </w:rPr>
        <w:t xml:space="preserve"> AMSM age 14-17)</w:t>
      </w:r>
    </w:p>
    <w:p w14:paraId="1A4BE587" w14:textId="77777777" w:rsidR="00492385" w:rsidRDefault="00492385" w:rsidP="00492385"/>
    <w:p w14:paraId="51F6C3E2" w14:textId="77777777" w:rsidR="00AF661A" w:rsidRDefault="00492385" w:rsidP="00492385">
      <w:r>
        <w:rPr>
          <w:u w:val="single"/>
        </w:rPr>
        <w:t>Sampling Method</w:t>
      </w:r>
      <w:r w:rsidR="00AF661A">
        <w:t>s</w:t>
      </w:r>
    </w:p>
    <w:p w14:paraId="7EEB7D4E" w14:textId="75229BAA" w:rsidR="00575341" w:rsidRDefault="00AF661A" w:rsidP="00575341">
      <w:r>
        <w:t xml:space="preserve">Focus group sampling will involve broad based recruitment through a variety of methods. </w:t>
      </w:r>
      <w:r w:rsidRPr="0076221E">
        <w:t>For in-person focus groups, we plan to collaborate with partner organizations</w:t>
      </w:r>
      <w:r>
        <w:t xml:space="preserve"> in </w:t>
      </w:r>
      <w:r w:rsidR="005129C4">
        <w:t xml:space="preserve">Philadelphia and </w:t>
      </w:r>
      <w:r>
        <w:t>Boston</w:t>
      </w:r>
      <w:r w:rsidRPr="0076221E">
        <w:t xml:space="preserve"> to recruit participants. </w:t>
      </w:r>
      <w:r w:rsidR="00575341" w:rsidRPr="00523916">
        <w:t>In-person focus groups will take place at partner organizations in these cities that serve LGBT youth. These groups provide clinical services and community outreach for LGBT youth in their respective cities. If any of these organizations are unable to partner with us for whatever reason, we will seek out a similar organization that provides services and support to LGBT youth.</w:t>
      </w:r>
      <w:r w:rsidR="00575341" w:rsidRPr="009D7A9B">
        <w:rPr>
          <w:highlight w:val="yellow"/>
        </w:rPr>
        <w:t xml:space="preserve"> </w:t>
      </w:r>
    </w:p>
    <w:p w14:paraId="35F7CFCB" w14:textId="77777777" w:rsidR="00575341" w:rsidRDefault="00575341" w:rsidP="00492385"/>
    <w:p w14:paraId="7363ABBB" w14:textId="00D2E715" w:rsidR="00AF661A" w:rsidRDefault="00AF661A" w:rsidP="00492385">
      <w:r w:rsidRPr="0076221E">
        <w:t>We will utilize recruitment ads to post in the partner organization</w:t>
      </w:r>
      <w:r w:rsidR="008C0735">
        <w:t>s</w:t>
      </w:r>
      <w:r w:rsidRPr="0076221E">
        <w:t>, on the social media accounts (Facebook, Instagram, Twitter) of partner organizations, and to be handed out at public events. The recruitment ads have been dev</w:t>
      </w:r>
      <w:r w:rsidR="008C0735">
        <w:t>eloped in partnership with our Youth Community Advisory B</w:t>
      </w:r>
      <w:r w:rsidRPr="0076221E">
        <w:t>oard (YCAB) to make culturally competent images that are attractive to youth.</w:t>
      </w:r>
      <w:r>
        <w:t xml:space="preserve"> </w:t>
      </w:r>
    </w:p>
    <w:p w14:paraId="52A2A9F1" w14:textId="77777777" w:rsidR="00AF661A" w:rsidRDefault="00AF661A" w:rsidP="00492385"/>
    <w:p w14:paraId="05E2F1F3" w14:textId="414C23F3" w:rsidR="00AF661A" w:rsidRDefault="00AF661A" w:rsidP="00492385">
      <w:r w:rsidRPr="0076221E">
        <w:t>For online focus groups, we will use similar</w:t>
      </w:r>
      <w:r>
        <w:t xml:space="preserve"> recruitment ads</w:t>
      </w:r>
      <w:r w:rsidRPr="0076221E">
        <w:t>. InsideHeads®, the online focus group platform, also provides recruitment services.  InsideHeads is a marketing research company with over 17 years of experience recruiting participant panels and supporting platforms for online research.</w:t>
      </w:r>
    </w:p>
    <w:p w14:paraId="7F530E14" w14:textId="77777777" w:rsidR="0004656A" w:rsidRDefault="0004656A" w:rsidP="00492385"/>
    <w:p w14:paraId="210C08E8" w14:textId="76218C6A" w:rsidR="00AF661A" w:rsidRDefault="00AF661A" w:rsidP="00B2719E"/>
    <w:p w14:paraId="28473293" w14:textId="77777777" w:rsidR="00B2719E" w:rsidRDefault="00B2719E" w:rsidP="00B2719E">
      <w:pPr>
        <w:tabs>
          <w:tab w:val="left" w:pos="720"/>
        </w:tabs>
        <w:rPr>
          <w:u w:val="single"/>
        </w:rPr>
      </w:pPr>
      <w:r>
        <w:rPr>
          <w:u w:val="single"/>
        </w:rPr>
        <w:t xml:space="preserve">Sampling Plan </w:t>
      </w:r>
    </w:p>
    <w:p w14:paraId="4E6C0120" w14:textId="77777777" w:rsidR="00B2719E" w:rsidRDefault="00B2719E" w:rsidP="00B2719E">
      <w:pPr>
        <w:tabs>
          <w:tab w:val="left" w:pos="720"/>
        </w:tabs>
      </w:pPr>
    </w:p>
    <w:p w14:paraId="20740CA8" w14:textId="77777777" w:rsidR="00B2719E" w:rsidRDefault="00B2719E" w:rsidP="00B2719E">
      <w:pPr>
        <w:tabs>
          <w:tab w:val="left" w:pos="720"/>
        </w:tabs>
      </w:pPr>
      <w:r>
        <w:t xml:space="preserve">A non-probability sample will be utilized for these focus groups in order to collect qualitative data from young individuals at high risk for HIV infection across the United States. A review of the literature and consultation with research advisors determined that a hybrid of online and in-person focus groups is preferred. The combination of online and in-person focus groups will allow for comparison between the two methods. We will also be able to use online focus groups to access youth who are unable to attend an in-person focus group. </w:t>
      </w:r>
    </w:p>
    <w:p w14:paraId="1F164F51" w14:textId="77777777" w:rsidR="00B2719E" w:rsidRDefault="00B2719E" w:rsidP="00B2719E">
      <w:pPr>
        <w:tabs>
          <w:tab w:val="left" w:pos="720"/>
        </w:tabs>
      </w:pPr>
    </w:p>
    <w:p w14:paraId="35ED9870" w14:textId="77777777" w:rsidR="00B2719E" w:rsidRDefault="00B2719E" w:rsidP="00B2719E">
      <w:pPr>
        <w:tabs>
          <w:tab w:val="left" w:pos="720"/>
        </w:tabs>
      </w:pPr>
      <w:r>
        <w:t>For the in-person focus group:</w:t>
      </w:r>
    </w:p>
    <w:p w14:paraId="76FDDB7F" w14:textId="66BC178E" w:rsidR="00B2719E" w:rsidRDefault="00B2719E" w:rsidP="00B2719E">
      <w:pPr>
        <w:pStyle w:val="ListParagraph"/>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Entry will </w:t>
      </w:r>
      <w:r>
        <w:rPr>
          <w:rFonts w:ascii="Times New Roman" w:hAnsi="Times New Roman"/>
          <w:sz w:val="24"/>
          <w:szCs w:val="24"/>
          <w:lang w:val="en-US"/>
        </w:rPr>
        <w:t>begin with a participant screener (</w:t>
      </w:r>
      <w:r>
        <w:rPr>
          <w:rFonts w:ascii="Times New Roman" w:hAnsi="Times New Roman"/>
          <w:b/>
          <w:sz w:val="24"/>
          <w:szCs w:val="24"/>
          <w:lang w:val="en-US"/>
        </w:rPr>
        <w:t xml:space="preserve">Attachment 3a) </w:t>
      </w:r>
      <w:r w:rsidRPr="00170146">
        <w:rPr>
          <w:rFonts w:ascii="Times New Roman" w:hAnsi="Times New Roman"/>
          <w:sz w:val="24"/>
          <w:szCs w:val="24"/>
          <w:lang w:val="en-US"/>
        </w:rPr>
        <w:t>conducted over the phone or in-person.</w:t>
      </w:r>
    </w:p>
    <w:p w14:paraId="03DA9D0A" w14:textId="77777777" w:rsidR="00B2719E" w:rsidRPr="004B35DB" w:rsidRDefault="00B2719E" w:rsidP="00B2719E">
      <w:pPr>
        <w:pStyle w:val="ListParagraph"/>
        <w:numPr>
          <w:ilvl w:val="1"/>
          <w:numId w:val="4"/>
        </w:numPr>
        <w:tabs>
          <w:tab w:val="left" w:pos="720"/>
        </w:tabs>
        <w:spacing w:line="240" w:lineRule="auto"/>
        <w:rPr>
          <w:rFonts w:ascii="Times New Roman" w:hAnsi="Times New Roman" w:cs="Times New Roman"/>
          <w:sz w:val="24"/>
          <w:szCs w:val="24"/>
        </w:rPr>
      </w:pPr>
      <w:r w:rsidRPr="00701182">
        <w:rPr>
          <w:rFonts w:ascii="Times New Roman" w:hAnsi="Times New Roman"/>
          <w:sz w:val="24"/>
          <w:szCs w:val="24"/>
        </w:rPr>
        <w:t xml:space="preserve">Eligible study participants must </w:t>
      </w:r>
      <w:r w:rsidRPr="00701182">
        <w:rPr>
          <w:rFonts w:ascii="Times New Roman" w:hAnsi="Times New Roman"/>
          <w:sz w:val="24"/>
          <w:szCs w:val="24"/>
          <w:lang w:val="en-US"/>
        </w:rPr>
        <w:t>be residents of the United States and meet the criteria for one of the following groups:</w:t>
      </w:r>
      <w:r w:rsidRPr="004B35DB">
        <w:rPr>
          <w:rFonts w:ascii="Times New Roman" w:hAnsi="Times New Roman" w:cs="Times New Roman"/>
          <w:sz w:val="24"/>
          <w:szCs w:val="24"/>
        </w:rPr>
        <w:t>Male,</w:t>
      </w:r>
      <w:r w:rsidRPr="004B35DB">
        <w:rPr>
          <w:rFonts w:ascii="Times New Roman" w:hAnsi="Times New Roman" w:cs="Times New Roman"/>
          <w:sz w:val="24"/>
          <w:szCs w:val="24"/>
          <w:lang w:val="en-US"/>
        </w:rPr>
        <w:t xml:space="preserve"> attracted to/sexually active with men or identifies as sexual minority,</w:t>
      </w:r>
      <w:r w:rsidRPr="004B35DB">
        <w:rPr>
          <w:rFonts w:ascii="Times New Roman" w:hAnsi="Times New Roman" w:cs="Times New Roman"/>
          <w:sz w:val="24"/>
          <w:szCs w:val="24"/>
        </w:rPr>
        <w:t xml:space="preserve"> lives in</w:t>
      </w:r>
      <w:r w:rsidRPr="004B35DB">
        <w:rPr>
          <w:rFonts w:ascii="Times New Roman" w:hAnsi="Times New Roman" w:cs="Times New Roman"/>
          <w:sz w:val="24"/>
          <w:szCs w:val="24"/>
          <w:lang w:val="en-US"/>
        </w:rPr>
        <w:t>/around</w:t>
      </w:r>
      <w:r w:rsidRPr="004B35DB">
        <w:rPr>
          <w:rFonts w:ascii="Times New Roman" w:hAnsi="Times New Roman" w:cs="Times New Roman"/>
          <w:sz w:val="24"/>
          <w:szCs w:val="24"/>
        </w:rPr>
        <w:t xml:space="preserve"> Philadelphia, 14-17</w:t>
      </w:r>
      <w:r w:rsidRPr="004B35DB">
        <w:rPr>
          <w:rFonts w:ascii="Times New Roman" w:hAnsi="Times New Roman" w:cs="Times New Roman"/>
          <w:sz w:val="24"/>
          <w:szCs w:val="24"/>
          <w:lang w:val="en-US"/>
        </w:rPr>
        <w:t xml:space="preserve"> years</w:t>
      </w:r>
      <w:r w:rsidRPr="004B35DB">
        <w:rPr>
          <w:rFonts w:ascii="Times New Roman" w:hAnsi="Times New Roman" w:cs="Times New Roman"/>
          <w:sz w:val="24"/>
          <w:szCs w:val="24"/>
        </w:rPr>
        <w:t xml:space="preserve">, Black </w:t>
      </w:r>
    </w:p>
    <w:p w14:paraId="1803EABF" w14:textId="77777777" w:rsidR="00B2719E" w:rsidRPr="00701182" w:rsidRDefault="00B2719E" w:rsidP="00B2719E">
      <w:pPr>
        <w:pStyle w:val="ListParagraph"/>
        <w:numPr>
          <w:ilvl w:val="1"/>
          <w:numId w:val="4"/>
        </w:numPr>
        <w:tabs>
          <w:tab w:val="left" w:pos="720"/>
        </w:tabs>
        <w:spacing w:line="240" w:lineRule="auto"/>
        <w:rPr>
          <w:rFonts w:ascii="Times New Roman" w:hAnsi="Times New Roman" w:cs="Times New Roman"/>
          <w:sz w:val="24"/>
          <w:szCs w:val="24"/>
        </w:rPr>
      </w:pPr>
      <w:r w:rsidRPr="004B35DB">
        <w:rPr>
          <w:rFonts w:ascii="Times New Roman" w:hAnsi="Times New Roman" w:cs="Times New Roman"/>
          <w:sz w:val="24"/>
          <w:szCs w:val="24"/>
        </w:rPr>
        <w:t>Male,</w:t>
      </w:r>
      <w:r w:rsidRPr="004B35DB">
        <w:rPr>
          <w:rFonts w:ascii="Times New Roman" w:hAnsi="Times New Roman" w:cs="Times New Roman"/>
          <w:sz w:val="24"/>
          <w:szCs w:val="24"/>
          <w:lang w:val="en-US"/>
        </w:rPr>
        <w:t xml:space="preserve"> attracted to/sexually active with men or identifies as sexual minority,</w:t>
      </w:r>
      <w:r w:rsidRPr="004B35DB">
        <w:rPr>
          <w:rFonts w:ascii="Times New Roman" w:hAnsi="Times New Roman" w:cs="Times New Roman"/>
          <w:sz w:val="24"/>
          <w:szCs w:val="24"/>
        </w:rPr>
        <w:t xml:space="preserve"> lives in</w:t>
      </w:r>
      <w:r w:rsidRPr="004B35DB">
        <w:rPr>
          <w:rFonts w:ascii="Times New Roman" w:hAnsi="Times New Roman" w:cs="Times New Roman"/>
          <w:sz w:val="24"/>
          <w:szCs w:val="24"/>
          <w:lang w:val="en-US"/>
        </w:rPr>
        <w:t>/around</w:t>
      </w:r>
      <w:r w:rsidRPr="004B35DB">
        <w:rPr>
          <w:rFonts w:ascii="Times New Roman" w:hAnsi="Times New Roman" w:cs="Times New Roman"/>
          <w:sz w:val="24"/>
          <w:szCs w:val="24"/>
        </w:rPr>
        <w:t xml:space="preserve"> Boston, 14-17, all races</w:t>
      </w:r>
    </w:p>
    <w:p w14:paraId="695161BF" w14:textId="77777777" w:rsidR="00B2719E" w:rsidRPr="00170146" w:rsidRDefault="00B2719E" w:rsidP="00B2719E">
      <w:pPr>
        <w:pStyle w:val="ListParagraph"/>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lang w:val="en-US"/>
        </w:rPr>
        <w:t>Eligible participants will arrive at the focus group site and be consented/assented (</w:t>
      </w:r>
      <w:r>
        <w:rPr>
          <w:rFonts w:ascii="Times New Roman" w:hAnsi="Times New Roman"/>
          <w:b/>
          <w:sz w:val="24"/>
          <w:szCs w:val="24"/>
          <w:lang w:val="en-US"/>
        </w:rPr>
        <w:t>Attachment 4a &amp; 4b</w:t>
      </w:r>
      <w:r>
        <w:rPr>
          <w:rFonts w:ascii="Times New Roman" w:hAnsi="Times New Roman"/>
          <w:sz w:val="24"/>
          <w:szCs w:val="24"/>
          <w:lang w:val="en-US"/>
        </w:rPr>
        <w:t xml:space="preserve">). </w:t>
      </w:r>
    </w:p>
    <w:p w14:paraId="721FDDB6" w14:textId="51E4F0DC" w:rsidR="00B2719E" w:rsidRDefault="00B2719E" w:rsidP="00B2719E">
      <w:pPr>
        <w:pStyle w:val="ListParagraph"/>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lang w:val="en-US"/>
        </w:rPr>
        <w:t>The focus group will be conducted using the focus group guide (</w:t>
      </w:r>
      <w:r w:rsidRPr="00170146">
        <w:rPr>
          <w:rFonts w:ascii="Times New Roman" w:hAnsi="Times New Roman"/>
          <w:b/>
          <w:sz w:val="24"/>
          <w:szCs w:val="24"/>
          <w:lang w:val="en-US"/>
        </w:rPr>
        <w:t>Attachment</w:t>
      </w:r>
      <w:r w:rsidR="00E3732C">
        <w:rPr>
          <w:rFonts w:ascii="Times New Roman" w:hAnsi="Times New Roman"/>
          <w:b/>
          <w:sz w:val="24"/>
          <w:szCs w:val="24"/>
          <w:lang w:val="en-US"/>
        </w:rPr>
        <w:t>s</w:t>
      </w:r>
      <w:r w:rsidRPr="00170146">
        <w:rPr>
          <w:rFonts w:ascii="Times New Roman" w:hAnsi="Times New Roman"/>
          <w:b/>
          <w:sz w:val="24"/>
          <w:szCs w:val="24"/>
          <w:lang w:val="en-US"/>
        </w:rPr>
        <w:t xml:space="preserve"> 3</w:t>
      </w:r>
      <w:r w:rsidR="00E3732C">
        <w:rPr>
          <w:rFonts w:ascii="Times New Roman" w:hAnsi="Times New Roman"/>
          <w:b/>
          <w:sz w:val="24"/>
          <w:szCs w:val="24"/>
          <w:lang w:val="en-US"/>
        </w:rPr>
        <w:t>b &amp; 3</w:t>
      </w:r>
      <w:r>
        <w:rPr>
          <w:rFonts w:ascii="Times New Roman" w:hAnsi="Times New Roman"/>
          <w:b/>
          <w:sz w:val="24"/>
          <w:szCs w:val="24"/>
          <w:lang w:val="en-US"/>
        </w:rPr>
        <w:t>c</w:t>
      </w:r>
      <w:r>
        <w:rPr>
          <w:rFonts w:ascii="Times New Roman" w:hAnsi="Times New Roman"/>
          <w:sz w:val="24"/>
          <w:szCs w:val="24"/>
          <w:lang w:val="en-US"/>
        </w:rPr>
        <w:t xml:space="preserve">). </w:t>
      </w:r>
    </w:p>
    <w:p w14:paraId="4B897C96" w14:textId="77777777" w:rsidR="00B2719E" w:rsidRDefault="00B2719E" w:rsidP="00B2719E">
      <w:pPr>
        <w:tabs>
          <w:tab w:val="left" w:pos="720"/>
        </w:tabs>
      </w:pPr>
      <w:r>
        <w:tab/>
        <w:t xml:space="preserve"> </w:t>
      </w:r>
    </w:p>
    <w:p w14:paraId="747D6EDD" w14:textId="77777777" w:rsidR="00B2719E" w:rsidRDefault="00B2719E" w:rsidP="00B2719E">
      <w:pPr>
        <w:tabs>
          <w:tab w:val="left" w:pos="720"/>
        </w:tabs>
      </w:pPr>
      <w:r>
        <w:t>For the online focus group:</w:t>
      </w:r>
    </w:p>
    <w:p w14:paraId="0B131577" w14:textId="3BE63BA9" w:rsidR="00B2719E" w:rsidRDefault="00B2719E" w:rsidP="00B2719E">
      <w:pPr>
        <w:pStyle w:val="ListParagraph"/>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Entry will </w:t>
      </w:r>
      <w:r>
        <w:rPr>
          <w:rFonts w:ascii="Times New Roman" w:hAnsi="Times New Roman"/>
          <w:sz w:val="24"/>
          <w:szCs w:val="24"/>
          <w:lang w:val="en-US"/>
        </w:rPr>
        <w:t>begin a with a participant screener (</w:t>
      </w:r>
      <w:r>
        <w:rPr>
          <w:rFonts w:ascii="Times New Roman" w:hAnsi="Times New Roman"/>
          <w:b/>
          <w:sz w:val="24"/>
          <w:szCs w:val="24"/>
          <w:lang w:val="en-US"/>
        </w:rPr>
        <w:t>Attachment 3</w:t>
      </w:r>
      <w:r w:rsidR="00E3732C">
        <w:rPr>
          <w:rFonts w:ascii="Times New Roman" w:hAnsi="Times New Roman"/>
          <w:b/>
          <w:sz w:val="24"/>
          <w:szCs w:val="24"/>
          <w:lang w:val="en-US"/>
        </w:rPr>
        <w:t>a</w:t>
      </w:r>
      <w:r>
        <w:rPr>
          <w:rFonts w:ascii="Times New Roman" w:hAnsi="Times New Roman"/>
          <w:b/>
          <w:sz w:val="24"/>
          <w:szCs w:val="24"/>
          <w:lang w:val="en-US"/>
        </w:rPr>
        <w:t xml:space="preserve">) </w:t>
      </w:r>
      <w:r w:rsidRPr="00170146">
        <w:rPr>
          <w:rFonts w:ascii="Times New Roman" w:hAnsi="Times New Roman"/>
          <w:sz w:val="24"/>
          <w:szCs w:val="24"/>
          <w:lang w:val="en-US"/>
        </w:rPr>
        <w:t xml:space="preserve">conducted </w:t>
      </w:r>
      <w:r>
        <w:rPr>
          <w:rFonts w:ascii="Times New Roman" w:hAnsi="Times New Roman"/>
          <w:sz w:val="24"/>
          <w:szCs w:val="24"/>
          <w:lang w:val="en-US"/>
        </w:rPr>
        <w:t>through the InsideHeads platform.</w:t>
      </w:r>
    </w:p>
    <w:p w14:paraId="762B2F66" w14:textId="77777777" w:rsidR="00B2719E" w:rsidRPr="00701182" w:rsidRDefault="00B2719E" w:rsidP="00B2719E">
      <w:pPr>
        <w:pStyle w:val="ListParagraph"/>
        <w:numPr>
          <w:ilvl w:val="1"/>
          <w:numId w:val="4"/>
        </w:numPr>
        <w:tabs>
          <w:tab w:val="left" w:pos="720"/>
        </w:tabs>
        <w:spacing w:line="240" w:lineRule="auto"/>
        <w:rPr>
          <w:rFonts w:ascii="Times New Roman" w:hAnsi="Times New Roman" w:cs="Times New Roman"/>
          <w:sz w:val="24"/>
          <w:szCs w:val="24"/>
        </w:rPr>
      </w:pPr>
      <w:r>
        <w:rPr>
          <w:rFonts w:ascii="Times New Roman" w:hAnsi="Times New Roman"/>
          <w:sz w:val="24"/>
          <w:szCs w:val="24"/>
        </w:rPr>
        <w:t xml:space="preserve">Eligible study participants must </w:t>
      </w:r>
      <w:r>
        <w:rPr>
          <w:rFonts w:ascii="Times New Roman" w:hAnsi="Times New Roman"/>
          <w:sz w:val="24"/>
          <w:szCs w:val="24"/>
          <w:lang w:val="en-US"/>
        </w:rPr>
        <w:t xml:space="preserve">be residents of the United States and meet the </w:t>
      </w:r>
      <w:r w:rsidRPr="00701182">
        <w:rPr>
          <w:rFonts w:ascii="Times New Roman" w:hAnsi="Times New Roman" w:cs="Times New Roman"/>
          <w:sz w:val="24"/>
          <w:szCs w:val="24"/>
          <w:lang w:val="en-US"/>
        </w:rPr>
        <w:t>criteria for one of the following groups:</w:t>
      </w:r>
    </w:p>
    <w:p w14:paraId="71C64C98" w14:textId="77777777" w:rsidR="00B2719E" w:rsidRPr="00701182" w:rsidRDefault="00B2719E" w:rsidP="00B2719E">
      <w:pPr>
        <w:pStyle w:val="ListParagraph"/>
        <w:numPr>
          <w:ilvl w:val="2"/>
          <w:numId w:val="4"/>
        </w:numPr>
        <w:tabs>
          <w:tab w:val="left" w:pos="720"/>
        </w:tabs>
        <w:spacing w:line="240" w:lineRule="auto"/>
        <w:rPr>
          <w:rFonts w:ascii="Times New Roman" w:hAnsi="Times New Roman" w:cs="Times New Roman"/>
          <w:sz w:val="24"/>
          <w:szCs w:val="24"/>
        </w:rPr>
      </w:pPr>
      <w:r w:rsidRPr="004B35DB">
        <w:rPr>
          <w:rFonts w:ascii="Times New Roman" w:hAnsi="Times New Roman" w:cs="Times New Roman"/>
          <w:sz w:val="24"/>
          <w:szCs w:val="24"/>
        </w:rPr>
        <w:t>Male,</w:t>
      </w:r>
      <w:r w:rsidRPr="004B35DB">
        <w:rPr>
          <w:rFonts w:ascii="Times New Roman" w:hAnsi="Times New Roman" w:cs="Times New Roman"/>
          <w:sz w:val="24"/>
          <w:szCs w:val="24"/>
          <w:lang w:val="en-US"/>
        </w:rPr>
        <w:t xml:space="preserve"> attracted to/sexually active with men or identifies as sexual minority,</w:t>
      </w:r>
      <w:r w:rsidRPr="004B35DB">
        <w:rPr>
          <w:rFonts w:ascii="Times New Roman" w:hAnsi="Times New Roman" w:cs="Times New Roman"/>
          <w:sz w:val="24"/>
          <w:szCs w:val="24"/>
        </w:rPr>
        <w:t xml:space="preserve"> </w:t>
      </w:r>
      <w:r w:rsidRPr="00701182">
        <w:rPr>
          <w:rFonts w:ascii="Times New Roman" w:hAnsi="Times New Roman" w:cs="Times New Roman"/>
          <w:sz w:val="24"/>
          <w:szCs w:val="24"/>
        </w:rPr>
        <w:t xml:space="preserve">national, urban/suburban, 13-18, all races </w:t>
      </w:r>
    </w:p>
    <w:p w14:paraId="5F755CD3" w14:textId="77777777" w:rsidR="00B2719E" w:rsidRPr="00701182" w:rsidRDefault="00B2719E" w:rsidP="00B2719E">
      <w:pPr>
        <w:pStyle w:val="ListParagraph"/>
        <w:numPr>
          <w:ilvl w:val="2"/>
          <w:numId w:val="4"/>
        </w:numPr>
        <w:tabs>
          <w:tab w:val="left" w:pos="720"/>
        </w:tabs>
        <w:spacing w:line="240" w:lineRule="auto"/>
        <w:rPr>
          <w:rFonts w:ascii="Times New Roman" w:hAnsi="Times New Roman" w:cs="Times New Roman"/>
          <w:sz w:val="24"/>
          <w:szCs w:val="24"/>
        </w:rPr>
      </w:pPr>
      <w:r w:rsidRPr="004B35DB">
        <w:rPr>
          <w:rFonts w:ascii="Times New Roman" w:hAnsi="Times New Roman" w:cs="Times New Roman"/>
          <w:sz w:val="24"/>
          <w:szCs w:val="24"/>
        </w:rPr>
        <w:t>Male,</w:t>
      </w:r>
      <w:r w:rsidRPr="004B35DB">
        <w:rPr>
          <w:rFonts w:ascii="Times New Roman" w:hAnsi="Times New Roman" w:cs="Times New Roman"/>
          <w:sz w:val="24"/>
          <w:szCs w:val="24"/>
          <w:lang w:val="en-US"/>
        </w:rPr>
        <w:t xml:space="preserve"> attracted to/sexually active with men or identifies as sexual minority,</w:t>
      </w:r>
      <w:r w:rsidRPr="004B35DB">
        <w:rPr>
          <w:rFonts w:ascii="Times New Roman" w:hAnsi="Times New Roman" w:cs="Times New Roman"/>
          <w:sz w:val="24"/>
          <w:szCs w:val="24"/>
        </w:rPr>
        <w:t xml:space="preserve"> </w:t>
      </w:r>
      <w:r w:rsidRPr="00701182">
        <w:rPr>
          <w:rFonts w:ascii="Times New Roman" w:hAnsi="Times New Roman" w:cs="Times New Roman"/>
          <w:sz w:val="24"/>
          <w:szCs w:val="24"/>
        </w:rPr>
        <w:t xml:space="preserve">national , rural, 13-18, all races </w:t>
      </w:r>
    </w:p>
    <w:p w14:paraId="3477035D" w14:textId="77777777" w:rsidR="00B2719E" w:rsidRPr="00701182" w:rsidRDefault="00B2719E" w:rsidP="00B2719E">
      <w:pPr>
        <w:pStyle w:val="ListParagraph"/>
        <w:numPr>
          <w:ilvl w:val="2"/>
          <w:numId w:val="4"/>
        </w:numPr>
        <w:tabs>
          <w:tab w:val="left" w:pos="720"/>
        </w:tabs>
        <w:spacing w:line="240" w:lineRule="auto"/>
        <w:rPr>
          <w:rFonts w:ascii="Times New Roman" w:hAnsi="Times New Roman" w:cs="Times New Roman"/>
          <w:sz w:val="24"/>
          <w:szCs w:val="24"/>
        </w:rPr>
      </w:pPr>
      <w:r w:rsidRPr="00701182">
        <w:rPr>
          <w:rFonts w:ascii="Times New Roman" w:hAnsi="Times New Roman" w:cs="Times New Roman"/>
          <w:sz w:val="24"/>
          <w:szCs w:val="24"/>
        </w:rPr>
        <w:t xml:space="preserve">Transgender Youth – national, 13-17 </w:t>
      </w:r>
    </w:p>
    <w:p w14:paraId="54C8D229" w14:textId="77777777" w:rsidR="00B2719E" w:rsidRPr="00701182" w:rsidRDefault="00B2719E" w:rsidP="00B2719E">
      <w:pPr>
        <w:pStyle w:val="ListParagraph"/>
        <w:numPr>
          <w:ilvl w:val="2"/>
          <w:numId w:val="4"/>
        </w:numPr>
        <w:tabs>
          <w:tab w:val="left" w:pos="720"/>
        </w:tabs>
        <w:spacing w:line="240" w:lineRule="auto"/>
        <w:rPr>
          <w:rFonts w:ascii="Times New Roman" w:hAnsi="Times New Roman" w:cs="Times New Roman"/>
          <w:sz w:val="24"/>
          <w:szCs w:val="24"/>
        </w:rPr>
      </w:pPr>
      <w:r w:rsidRPr="00701182">
        <w:rPr>
          <w:rFonts w:ascii="Times New Roman" w:hAnsi="Times New Roman" w:cs="Times New Roman"/>
          <w:sz w:val="24"/>
          <w:szCs w:val="24"/>
        </w:rPr>
        <w:t>Transgender Youth – national, 18-24</w:t>
      </w:r>
    </w:p>
    <w:p w14:paraId="373364C2" w14:textId="77777777" w:rsidR="00B2719E" w:rsidRPr="00170146" w:rsidRDefault="00B2719E" w:rsidP="00B2719E">
      <w:pPr>
        <w:pStyle w:val="ListParagraph"/>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lang w:val="en-US"/>
        </w:rPr>
        <w:t>Eligible participants will be consented/assented prior to focus group initiation (</w:t>
      </w:r>
      <w:r>
        <w:rPr>
          <w:rFonts w:ascii="Times New Roman" w:hAnsi="Times New Roman"/>
          <w:b/>
          <w:sz w:val="24"/>
          <w:szCs w:val="24"/>
          <w:lang w:val="en-US"/>
        </w:rPr>
        <w:t>Attachment 4a &amp; 4b</w:t>
      </w:r>
      <w:r>
        <w:rPr>
          <w:rFonts w:ascii="Times New Roman" w:hAnsi="Times New Roman"/>
          <w:sz w:val="24"/>
          <w:szCs w:val="24"/>
          <w:lang w:val="en-US"/>
        </w:rPr>
        <w:t xml:space="preserve">). </w:t>
      </w:r>
    </w:p>
    <w:p w14:paraId="49AD359A" w14:textId="27CA88EC" w:rsidR="00B2719E" w:rsidRDefault="00B2719E" w:rsidP="00B2719E">
      <w:pPr>
        <w:pStyle w:val="ListParagraph"/>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lang w:val="en-US"/>
        </w:rPr>
        <w:t>The focus group will be conducted using the focus group guide (</w:t>
      </w:r>
      <w:r w:rsidRPr="00170146">
        <w:rPr>
          <w:rFonts w:ascii="Times New Roman" w:hAnsi="Times New Roman"/>
          <w:b/>
          <w:sz w:val="24"/>
          <w:szCs w:val="24"/>
          <w:lang w:val="en-US"/>
        </w:rPr>
        <w:t>Attachment 3</w:t>
      </w:r>
      <w:r w:rsidR="00E3732C">
        <w:rPr>
          <w:rFonts w:ascii="Times New Roman" w:hAnsi="Times New Roman"/>
          <w:b/>
          <w:sz w:val="24"/>
          <w:szCs w:val="24"/>
          <w:lang w:val="en-US"/>
        </w:rPr>
        <w:t>b</w:t>
      </w:r>
      <w:r>
        <w:rPr>
          <w:rFonts w:ascii="Times New Roman" w:hAnsi="Times New Roman"/>
          <w:b/>
          <w:sz w:val="24"/>
          <w:szCs w:val="24"/>
          <w:lang w:val="en-US"/>
        </w:rPr>
        <w:t xml:space="preserve"> or 3</w:t>
      </w:r>
      <w:r w:rsidR="00E3732C">
        <w:rPr>
          <w:rFonts w:ascii="Times New Roman" w:hAnsi="Times New Roman"/>
          <w:b/>
          <w:sz w:val="24"/>
          <w:szCs w:val="24"/>
          <w:lang w:val="en-US"/>
        </w:rPr>
        <w:t>c</w:t>
      </w:r>
      <w:r>
        <w:rPr>
          <w:rFonts w:ascii="Times New Roman" w:hAnsi="Times New Roman"/>
          <w:sz w:val="24"/>
          <w:szCs w:val="24"/>
          <w:lang w:val="en-US"/>
        </w:rPr>
        <w:t xml:space="preserve">). </w:t>
      </w:r>
    </w:p>
    <w:p w14:paraId="7512697A" w14:textId="77777777" w:rsidR="00575341" w:rsidRDefault="00575341" w:rsidP="00B2719E"/>
    <w:p w14:paraId="4920AF8D" w14:textId="3B15C7AD" w:rsidR="00B2719E" w:rsidRDefault="00492385" w:rsidP="00B2719E">
      <w:pPr>
        <w:pStyle w:val="Heading2"/>
        <w:numPr>
          <w:ilvl w:val="0"/>
          <w:numId w:val="2"/>
        </w:numPr>
        <w:spacing w:before="0" w:after="0"/>
        <w:contextualSpacing/>
        <w:rPr>
          <w:rFonts w:ascii="Times New Roman" w:hAnsi="Times New Roman" w:cs="Times New Roman"/>
          <w:bCs w:val="0"/>
          <w:i w:val="0"/>
          <w:sz w:val="24"/>
          <w:szCs w:val="24"/>
        </w:rPr>
      </w:pPr>
      <w:bookmarkStart w:id="5" w:name="_Toc464646194"/>
      <w:bookmarkStart w:id="6" w:name="_Toc235958536"/>
      <w:bookmarkEnd w:id="4"/>
      <w:r>
        <w:rPr>
          <w:rFonts w:ascii="Times New Roman" w:hAnsi="Times New Roman" w:cs="Times New Roman"/>
          <w:bCs w:val="0"/>
          <w:i w:val="0"/>
          <w:sz w:val="24"/>
          <w:szCs w:val="24"/>
        </w:rPr>
        <w:t>Procedures for the Collection of Information</w:t>
      </w:r>
      <w:bookmarkEnd w:id="5"/>
    </w:p>
    <w:p w14:paraId="4D9A1CC7" w14:textId="77777777" w:rsidR="00B2719E" w:rsidRDefault="00B2719E" w:rsidP="00B2719E"/>
    <w:p w14:paraId="65E097E1" w14:textId="07357086" w:rsidR="00B2719E" w:rsidRPr="00B2719E" w:rsidRDefault="00B2719E" w:rsidP="00B2719E">
      <w:r w:rsidRPr="00B2719E">
        <w:t>Recruitment will take place in-person and online. For in-person focus groups, we will collaborate with partner organizations to recruit participants. We will utilize recruitment ads (</w:t>
      </w:r>
      <w:r w:rsidR="005B1567">
        <w:rPr>
          <w:b/>
        </w:rPr>
        <w:t>Attachment 5</w:t>
      </w:r>
      <w:r w:rsidRPr="00B2719E">
        <w:rPr>
          <w:b/>
        </w:rPr>
        <w:t>a</w:t>
      </w:r>
      <w:r w:rsidRPr="00B2719E">
        <w:t>) to post in the partner organization, on the social media accounts (Facebook, Instagram, Twitter) of partner organizations, and to be handed out at public events. The recruitment ads have been developed in partnership with our youth community advisory board (YCAB) to make culturally competent images that are attractive to youth. Recruitment will also involve an approved set of recruitment language (</w:t>
      </w:r>
      <w:r w:rsidR="005B1567">
        <w:rPr>
          <w:b/>
        </w:rPr>
        <w:t>Attachment 5</w:t>
      </w:r>
      <w:r w:rsidRPr="00B2719E">
        <w:rPr>
          <w:b/>
        </w:rPr>
        <w:t>b</w:t>
      </w:r>
      <w:r w:rsidRPr="00B2719E">
        <w:t>). Study staff will then determine eligibility using a participant screener (</w:t>
      </w:r>
      <w:r w:rsidRPr="00B2719E">
        <w:rPr>
          <w:b/>
        </w:rPr>
        <w:t>Attachment 3a</w:t>
      </w:r>
      <w:r w:rsidRPr="00B2719E">
        <w:t>). If eligible, the participant will receive information about the date and time of the focus group. On the day of the focus group, participants will be consented/assented using an information sheet (</w:t>
      </w:r>
      <w:r w:rsidRPr="00B2719E">
        <w:rPr>
          <w:b/>
        </w:rPr>
        <w:t>Attachment 4a &amp; 4b</w:t>
      </w:r>
      <w:r w:rsidRPr="00B2719E">
        <w:t xml:space="preserve">). For in-person focus groups, an audio recording of the focus group will be used to later transcribe the focus group conversations, which will be used for analysis along with the background survey data. </w:t>
      </w:r>
    </w:p>
    <w:p w14:paraId="742F720B" w14:textId="77777777" w:rsidR="00B2719E" w:rsidRPr="00B2719E" w:rsidRDefault="00B2719E" w:rsidP="00B2719E"/>
    <w:p w14:paraId="5B3711FF" w14:textId="10C5F196" w:rsidR="00B2719E" w:rsidRDefault="00B2719E" w:rsidP="00B2719E">
      <w:r w:rsidRPr="00B2719E">
        <w:t>For online focus groups, we will use the same approved recruitment language (</w:t>
      </w:r>
      <w:r w:rsidR="005B1567">
        <w:rPr>
          <w:b/>
        </w:rPr>
        <w:t>Attachment 5</w:t>
      </w:r>
      <w:r w:rsidRPr="00B2719E">
        <w:rPr>
          <w:b/>
        </w:rPr>
        <w:t>b</w:t>
      </w:r>
      <w:r w:rsidRPr="00B2719E">
        <w:t>) and recruitment ads (</w:t>
      </w:r>
      <w:r w:rsidRPr="00B2719E">
        <w:rPr>
          <w:b/>
        </w:rPr>
        <w:t>Attachm</w:t>
      </w:r>
      <w:r w:rsidR="005B1567">
        <w:rPr>
          <w:b/>
        </w:rPr>
        <w:t>ent 5</w:t>
      </w:r>
      <w:r w:rsidRPr="00B2719E">
        <w:rPr>
          <w:b/>
        </w:rPr>
        <w:t>a</w:t>
      </w:r>
      <w:r w:rsidRPr="00B2719E">
        <w:t xml:space="preserve">). </w:t>
      </w:r>
      <w:r w:rsidRPr="00B2719E">
        <w:rPr>
          <w:i/>
        </w:rPr>
        <w:t>InsideHeads</w:t>
      </w:r>
      <w:r w:rsidRPr="00B2719E">
        <w:t xml:space="preserve"> ®, the online focus group platform, also provides recruitment services.  </w:t>
      </w:r>
      <w:r w:rsidRPr="00B2719E">
        <w:rPr>
          <w:i/>
        </w:rPr>
        <w:t>InsideHeads</w:t>
      </w:r>
      <w:r w:rsidRPr="00B2719E">
        <w:t xml:space="preserve"> is a marketing research company with over 17 years of experience recruiting participant panels and supporting platforms for online research. Potential participants recruited by </w:t>
      </w:r>
      <w:r w:rsidRPr="00B2719E">
        <w:rPr>
          <w:i/>
        </w:rPr>
        <w:t>InsideHeads</w:t>
      </w:r>
      <w:r w:rsidRPr="00B2719E">
        <w:t>, will be directed to a web page where they will be screened (</w:t>
      </w:r>
      <w:r w:rsidR="000B57C1">
        <w:rPr>
          <w:b/>
        </w:rPr>
        <w:t>Attachment 3a</w:t>
      </w:r>
      <w:r w:rsidRPr="00B2719E">
        <w:t>).</w:t>
      </w:r>
      <w:r w:rsidRPr="00B2719E">
        <w:rPr>
          <w:b/>
        </w:rPr>
        <w:t xml:space="preserve"> </w:t>
      </w:r>
      <w:r w:rsidRPr="00B2719E">
        <w:t>If eligible, they will be directed to a page that explains the study purpose and procedures, and provides the electronic information sheet (</w:t>
      </w:r>
      <w:r w:rsidRPr="00B2719E">
        <w:rPr>
          <w:b/>
        </w:rPr>
        <w:t>Attachment 4a &amp; 4b</w:t>
      </w:r>
      <w:r w:rsidRPr="00B2719E">
        <w:t xml:space="preserve">). Those consenting will be directed to procedural instructions of how to “attend” the online focus group (e.g. date, time, login instructions). During the designated days/times the online focus group will begin in a discussion board format, and be moderated by the study staff. Background survey data and typed transcripts from the online focus group on the </w:t>
      </w:r>
      <w:r w:rsidRPr="00B2719E">
        <w:rPr>
          <w:i/>
        </w:rPr>
        <w:t>InsideHeads</w:t>
      </w:r>
      <w:r w:rsidRPr="00B2719E">
        <w:t xml:space="preserve"> platform will be used for analysis.</w:t>
      </w:r>
      <w:r>
        <w:t xml:space="preserve"> </w:t>
      </w:r>
    </w:p>
    <w:p w14:paraId="2C4ECB78" w14:textId="77777777" w:rsidR="00B2719E" w:rsidRPr="00B2719E" w:rsidRDefault="00B2719E" w:rsidP="00B2719E"/>
    <w:p w14:paraId="0EEFB041" w14:textId="77777777" w:rsidR="00492385" w:rsidRDefault="00492385" w:rsidP="00492385">
      <w:pPr>
        <w:ind w:left="1440"/>
      </w:pPr>
    </w:p>
    <w:bookmarkEnd w:id="6"/>
    <w:p w14:paraId="4F821B4A" w14:textId="77777777" w:rsidR="00492385" w:rsidRDefault="00492385" w:rsidP="00492385">
      <w:pPr>
        <w:pStyle w:val="ListParagraph"/>
        <w:spacing w:after="0" w:line="240" w:lineRule="auto"/>
        <w:ind w:left="0"/>
        <w:rPr>
          <w:rFonts w:ascii="Times New Roman" w:hAnsi="Times New Roman"/>
          <w:b/>
        </w:rPr>
      </w:pPr>
    </w:p>
    <w:p w14:paraId="1530E136" w14:textId="77777777" w:rsidR="00170146" w:rsidRDefault="00170146" w:rsidP="00492385">
      <w:pPr>
        <w:pStyle w:val="ListParagraph"/>
        <w:spacing w:after="0" w:line="240" w:lineRule="auto"/>
        <w:ind w:left="0"/>
        <w:rPr>
          <w:rFonts w:ascii="Times New Roman" w:hAnsi="Times New Roman"/>
          <w:b/>
        </w:rPr>
      </w:pPr>
    </w:p>
    <w:p w14:paraId="4D5DCDE2" w14:textId="77777777" w:rsidR="00492385" w:rsidRDefault="00492385" w:rsidP="00492385">
      <w:pPr>
        <w:rPr>
          <w:u w:val="single"/>
        </w:rPr>
      </w:pPr>
      <w:r>
        <w:rPr>
          <w:u w:val="single"/>
        </w:rPr>
        <w:t xml:space="preserve">Data Management </w:t>
      </w:r>
    </w:p>
    <w:p w14:paraId="22B03570" w14:textId="77777777" w:rsidR="00492385" w:rsidRDefault="00492385" w:rsidP="00492385"/>
    <w:p w14:paraId="5CFED776" w14:textId="1D23FA32" w:rsidR="00492385" w:rsidRDefault="00492385" w:rsidP="00492385">
      <w:pPr>
        <w:pStyle w:val="ListParagraph"/>
        <w:numPr>
          <w:ilvl w:val="0"/>
          <w:numId w:val="6"/>
        </w:numPr>
        <w:rPr>
          <w:rFonts w:ascii="Times New Roman" w:hAnsi="Times New Roman"/>
          <w:sz w:val="24"/>
          <w:szCs w:val="24"/>
        </w:rPr>
      </w:pPr>
      <w:r>
        <w:rPr>
          <w:rFonts w:ascii="Times New Roman" w:hAnsi="Times New Roman"/>
          <w:sz w:val="24"/>
          <w:szCs w:val="24"/>
          <w:lang w:val="en-US"/>
        </w:rPr>
        <w:t>All personally identifying information (i.e., e-mail addresses and/or phone numbers collected for delivery</w:t>
      </w:r>
      <w:r w:rsidR="0087424C">
        <w:rPr>
          <w:rFonts w:ascii="Times New Roman" w:hAnsi="Times New Roman"/>
          <w:sz w:val="24"/>
          <w:szCs w:val="24"/>
          <w:lang w:val="en-US"/>
        </w:rPr>
        <w:t xml:space="preserve"> of the token of appreciation</w:t>
      </w:r>
      <w:r>
        <w:rPr>
          <w:rFonts w:ascii="Times New Roman" w:hAnsi="Times New Roman"/>
          <w:sz w:val="24"/>
          <w:szCs w:val="24"/>
          <w:lang w:val="en-US"/>
        </w:rPr>
        <w:t xml:space="preserve">) will be maintained in separate databases that are fully divorced from </w:t>
      </w:r>
      <w:r w:rsidR="00B32134">
        <w:rPr>
          <w:rFonts w:ascii="Times New Roman" w:hAnsi="Times New Roman"/>
          <w:sz w:val="24"/>
          <w:szCs w:val="24"/>
          <w:lang w:val="en-US"/>
        </w:rPr>
        <w:t xml:space="preserve">the focus group data. </w:t>
      </w:r>
    </w:p>
    <w:p w14:paraId="379CB88A" w14:textId="77777777" w:rsidR="00492385" w:rsidRDefault="00492385" w:rsidP="00492385">
      <w:pPr>
        <w:pStyle w:val="ListParagraph"/>
        <w:numPr>
          <w:ilvl w:val="0"/>
          <w:numId w:val="6"/>
        </w:numPr>
        <w:rPr>
          <w:rFonts w:ascii="Times New Roman" w:hAnsi="Times New Roman"/>
          <w:sz w:val="24"/>
          <w:szCs w:val="24"/>
        </w:rPr>
      </w:pPr>
      <w:r>
        <w:rPr>
          <w:rFonts w:ascii="Times New Roman" w:hAnsi="Times New Roman"/>
          <w:sz w:val="24"/>
          <w:szCs w:val="24"/>
          <w:lang w:val="en-US"/>
        </w:rPr>
        <w:t>No PII will be delivered to CDC or used in future research or analysis.</w:t>
      </w:r>
    </w:p>
    <w:p w14:paraId="1260447A" w14:textId="0F1654E2" w:rsidR="00492385" w:rsidRDefault="007A6D9E" w:rsidP="00492385">
      <w:pPr>
        <w:pStyle w:val="ListParagraph"/>
        <w:numPr>
          <w:ilvl w:val="0"/>
          <w:numId w:val="6"/>
        </w:numPr>
        <w:rPr>
          <w:rFonts w:ascii="Times New Roman" w:hAnsi="Times New Roman"/>
          <w:sz w:val="24"/>
          <w:szCs w:val="24"/>
        </w:rPr>
      </w:pPr>
      <w:r>
        <w:rPr>
          <w:rFonts w:ascii="Times New Roman" w:hAnsi="Times New Roman"/>
          <w:sz w:val="24"/>
          <w:szCs w:val="24"/>
          <w:lang w:val="en-US"/>
        </w:rPr>
        <w:t xml:space="preserve">Focus group </w:t>
      </w:r>
      <w:r w:rsidR="00492385">
        <w:rPr>
          <w:rFonts w:ascii="Times New Roman" w:hAnsi="Times New Roman"/>
          <w:sz w:val="24"/>
          <w:szCs w:val="24"/>
        </w:rPr>
        <w:t xml:space="preserve">data will be organized in databases stored on secure local servers at </w:t>
      </w:r>
      <w:r>
        <w:rPr>
          <w:rFonts w:ascii="Times New Roman" w:hAnsi="Times New Roman"/>
          <w:sz w:val="24"/>
          <w:szCs w:val="24"/>
          <w:lang w:val="en-US"/>
        </w:rPr>
        <w:t>TFI</w:t>
      </w:r>
      <w:r>
        <w:rPr>
          <w:rFonts w:ascii="Times New Roman" w:hAnsi="Times New Roman"/>
          <w:sz w:val="24"/>
          <w:szCs w:val="24"/>
        </w:rPr>
        <w:t xml:space="preserve"> </w:t>
      </w:r>
      <w:r w:rsidR="00492385">
        <w:rPr>
          <w:rFonts w:ascii="Times New Roman" w:hAnsi="Times New Roman"/>
          <w:sz w:val="24"/>
          <w:szCs w:val="24"/>
        </w:rPr>
        <w:t>and will be backed-up regularly.</w:t>
      </w:r>
    </w:p>
    <w:p w14:paraId="122FB498" w14:textId="77777777" w:rsidR="00492385" w:rsidRDefault="00492385" w:rsidP="00492385">
      <w:pPr>
        <w:pStyle w:val="ListParagraph"/>
        <w:numPr>
          <w:ilvl w:val="0"/>
          <w:numId w:val="6"/>
        </w:numPr>
        <w:rPr>
          <w:rFonts w:ascii="Times New Roman" w:hAnsi="Times New Roman"/>
          <w:sz w:val="24"/>
          <w:szCs w:val="24"/>
        </w:rPr>
      </w:pPr>
      <w:r>
        <w:rPr>
          <w:rFonts w:ascii="Times New Roman" w:hAnsi="Times New Roman"/>
          <w:sz w:val="24"/>
          <w:szCs w:val="24"/>
        </w:rPr>
        <w:t>Electronic equipment and files will be kept password-protected.</w:t>
      </w:r>
    </w:p>
    <w:p w14:paraId="4B2FEE81" w14:textId="77777777" w:rsidR="00492385" w:rsidRDefault="00492385" w:rsidP="00492385">
      <w:pPr>
        <w:pStyle w:val="ListParagraph"/>
        <w:numPr>
          <w:ilvl w:val="0"/>
          <w:numId w:val="6"/>
        </w:numPr>
        <w:rPr>
          <w:rFonts w:ascii="Times New Roman" w:hAnsi="Times New Roman"/>
          <w:sz w:val="24"/>
          <w:szCs w:val="24"/>
        </w:rPr>
      </w:pPr>
      <w:r>
        <w:rPr>
          <w:rFonts w:ascii="Times New Roman" w:hAnsi="Times New Roman"/>
          <w:sz w:val="24"/>
          <w:szCs w:val="24"/>
          <w:lang w:val="en-US"/>
        </w:rPr>
        <w:t>E</w:t>
      </w:r>
      <w:r>
        <w:rPr>
          <w:rFonts w:ascii="Times New Roman" w:hAnsi="Times New Roman"/>
          <w:sz w:val="24"/>
          <w:szCs w:val="24"/>
        </w:rPr>
        <w:t>lectronic devices will be kept locked when not in use.</w:t>
      </w:r>
    </w:p>
    <w:p w14:paraId="08DDA90D" w14:textId="77777777" w:rsidR="00492385" w:rsidRDefault="00492385" w:rsidP="00492385">
      <w:pPr>
        <w:pStyle w:val="ListParagraph"/>
        <w:numPr>
          <w:ilvl w:val="0"/>
          <w:numId w:val="6"/>
        </w:numPr>
        <w:rPr>
          <w:rFonts w:ascii="Times New Roman" w:hAnsi="Times New Roman"/>
          <w:sz w:val="24"/>
          <w:szCs w:val="24"/>
        </w:rPr>
      </w:pPr>
      <w:r>
        <w:rPr>
          <w:rFonts w:ascii="Times New Roman" w:hAnsi="Times New Roman"/>
          <w:sz w:val="24"/>
          <w:szCs w:val="24"/>
        </w:rPr>
        <w:t>Individual records will be kept secure, accessible only to the study team.</w:t>
      </w:r>
    </w:p>
    <w:p w14:paraId="3AAB1790" w14:textId="77777777" w:rsidR="00492385" w:rsidRDefault="00492385" w:rsidP="00492385"/>
    <w:p w14:paraId="68E53825" w14:textId="6CC8577E" w:rsidR="005A3DDE" w:rsidRPr="009F4A03" w:rsidRDefault="00EE646E" w:rsidP="009F4A03">
      <w:pPr>
        <w:pStyle w:val="PlainText"/>
        <w:spacing w:line="276" w:lineRule="auto"/>
        <w:rPr>
          <w:sz w:val="24"/>
          <w:szCs w:val="24"/>
        </w:rPr>
      </w:pPr>
      <w:r w:rsidRPr="009F4A03">
        <w:rPr>
          <w:rFonts w:ascii="Times New Roman" w:hAnsi="Times New Roman" w:cs="Times New Roman"/>
          <w:sz w:val="24"/>
          <w:szCs w:val="24"/>
        </w:rPr>
        <w:t xml:space="preserve">For in-person focus groups, all </w:t>
      </w:r>
      <w:r w:rsidR="00DF1004" w:rsidRPr="009F4A03">
        <w:rPr>
          <w:rFonts w:ascii="Times New Roman" w:hAnsi="Times New Roman" w:cs="Times New Roman"/>
          <w:sz w:val="24"/>
          <w:szCs w:val="24"/>
        </w:rPr>
        <w:t xml:space="preserve">de-identified </w:t>
      </w:r>
      <w:r w:rsidRPr="009F4A03">
        <w:rPr>
          <w:rFonts w:ascii="Times New Roman" w:hAnsi="Times New Roman" w:cs="Times New Roman"/>
          <w:sz w:val="24"/>
          <w:szCs w:val="24"/>
        </w:rPr>
        <w:t xml:space="preserve">data collected, including audio files and transcripts, will be stored on password-protected computer databases at The Fenway Institute. </w:t>
      </w:r>
      <w:r w:rsidR="00492385" w:rsidRPr="009F4A03">
        <w:rPr>
          <w:rFonts w:ascii="Times New Roman" w:hAnsi="Times New Roman" w:cs="Times New Roman"/>
          <w:sz w:val="24"/>
          <w:szCs w:val="24"/>
        </w:rPr>
        <w:t xml:space="preserve">The </w:t>
      </w:r>
      <w:r w:rsidRPr="009F4A03">
        <w:rPr>
          <w:rFonts w:ascii="Times New Roman" w:hAnsi="Times New Roman" w:cs="Times New Roman"/>
          <w:sz w:val="24"/>
          <w:szCs w:val="24"/>
        </w:rPr>
        <w:t>online focus group</w:t>
      </w:r>
      <w:r w:rsidR="00492385" w:rsidRPr="009F4A03">
        <w:rPr>
          <w:rFonts w:ascii="Times New Roman" w:hAnsi="Times New Roman" w:cs="Times New Roman"/>
          <w:sz w:val="24"/>
          <w:szCs w:val="24"/>
        </w:rPr>
        <w:t xml:space="preserve"> will be </w:t>
      </w:r>
      <w:r w:rsidRPr="009F4A03">
        <w:rPr>
          <w:rFonts w:ascii="Times New Roman" w:hAnsi="Times New Roman" w:cs="Times New Roman"/>
          <w:sz w:val="24"/>
          <w:szCs w:val="24"/>
        </w:rPr>
        <w:t>conducted on</w:t>
      </w:r>
      <w:r w:rsidR="00D07799" w:rsidRPr="009F4A03">
        <w:rPr>
          <w:rFonts w:ascii="Times New Roman" w:hAnsi="Times New Roman" w:cs="Times New Roman"/>
          <w:sz w:val="24"/>
          <w:szCs w:val="24"/>
        </w:rPr>
        <w:t xml:space="preserve"> a secure, password-protected, study-specific virtual focus facility,</w:t>
      </w:r>
      <w:r w:rsidRPr="009F4A03">
        <w:rPr>
          <w:rFonts w:ascii="Times New Roman" w:hAnsi="Times New Roman" w:cs="Times New Roman"/>
          <w:sz w:val="24"/>
          <w:szCs w:val="24"/>
        </w:rPr>
        <w:t xml:space="preserve"> </w:t>
      </w:r>
      <w:r w:rsidR="00D07799" w:rsidRPr="009F4A03">
        <w:rPr>
          <w:rFonts w:ascii="Times New Roman" w:hAnsi="Times New Roman" w:cs="Times New Roman"/>
          <w:sz w:val="24"/>
          <w:szCs w:val="24"/>
        </w:rPr>
        <w:t xml:space="preserve">a </w:t>
      </w:r>
      <w:r w:rsidRPr="009F4A03">
        <w:rPr>
          <w:rFonts w:ascii="Times New Roman" w:hAnsi="Times New Roman" w:cs="Times New Roman"/>
          <w:sz w:val="24"/>
          <w:szCs w:val="24"/>
        </w:rPr>
        <w:t xml:space="preserve">computer-aided focus group </w:t>
      </w:r>
      <w:r w:rsidR="00492385" w:rsidRPr="009F4A03">
        <w:rPr>
          <w:rFonts w:ascii="Times New Roman" w:hAnsi="Times New Roman" w:cs="Times New Roman"/>
          <w:sz w:val="24"/>
          <w:szCs w:val="24"/>
        </w:rPr>
        <w:t>platform</w:t>
      </w:r>
      <w:r w:rsidR="00D07799" w:rsidRPr="009F4A03">
        <w:rPr>
          <w:rFonts w:ascii="Times New Roman" w:hAnsi="Times New Roman" w:cs="Times New Roman"/>
          <w:sz w:val="24"/>
          <w:szCs w:val="24"/>
        </w:rPr>
        <w:t xml:space="preserve"> supported by InsideHeads.</w:t>
      </w:r>
      <w:r w:rsidRPr="009F4A03">
        <w:rPr>
          <w:rFonts w:ascii="Times New Roman" w:hAnsi="Times New Roman" w:cs="Times New Roman"/>
          <w:sz w:val="24"/>
          <w:szCs w:val="24"/>
        </w:rPr>
        <w:t>Online focus group participants will be referred to by a pseudonym</w:t>
      </w:r>
      <w:r w:rsidR="00A12356" w:rsidRPr="009F4A03">
        <w:rPr>
          <w:rFonts w:ascii="Times New Roman" w:hAnsi="Times New Roman" w:cs="Times New Roman"/>
          <w:sz w:val="24"/>
          <w:szCs w:val="24"/>
        </w:rPr>
        <w:t>,</w:t>
      </w:r>
      <w:r w:rsidRPr="009F4A03">
        <w:rPr>
          <w:rFonts w:ascii="Times New Roman" w:hAnsi="Times New Roman" w:cs="Times New Roman"/>
          <w:sz w:val="24"/>
          <w:szCs w:val="24"/>
        </w:rPr>
        <w:t xml:space="preserve"> and their name will not appear on written transcripts. There will be no way to link responses back to individual participants </w:t>
      </w:r>
      <w:r w:rsidR="00D07799" w:rsidRPr="009F4A03">
        <w:rPr>
          <w:rFonts w:ascii="Times New Roman" w:hAnsi="Times New Roman" w:cs="Times New Roman"/>
          <w:sz w:val="24"/>
          <w:szCs w:val="24"/>
        </w:rPr>
        <w:t>InsideHeads IT support team monitors the system 24/7 to ensure the platform is always up to task, while industry-standard SSL encryption technology ensures discussions and attachments are transmitted securely and archived safely.</w:t>
      </w:r>
      <w:r w:rsidR="00E64EF1" w:rsidRPr="009F4A03">
        <w:rPr>
          <w:rFonts w:ascii="Times New Roman" w:hAnsi="Times New Roman" w:cs="Times New Roman"/>
          <w:sz w:val="24"/>
          <w:szCs w:val="24"/>
        </w:rPr>
        <w:t xml:space="preserve"> </w:t>
      </w:r>
      <w:r w:rsidRPr="009F4A03">
        <w:rPr>
          <w:rFonts w:ascii="Times New Roman" w:hAnsi="Times New Roman" w:cs="Times New Roman"/>
          <w:sz w:val="24"/>
          <w:szCs w:val="24"/>
        </w:rPr>
        <w:t>The</w:t>
      </w:r>
      <w:r w:rsidR="00D07799" w:rsidRPr="009F4A03">
        <w:rPr>
          <w:rFonts w:ascii="Times New Roman" w:hAnsi="Times New Roman" w:cs="Times New Roman"/>
          <w:sz w:val="24"/>
          <w:szCs w:val="24"/>
        </w:rPr>
        <w:t xml:space="preserve"> anonymous, de-identified</w:t>
      </w:r>
      <w:r w:rsidRPr="009F4A03">
        <w:rPr>
          <w:rFonts w:ascii="Times New Roman" w:hAnsi="Times New Roman" w:cs="Times New Roman"/>
          <w:sz w:val="24"/>
          <w:szCs w:val="24"/>
        </w:rPr>
        <w:t xml:space="preserve"> online focus group data (collecte</w:t>
      </w:r>
      <w:r w:rsidR="00E41FF9" w:rsidRPr="009F4A03">
        <w:rPr>
          <w:rFonts w:ascii="Times New Roman" w:hAnsi="Times New Roman" w:cs="Times New Roman"/>
          <w:sz w:val="24"/>
          <w:szCs w:val="24"/>
        </w:rPr>
        <w:t>d in a discussion board format—</w:t>
      </w:r>
      <w:r w:rsidRPr="009F4A03">
        <w:rPr>
          <w:rFonts w:ascii="Times New Roman" w:hAnsi="Times New Roman" w:cs="Times New Roman"/>
          <w:sz w:val="24"/>
          <w:szCs w:val="24"/>
        </w:rPr>
        <w:t>interactive</w:t>
      </w:r>
      <w:r w:rsidR="00E41FF9" w:rsidRPr="009F4A03">
        <w:rPr>
          <w:rFonts w:ascii="Times New Roman" w:hAnsi="Times New Roman" w:cs="Times New Roman"/>
          <w:sz w:val="24"/>
          <w:szCs w:val="24"/>
        </w:rPr>
        <w:t xml:space="preserve"> </w:t>
      </w:r>
      <w:r w:rsidRPr="009F4A03">
        <w:rPr>
          <w:rFonts w:ascii="Times New Roman" w:hAnsi="Times New Roman" w:cs="Times New Roman"/>
          <w:sz w:val="24"/>
          <w:szCs w:val="24"/>
        </w:rPr>
        <w:t xml:space="preserve">real time typed questions and answers) will be </w:t>
      </w:r>
      <w:r w:rsidR="00D07799" w:rsidRPr="009F4A03">
        <w:rPr>
          <w:rFonts w:ascii="Times New Roman" w:hAnsi="Times New Roman" w:cs="Times New Roman"/>
          <w:sz w:val="24"/>
          <w:szCs w:val="24"/>
        </w:rPr>
        <w:t xml:space="preserve">downloaded from our password-protected virtual “classroom” on the virtual focus facility platform onto a TFI password-protected computer. </w:t>
      </w:r>
      <w:r w:rsidR="00E835B2" w:rsidRPr="009F4A03">
        <w:rPr>
          <w:rFonts w:ascii="Times New Roman" w:hAnsi="Times New Roman" w:cs="Times New Roman"/>
          <w:sz w:val="24"/>
          <w:szCs w:val="24"/>
        </w:rPr>
        <w:t xml:space="preserve">Data </w:t>
      </w:r>
      <w:r w:rsidR="005A3DDE" w:rsidRPr="009F4A03">
        <w:rPr>
          <w:rFonts w:ascii="Times New Roman" w:hAnsi="Times New Roman" w:cs="Times New Roman"/>
          <w:sz w:val="24"/>
          <w:szCs w:val="24"/>
        </w:rPr>
        <w:t>shared between Fenway and NORC or CDC will be encrypted and shared via secure server, and any data will first be de-identified by Fenway prior to encrypted sharing.</w:t>
      </w:r>
    </w:p>
    <w:p w14:paraId="5B7CFD0D" w14:textId="77777777" w:rsidR="00492385" w:rsidRDefault="00492385" w:rsidP="00492385">
      <w:pPr>
        <w:rPr>
          <w:u w:val="single"/>
        </w:rPr>
      </w:pPr>
    </w:p>
    <w:p w14:paraId="6504C838" w14:textId="77777777" w:rsidR="00492385" w:rsidRDefault="00492385" w:rsidP="00492385">
      <w:pPr>
        <w:pStyle w:val="Heading2"/>
        <w:numPr>
          <w:ilvl w:val="0"/>
          <w:numId w:val="2"/>
        </w:numPr>
        <w:spacing w:before="0" w:after="0"/>
        <w:contextualSpacing/>
        <w:rPr>
          <w:rFonts w:ascii="Times New Roman" w:hAnsi="Times New Roman" w:cs="Times New Roman"/>
          <w:bCs w:val="0"/>
          <w:i w:val="0"/>
          <w:sz w:val="24"/>
          <w:szCs w:val="24"/>
        </w:rPr>
      </w:pPr>
      <w:bookmarkStart w:id="7" w:name="_Toc464646195"/>
      <w:bookmarkStart w:id="8" w:name="_Toc235958537"/>
      <w:r>
        <w:rPr>
          <w:rFonts w:ascii="Times New Roman" w:hAnsi="Times New Roman" w:cs="Times New Roman"/>
          <w:bCs w:val="0"/>
          <w:i w:val="0"/>
          <w:sz w:val="24"/>
          <w:szCs w:val="24"/>
        </w:rPr>
        <w:t>Methods to Maximize Response Rates and Deal with Nonresponse</w:t>
      </w:r>
      <w:bookmarkEnd w:id="7"/>
    </w:p>
    <w:p w14:paraId="0381E6C9" w14:textId="77777777" w:rsidR="00492385" w:rsidRDefault="00492385" w:rsidP="00492385"/>
    <w:p w14:paraId="297F69B7" w14:textId="77777777" w:rsidR="00492385" w:rsidRDefault="00492385" w:rsidP="00492385">
      <w:pPr>
        <w:rPr>
          <w:szCs w:val="20"/>
        </w:rPr>
      </w:pPr>
      <w:bookmarkStart w:id="9" w:name="_Toc235958538"/>
      <w:bookmarkEnd w:id="8"/>
      <w:r>
        <w:t>Study participation is voluntary, and study leads will make every effort to maximize the rate of response. The following procedures will be used to maximize cooperation and achieve the desired participation rates:</w:t>
      </w:r>
    </w:p>
    <w:p w14:paraId="180749E7" w14:textId="77777777" w:rsidR="00492385" w:rsidRDefault="00492385" w:rsidP="00492385"/>
    <w:p w14:paraId="6AAAF423" w14:textId="432FC617" w:rsidR="00492385" w:rsidRDefault="009B47B6" w:rsidP="00492385">
      <w:r>
        <w:t xml:space="preserve">A $50 </w:t>
      </w:r>
      <w:r w:rsidR="0087424C">
        <w:t xml:space="preserve">token of appreciation </w:t>
      </w:r>
      <w:r>
        <w:t xml:space="preserve">for in-person focus groups and </w:t>
      </w:r>
      <w:r w:rsidR="00592179">
        <w:t xml:space="preserve">$30 </w:t>
      </w:r>
      <w:r w:rsidR="0087424C">
        <w:t xml:space="preserve">token of appreciation </w:t>
      </w:r>
      <w:r>
        <w:t>for online focus groups wi</w:t>
      </w:r>
      <w:r w:rsidR="00492385">
        <w:t>ll be offered to participants</w:t>
      </w:r>
      <w:r>
        <w:t xml:space="preserve">. </w:t>
      </w:r>
      <w:r w:rsidR="00492385">
        <w:t xml:space="preserve"> </w:t>
      </w:r>
    </w:p>
    <w:p w14:paraId="4D30959F" w14:textId="77777777" w:rsidR="002D0B1A" w:rsidRDefault="002D0B1A" w:rsidP="00492385">
      <w:pPr>
        <w:rPr>
          <w:bCs/>
        </w:rPr>
      </w:pPr>
    </w:p>
    <w:p w14:paraId="3B64DF05" w14:textId="2A28B575" w:rsidR="00492385" w:rsidRDefault="009E35D6" w:rsidP="00492385">
      <w:r>
        <w:t>The Fenway Institute (</w:t>
      </w:r>
      <w:r w:rsidR="002D0B1A">
        <w:t>TFI</w:t>
      </w:r>
      <w:r>
        <w:t>)</w:t>
      </w:r>
      <w:r w:rsidR="002D0B1A">
        <w:t xml:space="preserve"> </w:t>
      </w:r>
      <w:r w:rsidR="00492385">
        <w:t xml:space="preserve">will provide </w:t>
      </w:r>
      <w:r w:rsidR="002D0B1A">
        <w:t>contact information during the consent process for the Project Manager, Principal Investigator, and the TFI manager of research compliance in case of any concerns or questions</w:t>
      </w:r>
      <w:r w:rsidR="008174D7">
        <w:t xml:space="preserve"> related to their participation</w:t>
      </w:r>
      <w:r w:rsidR="002D0B1A">
        <w:t xml:space="preserve">. All participants will also be provided with the Trevor Lifeline number that they may call if they experience distress. </w:t>
      </w:r>
    </w:p>
    <w:p w14:paraId="27CCA9C5" w14:textId="77777777" w:rsidR="00492385" w:rsidRDefault="00492385" w:rsidP="00492385"/>
    <w:p w14:paraId="7199B412" w14:textId="51669A98" w:rsidR="00492385" w:rsidRPr="002D0B1A" w:rsidRDefault="002D0B1A" w:rsidP="00492385">
      <w:r>
        <w:t>If participants report any form of abuse, we will utilize our procedure for reporting child abuse (</w:t>
      </w:r>
      <w:r>
        <w:rPr>
          <w:b/>
        </w:rPr>
        <w:t>Attachment 4f</w:t>
      </w:r>
      <w:r>
        <w:t xml:space="preserve">) which also includes a list of resources that can be provided to the participant. </w:t>
      </w:r>
    </w:p>
    <w:p w14:paraId="309DF7A6" w14:textId="77777777" w:rsidR="00492385" w:rsidRDefault="00492385" w:rsidP="00492385"/>
    <w:p w14:paraId="37325E5E" w14:textId="08FE98EB" w:rsidR="00492385" w:rsidRDefault="00492385" w:rsidP="00492385">
      <w:r>
        <w:t xml:space="preserve">Main challenges to the success of the project include willingness of participants to share intimate information on sexual behavior. Proposed solutions are to ensure </w:t>
      </w:r>
      <w:r w:rsidR="004B32D0">
        <w:t xml:space="preserve">that responses will be safeguarded or maintained in a secure manner to protect privacy </w:t>
      </w:r>
      <w:r w:rsidR="002D0B1A">
        <w:t>, as described in the information sheet used to consent participants (</w:t>
      </w:r>
      <w:r w:rsidR="002D0B1A" w:rsidRPr="002D0B1A">
        <w:rPr>
          <w:b/>
        </w:rPr>
        <w:t xml:space="preserve">Attachments 4a </w:t>
      </w:r>
      <w:r w:rsidR="00E64EF1">
        <w:rPr>
          <w:b/>
        </w:rPr>
        <w:t>&amp;</w:t>
      </w:r>
      <w:r w:rsidR="002D0B1A" w:rsidRPr="002D0B1A">
        <w:rPr>
          <w:b/>
        </w:rPr>
        <w:t xml:space="preserve"> 4b</w:t>
      </w:r>
      <w:r w:rsidR="002D0B1A">
        <w:t>)</w:t>
      </w:r>
      <w:r>
        <w:t xml:space="preserve">, and to utilize accurate, unbiased language throughout the </w:t>
      </w:r>
      <w:r w:rsidR="002D0B1A">
        <w:t xml:space="preserve">focus group </w:t>
      </w:r>
      <w:r>
        <w:t>to avoid insinuating a value judgment for any behaviors.</w:t>
      </w:r>
    </w:p>
    <w:p w14:paraId="225B056E" w14:textId="77777777" w:rsidR="00492385" w:rsidRDefault="00492385" w:rsidP="00492385"/>
    <w:p w14:paraId="18EC192A" w14:textId="77777777" w:rsidR="00492385" w:rsidRDefault="00492385" w:rsidP="00492385">
      <w:pPr>
        <w:pStyle w:val="Heading2"/>
        <w:numPr>
          <w:ilvl w:val="0"/>
          <w:numId w:val="2"/>
        </w:numPr>
        <w:spacing w:before="0" w:after="0"/>
        <w:contextualSpacing/>
        <w:rPr>
          <w:rFonts w:ascii="Times New Roman" w:hAnsi="Times New Roman" w:cs="Times New Roman"/>
          <w:bCs w:val="0"/>
          <w:i w:val="0"/>
          <w:sz w:val="24"/>
          <w:szCs w:val="24"/>
        </w:rPr>
      </w:pPr>
      <w:bookmarkStart w:id="10" w:name="_Toc464646196"/>
      <w:bookmarkStart w:id="11" w:name="_Toc306891238"/>
      <w:r>
        <w:rPr>
          <w:rFonts w:ascii="Times New Roman" w:hAnsi="Times New Roman" w:cs="Times New Roman"/>
          <w:bCs w:val="0"/>
          <w:i w:val="0"/>
          <w:sz w:val="24"/>
          <w:szCs w:val="24"/>
        </w:rPr>
        <w:t>Test of Procedures or Methods to be Undertaken</w:t>
      </w:r>
      <w:bookmarkEnd w:id="10"/>
      <w:r>
        <w:rPr>
          <w:rFonts w:ascii="Times New Roman" w:hAnsi="Times New Roman" w:cs="Times New Roman"/>
          <w:bCs w:val="0"/>
          <w:i w:val="0"/>
          <w:sz w:val="24"/>
          <w:szCs w:val="24"/>
        </w:rPr>
        <w:t xml:space="preserve"> </w:t>
      </w:r>
      <w:bookmarkStart w:id="12" w:name="_Toc306891239"/>
      <w:bookmarkStart w:id="13" w:name="_Toc235958539"/>
      <w:bookmarkEnd w:id="9"/>
      <w:bookmarkEnd w:id="11"/>
    </w:p>
    <w:p w14:paraId="348E2FAF" w14:textId="77777777" w:rsidR="00492385" w:rsidRDefault="00492385" w:rsidP="00492385"/>
    <w:p w14:paraId="5985C44B" w14:textId="46082F46" w:rsidR="00492385" w:rsidRDefault="00492385" w:rsidP="002D0B1A">
      <w:r>
        <w:t>The study team</w:t>
      </w:r>
      <w:r w:rsidR="002D0B1A">
        <w:t xml:space="preserve"> developed the focus group guide in partnership with the full study team, research advisors, and the Youth Community Advisory Board (YCAB). We obtained the input of researchers who have experience conducting online and in-person focus groups with adolescents and young adults who identify as sexual and gender minorities. </w:t>
      </w:r>
      <w:r>
        <w:t xml:space="preserve"> </w:t>
      </w:r>
      <w:r w:rsidR="002D0B1A">
        <w:t xml:space="preserve">We also received feedback from the YCAB, which is comprised of members of the target population for this study. Members of the study team have extensive experience conducting focus groups with adults and adolescents both online and in-person. </w:t>
      </w:r>
    </w:p>
    <w:p w14:paraId="7BC85FFD" w14:textId="77777777" w:rsidR="00492385" w:rsidRDefault="00492385" w:rsidP="00492385"/>
    <w:p w14:paraId="51175895" w14:textId="77777777" w:rsidR="00492385" w:rsidRDefault="00492385" w:rsidP="00492385">
      <w:pPr>
        <w:pStyle w:val="Heading2"/>
        <w:numPr>
          <w:ilvl w:val="0"/>
          <w:numId w:val="2"/>
        </w:numPr>
        <w:spacing w:before="0" w:after="0"/>
        <w:contextualSpacing/>
        <w:rPr>
          <w:rFonts w:ascii="Times New Roman" w:hAnsi="Times New Roman" w:cs="Times New Roman"/>
          <w:bCs w:val="0"/>
          <w:i w:val="0"/>
          <w:sz w:val="24"/>
          <w:szCs w:val="24"/>
        </w:rPr>
      </w:pPr>
      <w:bookmarkStart w:id="14" w:name="_Toc464646197"/>
      <w:bookmarkEnd w:id="12"/>
      <w:r>
        <w:rPr>
          <w:rFonts w:ascii="Times New Roman" w:hAnsi="Times New Roman" w:cs="Times New Roman"/>
          <w:bCs w:val="0"/>
          <w:i w:val="0"/>
          <w:sz w:val="24"/>
          <w:szCs w:val="24"/>
        </w:rPr>
        <w:t>Individuals Consulted on Statistical Aspects and Individuals Collecting and/or Analyzing Data</w:t>
      </w:r>
      <w:bookmarkEnd w:id="14"/>
    </w:p>
    <w:p w14:paraId="07AE26B9" w14:textId="77777777" w:rsidR="00492385" w:rsidRDefault="00492385" w:rsidP="00492385"/>
    <w:tbl>
      <w:tblPr>
        <w:tblStyle w:val="TableGrid"/>
        <w:tblW w:w="0" w:type="auto"/>
        <w:tblLayout w:type="fixed"/>
        <w:tblLook w:val="04A0" w:firstRow="1" w:lastRow="0" w:firstColumn="1" w:lastColumn="0" w:noHBand="0" w:noVBand="1"/>
      </w:tblPr>
      <w:tblGrid>
        <w:gridCol w:w="1705"/>
        <w:gridCol w:w="2340"/>
        <w:gridCol w:w="2160"/>
        <w:gridCol w:w="3145"/>
      </w:tblGrid>
      <w:tr w:rsidR="00492385" w14:paraId="7805D8A9" w14:textId="77777777" w:rsidTr="00492385">
        <w:tc>
          <w:tcPr>
            <w:tcW w:w="1705" w:type="dxa"/>
            <w:tcBorders>
              <w:top w:val="single" w:sz="4" w:space="0" w:color="auto"/>
              <w:left w:val="single" w:sz="4" w:space="0" w:color="auto"/>
              <w:bottom w:val="single" w:sz="4" w:space="0" w:color="auto"/>
              <w:right w:val="single" w:sz="4" w:space="0" w:color="auto"/>
            </w:tcBorders>
            <w:vAlign w:val="center"/>
            <w:hideMark/>
          </w:tcPr>
          <w:p w14:paraId="3F102B79" w14:textId="77777777" w:rsidR="00492385" w:rsidRDefault="00492385">
            <w:pPr>
              <w:rPr>
                <w:b/>
              </w:rPr>
            </w:pPr>
            <w:r>
              <w:rPr>
                <w:b/>
              </w:rPr>
              <w:t>Role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A60977F" w14:textId="77777777" w:rsidR="00492385" w:rsidRDefault="00492385">
            <w:pPr>
              <w:rPr>
                <w:b/>
              </w:rPr>
            </w:pPr>
            <w:r>
              <w:rPr>
                <w:b/>
              </w:rPr>
              <w:t>Name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6A0DB79" w14:textId="77777777" w:rsidR="00492385" w:rsidRDefault="00492385">
            <w:pPr>
              <w:rPr>
                <w:b/>
              </w:rPr>
            </w:pPr>
            <w:r>
              <w:rPr>
                <w:b/>
              </w:rPr>
              <w:t>Telephone Number</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4107FDC" w14:textId="77777777" w:rsidR="00492385" w:rsidRDefault="00492385">
            <w:pPr>
              <w:rPr>
                <w:b/>
              </w:rPr>
            </w:pPr>
            <w:r>
              <w:rPr>
                <w:b/>
              </w:rPr>
              <w:t>Email</w:t>
            </w:r>
          </w:p>
        </w:tc>
      </w:tr>
      <w:tr w:rsidR="008C5D22" w14:paraId="1F389D27" w14:textId="77777777" w:rsidTr="00324114">
        <w:tc>
          <w:tcPr>
            <w:tcW w:w="1705" w:type="dxa"/>
            <w:vMerge w:val="restart"/>
            <w:tcBorders>
              <w:top w:val="single" w:sz="4" w:space="0" w:color="auto"/>
              <w:left w:val="single" w:sz="4" w:space="0" w:color="auto"/>
              <w:right w:val="single" w:sz="4" w:space="0" w:color="auto"/>
            </w:tcBorders>
            <w:vAlign w:val="center"/>
          </w:tcPr>
          <w:p w14:paraId="4ED8531B" w14:textId="11777F3C" w:rsidR="008C5D22" w:rsidRDefault="008C5D22" w:rsidP="002D0B1A">
            <w:r>
              <w:t>Data collection and/or analysis</w:t>
            </w:r>
          </w:p>
        </w:tc>
        <w:tc>
          <w:tcPr>
            <w:tcW w:w="2340" w:type="dxa"/>
            <w:tcBorders>
              <w:top w:val="single" w:sz="4" w:space="0" w:color="auto"/>
              <w:left w:val="single" w:sz="4" w:space="0" w:color="auto"/>
              <w:bottom w:val="single" w:sz="4" w:space="0" w:color="auto"/>
              <w:right w:val="single" w:sz="4" w:space="0" w:color="auto"/>
            </w:tcBorders>
            <w:vAlign w:val="center"/>
          </w:tcPr>
          <w:p w14:paraId="5BF92526" w14:textId="329A2AE2" w:rsidR="008C5D22" w:rsidRPr="002D0B1A" w:rsidRDefault="008C5D22">
            <w:pPr>
              <w:rPr>
                <w:b/>
              </w:rPr>
            </w:pPr>
            <w:r w:rsidRPr="002D0B1A">
              <w:rPr>
                <w:b/>
              </w:rPr>
              <w:t>TFI</w:t>
            </w:r>
          </w:p>
        </w:tc>
        <w:tc>
          <w:tcPr>
            <w:tcW w:w="2160" w:type="dxa"/>
            <w:tcBorders>
              <w:top w:val="single" w:sz="4" w:space="0" w:color="auto"/>
              <w:left w:val="single" w:sz="4" w:space="0" w:color="auto"/>
              <w:bottom w:val="single" w:sz="4" w:space="0" w:color="auto"/>
              <w:right w:val="single" w:sz="4" w:space="0" w:color="auto"/>
            </w:tcBorders>
            <w:vAlign w:val="center"/>
          </w:tcPr>
          <w:p w14:paraId="001303B1" w14:textId="77777777" w:rsidR="008C5D22" w:rsidRDefault="008C5D22"/>
        </w:tc>
        <w:tc>
          <w:tcPr>
            <w:tcW w:w="3145" w:type="dxa"/>
            <w:tcBorders>
              <w:top w:val="single" w:sz="4" w:space="0" w:color="auto"/>
              <w:left w:val="single" w:sz="4" w:space="0" w:color="auto"/>
              <w:bottom w:val="single" w:sz="4" w:space="0" w:color="auto"/>
              <w:right w:val="single" w:sz="4" w:space="0" w:color="auto"/>
            </w:tcBorders>
            <w:vAlign w:val="center"/>
          </w:tcPr>
          <w:p w14:paraId="74814B74" w14:textId="77777777" w:rsidR="008C5D22" w:rsidRDefault="008C5D22"/>
        </w:tc>
      </w:tr>
      <w:tr w:rsidR="008C5D22" w14:paraId="27ACFE07" w14:textId="77777777" w:rsidTr="00324114">
        <w:tc>
          <w:tcPr>
            <w:tcW w:w="1705" w:type="dxa"/>
            <w:vMerge/>
            <w:tcBorders>
              <w:left w:val="single" w:sz="4" w:space="0" w:color="auto"/>
              <w:right w:val="single" w:sz="4" w:space="0" w:color="auto"/>
            </w:tcBorders>
            <w:vAlign w:val="center"/>
          </w:tcPr>
          <w:p w14:paraId="43B1453D" w14:textId="538431CE"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bottom"/>
          </w:tcPr>
          <w:p w14:paraId="02BA1513" w14:textId="677D7108" w:rsidR="008C5D22" w:rsidRDefault="008C5D22" w:rsidP="002D0B1A">
            <w:pPr>
              <w:rPr>
                <w:b/>
              </w:rPr>
            </w:pPr>
            <w:r>
              <w:rPr>
                <w:color w:val="000000"/>
              </w:rPr>
              <w:t>Sean Cahill</w:t>
            </w:r>
          </w:p>
        </w:tc>
        <w:tc>
          <w:tcPr>
            <w:tcW w:w="2160" w:type="dxa"/>
            <w:tcBorders>
              <w:top w:val="single" w:sz="4" w:space="0" w:color="auto"/>
              <w:left w:val="single" w:sz="4" w:space="0" w:color="auto"/>
              <w:bottom w:val="single" w:sz="4" w:space="0" w:color="auto"/>
              <w:right w:val="single" w:sz="4" w:space="0" w:color="auto"/>
            </w:tcBorders>
          </w:tcPr>
          <w:p w14:paraId="37C71A33" w14:textId="7DEE5282" w:rsidR="008C5D22" w:rsidRDefault="007A6D9E" w:rsidP="002D0B1A">
            <w:r>
              <w:t xml:space="preserve"> (617) 927-6016</w:t>
            </w:r>
          </w:p>
        </w:tc>
        <w:tc>
          <w:tcPr>
            <w:tcW w:w="3145" w:type="dxa"/>
            <w:tcBorders>
              <w:top w:val="single" w:sz="4" w:space="0" w:color="auto"/>
              <w:left w:val="single" w:sz="4" w:space="0" w:color="auto"/>
              <w:bottom w:val="single" w:sz="4" w:space="0" w:color="auto"/>
              <w:right w:val="single" w:sz="4" w:space="0" w:color="auto"/>
            </w:tcBorders>
          </w:tcPr>
          <w:p w14:paraId="6C44D504" w14:textId="32EDBAF0" w:rsidR="008C5D22" w:rsidRDefault="008C5D22" w:rsidP="002D0B1A">
            <w:r>
              <w:t>scahill@fenwayhealth.org</w:t>
            </w:r>
          </w:p>
        </w:tc>
      </w:tr>
      <w:tr w:rsidR="008C5D22" w14:paraId="20A2DC2B" w14:textId="77777777" w:rsidTr="00324114">
        <w:tc>
          <w:tcPr>
            <w:tcW w:w="1705" w:type="dxa"/>
            <w:vMerge/>
            <w:tcBorders>
              <w:left w:val="single" w:sz="4" w:space="0" w:color="auto"/>
              <w:right w:val="single" w:sz="4" w:space="0" w:color="auto"/>
            </w:tcBorders>
            <w:vAlign w:val="center"/>
          </w:tcPr>
          <w:p w14:paraId="68464F5F" w14:textId="0337E009"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bottom"/>
          </w:tcPr>
          <w:p w14:paraId="6C5FD5F0" w14:textId="6529596F" w:rsidR="008C5D22" w:rsidRDefault="008C5D22" w:rsidP="002D0B1A">
            <w:pPr>
              <w:rPr>
                <w:b/>
              </w:rPr>
            </w:pPr>
            <w:r>
              <w:rPr>
                <w:color w:val="000000"/>
              </w:rPr>
              <w:t>Kerith Conron</w:t>
            </w:r>
          </w:p>
        </w:tc>
        <w:tc>
          <w:tcPr>
            <w:tcW w:w="2160" w:type="dxa"/>
            <w:tcBorders>
              <w:top w:val="single" w:sz="4" w:space="0" w:color="auto"/>
              <w:left w:val="single" w:sz="4" w:space="0" w:color="auto"/>
              <w:bottom w:val="single" w:sz="4" w:space="0" w:color="auto"/>
              <w:right w:val="single" w:sz="4" w:space="0" w:color="auto"/>
            </w:tcBorders>
          </w:tcPr>
          <w:p w14:paraId="339F3DA4" w14:textId="3AE03F83" w:rsidR="008C5D22" w:rsidRDefault="007A6D9E" w:rsidP="007A6D9E">
            <w:r>
              <w:t xml:space="preserve"> (617) 927-6369</w:t>
            </w:r>
          </w:p>
        </w:tc>
        <w:tc>
          <w:tcPr>
            <w:tcW w:w="3145" w:type="dxa"/>
            <w:tcBorders>
              <w:top w:val="single" w:sz="4" w:space="0" w:color="auto"/>
              <w:left w:val="single" w:sz="4" w:space="0" w:color="auto"/>
              <w:bottom w:val="single" w:sz="4" w:space="0" w:color="auto"/>
              <w:right w:val="single" w:sz="4" w:space="0" w:color="auto"/>
            </w:tcBorders>
          </w:tcPr>
          <w:p w14:paraId="7F0C9451" w14:textId="3373865E" w:rsidR="008C5D22" w:rsidRDefault="008C5D22" w:rsidP="002D0B1A">
            <w:r>
              <w:t>kconron@fenwayhealth.org</w:t>
            </w:r>
          </w:p>
        </w:tc>
      </w:tr>
      <w:tr w:rsidR="008C5D22" w14:paraId="4BF1D33F" w14:textId="77777777" w:rsidTr="00324114">
        <w:tc>
          <w:tcPr>
            <w:tcW w:w="1705" w:type="dxa"/>
            <w:vMerge/>
            <w:tcBorders>
              <w:left w:val="single" w:sz="4" w:space="0" w:color="auto"/>
              <w:right w:val="single" w:sz="4" w:space="0" w:color="auto"/>
            </w:tcBorders>
            <w:vAlign w:val="center"/>
          </w:tcPr>
          <w:p w14:paraId="6D16D8A8" w14:textId="6FF4ACF4"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bottom"/>
          </w:tcPr>
          <w:p w14:paraId="208286BD" w14:textId="1741F194" w:rsidR="008C5D22" w:rsidRDefault="008C5D22" w:rsidP="002D0B1A">
            <w:pPr>
              <w:rPr>
                <w:color w:val="000000"/>
              </w:rPr>
            </w:pPr>
            <w:r>
              <w:rPr>
                <w:color w:val="000000"/>
              </w:rPr>
              <w:t>Holly Fontenot</w:t>
            </w:r>
          </w:p>
        </w:tc>
        <w:tc>
          <w:tcPr>
            <w:tcW w:w="2160" w:type="dxa"/>
            <w:tcBorders>
              <w:top w:val="single" w:sz="4" w:space="0" w:color="auto"/>
              <w:left w:val="single" w:sz="4" w:space="0" w:color="auto"/>
              <w:bottom w:val="single" w:sz="4" w:space="0" w:color="auto"/>
              <w:right w:val="single" w:sz="4" w:space="0" w:color="auto"/>
            </w:tcBorders>
          </w:tcPr>
          <w:p w14:paraId="4A77D51B" w14:textId="47F148D9" w:rsidR="008C5D22" w:rsidRDefault="00055B11" w:rsidP="007A6D9E">
            <w:r>
              <w:t xml:space="preserve"> (617) 552-1846</w:t>
            </w:r>
          </w:p>
        </w:tc>
        <w:tc>
          <w:tcPr>
            <w:tcW w:w="3145" w:type="dxa"/>
            <w:tcBorders>
              <w:top w:val="single" w:sz="4" w:space="0" w:color="auto"/>
              <w:left w:val="single" w:sz="4" w:space="0" w:color="auto"/>
              <w:bottom w:val="single" w:sz="4" w:space="0" w:color="auto"/>
              <w:right w:val="single" w:sz="4" w:space="0" w:color="auto"/>
            </w:tcBorders>
          </w:tcPr>
          <w:p w14:paraId="72373B7B" w14:textId="5DB2B5A9" w:rsidR="008C5D22" w:rsidRDefault="008C5D22" w:rsidP="002D0B1A">
            <w:r>
              <w:t>holly.fontenot@bc.edu</w:t>
            </w:r>
          </w:p>
        </w:tc>
      </w:tr>
      <w:tr w:rsidR="008C5D22" w14:paraId="019E788D" w14:textId="77777777" w:rsidTr="00324114">
        <w:tc>
          <w:tcPr>
            <w:tcW w:w="1705" w:type="dxa"/>
            <w:vMerge/>
            <w:tcBorders>
              <w:left w:val="single" w:sz="4" w:space="0" w:color="auto"/>
              <w:right w:val="single" w:sz="4" w:space="0" w:color="auto"/>
            </w:tcBorders>
            <w:vAlign w:val="center"/>
          </w:tcPr>
          <w:p w14:paraId="6566EAD9" w14:textId="5F097233"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bottom"/>
          </w:tcPr>
          <w:p w14:paraId="384C75F4" w14:textId="7C9CCE95" w:rsidR="008C5D22" w:rsidRDefault="008C5D22" w:rsidP="002D0B1A">
            <w:pPr>
              <w:rPr>
                <w:color w:val="000000"/>
              </w:rPr>
            </w:pPr>
            <w:r>
              <w:rPr>
                <w:color w:val="000000"/>
              </w:rPr>
              <w:t>Sophia Geffen</w:t>
            </w:r>
          </w:p>
        </w:tc>
        <w:tc>
          <w:tcPr>
            <w:tcW w:w="2160" w:type="dxa"/>
            <w:tcBorders>
              <w:top w:val="single" w:sz="4" w:space="0" w:color="auto"/>
              <w:left w:val="single" w:sz="4" w:space="0" w:color="auto"/>
              <w:bottom w:val="single" w:sz="4" w:space="0" w:color="auto"/>
              <w:right w:val="single" w:sz="4" w:space="0" w:color="auto"/>
            </w:tcBorders>
          </w:tcPr>
          <w:p w14:paraId="6855D36D" w14:textId="62E1E3C9" w:rsidR="008C5D22" w:rsidRDefault="004B35DB" w:rsidP="004B35DB">
            <w:r w:rsidDel="004B35DB">
              <w:t xml:space="preserve"> </w:t>
            </w:r>
            <w:r w:rsidR="007A6D9E">
              <w:t>(857)</w:t>
            </w:r>
            <w:r w:rsidR="00055B11">
              <w:t xml:space="preserve"> </w:t>
            </w:r>
            <w:r w:rsidR="007A6D9E">
              <w:t>313-6670</w:t>
            </w:r>
          </w:p>
        </w:tc>
        <w:tc>
          <w:tcPr>
            <w:tcW w:w="3145" w:type="dxa"/>
            <w:tcBorders>
              <w:top w:val="single" w:sz="4" w:space="0" w:color="auto"/>
              <w:left w:val="single" w:sz="4" w:space="0" w:color="auto"/>
              <w:bottom w:val="single" w:sz="4" w:space="0" w:color="auto"/>
              <w:right w:val="single" w:sz="4" w:space="0" w:color="auto"/>
            </w:tcBorders>
          </w:tcPr>
          <w:p w14:paraId="3F9CE8DF" w14:textId="03E841A1" w:rsidR="008C5D22" w:rsidRDefault="008C5D22" w:rsidP="002D0B1A">
            <w:r>
              <w:t>sgeffen@fenwayhealth.org</w:t>
            </w:r>
          </w:p>
        </w:tc>
      </w:tr>
      <w:tr w:rsidR="008C5D22" w14:paraId="70F8E269" w14:textId="77777777" w:rsidTr="00324114">
        <w:tc>
          <w:tcPr>
            <w:tcW w:w="1705" w:type="dxa"/>
            <w:vMerge/>
            <w:tcBorders>
              <w:left w:val="single" w:sz="4" w:space="0" w:color="auto"/>
              <w:right w:val="single" w:sz="4" w:space="0" w:color="auto"/>
            </w:tcBorders>
            <w:vAlign w:val="center"/>
          </w:tcPr>
          <w:p w14:paraId="6E4E6645" w14:textId="02FDD6BB"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bottom"/>
          </w:tcPr>
          <w:p w14:paraId="50B64DD1" w14:textId="1712CCC2" w:rsidR="008C5D22" w:rsidRDefault="008C5D22" w:rsidP="002D0B1A">
            <w:pPr>
              <w:rPr>
                <w:color w:val="000000"/>
              </w:rPr>
            </w:pPr>
            <w:r>
              <w:rPr>
                <w:color w:val="000000"/>
              </w:rPr>
              <w:t>Tim Wang</w:t>
            </w:r>
          </w:p>
        </w:tc>
        <w:tc>
          <w:tcPr>
            <w:tcW w:w="2160" w:type="dxa"/>
            <w:tcBorders>
              <w:top w:val="single" w:sz="4" w:space="0" w:color="auto"/>
              <w:left w:val="single" w:sz="4" w:space="0" w:color="auto"/>
              <w:bottom w:val="single" w:sz="4" w:space="0" w:color="auto"/>
              <w:right w:val="single" w:sz="4" w:space="0" w:color="auto"/>
            </w:tcBorders>
          </w:tcPr>
          <w:p w14:paraId="7CD4225D" w14:textId="0E8498E2" w:rsidR="008C5D22" w:rsidRDefault="007A6D9E" w:rsidP="002D0B1A">
            <w:r>
              <w:t xml:space="preserve"> (617) 927-6112</w:t>
            </w:r>
          </w:p>
        </w:tc>
        <w:tc>
          <w:tcPr>
            <w:tcW w:w="3145" w:type="dxa"/>
            <w:tcBorders>
              <w:top w:val="single" w:sz="4" w:space="0" w:color="auto"/>
              <w:left w:val="single" w:sz="4" w:space="0" w:color="auto"/>
              <w:bottom w:val="single" w:sz="4" w:space="0" w:color="auto"/>
              <w:right w:val="single" w:sz="4" w:space="0" w:color="auto"/>
            </w:tcBorders>
          </w:tcPr>
          <w:p w14:paraId="71374903" w14:textId="62137B9E" w:rsidR="008C5D22" w:rsidRDefault="008C5D22" w:rsidP="002D0B1A">
            <w:r>
              <w:t>twang@fenwayhealth.org</w:t>
            </w:r>
          </w:p>
        </w:tc>
      </w:tr>
      <w:tr w:rsidR="008C5D22" w14:paraId="2FA90FD2" w14:textId="77777777" w:rsidTr="00324114">
        <w:tc>
          <w:tcPr>
            <w:tcW w:w="1705" w:type="dxa"/>
            <w:vMerge/>
            <w:tcBorders>
              <w:left w:val="single" w:sz="4" w:space="0" w:color="auto"/>
              <w:right w:val="single" w:sz="4" w:space="0" w:color="auto"/>
            </w:tcBorders>
            <w:vAlign w:val="center"/>
            <w:hideMark/>
          </w:tcPr>
          <w:p w14:paraId="1355BF03" w14:textId="3E4C7133"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5B8D940E" w14:textId="77777777" w:rsidR="008C5D22" w:rsidRDefault="008C5D22" w:rsidP="002D0B1A">
            <w:pPr>
              <w:rPr>
                <w:b/>
              </w:rPr>
            </w:pPr>
            <w:r>
              <w:rPr>
                <w:b/>
              </w:rPr>
              <w:t>NORC</w:t>
            </w:r>
          </w:p>
        </w:tc>
        <w:tc>
          <w:tcPr>
            <w:tcW w:w="2160" w:type="dxa"/>
            <w:tcBorders>
              <w:top w:val="single" w:sz="4" w:space="0" w:color="auto"/>
              <w:left w:val="single" w:sz="4" w:space="0" w:color="auto"/>
              <w:bottom w:val="single" w:sz="4" w:space="0" w:color="auto"/>
              <w:right w:val="single" w:sz="4" w:space="0" w:color="auto"/>
            </w:tcBorders>
            <w:vAlign w:val="center"/>
          </w:tcPr>
          <w:p w14:paraId="6175BF3E" w14:textId="77777777" w:rsidR="008C5D22" w:rsidRDefault="008C5D22" w:rsidP="002D0B1A"/>
        </w:tc>
        <w:tc>
          <w:tcPr>
            <w:tcW w:w="3145" w:type="dxa"/>
            <w:tcBorders>
              <w:top w:val="single" w:sz="4" w:space="0" w:color="auto"/>
              <w:left w:val="single" w:sz="4" w:space="0" w:color="auto"/>
              <w:bottom w:val="single" w:sz="4" w:space="0" w:color="auto"/>
              <w:right w:val="single" w:sz="4" w:space="0" w:color="auto"/>
            </w:tcBorders>
            <w:vAlign w:val="center"/>
          </w:tcPr>
          <w:p w14:paraId="7D368569" w14:textId="77777777" w:rsidR="008C5D22" w:rsidRDefault="008C5D22" w:rsidP="002D0B1A"/>
        </w:tc>
      </w:tr>
      <w:tr w:rsidR="008C5D22" w14:paraId="235A2C42" w14:textId="77777777" w:rsidTr="00324114">
        <w:tc>
          <w:tcPr>
            <w:tcW w:w="1705" w:type="dxa"/>
            <w:vMerge/>
            <w:tcBorders>
              <w:left w:val="single" w:sz="4" w:space="0" w:color="auto"/>
              <w:right w:val="single" w:sz="4" w:space="0" w:color="auto"/>
            </w:tcBorders>
            <w:vAlign w:val="center"/>
            <w:hideMark/>
          </w:tcPr>
          <w:p w14:paraId="03D0BCBD"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79E56324" w14:textId="77777777" w:rsidR="008C5D22" w:rsidRDefault="008C5D22" w:rsidP="002D0B1A">
            <w:pPr>
              <w:ind w:firstLine="162"/>
            </w:pPr>
            <w:r>
              <w:t>Stuart Michaels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0195D07" w14:textId="203E5494" w:rsidR="008C5D22" w:rsidRPr="004B35DB" w:rsidRDefault="00055B11" w:rsidP="002D0B1A">
            <w:r>
              <w:rPr>
                <w:vertAlign w:val="superscript"/>
              </w:rPr>
              <w:t xml:space="preserve"> </w:t>
            </w:r>
            <w:r>
              <w:t>(773) 256-6236</w:t>
            </w:r>
          </w:p>
        </w:tc>
        <w:tc>
          <w:tcPr>
            <w:tcW w:w="3145" w:type="dxa"/>
            <w:tcBorders>
              <w:top w:val="single" w:sz="4" w:space="0" w:color="auto"/>
              <w:left w:val="single" w:sz="4" w:space="0" w:color="auto"/>
              <w:bottom w:val="single" w:sz="4" w:space="0" w:color="auto"/>
              <w:right w:val="single" w:sz="4" w:space="0" w:color="auto"/>
            </w:tcBorders>
            <w:vAlign w:val="center"/>
            <w:hideMark/>
          </w:tcPr>
          <w:p w14:paraId="1812C69D" w14:textId="77777777" w:rsidR="008C5D22" w:rsidRDefault="008C5D22" w:rsidP="002D0B1A">
            <w:r>
              <w:t>michaels-stuart@norc.org</w:t>
            </w:r>
          </w:p>
        </w:tc>
      </w:tr>
      <w:tr w:rsidR="008C5D22" w14:paraId="3D9C7B59" w14:textId="77777777" w:rsidTr="00324114">
        <w:tc>
          <w:tcPr>
            <w:tcW w:w="1705" w:type="dxa"/>
            <w:vMerge/>
            <w:tcBorders>
              <w:left w:val="single" w:sz="4" w:space="0" w:color="auto"/>
              <w:right w:val="single" w:sz="4" w:space="0" w:color="auto"/>
            </w:tcBorders>
            <w:vAlign w:val="center"/>
            <w:hideMark/>
          </w:tcPr>
          <w:p w14:paraId="5560B4CB"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7A04C142" w14:textId="77777777" w:rsidR="008C5D22" w:rsidRDefault="008C5D22" w:rsidP="002D0B1A">
            <w:pPr>
              <w:ind w:firstLine="162"/>
            </w:pPr>
            <w:r>
              <w:t>Sabrina Bauroth</w:t>
            </w:r>
          </w:p>
        </w:tc>
        <w:tc>
          <w:tcPr>
            <w:tcW w:w="2160" w:type="dxa"/>
            <w:tcBorders>
              <w:top w:val="single" w:sz="4" w:space="0" w:color="auto"/>
              <w:left w:val="single" w:sz="4" w:space="0" w:color="auto"/>
              <w:bottom w:val="single" w:sz="4" w:space="0" w:color="auto"/>
              <w:right w:val="single" w:sz="4" w:space="0" w:color="auto"/>
            </w:tcBorders>
            <w:hideMark/>
          </w:tcPr>
          <w:p w14:paraId="2377084D" w14:textId="123F71D5" w:rsidR="008C5D22" w:rsidRDefault="00055B11" w:rsidP="002D0B1A">
            <w:r>
              <w:t xml:space="preserve"> (312) 325-2569</w:t>
            </w:r>
          </w:p>
        </w:tc>
        <w:tc>
          <w:tcPr>
            <w:tcW w:w="3145" w:type="dxa"/>
            <w:tcBorders>
              <w:top w:val="single" w:sz="4" w:space="0" w:color="auto"/>
              <w:left w:val="single" w:sz="4" w:space="0" w:color="auto"/>
              <w:bottom w:val="single" w:sz="4" w:space="0" w:color="auto"/>
              <w:right w:val="single" w:sz="4" w:space="0" w:color="auto"/>
            </w:tcBorders>
            <w:hideMark/>
          </w:tcPr>
          <w:p w14:paraId="28862740" w14:textId="77777777" w:rsidR="008C5D22" w:rsidRDefault="008C5D22" w:rsidP="002D0B1A">
            <w:r>
              <w:t>bauroth-sabrina@norc.org</w:t>
            </w:r>
          </w:p>
        </w:tc>
      </w:tr>
      <w:tr w:rsidR="008C5D22" w14:paraId="420E0421" w14:textId="77777777" w:rsidTr="00324114">
        <w:tc>
          <w:tcPr>
            <w:tcW w:w="1705" w:type="dxa"/>
            <w:vMerge/>
            <w:tcBorders>
              <w:left w:val="single" w:sz="4" w:space="0" w:color="auto"/>
              <w:right w:val="single" w:sz="4" w:space="0" w:color="auto"/>
            </w:tcBorders>
            <w:vAlign w:val="center"/>
            <w:hideMark/>
          </w:tcPr>
          <w:p w14:paraId="3734C88B"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7EFE53B6" w14:textId="77777777" w:rsidR="008C5D22" w:rsidRDefault="008C5D22" w:rsidP="002D0B1A">
            <w:pPr>
              <w:ind w:firstLine="162"/>
            </w:pPr>
            <w:r>
              <w:t>Mike Stern</w:t>
            </w:r>
          </w:p>
        </w:tc>
        <w:tc>
          <w:tcPr>
            <w:tcW w:w="2160" w:type="dxa"/>
            <w:tcBorders>
              <w:top w:val="single" w:sz="4" w:space="0" w:color="auto"/>
              <w:left w:val="single" w:sz="4" w:space="0" w:color="auto"/>
              <w:bottom w:val="single" w:sz="4" w:space="0" w:color="auto"/>
              <w:right w:val="single" w:sz="4" w:space="0" w:color="auto"/>
            </w:tcBorders>
            <w:hideMark/>
          </w:tcPr>
          <w:p w14:paraId="7DDE5770" w14:textId="26FEB778" w:rsidR="008C5D22" w:rsidRDefault="00055B11" w:rsidP="002D0B1A">
            <w:r>
              <w:t xml:space="preserve"> (312) 357-3891</w:t>
            </w:r>
          </w:p>
        </w:tc>
        <w:tc>
          <w:tcPr>
            <w:tcW w:w="3145" w:type="dxa"/>
            <w:tcBorders>
              <w:top w:val="single" w:sz="4" w:space="0" w:color="auto"/>
              <w:left w:val="single" w:sz="4" w:space="0" w:color="auto"/>
              <w:bottom w:val="single" w:sz="4" w:space="0" w:color="auto"/>
              <w:right w:val="single" w:sz="4" w:space="0" w:color="auto"/>
            </w:tcBorders>
            <w:hideMark/>
          </w:tcPr>
          <w:p w14:paraId="55CD5A4C" w14:textId="77777777" w:rsidR="008C5D22" w:rsidRDefault="008C5D22" w:rsidP="002D0B1A">
            <w:r>
              <w:t>stern-michael@norc.org</w:t>
            </w:r>
          </w:p>
        </w:tc>
      </w:tr>
      <w:tr w:rsidR="008C5D22" w14:paraId="418538A6" w14:textId="77777777" w:rsidTr="00324114">
        <w:tc>
          <w:tcPr>
            <w:tcW w:w="1705" w:type="dxa"/>
            <w:vMerge/>
            <w:tcBorders>
              <w:left w:val="single" w:sz="4" w:space="0" w:color="auto"/>
              <w:right w:val="single" w:sz="4" w:space="0" w:color="auto"/>
            </w:tcBorders>
            <w:vAlign w:val="center"/>
            <w:hideMark/>
          </w:tcPr>
          <w:p w14:paraId="2EC13CC2"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46449EFD" w14:textId="77777777" w:rsidR="008C5D22" w:rsidRDefault="008C5D22" w:rsidP="002D0B1A">
            <w:pPr>
              <w:ind w:firstLine="162"/>
            </w:pPr>
            <w:r>
              <w:t>Melissa Heim Viox</w:t>
            </w:r>
          </w:p>
        </w:tc>
        <w:tc>
          <w:tcPr>
            <w:tcW w:w="2160" w:type="dxa"/>
            <w:tcBorders>
              <w:top w:val="single" w:sz="4" w:space="0" w:color="auto"/>
              <w:left w:val="single" w:sz="4" w:space="0" w:color="auto"/>
              <w:bottom w:val="single" w:sz="4" w:space="0" w:color="auto"/>
              <w:right w:val="single" w:sz="4" w:space="0" w:color="auto"/>
            </w:tcBorders>
            <w:hideMark/>
          </w:tcPr>
          <w:p w14:paraId="519438CF" w14:textId="77777777" w:rsidR="008C5D22" w:rsidRDefault="008C5D22" w:rsidP="002D0B1A">
            <w:r>
              <w:t>NA</w:t>
            </w:r>
          </w:p>
        </w:tc>
        <w:tc>
          <w:tcPr>
            <w:tcW w:w="3145" w:type="dxa"/>
            <w:tcBorders>
              <w:top w:val="single" w:sz="4" w:space="0" w:color="auto"/>
              <w:left w:val="single" w:sz="4" w:space="0" w:color="auto"/>
              <w:bottom w:val="single" w:sz="4" w:space="0" w:color="auto"/>
              <w:right w:val="single" w:sz="4" w:space="0" w:color="auto"/>
            </w:tcBorders>
            <w:hideMark/>
          </w:tcPr>
          <w:p w14:paraId="3E54426E" w14:textId="77777777" w:rsidR="008C5D22" w:rsidRDefault="008C5D22" w:rsidP="002D0B1A">
            <w:r>
              <w:t>heimviox-melissa@norc.org</w:t>
            </w:r>
          </w:p>
        </w:tc>
      </w:tr>
      <w:tr w:rsidR="008C5D22" w14:paraId="53489FB3" w14:textId="77777777" w:rsidTr="00324114">
        <w:tc>
          <w:tcPr>
            <w:tcW w:w="1705" w:type="dxa"/>
            <w:vMerge/>
            <w:tcBorders>
              <w:left w:val="single" w:sz="4" w:space="0" w:color="auto"/>
              <w:right w:val="single" w:sz="4" w:space="0" w:color="auto"/>
            </w:tcBorders>
            <w:vAlign w:val="center"/>
            <w:hideMark/>
          </w:tcPr>
          <w:p w14:paraId="2EDB051C"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235FBD9E" w14:textId="77777777" w:rsidR="008C5D22" w:rsidRDefault="008C5D22" w:rsidP="002D0B1A">
            <w:pPr>
              <w:ind w:firstLine="162"/>
            </w:pPr>
            <w:r>
              <w:t>Ipek Bilgen</w:t>
            </w:r>
          </w:p>
        </w:tc>
        <w:tc>
          <w:tcPr>
            <w:tcW w:w="2160" w:type="dxa"/>
            <w:tcBorders>
              <w:top w:val="single" w:sz="4" w:space="0" w:color="auto"/>
              <w:left w:val="single" w:sz="4" w:space="0" w:color="auto"/>
              <w:bottom w:val="single" w:sz="4" w:space="0" w:color="auto"/>
              <w:right w:val="single" w:sz="4" w:space="0" w:color="auto"/>
            </w:tcBorders>
            <w:hideMark/>
          </w:tcPr>
          <w:p w14:paraId="2AFA23F3" w14:textId="77777777" w:rsidR="008C5D22" w:rsidRDefault="008C5D22" w:rsidP="002D0B1A">
            <w:r>
              <w:t>NA</w:t>
            </w:r>
          </w:p>
        </w:tc>
        <w:tc>
          <w:tcPr>
            <w:tcW w:w="3145" w:type="dxa"/>
            <w:tcBorders>
              <w:top w:val="single" w:sz="4" w:space="0" w:color="auto"/>
              <w:left w:val="single" w:sz="4" w:space="0" w:color="auto"/>
              <w:bottom w:val="single" w:sz="4" w:space="0" w:color="auto"/>
              <w:right w:val="single" w:sz="4" w:space="0" w:color="auto"/>
            </w:tcBorders>
            <w:hideMark/>
          </w:tcPr>
          <w:p w14:paraId="5941FB0A" w14:textId="77777777" w:rsidR="008C5D22" w:rsidRDefault="008C5D22" w:rsidP="002D0B1A">
            <w:r>
              <w:t>bilgen-ipek@norc.org</w:t>
            </w:r>
          </w:p>
        </w:tc>
      </w:tr>
      <w:tr w:rsidR="008C5D22" w14:paraId="62D3EDC3" w14:textId="77777777" w:rsidTr="00324114">
        <w:tc>
          <w:tcPr>
            <w:tcW w:w="1705" w:type="dxa"/>
            <w:vMerge/>
            <w:tcBorders>
              <w:left w:val="single" w:sz="4" w:space="0" w:color="auto"/>
              <w:right w:val="single" w:sz="4" w:space="0" w:color="auto"/>
            </w:tcBorders>
            <w:vAlign w:val="center"/>
            <w:hideMark/>
          </w:tcPr>
          <w:p w14:paraId="2423738A"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7F1442FB" w14:textId="77777777" w:rsidR="008C5D22" w:rsidRDefault="008C5D22" w:rsidP="002D0B1A">
            <w:pPr>
              <w:ind w:firstLine="162"/>
            </w:pPr>
            <w:r>
              <w:t>Erin Fordyce</w:t>
            </w:r>
          </w:p>
        </w:tc>
        <w:tc>
          <w:tcPr>
            <w:tcW w:w="2160" w:type="dxa"/>
            <w:tcBorders>
              <w:top w:val="single" w:sz="4" w:space="0" w:color="auto"/>
              <w:left w:val="single" w:sz="4" w:space="0" w:color="auto"/>
              <w:bottom w:val="single" w:sz="4" w:space="0" w:color="auto"/>
              <w:right w:val="single" w:sz="4" w:space="0" w:color="auto"/>
            </w:tcBorders>
            <w:hideMark/>
          </w:tcPr>
          <w:p w14:paraId="475A8CD2" w14:textId="77777777" w:rsidR="008C5D22" w:rsidRDefault="008C5D22" w:rsidP="002D0B1A">
            <w:r>
              <w:t>NA</w:t>
            </w:r>
          </w:p>
        </w:tc>
        <w:tc>
          <w:tcPr>
            <w:tcW w:w="3145" w:type="dxa"/>
            <w:tcBorders>
              <w:top w:val="single" w:sz="4" w:space="0" w:color="auto"/>
              <w:left w:val="single" w:sz="4" w:space="0" w:color="auto"/>
              <w:bottom w:val="single" w:sz="4" w:space="0" w:color="auto"/>
              <w:right w:val="single" w:sz="4" w:space="0" w:color="auto"/>
            </w:tcBorders>
            <w:hideMark/>
          </w:tcPr>
          <w:p w14:paraId="77D93505" w14:textId="77777777" w:rsidR="008C5D22" w:rsidRDefault="008C5D22" w:rsidP="002D0B1A">
            <w:r>
              <w:t>fordyce-erin@norc.org</w:t>
            </w:r>
          </w:p>
        </w:tc>
      </w:tr>
      <w:tr w:rsidR="008C5D22" w14:paraId="2DD3422E" w14:textId="77777777" w:rsidTr="00324114">
        <w:tc>
          <w:tcPr>
            <w:tcW w:w="1705" w:type="dxa"/>
            <w:vMerge/>
            <w:tcBorders>
              <w:left w:val="single" w:sz="4" w:space="0" w:color="auto"/>
              <w:right w:val="single" w:sz="4" w:space="0" w:color="auto"/>
            </w:tcBorders>
            <w:vAlign w:val="center"/>
            <w:hideMark/>
          </w:tcPr>
          <w:p w14:paraId="784407C4"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64EAE409" w14:textId="77777777" w:rsidR="008C5D22" w:rsidRDefault="008C5D22" w:rsidP="002D0B1A">
            <w:pPr>
              <w:rPr>
                <w:b/>
              </w:rPr>
            </w:pPr>
            <w:r>
              <w:rPr>
                <w:b/>
              </w:rPr>
              <w:t>CDC</w:t>
            </w:r>
          </w:p>
        </w:tc>
        <w:tc>
          <w:tcPr>
            <w:tcW w:w="2160" w:type="dxa"/>
            <w:tcBorders>
              <w:top w:val="single" w:sz="4" w:space="0" w:color="auto"/>
              <w:left w:val="single" w:sz="4" w:space="0" w:color="auto"/>
              <w:bottom w:val="single" w:sz="4" w:space="0" w:color="auto"/>
              <w:right w:val="single" w:sz="4" w:space="0" w:color="auto"/>
            </w:tcBorders>
            <w:vAlign w:val="center"/>
          </w:tcPr>
          <w:p w14:paraId="223B1499" w14:textId="77777777" w:rsidR="008C5D22" w:rsidRDefault="008C5D22" w:rsidP="002D0B1A"/>
        </w:tc>
        <w:tc>
          <w:tcPr>
            <w:tcW w:w="3145" w:type="dxa"/>
            <w:tcBorders>
              <w:top w:val="single" w:sz="4" w:space="0" w:color="auto"/>
              <w:left w:val="single" w:sz="4" w:space="0" w:color="auto"/>
              <w:bottom w:val="single" w:sz="4" w:space="0" w:color="auto"/>
              <w:right w:val="single" w:sz="4" w:space="0" w:color="auto"/>
            </w:tcBorders>
            <w:vAlign w:val="center"/>
          </w:tcPr>
          <w:p w14:paraId="4F91F790" w14:textId="77777777" w:rsidR="008C5D22" w:rsidRDefault="008C5D22" w:rsidP="002D0B1A"/>
        </w:tc>
      </w:tr>
      <w:tr w:rsidR="008C5D22" w14:paraId="30FEFCDD" w14:textId="77777777" w:rsidTr="00324114">
        <w:tc>
          <w:tcPr>
            <w:tcW w:w="1705" w:type="dxa"/>
            <w:vMerge/>
            <w:tcBorders>
              <w:left w:val="single" w:sz="4" w:space="0" w:color="auto"/>
              <w:right w:val="single" w:sz="4" w:space="0" w:color="auto"/>
            </w:tcBorders>
            <w:vAlign w:val="center"/>
            <w:hideMark/>
          </w:tcPr>
          <w:p w14:paraId="1C9EA3A6"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0CF8CEFB" w14:textId="15C5778C" w:rsidR="008C5D22" w:rsidRDefault="008C5D22" w:rsidP="002D0B1A">
            <w:pPr>
              <w:ind w:firstLine="162"/>
            </w:pPr>
            <w:r>
              <w:t>Rich</w:t>
            </w:r>
            <w:r w:rsidR="009E35D6">
              <w:t>ard</w:t>
            </w:r>
            <w:r>
              <w:t xml:space="preserve"> Dunville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0292516" w14:textId="77777777" w:rsidR="008C5D22" w:rsidRDefault="008C5D22" w:rsidP="002D0B1A">
            <w:r>
              <w:t>404-769-3290</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58095C9" w14:textId="77777777" w:rsidR="008C5D22" w:rsidRDefault="008C5D22" w:rsidP="002D0B1A">
            <w:r>
              <w:t>dgo2@cdc.gov</w:t>
            </w:r>
          </w:p>
        </w:tc>
      </w:tr>
      <w:tr w:rsidR="008C5D22" w14:paraId="0D7550E3" w14:textId="77777777" w:rsidTr="00324114">
        <w:tc>
          <w:tcPr>
            <w:tcW w:w="1705" w:type="dxa"/>
            <w:vMerge/>
            <w:tcBorders>
              <w:left w:val="single" w:sz="4" w:space="0" w:color="auto"/>
              <w:right w:val="single" w:sz="4" w:space="0" w:color="auto"/>
            </w:tcBorders>
            <w:vAlign w:val="center"/>
            <w:hideMark/>
          </w:tcPr>
          <w:p w14:paraId="413770A5"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06E932ED" w14:textId="77777777" w:rsidR="008C5D22" w:rsidRDefault="008C5D22" w:rsidP="002D0B1A">
            <w:pPr>
              <w:ind w:firstLine="162"/>
            </w:pPr>
            <w:r>
              <w:t>Chris Harper</w:t>
            </w:r>
          </w:p>
        </w:tc>
        <w:tc>
          <w:tcPr>
            <w:tcW w:w="2160" w:type="dxa"/>
            <w:tcBorders>
              <w:top w:val="single" w:sz="4" w:space="0" w:color="auto"/>
              <w:left w:val="single" w:sz="4" w:space="0" w:color="auto"/>
              <w:bottom w:val="single" w:sz="4" w:space="0" w:color="auto"/>
              <w:right w:val="single" w:sz="4" w:space="0" w:color="auto"/>
            </w:tcBorders>
            <w:vAlign w:val="center"/>
          </w:tcPr>
          <w:p w14:paraId="3B535E6D" w14:textId="13F63169" w:rsidR="008C5D22" w:rsidRDefault="00701182" w:rsidP="002D0B1A">
            <w:r>
              <w:t>NA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85A5B82" w14:textId="77777777" w:rsidR="008C5D22" w:rsidRDefault="008C5D22" w:rsidP="002D0B1A">
            <w:r>
              <w:t>xgj4@cdc.gov</w:t>
            </w:r>
          </w:p>
        </w:tc>
      </w:tr>
      <w:tr w:rsidR="008C5D22" w14:paraId="76D12CB1" w14:textId="77777777" w:rsidTr="00324114">
        <w:tc>
          <w:tcPr>
            <w:tcW w:w="1705" w:type="dxa"/>
            <w:vMerge/>
            <w:tcBorders>
              <w:left w:val="single" w:sz="4" w:space="0" w:color="auto"/>
              <w:bottom w:val="single" w:sz="4" w:space="0" w:color="auto"/>
              <w:right w:val="single" w:sz="4" w:space="0" w:color="auto"/>
            </w:tcBorders>
            <w:vAlign w:val="center"/>
            <w:hideMark/>
          </w:tcPr>
          <w:p w14:paraId="68ACD2F4" w14:textId="77777777" w:rsidR="008C5D22" w:rsidRDefault="008C5D22"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4925C736" w14:textId="77777777" w:rsidR="008C5D22" w:rsidRDefault="008C5D22" w:rsidP="002D0B1A">
            <w:pPr>
              <w:ind w:firstLine="162"/>
            </w:pPr>
            <w:r>
              <w:t>Michelle Johns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9584406" w14:textId="77777777" w:rsidR="008C5D22" w:rsidRDefault="008C5D22" w:rsidP="002D0B1A">
            <w:r>
              <w:t>404-718-8858</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A36791D" w14:textId="77777777" w:rsidR="008C5D22" w:rsidRDefault="008C5D22" w:rsidP="002D0B1A">
            <w:r>
              <w:t>yrm9@cdc.gov</w:t>
            </w:r>
          </w:p>
        </w:tc>
      </w:tr>
      <w:tr w:rsidR="00335073" w14:paraId="30D0C784" w14:textId="77777777" w:rsidTr="00604FDE">
        <w:tc>
          <w:tcPr>
            <w:tcW w:w="1705" w:type="dxa"/>
            <w:vMerge w:val="restart"/>
            <w:tcBorders>
              <w:top w:val="single" w:sz="4" w:space="0" w:color="auto"/>
              <w:left w:val="single" w:sz="4" w:space="0" w:color="auto"/>
              <w:right w:val="single" w:sz="4" w:space="0" w:color="auto"/>
            </w:tcBorders>
            <w:vAlign w:val="center"/>
            <w:hideMark/>
          </w:tcPr>
          <w:p w14:paraId="51AC765D" w14:textId="77777777" w:rsidR="00335073" w:rsidRDefault="00335073" w:rsidP="002D0B1A">
            <w:r>
              <w:t>Research Advisors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45B58F" w14:textId="77777777" w:rsidR="00335073" w:rsidRDefault="00335073" w:rsidP="002D0B1A">
            <w:r>
              <w:t>Leandro Mena</w:t>
            </w:r>
          </w:p>
        </w:tc>
        <w:tc>
          <w:tcPr>
            <w:tcW w:w="2160" w:type="dxa"/>
            <w:tcBorders>
              <w:top w:val="single" w:sz="4" w:space="0" w:color="auto"/>
              <w:left w:val="single" w:sz="4" w:space="0" w:color="auto"/>
              <w:bottom w:val="single" w:sz="4" w:space="0" w:color="auto"/>
              <w:right w:val="single" w:sz="4" w:space="0" w:color="auto"/>
            </w:tcBorders>
            <w:hideMark/>
          </w:tcPr>
          <w:p w14:paraId="6D531EBD" w14:textId="14D14E30" w:rsidR="00335073" w:rsidRDefault="00055B11" w:rsidP="002D0B1A">
            <w:r>
              <w:t xml:space="preserve"> (601) 984-5560</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8CF392A" w14:textId="77777777" w:rsidR="00335073" w:rsidRDefault="00335073" w:rsidP="002D0B1A">
            <w:r>
              <w:t>lmena@umc.edu</w:t>
            </w:r>
          </w:p>
        </w:tc>
      </w:tr>
      <w:tr w:rsidR="00335073" w14:paraId="61CD695A" w14:textId="77777777" w:rsidTr="00604FDE">
        <w:tc>
          <w:tcPr>
            <w:tcW w:w="1705" w:type="dxa"/>
            <w:vMerge/>
            <w:tcBorders>
              <w:left w:val="single" w:sz="4" w:space="0" w:color="auto"/>
              <w:right w:val="single" w:sz="4" w:space="0" w:color="auto"/>
            </w:tcBorders>
            <w:vAlign w:val="center"/>
            <w:hideMark/>
          </w:tcPr>
          <w:p w14:paraId="5482E2D3" w14:textId="77777777" w:rsidR="00335073" w:rsidRDefault="00335073"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3C44AA9E" w14:textId="77777777" w:rsidR="00335073" w:rsidRDefault="00335073" w:rsidP="002D0B1A">
            <w:r>
              <w:t>Patrick Wilson</w:t>
            </w:r>
          </w:p>
        </w:tc>
        <w:tc>
          <w:tcPr>
            <w:tcW w:w="2160" w:type="dxa"/>
            <w:tcBorders>
              <w:top w:val="single" w:sz="4" w:space="0" w:color="auto"/>
              <w:left w:val="single" w:sz="4" w:space="0" w:color="auto"/>
              <w:bottom w:val="single" w:sz="4" w:space="0" w:color="auto"/>
              <w:right w:val="single" w:sz="4" w:space="0" w:color="auto"/>
            </w:tcBorders>
            <w:hideMark/>
          </w:tcPr>
          <w:p w14:paraId="315253CE" w14:textId="3CB147E0" w:rsidR="00335073" w:rsidRDefault="00055B11" w:rsidP="002D0B1A">
            <w:r>
              <w:t xml:space="preserve"> (212) 305-1852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E65C899" w14:textId="77777777" w:rsidR="00335073" w:rsidRDefault="00335073" w:rsidP="002D0B1A">
            <w:r>
              <w:t>pw2219@cumc.columbia.edu</w:t>
            </w:r>
          </w:p>
        </w:tc>
      </w:tr>
      <w:tr w:rsidR="00335073" w14:paraId="056C4092" w14:textId="77777777" w:rsidTr="00604FDE">
        <w:tc>
          <w:tcPr>
            <w:tcW w:w="1705" w:type="dxa"/>
            <w:vMerge/>
            <w:tcBorders>
              <w:left w:val="single" w:sz="4" w:space="0" w:color="auto"/>
              <w:right w:val="single" w:sz="4" w:space="0" w:color="auto"/>
            </w:tcBorders>
            <w:vAlign w:val="center"/>
            <w:hideMark/>
          </w:tcPr>
          <w:p w14:paraId="204F7E62" w14:textId="77777777" w:rsidR="00335073" w:rsidRDefault="00335073"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24B04387" w14:textId="77777777" w:rsidR="00335073" w:rsidRDefault="00335073" w:rsidP="002D0B1A">
            <w:r>
              <w:t>Eszter Hargittai</w:t>
            </w:r>
          </w:p>
        </w:tc>
        <w:tc>
          <w:tcPr>
            <w:tcW w:w="2160" w:type="dxa"/>
            <w:tcBorders>
              <w:top w:val="single" w:sz="4" w:space="0" w:color="auto"/>
              <w:left w:val="single" w:sz="4" w:space="0" w:color="auto"/>
              <w:bottom w:val="single" w:sz="4" w:space="0" w:color="auto"/>
              <w:right w:val="single" w:sz="4" w:space="0" w:color="auto"/>
            </w:tcBorders>
            <w:hideMark/>
          </w:tcPr>
          <w:p w14:paraId="191B684A" w14:textId="781F3E4E" w:rsidR="00335073" w:rsidRDefault="00055B11" w:rsidP="002D0B1A">
            <w:r>
              <w:t xml:space="preserve"> (847) 467-4681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4B7C94FB" w14:textId="77777777" w:rsidR="00335073" w:rsidRDefault="00335073" w:rsidP="002D0B1A">
            <w:r>
              <w:t>hargittai@gmail.com</w:t>
            </w:r>
          </w:p>
        </w:tc>
      </w:tr>
      <w:tr w:rsidR="00335073" w14:paraId="6F8A58A2" w14:textId="77777777" w:rsidTr="00604FDE">
        <w:trPr>
          <w:trHeight w:val="70"/>
        </w:trPr>
        <w:tc>
          <w:tcPr>
            <w:tcW w:w="1705" w:type="dxa"/>
            <w:vMerge/>
            <w:tcBorders>
              <w:left w:val="single" w:sz="4" w:space="0" w:color="auto"/>
              <w:right w:val="single" w:sz="4" w:space="0" w:color="auto"/>
            </w:tcBorders>
            <w:vAlign w:val="center"/>
            <w:hideMark/>
          </w:tcPr>
          <w:p w14:paraId="24F5DD49" w14:textId="77777777" w:rsidR="00335073" w:rsidRDefault="00335073" w:rsidP="002D0B1A"/>
        </w:tc>
        <w:tc>
          <w:tcPr>
            <w:tcW w:w="2340" w:type="dxa"/>
            <w:tcBorders>
              <w:top w:val="single" w:sz="4" w:space="0" w:color="auto"/>
              <w:left w:val="single" w:sz="4" w:space="0" w:color="auto"/>
              <w:bottom w:val="single" w:sz="4" w:space="0" w:color="auto"/>
              <w:right w:val="single" w:sz="4" w:space="0" w:color="auto"/>
            </w:tcBorders>
            <w:vAlign w:val="center"/>
            <w:hideMark/>
          </w:tcPr>
          <w:p w14:paraId="0736EE7F" w14:textId="77777777" w:rsidR="00335073" w:rsidRDefault="00335073" w:rsidP="002D0B1A">
            <w:r>
              <w:t>Brian Mustanski</w:t>
            </w:r>
          </w:p>
        </w:tc>
        <w:tc>
          <w:tcPr>
            <w:tcW w:w="2160" w:type="dxa"/>
            <w:tcBorders>
              <w:top w:val="single" w:sz="4" w:space="0" w:color="auto"/>
              <w:left w:val="single" w:sz="4" w:space="0" w:color="auto"/>
              <w:bottom w:val="single" w:sz="4" w:space="0" w:color="auto"/>
              <w:right w:val="single" w:sz="4" w:space="0" w:color="auto"/>
            </w:tcBorders>
            <w:hideMark/>
          </w:tcPr>
          <w:p w14:paraId="616841B8" w14:textId="61A61FAF" w:rsidR="00335073" w:rsidRDefault="00055B11" w:rsidP="002D0B1A">
            <w:r>
              <w:t xml:space="preserve"> (312) 503-5421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77AE29E6" w14:textId="77777777" w:rsidR="00335073" w:rsidRDefault="00335073" w:rsidP="002D0B1A">
            <w:r>
              <w:t>brian@northwestern.edu</w:t>
            </w:r>
          </w:p>
        </w:tc>
      </w:tr>
      <w:tr w:rsidR="00335073" w14:paraId="31A1608C" w14:textId="77777777" w:rsidTr="00604FDE">
        <w:trPr>
          <w:trHeight w:val="70"/>
        </w:trPr>
        <w:tc>
          <w:tcPr>
            <w:tcW w:w="1705" w:type="dxa"/>
            <w:vMerge/>
            <w:tcBorders>
              <w:left w:val="single" w:sz="4" w:space="0" w:color="auto"/>
              <w:bottom w:val="single" w:sz="4" w:space="0" w:color="auto"/>
              <w:right w:val="single" w:sz="4" w:space="0" w:color="auto"/>
            </w:tcBorders>
            <w:vAlign w:val="center"/>
          </w:tcPr>
          <w:p w14:paraId="0B0B0D31" w14:textId="77777777" w:rsidR="00335073" w:rsidRDefault="00335073" w:rsidP="00335073"/>
        </w:tc>
        <w:tc>
          <w:tcPr>
            <w:tcW w:w="2340" w:type="dxa"/>
            <w:tcBorders>
              <w:top w:val="single" w:sz="4" w:space="0" w:color="auto"/>
              <w:left w:val="single" w:sz="4" w:space="0" w:color="auto"/>
              <w:bottom w:val="single" w:sz="4" w:space="0" w:color="auto"/>
              <w:right w:val="single" w:sz="4" w:space="0" w:color="auto"/>
            </w:tcBorders>
            <w:vAlign w:val="bottom"/>
          </w:tcPr>
          <w:p w14:paraId="4205C121" w14:textId="701EAC79" w:rsidR="00335073" w:rsidRDefault="00335073" w:rsidP="00335073">
            <w:r>
              <w:rPr>
                <w:color w:val="000000"/>
              </w:rPr>
              <w:t>Sari Reisner</w:t>
            </w:r>
          </w:p>
        </w:tc>
        <w:tc>
          <w:tcPr>
            <w:tcW w:w="2160" w:type="dxa"/>
            <w:tcBorders>
              <w:top w:val="single" w:sz="4" w:space="0" w:color="auto"/>
              <w:left w:val="single" w:sz="4" w:space="0" w:color="auto"/>
              <w:bottom w:val="single" w:sz="4" w:space="0" w:color="auto"/>
              <w:right w:val="single" w:sz="4" w:space="0" w:color="auto"/>
            </w:tcBorders>
          </w:tcPr>
          <w:p w14:paraId="71CEEEE5" w14:textId="3D1A6566" w:rsidR="00335073" w:rsidRDefault="00511701" w:rsidP="00335073">
            <w:r>
              <w:t xml:space="preserve"> (617) 927-6017</w:t>
            </w:r>
          </w:p>
        </w:tc>
        <w:tc>
          <w:tcPr>
            <w:tcW w:w="3145" w:type="dxa"/>
            <w:tcBorders>
              <w:top w:val="single" w:sz="4" w:space="0" w:color="auto"/>
              <w:left w:val="single" w:sz="4" w:space="0" w:color="auto"/>
              <w:bottom w:val="single" w:sz="4" w:space="0" w:color="auto"/>
              <w:right w:val="single" w:sz="4" w:space="0" w:color="auto"/>
            </w:tcBorders>
          </w:tcPr>
          <w:p w14:paraId="2AAFB437" w14:textId="121B43B3" w:rsidR="00335073" w:rsidRDefault="00335073" w:rsidP="00335073">
            <w:r>
              <w:t>sreisner@fenwayhealth.org</w:t>
            </w:r>
          </w:p>
        </w:tc>
      </w:tr>
    </w:tbl>
    <w:p w14:paraId="29773743" w14:textId="4BB485C7" w:rsidR="00492385" w:rsidRDefault="00492385" w:rsidP="00492385">
      <w:r>
        <w:rPr>
          <w:vertAlign w:val="superscript"/>
        </w:rPr>
        <w:t>*</w:t>
      </w:r>
      <w:r>
        <w:t>Not Available (NA)</w:t>
      </w:r>
    </w:p>
    <w:bookmarkEnd w:id="13"/>
    <w:p w14:paraId="5D8FDB48" w14:textId="77777777" w:rsidR="00492385" w:rsidRDefault="00492385" w:rsidP="00492385"/>
    <w:p w14:paraId="72DC401B" w14:textId="77777777" w:rsidR="009F7742" w:rsidRDefault="004F06E5"/>
    <w:sectPr w:rsidR="009F7742" w:rsidSect="008305A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FD613" w14:textId="77777777" w:rsidR="004B0304" w:rsidRDefault="004B0304" w:rsidP="008305A4">
      <w:r>
        <w:separator/>
      </w:r>
    </w:p>
  </w:endnote>
  <w:endnote w:type="continuationSeparator" w:id="0">
    <w:p w14:paraId="59435B37" w14:textId="77777777" w:rsidR="004B0304" w:rsidRDefault="004B0304" w:rsidP="0083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88963"/>
      <w:docPartObj>
        <w:docPartGallery w:val="Page Numbers (Bottom of Page)"/>
        <w:docPartUnique/>
      </w:docPartObj>
    </w:sdtPr>
    <w:sdtEndPr>
      <w:rPr>
        <w:noProof/>
      </w:rPr>
    </w:sdtEndPr>
    <w:sdtContent>
      <w:p w14:paraId="1E91DA64" w14:textId="697E75E5" w:rsidR="008305A4" w:rsidRDefault="008305A4">
        <w:pPr>
          <w:pStyle w:val="Footer"/>
          <w:jc w:val="center"/>
        </w:pPr>
        <w:r>
          <w:fldChar w:fldCharType="begin"/>
        </w:r>
        <w:r>
          <w:instrText xml:space="preserve"> PAGE   \* MERGEFORMAT </w:instrText>
        </w:r>
        <w:r>
          <w:fldChar w:fldCharType="separate"/>
        </w:r>
        <w:r w:rsidR="004F06E5">
          <w:rPr>
            <w:noProof/>
          </w:rPr>
          <w:t>i</w:t>
        </w:r>
        <w:r>
          <w:rPr>
            <w:noProof/>
          </w:rPr>
          <w:fldChar w:fldCharType="end"/>
        </w:r>
      </w:p>
    </w:sdtContent>
  </w:sdt>
  <w:p w14:paraId="0FAA796C" w14:textId="77777777" w:rsidR="008305A4" w:rsidRDefault="00830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A250" w14:textId="77777777" w:rsidR="004B0304" w:rsidRDefault="004B0304" w:rsidP="008305A4">
      <w:r>
        <w:separator/>
      </w:r>
    </w:p>
  </w:footnote>
  <w:footnote w:type="continuationSeparator" w:id="0">
    <w:p w14:paraId="36A81863" w14:textId="77777777" w:rsidR="004B0304" w:rsidRDefault="004B0304" w:rsidP="00830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3DE5"/>
    <w:multiLevelType w:val="hybridMultilevel"/>
    <w:tmpl w:val="812E1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FB7372"/>
    <w:multiLevelType w:val="hybridMultilevel"/>
    <w:tmpl w:val="36001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A91830"/>
    <w:multiLevelType w:val="hybridMultilevel"/>
    <w:tmpl w:val="4D86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C2D76FF"/>
    <w:multiLevelType w:val="hybridMultilevel"/>
    <w:tmpl w:val="E380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7F7909"/>
    <w:multiLevelType w:val="hybridMultilevel"/>
    <w:tmpl w:val="37C02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B996298"/>
    <w:multiLevelType w:val="hybridMultilevel"/>
    <w:tmpl w:val="A8C4EF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E30147"/>
    <w:multiLevelType w:val="hybridMultilevel"/>
    <w:tmpl w:val="5C7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607B5"/>
    <w:multiLevelType w:val="hybridMultilevel"/>
    <w:tmpl w:val="A4D2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C3B30"/>
    <w:multiLevelType w:val="hybridMultilevel"/>
    <w:tmpl w:val="2844445A"/>
    <w:lvl w:ilvl="0" w:tplc="0409000F">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662B5390"/>
    <w:multiLevelType w:val="hybridMultilevel"/>
    <w:tmpl w:val="776494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84DFC"/>
    <w:multiLevelType w:val="hybridMultilevel"/>
    <w:tmpl w:val="0CDCC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10"/>
  </w:num>
  <w:num w:numId="7">
    <w:abstractNumId w:val="3"/>
  </w:num>
  <w:num w:numId="8">
    <w:abstractNumId w:val="5"/>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yMzMzMTA2MzcwtjBW0lEKTi0uzszPAymwqAUApJWQiSwAAAA="/>
  </w:docVars>
  <w:rsids>
    <w:rsidRoot w:val="00492385"/>
    <w:rsid w:val="0004656A"/>
    <w:rsid w:val="00055B11"/>
    <w:rsid w:val="000B57C1"/>
    <w:rsid w:val="000C19FE"/>
    <w:rsid w:val="00154942"/>
    <w:rsid w:val="00170146"/>
    <w:rsid w:val="001B2F08"/>
    <w:rsid w:val="001C7840"/>
    <w:rsid w:val="002834A1"/>
    <w:rsid w:val="002D0B1A"/>
    <w:rsid w:val="00335073"/>
    <w:rsid w:val="00361264"/>
    <w:rsid w:val="00492385"/>
    <w:rsid w:val="004B0304"/>
    <w:rsid w:val="004B32D0"/>
    <w:rsid w:val="004B35DB"/>
    <w:rsid w:val="004F06E5"/>
    <w:rsid w:val="00511701"/>
    <w:rsid w:val="005129C4"/>
    <w:rsid w:val="00523916"/>
    <w:rsid w:val="005447FA"/>
    <w:rsid w:val="00575341"/>
    <w:rsid w:val="00592179"/>
    <w:rsid w:val="005A3DDE"/>
    <w:rsid w:val="005B1567"/>
    <w:rsid w:val="006230C5"/>
    <w:rsid w:val="006604C2"/>
    <w:rsid w:val="00701182"/>
    <w:rsid w:val="00711111"/>
    <w:rsid w:val="00747F4C"/>
    <w:rsid w:val="0076221E"/>
    <w:rsid w:val="007865E4"/>
    <w:rsid w:val="007A6D9E"/>
    <w:rsid w:val="007C0195"/>
    <w:rsid w:val="008174D7"/>
    <w:rsid w:val="008305A4"/>
    <w:rsid w:val="0084600B"/>
    <w:rsid w:val="00853320"/>
    <w:rsid w:val="0087424C"/>
    <w:rsid w:val="00893549"/>
    <w:rsid w:val="00893959"/>
    <w:rsid w:val="008C0735"/>
    <w:rsid w:val="008C3475"/>
    <w:rsid w:val="008C5D22"/>
    <w:rsid w:val="00930F0F"/>
    <w:rsid w:val="00954778"/>
    <w:rsid w:val="00982C6E"/>
    <w:rsid w:val="009A6EEA"/>
    <w:rsid w:val="009B47B6"/>
    <w:rsid w:val="009E35D6"/>
    <w:rsid w:val="009F4A03"/>
    <w:rsid w:val="00A050D8"/>
    <w:rsid w:val="00A12356"/>
    <w:rsid w:val="00A40005"/>
    <w:rsid w:val="00A7299B"/>
    <w:rsid w:val="00AF661A"/>
    <w:rsid w:val="00B2719E"/>
    <w:rsid w:val="00B32134"/>
    <w:rsid w:val="00BA37FD"/>
    <w:rsid w:val="00BA7883"/>
    <w:rsid w:val="00BC3BE0"/>
    <w:rsid w:val="00C11E6F"/>
    <w:rsid w:val="00C30126"/>
    <w:rsid w:val="00C31328"/>
    <w:rsid w:val="00C5569B"/>
    <w:rsid w:val="00C566E7"/>
    <w:rsid w:val="00C63053"/>
    <w:rsid w:val="00C72F81"/>
    <w:rsid w:val="00CE0945"/>
    <w:rsid w:val="00CE470E"/>
    <w:rsid w:val="00D07799"/>
    <w:rsid w:val="00D375CE"/>
    <w:rsid w:val="00D77B8C"/>
    <w:rsid w:val="00DF1004"/>
    <w:rsid w:val="00E3732C"/>
    <w:rsid w:val="00E41FF9"/>
    <w:rsid w:val="00E64EF1"/>
    <w:rsid w:val="00E835B2"/>
    <w:rsid w:val="00EE646E"/>
    <w:rsid w:val="00F0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8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unhideWhenUsed/>
    <w:qFormat/>
    <w:rsid w:val="004923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5A3D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92385"/>
    <w:rPr>
      <w:rFonts w:ascii="Arial" w:eastAsia="Times New Roman" w:hAnsi="Arial" w:cs="Arial"/>
      <w:b/>
      <w:bCs/>
      <w:i/>
      <w:iCs/>
      <w:sz w:val="28"/>
      <w:szCs w:val="28"/>
    </w:rPr>
  </w:style>
  <w:style w:type="character" w:styleId="Hyperlink">
    <w:name w:val="Hyperlink"/>
    <w:uiPriority w:val="99"/>
    <w:unhideWhenUsed/>
    <w:rsid w:val="00492385"/>
    <w:rPr>
      <w:rFonts w:ascii="Times New Roman" w:hAnsi="Times New Roman" w:cs="Times New Roman" w:hint="default"/>
      <w:color w:val="0000FF"/>
      <w:u w:val="single"/>
    </w:rPr>
  </w:style>
  <w:style w:type="paragraph" w:styleId="TOC2">
    <w:name w:val="toc 2"/>
    <w:basedOn w:val="Normal"/>
    <w:next w:val="Normal"/>
    <w:autoRedefine/>
    <w:uiPriority w:val="39"/>
    <w:unhideWhenUsed/>
    <w:rsid w:val="00492385"/>
    <w:pPr>
      <w:tabs>
        <w:tab w:val="left" w:pos="720"/>
        <w:tab w:val="right" w:leader="dot" w:pos="9350"/>
      </w:tabs>
      <w:ind w:left="720" w:hanging="480"/>
    </w:pPr>
  </w:style>
  <w:style w:type="paragraph" w:styleId="CommentText">
    <w:name w:val="annotation text"/>
    <w:basedOn w:val="Normal"/>
    <w:link w:val="CommentTextChar"/>
    <w:uiPriority w:val="99"/>
    <w:unhideWhenUsed/>
    <w:rsid w:val="00492385"/>
    <w:rPr>
      <w:sz w:val="20"/>
      <w:szCs w:val="20"/>
      <w:lang w:val="x-none" w:eastAsia="x-none"/>
    </w:rPr>
  </w:style>
  <w:style w:type="character" w:customStyle="1" w:styleId="CommentTextChar">
    <w:name w:val="Comment Text Char"/>
    <w:basedOn w:val="DefaultParagraphFont"/>
    <w:link w:val="CommentText"/>
    <w:uiPriority w:val="99"/>
    <w:rsid w:val="00492385"/>
    <w:rPr>
      <w:rFonts w:ascii="Times New Roman" w:eastAsia="Times New Roman" w:hAnsi="Times New Roman" w:cs="Times New Roman"/>
      <w:sz w:val="20"/>
      <w:szCs w:val="20"/>
      <w:lang w:val="x-none" w:eastAsia="x-none"/>
    </w:rPr>
  </w:style>
  <w:style w:type="character" w:customStyle="1" w:styleId="ListParagraphChar">
    <w:name w:val="List Paragraph Char"/>
    <w:link w:val="ListParagraph"/>
    <w:uiPriority w:val="34"/>
    <w:locked/>
    <w:rsid w:val="00492385"/>
    <w:rPr>
      <w:rFonts w:ascii="Calibri" w:hAnsi="Calibri"/>
      <w:lang w:val="x-none" w:eastAsia="x-none"/>
    </w:rPr>
  </w:style>
  <w:style w:type="paragraph" w:styleId="ListParagraph">
    <w:name w:val="List Paragraph"/>
    <w:basedOn w:val="Normal"/>
    <w:link w:val="ListParagraphChar"/>
    <w:uiPriority w:val="34"/>
    <w:qFormat/>
    <w:rsid w:val="00492385"/>
    <w:pPr>
      <w:spacing w:after="200" w:line="276" w:lineRule="auto"/>
      <w:ind w:left="720"/>
      <w:contextualSpacing/>
    </w:pPr>
    <w:rPr>
      <w:rFonts w:ascii="Calibri" w:eastAsiaTheme="minorHAnsi" w:hAnsi="Calibri" w:cstheme="minorBidi"/>
      <w:sz w:val="22"/>
      <w:szCs w:val="22"/>
      <w:lang w:val="x-none" w:eastAsia="x-none"/>
    </w:rPr>
  </w:style>
  <w:style w:type="character" w:styleId="CommentReference">
    <w:name w:val="annotation reference"/>
    <w:uiPriority w:val="99"/>
    <w:semiHidden/>
    <w:unhideWhenUsed/>
    <w:rsid w:val="00492385"/>
    <w:rPr>
      <w:rFonts w:ascii="Times New Roman" w:hAnsi="Times New Roman" w:cs="Times New Roman" w:hint="default"/>
      <w:sz w:val="16"/>
      <w:szCs w:val="16"/>
    </w:rPr>
  </w:style>
  <w:style w:type="table" w:styleId="TableGrid">
    <w:name w:val="Table Grid"/>
    <w:basedOn w:val="TableNormal"/>
    <w:uiPriority w:val="59"/>
    <w:rsid w:val="004923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38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0126"/>
    <w:rPr>
      <w:b/>
      <w:bCs/>
      <w:lang w:val="en-US" w:eastAsia="en-US"/>
    </w:rPr>
  </w:style>
  <w:style w:type="character" w:customStyle="1" w:styleId="CommentSubjectChar">
    <w:name w:val="Comment Subject Char"/>
    <w:basedOn w:val="CommentTextChar"/>
    <w:link w:val="CommentSubject"/>
    <w:uiPriority w:val="99"/>
    <w:semiHidden/>
    <w:rsid w:val="00C30126"/>
    <w:rPr>
      <w:rFonts w:ascii="Times New Roman" w:eastAsia="Times New Roman" w:hAnsi="Times New Roman" w:cs="Times New Roman"/>
      <w:b/>
      <w:bCs/>
      <w:sz w:val="20"/>
      <w:szCs w:val="20"/>
      <w:lang w:val="x-none" w:eastAsia="x-none"/>
    </w:rPr>
  </w:style>
  <w:style w:type="character" w:customStyle="1" w:styleId="Heading3Char">
    <w:name w:val="Heading 3 Char"/>
    <w:basedOn w:val="DefaultParagraphFont"/>
    <w:link w:val="Heading3"/>
    <w:uiPriority w:val="9"/>
    <w:semiHidden/>
    <w:rsid w:val="005A3DD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930F0F"/>
    <w:pPr>
      <w:spacing w:after="100"/>
      <w:ind w:left="480"/>
    </w:pPr>
  </w:style>
  <w:style w:type="paragraph" w:styleId="PlainText">
    <w:name w:val="Plain Text"/>
    <w:basedOn w:val="Normal"/>
    <w:link w:val="PlainTextChar"/>
    <w:uiPriority w:val="99"/>
    <w:unhideWhenUsed/>
    <w:rsid w:val="00D0779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07799"/>
    <w:rPr>
      <w:rFonts w:ascii="Calibri" w:hAnsi="Calibri"/>
      <w:szCs w:val="21"/>
    </w:rPr>
  </w:style>
  <w:style w:type="paragraph" w:styleId="Header">
    <w:name w:val="header"/>
    <w:basedOn w:val="Normal"/>
    <w:link w:val="HeaderChar"/>
    <w:uiPriority w:val="99"/>
    <w:unhideWhenUsed/>
    <w:rsid w:val="008305A4"/>
    <w:pPr>
      <w:tabs>
        <w:tab w:val="center" w:pos="4680"/>
        <w:tab w:val="right" w:pos="9360"/>
      </w:tabs>
    </w:pPr>
  </w:style>
  <w:style w:type="character" w:customStyle="1" w:styleId="HeaderChar">
    <w:name w:val="Header Char"/>
    <w:basedOn w:val="DefaultParagraphFont"/>
    <w:link w:val="Header"/>
    <w:uiPriority w:val="99"/>
    <w:rsid w:val="00830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05A4"/>
    <w:pPr>
      <w:tabs>
        <w:tab w:val="center" w:pos="4680"/>
        <w:tab w:val="right" w:pos="9360"/>
      </w:tabs>
    </w:pPr>
  </w:style>
  <w:style w:type="character" w:customStyle="1" w:styleId="FooterChar">
    <w:name w:val="Footer Char"/>
    <w:basedOn w:val="DefaultParagraphFont"/>
    <w:link w:val="Footer"/>
    <w:uiPriority w:val="99"/>
    <w:rsid w:val="008305A4"/>
    <w:rPr>
      <w:rFonts w:ascii="Times New Roman" w:eastAsia="Times New Roman" w:hAnsi="Times New Roman" w:cs="Times New Roman"/>
      <w:sz w:val="24"/>
      <w:szCs w:val="24"/>
    </w:rPr>
  </w:style>
  <w:style w:type="paragraph" w:styleId="Revision">
    <w:name w:val="Revision"/>
    <w:hidden/>
    <w:uiPriority w:val="99"/>
    <w:semiHidden/>
    <w:rsid w:val="00BA37F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8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unhideWhenUsed/>
    <w:qFormat/>
    <w:rsid w:val="004923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5A3D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92385"/>
    <w:rPr>
      <w:rFonts w:ascii="Arial" w:eastAsia="Times New Roman" w:hAnsi="Arial" w:cs="Arial"/>
      <w:b/>
      <w:bCs/>
      <w:i/>
      <w:iCs/>
      <w:sz w:val="28"/>
      <w:szCs w:val="28"/>
    </w:rPr>
  </w:style>
  <w:style w:type="character" w:styleId="Hyperlink">
    <w:name w:val="Hyperlink"/>
    <w:uiPriority w:val="99"/>
    <w:unhideWhenUsed/>
    <w:rsid w:val="00492385"/>
    <w:rPr>
      <w:rFonts w:ascii="Times New Roman" w:hAnsi="Times New Roman" w:cs="Times New Roman" w:hint="default"/>
      <w:color w:val="0000FF"/>
      <w:u w:val="single"/>
    </w:rPr>
  </w:style>
  <w:style w:type="paragraph" w:styleId="TOC2">
    <w:name w:val="toc 2"/>
    <w:basedOn w:val="Normal"/>
    <w:next w:val="Normal"/>
    <w:autoRedefine/>
    <w:uiPriority w:val="39"/>
    <w:unhideWhenUsed/>
    <w:rsid w:val="00492385"/>
    <w:pPr>
      <w:tabs>
        <w:tab w:val="left" w:pos="720"/>
        <w:tab w:val="right" w:leader="dot" w:pos="9350"/>
      </w:tabs>
      <w:ind w:left="720" w:hanging="480"/>
    </w:pPr>
  </w:style>
  <w:style w:type="paragraph" w:styleId="CommentText">
    <w:name w:val="annotation text"/>
    <w:basedOn w:val="Normal"/>
    <w:link w:val="CommentTextChar"/>
    <w:uiPriority w:val="99"/>
    <w:unhideWhenUsed/>
    <w:rsid w:val="00492385"/>
    <w:rPr>
      <w:sz w:val="20"/>
      <w:szCs w:val="20"/>
      <w:lang w:val="x-none" w:eastAsia="x-none"/>
    </w:rPr>
  </w:style>
  <w:style w:type="character" w:customStyle="1" w:styleId="CommentTextChar">
    <w:name w:val="Comment Text Char"/>
    <w:basedOn w:val="DefaultParagraphFont"/>
    <w:link w:val="CommentText"/>
    <w:uiPriority w:val="99"/>
    <w:rsid w:val="00492385"/>
    <w:rPr>
      <w:rFonts w:ascii="Times New Roman" w:eastAsia="Times New Roman" w:hAnsi="Times New Roman" w:cs="Times New Roman"/>
      <w:sz w:val="20"/>
      <w:szCs w:val="20"/>
      <w:lang w:val="x-none" w:eastAsia="x-none"/>
    </w:rPr>
  </w:style>
  <w:style w:type="character" w:customStyle="1" w:styleId="ListParagraphChar">
    <w:name w:val="List Paragraph Char"/>
    <w:link w:val="ListParagraph"/>
    <w:uiPriority w:val="34"/>
    <w:locked/>
    <w:rsid w:val="00492385"/>
    <w:rPr>
      <w:rFonts w:ascii="Calibri" w:hAnsi="Calibri"/>
      <w:lang w:val="x-none" w:eastAsia="x-none"/>
    </w:rPr>
  </w:style>
  <w:style w:type="paragraph" w:styleId="ListParagraph">
    <w:name w:val="List Paragraph"/>
    <w:basedOn w:val="Normal"/>
    <w:link w:val="ListParagraphChar"/>
    <w:uiPriority w:val="34"/>
    <w:qFormat/>
    <w:rsid w:val="00492385"/>
    <w:pPr>
      <w:spacing w:after="200" w:line="276" w:lineRule="auto"/>
      <w:ind w:left="720"/>
      <w:contextualSpacing/>
    </w:pPr>
    <w:rPr>
      <w:rFonts w:ascii="Calibri" w:eastAsiaTheme="minorHAnsi" w:hAnsi="Calibri" w:cstheme="minorBidi"/>
      <w:sz w:val="22"/>
      <w:szCs w:val="22"/>
      <w:lang w:val="x-none" w:eastAsia="x-none"/>
    </w:rPr>
  </w:style>
  <w:style w:type="character" w:styleId="CommentReference">
    <w:name w:val="annotation reference"/>
    <w:uiPriority w:val="99"/>
    <w:semiHidden/>
    <w:unhideWhenUsed/>
    <w:rsid w:val="00492385"/>
    <w:rPr>
      <w:rFonts w:ascii="Times New Roman" w:hAnsi="Times New Roman" w:cs="Times New Roman" w:hint="default"/>
      <w:sz w:val="16"/>
      <w:szCs w:val="16"/>
    </w:rPr>
  </w:style>
  <w:style w:type="table" w:styleId="TableGrid">
    <w:name w:val="Table Grid"/>
    <w:basedOn w:val="TableNormal"/>
    <w:uiPriority w:val="59"/>
    <w:rsid w:val="004923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38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0126"/>
    <w:rPr>
      <w:b/>
      <w:bCs/>
      <w:lang w:val="en-US" w:eastAsia="en-US"/>
    </w:rPr>
  </w:style>
  <w:style w:type="character" w:customStyle="1" w:styleId="CommentSubjectChar">
    <w:name w:val="Comment Subject Char"/>
    <w:basedOn w:val="CommentTextChar"/>
    <w:link w:val="CommentSubject"/>
    <w:uiPriority w:val="99"/>
    <w:semiHidden/>
    <w:rsid w:val="00C30126"/>
    <w:rPr>
      <w:rFonts w:ascii="Times New Roman" w:eastAsia="Times New Roman" w:hAnsi="Times New Roman" w:cs="Times New Roman"/>
      <w:b/>
      <w:bCs/>
      <w:sz w:val="20"/>
      <w:szCs w:val="20"/>
      <w:lang w:val="x-none" w:eastAsia="x-none"/>
    </w:rPr>
  </w:style>
  <w:style w:type="character" w:customStyle="1" w:styleId="Heading3Char">
    <w:name w:val="Heading 3 Char"/>
    <w:basedOn w:val="DefaultParagraphFont"/>
    <w:link w:val="Heading3"/>
    <w:uiPriority w:val="9"/>
    <w:semiHidden/>
    <w:rsid w:val="005A3DD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930F0F"/>
    <w:pPr>
      <w:spacing w:after="100"/>
      <w:ind w:left="480"/>
    </w:pPr>
  </w:style>
  <w:style w:type="paragraph" w:styleId="PlainText">
    <w:name w:val="Plain Text"/>
    <w:basedOn w:val="Normal"/>
    <w:link w:val="PlainTextChar"/>
    <w:uiPriority w:val="99"/>
    <w:unhideWhenUsed/>
    <w:rsid w:val="00D0779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07799"/>
    <w:rPr>
      <w:rFonts w:ascii="Calibri" w:hAnsi="Calibri"/>
      <w:szCs w:val="21"/>
    </w:rPr>
  </w:style>
  <w:style w:type="paragraph" w:styleId="Header">
    <w:name w:val="header"/>
    <w:basedOn w:val="Normal"/>
    <w:link w:val="HeaderChar"/>
    <w:uiPriority w:val="99"/>
    <w:unhideWhenUsed/>
    <w:rsid w:val="008305A4"/>
    <w:pPr>
      <w:tabs>
        <w:tab w:val="center" w:pos="4680"/>
        <w:tab w:val="right" w:pos="9360"/>
      </w:tabs>
    </w:pPr>
  </w:style>
  <w:style w:type="character" w:customStyle="1" w:styleId="HeaderChar">
    <w:name w:val="Header Char"/>
    <w:basedOn w:val="DefaultParagraphFont"/>
    <w:link w:val="Header"/>
    <w:uiPriority w:val="99"/>
    <w:rsid w:val="00830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05A4"/>
    <w:pPr>
      <w:tabs>
        <w:tab w:val="center" w:pos="4680"/>
        <w:tab w:val="right" w:pos="9360"/>
      </w:tabs>
    </w:pPr>
  </w:style>
  <w:style w:type="character" w:customStyle="1" w:styleId="FooterChar">
    <w:name w:val="Footer Char"/>
    <w:basedOn w:val="DefaultParagraphFont"/>
    <w:link w:val="Footer"/>
    <w:uiPriority w:val="99"/>
    <w:rsid w:val="008305A4"/>
    <w:rPr>
      <w:rFonts w:ascii="Times New Roman" w:eastAsia="Times New Roman" w:hAnsi="Times New Roman" w:cs="Times New Roman"/>
      <w:sz w:val="24"/>
      <w:szCs w:val="24"/>
    </w:rPr>
  </w:style>
  <w:style w:type="paragraph" w:styleId="Revision">
    <w:name w:val="Revision"/>
    <w:hidden/>
    <w:uiPriority w:val="99"/>
    <w:semiHidden/>
    <w:rsid w:val="00BA37F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44446">
      <w:bodyDiv w:val="1"/>
      <w:marLeft w:val="0"/>
      <w:marRight w:val="0"/>
      <w:marTop w:val="0"/>
      <w:marBottom w:val="0"/>
      <w:divBdr>
        <w:top w:val="none" w:sz="0" w:space="0" w:color="auto"/>
        <w:left w:val="none" w:sz="0" w:space="0" w:color="auto"/>
        <w:bottom w:val="none" w:sz="0" w:space="0" w:color="auto"/>
        <w:right w:val="none" w:sz="0" w:space="0" w:color="auto"/>
      </w:divBdr>
    </w:div>
    <w:div w:id="99445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sgeffen\AppData\Local\Microsoft\Windows\Temporary%20Internet%20Files\Content.Outlook\OT4P2XTP\DRAFT%20Supporting%20Statement%20B_101916.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sgeffen\AppData\Local\Microsoft\Windows\Temporary%20Internet%20Files\Content.Outlook\OT4P2XTP\DRAFT%20Supporting%20Statement%20B_10191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sgeffen\AppData\Local\Microsoft\Windows\Temporary%20Internet%20Files\Content.Outlook\OT4P2XTP\DRAFT%20Supporting%20Statement%20B_101916.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sgeffen\AppData\Local\Microsoft\Windows\Temporary%20Internet%20Files\Content.Outlook\OT4P2XTP\DRAFT%20Supporting%20Statement%20B_101916.docx" TargetMode="External"/><Relationship Id="rId4" Type="http://schemas.openxmlformats.org/officeDocument/2006/relationships/settings" Target="settings.xml"/><Relationship Id="rId9" Type="http://schemas.openxmlformats.org/officeDocument/2006/relationships/hyperlink" Target="file:///C:\Users\sgeffen\AppData\Local\Microsoft\Windows\Temporary%20Internet%20Files\Content.Outlook\OT4P2XTP\DRAFT%20Supporting%20Statement%20B_101916.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Geffen</dc:creator>
  <cp:keywords/>
  <dc:description/>
  <cp:lastModifiedBy>SYSTEM</cp:lastModifiedBy>
  <cp:revision>2</cp:revision>
  <dcterms:created xsi:type="dcterms:W3CDTF">2017-10-04T18:47:00Z</dcterms:created>
  <dcterms:modified xsi:type="dcterms:W3CDTF">2017-10-04T18:47:00Z</dcterms:modified>
</cp:coreProperties>
</file>