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44" w:rsidRPr="00E15F88" w:rsidRDefault="008F7844" w:rsidP="008F7844">
      <w:pPr>
        <w:jc w:val="center"/>
        <w:rPr>
          <w:b/>
          <w:sz w:val="24"/>
          <w:szCs w:val="24"/>
        </w:rPr>
      </w:pPr>
      <w:r w:rsidRPr="00E15F88">
        <w:rPr>
          <w:b/>
          <w:sz w:val="24"/>
          <w:szCs w:val="24"/>
        </w:rPr>
        <w:t>SUPPORTING STATEMENT</w:t>
      </w:r>
    </w:p>
    <w:p w:rsidR="0076594E" w:rsidRPr="00831D6A" w:rsidRDefault="0076594E" w:rsidP="0076594E">
      <w:pPr>
        <w:jc w:val="center"/>
        <w:rPr>
          <w:b/>
          <w:sz w:val="24"/>
          <w:szCs w:val="24"/>
        </w:rPr>
      </w:pPr>
      <w:r>
        <w:rPr>
          <w:b/>
          <w:sz w:val="24"/>
          <w:szCs w:val="24"/>
        </w:rPr>
        <w:t xml:space="preserve">EXPENDITURE SURVEY OF HIGHLY MIGRATORY SPECIES </w:t>
      </w:r>
      <w:r>
        <w:rPr>
          <w:b/>
          <w:sz w:val="24"/>
          <w:szCs w:val="24"/>
        </w:rPr>
        <w:br/>
        <w:t>TOURNAMENTS AND PARTICIPANTS</w:t>
      </w:r>
    </w:p>
    <w:p w:rsidR="008F7844" w:rsidRPr="00E15F88" w:rsidRDefault="008F7844" w:rsidP="008F7844">
      <w:pPr>
        <w:jc w:val="center"/>
        <w:rPr>
          <w:b/>
          <w:sz w:val="24"/>
          <w:szCs w:val="24"/>
        </w:rPr>
      </w:pPr>
      <w:proofErr w:type="gramStart"/>
      <w:r w:rsidRPr="00E15F88">
        <w:rPr>
          <w:b/>
          <w:sz w:val="24"/>
          <w:szCs w:val="24"/>
        </w:rPr>
        <w:t>OMB CONTROL NO.</w:t>
      </w:r>
      <w:proofErr w:type="gramEnd"/>
      <w:r w:rsidRPr="00E15F88">
        <w:rPr>
          <w:b/>
          <w:sz w:val="24"/>
          <w:szCs w:val="24"/>
        </w:rPr>
        <w:t xml:space="preserve"> 0648-XXXX</w:t>
      </w:r>
    </w:p>
    <w:p w:rsidR="008F7844" w:rsidRDefault="008F7844" w:rsidP="008F7844">
      <w:pPr>
        <w:rPr>
          <w:b/>
          <w:bCs/>
          <w:sz w:val="24"/>
          <w:szCs w:val="24"/>
        </w:rPr>
      </w:pPr>
    </w:p>
    <w:p w:rsidR="008F7844" w:rsidRDefault="008F7844" w:rsidP="008F7844">
      <w:pPr>
        <w:rPr>
          <w:b/>
          <w:bCs/>
          <w:sz w:val="24"/>
          <w:szCs w:val="24"/>
        </w:rPr>
      </w:pPr>
    </w:p>
    <w:p w:rsidR="008F7844" w:rsidRPr="008B498C" w:rsidRDefault="008F7844" w:rsidP="008F7844">
      <w:pPr>
        <w:rPr>
          <w:sz w:val="24"/>
          <w:szCs w:val="24"/>
        </w:rPr>
      </w:pPr>
      <w:r w:rsidRPr="008B498C">
        <w:rPr>
          <w:b/>
          <w:bCs/>
          <w:sz w:val="24"/>
          <w:szCs w:val="24"/>
        </w:rPr>
        <w:t>B.  COLLECTIONS OF INFORMATION EMPLOYING STATISTICAL METHODS</w:t>
      </w:r>
    </w:p>
    <w:p w:rsidR="008F7844" w:rsidRPr="008B498C" w:rsidRDefault="008F7844" w:rsidP="008F7844">
      <w:pPr>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384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The potential respondent universe consists of </w:t>
      </w:r>
      <w:r w:rsidR="009A384A">
        <w:rPr>
          <w:sz w:val="24"/>
          <w:szCs w:val="24"/>
        </w:rPr>
        <w:t xml:space="preserve">highly migratory species (HMS) fishing tournaments held in state and federal waters of the Atlantic, Gulf of Mexico, U. S. Caribbean, and Hawaii.  The sample frame will be based on a list of registered HMS tournaments.  Since 1999, Federal regulations have required that tournament registration with NMFS take place at least four weeks prior to the commencement of tournament fishing activities.  </w:t>
      </w:r>
      <w:r w:rsidR="00B94180">
        <w:rPr>
          <w:sz w:val="24"/>
          <w:szCs w:val="24"/>
        </w:rPr>
        <w:t>Between 2004 and 2014, an average of 2</w:t>
      </w:r>
      <w:r w:rsidR="000A3A51">
        <w:rPr>
          <w:sz w:val="24"/>
          <w:szCs w:val="24"/>
        </w:rPr>
        <w:t>60</w:t>
      </w:r>
      <w:r w:rsidR="00B94180">
        <w:rPr>
          <w:sz w:val="24"/>
          <w:szCs w:val="24"/>
        </w:rPr>
        <w:t xml:space="preserve"> Atlantic HMS tournaments have been registered each year with a range of 218 to 296 tournaments registered per year.  </w:t>
      </w:r>
      <w:r w:rsidR="0020296B">
        <w:rPr>
          <w:sz w:val="24"/>
          <w:szCs w:val="24"/>
        </w:rPr>
        <w:t>Additionally, approximately 4</w:t>
      </w:r>
      <w:r w:rsidR="000A3A51">
        <w:rPr>
          <w:sz w:val="24"/>
          <w:szCs w:val="24"/>
        </w:rPr>
        <w:t>0</w:t>
      </w:r>
      <w:r w:rsidR="00FA61F3">
        <w:rPr>
          <w:sz w:val="24"/>
          <w:szCs w:val="24"/>
        </w:rPr>
        <w:t xml:space="preserve"> tournaments are held each year in Hawaii each year.  </w:t>
      </w:r>
      <w:r w:rsidR="009A384A">
        <w:rPr>
          <w:sz w:val="24"/>
          <w:szCs w:val="24"/>
        </w:rPr>
        <w:t>We will survey both tournament organizers and participants.  All tournament organizers will be asked to participate in the survey</w:t>
      </w:r>
      <w:r w:rsidR="00B94180">
        <w:rPr>
          <w:sz w:val="24"/>
          <w:szCs w:val="24"/>
        </w:rPr>
        <w:t xml:space="preserve">, and we anticipate a 75% response rate for this group.  We will sample tournament participants by </w:t>
      </w:r>
      <w:r w:rsidR="00430337">
        <w:rPr>
          <w:sz w:val="24"/>
          <w:szCs w:val="24"/>
        </w:rPr>
        <w:t xml:space="preserve">using a stratified random sample of registered tournaments by region.  </w:t>
      </w:r>
      <w:r w:rsidR="00FA61F3">
        <w:rPr>
          <w:sz w:val="24"/>
          <w:szCs w:val="24"/>
        </w:rPr>
        <w:t>Fifty</w:t>
      </w:r>
      <w:r w:rsidR="00430337">
        <w:rPr>
          <w:sz w:val="24"/>
          <w:szCs w:val="24"/>
        </w:rPr>
        <w:t xml:space="preserve"> percent of tournaments held in North Atlantic (Maine to Virginia), South Atlantic (North Carolina to east Florida), the Gulf of Mexico (west Florida to Texas)</w:t>
      </w:r>
      <w:r w:rsidR="00FA61F3">
        <w:rPr>
          <w:sz w:val="24"/>
          <w:szCs w:val="24"/>
        </w:rPr>
        <w:t>, U.S. Caribbean, and Hawaii</w:t>
      </w:r>
      <w:r w:rsidR="00430337">
        <w:rPr>
          <w:sz w:val="24"/>
          <w:szCs w:val="24"/>
        </w:rPr>
        <w:t xml:space="preserve"> will be randomly selected for electronic distribution of surveys to tournament participants.  Based on historic reporting in the last 10 years, we estimate an average of 50 p</w:t>
      </w:r>
      <w:r w:rsidR="001F450F">
        <w:rPr>
          <w:sz w:val="24"/>
          <w:szCs w:val="24"/>
        </w:rPr>
        <w:t>articipants per tournament, and</w:t>
      </w:r>
      <w:r w:rsidR="00430337">
        <w:rPr>
          <w:sz w:val="24"/>
          <w:szCs w:val="24"/>
        </w:rPr>
        <w:t xml:space="preserve"> a 40% response rate </w:t>
      </w:r>
      <w:r w:rsidR="001F450F">
        <w:rPr>
          <w:sz w:val="24"/>
          <w:szCs w:val="24"/>
        </w:rPr>
        <w:t>matching the</w:t>
      </w:r>
      <w:r w:rsidR="00430337">
        <w:rPr>
          <w:sz w:val="24"/>
          <w:szCs w:val="24"/>
        </w:rPr>
        <w:t xml:space="preserve"> response rates of HMS Angling Permit holders surveyed in the 2011 and 2014 Marine Recreational Fishing Expenditure Surveys.</w:t>
      </w:r>
      <w:r w:rsidR="001F450F">
        <w:rPr>
          <w:sz w:val="24"/>
          <w:szCs w:val="24"/>
        </w:rPr>
        <w:t xml:space="preserve">  Expected sample sizes for organizers and participants are listed in Table 1.</w:t>
      </w:r>
    </w:p>
    <w:p w:rsidR="00B94180" w:rsidRDefault="00B94180"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450F" w:rsidRDefault="001F450F">
      <w:pPr>
        <w:widowControl/>
        <w:autoSpaceDE/>
        <w:autoSpaceDN/>
        <w:adjustRightInd/>
        <w:spacing w:after="200" w:line="276" w:lineRule="auto"/>
        <w:rPr>
          <w:b/>
          <w:sz w:val="24"/>
          <w:szCs w:val="24"/>
        </w:rPr>
      </w:pPr>
      <w:r>
        <w:rPr>
          <w:b/>
          <w:sz w:val="24"/>
          <w:szCs w:val="24"/>
        </w:rPr>
        <w:br w:type="page"/>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roofErr w:type="gramStart"/>
      <w:r w:rsidRPr="00B52721">
        <w:rPr>
          <w:b/>
          <w:sz w:val="24"/>
          <w:szCs w:val="24"/>
        </w:rPr>
        <w:lastRenderedPageBreak/>
        <w:t>Table 1.</w:t>
      </w:r>
      <w:proofErr w:type="gramEnd"/>
      <w:r w:rsidRPr="00B52721">
        <w:rPr>
          <w:b/>
          <w:sz w:val="24"/>
          <w:szCs w:val="24"/>
        </w:rPr>
        <w:t xml:space="preserve">  </w:t>
      </w:r>
      <w:r w:rsidR="004B16B6">
        <w:rPr>
          <w:b/>
          <w:sz w:val="24"/>
          <w:szCs w:val="24"/>
        </w:rPr>
        <w:t>Estimated sample sizes for tournament organizers and participants by region.</w:t>
      </w:r>
    </w:p>
    <w:p w:rsidR="008F7844" w:rsidRPr="002C379D"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620"/>
        <w:gridCol w:w="1710"/>
        <w:gridCol w:w="1620"/>
        <w:gridCol w:w="1620"/>
        <w:gridCol w:w="1620"/>
      </w:tblGrid>
      <w:tr w:rsidR="000A3A51" w:rsidRPr="008B498C" w:rsidTr="000A3A51">
        <w:trPr>
          <w:trHeight w:val="494"/>
        </w:trPr>
        <w:tc>
          <w:tcPr>
            <w:tcW w:w="1913"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A.</w:t>
            </w:r>
          </w:p>
          <w:p w:rsidR="000A3A51" w:rsidRPr="008B498C"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 xml:space="preserve">Respondent </w:t>
            </w:r>
          </w:p>
        </w:tc>
        <w:tc>
          <w:tcPr>
            <w:tcW w:w="1620"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B.</w:t>
            </w:r>
          </w:p>
          <w:p w:rsidR="000A3A51" w:rsidRPr="008B498C"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8B498C">
              <w:rPr>
                <w:b/>
                <w:bCs/>
                <w:sz w:val="24"/>
                <w:szCs w:val="24"/>
              </w:rPr>
              <w:t xml:space="preserve">Number of </w:t>
            </w:r>
            <w:r>
              <w:rPr>
                <w:b/>
                <w:bCs/>
                <w:sz w:val="24"/>
                <w:szCs w:val="24"/>
              </w:rPr>
              <w:t>Tournaments</w:t>
            </w:r>
          </w:p>
        </w:tc>
        <w:tc>
          <w:tcPr>
            <w:tcW w:w="1710"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C.</w:t>
            </w:r>
          </w:p>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Number of Tournaments Selected for Reporting</w:t>
            </w:r>
          </w:p>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tc>
        <w:tc>
          <w:tcPr>
            <w:tcW w:w="1620" w:type="dxa"/>
            <w:vAlign w:val="center"/>
          </w:tcPr>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D.</w:t>
            </w:r>
          </w:p>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 xml:space="preserve">Number of tournament participants </w:t>
            </w:r>
          </w:p>
        </w:tc>
        <w:tc>
          <w:tcPr>
            <w:tcW w:w="1620"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E.</w:t>
            </w:r>
          </w:p>
          <w:p w:rsidR="000A3A51" w:rsidRPr="008B498C"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Maximum anticipated response rate</w:t>
            </w:r>
          </w:p>
        </w:tc>
        <w:tc>
          <w:tcPr>
            <w:tcW w:w="1620"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Column F.</w:t>
            </w:r>
          </w:p>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Expected number of respondents</w:t>
            </w:r>
          </w:p>
          <w:p w:rsidR="000A3A51" w:rsidRPr="008B498C"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 xml:space="preserve">(Column D * </w:t>
            </w:r>
            <w:proofErr w:type="gramStart"/>
            <w:r>
              <w:rPr>
                <w:b/>
                <w:bCs/>
                <w:sz w:val="24"/>
                <w:szCs w:val="24"/>
              </w:rPr>
              <w:t>RR%</w:t>
            </w:r>
            <w:proofErr w:type="gramEnd"/>
            <w:r>
              <w:rPr>
                <w:b/>
                <w:bCs/>
                <w:sz w:val="24"/>
                <w:szCs w:val="24"/>
              </w:rPr>
              <w:t>)</w:t>
            </w:r>
          </w:p>
        </w:tc>
      </w:tr>
      <w:tr w:rsidR="000A3A51" w:rsidRPr="00A73A33" w:rsidTr="000A3A51">
        <w:trPr>
          <w:trHeight w:val="476"/>
        </w:trPr>
        <w:tc>
          <w:tcPr>
            <w:tcW w:w="1913" w:type="dxa"/>
            <w:vAlign w:val="center"/>
          </w:tcPr>
          <w:p w:rsidR="000A3A51" w:rsidRPr="008B498C" w:rsidRDefault="000A3A51" w:rsidP="001F450F">
            <w:pPr>
              <w:pStyle w:val="Heading1"/>
            </w:pPr>
            <w:r>
              <w:t>Organizers</w:t>
            </w:r>
          </w:p>
        </w:tc>
        <w:tc>
          <w:tcPr>
            <w:tcW w:w="1620" w:type="dxa"/>
            <w:vAlign w:val="center"/>
          </w:tcPr>
          <w:p w:rsidR="000A3A51" w:rsidRPr="00A73A33" w:rsidRDefault="0020296B"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30</w:t>
            </w:r>
            <w:r w:rsidR="000A3A51">
              <w:rPr>
                <w:sz w:val="24"/>
                <w:szCs w:val="24"/>
              </w:rPr>
              <w:t>0</w:t>
            </w:r>
          </w:p>
        </w:tc>
        <w:tc>
          <w:tcPr>
            <w:tcW w:w="1710" w:type="dxa"/>
            <w:vAlign w:val="center"/>
          </w:tcPr>
          <w:p w:rsidR="000A3A51" w:rsidRDefault="0020296B" w:rsidP="004B16B6">
            <w:pPr>
              <w:jc w:val="center"/>
              <w:rPr>
                <w:color w:val="000000"/>
                <w:sz w:val="24"/>
                <w:szCs w:val="24"/>
              </w:rPr>
            </w:pPr>
            <w:r>
              <w:rPr>
                <w:color w:val="000000"/>
                <w:sz w:val="24"/>
                <w:szCs w:val="24"/>
              </w:rPr>
              <w:t>300</w:t>
            </w:r>
          </w:p>
        </w:tc>
        <w:tc>
          <w:tcPr>
            <w:tcW w:w="1620" w:type="dxa"/>
            <w:vAlign w:val="center"/>
          </w:tcPr>
          <w:p w:rsidR="000A3A51" w:rsidRDefault="000A3A51" w:rsidP="000A3A51">
            <w:pPr>
              <w:jc w:val="center"/>
              <w:rPr>
                <w:color w:val="000000"/>
                <w:sz w:val="24"/>
                <w:szCs w:val="24"/>
              </w:rPr>
            </w:pPr>
          </w:p>
        </w:tc>
        <w:tc>
          <w:tcPr>
            <w:tcW w:w="1620" w:type="dxa"/>
            <w:vAlign w:val="center"/>
          </w:tcPr>
          <w:p w:rsidR="000A3A51" w:rsidRPr="00A73A33" w:rsidRDefault="000A3A51" w:rsidP="004B16B6">
            <w:pPr>
              <w:jc w:val="center"/>
              <w:rPr>
                <w:color w:val="000000"/>
                <w:sz w:val="24"/>
                <w:szCs w:val="24"/>
              </w:rPr>
            </w:pPr>
            <w:r>
              <w:rPr>
                <w:color w:val="000000"/>
                <w:sz w:val="24"/>
                <w:szCs w:val="24"/>
              </w:rPr>
              <w:t>75</w:t>
            </w:r>
          </w:p>
        </w:tc>
        <w:tc>
          <w:tcPr>
            <w:tcW w:w="1620" w:type="dxa"/>
            <w:vAlign w:val="center"/>
          </w:tcPr>
          <w:p w:rsidR="000A3A51" w:rsidRPr="00A73A33" w:rsidRDefault="0020296B" w:rsidP="004B16B6">
            <w:pPr>
              <w:jc w:val="center"/>
              <w:rPr>
                <w:color w:val="000000"/>
                <w:sz w:val="24"/>
                <w:szCs w:val="24"/>
              </w:rPr>
            </w:pPr>
            <w:r>
              <w:rPr>
                <w:color w:val="000000"/>
                <w:sz w:val="24"/>
                <w:szCs w:val="24"/>
              </w:rPr>
              <w:t>225</w:t>
            </w:r>
          </w:p>
        </w:tc>
      </w:tr>
      <w:tr w:rsidR="000A3A51" w:rsidRPr="00A73A33" w:rsidTr="000A3A51">
        <w:trPr>
          <w:trHeight w:val="476"/>
        </w:trPr>
        <w:tc>
          <w:tcPr>
            <w:tcW w:w="1913" w:type="dxa"/>
            <w:vAlign w:val="center"/>
          </w:tcPr>
          <w:p w:rsidR="000A3A51" w:rsidRDefault="000A3A51" w:rsidP="001F450F">
            <w:pPr>
              <w:pStyle w:val="Heading1"/>
            </w:pPr>
            <w:r>
              <w:t>Participants</w:t>
            </w:r>
          </w:p>
        </w:tc>
        <w:tc>
          <w:tcPr>
            <w:tcW w:w="1620" w:type="dxa"/>
            <w:vAlign w:val="center"/>
          </w:tcPr>
          <w:p w:rsidR="000A3A51" w:rsidRDefault="000A3A51" w:rsidP="004B16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1710" w:type="dxa"/>
            <w:vAlign w:val="center"/>
          </w:tcPr>
          <w:p w:rsidR="000A3A51" w:rsidRDefault="000A3A51" w:rsidP="004B16B6">
            <w:pPr>
              <w:jc w:val="center"/>
              <w:rPr>
                <w:color w:val="000000"/>
                <w:sz w:val="24"/>
                <w:szCs w:val="24"/>
              </w:rPr>
            </w:pPr>
          </w:p>
        </w:tc>
        <w:tc>
          <w:tcPr>
            <w:tcW w:w="1620" w:type="dxa"/>
            <w:vAlign w:val="center"/>
          </w:tcPr>
          <w:p w:rsidR="000A3A51" w:rsidRDefault="000A3A51" w:rsidP="000A3A51">
            <w:pPr>
              <w:jc w:val="center"/>
              <w:rPr>
                <w:color w:val="000000"/>
                <w:sz w:val="24"/>
                <w:szCs w:val="24"/>
              </w:rPr>
            </w:pPr>
          </w:p>
        </w:tc>
        <w:tc>
          <w:tcPr>
            <w:tcW w:w="1620" w:type="dxa"/>
            <w:vAlign w:val="center"/>
          </w:tcPr>
          <w:p w:rsidR="000A3A51" w:rsidRDefault="000A3A51" w:rsidP="004B16B6">
            <w:pPr>
              <w:jc w:val="center"/>
              <w:rPr>
                <w:color w:val="000000"/>
                <w:sz w:val="24"/>
                <w:szCs w:val="24"/>
              </w:rPr>
            </w:pPr>
          </w:p>
        </w:tc>
        <w:tc>
          <w:tcPr>
            <w:tcW w:w="1620" w:type="dxa"/>
            <w:vAlign w:val="center"/>
          </w:tcPr>
          <w:p w:rsidR="000A3A51" w:rsidRDefault="000A3A51" w:rsidP="004B16B6">
            <w:pPr>
              <w:jc w:val="center"/>
              <w:rPr>
                <w:color w:val="000000"/>
                <w:sz w:val="24"/>
                <w:szCs w:val="24"/>
              </w:rPr>
            </w:pPr>
          </w:p>
        </w:tc>
      </w:tr>
      <w:tr w:rsidR="000A3A51" w:rsidRPr="00A73A33" w:rsidTr="000A3A51">
        <w:trPr>
          <w:trHeight w:val="476"/>
        </w:trPr>
        <w:tc>
          <w:tcPr>
            <w:tcW w:w="1913" w:type="dxa"/>
            <w:vAlign w:val="center"/>
          </w:tcPr>
          <w:p w:rsidR="000A3A51" w:rsidRDefault="000A3A51" w:rsidP="001F450F">
            <w:pPr>
              <w:pStyle w:val="Heading1"/>
            </w:pPr>
            <w:r>
              <w:t xml:space="preserve">   North Atlantic</w:t>
            </w:r>
          </w:p>
        </w:tc>
        <w:tc>
          <w:tcPr>
            <w:tcW w:w="1620" w:type="dxa"/>
            <w:vAlign w:val="center"/>
          </w:tcPr>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66</w:t>
            </w:r>
          </w:p>
        </w:tc>
        <w:tc>
          <w:tcPr>
            <w:tcW w:w="1710" w:type="dxa"/>
            <w:vAlign w:val="center"/>
          </w:tcPr>
          <w:p w:rsidR="000A3A51" w:rsidRDefault="000A3A51" w:rsidP="000A3A51">
            <w:pPr>
              <w:jc w:val="center"/>
              <w:rPr>
                <w:color w:val="000000"/>
                <w:sz w:val="24"/>
                <w:szCs w:val="24"/>
              </w:rPr>
            </w:pPr>
            <w:r>
              <w:rPr>
                <w:color w:val="000000"/>
                <w:sz w:val="24"/>
                <w:szCs w:val="24"/>
              </w:rPr>
              <w:t>33</w:t>
            </w:r>
          </w:p>
        </w:tc>
        <w:tc>
          <w:tcPr>
            <w:tcW w:w="1620" w:type="dxa"/>
            <w:vAlign w:val="center"/>
          </w:tcPr>
          <w:p w:rsidR="000A3A51" w:rsidRDefault="000A3A51" w:rsidP="000A3A51">
            <w:pPr>
              <w:jc w:val="center"/>
              <w:rPr>
                <w:color w:val="000000"/>
                <w:sz w:val="24"/>
                <w:szCs w:val="24"/>
              </w:rPr>
            </w:pPr>
            <w:r>
              <w:rPr>
                <w:color w:val="000000"/>
                <w:sz w:val="24"/>
                <w:szCs w:val="24"/>
              </w:rPr>
              <w:t>1,650</w:t>
            </w:r>
          </w:p>
        </w:tc>
        <w:tc>
          <w:tcPr>
            <w:tcW w:w="1620" w:type="dxa"/>
            <w:vAlign w:val="center"/>
          </w:tcPr>
          <w:p w:rsidR="000A3A51" w:rsidRDefault="000A3A51" w:rsidP="004B16B6">
            <w:pPr>
              <w:jc w:val="center"/>
              <w:rPr>
                <w:color w:val="000000"/>
                <w:sz w:val="24"/>
                <w:szCs w:val="24"/>
              </w:rPr>
            </w:pPr>
            <w:r>
              <w:rPr>
                <w:color w:val="000000"/>
                <w:sz w:val="24"/>
                <w:szCs w:val="24"/>
              </w:rPr>
              <w:t>40</w:t>
            </w:r>
          </w:p>
        </w:tc>
        <w:tc>
          <w:tcPr>
            <w:tcW w:w="1620" w:type="dxa"/>
            <w:vAlign w:val="center"/>
          </w:tcPr>
          <w:p w:rsidR="000A3A51" w:rsidRDefault="000A3A51" w:rsidP="004B16B6">
            <w:pPr>
              <w:jc w:val="center"/>
              <w:rPr>
                <w:color w:val="000000"/>
                <w:sz w:val="24"/>
                <w:szCs w:val="24"/>
              </w:rPr>
            </w:pPr>
            <w:r>
              <w:rPr>
                <w:color w:val="000000"/>
                <w:sz w:val="24"/>
                <w:szCs w:val="24"/>
              </w:rPr>
              <w:t>660</w:t>
            </w:r>
          </w:p>
        </w:tc>
      </w:tr>
      <w:tr w:rsidR="000A3A51" w:rsidRPr="00A73A33" w:rsidTr="000A3A51">
        <w:trPr>
          <w:trHeight w:val="476"/>
        </w:trPr>
        <w:tc>
          <w:tcPr>
            <w:tcW w:w="1913" w:type="dxa"/>
            <w:vAlign w:val="center"/>
          </w:tcPr>
          <w:p w:rsidR="000A3A51" w:rsidRPr="001F450F" w:rsidRDefault="000A3A51" w:rsidP="001F450F">
            <w:pPr>
              <w:pStyle w:val="Heading1"/>
            </w:pPr>
            <w:r>
              <w:t xml:space="preserve">   South Atlantic</w:t>
            </w:r>
          </w:p>
        </w:tc>
        <w:tc>
          <w:tcPr>
            <w:tcW w:w="1620" w:type="dxa"/>
            <w:vAlign w:val="center"/>
          </w:tcPr>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88</w:t>
            </w:r>
          </w:p>
        </w:tc>
        <w:tc>
          <w:tcPr>
            <w:tcW w:w="1710" w:type="dxa"/>
            <w:vAlign w:val="center"/>
          </w:tcPr>
          <w:p w:rsidR="000A3A51" w:rsidRDefault="000A3A51" w:rsidP="000A3A51">
            <w:pPr>
              <w:jc w:val="center"/>
              <w:rPr>
                <w:color w:val="000000"/>
                <w:sz w:val="24"/>
                <w:szCs w:val="24"/>
              </w:rPr>
            </w:pPr>
            <w:r>
              <w:rPr>
                <w:color w:val="000000"/>
                <w:sz w:val="24"/>
                <w:szCs w:val="24"/>
              </w:rPr>
              <w:t>44</w:t>
            </w:r>
          </w:p>
        </w:tc>
        <w:tc>
          <w:tcPr>
            <w:tcW w:w="1620" w:type="dxa"/>
            <w:vAlign w:val="center"/>
          </w:tcPr>
          <w:p w:rsidR="000A3A51" w:rsidRDefault="000A3A51" w:rsidP="000A3A51">
            <w:pPr>
              <w:jc w:val="center"/>
              <w:rPr>
                <w:color w:val="000000"/>
                <w:sz w:val="24"/>
                <w:szCs w:val="24"/>
              </w:rPr>
            </w:pPr>
            <w:r>
              <w:rPr>
                <w:color w:val="000000"/>
                <w:sz w:val="24"/>
                <w:szCs w:val="24"/>
              </w:rPr>
              <w:t>2,200</w:t>
            </w:r>
          </w:p>
        </w:tc>
        <w:tc>
          <w:tcPr>
            <w:tcW w:w="1620" w:type="dxa"/>
            <w:vAlign w:val="center"/>
          </w:tcPr>
          <w:p w:rsidR="000A3A51" w:rsidRDefault="000A3A51" w:rsidP="004B16B6">
            <w:pPr>
              <w:jc w:val="center"/>
              <w:rPr>
                <w:color w:val="000000"/>
                <w:sz w:val="24"/>
                <w:szCs w:val="24"/>
              </w:rPr>
            </w:pPr>
            <w:r>
              <w:rPr>
                <w:color w:val="000000"/>
                <w:sz w:val="24"/>
                <w:szCs w:val="24"/>
              </w:rPr>
              <w:t>40</w:t>
            </w:r>
          </w:p>
        </w:tc>
        <w:tc>
          <w:tcPr>
            <w:tcW w:w="1620" w:type="dxa"/>
            <w:vAlign w:val="center"/>
          </w:tcPr>
          <w:p w:rsidR="000A3A51" w:rsidRDefault="000A3A51" w:rsidP="004B16B6">
            <w:pPr>
              <w:jc w:val="center"/>
              <w:rPr>
                <w:color w:val="000000"/>
                <w:sz w:val="24"/>
                <w:szCs w:val="24"/>
              </w:rPr>
            </w:pPr>
            <w:r>
              <w:rPr>
                <w:color w:val="000000"/>
                <w:sz w:val="24"/>
                <w:szCs w:val="24"/>
              </w:rPr>
              <w:t>880</w:t>
            </w:r>
          </w:p>
        </w:tc>
      </w:tr>
      <w:tr w:rsidR="000A3A51" w:rsidRPr="00A73A33" w:rsidTr="000A3A51">
        <w:trPr>
          <w:trHeight w:val="476"/>
        </w:trPr>
        <w:tc>
          <w:tcPr>
            <w:tcW w:w="1913" w:type="dxa"/>
            <w:vAlign w:val="center"/>
          </w:tcPr>
          <w:p w:rsidR="000A3A51" w:rsidRDefault="000A3A51" w:rsidP="001F450F">
            <w:pPr>
              <w:pStyle w:val="Heading1"/>
            </w:pPr>
            <w:r>
              <w:t xml:space="preserve">   Gulf of Mexico</w:t>
            </w:r>
          </w:p>
        </w:tc>
        <w:tc>
          <w:tcPr>
            <w:tcW w:w="1620" w:type="dxa"/>
            <w:vAlign w:val="center"/>
          </w:tcPr>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88</w:t>
            </w:r>
          </w:p>
        </w:tc>
        <w:tc>
          <w:tcPr>
            <w:tcW w:w="1710" w:type="dxa"/>
            <w:vAlign w:val="center"/>
          </w:tcPr>
          <w:p w:rsidR="000A3A51" w:rsidRDefault="000A3A51" w:rsidP="000A3A51">
            <w:pPr>
              <w:jc w:val="center"/>
              <w:rPr>
                <w:color w:val="000000"/>
                <w:sz w:val="24"/>
                <w:szCs w:val="24"/>
              </w:rPr>
            </w:pPr>
            <w:r>
              <w:rPr>
                <w:color w:val="000000"/>
                <w:sz w:val="24"/>
                <w:szCs w:val="24"/>
              </w:rPr>
              <w:t>44</w:t>
            </w:r>
          </w:p>
        </w:tc>
        <w:tc>
          <w:tcPr>
            <w:tcW w:w="1620" w:type="dxa"/>
            <w:vAlign w:val="center"/>
          </w:tcPr>
          <w:p w:rsidR="000A3A51" w:rsidRDefault="000A3A51" w:rsidP="000A3A51">
            <w:pPr>
              <w:jc w:val="center"/>
              <w:rPr>
                <w:color w:val="000000"/>
                <w:sz w:val="24"/>
                <w:szCs w:val="24"/>
              </w:rPr>
            </w:pPr>
            <w:r>
              <w:rPr>
                <w:color w:val="000000"/>
                <w:sz w:val="24"/>
                <w:szCs w:val="24"/>
              </w:rPr>
              <w:t>2,200</w:t>
            </w:r>
          </w:p>
        </w:tc>
        <w:tc>
          <w:tcPr>
            <w:tcW w:w="1620" w:type="dxa"/>
            <w:vAlign w:val="center"/>
          </w:tcPr>
          <w:p w:rsidR="000A3A51" w:rsidRDefault="000A3A51" w:rsidP="004B16B6">
            <w:pPr>
              <w:jc w:val="center"/>
              <w:rPr>
                <w:color w:val="000000"/>
                <w:sz w:val="24"/>
                <w:szCs w:val="24"/>
              </w:rPr>
            </w:pPr>
            <w:r>
              <w:rPr>
                <w:color w:val="000000"/>
                <w:sz w:val="24"/>
                <w:szCs w:val="24"/>
              </w:rPr>
              <w:t>40</w:t>
            </w:r>
          </w:p>
        </w:tc>
        <w:tc>
          <w:tcPr>
            <w:tcW w:w="1620" w:type="dxa"/>
            <w:vAlign w:val="center"/>
          </w:tcPr>
          <w:p w:rsidR="000A3A51" w:rsidRDefault="000A3A51" w:rsidP="004B16B6">
            <w:pPr>
              <w:jc w:val="center"/>
              <w:rPr>
                <w:color w:val="000000"/>
                <w:sz w:val="24"/>
                <w:szCs w:val="24"/>
              </w:rPr>
            </w:pPr>
            <w:r>
              <w:rPr>
                <w:color w:val="000000"/>
                <w:sz w:val="24"/>
                <w:szCs w:val="24"/>
              </w:rPr>
              <w:t>880</w:t>
            </w:r>
          </w:p>
        </w:tc>
      </w:tr>
      <w:tr w:rsidR="000A3A51" w:rsidRPr="00A73A33" w:rsidTr="000A3A51">
        <w:trPr>
          <w:trHeight w:val="476"/>
        </w:trPr>
        <w:tc>
          <w:tcPr>
            <w:tcW w:w="1913" w:type="dxa"/>
            <w:vAlign w:val="center"/>
          </w:tcPr>
          <w:p w:rsidR="000A3A51" w:rsidRDefault="000A3A51" w:rsidP="001F450F">
            <w:pPr>
              <w:pStyle w:val="Heading1"/>
            </w:pPr>
            <w:r>
              <w:t xml:space="preserve">   U.S. Caribbean</w:t>
            </w:r>
          </w:p>
        </w:tc>
        <w:tc>
          <w:tcPr>
            <w:tcW w:w="1620" w:type="dxa"/>
            <w:vAlign w:val="center"/>
          </w:tcPr>
          <w:p w:rsidR="000A3A51" w:rsidRDefault="000A3A51"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24</w:t>
            </w:r>
          </w:p>
        </w:tc>
        <w:tc>
          <w:tcPr>
            <w:tcW w:w="1710" w:type="dxa"/>
            <w:vAlign w:val="center"/>
          </w:tcPr>
          <w:p w:rsidR="000A3A51" w:rsidRDefault="000A3A51" w:rsidP="000A3A51">
            <w:pPr>
              <w:jc w:val="center"/>
              <w:rPr>
                <w:color w:val="000000"/>
                <w:sz w:val="24"/>
                <w:szCs w:val="24"/>
              </w:rPr>
            </w:pPr>
            <w:r>
              <w:rPr>
                <w:color w:val="000000"/>
                <w:sz w:val="24"/>
                <w:szCs w:val="24"/>
              </w:rPr>
              <w:t>12</w:t>
            </w:r>
          </w:p>
        </w:tc>
        <w:tc>
          <w:tcPr>
            <w:tcW w:w="1620" w:type="dxa"/>
            <w:vAlign w:val="center"/>
          </w:tcPr>
          <w:p w:rsidR="000A3A51" w:rsidRDefault="000A3A51" w:rsidP="000A3A51">
            <w:pPr>
              <w:jc w:val="center"/>
              <w:rPr>
                <w:color w:val="000000"/>
                <w:sz w:val="24"/>
                <w:szCs w:val="24"/>
              </w:rPr>
            </w:pPr>
            <w:r>
              <w:rPr>
                <w:color w:val="000000"/>
                <w:sz w:val="24"/>
                <w:szCs w:val="24"/>
              </w:rPr>
              <w:t>600</w:t>
            </w:r>
          </w:p>
        </w:tc>
        <w:tc>
          <w:tcPr>
            <w:tcW w:w="1620" w:type="dxa"/>
            <w:vAlign w:val="center"/>
          </w:tcPr>
          <w:p w:rsidR="000A3A51" w:rsidRDefault="000A3A51" w:rsidP="004B16B6">
            <w:pPr>
              <w:jc w:val="center"/>
              <w:rPr>
                <w:color w:val="000000"/>
                <w:sz w:val="24"/>
                <w:szCs w:val="24"/>
              </w:rPr>
            </w:pPr>
            <w:r>
              <w:rPr>
                <w:color w:val="000000"/>
                <w:sz w:val="24"/>
                <w:szCs w:val="24"/>
              </w:rPr>
              <w:t>40</w:t>
            </w:r>
          </w:p>
        </w:tc>
        <w:tc>
          <w:tcPr>
            <w:tcW w:w="1620" w:type="dxa"/>
            <w:vAlign w:val="center"/>
          </w:tcPr>
          <w:p w:rsidR="000A3A51" w:rsidRDefault="000A3A51" w:rsidP="004B16B6">
            <w:pPr>
              <w:jc w:val="center"/>
              <w:rPr>
                <w:color w:val="000000"/>
                <w:sz w:val="24"/>
                <w:szCs w:val="24"/>
              </w:rPr>
            </w:pPr>
            <w:r>
              <w:rPr>
                <w:color w:val="000000"/>
                <w:sz w:val="24"/>
                <w:szCs w:val="24"/>
              </w:rPr>
              <w:t>240</w:t>
            </w:r>
          </w:p>
        </w:tc>
      </w:tr>
      <w:tr w:rsidR="000A3A51" w:rsidRPr="00A73A33" w:rsidTr="000A3A51">
        <w:trPr>
          <w:trHeight w:val="476"/>
        </w:trPr>
        <w:tc>
          <w:tcPr>
            <w:tcW w:w="1913" w:type="dxa"/>
            <w:vAlign w:val="center"/>
          </w:tcPr>
          <w:p w:rsidR="000A3A51" w:rsidRDefault="000A3A51" w:rsidP="001F450F">
            <w:pPr>
              <w:pStyle w:val="Heading1"/>
            </w:pPr>
            <w:r>
              <w:t xml:space="preserve">   Hawaii</w:t>
            </w:r>
          </w:p>
        </w:tc>
        <w:tc>
          <w:tcPr>
            <w:tcW w:w="1620" w:type="dxa"/>
            <w:vAlign w:val="center"/>
          </w:tcPr>
          <w:p w:rsidR="000A3A51" w:rsidRDefault="0020296B" w:rsidP="000A3A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4</w:t>
            </w:r>
            <w:r w:rsidR="000A3A51">
              <w:rPr>
                <w:sz w:val="24"/>
                <w:szCs w:val="24"/>
              </w:rPr>
              <w:t>0</w:t>
            </w:r>
          </w:p>
        </w:tc>
        <w:tc>
          <w:tcPr>
            <w:tcW w:w="1710" w:type="dxa"/>
            <w:vAlign w:val="center"/>
          </w:tcPr>
          <w:p w:rsidR="000A3A51" w:rsidRDefault="0020296B" w:rsidP="000A3A51">
            <w:pPr>
              <w:jc w:val="center"/>
              <w:rPr>
                <w:color w:val="000000"/>
                <w:sz w:val="24"/>
                <w:szCs w:val="24"/>
              </w:rPr>
            </w:pPr>
            <w:r>
              <w:rPr>
                <w:color w:val="000000"/>
                <w:sz w:val="24"/>
                <w:szCs w:val="24"/>
              </w:rPr>
              <w:t>2</w:t>
            </w:r>
            <w:r w:rsidR="000A3A51">
              <w:rPr>
                <w:color w:val="000000"/>
                <w:sz w:val="24"/>
                <w:szCs w:val="24"/>
              </w:rPr>
              <w:t>0</w:t>
            </w:r>
          </w:p>
        </w:tc>
        <w:tc>
          <w:tcPr>
            <w:tcW w:w="1620" w:type="dxa"/>
            <w:vAlign w:val="center"/>
          </w:tcPr>
          <w:p w:rsidR="000A3A51" w:rsidRDefault="0020296B" w:rsidP="000A3A51">
            <w:pPr>
              <w:jc w:val="center"/>
              <w:rPr>
                <w:color w:val="000000"/>
                <w:sz w:val="24"/>
                <w:szCs w:val="24"/>
              </w:rPr>
            </w:pPr>
            <w:r>
              <w:rPr>
                <w:color w:val="000000"/>
                <w:sz w:val="24"/>
                <w:szCs w:val="24"/>
              </w:rPr>
              <w:t>10</w:t>
            </w:r>
            <w:r w:rsidR="000A3A51">
              <w:rPr>
                <w:color w:val="000000"/>
                <w:sz w:val="24"/>
                <w:szCs w:val="24"/>
              </w:rPr>
              <w:t>00</w:t>
            </w:r>
          </w:p>
        </w:tc>
        <w:tc>
          <w:tcPr>
            <w:tcW w:w="1620" w:type="dxa"/>
            <w:vAlign w:val="center"/>
          </w:tcPr>
          <w:p w:rsidR="000A3A51" w:rsidRDefault="000A3A51" w:rsidP="004B16B6">
            <w:pPr>
              <w:jc w:val="center"/>
              <w:rPr>
                <w:color w:val="000000"/>
                <w:sz w:val="24"/>
                <w:szCs w:val="24"/>
              </w:rPr>
            </w:pPr>
            <w:r>
              <w:rPr>
                <w:color w:val="000000"/>
                <w:sz w:val="24"/>
                <w:szCs w:val="24"/>
              </w:rPr>
              <w:t>40</w:t>
            </w:r>
          </w:p>
        </w:tc>
        <w:tc>
          <w:tcPr>
            <w:tcW w:w="1620" w:type="dxa"/>
            <w:vAlign w:val="center"/>
          </w:tcPr>
          <w:p w:rsidR="000A3A51" w:rsidRDefault="0020296B" w:rsidP="004B16B6">
            <w:pPr>
              <w:jc w:val="center"/>
              <w:rPr>
                <w:color w:val="000000"/>
                <w:sz w:val="24"/>
                <w:szCs w:val="24"/>
              </w:rPr>
            </w:pPr>
            <w:r>
              <w:rPr>
                <w:color w:val="000000"/>
                <w:sz w:val="24"/>
                <w:szCs w:val="24"/>
              </w:rPr>
              <w:t>4</w:t>
            </w:r>
            <w:r w:rsidR="000A3A51">
              <w:rPr>
                <w:color w:val="000000"/>
                <w:sz w:val="24"/>
                <w:szCs w:val="24"/>
              </w:rPr>
              <w:t>00</w:t>
            </w:r>
          </w:p>
        </w:tc>
      </w:tr>
    </w:tbl>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A3A51" w:rsidRDefault="000A3A51" w:rsidP="000A3A51">
      <w:pPr>
        <w:widowControl/>
        <w:autoSpaceDE/>
        <w:autoSpaceDN/>
        <w:adjustRightInd/>
        <w:spacing w:after="200" w:line="276" w:lineRule="auto"/>
        <w:rPr>
          <w:b/>
          <w:bCs/>
          <w:sz w:val="24"/>
          <w:szCs w:val="24"/>
        </w:rPr>
      </w:pPr>
    </w:p>
    <w:p w:rsidR="008F7844" w:rsidRPr="008B498C" w:rsidRDefault="008F7844" w:rsidP="000A3A51">
      <w:pPr>
        <w:widowControl/>
        <w:autoSpaceDE/>
        <w:autoSpaceDN/>
        <w:adjustRightInd/>
        <w:spacing w:after="200" w:line="276" w:lineRule="auto"/>
        <w:rPr>
          <w:sz w:val="24"/>
          <w:szCs w:val="24"/>
        </w:rPr>
      </w:pPr>
      <w:r w:rsidRPr="008B498C">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C1F77" w:rsidRDefault="00F62910"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Given the </w:t>
      </w:r>
      <w:r w:rsidR="009963D6">
        <w:rPr>
          <w:sz w:val="24"/>
          <w:szCs w:val="24"/>
        </w:rPr>
        <w:t>manage</w:t>
      </w:r>
      <w:r>
        <w:rPr>
          <w:sz w:val="24"/>
          <w:szCs w:val="24"/>
        </w:rPr>
        <w:t xml:space="preserve">able number of tournaments held each year, we will endeavor to conduct a full census of tournament operators and their costs and earnings.  However, we realize on a practical level that full participation is unlikely, and based on our discussions with tournament organizers we expect approximately 75% will be </w:t>
      </w:r>
      <w:r w:rsidR="006C1F77">
        <w:rPr>
          <w:sz w:val="24"/>
          <w:szCs w:val="24"/>
        </w:rPr>
        <w:t xml:space="preserve">willing to participate.  Tournament operators will be notified of the study following their registration, and will be emailed a link to the web-based cost and earnings survey approximately two weeks following completion of the tournament. </w:t>
      </w:r>
      <w:r w:rsidR="004E4FA0">
        <w:rPr>
          <w:sz w:val="24"/>
          <w:szCs w:val="24"/>
        </w:rPr>
        <w:t xml:space="preserve"> </w:t>
      </w:r>
    </w:p>
    <w:p w:rsidR="004E4FA0" w:rsidRDefault="004E4FA0"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2897" w:rsidRDefault="006C1F77"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will randomly sample 50% of tournaments in each region to ensure we collect data from a representative distribution of tournaments.  We will use a sequential sampling approach as tournaments are registered throughout the year.  We will determine at random whether to sample the first or second tournament registered in each region for 2016, and will then sample every other tournament registered in the region for the rest of the year.  At the time tournament operators are notified about the study, they will also be notified if their participants were also selected for reporting.  </w:t>
      </w:r>
      <w:proofErr w:type="gramStart"/>
      <w:r>
        <w:rPr>
          <w:sz w:val="24"/>
          <w:szCs w:val="24"/>
        </w:rPr>
        <w:t xml:space="preserve">If so, they will be sent fliers prior to the tournament to distribute to their participants </w:t>
      </w:r>
      <w:r w:rsidR="00733C14">
        <w:rPr>
          <w:sz w:val="24"/>
          <w:szCs w:val="24"/>
        </w:rPr>
        <w:t>that will explain the purpose of the study, and provide tournament participants with a link where they can complete the web survey.</w:t>
      </w:r>
      <w:proofErr w:type="gramEnd"/>
      <w:r w:rsidR="00733C14">
        <w:rPr>
          <w:sz w:val="24"/>
          <w:szCs w:val="24"/>
        </w:rPr>
        <w:t xml:space="preserve">  Tournament organizers will also be sent </w:t>
      </w:r>
      <w:proofErr w:type="gramStart"/>
      <w:r w:rsidR="00733C14">
        <w:rPr>
          <w:sz w:val="24"/>
          <w:szCs w:val="24"/>
        </w:rPr>
        <w:t>an</w:t>
      </w:r>
      <w:proofErr w:type="gramEnd"/>
      <w:r w:rsidR="00733C14">
        <w:rPr>
          <w:sz w:val="24"/>
          <w:szCs w:val="24"/>
        </w:rPr>
        <w:t xml:space="preserve"> pre-</w:t>
      </w:r>
    </w:p>
    <w:p w:rsidR="003D2897" w:rsidRDefault="003D2897">
      <w:pPr>
        <w:widowControl/>
        <w:autoSpaceDE/>
        <w:autoSpaceDN/>
        <w:adjustRightInd/>
        <w:spacing w:after="200" w:line="276" w:lineRule="auto"/>
        <w:rPr>
          <w:sz w:val="24"/>
          <w:szCs w:val="24"/>
        </w:rPr>
      </w:pPr>
      <w:r>
        <w:rPr>
          <w:sz w:val="24"/>
          <w:szCs w:val="24"/>
        </w:rPr>
        <w:br w:type="page"/>
      </w:r>
    </w:p>
    <w:p w:rsidR="006C1F77" w:rsidRDefault="00733C1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Pr>
          <w:sz w:val="24"/>
          <w:szCs w:val="24"/>
        </w:rPr>
        <w:lastRenderedPageBreak/>
        <w:t>drafted</w:t>
      </w:r>
      <w:proofErr w:type="gramEnd"/>
      <w:r>
        <w:rPr>
          <w:sz w:val="24"/>
          <w:szCs w:val="24"/>
        </w:rPr>
        <w:t xml:space="preserve"> </w:t>
      </w:r>
      <w:r w:rsidR="00A244E2">
        <w:rPr>
          <w:sz w:val="24"/>
          <w:szCs w:val="24"/>
        </w:rPr>
        <w:t xml:space="preserve">notice </w:t>
      </w:r>
      <w:r>
        <w:rPr>
          <w:sz w:val="24"/>
          <w:szCs w:val="24"/>
        </w:rPr>
        <w:t>to send to their participants a week following the tournament to encourage and remind them to complete the survey.</w:t>
      </w:r>
    </w:p>
    <w:p w:rsidR="006C1F77" w:rsidRDefault="006C1F77"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408FA">
        <w:rPr>
          <w:sz w:val="24"/>
          <w:szCs w:val="24"/>
        </w:rPr>
        <w:t>Following Equation 1 (Yamane 1967)</w:t>
      </w:r>
      <w:r>
        <w:rPr>
          <w:sz w:val="24"/>
          <w:szCs w:val="24"/>
        </w:rPr>
        <w:t>,</w:t>
      </w:r>
      <w:r w:rsidRPr="00B408FA">
        <w:rPr>
          <w:sz w:val="24"/>
          <w:szCs w:val="24"/>
        </w:rPr>
        <w:t xml:space="preserve"> approximately 2</w:t>
      </w:r>
      <w:r>
        <w:rPr>
          <w:sz w:val="24"/>
          <w:szCs w:val="24"/>
        </w:rPr>
        <w:t>86</w:t>
      </w:r>
      <w:r w:rsidRPr="00B408FA">
        <w:rPr>
          <w:sz w:val="24"/>
          <w:szCs w:val="24"/>
        </w:rPr>
        <w:t xml:space="preserve"> observations are required to represent the</w:t>
      </w:r>
      <w:r>
        <w:rPr>
          <w:sz w:val="24"/>
          <w:szCs w:val="24"/>
        </w:rPr>
        <w:t xml:space="preserve"> true value for a population of</w:t>
      </w:r>
      <w:r w:rsidRPr="00B408FA">
        <w:rPr>
          <w:sz w:val="24"/>
          <w:szCs w:val="24"/>
        </w:rPr>
        <w:t xml:space="preserve"> 1,000, assuming a +/- </w:t>
      </w:r>
      <w:r>
        <w:rPr>
          <w:sz w:val="24"/>
          <w:szCs w:val="24"/>
        </w:rPr>
        <w:t>5</w:t>
      </w:r>
      <w:r w:rsidRPr="00B408FA">
        <w:rPr>
          <w:sz w:val="24"/>
          <w:szCs w:val="24"/>
        </w:rPr>
        <w:t>% precision rate</w:t>
      </w:r>
      <w:r>
        <w:rPr>
          <w:sz w:val="24"/>
          <w:szCs w:val="24"/>
        </w:rPr>
        <w:t>,</w: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B408FA">
        <w:rPr>
          <w:i/>
          <w:sz w:val="24"/>
          <w:szCs w:val="24"/>
        </w:rPr>
        <w:t>Equation 1</w:t>
      </w:r>
      <w:r w:rsidRPr="00B408FA">
        <w:rPr>
          <w:sz w:val="24"/>
          <w:szCs w:val="24"/>
        </w:rPr>
        <w:t>.</w:t>
      </w:r>
      <w:proofErr w:type="gramEnd"/>
      <w:r w:rsidRPr="00B408FA">
        <w:rPr>
          <w:sz w:val="24"/>
          <w:szCs w:val="24"/>
        </w:rPr>
        <w:t xml:space="preserve"> </w:t>
      </w:r>
      <w:r w:rsidRPr="00B408FA">
        <w:rPr>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5pt;height:33.8pt" o:ole="">
            <v:imagedata r:id="rId8" o:title=""/>
          </v:shape>
          <o:OLEObject Type="Embed" ProgID="Equation.3" ShapeID="_x0000_i1025" DrawAspect="Content" ObjectID="_1510396047" r:id="rId9"/>
        </w:objec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B408FA">
        <w:rPr>
          <w:i/>
          <w:sz w:val="24"/>
          <w:szCs w:val="24"/>
        </w:rPr>
        <w:t>Equation 1, Example.</w:t>
      </w:r>
      <w:proofErr w:type="gramEnd"/>
      <w:r w:rsidRPr="00B408FA">
        <w:rPr>
          <w:sz w:val="24"/>
          <w:szCs w:val="24"/>
        </w:rPr>
        <w:t xml:space="preserve"> </w:t>
      </w:r>
      <w:r w:rsidRPr="00C55014">
        <w:rPr>
          <w:position w:val="-30"/>
          <w:sz w:val="24"/>
          <w:szCs w:val="24"/>
        </w:rPr>
        <w:object w:dxaOrig="2200" w:dyaOrig="680">
          <v:shape id="_x0000_i1026" type="#_x0000_t75" style="width:110.2pt;height:33.8pt" o:ole="">
            <v:imagedata r:id="rId10" o:title=""/>
          </v:shape>
          <o:OLEObject Type="Embed" ProgID="Equation.3" ShapeID="_x0000_i1026" DrawAspect="Content" ObjectID="_1510396048" r:id="rId11"/>
        </w:object>
      </w:r>
    </w:p>
    <w:p w:rsidR="008F7844" w:rsidRPr="00B408FA"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B408FA">
        <w:rPr>
          <w:sz w:val="24"/>
          <w:szCs w:val="24"/>
        </w:rPr>
        <w:t>where</w:t>
      </w:r>
      <w:proofErr w:type="gramEnd"/>
      <w:r w:rsidRPr="00B408FA">
        <w:rPr>
          <w:sz w:val="24"/>
          <w:szCs w:val="24"/>
        </w:rPr>
        <w:t xml:space="preserve"> </w:t>
      </w:r>
      <w:r w:rsidRPr="00B408FA">
        <w:rPr>
          <w:i/>
          <w:sz w:val="24"/>
          <w:szCs w:val="24"/>
        </w:rPr>
        <w:t>n</w:t>
      </w:r>
      <w:r w:rsidRPr="00B408FA">
        <w:rPr>
          <w:sz w:val="24"/>
          <w:szCs w:val="24"/>
        </w:rPr>
        <w:t xml:space="preserve"> is the sample size, </w:t>
      </w:r>
      <w:r w:rsidRPr="00B408FA">
        <w:rPr>
          <w:i/>
          <w:sz w:val="24"/>
          <w:szCs w:val="24"/>
        </w:rPr>
        <w:t>N</w:t>
      </w:r>
      <w:r w:rsidRPr="00B408FA">
        <w:rPr>
          <w:sz w:val="24"/>
          <w:szCs w:val="24"/>
        </w:rPr>
        <w:t xml:space="preserve"> is the population size, and </w:t>
      </w:r>
      <w:r w:rsidRPr="00B408FA">
        <w:rPr>
          <w:i/>
          <w:sz w:val="24"/>
          <w:szCs w:val="24"/>
        </w:rPr>
        <w:t>e</w:t>
      </w:r>
      <w:r w:rsidRPr="00B408FA">
        <w:rPr>
          <w:sz w:val="24"/>
          <w:szCs w:val="24"/>
        </w:rPr>
        <w:t xml:space="preserve"> is the level of precision required.  The equation assumes a confidence interval of 95% and maximum variability in the sample (.50).  An observation uni</w:t>
      </w:r>
      <w:r>
        <w:rPr>
          <w:sz w:val="24"/>
          <w:szCs w:val="24"/>
        </w:rPr>
        <w:t>t is an individual respondent.</w:t>
      </w:r>
    </w:p>
    <w:p w:rsidR="00733C14" w:rsidRDefault="00733C1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33C14" w:rsidRPr="00B408FA" w:rsidRDefault="00733C1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Our target participant sample sizes for most regions exceed the 286 respondent </w:t>
      </w:r>
      <w:proofErr w:type="gramStart"/>
      <w:r>
        <w:rPr>
          <w:sz w:val="24"/>
          <w:szCs w:val="24"/>
        </w:rPr>
        <w:t>threshold</w:t>
      </w:r>
      <w:proofErr w:type="gramEnd"/>
      <w:r>
        <w:rPr>
          <w:sz w:val="24"/>
          <w:szCs w:val="24"/>
        </w:rPr>
        <w:t xml:space="preserve"> for several reasons.  First, we cannot be assured that all tournaments will agree to distribute information on the expenditure survey to their participants.  Second, if a larger sample size is achieved, it may allow for conducting separate analyses per region for tournaments targeting different categories of HMS (e.g. tuna, billfish, or sharks).  Having separate estimates of tournament expenditures by HMS category could be very helpful for management purposes.</w:t>
      </w:r>
    </w:p>
    <w:p w:rsidR="008F7844" w:rsidRPr="00B408FA"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Pr="008B498C" w:rsidRDefault="008F7844" w:rsidP="008F784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3. </w:t>
      </w:r>
      <w:r w:rsidRPr="008B498C">
        <w:rPr>
          <w:b/>
          <w:bCs/>
          <w:sz w:val="24"/>
          <w:szCs w:val="24"/>
        </w:rPr>
        <w:t xml:space="preserve"> Describe the methods used to maximize response rates and to deal with nonresponse. The accuracy and reliability of the information collected must be shown to be adequate for the intended uses. </w:t>
      </w:r>
      <w:r>
        <w:rPr>
          <w:b/>
          <w:bCs/>
          <w:sz w:val="24"/>
          <w:szCs w:val="24"/>
        </w:rPr>
        <w:t xml:space="preserve"> </w:t>
      </w:r>
      <w:r w:rsidRPr="008B498C">
        <w:rPr>
          <w:b/>
          <w:bCs/>
          <w:sz w:val="24"/>
          <w:szCs w:val="24"/>
        </w:rPr>
        <w:t>For collections based on sampling, a special justification must be provided if they will not yield "reliable" data that can be generalized to the universe studied.</w:t>
      </w:r>
    </w:p>
    <w:p w:rsidR="00925D41" w:rsidRPr="008B498C" w:rsidRDefault="00925D41"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4E4FA0"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Web</w:t>
      </w:r>
      <w:r w:rsidR="008F7844" w:rsidRPr="008B498C">
        <w:rPr>
          <w:sz w:val="24"/>
          <w:szCs w:val="24"/>
        </w:rPr>
        <w:t xml:space="preserve"> su</w:t>
      </w:r>
      <w:r w:rsidR="00665097">
        <w:rPr>
          <w:sz w:val="24"/>
          <w:szCs w:val="24"/>
        </w:rPr>
        <w:t>rvey implementation will follow</w:t>
      </w:r>
      <w:r w:rsidR="008F7844" w:rsidRPr="008B498C">
        <w:rPr>
          <w:sz w:val="24"/>
          <w:szCs w:val="24"/>
        </w:rPr>
        <w:t xml:space="preserve"> protocols </w:t>
      </w:r>
      <w:r w:rsidR="00665097">
        <w:rPr>
          <w:sz w:val="24"/>
          <w:szCs w:val="24"/>
        </w:rPr>
        <w:t xml:space="preserve">for web-based surveys </w:t>
      </w:r>
      <w:r w:rsidR="008F7844" w:rsidRPr="008B498C">
        <w:rPr>
          <w:sz w:val="24"/>
          <w:szCs w:val="24"/>
        </w:rPr>
        <w:t>described in ‘The Tailored Design Method’ (</w:t>
      </w:r>
      <w:proofErr w:type="spellStart"/>
      <w:r w:rsidR="008F7844" w:rsidRPr="008B498C">
        <w:rPr>
          <w:sz w:val="24"/>
          <w:szCs w:val="24"/>
        </w:rPr>
        <w:t>Dillman</w:t>
      </w:r>
      <w:proofErr w:type="spellEnd"/>
      <w:r>
        <w:rPr>
          <w:sz w:val="24"/>
          <w:szCs w:val="24"/>
        </w:rPr>
        <w:t xml:space="preserve"> </w:t>
      </w:r>
      <w:r w:rsidR="008F7844" w:rsidRPr="008B498C">
        <w:rPr>
          <w:sz w:val="24"/>
          <w:szCs w:val="24"/>
        </w:rPr>
        <w:t>200</w:t>
      </w:r>
      <w:r>
        <w:rPr>
          <w:sz w:val="24"/>
          <w:szCs w:val="24"/>
        </w:rPr>
        <w:t>0</w:t>
      </w:r>
      <w:r w:rsidR="008F7844" w:rsidRPr="008B498C">
        <w:rPr>
          <w:sz w:val="24"/>
          <w:szCs w:val="24"/>
        </w:rPr>
        <w:t xml:space="preserve">).  </w:t>
      </w:r>
      <w:r w:rsidR="008F7844">
        <w:rPr>
          <w:sz w:val="24"/>
          <w:szCs w:val="24"/>
        </w:rPr>
        <w:t xml:space="preserve">Protocols include 3-4 </w:t>
      </w:r>
      <w:r w:rsidR="00665097">
        <w:rPr>
          <w:sz w:val="24"/>
          <w:szCs w:val="24"/>
        </w:rPr>
        <w:t>point of contact by email or phone</w:t>
      </w:r>
      <w:r w:rsidR="008F7844">
        <w:rPr>
          <w:sz w:val="24"/>
          <w:szCs w:val="24"/>
        </w:rPr>
        <w:t xml:space="preserve"> with approximately </w:t>
      </w:r>
      <w:r>
        <w:rPr>
          <w:sz w:val="24"/>
          <w:szCs w:val="24"/>
        </w:rPr>
        <w:t>1</w:t>
      </w:r>
      <w:r w:rsidR="008F7844">
        <w:rPr>
          <w:sz w:val="24"/>
          <w:szCs w:val="24"/>
        </w:rPr>
        <w:t xml:space="preserve"> week between </w:t>
      </w:r>
      <w:r w:rsidR="00665097">
        <w:rPr>
          <w:sz w:val="24"/>
          <w:szCs w:val="24"/>
        </w:rPr>
        <w:t>contacts</w:t>
      </w:r>
      <w:r w:rsidR="008F7844">
        <w:rPr>
          <w:sz w:val="24"/>
          <w:szCs w:val="24"/>
        </w:rPr>
        <w:t xml:space="preserve">:  (1) a pre-notice letter informing the respondent that they have been selected to receive a survey within the next two weeks accompanied by a sheet of frequently asked questions (FAQ); (2) a cover letter describing the importance of filling out the survey completely and the survey questionnaire; (3) </w:t>
      </w:r>
      <w:r w:rsidR="00BF2DEA">
        <w:rPr>
          <w:sz w:val="24"/>
          <w:szCs w:val="24"/>
        </w:rPr>
        <w:t xml:space="preserve">a web page </w:t>
      </w:r>
      <w:r w:rsidR="008F7844">
        <w:rPr>
          <w:sz w:val="24"/>
          <w:szCs w:val="24"/>
        </w:rPr>
        <w:t>tha</w:t>
      </w:r>
      <w:r w:rsidR="00BF2DEA">
        <w:rPr>
          <w:sz w:val="24"/>
          <w:szCs w:val="24"/>
        </w:rPr>
        <w:t>nking respondents who submitted</w:t>
      </w:r>
      <w:r w:rsidR="008F7844">
        <w:rPr>
          <w:sz w:val="24"/>
          <w:szCs w:val="24"/>
        </w:rPr>
        <w:t xml:space="preserve"> their survey and </w:t>
      </w:r>
      <w:r w:rsidR="00BF2DEA">
        <w:rPr>
          <w:sz w:val="24"/>
          <w:szCs w:val="24"/>
        </w:rPr>
        <w:t xml:space="preserve">an email </w:t>
      </w:r>
      <w:r w:rsidR="008F7844">
        <w:rPr>
          <w:sz w:val="24"/>
          <w:szCs w:val="24"/>
        </w:rPr>
        <w:t xml:space="preserve">reminding respondents to complete their survey and return it if they have not already done so; (4) a possible final mailing including a cover letter and survey instrument.  </w:t>
      </w:r>
      <w:r w:rsidR="008F7844" w:rsidRPr="008B498C">
        <w:rPr>
          <w:sz w:val="24"/>
          <w:szCs w:val="24"/>
        </w:rPr>
        <w:t>The tailored design method is designed to maximize response rates, and components of the design have been scientifically tested and determined to increase response rates for mail surveys (</w:t>
      </w:r>
      <w:proofErr w:type="spellStart"/>
      <w:r w:rsidR="008F7844" w:rsidRPr="008B498C">
        <w:rPr>
          <w:sz w:val="24"/>
          <w:szCs w:val="24"/>
        </w:rPr>
        <w:t>Dillman</w:t>
      </w:r>
      <w:proofErr w:type="spellEnd"/>
      <w:r w:rsidR="008F7844" w:rsidRPr="008B498C">
        <w:rPr>
          <w:sz w:val="24"/>
          <w:szCs w:val="24"/>
        </w:rPr>
        <w:t xml:space="preserve"> 2000).  </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Default="004F283C"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test for any potential nonresponse bias, we will compare the respondents of the </w:t>
      </w:r>
      <w:r w:rsidR="00D71FA9">
        <w:rPr>
          <w:sz w:val="24"/>
          <w:szCs w:val="24"/>
        </w:rPr>
        <w:t xml:space="preserve">HMS </w:t>
      </w:r>
      <w:r>
        <w:rPr>
          <w:sz w:val="24"/>
          <w:szCs w:val="24"/>
        </w:rPr>
        <w:t>tournament operator survey to the data the agency collects via the Atlantic HMS Tournament Registration form</w:t>
      </w:r>
      <w:r w:rsidR="00D71FA9">
        <w:rPr>
          <w:sz w:val="24"/>
          <w:szCs w:val="24"/>
        </w:rPr>
        <w:t>.  We will compare r</w:t>
      </w:r>
      <w:r w:rsidR="00524516">
        <w:rPr>
          <w:sz w:val="24"/>
          <w:szCs w:val="24"/>
        </w:rPr>
        <w:t>espondents to non-respondents</w:t>
      </w:r>
      <w:r w:rsidR="00D71FA9">
        <w:rPr>
          <w:sz w:val="24"/>
          <w:szCs w:val="24"/>
        </w:rPr>
        <w:t xml:space="preserve"> by tournament type, size, and geography, and make any weighting adjustments if necessary.  As for the participant survey, we will compare the demographic data that is collected in Section D of that form to responses </w:t>
      </w:r>
      <w:r w:rsidR="00D71FA9">
        <w:rPr>
          <w:sz w:val="24"/>
          <w:szCs w:val="24"/>
        </w:rPr>
        <w:lastRenderedPageBreak/>
        <w:t xml:space="preserve">from the 2011 Angler Expenditure Survey.  In addition, we will study variations across the survey waves to determine if there are any significant differences between initial survey respondents and respondents from later follow up survey waves.  </w:t>
      </w:r>
      <w:r w:rsidR="009B03FC">
        <w:rPr>
          <w:sz w:val="24"/>
          <w:szCs w:val="24"/>
        </w:rPr>
        <w:t>We will adjust weightings to address any issues that are detected during testing and note any issues in the final reported results.</w:t>
      </w:r>
    </w:p>
    <w:p w:rsidR="003A767D" w:rsidRPr="008B498C" w:rsidRDefault="003A767D"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A634E">
        <w:rPr>
          <w:b/>
          <w:bCs/>
          <w:sz w:val="24"/>
          <w:szCs w:val="24"/>
        </w:rPr>
        <w:t>4.  Describe any tests of procedures or methods to be undertaken. Tests are encouraged as effective means to refine collections, but if ten or more test respondents are involved OMB must give prior approval.</w:t>
      </w:r>
      <w:r w:rsidRPr="008B498C">
        <w:rPr>
          <w:b/>
          <w:bCs/>
          <w:sz w:val="24"/>
          <w:szCs w:val="24"/>
        </w:rPr>
        <w:t xml:space="preserve"> </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85509" w:rsidRDefault="008F7844" w:rsidP="00585509">
      <w:pPr>
        <w:widowControl/>
        <w:autoSpaceDE/>
        <w:autoSpaceDN/>
        <w:adjustRightInd/>
        <w:rPr>
          <w:sz w:val="24"/>
          <w:szCs w:val="24"/>
        </w:rPr>
      </w:pPr>
      <w:r>
        <w:rPr>
          <w:sz w:val="24"/>
          <w:szCs w:val="24"/>
        </w:rPr>
        <w:t xml:space="preserve">The survey instruments have been designed with input from </w:t>
      </w:r>
      <w:r w:rsidR="00665097">
        <w:rPr>
          <w:sz w:val="24"/>
          <w:szCs w:val="24"/>
        </w:rPr>
        <w:t>the operators of several tournaments conducted in 2015.</w:t>
      </w:r>
      <w:r w:rsidR="00585509">
        <w:rPr>
          <w:sz w:val="24"/>
          <w:szCs w:val="24"/>
        </w:rPr>
        <w:t xml:space="preserve">  Members of the National Marine Fisheries Service Atlantic HMS Management Division attended six tournaments during the summer and fall of 2015.  At these tournaments, staff gave short presentations on the planned HMS tournament survey during the tournaments captain’s meetings and Agency staff was available to answer questions and receive feedback during the tournaments.  The feedback and observations made during these tournament site visits led to changes in the survey forms to address charitable contributions made by tournaments, the team nature of participant expenses, and how some teams receive sponsorships to participate in tournaments.</w:t>
      </w:r>
    </w:p>
    <w:p w:rsidR="008F7844"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85509" w:rsidRPr="008B498C" w:rsidRDefault="00585509"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NMFS conducted a breakout session at the September 9, 2015, Atlantic HMS Advisory Panel Meeting specifically to discuss the expenditure survey of Atlantic HMS tournaments and participants.  Draft samples of both surveys were provided to participants of the breakout session to review.  Members of the Advisory Panel provided general support for the study.  They encouraged us to provide respondents with information as to why this study is important for tournament operators and participants.  In addition, we received feedback on the appropriate cost categories to include in the survey.  In addition to the feedback received at the meeting, we received two written comments.  </w:t>
      </w: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7844" w:rsidRPr="008B498C" w:rsidRDefault="008F7844" w:rsidP="008F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8F7844" w:rsidRPr="008B498C" w:rsidRDefault="008F7844" w:rsidP="008F7844">
      <w:pPr>
        <w:rPr>
          <w:sz w:val="24"/>
          <w:szCs w:val="24"/>
        </w:rPr>
      </w:pPr>
    </w:p>
    <w:p w:rsidR="008F7844" w:rsidRDefault="008F7844" w:rsidP="008F7844">
      <w:pPr>
        <w:rPr>
          <w:sz w:val="24"/>
          <w:szCs w:val="24"/>
        </w:rPr>
      </w:pPr>
      <w:r w:rsidRPr="008B498C">
        <w:rPr>
          <w:sz w:val="24"/>
          <w:szCs w:val="24"/>
        </w:rPr>
        <w:t>Sampling Design, Data Analysis</w:t>
      </w:r>
      <w:r>
        <w:rPr>
          <w:sz w:val="24"/>
          <w:szCs w:val="24"/>
        </w:rPr>
        <w:t>,</w:t>
      </w:r>
      <w:r w:rsidRPr="008B498C">
        <w:rPr>
          <w:sz w:val="24"/>
          <w:szCs w:val="24"/>
        </w:rPr>
        <w:t xml:space="preserve"> and Report Writing:</w:t>
      </w:r>
    </w:p>
    <w:p w:rsidR="00F2058E" w:rsidRDefault="00F2058E" w:rsidP="008F7844">
      <w:pPr>
        <w:rPr>
          <w:sz w:val="24"/>
          <w:szCs w:val="24"/>
        </w:rPr>
      </w:pPr>
      <w:r>
        <w:rPr>
          <w:sz w:val="24"/>
          <w:szCs w:val="24"/>
        </w:rPr>
        <w:t>George Silva, NOAA Fisheries, Office of Sustainable Fisheries; 301-427-8545</w:t>
      </w:r>
    </w:p>
    <w:p w:rsidR="00F2058E" w:rsidRDefault="00F2058E" w:rsidP="008F7844">
      <w:pPr>
        <w:rPr>
          <w:sz w:val="24"/>
          <w:szCs w:val="24"/>
        </w:rPr>
      </w:pPr>
      <w:r>
        <w:rPr>
          <w:sz w:val="24"/>
          <w:szCs w:val="24"/>
        </w:rPr>
        <w:t>Katie Davis, NOAA Fisheries, Office of Sustainable Fisheries; 727-824-5338</w:t>
      </w:r>
    </w:p>
    <w:p w:rsidR="008F7844" w:rsidRDefault="008F7844" w:rsidP="008F7844">
      <w:pPr>
        <w:rPr>
          <w:sz w:val="24"/>
          <w:szCs w:val="24"/>
        </w:rPr>
      </w:pPr>
      <w:r>
        <w:rPr>
          <w:sz w:val="24"/>
          <w:szCs w:val="24"/>
        </w:rPr>
        <w:t>Clifford Hutt, NOAA Fisheries, Office of Science and Technology; 301-427-</w:t>
      </w:r>
      <w:r w:rsidR="00FA65F1">
        <w:rPr>
          <w:sz w:val="24"/>
          <w:szCs w:val="24"/>
        </w:rPr>
        <w:t>8210</w:t>
      </w:r>
    </w:p>
    <w:p w:rsidR="008F7844" w:rsidRDefault="008F7844" w:rsidP="008F7844">
      <w:pPr>
        <w:widowControl/>
        <w:autoSpaceDE/>
        <w:autoSpaceDN/>
        <w:adjustRightInd/>
        <w:rPr>
          <w:b/>
          <w:sz w:val="24"/>
          <w:szCs w:val="24"/>
        </w:rPr>
      </w:pPr>
    </w:p>
    <w:p w:rsidR="00786C6C" w:rsidRDefault="00786C6C" w:rsidP="008F7844">
      <w:pPr>
        <w:widowControl/>
        <w:autoSpaceDE/>
        <w:autoSpaceDN/>
        <w:adjustRightInd/>
        <w:rPr>
          <w:b/>
          <w:sz w:val="24"/>
          <w:szCs w:val="24"/>
        </w:rPr>
      </w:pPr>
    </w:p>
    <w:p w:rsidR="00786C6C" w:rsidRDefault="00786C6C" w:rsidP="008F7844">
      <w:pPr>
        <w:widowControl/>
        <w:autoSpaceDE/>
        <w:autoSpaceDN/>
        <w:adjustRightInd/>
        <w:rPr>
          <w:b/>
          <w:sz w:val="24"/>
          <w:szCs w:val="24"/>
        </w:rPr>
      </w:pPr>
    </w:p>
    <w:p w:rsidR="00786C6C" w:rsidRDefault="00786C6C" w:rsidP="008F7844">
      <w:pPr>
        <w:widowControl/>
        <w:autoSpaceDE/>
        <w:autoSpaceDN/>
        <w:adjustRightInd/>
        <w:rPr>
          <w:b/>
          <w:sz w:val="24"/>
          <w:szCs w:val="24"/>
        </w:rPr>
      </w:pPr>
    </w:p>
    <w:p w:rsidR="008F7844" w:rsidRPr="008621CA" w:rsidRDefault="008F7844" w:rsidP="008F7844">
      <w:pPr>
        <w:rPr>
          <w:b/>
          <w:sz w:val="24"/>
          <w:szCs w:val="24"/>
        </w:rPr>
      </w:pPr>
      <w:r w:rsidRPr="008621CA">
        <w:rPr>
          <w:b/>
          <w:sz w:val="24"/>
          <w:szCs w:val="24"/>
        </w:rPr>
        <w:t>References</w:t>
      </w:r>
    </w:p>
    <w:p w:rsidR="008F7844" w:rsidRPr="008B498C" w:rsidRDefault="008F7844" w:rsidP="008F7844">
      <w:pPr>
        <w:rPr>
          <w:sz w:val="24"/>
          <w:szCs w:val="24"/>
        </w:rPr>
      </w:pPr>
    </w:p>
    <w:p w:rsidR="008F7844" w:rsidRPr="008B498C" w:rsidRDefault="008F7844" w:rsidP="008F7844">
      <w:pPr>
        <w:rPr>
          <w:sz w:val="24"/>
          <w:szCs w:val="24"/>
        </w:rPr>
      </w:pPr>
      <w:proofErr w:type="spellStart"/>
      <w:proofErr w:type="gramStart"/>
      <w:r w:rsidRPr="008B498C">
        <w:rPr>
          <w:sz w:val="24"/>
          <w:szCs w:val="24"/>
        </w:rPr>
        <w:t>Dillman</w:t>
      </w:r>
      <w:proofErr w:type="spellEnd"/>
      <w:r w:rsidRPr="008B498C">
        <w:rPr>
          <w:sz w:val="24"/>
          <w:szCs w:val="24"/>
        </w:rPr>
        <w:t>, D.</w:t>
      </w:r>
      <w:proofErr w:type="gramEnd"/>
      <w:r w:rsidRPr="008B498C">
        <w:rPr>
          <w:sz w:val="24"/>
          <w:szCs w:val="24"/>
        </w:rPr>
        <w:t xml:space="preserve">  2000.  Mail and Internet Surveys.  </w:t>
      </w:r>
      <w:proofErr w:type="gramStart"/>
      <w:r w:rsidRPr="008B498C">
        <w:rPr>
          <w:sz w:val="24"/>
          <w:szCs w:val="24"/>
        </w:rPr>
        <w:t>The Tailored Design Method.</w:t>
      </w:r>
      <w:proofErr w:type="gramEnd"/>
      <w:r w:rsidRPr="008B498C">
        <w:rPr>
          <w:sz w:val="24"/>
          <w:szCs w:val="24"/>
        </w:rPr>
        <w:t xml:space="preserve">  </w:t>
      </w:r>
      <w:proofErr w:type="gramStart"/>
      <w:r w:rsidRPr="008B498C">
        <w:rPr>
          <w:sz w:val="24"/>
          <w:szCs w:val="24"/>
        </w:rPr>
        <w:t>John Wiley and S</w:t>
      </w:r>
      <w:r>
        <w:rPr>
          <w:sz w:val="24"/>
          <w:szCs w:val="24"/>
        </w:rPr>
        <w:t>ons, Inc., New York, New York.</w:t>
      </w:r>
      <w:proofErr w:type="gramEnd"/>
    </w:p>
    <w:p w:rsidR="008F7844" w:rsidRPr="008B498C" w:rsidRDefault="008F7844" w:rsidP="008F7844">
      <w:pPr>
        <w:rPr>
          <w:sz w:val="24"/>
          <w:szCs w:val="24"/>
        </w:rPr>
      </w:pPr>
    </w:p>
    <w:p w:rsidR="008F7844" w:rsidRDefault="008F7844" w:rsidP="008F7844">
      <w:pPr>
        <w:rPr>
          <w:sz w:val="24"/>
          <w:szCs w:val="24"/>
        </w:rPr>
      </w:pPr>
      <w:r w:rsidRPr="008B498C">
        <w:rPr>
          <w:sz w:val="24"/>
          <w:szCs w:val="24"/>
        </w:rPr>
        <w:t xml:space="preserve">Yamane, Taro. 1967. Statistics, </w:t>
      </w:r>
      <w:proofErr w:type="gramStart"/>
      <w:r w:rsidRPr="008B498C">
        <w:rPr>
          <w:sz w:val="24"/>
          <w:szCs w:val="24"/>
        </w:rPr>
        <w:t>An</w:t>
      </w:r>
      <w:proofErr w:type="gramEnd"/>
      <w:r w:rsidRPr="008B498C">
        <w:rPr>
          <w:sz w:val="24"/>
          <w:szCs w:val="24"/>
        </w:rPr>
        <w:t xml:space="preserve"> Introductory Analysis, 2nd Ed., New York: Harper and Row.</w:t>
      </w:r>
      <w:bookmarkStart w:id="0" w:name="_GoBack"/>
      <w:bookmarkEnd w:id="0"/>
    </w:p>
    <w:sectPr w:rsidR="008F7844" w:rsidSect="008F7844">
      <w:foot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78" w:rsidRDefault="009C3378">
      <w:r>
        <w:separator/>
      </w:r>
    </w:p>
  </w:endnote>
  <w:endnote w:type="continuationSeparator" w:id="0">
    <w:p w:rsidR="009C3378" w:rsidRDefault="009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76174"/>
      <w:docPartObj>
        <w:docPartGallery w:val="Page Numbers (Bottom of Page)"/>
        <w:docPartUnique/>
      </w:docPartObj>
    </w:sdtPr>
    <w:sdtEndPr>
      <w:rPr>
        <w:noProof/>
      </w:rPr>
    </w:sdtEndPr>
    <w:sdtContent>
      <w:p w:rsidR="00E15F88" w:rsidRDefault="008F7844">
        <w:pPr>
          <w:pStyle w:val="Footer"/>
          <w:jc w:val="center"/>
        </w:pPr>
        <w:r>
          <w:fldChar w:fldCharType="begin"/>
        </w:r>
        <w:r>
          <w:instrText xml:space="preserve"> PAGE   \* MERGEFORMAT </w:instrText>
        </w:r>
        <w:r>
          <w:fldChar w:fldCharType="separate"/>
        </w:r>
        <w:r w:rsidR="003D2897">
          <w:rPr>
            <w:noProof/>
          </w:rPr>
          <w:t>4</w:t>
        </w:r>
        <w:r>
          <w:rPr>
            <w:noProof/>
          </w:rPr>
          <w:fldChar w:fldCharType="end"/>
        </w:r>
      </w:p>
    </w:sdtContent>
  </w:sdt>
  <w:p w:rsidR="00E15F88" w:rsidRDefault="009C3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78" w:rsidRDefault="009C3378">
      <w:r>
        <w:separator/>
      </w:r>
    </w:p>
  </w:footnote>
  <w:footnote w:type="continuationSeparator" w:id="0">
    <w:p w:rsidR="009C3378" w:rsidRDefault="009C3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44"/>
    <w:rsid w:val="000A3A51"/>
    <w:rsid w:val="00142BC1"/>
    <w:rsid w:val="001A6706"/>
    <w:rsid w:val="001F450F"/>
    <w:rsid w:val="0020296B"/>
    <w:rsid w:val="00223D79"/>
    <w:rsid w:val="002666F4"/>
    <w:rsid w:val="00325BA1"/>
    <w:rsid w:val="003A767D"/>
    <w:rsid w:val="003C2876"/>
    <w:rsid w:val="003D2897"/>
    <w:rsid w:val="00430337"/>
    <w:rsid w:val="004B16B6"/>
    <w:rsid w:val="004E4FA0"/>
    <w:rsid w:val="004F283C"/>
    <w:rsid w:val="00524516"/>
    <w:rsid w:val="00524ACD"/>
    <w:rsid w:val="005836A5"/>
    <w:rsid w:val="00585509"/>
    <w:rsid w:val="005A7FA7"/>
    <w:rsid w:val="00621D8B"/>
    <w:rsid w:val="00630F26"/>
    <w:rsid w:val="00665097"/>
    <w:rsid w:val="00683948"/>
    <w:rsid w:val="006C1F77"/>
    <w:rsid w:val="00733C14"/>
    <w:rsid w:val="0076594E"/>
    <w:rsid w:val="00786C6C"/>
    <w:rsid w:val="007C6674"/>
    <w:rsid w:val="0082069A"/>
    <w:rsid w:val="00821E9A"/>
    <w:rsid w:val="008D713C"/>
    <w:rsid w:val="008F7844"/>
    <w:rsid w:val="00925D41"/>
    <w:rsid w:val="009963D6"/>
    <w:rsid w:val="009A384A"/>
    <w:rsid w:val="009B03FC"/>
    <w:rsid w:val="009C3378"/>
    <w:rsid w:val="009E266A"/>
    <w:rsid w:val="00A244E2"/>
    <w:rsid w:val="00A52A9F"/>
    <w:rsid w:val="00B94180"/>
    <w:rsid w:val="00BE1AFD"/>
    <w:rsid w:val="00BF2DEA"/>
    <w:rsid w:val="00D51AA2"/>
    <w:rsid w:val="00D71FA9"/>
    <w:rsid w:val="00E322A5"/>
    <w:rsid w:val="00E46418"/>
    <w:rsid w:val="00F2058E"/>
    <w:rsid w:val="00F42BC9"/>
    <w:rsid w:val="00F504C4"/>
    <w:rsid w:val="00F62910"/>
    <w:rsid w:val="00F672B4"/>
    <w:rsid w:val="00FA61F3"/>
    <w:rsid w:val="00FA65F1"/>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78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844"/>
    <w:rPr>
      <w:rFonts w:ascii="Times New Roman" w:eastAsia="Times New Roman" w:hAnsi="Times New Roman" w:cs="Times New Roman"/>
      <w:sz w:val="24"/>
      <w:szCs w:val="24"/>
    </w:rPr>
  </w:style>
  <w:style w:type="paragraph" w:styleId="Footer">
    <w:name w:val="footer"/>
    <w:basedOn w:val="Normal"/>
    <w:link w:val="FooterChar"/>
    <w:uiPriority w:val="99"/>
    <w:rsid w:val="008F7844"/>
    <w:pPr>
      <w:tabs>
        <w:tab w:val="center" w:pos="4320"/>
        <w:tab w:val="right" w:pos="8640"/>
      </w:tabs>
    </w:pPr>
  </w:style>
  <w:style w:type="character" w:customStyle="1" w:styleId="FooterChar">
    <w:name w:val="Footer Char"/>
    <w:basedOn w:val="DefaultParagraphFont"/>
    <w:link w:val="Footer"/>
    <w:uiPriority w:val="99"/>
    <w:rsid w:val="008F7844"/>
    <w:rPr>
      <w:rFonts w:ascii="Times New Roman" w:eastAsia="Times New Roman" w:hAnsi="Times New Roman" w:cs="Times New Roman"/>
      <w:sz w:val="20"/>
      <w:szCs w:val="20"/>
    </w:rPr>
  </w:style>
  <w:style w:type="paragraph" w:styleId="BodyText">
    <w:name w:val="Body Text"/>
    <w:basedOn w:val="Normal"/>
    <w:link w:val="BodyTextChar"/>
    <w:semiHidden/>
    <w:rsid w:val="008F7844"/>
    <w:pPr>
      <w:widowControl/>
    </w:pPr>
    <w:rPr>
      <w:sz w:val="24"/>
    </w:rPr>
  </w:style>
  <w:style w:type="character" w:customStyle="1" w:styleId="BodyTextChar">
    <w:name w:val="Body Text Char"/>
    <w:basedOn w:val="DefaultParagraphFont"/>
    <w:link w:val="BodyText"/>
    <w:semiHidden/>
    <w:rsid w:val="008F784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6418"/>
    <w:rPr>
      <w:rFonts w:ascii="Tahoma" w:hAnsi="Tahoma" w:cs="Tahoma"/>
      <w:sz w:val="16"/>
      <w:szCs w:val="16"/>
    </w:rPr>
  </w:style>
  <w:style w:type="character" w:customStyle="1" w:styleId="BalloonTextChar">
    <w:name w:val="Balloon Text Char"/>
    <w:basedOn w:val="DefaultParagraphFont"/>
    <w:link w:val="BalloonText"/>
    <w:uiPriority w:val="99"/>
    <w:semiHidden/>
    <w:rsid w:val="00E46418"/>
    <w:rPr>
      <w:rFonts w:ascii="Tahoma" w:eastAsia="Times New Roman" w:hAnsi="Tahoma" w:cs="Tahoma"/>
      <w:sz w:val="16"/>
      <w:szCs w:val="16"/>
    </w:rPr>
  </w:style>
  <w:style w:type="table" w:styleId="TableGrid">
    <w:name w:val="Table Grid"/>
    <w:basedOn w:val="TableNormal"/>
    <w:uiPriority w:val="59"/>
    <w:rsid w:val="00E46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13C"/>
    <w:rPr>
      <w:sz w:val="16"/>
      <w:szCs w:val="16"/>
    </w:rPr>
  </w:style>
  <w:style w:type="paragraph" w:styleId="CommentText">
    <w:name w:val="annotation text"/>
    <w:basedOn w:val="Normal"/>
    <w:link w:val="CommentTextChar"/>
    <w:uiPriority w:val="99"/>
    <w:semiHidden/>
    <w:unhideWhenUsed/>
    <w:rsid w:val="008D713C"/>
  </w:style>
  <w:style w:type="character" w:customStyle="1" w:styleId="CommentTextChar">
    <w:name w:val="Comment Text Char"/>
    <w:basedOn w:val="DefaultParagraphFont"/>
    <w:link w:val="CommentText"/>
    <w:uiPriority w:val="99"/>
    <w:semiHidden/>
    <w:rsid w:val="008D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13C"/>
    <w:rPr>
      <w:b/>
      <w:bCs/>
    </w:rPr>
  </w:style>
  <w:style w:type="character" w:customStyle="1" w:styleId="CommentSubjectChar">
    <w:name w:val="Comment Subject Char"/>
    <w:basedOn w:val="CommentTextChar"/>
    <w:link w:val="CommentSubject"/>
    <w:uiPriority w:val="99"/>
    <w:semiHidden/>
    <w:rsid w:val="008D71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784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844"/>
    <w:rPr>
      <w:rFonts w:ascii="Times New Roman" w:eastAsia="Times New Roman" w:hAnsi="Times New Roman" w:cs="Times New Roman"/>
      <w:sz w:val="24"/>
      <w:szCs w:val="24"/>
    </w:rPr>
  </w:style>
  <w:style w:type="paragraph" w:styleId="Footer">
    <w:name w:val="footer"/>
    <w:basedOn w:val="Normal"/>
    <w:link w:val="FooterChar"/>
    <w:uiPriority w:val="99"/>
    <w:rsid w:val="008F7844"/>
    <w:pPr>
      <w:tabs>
        <w:tab w:val="center" w:pos="4320"/>
        <w:tab w:val="right" w:pos="8640"/>
      </w:tabs>
    </w:pPr>
  </w:style>
  <w:style w:type="character" w:customStyle="1" w:styleId="FooterChar">
    <w:name w:val="Footer Char"/>
    <w:basedOn w:val="DefaultParagraphFont"/>
    <w:link w:val="Footer"/>
    <w:uiPriority w:val="99"/>
    <w:rsid w:val="008F7844"/>
    <w:rPr>
      <w:rFonts w:ascii="Times New Roman" w:eastAsia="Times New Roman" w:hAnsi="Times New Roman" w:cs="Times New Roman"/>
      <w:sz w:val="20"/>
      <w:szCs w:val="20"/>
    </w:rPr>
  </w:style>
  <w:style w:type="paragraph" w:styleId="BodyText">
    <w:name w:val="Body Text"/>
    <w:basedOn w:val="Normal"/>
    <w:link w:val="BodyTextChar"/>
    <w:semiHidden/>
    <w:rsid w:val="008F7844"/>
    <w:pPr>
      <w:widowControl/>
    </w:pPr>
    <w:rPr>
      <w:sz w:val="24"/>
    </w:rPr>
  </w:style>
  <w:style w:type="character" w:customStyle="1" w:styleId="BodyTextChar">
    <w:name w:val="Body Text Char"/>
    <w:basedOn w:val="DefaultParagraphFont"/>
    <w:link w:val="BodyText"/>
    <w:semiHidden/>
    <w:rsid w:val="008F784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6418"/>
    <w:rPr>
      <w:rFonts w:ascii="Tahoma" w:hAnsi="Tahoma" w:cs="Tahoma"/>
      <w:sz w:val="16"/>
      <w:szCs w:val="16"/>
    </w:rPr>
  </w:style>
  <w:style w:type="character" w:customStyle="1" w:styleId="BalloonTextChar">
    <w:name w:val="Balloon Text Char"/>
    <w:basedOn w:val="DefaultParagraphFont"/>
    <w:link w:val="BalloonText"/>
    <w:uiPriority w:val="99"/>
    <w:semiHidden/>
    <w:rsid w:val="00E46418"/>
    <w:rPr>
      <w:rFonts w:ascii="Tahoma" w:eastAsia="Times New Roman" w:hAnsi="Tahoma" w:cs="Tahoma"/>
      <w:sz w:val="16"/>
      <w:szCs w:val="16"/>
    </w:rPr>
  </w:style>
  <w:style w:type="table" w:styleId="TableGrid">
    <w:name w:val="Table Grid"/>
    <w:basedOn w:val="TableNormal"/>
    <w:uiPriority w:val="59"/>
    <w:rsid w:val="00E46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13C"/>
    <w:rPr>
      <w:sz w:val="16"/>
      <w:szCs w:val="16"/>
    </w:rPr>
  </w:style>
  <w:style w:type="paragraph" w:styleId="CommentText">
    <w:name w:val="annotation text"/>
    <w:basedOn w:val="Normal"/>
    <w:link w:val="CommentTextChar"/>
    <w:uiPriority w:val="99"/>
    <w:semiHidden/>
    <w:unhideWhenUsed/>
    <w:rsid w:val="008D713C"/>
  </w:style>
  <w:style w:type="character" w:customStyle="1" w:styleId="CommentTextChar">
    <w:name w:val="Comment Text Char"/>
    <w:basedOn w:val="DefaultParagraphFont"/>
    <w:link w:val="CommentText"/>
    <w:uiPriority w:val="99"/>
    <w:semiHidden/>
    <w:rsid w:val="008D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713C"/>
    <w:rPr>
      <w:b/>
      <w:bCs/>
    </w:rPr>
  </w:style>
  <w:style w:type="character" w:customStyle="1" w:styleId="CommentSubjectChar">
    <w:name w:val="Comment Subject Char"/>
    <w:basedOn w:val="CommentTextChar"/>
    <w:link w:val="CommentSubject"/>
    <w:uiPriority w:val="99"/>
    <w:semiHidden/>
    <w:rsid w:val="008D71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1B82-3DC6-4D47-9125-F440C100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cp:lastPrinted>2015-10-23T12:16:00Z</cp:lastPrinted>
  <dcterms:created xsi:type="dcterms:W3CDTF">2015-11-19T21:30:00Z</dcterms:created>
  <dcterms:modified xsi:type="dcterms:W3CDTF">2015-11-30T18:41:00Z</dcterms:modified>
</cp:coreProperties>
</file>