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836A8" w14:textId="3F0CBBD5" w:rsidR="00B10572" w:rsidRPr="00021432" w:rsidRDefault="00B10572" w:rsidP="00B10572">
      <w:pPr>
        <w:spacing w:line="480" w:lineRule="auto"/>
        <w:jc w:val="right"/>
        <w:rPr>
          <w:b/>
        </w:rPr>
      </w:pPr>
      <w:bookmarkStart w:id="0" w:name="_GoBack"/>
      <w:bookmarkEnd w:id="0"/>
      <w:r w:rsidRPr="00021432">
        <w:rPr>
          <w:b/>
        </w:rPr>
        <w:t>Billing Code: 3510-22-</w:t>
      </w:r>
      <w:r w:rsidR="00EB3CE8" w:rsidRPr="00021432">
        <w:rPr>
          <w:b/>
        </w:rPr>
        <w:t>P</w:t>
      </w:r>
    </w:p>
    <w:p w14:paraId="25B1FE80" w14:textId="77777777" w:rsidR="00792F5B" w:rsidRDefault="00792F5B" w:rsidP="00B10572">
      <w:pPr>
        <w:spacing w:line="480" w:lineRule="auto"/>
        <w:rPr>
          <w:b/>
        </w:rPr>
      </w:pPr>
    </w:p>
    <w:p w14:paraId="184AD4B6" w14:textId="77777777" w:rsidR="00B10572" w:rsidRPr="00021432" w:rsidRDefault="00B10572" w:rsidP="00B10572">
      <w:pPr>
        <w:spacing w:line="480" w:lineRule="auto"/>
        <w:rPr>
          <w:b/>
        </w:rPr>
      </w:pPr>
      <w:r w:rsidRPr="00021432">
        <w:rPr>
          <w:b/>
        </w:rPr>
        <w:t>DEPARTMENT OF COMMERCE</w:t>
      </w:r>
    </w:p>
    <w:p w14:paraId="09CF107A" w14:textId="77777777" w:rsidR="00B10572" w:rsidRPr="00021432" w:rsidRDefault="00B10572" w:rsidP="00B10572">
      <w:pPr>
        <w:spacing w:line="480" w:lineRule="auto"/>
        <w:rPr>
          <w:b/>
        </w:rPr>
      </w:pPr>
      <w:r w:rsidRPr="00021432">
        <w:rPr>
          <w:b/>
        </w:rPr>
        <w:t>National Oceanic and Atmospheric Administration</w:t>
      </w:r>
      <w:r w:rsidR="00C40F8C" w:rsidRPr="00021432">
        <w:rPr>
          <w:b/>
        </w:rPr>
        <w:t xml:space="preserve"> </w:t>
      </w:r>
    </w:p>
    <w:p w14:paraId="67B7E14C" w14:textId="3B3AFD12" w:rsidR="00B10572" w:rsidRPr="00021432" w:rsidRDefault="00B10572" w:rsidP="00B10572">
      <w:pPr>
        <w:spacing w:line="480" w:lineRule="auto"/>
        <w:rPr>
          <w:b/>
        </w:rPr>
      </w:pPr>
      <w:r w:rsidRPr="00021432">
        <w:rPr>
          <w:b/>
        </w:rPr>
        <w:t xml:space="preserve">50 CFR Part 679 </w:t>
      </w:r>
    </w:p>
    <w:p w14:paraId="144B1DAB" w14:textId="77777777" w:rsidR="00B10572" w:rsidRPr="00021432" w:rsidRDefault="00B10572" w:rsidP="00B10572">
      <w:pPr>
        <w:spacing w:line="480" w:lineRule="auto"/>
        <w:rPr>
          <w:b/>
        </w:rPr>
      </w:pPr>
      <w:r w:rsidRPr="00021432">
        <w:rPr>
          <w:b/>
        </w:rPr>
        <w:t>[Docket No.]</w:t>
      </w:r>
    </w:p>
    <w:p w14:paraId="20BDE2AB" w14:textId="026F3A11" w:rsidR="00B10572" w:rsidRPr="00021432" w:rsidRDefault="00B10572" w:rsidP="00B10572">
      <w:pPr>
        <w:spacing w:line="480" w:lineRule="auto"/>
        <w:rPr>
          <w:b/>
        </w:rPr>
      </w:pPr>
      <w:r w:rsidRPr="00021432">
        <w:rPr>
          <w:b/>
        </w:rPr>
        <w:t xml:space="preserve">RIN: </w:t>
      </w:r>
      <w:r w:rsidR="006E194A" w:rsidRPr="00021432">
        <w:rPr>
          <w:b/>
        </w:rPr>
        <w:t xml:space="preserve"> </w:t>
      </w:r>
      <w:r w:rsidR="00AD1AB9" w:rsidRPr="00AD1AB9">
        <w:rPr>
          <w:b/>
        </w:rPr>
        <w:t>0648-BF05</w:t>
      </w:r>
      <w:r w:rsidR="009C5DB9">
        <w:rPr>
          <w:b/>
        </w:rPr>
        <w:t>-X</w:t>
      </w:r>
    </w:p>
    <w:p w14:paraId="2FAD80C8" w14:textId="4723B131" w:rsidR="00B10572" w:rsidRPr="00021432" w:rsidRDefault="00B10572" w:rsidP="00B10572">
      <w:pPr>
        <w:spacing w:line="480" w:lineRule="auto"/>
        <w:rPr>
          <w:b/>
        </w:rPr>
      </w:pPr>
      <w:r w:rsidRPr="00021432">
        <w:rPr>
          <w:b/>
        </w:rPr>
        <w:t xml:space="preserve">Fisheries of the Exclusive Economic Zone Off Alaska; </w:t>
      </w:r>
      <w:r w:rsidR="00EE46F2">
        <w:rPr>
          <w:b/>
        </w:rPr>
        <w:t xml:space="preserve">Western Alaska </w:t>
      </w:r>
      <w:r w:rsidRPr="00021432">
        <w:rPr>
          <w:b/>
        </w:rPr>
        <w:t>Community Development Quota Program</w:t>
      </w:r>
    </w:p>
    <w:p w14:paraId="2E323726" w14:textId="42BED65F" w:rsidR="00B10572" w:rsidRDefault="00B10572" w:rsidP="00B10572">
      <w:pPr>
        <w:spacing w:line="480" w:lineRule="auto"/>
      </w:pPr>
      <w:r w:rsidRPr="00FC2CD8">
        <w:rPr>
          <w:b/>
        </w:rPr>
        <w:t>AGENCY:</w:t>
      </w:r>
      <w:r>
        <w:t xml:space="preserve"> </w:t>
      </w:r>
      <w:r w:rsidR="006E194A">
        <w:t xml:space="preserve"> </w:t>
      </w:r>
      <w:r>
        <w:t>National Marine Fisheries Service (NMFS), National Oceanic and Atmospheric Administration (NOAA), Commerce.</w:t>
      </w:r>
    </w:p>
    <w:p w14:paraId="577A7303" w14:textId="77777777" w:rsidR="00B10572" w:rsidRPr="00586C01" w:rsidRDefault="00B10572" w:rsidP="00B10572">
      <w:pPr>
        <w:spacing w:line="480" w:lineRule="auto"/>
      </w:pPr>
      <w:r w:rsidRPr="00FC2CD8">
        <w:rPr>
          <w:b/>
        </w:rPr>
        <w:t>ACTION:</w:t>
      </w:r>
      <w:r w:rsidR="006E194A" w:rsidRPr="00586C01">
        <w:t xml:space="preserve"> </w:t>
      </w:r>
      <w:r w:rsidRPr="00586C01">
        <w:t xml:space="preserve"> Proposed rule; request for comments.</w:t>
      </w:r>
    </w:p>
    <w:p w14:paraId="0F9B1B80" w14:textId="7A74F4CD" w:rsidR="00261627" w:rsidRDefault="000576FF" w:rsidP="00B10572">
      <w:pPr>
        <w:spacing w:line="480" w:lineRule="auto"/>
      </w:pPr>
      <w:r w:rsidRPr="00FC2CD8">
        <w:rPr>
          <w:b/>
        </w:rPr>
        <w:t>SUMMARY:</w:t>
      </w:r>
      <w:r w:rsidRPr="000576FF">
        <w:t xml:space="preserve">  NMFS issues a proposed rule that would implement </w:t>
      </w:r>
      <w:r w:rsidR="00FA356A">
        <w:t xml:space="preserve">Amendment 109 </w:t>
      </w:r>
      <w:r w:rsidRPr="000576FF">
        <w:t>to the Fishery Management Plan for Groundfish of the Bering Sea and Aleutian Islands Management Area</w:t>
      </w:r>
      <w:r w:rsidR="000827DE">
        <w:t xml:space="preserve"> (FMP)</w:t>
      </w:r>
      <w:r w:rsidRPr="000576FF">
        <w:t xml:space="preserve">. If approved, </w:t>
      </w:r>
      <w:r w:rsidR="009E6EDF">
        <w:t xml:space="preserve">this proposed rule would amend regulations </w:t>
      </w:r>
      <w:r w:rsidR="00646AEF" w:rsidRPr="00646AEF">
        <w:t>governing the Western Alaska Community Development Quota (CDQ) Program</w:t>
      </w:r>
      <w:r w:rsidR="009E6EDF">
        <w:t xml:space="preserve"> to </w:t>
      </w:r>
      <w:r w:rsidR="00646AEF" w:rsidRPr="00646AEF">
        <w:t>support increased participation in the groundfish CDQ fisheries (primarily Pacific cod) by catcher vessel</w:t>
      </w:r>
      <w:r w:rsidR="00817AD0">
        <w:t xml:space="preserve">s less than or equal to 46 feet (ft) </w:t>
      </w:r>
      <w:r w:rsidR="00646AEF" w:rsidRPr="00646AEF">
        <w:t xml:space="preserve">(14.0 </w:t>
      </w:r>
      <w:r w:rsidR="00DD0AE3">
        <w:t>meters (</w:t>
      </w:r>
      <w:r w:rsidR="00646AEF" w:rsidRPr="00646AEF">
        <w:t>m</w:t>
      </w:r>
      <w:r w:rsidR="00DD0AE3">
        <w:t>)</w:t>
      </w:r>
      <w:r w:rsidR="00646AEF" w:rsidRPr="00646AEF">
        <w:t xml:space="preserve">) length overall (LOA) using hook-and-line gear. </w:t>
      </w:r>
      <w:r w:rsidR="000827DE">
        <w:t>Specifically, t</w:t>
      </w:r>
      <w:r w:rsidR="00AC33B7">
        <w:t>his</w:t>
      </w:r>
      <w:r w:rsidR="00646AEF" w:rsidRPr="00646AEF">
        <w:t xml:space="preserve"> proposed </w:t>
      </w:r>
      <w:r w:rsidR="0013597E">
        <w:t xml:space="preserve">rule </w:t>
      </w:r>
      <w:r w:rsidR="00646AEF" w:rsidRPr="00646AEF">
        <w:t xml:space="preserve">would </w:t>
      </w:r>
      <w:r w:rsidR="000827DE">
        <w:t>exempt</w:t>
      </w:r>
      <w:r w:rsidR="00646AEF" w:rsidRPr="00646AEF">
        <w:t xml:space="preserve"> operators of </w:t>
      </w:r>
      <w:r w:rsidR="000827DE">
        <w:t xml:space="preserve">registered </w:t>
      </w:r>
      <w:r w:rsidR="00646AEF" w:rsidRPr="00646AEF">
        <w:t>catcher vessels greater than 32 ft</w:t>
      </w:r>
      <w:r w:rsidR="00027916">
        <w:t xml:space="preserve"> (9.8</w:t>
      </w:r>
      <w:r w:rsidR="00646AEF" w:rsidRPr="00646AEF">
        <w:t xml:space="preserve"> m) LOA and less than or equal to 46 ft LOA using hook-and-line gear </w:t>
      </w:r>
      <w:r w:rsidR="009F6602">
        <w:t xml:space="preserve">from the requirement </w:t>
      </w:r>
      <w:r w:rsidR="00646AEF" w:rsidRPr="00646AEF">
        <w:t>to obtain and carry a License Limitation Program license</w:t>
      </w:r>
      <w:r w:rsidR="000827DE">
        <w:t xml:space="preserve"> wh</w:t>
      </w:r>
      <w:r w:rsidR="00856510">
        <w:t>en</w:t>
      </w:r>
      <w:r w:rsidR="000827DE">
        <w:t xml:space="preserve"> groundfish CDQ fishing</w:t>
      </w:r>
      <w:r w:rsidR="00646AEF" w:rsidRPr="00646AEF">
        <w:t>.</w:t>
      </w:r>
      <w:r w:rsidR="00817AD0">
        <w:t xml:space="preserve"> </w:t>
      </w:r>
      <w:r w:rsidR="00646AEF" w:rsidRPr="00646AEF">
        <w:t xml:space="preserve">The proposed </w:t>
      </w:r>
      <w:r w:rsidR="0013597E">
        <w:t xml:space="preserve">rule </w:t>
      </w:r>
      <w:r w:rsidR="00646AEF" w:rsidRPr="00646AEF">
        <w:t xml:space="preserve">also would </w:t>
      </w:r>
      <w:r w:rsidR="00646AEF" w:rsidRPr="00646AEF">
        <w:lastRenderedPageBreak/>
        <w:t xml:space="preserve">reduce observer coverage requirements for </w:t>
      </w:r>
      <w:r w:rsidR="009E126F">
        <w:t xml:space="preserve">catcher </w:t>
      </w:r>
      <w:r w:rsidR="00646AEF" w:rsidRPr="00646AEF">
        <w:t xml:space="preserve">vessels less than or equal to 46 ft LOA </w:t>
      </w:r>
      <w:r w:rsidR="000827DE">
        <w:t>wh</w:t>
      </w:r>
      <w:r w:rsidR="00856510">
        <w:t>en</w:t>
      </w:r>
      <w:r w:rsidR="000827DE">
        <w:t xml:space="preserve"> groundfish CDQ fishing, </w:t>
      </w:r>
      <w:r w:rsidR="00646AEF" w:rsidRPr="00646AEF">
        <w:t xml:space="preserve">and implement new </w:t>
      </w:r>
      <w:r w:rsidR="00AC73D5">
        <w:t xml:space="preserve">in-season management and </w:t>
      </w:r>
      <w:r w:rsidR="00646AEF" w:rsidRPr="00646AEF">
        <w:t xml:space="preserve">catch accounting requirements to properly account for the harvest of groundfish and halibut and the accrual of halibut prohibited species </w:t>
      </w:r>
      <w:r w:rsidR="00A36CDD">
        <w:t>catch</w:t>
      </w:r>
      <w:r w:rsidR="0013597E">
        <w:t xml:space="preserve"> in these fisheries</w:t>
      </w:r>
      <w:r w:rsidR="00646AEF" w:rsidRPr="00646AEF">
        <w:t xml:space="preserve">. </w:t>
      </w:r>
      <w:r w:rsidR="00CC7671">
        <w:t xml:space="preserve">In addition to the proposed regulations necessary to implement Amendment 109, NMFS proposes to </w:t>
      </w:r>
      <w:r w:rsidR="00CC7671" w:rsidRPr="00BA4FF9">
        <w:t xml:space="preserve">remove </w:t>
      </w:r>
      <w:r w:rsidR="004572A7">
        <w:t>a</w:t>
      </w:r>
      <w:r w:rsidR="00CC7671" w:rsidRPr="00BA4FF9">
        <w:t xml:space="preserve"> table </w:t>
      </w:r>
      <w:r w:rsidR="004572A7">
        <w:t xml:space="preserve">in the regulations </w:t>
      </w:r>
      <w:r w:rsidR="00F564B7">
        <w:t>because it</w:t>
      </w:r>
      <w:r w:rsidR="00CC7671">
        <w:t xml:space="preserve"> is no longer necessary. </w:t>
      </w:r>
      <w:r w:rsidR="000827DE" w:rsidRPr="009B2651">
        <w:t>Th</w:t>
      </w:r>
      <w:r w:rsidR="000827DE">
        <w:t>is action is intended to facilitate i</w:t>
      </w:r>
      <w:r w:rsidR="000827DE" w:rsidRPr="009B2651">
        <w:t>ncrease</w:t>
      </w:r>
      <w:r w:rsidR="000827DE">
        <w:t>d</w:t>
      </w:r>
      <w:r w:rsidR="000827DE" w:rsidRPr="009B2651">
        <w:t xml:space="preserve"> participation by residents of CDQ communities in the groundfish fisheries</w:t>
      </w:r>
      <w:r w:rsidR="000827DE">
        <w:t xml:space="preserve"> in the Bering Sea and A</w:t>
      </w:r>
      <w:r w:rsidR="00382ABF">
        <w:t>leutian Islands Management Area</w:t>
      </w:r>
      <w:r w:rsidR="000827DE" w:rsidRPr="009B2651">
        <w:t>, and to support economic development in western Alaska</w:t>
      </w:r>
      <w:r w:rsidR="000827DE">
        <w:t xml:space="preserve">.  </w:t>
      </w:r>
      <w:r w:rsidR="00646AEF" w:rsidRPr="00646AEF">
        <w:t>This action is necessary to promote the goals of the CDQ Program</w:t>
      </w:r>
      <w:r w:rsidR="009E6EDF">
        <w:t>,</w:t>
      </w:r>
      <w:r w:rsidR="00646AEF" w:rsidRPr="00646AEF">
        <w:t xml:space="preserve"> </w:t>
      </w:r>
      <w:r w:rsidR="009E5365">
        <w:t xml:space="preserve">and </w:t>
      </w:r>
      <w:r w:rsidR="00646AEF" w:rsidRPr="00646AEF">
        <w:t xml:space="preserve">to </w:t>
      </w:r>
      <w:r w:rsidR="00D31C02" w:rsidRPr="000576FF">
        <w:t xml:space="preserve">promote the goals and objectives of the </w:t>
      </w:r>
      <w:r w:rsidR="000827DE">
        <w:t xml:space="preserve">FMP, the </w:t>
      </w:r>
      <w:r w:rsidR="00D31C02" w:rsidRPr="000576FF">
        <w:t>Magnuson-Stevens Fishery Conservation and Management Act</w:t>
      </w:r>
      <w:r w:rsidR="000827DE">
        <w:t>,</w:t>
      </w:r>
      <w:r w:rsidR="00D31C02" w:rsidRPr="000576FF">
        <w:t xml:space="preserve"> and other applicable laws.</w:t>
      </w:r>
      <w:r w:rsidR="00D31C02">
        <w:t xml:space="preserve"> </w:t>
      </w:r>
    </w:p>
    <w:p w14:paraId="4C7AB612" w14:textId="5C92E323" w:rsidR="00B10572" w:rsidRDefault="00B10572" w:rsidP="00B10572">
      <w:pPr>
        <w:spacing w:line="480" w:lineRule="auto"/>
      </w:pPr>
      <w:r w:rsidRPr="00FC2CD8">
        <w:rPr>
          <w:b/>
        </w:rPr>
        <w:t>DATES:</w:t>
      </w:r>
      <w:r>
        <w:t xml:space="preserve"> </w:t>
      </w:r>
      <w:r w:rsidR="006E194A">
        <w:t xml:space="preserve"> </w:t>
      </w:r>
      <w:r w:rsidR="00884F82">
        <w:t>Submit comments on or before</w:t>
      </w:r>
      <w:r>
        <w:t xml:space="preserve"> [</w:t>
      </w:r>
      <w:r w:rsidRPr="00FC2CD8">
        <w:rPr>
          <w:i/>
        </w:rPr>
        <w:t xml:space="preserve">insert date 30 days after date of publication in the </w:t>
      </w:r>
      <w:r w:rsidRPr="00792EEE">
        <w:rPr>
          <w:b/>
          <w:i/>
        </w:rPr>
        <w:t>FEDERAL REGISTER</w:t>
      </w:r>
      <w:r>
        <w:t>].</w:t>
      </w:r>
    </w:p>
    <w:p w14:paraId="1AA7AFB3" w14:textId="46BC2B3D" w:rsidR="00E623D7" w:rsidRPr="00DB43F9" w:rsidRDefault="00E623D7" w:rsidP="00E623D7">
      <w:pPr>
        <w:numPr>
          <w:ilvl w:val="12"/>
          <w:numId w:val="0"/>
        </w:numPr>
        <w:spacing w:line="480" w:lineRule="auto"/>
      </w:pPr>
      <w:r w:rsidRPr="00FC2CD8">
        <w:rPr>
          <w:b/>
        </w:rPr>
        <w:t>ADDRESSES:</w:t>
      </w:r>
      <w:r w:rsidRPr="00E623D7">
        <w:t xml:space="preserve"> You may submit comments on this document, identified by </w:t>
      </w:r>
      <w:r w:rsidR="00DB43F9" w:rsidRPr="00DB43F9">
        <w:rPr>
          <w:bCs/>
        </w:rPr>
        <w:t>NOAA-NMFS-2015-0060</w:t>
      </w:r>
      <w:r w:rsidRPr="00DB43F9">
        <w:t>, by any of the following methods:</w:t>
      </w:r>
    </w:p>
    <w:p w14:paraId="05F8A5E7" w14:textId="66E9AF5E" w:rsidR="00E94C2B" w:rsidRPr="00E94C2B" w:rsidRDefault="00E94C2B" w:rsidP="00E94C2B">
      <w:pPr>
        <w:pStyle w:val="Level1"/>
        <w:widowControl w:val="0"/>
        <w:numPr>
          <w:ilvl w:val="0"/>
          <w:numId w:val="11"/>
        </w:numPr>
        <w:tabs>
          <w:tab w:val="left" w:pos="720"/>
        </w:tabs>
        <w:spacing w:line="480" w:lineRule="auto"/>
      </w:pPr>
      <w:r w:rsidRPr="00DB43F9">
        <w:t xml:space="preserve">Electronic Submission: Submit all electronic public comments via the Federal eRulemaking Portal. </w:t>
      </w:r>
      <w:r w:rsidRPr="00DB43F9">
        <w:rPr>
          <w:color w:val="222222"/>
        </w:rPr>
        <w:t>Go to </w:t>
      </w:r>
      <w:r w:rsidRPr="00792EEE">
        <w:rPr>
          <w:i/>
        </w:rPr>
        <w:t>www.re</w:t>
      </w:r>
      <w:r w:rsidR="00DB43F9" w:rsidRPr="00792EEE">
        <w:rPr>
          <w:i/>
        </w:rPr>
        <w:t>gulations.gov/#!docketDetail;D=</w:t>
      </w:r>
      <w:r w:rsidR="00DB43F9" w:rsidRPr="00792EEE">
        <w:rPr>
          <w:bCs/>
          <w:i/>
        </w:rPr>
        <w:t>NOAA-NMFS-2015-0060</w:t>
      </w:r>
      <w:r w:rsidRPr="00DB43F9">
        <w:rPr>
          <w:color w:val="222222"/>
        </w:rPr>
        <w:t>,</w:t>
      </w:r>
      <w:r>
        <w:rPr>
          <w:color w:val="222222"/>
        </w:rPr>
        <w:t> </w:t>
      </w:r>
      <w:r w:rsidRPr="005B35CD">
        <w:t>click the “Comment Now!” icon, complete the required fields, and enter</w:t>
      </w:r>
      <w:r w:rsidR="00E51A1C">
        <w:t xml:space="preserve"> </w:t>
      </w:r>
      <w:r w:rsidRPr="005B35CD">
        <w:t>or attach your comments</w:t>
      </w:r>
      <w:r w:rsidRPr="00E94C2B">
        <w:t>.</w:t>
      </w:r>
    </w:p>
    <w:p w14:paraId="2F014278" w14:textId="7FE7DDA3" w:rsidR="00E94C2B" w:rsidRPr="00E94C2B" w:rsidRDefault="00E94C2B" w:rsidP="000313FB">
      <w:pPr>
        <w:widowControl w:val="0"/>
        <w:numPr>
          <w:ilvl w:val="0"/>
          <w:numId w:val="11"/>
        </w:numPr>
        <w:tabs>
          <w:tab w:val="left" w:pos="720"/>
        </w:tabs>
        <w:autoSpaceDE w:val="0"/>
        <w:autoSpaceDN w:val="0"/>
        <w:adjustRightInd w:val="0"/>
        <w:spacing w:line="480" w:lineRule="auto"/>
      </w:pPr>
      <w:r w:rsidRPr="00E94C2B">
        <w:t xml:space="preserve">Mail: </w:t>
      </w:r>
      <w:r w:rsidR="00674983">
        <w:t xml:space="preserve">Submit </w:t>
      </w:r>
      <w:r w:rsidRPr="00E94C2B">
        <w:t xml:space="preserve">written comments to Glenn Merrill, Assistant Regional Administrator, Sustainable Fisheries Division, Alaska Region NMFS, Attn: </w:t>
      </w:r>
      <w:r w:rsidRPr="00E94C2B">
        <w:lastRenderedPageBreak/>
        <w:t>Ellen Sebastian. Mail comments to P. O. Box 21668, Juneau, AK 99802-1668.</w:t>
      </w:r>
      <w:r w:rsidR="005C32C0">
        <w:t xml:space="preserve">  </w:t>
      </w:r>
    </w:p>
    <w:p w14:paraId="521E0BE7" w14:textId="76B3D0EC" w:rsidR="00286C04" w:rsidRDefault="00286C04" w:rsidP="000313FB">
      <w:pPr>
        <w:numPr>
          <w:ilvl w:val="12"/>
          <w:numId w:val="0"/>
        </w:numPr>
        <w:spacing w:line="480" w:lineRule="auto"/>
        <w:ind w:firstLine="720"/>
      </w:pPr>
      <w:r w:rsidRPr="00286C04">
        <w:rPr>
          <w:bCs/>
        </w:rPr>
        <w:t>Instructions:</w:t>
      </w:r>
      <w:r w:rsidRPr="00286C04">
        <w:t> Comments sent by any other method, to any other address or individual, or received after the end of the comment period, may not be considered by NMFS. All comments received are a part of the public record and will generally be posted for public viewing on</w:t>
      </w:r>
      <w:r w:rsidR="00AF295C">
        <w:t xml:space="preserve"> </w:t>
      </w:r>
      <w:hyperlink r:id="rId9" w:tgtFrame="_blank" w:history="1">
        <w:r w:rsidRPr="00792EEE">
          <w:rPr>
            <w:rStyle w:val="Hyperlink"/>
            <w:i/>
            <w:u w:val="none"/>
          </w:rPr>
          <w:t>www.regulations.gov</w:t>
        </w:r>
      </w:hyperlink>
      <w:r w:rsidR="00AF295C">
        <w:t xml:space="preserve"> </w:t>
      </w:r>
      <w:r w:rsidRPr="00286C04">
        <w:t>without change. All personal identifying information (e.g., name, address), confidential business information, or otherwise sensitive information submitted voluntarily by the sender will be publicly accessible.</w:t>
      </w:r>
      <w:r w:rsidR="00DD5351">
        <w:t xml:space="preserve"> </w:t>
      </w:r>
      <w:r w:rsidRPr="00286C04">
        <w:t>NMFS will ac</w:t>
      </w:r>
      <w:r w:rsidR="00D37D70">
        <w:t>cept anonymous comments (enter “</w:t>
      </w:r>
      <w:r w:rsidRPr="00286C04">
        <w:t>N/A</w:t>
      </w:r>
      <w:r w:rsidR="00D37D70">
        <w:t>”</w:t>
      </w:r>
      <w:r w:rsidRPr="00286C04">
        <w:t xml:space="preserve"> in the required fields if you wish to remain anonymous). </w:t>
      </w:r>
      <w:r w:rsidR="00DD5351">
        <w:t xml:space="preserve"> </w:t>
      </w:r>
    </w:p>
    <w:p w14:paraId="65BB7F26" w14:textId="3D0D2C77" w:rsidR="00286C04" w:rsidRPr="00163017" w:rsidRDefault="00026343" w:rsidP="00163017">
      <w:pPr>
        <w:spacing w:line="480" w:lineRule="auto"/>
      </w:pPr>
      <w:r>
        <w:tab/>
      </w:r>
      <w:r w:rsidR="00286C04" w:rsidRPr="00286C04">
        <w:t xml:space="preserve">Electronic copies of the </w:t>
      </w:r>
      <w:r w:rsidR="00163017" w:rsidRPr="00286C04">
        <w:t>Regulatory Impact Review/Initial Regulatory Flexibility Analysis</w:t>
      </w:r>
      <w:r w:rsidR="00163017">
        <w:t>/Environmental Assessment</w:t>
      </w:r>
      <w:r w:rsidR="00163017" w:rsidRPr="00286C04">
        <w:t xml:space="preserve"> (RIR/</w:t>
      </w:r>
      <w:r w:rsidR="00163017">
        <w:t xml:space="preserve">IRFA/EA) </w:t>
      </w:r>
      <w:r w:rsidR="00163017" w:rsidRPr="00286C04">
        <w:t>prepared for this actio</w:t>
      </w:r>
      <w:r w:rsidR="00163017">
        <w:t xml:space="preserve">n (collectively the “Analysis”) is </w:t>
      </w:r>
      <w:r>
        <w:t>available</w:t>
      </w:r>
      <w:r w:rsidR="00286C04" w:rsidRPr="00286C04">
        <w:t xml:space="preserve"> from </w:t>
      </w:r>
      <w:r w:rsidR="00286C04" w:rsidRPr="00E63372">
        <w:rPr>
          <w:i/>
        </w:rPr>
        <w:t>http://www.regulati</w:t>
      </w:r>
      <w:bookmarkStart w:id="1" w:name="_Hlt409530602"/>
      <w:r w:rsidR="00286C04" w:rsidRPr="00E63372">
        <w:rPr>
          <w:i/>
        </w:rPr>
        <w:t>o</w:t>
      </w:r>
      <w:bookmarkEnd w:id="1"/>
      <w:r w:rsidR="00286C04" w:rsidRPr="00E63372">
        <w:rPr>
          <w:i/>
        </w:rPr>
        <w:t>ns.gov</w:t>
      </w:r>
      <w:r w:rsidR="00286C04" w:rsidRPr="00286C04">
        <w:t xml:space="preserve"> or from the NMFS Alaska Region </w:t>
      </w:r>
      <w:r>
        <w:t>W</w:t>
      </w:r>
      <w:r w:rsidRPr="00286C04">
        <w:t>eb</w:t>
      </w:r>
      <w:r>
        <w:t xml:space="preserve"> </w:t>
      </w:r>
      <w:r w:rsidRPr="00286C04">
        <w:t>site</w:t>
      </w:r>
      <w:r w:rsidR="00286C04" w:rsidRPr="00286C04">
        <w:t xml:space="preserve"> at </w:t>
      </w:r>
      <w:r w:rsidR="00286C04" w:rsidRPr="00E63372">
        <w:rPr>
          <w:i/>
        </w:rPr>
        <w:t>http://alaskafishe</w:t>
      </w:r>
      <w:bookmarkStart w:id="2" w:name="_Hlt409530597"/>
      <w:bookmarkStart w:id="3" w:name="_Hlt409530598"/>
      <w:r w:rsidR="00286C04" w:rsidRPr="00E63372">
        <w:rPr>
          <w:i/>
        </w:rPr>
        <w:t>r</w:t>
      </w:r>
      <w:bookmarkEnd w:id="2"/>
      <w:bookmarkEnd w:id="3"/>
      <w:r w:rsidR="00286C04" w:rsidRPr="00E63372">
        <w:rPr>
          <w:i/>
        </w:rPr>
        <w:t>ies.noaa.gov</w:t>
      </w:r>
      <w:r w:rsidR="005804EA">
        <w:rPr>
          <w:i/>
        </w:rPr>
        <w:t>.</w:t>
      </w:r>
    </w:p>
    <w:p w14:paraId="6AC68A68" w14:textId="5DC916B6" w:rsidR="00286C04" w:rsidRPr="00286C04" w:rsidRDefault="00E51A1C" w:rsidP="00286C04">
      <w:pPr>
        <w:numPr>
          <w:ilvl w:val="12"/>
          <w:numId w:val="0"/>
        </w:numPr>
        <w:spacing w:line="480" w:lineRule="auto"/>
      </w:pPr>
      <w:r>
        <w:tab/>
      </w:r>
      <w:r w:rsidR="00286C04" w:rsidRPr="00286C04">
        <w:t xml:space="preserve">Written comments regarding the burden-hour estimates or other aspects of the collection-of-information requirements contained in this </w:t>
      </w:r>
      <w:r w:rsidR="00A352BD">
        <w:t xml:space="preserve">proposed </w:t>
      </w:r>
      <w:r>
        <w:t>rule</w:t>
      </w:r>
      <w:r w:rsidR="00286C04" w:rsidRPr="00286C04">
        <w:t xml:space="preserve"> may be submitted to </w:t>
      </w:r>
      <w:r w:rsidRPr="00E51A1C">
        <w:t>NMFS Alaska Region, P.O. Box 21668, Juneau, AK 99802, Attn: Ellen Sebastian, Records Officer; in person at NMFS Alaska Region</w:t>
      </w:r>
      <w:r w:rsidR="008D61AC">
        <w:t>,</w:t>
      </w:r>
      <w:r w:rsidRPr="00E51A1C">
        <w:t xml:space="preserve"> 709 West 9</w:t>
      </w:r>
      <w:r w:rsidRPr="00E51A1C">
        <w:rPr>
          <w:vertAlign w:val="superscript"/>
        </w:rPr>
        <w:t>th</w:t>
      </w:r>
      <w:r w:rsidRPr="00E51A1C">
        <w:t xml:space="preserve"> Street, Room 420A, Juneau, AK;</w:t>
      </w:r>
      <w:r w:rsidR="00286C04" w:rsidRPr="00286C04">
        <w:t xml:space="preserve"> and by e-mail to </w:t>
      </w:r>
      <w:r w:rsidR="00286C04" w:rsidRPr="00A86C35">
        <w:rPr>
          <w:i/>
        </w:rPr>
        <w:t>OIRA_Submission@omb.eop.gov</w:t>
      </w:r>
      <w:r w:rsidR="00286C04" w:rsidRPr="00286C04">
        <w:t xml:space="preserve"> or fax</w:t>
      </w:r>
      <w:r>
        <w:t>ed</w:t>
      </w:r>
      <w:r w:rsidR="00286C04" w:rsidRPr="00286C04">
        <w:t xml:space="preserve"> to </w:t>
      </w:r>
      <w:r w:rsidR="00B54CF2" w:rsidRPr="00B54CF2">
        <w:t>202-395-5806</w:t>
      </w:r>
      <w:r w:rsidR="00286C04" w:rsidRPr="00286C04">
        <w:t xml:space="preserve">.  </w:t>
      </w:r>
    </w:p>
    <w:p w14:paraId="5DB8A420" w14:textId="21C660E8" w:rsidR="0084202E" w:rsidRDefault="00B10572" w:rsidP="00B10572">
      <w:pPr>
        <w:numPr>
          <w:ilvl w:val="12"/>
          <w:numId w:val="0"/>
        </w:numPr>
        <w:spacing w:line="480" w:lineRule="auto"/>
      </w:pPr>
      <w:r w:rsidRPr="00750935">
        <w:rPr>
          <w:b/>
        </w:rPr>
        <w:t>FOR FURTHER INFORMATION CONTACT:</w:t>
      </w:r>
      <w:r w:rsidR="00F87966">
        <w:rPr>
          <w:b/>
        </w:rPr>
        <w:t xml:space="preserve"> </w:t>
      </w:r>
      <w:r w:rsidR="00F87966">
        <w:t>Sally Bibb</w:t>
      </w:r>
      <w:r w:rsidR="00F73007">
        <w:t>, 907-586-7389</w:t>
      </w:r>
      <w:r w:rsidR="0084202E">
        <w:t>.</w:t>
      </w:r>
    </w:p>
    <w:p w14:paraId="0F7D527E" w14:textId="77777777" w:rsidR="007D59FE" w:rsidRPr="00750935" w:rsidRDefault="00B10572" w:rsidP="00B10572">
      <w:pPr>
        <w:numPr>
          <w:ilvl w:val="12"/>
          <w:numId w:val="0"/>
        </w:numPr>
        <w:spacing w:line="480" w:lineRule="auto"/>
        <w:rPr>
          <w:b/>
        </w:rPr>
      </w:pPr>
      <w:r w:rsidRPr="009D2C3D">
        <w:rPr>
          <w:b/>
        </w:rPr>
        <w:t>SUPPLEMENTARY INFORMATION</w:t>
      </w:r>
      <w:r w:rsidR="00F3190D" w:rsidRPr="009D2C3D">
        <w:rPr>
          <w:b/>
        </w:rPr>
        <w:t>:</w:t>
      </w:r>
    </w:p>
    <w:p w14:paraId="55D270B5" w14:textId="77777777" w:rsidR="007D59FE" w:rsidRPr="003354FC" w:rsidRDefault="007D59FE" w:rsidP="00B10572">
      <w:pPr>
        <w:numPr>
          <w:ilvl w:val="12"/>
          <w:numId w:val="0"/>
        </w:numPr>
        <w:spacing w:line="480" w:lineRule="auto"/>
        <w:rPr>
          <w:b/>
        </w:rPr>
      </w:pPr>
      <w:r w:rsidRPr="003354FC">
        <w:rPr>
          <w:b/>
        </w:rPr>
        <w:t>Authority for Action</w:t>
      </w:r>
    </w:p>
    <w:p w14:paraId="053AADCB" w14:textId="54EF6EA1" w:rsidR="00B10572" w:rsidRPr="00586C01" w:rsidRDefault="00B10572" w:rsidP="007D59FE">
      <w:pPr>
        <w:numPr>
          <w:ilvl w:val="12"/>
          <w:numId w:val="0"/>
        </w:numPr>
        <w:spacing w:line="480" w:lineRule="auto"/>
        <w:ind w:firstLine="720"/>
      </w:pPr>
      <w:r w:rsidRPr="002E6739">
        <w:lastRenderedPageBreak/>
        <w:t xml:space="preserve">NMFS manages the groundfish fisheries of the Bering Sea and Aleutian Islands </w:t>
      </w:r>
      <w:r w:rsidR="002E6739" w:rsidRPr="002E6739">
        <w:t xml:space="preserve">management area (BSAI) under the </w:t>
      </w:r>
      <w:r w:rsidR="00D80046" w:rsidRPr="000576FF">
        <w:t>Fishery Management Plan for Groundfish of the Bering Sea and Aleutian Islands Management Area (FMP)</w:t>
      </w:r>
      <w:r w:rsidR="006858F9">
        <w:t xml:space="preserve">. </w:t>
      </w:r>
      <w:r w:rsidR="002E6739" w:rsidRPr="002E6739">
        <w:t xml:space="preserve">The North Pacific Fishery Management Council (Council) prepared the FMP pursuant to the Magnuson-Stevens </w:t>
      </w:r>
      <w:r w:rsidR="00856DD1">
        <w:t xml:space="preserve">Fishery Conservation and Management </w:t>
      </w:r>
      <w:r w:rsidR="002E6739" w:rsidRPr="002E6739">
        <w:t xml:space="preserve">Act </w:t>
      </w:r>
      <w:r w:rsidR="00856DD1">
        <w:t xml:space="preserve">(Magnuson-Stevens Act) </w:t>
      </w:r>
      <w:r w:rsidR="002E6739" w:rsidRPr="002E6739">
        <w:t xml:space="preserve">(16 U.S.C. 1801, </w:t>
      </w:r>
      <w:r w:rsidR="002E6739" w:rsidRPr="007054F3">
        <w:rPr>
          <w:i/>
        </w:rPr>
        <w:t>et seq</w:t>
      </w:r>
      <w:r w:rsidR="00856DD1">
        <w:t>.)</w:t>
      </w:r>
      <w:r w:rsidR="002E6739" w:rsidRPr="002E6739">
        <w:t xml:space="preserve">. Regulations governing </w:t>
      </w:r>
      <w:r w:rsidR="0058417A" w:rsidRPr="00586C01">
        <w:t>U.S. fisheries and implementing the FMP appear at 50 CFR parts 600 and 679.</w:t>
      </w:r>
    </w:p>
    <w:p w14:paraId="3729F6A6" w14:textId="62195C9B" w:rsidR="0058417A" w:rsidRDefault="0058417A" w:rsidP="007D59FE">
      <w:pPr>
        <w:numPr>
          <w:ilvl w:val="12"/>
          <w:numId w:val="0"/>
        </w:numPr>
        <w:spacing w:line="480" w:lineRule="auto"/>
        <w:ind w:firstLine="720"/>
      </w:pPr>
      <w:r w:rsidRPr="00586C01">
        <w:t>The International Pacific Halibut Commission (IPHC) and NMFS manage fishing for Pacific halibut through regulations established under the authority of the Northern Pacific Halibut Act of 1982 (Halibut Act).</w:t>
      </w:r>
      <w:r w:rsidR="00DD5351">
        <w:t xml:space="preserve"> </w:t>
      </w:r>
      <w:r w:rsidRPr="00586C01">
        <w:t>The IPHC promulgates regulations governing the halibut fishery under the Convention between the United States and Canada for the Preservation of the Halibut Fishery of the Northern Pacific Ocean and Bering Sea (Convention).</w:t>
      </w:r>
      <w:r w:rsidR="00DD5351">
        <w:t xml:space="preserve"> </w:t>
      </w:r>
      <w:r w:rsidRPr="00586C01">
        <w:t>The IPHC’s regulations are subject to approval by the Secretary of State with concurrence of the Secretary of Commerce (Secretary)</w:t>
      </w:r>
      <w:r w:rsidR="006858F9">
        <w:t xml:space="preserve">. </w:t>
      </w:r>
      <w:r w:rsidRPr="00586C01">
        <w:t>NMFS publishes the IPHC’s regulations as annual management measures pursuant to 50 CFR 300.62.</w:t>
      </w:r>
    </w:p>
    <w:p w14:paraId="5FE81718" w14:textId="70A32835" w:rsidR="0058417A" w:rsidRPr="00586C01" w:rsidRDefault="0058417A" w:rsidP="0058417A">
      <w:pPr>
        <w:numPr>
          <w:ilvl w:val="12"/>
          <w:numId w:val="0"/>
        </w:numPr>
        <w:spacing w:line="480" w:lineRule="auto"/>
        <w:ind w:firstLine="720"/>
      </w:pPr>
      <w:r w:rsidRPr="00586C01">
        <w:t>The Halibut Act, at sections 773c(a) and (b), provides the Secretary with general responsibility to carry out the Convention and the Halibut Act</w:t>
      </w:r>
      <w:r w:rsidR="006858F9">
        <w:t xml:space="preserve">. </w:t>
      </w:r>
      <w:r w:rsidRPr="00586C01">
        <w:t>In adopting regulations that may be necessary to carry out the purposes and objectives of the Convention and the Halibut Act, the Secretary is directed to consult with the Secretary of the department in which the U.S. Coast Guard is operating, currently the Department of Homeland Security.</w:t>
      </w:r>
    </w:p>
    <w:p w14:paraId="65CAD6EC" w14:textId="643BF0DD" w:rsidR="0058417A" w:rsidRPr="00586C01" w:rsidRDefault="0058417A" w:rsidP="0058417A">
      <w:pPr>
        <w:numPr>
          <w:ilvl w:val="12"/>
          <w:numId w:val="0"/>
        </w:numPr>
        <w:spacing w:line="480" w:lineRule="auto"/>
        <w:ind w:firstLine="720"/>
      </w:pPr>
      <w:r w:rsidRPr="00586C01">
        <w:lastRenderedPageBreak/>
        <w:t>The Halibut Act, at section 773c(c), also provides the Council with authority to develop regulations, including limited access regulations, that are in addition to, and not in conflict with, approved IPHC regulations</w:t>
      </w:r>
      <w:r w:rsidR="006858F9">
        <w:t xml:space="preserve">. </w:t>
      </w:r>
      <w:r w:rsidRPr="00586C01">
        <w:t>Regulations developed by the Council may be implemented by NMFS only after approval by the Secretary</w:t>
      </w:r>
      <w:r w:rsidR="006858F9">
        <w:t xml:space="preserve">. </w:t>
      </w:r>
      <w:r w:rsidRPr="00586C01">
        <w:t xml:space="preserve">The Council </w:t>
      </w:r>
      <w:r w:rsidR="007422C5">
        <w:t xml:space="preserve">exercised this authority to allocate halibut to the CDQ Program as part of the </w:t>
      </w:r>
      <w:r w:rsidRPr="00586C01">
        <w:t>Individual Fishing Quota (IFQ) Program for the commercial halibut and sablefish fisheries, codified at 50 CFR part 679, under the authority of section 773 of the Halibut Act and section 303(b) of the Magnuson-Stevens Act (16 U.S.C. 18</w:t>
      </w:r>
      <w:r w:rsidR="00F34513">
        <w:t>53(b)</w:t>
      </w:r>
      <w:r w:rsidRPr="00586C01">
        <w:t>).</w:t>
      </w:r>
    </w:p>
    <w:p w14:paraId="31A40875" w14:textId="423CE315" w:rsidR="00B713AA" w:rsidRPr="00586C01" w:rsidRDefault="00B713AA" w:rsidP="00B10572">
      <w:pPr>
        <w:numPr>
          <w:ilvl w:val="12"/>
          <w:numId w:val="0"/>
        </w:numPr>
        <w:spacing w:line="480" w:lineRule="auto"/>
      </w:pPr>
      <w:r w:rsidRPr="00586C01">
        <w:tab/>
        <w:t xml:space="preserve">The Council submitted </w:t>
      </w:r>
      <w:r w:rsidR="00FA356A">
        <w:t xml:space="preserve">Amendment 109 </w:t>
      </w:r>
      <w:r w:rsidRPr="00586C01">
        <w:t xml:space="preserve">for review by the </w:t>
      </w:r>
      <w:r w:rsidR="00A60E3C" w:rsidRPr="00586C01">
        <w:t>Secretary</w:t>
      </w:r>
      <w:r w:rsidRPr="00586C01">
        <w:t xml:space="preserve">, and a notice of availability of </w:t>
      </w:r>
      <w:r w:rsidR="00FA356A">
        <w:t xml:space="preserve">Amendment 109 </w:t>
      </w:r>
      <w:r w:rsidRPr="00586C01">
        <w:t xml:space="preserve">was published in the </w:t>
      </w:r>
      <w:r w:rsidRPr="00750935">
        <w:rPr>
          <w:b/>
        </w:rPr>
        <w:t>Federal Register</w:t>
      </w:r>
      <w:r w:rsidRPr="00586C01">
        <w:t xml:space="preserve"> on [INSERT DATE</w:t>
      </w:r>
      <w:r w:rsidR="001B21B4" w:rsidRPr="00586C01">
        <w:t xml:space="preserve"> OF PUBLICATION OF THE NOTICE OF AVAILABILITY IN THE </w:t>
      </w:r>
      <w:r w:rsidR="001B21B4" w:rsidRPr="00792EEE">
        <w:rPr>
          <w:b/>
        </w:rPr>
        <w:t>FEDERAL REGISTER</w:t>
      </w:r>
      <w:r w:rsidRPr="00586C01">
        <w:t>], with comments invited through [INSERT DATE</w:t>
      </w:r>
      <w:r w:rsidR="001B21B4" w:rsidRPr="00586C01">
        <w:t xml:space="preserve"> 60 DAYS AFTER THE PUBLICATION OF THE NOTICE OF AVAILABILITY IN THE </w:t>
      </w:r>
      <w:r w:rsidR="001B21B4" w:rsidRPr="00792EEE">
        <w:rPr>
          <w:b/>
        </w:rPr>
        <w:t>FEDERAL REGISTER</w:t>
      </w:r>
      <w:r w:rsidRPr="00586C01">
        <w:t>]</w:t>
      </w:r>
      <w:r w:rsidR="006858F9">
        <w:t xml:space="preserve">. </w:t>
      </w:r>
      <w:r w:rsidRPr="00586C01">
        <w:t xml:space="preserve">Comments may address </w:t>
      </w:r>
      <w:r w:rsidR="00FA356A">
        <w:t xml:space="preserve">Amendment 109 </w:t>
      </w:r>
      <w:r w:rsidRPr="00586C01">
        <w:t>or this proposed rule, but must be received by [</w:t>
      </w:r>
      <w:r w:rsidRPr="00792EEE">
        <w:rPr>
          <w:i/>
        </w:rPr>
        <w:t>INSERT DATE</w:t>
      </w:r>
      <w:r w:rsidR="001B21B4" w:rsidRPr="00792EEE">
        <w:rPr>
          <w:i/>
        </w:rPr>
        <w:t xml:space="preserve"> 60 DAYS AFTER THE PUBLICATION OF THE NOTICE OF AVAILABILITY IN THE </w:t>
      </w:r>
      <w:r w:rsidR="001B21B4" w:rsidRPr="00792EEE">
        <w:rPr>
          <w:b/>
          <w:i/>
        </w:rPr>
        <w:t>FEDERAL REGISTER</w:t>
      </w:r>
      <w:r w:rsidRPr="00586C01">
        <w:t xml:space="preserve">] to be considered in the approval/disapproval decision on </w:t>
      </w:r>
      <w:r w:rsidR="006A0C23">
        <w:t>Amendment 109</w:t>
      </w:r>
      <w:r w:rsidR="006858F9">
        <w:t xml:space="preserve">. </w:t>
      </w:r>
      <w:r w:rsidRPr="00586C01">
        <w:t xml:space="preserve">All comments received by that </w:t>
      </w:r>
      <w:r w:rsidR="00F34513">
        <w:t>date</w:t>
      </w:r>
      <w:r w:rsidRPr="00586C01">
        <w:t xml:space="preserve">, whether specifically directed to </w:t>
      </w:r>
      <w:r w:rsidR="006A0C23">
        <w:t>Amendment 109</w:t>
      </w:r>
      <w:r w:rsidRPr="00586C01">
        <w:t xml:space="preserve">, or to this proposed rule, will be considered in the approval/disapproval decision on </w:t>
      </w:r>
      <w:r w:rsidR="006A0C23">
        <w:t>Amendment 109</w:t>
      </w:r>
      <w:r w:rsidR="007F373B" w:rsidRPr="00586C01">
        <w:t>.</w:t>
      </w:r>
    </w:p>
    <w:p w14:paraId="7CE5397B" w14:textId="77777777" w:rsidR="00246BDB" w:rsidRPr="003354FC" w:rsidRDefault="007D59FE" w:rsidP="005B1CC1">
      <w:pPr>
        <w:numPr>
          <w:ilvl w:val="12"/>
          <w:numId w:val="0"/>
        </w:numPr>
        <w:spacing w:line="480" w:lineRule="auto"/>
        <w:rPr>
          <w:b/>
        </w:rPr>
      </w:pPr>
      <w:r w:rsidRPr="003354FC">
        <w:rPr>
          <w:b/>
        </w:rPr>
        <w:t>Background</w:t>
      </w:r>
    </w:p>
    <w:p w14:paraId="20B97CC0" w14:textId="73E04A9D" w:rsidR="007422C5" w:rsidRDefault="007422C5" w:rsidP="00FD2CDB">
      <w:pPr>
        <w:numPr>
          <w:ilvl w:val="12"/>
          <w:numId w:val="0"/>
        </w:numPr>
        <w:spacing w:line="480" w:lineRule="auto"/>
        <w:ind w:firstLine="720"/>
      </w:pPr>
      <w:r w:rsidRPr="000576FF">
        <w:t xml:space="preserve">If approved, </w:t>
      </w:r>
      <w:r>
        <w:t xml:space="preserve">this proposed rule would amend regulations </w:t>
      </w:r>
      <w:r w:rsidRPr="00646AEF">
        <w:t>governing the CDQ Program</w:t>
      </w:r>
      <w:r>
        <w:t xml:space="preserve"> to </w:t>
      </w:r>
      <w:r w:rsidRPr="00646AEF">
        <w:t xml:space="preserve">support increased participation in the groundfish CDQ fisheries (primarily </w:t>
      </w:r>
      <w:r w:rsidRPr="00646AEF">
        <w:lastRenderedPageBreak/>
        <w:t>Pacific cod) by catcher vessel</w:t>
      </w:r>
      <w:r>
        <w:t>s less than or equal to 46 ft</w:t>
      </w:r>
      <w:r w:rsidRPr="00646AEF">
        <w:t xml:space="preserve"> LOA using hook-and-line gear. </w:t>
      </w:r>
      <w:r w:rsidR="00AC33B7">
        <w:t>T</w:t>
      </w:r>
      <w:r w:rsidRPr="00646AEF">
        <w:t xml:space="preserve">he proposed </w:t>
      </w:r>
      <w:r w:rsidR="00AE6674">
        <w:t xml:space="preserve">rule </w:t>
      </w:r>
      <w:r w:rsidRPr="00646AEF">
        <w:t xml:space="preserve">would </w:t>
      </w:r>
      <w:r w:rsidR="00F34513">
        <w:t>exempt</w:t>
      </w:r>
      <w:r w:rsidRPr="00646AEF">
        <w:t xml:space="preserve"> operators of </w:t>
      </w:r>
      <w:r w:rsidR="00F34513">
        <w:t xml:space="preserve">registered </w:t>
      </w:r>
      <w:r w:rsidRPr="00646AEF">
        <w:t xml:space="preserve">catcher vessels greater than 32 ft LOA and less than or equal to 46 ft LOA using hook-and-line gear to obtain and carry </w:t>
      </w:r>
      <w:r w:rsidR="001E4261" w:rsidRPr="00646AEF">
        <w:t>a</w:t>
      </w:r>
      <w:r w:rsidR="001E4261">
        <w:t xml:space="preserve"> License Limitation Program</w:t>
      </w:r>
      <w:r w:rsidR="001E4261" w:rsidRPr="00646AEF">
        <w:t xml:space="preserve"> </w:t>
      </w:r>
      <w:r w:rsidR="001E4261">
        <w:t>(</w:t>
      </w:r>
      <w:r w:rsidRPr="00646AEF">
        <w:t>LLP</w:t>
      </w:r>
      <w:r w:rsidR="001E4261">
        <w:t>)</w:t>
      </w:r>
      <w:r w:rsidRPr="00646AEF">
        <w:t xml:space="preserve"> license</w:t>
      </w:r>
      <w:r w:rsidR="00F34513">
        <w:t xml:space="preserve"> wh</w:t>
      </w:r>
      <w:r w:rsidR="00856510">
        <w:t>en</w:t>
      </w:r>
      <w:r w:rsidR="00F34513">
        <w:t xml:space="preserve"> groundfish CDQ fishing</w:t>
      </w:r>
      <w:r w:rsidRPr="00646AEF">
        <w:t>.</w:t>
      </w:r>
      <w:r>
        <w:t xml:space="preserve"> </w:t>
      </w:r>
      <w:r w:rsidRPr="00646AEF">
        <w:t>Th</w:t>
      </w:r>
      <w:r w:rsidR="00AC33B7">
        <w:t>is</w:t>
      </w:r>
      <w:r w:rsidRPr="00646AEF">
        <w:t xml:space="preserve"> proposed </w:t>
      </w:r>
      <w:r w:rsidR="00AE6674">
        <w:t xml:space="preserve">rule </w:t>
      </w:r>
      <w:r w:rsidRPr="00646AEF">
        <w:t xml:space="preserve">also would reduce observer coverage requirements for </w:t>
      </w:r>
      <w:r w:rsidR="009E126F">
        <w:t xml:space="preserve">catcher </w:t>
      </w:r>
      <w:r w:rsidRPr="00646AEF">
        <w:t xml:space="preserve">vessels less than or equal to 46 ft LOA </w:t>
      </w:r>
      <w:r w:rsidR="00F34513">
        <w:t>wh</w:t>
      </w:r>
      <w:r w:rsidR="00856510">
        <w:t>en</w:t>
      </w:r>
      <w:r w:rsidR="00F34513">
        <w:t xml:space="preserve"> groundfish CDQ fishing </w:t>
      </w:r>
      <w:r w:rsidRPr="00646AEF">
        <w:t xml:space="preserve">and implement new </w:t>
      </w:r>
      <w:r w:rsidR="00AC73D5">
        <w:t xml:space="preserve">in-season management and </w:t>
      </w:r>
      <w:r w:rsidRPr="00646AEF">
        <w:t xml:space="preserve">catch accounting requirements to properly account for the harvest of groundfish and halibut and the accrual of halibut prohibited species </w:t>
      </w:r>
      <w:r w:rsidR="001950C1">
        <w:t xml:space="preserve">catch </w:t>
      </w:r>
      <w:r w:rsidR="006E107F">
        <w:t>in these fisheries</w:t>
      </w:r>
      <w:r w:rsidRPr="00646AEF">
        <w:t xml:space="preserve">. This </w:t>
      </w:r>
      <w:r w:rsidR="00325B3C">
        <w:t>proposed rule</w:t>
      </w:r>
      <w:r w:rsidRPr="00646AEF">
        <w:t xml:space="preserve"> is </w:t>
      </w:r>
      <w:r w:rsidR="00A46733">
        <w:t xml:space="preserve">intended </w:t>
      </w:r>
      <w:r w:rsidRPr="00646AEF">
        <w:t xml:space="preserve">to </w:t>
      </w:r>
      <w:r w:rsidR="00F34513">
        <w:t xml:space="preserve">facilitate </w:t>
      </w:r>
      <w:r w:rsidRPr="00646AEF">
        <w:t>increase</w:t>
      </w:r>
      <w:r w:rsidR="00F34513">
        <w:t>d</w:t>
      </w:r>
      <w:r w:rsidRPr="00646AEF">
        <w:t xml:space="preserve"> participation by residents of CDQ communities in the BSAI groundfish </w:t>
      </w:r>
      <w:r w:rsidR="00316244">
        <w:t xml:space="preserve">CDQ </w:t>
      </w:r>
      <w:r w:rsidRPr="00646AEF">
        <w:t xml:space="preserve">fisheries and to support economic development in western Alaska. </w:t>
      </w:r>
      <w:r w:rsidR="00A46733">
        <w:t xml:space="preserve">The proposed </w:t>
      </w:r>
      <w:r w:rsidR="00325B3C">
        <w:t>rule</w:t>
      </w:r>
      <w:r w:rsidR="00AE6674">
        <w:t xml:space="preserve"> </w:t>
      </w:r>
      <w:r w:rsidRPr="00646AEF">
        <w:t xml:space="preserve">would benefit the six CDQ groups and the operators of the </w:t>
      </w:r>
      <w:r w:rsidRPr="00D048C0">
        <w:t xml:space="preserve">small </w:t>
      </w:r>
      <w:r w:rsidR="00316244">
        <w:t xml:space="preserve">hook-and-line </w:t>
      </w:r>
      <w:r w:rsidRPr="00D048C0">
        <w:t>catcher vessels</w:t>
      </w:r>
      <w:r w:rsidRPr="00646AEF">
        <w:t xml:space="preserve"> that the CDQ groups authorize to fish on their behalf by reducing the costs of participating in the groundfish CDQ fisheries. </w:t>
      </w:r>
    </w:p>
    <w:p w14:paraId="00DB20BE" w14:textId="3D3834B7" w:rsidR="00246BDB" w:rsidRPr="00941656" w:rsidRDefault="000C3C91" w:rsidP="00FD2CDB">
      <w:pPr>
        <w:numPr>
          <w:ilvl w:val="12"/>
          <w:numId w:val="0"/>
        </w:numPr>
        <w:spacing w:line="480" w:lineRule="auto"/>
        <w:ind w:firstLine="720"/>
      </w:pPr>
      <w:r w:rsidRPr="00941656">
        <w:t>The following sections describe</w:t>
      </w:r>
      <w:r w:rsidR="007D4A9B" w:rsidRPr="00941656">
        <w:t xml:space="preserve"> the fisheries and the current management programs affected by the proposed action:</w:t>
      </w:r>
      <w:r w:rsidRPr="00941656">
        <w:t xml:space="preserve"> 1)</w:t>
      </w:r>
      <w:r w:rsidR="00BC3D7A" w:rsidRPr="00941656">
        <w:t xml:space="preserve"> Overview of the CDQ Program</w:t>
      </w:r>
      <w:r w:rsidR="00142925">
        <w:t>,</w:t>
      </w:r>
      <w:r w:rsidR="00142925" w:rsidRPr="00941656">
        <w:t xml:space="preserve"> </w:t>
      </w:r>
      <w:r w:rsidR="00A46733">
        <w:t>2</w:t>
      </w:r>
      <w:r w:rsidR="00A46733" w:rsidRPr="00941656">
        <w:t>)</w:t>
      </w:r>
      <w:r w:rsidR="00F64811">
        <w:t xml:space="preserve"> </w:t>
      </w:r>
      <w:r w:rsidR="00871129">
        <w:t>Regulatory Constraints to Local Small-Scale Groundfish CDQ Fisheries</w:t>
      </w:r>
      <w:r w:rsidR="00142925">
        <w:t>,</w:t>
      </w:r>
      <w:r w:rsidR="00BC3D7A" w:rsidRPr="00941656">
        <w:t xml:space="preserve"> </w:t>
      </w:r>
      <w:r w:rsidR="00871129">
        <w:t>3</w:t>
      </w:r>
      <w:r w:rsidR="00BC3D7A" w:rsidRPr="00941656">
        <w:t xml:space="preserve">) </w:t>
      </w:r>
      <w:r w:rsidR="001E4261">
        <w:t>Need for the Proposed Action</w:t>
      </w:r>
      <w:r w:rsidR="00142925">
        <w:t>,</w:t>
      </w:r>
      <w:r w:rsidR="00BA4FF9">
        <w:t xml:space="preserve"> </w:t>
      </w:r>
      <w:r w:rsidR="00BC3D7A" w:rsidRPr="00941656">
        <w:t xml:space="preserve">and </w:t>
      </w:r>
      <w:r w:rsidR="00871129">
        <w:t>4</w:t>
      </w:r>
      <w:r w:rsidR="00BC3D7A" w:rsidRPr="00941656">
        <w:t>)</w:t>
      </w:r>
      <w:r w:rsidRPr="00941656">
        <w:t xml:space="preserve"> </w:t>
      </w:r>
      <w:r w:rsidR="00A46733">
        <w:t xml:space="preserve">The </w:t>
      </w:r>
      <w:r w:rsidR="00BC3D7A" w:rsidRPr="00941656">
        <w:t xml:space="preserve">Proposed </w:t>
      </w:r>
      <w:r w:rsidR="001E4261">
        <w:t>Rule</w:t>
      </w:r>
      <w:r w:rsidRPr="00941656">
        <w:t>.</w:t>
      </w:r>
      <w:r w:rsidR="00FB6778" w:rsidRPr="00941656">
        <w:t xml:space="preserve"> </w:t>
      </w:r>
      <w:r w:rsidR="002526BA">
        <w:t xml:space="preserve"> </w:t>
      </w:r>
    </w:p>
    <w:p w14:paraId="7183D2A4" w14:textId="77777777" w:rsidR="00B10572" w:rsidRPr="003354FC" w:rsidRDefault="004C6090" w:rsidP="00B10572">
      <w:pPr>
        <w:numPr>
          <w:ilvl w:val="12"/>
          <w:numId w:val="0"/>
        </w:numPr>
        <w:spacing w:line="480" w:lineRule="auto"/>
        <w:rPr>
          <w:b/>
        </w:rPr>
      </w:pPr>
      <w:r w:rsidRPr="003354FC">
        <w:rPr>
          <w:b/>
        </w:rPr>
        <w:t>Overview of t</w:t>
      </w:r>
      <w:r w:rsidR="00B10572" w:rsidRPr="003354FC">
        <w:rPr>
          <w:b/>
        </w:rPr>
        <w:t>he CDQ Program</w:t>
      </w:r>
    </w:p>
    <w:p w14:paraId="6934D191" w14:textId="0B83F0A6" w:rsidR="00A377F4" w:rsidRPr="00941656" w:rsidRDefault="00B10572" w:rsidP="00BA4FF9">
      <w:pPr>
        <w:numPr>
          <w:ilvl w:val="12"/>
          <w:numId w:val="0"/>
        </w:numPr>
        <w:spacing w:line="480" w:lineRule="auto"/>
        <w:ind w:firstLine="720"/>
      </w:pPr>
      <w:r w:rsidRPr="00941656">
        <w:t xml:space="preserve">The CDQ Program is an economic development program associated with federally managed fisheries in the BSAI. The purpose of the </w:t>
      </w:r>
      <w:r w:rsidR="00316244">
        <w:t>CDQ P</w:t>
      </w:r>
      <w:r w:rsidRPr="00941656">
        <w:t xml:space="preserve">rogram is to provide western Alaska communities </w:t>
      </w:r>
      <w:r w:rsidR="00A377F4" w:rsidRPr="00941656">
        <w:t xml:space="preserve">with </w:t>
      </w:r>
      <w:r w:rsidRPr="00941656">
        <w:t xml:space="preserve">the opportunity to participate and invest in BSAI </w:t>
      </w:r>
      <w:r w:rsidRPr="00941656">
        <w:lastRenderedPageBreak/>
        <w:t>fisheries, to support economic development in western Alaska, to alleviate poverty and provide economic and social benefits for residents of western Alaska, and to achieve sustainable and diversified local economies in western Alaska</w:t>
      </w:r>
      <w:r w:rsidR="00D01D85" w:rsidRPr="00941656">
        <w:t>.</w:t>
      </w:r>
      <w:r w:rsidR="00380751">
        <w:t xml:space="preserve"> </w:t>
      </w:r>
      <w:r w:rsidR="00A377F4" w:rsidRPr="00941656">
        <w:t xml:space="preserve">Regulations establishing the CDQ Program were first implemented in 1992. </w:t>
      </w:r>
      <w:r w:rsidR="00316244">
        <w:t xml:space="preserve">Congress amended </w:t>
      </w:r>
      <w:r w:rsidR="00A377F4" w:rsidRPr="00941656">
        <w:t>the Magnuson-Stevens Act in 1996 through the Sustainable Fishe</w:t>
      </w:r>
      <w:r w:rsidR="00F30505" w:rsidRPr="00941656">
        <w:t>ries Act (Public Law 104-297)</w:t>
      </w:r>
      <w:r w:rsidR="00316244">
        <w:t xml:space="preserve"> to include specific provisions governing the CDQ Program</w:t>
      </w:r>
      <w:r w:rsidR="006858F9">
        <w:t xml:space="preserve">. </w:t>
      </w:r>
      <w:r w:rsidR="00186D46" w:rsidRPr="00941656">
        <w:t xml:space="preserve">There are 65 communities </w:t>
      </w:r>
      <w:r w:rsidR="00186D46">
        <w:t xml:space="preserve">eligible to </w:t>
      </w:r>
      <w:r w:rsidR="00186D46" w:rsidRPr="00941656">
        <w:t>participat</w:t>
      </w:r>
      <w:r w:rsidR="00186D46">
        <w:t>e</w:t>
      </w:r>
      <w:r w:rsidR="00186D46" w:rsidRPr="00941656">
        <w:t xml:space="preserve"> in the </w:t>
      </w:r>
      <w:r w:rsidR="00186D46">
        <w:t>CDQ Program</w:t>
      </w:r>
      <w:r w:rsidR="00186D46" w:rsidRPr="00941656">
        <w:t xml:space="preserve">. </w:t>
      </w:r>
      <w:r w:rsidR="00316244">
        <w:t>Each community is represented by one of</w:t>
      </w:r>
      <w:r w:rsidR="00186D46" w:rsidRPr="00941656">
        <w:t xml:space="preserve"> six CDQ groups</w:t>
      </w:r>
      <w:r w:rsidR="00316244">
        <w:t>.  The 65 eligible communities and the CDQ groups</w:t>
      </w:r>
      <w:r w:rsidR="00186D46" w:rsidRPr="00941656">
        <w:t xml:space="preserve"> </w:t>
      </w:r>
      <w:r w:rsidR="00186D46">
        <w:t xml:space="preserve">that collectively represent these 65 communities </w:t>
      </w:r>
      <w:r w:rsidR="00186D46" w:rsidRPr="00941656">
        <w:t>are identified in the Magnuson-Stevens Act at section 305(i)(1)(D)</w:t>
      </w:r>
      <w:r w:rsidR="00186D46">
        <w:t xml:space="preserve"> and in Table 7 to 50 CFR part 679.  </w:t>
      </w:r>
    </w:p>
    <w:p w14:paraId="233096D0" w14:textId="0504DA36" w:rsidR="00A619DE" w:rsidRPr="003354FC" w:rsidRDefault="005E07E5" w:rsidP="00C26A5C">
      <w:pPr>
        <w:numPr>
          <w:ilvl w:val="12"/>
          <w:numId w:val="0"/>
        </w:numPr>
        <w:spacing w:line="480" w:lineRule="auto"/>
        <w:rPr>
          <w:i/>
        </w:rPr>
      </w:pPr>
      <w:r w:rsidRPr="003354FC">
        <w:rPr>
          <w:i/>
        </w:rPr>
        <w:t xml:space="preserve">CDQ Program </w:t>
      </w:r>
      <w:r w:rsidR="00CB2C72">
        <w:rPr>
          <w:i/>
        </w:rPr>
        <w:t>Halibut and Ground</w:t>
      </w:r>
      <w:r w:rsidR="00D66585">
        <w:rPr>
          <w:i/>
        </w:rPr>
        <w:t>f</w:t>
      </w:r>
      <w:r w:rsidR="00CB2C72">
        <w:rPr>
          <w:i/>
        </w:rPr>
        <w:t xml:space="preserve">ish </w:t>
      </w:r>
      <w:r w:rsidRPr="003354FC">
        <w:rPr>
          <w:i/>
        </w:rPr>
        <w:t>Fisheries</w:t>
      </w:r>
    </w:p>
    <w:p w14:paraId="083D1A45" w14:textId="7F96D818" w:rsidR="00186D46" w:rsidRDefault="00D931A6" w:rsidP="001F43C7">
      <w:pPr>
        <w:numPr>
          <w:ilvl w:val="12"/>
          <w:numId w:val="0"/>
        </w:numPr>
        <w:spacing w:line="480" w:lineRule="auto"/>
        <w:ind w:firstLine="720"/>
      </w:pPr>
      <w:r w:rsidRPr="00941656">
        <w:t xml:space="preserve">The CDQ </w:t>
      </w:r>
      <w:r w:rsidR="00DE6B95" w:rsidRPr="00941656">
        <w:t>Program</w:t>
      </w:r>
      <w:r w:rsidRPr="00941656">
        <w:t xml:space="preserve"> is a catch share program </w:t>
      </w:r>
      <w:r w:rsidR="00380751">
        <w:t xml:space="preserve">that allocates </w:t>
      </w:r>
      <w:r w:rsidRPr="00941656">
        <w:t xml:space="preserve">a portion of the </w:t>
      </w:r>
      <w:r w:rsidR="00C62072">
        <w:t xml:space="preserve">BSAI </w:t>
      </w:r>
      <w:r w:rsidR="00550A08" w:rsidRPr="00941656">
        <w:t>total allowable catch (</w:t>
      </w:r>
      <w:r w:rsidRPr="00941656">
        <w:t>TAC</w:t>
      </w:r>
      <w:r w:rsidR="00550A08" w:rsidRPr="00941656">
        <w:t>)</w:t>
      </w:r>
      <w:r w:rsidRPr="00941656">
        <w:t xml:space="preserve"> for specific </w:t>
      </w:r>
      <w:r w:rsidR="00AC33B7">
        <w:t xml:space="preserve">crab and groundfish </w:t>
      </w:r>
      <w:r w:rsidRPr="00941656">
        <w:t>species</w:t>
      </w:r>
      <w:r w:rsidR="00AC33B7">
        <w:t>, a portion of the commercial catch limits assigned by the IPHC,</w:t>
      </w:r>
      <w:r w:rsidR="00C62072">
        <w:t xml:space="preserve"> </w:t>
      </w:r>
      <w:r w:rsidR="001E16B4">
        <w:t xml:space="preserve">and </w:t>
      </w:r>
      <w:r w:rsidR="00821579">
        <w:t>portions of certain</w:t>
      </w:r>
      <w:r w:rsidR="001E16B4">
        <w:t xml:space="preserve"> prohibited species catch</w:t>
      </w:r>
      <w:r w:rsidR="0027698E">
        <w:t xml:space="preserve"> (PSC)</w:t>
      </w:r>
      <w:r w:rsidR="001E16B4">
        <w:t xml:space="preserve"> limits </w:t>
      </w:r>
      <w:r w:rsidR="00ED5E69">
        <w:t>to the CDQ Program</w:t>
      </w:r>
      <w:r w:rsidR="00821579">
        <w:t>.  These amounts are</w:t>
      </w:r>
      <w:r w:rsidR="00ED5E69">
        <w:t xml:space="preserve"> then </w:t>
      </w:r>
      <w:r w:rsidR="00821579">
        <w:t xml:space="preserve">further allocated </w:t>
      </w:r>
      <w:r w:rsidR="00ED5E69">
        <w:t xml:space="preserve">among the </w:t>
      </w:r>
      <w:r w:rsidR="00821579">
        <w:t xml:space="preserve">six </w:t>
      </w:r>
      <w:r w:rsidR="00ED5E69">
        <w:t>CDQ groups</w:t>
      </w:r>
      <w:r w:rsidR="001E16B4">
        <w:t xml:space="preserve"> as allocations</w:t>
      </w:r>
      <w:r w:rsidR="00821579">
        <w:t xml:space="preserve"> that may be transferred among the CDQ groups</w:t>
      </w:r>
      <w:r w:rsidR="00F05894">
        <w:t xml:space="preserve"> (with the exception of Chinook salmon </w:t>
      </w:r>
      <w:r w:rsidR="005804EA">
        <w:t>prohibited species quota (</w:t>
      </w:r>
      <w:r w:rsidR="00F05894">
        <w:t>PSQ</w:t>
      </w:r>
      <w:r w:rsidR="005804EA">
        <w:t>)</w:t>
      </w:r>
      <w:r w:rsidR="00F05894">
        <w:t>, which may be transferred to other authorized American Fisheries Act entities)</w:t>
      </w:r>
      <w:r w:rsidRPr="00941656">
        <w:t>.</w:t>
      </w:r>
      <w:r w:rsidR="00704052">
        <w:t xml:space="preserve"> </w:t>
      </w:r>
      <w:r w:rsidR="001E16B4">
        <w:t xml:space="preserve">The Magnuson-Stevens Act requires allocations to the CDQ Program of </w:t>
      </w:r>
      <w:r w:rsidR="00821579">
        <w:t xml:space="preserve">specific </w:t>
      </w:r>
      <w:r w:rsidR="001E16B4">
        <w:t>percentage</w:t>
      </w:r>
      <w:r w:rsidR="00821579">
        <w:t>s</w:t>
      </w:r>
      <w:r w:rsidR="001E16B4">
        <w:t xml:space="preserve"> of the “total allowable catch, guideline harvest level, or other annual catch limit … in each directed fishery” of the BSAI annual catch limits (</w:t>
      </w:r>
      <w:r w:rsidR="00C62072" w:rsidRPr="00941656">
        <w:t>section 305(i)(1)(B)</w:t>
      </w:r>
      <w:r w:rsidR="001E16B4">
        <w:t>)</w:t>
      </w:r>
      <w:r w:rsidR="00380751">
        <w:t xml:space="preserve">. The Magnuson-Stevens </w:t>
      </w:r>
      <w:r w:rsidR="00380751">
        <w:lastRenderedPageBreak/>
        <w:t xml:space="preserve">Act </w:t>
      </w:r>
      <w:r w:rsidR="00821579">
        <w:t xml:space="preserve">also </w:t>
      </w:r>
      <w:r w:rsidR="00380751">
        <w:t>specifies</w:t>
      </w:r>
      <w:r w:rsidR="001E16B4">
        <w:t xml:space="preserve"> </w:t>
      </w:r>
      <w:r w:rsidR="00821579">
        <w:t>the percentage</w:t>
      </w:r>
      <w:r w:rsidR="001E16B4">
        <w:t xml:space="preserve"> allocations among the six CDQ groups (section 305(i)(1)(C)). </w:t>
      </w:r>
      <w:r w:rsidR="000811EB">
        <w:t xml:space="preserve"> </w:t>
      </w:r>
    </w:p>
    <w:p w14:paraId="35473806" w14:textId="057B19F6" w:rsidR="00186D46" w:rsidRDefault="000811EB" w:rsidP="001F43C7">
      <w:pPr>
        <w:numPr>
          <w:ilvl w:val="12"/>
          <w:numId w:val="0"/>
        </w:numPr>
        <w:spacing w:line="480" w:lineRule="auto"/>
        <w:ind w:firstLine="720"/>
      </w:pPr>
      <w:r>
        <w:t xml:space="preserve">The CDQ Program allocates </w:t>
      </w:r>
      <w:r w:rsidR="00AC33B7">
        <w:t xml:space="preserve">crab, </w:t>
      </w:r>
      <w:r>
        <w:t xml:space="preserve">groundfish, </w:t>
      </w:r>
      <w:r w:rsidR="00AC33B7">
        <w:t xml:space="preserve">and </w:t>
      </w:r>
      <w:r>
        <w:t>halibut</w:t>
      </w:r>
      <w:r w:rsidR="00821579">
        <w:t xml:space="preserve"> </w:t>
      </w:r>
      <w:r>
        <w:t>for harvest by the CDQ groups</w:t>
      </w:r>
      <w:r w:rsidR="006858F9">
        <w:t xml:space="preserve">. </w:t>
      </w:r>
      <w:r w:rsidR="00ED4F40">
        <w:t xml:space="preserve">The groundfish species </w:t>
      </w:r>
      <w:r w:rsidR="000942D3">
        <w:t xml:space="preserve">allocated </w:t>
      </w:r>
      <w:r w:rsidR="00ED4F40">
        <w:t xml:space="preserve">to the CDQ Program are pollock, Pacific cod, sablefish, </w:t>
      </w:r>
      <w:r w:rsidR="003E03FF">
        <w:t>yellowfin sole, Greenland turbot, arrowtooth flounder, rock sole, flathead sole, Pacific ocean perch, and Atka mackerel</w:t>
      </w:r>
      <w:r w:rsidR="006858F9">
        <w:t xml:space="preserve">. </w:t>
      </w:r>
      <w:r w:rsidR="008F053C" w:rsidRPr="00941656">
        <w:t xml:space="preserve">A complete list of the </w:t>
      </w:r>
      <w:r w:rsidR="00D23EE8">
        <w:t>amount</w:t>
      </w:r>
      <w:r w:rsidR="00380751">
        <w:t xml:space="preserve"> of groundfis</w:t>
      </w:r>
      <w:r w:rsidR="000435F5">
        <w:t xml:space="preserve">h </w:t>
      </w:r>
      <w:r w:rsidR="00704052">
        <w:t xml:space="preserve">allocated to the CDQ Program </w:t>
      </w:r>
      <w:r w:rsidR="008F053C" w:rsidRPr="00941656">
        <w:t xml:space="preserve">can be found in the </w:t>
      </w:r>
      <w:r w:rsidR="00A2079A">
        <w:t>2015</w:t>
      </w:r>
      <w:r w:rsidR="00A2079A" w:rsidRPr="00941656">
        <w:t xml:space="preserve"> </w:t>
      </w:r>
      <w:r w:rsidR="008F053C" w:rsidRPr="00941656">
        <w:t xml:space="preserve">and </w:t>
      </w:r>
      <w:r w:rsidR="00A2079A">
        <w:t>2016</w:t>
      </w:r>
      <w:r w:rsidR="00A2079A" w:rsidRPr="00941656">
        <w:t xml:space="preserve"> </w:t>
      </w:r>
      <w:r w:rsidR="000710A5" w:rsidRPr="00941656">
        <w:t xml:space="preserve">annual </w:t>
      </w:r>
      <w:r w:rsidR="008F053C" w:rsidRPr="00941656">
        <w:t>harv</w:t>
      </w:r>
      <w:r w:rsidR="008243C3" w:rsidRPr="00941656">
        <w:t>est specifications final rule (</w:t>
      </w:r>
      <w:r w:rsidR="00A2079A">
        <w:t>80 FR 11919, March 5, 2015</w:t>
      </w:r>
      <w:r w:rsidR="008F053C" w:rsidRPr="00941656">
        <w:t>)</w:t>
      </w:r>
      <w:r w:rsidR="006858F9">
        <w:t xml:space="preserve">. </w:t>
      </w:r>
      <w:r w:rsidR="00A020B6">
        <w:t>T</w:t>
      </w:r>
      <w:r w:rsidR="00704052">
        <w:t xml:space="preserve">he </w:t>
      </w:r>
      <w:r w:rsidR="00A020B6">
        <w:t xml:space="preserve">2015 </w:t>
      </w:r>
      <w:r w:rsidR="00704052" w:rsidRPr="00941656">
        <w:t xml:space="preserve">apportionments </w:t>
      </w:r>
      <w:r>
        <w:t xml:space="preserve">of </w:t>
      </w:r>
      <w:r w:rsidR="00AC33B7">
        <w:t xml:space="preserve">crab, </w:t>
      </w:r>
      <w:r>
        <w:t xml:space="preserve">groundfish, </w:t>
      </w:r>
      <w:r w:rsidR="00AC33B7">
        <w:t xml:space="preserve">and </w:t>
      </w:r>
      <w:r>
        <w:t xml:space="preserve">halibut </w:t>
      </w:r>
      <w:r w:rsidR="00704052" w:rsidRPr="00941656">
        <w:t xml:space="preserve">to each </w:t>
      </w:r>
      <w:r w:rsidR="00704052">
        <w:t xml:space="preserve">CDQ </w:t>
      </w:r>
      <w:r w:rsidR="00704052" w:rsidRPr="00941656">
        <w:t xml:space="preserve">group </w:t>
      </w:r>
      <w:r w:rsidR="00704052">
        <w:t xml:space="preserve">are listed in the </w:t>
      </w:r>
      <w:r w:rsidR="00A020B6">
        <w:t>a</w:t>
      </w:r>
      <w:r w:rsidR="00A020B6" w:rsidRPr="00A87BB5">
        <w:t xml:space="preserve">nnual </w:t>
      </w:r>
      <w:r w:rsidR="00A87BB5" w:rsidRPr="00A87BB5">
        <w:t xml:space="preserve">CDQ </w:t>
      </w:r>
      <w:r w:rsidR="00A020B6">
        <w:t>Program</w:t>
      </w:r>
      <w:r w:rsidR="00A87BB5" w:rsidRPr="00A87BB5">
        <w:t xml:space="preserve"> </w:t>
      </w:r>
      <w:r w:rsidR="00A020B6">
        <w:t>a</w:t>
      </w:r>
      <w:r w:rsidR="00A020B6" w:rsidRPr="00A87BB5">
        <w:t>llocation</w:t>
      </w:r>
      <w:r w:rsidR="00A020B6">
        <w:t xml:space="preserve"> report </w:t>
      </w:r>
      <w:r w:rsidR="00A87BB5">
        <w:t xml:space="preserve">at </w:t>
      </w:r>
      <w:hyperlink r:id="rId10" w:history="1">
        <w:r w:rsidR="001E5B49" w:rsidRPr="00792EEE">
          <w:rPr>
            <w:rStyle w:val="Hyperlink"/>
            <w:i/>
            <w:u w:val="none"/>
          </w:rPr>
          <w:t>http://www.alaskafisheries.noaa.gov/cdq/allocations/annualmatrix2015.pdf</w:t>
        </w:r>
      </w:hyperlink>
      <w:r w:rsidR="001F43C7">
        <w:t>.</w:t>
      </w:r>
    </w:p>
    <w:p w14:paraId="350EFDA5" w14:textId="2560F431" w:rsidR="004966C7" w:rsidRDefault="00380751" w:rsidP="00380751">
      <w:pPr>
        <w:numPr>
          <w:ilvl w:val="12"/>
          <w:numId w:val="0"/>
        </w:numPr>
        <w:spacing w:line="480" w:lineRule="auto"/>
        <w:ind w:firstLine="720"/>
      </w:pPr>
      <w:r>
        <w:t xml:space="preserve">One of the most effective ways the CDQ groups </w:t>
      </w:r>
      <w:r w:rsidR="007D307E">
        <w:t xml:space="preserve">can meet the purposes </w:t>
      </w:r>
      <w:r>
        <w:t>of the CDQ Program is to use the CDQ allocations to create local small-s</w:t>
      </w:r>
      <w:r w:rsidR="007D307E">
        <w:t>cale commercial fisheries</w:t>
      </w:r>
      <w:r w:rsidR="006858F9">
        <w:t xml:space="preserve">. </w:t>
      </w:r>
      <w:r w:rsidR="007D307E">
        <w:t>L</w:t>
      </w:r>
      <w:r>
        <w:t xml:space="preserve">ocal </w:t>
      </w:r>
      <w:r w:rsidR="00325B3C">
        <w:t xml:space="preserve">small-scale </w:t>
      </w:r>
      <w:r>
        <w:t xml:space="preserve">CDQ fisheries </w:t>
      </w:r>
      <w:r w:rsidR="007D307E">
        <w:t xml:space="preserve">directly </w:t>
      </w:r>
      <w:r>
        <w:t xml:space="preserve">provide opportunities for residents of the CDQ communities to earn income from the sale of the commercially harvested fish. </w:t>
      </w:r>
      <w:r w:rsidR="00325B3C">
        <w:t>Residents of CDQ communities participate almost exclusively in local small-scale fish</w:t>
      </w:r>
      <w:r w:rsidR="00D66585">
        <w:t>e</w:t>
      </w:r>
      <w:r w:rsidR="00325B3C">
        <w:t>ries</w:t>
      </w:r>
      <w:r w:rsidR="006858F9">
        <w:t xml:space="preserve">. </w:t>
      </w:r>
      <w:r w:rsidR="004966C7">
        <w:t xml:space="preserve">For purposes of this preamble, </w:t>
      </w:r>
      <w:r w:rsidR="00E623CC">
        <w:t xml:space="preserve">“local small-scale” </w:t>
      </w:r>
      <w:r w:rsidR="00821579">
        <w:t>means</w:t>
      </w:r>
      <w:r w:rsidR="00E623CC">
        <w:t xml:space="preserve"> </w:t>
      </w:r>
      <w:r w:rsidR="00821579">
        <w:t xml:space="preserve">CDQ fisheries prosecuted </w:t>
      </w:r>
      <w:r w:rsidR="00E9203A">
        <w:t>by</w:t>
      </w:r>
      <w:r w:rsidR="00E623CC">
        <w:t xml:space="preserve"> catcher </w:t>
      </w:r>
      <w:r w:rsidR="004966C7">
        <w:t>vessels that are less than or equal to 46 ft LOA</w:t>
      </w:r>
      <w:r w:rsidR="000D1616">
        <w:t>, using hook-and-line gear, and</w:t>
      </w:r>
      <w:r w:rsidR="004966C7">
        <w:t xml:space="preserve"> homeported or operated from CDQ communities.  </w:t>
      </w:r>
      <w:r w:rsidR="00E623CC">
        <w:t>Catcher v</w:t>
      </w:r>
      <w:r w:rsidR="004966C7">
        <w:t xml:space="preserve">essels </w:t>
      </w:r>
      <w:r w:rsidR="00E623CC">
        <w:t xml:space="preserve">less than or equal to 46 ft LOA </w:t>
      </w:r>
      <w:r w:rsidR="004966C7">
        <w:t>are commonly used in the CDQ halibut fishery as described later in this preamble.</w:t>
      </w:r>
    </w:p>
    <w:p w14:paraId="02FB9723" w14:textId="1AA9D229" w:rsidR="009E5365" w:rsidRDefault="00AC33B7" w:rsidP="00380751">
      <w:pPr>
        <w:numPr>
          <w:ilvl w:val="12"/>
          <w:numId w:val="0"/>
        </w:numPr>
        <w:spacing w:line="480" w:lineRule="auto"/>
        <w:ind w:firstLine="720"/>
      </w:pPr>
      <w:r>
        <w:lastRenderedPageBreak/>
        <w:t>N</w:t>
      </w:r>
      <w:r w:rsidR="00F23068">
        <w:t>ot all species can be easily or readily harvested in local small-scale fi</w:t>
      </w:r>
      <w:r w:rsidR="002A0C7D">
        <w:t>sheries</w:t>
      </w:r>
      <w:r w:rsidR="006858F9">
        <w:t xml:space="preserve">. </w:t>
      </w:r>
      <w:r w:rsidR="002A0C7D">
        <w:t xml:space="preserve">Many </w:t>
      </w:r>
      <w:r w:rsidR="00F23068">
        <w:t xml:space="preserve">groundfish and crab species are </w:t>
      </w:r>
      <w:r w:rsidR="002A0C7D">
        <w:t xml:space="preserve">only </w:t>
      </w:r>
      <w:r w:rsidR="00F23068">
        <w:t xml:space="preserve">effectively </w:t>
      </w:r>
      <w:r w:rsidR="002A0C7D">
        <w:t xml:space="preserve">harvested </w:t>
      </w:r>
      <w:r w:rsidR="00082FA1">
        <w:t>in</w:t>
      </w:r>
      <w:r w:rsidR="000435F5">
        <w:t xml:space="preserve"> large</w:t>
      </w:r>
      <w:r w:rsidR="00F23068">
        <w:t xml:space="preserve"> industrial-scale fisheries</w:t>
      </w:r>
      <w:r w:rsidR="001F43C7">
        <w:t xml:space="preserve"> due to the gear required </w:t>
      </w:r>
      <w:r w:rsidR="00F23068">
        <w:t xml:space="preserve">(e.g., </w:t>
      </w:r>
      <w:r w:rsidR="00AB49E6">
        <w:t xml:space="preserve">trawl gear </w:t>
      </w:r>
      <w:r w:rsidR="009E5365">
        <w:t xml:space="preserve">is required to effectively harvest </w:t>
      </w:r>
      <w:r w:rsidR="00AB49E6">
        <w:t>pollock and most flatfish species</w:t>
      </w:r>
      <w:r w:rsidR="005804EA">
        <w:t>;</w:t>
      </w:r>
      <w:r w:rsidR="00F23068">
        <w:t xml:space="preserve"> </w:t>
      </w:r>
      <w:r w:rsidR="00AB49E6">
        <w:t xml:space="preserve">pot gear </w:t>
      </w:r>
      <w:r w:rsidR="009E5365">
        <w:t xml:space="preserve">is required to effectively harvest </w:t>
      </w:r>
      <w:r w:rsidR="00F23068">
        <w:t>crab)</w:t>
      </w:r>
      <w:r w:rsidR="00AB49E6">
        <w:t xml:space="preserve"> or due to the great distance of the fishery from most of the CDQ communities (e.g., Atka mackerel</w:t>
      </w:r>
      <w:r w:rsidR="00186D46">
        <w:t xml:space="preserve"> and Pacific ocean perch are</w:t>
      </w:r>
      <w:r w:rsidR="00C704E5">
        <w:t xml:space="preserve"> primarily</w:t>
      </w:r>
      <w:r w:rsidR="00186D46">
        <w:t xml:space="preserve"> harvested in the Aleutian Islands at substantial distance from most CDQ communities</w:t>
      </w:r>
      <w:r w:rsidR="00AB49E6">
        <w:t>)</w:t>
      </w:r>
      <w:r w:rsidR="00F23068">
        <w:t xml:space="preserve">.  </w:t>
      </w:r>
    </w:p>
    <w:p w14:paraId="69312D27" w14:textId="7D49796B" w:rsidR="00F23068" w:rsidRDefault="00F23068" w:rsidP="00380751">
      <w:pPr>
        <w:numPr>
          <w:ilvl w:val="12"/>
          <w:numId w:val="0"/>
        </w:numPr>
        <w:spacing w:line="480" w:lineRule="auto"/>
        <w:ind w:firstLine="720"/>
      </w:pPr>
      <w:r>
        <w:t xml:space="preserve">Two species that are allocated to CDQ groups </w:t>
      </w:r>
      <w:r w:rsidR="002A0C7D">
        <w:t xml:space="preserve">and that </w:t>
      </w:r>
      <w:r>
        <w:t xml:space="preserve">have been effectively harvested </w:t>
      </w:r>
      <w:r w:rsidR="00082FA1">
        <w:t>in</w:t>
      </w:r>
      <w:r>
        <w:t xml:space="preserve"> local small-scale fisheries in the BSAI are halibut and Pacific cod</w:t>
      </w:r>
      <w:r w:rsidR="006858F9">
        <w:t xml:space="preserve">. </w:t>
      </w:r>
      <w:r w:rsidR="009E5365">
        <w:t>Both halibut and Pacific cod can be effectively harvested by small vessels using hook-and-line gear</w:t>
      </w:r>
      <w:r w:rsidR="006858F9">
        <w:t xml:space="preserve">. </w:t>
      </w:r>
      <w:r w:rsidR="00FD57DC">
        <w:t>R</w:t>
      </w:r>
      <w:r w:rsidR="00325B3C">
        <w:t xml:space="preserve">esidents of </w:t>
      </w:r>
      <w:r w:rsidR="009E5365">
        <w:t xml:space="preserve">CDQ communities </w:t>
      </w:r>
      <w:r w:rsidR="00FD57DC">
        <w:t xml:space="preserve">commonly use hook-and-line gear </w:t>
      </w:r>
      <w:r w:rsidR="009E5365">
        <w:t>because it is relatively inexpensive to purchase and maintain relative to other gear types such as trawl and pot gear</w:t>
      </w:r>
      <w:r w:rsidR="00325B3C">
        <w:t>, and can be operated on small vessels</w:t>
      </w:r>
      <w:r w:rsidR="009E5365">
        <w:t xml:space="preserve">.  </w:t>
      </w:r>
    </w:p>
    <w:p w14:paraId="2E24BA22" w14:textId="6878DFAC" w:rsidR="005B0AA3" w:rsidRDefault="00F23068" w:rsidP="005B0AA3">
      <w:pPr>
        <w:numPr>
          <w:ilvl w:val="12"/>
          <w:numId w:val="0"/>
        </w:numPr>
        <w:spacing w:line="480" w:lineRule="auto"/>
        <w:ind w:firstLine="720"/>
      </w:pPr>
      <w:r>
        <w:t>Currently, t</w:t>
      </w:r>
      <w:r w:rsidR="001E5B49">
        <w:t xml:space="preserve">he majority of the </w:t>
      </w:r>
      <w:r w:rsidR="00574483">
        <w:t xml:space="preserve">local </w:t>
      </w:r>
      <w:r w:rsidR="001E5B49">
        <w:t>small-scale CDQ fisheries involve the harvest of the halibut CDQ allocations</w:t>
      </w:r>
      <w:r w:rsidR="006858F9">
        <w:t xml:space="preserve">. </w:t>
      </w:r>
      <w:r w:rsidR="009E5365">
        <w:t>By IPHC regulation, halibut must be harvested by hook-and-line gear</w:t>
      </w:r>
      <w:r w:rsidR="006858F9">
        <w:t xml:space="preserve">. </w:t>
      </w:r>
      <w:r w:rsidR="005B0AA3">
        <w:t xml:space="preserve">The halibut CDQ allocations </w:t>
      </w:r>
      <w:r w:rsidR="005B0AA3" w:rsidRPr="00941656">
        <w:t xml:space="preserve">typically </w:t>
      </w:r>
      <w:r w:rsidR="005B0AA3">
        <w:t xml:space="preserve">are </w:t>
      </w:r>
      <w:r w:rsidR="005B0AA3" w:rsidRPr="00941656">
        <w:t>harvest</w:t>
      </w:r>
      <w:r w:rsidR="005B0AA3">
        <w:t>ed</w:t>
      </w:r>
      <w:r w:rsidR="005B0AA3" w:rsidRPr="00941656">
        <w:t xml:space="preserve"> </w:t>
      </w:r>
      <w:r w:rsidR="009E5365">
        <w:t>by</w:t>
      </w:r>
      <w:r w:rsidR="005B0AA3" w:rsidRPr="00941656">
        <w:t xml:space="preserve"> catcher vessels less than or equal to 46 </w:t>
      </w:r>
      <w:r w:rsidR="005B0AA3">
        <w:t>ft</w:t>
      </w:r>
      <w:r w:rsidR="002A0C7D">
        <w:t xml:space="preserve"> </w:t>
      </w:r>
      <w:r w:rsidR="00042EEF">
        <w:t>LOA</w:t>
      </w:r>
      <w:r w:rsidR="002A0C7D">
        <w:t xml:space="preserve"> (</w:t>
      </w:r>
      <w:r w:rsidR="00325B3C">
        <w:t>14.0</w:t>
      </w:r>
      <w:r w:rsidR="002A0C7D">
        <w:t xml:space="preserve"> m)</w:t>
      </w:r>
      <w:r w:rsidR="009E5365">
        <w:t xml:space="preserve"> using hook-and-line gear</w:t>
      </w:r>
      <w:r w:rsidR="006858F9">
        <w:t xml:space="preserve">. </w:t>
      </w:r>
      <w:r w:rsidR="005B0AA3" w:rsidRPr="00941656">
        <w:t xml:space="preserve">As shown in </w:t>
      </w:r>
      <w:r w:rsidR="005B0AA3" w:rsidRPr="006B02A7">
        <w:t>Table 3-11 of the Analysis</w:t>
      </w:r>
      <w:r w:rsidR="005B0AA3" w:rsidRPr="00941656">
        <w:t xml:space="preserve">, the halibut CDQ fishing fleet </w:t>
      </w:r>
      <w:r w:rsidR="005B0AA3">
        <w:t xml:space="preserve">ranged from 215 to 246 vessels </w:t>
      </w:r>
      <w:r w:rsidR="00C704E5">
        <w:t xml:space="preserve">from </w:t>
      </w:r>
      <w:r w:rsidR="005B0AA3">
        <w:t xml:space="preserve">2009 </w:t>
      </w:r>
      <w:r w:rsidR="00C704E5">
        <w:t xml:space="preserve">through </w:t>
      </w:r>
      <w:r w:rsidR="005B0AA3">
        <w:t xml:space="preserve">2013. </w:t>
      </w:r>
      <w:r w:rsidR="005B0AA3" w:rsidRPr="006B02A7">
        <w:t>Table 3-13 in the Analysis</w:t>
      </w:r>
      <w:r w:rsidR="005B0AA3">
        <w:t xml:space="preserve"> shows that in 201</w:t>
      </w:r>
      <w:r w:rsidR="007B539A">
        <w:t>2</w:t>
      </w:r>
      <w:r w:rsidR="00640D8F">
        <w:t xml:space="preserve"> (the most recent year of complete data </w:t>
      </w:r>
      <w:r w:rsidR="009B593F">
        <w:t xml:space="preserve">in the Analysis </w:t>
      </w:r>
      <w:r w:rsidR="00640D8F">
        <w:t xml:space="preserve">on the length of vessels harvesting </w:t>
      </w:r>
      <w:r w:rsidR="00CD00DE">
        <w:t xml:space="preserve">halibut </w:t>
      </w:r>
      <w:r w:rsidR="00640D8F">
        <w:t>CDQ)</w:t>
      </w:r>
      <w:r w:rsidR="005B0AA3">
        <w:t>, 217 of the 239 catcher vessels fishing for halibut CDQ were less th</w:t>
      </w:r>
      <w:r w:rsidR="002A0C7D">
        <w:t xml:space="preserve">an or equal to 32 ft </w:t>
      </w:r>
      <w:r w:rsidR="00042EEF">
        <w:t>LOA</w:t>
      </w:r>
      <w:r w:rsidR="005B0AA3">
        <w:t>, 9</w:t>
      </w:r>
      <w:r w:rsidR="002A0C7D">
        <w:t xml:space="preserve"> </w:t>
      </w:r>
      <w:r w:rsidR="002A0C7D">
        <w:lastRenderedPageBreak/>
        <w:t xml:space="preserve">were </w:t>
      </w:r>
      <w:r w:rsidR="007C0646">
        <w:t xml:space="preserve">from </w:t>
      </w:r>
      <w:r w:rsidR="002A0C7D">
        <w:t xml:space="preserve">33 ft (10.1 m) </w:t>
      </w:r>
      <w:r w:rsidR="00042EEF">
        <w:t>LOA</w:t>
      </w:r>
      <w:r w:rsidR="002A0C7D">
        <w:t xml:space="preserve"> </w:t>
      </w:r>
      <w:r w:rsidR="007C0646">
        <w:t xml:space="preserve">to </w:t>
      </w:r>
      <w:r w:rsidR="002A0C7D">
        <w:t xml:space="preserve">46 ft </w:t>
      </w:r>
      <w:r w:rsidR="00042EEF">
        <w:t>LOA</w:t>
      </w:r>
      <w:r w:rsidR="005B0AA3">
        <w:t xml:space="preserve">, and </w:t>
      </w:r>
      <w:r w:rsidR="00640D8F">
        <w:t xml:space="preserve">only </w:t>
      </w:r>
      <w:r w:rsidR="005B0AA3">
        <w:t>13 vess</w:t>
      </w:r>
      <w:r w:rsidR="002A0C7D">
        <w:t xml:space="preserve">els were greater than 46 ft </w:t>
      </w:r>
      <w:r w:rsidR="00042EEF">
        <w:t>LOA</w:t>
      </w:r>
      <w:r w:rsidR="005B0AA3">
        <w:t xml:space="preserve">. </w:t>
      </w:r>
    </w:p>
    <w:p w14:paraId="6A37F50E" w14:textId="4760BE5F" w:rsidR="00BB7E79" w:rsidRPr="00941656" w:rsidRDefault="001C3A44" w:rsidP="00380751">
      <w:pPr>
        <w:numPr>
          <w:ilvl w:val="12"/>
          <w:numId w:val="0"/>
        </w:numPr>
        <w:spacing w:line="480" w:lineRule="auto"/>
        <w:ind w:firstLine="720"/>
      </w:pPr>
      <w:r w:rsidRPr="00941656">
        <w:t xml:space="preserve">In recent years, </w:t>
      </w:r>
      <w:r w:rsidR="003C5A48" w:rsidRPr="00941656">
        <w:t xml:space="preserve">the </w:t>
      </w:r>
      <w:r w:rsidR="00760CEA" w:rsidRPr="00941656">
        <w:t xml:space="preserve">exploitable </w:t>
      </w:r>
      <w:r w:rsidR="003C5A48" w:rsidRPr="00941656">
        <w:t xml:space="preserve">biomass of halibut in the BSAI </w:t>
      </w:r>
      <w:r w:rsidR="0002277F">
        <w:t>has</w:t>
      </w:r>
      <w:r w:rsidR="0002277F" w:rsidRPr="00941656">
        <w:t xml:space="preserve"> </w:t>
      </w:r>
      <w:r w:rsidR="00760CEA" w:rsidRPr="00941656">
        <w:t>declined</w:t>
      </w:r>
      <w:r w:rsidR="00FE136E" w:rsidRPr="00941656">
        <w:t xml:space="preserve">, </w:t>
      </w:r>
      <w:r w:rsidR="00760CEA" w:rsidRPr="00941656">
        <w:t xml:space="preserve">particularly </w:t>
      </w:r>
      <w:r w:rsidR="00FE136E" w:rsidRPr="00941656">
        <w:t>over</w:t>
      </w:r>
      <w:r w:rsidR="00760CEA" w:rsidRPr="00941656">
        <w:t xml:space="preserve"> </w:t>
      </w:r>
      <w:r w:rsidR="008D7BF0" w:rsidRPr="00941656">
        <w:t>the</w:t>
      </w:r>
      <w:r w:rsidR="00760CEA" w:rsidRPr="00941656">
        <w:t xml:space="preserve"> last four years</w:t>
      </w:r>
      <w:r w:rsidR="006858F9">
        <w:t xml:space="preserve">. </w:t>
      </w:r>
      <w:r w:rsidR="000435F5">
        <w:t xml:space="preserve">This has resulted in a declining </w:t>
      </w:r>
      <w:r w:rsidR="00CD00DE">
        <w:t xml:space="preserve">halibut </w:t>
      </w:r>
      <w:r w:rsidR="000435F5">
        <w:t>CDQ allocation as well</w:t>
      </w:r>
      <w:r w:rsidR="006858F9">
        <w:t xml:space="preserve">. </w:t>
      </w:r>
      <w:r w:rsidR="001E5B49">
        <w:t xml:space="preserve">For example, </w:t>
      </w:r>
      <w:r w:rsidR="005D07A6">
        <w:t>the total halibut CDQ allocations were 2,128,000 pounds in 2011 and 797,080 pounds in 2015</w:t>
      </w:r>
      <w:r w:rsidR="006858F9">
        <w:t xml:space="preserve">. </w:t>
      </w:r>
      <w:r w:rsidR="000435F5" w:rsidRPr="004940B1">
        <w:t xml:space="preserve">The decrease in halibut CDQ allocations has resulted in decreasing opportunities </w:t>
      </w:r>
      <w:r w:rsidR="000435F5" w:rsidRPr="00D048C0">
        <w:t xml:space="preserve">for residents of CDQ communities to earn income important to </w:t>
      </w:r>
      <w:r w:rsidR="000435F5">
        <w:t>themselves</w:t>
      </w:r>
      <w:r w:rsidR="000435F5" w:rsidRPr="00D048C0">
        <w:t xml:space="preserve"> and the</w:t>
      </w:r>
      <w:r w:rsidR="000435F5">
        <w:t>ir</w:t>
      </w:r>
      <w:r w:rsidR="000435F5" w:rsidRPr="00D048C0">
        <w:t xml:space="preserve"> local economies</w:t>
      </w:r>
      <w:r w:rsidR="006858F9">
        <w:t xml:space="preserve">. </w:t>
      </w:r>
      <w:r w:rsidR="00AE59B1">
        <w:t>More information about the status of the halibut stock and halibut CDQ fisheries is</w:t>
      </w:r>
      <w:r w:rsidR="00AD4A62">
        <w:t xml:space="preserve"> in</w:t>
      </w:r>
      <w:r w:rsidR="00AE59B1">
        <w:t xml:space="preserve"> </w:t>
      </w:r>
      <w:r w:rsidR="00AE59B1" w:rsidRPr="004940B1">
        <w:t>Section</w:t>
      </w:r>
      <w:r w:rsidR="00AD4A62" w:rsidRPr="004940B1">
        <w:t>s</w:t>
      </w:r>
      <w:r w:rsidR="00AE59B1" w:rsidRPr="004940B1">
        <w:t xml:space="preserve"> 3.7 and 5.2</w:t>
      </w:r>
      <w:r w:rsidR="00AE59B1">
        <w:t xml:space="preserve"> of the Analysis. </w:t>
      </w:r>
    </w:p>
    <w:p w14:paraId="6A2BC70F" w14:textId="05FB3910" w:rsidR="00F1709B" w:rsidRDefault="00C61B25" w:rsidP="00CD26EA">
      <w:pPr>
        <w:numPr>
          <w:ilvl w:val="12"/>
          <w:numId w:val="0"/>
        </w:numPr>
        <w:spacing w:line="480" w:lineRule="auto"/>
        <w:ind w:firstLine="720"/>
      </w:pPr>
      <w:r w:rsidRPr="00941656">
        <w:t>Pacific cod is a</w:t>
      </w:r>
      <w:r w:rsidR="002479DD">
        <w:t xml:space="preserve">n economically valuable </w:t>
      </w:r>
      <w:r>
        <w:t xml:space="preserve">groundfish </w:t>
      </w:r>
      <w:r w:rsidRPr="00941656">
        <w:t>species</w:t>
      </w:r>
      <w:r w:rsidR="006858F9">
        <w:t xml:space="preserve">. </w:t>
      </w:r>
      <w:r w:rsidR="00CD26EA">
        <w:t xml:space="preserve">It is valuable both to participants in the CDQ Program and those harvesting Pacific cod outside of the CDQ Program (i.e., </w:t>
      </w:r>
      <w:r w:rsidR="004162D4">
        <w:t xml:space="preserve">participants in </w:t>
      </w:r>
      <w:r w:rsidR="00CD26EA">
        <w:t>the non-CDQ fisheries)</w:t>
      </w:r>
      <w:r w:rsidR="006858F9">
        <w:t xml:space="preserve">. </w:t>
      </w:r>
      <w:r w:rsidR="00F1709B" w:rsidRPr="00941656">
        <w:t>Pacific cod stocks have increased in abundance over the same period that halibut stocks have declined in abundance</w:t>
      </w:r>
      <w:r w:rsidR="006858F9">
        <w:t xml:space="preserve">. </w:t>
      </w:r>
      <w:r w:rsidR="00F1709B" w:rsidRPr="00941656">
        <w:t>In the BSAI, the overfishing level,</w:t>
      </w:r>
      <w:r w:rsidR="00F1709B">
        <w:t xml:space="preserve"> </w:t>
      </w:r>
      <w:r w:rsidR="00F1709B" w:rsidRPr="00941656">
        <w:t>acceptable biological catch, and subsequent TAC for Pacific cod have generally increased over the past 5 years</w:t>
      </w:r>
      <w:r w:rsidR="006858F9">
        <w:t xml:space="preserve">. </w:t>
      </w:r>
      <w:r w:rsidR="00F1709B">
        <w:t xml:space="preserve">As of 2015, </w:t>
      </w:r>
      <w:r w:rsidR="00F1709B" w:rsidRPr="00941656">
        <w:t>Pacific cod</w:t>
      </w:r>
      <w:r w:rsidR="00F1709B">
        <w:t xml:space="preserve"> abundance</w:t>
      </w:r>
      <w:r w:rsidR="00F1709B" w:rsidRPr="00941656">
        <w:t xml:space="preserve"> is currently higher than at any time</w:t>
      </w:r>
      <w:r w:rsidR="00F1709B">
        <w:t xml:space="preserve"> since 1995</w:t>
      </w:r>
      <w:r w:rsidR="006858F9">
        <w:t xml:space="preserve">. </w:t>
      </w:r>
      <w:r w:rsidR="00F1709B" w:rsidRPr="00941656">
        <w:t xml:space="preserve">The Pacific cod biomass is projected to maintain its relatively high abundance or possibly </w:t>
      </w:r>
      <w:r w:rsidR="008878E2">
        <w:t>increase</w:t>
      </w:r>
      <w:r w:rsidR="00F1709B">
        <w:t xml:space="preserve"> in 2016 and future years</w:t>
      </w:r>
      <w:r w:rsidR="006858F9">
        <w:t xml:space="preserve">. </w:t>
      </w:r>
      <w:r w:rsidR="00F1709B">
        <w:t>More information about Pacific cod and the Pacific cod CDQ fisheries is in Section 3.6 and Section 5.1 of the Analysis.</w:t>
      </w:r>
    </w:p>
    <w:p w14:paraId="03F8C8C3" w14:textId="019491BC" w:rsidR="00E623CC" w:rsidRDefault="00186D46" w:rsidP="008D7C92">
      <w:pPr>
        <w:numPr>
          <w:ilvl w:val="12"/>
          <w:numId w:val="0"/>
        </w:numPr>
        <w:spacing w:line="480" w:lineRule="auto"/>
        <w:ind w:firstLine="720"/>
      </w:pPr>
      <w:r>
        <w:t xml:space="preserve">In the non-CDQ Pacific cod fisheries, </w:t>
      </w:r>
      <w:r w:rsidR="001533D7">
        <w:t xml:space="preserve">small </w:t>
      </w:r>
      <w:r w:rsidR="00CD26EA">
        <w:t xml:space="preserve">hook-and-line </w:t>
      </w:r>
      <w:r>
        <w:t xml:space="preserve">catcher </w:t>
      </w:r>
      <w:r w:rsidR="00CD26EA">
        <w:t>ves</w:t>
      </w:r>
      <w:r>
        <w:t>sels</w:t>
      </w:r>
      <w:r w:rsidR="00CD26EA">
        <w:t xml:space="preserve"> have demonstrated an ability to harvest Pacific cod in </w:t>
      </w:r>
      <w:r w:rsidR="0002277F">
        <w:t xml:space="preserve">the </w:t>
      </w:r>
      <w:r w:rsidR="00AB49E6">
        <w:t>BSAI</w:t>
      </w:r>
      <w:r>
        <w:t xml:space="preserve">. </w:t>
      </w:r>
      <w:r w:rsidR="004966C7">
        <w:t>For example, i</w:t>
      </w:r>
      <w:r w:rsidR="00B31778">
        <w:t>n 2014, five hook-and-line catcher vessels less than 60 ft</w:t>
      </w:r>
      <w:r w:rsidR="006108D7">
        <w:t xml:space="preserve"> (18.3 m)</w:t>
      </w:r>
      <w:r w:rsidR="00B31778">
        <w:t xml:space="preserve"> LOA harvested </w:t>
      </w:r>
      <w:r w:rsidR="001533D7">
        <w:t xml:space="preserve">of </w:t>
      </w:r>
      <w:r w:rsidR="00B31778">
        <w:t xml:space="preserve">over 2,000 mt of </w:t>
      </w:r>
      <w:r w:rsidR="00B31778">
        <w:lastRenderedPageBreak/>
        <w:t xml:space="preserve">Pacific cod in the non-CDQ Pacific cod fisheries in the </w:t>
      </w:r>
      <w:r w:rsidR="00DA7C30">
        <w:t>Bering Sea (</w:t>
      </w:r>
      <w:r w:rsidR="00B31778">
        <w:t>BS</w:t>
      </w:r>
      <w:r w:rsidR="00DA7C30">
        <w:t>)</w:t>
      </w:r>
      <w:r w:rsidR="006858F9">
        <w:t xml:space="preserve">. </w:t>
      </w:r>
      <w:r w:rsidR="00CD26EA">
        <w:t>(</w:t>
      </w:r>
      <w:r w:rsidR="006108D7">
        <w:t xml:space="preserve">See </w:t>
      </w:r>
      <w:r w:rsidR="00CD26EA">
        <w:t xml:space="preserve">Section </w:t>
      </w:r>
      <w:r w:rsidR="00A73C75">
        <w:t>3.6.2</w:t>
      </w:r>
      <w:r w:rsidR="00CD26EA">
        <w:t xml:space="preserve"> of the Analysis for additional detail</w:t>
      </w:r>
      <w:r w:rsidR="00640D8F">
        <w:t xml:space="preserve"> on the non-CDQ </w:t>
      </w:r>
      <w:r w:rsidR="00E623CC">
        <w:t xml:space="preserve">Pacific cod </w:t>
      </w:r>
      <w:r w:rsidR="00640D8F">
        <w:t>fisheries</w:t>
      </w:r>
      <w:r w:rsidR="005804EA">
        <w:t>.</w:t>
      </w:r>
      <w:r w:rsidR="00CD26EA">
        <w:t xml:space="preserve">) </w:t>
      </w:r>
    </w:p>
    <w:p w14:paraId="185700F5" w14:textId="3BD3B01B" w:rsidR="00CD26EA" w:rsidRDefault="004966C7" w:rsidP="00E623CC">
      <w:pPr>
        <w:numPr>
          <w:ilvl w:val="12"/>
          <w:numId w:val="0"/>
        </w:numPr>
        <w:spacing w:line="480" w:lineRule="auto"/>
        <w:ind w:firstLine="720"/>
      </w:pPr>
      <w:r>
        <w:t xml:space="preserve">However, small </w:t>
      </w:r>
      <w:r w:rsidR="001533D7">
        <w:t xml:space="preserve">catcher </w:t>
      </w:r>
      <w:r>
        <w:t xml:space="preserve">vessels have demonstrated very little current participation </w:t>
      </w:r>
      <w:r w:rsidR="00E623CC">
        <w:t xml:space="preserve">in the Pacific cod CDQ </w:t>
      </w:r>
      <w:r w:rsidR="009043C3">
        <w:t>fisheries</w:t>
      </w:r>
      <w:r>
        <w:t xml:space="preserve">. </w:t>
      </w:r>
      <w:r w:rsidR="00A5205B">
        <w:t>As shown in Table 3-13</w:t>
      </w:r>
      <w:r w:rsidR="00DF2DB4">
        <w:t xml:space="preserve"> of the Analysis</w:t>
      </w:r>
      <w:r w:rsidR="00A5205B">
        <w:t xml:space="preserve">, </w:t>
      </w:r>
      <w:r w:rsidR="00DF2DB4">
        <w:t xml:space="preserve">of the approximately 240 catcher vessels fishing for halibut CDQ in 2012, </w:t>
      </w:r>
      <w:r w:rsidR="00E623CC">
        <w:t xml:space="preserve">only </w:t>
      </w:r>
      <w:r w:rsidR="008D7C92">
        <w:t xml:space="preserve">four </w:t>
      </w:r>
      <w:r w:rsidR="00E623CC">
        <w:t xml:space="preserve">of these </w:t>
      </w:r>
      <w:r w:rsidR="001533D7">
        <w:t xml:space="preserve">catcher </w:t>
      </w:r>
      <w:r w:rsidR="00E623CC">
        <w:t>vessels harvested Pacific cod, and the amount harvested was very small (2 mt).</w:t>
      </w:r>
      <w:r w:rsidR="00B4577C">
        <w:t xml:space="preserve"> </w:t>
      </w:r>
      <w:r w:rsidR="008D7C92">
        <w:t xml:space="preserve">Instead, the CDQ groups harvest most of their Pacific cod CDQ allocations with catcher/processors greater than 60 ft </w:t>
      </w:r>
      <w:r w:rsidR="00CB2C72">
        <w:t>LOA</w:t>
      </w:r>
      <w:r w:rsidR="008D7C92">
        <w:t xml:space="preserve"> using hook-and-line gear. T</w:t>
      </w:r>
      <w:r w:rsidR="00CD26EA">
        <w:t xml:space="preserve">hese larger vessels can more efficiently harvest the CDQ allocations, can fish in </w:t>
      </w:r>
      <w:r w:rsidR="00CD26EA" w:rsidRPr="00C17370">
        <w:t>the times</w:t>
      </w:r>
      <w:r w:rsidR="00CD26EA">
        <w:t xml:space="preserve"> and areas when and where Pacific cod are available, and can absorb the costs of the fisheries management and catch monitoring requirements associated with these fisheries. In addition, many of the CDQ groups own a portion of one or more hook-and-line catcher/processors, so in addition to receiving royalties for the lease of the Pacific cod</w:t>
      </w:r>
      <w:r w:rsidR="001533D7">
        <w:t xml:space="preserve"> CDQ</w:t>
      </w:r>
      <w:r w:rsidR="00CD26EA">
        <w:t xml:space="preserve">, the CDQ group also earns a share of the profits from the </w:t>
      </w:r>
      <w:r w:rsidR="00C704E5">
        <w:t>catcher/processors</w:t>
      </w:r>
      <w:r w:rsidR="00CB2C72">
        <w:t>. Finally, and most important</w:t>
      </w:r>
      <w:r w:rsidR="009F6602">
        <w:t>ly</w:t>
      </w:r>
      <w:r w:rsidR="00CB2C72">
        <w:t xml:space="preserve"> for this proposed rule, there are regulatory constraints that limit the use of </w:t>
      </w:r>
      <w:r w:rsidR="004162D4">
        <w:t xml:space="preserve">small </w:t>
      </w:r>
      <w:r w:rsidR="00CB2C72">
        <w:t>catcher vessels in the groundfish CDQ fisheries</w:t>
      </w:r>
      <w:r w:rsidR="002479DD">
        <w:t>.  These constraints are</w:t>
      </w:r>
      <w:r w:rsidR="00CB2C72">
        <w:t xml:space="preserve"> described in more detail in the “LLP Requirements </w:t>
      </w:r>
      <w:r w:rsidR="001E4261">
        <w:t xml:space="preserve">in the </w:t>
      </w:r>
      <w:r w:rsidR="00CB2C72">
        <w:t>CDQ Fisheries” and “</w:t>
      </w:r>
      <w:r w:rsidR="00CB2C72" w:rsidRPr="00B111CD">
        <w:t xml:space="preserve">Observer Coverage Requirements in the CDQ </w:t>
      </w:r>
      <w:r w:rsidR="008A13C7">
        <w:t xml:space="preserve">Groundfish and Halibut </w:t>
      </w:r>
      <w:r w:rsidR="00CB2C72" w:rsidRPr="00B111CD">
        <w:t>Fisheries</w:t>
      </w:r>
      <w:r w:rsidR="00CB2C72">
        <w:t>” sections of the preamble.</w:t>
      </w:r>
    </w:p>
    <w:p w14:paraId="203C4297" w14:textId="0D0109AC" w:rsidR="00CB2C72" w:rsidRDefault="00CB2C72" w:rsidP="00B111CD">
      <w:pPr>
        <w:numPr>
          <w:ilvl w:val="12"/>
          <w:numId w:val="0"/>
        </w:numPr>
        <w:spacing w:line="480" w:lineRule="auto"/>
      </w:pPr>
      <w:r w:rsidRPr="003354FC">
        <w:rPr>
          <w:i/>
        </w:rPr>
        <w:t xml:space="preserve">CDQ Program </w:t>
      </w:r>
      <w:r>
        <w:rPr>
          <w:i/>
        </w:rPr>
        <w:t>Prohibited Species Catch (PSC) Limits</w:t>
      </w:r>
    </w:p>
    <w:p w14:paraId="2B98B030" w14:textId="098C32D4" w:rsidR="000435F5" w:rsidRDefault="008D7C92" w:rsidP="000435F5">
      <w:pPr>
        <w:numPr>
          <w:ilvl w:val="12"/>
          <w:numId w:val="0"/>
        </w:numPr>
        <w:spacing w:line="480" w:lineRule="auto"/>
        <w:ind w:firstLine="720"/>
      </w:pPr>
      <w:r>
        <w:t xml:space="preserve">In addition to allocations </w:t>
      </w:r>
      <w:r w:rsidR="001D3190">
        <w:t>of groundfish, halibut, and crab for harvest, t</w:t>
      </w:r>
      <w:r w:rsidR="000435F5" w:rsidRPr="00941656">
        <w:t xml:space="preserve">he CDQ groups </w:t>
      </w:r>
      <w:r w:rsidR="000435F5">
        <w:t xml:space="preserve">also receive annual allocations of </w:t>
      </w:r>
      <w:r w:rsidR="004162D4">
        <w:t xml:space="preserve">certain </w:t>
      </w:r>
      <w:r w:rsidR="000435F5">
        <w:t xml:space="preserve">BSAI PSC limits </w:t>
      </w:r>
      <w:r w:rsidR="000435F5" w:rsidRPr="00941656">
        <w:t xml:space="preserve">to account for </w:t>
      </w:r>
      <w:r w:rsidR="000435F5">
        <w:t xml:space="preserve">the catch of </w:t>
      </w:r>
      <w:r w:rsidR="004162D4">
        <w:t xml:space="preserve">those </w:t>
      </w:r>
      <w:r w:rsidR="000435F5" w:rsidRPr="00941656">
        <w:t xml:space="preserve">prohibited species </w:t>
      </w:r>
      <w:r w:rsidR="000435F5">
        <w:t>in the groundfish CDQ fisheries</w:t>
      </w:r>
      <w:r w:rsidR="000435F5" w:rsidRPr="00941656">
        <w:t xml:space="preserve">. Prohibited species </w:t>
      </w:r>
      <w:r w:rsidR="004162D4">
        <w:t xml:space="preserve">may be </w:t>
      </w:r>
      <w:r w:rsidR="000435F5" w:rsidRPr="00941656">
        <w:lastRenderedPageBreak/>
        <w:t>caught by a vessel wh</w:t>
      </w:r>
      <w:r w:rsidR="00856510">
        <w:t>en</w:t>
      </w:r>
      <w:r w:rsidR="000435F5" w:rsidRPr="00941656">
        <w:t xml:space="preserve"> fishing for groundfish in the </w:t>
      </w:r>
      <w:r w:rsidR="000435F5">
        <w:t>BSAI</w:t>
      </w:r>
      <w:r w:rsidR="006858F9">
        <w:t xml:space="preserve">. </w:t>
      </w:r>
      <w:r w:rsidR="000435F5" w:rsidRPr="00941656">
        <w:t xml:space="preserve">A PSC limit is an apportioned, non-retainable amount of fish </w:t>
      </w:r>
      <w:r w:rsidR="000435F5">
        <w:t xml:space="preserve">or crab </w:t>
      </w:r>
      <w:r w:rsidR="000435F5" w:rsidRPr="00941656">
        <w:t xml:space="preserve">provided to a groundfish fishery to limit the bycatch of that prohibited species in </w:t>
      </w:r>
      <w:r w:rsidR="00B8543E">
        <w:t>that</w:t>
      </w:r>
      <w:r w:rsidR="000435F5" w:rsidRPr="00941656">
        <w:t xml:space="preserve"> </w:t>
      </w:r>
      <w:r w:rsidR="000435F5">
        <w:t xml:space="preserve">particular </w:t>
      </w:r>
      <w:r w:rsidR="00B8543E">
        <w:t xml:space="preserve">groundfish </w:t>
      </w:r>
      <w:r w:rsidR="000435F5" w:rsidRPr="00941656">
        <w:t>fishery.</w:t>
      </w:r>
      <w:r w:rsidR="000435F5">
        <w:t xml:space="preserve">  </w:t>
      </w:r>
    </w:p>
    <w:p w14:paraId="1BABEEFE" w14:textId="10EA7274" w:rsidR="000435F5" w:rsidRDefault="000435F5" w:rsidP="000435F5">
      <w:pPr>
        <w:numPr>
          <w:ilvl w:val="12"/>
          <w:numId w:val="0"/>
        </w:numPr>
        <w:spacing w:line="480" w:lineRule="auto"/>
        <w:ind w:firstLine="720"/>
      </w:pPr>
      <w:r>
        <w:t>The CDQ Program receives annual allocations of the BSAI PSC limit</w:t>
      </w:r>
      <w:r w:rsidR="00B8543E">
        <w:t>s</w:t>
      </w:r>
      <w:r>
        <w:t xml:space="preserve"> for halibut, Chinook salmon, non-Chinook salmon, red king crab, </w:t>
      </w:r>
      <w:r w:rsidRPr="000A7FC4">
        <w:rPr>
          <w:i/>
        </w:rPr>
        <w:t>Chionoecetes (C.) opilio</w:t>
      </w:r>
      <w:r w:rsidRPr="000A7FC4">
        <w:t xml:space="preserve"> </w:t>
      </w:r>
      <w:r>
        <w:t xml:space="preserve">crab, and </w:t>
      </w:r>
      <w:r w:rsidRPr="000A7FC4">
        <w:rPr>
          <w:i/>
        </w:rPr>
        <w:t>C.</w:t>
      </w:r>
      <w:r>
        <w:t xml:space="preserve"> </w:t>
      </w:r>
      <w:r w:rsidRPr="000A7FC4">
        <w:rPr>
          <w:i/>
        </w:rPr>
        <w:t>bairdi</w:t>
      </w:r>
      <w:r>
        <w:t xml:space="preserve"> crab. </w:t>
      </w:r>
      <w:r w:rsidRPr="00E829A6">
        <w:t>The annual allocation of a portion of a PSC limit to the CDQ Program is referred to as a PSQ reserve, and the annual allocation of the PSQ reserve among the CDQ groups is referred to as PSQ (see definitions for these terms at § 679.2).</w:t>
      </w:r>
      <w:r>
        <w:t xml:space="preserve"> </w:t>
      </w:r>
    </w:p>
    <w:p w14:paraId="4A674481" w14:textId="62869620" w:rsidR="005D0DFC" w:rsidRDefault="005D0DFC" w:rsidP="0041207D">
      <w:pPr>
        <w:numPr>
          <w:ilvl w:val="12"/>
          <w:numId w:val="0"/>
        </w:numPr>
        <w:spacing w:line="480" w:lineRule="auto"/>
        <w:ind w:firstLine="720"/>
      </w:pPr>
      <w:r>
        <w:t>The PS</w:t>
      </w:r>
      <w:r w:rsidR="00B8543E">
        <w:t>Q</w:t>
      </w:r>
      <w:r>
        <w:t xml:space="preserve"> allocations in the CDQ Program are managed in the same manner as </w:t>
      </w:r>
      <w:r w:rsidR="00B8543E">
        <w:t xml:space="preserve">PSC limits </w:t>
      </w:r>
      <w:r>
        <w:t>in the non-CDQ fisheries</w:t>
      </w:r>
      <w:r w:rsidR="006858F9">
        <w:t xml:space="preserve">. </w:t>
      </w:r>
      <w:r>
        <w:t xml:space="preserve">These requirements are described in </w:t>
      </w:r>
      <w:r w:rsidR="00186D46">
        <w:t xml:space="preserve">regulations at </w:t>
      </w:r>
      <w:r>
        <w:t xml:space="preserve">§§ 679.32 and </w:t>
      </w:r>
      <w:r w:rsidRPr="00A84D1F">
        <w:t>679.7(d)(5)</w:t>
      </w:r>
      <w:r>
        <w:t xml:space="preserve">. </w:t>
      </w:r>
      <w:r w:rsidR="0041207D">
        <w:t xml:space="preserve">The halibut PSQs </w:t>
      </w:r>
      <w:r>
        <w:t>are transferab</w:t>
      </w:r>
      <w:r w:rsidR="0041207D">
        <w:t>le only among the CDQ groups. O</w:t>
      </w:r>
      <w:r w:rsidR="00464EA7" w:rsidRPr="009772D7">
        <w:t>perators of vessels groundfish fishing in the BSAI are prohibited from retaining Pacific halibut, unless the vessel operator is authorized to retain halibut CDQ or halibut IFQ</w:t>
      </w:r>
      <w:r w:rsidR="006858F9">
        <w:t xml:space="preserve">. </w:t>
      </w:r>
      <w:r w:rsidR="00464EA7" w:rsidRPr="009772D7">
        <w:t xml:space="preserve">However, halibut </w:t>
      </w:r>
      <w:r w:rsidR="00464EA7">
        <w:t xml:space="preserve">often </w:t>
      </w:r>
      <w:r w:rsidR="0041207D">
        <w:t xml:space="preserve">is </w:t>
      </w:r>
      <w:r w:rsidR="00464EA7">
        <w:t>incidentally caught wh</w:t>
      </w:r>
      <w:r w:rsidR="00856510">
        <w:t>en</w:t>
      </w:r>
      <w:r w:rsidR="00464EA7">
        <w:t xml:space="preserve"> groundfish fishing because halibut </w:t>
      </w:r>
      <w:r w:rsidR="00464EA7" w:rsidRPr="009772D7">
        <w:t xml:space="preserve">can occur in the same </w:t>
      </w:r>
      <w:r w:rsidR="0041207D">
        <w:t>areas</w:t>
      </w:r>
      <w:r w:rsidR="00464EA7" w:rsidRPr="009772D7">
        <w:t xml:space="preserve"> </w:t>
      </w:r>
      <w:r w:rsidR="00464EA7">
        <w:t xml:space="preserve">and </w:t>
      </w:r>
      <w:r w:rsidR="00464EA7" w:rsidRPr="009772D7">
        <w:t>at the same time</w:t>
      </w:r>
      <w:r w:rsidR="00464EA7" w:rsidRPr="0063673D">
        <w:t xml:space="preserve"> of year </w:t>
      </w:r>
      <w:r w:rsidR="00464EA7">
        <w:t xml:space="preserve">as the </w:t>
      </w:r>
      <w:r w:rsidR="00464EA7" w:rsidRPr="0063673D">
        <w:t>groundfish fisheries</w:t>
      </w:r>
      <w:r w:rsidR="00464EA7">
        <w:t xml:space="preserve"> occur</w:t>
      </w:r>
      <w:r w:rsidR="006858F9">
        <w:t xml:space="preserve">. </w:t>
      </w:r>
      <w:r w:rsidR="00464EA7" w:rsidRPr="0063673D">
        <w:t>The operator of a vessel engaged in directed fishing for groundfish in the BSAI must minimize catch of Pacific halibut prohi</w:t>
      </w:r>
      <w:r w:rsidR="00464EA7" w:rsidRPr="00A324F7">
        <w:t>bited species</w:t>
      </w:r>
      <w:r w:rsidR="00464EA7">
        <w:t xml:space="preserve"> (see regulations</w:t>
      </w:r>
      <w:r w:rsidR="00464EA7" w:rsidRPr="00A324F7">
        <w:t xml:space="preserve"> at § 679.21(b)(2)</w:t>
      </w:r>
      <w:r w:rsidR="00464EA7">
        <w:t>)</w:t>
      </w:r>
      <w:r w:rsidR="00464EA7" w:rsidRPr="00A324F7">
        <w:t xml:space="preserve">. </w:t>
      </w:r>
      <w:r w:rsidR="00464EA7">
        <w:t xml:space="preserve">NMFS </w:t>
      </w:r>
      <w:r w:rsidR="00DB3520">
        <w:t xml:space="preserve">accrues </w:t>
      </w:r>
      <w:r w:rsidR="0041207D">
        <w:t xml:space="preserve">estimates of </w:t>
      </w:r>
      <w:r w:rsidR="00464EA7">
        <w:t>h</w:t>
      </w:r>
      <w:r w:rsidR="00464EA7" w:rsidRPr="00A324F7">
        <w:t>alibut PSC</w:t>
      </w:r>
      <w:r w:rsidR="00C704E5">
        <w:t xml:space="preserve"> </w:t>
      </w:r>
      <w:r w:rsidR="00DB3520">
        <w:t>to the</w:t>
      </w:r>
      <w:r w:rsidR="00464EA7" w:rsidRPr="00A324F7">
        <w:t xml:space="preserve"> </w:t>
      </w:r>
      <w:r w:rsidR="00DB3520">
        <w:t xml:space="preserve">halibut </w:t>
      </w:r>
      <w:r w:rsidR="00C704E5">
        <w:t>PSC</w:t>
      </w:r>
      <w:r w:rsidR="00DB3520">
        <w:t xml:space="preserve"> </w:t>
      </w:r>
      <w:r w:rsidR="00B85244">
        <w:t xml:space="preserve">limit </w:t>
      </w:r>
      <w:r w:rsidR="00DB3520">
        <w:t xml:space="preserve">or </w:t>
      </w:r>
      <w:r w:rsidR="00B85244">
        <w:t xml:space="preserve">to a </w:t>
      </w:r>
      <w:r w:rsidR="00DB3520">
        <w:t>PSQ</w:t>
      </w:r>
      <w:r w:rsidR="00C704E5">
        <w:t xml:space="preserve"> limit </w:t>
      </w:r>
      <w:r w:rsidR="00464EA7" w:rsidRPr="00A324F7">
        <w:t>in all BSAI hook-and-line fisheries for Pacific cod, including the Pacific cod CDQ fisheries</w:t>
      </w:r>
      <w:r w:rsidR="006858F9">
        <w:t xml:space="preserve">. </w:t>
      </w:r>
    </w:p>
    <w:p w14:paraId="29246AB5" w14:textId="137EDF15" w:rsidR="00A619DE" w:rsidRPr="0041207D" w:rsidRDefault="00AB49E6" w:rsidP="003C112D">
      <w:pPr>
        <w:numPr>
          <w:ilvl w:val="12"/>
          <w:numId w:val="0"/>
        </w:numPr>
        <w:spacing w:line="480" w:lineRule="auto"/>
        <w:rPr>
          <w:b/>
        </w:rPr>
      </w:pPr>
      <w:r w:rsidRPr="0041207D">
        <w:rPr>
          <w:b/>
        </w:rPr>
        <w:t xml:space="preserve">Regulatory Constraints to Local Small-Scale Groundfish CDQ Fisheries </w:t>
      </w:r>
    </w:p>
    <w:p w14:paraId="5B4FD91A" w14:textId="5B86D063" w:rsidR="005D0DFC" w:rsidRPr="00376E0D" w:rsidRDefault="00AB49E6" w:rsidP="00B111CD">
      <w:pPr>
        <w:numPr>
          <w:ilvl w:val="12"/>
          <w:numId w:val="0"/>
        </w:numPr>
        <w:spacing w:line="480" w:lineRule="auto"/>
        <w:ind w:firstLine="720"/>
        <w:rPr>
          <w:b/>
        </w:rPr>
      </w:pPr>
      <w:r>
        <w:lastRenderedPageBreak/>
        <w:t xml:space="preserve">There are </w:t>
      </w:r>
      <w:r w:rsidR="00CB2C72">
        <w:t>two</w:t>
      </w:r>
      <w:r>
        <w:t xml:space="preserve"> regulatory </w:t>
      </w:r>
      <w:r w:rsidR="00376E0D">
        <w:t>constraints</w:t>
      </w:r>
      <w:r>
        <w:t xml:space="preserve"> that limit the ability for CDQ groups to develop </w:t>
      </w:r>
      <w:r w:rsidR="00CB2C72">
        <w:t xml:space="preserve">local </w:t>
      </w:r>
      <w:r>
        <w:t xml:space="preserve">small-scale groundfish fisheries, and more specifically </w:t>
      </w:r>
      <w:r w:rsidR="00CB2C72">
        <w:t xml:space="preserve">local </w:t>
      </w:r>
      <w:r>
        <w:t>small-scale Pacific cod CDQ fisheries</w:t>
      </w:r>
      <w:r w:rsidR="006858F9">
        <w:t xml:space="preserve">. </w:t>
      </w:r>
      <w:r>
        <w:t xml:space="preserve">These </w:t>
      </w:r>
      <w:r w:rsidR="009255E7">
        <w:t>are</w:t>
      </w:r>
      <w:r w:rsidRPr="00376E0D">
        <w:t xml:space="preserve"> </w:t>
      </w:r>
      <w:r w:rsidR="008D7C92" w:rsidRPr="00376E0D">
        <w:t>1</w:t>
      </w:r>
      <w:r w:rsidRPr="00376E0D">
        <w:t xml:space="preserve">) </w:t>
      </w:r>
      <w:r w:rsidR="00CB2C72" w:rsidRPr="00376E0D">
        <w:t xml:space="preserve">LLP </w:t>
      </w:r>
      <w:r w:rsidR="009255E7">
        <w:t>r</w:t>
      </w:r>
      <w:r w:rsidR="009255E7" w:rsidRPr="00376E0D">
        <w:t xml:space="preserve">equirements </w:t>
      </w:r>
      <w:r w:rsidR="00CB2C72" w:rsidRPr="00376E0D">
        <w:t xml:space="preserve">in the CDQ </w:t>
      </w:r>
      <w:r w:rsidR="009255E7">
        <w:t>f</w:t>
      </w:r>
      <w:r w:rsidR="009255E7" w:rsidRPr="00376E0D">
        <w:t>isheries</w:t>
      </w:r>
      <w:r w:rsidR="003B3993">
        <w:t>,</w:t>
      </w:r>
      <w:r w:rsidRPr="00376E0D">
        <w:t xml:space="preserve"> </w:t>
      </w:r>
      <w:r w:rsidR="00511535" w:rsidRPr="00376E0D">
        <w:t xml:space="preserve">and </w:t>
      </w:r>
      <w:r w:rsidR="008D7C92" w:rsidRPr="00376E0D">
        <w:t>2</w:t>
      </w:r>
      <w:r w:rsidRPr="00376E0D">
        <w:t xml:space="preserve">) </w:t>
      </w:r>
      <w:r w:rsidR="009255E7">
        <w:t>o</w:t>
      </w:r>
      <w:r w:rsidR="009255E7" w:rsidRPr="00376E0D">
        <w:t xml:space="preserve">bserver </w:t>
      </w:r>
      <w:r w:rsidR="009255E7">
        <w:t>c</w:t>
      </w:r>
      <w:r w:rsidR="009255E7" w:rsidRPr="00376E0D">
        <w:t xml:space="preserve">overage </w:t>
      </w:r>
      <w:r w:rsidR="009255E7">
        <w:t>r</w:t>
      </w:r>
      <w:r w:rsidR="009255E7" w:rsidRPr="00376E0D">
        <w:t xml:space="preserve">equirements </w:t>
      </w:r>
      <w:r w:rsidR="00CB2C72" w:rsidRPr="00376E0D">
        <w:t>in the</w:t>
      </w:r>
      <w:r w:rsidR="00396FCF">
        <w:t xml:space="preserve"> CDQ </w:t>
      </w:r>
      <w:r w:rsidR="00781906">
        <w:t xml:space="preserve">groundfish and halibut </w:t>
      </w:r>
      <w:r w:rsidR="009255E7">
        <w:t>f</w:t>
      </w:r>
      <w:r w:rsidR="009255E7" w:rsidRPr="00376E0D">
        <w:t>isheries</w:t>
      </w:r>
      <w:r w:rsidR="006858F9">
        <w:t xml:space="preserve">. </w:t>
      </w:r>
      <w:r w:rsidR="00CB2C72" w:rsidRPr="00376E0D">
        <w:t xml:space="preserve">These constraints </w:t>
      </w:r>
      <w:r w:rsidR="00376E0D" w:rsidRPr="00376E0D">
        <w:t>are described in the following sections of the preamble</w:t>
      </w:r>
      <w:r w:rsidR="00511535" w:rsidRPr="00376E0D">
        <w:t>.</w:t>
      </w:r>
      <w:r w:rsidRPr="00376E0D">
        <w:rPr>
          <w:b/>
        </w:rPr>
        <w:t xml:space="preserve"> </w:t>
      </w:r>
    </w:p>
    <w:p w14:paraId="09A2306F" w14:textId="77777777" w:rsidR="00B15BB6" w:rsidRPr="0041207D" w:rsidRDefault="00B15BB6" w:rsidP="00B15BB6">
      <w:pPr>
        <w:numPr>
          <w:ilvl w:val="12"/>
          <w:numId w:val="0"/>
        </w:numPr>
        <w:spacing w:line="480" w:lineRule="auto"/>
        <w:rPr>
          <w:i/>
        </w:rPr>
      </w:pPr>
      <w:r w:rsidRPr="00F14117">
        <w:rPr>
          <w:i/>
        </w:rPr>
        <w:t>LLP Requirements in the CDQ Fisheries</w:t>
      </w:r>
    </w:p>
    <w:p w14:paraId="6B8FAE48" w14:textId="21F914A7" w:rsidR="00B15BB6" w:rsidRDefault="00376E0D" w:rsidP="00376E0D">
      <w:pPr>
        <w:numPr>
          <w:ilvl w:val="12"/>
          <w:numId w:val="0"/>
        </w:numPr>
        <w:spacing w:line="480" w:lineRule="auto"/>
        <w:ind w:firstLine="720"/>
      </w:pPr>
      <w:r>
        <w:t xml:space="preserve">In 2000, NMFS established the LLP to limit </w:t>
      </w:r>
      <w:r w:rsidR="00B15BB6">
        <w:t>the amount of fishing capacity relative to</w:t>
      </w:r>
      <w:r w:rsidR="00B15BB6" w:rsidRPr="00433615">
        <w:t xml:space="preserve"> available fishery resources</w:t>
      </w:r>
      <w:r>
        <w:t xml:space="preserve"> (63 FR 52642, October 1, 1998)</w:t>
      </w:r>
      <w:r w:rsidR="00B15BB6" w:rsidRPr="00433615">
        <w:t>.</w:t>
      </w:r>
      <w:r w:rsidR="00B15BB6">
        <w:t xml:space="preserve"> </w:t>
      </w:r>
      <w:r w:rsidR="00B15BB6" w:rsidRPr="00433615">
        <w:t xml:space="preserve">The LLP limits the number, size, and specific operation of vessels fishing </w:t>
      </w:r>
      <w:r w:rsidR="00BF495F">
        <w:t xml:space="preserve">for </w:t>
      </w:r>
      <w:r w:rsidR="00B15BB6" w:rsidRPr="00433615">
        <w:t>groundfish in the BSAI, based on historical participation.</w:t>
      </w:r>
      <w:r w:rsidR="00B15BB6">
        <w:t xml:space="preserve"> With several exceptions noted below, a</w:t>
      </w:r>
      <w:r w:rsidR="00B15BB6" w:rsidRPr="00433615">
        <w:t xml:space="preserve"> vessel is required to be named on an LLP license before it can be </w:t>
      </w:r>
      <w:r w:rsidR="00B15BB6">
        <w:t>used to conduct directed fishing for “LLP groundfish” in the Gulf of Alaska or BSAI</w:t>
      </w:r>
      <w:r w:rsidR="006858F9">
        <w:t xml:space="preserve">. </w:t>
      </w:r>
      <w:r w:rsidR="00B15BB6">
        <w:t>LLP license requirements do not apply to vessels that directed fish only for halibut because halibut is not defined as an LLP groundf</w:t>
      </w:r>
      <w:r w:rsidR="005F525D">
        <w:t xml:space="preserve">ish species (see </w:t>
      </w:r>
      <w:r w:rsidR="00B15BB6" w:rsidRPr="00960332">
        <w:t xml:space="preserve">§ </w:t>
      </w:r>
      <w:r w:rsidR="00B15BB6" w:rsidRPr="00960332">
        <w:rPr>
          <w:bCs/>
        </w:rPr>
        <w:t>679.2</w:t>
      </w:r>
      <w:r w:rsidR="00B15BB6">
        <w:rPr>
          <w:bCs/>
        </w:rPr>
        <w:t>)</w:t>
      </w:r>
      <w:r w:rsidR="006858F9">
        <w:t xml:space="preserve">. </w:t>
      </w:r>
      <w:r w:rsidR="00B15BB6">
        <w:t xml:space="preserve">Vessels </w:t>
      </w:r>
      <w:r w:rsidR="005F525D">
        <w:t xml:space="preserve">that are </w:t>
      </w:r>
      <w:r w:rsidR="00B15BB6">
        <w:t>groundfish CDQ fishing in the BSAI are required to obtain and carry an LLP license</w:t>
      </w:r>
      <w:r w:rsidR="005F525D">
        <w:t xml:space="preserve"> (groundfish CDQ fishing is defined </w:t>
      </w:r>
      <w:r w:rsidR="003B3993">
        <w:t>in</w:t>
      </w:r>
      <w:r w:rsidR="005F525D">
        <w:t xml:space="preserve"> </w:t>
      </w:r>
      <w:r w:rsidR="005F525D" w:rsidRPr="00960332">
        <w:t xml:space="preserve">§ </w:t>
      </w:r>
      <w:r w:rsidR="005F525D" w:rsidRPr="00960332">
        <w:rPr>
          <w:bCs/>
        </w:rPr>
        <w:t>679.2</w:t>
      </w:r>
      <w:r w:rsidR="005F525D">
        <w:rPr>
          <w:bCs/>
        </w:rPr>
        <w:t>)</w:t>
      </w:r>
      <w:r w:rsidR="006858F9">
        <w:t xml:space="preserve">. </w:t>
      </w:r>
      <w:r w:rsidR="00B15BB6">
        <w:t>LLP licenses are t</w:t>
      </w:r>
      <w:r>
        <w:t>ransferable</w:t>
      </w:r>
      <w:r w:rsidR="006858F9">
        <w:t xml:space="preserve">. </w:t>
      </w:r>
      <w:r>
        <w:t>Vessel owners who were not initially issued an LLP license</w:t>
      </w:r>
      <w:r w:rsidR="00B15BB6">
        <w:t xml:space="preserve"> must obtain a</w:t>
      </w:r>
      <w:r w:rsidR="00BF495F">
        <w:t>n LLP</w:t>
      </w:r>
      <w:r w:rsidR="00B15BB6">
        <w:t xml:space="preserve"> license through transfer from a current LLP license holder</w:t>
      </w:r>
      <w:r w:rsidR="00E1225A">
        <w:t xml:space="preserve"> in order to directed fish for LLP groundfish</w:t>
      </w:r>
      <w:r w:rsidR="00B15BB6">
        <w:t xml:space="preserve">. </w:t>
      </w:r>
    </w:p>
    <w:p w14:paraId="4F46939A" w14:textId="00A6819B" w:rsidR="00462807" w:rsidRPr="00433615" w:rsidRDefault="00462807" w:rsidP="00462807">
      <w:pPr>
        <w:numPr>
          <w:ilvl w:val="12"/>
          <w:numId w:val="0"/>
        </w:numPr>
        <w:spacing w:line="480" w:lineRule="auto"/>
        <w:ind w:firstLine="720"/>
      </w:pPr>
      <w:r>
        <w:t xml:space="preserve">There are </w:t>
      </w:r>
      <w:r w:rsidRPr="00433615">
        <w:t xml:space="preserve">three exceptions at § 679.4(k)(2) to the LLP license requirement that apply to </w:t>
      </w:r>
      <w:r w:rsidR="00BF495F">
        <w:t xml:space="preserve">vessels in the </w:t>
      </w:r>
      <w:r w:rsidRPr="00433615">
        <w:t>CDQ and non-CDQ fisheries in the BSAI:</w:t>
      </w:r>
    </w:p>
    <w:p w14:paraId="61994C9E" w14:textId="359BC9E0" w:rsidR="00462807" w:rsidRPr="00433615" w:rsidRDefault="00462807" w:rsidP="00462807">
      <w:pPr>
        <w:numPr>
          <w:ilvl w:val="0"/>
          <w:numId w:val="4"/>
        </w:numPr>
        <w:spacing w:line="480" w:lineRule="auto"/>
      </w:pPr>
      <w:r w:rsidRPr="00433615">
        <w:t xml:space="preserve">vessels that do not exceed 32 </w:t>
      </w:r>
      <w:r>
        <w:t>ft</w:t>
      </w:r>
      <w:r w:rsidR="00027916">
        <w:t xml:space="preserve"> (9.8</w:t>
      </w:r>
      <w:r w:rsidRPr="00433615">
        <w:t xml:space="preserve"> m) LOA;</w:t>
      </w:r>
    </w:p>
    <w:p w14:paraId="511D22CA" w14:textId="63EE9154" w:rsidR="00462807" w:rsidRPr="00433615" w:rsidRDefault="00462807" w:rsidP="00462807">
      <w:pPr>
        <w:numPr>
          <w:ilvl w:val="0"/>
          <w:numId w:val="4"/>
        </w:numPr>
        <w:spacing w:line="480" w:lineRule="auto"/>
      </w:pPr>
      <w:r w:rsidRPr="00433615">
        <w:lastRenderedPageBreak/>
        <w:t xml:space="preserve">vessels that do not exceed 60 </w:t>
      </w:r>
      <w:r>
        <w:t>ft</w:t>
      </w:r>
      <w:r w:rsidRPr="00433615">
        <w:t xml:space="preserve"> (18.3 m) LOA and that are using jig gear (but no more than 5 jig machines, 1 line per machine, and 15 hooks per line); and</w:t>
      </w:r>
    </w:p>
    <w:p w14:paraId="65CC6D9B" w14:textId="164868CE" w:rsidR="00462807" w:rsidRPr="00433615" w:rsidRDefault="00462807" w:rsidP="00462807">
      <w:pPr>
        <w:numPr>
          <w:ilvl w:val="0"/>
          <w:numId w:val="4"/>
        </w:numPr>
        <w:spacing w:line="480" w:lineRule="auto"/>
      </w:pPr>
      <w:r>
        <w:t xml:space="preserve">certain </w:t>
      </w:r>
      <w:r w:rsidRPr="00433615">
        <w:t>vessels constructed for, and used exclusively in, CDQ fisheries.</w:t>
      </w:r>
    </w:p>
    <w:p w14:paraId="5E3E58F3" w14:textId="47EDCEAB" w:rsidR="00FD0C8D" w:rsidRDefault="00A034C6" w:rsidP="00284CEB">
      <w:pPr>
        <w:numPr>
          <w:ilvl w:val="12"/>
          <w:numId w:val="0"/>
        </w:numPr>
        <w:spacing w:line="480" w:lineRule="auto"/>
        <w:ind w:firstLine="720"/>
      </w:pPr>
      <w:r>
        <w:t xml:space="preserve">NMFS assigns </w:t>
      </w:r>
      <w:r w:rsidR="00B15BB6" w:rsidRPr="00433615">
        <w:t>endorseme</w:t>
      </w:r>
      <w:r w:rsidR="005F525D">
        <w:t>nts for specific areas (e.g., Bering Sea</w:t>
      </w:r>
      <w:r w:rsidR="00B15BB6" w:rsidRPr="00433615">
        <w:t xml:space="preserve"> or A</w:t>
      </w:r>
      <w:r w:rsidR="005F525D">
        <w:t xml:space="preserve">leutian </w:t>
      </w:r>
      <w:r w:rsidR="00B15BB6" w:rsidRPr="00433615">
        <w:t>I</w:t>
      </w:r>
      <w:r w:rsidR="005F525D">
        <w:t>slands</w:t>
      </w:r>
      <w:r w:rsidR="00B15BB6" w:rsidRPr="00433615">
        <w:t xml:space="preserve">), specific gear (e.g., </w:t>
      </w:r>
      <w:r w:rsidR="00AE3748">
        <w:t>non</w:t>
      </w:r>
      <w:r w:rsidR="009C50FD">
        <w:t>-</w:t>
      </w:r>
      <w:r w:rsidR="00AE3748">
        <w:t>trawl</w:t>
      </w:r>
      <w:r w:rsidR="00376E0D">
        <w:t xml:space="preserve"> or trawl</w:t>
      </w:r>
      <w:r w:rsidR="00B15BB6" w:rsidRPr="00433615">
        <w:t xml:space="preserve">), </w:t>
      </w:r>
      <w:r w:rsidR="004B3447">
        <w:t xml:space="preserve">and </w:t>
      </w:r>
      <w:r w:rsidR="00B15BB6" w:rsidRPr="00433615">
        <w:t>operation type (e.g., catcher vessel or catcher/processor)</w:t>
      </w:r>
      <w:r>
        <w:t xml:space="preserve"> on LLP licenses</w:t>
      </w:r>
      <w:r w:rsidR="00AE3748">
        <w:t>. Each license has a maximum length overall (MLOA) designation</w:t>
      </w:r>
      <w:r w:rsidR="00E1225A">
        <w:t xml:space="preserve"> that </w:t>
      </w:r>
      <w:r>
        <w:t>restricts</w:t>
      </w:r>
      <w:r w:rsidR="00E1225A">
        <w:t xml:space="preserve"> the length of the vessel that can be </w:t>
      </w:r>
      <w:r>
        <w:t xml:space="preserve">named on </w:t>
      </w:r>
      <w:r w:rsidR="00E1225A">
        <w:t>that LLP license</w:t>
      </w:r>
      <w:r w:rsidR="00AE3748">
        <w:t xml:space="preserve">. In addition, most vessels </w:t>
      </w:r>
      <w:r w:rsidR="00B15BB6" w:rsidRPr="00433615">
        <w:t xml:space="preserve">directed fishing for Pacific cod must be named on an LLP license with </w:t>
      </w:r>
      <w:r w:rsidR="00AE3748">
        <w:t xml:space="preserve">a </w:t>
      </w:r>
      <w:r w:rsidR="00B15BB6" w:rsidRPr="00433615">
        <w:t>Pacific cod endorsement</w:t>
      </w:r>
      <w:r w:rsidR="00AE3748">
        <w:t xml:space="preserve"> for the appropriate area, gear, and operation type</w:t>
      </w:r>
      <w:r w:rsidR="00B15BB6" w:rsidRPr="00433615">
        <w:t>.</w:t>
      </w:r>
      <w:r w:rsidR="00AE3748">
        <w:t xml:space="preserve"> C</w:t>
      </w:r>
      <w:r w:rsidR="00360B29">
        <w:t xml:space="preserve">atcher vessels less than 60 </w:t>
      </w:r>
      <w:r w:rsidR="009C50FD">
        <w:t xml:space="preserve">ft </w:t>
      </w:r>
      <w:r w:rsidR="00360B29">
        <w:t xml:space="preserve">LOA are not required to have a Pacific cod endorsement on their LLP </w:t>
      </w:r>
      <w:r>
        <w:t xml:space="preserve">license </w:t>
      </w:r>
      <w:r w:rsidR="00360B29">
        <w:t xml:space="preserve">to fish for Pacific cod in the BSAI. </w:t>
      </w:r>
      <w:r w:rsidR="00AE3748">
        <w:t xml:space="preserve"> </w:t>
      </w:r>
    </w:p>
    <w:p w14:paraId="021DFC04" w14:textId="4FBC53DD" w:rsidR="00B15BB6" w:rsidRDefault="000D5B61" w:rsidP="00B15BB6">
      <w:pPr>
        <w:numPr>
          <w:ilvl w:val="12"/>
          <w:numId w:val="0"/>
        </w:numPr>
        <w:spacing w:line="480" w:lineRule="auto"/>
        <w:ind w:firstLine="720"/>
      </w:pPr>
      <w:r>
        <w:t>Therefore, specific to this proposed rule,</w:t>
      </w:r>
      <w:r w:rsidRPr="00433615">
        <w:t xml:space="preserve"> </w:t>
      </w:r>
      <w:r>
        <w:t xml:space="preserve">catcher </w:t>
      </w:r>
      <w:r w:rsidRPr="00433615">
        <w:t xml:space="preserve">vessels less than or equal to 32 </w:t>
      </w:r>
      <w:r>
        <w:t xml:space="preserve">ft LOA that are groundfish CDQ fishing </w:t>
      </w:r>
      <w:r w:rsidRPr="00433615">
        <w:t>are not req</w:t>
      </w:r>
      <w:r>
        <w:t xml:space="preserve">uired to have an LLP license. Catcher vessels greater than </w:t>
      </w:r>
      <w:r w:rsidRPr="00433615">
        <w:t xml:space="preserve">32 </w:t>
      </w:r>
      <w:r>
        <w:t>ft</w:t>
      </w:r>
      <w:r w:rsidRPr="00433615">
        <w:t xml:space="preserve"> LOA</w:t>
      </w:r>
      <w:r>
        <w:t xml:space="preserve"> that are using hook-and-line gear and groundfish CDQ fishing </w:t>
      </w:r>
      <w:r w:rsidRPr="00433615">
        <w:t xml:space="preserve">must have an LLP license endorsed by </w:t>
      </w:r>
      <w:r>
        <w:t xml:space="preserve">area, </w:t>
      </w:r>
      <w:r w:rsidRPr="00433615">
        <w:t>gear</w:t>
      </w:r>
      <w:r>
        <w:t>,</w:t>
      </w:r>
      <w:r w:rsidRPr="00433615">
        <w:t xml:space="preserve"> and operation type</w:t>
      </w:r>
      <w:r>
        <w:t xml:space="preserve">, and </w:t>
      </w:r>
      <w:r w:rsidR="009C50FD">
        <w:t>have</w:t>
      </w:r>
      <w:r>
        <w:t xml:space="preserve"> the appropriate MLOA designation. </w:t>
      </w:r>
      <w:r w:rsidR="00AE3748">
        <w:t xml:space="preserve">However, catcher vessels greater than 32 ft LOA and less than or equal to 46 ft LOA are not required to have a Pacific cod species endorsement on their LLP license. </w:t>
      </w:r>
      <w:r w:rsidR="00B15BB6" w:rsidRPr="00433615">
        <w:t xml:space="preserve">Additional information on the LLP is available in the final rule implementing the LLP (63 FR 52642, October 1, 1998), and in </w:t>
      </w:r>
      <w:r w:rsidR="002A338B">
        <w:t>subs</w:t>
      </w:r>
      <w:r w:rsidR="009938C8">
        <w:t>equent amendments to the LLP</w:t>
      </w:r>
      <w:r w:rsidR="002A338B">
        <w:t>.</w:t>
      </w:r>
      <w:r w:rsidR="00B15BB6" w:rsidRPr="00433615">
        <w:t xml:space="preserve"> </w:t>
      </w:r>
    </w:p>
    <w:p w14:paraId="6FD87735" w14:textId="51DBBBB0" w:rsidR="00B15BB6" w:rsidRPr="008E3815" w:rsidRDefault="00B15BB6" w:rsidP="0027361A">
      <w:pPr>
        <w:numPr>
          <w:ilvl w:val="12"/>
          <w:numId w:val="0"/>
        </w:numPr>
        <w:spacing w:line="480" w:lineRule="auto"/>
        <w:rPr>
          <w:i/>
        </w:rPr>
      </w:pPr>
      <w:r w:rsidRPr="008E3815">
        <w:rPr>
          <w:i/>
        </w:rPr>
        <w:t xml:space="preserve">Observer Coverage Requirements in the CDQ </w:t>
      </w:r>
      <w:r w:rsidR="00781906" w:rsidRPr="008E3815">
        <w:rPr>
          <w:i/>
        </w:rPr>
        <w:t xml:space="preserve">Groundfish and Halibut </w:t>
      </w:r>
      <w:r w:rsidRPr="008E3815">
        <w:rPr>
          <w:i/>
        </w:rPr>
        <w:t>Fisheries</w:t>
      </w:r>
    </w:p>
    <w:p w14:paraId="5E62233D" w14:textId="22C2755C" w:rsidR="00B15BB6" w:rsidRPr="00433615" w:rsidRDefault="00B15BB6" w:rsidP="00B15BB6">
      <w:pPr>
        <w:spacing w:line="480" w:lineRule="auto"/>
        <w:ind w:firstLine="720"/>
      </w:pPr>
      <w:r w:rsidRPr="00433615">
        <w:lastRenderedPageBreak/>
        <w:t xml:space="preserve">The North Pacific Groundfish and Halibut Observer Program (Observer Program) provides the regulatory framework for NMFS-certified observers (observers) to </w:t>
      </w:r>
      <w:r>
        <w:t xml:space="preserve">collect </w:t>
      </w:r>
      <w:r w:rsidRPr="00433615">
        <w:t xml:space="preserve">information necessary for the conservation and management of the </w:t>
      </w:r>
      <w:r>
        <w:t xml:space="preserve">federally managed fisheries off Alaska. Regulations governing observer coverage (50 CFR part 679, subpart E) </w:t>
      </w:r>
      <w:r w:rsidRPr="00433615">
        <w:t xml:space="preserve">place all vessels and processors in the </w:t>
      </w:r>
      <w:r>
        <w:t xml:space="preserve">federally managed groundfish and halibut fisheries off Alaska </w:t>
      </w:r>
      <w:r w:rsidRPr="00433615">
        <w:t xml:space="preserve">into one of two observer coverage categories: 1) full </w:t>
      </w:r>
      <w:r>
        <w:t xml:space="preserve">observer </w:t>
      </w:r>
      <w:r w:rsidRPr="00433615">
        <w:t xml:space="preserve">coverage, and 2) partial </w:t>
      </w:r>
      <w:r>
        <w:t xml:space="preserve">observer </w:t>
      </w:r>
      <w:r w:rsidRPr="00433615">
        <w:t>coverage.</w:t>
      </w:r>
      <w:r>
        <w:t xml:space="preserve"> </w:t>
      </w:r>
      <w:r w:rsidRPr="00C617BA">
        <w:t xml:space="preserve">Additional information </w:t>
      </w:r>
      <w:r>
        <w:t xml:space="preserve">about observer coverage requirements and the </w:t>
      </w:r>
      <w:r w:rsidRPr="00C617BA">
        <w:t xml:space="preserve">vessel operator’s </w:t>
      </w:r>
      <w:r>
        <w:t xml:space="preserve">responsibilities when required to carry an observer </w:t>
      </w:r>
      <w:r w:rsidRPr="00C617BA">
        <w:t xml:space="preserve">can be found at § 679.51(e) and in the preamble to the final rule implementing </w:t>
      </w:r>
      <w:r w:rsidR="004B6E51">
        <w:t xml:space="preserve">the </w:t>
      </w:r>
      <w:r w:rsidR="008E3815">
        <w:t>r</w:t>
      </w:r>
      <w:r>
        <w:t>estructur</w:t>
      </w:r>
      <w:r w:rsidR="004B6E51">
        <w:t>ed</w:t>
      </w:r>
      <w:r>
        <w:t xml:space="preserve"> Observer Program </w:t>
      </w:r>
      <w:r w:rsidRPr="00C617BA">
        <w:t>(77 FR 70062, November 21, 2012).</w:t>
      </w:r>
    </w:p>
    <w:p w14:paraId="6431F52F" w14:textId="603A42C8" w:rsidR="00B15BB6" w:rsidRPr="00FA234E" w:rsidRDefault="00442CD3" w:rsidP="00BA4FF9">
      <w:pPr>
        <w:numPr>
          <w:ilvl w:val="12"/>
          <w:numId w:val="0"/>
        </w:numPr>
        <w:spacing w:line="480" w:lineRule="auto"/>
        <w:ind w:firstLine="720"/>
      </w:pPr>
      <w:r>
        <w:t>A</w:t>
      </w:r>
      <w:r w:rsidR="00B15BB6">
        <w:t>ny c</w:t>
      </w:r>
      <w:r w:rsidR="00B15BB6" w:rsidRPr="00FA234E">
        <w:t xml:space="preserve">atcher vessel participating in </w:t>
      </w:r>
      <w:r w:rsidR="00B15BB6">
        <w:t xml:space="preserve">a catch share </w:t>
      </w:r>
      <w:r w:rsidR="00B15BB6" w:rsidRPr="00FA234E">
        <w:t>program with tr</w:t>
      </w:r>
      <w:r w:rsidR="00376E0D">
        <w:t xml:space="preserve">ansferable PSC allocations </w:t>
      </w:r>
      <w:r w:rsidR="00F8444E">
        <w:t>is</w:t>
      </w:r>
      <w:r w:rsidR="00F8444E" w:rsidRPr="00FA234E">
        <w:t xml:space="preserve"> </w:t>
      </w:r>
      <w:r w:rsidR="00376E0D">
        <w:t>assigned to the</w:t>
      </w:r>
      <w:r w:rsidR="00B15BB6" w:rsidRPr="00FA234E">
        <w:t xml:space="preserve"> full </w:t>
      </w:r>
      <w:r w:rsidR="00B15BB6">
        <w:t xml:space="preserve">observer </w:t>
      </w:r>
      <w:r w:rsidR="00B15BB6" w:rsidRPr="00FA234E">
        <w:t>coverage category</w:t>
      </w:r>
      <w:r w:rsidR="00B15BB6">
        <w:t xml:space="preserve"> </w:t>
      </w:r>
      <w:r w:rsidR="00B15BB6" w:rsidRPr="00FA234E">
        <w:t>wh</w:t>
      </w:r>
      <w:r w:rsidR="00856510">
        <w:t>en</w:t>
      </w:r>
      <w:r w:rsidR="00B15BB6" w:rsidRPr="00FA234E">
        <w:t xml:space="preserve"> the</w:t>
      </w:r>
      <w:r w:rsidR="00B15BB6">
        <w:t xml:space="preserve"> vessel is </w:t>
      </w:r>
      <w:r w:rsidR="00B15BB6" w:rsidRPr="00FA234E">
        <w:t xml:space="preserve">participating in these </w:t>
      </w:r>
      <w:r w:rsidR="00B15BB6">
        <w:t>catch share programs</w:t>
      </w:r>
      <w:r w:rsidR="006858F9">
        <w:t xml:space="preserve">. </w:t>
      </w:r>
      <w:r w:rsidR="00B15BB6">
        <w:t xml:space="preserve">As described in an earlier section of this preamble, the CDQ Program is a catch share program with transferable PSC allocations. Therefore, </w:t>
      </w:r>
      <w:r w:rsidR="00D463D9">
        <w:t xml:space="preserve">NMFS assigns </w:t>
      </w:r>
      <w:r w:rsidR="00B15BB6">
        <w:t>catcher vessels that participate in CDQ fisheries in which the catch of halibut accrues to the CDQ group’s</w:t>
      </w:r>
      <w:r>
        <w:t xml:space="preserve"> transferable halibut PSQ to </w:t>
      </w:r>
      <w:r w:rsidR="00B15BB6">
        <w:t>the full observer coverage category</w:t>
      </w:r>
      <w:r w:rsidR="006858F9">
        <w:t xml:space="preserve">. </w:t>
      </w:r>
      <w:r w:rsidR="00043CC0">
        <w:t>Relevant to this proposed rule, c</w:t>
      </w:r>
      <w:r w:rsidR="002D68F9" w:rsidRPr="00433615">
        <w:t>atcher vessels groundfish CDQ fishing using hook-and-line gear</w:t>
      </w:r>
      <w:r w:rsidR="002D68F9">
        <w:t>, including those directed fishing for Pacific cod CDQ</w:t>
      </w:r>
      <w:r w:rsidR="00043CC0">
        <w:t>,</w:t>
      </w:r>
      <w:r w:rsidR="002D68F9">
        <w:t xml:space="preserve"> are in the </w:t>
      </w:r>
      <w:r w:rsidR="002D68F9" w:rsidRPr="00433615">
        <w:t xml:space="preserve">full </w:t>
      </w:r>
      <w:r w:rsidR="002D68F9">
        <w:t xml:space="preserve">observer </w:t>
      </w:r>
      <w:r w:rsidR="002D68F9" w:rsidRPr="00433615">
        <w:t xml:space="preserve">coverage category </w:t>
      </w:r>
      <w:r w:rsidR="002D68F9">
        <w:t xml:space="preserve">because the discard of halibut by these vessels accrues to the CDQ group’s halibut PSQ. </w:t>
      </w:r>
    </w:p>
    <w:p w14:paraId="6B97F918" w14:textId="06EA1217" w:rsidR="00B15BB6" w:rsidRDefault="00EA2AC7" w:rsidP="00B15BB6">
      <w:pPr>
        <w:numPr>
          <w:ilvl w:val="12"/>
          <w:numId w:val="0"/>
        </w:numPr>
        <w:spacing w:line="480" w:lineRule="auto"/>
        <w:ind w:firstLine="720"/>
      </w:pPr>
      <w:r>
        <w:t>NMFS assigns c</w:t>
      </w:r>
      <w:r w:rsidR="00B15BB6" w:rsidRPr="00433615">
        <w:t>atcher vessels</w:t>
      </w:r>
      <w:r w:rsidR="00B15BB6">
        <w:t xml:space="preserve"> </w:t>
      </w:r>
      <w:r w:rsidR="00B15BB6" w:rsidRPr="00433615">
        <w:t xml:space="preserve">halibut CDQ </w:t>
      </w:r>
      <w:r w:rsidR="00B15BB6">
        <w:t xml:space="preserve">fishing or sablefish CDQ fishing with fixed gear </w:t>
      </w:r>
      <w:r w:rsidR="00E56F6C">
        <w:t>to</w:t>
      </w:r>
      <w:r w:rsidR="00B15BB6" w:rsidRPr="00433615">
        <w:t xml:space="preserve"> the partial </w:t>
      </w:r>
      <w:r w:rsidR="00B15BB6">
        <w:t xml:space="preserve">observer </w:t>
      </w:r>
      <w:r w:rsidR="00B15BB6" w:rsidRPr="00433615">
        <w:t>coverage category</w:t>
      </w:r>
      <w:r w:rsidR="00043CC0">
        <w:t xml:space="preserve">, as are catcher vessels groundfish </w:t>
      </w:r>
      <w:r w:rsidR="00043CC0">
        <w:lastRenderedPageBreak/>
        <w:t xml:space="preserve">CDQ fishing with pot or jig gear. These catcher vessels </w:t>
      </w:r>
      <w:r w:rsidR="00B15BB6" w:rsidRPr="00433615">
        <w:t xml:space="preserve">are required to have </w:t>
      </w:r>
      <w:r w:rsidR="00043CC0">
        <w:t xml:space="preserve">an </w:t>
      </w:r>
      <w:r w:rsidR="00B15BB6" w:rsidRPr="00433615">
        <w:t xml:space="preserve">observer on board the vessel if selected for observer coverage (see § 679.51(a)(1)). </w:t>
      </w:r>
      <w:r w:rsidR="00B15BB6">
        <w:t>These catcher vessels are in the partial observer coverage category because the catch of prohibited species in these fisheries does not accrue to a PS</w:t>
      </w:r>
      <w:r w:rsidR="008E3815">
        <w:t>Q</w:t>
      </w:r>
      <w:r w:rsidR="00B15BB6">
        <w:t xml:space="preserve">. </w:t>
      </w:r>
    </w:p>
    <w:p w14:paraId="56D5B7C2" w14:textId="4A3BAF69" w:rsidR="00B15BB6" w:rsidRDefault="002D68F9" w:rsidP="00B15BB6">
      <w:pPr>
        <w:numPr>
          <w:ilvl w:val="12"/>
          <w:numId w:val="0"/>
        </w:numPr>
        <w:spacing w:line="480" w:lineRule="auto"/>
        <w:ind w:firstLine="720"/>
      </w:pPr>
      <w:r>
        <w:t xml:space="preserve">Full </w:t>
      </w:r>
      <w:r w:rsidR="00B15BB6">
        <w:t xml:space="preserve">observer </w:t>
      </w:r>
      <w:r>
        <w:t xml:space="preserve">coverage </w:t>
      </w:r>
      <w:r w:rsidR="00B15BB6">
        <w:t xml:space="preserve">requirements can impose significant costs on </w:t>
      </w:r>
      <w:r w:rsidR="008E3815">
        <w:t xml:space="preserve">the owners of </w:t>
      </w:r>
      <w:r w:rsidR="00B15BB6">
        <w:t>vessels that are groundfish</w:t>
      </w:r>
      <w:r w:rsidR="007F0487">
        <w:t xml:space="preserve"> CDQ</w:t>
      </w:r>
      <w:r w:rsidR="00B15BB6">
        <w:t xml:space="preserve"> fishing, particularly </w:t>
      </w:r>
      <w:r w:rsidR="008E3815">
        <w:t xml:space="preserve">owners of </w:t>
      </w:r>
      <w:r w:rsidR="00B15BB6">
        <w:t>small vessels</w:t>
      </w:r>
      <w:r w:rsidR="00BB5C5E">
        <w:t>, such as those</w:t>
      </w:r>
      <w:r w:rsidR="00B15BB6">
        <w:t xml:space="preserve"> that are less than or equal to 46 ft </w:t>
      </w:r>
      <w:r w:rsidR="00CB2C72">
        <w:t>LOA</w:t>
      </w:r>
      <w:r w:rsidR="00B15BB6">
        <w:t>. Obtaining an observer for all groundfish</w:t>
      </w:r>
      <w:r w:rsidR="007F0487">
        <w:t xml:space="preserve"> CDQ</w:t>
      </w:r>
      <w:r w:rsidR="00B15BB6">
        <w:t xml:space="preserve"> fishing would likely be cost prohibitive for the CDQ groups </w:t>
      </w:r>
      <w:r w:rsidR="008E3815">
        <w:t xml:space="preserve">and vessel owners </w:t>
      </w:r>
      <w:r w:rsidR="00B15BB6">
        <w:t xml:space="preserve">given the </w:t>
      </w:r>
      <w:r w:rsidR="008E3815">
        <w:t>revenue for these small vessels.</w:t>
      </w:r>
      <w:r w:rsidR="00B15BB6">
        <w:t xml:space="preserve"> </w:t>
      </w:r>
      <w:r w:rsidR="00B15BB6" w:rsidRPr="007E414E">
        <w:t xml:space="preserve">Section </w:t>
      </w:r>
      <w:r w:rsidR="007E414E" w:rsidRPr="007E414E">
        <w:t>3.6.6.2</w:t>
      </w:r>
      <w:r w:rsidR="00B15BB6">
        <w:t xml:space="preserve"> of the Analysis provides additional detail on the costs </w:t>
      </w:r>
      <w:r w:rsidR="00E56F6C">
        <w:t>of placing observers</w:t>
      </w:r>
      <w:r w:rsidR="00E3773B">
        <w:t xml:space="preserve"> </w:t>
      </w:r>
      <w:r w:rsidR="00B15BB6">
        <w:t>on</w:t>
      </w:r>
      <w:r w:rsidR="00E3773B">
        <w:t xml:space="preserve"> </w:t>
      </w:r>
      <w:r w:rsidR="00E56F6C">
        <w:t>board</w:t>
      </w:r>
      <w:r w:rsidR="00B15BB6">
        <w:t xml:space="preserve"> small vessels in the BSAI.</w:t>
      </w:r>
    </w:p>
    <w:p w14:paraId="5FF77CD2" w14:textId="77777777" w:rsidR="00B15BB6" w:rsidRPr="00020362" w:rsidRDefault="00B15BB6" w:rsidP="00B15BB6">
      <w:pPr>
        <w:numPr>
          <w:ilvl w:val="12"/>
          <w:numId w:val="0"/>
        </w:numPr>
        <w:spacing w:line="480" w:lineRule="auto"/>
        <w:rPr>
          <w:b/>
        </w:rPr>
      </w:pPr>
      <w:r w:rsidRPr="00020362">
        <w:rPr>
          <w:b/>
        </w:rPr>
        <w:t xml:space="preserve">Need for </w:t>
      </w:r>
      <w:r>
        <w:rPr>
          <w:b/>
        </w:rPr>
        <w:t xml:space="preserve">the Proposed </w:t>
      </w:r>
      <w:r w:rsidRPr="00020362">
        <w:rPr>
          <w:b/>
        </w:rPr>
        <w:t>Action</w:t>
      </w:r>
    </w:p>
    <w:p w14:paraId="347C5AFB" w14:textId="3620E7D8" w:rsidR="00B15BB6" w:rsidRPr="00245706" w:rsidRDefault="00B15BB6" w:rsidP="00B15BB6">
      <w:pPr>
        <w:numPr>
          <w:ilvl w:val="12"/>
          <w:numId w:val="0"/>
        </w:numPr>
        <w:spacing w:line="480" w:lineRule="auto"/>
        <w:ind w:firstLine="720"/>
        <w:rPr>
          <w:b/>
        </w:rPr>
      </w:pPr>
      <w:r w:rsidRPr="00463CA5">
        <w:t>In October 2013</w:t>
      </w:r>
      <w:r w:rsidRPr="00433615">
        <w:t xml:space="preserve">, the Council received a proposal from the representatives of all </w:t>
      </w:r>
      <w:r>
        <w:t xml:space="preserve">six of the </w:t>
      </w:r>
      <w:r w:rsidRPr="00433615">
        <w:t xml:space="preserve">CDQ groups to revise </w:t>
      </w:r>
      <w:r w:rsidR="00605838">
        <w:t xml:space="preserve">certain </w:t>
      </w:r>
      <w:r w:rsidRPr="00433615">
        <w:t xml:space="preserve">Federal regulations that restrict the ability of fishermen in CDQ communities to harvest allocations of Pacific cod CDQ with small </w:t>
      </w:r>
      <w:r w:rsidR="00605838">
        <w:t xml:space="preserve">hook-and-line </w:t>
      </w:r>
      <w:r w:rsidR="00062856">
        <w:t xml:space="preserve">catcher </w:t>
      </w:r>
      <w:r w:rsidRPr="00433615">
        <w:t>vessels</w:t>
      </w:r>
      <w:r w:rsidR="006858F9">
        <w:t xml:space="preserve">. </w:t>
      </w:r>
      <w:r w:rsidR="002D68F9">
        <w:t xml:space="preserve">In particular, </w:t>
      </w:r>
      <w:r w:rsidR="00605838">
        <w:t xml:space="preserve">representatives for </w:t>
      </w:r>
      <w:r w:rsidR="002D68F9">
        <w:t>t</w:t>
      </w:r>
      <w:r>
        <w:t xml:space="preserve">he CDQ groups identified </w:t>
      </w:r>
      <w:r w:rsidR="002D68F9">
        <w:t xml:space="preserve">LLP license and </w:t>
      </w:r>
      <w:r>
        <w:t xml:space="preserve">full observer coverage regulations </w:t>
      </w:r>
      <w:r w:rsidR="00BB5C5E">
        <w:t xml:space="preserve">as </w:t>
      </w:r>
      <w:r w:rsidRPr="00433615">
        <w:t>limit</w:t>
      </w:r>
      <w:r w:rsidR="00BB5C5E">
        <w:t>ations on the</w:t>
      </w:r>
      <w:r w:rsidR="00B111CD">
        <w:t xml:space="preserve"> </w:t>
      </w:r>
      <w:r w:rsidRPr="00433615">
        <w:t xml:space="preserve">ability </w:t>
      </w:r>
      <w:r w:rsidR="00605838">
        <w:t xml:space="preserve">of CDQ community fishermen </w:t>
      </w:r>
      <w:r w:rsidRPr="00433615">
        <w:t>to retain Pacific cod</w:t>
      </w:r>
      <w:r w:rsidR="00605838">
        <w:t xml:space="preserve"> CDQ wh</w:t>
      </w:r>
      <w:r w:rsidR="00856510">
        <w:t>en</w:t>
      </w:r>
      <w:r w:rsidR="00605838">
        <w:t xml:space="preserve"> participating</w:t>
      </w:r>
      <w:r w:rsidRPr="00433615">
        <w:t xml:space="preserve"> in the </w:t>
      </w:r>
      <w:r>
        <w:t>CDQ fisheries</w:t>
      </w:r>
      <w:r w:rsidRPr="00433615">
        <w:t>. In addition</w:t>
      </w:r>
      <w:r>
        <w:t>,</w:t>
      </w:r>
      <w:r w:rsidRPr="00433615">
        <w:t xml:space="preserve"> the </w:t>
      </w:r>
      <w:r>
        <w:t xml:space="preserve">CDQ groups reported that recent </w:t>
      </w:r>
      <w:r w:rsidRPr="00433615">
        <w:t xml:space="preserve">declines in halibut CDQ allocations could prevent the CDQ </w:t>
      </w:r>
      <w:r>
        <w:t>P</w:t>
      </w:r>
      <w:r w:rsidRPr="00433615">
        <w:t xml:space="preserve">rogram from meeting its </w:t>
      </w:r>
      <w:r>
        <w:t xml:space="preserve">economic development </w:t>
      </w:r>
      <w:r w:rsidRPr="00433615">
        <w:t>objectives</w:t>
      </w:r>
      <w:r>
        <w:t>,</w:t>
      </w:r>
      <w:r w:rsidRPr="00433615">
        <w:t xml:space="preserve"> </w:t>
      </w:r>
      <w:r>
        <w:t xml:space="preserve">and the ability to develop a </w:t>
      </w:r>
      <w:r w:rsidR="00DD224E">
        <w:t xml:space="preserve">local </w:t>
      </w:r>
      <w:r w:rsidRPr="00433615">
        <w:t>small</w:t>
      </w:r>
      <w:r w:rsidR="00DD224E">
        <w:t>-scale</w:t>
      </w:r>
      <w:r w:rsidRPr="00433615">
        <w:t xml:space="preserve"> Pacific cod CDQ fishery </w:t>
      </w:r>
      <w:r>
        <w:t>w</w:t>
      </w:r>
      <w:r w:rsidR="00BB5C5E">
        <w:t>ould help to</w:t>
      </w:r>
      <w:r w:rsidRPr="00433615">
        <w:t xml:space="preserve"> offset the lost</w:t>
      </w:r>
      <w:r>
        <w:t xml:space="preserve"> halibut </w:t>
      </w:r>
      <w:r w:rsidRPr="00433615">
        <w:t xml:space="preserve">harvesting and processing opportunities in </w:t>
      </w:r>
      <w:r>
        <w:t xml:space="preserve">the </w:t>
      </w:r>
      <w:r w:rsidRPr="00433615">
        <w:t xml:space="preserve">CDQ </w:t>
      </w:r>
      <w:r w:rsidRPr="00433615">
        <w:lastRenderedPageBreak/>
        <w:t>communities. In response, the Council</w:t>
      </w:r>
      <w:r>
        <w:t xml:space="preserve"> reviewed and developed a series of analyses that resulted in this proposed action.  </w:t>
      </w:r>
    </w:p>
    <w:p w14:paraId="21BB2F18" w14:textId="6EC52C47" w:rsidR="00B15BB6" w:rsidRDefault="00B15BB6" w:rsidP="00B15BB6">
      <w:pPr>
        <w:numPr>
          <w:ilvl w:val="12"/>
          <w:numId w:val="0"/>
        </w:numPr>
        <w:spacing w:line="480" w:lineRule="auto"/>
        <w:ind w:firstLine="720"/>
      </w:pPr>
      <w:r>
        <w:t xml:space="preserve">The Council recommended its </w:t>
      </w:r>
      <w:r w:rsidRPr="000851D8">
        <w:t>preferred alternative</w:t>
      </w:r>
      <w:r w:rsidR="002D68F9">
        <w:t xml:space="preserve"> in Febru</w:t>
      </w:r>
      <w:r>
        <w:t>ary 2015</w:t>
      </w:r>
      <w:r w:rsidR="006858F9">
        <w:t xml:space="preserve">. </w:t>
      </w:r>
      <w:r>
        <w:t xml:space="preserve">The Council’s preferred alternative </w:t>
      </w:r>
      <w:r w:rsidRPr="00646AEF">
        <w:t xml:space="preserve">would </w:t>
      </w:r>
      <w:r>
        <w:t xml:space="preserve">1) </w:t>
      </w:r>
      <w:r w:rsidR="00605838">
        <w:t>exempt</w:t>
      </w:r>
      <w:r w:rsidRPr="00646AEF">
        <w:t xml:space="preserve"> operators of </w:t>
      </w:r>
      <w:r w:rsidR="00605838">
        <w:t xml:space="preserve">registered </w:t>
      </w:r>
      <w:r w:rsidRPr="00646AEF">
        <w:t xml:space="preserve">catcher vessels greater than 32 ft LOA and less than or equal to 46 ft LOA using hook-and-line gear </w:t>
      </w:r>
      <w:r w:rsidR="00605838">
        <w:t xml:space="preserve">from the requirement </w:t>
      </w:r>
      <w:r w:rsidRPr="00646AEF">
        <w:t>to obtain and carry a</w:t>
      </w:r>
      <w:r>
        <w:t xml:space="preserve">n </w:t>
      </w:r>
      <w:r w:rsidRPr="00646AEF">
        <w:t xml:space="preserve">LLP license </w:t>
      </w:r>
      <w:r w:rsidR="00605838">
        <w:t>wh</w:t>
      </w:r>
      <w:r w:rsidR="00856510">
        <w:t>en</w:t>
      </w:r>
      <w:r w:rsidR="00605838">
        <w:t xml:space="preserve"> groundfish CDQ fishing</w:t>
      </w:r>
      <w:r>
        <w:t xml:space="preserve">; 2) place </w:t>
      </w:r>
      <w:r w:rsidRPr="00646AEF">
        <w:t xml:space="preserve">catcher vessels less than or equal to 46 ft LOA using hook-and-line gear </w:t>
      </w:r>
      <w:r>
        <w:t>in the partial observer coverage category wh</w:t>
      </w:r>
      <w:r w:rsidR="00856510">
        <w:t>en</w:t>
      </w:r>
      <w:r>
        <w:t xml:space="preserve"> they are groundfish CDQ fishing; 3) allow halibut caught by </w:t>
      </w:r>
      <w:r w:rsidR="009458E9">
        <w:t>operator</w:t>
      </w:r>
      <w:r w:rsidR="00276C18">
        <w:t>s</w:t>
      </w:r>
      <w:r w:rsidR="009458E9">
        <w:t xml:space="preserve"> of </w:t>
      </w:r>
      <w:r w:rsidRPr="00646AEF">
        <w:t xml:space="preserve">catcher vessels less than or equal to 46 ft LOA using hook-and-line gear </w:t>
      </w:r>
      <w:r w:rsidR="00605838">
        <w:t>wh</w:t>
      </w:r>
      <w:r w:rsidR="00856510">
        <w:t>en</w:t>
      </w:r>
      <w:r w:rsidR="00605838">
        <w:t xml:space="preserve"> groundfish CDQ fishing </w:t>
      </w:r>
      <w:r>
        <w:t xml:space="preserve">to accrue as either halibut CDQ, halibut IFQ, or halibut PSC, on a trip-by-trip basis; and 4) implement new </w:t>
      </w:r>
      <w:r w:rsidR="00AC73D5">
        <w:t xml:space="preserve">in-season management and </w:t>
      </w:r>
      <w:r>
        <w:t xml:space="preserve">catch accounting procedures to </w:t>
      </w:r>
      <w:r w:rsidRPr="00646AEF">
        <w:t>properly account for the harvest of groundfish and halibut and the accrual of h</w:t>
      </w:r>
      <w:r>
        <w:t>alibut PS</w:t>
      </w:r>
      <w:r w:rsidR="00DF5A15">
        <w:t xml:space="preserve">C by operators of </w:t>
      </w:r>
      <w:r w:rsidR="00DF5A15" w:rsidRPr="00A03C64">
        <w:t xml:space="preserve">catcher vessels less than or equal to 46 ft LOA using hook-and-line gear </w:t>
      </w:r>
      <w:r w:rsidR="00DF5A15">
        <w:t>wh</w:t>
      </w:r>
      <w:r w:rsidR="00856510">
        <w:t>en</w:t>
      </w:r>
      <w:r w:rsidR="00DF5A15">
        <w:t xml:space="preserve"> </w:t>
      </w:r>
      <w:r w:rsidR="009458E9">
        <w:t xml:space="preserve">halibut or </w:t>
      </w:r>
      <w:r w:rsidR="00DF5A15">
        <w:t>groundfish CDQ fishing</w:t>
      </w:r>
      <w:r w:rsidR="006858F9">
        <w:t xml:space="preserve">. </w:t>
      </w:r>
      <w:r>
        <w:t xml:space="preserve">Additional details about the specific management measures NMFS proposes to implement the </w:t>
      </w:r>
      <w:r w:rsidR="00DD224E">
        <w:t xml:space="preserve">Council’s </w:t>
      </w:r>
      <w:r>
        <w:t xml:space="preserve">preferred alternative are described below in the section titled “The Proposed </w:t>
      </w:r>
      <w:r w:rsidR="001E4261">
        <w:t>Rule</w:t>
      </w:r>
      <w:r>
        <w:t xml:space="preserve">.”  </w:t>
      </w:r>
    </w:p>
    <w:p w14:paraId="250A7261" w14:textId="032A44BD" w:rsidR="00B15BB6" w:rsidRDefault="00B15BB6" w:rsidP="00B15BB6">
      <w:pPr>
        <w:numPr>
          <w:ilvl w:val="12"/>
          <w:numId w:val="0"/>
        </w:numPr>
        <w:spacing w:line="480" w:lineRule="auto"/>
        <w:ind w:firstLine="720"/>
      </w:pPr>
      <w:r>
        <w:t xml:space="preserve">The Council’s </w:t>
      </w:r>
      <w:r w:rsidR="00DF5A15">
        <w:t>preferred alternative</w:t>
      </w:r>
      <w:r>
        <w:t xml:space="preserve"> is intended to provide </w:t>
      </w:r>
      <w:r w:rsidRPr="00433615">
        <w:t xml:space="preserve">a regulatory structure for the harvest </w:t>
      </w:r>
      <w:r>
        <w:t xml:space="preserve">of groundfish CDQ that provides </w:t>
      </w:r>
      <w:r w:rsidRPr="00433615">
        <w:t xml:space="preserve">opportunities for the small </w:t>
      </w:r>
      <w:r w:rsidR="00145803">
        <w:t xml:space="preserve">catcher </w:t>
      </w:r>
      <w:r w:rsidRPr="00433615">
        <w:t>vessels that fish on behalf of a CDQ group</w:t>
      </w:r>
      <w:r>
        <w:t xml:space="preserve"> </w:t>
      </w:r>
      <w:r w:rsidRPr="00433615">
        <w:t xml:space="preserve">to retain additional Pacific cod and other groundfish in the halibut </w:t>
      </w:r>
      <w:r>
        <w:t xml:space="preserve">CDQ </w:t>
      </w:r>
      <w:r w:rsidRPr="00433615">
        <w:t>fishery</w:t>
      </w:r>
      <w:r>
        <w:t>,</w:t>
      </w:r>
      <w:r w:rsidRPr="00433615">
        <w:t xml:space="preserve"> </w:t>
      </w:r>
      <w:r>
        <w:t xml:space="preserve">or to develop separate Pacific cod or other groundfish CDQ fisheries </w:t>
      </w:r>
      <w:r w:rsidRPr="00433615">
        <w:t xml:space="preserve">without triggering </w:t>
      </w:r>
      <w:r>
        <w:t xml:space="preserve">LLP license and </w:t>
      </w:r>
      <w:r w:rsidRPr="00433615">
        <w:t>full observer coverage</w:t>
      </w:r>
      <w:r>
        <w:t xml:space="preserve"> </w:t>
      </w:r>
      <w:r>
        <w:lastRenderedPageBreak/>
        <w:t>requirements</w:t>
      </w:r>
      <w:r w:rsidR="006858F9">
        <w:t xml:space="preserve">. </w:t>
      </w:r>
      <w:r w:rsidRPr="001D446F">
        <w:t>Th</w:t>
      </w:r>
      <w:r>
        <w:t xml:space="preserve">e Council’s </w:t>
      </w:r>
      <w:r w:rsidR="00DF5A15">
        <w:t>preferred alternative</w:t>
      </w:r>
      <w:r w:rsidRPr="001D446F">
        <w:t xml:space="preserve"> </w:t>
      </w:r>
      <w:r w:rsidR="00DF5A15">
        <w:t xml:space="preserve">also </w:t>
      </w:r>
      <w:r w:rsidRPr="001D446F">
        <w:t xml:space="preserve">is intended to </w:t>
      </w:r>
      <w:r>
        <w:t xml:space="preserve">provide additional fishing opportunities to small </w:t>
      </w:r>
      <w:r w:rsidR="00DF5A15">
        <w:t xml:space="preserve">catcher </w:t>
      </w:r>
      <w:r>
        <w:t xml:space="preserve">vessel operators in CDQ communities who have had reduced harvest opportunities due to lower halibut abundance and the resulting lower </w:t>
      </w:r>
      <w:r w:rsidR="0051783B">
        <w:t xml:space="preserve">halibut </w:t>
      </w:r>
      <w:r>
        <w:t>CDQ allocations</w:t>
      </w:r>
      <w:r w:rsidR="006858F9">
        <w:t xml:space="preserve">. </w:t>
      </w:r>
      <w:r>
        <w:t>This proposed action is intended to</w:t>
      </w:r>
      <w:r w:rsidRPr="000E4562">
        <w:t xml:space="preserve"> provide </w:t>
      </w:r>
      <w:r>
        <w:t xml:space="preserve">the regulatory </w:t>
      </w:r>
      <w:r w:rsidRPr="000E4562">
        <w:t>flexibility</w:t>
      </w:r>
      <w:r>
        <w:t xml:space="preserve"> necessary</w:t>
      </w:r>
      <w:r w:rsidRPr="000E4562">
        <w:t xml:space="preserve"> for the CDQ groups to develop diversified </w:t>
      </w:r>
      <w:r w:rsidR="00DF5A15">
        <w:t xml:space="preserve">local </w:t>
      </w:r>
      <w:r>
        <w:t>small</w:t>
      </w:r>
      <w:r w:rsidR="00DF5A15">
        <w:t>-scale</w:t>
      </w:r>
      <w:r>
        <w:t xml:space="preserve"> </w:t>
      </w:r>
      <w:r w:rsidRPr="000E4562">
        <w:t xml:space="preserve">halibut and groundfish fisheries. </w:t>
      </w:r>
    </w:p>
    <w:p w14:paraId="1CD2B1BB" w14:textId="77777777" w:rsidR="00B15BB6" w:rsidRPr="006108D7" w:rsidRDefault="00B15BB6" w:rsidP="006108D7">
      <w:pPr>
        <w:numPr>
          <w:ilvl w:val="12"/>
          <w:numId w:val="0"/>
        </w:numPr>
        <w:spacing w:line="480" w:lineRule="auto"/>
        <w:rPr>
          <w:i/>
        </w:rPr>
      </w:pPr>
      <w:r w:rsidRPr="006108D7">
        <w:rPr>
          <w:i/>
        </w:rPr>
        <w:t>LLP Exemption</w:t>
      </w:r>
    </w:p>
    <w:p w14:paraId="4543FBF0" w14:textId="0705EF6F" w:rsidR="00D94FE5" w:rsidRDefault="00B15BB6" w:rsidP="00B15BB6">
      <w:pPr>
        <w:numPr>
          <w:ilvl w:val="12"/>
          <w:numId w:val="0"/>
        </w:numPr>
        <w:spacing w:line="480" w:lineRule="auto"/>
        <w:ind w:firstLine="720"/>
      </w:pPr>
      <w:r>
        <w:t xml:space="preserve">The Council determined that a new LLP exemption </w:t>
      </w:r>
      <w:r w:rsidR="002D68F9">
        <w:t>fo</w:t>
      </w:r>
      <w:r w:rsidR="006955BE">
        <w:t xml:space="preserve">r </w:t>
      </w:r>
      <w:r w:rsidR="00DF5A15">
        <w:t xml:space="preserve">registered </w:t>
      </w:r>
      <w:r w:rsidR="006955BE">
        <w:t>catcher vessels</w:t>
      </w:r>
      <w:r w:rsidR="002D68F9">
        <w:t xml:space="preserve"> </w:t>
      </w:r>
      <w:r w:rsidR="00DF5A15">
        <w:t xml:space="preserve">greater than 32 ft LOA and </w:t>
      </w:r>
      <w:r w:rsidR="002D68F9">
        <w:t xml:space="preserve">less than or equal to 46 ft </w:t>
      </w:r>
      <w:r w:rsidR="00CB2C72">
        <w:t>LOA</w:t>
      </w:r>
      <w:r w:rsidR="002D68F9">
        <w:t xml:space="preserve"> using hook-and-line gear </w:t>
      </w:r>
      <w:r w:rsidR="00DF5A15">
        <w:t>wh</w:t>
      </w:r>
      <w:r w:rsidR="00856510">
        <w:t>en</w:t>
      </w:r>
      <w:r w:rsidR="00DF5A15">
        <w:t xml:space="preserve"> groundfish CDQ fishing </w:t>
      </w:r>
      <w:r>
        <w:t>was necessary to encourage the retention and sale of groundfish CDQ in the halibut fisheries and to encourage the development of directed fisheries for groundfish CDQ</w:t>
      </w:r>
      <w:r w:rsidRPr="00D63AA2">
        <w:t xml:space="preserve"> </w:t>
      </w:r>
      <w:r>
        <w:t xml:space="preserve">by vessel operators delivering catch to processors located in CDQ communities. Exemption from the LLP would remove a barrier created by the </w:t>
      </w:r>
      <w:r w:rsidR="00DD224E">
        <w:t xml:space="preserve">lack of </w:t>
      </w:r>
      <w:r>
        <w:t xml:space="preserve">LLP licenses available for small hook-and-line </w:t>
      </w:r>
      <w:r w:rsidR="00145803">
        <w:t xml:space="preserve">catcher </w:t>
      </w:r>
      <w:r>
        <w:t xml:space="preserve">vessels fishing on behalf of a CDQ group. The Council determined </w:t>
      </w:r>
      <w:r w:rsidR="0051783B">
        <w:t xml:space="preserve">and NMFS agrees </w:t>
      </w:r>
      <w:r>
        <w:t xml:space="preserve">that </w:t>
      </w:r>
      <w:r w:rsidR="00DF5A15">
        <w:t>this</w:t>
      </w:r>
      <w:r>
        <w:t xml:space="preserve"> limited exemption to the LLP license requirements would not undermine the objectives of the LLP because it would apply only to </w:t>
      </w:r>
      <w:r w:rsidR="00DF5A15">
        <w:t xml:space="preserve">registered small </w:t>
      </w:r>
      <w:r w:rsidR="00145803">
        <w:t xml:space="preserve">catcher </w:t>
      </w:r>
      <w:r>
        <w:t xml:space="preserve">vessels when groundfish CDQ fishing. Because the CDQ groups </w:t>
      </w:r>
      <w:r w:rsidR="00DF5A15">
        <w:t>receive specific harvest allocations</w:t>
      </w:r>
      <w:r>
        <w:t>,</w:t>
      </w:r>
      <w:r w:rsidR="00DF5A15">
        <w:t xml:space="preserve"> the Council determined and NMFS agrees that</w:t>
      </w:r>
      <w:r>
        <w:t xml:space="preserve"> providing a limited exemption to </w:t>
      </w:r>
      <w:r w:rsidR="00DF5A15">
        <w:t xml:space="preserve">these registered </w:t>
      </w:r>
      <w:r>
        <w:t xml:space="preserve">catcher vessels would not result in increased harvests </w:t>
      </w:r>
      <w:r w:rsidR="00124B8A">
        <w:t xml:space="preserve">overall in the BSAI groundfish fisheries, </w:t>
      </w:r>
      <w:r>
        <w:t xml:space="preserve">or contribute to a “race for fish” among fishery participants. </w:t>
      </w:r>
      <w:r w:rsidR="002D68F9">
        <w:t xml:space="preserve"> </w:t>
      </w:r>
    </w:p>
    <w:p w14:paraId="450C065B" w14:textId="43ED2CAB" w:rsidR="001A378F" w:rsidRDefault="00BC5F4B" w:rsidP="00FB459C">
      <w:pPr>
        <w:numPr>
          <w:ilvl w:val="12"/>
          <w:numId w:val="0"/>
        </w:numPr>
        <w:spacing w:line="480" w:lineRule="auto"/>
        <w:ind w:firstLine="720"/>
      </w:pPr>
      <w:r>
        <w:lastRenderedPageBreak/>
        <w:t xml:space="preserve">As noted earlier in this preamble, there are approximately 240 vessels that fish for halibut out of CDQ communities. </w:t>
      </w:r>
      <w:r w:rsidR="00FB459C">
        <w:t>Under current regulations, operators of vessels that are greater than 32 ft LOA are prohibited from also conducting directed fishing for CDQ groundfish or non-CDQ groundfish wh</w:t>
      </w:r>
      <w:r w:rsidR="00856510">
        <w:t>en</w:t>
      </w:r>
      <w:r w:rsidR="00FB459C">
        <w:t xml:space="preserve"> they are halibut CDQ or halibut IFQ fishing unless they have an LLP license with the necessary endorsements. </w:t>
      </w:r>
      <w:r w:rsidR="003E013B">
        <w:t>The Council recommended that the exemption appl</w:t>
      </w:r>
      <w:r w:rsidR="001D1461">
        <w:t>y</w:t>
      </w:r>
      <w:r w:rsidR="003E013B">
        <w:t xml:space="preserve"> only to catcher vessels that are less than or equal to 46 ft LOA because approximately 95 percent of </w:t>
      </w:r>
      <w:r>
        <w:t xml:space="preserve">the approximately 240 </w:t>
      </w:r>
      <w:r w:rsidR="003E013B">
        <w:t>catcher vessels currently active in halibut CDQ fisheries are within this size class</w:t>
      </w:r>
      <w:r>
        <w:t xml:space="preserve">. </w:t>
      </w:r>
      <w:r w:rsidR="001A378F">
        <w:t>In addition, the CDQ groups recommended the 46</w:t>
      </w:r>
      <w:r w:rsidR="003B3993">
        <w:t>-</w:t>
      </w:r>
      <w:r w:rsidR="001A378F">
        <w:t>ft</w:t>
      </w:r>
      <w:r w:rsidR="003B3993">
        <w:t>-</w:t>
      </w:r>
      <w:r w:rsidR="001A378F">
        <w:t>LOA threshold because the largest vessel that is owned by a resident of a CDQ community that participates in the halibut CDQ fisheries is 46 ft LOA.</w:t>
      </w:r>
      <w:r w:rsidR="00B8285B">
        <w:t xml:space="preserve"> Therefore, </w:t>
      </w:r>
      <w:r w:rsidR="00856510">
        <w:t>although</w:t>
      </w:r>
      <w:r w:rsidR="00B8285B">
        <w:t xml:space="preserve"> the Council recognized that there are catcher vessels greater than 46 ft LOA fishing for halibut CDQ that do not have LLPs, the focus of this proposed action is on the smaller vessels because those vessels generally are owned and operated by residents of the CDQ communities and fish out of those communities. </w:t>
      </w:r>
      <w:r w:rsidR="001A378F">
        <w:t xml:space="preserve"> </w:t>
      </w:r>
    </w:p>
    <w:p w14:paraId="0B482993" w14:textId="6D9165D6" w:rsidR="00083AA6" w:rsidRDefault="00BC5F4B" w:rsidP="001A378F">
      <w:pPr>
        <w:numPr>
          <w:ilvl w:val="12"/>
          <w:numId w:val="0"/>
        </w:numPr>
        <w:spacing w:line="480" w:lineRule="auto"/>
        <w:ind w:firstLine="720"/>
      </w:pPr>
      <w:r>
        <w:t xml:space="preserve">Nine of the </w:t>
      </w:r>
      <w:r w:rsidR="001A378F">
        <w:t xml:space="preserve">approximately 240 catcher vessels that fish for halibut out of the CDQ communities </w:t>
      </w:r>
      <w:r>
        <w:t xml:space="preserve">are greater than 32 ft LOA and </w:t>
      </w:r>
      <w:r w:rsidR="001A378F">
        <w:t>less than or equal to 46 ft LOA. O</w:t>
      </w:r>
      <w:r w:rsidR="00FB459C">
        <w:t>nly two of the</w:t>
      </w:r>
      <w:r>
        <w:t>se</w:t>
      </w:r>
      <w:r w:rsidR="00FB459C">
        <w:t xml:space="preserve"> nine catcher vessels are already assigned LLP licenses. </w:t>
      </w:r>
      <w:r w:rsidR="00066B87">
        <w:t xml:space="preserve">Currently, all of the LLP licenses with the appropriate MLOA, gear endorsement (i.e., non-trawl gear), and operation type (i.e., catcher vessel) that could be used on the seven </w:t>
      </w:r>
      <w:r>
        <w:t xml:space="preserve">catcher </w:t>
      </w:r>
      <w:r w:rsidR="00066B87">
        <w:t xml:space="preserve">vessels </w:t>
      </w:r>
      <w:r>
        <w:t xml:space="preserve">greater than 32 ft LOA and less than or equal to 46 ft LOA that do not have </w:t>
      </w:r>
      <w:r w:rsidR="00066B87">
        <w:t xml:space="preserve">LLP licenses are assigned to other non-CDQ vessels actively fishing in the BSAI. Based on the information available, it does not appear that LLP licenses with the necessary </w:t>
      </w:r>
      <w:r w:rsidR="00066B87">
        <w:lastRenderedPageBreak/>
        <w:t>endorsements for these seven small vessels are available for transfer.</w:t>
      </w:r>
      <w:r>
        <w:t xml:space="preserve"> </w:t>
      </w:r>
      <w:r w:rsidR="00B8285B">
        <w:t xml:space="preserve">Therefore, the exemption to LLP requirements for catcher vessels that are less than or equal to 46 ft LOA would provide additional groundfish harvest opportunities to the owners and operators of vessels based in CDQ communities. </w:t>
      </w:r>
      <w:r w:rsidR="00083AA6">
        <w:t>Additional detail on the limitations in obtaining an appropriately endorsed LLP license for the catcher vessels less than 46 ft LOA using hook-and-line gear is provided in Section 3.6.6.1 of the Analysis.</w:t>
      </w:r>
    </w:p>
    <w:p w14:paraId="44465B7C" w14:textId="7B6CF325" w:rsidR="00B15BB6" w:rsidRDefault="00B15BB6" w:rsidP="00B15BB6">
      <w:pPr>
        <w:numPr>
          <w:ilvl w:val="12"/>
          <w:numId w:val="0"/>
        </w:numPr>
        <w:spacing w:line="480" w:lineRule="auto"/>
        <w:ind w:firstLine="720"/>
      </w:pPr>
      <w:r>
        <w:t xml:space="preserve">The Council </w:t>
      </w:r>
      <w:r w:rsidR="0051783B">
        <w:t xml:space="preserve">also </w:t>
      </w:r>
      <w:r>
        <w:t xml:space="preserve">recommended that each CDQ group register any catcher vessel eligible for the LLP </w:t>
      </w:r>
      <w:r w:rsidR="00E4725C">
        <w:t xml:space="preserve">license </w:t>
      </w:r>
      <w:r>
        <w:t>exemption with NMFS</w:t>
      </w:r>
      <w:r w:rsidR="00E4725C">
        <w:t xml:space="preserve"> in order for the exemption to apply</w:t>
      </w:r>
      <w:r w:rsidR="006858F9">
        <w:t xml:space="preserve">. </w:t>
      </w:r>
      <w:r w:rsidR="00E63EAB">
        <w:t>The CDQ vessel registration</w:t>
      </w:r>
      <w:r>
        <w:t xml:space="preserve"> list would </w:t>
      </w:r>
      <w:r w:rsidR="00140744">
        <w:t>clearly identify those</w:t>
      </w:r>
      <w:r>
        <w:t xml:space="preserve"> eligibl</w:t>
      </w:r>
      <w:r w:rsidR="00140744">
        <w:t>e vessels that are exempt from</w:t>
      </w:r>
      <w:r>
        <w:t xml:space="preserve"> the LLP </w:t>
      </w:r>
      <w:r w:rsidR="00140744">
        <w:t>license requirements</w:t>
      </w:r>
      <w:r w:rsidR="006858F9">
        <w:t xml:space="preserve">. </w:t>
      </w:r>
      <w:r w:rsidR="00140744">
        <w:t xml:space="preserve">It is important to note that the LLP license exemption would not apply until an eligible vessel is successfully registered by a CDQ group representative. </w:t>
      </w:r>
      <w:r>
        <w:t xml:space="preserve">The Council </w:t>
      </w:r>
      <w:r w:rsidR="00E4725C">
        <w:t xml:space="preserve">also </w:t>
      </w:r>
      <w:r>
        <w:t xml:space="preserve">recommended that an LLP exemption letter </w:t>
      </w:r>
      <w:r w:rsidR="00916E21">
        <w:t xml:space="preserve">be issued </w:t>
      </w:r>
      <w:r>
        <w:t xml:space="preserve">to each vessel operator, and that each vessel operator maintain a </w:t>
      </w:r>
      <w:r w:rsidR="003B3993">
        <w:t xml:space="preserve">legible </w:t>
      </w:r>
      <w:r>
        <w:t xml:space="preserve">copy of </w:t>
      </w:r>
      <w:r w:rsidR="0051783B">
        <w:t>the</w:t>
      </w:r>
      <w:r>
        <w:t xml:space="preserve"> LLP exemption letter on board the vessel at all times wh</w:t>
      </w:r>
      <w:r w:rsidR="00856510">
        <w:t>en</w:t>
      </w:r>
      <w:r>
        <w:t xml:space="preserve"> fishing for groundfish CDQ</w:t>
      </w:r>
      <w:r w:rsidR="006858F9">
        <w:t xml:space="preserve">. </w:t>
      </w:r>
      <w:r w:rsidR="00A92EEE">
        <w:t xml:space="preserve">Maintaining a </w:t>
      </w:r>
      <w:r w:rsidR="003B3993">
        <w:t xml:space="preserve">legible </w:t>
      </w:r>
      <w:r w:rsidR="00A92EEE">
        <w:t>copy of the LLP exemption letter on board the vessel would provide documentation that the vessel is exempt from the LLP requirements, should the vessel be boarded by the U.S. Coast Guard or NMFS’ Office of Law Enforcement</w:t>
      </w:r>
      <w:r w:rsidR="00CB432C">
        <w:t xml:space="preserve">. </w:t>
      </w:r>
      <w:r w:rsidR="00A92EEE">
        <w:t xml:space="preserve">Although the </w:t>
      </w:r>
      <w:r w:rsidR="00676D3A">
        <w:t xml:space="preserve">CDQ vessel registration </w:t>
      </w:r>
      <w:r w:rsidR="00A92EEE">
        <w:t>list of vessels eli</w:t>
      </w:r>
      <w:r w:rsidR="00FE7EA6">
        <w:t>gible for the LLP exemption would</w:t>
      </w:r>
      <w:r w:rsidR="00A92EEE">
        <w:t xml:space="preserve"> be available on NMFS’ website, </w:t>
      </w:r>
      <w:r w:rsidR="00CB432C">
        <w:t xml:space="preserve">vessel boardings </w:t>
      </w:r>
      <w:r w:rsidR="00FE7EA6">
        <w:t xml:space="preserve">can </w:t>
      </w:r>
      <w:r w:rsidR="00CB432C">
        <w:t xml:space="preserve">occur in areas with no access to the internet. </w:t>
      </w:r>
      <w:r w:rsidR="00FE7EA6">
        <w:t>In these cases, t</w:t>
      </w:r>
      <w:r w:rsidR="00CB432C">
        <w:t xml:space="preserve">he LLP exemption letter </w:t>
      </w:r>
      <w:r w:rsidR="00FE7EA6">
        <w:t xml:space="preserve">would </w:t>
      </w:r>
      <w:r w:rsidR="00CB432C">
        <w:t xml:space="preserve">provide </w:t>
      </w:r>
      <w:r w:rsidR="00FE7EA6">
        <w:t xml:space="preserve">initial </w:t>
      </w:r>
      <w:r w:rsidR="00CB432C">
        <w:t>documentation that the vessel is exempt from the LLP</w:t>
      </w:r>
      <w:r w:rsidR="003B3993">
        <w:t>,</w:t>
      </w:r>
      <w:r w:rsidR="00FE7EA6">
        <w:t xml:space="preserve"> which could later be confirmed by checking </w:t>
      </w:r>
      <w:r w:rsidR="00FE7EA6" w:rsidRPr="00676D3A">
        <w:t xml:space="preserve">the </w:t>
      </w:r>
      <w:r w:rsidR="003B3993" w:rsidRPr="00676D3A">
        <w:t xml:space="preserve">CDQ </w:t>
      </w:r>
      <w:r w:rsidR="00FE7EA6" w:rsidRPr="00676D3A">
        <w:t>vessel registration list</w:t>
      </w:r>
      <w:r w:rsidR="00CB432C">
        <w:t xml:space="preserve">. </w:t>
      </w:r>
      <w:r>
        <w:t xml:space="preserve">More information about the CDQ vessel </w:t>
      </w:r>
      <w:r>
        <w:lastRenderedPageBreak/>
        <w:t xml:space="preserve">registration system and the LLP exemption letter is in the section below titled “The Proposed </w:t>
      </w:r>
      <w:r w:rsidR="001E4261">
        <w:t>Rule</w:t>
      </w:r>
      <w:r>
        <w:t xml:space="preserve">.”  </w:t>
      </w:r>
    </w:p>
    <w:p w14:paraId="5A3082FB" w14:textId="77777777" w:rsidR="00B15BB6" w:rsidRPr="00A116BA" w:rsidRDefault="00B15BB6" w:rsidP="006108D7">
      <w:pPr>
        <w:numPr>
          <w:ilvl w:val="12"/>
          <w:numId w:val="0"/>
        </w:numPr>
        <w:spacing w:line="480" w:lineRule="auto"/>
        <w:rPr>
          <w:i/>
        </w:rPr>
      </w:pPr>
      <w:r w:rsidRPr="00A116BA">
        <w:rPr>
          <w:i/>
        </w:rPr>
        <w:t xml:space="preserve">Observer Coverage </w:t>
      </w:r>
    </w:p>
    <w:p w14:paraId="0DDD113B" w14:textId="1C048ACF" w:rsidR="00C76317" w:rsidRDefault="00B15BB6" w:rsidP="00B15BB6">
      <w:pPr>
        <w:numPr>
          <w:ilvl w:val="12"/>
          <w:numId w:val="0"/>
        </w:numPr>
        <w:spacing w:line="480" w:lineRule="auto"/>
        <w:ind w:firstLine="720"/>
      </w:pPr>
      <w:r>
        <w:t xml:space="preserve">The Council recommended placing the hook-and-line catcher vessels less than or equal to 46 ft </w:t>
      </w:r>
      <w:r w:rsidR="00CB2C72">
        <w:t>LOA</w:t>
      </w:r>
      <w:r>
        <w:t xml:space="preserve"> that are groundfish</w:t>
      </w:r>
      <w:r w:rsidR="00FC6A71">
        <w:t xml:space="preserve"> CDQ</w:t>
      </w:r>
      <w:r>
        <w:t xml:space="preserve"> fishing in the </w:t>
      </w:r>
      <w:r w:rsidRPr="00463CA5">
        <w:t>partial observer coverage</w:t>
      </w:r>
      <w:r>
        <w:t xml:space="preserve"> category </w:t>
      </w:r>
      <w:r w:rsidR="00BE6453">
        <w:t>to</w:t>
      </w:r>
      <w:r w:rsidR="00BE6453" w:rsidRPr="004873D5">
        <w:t xml:space="preserve"> </w:t>
      </w:r>
      <w:r w:rsidRPr="004873D5">
        <w:t xml:space="preserve">remove a significant financial and operational barrier to further development of the </w:t>
      </w:r>
      <w:r w:rsidR="0051783B">
        <w:t xml:space="preserve">local </w:t>
      </w:r>
      <w:r w:rsidRPr="004873D5">
        <w:t>small</w:t>
      </w:r>
      <w:r w:rsidR="0051783B">
        <w:t>-scale</w:t>
      </w:r>
      <w:r w:rsidRPr="004873D5">
        <w:t xml:space="preserve"> groundfish CDQ fisheries</w:t>
      </w:r>
      <w:r w:rsidR="006858F9">
        <w:t xml:space="preserve">. </w:t>
      </w:r>
      <w:r>
        <w:t xml:space="preserve">In making this recommendation, the Council recognized that it is likely that few CDQ small vessels would be required to carry an observer under the existing deployment strategy and deployment rates </w:t>
      </w:r>
      <w:r w:rsidR="0051783B">
        <w:t xml:space="preserve">for vessel in the partial observer coverage category </w:t>
      </w:r>
      <w:r>
        <w:t xml:space="preserve">(see </w:t>
      </w:r>
      <w:r w:rsidRPr="005271DB">
        <w:t xml:space="preserve">Section </w:t>
      </w:r>
      <w:r w:rsidR="005271DB" w:rsidRPr="005271DB">
        <w:t>3.12</w:t>
      </w:r>
      <w:r>
        <w:t xml:space="preserve"> of the Analysis for additional detail on observer deployment)</w:t>
      </w:r>
      <w:r w:rsidR="006858F9">
        <w:t xml:space="preserve">. </w:t>
      </w:r>
      <w:r w:rsidR="0051783B">
        <w:t xml:space="preserve">However, the Council determined and NMFS agrees that the benefits </w:t>
      </w:r>
      <w:r w:rsidR="009D5E38">
        <w:t xml:space="preserve">that would come with increased participation in local small-scale groundfish CDQ fisheries would justify the </w:t>
      </w:r>
      <w:r w:rsidR="00A04BED">
        <w:t>moving these vessels</w:t>
      </w:r>
      <w:r w:rsidR="00AB5A2D">
        <w:t xml:space="preserve"> </w:t>
      </w:r>
      <w:r w:rsidR="009D5E38">
        <w:t xml:space="preserve">from full observer coverage to partial observer coverage.  Additionally, the Council and NMFS determined that </w:t>
      </w:r>
      <w:r w:rsidR="00A04BED">
        <w:t>NMFS</w:t>
      </w:r>
      <w:r w:rsidR="009D5E38">
        <w:t xml:space="preserve"> could adequately account for harvests and discards in these local small-scale groundfish CDQ fisheries with certain modifications to the catch accounting procedures.</w:t>
      </w:r>
    </w:p>
    <w:p w14:paraId="121DB658" w14:textId="4219BBB9" w:rsidR="00B15BB6" w:rsidRDefault="009C3E90" w:rsidP="00B15BB6">
      <w:pPr>
        <w:numPr>
          <w:ilvl w:val="12"/>
          <w:numId w:val="0"/>
        </w:numPr>
        <w:spacing w:line="480" w:lineRule="auto"/>
        <w:ind w:firstLine="720"/>
      </w:pPr>
      <w:r>
        <w:t>T</w:t>
      </w:r>
      <w:r w:rsidR="00B15BB6">
        <w:t xml:space="preserve">o establish effective catch accounting for hook-and-line catcher vessels less than or equal to 46 ft </w:t>
      </w:r>
      <w:r w:rsidR="00CB2C72">
        <w:t>LOA</w:t>
      </w:r>
      <w:r w:rsidR="00B15BB6">
        <w:t xml:space="preserve"> that are groundfish</w:t>
      </w:r>
      <w:r w:rsidR="00FC6A71">
        <w:t xml:space="preserve"> CDQ</w:t>
      </w:r>
      <w:r w:rsidR="00B15BB6">
        <w:t xml:space="preserve"> fishing, the Council recommended that NMFS modify catch accounting procedures</w:t>
      </w:r>
      <w:r w:rsidR="009D5E38">
        <w:t xml:space="preserve"> as</w:t>
      </w:r>
      <w:r w:rsidR="00B15BB6">
        <w:t xml:space="preserve"> described </w:t>
      </w:r>
      <w:r w:rsidR="00BE6453">
        <w:t xml:space="preserve">below </w:t>
      </w:r>
      <w:r w:rsidR="00B15BB6">
        <w:t>in the “Catch Accounting</w:t>
      </w:r>
      <w:r w:rsidR="004F33D2">
        <w:t xml:space="preserve"> and Fisheries Management</w:t>
      </w:r>
      <w:r w:rsidR="00B15BB6">
        <w:t xml:space="preserve">” section of the preamble. </w:t>
      </w:r>
    </w:p>
    <w:p w14:paraId="18E91BAC" w14:textId="64632434" w:rsidR="00B15BB6" w:rsidRPr="00A116BA" w:rsidRDefault="004D4162" w:rsidP="006108D7">
      <w:pPr>
        <w:numPr>
          <w:ilvl w:val="12"/>
          <w:numId w:val="0"/>
        </w:numPr>
        <w:spacing w:line="480" w:lineRule="auto"/>
        <w:rPr>
          <w:i/>
        </w:rPr>
      </w:pPr>
      <w:r>
        <w:rPr>
          <w:i/>
        </w:rPr>
        <w:t>Catch Accounting</w:t>
      </w:r>
      <w:r w:rsidR="003A796A">
        <w:rPr>
          <w:i/>
        </w:rPr>
        <w:t xml:space="preserve"> and Fisheries Management</w:t>
      </w:r>
    </w:p>
    <w:p w14:paraId="41D756D2" w14:textId="67904D9F" w:rsidR="00B15BB6" w:rsidRDefault="00951281" w:rsidP="00B15BB6">
      <w:pPr>
        <w:numPr>
          <w:ilvl w:val="12"/>
          <w:numId w:val="0"/>
        </w:numPr>
        <w:spacing w:line="480" w:lineRule="auto"/>
        <w:ind w:firstLine="720"/>
        <w:rPr>
          <w:bCs/>
        </w:rPr>
      </w:pPr>
      <w:r>
        <w:lastRenderedPageBreak/>
        <w:t>When the halibut fishery is open, t</w:t>
      </w:r>
      <w:r w:rsidR="00B15BB6">
        <w:t xml:space="preserve">he Council’s </w:t>
      </w:r>
      <w:r w:rsidR="003013CC" w:rsidRPr="00951281">
        <w:t xml:space="preserve">preferred alternative would allow </w:t>
      </w:r>
      <w:r w:rsidR="00B15BB6">
        <w:t xml:space="preserve">the CDQ groups </w:t>
      </w:r>
      <w:r w:rsidR="004D4162">
        <w:t xml:space="preserve">to </w:t>
      </w:r>
      <w:r w:rsidR="00B15BB6">
        <w:t>decide on a trip-by-trip basis whether a groundf</w:t>
      </w:r>
      <w:r w:rsidR="006955BE">
        <w:t xml:space="preserve">ish CDQ fishing trip by a </w:t>
      </w:r>
      <w:r w:rsidR="00B15BB6">
        <w:t xml:space="preserve">hook-and-line catcher vessel </w:t>
      </w:r>
      <w:r w:rsidR="006955BE">
        <w:t xml:space="preserve">less than or equal to 46 ft </w:t>
      </w:r>
      <w:r w:rsidR="00CB2C72">
        <w:t>LOA</w:t>
      </w:r>
      <w:r w:rsidR="006955BE">
        <w:t xml:space="preserve"> </w:t>
      </w:r>
      <w:r w:rsidR="00B15BB6">
        <w:t>would be supported by halibut CDQ</w:t>
      </w:r>
      <w:r w:rsidR="00CA4D5C">
        <w:t>,</w:t>
      </w:r>
      <w:r w:rsidR="00B15BB6">
        <w:t xml:space="preserve"> </w:t>
      </w:r>
      <w:r w:rsidR="00D21A0F">
        <w:t xml:space="preserve">halibut </w:t>
      </w:r>
      <w:r w:rsidR="00B15BB6">
        <w:t>IFQ, or by halibut PSC</w:t>
      </w:r>
      <w:r w:rsidR="006858F9">
        <w:t xml:space="preserve">. </w:t>
      </w:r>
      <w:r w:rsidR="004D4162">
        <w:t xml:space="preserve">When the halibut fishery is closed, the CDQ groups could conduct groundfish CDQ </w:t>
      </w:r>
      <w:r w:rsidR="003A796A">
        <w:t xml:space="preserve">fishing </w:t>
      </w:r>
      <w:r w:rsidR="004D4162">
        <w:t>by hook-and-line catcher vessel</w:t>
      </w:r>
      <w:r w:rsidR="00E17990">
        <w:t>s</w:t>
      </w:r>
      <w:r w:rsidR="004D4162">
        <w:t xml:space="preserve"> less than or equal to 46 ft LOA supported by halibut PSC. </w:t>
      </w:r>
      <w:r w:rsidR="00B15BB6">
        <w:t>The Council</w:t>
      </w:r>
      <w:r w:rsidR="009D5E38">
        <w:t xml:space="preserve"> determined and NMFS agrees</w:t>
      </w:r>
      <w:r w:rsidR="00B15BB6">
        <w:t xml:space="preserve"> </w:t>
      </w:r>
      <w:r w:rsidR="009D5E38">
        <w:t xml:space="preserve">that </w:t>
      </w:r>
      <w:r w:rsidR="004D4162">
        <w:t xml:space="preserve">the allowance for trip-by-trip accounting </w:t>
      </w:r>
      <w:r w:rsidR="00B15BB6">
        <w:t xml:space="preserve">would </w:t>
      </w:r>
      <w:r w:rsidR="00B15BB6" w:rsidRPr="004873D5">
        <w:rPr>
          <w:bCs/>
        </w:rPr>
        <w:t xml:space="preserve">provide </w:t>
      </w:r>
      <w:r w:rsidR="00B15BB6">
        <w:rPr>
          <w:bCs/>
        </w:rPr>
        <w:t xml:space="preserve">the </w:t>
      </w:r>
      <w:r w:rsidR="00B15BB6" w:rsidRPr="004873D5">
        <w:rPr>
          <w:bCs/>
        </w:rPr>
        <w:t xml:space="preserve">maximum flexibility for the CDQ groups </w:t>
      </w:r>
      <w:r w:rsidR="00B15BB6">
        <w:rPr>
          <w:bCs/>
        </w:rPr>
        <w:t>and vessel operators to increase the harvest of Pacific cod CDQ as part of a halibut CDQ or halibut IFQ fishery</w:t>
      </w:r>
      <w:r w:rsidR="002E10BB">
        <w:rPr>
          <w:bCs/>
        </w:rPr>
        <w:t>,</w:t>
      </w:r>
      <w:r w:rsidR="00B15BB6">
        <w:rPr>
          <w:bCs/>
        </w:rPr>
        <w:t xml:space="preserve"> or as a separate Pacific cod fishery in which halibut PSC would accrue</w:t>
      </w:r>
      <w:r w:rsidR="004D4162">
        <w:rPr>
          <w:bCs/>
        </w:rPr>
        <w:t>. This allowance</w:t>
      </w:r>
      <w:r w:rsidR="00AE684F">
        <w:rPr>
          <w:bCs/>
        </w:rPr>
        <w:t xml:space="preserve"> is consistent with the purpose of the proposed action</w:t>
      </w:r>
      <w:r w:rsidR="006858F9">
        <w:rPr>
          <w:bCs/>
        </w:rPr>
        <w:t xml:space="preserve">. </w:t>
      </w:r>
      <w:r w:rsidR="006955BE">
        <w:rPr>
          <w:bCs/>
        </w:rPr>
        <w:t>NMFS would manage the removals of halibut and debit them from the pro</w:t>
      </w:r>
      <w:r w:rsidR="00A116BA">
        <w:rPr>
          <w:bCs/>
        </w:rPr>
        <w:t xml:space="preserve">per account as described in “The Proposed Rule” </w:t>
      </w:r>
      <w:r w:rsidR="006955BE">
        <w:rPr>
          <w:bCs/>
        </w:rPr>
        <w:t>section of this preamble.</w:t>
      </w:r>
    </w:p>
    <w:p w14:paraId="55B5B2E8" w14:textId="77777777" w:rsidR="00AB5A2D" w:rsidRDefault="00B15BB6" w:rsidP="00AB5A2D">
      <w:pPr>
        <w:numPr>
          <w:ilvl w:val="12"/>
          <w:numId w:val="0"/>
        </w:numPr>
        <w:spacing w:line="480" w:lineRule="auto"/>
        <w:rPr>
          <w:bCs/>
          <w:i/>
        </w:rPr>
      </w:pPr>
      <w:r w:rsidRPr="00A116BA">
        <w:rPr>
          <w:bCs/>
          <w:i/>
        </w:rPr>
        <w:t xml:space="preserve">Catch </w:t>
      </w:r>
      <w:r w:rsidR="001E4261">
        <w:rPr>
          <w:bCs/>
          <w:i/>
        </w:rPr>
        <w:t>A</w:t>
      </w:r>
      <w:r w:rsidR="001E4261" w:rsidRPr="00A116BA">
        <w:rPr>
          <w:bCs/>
          <w:i/>
        </w:rPr>
        <w:t>ccounting</w:t>
      </w:r>
    </w:p>
    <w:p w14:paraId="21DF3D05" w14:textId="4B96D6EA" w:rsidR="003A796A" w:rsidRDefault="002C0EB6" w:rsidP="00AB5A2D">
      <w:pPr>
        <w:numPr>
          <w:ilvl w:val="12"/>
          <w:numId w:val="0"/>
        </w:numPr>
        <w:spacing w:line="480" w:lineRule="auto"/>
        <w:ind w:firstLine="720"/>
      </w:pPr>
      <w:r>
        <w:t xml:space="preserve">The Council determined </w:t>
      </w:r>
      <w:r w:rsidR="003154E0">
        <w:t>and NMFS agrees</w:t>
      </w:r>
      <w:r w:rsidR="003A796A">
        <w:t xml:space="preserve"> </w:t>
      </w:r>
      <w:r>
        <w:t>that t</w:t>
      </w:r>
      <w:r w:rsidR="00B15BB6">
        <w:t xml:space="preserve">he </w:t>
      </w:r>
      <w:r>
        <w:t xml:space="preserve">local </w:t>
      </w:r>
      <w:r w:rsidR="00B15BB6">
        <w:t>small</w:t>
      </w:r>
      <w:r>
        <w:t>-scale</w:t>
      </w:r>
      <w:r w:rsidR="00B15BB6">
        <w:t xml:space="preserve"> groundfish CDQ fisheries would be managed by NMFS with</w:t>
      </w:r>
      <w:r w:rsidR="00BE6453" w:rsidRPr="00BE6453">
        <w:t xml:space="preserve"> in-season fishery closures</w:t>
      </w:r>
      <w:r w:rsidR="00BE6453">
        <w:t xml:space="preserve"> and</w:t>
      </w:r>
      <w:r w:rsidR="00B15BB6">
        <w:t xml:space="preserve"> a separate component of a CDQ group’s halibut PSQ </w:t>
      </w:r>
      <w:r>
        <w:t xml:space="preserve">that would be </w:t>
      </w:r>
      <w:r w:rsidR="00B15BB6">
        <w:t xml:space="preserve">called the </w:t>
      </w:r>
      <w:r>
        <w:t>“</w:t>
      </w:r>
      <w:r w:rsidR="00B15BB6">
        <w:t xml:space="preserve">small </w:t>
      </w:r>
      <w:r w:rsidR="00CA3E7F">
        <w:t xml:space="preserve">catcher </w:t>
      </w:r>
      <w:r w:rsidR="00B15BB6">
        <w:t>vessel halibut PSC limit</w:t>
      </w:r>
      <w:r w:rsidR="00BE6453">
        <w:t>.</w:t>
      </w:r>
      <w:r>
        <w:t>”</w:t>
      </w:r>
      <w:r w:rsidR="006858F9">
        <w:t xml:space="preserve"> </w:t>
      </w:r>
      <w:r w:rsidR="00B15BB6">
        <w:t xml:space="preserve">The determination of whether halibut PSC would accrue </w:t>
      </w:r>
      <w:r>
        <w:t xml:space="preserve">to the small catcher vessel halibut PSC limit </w:t>
      </w:r>
      <w:r w:rsidR="00B15BB6">
        <w:t>for the groundfish CDQ landing would depend on the presence or absence of halibut in the landing</w:t>
      </w:r>
      <w:r w:rsidR="006858F9">
        <w:t xml:space="preserve">. </w:t>
      </w:r>
      <w:r w:rsidR="00B15BB6">
        <w:t xml:space="preserve">As long as </w:t>
      </w:r>
      <w:r w:rsidR="003154E0">
        <w:t xml:space="preserve">the halibut fishery is open and </w:t>
      </w:r>
      <w:r w:rsidR="00B15BB6">
        <w:t xml:space="preserve">at least one halibut is reported </w:t>
      </w:r>
      <w:r w:rsidR="00A04BED">
        <w:t xml:space="preserve">as halibut CDQ or halibut IFQ </w:t>
      </w:r>
      <w:r w:rsidR="00B15BB6">
        <w:t xml:space="preserve">in the groundfish CDQ landing, NMFS would not accrue any estimates of halibut PSC from this landing to the CDQ group’s small </w:t>
      </w:r>
      <w:r w:rsidR="00CA3E7F">
        <w:t xml:space="preserve">catcher </w:t>
      </w:r>
      <w:r w:rsidR="00B15BB6">
        <w:t>vessel halibut PSC limit</w:t>
      </w:r>
      <w:r w:rsidR="006858F9">
        <w:t xml:space="preserve">. </w:t>
      </w:r>
      <w:r w:rsidR="003154E0">
        <w:t xml:space="preserve">When the halibut </w:t>
      </w:r>
      <w:r w:rsidR="003154E0">
        <w:lastRenderedPageBreak/>
        <w:t xml:space="preserve">fishery is closed, or if the halibut fishery is open and </w:t>
      </w:r>
      <w:r w:rsidR="00B15BB6">
        <w:t xml:space="preserve">no halibut are reported in the landing, NMFS would accrue an estimate of halibut PSC to the CDQ group’s small </w:t>
      </w:r>
      <w:r w:rsidR="00CA3E7F">
        <w:t xml:space="preserve">catcher </w:t>
      </w:r>
      <w:r w:rsidR="00B15BB6">
        <w:t>vessel halibut PSC limit</w:t>
      </w:r>
      <w:r w:rsidR="006858F9">
        <w:t xml:space="preserve">. </w:t>
      </w:r>
      <w:r w:rsidR="00B15BB6">
        <w:t>Once a vessel operator retains one halibut, he or she would be required to retain all legal-size halibut caught for the remainder of that fishing trip as either halibut CDQ or halibut IFQ</w:t>
      </w:r>
      <w:r w:rsidR="006858F9">
        <w:t xml:space="preserve">. </w:t>
      </w:r>
    </w:p>
    <w:p w14:paraId="6726F9CB" w14:textId="5AC4B1FA" w:rsidR="00B15BB6" w:rsidRDefault="003A796A" w:rsidP="00B15BB6">
      <w:pPr>
        <w:numPr>
          <w:ilvl w:val="12"/>
          <w:numId w:val="0"/>
        </w:numPr>
        <w:spacing w:line="480" w:lineRule="auto"/>
        <w:ind w:firstLine="720"/>
      </w:pPr>
      <w:r>
        <w:t xml:space="preserve">The Council and NMFS determined that establishing small catcher vessel </w:t>
      </w:r>
      <w:r w:rsidRPr="004873D5">
        <w:t xml:space="preserve">halibut PSC </w:t>
      </w:r>
      <w:r>
        <w:t xml:space="preserve">limits </w:t>
      </w:r>
      <w:r w:rsidRPr="004873D5">
        <w:t xml:space="preserve">for each CDQ group fishing with </w:t>
      </w:r>
      <w:r w:rsidRPr="000F2D54">
        <w:t xml:space="preserve">small hook-and-line </w:t>
      </w:r>
      <w:r>
        <w:t xml:space="preserve">catcher </w:t>
      </w:r>
      <w:r w:rsidRPr="000F2D54">
        <w:t xml:space="preserve">vessels </w:t>
      </w:r>
      <w:r w:rsidRPr="004873D5">
        <w:t>w</w:t>
      </w:r>
      <w:r>
        <w:t>ould meet two important objectives. First, it would</w:t>
      </w:r>
      <w:r w:rsidRPr="004873D5">
        <w:t xml:space="preserve"> maintain the precedent the Council has set to require full observer coverage for any catcher vessels in catch share programs with transferable PSC</w:t>
      </w:r>
      <w:r>
        <w:t xml:space="preserve"> allocations while allowing small hook-and-line catcher vessels to fish for groundfish CDQ without being subject to full observer coverage. Second, it would establish a method for assessing halibut PSC for the small </w:t>
      </w:r>
      <w:r w:rsidRPr="004873D5">
        <w:t>hook-and-line</w:t>
      </w:r>
      <w:r>
        <w:t xml:space="preserve"> catcher</w:t>
      </w:r>
      <w:r w:rsidRPr="004873D5">
        <w:t xml:space="preserve"> </w:t>
      </w:r>
      <w:r>
        <w:t>vessels</w:t>
      </w:r>
      <w:r w:rsidRPr="004873D5">
        <w:t xml:space="preserve"> based on </w:t>
      </w:r>
      <w:r>
        <w:t xml:space="preserve">the same methods used for other small hook-and-line catcher vessels active in the non-CDQ groundfish fisheries. </w:t>
      </w:r>
      <w:r w:rsidR="00B15BB6">
        <w:t xml:space="preserve">More information about the management of the small vessel groundfish CDQ fisheries is in the section below titled “The Proposed </w:t>
      </w:r>
      <w:r w:rsidR="001E4261">
        <w:t>Rule</w:t>
      </w:r>
      <w:r w:rsidR="00B15BB6">
        <w:t>.”</w:t>
      </w:r>
    </w:p>
    <w:p w14:paraId="73733C89" w14:textId="25A52037" w:rsidR="00B15BB6" w:rsidRDefault="00B15BB6" w:rsidP="00B15BB6">
      <w:pPr>
        <w:numPr>
          <w:ilvl w:val="12"/>
          <w:numId w:val="0"/>
        </w:numPr>
        <w:spacing w:line="480" w:lineRule="auto"/>
        <w:ind w:firstLine="720"/>
      </w:pPr>
      <w:r>
        <w:t>Under the Council’s preferred alternative, all other regulations not specifically exempted or modified would continue to apply to the small hook-and-line catcher vessels</w:t>
      </w:r>
      <w:r w:rsidR="00AE684F">
        <w:t xml:space="preserve"> wh</w:t>
      </w:r>
      <w:r w:rsidR="00856510">
        <w:t>en</w:t>
      </w:r>
      <w:r w:rsidR="00AE684F">
        <w:t xml:space="preserve"> groundfish CDQ fishing</w:t>
      </w:r>
      <w:r>
        <w:t xml:space="preserve">. These include area closures and vessel monitoring system (VMS) requirements that apply to all hook-and-line catcher vessels directed fishing for </w:t>
      </w:r>
      <w:r w:rsidR="00AE684F">
        <w:t xml:space="preserve">CDQ and non-CDQ </w:t>
      </w:r>
      <w:r>
        <w:t>Pacific cod</w:t>
      </w:r>
      <w:r w:rsidR="006858F9">
        <w:t xml:space="preserve">. </w:t>
      </w:r>
      <w:r>
        <w:t xml:space="preserve">Additional detail on regulations that are currently applicable to small hook-and-line catcher vessels is provided in </w:t>
      </w:r>
      <w:r w:rsidR="0060581D">
        <w:t>Section 2.1</w:t>
      </w:r>
      <w:r>
        <w:t xml:space="preserve"> of the Analysis and is not repeated here. </w:t>
      </w:r>
    </w:p>
    <w:p w14:paraId="6D868552" w14:textId="33BE1731" w:rsidR="00B15BB6" w:rsidRPr="00106470" w:rsidRDefault="00B15BB6" w:rsidP="00B15BB6">
      <w:pPr>
        <w:numPr>
          <w:ilvl w:val="12"/>
          <w:numId w:val="0"/>
        </w:numPr>
        <w:spacing w:line="480" w:lineRule="auto"/>
        <w:rPr>
          <w:b/>
        </w:rPr>
      </w:pPr>
      <w:r>
        <w:rPr>
          <w:b/>
        </w:rPr>
        <w:lastRenderedPageBreak/>
        <w:t xml:space="preserve">The </w:t>
      </w:r>
      <w:r w:rsidR="006955BE">
        <w:rPr>
          <w:b/>
        </w:rPr>
        <w:t>Proposed Rule</w:t>
      </w:r>
      <w:r w:rsidRPr="00106470">
        <w:rPr>
          <w:b/>
        </w:rPr>
        <w:t xml:space="preserve">  </w:t>
      </w:r>
    </w:p>
    <w:p w14:paraId="5CB598F8" w14:textId="66D40F82" w:rsidR="00B15BB6" w:rsidRDefault="007941ED" w:rsidP="00B15BB6">
      <w:pPr>
        <w:numPr>
          <w:ilvl w:val="12"/>
          <w:numId w:val="0"/>
        </w:numPr>
        <w:spacing w:line="480" w:lineRule="auto"/>
        <w:ind w:firstLine="720"/>
      </w:pPr>
      <w:r>
        <w:t xml:space="preserve">The following paragraphs describe the provisions of the proposed rule. </w:t>
      </w:r>
      <w:r w:rsidR="00B15BB6" w:rsidRPr="004E7605">
        <w:t xml:space="preserve">The </w:t>
      </w:r>
      <w:r w:rsidR="00B15BB6">
        <w:t>proposed rule would revise re</w:t>
      </w:r>
      <w:r w:rsidR="00843D28">
        <w:t>gulations at 50 CFR part 679 to</w:t>
      </w:r>
      <w:r w:rsidRPr="007941ED">
        <w:t xml:space="preserve"> </w:t>
      </w:r>
      <w:r>
        <w:t xml:space="preserve">implement Amendment 109 and the Council’s preferred alternative </w:t>
      </w:r>
      <w:r w:rsidR="002565EE">
        <w:t>to</w:t>
      </w:r>
      <w:r>
        <w:t>:</w:t>
      </w:r>
      <w:r w:rsidR="00843D28">
        <w:t xml:space="preserve"> </w:t>
      </w:r>
      <w:r w:rsidR="00B15BB6">
        <w:t xml:space="preserve">1) </w:t>
      </w:r>
      <w:r w:rsidR="00843D28">
        <w:t>exempt</w:t>
      </w:r>
      <w:r w:rsidR="002565EE">
        <w:t xml:space="preserve"> registered</w:t>
      </w:r>
      <w:r w:rsidR="00B15BB6" w:rsidRPr="00646AEF">
        <w:t xml:space="preserve"> catcher vessels greater than 32 ft LOA and less than or equal to 46 ft LOA using hook-and-line gear </w:t>
      </w:r>
      <w:r w:rsidR="00843D28">
        <w:t xml:space="preserve">from the requirement </w:t>
      </w:r>
      <w:r w:rsidR="00B15BB6" w:rsidRPr="00646AEF">
        <w:t>to obtain and carry a</w:t>
      </w:r>
      <w:r w:rsidR="00B15BB6">
        <w:t xml:space="preserve">n </w:t>
      </w:r>
      <w:r w:rsidR="00B15BB6" w:rsidRPr="00646AEF">
        <w:t xml:space="preserve">LLP license </w:t>
      </w:r>
      <w:r w:rsidR="002565EE">
        <w:t>wh</w:t>
      </w:r>
      <w:r w:rsidR="00856510">
        <w:t>en</w:t>
      </w:r>
      <w:r w:rsidR="002565EE">
        <w:t xml:space="preserve"> groundfish CDQ fishing</w:t>
      </w:r>
      <w:r w:rsidR="00843D28">
        <w:t>;</w:t>
      </w:r>
      <w:r w:rsidR="00B15BB6">
        <w:t xml:space="preserve"> </w:t>
      </w:r>
      <w:r w:rsidR="00621AB5">
        <w:t>2</w:t>
      </w:r>
      <w:r w:rsidR="00843D28">
        <w:t xml:space="preserve">) add </w:t>
      </w:r>
      <w:r w:rsidR="00145803">
        <w:t>fishery management and monitoring requirements for the small hook-and-line catcher vessels</w:t>
      </w:r>
      <w:r w:rsidR="00621AB5">
        <w:t xml:space="preserve"> to § 679.32(c); </w:t>
      </w:r>
      <w:r w:rsidR="002565EE">
        <w:t xml:space="preserve">and </w:t>
      </w:r>
      <w:r w:rsidR="00621AB5">
        <w:t xml:space="preserve">3) place catcher vessels </w:t>
      </w:r>
      <w:r w:rsidR="00621AB5" w:rsidRPr="00646AEF">
        <w:t xml:space="preserve">less than or equal to 46 ft LOA </w:t>
      </w:r>
      <w:r w:rsidR="00621AB5">
        <w:t>using hook-and-line gear into the partial observer coverage category</w:t>
      </w:r>
      <w:r w:rsidR="002565EE">
        <w:t xml:space="preserve"> wh</w:t>
      </w:r>
      <w:r w:rsidR="00856510">
        <w:t>en</w:t>
      </w:r>
      <w:r w:rsidR="002565EE">
        <w:t xml:space="preserve"> groundfish CDQ fishing.  In addition to these changes, the proposed rule would </w:t>
      </w:r>
      <w:r w:rsidR="00DD069A">
        <w:t>remove a</w:t>
      </w:r>
      <w:r w:rsidR="00A04BED">
        <w:t>n unnecessary</w:t>
      </w:r>
      <w:r w:rsidR="00DD069A">
        <w:t xml:space="preserve"> cross reference table for observer coverage from § 679.51(f). </w:t>
      </w:r>
      <w:r w:rsidR="006955BE">
        <w:t xml:space="preserve"> </w:t>
      </w:r>
    </w:p>
    <w:p w14:paraId="3DBA3770" w14:textId="19D9FC09" w:rsidR="00B15BB6" w:rsidRPr="00020362" w:rsidRDefault="00B15BB6" w:rsidP="00B15BB6">
      <w:pPr>
        <w:numPr>
          <w:ilvl w:val="12"/>
          <w:numId w:val="0"/>
        </w:numPr>
        <w:spacing w:line="480" w:lineRule="auto"/>
        <w:rPr>
          <w:i/>
        </w:rPr>
      </w:pPr>
      <w:r w:rsidRPr="00020362">
        <w:rPr>
          <w:i/>
        </w:rPr>
        <w:t xml:space="preserve">LLP </w:t>
      </w:r>
      <w:r>
        <w:rPr>
          <w:i/>
        </w:rPr>
        <w:t>E</w:t>
      </w:r>
      <w:r w:rsidRPr="00020362">
        <w:rPr>
          <w:i/>
        </w:rPr>
        <w:t>xemption</w:t>
      </w:r>
    </w:p>
    <w:p w14:paraId="2BED9942" w14:textId="1DB8C4A2" w:rsidR="00B15BB6" w:rsidRDefault="00B15BB6" w:rsidP="00B15BB6">
      <w:pPr>
        <w:numPr>
          <w:ilvl w:val="12"/>
          <w:numId w:val="0"/>
        </w:numPr>
        <w:spacing w:line="480" w:lineRule="auto"/>
        <w:ind w:firstLine="720"/>
      </w:pPr>
      <w:r>
        <w:t xml:space="preserve">The current LLP exemptions are codified at </w:t>
      </w:r>
      <w:r w:rsidRPr="00433615">
        <w:t>§</w:t>
      </w:r>
      <w:r>
        <w:t xml:space="preserve"> 679.4(k)(2). The proposed rule would add a new paragraph </w:t>
      </w:r>
      <w:r w:rsidR="002565EE">
        <w:t>(</w:t>
      </w:r>
      <w:r w:rsidR="00B1397F">
        <w:t>vi</w:t>
      </w:r>
      <w:r w:rsidR="002565EE">
        <w:t xml:space="preserve">) to </w:t>
      </w:r>
      <w:r w:rsidRPr="00433615">
        <w:t>§</w:t>
      </w:r>
      <w:r>
        <w:t xml:space="preserve"> 679.4(k)(2) to establish a new LLP exemption for </w:t>
      </w:r>
      <w:r w:rsidR="002565EE">
        <w:t xml:space="preserve">registered </w:t>
      </w:r>
      <w:r>
        <w:t>catcher v</w:t>
      </w:r>
      <w:r w:rsidRPr="004E7605">
        <w:t xml:space="preserve">essels greater than </w:t>
      </w:r>
      <w:r>
        <w:t xml:space="preserve">32 ft LOA </w:t>
      </w:r>
      <w:r w:rsidRPr="004E7605">
        <w:t xml:space="preserve">and less than or equal to </w:t>
      </w:r>
      <w:r>
        <w:t xml:space="preserve">46 ft LOA using hook-and-line gear </w:t>
      </w:r>
      <w:r w:rsidR="002565EE">
        <w:t>wh</w:t>
      </w:r>
      <w:r w:rsidR="00856510">
        <w:t>en</w:t>
      </w:r>
      <w:r>
        <w:t xml:space="preserve"> groundfish CDQ fishing. The operators of catcher vessels eligible for the LLP exemption </w:t>
      </w:r>
      <w:r w:rsidRPr="004E7605">
        <w:t xml:space="preserve">would </w:t>
      </w:r>
      <w:r>
        <w:t>not be required to obtain and carry an LLP license wh</w:t>
      </w:r>
      <w:r w:rsidR="00856510">
        <w:t>en</w:t>
      </w:r>
      <w:r>
        <w:t xml:space="preserve"> they are groundfish CDQ fishing if certain </w:t>
      </w:r>
      <w:r w:rsidR="002565EE">
        <w:t>vessel registration requirements</w:t>
      </w:r>
      <w:r>
        <w:t xml:space="preserve"> are met</w:t>
      </w:r>
      <w:r w:rsidR="00F47DF5">
        <w:t xml:space="preserve"> prior to groundfish CDQ fishing</w:t>
      </w:r>
      <w:r>
        <w:t xml:space="preserve">. </w:t>
      </w:r>
    </w:p>
    <w:p w14:paraId="350AEBF2" w14:textId="5FF83083" w:rsidR="002063A5" w:rsidRDefault="00B15BB6" w:rsidP="00B15BB6">
      <w:pPr>
        <w:numPr>
          <w:ilvl w:val="12"/>
          <w:numId w:val="0"/>
        </w:numPr>
        <w:spacing w:line="480" w:lineRule="auto"/>
        <w:ind w:firstLine="720"/>
      </w:pPr>
      <w:r>
        <w:t xml:space="preserve">The proposed rule would establish the requirements for the </w:t>
      </w:r>
      <w:r w:rsidR="00E11216">
        <w:t xml:space="preserve">NMFS </w:t>
      </w:r>
      <w:r w:rsidR="002063A5">
        <w:t xml:space="preserve">online </w:t>
      </w:r>
      <w:r>
        <w:t>CDQ vessel registration system</w:t>
      </w:r>
      <w:r w:rsidR="002565EE" w:rsidRPr="002565EE">
        <w:t xml:space="preserve"> </w:t>
      </w:r>
      <w:r w:rsidR="00E11216">
        <w:t xml:space="preserve">(“the </w:t>
      </w:r>
      <w:r w:rsidR="00C060C0">
        <w:t xml:space="preserve">CDQ </w:t>
      </w:r>
      <w:r w:rsidR="00E11216">
        <w:t xml:space="preserve">vessel registration system”) </w:t>
      </w:r>
      <w:r w:rsidR="002565EE">
        <w:t>at paragraph (m) of § 679.5</w:t>
      </w:r>
      <w:r>
        <w:t xml:space="preserve">. </w:t>
      </w:r>
      <w:r w:rsidRPr="00C13225">
        <w:t xml:space="preserve"> </w:t>
      </w:r>
      <w:r w:rsidR="00A04BED">
        <w:t>T</w:t>
      </w:r>
      <w:r w:rsidRPr="00C13225">
        <w:t xml:space="preserve">he CDQ group representative </w:t>
      </w:r>
      <w:r>
        <w:t xml:space="preserve">would be required to </w:t>
      </w:r>
      <w:r w:rsidRPr="00C13225">
        <w:t xml:space="preserve">register each </w:t>
      </w:r>
      <w:r w:rsidR="004C75EB">
        <w:t xml:space="preserve">eligible catcher </w:t>
      </w:r>
      <w:r w:rsidRPr="00C13225">
        <w:lastRenderedPageBreak/>
        <w:t xml:space="preserve">vessel </w:t>
      </w:r>
      <w:r w:rsidR="004C75EB">
        <w:t>for</w:t>
      </w:r>
      <w:r>
        <w:t xml:space="preserve"> </w:t>
      </w:r>
      <w:r w:rsidRPr="00C13225">
        <w:t>exempt</w:t>
      </w:r>
      <w:r w:rsidR="004C75EB">
        <w:t>ion</w:t>
      </w:r>
      <w:r w:rsidRPr="00C13225">
        <w:t xml:space="preserve"> from the LLP license requirements through the CDQ vessel registration system. </w:t>
      </w:r>
      <w:r w:rsidR="00F749C3" w:rsidRPr="00C13225">
        <w:t xml:space="preserve">The CDQ group representative </w:t>
      </w:r>
      <w:r w:rsidR="00F749C3">
        <w:t xml:space="preserve">would be required to </w:t>
      </w:r>
      <w:r w:rsidR="00F749C3" w:rsidRPr="00C13225">
        <w:t xml:space="preserve">log into the </w:t>
      </w:r>
      <w:r w:rsidR="00C060C0">
        <w:t xml:space="preserve">CDQ </w:t>
      </w:r>
      <w:r w:rsidR="00F749C3">
        <w:t xml:space="preserve">vessel registration </w:t>
      </w:r>
      <w:r w:rsidR="00F749C3" w:rsidRPr="00C13225">
        <w:t xml:space="preserve">system </w:t>
      </w:r>
      <w:r w:rsidR="00F749C3">
        <w:t xml:space="preserve">using the CDQ group’s existing NMFS ID and password </w:t>
      </w:r>
      <w:r w:rsidR="00F749C3" w:rsidRPr="00C13225">
        <w:t>and provide the information required on the computer screen.</w:t>
      </w:r>
      <w:r w:rsidR="002063A5">
        <w:t xml:space="preserve"> NMFS would add e</w:t>
      </w:r>
      <w:r w:rsidR="002063A5" w:rsidRPr="00C13225">
        <w:t xml:space="preserve">ach vessel successfully registered to the </w:t>
      </w:r>
      <w:r w:rsidR="002063A5">
        <w:t xml:space="preserve">CDQ </w:t>
      </w:r>
      <w:r w:rsidR="002063A5" w:rsidRPr="00C13225">
        <w:t>vessel registration list</w:t>
      </w:r>
      <w:r w:rsidR="002063A5">
        <w:t xml:space="preserve"> </w:t>
      </w:r>
      <w:r w:rsidR="002063A5" w:rsidRPr="00C13225">
        <w:t xml:space="preserve">on the NMFS Alaska Region Web site at </w:t>
      </w:r>
      <w:hyperlink r:id="rId11" w:history="1">
        <w:r w:rsidR="002063A5" w:rsidRPr="00284CEB">
          <w:rPr>
            <w:rStyle w:val="Hyperlink"/>
            <w:i/>
            <w:u w:val="none"/>
          </w:rPr>
          <w:t>http://alaskafisheries.noaa.gov</w:t>
        </w:r>
      </w:hyperlink>
      <w:r w:rsidR="002063A5" w:rsidRPr="00C13225">
        <w:t>.</w:t>
      </w:r>
      <w:r w:rsidR="002063A5">
        <w:t xml:space="preserve"> </w:t>
      </w:r>
    </w:p>
    <w:p w14:paraId="551D3D16" w14:textId="2B0A6744" w:rsidR="00B15BB6" w:rsidRDefault="00B15BB6" w:rsidP="00B15BB6">
      <w:pPr>
        <w:numPr>
          <w:ilvl w:val="12"/>
          <w:numId w:val="0"/>
        </w:numPr>
        <w:spacing w:line="480" w:lineRule="auto"/>
        <w:ind w:firstLine="720"/>
      </w:pPr>
      <w:r>
        <w:t xml:space="preserve">The CDQ group representative could add </w:t>
      </w:r>
      <w:r w:rsidR="004C75EB">
        <w:t xml:space="preserve">eligible catcher </w:t>
      </w:r>
      <w:r>
        <w:t xml:space="preserve">vessels to the CDQ vessel registration </w:t>
      </w:r>
      <w:r w:rsidR="00A86FA3">
        <w:t xml:space="preserve">list </w:t>
      </w:r>
      <w:r>
        <w:t xml:space="preserve">at any time during the </w:t>
      </w:r>
      <w:r w:rsidR="00A86FA3">
        <w:t xml:space="preserve">groundfish fishing </w:t>
      </w:r>
      <w:r>
        <w:t>year</w:t>
      </w:r>
      <w:r w:rsidR="00A86FA3">
        <w:t xml:space="preserve"> (January 1 to December 31)</w:t>
      </w:r>
      <w:r w:rsidR="009F6602">
        <w:t xml:space="preserve">; </w:t>
      </w:r>
      <w:r>
        <w:t>there would be no deadline for vessel registration with NMFS</w:t>
      </w:r>
      <w:r w:rsidR="004C75EB">
        <w:t xml:space="preserve">. Because registered vessels would be required to have </w:t>
      </w:r>
      <w:r>
        <w:t xml:space="preserve">a </w:t>
      </w:r>
      <w:r w:rsidR="00360A17">
        <w:t xml:space="preserve">legible </w:t>
      </w:r>
      <w:r>
        <w:t>copy of the LLP exemption letter described below on board the vessel before the vessel operator starts groundfish CDQ fishing</w:t>
      </w:r>
      <w:r w:rsidR="004C75EB">
        <w:t>, the CDQ group representative and the vessel operator would have to allow for sufficient time to complete the registration process</w:t>
      </w:r>
      <w:r w:rsidR="00A86FA3">
        <w:t xml:space="preserve"> prior to the start of groundfish CDQ fishing by the vessel</w:t>
      </w:r>
      <w:r>
        <w:t xml:space="preserve">.    </w:t>
      </w:r>
    </w:p>
    <w:p w14:paraId="66F8FE98" w14:textId="5BD43E12" w:rsidR="00612722" w:rsidRDefault="009E2AB1" w:rsidP="00612722">
      <w:pPr>
        <w:numPr>
          <w:ilvl w:val="12"/>
          <w:numId w:val="0"/>
        </w:numPr>
        <w:spacing w:line="480" w:lineRule="auto"/>
        <w:ind w:firstLine="720"/>
      </w:pPr>
      <w:r>
        <w:t>With each successful registration, t</w:t>
      </w:r>
      <w:r w:rsidR="00B15BB6">
        <w:t>he CDQ vessel registration system would</w:t>
      </w:r>
      <w:r w:rsidR="00B15BB6" w:rsidRPr="00C13225">
        <w:t xml:space="preserve"> provide </w:t>
      </w:r>
      <w:r w:rsidR="00D92B23">
        <w:t xml:space="preserve">the CDQ </w:t>
      </w:r>
      <w:r>
        <w:t xml:space="preserve">group </w:t>
      </w:r>
      <w:r w:rsidR="00D92B23">
        <w:t xml:space="preserve">representative with </w:t>
      </w:r>
      <w:r w:rsidR="00B15BB6" w:rsidRPr="00C13225">
        <w:t xml:space="preserve">an LLP exemption letter documenting that the vessel is eligible for </w:t>
      </w:r>
      <w:r w:rsidR="00B15BB6">
        <w:t xml:space="preserve">the LLP </w:t>
      </w:r>
      <w:r w:rsidR="00B15BB6" w:rsidRPr="00C13225">
        <w:t xml:space="preserve">exemption </w:t>
      </w:r>
      <w:r w:rsidR="00B15BB6">
        <w:t>wh</w:t>
      </w:r>
      <w:r w:rsidR="00856510">
        <w:t>en</w:t>
      </w:r>
      <w:r w:rsidR="00B15BB6">
        <w:t xml:space="preserve"> </w:t>
      </w:r>
      <w:r w:rsidR="00B15BB6" w:rsidRPr="00C13225">
        <w:t xml:space="preserve">groundfish CDQ fishing. </w:t>
      </w:r>
      <w:r w:rsidR="00D92B23" w:rsidRPr="00C13225">
        <w:t xml:space="preserve">The CDQ group representative </w:t>
      </w:r>
      <w:r w:rsidR="00D92B23">
        <w:t xml:space="preserve">would be </w:t>
      </w:r>
      <w:r w:rsidR="00D92B23" w:rsidRPr="00C13225">
        <w:t xml:space="preserve">responsible </w:t>
      </w:r>
      <w:r>
        <w:t>for</w:t>
      </w:r>
      <w:r w:rsidR="00D92B23" w:rsidRPr="00C13225">
        <w:t xml:space="preserve"> provid</w:t>
      </w:r>
      <w:r>
        <w:t>ing</w:t>
      </w:r>
      <w:r w:rsidR="00D92B23" w:rsidRPr="00C13225">
        <w:t xml:space="preserve"> a copy of the LLP exemption letter to </w:t>
      </w:r>
      <w:r w:rsidR="00D92B23">
        <w:t xml:space="preserve">the vessel operator. </w:t>
      </w:r>
      <w:r w:rsidR="00612722">
        <w:t>The vessel operator would be required to maintain a</w:t>
      </w:r>
      <w:r w:rsidR="00612722" w:rsidRPr="00C13225">
        <w:t xml:space="preserve"> legible copy of the </w:t>
      </w:r>
      <w:r w:rsidR="00612722" w:rsidRPr="00463CA5">
        <w:t>LLP exemption letter</w:t>
      </w:r>
      <w:r w:rsidR="00612722" w:rsidRPr="00C13225">
        <w:t xml:space="preserve"> on board </w:t>
      </w:r>
      <w:r w:rsidR="00612722">
        <w:t xml:space="preserve">the named </w:t>
      </w:r>
      <w:r w:rsidR="00612722" w:rsidRPr="00C13225">
        <w:t>vessel at all times wh</w:t>
      </w:r>
      <w:r w:rsidR="00856510">
        <w:t>en</w:t>
      </w:r>
      <w:r w:rsidR="00612722" w:rsidRPr="00C13225">
        <w:t xml:space="preserve"> that vessel is groundfish CDQ fishing. </w:t>
      </w:r>
      <w:r w:rsidR="00612722">
        <w:t>NMFS would not provide the LLP exemption letter directly to vessel operators.</w:t>
      </w:r>
    </w:p>
    <w:p w14:paraId="7BA44C50" w14:textId="068B3008" w:rsidR="00612722" w:rsidRDefault="00612722" w:rsidP="00612722">
      <w:pPr>
        <w:numPr>
          <w:ilvl w:val="12"/>
          <w:numId w:val="0"/>
        </w:numPr>
        <w:spacing w:line="480" w:lineRule="auto"/>
        <w:ind w:firstLine="720"/>
      </w:pPr>
      <w:r>
        <w:lastRenderedPageBreak/>
        <w:t xml:space="preserve">The LLP exemption letter also would provide printable confirmation to the CDQ group </w:t>
      </w:r>
      <w:r w:rsidRPr="00C13225">
        <w:t xml:space="preserve">of a successfully completed vessel registration. </w:t>
      </w:r>
      <w:r>
        <w:t xml:space="preserve">Once registered, a vessel would remain on the </w:t>
      </w:r>
      <w:r w:rsidR="00F50CA0">
        <w:t xml:space="preserve">CDQ </w:t>
      </w:r>
      <w:r>
        <w:t xml:space="preserve">vessel registration list until removed by a CDQ group. The proposed rule does not include a requirement that the CDQ groups re-register vessels annually. </w:t>
      </w:r>
      <w:r w:rsidRPr="00C13225">
        <w:t xml:space="preserve">  </w:t>
      </w:r>
    </w:p>
    <w:p w14:paraId="4D66DB4B" w14:textId="742167DE" w:rsidR="00B20C3A" w:rsidRDefault="00B20C3A" w:rsidP="00C060C0">
      <w:pPr>
        <w:numPr>
          <w:ilvl w:val="12"/>
          <w:numId w:val="0"/>
        </w:numPr>
        <w:spacing w:line="480" w:lineRule="auto"/>
        <w:ind w:firstLine="720"/>
      </w:pPr>
      <w:r w:rsidRPr="00C13225">
        <w:t xml:space="preserve">A CDQ group representative </w:t>
      </w:r>
      <w:r w:rsidR="00D92B23">
        <w:t>w</w:t>
      </w:r>
      <w:r>
        <w:t xml:space="preserve">ould </w:t>
      </w:r>
      <w:r w:rsidR="009C52FA">
        <w:t xml:space="preserve">have the ability to </w:t>
      </w:r>
      <w:r w:rsidRPr="00C13225">
        <w:t xml:space="preserve">remove a vessel from the </w:t>
      </w:r>
      <w:r w:rsidR="00C060C0">
        <w:t xml:space="preserve">CDQ </w:t>
      </w:r>
      <w:r w:rsidR="00D92B23">
        <w:t xml:space="preserve">vessel registration list </w:t>
      </w:r>
      <w:r w:rsidRPr="00C13225">
        <w:t xml:space="preserve">at any time by logging into the </w:t>
      </w:r>
      <w:r w:rsidR="00C060C0">
        <w:t xml:space="preserve">CDQ </w:t>
      </w:r>
      <w:r w:rsidR="00E11216">
        <w:t>vessel</w:t>
      </w:r>
      <w:r w:rsidR="00D92B23">
        <w:t xml:space="preserve"> registration</w:t>
      </w:r>
      <w:r w:rsidRPr="00C13225">
        <w:t xml:space="preserve"> system and following the applicable instructions. </w:t>
      </w:r>
      <w:r w:rsidR="00D92B23">
        <w:t xml:space="preserve">In removing a vessel from the </w:t>
      </w:r>
      <w:r w:rsidR="009E2AB1">
        <w:t xml:space="preserve">CDQ </w:t>
      </w:r>
      <w:r w:rsidR="00D92B23">
        <w:t xml:space="preserve">vessel registration list, the CDQ group representative would </w:t>
      </w:r>
      <w:r w:rsidR="004F33D2">
        <w:t xml:space="preserve">be required </w:t>
      </w:r>
      <w:r w:rsidR="00D92B23">
        <w:t xml:space="preserve">to certify </w:t>
      </w:r>
      <w:r w:rsidR="00E11216">
        <w:t xml:space="preserve">1) </w:t>
      </w:r>
      <w:r w:rsidR="00D92B23">
        <w:t>that the vessel operator had been given notice by the CDQ group that the vessel was going to be removed from the list</w:t>
      </w:r>
      <w:r w:rsidR="00E11216">
        <w:t>,</w:t>
      </w:r>
      <w:r w:rsidR="00D92B23">
        <w:t xml:space="preserve"> and </w:t>
      </w:r>
      <w:r w:rsidR="00E11216">
        <w:t xml:space="preserve">2) </w:t>
      </w:r>
      <w:r w:rsidR="00D92B23">
        <w:t xml:space="preserve">that the vessel </w:t>
      </w:r>
      <w:r w:rsidR="00823D1F">
        <w:t xml:space="preserve">operator </w:t>
      </w:r>
      <w:r w:rsidR="00D92B23">
        <w:t xml:space="preserve">was not groundfish CDQ fishing at the time of removal. </w:t>
      </w:r>
      <w:r w:rsidR="00817C20" w:rsidRPr="00C13225">
        <w:t xml:space="preserve">The </w:t>
      </w:r>
      <w:r w:rsidR="00C060C0">
        <w:t xml:space="preserve">CDQ </w:t>
      </w:r>
      <w:r w:rsidR="00817C20">
        <w:t xml:space="preserve">vessel registration </w:t>
      </w:r>
      <w:r w:rsidR="00817C20" w:rsidRPr="00C13225">
        <w:t xml:space="preserve">system </w:t>
      </w:r>
      <w:r w:rsidR="00817C20">
        <w:t xml:space="preserve">would </w:t>
      </w:r>
      <w:r w:rsidR="00817C20" w:rsidRPr="00C13225">
        <w:t xml:space="preserve">provide </w:t>
      </w:r>
      <w:r w:rsidR="00817C20">
        <w:t xml:space="preserve">a </w:t>
      </w:r>
      <w:r w:rsidR="00817C20" w:rsidRPr="00C13225">
        <w:t xml:space="preserve">printable confirmation </w:t>
      </w:r>
      <w:r w:rsidR="00817C20">
        <w:t xml:space="preserve">that a vessel had been removed from the </w:t>
      </w:r>
      <w:r w:rsidR="00C060C0">
        <w:t xml:space="preserve">CDQ </w:t>
      </w:r>
      <w:r w:rsidR="002063A5">
        <w:t>vessel registration list.</w:t>
      </w:r>
      <w:r w:rsidR="00817C20" w:rsidRPr="00C13225">
        <w:t xml:space="preserve"> </w:t>
      </w:r>
      <w:r w:rsidRPr="00C13225">
        <w:t xml:space="preserve">Once a vessel is removed from the </w:t>
      </w:r>
      <w:r w:rsidR="00C060C0">
        <w:t xml:space="preserve">CDQ </w:t>
      </w:r>
      <w:r w:rsidRPr="00C13225">
        <w:t xml:space="preserve">vessel registration list, that vessel </w:t>
      </w:r>
      <w:r>
        <w:t xml:space="preserve">would </w:t>
      </w:r>
      <w:r w:rsidRPr="00C13225">
        <w:t xml:space="preserve">no longer </w:t>
      </w:r>
      <w:r>
        <w:t xml:space="preserve">be </w:t>
      </w:r>
      <w:r w:rsidRPr="00C13225">
        <w:t>exempt from the LL</w:t>
      </w:r>
      <w:r>
        <w:t>P requirements</w:t>
      </w:r>
      <w:r w:rsidR="00D92B23">
        <w:t>, even if the operator was still in possession of the LLP exemption letter</w:t>
      </w:r>
      <w:r>
        <w:t xml:space="preserve">. </w:t>
      </w:r>
      <w:r w:rsidR="009E2AB1">
        <w:t>T</w:t>
      </w:r>
      <w:r w:rsidR="00D92B23">
        <w:t>he proposed rule</w:t>
      </w:r>
      <w:r w:rsidR="009E2AB1">
        <w:t xml:space="preserve"> </w:t>
      </w:r>
      <w:r w:rsidRPr="00463CA5">
        <w:t xml:space="preserve">would not require </w:t>
      </w:r>
      <w:r w:rsidR="00D92B23">
        <w:t xml:space="preserve">a </w:t>
      </w:r>
      <w:r w:rsidRPr="00463CA5">
        <w:t xml:space="preserve">CDQ group representative </w:t>
      </w:r>
      <w:r w:rsidR="00D92B23">
        <w:t xml:space="preserve">to </w:t>
      </w:r>
      <w:r w:rsidRPr="00463CA5">
        <w:t>remove registered vessels wh</w:t>
      </w:r>
      <w:r w:rsidR="00856510">
        <w:t>en</w:t>
      </w:r>
      <w:r w:rsidRPr="00463CA5">
        <w:t xml:space="preserve"> they are participating in a non-CDQ fishery.</w:t>
      </w:r>
      <w:r>
        <w:t xml:space="preserve">  </w:t>
      </w:r>
    </w:p>
    <w:p w14:paraId="3A4346E1" w14:textId="122AB9D2" w:rsidR="00B15BB6" w:rsidRDefault="001250AB" w:rsidP="00C060C0">
      <w:pPr>
        <w:numPr>
          <w:ilvl w:val="12"/>
          <w:numId w:val="0"/>
        </w:numPr>
        <w:spacing w:line="480" w:lineRule="auto"/>
        <w:ind w:firstLine="720"/>
      </w:pPr>
      <w:r>
        <w:t>In order to receive the exemption from the LLP license requirements, b</w:t>
      </w:r>
      <w:r w:rsidR="00B15BB6">
        <w:t xml:space="preserve">oth active registration </w:t>
      </w:r>
      <w:r w:rsidR="009E2AB1">
        <w:t>through</w:t>
      </w:r>
      <w:r w:rsidR="00B15BB6">
        <w:t xml:space="preserve"> the CDQ vessel registration system and a </w:t>
      </w:r>
      <w:r w:rsidR="00360A17">
        <w:t xml:space="preserve">legible </w:t>
      </w:r>
      <w:r w:rsidR="00B15BB6">
        <w:t xml:space="preserve">copy of the LLP exemption letter on board the vessel </w:t>
      </w:r>
      <w:r>
        <w:t>would be</w:t>
      </w:r>
      <w:r w:rsidR="00360A17">
        <w:t xml:space="preserve"> </w:t>
      </w:r>
      <w:r w:rsidR="00B15BB6">
        <w:t xml:space="preserve">required. To further clarify the vessel operator’s responsibility, the proposed rule would add a new prohibition at § 679.7(d)(8) to prohibit the operator of a vessel eligible for the LLP exemption from </w:t>
      </w:r>
      <w:r w:rsidR="00B15BB6" w:rsidRPr="00AD5AE1">
        <w:t>conduct</w:t>
      </w:r>
      <w:r w:rsidR="00B15BB6">
        <w:t>ing</w:t>
      </w:r>
      <w:r w:rsidR="00B15BB6" w:rsidRPr="00AD5AE1">
        <w:t xml:space="preserve"> groundfish CDQ fishing without </w:t>
      </w:r>
      <w:r w:rsidR="00AA03E8">
        <w:t xml:space="preserve">having </w:t>
      </w:r>
      <w:r w:rsidR="00B15BB6" w:rsidRPr="00AD5AE1">
        <w:t xml:space="preserve">a legible copy of the LLP exemption letter issued </w:t>
      </w:r>
      <w:r w:rsidR="00B15BB6" w:rsidRPr="00AD5AE1">
        <w:lastRenderedPageBreak/>
        <w:t>to a CDQ group for that vessel</w:t>
      </w:r>
      <w:r w:rsidR="00AA03E8">
        <w:t xml:space="preserve"> on board the vessel</w:t>
      </w:r>
      <w:r w:rsidR="00B15BB6">
        <w:t>.</w:t>
      </w:r>
      <w:r w:rsidR="009E7373">
        <w:t xml:space="preserve"> In addition, the proposed rule would add a new prohibition at § 679.7(d)(9) to prohibit a CDQ group representative from removing a vessel from the CDQ vessel registration list without first providing notice to the operator of the registered vessel that the vessel is being removed from the </w:t>
      </w:r>
      <w:r w:rsidR="00F50CA0">
        <w:t xml:space="preserve">CDQ </w:t>
      </w:r>
      <w:r w:rsidR="009E7373">
        <w:t>vessel registration list, or wh</w:t>
      </w:r>
      <w:r w:rsidR="00856510">
        <w:t>en</w:t>
      </w:r>
      <w:r w:rsidR="009E7373">
        <w:t xml:space="preserve"> the vessel is groundfish CDQ fishing.</w:t>
      </w:r>
    </w:p>
    <w:p w14:paraId="33C8E0A5" w14:textId="77777777" w:rsidR="00B15BB6" w:rsidRPr="00020362" w:rsidRDefault="00B15BB6" w:rsidP="00B15BB6">
      <w:pPr>
        <w:numPr>
          <w:ilvl w:val="12"/>
          <w:numId w:val="0"/>
        </w:numPr>
        <w:spacing w:line="480" w:lineRule="auto"/>
        <w:rPr>
          <w:i/>
        </w:rPr>
      </w:pPr>
      <w:r w:rsidRPr="00463CA5">
        <w:rPr>
          <w:i/>
        </w:rPr>
        <w:t>Catch Accounting and Fishery Monitoring Requirements</w:t>
      </w:r>
    </w:p>
    <w:p w14:paraId="7DF2C791" w14:textId="741C40B5" w:rsidR="00C01C10" w:rsidRDefault="00B15BB6" w:rsidP="00BA4FF9">
      <w:pPr>
        <w:numPr>
          <w:ilvl w:val="12"/>
          <w:numId w:val="0"/>
        </w:numPr>
        <w:spacing w:line="480" w:lineRule="auto"/>
        <w:ind w:firstLine="720"/>
      </w:pPr>
      <w:r>
        <w:t>The proposed rule would create a new paragraph (c)(3)</w:t>
      </w:r>
      <w:r w:rsidR="00621AB5">
        <w:t>(iii)</w:t>
      </w:r>
      <w:r>
        <w:t xml:space="preserve"> </w:t>
      </w:r>
      <w:r w:rsidR="002577D6">
        <w:t xml:space="preserve">in § 679.32 </w:t>
      </w:r>
      <w:r>
        <w:t xml:space="preserve">for the </w:t>
      </w:r>
      <w:r w:rsidR="002577D6">
        <w:t xml:space="preserve">catch accounting and fishery monitoring </w:t>
      </w:r>
      <w:r>
        <w:t xml:space="preserve">requirements that would apply to </w:t>
      </w:r>
      <w:r>
        <w:rPr>
          <w:bCs/>
        </w:rPr>
        <w:t xml:space="preserve">catcher vessels less than or equal to 46 ft </w:t>
      </w:r>
      <w:r w:rsidR="00C23653">
        <w:rPr>
          <w:bCs/>
        </w:rPr>
        <w:t>LOA</w:t>
      </w:r>
      <w:r>
        <w:rPr>
          <w:bCs/>
        </w:rPr>
        <w:t xml:space="preserve"> using hook-and-line gear wh</w:t>
      </w:r>
      <w:r w:rsidR="00856510">
        <w:rPr>
          <w:bCs/>
        </w:rPr>
        <w:t>en</w:t>
      </w:r>
      <w:r>
        <w:rPr>
          <w:bCs/>
        </w:rPr>
        <w:t xml:space="preserve"> groundfish CDQ fishing</w:t>
      </w:r>
      <w:r w:rsidR="007D63C6">
        <w:rPr>
          <w:bCs/>
        </w:rPr>
        <w:t xml:space="preserve"> and to the CDQ groups authorizing these vessels</w:t>
      </w:r>
      <w:r w:rsidR="006858F9">
        <w:rPr>
          <w:bCs/>
        </w:rPr>
        <w:t xml:space="preserve">. </w:t>
      </w:r>
      <w:r w:rsidR="00621AB5" w:rsidRPr="000E0079">
        <w:rPr>
          <w:bCs/>
        </w:rPr>
        <w:t xml:space="preserve">Current regulations </w:t>
      </w:r>
      <w:r w:rsidR="000C3AC6" w:rsidRPr="000E0079">
        <w:rPr>
          <w:bCs/>
        </w:rPr>
        <w:t>at</w:t>
      </w:r>
      <w:r w:rsidR="00621AB5">
        <w:rPr>
          <w:bCs/>
        </w:rPr>
        <w:t xml:space="preserve"> § 679.32(c)</w:t>
      </w:r>
      <w:r w:rsidR="000C3AC6">
        <w:rPr>
          <w:bCs/>
        </w:rPr>
        <w:t>(3)</w:t>
      </w:r>
      <w:r w:rsidR="00621AB5">
        <w:rPr>
          <w:bCs/>
        </w:rPr>
        <w:t>(i)(D) and (c)</w:t>
      </w:r>
      <w:r w:rsidR="007260C1">
        <w:rPr>
          <w:bCs/>
        </w:rPr>
        <w:t>(3)</w:t>
      </w:r>
      <w:r w:rsidR="00621AB5">
        <w:rPr>
          <w:bCs/>
        </w:rPr>
        <w:t xml:space="preserve">(ii)(D) would continue to apply to </w:t>
      </w:r>
      <w:r w:rsidR="00621AB5">
        <w:t>catcher vessels greater than 46 ft LOA using hook-and-line gear wh</w:t>
      </w:r>
      <w:r w:rsidR="00856510">
        <w:t>en</w:t>
      </w:r>
      <w:r w:rsidR="00621AB5">
        <w:t xml:space="preserve"> groundfish CDQ fishing</w:t>
      </w:r>
      <w:r w:rsidR="00F30847">
        <w:t>.</w:t>
      </w:r>
      <w:r w:rsidR="00621AB5">
        <w:t xml:space="preserve"> </w:t>
      </w:r>
      <w:r w:rsidR="00621AB5">
        <w:rPr>
          <w:bCs/>
        </w:rPr>
        <w:t xml:space="preserve"> </w:t>
      </w:r>
      <w:r w:rsidR="004A54CC" w:rsidRPr="004873D5">
        <w:t xml:space="preserve"> </w:t>
      </w:r>
      <w:r w:rsidR="004A54CC">
        <w:t xml:space="preserve"> </w:t>
      </w:r>
    </w:p>
    <w:p w14:paraId="7EFE3875" w14:textId="0EB7745A" w:rsidR="004A54CC" w:rsidRDefault="00621AB5" w:rsidP="00D26CAE">
      <w:pPr>
        <w:numPr>
          <w:ilvl w:val="12"/>
          <w:numId w:val="0"/>
        </w:numPr>
        <w:spacing w:line="480" w:lineRule="auto"/>
        <w:ind w:firstLine="720"/>
      </w:pPr>
      <w:r w:rsidRPr="004873D5">
        <w:t xml:space="preserve">The </w:t>
      </w:r>
      <w:r w:rsidR="00D26CAE">
        <w:t xml:space="preserve">proposed rule would </w:t>
      </w:r>
      <w:r w:rsidRPr="004873D5">
        <w:t xml:space="preserve">establish catch accounting procedures that provide CDQ groups and vessel operators with the opportunity </w:t>
      </w:r>
      <w:r w:rsidR="009F6602">
        <w:t xml:space="preserve">to </w:t>
      </w:r>
      <w:r>
        <w:t xml:space="preserve">retain halibut CDQ or </w:t>
      </w:r>
      <w:r w:rsidR="00530946">
        <w:t xml:space="preserve">halibut </w:t>
      </w:r>
      <w:r>
        <w:t>IFQ when groundfish CDQ fishing</w:t>
      </w:r>
      <w:r w:rsidRPr="004873D5">
        <w:t>.</w:t>
      </w:r>
      <w:r w:rsidR="004F33D2">
        <w:t xml:space="preserve"> </w:t>
      </w:r>
      <w:r w:rsidR="004F33D2" w:rsidRPr="007F409C">
        <w:t xml:space="preserve">If the vessel operator is relying on halibut CDQ </w:t>
      </w:r>
      <w:r w:rsidR="004F33D2">
        <w:t xml:space="preserve">from a CDQ group </w:t>
      </w:r>
      <w:r w:rsidR="004F33D2" w:rsidRPr="007F409C">
        <w:t xml:space="preserve">to support the retained catch of legal-size halibut </w:t>
      </w:r>
      <w:r w:rsidR="004F33D2">
        <w:t xml:space="preserve">during </w:t>
      </w:r>
      <w:r w:rsidR="004F33D2" w:rsidRPr="007F409C">
        <w:t xml:space="preserve">a fishing trip, the CDQ group </w:t>
      </w:r>
      <w:r w:rsidR="004F33D2">
        <w:t xml:space="preserve">would be required to </w:t>
      </w:r>
      <w:r w:rsidR="004F33D2" w:rsidRPr="007F409C">
        <w:t>provide adequate halibut CDQ to this vessel operator to account for all the legal-size halibut caught by the vessel during the entire fishing trip</w:t>
      </w:r>
      <w:r w:rsidR="004F33D2">
        <w:t xml:space="preserve">. </w:t>
      </w:r>
      <w:r w:rsidR="00530946">
        <w:t xml:space="preserve">A </w:t>
      </w:r>
      <w:r w:rsidR="004A54CC" w:rsidRPr="004873D5">
        <w:t xml:space="preserve">CDQ group’s halibut </w:t>
      </w:r>
      <w:r w:rsidR="004A54CC">
        <w:t>PSQ</w:t>
      </w:r>
      <w:r w:rsidR="004A54CC" w:rsidRPr="004873D5">
        <w:t xml:space="preserve"> </w:t>
      </w:r>
      <w:r w:rsidR="00530946">
        <w:t xml:space="preserve">would not be reduced </w:t>
      </w:r>
      <w:r w:rsidR="004A54CC" w:rsidRPr="004873D5">
        <w:t>if ha</w:t>
      </w:r>
      <w:r w:rsidR="00C557D2">
        <w:t>libut is present in the landing</w:t>
      </w:r>
      <w:r w:rsidR="006858F9">
        <w:t xml:space="preserve">. </w:t>
      </w:r>
      <w:r w:rsidR="004F33D2">
        <w:t>L</w:t>
      </w:r>
      <w:r w:rsidR="004A54CC" w:rsidRPr="004873D5">
        <w:t>anded halibut CDQ or halibut IFQ would accrue to the account balance of the permit holder identified by the processor in the landing report based on the permits held by the vessel operator or persons on</w:t>
      </w:r>
      <w:r w:rsidR="004A54CC">
        <w:t xml:space="preserve"> </w:t>
      </w:r>
      <w:r w:rsidR="004A54CC" w:rsidRPr="004873D5">
        <w:t xml:space="preserve">board the vessel. </w:t>
      </w:r>
    </w:p>
    <w:p w14:paraId="71D2C988" w14:textId="4A9E2420" w:rsidR="004A54CC" w:rsidRDefault="00621AB5" w:rsidP="00BA4FF9">
      <w:pPr>
        <w:numPr>
          <w:ilvl w:val="12"/>
          <w:numId w:val="0"/>
        </w:numPr>
        <w:spacing w:line="480" w:lineRule="auto"/>
        <w:ind w:firstLine="720"/>
      </w:pPr>
      <w:r>
        <w:lastRenderedPageBreak/>
        <w:t>T</w:t>
      </w:r>
      <w:r w:rsidR="004A54CC">
        <w:t xml:space="preserve">he operator of a hook-and-line catcher vessel less than or equal to 46 ft </w:t>
      </w:r>
      <w:r w:rsidR="00CB2C72">
        <w:t>LOA</w:t>
      </w:r>
      <w:r w:rsidR="004A54CC">
        <w:t xml:space="preserve"> who </w:t>
      </w:r>
      <w:r w:rsidR="004A54CC" w:rsidRPr="004873D5">
        <w:t xml:space="preserve">retains any halibut CDQ or </w:t>
      </w:r>
      <w:r w:rsidR="00D21A0F">
        <w:t xml:space="preserve">halibut </w:t>
      </w:r>
      <w:r w:rsidR="004A54CC" w:rsidRPr="004873D5">
        <w:t xml:space="preserve">IFQ during the groundfish CDQ fishing trip </w:t>
      </w:r>
      <w:r>
        <w:t xml:space="preserve">would be required </w:t>
      </w:r>
      <w:r w:rsidR="004A54CC" w:rsidRPr="004873D5">
        <w:t xml:space="preserve">to retain all </w:t>
      </w:r>
      <w:r w:rsidR="004A54CC" w:rsidRPr="00310A03">
        <w:t xml:space="preserve">legal-size </w:t>
      </w:r>
      <w:r w:rsidR="004A54CC" w:rsidRPr="004873D5">
        <w:t>halibut caught during that fishing trip</w:t>
      </w:r>
      <w:r w:rsidR="006858F9">
        <w:t xml:space="preserve">. </w:t>
      </w:r>
      <w:r w:rsidR="004A54CC" w:rsidRPr="004873D5">
        <w:t>Th</w:t>
      </w:r>
      <w:r w:rsidR="00530946">
        <w:t>e Council and NMFS determined that th</w:t>
      </w:r>
      <w:r w:rsidR="004A54CC" w:rsidRPr="004873D5">
        <w:t xml:space="preserve">is regulatory provision is necessary </w:t>
      </w:r>
      <w:r w:rsidR="004A54CC" w:rsidRPr="004873D5">
        <w:rPr>
          <w:bCs/>
        </w:rPr>
        <w:t>to ensure proper accounting for halibut</w:t>
      </w:r>
      <w:r w:rsidR="004A54CC">
        <w:rPr>
          <w:bCs/>
        </w:rPr>
        <w:t xml:space="preserve"> and</w:t>
      </w:r>
      <w:r w:rsidR="004A54CC" w:rsidRPr="004873D5">
        <w:rPr>
          <w:bCs/>
        </w:rPr>
        <w:t xml:space="preserve"> </w:t>
      </w:r>
      <w:r w:rsidR="004A54CC" w:rsidRPr="004873D5">
        <w:t>to reduce halibut discards</w:t>
      </w:r>
      <w:r w:rsidR="004A54CC">
        <w:t xml:space="preserve"> </w:t>
      </w:r>
      <w:r w:rsidR="004A54CC" w:rsidRPr="004873D5">
        <w:t xml:space="preserve">in the </w:t>
      </w:r>
      <w:r w:rsidR="004A54CC" w:rsidRPr="00A86A5C">
        <w:t>small vessel groundfish CDQ fishery</w:t>
      </w:r>
      <w:r w:rsidR="004A54CC" w:rsidRPr="004873D5">
        <w:t xml:space="preserve">. </w:t>
      </w:r>
      <w:r w:rsidR="00530946">
        <w:t xml:space="preserve">In this situation, </w:t>
      </w:r>
      <w:r w:rsidR="004A54CC" w:rsidRPr="004873D5">
        <w:t xml:space="preserve">NMFS would assume that </w:t>
      </w:r>
      <w:r w:rsidR="00530946">
        <w:t xml:space="preserve">the vessel operator retained </w:t>
      </w:r>
      <w:r w:rsidR="004A54CC" w:rsidRPr="004873D5">
        <w:t>all legal</w:t>
      </w:r>
      <w:r w:rsidR="004A54CC">
        <w:t>-</w:t>
      </w:r>
      <w:r w:rsidR="004A54CC" w:rsidRPr="004873D5">
        <w:t xml:space="preserve">size halibut </w:t>
      </w:r>
      <w:r w:rsidR="00530946">
        <w:t>and that</w:t>
      </w:r>
      <w:r w:rsidR="004A54CC" w:rsidRPr="004873D5">
        <w:t xml:space="preserve"> the only halibut released from the fishing gear would be sub-legal</w:t>
      </w:r>
      <w:r w:rsidR="004A54CC">
        <w:t>-</w:t>
      </w:r>
      <w:r w:rsidR="004A54CC" w:rsidRPr="004873D5">
        <w:t xml:space="preserve">size halibut. </w:t>
      </w:r>
      <w:r w:rsidR="00530946">
        <w:t>NMFS would continue to account for s</w:t>
      </w:r>
      <w:r w:rsidR="004A54CC" w:rsidRPr="004873D5">
        <w:t>ub-legal</w:t>
      </w:r>
      <w:r w:rsidR="004A54CC">
        <w:t>-size</w:t>
      </w:r>
      <w:r w:rsidR="004A54CC" w:rsidRPr="004873D5">
        <w:t xml:space="preserve"> halibut as wastage associated with the halibut fishery and </w:t>
      </w:r>
      <w:r w:rsidR="00B42A24">
        <w:t xml:space="preserve">it </w:t>
      </w:r>
      <w:r w:rsidR="00530946">
        <w:t xml:space="preserve">would </w:t>
      </w:r>
      <w:r w:rsidR="004A54CC" w:rsidRPr="004873D5">
        <w:t xml:space="preserve">not accrue to any halibut PSC limit. </w:t>
      </w:r>
      <w:r w:rsidR="00530946">
        <w:t>Under the proposed rule, a</w:t>
      </w:r>
      <w:r w:rsidR="004A54CC" w:rsidRPr="004873D5">
        <w:t xml:space="preserve">s long as at least one halibut was included in the groundfish CDQ landing, NMFS would not accrue any estimates of halibut PSC from the </w:t>
      </w:r>
      <w:r w:rsidR="004A54CC" w:rsidRPr="00A86A5C">
        <w:t>small vessel groundfish CDQ fisheries</w:t>
      </w:r>
      <w:r w:rsidR="004A54CC" w:rsidRPr="004873D5">
        <w:t xml:space="preserve"> to the CDQ group’s halibut PSQ or to any component of the BSAI halibut PSC limit</w:t>
      </w:r>
      <w:r w:rsidR="006858F9">
        <w:t xml:space="preserve">. </w:t>
      </w:r>
    </w:p>
    <w:p w14:paraId="16764E46" w14:textId="677C5D7A" w:rsidR="00E41DAE" w:rsidRDefault="003B02CE" w:rsidP="002851A0">
      <w:pPr>
        <w:numPr>
          <w:ilvl w:val="12"/>
          <w:numId w:val="0"/>
        </w:numPr>
        <w:spacing w:line="480" w:lineRule="auto"/>
        <w:ind w:firstLine="720"/>
      </w:pPr>
      <w:r>
        <w:t>I</w:t>
      </w:r>
      <w:r w:rsidR="004A54CC" w:rsidRPr="004873D5">
        <w:t xml:space="preserve">f no halibut are included in a groundfish CDQ landing, </w:t>
      </w:r>
      <w:r w:rsidR="00B42A24">
        <w:t xml:space="preserve">NMFS would </w:t>
      </w:r>
      <w:r w:rsidR="00B42A24" w:rsidRPr="004873D5">
        <w:t xml:space="preserve">accrue an estimate of halibut PSC to the CDQ group’s small </w:t>
      </w:r>
      <w:r w:rsidR="00B42A24">
        <w:t xml:space="preserve">catcher </w:t>
      </w:r>
      <w:r w:rsidR="00B42A24" w:rsidRPr="004873D5">
        <w:t>vessel halibut PSC limit</w:t>
      </w:r>
      <w:r w:rsidR="0029309B">
        <w:t xml:space="preserve"> (described below)</w:t>
      </w:r>
      <w:r w:rsidR="006858F9">
        <w:t xml:space="preserve">. </w:t>
      </w:r>
      <w:r w:rsidR="004A54CC" w:rsidRPr="004873D5">
        <w:t xml:space="preserve">NMFS would estimate the halibut PSC associated with these </w:t>
      </w:r>
      <w:r w:rsidR="00552D3D">
        <w:t xml:space="preserve">types of </w:t>
      </w:r>
      <w:r w:rsidR="004A54CC" w:rsidRPr="004873D5">
        <w:t xml:space="preserve">groundfish CDQ fishing trips </w:t>
      </w:r>
      <w:r w:rsidR="00D47BD7">
        <w:t>using</w:t>
      </w:r>
      <w:r w:rsidR="004A54CC" w:rsidRPr="004873D5">
        <w:t xml:space="preserve"> halibut</w:t>
      </w:r>
      <w:r w:rsidR="00C01C10">
        <w:t xml:space="preserve"> PSC rates as calculated by NMFS</w:t>
      </w:r>
      <w:r w:rsidR="003E6154">
        <w:t xml:space="preserve">, and </w:t>
      </w:r>
      <w:r w:rsidR="00552D3D">
        <w:t xml:space="preserve">apply </w:t>
      </w:r>
      <w:r w:rsidR="003E6154">
        <w:t xml:space="preserve">the </w:t>
      </w:r>
      <w:r w:rsidR="004A54CC" w:rsidRPr="004873D5">
        <w:t>halibut PSC rates when halibut fishing is closed</w:t>
      </w:r>
      <w:r w:rsidR="002851A0">
        <w:t xml:space="preserve"> </w:t>
      </w:r>
      <w:r w:rsidR="004A54CC" w:rsidRPr="004873D5">
        <w:t xml:space="preserve">or </w:t>
      </w:r>
      <w:r w:rsidR="00B42A24">
        <w:t xml:space="preserve">when </w:t>
      </w:r>
      <w:r w:rsidR="004A54CC" w:rsidRPr="004873D5">
        <w:t xml:space="preserve">halibut </w:t>
      </w:r>
      <w:r w:rsidR="00552D3D">
        <w:t>fishing</w:t>
      </w:r>
      <w:r w:rsidR="004A54CC" w:rsidRPr="004873D5">
        <w:t xml:space="preserve"> is open but no halibut are included in a landing.</w:t>
      </w:r>
      <w:r w:rsidR="002851A0">
        <w:t xml:space="preserve"> </w:t>
      </w:r>
    </w:p>
    <w:p w14:paraId="7E981CCE" w14:textId="4B7A35DF" w:rsidR="003B02CE" w:rsidRDefault="001103A4" w:rsidP="00B15BB6">
      <w:pPr>
        <w:numPr>
          <w:ilvl w:val="12"/>
          <w:numId w:val="0"/>
        </w:numPr>
        <w:spacing w:line="480" w:lineRule="auto"/>
        <w:ind w:firstLine="720"/>
      </w:pPr>
      <w:r>
        <w:t>Under the proposed rule</w:t>
      </w:r>
      <w:r w:rsidR="00B15BB6" w:rsidRPr="004873D5">
        <w:t xml:space="preserve">, NMFS would create a new quota category </w:t>
      </w:r>
      <w:r w:rsidR="003B02CE">
        <w:t xml:space="preserve">available to </w:t>
      </w:r>
      <w:r w:rsidR="00B15BB6" w:rsidRPr="004873D5">
        <w:t>each CDQ group called</w:t>
      </w:r>
      <w:r>
        <w:t xml:space="preserve"> the</w:t>
      </w:r>
      <w:r w:rsidR="00B15BB6" w:rsidRPr="004873D5">
        <w:t xml:space="preserve"> “small </w:t>
      </w:r>
      <w:r w:rsidR="00CA3E7F">
        <w:t xml:space="preserve">catcher </w:t>
      </w:r>
      <w:r w:rsidR="00B15BB6" w:rsidRPr="004873D5">
        <w:t>vessel halibut PSC limit</w:t>
      </w:r>
      <w:r w:rsidR="00B15BB6">
        <w:t>.</w:t>
      </w:r>
      <w:r w:rsidR="00B15BB6" w:rsidRPr="004873D5">
        <w:t xml:space="preserve">” </w:t>
      </w:r>
      <w:r w:rsidR="009F6602">
        <w:t xml:space="preserve">If a CDQ group wants </w:t>
      </w:r>
      <w:r w:rsidR="00D906B9" w:rsidRPr="004873D5">
        <w:t xml:space="preserve">to have a </w:t>
      </w:r>
      <w:r w:rsidR="005B7A18">
        <w:t>small hook-and-line catcher vessel groundfish CDQ fishery</w:t>
      </w:r>
      <w:r w:rsidR="00D906B9">
        <w:t>,</w:t>
      </w:r>
      <w:r w:rsidR="000859EA">
        <w:t xml:space="preserve"> the</w:t>
      </w:r>
      <w:r w:rsidR="00B15BB6" w:rsidRPr="004873D5">
        <w:t xml:space="preserve"> </w:t>
      </w:r>
      <w:r w:rsidR="00B15BB6">
        <w:t xml:space="preserve">CDQ </w:t>
      </w:r>
      <w:r w:rsidR="00B15BB6" w:rsidRPr="004873D5">
        <w:lastRenderedPageBreak/>
        <w:t xml:space="preserve">group would be </w:t>
      </w:r>
      <w:r w:rsidR="000859EA">
        <w:t>required</w:t>
      </w:r>
      <w:r w:rsidR="00B15BB6" w:rsidRPr="004873D5">
        <w:t xml:space="preserve"> to transfer halibut PS</w:t>
      </w:r>
      <w:r w:rsidR="00B15BB6">
        <w:t xml:space="preserve">Q </w:t>
      </w:r>
      <w:r w:rsidR="00B15BB6" w:rsidRPr="004873D5">
        <w:t xml:space="preserve">from its halibut PSQ to its small </w:t>
      </w:r>
      <w:r w:rsidR="00CA3E7F">
        <w:t xml:space="preserve">catcher </w:t>
      </w:r>
      <w:r w:rsidR="00B15BB6" w:rsidRPr="004873D5">
        <w:t>vessel halibut PSC limit through a</w:t>
      </w:r>
      <w:r w:rsidR="00DD069A">
        <w:t xml:space="preserve"> </w:t>
      </w:r>
      <w:r w:rsidR="00DD069A" w:rsidRPr="000B10A9">
        <w:t>CDQ Transfer Request</w:t>
      </w:r>
      <w:r w:rsidR="00B15BB6" w:rsidRPr="004873D5">
        <w:t xml:space="preserve"> </w:t>
      </w:r>
      <w:r w:rsidR="00DD069A">
        <w:t>under § 679.5(n)</w:t>
      </w:r>
      <w:r w:rsidR="006858F9">
        <w:t xml:space="preserve">. </w:t>
      </w:r>
      <w:r w:rsidR="009F6602">
        <w:t>CDQ groups that do not want</w:t>
      </w:r>
      <w:r w:rsidR="00B15BB6" w:rsidRPr="004873D5">
        <w:t xml:space="preserve"> to have a </w:t>
      </w:r>
      <w:r w:rsidR="00CA4D5C">
        <w:t xml:space="preserve">local small-scale </w:t>
      </w:r>
      <w:r w:rsidR="00B15BB6" w:rsidRPr="004873D5">
        <w:t>groundfish CDQ fishery would not have to transfer any halibut PSQ to this account</w:t>
      </w:r>
      <w:r w:rsidR="006858F9">
        <w:t xml:space="preserve">. </w:t>
      </w:r>
      <w:r w:rsidR="008E3C9B">
        <w:t>E</w:t>
      </w:r>
      <w:r w:rsidR="00B15BB6" w:rsidRPr="004873D5">
        <w:t>ach CDQ group would</w:t>
      </w:r>
      <w:r w:rsidR="00B15BB6">
        <w:t>, in colla</w:t>
      </w:r>
      <w:r w:rsidR="00B15BB6" w:rsidRPr="008E7BB4">
        <w:t>boration with NMFS,</w:t>
      </w:r>
      <w:r w:rsidR="00B15BB6">
        <w:t xml:space="preserve"> </w:t>
      </w:r>
      <w:r w:rsidR="00B15BB6" w:rsidRPr="004873D5">
        <w:t xml:space="preserve">decide the appropriate amount of halibut PSQ to transfer to the small </w:t>
      </w:r>
      <w:r w:rsidR="00CA3E7F">
        <w:t xml:space="preserve">catcher </w:t>
      </w:r>
      <w:r w:rsidR="00B15BB6" w:rsidRPr="004873D5">
        <w:t xml:space="preserve">vessel halibut PSC limit based on the amount of groundfish CDQ it wanted to allocate to </w:t>
      </w:r>
      <w:r w:rsidR="005B7A18">
        <w:t>its</w:t>
      </w:r>
      <w:r w:rsidR="009042EB">
        <w:t xml:space="preserve"> </w:t>
      </w:r>
      <w:r w:rsidR="00B15BB6" w:rsidRPr="004873D5">
        <w:t xml:space="preserve">small </w:t>
      </w:r>
      <w:r w:rsidR="007260C1">
        <w:t xml:space="preserve">hook-and-line catcher </w:t>
      </w:r>
      <w:r w:rsidR="00B15BB6" w:rsidRPr="004873D5">
        <w:t xml:space="preserve">vessel </w:t>
      </w:r>
      <w:r w:rsidR="005B7A18">
        <w:t xml:space="preserve">groundfish CDQ </w:t>
      </w:r>
      <w:r w:rsidR="00B15BB6" w:rsidRPr="004873D5">
        <w:t xml:space="preserve">fishery and the expected </w:t>
      </w:r>
      <w:r w:rsidR="00B15BB6">
        <w:t xml:space="preserve">use of </w:t>
      </w:r>
      <w:r w:rsidR="00B15BB6" w:rsidRPr="004873D5">
        <w:t>halibut PSC in th</w:t>
      </w:r>
      <w:r w:rsidR="005B7A18">
        <w:t>at</w:t>
      </w:r>
      <w:r w:rsidR="00B15BB6" w:rsidRPr="004873D5">
        <w:t xml:space="preserve"> fisher</w:t>
      </w:r>
      <w:r w:rsidR="005B7A18">
        <w:t>y</w:t>
      </w:r>
      <w:r w:rsidR="006858F9">
        <w:t xml:space="preserve">. </w:t>
      </w:r>
    </w:p>
    <w:p w14:paraId="35934C57" w14:textId="2A23BF87" w:rsidR="00055627" w:rsidRDefault="003F2E25" w:rsidP="00843D28">
      <w:pPr>
        <w:numPr>
          <w:ilvl w:val="12"/>
          <w:numId w:val="0"/>
        </w:numPr>
        <w:spacing w:line="480" w:lineRule="auto"/>
        <w:ind w:firstLine="720"/>
      </w:pPr>
      <w:r>
        <w:t>With the exception of sablefish CDQ fishing, which w</w:t>
      </w:r>
      <w:r w:rsidR="00D40064">
        <w:t>ill</w:t>
      </w:r>
      <w:r>
        <w:t xml:space="preserve"> continue to be managed</w:t>
      </w:r>
      <w:r w:rsidRPr="003F2E25">
        <w:t xml:space="preserve"> </w:t>
      </w:r>
      <w:r>
        <w:t xml:space="preserve">under </w:t>
      </w:r>
      <w:r w:rsidRPr="004257C4">
        <w:t>§ 679.32(c)(1)</w:t>
      </w:r>
      <w:r>
        <w:t xml:space="preserve">, the proposed rule would prohibit </w:t>
      </w:r>
      <w:r w:rsidR="00055627">
        <w:t>groundfish CDQ</w:t>
      </w:r>
      <w:r>
        <w:t xml:space="preserve"> fishing</w:t>
      </w:r>
      <w:r w:rsidR="00055627">
        <w:t xml:space="preserve"> by </w:t>
      </w:r>
      <w:r w:rsidR="00055627" w:rsidRPr="00D7403F">
        <w:t>catcher vessels less than or equal to 46 ft LOA using hook-and-line gear</w:t>
      </w:r>
      <w:r w:rsidR="00055627">
        <w:t xml:space="preserve"> unless NMFS </w:t>
      </w:r>
      <w:r w:rsidR="00055627" w:rsidRPr="007F409C">
        <w:t>publish</w:t>
      </w:r>
      <w:r w:rsidR="00055627">
        <w:t>es</w:t>
      </w:r>
      <w:r w:rsidR="00055627" w:rsidRPr="007F409C">
        <w:t xml:space="preserve"> notification in the </w:t>
      </w:r>
      <w:r w:rsidR="00055627" w:rsidRPr="004C04AF">
        <w:rPr>
          <w:b/>
        </w:rPr>
        <w:t>Federal</w:t>
      </w:r>
      <w:r w:rsidR="00055627" w:rsidRPr="004C04AF">
        <w:rPr>
          <w:b/>
          <w:i/>
        </w:rPr>
        <w:t xml:space="preserve"> </w:t>
      </w:r>
      <w:r w:rsidR="00055627" w:rsidRPr="004C04AF">
        <w:rPr>
          <w:b/>
        </w:rPr>
        <w:t>Register</w:t>
      </w:r>
      <w:r w:rsidR="00055627" w:rsidRPr="00D7403F">
        <w:t xml:space="preserve"> </w:t>
      </w:r>
      <w:r w:rsidR="00055627">
        <w:t xml:space="preserve">authorizing a CDQ group to conduct such </w:t>
      </w:r>
      <w:r w:rsidR="00055627" w:rsidRPr="007F409C">
        <w:t>fishing</w:t>
      </w:r>
      <w:r w:rsidR="00055627">
        <w:t xml:space="preserve">. In deciding whether to authorize </w:t>
      </w:r>
      <w:r>
        <w:t>groundfish CDQ fishing by these vessels</w:t>
      </w:r>
      <w:r w:rsidR="00055627">
        <w:t xml:space="preserve">, NMFS would consider whether a CDQ group has sufficient halibut in its small </w:t>
      </w:r>
      <w:r w:rsidR="004F05F8">
        <w:t xml:space="preserve">catcher </w:t>
      </w:r>
      <w:r w:rsidR="00055627">
        <w:t xml:space="preserve">vessel halibut PSC limit to support groundfish CDQ </w:t>
      </w:r>
      <w:r>
        <w:t xml:space="preserve">fishing </w:t>
      </w:r>
      <w:r w:rsidR="00055627">
        <w:t xml:space="preserve">by these catcher vessels.  </w:t>
      </w:r>
    </w:p>
    <w:p w14:paraId="6F226D71" w14:textId="09635548" w:rsidR="00E41DAE" w:rsidRDefault="008E3C9B" w:rsidP="00843D28">
      <w:pPr>
        <w:numPr>
          <w:ilvl w:val="12"/>
          <w:numId w:val="0"/>
        </w:numPr>
        <w:spacing w:line="480" w:lineRule="auto"/>
        <w:ind w:firstLine="720"/>
      </w:pPr>
      <w:r>
        <w:t>I</w:t>
      </w:r>
      <w:r w:rsidR="00B15BB6" w:rsidRPr="004873D5">
        <w:t xml:space="preserve">f </w:t>
      </w:r>
      <w:r>
        <w:t>NMF</w:t>
      </w:r>
      <w:r w:rsidR="00DD631A">
        <w:t>S</w:t>
      </w:r>
      <w:r>
        <w:t xml:space="preserve"> determines that </w:t>
      </w:r>
      <w:r w:rsidR="00B15BB6" w:rsidRPr="004873D5">
        <w:t xml:space="preserve">a CDQ group’s small </w:t>
      </w:r>
      <w:r w:rsidR="00CA3E7F">
        <w:t xml:space="preserve">catcher </w:t>
      </w:r>
      <w:r w:rsidR="00B15BB6" w:rsidRPr="004873D5">
        <w:t xml:space="preserve">vessel halibut PSC limit </w:t>
      </w:r>
      <w:r w:rsidR="00DD631A">
        <w:t xml:space="preserve">has been or </w:t>
      </w:r>
      <w:r>
        <w:t xml:space="preserve">will be </w:t>
      </w:r>
      <w:r w:rsidR="00B15BB6" w:rsidRPr="004873D5">
        <w:t xml:space="preserve">reached, NMFS would issue a notice in the </w:t>
      </w:r>
      <w:r w:rsidR="00B15BB6" w:rsidRPr="00020362">
        <w:rPr>
          <w:b/>
        </w:rPr>
        <w:t>Federal Register</w:t>
      </w:r>
      <w:r w:rsidR="00B15BB6" w:rsidRPr="004873D5">
        <w:t xml:space="preserve"> </w:t>
      </w:r>
      <w:r w:rsidR="00B15BB6">
        <w:t>prohibiting</w:t>
      </w:r>
      <w:r w:rsidR="00B15BB6" w:rsidRPr="004873D5">
        <w:t xml:space="preserve"> groundfish CDQ </w:t>
      </w:r>
      <w:r w:rsidR="00E527F6">
        <w:t xml:space="preserve">fishing </w:t>
      </w:r>
      <w:r w:rsidR="00B15BB6" w:rsidRPr="004873D5">
        <w:t xml:space="preserve">by </w:t>
      </w:r>
      <w:r>
        <w:t xml:space="preserve">the </w:t>
      </w:r>
      <w:r w:rsidR="00B15BB6" w:rsidRPr="004873D5">
        <w:t xml:space="preserve">small </w:t>
      </w:r>
      <w:r>
        <w:t xml:space="preserve">hook-and-line catcher </w:t>
      </w:r>
      <w:r w:rsidR="00B15BB6" w:rsidRPr="004873D5">
        <w:t>vessels fishing for that CDQ group</w:t>
      </w:r>
      <w:r w:rsidR="006858F9">
        <w:t xml:space="preserve">. </w:t>
      </w:r>
      <w:r w:rsidR="00B15BB6" w:rsidRPr="004873D5">
        <w:t xml:space="preserve">NMFS would be responsible </w:t>
      </w:r>
      <w:r w:rsidR="00B15BB6">
        <w:t>for issuing fishing closures to</w:t>
      </w:r>
      <w:r w:rsidR="00B15BB6" w:rsidRPr="004873D5">
        <w:t xml:space="preserve"> the small</w:t>
      </w:r>
      <w:r w:rsidR="007260C1">
        <w:t xml:space="preserve"> hook-and-line catcher</w:t>
      </w:r>
      <w:r w:rsidR="00B15BB6" w:rsidRPr="004873D5">
        <w:t xml:space="preserve"> vessel groundfish CDQ fisheries</w:t>
      </w:r>
      <w:r w:rsidR="00B15BB6">
        <w:t xml:space="preserve"> to maintain halibut PSC by these vessels w</w:t>
      </w:r>
      <w:r w:rsidR="00B15BB6" w:rsidRPr="004873D5">
        <w:t xml:space="preserve">ithin the </w:t>
      </w:r>
      <w:r w:rsidR="0029309B">
        <w:t xml:space="preserve">small catcher vessel </w:t>
      </w:r>
      <w:r w:rsidR="00B15BB6" w:rsidRPr="004873D5">
        <w:t xml:space="preserve">halibut PSC limit </w:t>
      </w:r>
      <w:r w:rsidR="00B15BB6">
        <w:t xml:space="preserve">established by </w:t>
      </w:r>
      <w:r w:rsidR="0029309B">
        <w:t>a</w:t>
      </w:r>
      <w:r w:rsidR="00B15BB6" w:rsidRPr="004873D5">
        <w:t xml:space="preserve"> CDQ group</w:t>
      </w:r>
      <w:r w:rsidR="00B15BB6">
        <w:t>.</w:t>
      </w:r>
      <w:r w:rsidR="00B15BB6" w:rsidRPr="004873D5">
        <w:t xml:space="preserve"> NMFS would manage these fisheries to stay within the </w:t>
      </w:r>
      <w:r w:rsidR="00B15BB6">
        <w:t xml:space="preserve">applicable CDQ groups’ </w:t>
      </w:r>
      <w:r w:rsidR="00B15BB6" w:rsidRPr="004873D5">
        <w:t xml:space="preserve">halibut </w:t>
      </w:r>
      <w:r w:rsidR="00B15BB6" w:rsidRPr="004873D5">
        <w:lastRenderedPageBreak/>
        <w:t>PSC amount to the best of its ability</w:t>
      </w:r>
      <w:r>
        <w:t xml:space="preserve">, and </w:t>
      </w:r>
      <w:r w:rsidR="00B15BB6" w:rsidRPr="004873D5">
        <w:t xml:space="preserve">would manage the </w:t>
      </w:r>
      <w:r w:rsidR="00B15BB6">
        <w:t>small</w:t>
      </w:r>
      <w:r w:rsidR="007260C1">
        <w:t xml:space="preserve"> hook-and-line catcher</w:t>
      </w:r>
      <w:r w:rsidR="00B15BB6">
        <w:t xml:space="preserve"> vessel groundfish CDQ </w:t>
      </w:r>
      <w:r w:rsidR="00B15BB6" w:rsidRPr="004873D5">
        <w:t xml:space="preserve">fishery conservatively </w:t>
      </w:r>
      <w:r w:rsidR="00B15BB6">
        <w:t>to en</w:t>
      </w:r>
      <w:r w:rsidR="00B772DF">
        <w:t xml:space="preserve">sure that these PSC limits are </w:t>
      </w:r>
      <w:r w:rsidR="00B15BB6">
        <w:t>not exceeded</w:t>
      </w:r>
      <w:r w:rsidR="006858F9">
        <w:t xml:space="preserve">. </w:t>
      </w:r>
    </w:p>
    <w:p w14:paraId="0FAF004C" w14:textId="2A717990" w:rsidR="00EC60BB" w:rsidRDefault="00B15BB6" w:rsidP="00843D28">
      <w:pPr>
        <w:numPr>
          <w:ilvl w:val="12"/>
          <w:numId w:val="0"/>
        </w:numPr>
        <w:spacing w:line="480" w:lineRule="auto"/>
        <w:ind w:firstLine="720"/>
      </w:pPr>
      <w:r>
        <w:t xml:space="preserve">Even with conservative management, it is possible that </w:t>
      </w:r>
      <w:r w:rsidR="004F33D2">
        <w:t xml:space="preserve">a small catcher vessel </w:t>
      </w:r>
      <w:r>
        <w:t>halibut PSC limit could be exceeded due to the high degree of variability in halibut PSC rates that can occur in hook-and-line fisheries</w:t>
      </w:r>
      <w:r w:rsidR="006858F9">
        <w:t xml:space="preserve">. </w:t>
      </w:r>
      <w:r w:rsidRPr="004873D5">
        <w:t xml:space="preserve">If NMFS </w:t>
      </w:r>
      <w:r w:rsidR="007C5363">
        <w:t xml:space="preserve">is unable to close a CDQ group’s small catcher vessel groundfish CDQ fishery before it </w:t>
      </w:r>
      <w:r w:rsidRPr="004873D5">
        <w:t>exceed</w:t>
      </w:r>
      <w:r w:rsidR="007C5363">
        <w:t>s</w:t>
      </w:r>
      <w:r w:rsidRPr="004873D5">
        <w:t xml:space="preserve"> the amount</w:t>
      </w:r>
      <w:r>
        <w:t xml:space="preserve"> of halibut </w:t>
      </w:r>
      <w:r w:rsidR="006B43A1">
        <w:t xml:space="preserve">PSC </w:t>
      </w:r>
      <w:r w:rsidR="007C5363">
        <w:t xml:space="preserve">allocated to </w:t>
      </w:r>
      <w:r w:rsidR="0029309B">
        <w:t xml:space="preserve">the small catcher vessel halibut </w:t>
      </w:r>
      <w:r>
        <w:t>PSC limit</w:t>
      </w:r>
      <w:r w:rsidRPr="004873D5">
        <w:t xml:space="preserve">, </w:t>
      </w:r>
      <w:r w:rsidR="007C5363">
        <w:t xml:space="preserve">NMFS </w:t>
      </w:r>
      <w:r w:rsidRPr="004873D5">
        <w:t xml:space="preserve">would not consider </w:t>
      </w:r>
      <w:r w:rsidR="006B43A1">
        <w:t xml:space="preserve">this </w:t>
      </w:r>
      <w:r w:rsidRPr="004873D5">
        <w:t>a</w:t>
      </w:r>
      <w:r w:rsidR="006B43A1">
        <w:t xml:space="preserve"> violation</w:t>
      </w:r>
      <w:r w:rsidR="009F6602">
        <w:t>,</w:t>
      </w:r>
      <w:r w:rsidR="006B43A1">
        <w:t xml:space="preserve"> </w:t>
      </w:r>
      <w:r w:rsidRPr="004873D5">
        <w:t xml:space="preserve">and NMFS </w:t>
      </w:r>
      <w:r w:rsidR="006B43A1">
        <w:t>w</w:t>
      </w:r>
      <w:r w:rsidRPr="004873D5">
        <w:t xml:space="preserve">ould not require the CDQ group to transfer </w:t>
      </w:r>
      <w:r w:rsidR="006B43A1">
        <w:t xml:space="preserve">an amount of </w:t>
      </w:r>
      <w:r w:rsidRPr="004873D5">
        <w:t xml:space="preserve">halibut PSQ </w:t>
      </w:r>
      <w:r w:rsidR="006B43A1">
        <w:t xml:space="preserve">needed </w:t>
      </w:r>
      <w:r w:rsidRPr="004873D5">
        <w:t>to cover th</w:t>
      </w:r>
      <w:r w:rsidR="006B43A1">
        <w:t xml:space="preserve">e </w:t>
      </w:r>
      <w:r w:rsidR="0082470B">
        <w:t>negative balance</w:t>
      </w:r>
      <w:r w:rsidRPr="004873D5">
        <w:t xml:space="preserve">. However, </w:t>
      </w:r>
      <w:r w:rsidR="006B43A1">
        <w:t xml:space="preserve">the proposed rule would allow </w:t>
      </w:r>
      <w:r w:rsidR="007C5363">
        <w:t xml:space="preserve">a </w:t>
      </w:r>
      <w:r w:rsidRPr="004873D5">
        <w:t xml:space="preserve">CDQ group </w:t>
      </w:r>
      <w:r w:rsidR="006B43A1">
        <w:t xml:space="preserve">to </w:t>
      </w:r>
      <w:r w:rsidR="007C5363">
        <w:t xml:space="preserve">voluntarily </w:t>
      </w:r>
      <w:r w:rsidRPr="004873D5">
        <w:t xml:space="preserve">choose to transfer </w:t>
      </w:r>
      <w:r w:rsidR="007C5363">
        <w:t xml:space="preserve">additional </w:t>
      </w:r>
      <w:r w:rsidRPr="004873D5">
        <w:t xml:space="preserve">halibut PSQ to </w:t>
      </w:r>
      <w:r w:rsidR="00BF7416">
        <w:t xml:space="preserve">bring the balance of </w:t>
      </w:r>
      <w:r w:rsidR="006B43A1">
        <w:t>its</w:t>
      </w:r>
      <w:r w:rsidR="00BF7416">
        <w:t xml:space="preserve"> small </w:t>
      </w:r>
      <w:r w:rsidR="007C5363">
        <w:t xml:space="preserve">catcher </w:t>
      </w:r>
      <w:r w:rsidR="00BF7416">
        <w:t xml:space="preserve">vessel halibut PSC limit to zero. </w:t>
      </w:r>
    </w:p>
    <w:p w14:paraId="6CDE174E" w14:textId="492B4444" w:rsidR="00BE5EB3" w:rsidRDefault="00EC60BB" w:rsidP="00843D28">
      <w:pPr>
        <w:numPr>
          <w:ilvl w:val="12"/>
          <w:numId w:val="0"/>
        </w:numPr>
        <w:spacing w:line="480" w:lineRule="auto"/>
        <w:ind w:firstLine="720"/>
      </w:pPr>
      <w:r w:rsidRPr="007F409C">
        <w:t xml:space="preserve">If </w:t>
      </w:r>
      <w:r w:rsidR="006B43A1">
        <w:t xml:space="preserve">a CDQ group’s </w:t>
      </w:r>
      <w:r>
        <w:t xml:space="preserve">small catcher vessel halibut PSC limit </w:t>
      </w:r>
      <w:r w:rsidR="006B43A1">
        <w:t xml:space="preserve">has a negative balance </w:t>
      </w:r>
      <w:r>
        <w:t xml:space="preserve">at the end of the </w:t>
      </w:r>
      <w:r w:rsidR="006B43A1">
        <w:t xml:space="preserve">groundfish fishing </w:t>
      </w:r>
      <w:r>
        <w:t>year</w:t>
      </w:r>
      <w:r w:rsidR="006B43A1">
        <w:t xml:space="preserve"> (December 31)</w:t>
      </w:r>
      <w:r>
        <w:t xml:space="preserve">, and if the CDQ group has remaining halibut PSQ </w:t>
      </w:r>
      <w:r w:rsidR="00B4577C">
        <w:t>on that date, NMFS would</w:t>
      </w:r>
      <w:r w:rsidRPr="007F409C">
        <w:t xml:space="preserve"> transfer an amount of halibut PSQ into the CDQ group’s small </w:t>
      </w:r>
      <w:r>
        <w:t xml:space="preserve">catcher </w:t>
      </w:r>
      <w:r w:rsidRPr="007F409C">
        <w:t xml:space="preserve">vessel halibut PSC limit to bring the balance of the small </w:t>
      </w:r>
      <w:r>
        <w:t xml:space="preserve">catcher </w:t>
      </w:r>
      <w:r w:rsidRPr="007F409C">
        <w:t xml:space="preserve">vessel halibut PSC limit to zero. </w:t>
      </w:r>
      <w:r w:rsidR="006B43A1">
        <w:t>NMFS would make t</w:t>
      </w:r>
      <w:r>
        <w:t>his administrative transfer only after all fishing by a CDQ group is completed for the year</w:t>
      </w:r>
      <w:r w:rsidR="00BE5EB3">
        <w:t xml:space="preserve">, </w:t>
      </w:r>
      <w:r w:rsidRPr="007F409C">
        <w:t>after data from the fishing year is finalized</w:t>
      </w:r>
      <w:r w:rsidR="00BE5EB3">
        <w:t>, and if the CDQ group had sufficient remaining halibut PSQ</w:t>
      </w:r>
      <w:r>
        <w:t>.</w:t>
      </w:r>
      <w:r w:rsidR="00BE5EB3">
        <w:t xml:space="preserve"> </w:t>
      </w:r>
    </w:p>
    <w:p w14:paraId="0EA2AE68" w14:textId="796A1B2A" w:rsidR="00FB719F" w:rsidRDefault="00BE5EB3" w:rsidP="00843D28">
      <w:pPr>
        <w:numPr>
          <w:ilvl w:val="12"/>
          <w:numId w:val="0"/>
        </w:numPr>
        <w:spacing w:line="480" w:lineRule="auto"/>
        <w:ind w:firstLine="720"/>
      </w:pPr>
      <w:r>
        <w:t xml:space="preserve">The CDQ Program currently receives an allocation of 393 mt of halibut PSC, which is further allocated among the CDQ groups in annual halibut PSQ allocations to individual CDQ groups that range from 25 mt to 135 mt. Between 2010 and 2014, none </w:t>
      </w:r>
      <w:r>
        <w:lastRenderedPageBreak/>
        <w:t xml:space="preserve">of the CDQ groups fully used their halibut PSQ, and all CDQ groups had remaining halibut PSQ at the end of the year. </w:t>
      </w:r>
      <w:r w:rsidR="00AB44A1">
        <w:t xml:space="preserve">Therefore, </w:t>
      </w:r>
      <w:r w:rsidR="0041768B">
        <w:t xml:space="preserve">NMFS has determined </w:t>
      </w:r>
      <w:r w:rsidR="00AB44A1">
        <w:t xml:space="preserve">that, should an administrative transfer be warranted, </w:t>
      </w:r>
      <w:r w:rsidR="0041768B">
        <w:t>a</w:t>
      </w:r>
      <w:r w:rsidR="00AB44A1">
        <w:t xml:space="preserve"> CDQ group will </w:t>
      </w:r>
      <w:r w:rsidR="0041768B">
        <w:t xml:space="preserve">likely </w:t>
      </w:r>
      <w:r w:rsidR="00AB44A1">
        <w:t xml:space="preserve">have sufficient halibut PSQ to accommodate the transfer. However, if a CDQ group does not have </w:t>
      </w:r>
      <w:r w:rsidR="0041768B">
        <w:t xml:space="preserve">a sufficient amount of </w:t>
      </w:r>
      <w:r w:rsidR="00AB44A1">
        <w:t>halibut PSQ</w:t>
      </w:r>
      <w:r w:rsidR="0041768B">
        <w:t xml:space="preserve"> to cover a negative balance in the CDQ group’s </w:t>
      </w:r>
      <w:r w:rsidR="009F6602">
        <w:t>small catcher vessel halibut PSC</w:t>
      </w:r>
      <w:r w:rsidR="0041768B">
        <w:t xml:space="preserve"> limit</w:t>
      </w:r>
      <w:r w:rsidR="00AB44A1">
        <w:t xml:space="preserve">, NMFS would not undertake </w:t>
      </w:r>
      <w:r w:rsidR="0041768B">
        <w:t>an</w:t>
      </w:r>
      <w:r w:rsidR="00AB44A1">
        <w:t xml:space="preserve"> administrative transfer and there would be no regulatory or compliance consequences to the CDQ group.</w:t>
      </w:r>
    </w:p>
    <w:p w14:paraId="59164496" w14:textId="0D804007" w:rsidR="00843D28" w:rsidRDefault="00AB44A1" w:rsidP="00843D28">
      <w:pPr>
        <w:numPr>
          <w:ilvl w:val="12"/>
          <w:numId w:val="0"/>
        </w:numPr>
        <w:spacing w:line="480" w:lineRule="auto"/>
        <w:ind w:firstLine="720"/>
      </w:pPr>
      <w:r>
        <w:t xml:space="preserve"> </w:t>
      </w:r>
      <w:r w:rsidR="00BE5EB3">
        <w:t xml:space="preserve"> </w:t>
      </w:r>
      <w:r w:rsidR="00EC60BB">
        <w:t xml:space="preserve">   </w:t>
      </w:r>
      <w:r w:rsidR="00FB719F">
        <w:t xml:space="preserve">The proposed rule also would permit a CDQ group to transfer halibut from its </w:t>
      </w:r>
      <w:r w:rsidR="00FB719F" w:rsidRPr="007F409C">
        <w:t xml:space="preserve">small </w:t>
      </w:r>
      <w:r w:rsidR="00FB719F">
        <w:t xml:space="preserve">catcher </w:t>
      </w:r>
      <w:r w:rsidR="00FB719F" w:rsidRPr="007F409C">
        <w:t>vessel halibut PSC limit back to the CDQ group’s halibut PSQ</w:t>
      </w:r>
      <w:r w:rsidR="00FB719F">
        <w:t>.</w:t>
      </w:r>
      <w:r w:rsidR="00FB719F" w:rsidRPr="007F409C">
        <w:t xml:space="preserve"> In reviewing a request to transfer halibut from the small </w:t>
      </w:r>
      <w:r w:rsidR="00FB719F">
        <w:t xml:space="preserve">catcher </w:t>
      </w:r>
      <w:r w:rsidR="00FB719F" w:rsidRPr="007F409C">
        <w:t>vessel halibut PSC limit back to the CDQ group’s halibut PSQ, NMFS w</w:t>
      </w:r>
      <w:r w:rsidR="00FB719F">
        <w:t>ould</w:t>
      </w:r>
      <w:r w:rsidR="00FB719F" w:rsidRPr="007F409C">
        <w:t xml:space="preserve"> consider the status of CDQ fisheries through the end of the year and anticipated halibut PSC rates for any remaining groundfish CDQ fishing by vessels managed under the small </w:t>
      </w:r>
      <w:r w:rsidR="00FB719F">
        <w:t xml:space="preserve">catcher </w:t>
      </w:r>
      <w:r w:rsidR="00FB719F" w:rsidRPr="007F409C">
        <w:t>vessel halibut PSC limit for the requesting CDQ group</w:t>
      </w:r>
      <w:r w:rsidR="00FB719F">
        <w:t>.</w:t>
      </w:r>
    </w:p>
    <w:p w14:paraId="7CC4C66B" w14:textId="75BA2353" w:rsidR="00621AB5" w:rsidRPr="00020362" w:rsidRDefault="00621AB5" w:rsidP="00621AB5">
      <w:pPr>
        <w:numPr>
          <w:ilvl w:val="12"/>
          <w:numId w:val="0"/>
        </w:numPr>
        <w:spacing w:line="480" w:lineRule="auto"/>
        <w:rPr>
          <w:i/>
        </w:rPr>
      </w:pPr>
      <w:r w:rsidRPr="00020362">
        <w:rPr>
          <w:i/>
        </w:rPr>
        <w:t xml:space="preserve">Observer </w:t>
      </w:r>
      <w:r>
        <w:rPr>
          <w:i/>
        </w:rPr>
        <w:t>C</w:t>
      </w:r>
      <w:r w:rsidRPr="00020362">
        <w:rPr>
          <w:i/>
        </w:rPr>
        <w:t>overage</w:t>
      </w:r>
    </w:p>
    <w:p w14:paraId="0574552E" w14:textId="41735F86" w:rsidR="004F33D2" w:rsidRDefault="00621AB5" w:rsidP="00621AB5">
      <w:pPr>
        <w:numPr>
          <w:ilvl w:val="12"/>
          <w:numId w:val="0"/>
        </w:numPr>
        <w:spacing w:line="480" w:lineRule="auto"/>
        <w:ind w:firstLine="720"/>
      </w:pPr>
      <w:r w:rsidRPr="00901627">
        <w:t xml:space="preserve">The proposed rule would add </w:t>
      </w:r>
      <w:r w:rsidR="0082470B" w:rsidRPr="00901627">
        <w:t>paragraph (a)(1)(i)(</w:t>
      </w:r>
      <w:r w:rsidR="00D47BD7" w:rsidRPr="00901627">
        <w:t>D</w:t>
      </w:r>
      <w:r w:rsidR="0082470B" w:rsidRPr="00261F14">
        <w:t xml:space="preserve">) to </w:t>
      </w:r>
      <w:r w:rsidRPr="00261F14">
        <w:t xml:space="preserve">§ 679.51 and revise </w:t>
      </w:r>
      <w:r w:rsidRPr="00901627">
        <w:t>§ 679.51(a)(2)(i)(C)(</w:t>
      </w:r>
      <w:r w:rsidRPr="00901627">
        <w:rPr>
          <w:i/>
        </w:rPr>
        <w:t>2</w:t>
      </w:r>
      <w:r w:rsidRPr="00901627">
        <w:t>) to place catcher vessels less than or equal to 46 ft LOA that are using hook-and-line gear wh</w:t>
      </w:r>
      <w:r w:rsidR="00856510" w:rsidRPr="00901627">
        <w:t>en</w:t>
      </w:r>
      <w:r w:rsidRPr="00901627">
        <w:t xml:space="preserve"> groundfish CDQ fishing in the partial observer coverage category. </w:t>
      </w:r>
      <w:r w:rsidR="008735C1" w:rsidRPr="00901627">
        <w:t xml:space="preserve">This new paragraph is </w:t>
      </w:r>
      <w:r w:rsidR="00291944" w:rsidRPr="00901627">
        <w:t xml:space="preserve">proposed </w:t>
      </w:r>
      <w:r w:rsidR="008735C1" w:rsidRPr="00901627">
        <w:t xml:space="preserve">as paragraph (a)(1)(i)(D) because a separate proposed rule implementing Amendment 112 to the FMP and Amendment 102 to the Fishery Management Plan for Groundfish of the Gulf of Alaska is proposing to add a new paragraph (a)(1)(i)(C) to </w:t>
      </w:r>
      <w:r w:rsidR="008735C1" w:rsidRPr="00261F14">
        <w:t xml:space="preserve">§ 679.51 (see </w:t>
      </w:r>
      <w:r w:rsidR="008F70E9" w:rsidRPr="00261F14">
        <w:t xml:space="preserve">80 FR </w:t>
      </w:r>
      <w:r w:rsidR="009F6602" w:rsidRPr="00261F14">
        <w:t>81262</w:t>
      </w:r>
      <w:r w:rsidR="008F70E9" w:rsidRPr="00261F14">
        <w:t xml:space="preserve">; </w:t>
      </w:r>
      <w:r w:rsidR="009F6602" w:rsidRPr="00261F14">
        <w:t>December 29, 2015</w:t>
      </w:r>
      <w:r w:rsidR="008F70E9" w:rsidRPr="00261F14">
        <w:t>)</w:t>
      </w:r>
      <w:r w:rsidR="008735C1" w:rsidRPr="00261F14">
        <w:t>.</w:t>
      </w:r>
      <w:r w:rsidR="008735C1" w:rsidRPr="00455AAA">
        <w:t xml:space="preserve"> </w:t>
      </w:r>
    </w:p>
    <w:p w14:paraId="23FCE864" w14:textId="5AF47883" w:rsidR="00621AB5" w:rsidRDefault="0041768B" w:rsidP="00621AB5">
      <w:pPr>
        <w:numPr>
          <w:ilvl w:val="12"/>
          <w:numId w:val="0"/>
        </w:numPr>
        <w:spacing w:line="480" w:lineRule="auto"/>
        <w:ind w:firstLine="720"/>
      </w:pPr>
      <w:r>
        <w:lastRenderedPageBreak/>
        <w:t>Under current regulations, t</w:t>
      </w:r>
      <w:r w:rsidR="00621AB5">
        <w:t>he owners or operators of vessels in the partial observer coverage category are placed in an observer selection pool based on the requirements of the Annual Deployment Plan (ADP)</w:t>
      </w:r>
      <w:r w:rsidR="006858F9">
        <w:t xml:space="preserve">. </w:t>
      </w:r>
      <w:r w:rsidR="00621AB5">
        <w:t>Since implementation of the ADP process in 2013, vessels less than 40 ft.</w:t>
      </w:r>
      <w:r w:rsidR="000527E6">
        <w:t xml:space="preserve"> (12.2 m)</w:t>
      </w:r>
      <w:r w:rsidR="00621AB5">
        <w:t xml:space="preserve"> LOA have been placed in the “no selection pool.” These vessels are not required to carry observers or register fishing trips with NMFS. Vessels 40 ft LOA or greater are in the “trip selection pool” and must log all of their fishing trips in the Observer Declare and Deploy System (ODDS). This is an online system for registering fishing trips and receiving information about whether a particular trip is selected for observer coverage. I</w:t>
      </w:r>
      <w:r w:rsidR="00621AB5" w:rsidRPr="004873D5">
        <w:t xml:space="preserve">f selected for observer coverage, the </w:t>
      </w:r>
      <w:r w:rsidR="00621AB5">
        <w:t xml:space="preserve">catcher </w:t>
      </w:r>
      <w:r w:rsidR="00621AB5" w:rsidRPr="004873D5">
        <w:t xml:space="preserve">vessel </w:t>
      </w:r>
      <w:r>
        <w:t>is</w:t>
      </w:r>
      <w:r w:rsidR="00621AB5" w:rsidRPr="004873D5">
        <w:t xml:space="preserve"> required to carry an </w:t>
      </w:r>
      <w:r w:rsidR="00621AB5">
        <w:t xml:space="preserve">observer. Operators of vessels selected for observer coverage are </w:t>
      </w:r>
      <w:r w:rsidR="00621AB5" w:rsidRPr="004873D5">
        <w:t xml:space="preserve">required to comply with all vessel responsibilities in </w:t>
      </w:r>
      <w:r w:rsidR="00621AB5">
        <w:t xml:space="preserve">§ </w:t>
      </w:r>
      <w:r w:rsidR="00621AB5" w:rsidRPr="004873D5">
        <w:t>679.51(e)(1)</w:t>
      </w:r>
      <w:r w:rsidR="00621AB5">
        <w:t>. More information about logging trips in ODDS is on the NMFS Alaska Region Web site under “Frequently Asked Questions” about the Observer Program (</w:t>
      </w:r>
      <w:hyperlink r:id="rId12" w:history="1">
        <w:r w:rsidR="00621AB5" w:rsidRPr="001B467C">
          <w:rPr>
            <w:rStyle w:val="Hyperlink"/>
            <w:i/>
            <w:u w:val="none"/>
          </w:rPr>
          <w:t>http://alaskafisheries.noaa.gov/sustainablefisheries/observers/</w:t>
        </w:r>
      </w:hyperlink>
      <w:r w:rsidR="00621AB5">
        <w:t xml:space="preserve">). </w:t>
      </w:r>
    </w:p>
    <w:p w14:paraId="386BFEFF" w14:textId="0224715F" w:rsidR="00621AB5" w:rsidRDefault="00621AB5" w:rsidP="00621AB5">
      <w:pPr>
        <w:numPr>
          <w:ilvl w:val="12"/>
          <w:numId w:val="0"/>
        </w:numPr>
        <w:spacing w:line="480" w:lineRule="auto"/>
        <w:ind w:firstLine="720"/>
      </w:pPr>
      <w:r>
        <w:t xml:space="preserve">Hook-and-line catcher vessels halibut CDQ fishing have been in the partial observer coverage category since 2013. Operators of vessels 40 ft </w:t>
      </w:r>
      <w:r w:rsidR="00AC507C">
        <w:t xml:space="preserve">LOA </w:t>
      </w:r>
      <w:r>
        <w:t xml:space="preserve">or greater have been logging halibut CDQ fishing trips and should be familiar with the requirements for partial observer coverage. Most of the small hook-and-line catcher vessels that are expected to participate in separate Pacific cod CDQ fisheries under the proposed action </w:t>
      </w:r>
      <w:r w:rsidR="00EC60BB">
        <w:t>are</w:t>
      </w:r>
      <w:r>
        <w:t xml:space="preserve"> owned or operated by people who have participated in the halibut CDQ fisheries (see Section 3.7 of the Analysis). Therefore, the requirements and procedures for partial observer coverage should be familiar to them. If </w:t>
      </w:r>
      <w:r w:rsidR="008C0EAC">
        <w:t xml:space="preserve">a </w:t>
      </w:r>
      <w:r>
        <w:t>vessel operator retain</w:t>
      </w:r>
      <w:r w:rsidR="008C0EAC">
        <w:t>s</w:t>
      </w:r>
      <w:r>
        <w:t xml:space="preserve"> </w:t>
      </w:r>
      <w:r w:rsidR="00D47BD7">
        <w:t>groundfish</w:t>
      </w:r>
      <w:r>
        <w:t xml:space="preserve"> </w:t>
      </w:r>
      <w:r w:rsidR="0041768B">
        <w:lastRenderedPageBreak/>
        <w:t xml:space="preserve">CDQ </w:t>
      </w:r>
      <w:r>
        <w:t xml:space="preserve">during a halibut CDQ fishing trip, no additional trips will need to be logged in ODDS. If </w:t>
      </w:r>
      <w:r w:rsidR="008C0EAC">
        <w:t xml:space="preserve">a </w:t>
      </w:r>
      <w:r>
        <w:t>vessel operator make</w:t>
      </w:r>
      <w:r w:rsidR="008C0EAC">
        <w:t>s</w:t>
      </w:r>
      <w:r>
        <w:t xml:space="preserve"> separate fishing trips to target Pacific cod CDQ, the</w:t>
      </w:r>
      <w:r w:rsidR="008C0EAC">
        <w:t xml:space="preserve"> vessel operator</w:t>
      </w:r>
      <w:r>
        <w:t xml:space="preserve"> w</w:t>
      </w:r>
      <w:r w:rsidR="00EC60BB">
        <w:t>ould</w:t>
      </w:r>
      <w:r>
        <w:t xml:space="preserve"> be required to log these new fishing trips in ODDS</w:t>
      </w:r>
      <w:r w:rsidR="00EC60BB">
        <w:t>, and to carry an observer if selected to do so.</w:t>
      </w:r>
    </w:p>
    <w:p w14:paraId="7FFD2BA7" w14:textId="3BD6DAA9" w:rsidR="00B15BB6" w:rsidRPr="001B467C" w:rsidRDefault="00B15BB6" w:rsidP="00B15BB6">
      <w:pPr>
        <w:numPr>
          <w:ilvl w:val="12"/>
          <w:numId w:val="0"/>
        </w:numPr>
        <w:spacing w:line="480" w:lineRule="auto"/>
        <w:rPr>
          <w:i/>
        </w:rPr>
      </w:pPr>
      <w:r w:rsidRPr="003607A3">
        <w:rPr>
          <w:i/>
        </w:rPr>
        <w:t>Other Regulatory Change</w:t>
      </w:r>
    </w:p>
    <w:p w14:paraId="5D0991E7" w14:textId="690C05CA" w:rsidR="00B15BB6" w:rsidRPr="00BA4FF9" w:rsidRDefault="00145803" w:rsidP="00DD069A">
      <w:pPr>
        <w:pStyle w:val="ListParagraph"/>
        <w:spacing w:line="480" w:lineRule="auto"/>
        <w:rPr>
          <w:rFonts w:ascii="Times New Roman" w:hAnsi="Times New Roman"/>
          <w:iCs/>
          <w:sz w:val="24"/>
          <w:szCs w:val="24"/>
        </w:rPr>
      </w:pPr>
      <w:r>
        <w:tab/>
      </w:r>
      <w:r w:rsidR="008E3C9B">
        <w:rPr>
          <w:rFonts w:ascii="Times New Roman" w:hAnsi="Times New Roman"/>
          <w:sz w:val="24"/>
          <w:szCs w:val="24"/>
        </w:rPr>
        <w:t xml:space="preserve">The proposed rule would </w:t>
      </w:r>
      <w:r w:rsidR="00B15BB6" w:rsidRPr="00BA4FF9">
        <w:rPr>
          <w:rFonts w:ascii="Times New Roman" w:hAnsi="Times New Roman"/>
          <w:sz w:val="24"/>
          <w:szCs w:val="24"/>
        </w:rPr>
        <w:t xml:space="preserve">remove the table in </w:t>
      </w:r>
      <w:r w:rsidR="008E3C9B" w:rsidRPr="00BA4FF9">
        <w:rPr>
          <w:rFonts w:ascii="Times New Roman" w:hAnsi="Times New Roman"/>
          <w:sz w:val="24"/>
          <w:szCs w:val="24"/>
        </w:rPr>
        <w:t>§ 679.51</w:t>
      </w:r>
      <w:r w:rsidR="00B15BB6" w:rsidRPr="00BA4FF9">
        <w:rPr>
          <w:rFonts w:ascii="Times New Roman" w:hAnsi="Times New Roman"/>
          <w:sz w:val="24"/>
          <w:szCs w:val="24"/>
        </w:rPr>
        <w:t>(f)</w:t>
      </w:r>
      <w:r w:rsidR="006858F9">
        <w:rPr>
          <w:rFonts w:ascii="Times New Roman" w:hAnsi="Times New Roman"/>
          <w:sz w:val="24"/>
          <w:szCs w:val="24"/>
        </w:rPr>
        <w:t xml:space="preserve">. </w:t>
      </w:r>
      <w:r w:rsidR="008C0EAC">
        <w:rPr>
          <w:rFonts w:ascii="Times New Roman" w:hAnsi="Times New Roman"/>
          <w:sz w:val="24"/>
          <w:szCs w:val="24"/>
        </w:rPr>
        <w:t>NMFS determined that t</w:t>
      </w:r>
      <w:r w:rsidR="005423E5" w:rsidRPr="00BA4FF9">
        <w:rPr>
          <w:rFonts w:ascii="Times New Roman" w:hAnsi="Times New Roman"/>
          <w:sz w:val="24"/>
          <w:szCs w:val="24"/>
        </w:rPr>
        <w:t xml:space="preserve">his table </w:t>
      </w:r>
      <w:r>
        <w:rPr>
          <w:rFonts w:ascii="Times New Roman" w:hAnsi="Times New Roman"/>
          <w:sz w:val="24"/>
          <w:szCs w:val="24"/>
        </w:rPr>
        <w:t xml:space="preserve">no </w:t>
      </w:r>
      <w:r w:rsidR="00B15BB6" w:rsidRPr="00BA4FF9">
        <w:rPr>
          <w:rFonts w:ascii="Times New Roman" w:hAnsi="Times New Roman"/>
          <w:sz w:val="24"/>
          <w:szCs w:val="24"/>
        </w:rPr>
        <w:t xml:space="preserve">longer provides an easily readable reference to </w:t>
      </w:r>
      <w:r w:rsidR="005423E5" w:rsidRPr="00BA4FF9">
        <w:rPr>
          <w:rFonts w:ascii="Times New Roman" w:hAnsi="Times New Roman"/>
          <w:sz w:val="24"/>
          <w:szCs w:val="24"/>
        </w:rPr>
        <w:t xml:space="preserve">observer requirements in </w:t>
      </w:r>
      <w:r w:rsidR="00B15BB6" w:rsidRPr="00BA4FF9">
        <w:rPr>
          <w:rFonts w:ascii="Times New Roman" w:hAnsi="Times New Roman"/>
          <w:sz w:val="24"/>
          <w:szCs w:val="24"/>
        </w:rPr>
        <w:t>§ 679.51</w:t>
      </w:r>
      <w:r w:rsidR="006858F9">
        <w:rPr>
          <w:rFonts w:ascii="Times New Roman" w:hAnsi="Times New Roman"/>
          <w:sz w:val="24"/>
          <w:szCs w:val="24"/>
        </w:rPr>
        <w:t xml:space="preserve">. </w:t>
      </w:r>
      <w:r w:rsidR="005423E5" w:rsidRPr="00BA4FF9">
        <w:rPr>
          <w:rFonts w:ascii="Times New Roman" w:hAnsi="Times New Roman"/>
          <w:sz w:val="24"/>
          <w:szCs w:val="24"/>
        </w:rPr>
        <w:t>Therefore</w:t>
      </w:r>
      <w:r w:rsidR="00B15BB6" w:rsidRPr="00BA4FF9">
        <w:rPr>
          <w:rFonts w:ascii="Times New Roman" w:hAnsi="Times New Roman"/>
          <w:sz w:val="24"/>
          <w:szCs w:val="24"/>
        </w:rPr>
        <w:t>, NMFS proposes to remove the table.</w:t>
      </w:r>
    </w:p>
    <w:p w14:paraId="542046F2" w14:textId="77777777" w:rsidR="00B15BB6" w:rsidRPr="005423E5" w:rsidRDefault="00B15BB6" w:rsidP="00B15BB6">
      <w:pPr>
        <w:numPr>
          <w:ilvl w:val="12"/>
          <w:numId w:val="0"/>
        </w:numPr>
        <w:spacing w:line="480" w:lineRule="auto"/>
        <w:rPr>
          <w:b/>
        </w:rPr>
      </w:pPr>
      <w:r w:rsidRPr="005423E5">
        <w:rPr>
          <w:b/>
        </w:rPr>
        <w:t>Classification</w:t>
      </w:r>
    </w:p>
    <w:p w14:paraId="754EA6A6" w14:textId="2462F6CA" w:rsidR="00B15BB6" w:rsidRDefault="00B15BB6" w:rsidP="00B15BB6">
      <w:pPr>
        <w:numPr>
          <w:ilvl w:val="12"/>
          <w:numId w:val="0"/>
        </w:numPr>
        <w:spacing w:line="480" w:lineRule="auto"/>
        <w:ind w:firstLine="720"/>
      </w:pPr>
      <w:r w:rsidRPr="003A426F">
        <w:t>Pursuant to section</w:t>
      </w:r>
      <w:r w:rsidR="008C0EAC">
        <w:t>s</w:t>
      </w:r>
      <w:r w:rsidRPr="003A426F">
        <w:t xml:space="preserve"> 304(b)(1)(A) </w:t>
      </w:r>
      <w:r w:rsidR="008C0EAC">
        <w:t xml:space="preserve">and 305(d) </w:t>
      </w:r>
      <w:r w:rsidRPr="003A426F">
        <w:t xml:space="preserve">of the Magnuson-Stevens Act, the NMFS Assistant Administrator has determined that this proposed rule is consistent with </w:t>
      </w:r>
      <w:r w:rsidRPr="00B23E51">
        <w:t>Amendment 109 to the FMP,</w:t>
      </w:r>
      <w:r w:rsidRPr="003A426F">
        <w:t xml:space="preserve"> other provisions of the Magnuson-Stevens Act, and other applicable law, subject to further consideration after public comment</w:t>
      </w:r>
      <w:r w:rsidR="006858F9">
        <w:t xml:space="preserve">. </w:t>
      </w:r>
    </w:p>
    <w:p w14:paraId="655C2E5B" w14:textId="77777777" w:rsidR="00B15BB6" w:rsidRDefault="00B15BB6" w:rsidP="00B15BB6">
      <w:pPr>
        <w:numPr>
          <w:ilvl w:val="12"/>
          <w:numId w:val="0"/>
        </w:numPr>
        <w:spacing w:line="480" w:lineRule="auto"/>
        <w:ind w:firstLine="720"/>
      </w:pPr>
      <w:r w:rsidRPr="003A426F">
        <w:t>This proposed rule has been determined to be not significant for purposes of Executive Order</w:t>
      </w:r>
      <w:r>
        <w:t xml:space="preserve"> </w:t>
      </w:r>
      <w:r w:rsidRPr="003A426F">
        <w:t>12866</w:t>
      </w:r>
      <w:r>
        <w:t>.</w:t>
      </w:r>
    </w:p>
    <w:p w14:paraId="1C6B433C" w14:textId="77777777" w:rsidR="00B15BB6" w:rsidRPr="00840CD3" w:rsidRDefault="00B15BB6" w:rsidP="00B15BB6">
      <w:pPr>
        <w:numPr>
          <w:ilvl w:val="12"/>
          <w:numId w:val="0"/>
        </w:numPr>
        <w:spacing w:line="480" w:lineRule="auto"/>
        <w:rPr>
          <w:i/>
        </w:rPr>
      </w:pPr>
      <w:r w:rsidRPr="00840CD3">
        <w:rPr>
          <w:i/>
        </w:rPr>
        <w:t>Initial Regulatory Flexibility Analysis</w:t>
      </w:r>
    </w:p>
    <w:p w14:paraId="59FF1708" w14:textId="49E3CEDC" w:rsidR="00B15BB6" w:rsidRDefault="00B15BB6" w:rsidP="00B15BB6">
      <w:pPr>
        <w:numPr>
          <w:ilvl w:val="12"/>
          <w:numId w:val="0"/>
        </w:numPr>
        <w:spacing w:line="480" w:lineRule="auto"/>
        <w:ind w:firstLine="720"/>
        <w:rPr>
          <w:shd w:val="clear" w:color="auto" w:fill="FFFFFF"/>
        </w:rPr>
      </w:pPr>
      <w:r w:rsidRPr="00840CD3">
        <w:t>An initial regulatory flexibility analysis (IRFA) was prepared, as required b</w:t>
      </w:r>
      <w:r>
        <w:t>y section 603 of the Regulatory Flexibility Act (RFA)</w:t>
      </w:r>
      <w:r w:rsidR="006858F9">
        <w:t xml:space="preserve">. </w:t>
      </w:r>
      <w:r w:rsidRPr="00840CD3">
        <w:t>The IRFA describes the economic impact this proposed rule, if adopted, would have on small entities</w:t>
      </w:r>
      <w:r w:rsidR="006858F9">
        <w:t xml:space="preserve">. </w:t>
      </w:r>
      <w:r w:rsidRPr="00840CD3">
        <w:t xml:space="preserve">A </w:t>
      </w:r>
      <w:r>
        <w:t xml:space="preserve">further </w:t>
      </w:r>
      <w:r w:rsidRPr="00840CD3">
        <w:t xml:space="preserve">description of the action, why it is being considered, and the legal basis for this action are contained </w:t>
      </w:r>
      <w:r>
        <w:t xml:space="preserve">earlier </w:t>
      </w:r>
      <w:r w:rsidRPr="00840CD3">
        <w:t xml:space="preserve">in the preamble </w:t>
      </w:r>
      <w:r>
        <w:t xml:space="preserve">to this proposed rule. </w:t>
      </w:r>
      <w:r w:rsidRPr="00840CD3">
        <w:t xml:space="preserve">A copy of </w:t>
      </w:r>
      <w:r>
        <w:t xml:space="preserve">the IRFA </w:t>
      </w:r>
      <w:r w:rsidRPr="00840CD3">
        <w:t xml:space="preserve">is available from NMFS (see </w:t>
      </w:r>
      <w:r w:rsidRPr="00284CEB">
        <w:rPr>
          <w:b/>
        </w:rPr>
        <w:t>ADDRESSES</w:t>
      </w:r>
      <w:r w:rsidRPr="00840CD3">
        <w:t>)</w:t>
      </w:r>
      <w:r w:rsidR="006858F9">
        <w:t xml:space="preserve">. </w:t>
      </w:r>
      <w:r w:rsidRPr="00840CD3">
        <w:t>A summary of the analysis follows.</w:t>
      </w:r>
      <w:r w:rsidRPr="00840CD3">
        <w:rPr>
          <w:shd w:val="clear" w:color="auto" w:fill="FFFFFF"/>
        </w:rPr>
        <w:t xml:space="preserve"> </w:t>
      </w:r>
    </w:p>
    <w:p w14:paraId="2E97364C" w14:textId="0D4714B7" w:rsidR="00B15BB6" w:rsidRPr="00840CD3" w:rsidRDefault="00B15BB6" w:rsidP="00B15BB6">
      <w:pPr>
        <w:spacing w:line="480" w:lineRule="auto"/>
        <w:ind w:firstLine="720"/>
      </w:pPr>
      <w:r w:rsidRPr="00840CD3">
        <w:lastRenderedPageBreak/>
        <w:t xml:space="preserve">The proposed action would directly regulate </w:t>
      </w:r>
      <w:r>
        <w:t xml:space="preserve">two classes of small entities: </w:t>
      </w:r>
      <w:r w:rsidRPr="00840CD3">
        <w:t xml:space="preserve">1) </w:t>
      </w:r>
      <w:r w:rsidR="00212E14">
        <w:t>t</w:t>
      </w:r>
      <w:r w:rsidRPr="00840CD3">
        <w:t xml:space="preserve">he </w:t>
      </w:r>
      <w:r>
        <w:t xml:space="preserve">six </w:t>
      </w:r>
      <w:r w:rsidRPr="00840CD3">
        <w:t>CDQ groups, which are non-profit corporations that represent the 65 western Alaska communities that are eligible to parti</w:t>
      </w:r>
      <w:r>
        <w:t>cipate in the CDQ Program</w:t>
      </w:r>
      <w:r w:rsidR="00212E14">
        <w:t xml:space="preserve">; </w:t>
      </w:r>
      <w:r>
        <w:t xml:space="preserve">and </w:t>
      </w:r>
      <w:r w:rsidRPr="00840CD3">
        <w:t xml:space="preserve">2) the owners and operators of small hook-and-line catcher vessels </w:t>
      </w:r>
      <w:r w:rsidR="00F22029">
        <w:t>who</w:t>
      </w:r>
      <w:r w:rsidRPr="00840CD3">
        <w:t xml:space="preserve"> are authorized by a CDQ group to harvest groundfish or halibut CDQ allocations</w:t>
      </w:r>
      <w:r w:rsidR="006858F9">
        <w:t xml:space="preserve">. </w:t>
      </w:r>
      <w:r w:rsidRPr="00840CD3">
        <w:t xml:space="preserve">  </w:t>
      </w:r>
    </w:p>
    <w:p w14:paraId="7A0ACCE9" w14:textId="26F1C657" w:rsidR="00B15BB6" w:rsidRPr="00840CD3" w:rsidRDefault="00B15BB6" w:rsidP="00B15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rFonts w:eastAsia="MS Mincho"/>
        </w:rPr>
      </w:pPr>
      <w:r w:rsidRPr="00840CD3">
        <w:rPr>
          <w:rFonts w:eastAsia="MS Mincho"/>
        </w:rPr>
        <w:tab/>
        <w:t xml:space="preserve">The RFA recognizes and defines </w:t>
      </w:r>
      <w:r>
        <w:rPr>
          <w:rFonts w:eastAsia="MS Mincho"/>
        </w:rPr>
        <w:t xml:space="preserve">three kinds of small entities: </w:t>
      </w:r>
      <w:r w:rsidRPr="00840CD3">
        <w:rPr>
          <w:rFonts w:eastAsia="MS Mincho"/>
        </w:rPr>
        <w:t>1) small bus</w:t>
      </w:r>
      <w:r>
        <w:rPr>
          <w:rFonts w:eastAsia="MS Mincho"/>
        </w:rPr>
        <w:t xml:space="preserve">inesses, </w:t>
      </w:r>
      <w:r w:rsidRPr="00840CD3">
        <w:rPr>
          <w:rFonts w:eastAsia="MS Mincho"/>
        </w:rPr>
        <w:t>2) small</w:t>
      </w:r>
      <w:r>
        <w:rPr>
          <w:rFonts w:eastAsia="MS Mincho"/>
        </w:rPr>
        <w:t xml:space="preserve"> non-profit organizations, and </w:t>
      </w:r>
      <w:r w:rsidRPr="00840CD3">
        <w:rPr>
          <w:rFonts w:eastAsia="MS Mincho"/>
        </w:rPr>
        <w:t>3) small government jurisdictions. The CDQ groups are considered small entities due to their status as non-profit corporations</w:t>
      </w:r>
      <w:r w:rsidR="006858F9">
        <w:rPr>
          <w:rFonts w:eastAsia="MS Mincho"/>
        </w:rPr>
        <w:t xml:space="preserve">. </w:t>
      </w:r>
      <w:r w:rsidR="00F564B7">
        <w:rPr>
          <w:rFonts w:eastAsia="MS Mincho"/>
        </w:rPr>
        <w:t xml:space="preserve">According to </w:t>
      </w:r>
      <w:r w:rsidRPr="006A205D">
        <w:t xml:space="preserve">Section </w:t>
      </w:r>
      <w:r w:rsidR="006A205D">
        <w:t>1.2.1</w:t>
      </w:r>
      <w:r>
        <w:t xml:space="preserve"> of the Analysis</w:t>
      </w:r>
      <w:r w:rsidR="00F564B7">
        <w:t>,</w:t>
      </w:r>
      <w:r>
        <w:t xml:space="preserve"> </w:t>
      </w:r>
      <w:r w:rsidRPr="00840CD3">
        <w:rPr>
          <w:rFonts w:eastAsia="MS Mincho"/>
        </w:rPr>
        <w:t>the six CDQ groups had total revenues of approximately $311.5 million in 2011, primarily from royalties on the lease of pollock CDQ allocations</w:t>
      </w:r>
      <w:r w:rsidR="006858F9">
        <w:rPr>
          <w:rFonts w:eastAsia="MS Mincho"/>
        </w:rPr>
        <w:t xml:space="preserve">. </w:t>
      </w:r>
      <w:r w:rsidRPr="00840CD3">
        <w:rPr>
          <w:rFonts w:eastAsia="MS Mincho"/>
        </w:rPr>
        <w:t>Between 1992 and 2011, the CDQ groups accumulated net assets worth approximately $803 million, including ownership of small local processing plants, catcher vessels, and catcher/processors that participate in the groundfish, crab, salmon, and halibut fisheries</w:t>
      </w:r>
      <w:r w:rsidR="006858F9">
        <w:rPr>
          <w:rFonts w:eastAsia="MS Mincho"/>
        </w:rPr>
        <w:t xml:space="preserve">. </w:t>
      </w:r>
    </w:p>
    <w:p w14:paraId="0B63F58B" w14:textId="30A53711" w:rsidR="00B15BB6" w:rsidRPr="00840CD3" w:rsidRDefault="00B15BB6" w:rsidP="00B15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rFonts w:eastAsia="MS Mincho"/>
        </w:rPr>
      </w:pPr>
      <w:r w:rsidRPr="00840CD3">
        <w:rPr>
          <w:rFonts w:eastAsia="MS Mincho"/>
        </w:rPr>
        <w:tab/>
        <w:t>The Small Business Administration has established size standards for all major industry sectors in the U</w:t>
      </w:r>
      <w:r w:rsidR="00212E14">
        <w:rPr>
          <w:rFonts w:eastAsia="MS Mincho"/>
        </w:rPr>
        <w:t>nited States</w:t>
      </w:r>
      <w:r w:rsidR="006858F9">
        <w:rPr>
          <w:rFonts w:eastAsia="MS Mincho"/>
        </w:rPr>
        <w:t xml:space="preserve">. </w:t>
      </w:r>
      <w:r w:rsidRPr="00840CD3">
        <w:rPr>
          <w:rFonts w:eastAsia="MS Mincho"/>
        </w:rPr>
        <w:t xml:space="preserve">A business </w:t>
      </w:r>
      <w:r w:rsidRPr="00DD069A">
        <w:rPr>
          <w:rFonts w:eastAsia="MS Mincho"/>
        </w:rPr>
        <w:t>primarily</w:t>
      </w:r>
      <w:r w:rsidRPr="00840CD3">
        <w:rPr>
          <w:rFonts w:eastAsia="MS Mincho"/>
        </w:rPr>
        <w:t xml:space="preserve"> involved in finfish harvesting is classified as a small business if it is independently owned and operated, is not dominant in its field of operation (including its affiliates), and has combined annual gross receipts not in excess of $20.5 million, for all its affiliated operations worldwide. </w:t>
      </w:r>
    </w:p>
    <w:p w14:paraId="14CF8262" w14:textId="620ED9F7" w:rsidR="00B15BB6" w:rsidRDefault="00B15BB6" w:rsidP="00B15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rPr>
          <w:shd w:val="clear" w:color="auto" w:fill="FFFFFF"/>
        </w:rPr>
        <w:tab/>
      </w:r>
      <w:r w:rsidRPr="00840CD3">
        <w:rPr>
          <w:shd w:val="clear" w:color="auto" w:fill="FFFFFF"/>
        </w:rPr>
        <w:t>It is difficult to predict how many small hook-and-line catcher vessels may participate in the f</w:t>
      </w:r>
      <w:r>
        <w:rPr>
          <w:shd w:val="clear" w:color="auto" w:fill="FFFFFF"/>
        </w:rPr>
        <w:t xml:space="preserve">uture under the proposed action because no </w:t>
      </w:r>
      <w:r w:rsidRPr="00DA6E85">
        <w:t>catcher vessels less than or equal to 46 f</w:t>
      </w:r>
      <w:r>
        <w:t>t</w:t>
      </w:r>
      <w:r w:rsidRPr="00DA6E85">
        <w:t xml:space="preserve"> LOA using hook-and-line gear</w:t>
      </w:r>
      <w:r>
        <w:t xml:space="preserve"> currently are </w:t>
      </w:r>
      <w:r w:rsidR="008F00FB">
        <w:t xml:space="preserve">conducting directed </w:t>
      </w:r>
      <w:r>
        <w:t xml:space="preserve">fishing for </w:t>
      </w:r>
      <w:r>
        <w:lastRenderedPageBreak/>
        <w:t xml:space="preserve">groundfish CDQ. The best estimate of the upper bound of the number of future participants in the small </w:t>
      </w:r>
      <w:r w:rsidR="00F22029">
        <w:t xml:space="preserve">catcher </w:t>
      </w:r>
      <w:r>
        <w:t xml:space="preserve">vessel Pacific cod CDQ fisheries is the maximum of 278 vessels less than or equal to 46 ft </w:t>
      </w:r>
      <w:r w:rsidR="00212E14">
        <w:t>LOA</w:t>
      </w:r>
      <w:r>
        <w:t xml:space="preserve"> that participated in the halibut CDQ fisheries</w:t>
      </w:r>
      <w:r w:rsidR="008F00FB">
        <w:t xml:space="preserve"> from 2000 to 2013</w:t>
      </w:r>
      <w:r w:rsidR="006858F9">
        <w:t xml:space="preserve">. </w:t>
      </w:r>
      <w:r w:rsidR="005423E5">
        <w:t>NMFS assumes that all of the vessels that could be directly regulated by this action would be small entities based on estimated revenues of less than $20.5 million for all vessels and their known affiliations.</w:t>
      </w:r>
    </w:p>
    <w:p w14:paraId="0B798701" w14:textId="65D6DA09" w:rsidR="00B15BB6" w:rsidRDefault="00B15BB6" w:rsidP="00B15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 xml:space="preserve">The proposed action contains three new reporting and recordkeeping requirements that affect small entities. First, each CDQ group that authorizes </w:t>
      </w:r>
      <w:r w:rsidRPr="00DA6E85">
        <w:t>catcher vessels greater than 32 ft LOA and less than or equal to 46 ft LOA using hook-and-line gear</w:t>
      </w:r>
      <w:r>
        <w:t xml:space="preserve"> to fish for groundfish CDQ with an exemption from the LLP would be required to register the vessel in an online </w:t>
      </w:r>
      <w:r w:rsidR="00B6125E">
        <w:t xml:space="preserve">CDQ </w:t>
      </w:r>
      <w:r>
        <w:t>vessel registration system developed and maintained by NMFS</w:t>
      </w:r>
      <w:r w:rsidR="006858F9">
        <w:t xml:space="preserve">. </w:t>
      </w:r>
      <w:r>
        <w:t>All six CDQ groups would then be subject to the vessel registration requirement if they had vessels participating</w:t>
      </w:r>
      <w:r w:rsidR="006858F9">
        <w:t xml:space="preserve">. </w:t>
      </w:r>
      <w:r>
        <w:t xml:space="preserve"> </w:t>
      </w:r>
    </w:p>
    <w:p w14:paraId="503CDEB2" w14:textId="48FF4A5F" w:rsidR="00B15BB6" w:rsidRDefault="00B15BB6" w:rsidP="00B15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 xml:space="preserve">Second, </w:t>
      </w:r>
      <w:r w:rsidRPr="00DA6E85">
        <w:t xml:space="preserve">operators of </w:t>
      </w:r>
      <w:r w:rsidR="00F22029">
        <w:t xml:space="preserve">registered </w:t>
      </w:r>
      <w:r w:rsidRPr="00DA6E85">
        <w:t xml:space="preserve">catcher vessels greater than 32 ft LOA and less than or equal to 46 ft LOA using hook-and-line gear </w:t>
      </w:r>
      <w:r>
        <w:t xml:space="preserve">that would be exempt from the LLP </w:t>
      </w:r>
      <w:r w:rsidR="00F22029">
        <w:t xml:space="preserve">license </w:t>
      </w:r>
      <w:r>
        <w:t>requirement</w:t>
      </w:r>
      <w:r w:rsidR="00F22029">
        <w:t>s</w:t>
      </w:r>
      <w:r>
        <w:t xml:space="preserve"> would be required to maintain a </w:t>
      </w:r>
      <w:r w:rsidR="00212E14">
        <w:t xml:space="preserve">legible </w:t>
      </w:r>
      <w:r>
        <w:t>copy of an LLP exemption letter on board the vessel at all times wh</w:t>
      </w:r>
      <w:r w:rsidR="00856510">
        <w:t>en</w:t>
      </w:r>
      <w:r>
        <w:t xml:space="preserve"> groundfish CDQ fishing</w:t>
      </w:r>
      <w:r w:rsidR="006858F9">
        <w:t xml:space="preserve">. </w:t>
      </w:r>
      <w:r>
        <w:t xml:space="preserve">The </w:t>
      </w:r>
      <w:r w:rsidR="007C08BA">
        <w:t xml:space="preserve">LLP exemption </w:t>
      </w:r>
      <w:r>
        <w:t xml:space="preserve">letter would be generated through the </w:t>
      </w:r>
      <w:r w:rsidR="00B6125E">
        <w:t xml:space="preserve">CDQ </w:t>
      </w:r>
      <w:r>
        <w:t xml:space="preserve">vessel registration system when a CDQ group registered an </w:t>
      </w:r>
      <w:r w:rsidR="00F22029">
        <w:t>eligible</w:t>
      </w:r>
      <w:r>
        <w:t xml:space="preserve"> vessel</w:t>
      </w:r>
      <w:r w:rsidR="006858F9">
        <w:t xml:space="preserve">. </w:t>
      </w:r>
      <w:r>
        <w:t>Each CDQ group representative would be required to provide this lett</w:t>
      </w:r>
      <w:r w:rsidR="005423E5">
        <w:t>er to the vessel operator</w:t>
      </w:r>
      <w:r w:rsidR="006858F9">
        <w:t xml:space="preserve">. </w:t>
      </w:r>
      <w:r w:rsidR="005423E5">
        <w:t>A</w:t>
      </w:r>
      <w:r>
        <w:t>ll six CDQ groups</w:t>
      </w:r>
      <w:r w:rsidR="005423E5">
        <w:t xml:space="preserve"> and all vessel operators</w:t>
      </w:r>
      <w:r>
        <w:t xml:space="preserve"> could be subject to this requirement</w:t>
      </w:r>
      <w:r w:rsidR="006858F9">
        <w:t xml:space="preserve">. </w:t>
      </w:r>
      <w:r>
        <w:t xml:space="preserve">  </w:t>
      </w:r>
    </w:p>
    <w:p w14:paraId="4A382862" w14:textId="737646E2" w:rsidR="00B15BB6" w:rsidRDefault="00B15BB6" w:rsidP="00B15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lastRenderedPageBreak/>
        <w:tab/>
        <w:t>Third, small catcher vessel</w:t>
      </w:r>
      <w:r w:rsidR="00212E14">
        <w:t>s</w:t>
      </w:r>
      <w:r>
        <w:t xml:space="preserve"> fishing for groundfish </w:t>
      </w:r>
      <w:r w:rsidR="00B81529">
        <w:t xml:space="preserve">CDQ </w:t>
      </w:r>
      <w:r>
        <w:t>under the proposed action would be placed in the partial observer coverage category. Vessels subject to observer coverage are determined annually through the Observer</w:t>
      </w:r>
      <w:r w:rsidR="00212E14">
        <w:t xml:space="preserve"> Program’s</w:t>
      </w:r>
      <w:r>
        <w:t xml:space="preserve"> Annual Deployment Plan (ADP). Since inception of the ADP process in 2013, vessels less than 40 ft. LOA have been placed in the “no selection pool” and have </w:t>
      </w:r>
      <w:r w:rsidR="00212E14">
        <w:t xml:space="preserve">had </w:t>
      </w:r>
      <w:r>
        <w:t>no additional reporting or recordkeeping requirements. Vessels 40 ft LOA or greater are in the “trip selection pool” and must log all of their fishing trips in the Observer Declare and Deploy System (ODDS). This is an online system for registering fishing trips and receiving information about whether a particular trip is selected for observer coverage.</w:t>
      </w:r>
    </w:p>
    <w:p w14:paraId="677209A5" w14:textId="2417CEF6" w:rsidR="00B15BB6" w:rsidRDefault="00B15BB6" w:rsidP="00B15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Vessels between 40 ft</w:t>
      </w:r>
      <w:r w:rsidR="00212E14">
        <w:t xml:space="preserve"> LOA</w:t>
      </w:r>
      <w:r>
        <w:t xml:space="preserve"> and 46 ft </w:t>
      </w:r>
      <w:r w:rsidR="00212E14">
        <w:t xml:space="preserve">LOA </w:t>
      </w:r>
      <w:r>
        <w:t>already log their halibut CDQ and halibut IFQ fishing trips in ODDS</w:t>
      </w:r>
      <w:r w:rsidR="006858F9">
        <w:t xml:space="preserve">. </w:t>
      </w:r>
      <w:r>
        <w:t>Therefore, if these vessels are combining groundfish CDQ fishing with halibut CDQ or halibut IFQ fishing, they would not incur any additional reporting requirements associated with placement in the partial observer coverage category because the halibut trips already are in partial observer coverage. However, if any of these vessels start</w:t>
      </w:r>
      <w:r w:rsidR="00212E14">
        <w:t>s</w:t>
      </w:r>
      <w:r>
        <w:t xml:space="preserve"> fishing for groundfish CDQ separate from their halibut CDQ or </w:t>
      </w:r>
      <w:r w:rsidR="00D21A0F">
        <w:t xml:space="preserve">halibut </w:t>
      </w:r>
      <w:r>
        <w:t xml:space="preserve">IFQ fishing trips, then those additional fishing trips would be required to be logged in ODDS. The cost of logging trips in ODDS would represent an additional cost associated with the new </w:t>
      </w:r>
      <w:r w:rsidR="00B81529">
        <w:t xml:space="preserve">small catcher vessel </w:t>
      </w:r>
      <w:r>
        <w:t>groundfish CDQ fisheries</w:t>
      </w:r>
      <w:r w:rsidR="006858F9">
        <w:t xml:space="preserve">. </w:t>
      </w:r>
      <w:r>
        <w:t xml:space="preserve">  </w:t>
      </w:r>
    </w:p>
    <w:p w14:paraId="30F8A6F8" w14:textId="00BD58BB" w:rsidR="00B15BB6" w:rsidRDefault="00B15BB6" w:rsidP="00B15BB6">
      <w:pPr>
        <w:spacing w:line="480" w:lineRule="auto"/>
      </w:pPr>
      <w:r>
        <w:tab/>
        <w:t xml:space="preserve">The RFA requires identification of any significant alternatives to the proposed rule that accomplish the stated objectives of the proposed action, consistent with applicable statutes, and that would minimize any significant economic impact of the proposed rule on small entities. As noted in the IRFA, the proposed action is expected to </w:t>
      </w:r>
      <w:r>
        <w:lastRenderedPageBreak/>
        <w:t>create a net benefit for the direct</w:t>
      </w:r>
      <w:r w:rsidR="009F6602">
        <w:t>ly regulated small entities. T</w:t>
      </w:r>
      <w:r>
        <w:t xml:space="preserve">he benefits of the proposed action are expected </w:t>
      </w:r>
      <w:r w:rsidR="00212E14">
        <w:t xml:space="preserve">to </w:t>
      </w:r>
      <w:r>
        <w:t xml:space="preserve">outweigh the reporting, recordkeeping, and other compliance costs described in the previous section. </w:t>
      </w:r>
    </w:p>
    <w:p w14:paraId="33C83D76" w14:textId="4B1E0D3F" w:rsidR="00FC2BE5" w:rsidRDefault="00B15BB6" w:rsidP="00B15BB6">
      <w:pPr>
        <w:spacing w:line="480" w:lineRule="auto"/>
      </w:pPr>
      <w:r>
        <w:tab/>
        <w:t xml:space="preserve">The Council considered </w:t>
      </w:r>
      <w:r w:rsidR="00FC2BE5">
        <w:t xml:space="preserve">a status quo alternative (Alternative 1), and </w:t>
      </w:r>
      <w:r>
        <w:t>two action alternatives (Alternative</w:t>
      </w:r>
      <w:r w:rsidR="00212E14">
        <w:t>s</w:t>
      </w:r>
      <w:r>
        <w:t xml:space="preserve"> 2 and 3) to the pr</w:t>
      </w:r>
      <w:r w:rsidR="00FC2BE5">
        <w:t>eferred alternative (Alternative 4)</w:t>
      </w:r>
      <w:r w:rsidR="00F87966">
        <w:t>.  N</w:t>
      </w:r>
      <w:r>
        <w:t>either</w:t>
      </w:r>
      <w:r w:rsidR="00FC2BE5">
        <w:t xml:space="preserve"> A</w:t>
      </w:r>
      <w:r>
        <w:t>lternative</w:t>
      </w:r>
      <w:r w:rsidR="00FC2BE5">
        <w:t xml:space="preserve"> 2 </w:t>
      </w:r>
      <w:r w:rsidR="00B81529">
        <w:t>n</w:t>
      </w:r>
      <w:r w:rsidR="00FC2BE5">
        <w:t xml:space="preserve">or 3 </w:t>
      </w:r>
      <w:r>
        <w:t>would have provided more benefits to the directed regulated small entities or reduced reporting, recordkeeping, or compliance costs more than the pr</w:t>
      </w:r>
      <w:r w:rsidR="00FC2BE5">
        <w:t>eferred alternative that would be implemented by this proposed rule</w:t>
      </w:r>
      <w:r w:rsidR="006858F9">
        <w:t xml:space="preserve">. </w:t>
      </w:r>
    </w:p>
    <w:p w14:paraId="4E2A45B8" w14:textId="2B59484E" w:rsidR="00B15BB6" w:rsidRDefault="00B15BB6" w:rsidP="00DD069A">
      <w:pPr>
        <w:spacing w:line="480" w:lineRule="auto"/>
        <w:ind w:firstLine="720"/>
      </w:pPr>
      <w:r>
        <w:t xml:space="preserve">Under Alternative 2, the </w:t>
      </w:r>
      <w:r w:rsidR="00212E14">
        <w:t>maximum retainable amount (</w:t>
      </w:r>
      <w:r>
        <w:t>MRA</w:t>
      </w:r>
      <w:r w:rsidR="00212E14">
        <w:t>)</w:t>
      </w:r>
      <w:r>
        <w:t xml:space="preserve"> of Pacific cod in the halibut CDQ fisheries would have been increased so the operators of the small hook-and-line vessels could retain more Pacific cod wh</w:t>
      </w:r>
      <w:r w:rsidR="00856510">
        <w:t>en</w:t>
      </w:r>
      <w:r>
        <w:t xml:space="preserve"> halibut CDQ fishing and still be considered directed fishing for halibut rather than directed fishing for Pacific cod.</w:t>
      </w:r>
      <w:r w:rsidR="00FC2BE5">
        <w:t xml:space="preserve">  Alternative 2</w:t>
      </w:r>
      <w:r>
        <w:t xml:space="preserve"> was considered because the more costly LLP license requirements, observer coverage requirements, and VMS requirements do not apply to vessels halibut CDQ fishing in the BSAI (except that the VMS requirements apply to vessels halibut fishing in the Aleutian Islands). Increasing the MRAs for Pacific cod wh</w:t>
      </w:r>
      <w:r w:rsidR="00856510">
        <w:t>en</w:t>
      </w:r>
      <w:r>
        <w:t xml:space="preserve"> halibut CDQ fishing would allow the small vessels to retain more Pacific cod without triggering requirements that apply to vessels directed fishing for Pacific cod. The Council did not select this alternative </w:t>
      </w:r>
      <w:r w:rsidRPr="00EE07B3">
        <w:t>because the pr</w:t>
      </w:r>
      <w:r w:rsidR="00B772DF" w:rsidRPr="00EE07B3">
        <w:t>eferred alternative</w:t>
      </w:r>
      <w:r w:rsidRPr="00EE07B3">
        <w:t xml:space="preserve"> would accomplish a similar outcome to </w:t>
      </w:r>
      <w:r w:rsidR="00FC2BE5" w:rsidRPr="00EE07B3">
        <w:t xml:space="preserve">Alternative </w:t>
      </w:r>
      <w:r w:rsidR="00EE07B3">
        <w:t>2</w:t>
      </w:r>
      <w:r>
        <w:t xml:space="preserve"> without creating a situation where vessels with the same catch composition were defined as fishing for halibut in the CDQ fisheries and fishing for Pacific cod in the </w:t>
      </w:r>
      <w:r>
        <w:lastRenderedPageBreak/>
        <w:t>non-CDQ fisheries</w:t>
      </w:r>
      <w:r w:rsidR="006858F9">
        <w:t xml:space="preserve">. </w:t>
      </w:r>
      <w:r>
        <w:t xml:space="preserve">Alternative 2 would have increased monitoring and enforcement costs relative to the preferred alternative. </w:t>
      </w:r>
    </w:p>
    <w:p w14:paraId="46C18493" w14:textId="3546F629" w:rsidR="00B15BB6" w:rsidRDefault="00B15BB6" w:rsidP="00B15BB6">
      <w:pPr>
        <w:spacing w:line="480" w:lineRule="auto"/>
        <w:ind w:firstLine="720"/>
      </w:pPr>
      <w:r>
        <w:t>The Council also considered Alternative 3, which would have created a new type of LLP license specific to the small CDQ vessels. This approach was an alternative to providing an exemption to the LLP, as is proposed in the preferred alternative</w:t>
      </w:r>
      <w:r w:rsidR="006858F9">
        <w:t xml:space="preserve">. </w:t>
      </w:r>
      <w:r>
        <w:t>However, this alternative would not necessarily have resulted in a reduction in reporting, recordkeeping, and compliance costs in comparison to the proposed action</w:t>
      </w:r>
      <w:r w:rsidR="006858F9">
        <w:t xml:space="preserve">. </w:t>
      </w:r>
      <w:r>
        <w:t xml:space="preserve">Issuing a new CDQ LLP </w:t>
      </w:r>
      <w:r w:rsidR="00212E14">
        <w:t xml:space="preserve">license </w:t>
      </w:r>
      <w:r>
        <w:t xml:space="preserve">would have required applications to NMFS and the issuance of a CDQ LLP </w:t>
      </w:r>
      <w:r w:rsidR="00212E14">
        <w:t xml:space="preserve">license </w:t>
      </w:r>
      <w:r>
        <w:t>with certain conditions</w:t>
      </w:r>
      <w:r w:rsidR="006858F9">
        <w:t xml:space="preserve">. </w:t>
      </w:r>
      <w:r>
        <w:t>Alternative 3 would have increased costs</w:t>
      </w:r>
      <w:r w:rsidR="00BA4FF9">
        <w:t xml:space="preserve"> relative to the preferred alternative</w:t>
      </w:r>
      <w:r w:rsidR="006858F9">
        <w:t xml:space="preserve">. </w:t>
      </w:r>
      <w:r>
        <w:t xml:space="preserve"> </w:t>
      </w:r>
    </w:p>
    <w:p w14:paraId="0F697C38" w14:textId="77777777" w:rsidR="00B15BB6" w:rsidRPr="00840CD3" w:rsidRDefault="00B15BB6" w:rsidP="00B15B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rsidRPr="00840CD3">
        <w:rPr>
          <w:shd w:val="clear" w:color="auto" w:fill="FFFFFF"/>
        </w:rPr>
        <w:tab/>
      </w:r>
      <w:r>
        <w:t>No relevant F</w:t>
      </w:r>
      <w:r w:rsidRPr="00840CD3">
        <w:t xml:space="preserve">ederal rules have been identified that would duplicate or overlap with the proposed action. </w:t>
      </w:r>
    </w:p>
    <w:p w14:paraId="5CCF3AAC" w14:textId="77777777" w:rsidR="00B15BB6" w:rsidRPr="00020362" w:rsidRDefault="00B15BB6" w:rsidP="00B15BB6">
      <w:pPr>
        <w:pStyle w:val="CM32"/>
        <w:tabs>
          <w:tab w:val="left" w:pos="720"/>
        </w:tabs>
        <w:spacing w:after="0" w:line="480" w:lineRule="auto"/>
        <w:rPr>
          <w:rFonts w:ascii="Times New Roman" w:hAnsi="Times New Roman" w:cs="Times New Roman"/>
          <w:i/>
        </w:rPr>
      </w:pPr>
      <w:r w:rsidRPr="00020362">
        <w:rPr>
          <w:rFonts w:ascii="Times New Roman" w:hAnsi="Times New Roman" w:cs="Times New Roman"/>
          <w:i/>
        </w:rPr>
        <w:t>Collection-of-Information Requirements</w:t>
      </w:r>
    </w:p>
    <w:p w14:paraId="1AB5572C" w14:textId="33A73DD8" w:rsidR="00B600C6" w:rsidRDefault="00B15BB6" w:rsidP="00B600C6">
      <w:pPr>
        <w:numPr>
          <w:ilvl w:val="12"/>
          <w:numId w:val="0"/>
        </w:numPr>
        <w:spacing w:line="480" w:lineRule="auto"/>
        <w:ind w:firstLine="720"/>
      </w:pPr>
      <w:r w:rsidRPr="003A426F">
        <w:t>This proposed rule contains collection-of-information requirement</w:t>
      </w:r>
      <w:r w:rsidR="00B600C6">
        <w:t>s</w:t>
      </w:r>
      <w:r w:rsidRPr="003A426F">
        <w:t xml:space="preserve"> subject to review and approval by </w:t>
      </w:r>
      <w:r w:rsidR="00295B3D">
        <w:t>the Office of Management and Budget (</w:t>
      </w:r>
      <w:r w:rsidRPr="003A426F">
        <w:t>OMB</w:t>
      </w:r>
      <w:r w:rsidR="00295B3D">
        <w:t>)</w:t>
      </w:r>
      <w:r w:rsidRPr="003A426F">
        <w:t xml:space="preserve"> under the Paperwork Reduction Act (PRA)</w:t>
      </w:r>
      <w:r w:rsidR="006858F9">
        <w:t xml:space="preserve">. </w:t>
      </w:r>
      <w:r w:rsidRPr="003A426F">
        <w:t>Th</w:t>
      </w:r>
      <w:r w:rsidR="00B600C6">
        <w:t>ese</w:t>
      </w:r>
      <w:r w:rsidRPr="003A426F">
        <w:t xml:space="preserve"> requirement</w:t>
      </w:r>
      <w:r w:rsidR="00B600C6">
        <w:t>s</w:t>
      </w:r>
      <w:r w:rsidRPr="003A426F">
        <w:t xml:space="preserve"> ha</w:t>
      </w:r>
      <w:r w:rsidR="00B600C6">
        <w:t>ve</w:t>
      </w:r>
      <w:r w:rsidRPr="003A426F">
        <w:t xml:space="preserve"> been submitted to OMB for approval</w:t>
      </w:r>
      <w:r w:rsidR="006858F9">
        <w:t xml:space="preserve">. </w:t>
      </w:r>
      <w:r w:rsidR="00B600C6">
        <w:t>The information collections are presented by OMB control number.</w:t>
      </w:r>
    </w:p>
    <w:p w14:paraId="39DDFB11" w14:textId="77777777" w:rsidR="00B600C6" w:rsidRPr="00DD069A" w:rsidRDefault="00B600C6" w:rsidP="00B600C6">
      <w:pPr>
        <w:spacing w:line="480" w:lineRule="auto"/>
      </w:pPr>
      <w:r w:rsidRPr="00DD069A">
        <w:t>OMB Control No. 0648-0269</w:t>
      </w:r>
    </w:p>
    <w:p w14:paraId="13F58AFA" w14:textId="0DF30404" w:rsidR="00B600C6" w:rsidRDefault="00B600C6" w:rsidP="00B600C6">
      <w:pPr>
        <w:spacing w:line="480" w:lineRule="auto"/>
        <w:ind w:firstLine="720"/>
      </w:pPr>
      <w:r w:rsidRPr="00546A0C">
        <w:t xml:space="preserve">Public reporting burden for </w:t>
      </w:r>
      <w:r>
        <w:t xml:space="preserve">CDQ Vessel Registration to add or remove vessels online that are </w:t>
      </w:r>
      <w:r w:rsidRPr="00DF4A06">
        <w:t>exempt from the LLP license requirements</w:t>
      </w:r>
      <w:r>
        <w:t xml:space="preserve"> </w:t>
      </w:r>
      <w:r w:rsidRPr="00546A0C">
        <w:t xml:space="preserve">is estimated to average </w:t>
      </w:r>
      <w:r>
        <w:t xml:space="preserve">five </w:t>
      </w:r>
      <w:r w:rsidRPr="00546A0C">
        <w:t>minutes per individual response</w:t>
      </w:r>
      <w:r w:rsidR="002E11B8">
        <w:t xml:space="preserve"> and</w:t>
      </w:r>
      <w:r>
        <w:t xml:space="preserve"> five minutes for maintenance of </w:t>
      </w:r>
      <w:r w:rsidR="002E11B8">
        <w:t xml:space="preserve">the </w:t>
      </w:r>
      <w:r>
        <w:t>LLP exemption letter on</w:t>
      </w:r>
      <w:r w:rsidR="002E11B8">
        <w:t xml:space="preserve"> </w:t>
      </w:r>
      <w:r>
        <w:t>board a vessel that is groundfish CDQ fishing</w:t>
      </w:r>
      <w:r w:rsidR="002E11B8">
        <w:t>.</w:t>
      </w:r>
      <w:r>
        <w:t xml:space="preserve"> </w:t>
      </w:r>
      <w:r w:rsidR="002E11B8">
        <w:t>T</w:t>
      </w:r>
      <w:r>
        <w:t xml:space="preserve">he </w:t>
      </w:r>
      <w:r w:rsidRPr="000B10A9">
        <w:t xml:space="preserve">Groundfish/Halibut CDQ </w:t>
      </w:r>
      <w:r w:rsidRPr="000B10A9">
        <w:lastRenderedPageBreak/>
        <w:t>and</w:t>
      </w:r>
      <w:r>
        <w:t xml:space="preserve"> </w:t>
      </w:r>
      <w:r w:rsidRPr="000B10A9">
        <w:t>Prohibited Species Quota (PSQ)</w:t>
      </w:r>
      <w:r>
        <w:t xml:space="preserve"> </w:t>
      </w:r>
      <w:r w:rsidRPr="000B10A9">
        <w:t>Transfer Request</w:t>
      </w:r>
      <w:r>
        <w:t xml:space="preserve"> is mentioned</w:t>
      </w:r>
      <w:r w:rsidR="002E11B8">
        <w:t xml:space="preserve"> </w:t>
      </w:r>
      <w:r w:rsidR="002E11B8" w:rsidRPr="00EA2B91">
        <w:t>in this proposed rule</w:t>
      </w:r>
      <w:r w:rsidRPr="00EA2B91">
        <w:t>,</w:t>
      </w:r>
      <w:r>
        <w:t xml:space="preserve"> but no changes occur in </w:t>
      </w:r>
      <w:r w:rsidRPr="006C4DB2">
        <w:t>the individual response for</w:t>
      </w:r>
      <w:r>
        <w:t xml:space="preserve"> each requirement</w:t>
      </w:r>
      <w:r w:rsidRPr="006C4DB2">
        <w:t>.</w:t>
      </w:r>
    </w:p>
    <w:p w14:paraId="4DE15D74" w14:textId="77777777" w:rsidR="00B600C6" w:rsidRPr="00DD069A" w:rsidRDefault="00B600C6" w:rsidP="00B600C6">
      <w:pPr>
        <w:spacing w:line="480" w:lineRule="auto"/>
      </w:pPr>
      <w:r w:rsidRPr="00DD069A">
        <w:t>OMB Control No. 0648-0318</w:t>
      </w:r>
    </w:p>
    <w:p w14:paraId="59CB13AA" w14:textId="3EEDD1DD" w:rsidR="00B600C6" w:rsidRDefault="00B600C6" w:rsidP="00B600C6">
      <w:pPr>
        <w:spacing w:line="480" w:lineRule="auto"/>
        <w:ind w:firstLine="720"/>
      </w:pPr>
      <w:r>
        <w:t xml:space="preserve">The </w:t>
      </w:r>
      <w:r w:rsidRPr="00DA40C0">
        <w:t>Observer Declare and Deploy System (ODD</w:t>
      </w:r>
      <w:r w:rsidR="00295B3D">
        <w:t>S</w:t>
      </w:r>
      <w:r>
        <w:t xml:space="preserve">) is mentioned in this proposed rule, but the </w:t>
      </w:r>
      <w:r w:rsidRPr="00546A0C">
        <w:t>individual response for each requirement</w:t>
      </w:r>
      <w:r>
        <w:t xml:space="preserve"> is not changed.</w:t>
      </w:r>
    </w:p>
    <w:p w14:paraId="1856D43F" w14:textId="77777777" w:rsidR="00B600C6" w:rsidRPr="00DD069A" w:rsidRDefault="00B600C6" w:rsidP="00B600C6">
      <w:pPr>
        <w:spacing w:line="480" w:lineRule="auto"/>
      </w:pPr>
      <w:r w:rsidRPr="00DD069A">
        <w:t>OMB Control No. 0648-0334</w:t>
      </w:r>
    </w:p>
    <w:p w14:paraId="585ED4D1" w14:textId="044EAC3B" w:rsidR="00B600C6" w:rsidRPr="003A426F" w:rsidRDefault="00B600C6" w:rsidP="00DD069A">
      <w:pPr>
        <w:spacing w:line="480" w:lineRule="auto"/>
        <w:ind w:firstLine="720"/>
      </w:pPr>
      <w:r>
        <w:t xml:space="preserve">The LLP license is mentioned in this proposed rule, but the </w:t>
      </w:r>
      <w:r w:rsidRPr="00546A0C">
        <w:t>individual response for each requirement</w:t>
      </w:r>
      <w:r>
        <w:t xml:space="preserve"> is not changed.</w:t>
      </w:r>
    </w:p>
    <w:p w14:paraId="577BDF68" w14:textId="21C92C05" w:rsidR="00B15BB6" w:rsidRPr="003A426F" w:rsidRDefault="00B15BB6" w:rsidP="00B15BB6">
      <w:pPr>
        <w:numPr>
          <w:ilvl w:val="12"/>
          <w:numId w:val="0"/>
        </w:numPr>
        <w:spacing w:line="480" w:lineRule="auto"/>
        <w:ind w:firstLine="720"/>
      </w:pPr>
      <w:r w:rsidRPr="003A426F">
        <w:t>Public comment is sought regarding: whether this proposed collection of information is necessary for the proper performance of the functions of the agency, including whether the information shall have practical utility; the accuracy of the burden estimate; ways to enhance the quality, utility, and clarity of the information to be collected; and ways to minimize the burden of the collection of information, including through the use of automated collection techniques or other forms of information technology</w:t>
      </w:r>
      <w:r w:rsidR="006858F9">
        <w:t xml:space="preserve">. </w:t>
      </w:r>
      <w:r w:rsidRPr="00C9648B">
        <w:t xml:space="preserve">Send comments on these or any other aspects of the collection of information to NMFS at the </w:t>
      </w:r>
      <w:r w:rsidRPr="00284CEB">
        <w:rPr>
          <w:b/>
        </w:rPr>
        <w:t>ADDRESSES</w:t>
      </w:r>
      <w:r w:rsidRPr="00C9648B">
        <w:t xml:space="preserve"> above, and e-mail to </w:t>
      </w:r>
      <w:r w:rsidRPr="00FC3187">
        <w:rPr>
          <w:i/>
        </w:rPr>
        <w:t>OIRA_Submission@omb.eop.gov</w:t>
      </w:r>
      <w:r w:rsidRPr="00C9648B">
        <w:t>, or fax to (202) 395-</w:t>
      </w:r>
      <w:r w:rsidR="00295B3D">
        <w:t>5806</w:t>
      </w:r>
      <w:r w:rsidRPr="00C9648B">
        <w:t>.</w:t>
      </w:r>
    </w:p>
    <w:p w14:paraId="46368C8C" w14:textId="77777777" w:rsidR="00B15BB6" w:rsidRDefault="00B15BB6" w:rsidP="00B15BB6">
      <w:pPr>
        <w:numPr>
          <w:ilvl w:val="12"/>
          <w:numId w:val="0"/>
        </w:numPr>
        <w:spacing w:line="480" w:lineRule="auto"/>
        <w:ind w:firstLine="720"/>
      </w:pPr>
      <w:r w:rsidRPr="003A426F">
        <w:t>Notwithstanding any other provision of the law, no person is required to respond to, and no person shall be subject to penalty for failure to comply with, a collection of information subject to the requirements of the PRA, unless that collection of information displays a currently valid OMB control number.</w:t>
      </w:r>
    </w:p>
    <w:p w14:paraId="35BAA2B0" w14:textId="77777777" w:rsidR="00B15BB6" w:rsidRPr="00020362" w:rsidRDefault="00B15BB6" w:rsidP="00B15BB6">
      <w:pPr>
        <w:numPr>
          <w:ilvl w:val="12"/>
          <w:numId w:val="0"/>
        </w:numPr>
        <w:spacing w:line="480" w:lineRule="auto"/>
        <w:rPr>
          <w:b/>
        </w:rPr>
      </w:pPr>
      <w:r w:rsidRPr="00020362">
        <w:rPr>
          <w:b/>
        </w:rPr>
        <w:t xml:space="preserve">List of Subjects in 50 CFR Part 679 </w:t>
      </w:r>
    </w:p>
    <w:p w14:paraId="54000CE2" w14:textId="77777777" w:rsidR="00B15BB6" w:rsidRPr="00446431" w:rsidRDefault="00B15BB6" w:rsidP="00B15BB6">
      <w:pPr>
        <w:numPr>
          <w:ilvl w:val="12"/>
          <w:numId w:val="0"/>
        </w:numPr>
        <w:spacing w:line="480" w:lineRule="auto"/>
        <w:ind w:firstLine="720"/>
      </w:pPr>
      <w:r w:rsidRPr="00446431">
        <w:lastRenderedPageBreak/>
        <w:t xml:space="preserve">Alaska, Fisheries, Reporting and recordkeeping requirements. </w:t>
      </w:r>
    </w:p>
    <w:p w14:paraId="20FB16DD" w14:textId="77777777" w:rsidR="00B15BB6" w:rsidRPr="00446431" w:rsidRDefault="00B15BB6" w:rsidP="00B15BB6">
      <w:pPr>
        <w:numPr>
          <w:ilvl w:val="12"/>
          <w:numId w:val="0"/>
        </w:numPr>
        <w:spacing w:line="480" w:lineRule="auto"/>
        <w:ind w:firstLine="720"/>
      </w:pPr>
      <w:r w:rsidRPr="00446431">
        <w:t xml:space="preserve">Dated: </w:t>
      </w:r>
    </w:p>
    <w:p w14:paraId="5BA8F12D" w14:textId="77777777" w:rsidR="00B15BB6" w:rsidRPr="00446431" w:rsidRDefault="00B15BB6" w:rsidP="00B15BB6">
      <w:pPr>
        <w:numPr>
          <w:ilvl w:val="12"/>
          <w:numId w:val="0"/>
        </w:numPr>
        <w:spacing w:line="480" w:lineRule="auto"/>
        <w:ind w:firstLine="720"/>
      </w:pPr>
    </w:p>
    <w:p w14:paraId="7B3943D4" w14:textId="77777777" w:rsidR="00B15BB6" w:rsidRPr="00446431" w:rsidRDefault="00B15BB6" w:rsidP="00B15BB6">
      <w:pPr>
        <w:numPr>
          <w:ilvl w:val="12"/>
          <w:numId w:val="0"/>
        </w:numPr>
        <w:spacing w:line="480" w:lineRule="auto"/>
        <w:ind w:firstLine="720"/>
      </w:pPr>
    </w:p>
    <w:p w14:paraId="5EEC1F37" w14:textId="77777777" w:rsidR="00B15BB6" w:rsidRPr="00446431" w:rsidRDefault="00B15BB6" w:rsidP="00B15BB6">
      <w:pPr>
        <w:numPr>
          <w:ilvl w:val="12"/>
          <w:numId w:val="0"/>
        </w:numPr>
        <w:spacing w:line="480" w:lineRule="auto"/>
        <w:ind w:firstLine="720"/>
      </w:pPr>
      <w:r w:rsidRPr="00446431">
        <w:t>___________________________________</w:t>
      </w:r>
    </w:p>
    <w:p w14:paraId="23765CEB" w14:textId="77777777" w:rsidR="00B15BB6" w:rsidRPr="00446431" w:rsidRDefault="00B15BB6" w:rsidP="00B15BB6">
      <w:pPr>
        <w:numPr>
          <w:ilvl w:val="12"/>
          <w:numId w:val="0"/>
        </w:numPr>
        <w:spacing w:line="480" w:lineRule="auto"/>
        <w:ind w:firstLine="720"/>
      </w:pPr>
    </w:p>
    <w:p w14:paraId="0ED77858" w14:textId="77777777" w:rsidR="00B15BB6" w:rsidRPr="00446431" w:rsidRDefault="00B15BB6" w:rsidP="00B15BB6">
      <w:pPr>
        <w:numPr>
          <w:ilvl w:val="12"/>
          <w:numId w:val="0"/>
        </w:numPr>
        <w:spacing w:line="480" w:lineRule="auto"/>
        <w:ind w:firstLine="720"/>
      </w:pPr>
    </w:p>
    <w:p w14:paraId="7B307AB1" w14:textId="77777777" w:rsidR="00B15BB6" w:rsidRPr="00446431" w:rsidRDefault="00B15BB6" w:rsidP="00B15BB6">
      <w:pPr>
        <w:numPr>
          <w:ilvl w:val="12"/>
          <w:numId w:val="0"/>
        </w:numPr>
        <w:spacing w:line="480" w:lineRule="auto"/>
      </w:pPr>
    </w:p>
    <w:p w14:paraId="0DDFD762" w14:textId="5446ADBC" w:rsidR="00B15BB6" w:rsidRPr="00446431" w:rsidRDefault="00B15BB6" w:rsidP="00B15BB6">
      <w:pPr>
        <w:numPr>
          <w:ilvl w:val="12"/>
          <w:numId w:val="0"/>
        </w:numPr>
        <w:spacing w:line="480" w:lineRule="auto"/>
        <w:ind w:firstLine="720"/>
      </w:pPr>
      <w:r w:rsidRPr="00446431">
        <w:t>For the reasons set out in the preamble, 50 CFR part 679 is proposed to be amended as follows:</w:t>
      </w:r>
    </w:p>
    <w:p w14:paraId="5F568079" w14:textId="77777777" w:rsidR="00B15BB6" w:rsidRPr="00FC3187" w:rsidRDefault="00B15BB6" w:rsidP="00284CEB">
      <w:pPr>
        <w:numPr>
          <w:ilvl w:val="12"/>
          <w:numId w:val="0"/>
        </w:numPr>
        <w:spacing w:line="480" w:lineRule="auto"/>
        <w:rPr>
          <w:b/>
        </w:rPr>
      </w:pPr>
      <w:r w:rsidRPr="00FC3187">
        <w:rPr>
          <w:b/>
        </w:rPr>
        <w:t>PART 679-- FISHERIES OF THE EXCLUSIVE ECONOMIC ZONE OFF ALASKA</w:t>
      </w:r>
    </w:p>
    <w:p w14:paraId="148B92CD" w14:textId="690F8CF0" w:rsidR="00B15BB6" w:rsidRPr="00446431" w:rsidRDefault="00B15BB6" w:rsidP="00B15BB6">
      <w:pPr>
        <w:numPr>
          <w:ilvl w:val="12"/>
          <w:numId w:val="0"/>
        </w:numPr>
        <w:spacing w:line="480" w:lineRule="auto"/>
        <w:ind w:firstLine="720"/>
      </w:pPr>
      <w:r w:rsidRPr="00446431">
        <w:t>1</w:t>
      </w:r>
      <w:r w:rsidR="006858F9">
        <w:t xml:space="preserve">.  </w:t>
      </w:r>
      <w:r w:rsidRPr="00446431">
        <w:t>The authority citation for 50 CFR part 679 continues to read as follows:</w:t>
      </w:r>
    </w:p>
    <w:p w14:paraId="498B8B14" w14:textId="77777777" w:rsidR="00B15BB6" w:rsidRPr="00446431" w:rsidRDefault="00B15BB6" w:rsidP="00B15BB6">
      <w:pPr>
        <w:numPr>
          <w:ilvl w:val="12"/>
          <w:numId w:val="0"/>
        </w:numPr>
        <w:spacing w:line="480" w:lineRule="auto"/>
        <w:ind w:firstLine="720"/>
      </w:pPr>
      <w:r w:rsidRPr="00280F05">
        <w:rPr>
          <w:b/>
        </w:rPr>
        <w:t>Authority:</w:t>
      </w:r>
      <w:r w:rsidRPr="00446431">
        <w:t xml:space="preserve"> 16 U.S.C. 773 </w:t>
      </w:r>
      <w:r w:rsidRPr="007054F3">
        <w:rPr>
          <w:i/>
        </w:rPr>
        <w:t>et seq</w:t>
      </w:r>
      <w:r w:rsidRPr="00446431">
        <w:t>.; 1801</w:t>
      </w:r>
      <w:r w:rsidRPr="007054F3">
        <w:rPr>
          <w:i/>
        </w:rPr>
        <w:t xml:space="preserve"> et seq</w:t>
      </w:r>
      <w:r w:rsidRPr="00446431">
        <w:t xml:space="preserve">.; 3631 </w:t>
      </w:r>
      <w:r w:rsidRPr="007054F3">
        <w:rPr>
          <w:i/>
        </w:rPr>
        <w:t>et seq</w:t>
      </w:r>
      <w:r w:rsidRPr="00446431">
        <w:t>.; Pub. L. 108-447</w:t>
      </w:r>
      <w:r>
        <w:t>; Pub. L. 111-281</w:t>
      </w:r>
    </w:p>
    <w:p w14:paraId="0963587C" w14:textId="7FF4BC7C" w:rsidR="00B15BB6" w:rsidRDefault="00B15BB6" w:rsidP="00B15BB6">
      <w:pPr>
        <w:numPr>
          <w:ilvl w:val="12"/>
          <w:numId w:val="0"/>
        </w:numPr>
        <w:spacing w:line="480" w:lineRule="auto"/>
        <w:ind w:firstLine="720"/>
      </w:pPr>
      <w:r>
        <w:t>2.  In § 679.4, add paragraph (k)(2)(vi) to read as follows:</w:t>
      </w:r>
    </w:p>
    <w:p w14:paraId="434634D5" w14:textId="77777777" w:rsidR="00B15BB6" w:rsidRPr="00617061" w:rsidRDefault="00B15BB6" w:rsidP="00B15BB6">
      <w:pPr>
        <w:numPr>
          <w:ilvl w:val="12"/>
          <w:numId w:val="0"/>
        </w:numPr>
        <w:spacing w:line="480" w:lineRule="auto"/>
        <w:rPr>
          <w:b/>
        </w:rPr>
      </w:pPr>
      <w:r w:rsidRPr="00617061">
        <w:rPr>
          <w:b/>
        </w:rPr>
        <w:t>§ 679.4 Permits.</w:t>
      </w:r>
    </w:p>
    <w:p w14:paraId="7765BA86" w14:textId="77777777" w:rsidR="00B15BB6" w:rsidRDefault="00B15BB6" w:rsidP="00B15BB6">
      <w:pPr>
        <w:numPr>
          <w:ilvl w:val="12"/>
          <w:numId w:val="0"/>
        </w:numPr>
        <w:spacing w:line="480" w:lineRule="auto"/>
      </w:pPr>
      <w:r>
        <w:t>* * * * *</w:t>
      </w:r>
    </w:p>
    <w:p w14:paraId="14B19D25" w14:textId="77777777" w:rsidR="00B15BB6" w:rsidRDefault="00B15BB6" w:rsidP="00B15BB6">
      <w:pPr>
        <w:numPr>
          <w:ilvl w:val="12"/>
          <w:numId w:val="0"/>
        </w:numPr>
        <w:spacing w:line="480" w:lineRule="auto"/>
      </w:pPr>
      <w:r>
        <w:tab/>
        <w:t>(k) * * *</w:t>
      </w:r>
    </w:p>
    <w:p w14:paraId="7CE64EA8" w14:textId="167F63EC" w:rsidR="00B15BB6" w:rsidRDefault="00B15BB6" w:rsidP="00F564B7">
      <w:pPr>
        <w:numPr>
          <w:ilvl w:val="12"/>
          <w:numId w:val="0"/>
        </w:numPr>
        <w:spacing w:line="480" w:lineRule="auto"/>
      </w:pPr>
      <w:r>
        <w:tab/>
        <w:t>(2) * * *</w:t>
      </w:r>
    </w:p>
    <w:p w14:paraId="2A648868" w14:textId="52226B6E" w:rsidR="00B15BB6" w:rsidRDefault="00B15BB6" w:rsidP="00B15BB6">
      <w:pPr>
        <w:numPr>
          <w:ilvl w:val="12"/>
          <w:numId w:val="0"/>
        </w:numPr>
        <w:spacing w:line="480" w:lineRule="auto"/>
      </w:pPr>
      <w:r>
        <w:tab/>
        <w:t xml:space="preserve">(vi) </w:t>
      </w:r>
      <w:r w:rsidR="00ED758D">
        <w:t>The operator of a</w:t>
      </w:r>
      <w:r w:rsidRPr="0070481C">
        <w:t xml:space="preserve"> catcher vessel </w:t>
      </w:r>
      <w:r w:rsidR="00923C68">
        <w:t xml:space="preserve">that is </w:t>
      </w:r>
      <w:r w:rsidRPr="0070481C">
        <w:t xml:space="preserve">greater than 32 </w:t>
      </w:r>
      <w:r>
        <w:t xml:space="preserve">ft </w:t>
      </w:r>
      <w:r w:rsidRPr="0070481C">
        <w:t>(9</w:t>
      </w:r>
      <w:r w:rsidR="00AB58AA">
        <w:t>.8</w:t>
      </w:r>
      <w:r w:rsidRPr="0070481C">
        <w:t xml:space="preserve"> m)</w:t>
      </w:r>
      <w:r>
        <w:t xml:space="preserve"> LOA</w:t>
      </w:r>
      <w:r w:rsidR="00923C68">
        <w:t>,</w:t>
      </w:r>
      <w:r w:rsidRPr="0070481C">
        <w:t xml:space="preserve"> that does not exceed 46 </w:t>
      </w:r>
      <w:r>
        <w:t xml:space="preserve">ft </w:t>
      </w:r>
      <w:r w:rsidRPr="0070481C">
        <w:t>(14.0 m) LOA</w:t>
      </w:r>
      <w:r w:rsidR="00923C68">
        <w:t>, and that is</w:t>
      </w:r>
      <w:r w:rsidR="00923C68" w:rsidRPr="00923C68">
        <w:t xml:space="preserve"> </w:t>
      </w:r>
      <w:r w:rsidR="00923C68" w:rsidRPr="0070481C">
        <w:t xml:space="preserve">registered by a CDQ group following the </w:t>
      </w:r>
      <w:r w:rsidR="00923C68" w:rsidRPr="0070481C">
        <w:lastRenderedPageBreak/>
        <w:t>procedures described in § 679.5(m</w:t>
      </w:r>
      <w:r w:rsidR="00923C68">
        <w:t>)</w:t>
      </w:r>
      <w:r w:rsidRPr="0070481C">
        <w:t xml:space="preserve"> may use hook-and-line gear to conduct groundfish CDQ fishing without a groundfish license</w:t>
      </w:r>
      <w:r>
        <w:t>.</w:t>
      </w:r>
    </w:p>
    <w:p w14:paraId="6DD1BD8B" w14:textId="77777777" w:rsidR="00B15BB6" w:rsidRDefault="00B15BB6" w:rsidP="00B15BB6">
      <w:pPr>
        <w:numPr>
          <w:ilvl w:val="12"/>
          <w:numId w:val="0"/>
        </w:numPr>
        <w:spacing w:line="480" w:lineRule="auto"/>
      </w:pPr>
      <w:r>
        <w:t>* * * * *</w:t>
      </w:r>
    </w:p>
    <w:p w14:paraId="22616D71" w14:textId="1CA5D08D" w:rsidR="00B15BB6" w:rsidRDefault="00B15BB6" w:rsidP="00B15BB6">
      <w:pPr>
        <w:numPr>
          <w:ilvl w:val="12"/>
          <w:numId w:val="0"/>
        </w:numPr>
        <w:spacing w:line="480" w:lineRule="auto"/>
        <w:ind w:firstLine="720"/>
      </w:pPr>
      <w:r>
        <w:t xml:space="preserve">3.  In § 679.5, </w:t>
      </w:r>
      <w:r w:rsidR="004B2B23">
        <w:t xml:space="preserve">add </w:t>
      </w:r>
      <w:r>
        <w:t>paragraph (m) to read as follows:</w:t>
      </w:r>
    </w:p>
    <w:p w14:paraId="0EB049EB" w14:textId="77777777" w:rsidR="00B15BB6" w:rsidRPr="00617061" w:rsidRDefault="00B15BB6" w:rsidP="00B15BB6">
      <w:pPr>
        <w:numPr>
          <w:ilvl w:val="12"/>
          <w:numId w:val="0"/>
        </w:numPr>
        <w:spacing w:line="480" w:lineRule="auto"/>
        <w:rPr>
          <w:b/>
        </w:rPr>
      </w:pPr>
      <w:r>
        <w:rPr>
          <w:b/>
        </w:rPr>
        <w:t>§ 679.5</w:t>
      </w:r>
      <w:r w:rsidRPr="00617061">
        <w:rPr>
          <w:b/>
        </w:rPr>
        <w:t xml:space="preserve"> Re</w:t>
      </w:r>
      <w:r>
        <w:rPr>
          <w:b/>
        </w:rPr>
        <w:t>cordkeeping and reporting (R&amp;R)</w:t>
      </w:r>
      <w:r w:rsidRPr="00617061">
        <w:rPr>
          <w:b/>
        </w:rPr>
        <w:t>.</w:t>
      </w:r>
    </w:p>
    <w:p w14:paraId="1C1062E3" w14:textId="77777777" w:rsidR="00B15BB6" w:rsidRDefault="00B15BB6" w:rsidP="00B15BB6">
      <w:pPr>
        <w:numPr>
          <w:ilvl w:val="12"/>
          <w:numId w:val="0"/>
        </w:numPr>
        <w:spacing w:line="480" w:lineRule="auto"/>
      </w:pPr>
      <w:r>
        <w:t>* * * * *</w:t>
      </w:r>
    </w:p>
    <w:p w14:paraId="3BAE5FE1" w14:textId="40A3E87A" w:rsidR="00B15BB6" w:rsidRDefault="00B15BB6" w:rsidP="00B15BB6">
      <w:pPr>
        <w:numPr>
          <w:ilvl w:val="12"/>
          <w:numId w:val="0"/>
        </w:numPr>
        <w:spacing w:line="480" w:lineRule="auto"/>
      </w:pPr>
      <w:r>
        <w:tab/>
        <w:t xml:space="preserve">(m) </w:t>
      </w:r>
      <w:r w:rsidRPr="00B63F60">
        <w:rPr>
          <w:i/>
        </w:rPr>
        <w:t>CDQ Vessel Registration</w:t>
      </w:r>
      <w:r>
        <w:t xml:space="preserve">—(1) </w:t>
      </w:r>
      <w:r w:rsidRPr="00B63F60">
        <w:rPr>
          <w:i/>
        </w:rPr>
        <w:t>Registration</w:t>
      </w:r>
      <w:r w:rsidR="006858F9">
        <w:t xml:space="preserve">. </w:t>
      </w:r>
      <w:r w:rsidR="00FE2C76">
        <w:t>T</w:t>
      </w:r>
      <w:r w:rsidRPr="00C13225">
        <w:t xml:space="preserve">he </w:t>
      </w:r>
      <w:r w:rsidR="00FE2C76">
        <w:t xml:space="preserve">representative for a </w:t>
      </w:r>
      <w:r w:rsidRPr="00C13225">
        <w:t xml:space="preserve">CDQ group must register each vessel that is </w:t>
      </w:r>
      <w:r w:rsidR="00FE2C76">
        <w:t xml:space="preserve">to receive the </w:t>
      </w:r>
      <w:r w:rsidRPr="00C13225">
        <w:t>exempt</w:t>
      </w:r>
      <w:r w:rsidR="00FE2C76">
        <w:t>ion</w:t>
      </w:r>
      <w:r w:rsidRPr="00C13225">
        <w:t xml:space="preserve"> from the LLP license requirements </w:t>
      </w:r>
      <w:r w:rsidR="00847FA9">
        <w:t>at</w:t>
      </w:r>
      <w:r w:rsidRPr="00C13225">
        <w:t xml:space="preserve"> </w:t>
      </w:r>
      <w:r w:rsidRPr="0070481C">
        <w:t>§ 6</w:t>
      </w:r>
      <w:r>
        <w:t>79.4(</w:t>
      </w:r>
      <w:r w:rsidRPr="00C13225">
        <w:t>k)(2)(v</w:t>
      </w:r>
      <w:r>
        <w:t>i</w:t>
      </w:r>
      <w:r w:rsidRPr="00C13225">
        <w:t>) through the CDQ vessel registration system</w:t>
      </w:r>
      <w:r w:rsidR="00113943">
        <w:t xml:space="preserve"> av</w:t>
      </w:r>
      <w:r w:rsidR="006A2CCC">
        <w:t>ailable on the NMFS Alaska Region Web site</w:t>
      </w:r>
      <w:r w:rsidR="00113943">
        <w:t xml:space="preserve"> (</w:t>
      </w:r>
      <w:r w:rsidR="00113943" w:rsidRPr="00B63F60">
        <w:rPr>
          <w:i/>
        </w:rPr>
        <w:t>http://alaskafisheries.noaa.gov</w:t>
      </w:r>
      <w:r w:rsidR="00113943" w:rsidRPr="00E63EAB">
        <w:t>).</w:t>
      </w:r>
      <w:r w:rsidR="00113943">
        <w:t xml:space="preserve"> </w:t>
      </w:r>
      <w:r w:rsidR="006A2CCC">
        <w:t xml:space="preserve"> </w:t>
      </w:r>
      <w:r w:rsidRPr="00C13225">
        <w:t xml:space="preserve">The CDQ group representative must log into the </w:t>
      </w:r>
      <w:r w:rsidR="00113943">
        <w:t>CDQ vessel registration</w:t>
      </w:r>
      <w:r w:rsidRPr="00C13225">
        <w:t xml:space="preserve"> system and provide the information required on the computer screen</w:t>
      </w:r>
      <w:r w:rsidR="006858F9">
        <w:t xml:space="preserve">. </w:t>
      </w:r>
      <w:r w:rsidR="00FE2C76">
        <w:t>NMFS will add e</w:t>
      </w:r>
      <w:r w:rsidRPr="00C13225">
        <w:t xml:space="preserve">ach vessel successfully registered to the </w:t>
      </w:r>
      <w:r w:rsidRPr="001546BC">
        <w:t>CDQ</w:t>
      </w:r>
      <w:r>
        <w:t xml:space="preserve"> </w:t>
      </w:r>
      <w:r w:rsidRPr="00C13225">
        <w:t xml:space="preserve">vessel registration list on the NMFS Alaska Region Web site at </w:t>
      </w:r>
      <w:r w:rsidRPr="00B63F60">
        <w:rPr>
          <w:i/>
        </w:rPr>
        <w:t>http://alaskafisheries.noaa.gov</w:t>
      </w:r>
      <w:r w:rsidR="006858F9">
        <w:t xml:space="preserve">. </w:t>
      </w:r>
    </w:p>
    <w:p w14:paraId="2BA1042B" w14:textId="6F695765" w:rsidR="00B15BB6" w:rsidRDefault="00B15BB6" w:rsidP="00B15BB6">
      <w:pPr>
        <w:numPr>
          <w:ilvl w:val="12"/>
          <w:numId w:val="0"/>
        </w:numPr>
        <w:spacing w:line="480" w:lineRule="auto"/>
        <w:ind w:firstLine="720"/>
      </w:pPr>
      <w:r>
        <w:t xml:space="preserve">(2) </w:t>
      </w:r>
      <w:r w:rsidRPr="00B63F60">
        <w:rPr>
          <w:i/>
        </w:rPr>
        <w:t>Responsibility</w:t>
      </w:r>
      <w:r w:rsidR="006858F9">
        <w:t xml:space="preserve">. </w:t>
      </w:r>
      <w:r w:rsidRPr="00C13225">
        <w:t xml:space="preserve">The </w:t>
      </w:r>
      <w:r w:rsidR="00FE2C76">
        <w:t xml:space="preserve">CDQ group representative must successfully complete </w:t>
      </w:r>
      <w:r w:rsidRPr="00C13225">
        <w:t xml:space="preserve">vessel registration </w:t>
      </w:r>
      <w:r w:rsidR="00847FA9">
        <w:t>through the CDQ vessel registration system</w:t>
      </w:r>
      <w:r w:rsidRPr="00C13225">
        <w:t xml:space="preserve"> before </w:t>
      </w:r>
      <w:r w:rsidR="00FE2C76">
        <w:t>the</w:t>
      </w:r>
      <w:r w:rsidRPr="00C13225">
        <w:t xml:space="preserve"> vessel may </w:t>
      </w:r>
      <w:r w:rsidR="00ED758D">
        <w:t xml:space="preserve">be used </w:t>
      </w:r>
      <w:r w:rsidR="00422D96">
        <w:t xml:space="preserve">to </w:t>
      </w:r>
      <w:r w:rsidRPr="00C13225">
        <w:t xml:space="preserve">conduct groundfish CDQ fishing under </w:t>
      </w:r>
      <w:r>
        <w:t>§ 679.32(c)</w:t>
      </w:r>
      <w:r w:rsidRPr="00C13225">
        <w:t>(3)</w:t>
      </w:r>
      <w:r w:rsidR="00BF11EA">
        <w:t>(iii)</w:t>
      </w:r>
      <w:r w:rsidR="00847FA9">
        <w:t xml:space="preserve"> without an LLP license</w:t>
      </w:r>
      <w:r w:rsidR="006858F9">
        <w:t xml:space="preserve">. </w:t>
      </w:r>
      <w:r w:rsidRPr="00C13225">
        <w:t xml:space="preserve">By using the CDQ group’s NMFS ID </w:t>
      </w:r>
      <w:r>
        <w:t xml:space="preserve">and </w:t>
      </w:r>
      <w:r w:rsidRPr="00C13225">
        <w:t xml:space="preserve">password and submitting the </w:t>
      </w:r>
      <w:r w:rsidR="00847FA9">
        <w:t xml:space="preserve">vessel </w:t>
      </w:r>
      <w:r w:rsidRPr="00C13225">
        <w:t xml:space="preserve">registration request, the CDQ group representative certifies that all information is </w:t>
      </w:r>
      <w:r>
        <w:t>true, correct, and complete.</w:t>
      </w:r>
    </w:p>
    <w:p w14:paraId="5B29BFC2" w14:textId="5949C45A" w:rsidR="00B15BB6" w:rsidRDefault="00B15BB6" w:rsidP="00B15BB6">
      <w:pPr>
        <w:numPr>
          <w:ilvl w:val="12"/>
          <w:numId w:val="0"/>
        </w:numPr>
        <w:spacing w:line="480" w:lineRule="auto"/>
        <w:ind w:firstLine="720"/>
      </w:pPr>
      <w:r>
        <w:t xml:space="preserve">(3) </w:t>
      </w:r>
      <w:r w:rsidRPr="00B63F60">
        <w:rPr>
          <w:i/>
        </w:rPr>
        <w:t>LLP exemption letter</w:t>
      </w:r>
      <w:r w:rsidR="006858F9">
        <w:t xml:space="preserve">. </w:t>
      </w:r>
      <w:r w:rsidRPr="00C13225">
        <w:t xml:space="preserve">The </w:t>
      </w:r>
      <w:r w:rsidR="00847FA9">
        <w:t xml:space="preserve">CDQ vessel registration </w:t>
      </w:r>
      <w:r w:rsidRPr="00C13225">
        <w:t xml:space="preserve">system will provide </w:t>
      </w:r>
      <w:r w:rsidR="00847FA9">
        <w:t xml:space="preserve">the CDQ group representative with </w:t>
      </w:r>
      <w:r w:rsidRPr="00C13225">
        <w:t xml:space="preserve">an LLP exemption letter documenting that the </w:t>
      </w:r>
      <w:r w:rsidR="00847FA9">
        <w:t xml:space="preserve">registered </w:t>
      </w:r>
      <w:r w:rsidRPr="00C13225">
        <w:lastRenderedPageBreak/>
        <w:t>vessel is exempt from the LLP wh</w:t>
      </w:r>
      <w:r w:rsidR="007404D7">
        <w:t>en</w:t>
      </w:r>
      <w:r w:rsidRPr="00C13225">
        <w:t xml:space="preserve"> groundfish CDQ fishing</w:t>
      </w:r>
      <w:r w:rsidR="006858F9">
        <w:t xml:space="preserve">. </w:t>
      </w:r>
      <w:r w:rsidRPr="00C13225">
        <w:t xml:space="preserve">The CDQ group representative </w:t>
      </w:r>
      <w:r w:rsidR="00847FA9">
        <w:t xml:space="preserve">must </w:t>
      </w:r>
      <w:r w:rsidRPr="00C13225">
        <w:t xml:space="preserve">provide a copy of the LLP exemption letter to </w:t>
      </w:r>
      <w:r w:rsidR="00847FA9">
        <w:t xml:space="preserve">the operator of the registered </w:t>
      </w:r>
      <w:r w:rsidRPr="00C13225">
        <w:t>vessel</w:t>
      </w:r>
      <w:r w:rsidR="00847FA9">
        <w:t xml:space="preserve"> named in the LLP exemption letter</w:t>
      </w:r>
      <w:r w:rsidR="006858F9">
        <w:t xml:space="preserve">. </w:t>
      </w:r>
      <w:r w:rsidR="00847FA9">
        <w:t>The operator of the registered vessel named in the LLP exemption letter must maintain a</w:t>
      </w:r>
      <w:r w:rsidR="00847FA9" w:rsidRPr="00C13225">
        <w:t xml:space="preserve"> legible copy of the LLP exemption letter on board </w:t>
      </w:r>
      <w:r w:rsidR="007A7A76">
        <w:t>the</w:t>
      </w:r>
      <w:r w:rsidR="00847FA9" w:rsidRPr="00C13225">
        <w:t xml:space="preserve"> </w:t>
      </w:r>
      <w:r w:rsidR="007A7A76">
        <w:t xml:space="preserve">registered </w:t>
      </w:r>
      <w:r w:rsidR="00847FA9" w:rsidRPr="00C13225">
        <w:t>vessel at all times wh</w:t>
      </w:r>
      <w:r w:rsidR="007404D7">
        <w:t>en</w:t>
      </w:r>
      <w:r w:rsidR="00847FA9" w:rsidRPr="00C13225">
        <w:t xml:space="preserve"> that vessel is groundfish CDQ fishing</w:t>
      </w:r>
      <w:r w:rsidR="00847FA9">
        <w:t xml:space="preserve">. </w:t>
      </w:r>
    </w:p>
    <w:p w14:paraId="6BAE6305" w14:textId="1B379136" w:rsidR="00B15BB6" w:rsidRDefault="00B15BB6" w:rsidP="00B772DF">
      <w:pPr>
        <w:numPr>
          <w:ilvl w:val="12"/>
          <w:numId w:val="0"/>
        </w:numPr>
        <w:spacing w:line="480" w:lineRule="auto"/>
        <w:ind w:firstLine="720"/>
      </w:pPr>
      <w:r>
        <w:t xml:space="preserve">(4) </w:t>
      </w:r>
      <w:r w:rsidRPr="00B63F60">
        <w:rPr>
          <w:i/>
        </w:rPr>
        <w:t xml:space="preserve">Removing a vessel from the </w:t>
      </w:r>
      <w:r w:rsidR="00E63EAB">
        <w:rPr>
          <w:i/>
        </w:rPr>
        <w:t xml:space="preserve">CDQ vessel </w:t>
      </w:r>
      <w:r w:rsidRPr="00B63F60">
        <w:rPr>
          <w:i/>
        </w:rPr>
        <w:t>registration list</w:t>
      </w:r>
      <w:r w:rsidRPr="00C13225">
        <w:t xml:space="preserve">. A CDQ group representative may remove a vessel from the </w:t>
      </w:r>
      <w:r w:rsidR="007A7A76">
        <w:t xml:space="preserve">CDQ vessel </w:t>
      </w:r>
      <w:r w:rsidRPr="00C13225">
        <w:t>registration system by logging into the online system and following the applicable instructions</w:t>
      </w:r>
      <w:r w:rsidR="006858F9">
        <w:t xml:space="preserve">. </w:t>
      </w:r>
      <w:r w:rsidR="007A7A76">
        <w:t xml:space="preserve">A CDQ group representative may remove a </w:t>
      </w:r>
      <w:r w:rsidR="001E463B">
        <w:t xml:space="preserve">registered </w:t>
      </w:r>
      <w:r w:rsidR="007A7A76">
        <w:t xml:space="preserve">vessel </w:t>
      </w:r>
      <w:r w:rsidR="00517D06">
        <w:t xml:space="preserve">from </w:t>
      </w:r>
      <w:r w:rsidR="007404D7">
        <w:t xml:space="preserve">the </w:t>
      </w:r>
      <w:r w:rsidR="00517D06">
        <w:t xml:space="preserve">CDQ vessel registration list </w:t>
      </w:r>
      <w:r w:rsidR="007A7A76">
        <w:t xml:space="preserve">at any time but must certify </w:t>
      </w:r>
      <w:r w:rsidR="001E463B">
        <w:t xml:space="preserve">at the time of removal </w:t>
      </w:r>
      <w:r w:rsidR="007A7A76">
        <w:t xml:space="preserve">that </w:t>
      </w:r>
      <w:r w:rsidR="00612722">
        <w:t xml:space="preserve">the vessel operator had been given notice by the CDQ group that the vessel is going to be removed from the list and that the vessel is not groundfish CDQ fishing at the time of removal. </w:t>
      </w:r>
      <w:r w:rsidR="001E463B">
        <w:t>A</w:t>
      </w:r>
      <w:r w:rsidRPr="00C13225">
        <w:t xml:space="preserve"> vessel </w:t>
      </w:r>
      <w:r w:rsidR="001E463B">
        <w:t xml:space="preserve">that </w:t>
      </w:r>
      <w:r w:rsidRPr="00C13225">
        <w:t xml:space="preserve">is </w:t>
      </w:r>
      <w:r w:rsidR="001E463B">
        <w:t xml:space="preserve">successfully </w:t>
      </w:r>
      <w:r w:rsidRPr="00C13225">
        <w:t xml:space="preserve">removed from the </w:t>
      </w:r>
      <w:r w:rsidR="001E463B">
        <w:t xml:space="preserve">CDQ </w:t>
      </w:r>
      <w:r w:rsidRPr="00C13225">
        <w:t>vessel registration list is no longer exempt from the LLP requirements under § 679.4(k).</w:t>
      </w:r>
    </w:p>
    <w:p w14:paraId="1C19A616" w14:textId="77777777" w:rsidR="00B15BB6" w:rsidRDefault="00B15BB6" w:rsidP="00B15BB6">
      <w:pPr>
        <w:numPr>
          <w:ilvl w:val="12"/>
          <w:numId w:val="0"/>
        </w:numPr>
        <w:spacing w:line="480" w:lineRule="auto"/>
      </w:pPr>
      <w:r>
        <w:t xml:space="preserve">* * * * * </w:t>
      </w:r>
    </w:p>
    <w:p w14:paraId="1F0569CB" w14:textId="578A9CB8" w:rsidR="00B15BB6" w:rsidRDefault="00B15BB6" w:rsidP="00B15BB6">
      <w:pPr>
        <w:numPr>
          <w:ilvl w:val="12"/>
          <w:numId w:val="0"/>
        </w:numPr>
        <w:spacing w:line="480" w:lineRule="auto"/>
        <w:ind w:firstLine="720"/>
      </w:pPr>
      <w:r>
        <w:t>4.  In § 679.7, add paragraph</w:t>
      </w:r>
      <w:r w:rsidR="004B2B23">
        <w:t>s</w:t>
      </w:r>
      <w:r>
        <w:t xml:space="preserve"> (d)(8) </w:t>
      </w:r>
      <w:r w:rsidR="009E7373">
        <w:t xml:space="preserve">and (9) </w:t>
      </w:r>
      <w:r>
        <w:t>to read as follows:</w:t>
      </w:r>
    </w:p>
    <w:p w14:paraId="2DB85562" w14:textId="77777777" w:rsidR="00B15BB6" w:rsidRPr="00B63F60" w:rsidRDefault="00B15BB6" w:rsidP="00B15BB6">
      <w:pPr>
        <w:numPr>
          <w:ilvl w:val="12"/>
          <w:numId w:val="0"/>
        </w:numPr>
        <w:spacing w:line="480" w:lineRule="auto"/>
        <w:rPr>
          <w:b/>
        </w:rPr>
      </w:pPr>
      <w:r w:rsidRPr="00B63F60">
        <w:rPr>
          <w:b/>
        </w:rPr>
        <w:t>§ 679.7 Prohibitions.</w:t>
      </w:r>
    </w:p>
    <w:p w14:paraId="13B052C4" w14:textId="77777777" w:rsidR="00B15BB6" w:rsidRDefault="00B15BB6" w:rsidP="00B15BB6">
      <w:pPr>
        <w:numPr>
          <w:ilvl w:val="12"/>
          <w:numId w:val="0"/>
        </w:numPr>
        <w:spacing w:line="480" w:lineRule="auto"/>
      </w:pPr>
      <w:r>
        <w:t>* * * * *</w:t>
      </w:r>
    </w:p>
    <w:p w14:paraId="6E63EB96" w14:textId="77777777" w:rsidR="00B15BB6" w:rsidRDefault="00B15BB6" w:rsidP="00B15BB6">
      <w:pPr>
        <w:numPr>
          <w:ilvl w:val="12"/>
          <w:numId w:val="0"/>
        </w:numPr>
        <w:spacing w:line="480" w:lineRule="auto"/>
      </w:pPr>
      <w:r>
        <w:tab/>
        <w:t>(d) * * *</w:t>
      </w:r>
    </w:p>
    <w:p w14:paraId="0A51D727" w14:textId="3F30EAF9" w:rsidR="00B15BB6" w:rsidRDefault="00B15BB6" w:rsidP="00B15BB6">
      <w:pPr>
        <w:numPr>
          <w:ilvl w:val="12"/>
          <w:numId w:val="0"/>
        </w:numPr>
        <w:spacing w:line="480" w:lineRule="auto"/>
      </w:pPr>
      <w:r>
        <w:tab/>
        <w:t xml:space="preserve">(8) </w:t>
      </w:r>
      <w:r w:rsidRPr="00AD5AE1">
        <w:t xml:space="preserve">For an operator of a catcher vessel greater than 32 </w:t>
      </w:r>
      <w:r>
        <w:t>ft</w:t>
      </w:r>
      <w:r w:rsidRPr="00AD5AE1">
        <w:t xml:space="preserve"> (9.8 m) LOA </w:t>
      </w:r>
      <w:r w:rsidR="00D07231">
        <w:t xml:space="preserve">and less than or equal to </w:t>
      </w:r>
      <w:r w:rsidRPr="00AD5AE1">
        <w:t xml:space="preserve">46 </w:t>
      </w:r>
      <w:r>
        <w:t>ft</w:t>
      </w:r>
      <w:r w:rsidRPr="00AD5AE1">
        <w:t xml:space="preserve"> (14.0 m) LOA</w:t>
      </w:r>
      <w:r w:rsidR="00932B54">
        <w:t xml:space="preserve"> </w:t>
      </w:r>
      <w:r w:rsidR="00AF0E14">
        <w:t xml:space="preserve">using hook-and-line gear and </w:t>
      </w:r>
      <w:r w:rsidR="00932B54">
        <w:t xml:space="preserve">that is registered by a </w:t>
      </w:r>
      <w:r w:rsidR="00932B54">
        <w:lastRenderedPageBreak/>
        <w:t>CDQ group under § 679.5(m)</w:t>
      </w:r>
      <w:r w:rsidR="00574ADA">
        <w:t>,</w:t>
      </w:r>
      <w:r w:rsidRPr="00AD5AE1">
        <w:t xml:space="preserve"> </w:t>
      </w:r>
      <w:r>
        <w:t xml:space="preserve">to </w:t>
      </w:r>
      <w:r w:rsidRPr="00AD5AE1">
        <w:t>conduct groundfish CDQ fishing without a legible copy of the LLP exemption letter issued to a CDQ group for that vessel</w:t>
      </w:r>
      <w:r w:rsidR="00AA03E8">
        <w:t xml:space="preserve"> on board the vessel</w:t>
      </w:r>
      <w:r>
        <w:t>.</w:t>
      </w:r>
    </w:p>
    <w:p w14:paraId="5AFB7E10" w14:textId="3277C3E7" w:rsidR="009E7373" w:rsidRDefault="009E7373" w:rsidP="00B15BB6">
      <w:pPr>
        <w:numPr>
          <w:ilvl w:val="12"/>
          <w:numId w:val="0"/>
        </w:numPr>
        <w:spacing w:line="480" w:lineRule="auto"/>
      </w:pPr>
      <w:r>
        <w:tab/>
        <w:t>(9) For a CDQ group</w:t>
      </w:r>
      <w:r w:rsidR="0030678B">
        <w:t xml:space="preserve"> representative</w:t>
      </w:r>
      <w:r>
        <w:t xml:space="preserve">, </w:t>
      </w:r>
      <w:r w:rsidR="00574ADA">
        <w:t xml:space="preserve">to </w:t>
      </w:r>
      <w:r>
        <w:t>remove a vessel from the CDQ vessel registration list under § 679.5(m)(4) without first providing notice to the operator of the registered vessel that the vessel is being removed from the CDQ vessel registration list or wh</w:t>
      </w:r>
      <w:r w:rsidR="007404D7">
        <w:t>en</w:t>
      </w:r>
      <w:r>
        <w:t xml:space="preserve"> the vessel </w:t>
      </w:r>
      <w:r w:rsidR="00823D1F">
        <w:t xml:space="preserve">operator </w:t>
      </w:r>
      <w:r>
        <w:t>is groundfish CDQ fishing.</w:t>
      </w:r>
    </w:p>
    <w:p w14:paraId="00B797D0" w14:textId="77777777" w:rsidR="00B15BB6" w:rsidRDefault="00B15BB6" w:rsidP="00B15BB6">
      <w:pPr>
        <w:numPr>
          <w:ilvl w:val="12"/>
          <w:numId w:val="0"/>
        </w:numPr>
        <w:spacing w:line="480" w:lineRule="auto"/>
      </w:pPr>
      <w:r>
        <w:t xml:space="preserve"> * * * * * </w:t>
      </w:r>
    </w:p>
    <w:p w14:paraId="326A3405" w14:textId="42A896A4" w:rsidR="00B225D4" w:rsidRDefault="00B15BB6" w:rsidP="00B15BB6">
      <w:pPr>
        <w:numPr>
          <w:ilvl w:val="12"/>
          <w:numId w:val="0"/>
        </w:numPr>
        <w:spacing w:line="480" w:lineRule="auto"/>
      </w:pPr>
      <w:r>
        <w:tab/>
        <w:t>5</w:t>
      </w:r>
      <w:r w:rsidRPr="00CE7FB8">
        <w:t xml:space="preserve">.  In § 679.32, </w:t>
      </w:r>
    </w:p>
    <w:p w14:paraId="1CEC4CFE" w14:textId="16D4BFBE" w:rsidR="00B225D4" w:rsidRDefault="00B225D4" w:rsidP="00B15BB6">
      <w:pPr>
        <w:numPr>
          <w:ilvl w:val="12"/>
          <w:numId w:val="0"/>
        </w:numPr>
        <w:spacing w:line="480" w:lineRule="auto"/>
      </w:pPr>
      <w:r>
        <w:tab/>
        <w:t xml:space="preserve">a. </w:t>
      </w:r>
      <w:r w:rsidR="001332F5">
        <w:t>A</w:t>
      </w:r>
      <w:r>
        <w:t>dd a new first sentence to</w:t>
      </w:r>
      <w:r w:rsidR="00B15BB6" w:rsidRPr="00CE7FB8">
        <w:t xml:space="preserve"> </w:t>
      </w:r>
      <w:r w:rsidR="00895E59">
        <w:t>paragraphs (c)(3</w:t>
      </w:r>
      <w:r w:rsidR="009D1434">
        <w:t>)</w:t>
      </w:r>
      <w:r w:rsidR="00895E59">
        <w:t>(i)(D) and (c)(3</w:t>
      </w:r>
      <w:r w:rsidR="009D1434">
        <w:t>)</w:t>
      </w:r>
      <w:r w:rsidR="00895E59">
        <w:t>(ii)</w:t>
      </w:r>
      <w:r w:rsidR="009D1434">
        <w:t>(D)</w:t>
      </w:r>
      <w:r>
        <w:t>;</w:t>
      </w:r>
      <w:r w:rsidR="009D1434">
        <w:t xml:space="preserve"> and</w:t>
      </w:r>
    </w:p>
    <w:p w14:paraId="1E47B339" w14:textId="250C4685" w:rsidR="00B15BB6" w:rsidRDefault="00B225D4" w:rsidP="00B15BB6">
      <w:pPr>
        <w:numPr>
          <w:ilvl w:val="12"/>
          <w:numId w:val="0"/>
        </w:numPr>
        <w:spacing w:line="480" w:lineRule="auto"/>
      </w:pPr>
      <w:r>
        <w:tab/>
        <w:t>b</w:t>
      </w:r>
      <w:r w:rsidR="006858F9">
        <w:t xml:space="preserve">. </w:t>
      </w:r>
      <w:r w:rsidR="001332F5">
        <w:t>A</w:t>
      </w:r>
      <w:r w:rsidR="009D1434">
        <w:t>dd paragraph (c)</w:t>
      </w:r>
      <w:r w:rsidR="0033428A">
        <w:t>(3)</w:t>
      </w:r>
      <w:r w:rsidR="009D1434">
        <w:t xml:space="preserve">(iii) </w:t>
      </w:r>
      <w:r w:rsidR="00B15BB6" w:rsidRPr="00CE7FB8">
        <w:t>to read as follows:</w:t>
      </w:r>
    </w:p>
    <w:p w14:paraId="3FB34F13" w14:textId="3DAA9090" w:rsidR="00B15BB6" w:rsidRPr="00B63F60" w:rsidRDefault="00B15BB6" w:rsidP="00B15BB6">
      <w:pPr>
        <w:numPr>
          <w:ilvl w:val="12"/>
          <w:numId w:val="0"/>
        </w:numPr>
        <w:spacing w:line="480" w:lineRule="auto"/>
        <w:rPr>
          <w:b/>
        </w:rPr>
      </w:pPr>
      <w:r w:rsidRPr="00B63F60">
        <w:rPr>
          <w:b/>
        </w:rPr>
        <w:t xml:space="preserve">§ 679.32  Groundfish and halibut CDQ </w:t>
      </w:r>
      <w:r w:rsidR="009D1434">
        <w:rPr>
          <w:b/>
        </w:rPr>
        <w:t>catch monitoring</w:t>
      </w:r>
      <w:r w:rsidRPr="00B63F60">
        <w:rPr>
          <w:b/>
        </w:rPr>
        <w:t>.</w:t>
      </w:r>
    </w:p>
    <w:p w14:paraId="2261C762" w14:textId="1C2AC096" w:rsidR="001332F5" w:rsidRDefault="001332F5" w:rsidP="001332F5">
      <w:pPr>
        <w:numPr>
          <w:ilvl w:val="12"/>
          <w:numId w:val="0"/>
        </w:numPr>
        <w:spacing w:line="480" w:lineRule="auto"/>
      </w:pPr>
      <w:r>
        <w:t>* * * * *</w:t>
      </w:r>
    </w:p>
    <w:p w14:paraId="3F54D500" w14:textId="5259831A" w:rsidR="00B15BB6" w:rsidRPr="000B24F3" w:rsidRDefault="00B15BB6" w:rsidP="00631062">
      <w:pPr>
        <w:numPr>
          <w:ilvl w:val="12"/>
          <w:numId w:val="0"/>
        </w:numPr>
        <w:spacing w:line="480" w:lineRule="auto"/>
        <w:ind w:firstLine="720"/>
      </w:pPr>
      <w:r>
        <w:t xml:space="preserve">(c) </w:t>
      </w:r>
      <w:r w:rsidR="00AE619D" w:rsidRPr="00DD069A">
        <w:t>* * *</w:t>
      </w:r>
      <w:r w:rsidR="006858F9">
        <w:t xml:space="preserve">     </w:t>
      </w:r>
    </w:p>
    <w:p w14:paraId="2E82D195" w14:textId="4781A244" w:rsidR="00AE619D" w:rsidRDefault="006858F9" w:rsidP="00B15BB6">
      <w:pPr>
        <w:numPr>
          <w:ilvl w:val="12"/>
          <w:numId w:val="0"/>
        </w:numPr>
        <w:spacing w:line="480" w:lineRule="auto"/>
      </w:pPr>
      <w:r>
        <w:t xml:space="preserve"> </w:t>
      </w:r>
      <w:r w:rsidR="00B15BB6">
        <w:tab/>
      </w:r>
      <w:r w:rsidR="00B15BB6" w:rsidRPr="007F409C">
        <w:t xml:space="preserve">(3) </w:t>
      </w:r>
      <w:r w:rsidR="00AE619D">
        <w:t xml:space="preserve">* * * </w:t>
      </w:r>
    </w:p>
    <w:p w14:paraId="511A7F20" w14:textId="062E5CB5" w:rsidR="00AE619D" w:rsidRDefault="000B24F3" w:rsidP="00B15BB6">
      <w:pPr>
        <w:numPr>
          <w:ilvl w:val="12"/>
          <w:numId w:val="0"/>
        </w:numPr>
        <w:spacing w:line="480" w:lineRule="auto"/>
      </w:pPr>
      <w:r>
        <w:tab/>
        <w:t>(i) * * *</w:t>
      </w:r>
    </w:p>
    <w:p w14:paraId="4D3505DA" w14:textId="47BC34E4" w:rsidR="000B24F3" w:rsidRDefault="000B24F3" w:rsidP="00DD069A">
      <w:pPr>
        <w:numPr>
          <w:ilvl w:val="12"/>
          <w:numId w:val="0"/>
        </w:numPr>
        <w:spacing w:line="480" w:lineRule="auto"/>
        <w:ind w:firstLine="720"/>
      </w:pPr>
      <w:r w:rsidRPr="000B24F3">
        <w:t xml:space="preserve">(D) </w:t>
      </w:r>
      <w:r w:rsidRPr="00DD069A">
        <w:rPr>
          <w:i/>
        </w:rPr>
        <w:t>Observed catcher vessels using nontrawl gear</w:t>
      </w:r>
      <w:r w:rsidRPr="000B24F3">
        <w:t xml:space="preserve">. This paragraph applies to all observed catcher vessels using nontrawl gear, except those </w:t>
      </w:r>
      <w:r w:rsidR="001466A0">
        <w:t xml:space="preserve">catcher vessels </w:t>
      </w:r>
      <w:r w:rsidRPr="000B24F3">
        <w:t>regulated under paragraph (c)</w:t>
      </w:r>
      <w:r w:rsidR="001466A0">
        <w:t>(3)</w:t>
      </w:r>
      <w:r w:rsidRPr="000B24F3">
        <w:t xml:space="preserve">(iii) of this section. </w:t>
      </w:r>
      <w:r>
        <w:t xml:space="preserve">* * * </w:t>
      </w:r>
    </w:p>
    <w:p w14:paraId="5E2BFED3" w14:textId="77777777" w:rsidR="000B24F3" w:rsidRPr="00471A58" w:rsidRDefault="000B24F3" w:rsidP="00DD069A">
      <w:pPr>
        <w:numPr>
          <w:ilvl w:val="12"/>
          <w:numId w:val="0"/>
        </w:numPr>
        <w:spacing w:line="480" w:lineRule="auto"/>
        <w:ind w:firstLine="720"/>
      </w:pPr>
      <w:r w:rsidRPr="00471A58">
        <w:t xml:space="preserve">(ii) * * * </w:t>
      </w:r>
    </w:p>
    <w:p w14:paraId="14C8D35B" w14:textId="1A45E140" w:rsidR="00344383" w:rsidRDefault="00344383" w:rsidP="00DD069A">
      <w:pPr>
        <w:numPr>
          <w:ilvl w:val="12"/>
          <w:numId w:val="0"/>
        </w:numPr>
        <w:spacing w:line="480" w:lineRule="auto"/>
        <w:ind w:firstLine="720"/>
      </w:pPr>
      <w:r w:rsidRPr="00471A58">
        <w:t>(D)</w:t>
      </w:r>
      <w:r w:rsidRPr="00344383">
        <w:rPr>
          <w:i/>
        </w:rPr>
        <w:t xml:space="preserve"> Observed catcher vessels using nontrawl gear. </w:t>
      </w:r>
      <w:r w:rsidRPr="00DD069A">
        <w:t xml:space="preserve">This paragraph applies to all observed catcher vessels using nontrawl gear, except those </w:t>
      </w:r>
      <w:r w:rsidR="001466A0">
        <w:t xml:space="preserve">catcher vessels </w:t>
      </w:r>
      <w:r w:rsidRPr="00DD069A">
        <w:t>regulated under para</w:t>
      </w:r>
      <w:r w:rsidRPr="00344383">
        <w:t>graph (c)</w:t>
      </w:r>
      <w:r w:rsidR="001466A0">
        <w:t>(3)</w:t>
      </w:r>
      <w:r w:rsidRPr="00344383">
        <w:t>(iii) of this section.</w:t>
      </w:r>
      <w:r>
        <w:t xml:space="preserve"> * * *</w:t>
      </w:r>
    </w:p>
    <w:p w14:paraId="534CB950" w14:textId="3F49CAB0" w:rsidR="00B15BB6" w:rsidRPr="007F409C" w:rsidRDefault="00344383" w:rsidP="00DD069A">
      <w:pPr>
        <w:numPr>
          <w:ilvl w:val="12"/>
          <w:numId w:val="0"/>
        </w:numPr>
        <w:spacing w:line="480" w:lineRule="auto"/>
        <w:ind w:firstLine="720"/>
      </w:pPr>
      <w:r w:rsidRPr="00471A58">
        <w:lastRenderedPageBreak/>
        <w:t xml:space="preserve"> </w:t>
      </w:r>
      <w:r w:rsidR="00AE619D" w:rsidRPr="00471A58">
        <w:t>(iii)</w:t>
      </w:r>
      <w:r w:rsidR="00AE619D">
        <w:rPr>
          <w:i/>
        </w:rPr>
        <w:t xml:space="preserve"> </w:t>
      </w:r>
      <w:r w:rsidR="00B15BB6" w:rsidRPr="004C04AF">
        <w:rPr>
          <w:i/>
        </w:rPr>
        <w:t>Groundfish CDQ fishing by catcher vessels less than or equal to 46 ft LOA using hook-and-line gear</w:t>
      </w:r>
      <w:r w:rsidR="00B15BB6">
        <w:t>—</w:t>
      </w:r>
      <w:r w:rsidR="00B15BB6" w:rsidRPr="007F409C">
        <w:t>(</w:t>
      </w:r>
      <w:r w:rsidR="00AE619D">
        <w:t>A</w:t>
      </w:r>
      <w:r w:rsidR="00B15BB6" w:rsidRPr="007F409C">
        <w:t xml:space="preserve">) </w:t>
      </w:r>
      <w:r w:rsidR="00B15BB6" w:rsidRPr="004C04AF">
        <w:rPr>
          <w:i/>
          <w:iCs/>
        </w:rPr>
        <w:t>Applicability</w:t>
      </w:r>
      <w:r w:rsidR="006858F9">
        <w:rPr>
          <w:iCs/>
        </w:rPr>
        <w:t xml:space="preserve">. </w:t>
      </w:r>
      <w:r w:rsidR="00B15BB6" w:rsidRPr="007F409C">
        <w:t xml:space="preserve">Regulations in this paragraph apply to </w:t>
      </w:r>
      <w:r w:rsidR="008164B6">
        <w:t xml:space="preserve">the operators of </w:t>
      </w:r>
      <w:r w:rsidR="00B15BB6" w:rsidRPr="007F409C">
        <w:t xml:space="preserve">catcher vessels less than or equal to 46 </w:t>
      </w:r>
      <w:r w:rsidR="00B15BB6">
        <w:t>ft</w:t>
      </w:r>
      <w:r w:rsidR="00B15BB6" w:rsidRPr="007F409C">
        <w:t xml:space="preserve"> (14.0 m) LOA using hook-and-line gear wh</w:t>
      </w:r>
      <w:r w:rsidR="00574ADA">
        <w:t>en</w:t>
      </w:r>
      <w:r w:rsidR="00B15BB6" w:rsidRPr="007F409C">
        <w:t xml:space="preserve"> groundfish CDQ fishing</w:t>
      </w:r>
      <w:r w:rsidR="00931DD8">
        <w:t xml:space="preserve"> and </w:t>
      </w:r>
      <w:r w:rsidR="00574ADA">
        <w:t xml:space="preserve">to </w:t>
      </w:r>
      <w:r w:rsidR="00931DD8">
        <w:t>the CDQ groups authorizing the operators of these vessels to harvest groundfish CDQ or halibut CDQ</w:t>
      </w:r>
      <w:r w:rsidR="00535BAD">
        <w:t>.</w:t>
      </w:r>
    </w:p>
    <w:p w14:paraId="3A04EF1D" w14:textId="446A759E" w:rsidR="00B15BB6" w:rsidRPr="007F409C" w:rsidRDefault="00471A58" w:rsidP="000B24F3">
      <w:pPr>
        <w:numPr>
          <w:ilvl w:val="12"/>
          <w:numId w:val="0"/>
        </w:numPr>
        <w:spacing w:line="480" w:lineRule="auto"/>
      </w:pPr>
      <w:r>
        <w:tab/>
      </w:r>
      <w:r w:rsidR="006858F9">
        <w:t xml:space="preserve"> </w:t>
      </w:r>
      <w:r w:rsidR="00B15BB6" w:rsidRPr="007F409C">
        <w:t xml:space="preserve">(B) </w:t>
      </w:r>
      <w:r w:rsidR="00B15BB6" w:rsidRPr="004C04AF">
        <w:rPr>
          <w:i/>
        </w:rPr>
        <w:t xml:space="preserve">Halibut CDQ or </w:t>
      </w:r>
      <w:r w:rsidR="00BD16B0">
        <w:rPr>
          <w:i/>
        </w:rPr>
        <w:t xml:space="preserve">halibut </w:t>
      </w:r>
      <w:r w:rsidR="00B15BB6" w:rsidRPr="004C04AF">
        <w:rPr>
          <w:i/>
        </w:rPr>
        <w:t>IFQ</w:t>
      </w:r>
      <w:r w:rsidR="006858F9">
        <w:t xml:space="preserve">. </w:t>
      </w:r>
      <w:r w:rsidR="00B15BB6" w:rsidRPr="007F409C">
        <w:t xml:space="preserve">If any halibut CDQ or halibut IFQ are retained during a fishing trip </w:t>
      </w:r>
      <w:r w:rsidR="00AA1E93" w:rsidRPr="0085016C">
        <w:t>on</w:t>
      </w:r>
      <w:r w:rsidR="00D3399F" w:rsidRPr="0085016C">
        <w:t xml:space="preserve"> </w:t>
      </w:r>
      <w:r w:rsidR="00AA1E93" w:rsidRPr="0085016C">
        <w:t>board</w:t>
      </w:r>
      <w:r w:rsidR="00B15BB6" w:rsidRPr="007F409C">
        <w:t xml:space="preserve"> a vessel </w:t>
      </w:r>
      <w:r w:rsidR="00BD16B0">
        <w:t xml:space="preserve">described in </w:t>
      </w:r>
      <w:r w:rsidR="00B15BB6">
        <w:t>paragraph (c)(3)</w:t>
      </w:r>
      <w:r w:rsidR="00A032D3">
        <w:t>(iii)</w:t>
      </w:r>
      <w:r w:rsidR="00BD16B0">
        <w:t>(A) of this section</w:t>
      </w:r>
      <w:r w:rsidR="00B15BB6" w:rsidRPr="007F409C">
        <w:t xml:space="preserve">, the following requirements apply: </w:t>
      </w:r>
    </w:p>
    <w:p w14:paraId="6A55F749" w14:textId="5CF8F490" w:rsidR="00B15BB6" w:rsidRPr="007F409C" w:rsidRDefault="00B15BB6" w:rsidP="00B15BB6">
      <w:pPr>
        <w:numPr>
          <w:ilvl w:val="12"/>
          <w:numId w:val="0"/>
        </w:numPr>
        <w:spacing w:line="480" w:lineRule="auto"/>
        <w:ind w:firstLine="720"/>
      </w:pPr>
      <w:r w:rsidRPr="007F409C">
        <w:t>(</w:t>
      </w:r>
      <w:r w:rsidRPr="004C04AF">
        <w:rPr>
          <w:i/>
        </w:rPr>
        <w:t>1</w:t>
      </w:r>
      <w:r w:rsidRPr="007F409C">
        <w:t xml:space="preserve">)  </w:t>
      </w:r>
      <w:r w:rsidR="00AA1E93">
        <w:t>The vessel operator must retain a</w:t>
      </w:r>
      <w:r w:rsidRPr="007F409C">
        <w:t xml:space="preserve">ll legal-size halibut caught during that </w:t>
      </w:r>
      <w:r w:rsidR="00AA1E93">
        <w:t xml:space="preserve">entire </w:t>
      </w:r>
      <w:r w:rsidRPr="007F409C">
        <w:t xml:space="preserve">fishing trip. </w:t>
      </w:r>
    </w:p>
    <w:p w14:paraId="7EFC9DDB" w14:textId="05229820" w:rsidR="00B15BB6" w:rsidRPr="007F409C" w:rsidRDefault="00B15BB6" w:rsidP="00B15BB6">
      <w:pPr>
        <w:numPr>
          <w:ilvl w:val="12"/>
          <w:numId w:val="0"/>
        </w:numPr>
        <w:spacing w:line="480" w:lineRule="auto"/>
        <w:ind w:firstLine="720"/>
      </w:pPr>
      <w:r w:rsidRPr="007F409C">
        <w:t>(</w:t>
      </w:r>
      <w:r w:rsidRPr="004C04AF">
        <w:rPr>
          <w:i/>
        </w:rPr>
        <w:t>2</w:t>
      </w:r>
      <w:r w:rsidRPr="007F409C">
        <w:t>)  The vessel operator must have sufficient halibut IFQ or halibut CDQ available to account for the catch of all legal</w:t>
      </w:r>
      <w:r>
        <w:t>-</w:t>
      </w:r>
      <w:r w:rsidRPr="007F409C">
        <w:t>size halibut caught during the entire fishing trip.</w:t>
      </w:r>
    </w:p>
    <w:p w14:paraId="3C40E1CE" w14:textId="3FCB598D" w:rsidR="00B15BB6" w:rsidRPr="007F409C" w:rsidRDefault="00B15BB6" w:rsidP="00B15BB6">
      <w:pPr>
        <w:numPr>
          <w:ilvl w:val="12"/>
          <w:numId w:val="0"/>
        </w:numPr>
        <w:spacing w:line="480" w:lineRule="auto"/>
        <w:ind w:firstLine="720"/>
      </w:pPr>
      <w:r w:rsidRPr="007F409C">
        <w:t>(</w:t>
      </w:r>
      <w:r w:rsidRPr="004C04AF">
        <w:rPr>
          <w:i/>
        </w:rPr>
        <w:t>3</w:t>
      </w:r>
      <w:r w:rsidRPr="007F409C">
        <w:t xml:space="preserve">) If the vessel operator is relying on halibut CDQ </w:t>
      </w:r>
      <w:r w:rsidR="00BD16B0">
        <w:t xml:space="preserve">from a CDQ group </w:t>
      </w:r>
      <w:r w:rsidRPr="007F409C">
        <w:t xml:space="preserve">to support the retained catch of legal-size halibut </w:t>
      </w:r>
      <w:r w:rsidR="00BD16B0">
        <w:t xml:space="preserve">during </w:t>
      </w:r>
      <w:r w:rsidRPr="007F409C">
        <w:t>a fishing trip, the CDQ group must provide adequate halibut CDQ to this vessel operator to account for all of the legal-size halibut caught by the vessel during the entire fishing trip</w:t>
      </w:r>
      <w:r w:rsidR="0036030D">
        <w:t>.</w:t>
      </w:r>
      <w:r w:rsidR="006858F9">
        <w:t xml:space="preserve"> </w:t>
      </w:r>
    </w:p>
    <w:p w14:paraId="0A9D0893" w14:textId="432EFB0D" w:rsidR="00B15BB6" w:rsidRPr="007F409C" w:rsidRDefault="00B15BB6" w:rsidP="003C2661">
      <w:pPr>
        <w:numPr>
          <w:ilvl w:val="12"/>
          <w:numId w:val="0"/>
        </w:numPr>
        <w:spacing w:line="480" w:lineRule="auto"/>
        <w:ind w:firstLine="720"/>
      </w:pPr>
      <w:r w:rsidRPr="007F409C">
        <w:t xml:space="preserve">(C) </w:t>
      </w:r>
      <w:r w:rsidRPr="004C04AF">
        <w:rPr>
          <w:i/>
        </w:rPr>
        <w:t>Halibut PSC</w:t>
      </w:r>
      <w:r w:rsidR="006858F9">
        <w:t xml:space="preserve">. </w:t>
      </w:r>
      <w:r w:rsidRPr="007F409C">
        <w:t xml:space="preserve">If halibut CDQ or </w:t>
      </w:r>
      <w:r w:rsidR="00BB74E0">
        <w:t xml:space="preserve">halibut </w:t>
      </w:r>
      <w:r w:rsidRPr="007F409C">
        <w:t xml:space="preserve">IFQ are not retained </w:t>
      </w:r>
      <w:r w:rsidR="0036030D">
        <w:t>during</w:t>
      </w:r>
      <w:r w:rsidRPr="007F409C">
        <w:t xml:space="preserve"> a fishing trip </w:t>
      </w:r>
      <w:r w:rsidR="0036030D" w:rsidRPr="0085016C">
        <w:t>on</w:t>
      </w:r>
      <w:r w:rsidR="00D3399F" w:rsidRPr="0085016C">
        <w:t xml:space="preserve"> </w:t>
      </w:r>
      <w:r w:rsidR="0036030D" w:rsidRPr="0085016C">
        <w:t>board</w:t>
      </w:r>
      <w:r w:rsidRPr="007F409C">
        <w:t xml:space="preserve"> a vessel </w:t>
      </w:r>
      <w:r w:rsidR="00203E9B">
        <w:t>described in</w:t>
      </w:r>
      <w:r w:rsidRPr="007F409C">
        <w:t xml:space="preserve"> paragraph (c)(3)</w:t>
      </w:r>
      <w:r w:rsidR="00A032D3">
        <w:t>(iii)</w:t>
      </w:r>
      <w:r w:rsidR="00203E9B">
        <w:t>(A) of this section</w:t>
      </w:r>
      <w:r w:rsidRPr="007F409C">
        <w:t>, the following requirements apply:</w:t>
      </w:r>
    </w:p>
    <w:p w14:paraId="455EB65C" w14:textId="2549E01F" w:rsidR="00B15BB6" w:rsidRPr="007F409C" w:rsidRDefault="00B15BB6" w:rsidP="008164B6">
      <w:pPr>
        <w:numPr>
          <w:ilvl w:val="12"/>
          <w:numId w:val="0"/>
        </w:numPr>
        <w:spacing w:line="480" w:lineRule="auto"/>
      </w:pPr>
      <w:r>
        <w:tab/>
      </w:r>
      <w:r w:rsidRPr="007F409C">
        <w:t>(</w:t>
      </w:r>
      <w:r w:rsidRPr="004C04AF">
        <w:rPr>
          <w:i/>
        </w:rPr>
        <w:t>1</w:t>
      </w:r>
      <w:r w:rsidRPr="007F409C">
        <w:t xml:space="preserve">) The </w:t>
      </w:r>
      <w:r>
        <w:t xml:space="preserve">vessel </w:t>
      </w:r>
      <w:r w:rsidRPr="007F409C">
        <w:t>operator must discard all halibut caught during the fishing trip.</w:t>
      </w:r>
    </w:p>
    <w:p w14:paraId="15C5181C" w14:textId="1A05F7F0" w:rsidR="00B15BB6" w:rsidRPr="007F409C" w:rsidRDefault="00B15BB6" w:rsidP="00B15BB6">
      <w:pPr>
        <w:numPr>
          <w:ilvl w:val="12"/>
          <w:numId w:val="0"/>
        </w:numPr>
        <w:spacing w:line="480" w:lineRule="auto"/>
      </w:pPr>
      <w:r>
        <w:lastRenderedPageBreak/>
        <w:tab/>
      </w:r>
      <w:r w:rsidRPr="007F409C">
        <w:t>(</w:t>
      </w:r>
      <w:r w:rsidR="00CD2FB0">
        <w:rPr>
          <w:i/>
        </w:rPr>
        <w:t>2</w:t>
      </w:r>
      <w:r w:rsidRPr="007F409C">
        <w:t xml:space="preserve">) </w:t>
      </w:r>
      <w:r w:rsidRPr="004C04AF">
        <w:rPr>
          <w:i/>
        </w:rPr>
        <w:t xml:space="preserve">Small </w:t>
      </w:r>
      <w:r w:rsidR="00CA3E7F">
        <w:rPr>
          <w:i/>
        </w:rPr>
        <w:t xml:space="preserve">catcher </w:t>
      </w:r>
      <w:r w:rsidRPr="004C04AF">
        <w:rPr>
          <w:i/>
        </w:rPr>
        <w:t>vessel halibut PSC limit</w:t>
      </w:r>
      <w:r w:rsidRPr="007F409C">
        <w:t xml:space="preserve">. The </w:t>
      </w:r>
      <w:r w:rsidR="003C2661">
        <w:t xml:space="preserve">CDQ group representative may </w:t>
      </w:r>
      <w:r w:rsidRPr="007F409C">
        <w:t xml:space="preserve">transfer </w:t>
      </w:r>
      <w:r w:rsidR="003C2661">
        <w:t xml:space="preserve">halibut </w:t>
      </w:r>
      <w:r w:rsidRPr="007F409C">
        <w:t xml:space="preserve">from a CDQ group’s halibut PSQ to its small </w:t>
      </w:r>
      <w:r w:rsidR="00CA3E7F">
        <w:t xml:space="preserve">catcher </w:t>
      </w:r>
      <w:r w:rsidRPr="007F409C">
        <w:t>vessel halibut PSC l</w:t>
      </w:r>
      <w:r w:rsidR="00063F40">
        <w:t>imit. To do so, the CDQ representative must</w:t>
      </w:r>
      <w:r w:rsidRPr="007F409C">
        <w:t xml:space="preserve"> submit a transfer request using the procedures described in § 679.5(n).</w:t>
      </w:r>
      <w:r w:rsidR="00CD2FB0">
        <w:t xml:space="preserve"> </w:t>
      </w:r>
      <w:r w:rsidR="00CD2FB0" w:rsidRPr="007F409C">
        <w:t xml:space="preserve">In reviewing a request to transfer halibut PSQ to </w:t>
      </w:r>
      <w:r w:rsidR="00CD2FB0">
        <w:t xml:space="preserve">a CDQ group’s </w:t>
      </w:r>
      <w:r w:rsidR="00CD2FB0" w:rsidRPr="007F409C">
        <w:t xml:space="preserve">small </w:t>
      </w:r>
      <w:r w:rsidR="00CD2FB0">
        <w:t xml:space="preserve">catcher </w:t>
      </w:r>
      <w:r w:rsidR="00CD2FB0" w:rsidRPr="007F409C">
        <w:t xml:space="preserve">vessel halibut PSC limit, NMFS will consider </w:t>
      </w:r>
      <w:r w:rsidR="00CD2FB0">
        <w:t xml:space="preserve">whether the amount of halibut to be transferred to the small </w:t>
      </w:r>
      <w:r w:rsidR="00613AD5">
        <w:t xml:space="preserve">catcher </w:t>
      </w:r>
      <w:r w:rsidR="00CD2FB0">
        <w:t>vessel halibut PSC limit is sufficient to support groundfish CDQ fishing by the catcher vessels</w:t>
      </w:r>
      <w:r w:rsidR="00CD2FB0" w:rsidRPr="007F409C">
        <w:t xml:space="preserve"> </w:t>
      </w:r>
      <w:r w:rsidR="00CD2FB0">
        <w:t>that the CDQ group plans to authorize to conduct groundfish CDQ fishing.</w:t>
      </w:r>
      <w:r w:rsidRPr="007F409C">
        <w:t xml:space="preserve"> The transfer is not effective until approved by NMFS. </w:t>
      </w:r>
      <w:r w:rsidR="008C68F6" w:rsidRPr="007F409C">
        <w:t xml:space="preserve">The </w:t>
      </w:r>
      <w:r w:rsidR="008C68F6">
        <w:t xml:space="preserve">CDQ group representative </w:t>
      </w:r>
      <w:r w:rsidR="00CD2FB0">
        <w:t xml:space="preserve">also </w:t>
      </w:r>
      <w:r w:rsidR="008C68F6">
        <w:t xml:space="preserve">may </w:t>
      </w:r>
      <w:r w:rsidR="008C68F6" w:rsidRPr="007F409C">
        <w:t xml:space="preserve">transfer </w:t>
      </w:r>
      <w:r w:rsidR="008C68F6">
        <w:t xml:space="preserve">halibut </w:t>
      </w:r>
      <w:r w:rsidR="008C68F6" w:rsidRPr="007F409C">
        <w:t xml:space="preserve">from a CDQ group’s small </w:t>
      </w:r>
      <w:r w:rsidR="008C68F6">
        <w:t xml:space="preserve">catcher </w:t>
      </w:r>
      <w:r w:rsidR="008C68F6" w:rsidRPr="007F409C">
        <w:t>vessel halibut PSC limit</w:t>
      </w:r>
      <w:r w:rsidR="008C68F6">
        <w:t xml:space="preserve"> back to </w:t>
      </w:r>
      <w:r w:rsidR="00195316">
        <w:t>its</w:t>
      </w:r>
      <w:r w:rsidR="008C68F6">
        <w:t xml:space="preserve"> </w:t>
      </w:r>
      <w:r w:rsidR="008C68F6" w:rsidRPr="007F409C">
        <w:t>halibut PSQ</w:t>
      </w:r>
      <w:r w:rsidR="008C68F6">
        <w:t xml:space="preserve"> by submitting </w:t>
      </w:r>
      <w:r w:rsidR="008C68F6" w:rsidRPr="007F409C">
        <w:t xml:space="preserve">a transfer request using the procedures described in § 679.5(n). </w:t>
      </w:r>
      <w:r w:rsidRPr="007F409C">
        <w:t xml:space="preserve">In reviewing a request to transfer halibut from the small </w:t>
      </w:r>
      <w:r w:rsidR="00CA3E7F">
        <w:t xml:space="preserve">catcher </w:t>
      </w:r>
      <w:r w:rsidRPr="007F409C">
        <w:t xml:space="preserve">vessel halibut PSC limit back to the CDQ group’s halibut PSQ, NMFS will consider the status of CDQ fisheries through the end of the year and anticipated halibut PSC rates for any remaining groundfish CDQ fishing by vessels managed under the small </w:t>
      </w:r>
      <w:r w:rsidR="00CA3E7F">
        <w:t xml:space="preserve">catcher </w:t>
      </w:r>
      <w:r w:rsidRPr="007F409C">
        <w:t>vessel halibut PSC limit for the requesting CDQ group</w:t>
      </w:r>
      <w:r w:rsidR="006858F9">
        <w:t xml:space="preserve">. </w:t>
      </w:r>
    </w:p>
    <w:p w14:paraId="761A8B53" w14:textId="7205612A" w:rsidR="00B15BB6" w:rsidRPr="007F409C" w:rsidRDefault="00B15BB6" w:rsidP="00A4432D">
      <w:pPr>
        <w:numPr>
          <w:ilvl w:val="12"/>
          <w:numId w:val="0"/>
        </w:numPr>
        <w:spacing w:line="480" w:lineRule="auto"/>
      </w:pPr>
      <w:r>
        <w:tab/>
      </w:r>
      <w:r w:rsidRPr="007F409C">
        <w:t>(</w:t>
      </w:r>
      <w:r w:rsidR="00771922">
        <w:rPr>
          <w:i/>
        </w:rPr>
        <w:t>3</w:t>
      </w:r>
      <w:r w:rsidRPr="007F409C">
        <w:t xml:space="preserve">) </w:t>
      </w:r>
      <w:r w:rsidRPr="004C04AF">
        <w:rPr>
          <w:i/>
        </w:rPr>
        <w:t>Fishery closures</w:t>
      </w:r>
      <w:r w:rsidRPr="007F409C">
        <w:t xml:space="preserve">. </w:t>
      </w:r>
      <w:r w:rsidR="00D7403F">
        <w:t>Directed fishing for groundfish CDQ</w:t>
      </w:r>
      <w:r w:rsidR="008164B6">
        <w:t xml:space="preserve">, except sablefish CDQ managed under paragraph (c)(1) of this section, </w:t>
      </w:r>
      <w:r w:rsidR="00D7403F">
        <w:t xml:space="preserve">by </w:t>
      </w:r>
      <w:r w:rsidR="00D7403F" w:rsidRPr="00D7403F">
        <w:t>catcher vessels less than or equal to 46 ft LOA using hook-and-line gear</w:t>
      </w:r>
      <w:r w:rsidR="008164B6">
        <w:t xml:space="preserve"> </w:t>
      </w:r>
      <w:r w:rsidR="00D7403F">
        <w:t xml:space="preserve">is prohibited unless </w:t>
      </w:r>
      <w:r w:rsidR="00D7403F" w:rsidRPr="007F409C">
        <w:t>the Regional Administrator publish</w:t>
      </w:r>
      <w:r w:rsidR="00D7403F">
        <w:t>es</w:t>
      </w:r>
      <w:r w:rsidR="00D7403F" w:rsidRPr="007F409C">
        <w:t xml:space="preserve"> </w:t>
      </w:r>
      <w:r w:rsidR="00A4432D">
        <w:t xml:space="preserve">notification </w:t>
      </w:r>
      <w:r w:rsidR="00D7403F" w:rsidRPr="007F409C">
        <w:t xml:space="preserve">in the </w:t>
      </w:r>
      <w:r w:rsidR="00D7403F" w:rsidRPr="004C04AF">
        <w:rPr>
          <w:b/>
        </w:rPr>
        <w:t>Federal</w:t>
      </w:r>
      <w:r w:rsidR="00D7403F" w:rsidRPr="004C04AF">
        <w:rPr>
          <w:b/>
          <w:i/>
        </w:rPr>
        <w:t xml:space="preserve"> </w:t>
      </w:r>
      <w:r w:rsidR="00D7403F" w:rsidRPr="004C04AF">
        <w:rPr>
          <w:b/>
        </w:rPr>
        <w:t>Register</w:t>
      </w:r>
      <w:r w:rsidR="00D7403F" w:rsidRPr="00D7403F">
        <w:t xml:space="preserve"> </w:t>
      </w:r>
      <w:r w:rsidR="00D7403F">
        <w:t xml:space="preserve">authorizing such </w:t>
      </w:r>
      <w:r w:rsidR="00D7403F" w:rsidRPr="007F409C">
        <w:t>directed fishing</w:t>
      </w:r>
      <w:r w:rsidR="00D7403F">
        <w:t>. In decid</w:t>
      </w:r>
      <w:r w:rsidR="006D00DE">
        <w:t>ing</w:t>
      </w:r>
      <w:r w:rsidR="00D7403F">
        <w:t xml:space="preserve"> whether to authorize directed fishing, NMFS will consider whether a CDQ group has sufficient halibut in its small </w:t>
      </w:r>
      <w:r w:rsidR="00613AD5">
        <w:t xml:space="preserve">catcher </w:t>
      </w:r>
      <w:r w:rsidR="00D7403F">
        <w:t xml:space="preserve">vessel halibut PSC limit to support </w:t>
      </w:r>
      <w:r w:rsidR="00D7403F">
        <w:lastRenderedPageBreak/>
        <w:t>dire</w:t>
      </w:r>
      <w:r w:rsidR="008164B6">
        <w:t>cted fishing for groundfish CDQ by these catcher vessels.</w:t>
      </w:r>
      <w:r w:rsidR="00D7403F">
        <w:t xml:space="preserve"> </w:t>
      </w:r>
      <w:r w:rsidRPr="007F409C">
        <w:t xml:space="preserve">Upon determining that a CDQ group’s small </w:t>
      </w:r>
      <w:r w:rsidR="00CA3E7F">
        <w:t xml:space="preserve">catcher </w:t>
      </w:r>
      <w:r w:rsidRPr="007F409C">
        <w:t xml:space="preserve">vessel halibut PSC limit </w:t>
      </w:r>
      <w:r w:rsidR="00BF7416">
        <w:t>has been</w:t>
      </w:r>
      <w:r w:rsidRPr="007F409C">
        <w:t xml:space="preserve"> or will be reached, the Regional Administrator will publish notification in the </w:t>
      </w:r>
      <w:r w:rsidRPr="004C04AF">
        <w:rPr>
          <w:b/>
        </w:rPr>
        <w:t>Federal</w:t>
      </w:r>
      <w:r w:rsidRPr="004C04AF">
        <w:rPr>
          <w:b/>
          <w:i/>
        </w:rPr>
        <w:t xml:space="preserve"> </w:t>
      </w:r>
      <w:r w:rsidRPr="004C04AF">
        <w:rPr>
          <w:b/>
        </w:rPr>
        <w:t>Register</w:t>
      </w:r>
      <w:r w:rsidRPr="007F409C">
        <w:t xml:space="preserve"> prohibiting directed fishing </w:t>
      </w:r>
      <w:r>
        <w:t xml:space="preserve">for </w:t>
      </w:r>
      <w:r w:rsidRPr="007F409C">
        <w:t>all groundfish CDQ species, except sablefish</w:t>
      </w:r>
      <w:r w:rsidR="009240CD">
        <w:t xml:space="preserve"> CDQ</w:t>
      </w:r>
      <w:r w:rsidRPr="007F409C">
        <w:t xml:space="preserve">, </w:t>
      </w:r>
      <w:r w:rsidR="007A1636">
        <w:t>by</w:t>
      </w:r>
      <w:r w:rsidR="009240CD">
        <w:t xml:space="preserve"> </w:t>
      </w:r>
      <w:r w:rsidR="009240CD" w:rsidRPr="00D7403F">
        <w:t>catcher vessels less than or equal to 46 ft LOA using hook-and-line gear</w:t>
      </w:r>
      <w:r w:rsidR="009240CD" w:rsidRPr="007F409C" w:rsidDel="007A1636">
        <w:t xml:space="preserve"> </w:t>
      </w:r>
      <w:r w:rsidR="009240CD">
        <w:t xml:space="preserve">fishing </w:t>
      </w:r>
      <w:r w:rsidRPr="007F409C">
        <w:t xml:space="preserve">for </w:t>
      </w:r>
      <w:r>
        <w:t>th</w:t>
      </w:r>
      <w:r w:rsidR="008164B6">
        <w:t>at</w:t>
      </w:r>
      <w:r w:rsidRPr="007F409C">
        <w:t xml:space="preserve"> CDQ group. If the estimated halibut PSC by vessels </w:t>
      </w:r>
      <w:r w:rsidR="007A1636">
        <w:t>described in</w:t>
      </w:r>
      <w:r w:rsidRPr="007F409C">
        <w:t xml:space="preserve"> paragraph (c)(3)</w:t>
      </w:r>
      <w:r w:rsidR="00A032D3">
        <w:t>(iii)</w:t>
      </w:r>
      <w:r w:rsidR="007A1636">
        <w:t>(A) of this section</w:t>
      </w:r>
      <w:r w:rsidRPr="007F409C">
        <w:t xml:space="preserve"> exceeds the balance of the small </w:t>
      </w:r>
      <w:r w:rsidR="00CA3E7F">
        <w:t xml:space="preserve">catcher </w:t>
      </w:r>
      <w:r w:rsidRPr="007F409C">
        <w:t xml:space="preserve">vessel halibut PSC limit on December 31 of any year, and if the CDQ group has remaining halibut PSQ on that date, NMFS will transfer an amount of halibut PSQ into the CDQ group’s small </w:t>
      </w:r>
      <w:r w:rsidR="00CA3E7F">
        <w:t xml:space="preserve">catcher </w:t>
      </w:r>
      <w:r w:rsidRPr="007F409C">
        <w:t xml:space="preserve">vessel halibut PSC limit to bring the balance of the small </w:t>
      </w:r>
      <w:r w:rsidR="00CA3E7F">
        <w:t xml:space="preserve">catcher </w:t>
      </w:r>
      <w:r w:rsidRPr="007F409C">
        <w:t>vessel halibut PSC limit to zero. NMFS will make the determination about whether such an administrative transfer is necessary after data from the fishing year is finalized</w:t>
      </w:r>
      <w:r w:rsidR="006858F9">
        <w:t>.</w:t>
      </w:r>
    </w:p>
    <w:p w14:paraId="4CD2A5C4" w14:textId="77777777" w:rsidR="00B15BB6" w:rsidRDefault="00B15BB6" w:rsidP="00B15BB6">
      <w:pPr>
        <w:numPr>
          <w:ilvl w:val="12"/>
          <w:numId w:val="0"/>
        </w:numPr>
        <w:spacing w:line="480" w:lineRule="auto"/>
      </w:pPr>
      <w:r>
        <w:t>* * * * *</w:t>
      </w:r>
    </w:p>
    <w:p w14:paraId="5A208BA0" w14:textId="77777777" w:rsidR="00A87B1B" w:rsidRDefault="00B15BB6" w:rsidP="00B15BB6">
      <w:pPr>
        <w:numPr>
          <w:ilvl w:val="12"/>
          <w:numId w:val="0"/>
        </w:numPr>
        <w:spacing w:line="480" w:lineRule="auto"/>
      </w:pPr>
      <w:r>
        <w:tab/>
        <w:t>6</w:t>
      </w:r>
      <w:r w:rsidRPr="00C121A8">
        <w:t>. In</w:t>
      </w:r>
      <w:r w:rsidRPr="00F462E5">
        <w:t xml:space="preserve"> § 679.51</w:t>
      </w:r>
      <w:r w:rsidR="00A87B1B">
        <w:t>:</w:t>
      </w:r>
    </w:p>
    <w:p w14:paraId="30BB45A6" w14:textId="1622823C" w:rsidR="00A87B1B" w:rsidRDefault="00A87B1B" w:rsidP="00280F05">
      <w:pPr>
        <w:numPr>
          <w:ilvl w:val="12"/>
          <w:numId w:val="0"/>
        </w:numPr>
        <w:spacing w:line="480" w:lineRule="auto"/>
        <w:ind w:firstLine="720"/>
      </w:pPr>
      <w:r>
        <w:t xml:space="preserve">a. </w:t>
      </w:r>
      <w:r w:rsidR="00B15BB6" w:rsidRPr="00F462E5">
        <w:t xml:space="preserve"> </w:t>
      </w:r>
      <w:r>
        <w:t>R</w:t>
      </w:r>
      <w:r w:rsidR="00B15BB6" w:rsidRPr="002030D5">
        <w:t>emove § 679.51 introductory text</w:t>
      </w:r>
      <w:r w:rsidR="00B15BB6">
        <w:t xml:space="preserve"> and </w:t>
      </w:r>
      <w:r w:rsidR="00B15BB6" w:rsidRPr="00F462E5">
        <w:t>paragraph (f)</w:t>
      </w:r>
      <w:r>
        <w:t>;</w:t>
      </w:r>
      <w:r w:rsidR="00740E3E">
        <w:t xml:space="preserve"> </w:t>
      </w:r>
    </w:p>
    <w:p w14:paraId="0875C77B" w14:textId="31A6956E" w:rsidR="00A87B1B" w:rsidRDefault="00A87B1B" w:rsidP="00280F05">
      <w:pPr>
        <w:numPr>
          <w:ilvl w:val="12"/>
          <w:numId w:val="0"/>
        </w:numPr>
        <w:spacing w:line="480" w:lineRule="auto"/>
        <w:ind w:firstLine="720"/>
      </w:pPr>
      <w:r>
        <w:t>b. A</w:t>
      </w:r>
      <w:r w:rsidR="00B15BB6" w:rsidRPr="00F462E5">
        <w:t>dd paragraph (a)(1)(i)(</w:t>
      </w:r>
      <w:r w:rsidR="006451C0">
        <w:t>D</w:t>
      </w:r>
      <w:r w:rsidR="00B15BB6" w:rsidRPr="00F462E5">
        <w:t>)</w:t>
      </w:r>
      <w:r>
        <w:t>; and</w:t>
      </w:r>
    </w:p>
    <w:p w14:paraId="482E1DE7" w14:textId="2AAED064" w:rsidR="00B15BB6" w:rsidRDefault="00A87B1B" w:rsidP="00280F05">
      <w:pPr>
        <w:numPr>
          <w:ilvl w:val="12"/>
          <w:numId w:val="0"/>
        </w:numPr>
        <w:spacing w:line="480" w:lineRule="auto"/>
        <w:ind w:firstLine="720"/>
      </w:pPr>
      <w:r>
        <w:t>c. Revise paragraph (a)(2)(i)(C)(</w:t>
      </w:r>
      <w:r w:rsidRPr="00280F05">
        <w:rPr>
          <w:i/>
        </w:rPr>
        <w:t>2</w:t>
      </w:r>
      <w:r>
        <w:t>)</w:t>
      </w:r>
      <w:r w:rsidR="00740E3E">
        <w:t xml:space="preserve"> to </w:t>
      </w:r>
      <w:r w:rsidR="00B15BB6" w:rsidRPr="00F462E5">
        <w:t>read as follows:</w:t>
      </w:r>
    </w:p>
    <w:p w14:paraId="2C3E0E9F" w14:textId="77777777" w:rsidR="00B15BB6" w:rsidRPr="003059F9" w:rsidRDefault="00B15BB6" w:rsidP="00B15BB6">
      <w:pPr>
        <w:numPr>
          <w:ilvl w:val="12"/>
          <w:numId w:val="0"/>
        </w:numPr>
        <w:spacing w:line="480" w:lineRule="auto"/>
        <w:rPr>
          <w:b/>
        </w:rPr>
      </w:pPr>
      <w:r w:rsidRPr="003059F9">
        <w:rPr>
          <w:b/>
        </w:rPr>
        <w:t xml:space="preserve">§ 679.51  Observer requirements for vessels and plants. </w:t>
      </w:r>
    </w:p>
    <w:p w14:paraId="63C3AC39" w14:textId="77777777" w:rsidR="00B15BB6" w:rsidRDefault="00B15BB6" w:rsidP="00B15BB6">
      <w:pPr>
        <w:numPr>
          <w:ilvl w:val="12"/>
          <w:numId w:val="0"/>
        </w:numPr>
        <w:spacing w:line="480" w:lineRule="auto"/>
      </w:pPr>
      <w:r>
        <w:tab/>
        <w:t>(a) * * *</w:t>
      </w:r>
    </w:p>
    <w:p w14:paraId="64B2E4F7" w14:textId="77777777" w:rsidR="00B15BB6" w:rsidRDefault="00B15BB6" w:rsidP="00B15BB6">
      <w:pPr>
        <w:numPr>
          <w:ilvl w:val="12"/>
          <w:numId w:val="0"/>
        </w:numPr>
        <w:spacing w:line="480" w:lineRule="auto"/>
      </w:pPr>
      <w:r>
        <w:tab/>
        <w:t>(1) * * *</w:t>
      </w:r>
    </w:p>
    <w:p w14:paraId="3E06C4E7" w14:textId="77777777" w:rsidR="00B15BB6" w:rsidRDefault="00B15BB6" w:rsidP="00B15BB6">
      <w:pPr>
        <w:numPr>
          <w:ilvl w:val="12"/>
          <w:numId w:val="0"/>
        </w:numPr>
        <w:spacing w:line="480" w:lineRule="auto"/>
      </w:pPr>
      <w:r>
        <w:tab/>
        <w:t>(i) * * *</w:t>
      </w:r>
    </w:p>
    <w:p w14:paraId="4D4797C4" w14:textId="5EBF5B74" w:rsidR="00B15BB6" w:rsidRDefault="00B15BB6" w:rsidP="006451C0">
      <w:pPr>
        <w:numPr>
          <w:ilvl w:val="12"/>
          <w:numId w:val="0"/>
        </w:numPr>
        <w:spacing w:line="480" w:lineRule="auto"/>
      </w:pPr>
      <w:r>
        <w:lastRenderedPageBreak/>
        <w:tab/>
        <w:t>(</w:t>
      </w:r>
      <w:r w:rsidR="006451C0">
        <w:t>D</w:t>
      </w:r>
      <w:r>
        <w:t xml:space="preserve">) </w:t>
      </w:r>
      <w:r w:rsidRPr="00354996">
        <w:t>A catcher vessel less than or equal to 46</w:t>
      </w:r>
      <w:r>
        <w:t xml:space="preserve"> ft</w:t>
      </w:r>
      <w:r w:rsidRPr="00354996">
        <w:t xml:space="preserve"> LOA using hook-and-line gear wh</w:t>
      </w:r>
      <w:r w:rsidR="00856510">
        <w:t>en</w:t>
      </w:r>
      <w:r w:rsidRPr="00354996">
        <w:t xml:space="preserve"> groundfish CDQ fishing under § 679.32(c)(3)</w:t>
      </w:r>
      <w:r w:rsidR="00535BAD">
        <w:t>(iii)</w:t>
      </w:r>
      <w:r w:rsidRPr="00354996">
        <w:t>.</w:t>
      </w:r>
    </w:p>
    <w:p w14:paraId="4E96123E" w14:textId="77777777" w:rsidR="00B15BB6" w:rsidRDefault="00B15BB6" w:rsidP="00B15BB6">
      <w:pPr>
        <w:numPr>
          <w:ilvl w:val="12"/>
          <w:numId w:val="0"/>
        </w:numPr>
        <w:spacing w:line="480" w:lineRule="auto"/>
      </w:pPr>
      <w:r>
        <w:t>* * * * *</w:t>
      </w:r>
    </w:p>
    <w:p w14:paraId="6E46BEC5" w14:textId="77777777" w:rsidR="00B15BB6" w:rsidRDefault="00B15BB6" w:rsidP="00B15BB6">
      <w:pPr>
        <w:numPr>
          <w:ilvl w:val="12"/>
          <w:numId w:val="0"/>
        </w:numPr>
        <w:spacing w:line="480" w:lineRule="auto"/>
      </w:pPr>
      <w:r>
        <w:tab/>
        <w:t>(2) * * *</w:t>
      </w:r>
    </w:p>
    <w:p w14:paraId="2B117B23" w14:textId="77777777" w:rsidR="00B15BB6" w:rsidRDefault="00B15BB6" w:rsidP="00B15BB6">
      <w:pPr>
        <w:numPr>
          <w:ilvl w:val="12"/>
          <w:numId w:val="0"/>
        </w:numPr>
        <w:spacing w:line="480" w:lineRule="auto"/>
      </w:pPr>
      <w:r>
        <w:tab/>
        <w:t>(i) * * *</w:t>
      </w:r>
    </w:p>
    <w:p w14:paraId="58ADB306" w14:textId="77777777" w:rsidR="00B15BB6" w:rsidRDefault="00B15BB6" w:rsidP="00B15BB6">
      <w:pPr>
        <w:numPr>
          <w:ilvl w:val="12"/>
          <w:numId w:val="0"/>
        </w:numPr>
        <w:spacing w:line="480" w:lineRule="auto"/>
      </w:pPr>
      <w:r>
        <w:tab/>
        <w:t>(C) * * *</w:t>
      </w:r>
    </w:p>
    <w:p w14:paraId="1AB9C7B2" w14:textId="130787FD" w:rsidR="00B15BB6" w:rsidRDefault="00B15BB6" w:rsidP="00B15BB6">
      <w:pPr>
        <w:numPr>
          <w:ilvl w:val="12"/>
          <w:numId w:val="0"/>
        </w:numPr>
        <w:spacing w:line="480" w:lineRule="auto"/>
      </w:pPr>
      <w:r>
        <w:tab/>
        <w:t>(</w:t>
      </w:r>
      <w:r w:rsidRPr="003059F9">
        <w:rPr>
          <w:i/>
        </w:rPr>
        <w:t>2</w:t>
      </w:r>
      <w:r>
        <w:t xml:space="preserve">) </w:t>
      </w:r>
      <w:r w:rsidRPr="00354996">
        <w:t>Using trawl gear or hook-and-line gear wh</w:t>
      </w:r>
      <w:r w:rsidR="00856510">
        <w:t>en</w:t>
      </w:r>
      <w:r w:rsidRPr="00354996">
        <w:t xml:space="preserve"> groundfish CDQ fishing (see § 679.2), except for catcher vessels less than or equal to 46 </w:t>
      </w:r>
      <w:r>
        <w:t>ft</w:t>
      </w:r>
      <w:r w:rsidRPr="00354996">
        <w:t xml:space="preserve"> LOA using hook-and-line gear wh</w:t>
      </w:r>
      <w:r w:rsidR="00856510">
        <w:t>en</w:t>
      </w:r>
      <w:r w:rsidRPr="00354996">
        <w:t xml:space="preserve"> groundfish CDQ</w:t>
      </w:r>
      <w:r>
        <w:t xml:space="preserve"> fishing under § 679.32(c)(3)</w:t>
      </w:r>
      <w:r w:rsidR="00535BAD">
        <w:t>(iii)</w:t>
      </w:r>
      <w:r>
        <w:t>;</w:t>
      </w:r>
      <w:r w:rsidR="00183788">
        <w:t xml:space="preserve"> or</w:t>
      </w:r>
    </w:p>
    <w:p w14:paraId="642EBB53" w14:textId="77777777" w:rsidR="00B15BB6" w:rsidRDefault="00B15BB6" w:rsidP="00B15BB6">
      <w:pPr>
        <w:numPr>
          <w:ilvl w:val="12"/>
          <w:numId w:val="0"/>
        </w:numPr>
        <w:spacing w:line="480" w:lineRule="auto"/>
      </w:pPr>
      <w:r>
        <w:t>* * * * *</w:t>
      </w:r>
      <w:r>
        <w:tab/>
      </w:r>
    </w:p>
    <w:p w14:paraId="7A4CBE59" w14:textId="3A9EAFBC" w:rsidR="008D6A8D" w:rsidRDefault="008D6A8D" w:rsidP="008D6A8D">
      <w:pPr>
        <w:tabs>
          <w:tab w:val="left" w:pos="360"/>
          <w:tab w:val="left" w:pos="720"/>
          <w:tab w:val="left" w:pos="1080"/>
          <w:tab w:val="left" w:pos="1440"/>
        </w:tabs>
        <w:spacing w:line="480" w:lineRule="auto"/>
        <w:contextualSpacing/>
      </w:pPr>
      <w:r w:rsidRPr="00CE433E">
        <w:rPr>
          <w:rFonts w:ascii="Calibri" w:hAnsi="Calibri"/>
          <w:b/>
        </w:rPr>
        <w:t>§§</w:t>
      </w:r>
      <w:r>
        <w:rPr>
          <w:b/>
        </w:rPr>
        <w:t xml:space="preserve"> 679.4 [Amended]</w:t>
      </w:r>
    </w:p>
    <w:p w14:paraId="6D2F5A82" w14:textId="1ABDC351" w:rsidR="008D6A8D" w:rsidRDefault="008D6A8D" w:rsidP="008D6A8D">
      <w:pPr>
        <w:tabs>
          <w:tab w:val="left" w:pos="360"/>
          <w:tab w:val="left" w:pos="720"/>
          <w:tab w:val="left" w:pos="1080"/>
          <w:tab w:val="left" w:pos="1440"/>
        </w:tabs>
        <w:spacing w:line="480" w:lineRule="auto"/>
        <w:contextualSpacing/>
      </w:pPr>
      <w:r>
        <w:tab/>
        <w:t>7. At each of the locations shown in the “Location” column, remove the phrase indicated in the “Remove” column and replace it with the phrase indicated in the “Add” column for the number of times indicated in the “Frequency” column.</w:t>
      </w:r>
    </w:p>
    <w:tbl>
      <w:tblPr>
        <w:tblStyle w:val="TableGrid"/>
        <w:tblW w:w="0" w:type="auto"/>
        <w:tblLook w:val="04A0" w:firstRow="1" w:lastRow="0" w:firstColumn="1" w:lastColumn="0" w:noHBand="0" w:noVBand="1"/>
      </w:tblPr>
      <w:tblGrid>
        <w:gridCol w:w="2358"/>
        <w:gridCol w:w="2160"/>
        <w:gridCol w:w="2250"/>
        <w:gridCol w:w="2088"/>
      </w:tblGrid>
      <w:tr w:rsidR="008D6A8D" w:rsidRPr="005A66D7" w14:paraId="48CA7D91" w14:textId="73EDE9EF" w:rsidTr="0081667D">
        <w:tc>
          <w:tcPr>
            <w:tcW w:w="2358" w:type="dxa"/>
          </w:tcPr>
          <w:p w14:paraId="4CB028EF" w14:textId="3BA5BDC9" w:rsidR="008D6A8D" w:rsidRPr="005A66D7" w:rsidRDefault="008D6A8D" w:rsidP="0081667D">
            <w:pPr>
              <w:tabs>
                <w:tab w:val="left" w:pos="360"/>
                <w:tab w:val="left" w:pos="720"/>
                <w:tab w:val="left" w:pos="1080"/>
                <w:tab w:val="left" w:pos="1440"/>
              </w:tabs>
              <w:spacing w:line="480" w:lineRule="auto"/>
              <w:contextualSpacing/>
              <w:jc w:val="center"/>
              <w:rPr>
                <w:rFonts w:ascii="Times New Roman" w:hAnsi="Times New Roman"/>
              </w:rPr>
            </w:pPr>
            <w:r w:rsidRPr="005A66D7">
              <w:rPr>
                <w:rFonts w:ascii="Times New Roman" w:hAnsi="Times New Roman"/>
              </w:rPr>
              <w:t>Location</w:t>
            </w:r>
          </w:p>
        </w:tc>
        <w:tc>
          <w:tcPr>
            <w:tcW w:w="2160" w:type="dxa"/>
          </w:tcPr>
          <w:p w14:paraId="1D1F2E78" w14:textId="0C02AC1A" w:rsidR="008D6A8D" w:rsidRPr="005A66D7" w:rsidRDefault="008D6A8D" w:rsidP="0081667D">
            <w:pPr>
              <w:tabs>
                <w:tab w:val="left" w:pos="360"/>
                <w:tab w:val="left" w:pos="720"/>
                <w:tab w:val="left" w:pos="1080"/>
                <w:tab w:val="left" w:pos="1440"/>
              </w:tabs>
              <w:spacing w:line="480" w:lineRule="auto"/>
              <w:contextualSpacing/>
              <w:jc w:val="center"/>
              <w:rPr>
                <w:rFonts w:ascii="Times New Roman" w:hAnsi="Times New Roman"/>
              </w:rPr>
            </w:pPr>
            <w:r w:rsidRPr="005A66D7">
              <w:rPr>
                <w:rFonts w:ascii="Times New Roman" w:hAnsi="Times New Roman"/>
              </w:rPr>
              <w:t>Remove</w:t>
            </w:r>
          </w:p>
        </w:tc>
        <w:tc>
          <w:tcPr>
            <w:tcW w:w="2250" w:type="dxa"/>
          </w:tcPr>
          <w:p w14:paraId="50467CAC" w14:textId="22AB6A19" w:rsidR="008D6A8D" w:rsidRPr="005A66D7" w:rsidRDefault="008D6A8D" w:rsidP="0081667D">
            <w:pPr>
              <w:tabs>
                <w:tab w:val="left" w:pos="360"/>
                <w:tab w:val="left" w:pos="720"/>
                <w:tab w:val="left" w:pos="1080"/>
                <w:tab w:val="left" w:pos="1440"/>
              </w:tabs>
              <w:spacing w:line="480" w:lineRule="auto"/>
              <w:contextualSpacing/>
              <w:jc w:val="center"/>
              <w:rPr>
                <w:rFonts w:ascii="Times New Roman" w:hAnsi="Times New Roman"/>
              </w:rPr>
            </w:pPr>
            <w:r w:rsidRPr="005A66D7">
              <w:rPr>
                <w:rFonts w:ascii="Times New Roman" w:hAnsi="Times New Roman"/>
              </w:rPr>
              <w:t>Add</w:t>
            </w:r>
          </w:p>
        </w:tc>
        <w:tc>
          <w:tcPr>
            <w:tcW w:w="2088" w:type="dxa"/>
          </w:tcPr>
          <w:p w14:paraId="3B29AC79" w14:textId="3E5592CF" w:rsidR="008D6A8D" w:rsidRPr="005A66D7" w:rsidRDefault="008D6A8D" w:rsidP="0081667D">
            <w:pPr>
              <w:tabs>
                <w:tab w:val="left" w:pos="360"/>
                <w:tab w:val="left" w:pos="720"/>
                <w:tab w:val="left" w:pos="1080"/>
                <w:tab w:val="left" w:pos="1440"/>
              </w:tabs>
              <w:spacing w:line="480" w:lineRule="auto"/>
              <w:contextualSpacing/>
              <w:jc w:val="center"/>
              <w:rPr>
                <w:rFonts w:ascii="Times New Roman" w:hAnsi="Times New Roman"/>
              </w:rPr>
            </w:pPr>
            <w:r w:rsidRPr="005A66D7">
              <w:rPr>
                <w:rFonts w:ascii="Times New Roman" w:hAnsi="Times New Roman"/>
              </w:rPr>
              <w:t>Frequency</w:t>
            </w:r>
          </w:p>
        </w:tc>
      </w:tr>
      <w:tr w:rsidR="008D6A8D" w:rsidRPr="005A66D7" w14:paraId="7033AC87" w14:textId="3EE2A457" w:rsidTr="0081667D">
        <w:tc>
          <w:tcPr>
            <w:tcW w:w="2358" w:type="dxa"/>
          </w:tcPr>
          <w:p w14:paraId="1B3FF4D3" w14:textId="3C6FDE6A" w:rsidR="008D6A8D" w:rsidRPr="005A66D7" w:rsidRDefault="008D6A8D" w:rsidP="008D6A8D">
            <w:pPr>
              <w:tabs>
                <w:tab w:val="left" w:pos="360"/>
                <w:tab w:val="left" w:pos="720"/>
                <w:tab w:val="left" w:pos="1080"/>
                <w:tab w:val="left" w:pos="1440"/>
              </w:tabs>
              <w:spacing w:line="480" w:lineRule="auto"/>
              <w:contextualSpacing/>
              <w:rPr>
                <w:rFonts w:ascii="Times New Roman" w:hAnsi="Times New Roman"/>
              </w:rPr>
            </w:pPr>
            <w:r>
              <w:rPr>
                <w:rFonts w:ascii="Times New Roman" w:hAnsi="Times New Roman"/>
              </w:rPr>
              <w:t>§ 679.4(k)(2)(iv)</w:t>
            </w:r>
          </w:p>
        </w:tc>
        <w:tc>
          <w:tcPr>
            <w:tcW w:w="2160" w:type="dxa"/>
          </w:tcPr>
          <w:p w14:paraId="7FA011A0" w14:textId="641CAE4A" w:rsidR="008D6A8D" w:rsidRPr="005A66D7" w:rsidRDefault="008D6A8D" w:rsidP="0081667D">
            <w:pPr>
              <w:tabs>
                <w:tab w:val="left" w:pos="360"/>
                <w:tab w:val="left" w:pos="720"/>
                <w:tab w:val="left" w:pos="1080"/>
                <w:tab w:val="left" w:pos="1440"/>
              </w:tabs>
              <w:spacing w:line="480" w:lineRule="auto"/>
              <w:contextualSpacing/>
              <w:rPr>
                <w:rFonts w:ascii="Times New Roman" w:hAnsi="Times New Roman"/>
              </w:rPr>
            </w:pPr>
            <w:r>
              <w:rPr>
                <w:rFonts w:ascii="Times New Roman" w:hAnsi="Times New Roman"/>
              </w:rPr>
              <w:t>license; or</w:t>
            </w:r>
          </w:p>
        </w:tc>
        <w:tc>
          <w:tcPr>
            <w:tcW w:w="2250" w:type="dxa"/>
          </w:tcPr>
          <w:p w14:paraId="3AD11233" w14:textId="1A91EC14" w:rsidR="008D6A8D" w:rsidRPr="005A66D7" w:rsidRDefault="008D6A8D" w:rsidP="0081667D">
            <w:pPr>
              <w:tabs>
                <w:tab w:val="left" w:pos="360"/>
                <w:tab w:val="left" w:pos="720"/>
                <w:tab w:val="left" w:pos="1080"/>
                <w:tab w:val="left" w:pos="1440"/>
              </w:tabs>
              <w:spacing w:line="480" w:lineRule="auto"/>
              <w:contextualSpacing/>
              <w:rPr>
                <w:rFonts w:ascii="Times New Roman" w:hAnsi="Times New Roman"/>
              </w:rPr>
            </w:pPr>
            <w:r>
              <w:rPr>
                <w:rFonts w:ascii="Times New Roman" w:hAnsi="Times New Roman"/>
              </w:rPr>
              <w:t>license;</w:t>
            </w:r>
          </w:p>
        </w:tc>
        <w:tc>
          <w:tcPr>
            <w:tcW w:w="2088" w:type="dxa"/>
          </w:tcPr>
          <w:p w14:paraId="01B3F7BD" w14:textId="721F8949" w:rsidR="008D6A8D" w:rsidRPr="005A66D7" w:rsidRDefault="008D6A8D" w:rsidP="0081667D">
            <w:pPr>
              <w:tabs>
                <w:tab w:val="left" w:pos="360"/>
                <w:tab w:val="left" w:pos="720"/>
                <w:tab w:val="left" w:pos="1080"/>
                <w:tab w:val="left" w:pos="1440"/>
              </w:tabs>
              <w:spacing w:line="480" w:lineRule="auto"/>
              <w:contextualSpacing/>
              <w:rPr>
                <w:rFonts w:ascii="Times New Roman" w:hAnsi="Times New Roman"/>
              </w:rPr>
            </w:pPr>
            <w:r w:rsidRPr="005A66D7">
              <w:rPr>
                <w:rFonts w:ascii="Times New Roman" w:hAnsi="Times New Roman"/>
              </w:rPr>
              <w:t>1</w:t>
            </w:r>
          </w:p>
        </w:tc>
      </w:tr>
      <w:tr w:rsidR="008D6A8D" w:rsidRPr="005A66D7" w14:paraId="168FC563" w14:textId="62957F82" w:rsidTr="0081667D">
        <w:tc>
          <w:tcPr>
            <w:tcW w:w="2358" w:type="dxa"/>
          </w:tcPr>
          <w:p w14:paraId="096EB0F5" w14:textId="5838B95D" w:rsidR="008D6A8D" w:rsidRPr="005A66D7" w:rsidRDefault="008D6A8D" w:rsidP="0081667D">
            <w:pPr>
              <w:tabs>
                <w:tab w:val="left" w:pos="360"/>
                <w:tab w:val="left" w:pos="720"/>
                <w:tab w:val="left" w:pos="1080"/>
                <w:tab w:val="left" w:pos="1440"/>
              </w:tabs>
              <w:spacing w:line="480" w:lineRule="auto"/>
              <w:contextualSpacing/>
              <w:rPr>
                <w:rFonts w:ascii="Times New Roman" w:hAnsi="Times New Roman"/>
              </w:rPr>
            </w:pPr>
            <w:r>
              <w:rPr>
                <w:rFonts w:ascii="Times New Roman" w:hAnsi="Times New Roman"/>
              </w:rPr>
              <w:t>§ 679.4(k)(2)(v)</w:t>
            </w:r>
          </w:p>
        </w:tc>
        <w:tc>
          <w:tcPr>
            <w:tcW w:w="2160" w:type="dxa"/>
          </w:tcPr>
          <w:p w14:paraId="76875F6C" w14:textId="1BB13C55" w:rsidR="008D6A8D" w:rsidRPr="005A66D7" w:rsidRDefault="008D6A8D" w:rsidP="0081667D">
            <w:pPr>
              <w:tabs>
                <w:tab w:val="left" w:pos="360"/>
                <w:tab w:val="left" w:pos="720"/>
                <w:tab w:val="left" w:pos="1080"/>
                <w:tab w:val="left" w:pos="1440"/>
              </w:tabs>
              <w:spacing w:line="480" w:lineRule="auto"/>
              <w:contextualSpacing/>
              <w:rPr>
                <w:rFonts w:ascii="Times New Roman" w:hAnsi="Times New Roman"/>
              </w:rPr>
            </w:pPr>
            <w:r>
              <w:rPr>
                <w:rFonts w:ascii="Times New Roman" w:hAnsi="Times New Roman"/>
              </w:rPr>
              <w:t>Area.</w:t>
            </w:r>
          </w:p>
        </w:tc>
        <w:tc>
          <w:tcPr>
            <w:tcW w:w="2250" w:type="dxa"/>
          </w:tcPr>
          <w:p w14:paraId="4264A9D2" w14:textId="16523663" w:rsidR="008D6A8D" w:rsidRPr="005A66D7" w:rsidRDefault="008D6A8D" w:rsidP="0081667D">
            <w:pPr>
              <w:tabs>
                <w:tab w:val="left" w:pos="360"/>
                <w:tab w:val="left" w:pos="720"/>
                <w:tab w:val="left" w:pos="1080"/>
                <w:tab w:val="left" w:pos="1440"/>
              </w:tabs>
              <w:spacing w:line="480" w:lineRule="auto"/>
              <w:contextualSpacing/>
              <w:rPr>
                <w:rFonts w:ascii="Times New Roman" w:hAnsi="Times New Roman"/>
              </w:rPr>
            </w:pPr>
            <w:r>
              <w:rPr>
                <w:rFonts w:ascii="Times New Roman" w:hAnsi="Times New Roman"/>
              </w:rPr>
              <w:t>Area; or</w:t>
            </w:r>
          </w:p>
        </w:tc>
        <w:tc>
          <w:tcPr>
            <w:tcW w:w="2088" w:type="dxa"/>
          </w:tcPr>
          <w:p w14:paraId="2AD3B33C" w14:textId="0F23919A" w:rsidR="008D6A8D" w:rsidRPr="005A66D7" w:rsidRDefault="008D6A8D" w:rsidP="0081667D">
            <w:pPr>
              <w:tabs>
                <w:tab w:val="left" w:pos="360"/>
                <w:tab w:val="left" w:pos="720"/>
                <w:tab w:val="left" w:pos="1080"/>
                <w:tab w:val="left" w:pos="1440"/>
              </w:tabs>
              <w:spacing w:line="480" w:lineRule="auto"/>
              <w:contextualSpacing/>
              <w:rPr>
                <w:rFonts w:ascii="Times New Roman" w:hAnsi="Times New Roman"/>
              </w:rPr>
            </w:pPr>
            <w:r w:rsidRPr="005A66D7">
              <w:rPr>
                <w:rFonts w:ascii="Times New Roman" w:hAnsi="Times New Roman"/>
              </w:rPr>
              <w:t>1</w:t>
            </w:r>
          </w:p>
        </w:tc>
      </w:tr>
    </w:tbl>
    <w:p w14:paraId="4D22421C" w14:textId="77777777" w:rsidR="008D6A8D" w:rsidRPr="005020AE" w:rsidRDefault="008D6A8D" w:rsidP="008D6A8D">
      <w:pPr>
        <w:tabs>
          <w:tab w:val="left" w:pos="360"/>
          <w:tab w:val="left" w:pos="720"/>
          <w:tab w:val="left" w:pos="1080"/>
          <w:tab w:val="left" w:pos="1440"/>
        </w:tabs>
        <w:spacing w:line="480" w:lineRule="auto"/>
        <w:contextualSpacing/>
      </w:pPr>
    </w:p>
    <w:p w14:paraId="71A6CE3C" w14:textId="77777777" w:rsidR="002A36A4" w:rsidRDefault="002A36A4">
      <w:pPr>
        <w:rPr>
          <w:sz w:val="18"/>
          <w:szCs w:val="22"/>
        </w:rPr>
      </w:pPr>
      <w:r>
        <w:rPr>
          <w:sz w:val="18"/>
          <w:szCs w:val="22"/>
        </w:rPr>
        <w:br w:type="page"/>
      </w:r>
    </w:p>
    <w:p w14:paraId="49DFF4C4" w14:textId="7961A2BB" w:rsidR="002A36A4" w:rsidRPr="00B54F2A" w:rsidRDefault="00B54F2A" w:rsidP="00B15BB6">
      <w:pPr>
        <w:numPr>
          <w:ilvl w:val="12"/>
          <w:numId w:val="0"/>
        </w:numPr>
        <w:rPr>
          <w:sz w:val="22"/>
          <w:szCs w:val="22"/>
        </w:rPr>
      </w:pPr>
      <w:r w:rsidRPr="00B54F2A">
        <w:rPr>
          <w:sz w:val="22"/>
          <w:szCs w:val="22"/>
        </w:rPr>
        <w:lastRenderedPageBreak/>
        <w:fldChar w:fldCharType="begin"/>
      </w:r>
      <w:r w:rsidRPr="00B54F2A">
        <w:rPr>
          <w:sz w:val="22"/>
          <w:szCs w:val="22"/>
        </w:rPr>
        <w:instrText xml:space="preserve"> FILENAME  \* Lower \p  \* MERGEFORMAT </w:instrText>
      </w:r>
      <w:r w:rsidRPr="00B54F2A">
        <w:rPr>
          <w:sz w:val="22"/>
          <w:szCs w:val="22"/>
        </w:rPr>
        <w:fldChar w:fldCharType="separate"/>
      </w:r>
      <w:r w:rsidRPr="00B54F2A">
        <w:rPr>
          <w:noProof/>
          <w:sz w:val="22"/>
          <w:szCs w:val="22"/>
        </w:rPr>
        <w:t>s:\amendment 109 (bsai) cdq sm vessels\pr</w:t>
      </w:r>
      <w:r w:rsidR="00063F40">
        <w:rPr>
          <w:noProof/>
          <w:sz w:val="22"/>
          <w:szCs w:val="22"/>
        </w:rPr>
        <w:t xml:space="preserve"> noa</w:t>
      </w:r>
      <w:r w:rsidRPr="00B54F2A">
        <w:rPr>
          <w:noProof/>
          <w:sz w:val="22"/>
          <w:szCs w:val="22"/>
        </w:rPr>
        <w:t>\amendment 109 (bsai) cdq sm vessels pr.pr.docx</w:t>
      </w:r>
      <w:r w:rsidRPr="00B54F2A">
        <w:rPr>
          <w:sz w:val="22"/>
          <w:szCs w:val="22"/>
        </w:rPr>
        <w:fldChar w:fldCharType="end"/>
      </w:r>
    </w:p>
    <w:p w14:paraId="2FBDE61C" w14:textId="77777777" w:rsidR="002A36A4" w:rsidRDefault="002A36A4" w:rsidP="00B15BB6">
      <w:pPr>
        <w:numPr>
          <w:ilvl w:val="12"/>
          <w:numId w:val="0"/>
        </w:numPr>
        <w:rPr>
          <w:sz w:val="20"/>
          <w:szCs w:val="22"/>
        </w:rPr>
      </w:pPr>
    </w:p>
    <w:p w14:paraId="47DA5F2D" w14:textId="1FAB77AA" w:rsidR="00B15BB6" w:rsidRPr="00CE428E" w:rsidRDefault="00063F40" w:rsidP="00B15BB6">
      <w:pPr>
        <w:numPr>
          <w:ilvl w:val="12"/>
          <w:numId w:val="0"/>
        </w:numPr>
        <w:rPr>
          <w:sz w:val="20"/>
          <w:szCs w:val="22"/>
        </w:rPr>
      </w:pPr>
      <w:r>
        <w:rPr>
          <w:sz w:val="20"/>
          <w:szCs w:val="22"/>
        </w:rPr>
        <w:t>R:\region\2016</w:t>
      </w:r>
      <w:r w:rsidR="00B15BB6" w:rsidRPr="00CE428E">
        <w:rPr>
          <w:sz w:val="20"/>
          <w:szCs w:val="22"/>
        </w:rPr>
        <w:t>\</w:t>
      </w:r>
      <w:r>
        <w:rPr>
          <w:sz w:val="20"/>
          <w:szCs w:val="22"/>
        </w:rPr>
        <w:t>Jan</w:t>
      </w:r>
      <w:r w:rsidR="00B15BB6" w:rsidRPr="00CE428E">
        <w:rPr>
          <w:sz w:val="20"/>
          <w:szCs w:val="22"/>
        </w:rPr>
        <w:t>\</w:t>
      </w:r>
      <w:r w:rsidR="00B15BB6" w:rsidRPr="00CE428E">
        <w:rPr>
          <w:sz w:val="20"/>
          <w:szCs w:val="22"/>
        </w:rPr>
        <w:fldChar w:fldCharType="begin"/>
      </w:r>
      <w:r w:rsidR="00B15BB6" w:rsidRPr="00CE428E">
        <w:rPr>
          <w:sz w:val="20"/>
          <w:szCs w:val="22"/>
        </w:rPr>
        <w:instrText xml:space="preserve"> FILENAME   \* MERGEFORMAT </w:instrText>
      </w:r>
      <w:r w:rsidR="00B15BB6" w:rsidRPr="00CE428E">
        <w:rPr>
          <w:sz w:val="20"/>
          <w:szCs w:val="22"/>
        </w:rPr>
        <w:fldChar w:fldCharType="separate"/>
      </w:r>
      <w:r w:rsidR="00B15BB6">
        <w:rPr>
          <w:noProof/>
          <w:sz w:val="20"/>
          <w:szCs w:val="22"/>
        </w:rPr>
        <w:t>Amendment 109 (BSAI) CDQ sm vessels PR.pr.docx</w:t>
      </w:r>
      <w:r w:rsidR="00B15BB6" w:rsidRPr="00CE428E">
        <w:rPr>
          <w:sz w:val="20"/>
          <w:szCs w:val="22"/>
        </w:rPr>
        <w:fldChar w:fldCharType="end"/>
      </w:r>
    </w:p>
    <w:p w14:paraId="1F821AAA" w14:textId="77777777" w:rsidR="00B15BB6" w:rsidRDefault="00B15BB6" w:rsidP="00B15BB6">
      <w:pPr>
        <w:numPr>
          <w:ilvl w:val="12"/>
          <w:numId w:val="0"/>
        </w:numPr>
        <w:rPr>
          <w:sz w:val="22"/>
          <w:szCs w:val="22"/>
        </w:rPr>
      </w:pPr>
    </w:p>
    <w:p w14:paraId="5D45B303" w14:textId="77777777" w:rsidR="00B15BB6" w:rsidRDefault="00B15BB6" w:rsidP="00B15BB6">
      <w:pPr>
        <w:numPr>
          <w:ilvl w:val="12"/>
          <w:numId w:val="0"/>
        </w:numPr>
        <w:rPr>
          <w:sz w:val="22"/>
          <w:szCs w:val="22"/>
        </w:rPr>
      </w:pPr>
      <w:r>
        <w:rPr>
          <w:sz w:val="22"/>
          <w:szCs w:val="22"/>
        </w:rPr>
        <w:t xml:space="preserve">Skelly 2/20/14 </w:t>
      </w:r>
    </w:p>
    <w:p w14:paraId="55F17053" w14:textId="73B69C2F" w:rsidR="00B15BB6" w:rsidRDefault="00B15BB6" w:rsidP="00B15BB6">
      <w:pPr>
        <w:numPr>
          <w:ilvl w:val="12"/>
          <w:numId w:val="0"/>
        </w:numPr>
        <w:rPr>
          <w:sz w:val="22"/>
          <w:szCs w:val="22"/>
        </w:rPr>
      </w:pPr>
      <w:r>
        <w:rPr>
          <w:sz w:val="22"/>
          <w:szCs w:val="22"/>
        </w:rPr>
        <w:t>Sbibb 4/27/15; 7/19/15; 7/27/15;7/28/15</w:t>
      </w:r>
      <w:r w:rsidR="00301312">
        <w:rPr>
          <w:sz w:val="22"/>
          <w:szCs w:val="22"/>
        </w:rPr>
        <w:t>;8/6/15</w:t>
      </w:r>
      <w:r w:rsidR="007D0311">
        <w:rPr>
          <w:sz w:val="22"/>
          <w:szCs w:val="22"/>
        </w:rPr>
        <w:t>;12/16</w:t>
      </w:r>
      <w:r w:rsidR="00580591">
        <w:rPr>
          <w:sz w:val="22"/>
          <w:szCs w:val="22"/>
        </w:rPr>
        <w:t>/15</w:t>
      </w:r>
      <w:r w:rsidR="005F364C">
        <w:rPr>
          <w:sz w:val="22"/>
          <w:szCs w:val="22"/>
        </w:rPr>
        <w:t>;12/18/15</w:t>
      </w:r>
      <w:r w:rsidR="004047B3">
        <w:rPr>
          <w:sz w:val="22"/>
          <w:szCs w:val="22"/>
        </w:rPr>
        <w:t>;1/12/16</w:t>
      </w:r>
    </w:p>
    <w:p w14:paraId="2A6F121F" w14:textId="6AE1737B" w:rsidR="00B15BB6" w:rsidRDefault="00B15BB6" w:rsidP="00B15BB6">
      <w:pPr>
        <w:numPr>
          <w:ilvl w:val="12"/>
          <w:numId w:val="0"/>
        </w:numPr>
        <w:rPr>
          <w:sz w:val="22"/>
          <w:szCs w:val="22"/>
        </w:rPr>
      </w:pPr>
      <w:r>
        <w:rPr>
          <w:sz w:val="22"/>
          <w:szCs w:val="22"/>
        </w:rPr>
        <w:t>Gaberle 7/28/2015</w:t>
      </w:r>
      <w:r w:rsidR="0010446C">
        <w:rPr>
          <w:sz w:val="22"/>
          <w:szCs w:val="22"/>
        </w:rPr>
        <w:t>; 8/5/15</w:t>
      </w:r>
      <w:r w:rsidR="00580591">
        <w:rPr>
          <w:sz w:val="22"/>
          <w:szCs w:val="22"/>
        </w:rPr>
        <w:t>; 12/11/15</w:t>
      </w:r>
      <w:r w:rsidR="00063F40">
        <w:rPr>
          <w:sz w:val="22"/>
          <w:szCs w:val="22"/>
        </w:rPr>
        <w:t>; 12/23/15</w:t>
      </w:r>
      <w:r w:rsidR="00694C2A">
        <w:rPr>
          <w:sz w:val="22"/>
          <w:szCs w:val="22"/>
        </w:rPr>
        <w:t>; 1/8/</w:t>
      </w:r>
      <w:r w:rsidR="0085016C">
        <w:rPr>
          <w:sz w:val="22"/>
          <w:szCs w:val="22"/>
        </w:rPr>
        <w:t>16</w:t>
      </w:r>
      <w:r w:rsidR="00063F40">
        <w:rPr>
          <w:sz w:val="22"/>
          <w:szCs w:val="22"/>
        </w:rPr>
        <w:t xml:space="preserve"> </w:t>
      </w:r>
    </w:p>
    <w:p w14:paraId="0216ED4E" w14:textId="1A8EF535" w:rsidR="00B15BB6" w:rsidRDefault="00B15BB6" w:rsidP="00B15BB6">
      <w:pPr>
        <w:numPr>
          <w:ilvl w:val="12"/>
          <w:numId w:val="0"/>
        </w:numPr>
        <w:rPr>
          <w:sz w:val="22"/>
          <w:szCs w:val="22"/>
        </w:rPr>
      </w:pPr>
      <w:r>
        <w:rPr>
          <w:sz w:val="22"/>
          <w:szCs w:val="22"/>
        </w:rPr>
        <w:t>odavis: May, June, July; 7/28/15</w:t>
      </w:r>
    </w:p>
    <w:p w14:paraId="5B3C1617" w14:textId="4C544627" w:rsidR="008F0EBE" w:rsidRDefault="002A36A4" w:rsidP="00B15BB6">
      <w:pPr>
        <w:numPr>
          <w:ilvl w:val="12"/>
          <w:numId w:val="0"/>
        </w:numPr>
        <w:rPr>
          <w:sz w:val="22"/>
          <w:szCs w:val="22"/>
        </w:rPr>
      </w:pPr>
      <w:r>
        <w:rPr>
          <w:sz w:val="22"/>
          <w:szCs w:val="22"/>
        </w:rPr>
        <w:t xml:space="preserve">gmerrill:  8/1/15, 8/10/15, 8/11/15. </w:t>
      </w:r>
    </w:p>
    <w:p w14:paraId="00A4C633" w14:textId="581425C7" w:rsidR="002A36A4" w:rsidRDefault="002A36A4" w:rsidP="00B15BB6">
      <w:pPr>
        <w:numPr>
          <w:ilvl w:val="12"/>
          <w:numId w:val="0"/>
        </w:numPr>
        <w:rPr>
          <w:sz w:val="22"/>
          <w:szCs w:val="22"/>
        </w:rPr>
      </w:pPr>
      <w:r>
        <w:rPr>
          <w:sz w:val="22"/>
          <w:szCs w:val="22"/>
        </w:rPr>
        <w:t>mfuruness 8/7/15</w:t>
      </w:r>
    </w:p>
    <w:p w14:paraId="5D9A39B5" w14:textId="687001C2" w:rsidR="002A36A4" w:rsidRDefault="005F364C" w:rsidP="00C413AD">
      <w:pPr>
        <w:numPr>
          <w:ilvl w:val="12"/>
          <w:numId w:val="0"/>
        </w:numPr>
      </w:pPr>
      <w:r>
        <w:t>lsmoker; 12/4/15; 12/17/15</w:t>
      </w:r>
    </w:p>
    <w:p w14:paraId="2C00627E" w14:textId="01DEAB0A" w:rsidR="005F364C" w:rsidRDefault="00280F05" w:rsidP="00C413AD">
      <w:pPr>
        <w:numPr>
          <w:ilvl w:val="12"/>
          <w:numId w:val="0"/>
        </w:numPr>
      </w:pPr>
      <w:r>
        <w:t>NMFS Edits: 12/23/15</w:t>
      </w:r>
    </w:p>
    <w:p w14:paraId="53FC60C8" w14:textId="1419BFB0" w:rsidR="0074273C" w:rsidRDefault="00063F40" w:rsidP="00C413AD">
      <w:pPr>
        <w:numPr>
          <w:ilvl w:val="12"/>
          <w:numId w:val="0"/>
        </w:numPr>
      </w:pPr>
      <w:r>
        <w:t>llindeman 1/7/16</w:t>
      </w:r>
    </w:p>
    <w:sectPr w:rsidR="0074273C" w:rsidSect="00BA4FF9">
      <w:footerReference w:type="default" r:id="rId13"/>
      <w:type w:val="continuous"/>
      <w:pgSz w:w="12240" w:h="15840" w:code="1"/>
      <w:pgMar w:top="1440" w:right="1440" w:bottom="1440" w:left="2160" w:header="1440" w:footer="144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BD5B97" w15:done="0"/>
  <w15:commentEx w15:paraId="17C05B68" w15:done="0"/>
  <w15:commentEx w15:paraId="1F943430" w15:done="0"/>
  <w15:commentEx w15:paraId="723F66CF" w15:done="0"/>
  <w15:commentEx w15:paraId="2D9672BB" w15:done="0"/>
  <w15:commentEx w15:paraId="51CC4E0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31CC4" w14:textId="77777777" w:rsidR="007C6E86" w:rsidRDefault="007C6E86">
      <w:r>
        <w:separator/>
      </w:r>
    </w:p>
  </w:endnote>
  <w:endnote w:type="continuationSeparator" w:id="0">
    <w:p w14:paraId="3761DDE5" w14:textId="77777777" w:rsidR="007C6E86" w:rsidRDefault="007C6E86">
      <w:r>
        <w:continuationSeparator/>
      </w:r>
    </w:p>
  </w:endnote>
  <w:endnote w:type="continuationNotice" w:id="1">
    <w:p w14:paraId="1B74866A" w14:textId="77777777" w:rsidR="007C6E86" w:rsidRDefault="007C6E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BIFD J+ Melior">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765D7" w14:textId="77777777" w:rsidR="00AA1E93" w:rsidRDefault="00AA1E93">
    <w:pPr>
      <w:pStyle w:val="Footer"/>
      <w:jc w:val="center"/>
    </w:pPr>
    <w:r>
      <w:fldChar w:fldCharType="begin"/>
    </w:r>
    <w:r>
      <w:instrText xml:space="preserve"> PAGE   \* MERGEFORMAT </w:instrText>
    </w:r>
    <w:r>
      <w:fldChar w:fldCharType="separate"/>
    </w:r>
    <w:r w:rsidR="00D268F8">
      <w:rPr>
        <w:noProof/>
      </w:rPr>
      <w:t>1</w:t>
    </w:r>
    <w:r>
      <w:rPr>
        <w:noProof/>
      </w:rPr>
      <w:fldChar w:fldCharType="end"/>
    </w:r>
  </w:p>
  <w:p w14:paraId="698AE436" w14:textId="77777777" w:rsidR="00AA1E93" w:rsidRDefault="00AA1E93" w:rsidP="00324196"/>
  <w:p w14:paraId="1061D63E" w14:textId="77777777" w:rsidR="00AA1E93" w:rsidRDefault="00AA1E93" w:rsidP="003A7D8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550E92" w14:textId="77777777" w:rsidR="007C6E86" w:rsidRDefault="007C6E86">
      <w:r>
        <w:separator/>
      </w:r>
    </w:p>
  </w:footnote>
  <w:footnote w:type="continuationSeparator" w:id="0">
    <w:p w14:paraId="00BC346D" w14:textId="77777777" w:rsidR="007C6E86" w:rsidRDefault="007C6E86">
      <w:r>
        <w:continuationSeparator/>
      </w:r>
    </w:p>
  </w:footnote>
  <w:footnote w:type="continuationNotice" w:id="1">
    <w:p w14:paraId="17A1B1FD" w14:textId="77777777" w:rsidR="007C6E86" w:rsidRDefault="007C6E8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83AD1"/>
    <w:multiLevelType w:val="multilevel"/>
    <w:tmpl w:val="271CC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F669D1"/>
    <w:multiLevelType w:val="hybridMultilevel"/>
    <w:tmpl w:val="02748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3C56E9"/>
    <w:multiLevelType w:val="hybridMultilevel"/>
    <w:tmpl w:val="013807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9B1E79"/>
    <w:multiLevelType w:val="hybridMultilevel"/>
    <w:tmpl w:val="8A66E8C2"/>
    <w:lvl w:ilvl="0" w:tplc="848C7D46">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BDF01BB"/>
    <w:multiLevelType w:val="hybridMultilevel"/>
    <w:tmpl w:val="FF90FF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4F6B2C"/>
    <w:multiLevelType w:val="hybridMultilevel"/>
    <w:tmpl w:val="A3E05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B5091B"/>
    <w:multiLevelType w:val="hybridMultilevel"/>
    <w:tmpl w:val="1CDECC28"/>
    <w:lvl w:ilvl="0" w:tplc="92BE0A72">
      <w:start w:val="1"/>
      <w:numFmt w:val="decimal"/>
      <w:lvlText w:val="%1."/>
      <w:lvlJc w:val="left"/>
      <w:pPr>
        <w:ind w:left="860" w:hanging="360"/>
      </w:pPr>
      <w:rPr>
        <w:rFonts w:ascii="Times New Roman" w:eastAsia="Times New Roman" w:hAnsi="Times New Roman" w:hint="default"/>
        <w:sz w:val="22"/>
        <w:szCs w:val="22"/>
      </w:rPr>
    </w:lvl>
    <w:lvl w:ilvl="1" w:tplc="3D0093FE">
      <w:start w:val="1"/>
      <w:numFmt w:val="bullet"/>
      <w:lvlText w:val="•"/>
      <w:lvlJc w:val="left"/>
      <w:pPr>
        <w:ind w:left="1738" w:hanging="360"/>
      </w:pPr>
      <w:rPr>
        <w:rFonts w:hint="default"/>
      </w:rPr>
    </w:lvl>
    <w:lvl w:ilvl="2" w:tplc="221CE884">
      <w:start w:val="1"/>
      <w:numFmt w:val="bullet"/>
      <w:lvlText w:val="•"/>
      <w:lvlJc w:val="left"/>
      <w:pPr>
        <w:ind w:left="2616" w:hanging="360"/>
      </w:pPr>
      <w:rPr>
        <w:rFonts w:hint="default"/>
      </w:rPr>
    </w:lvl>
    <w:lvl w:ilvl="3" w:tplc="97065A92">
      <w:start w:val="1"/>
      <w:numFmt w:val="bullet"/>
      <w:lvlText w:val="•"/>
      <w:lvlJc w:val="left"/>
      <w:pPr>
        <w:ind w:left="3494" w:hanging="360"/>
      </w:pPr>
      <w:rPr>
        <w:rFonts w:hint="default"/>
      </w:rPr>
    </w:lvl>
    <w:lvl w:ilvl="4" w:tplc="18D60B04">
      <w:start w:val="1"/>
      <w:numFmt w:val="bullet"/>
      <w:lvlText w:val="•"/>
      <w:lvlJc w:val="left"/>
      <w:pPr>
        <w:ind w:left="4372" w:hanging="360"/>
      </w:pPr>
      <w:rPr>
        <w:rFonts w:hint="default"/>
      </w:rPr>
    </w:lvl>
    <w:lvl w:ilvl="5" w:tplc="D6DC38F2">
      <w:start w:val="1"/>
      <w:numFmt w:val="bullet"/>
      <w:lvlText w:val="•"/>
      <w:lvlJc w:val="left"/>
      <w:pPr>
        <w:ind w:left="5250" w:hanging="360"/>
      </w:pPr>
      <w:rPr>
        <w:rFonts w:hint="default"/>
      </w:rPr>
    </w:lvl>
    <w:lvl w:ilvl="6" w:tplc="FA3EA3CE">
      <w:start w:val="1"/>
      <w:numFmt w:val="bullet"/>
      <w:lvlText w:val="•"/>
      <w:lvlJc w:val="left"/>
      <w:pPr>
        <w:ind w:left="6128" w:hanging="360"/>
      </w:pPr>
      <w:rPr>
        <w:rFonts w:hint="default"/>
      </w:rPr>
    </w:lvl>
    <w:lvl w:ilvl="7" w:tplc="C97E9750">
      <w:start w:val="1"/>
      <w:numFmt w:val="bullet"/>
      <w:lvlText w:val="•"/>
      <w:lvlJc w:val="left"/>
      <w:pPr>
        <w:ind w:left="7006" w:hanging="360"/>
      </w:pPr>
      <w:rPr>
        <w:rFonts w:hint="default"/>
      </w:rPr>
    </w:lvl>
    <w:lvl w:ilvl="8" w:tplc="65725A8C">
      <w:start w:val="1"/>
      <w:numFmt w:val="bullet"/>
      <w:lvlText w:val="•"/>
      <w:lvlJc w:val="left"/>
      <w:pPr>
        <w:ind w:left="7884" w:hanging="360"/>
      </w:pPr>
      <w:rPr>
        <w:rFonts w:hint="default"/>
      </w:rPr>
    </w:lvl>
  </w:abstractNum>
  <w:abstractNum w:abstractNumId="7">
    <w:nsid w:val="2CD82420"/>
    <w:multiLevelType w:val="hybridMultilevel"/>
    <w:tmpl w:val="4E2ED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DF14355"/>
    <w:multiLevelType w:val="hybridMultilevel"/>
    <w:tmpl w:val="A8CE6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8FA51F5"/>
    <w:multiLevelType w:val="multilevel"/>
    <w:tmpl w:val="D6D4FC9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3A6857"/>
    <w:multiLevelType w:val="hybridMultilevel"/>
    <w:tmpl w:val="514A17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55F6A4C"/>
    <w:multiLevelType w:val="hybridMultilevel"/>
    <w:tmpl w:val="4DD0B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B9207E"/>
    <w:multiLevelType w:val="hybridMultilevel"/>
    <w:tmpl w:val="1FFA061C"/>
    <w:lvl w:ilvl="0" w:tplc="EB082B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8C671C3"/>
    <w:multiLevelType w:val="hybridMultilevel"/>
    <w:tmpl w:val="2DC67DB8"/>
    <w:lvl w:ilvl="0" w:tplc="9F9E0A34">
      <w:start w:val="1"/>
      <w:numFmt w:val="decimal"/>
      <w:lvlText w:val="%1."/>
      <w:lvlJc w:val="left"/>
      <w:pPr>
        <w:ind w:left="860" w:hanging="361"/>
      </w:pPr>
      <w:rPr>
        <w:rFonts w:ascii="Times New Roman" w:eastAsia="Times New Roman" w:hAnsi="Times New Roman" w:hint="default"/>
        <w:w w:val="99"/>
        <w:sz w:val="22"/>
        <w:szCs w:val="22"/>
      </w:rPr>
    </w:lvl>
    <w:lvl w:ilvl="1" w:tplc="DA6E4128">
      <w:start w:val="1"/>
      <w:numFmt w:val="bullet"/>
      <w:lvlText w:val="•"/>
      <w:lvlJc w:val="left"/>
      <w:pPr>
        <w:ind w:left="1738" w:hanging="361"/>
      </w:pPr>
      <w:rPr>
        <w:rFonts w:hint="default"/>
      </w:rPr>
    </w:lvl>
    <w:lvl w:ilvl="2" w:tplc="F684D4BC">
      <w:start w:val="1"/>
      <w:numFmt w:val="bullet"/>
      <w:lvlText w:val="•"/>
      <w:lvlJc w:val="left"/>
      <w:pPr>
        <w:ind w:left="2616" w:hanging="361"/>
      </w:pPr>
      <w:rPr>
        <w:rFonts w:hint="default"/>
      </w:rPr>
    </w:lvl>
    <w:lvl w:ilvl="3" w:tplc="EAAA0364">
      <w:start w:val="1"/>
      <w:numFmt w:val="bullet"/>
      <w:lvlText w:val="•"/>
      <w:lvlJc w:val="left"/>
      <w:pPr>
        <w:ind w:left="3494" w:hanging="361"/>
      </w:pPr>
      <w:rPr>
        <w:rFonts w:hint="default"/>
      </w:rPr>
    </w:lvl>
    <w:lvl w:ilvl="4" w:tplc="7D72E10C">
      <w:start w:val="1"/>
      <w:numFmt w:val="bullet"/>
      <w:lvlText w:val="•"/>
      <w:lvlJc w:val="left"/>
      <w:pPr>
        <w:ind w:left="4372" w:hanging="361"/>
      </w:pPr>
      <w:rPr>
        <w:rFonts w:hint="default"/>
      </w:rPr>
    </w:lvl>
    <w:lvl w:ilvl="5" w:tplc="40AA3C6A">
      <w:start w:val="1"/>
      <w:numFmt w:val="bullet"/>
      <w:lvlText w:val="•"/>
      <w:lvlJc w:val="left"/>
      <w:pPr>
        <w:ind w:left="5250" w:hanging="361"/>
      </w:pPr>
      <w:rPr>
        <w:rFonts w:hint="default"/>
      </w:rPr>
    </w:lvl>
    <w:lvl w:ilvl="6" w:tplc="0B5C4866">
      <w:start w:val="1"/>
      <w:numFmt w:val="bullet"/>
      <w:lvlText w:val="•"/>
      <w:lvlJc w:val="left"/>
      <w:pPr>
        <w:ind w:left="6128" w:hanging="361"/>
      </w:pPr>
      <w:rPr>
        <w:rFonts w:hint="default"/>
      </w:rPr>
    </w:lvl>
    <w:lvl w:ilvl="7" w:tplc="EB5EFD12">
      <w:start w:val="1"/>
      <w:numFmt w:val="bullet"/>
      <w:lvlText w:val="•"/>
      <w:lvlJc w:val="left"/>
      <w:pPr>
        <w:ind w:left="7006" w:hanging="361"/>
      </w:pPr>
      <w:rPr>
        <w:rFonts w:hint="default"/>
      </w:rPr>
    </w:lvl>
    <w:lvl w:ilvl="8" w:tplc="56848AB0">
      <w:start w:val="1"/>
      <w:numFmt w:val="bullet"/>
      <w:lvlText w:val="•"/>
      <w:lvlJc w:val="left"/>
      <w:pPr>
        <w:ind w:left="7884" w:hanging="361"/>
      </w:pPr>
      <w:rPr>
        <w:rFonts w:hint="default"/>
      </w:rPr>
    </w:lvl>
  </w:abstractNum>
  <w:abstractNum w:abstractNumId="14">
    <w:nsid w:val="594C0CA9"/>
    <w:multiLevelType w:val="hybridMultilevel"/>
    <w:tmpl w:val="B07E4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596F9C"/>
    <w:multiLevelType w:val="hybridMultilevel"/>
    <w:tmpl w:val="28909D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1193E3F"/>
    <w:multiLevelType w:val="hybridMultilevel"/>
    <w:tmpl w:val="60DEB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AD580D"/>
    <w:multiLevelType w:val="hybridMultilevel"/>
    <w:tmpl w:val="74EE5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653053"/>
    <w:multiLevelType w:val="hybridMultilevel"/>
    <w:tmpl w:val="191C9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4010EB"/>
    <w:multiLevelType w:val="hybridMultilevel"/>
    <w:tmpl w:val="69CE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511A10"/>
    <w:multiLevelType w:val="multilevel"/>
    <w:tmpl w:val="35BCCCDA"/>
    <w:lvl w:ilvl="0">
      <w:start w:val="2"/>
      <w:numFmt w:val="decimal"/>
      <w:lvlText w:val="%1"/>
      <w:lvlJc w:val="left"/>
      <w:pPr>
        <w:ind w:left="471" w:hanging="332"/>
      </w:pPr>
      <w:rPr>
        <w:rFonts w:hint="default"/>
      </w:rPr>
    </w:lvl>
    <w:lvl w:ilvl="1">
      <w:start w:val="4"/>
      <w:numFmt w:val="decimal"/>
      <w:lvlText w:val="%1.%2"/>
      <w:lvlJc w:val="left"/>
      <w:pPr>
        <w:ind w:left="471" w:hanging="332"/>
      </w:pPr>
      <w:rPr>
        <w:rFonts w:ascii="Times New Roman" w:eastAsia="Times New Roman" w:hAnsi="Times New Roman" w:hint="default"/>
        <w:sz w:val="22"/>
        <w:szCs w:val="22"/>
      </w:rPr>
    </w:lvl>
    <w:lvl w:ilvl="2">
      <w:start w:val="1"/>
      <w:numFmt w:val="bullet"/>
      <w:lvlText w:val=""/>
      <w:lvlJc w:val="left"/>
      <w:pPr>
        <w:ind w:left="860" w:hanging="360"/>
      </w:pPr>
      <w:rPr>
        <w:rFonts w:ascii="Symbol" w:eastAsia="Symbol" w:hAnsi="Symbol" w:hint="default"/>
        <w:sz w:val="22"/>
        <w:szCs w:val="22"/>
      </w:rPr>
    </w:lvl>
    <w:lvl w:ilvl="3">
      <w:start w:val="1"/>
      <w:numFmt w:val="bullet"/>
      <w:lvlText w:val="•"/>
      <w:lvlJc w:val="left"/>
      <w:pPr>
        <w:ind w:left="2811" w:hanging="360"/>
      </w:pPr>
      <w:rPr>
        <w:rFonts w:hint="default"/>
      </w:rPr>
    </w:lvl>
    <w:lvl w:ilvl="4">
      <w:start w:val="1"/>
      <w:numFmt w:val="bullet"/>
      <w:lvlText w:val="•"/>
      <w:lvlJc w:val="left"/>
      <w:pPr>
        <w:ind w:left="3786" w:hanging="360"/>
      </w:pPr>
      <w:rPr>
        <w:rFonts w:hint="default"/>
      </w:rPr>
    </w:lvl>
    <w:lvl w:ilvl="5">
      <w:start w:val="1"/>
      <w:numFmt w:val="bullet"/>
      <w:lvlText w:val="•"/>
      <w:lvlJc w:val="left"/>
      <w:pPr>
        <w:ind w:left="4762" w:hanging="360"/>
      </w:pPr>
      <w:rPr>
        <w:rFonts w:hint="default"/>
      </w:rPr>
    </w:lvl>
    <w:lvl w:ilvl="6">
      <w:start w:val="1"/>
      <w:numFmt w:val="bullet"/>
      <w:lvlText w:val="•"/>
      <w:lvlJc w:val="left"/>
      <w:pPr>
        <w:ind w:left="5737" w:hanging="360"/>
      </w:pPr>
      <w:rPr>
        <w:rFonts w:hint="default"/>
      </w:rPr>
    </w:lvl>
    <w:lvl w:ilvl="7">
      <w:start w:val="1"/>
      <w:numFmt w:val="bullet"/>
      <w:lvlText w:val="•"/>
      <w:lvlJc w:val="left"/>
      <w:pPr>
        <w:ind w:left="6713" w:hanging="360"/>
      </w:pPr>
      <w:rPr>
        <w:rFonts w:hint="default"/>
      </w:rPr>
    </w:lvl>
    <w:lvl w:ilvl="8">
      <w:start w:val="1"/>
      <w:numFmt w:val="bullet"/>
      <w:lvlText w:val="•"/>
      <w:lvlJc w:val="left"/>
      <w:pPr>
        <w:ind w:left="7688" w:hanging="360"/>
      </w:pPr>
      <w:rPr>
        <w:rFonts w:hint="default"/>
      </w:rPr>
    </w:lvl>
  </w:abstractNum>
  <w:num w:numId="1">
    <w:abstractNumId w:val="2"/>
  </w:num>
  <w:num w:numId="2">
    <w:abstractNumId w:val="14"/>
  </w:num>
  <w:num w:numId="3">
    <w:abstractNumId w:val="0"/>
  </w:num>
  <w:num w:numId="4">
    <w:abstractNumId w:val="9"/>
  </w:num>
  <w:num w:numId="5">
    <w:abstractNumId w:val="17"/>
  </w:num>
  <w:num w:numId="6">
    <w:abstractNumId w:val="16"/>
  </w:num>
  <w:num w:numId="7">
    <w:abstractNumId w:val="20"/>
  </w:num>
  <w:num w:numId="8">
    <w:abstractNumId w:val="6"/>
  </w:num>
  <w:num w:numId="9">
    <w:abstractNumId w:val="13"/>
  </w:num>
  <w:num w:numId="10">
    <w:abstractNumId w:val="10"/>
  </w:num>
  <w:num w:numId="11">
    <w:abstractNumId w:val="3"/>
  </w:num>
  <w:num w:numId="12">
    <w:abstractNumId w:val="18"/>
  </w:num>
  <w:num w:numId="13">
    <w:abstractNumId w:val="11"/>
  </w:num>
  <w:num w:numId="14">
    <w:abstractNumId w:val="5"/>
  </w:num>
  <w:num w:numId="15">
    <w:abstractNumId w:val="4"/>
  </w:num>
  <w:num w:numId="16">
    <w:abstractNumId w:val="1"/>
  </w:num>
  <w:num w:numId="17">
    <w:abstractNumId w:val="12"/>
  </w:num>
  <w:num w:numId="18">
    <w:abstractNumId w:val="8"/>
  </w:num>
  <w:num w:numId="19">
    <w:abstractNumId w:val="15"/>
  </w:num>
  <w:num w:numId="20">
    <w:abstractNumId w:val="19"/>
  </w:num>
  <w:num w:numId="21">
    <w:abstractNumId w:val="7"/>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lenn Merrill">
    <w15:presenceInfo w15:providerId="AD" w15:userId="S-1-5-21-1625102663-4013227018-1311561448-3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572"/>
    <w:rsid w:val="000009E6"/>
    <w:rsid w:val="000016C3"/>
    <w:rsid w:val="0000296D"/>
    <w:rsid w:val="000035E5"/>
    <w:rsid w:val="0000386D"/>
    <w:rsid w:val="00003E32"/>
    <w:rsid w:val="000050BA"/>
    <w:rsid w:val="000052F2"/>
    <w:rsid w:val="0000573C"/>
    <w:rsid w:val="00005D87"/>
    <w:rsid w:val="000063DF"/>
    <w:rsid w:val="00010717"/>
    <w:rsid w:val="00010EBF"/>
    <w:rsid w:val="0001103B"/>
    <w:rsid w:val="00011089"/>
    <w:rsid w:val="000110FF"/>
    <w:rsid w:val="00011B8F"/>
    <w:rsid w:val="000126E4"/>
    <w:rsid w:val="00012B27"/>
    <w:rsid w:val="00012D72"/>
    <w:rsid w:val="000147E4"/>
    <w:rsid w:val="00014DCB"/>
    <w:rsid w:val="00015449"/>
    <w:rsid w:val="00015AE8"/>
    <w:rsid w:val="00015D80"/>
    <w:rsid w:val="00016D60"/>
    <w:rsid w:val="00016D72"/>
    <w:rsid w:val="00017C0A"/>
    <w:rsid w:val="00020362"/>
    <w:rsid w:val="00021432"/>
    <w:rsid w:val="0002277F"/>
    <w:rsid w:val="000227D5"/>
    <w:rsid w:val="0002479F"/>
    <w:rsid w:val="00025CF2"/>
    <w:rsid w:val="00026343"/>
    <w:rsid w:val="0002657C"/>
    <w:rsid w:val="00026808"/>
    <w:rsid w:val="00026CC2"/>
    <w:rsid w:val="00026CFE"/>
    <w:rsid w:val="00027916"/>
    <w:rsid w:val="00027CE2"/>
    <w:rsid w:val="000302A9"/>
    <w:rsid w:val="00030368"/>
    <w:rsid w:val="000313FB"/>
    <w:rsid w:val="0003210E"/>
    <w:rsid w:val="0003237A"/>
    <w:rsid w:val="0003371F"/>
    <w:rsid w:val="000339F4"/>
    <w:rsid w:val="00033E9E"/>
    <w:rsid w:val="00034958"/>
    <w:rsid w:val="00034B40"/>
    <w:rsid w:val="00036335"/>
    <w:rsid w:val="00036E14"/>
    <w:rsid w:val="00040C67"/>
    <w:rsid w:val="00040CDD"/>
    <w:rsid w:val="00041C79"/>
    <w:rsid w:val="00041EA8"/>
    <w:rsid w:val="0004277F"/>
    <w:rsid w:val="00042EEF"/>
    <w:rsid w:val="000435F5"/>
    <w:rsid w:val="000439C2"/>
    <w:rsid w:val="00043CC0"/>
    <w:rsid w:val="00047EF7"/>
    <w:rsid w:val="000508DC"/>
    <w:rsid w:val="000525A5"/>
    <w:rsid w:val="000527E6"/>
    <w:rsid w:val="0005306D"/>
    <w:rsid w:val="00053969"/>
    <w:rsid w:val="00054357"/>
    <w:rsid w:val="00055627"/>
    <w:rsid w:val="000563D9"/>
    <w:rsid w:val="000576FF"/>
    <w:rsid w:val="00061F6C"/>
    <w:rsid w:val="0006203F"/>
    <w:rsid w:val="00062856"/>
    <w:rsid w:val="0006376D"/>
    <w:rsid w:val="00063BE1"/>
    <w:rsid w:val="00063F40"/>
    <w:rsid w:val="000659E3"/>
    <w:rsid w:val="00066B87"/>
    <w:rsid w:val="00066BB3"/>
    <w:rsid w:val="000710A5"/>
    <w:rsid w:val="0007141C"/>
    <w:rsid w:val="0007301C"/>
    <w:rsid w:val="000736D8"/>
    <w:rsid w:val="00074E67"/>
    <w:rsid w:val="00076D6F"/>
    <w:rsid w:val="00076EC4"/>
    <w:rsid w:val="0007769C"/>
    <w:rsid w:val="00080EDA"/>
    <w:rsid w:val="000811EB"/>
    <w:rsid w:val="000827DE"/>
    <w:rsid w:val="00082FA1"/>
    <w:rsid w:val="000832CB"/>
    <w:rsid w:val="00083AA6"/>
    <w:rsid w:val="00084236"/>
    <w:rsid w:val="000851D8"/>
    <w:rsid w:val="000859EA"/>
    <w:rsid w:val="0008691A"/>
    <w:rsid w:val="00086DE7"/>
    <w:rsid w:val="000877F4"/>
    <w:rsid w:val="000879A7"/>
    <w:rsid w:val="00090E29"/>
    <w:rsid w:val="0009105B"/>
    <w:rsid w:val="00091527"/>
    <w:rsid w:val="00091ABB"/>
    <w:rsid w:val="00092781"/>
    <w:rsid w:val="00092A07"/>
    <w:rsid w:val="00092B83"/>
    <w:rsid w:val="000930D4"/>
    <w:rsid w:val="000942D3"/>
    <w:rsid w:val="00094AA4"/>
    <w:rsid w:val="00095D3F"/>
    <w:rsid w:val="0009791F"/>
    <w:rsid w:val="00097B1B"/>
    <w:rsid w:val="000A0187"/>
    <w:rsid w:val="000A2AD5"/>
    <w:rsid w:val="000A38D9"/>
    <w:rsid w:val="000A3D32"/>
    <w:rsid w:val="000A5318"/>
    <w:rsid w:val="000A5739"/>
    <w:rsid w:val="000A5A26"/>
    <w:rsid w:val="000A6456"/>
    <w:rsid w:val="000A65AA"/>
    <w:rsid w:val="000A79D9"/>
    <w:rsid w:val="000A7FC4"/>
    <w:rsid w:val="000B0B26"/>
    <w:rsid w:val="000B15A4"/>
    <w:rsid w:val="000B24F3"/>
    <w:rsid w:val="000B5516"/>
    <w:rsid w:val="000B6CC5"/>
    <w:rsid w:val="000B731D"/>
    <w:rsid w:val="000B7A9E"/>
    <w:rsid w:val="000C0323"/>
    <w:rsid w:val="000C108B"/>
    <w:rsid w:val="000C1269"/>
    <w:rsid w:val="000C2F42"/>
    <w:rsid w:val="000C3AC6"/>
    <w:rsid w:val="000C3C91"/>
    <w:rsid w:val="000C5B80"/>
    <w:rsid w:val="000C612B"/>
    <w:rsid w:val="000C7A3C"/>
    <w:rsid w:val="000D0357"/>
    <w:rsid w:val="000D06C7"/>
    <w:rsid w:val="000D1616"/>
    <w:rsid w:val="000D26A1"/>
    <w:rsid w:val="000D2F88"/>
    <w:rsid w:val="000D3A9D"/>
    <w:rsid w:val="000D46C8"/>
    <w:rsid w:val="000D48B0"/>
    <w:rsid w:val="000D48EE"/>
    <w:rsid w:val="000D48FD"/>
    <w:rsid w:val="000D49D8"/>
    <w:rsid w:val="000D505A"/>
    <w:rsid w:val="000D5B61"/>
    <w:rsid w:val="000D7BB6"/>
    <w:rsid w:val="000E0079"/>
    <w:rsid w:val="000E06CB"/>
    <w:rsid w:val="000E2310"/>
    <w:rsid w:val="000E252D"/>
    <w:rsid w:val="000E2B38"/>
    <w:rsid w:val="000E3A26"/>
    <w:rsid w:val="000E3CB6"/>
    <w:rsid w:val="000E4562"/>
    <w:rsid w:val="000E5DC2"/>
    <w:rsid w:val="000E7B5C"/>
    <w:rsid w:val="000F039A"/>
    <w:rsid w:val="000F16D9"/>
    <w:rsid w:val="000F2C71"/>
    <w:rsid w:val="000F2D54"/>
    <w:rsid w:val="000F3B61"/>
    <w:rsid w:val="000F3D92"/>
    <w:rsid w:val="000F7091"/>
    <w:rsid w:val="000F71CE"/>
    <w:rsid w:val="000F720A"/>
    <w:rsid w:val="000F7501"/>
    <w:rsid w:val="000F7AF9"/>
    <w:rsid w:val="000F7BB3"/>
    <w:rsid w:val="000F7EF6"/>
    <w:rsid w:val="0010091D"/>
    <w:rsid w:val="00101A9E"/>
    <w:rsid w:val="00101E35"/>
    <w:rsid w:val="00102E3A"/>
    <w:rsid w:val="00103372"/>
    <w:rsid w:val="0010446C"/>
    <w:rsid w:val="001060DD"/>
    <w:rsid w:val="00106470"/>
    <w:rsid w:val="001103A4"/>
    <w:rsid w:val="001106AF"/>
    <w:rsid w:val="001113E3"/>
    <w:rsid w:val="00111B25"/>
    <w:rsid w:val="001125BB"/>
    <w:rsid w:val="00113943"/>
    <w:rsid w:val="00115882"/>
    <w:rsid w:val="00115F1F"/>
    <w:rsid w:val="00116439"/>
    <w:rsid w:val="00116669"/>
    <w:rsid w:val="00117EDB"/>
    <w:rsid w:val="001213AD"/>
    <w:rsid w:val="00122605"/>
    <w:rsid w:val="00123FF3"/>
    <w:rsid w:val="00124033"/>
    <w:rsid w:val="001240B7"/>
    <w:rsid w:val="001241E3"/>
    <w:rsid w:val="00124698"/>
    <w:rsid w:val="001247ED"/>
    <w:rsid w:val="00124A34"/>
    <w:rsid w:val="00124B8A"/>
    <w:rsid w:val="001250AB"/>
    <w:rsid w:val="00125886"/>
    <w:rsid w:val="00125E30"/>
    <w:rsid w:val="0012646F"/>
    <w:rsid w:val="00126D2E"/>
    <w:rsid w:val="00126DA5"/>
    <w:rsid w:val="001275CD"/>
    <w:rsid w:val="00127B2C"/>
    <w:rsid w:val="00130946"/>
    <w:rsid w:val="0013111A"/>
    <w:rsid w:val="00131172"/>
    <w:rsid w:val="00131183"/>
    <w:rsid w:val="00132079"/>
    <w:rsid w:val="001325A4"/>
    <w:rsid w:val="001332F5"/>
    <w:rsid w:val="0013597E"/>
    <w:rsid w:val="001363B5"/>
    <w:rsid w:val="00140082"/>
    <w:rsid w:val="00140744"/>
    <w:rsid w:val="0014103A"/>
    <w:rsid w:val="00142925"/>
    <w:rsid w:val="0014293C"/>
    <w:rsid w:val="001433CB"/>
    <w:rsid w:val="00143981"/>
    <w:rsid w:val="00145188"/>
    <w:rsid w:val="00145803"/>
    <w:rsid w:val="001466A0"/>
    <w:rsid w:val="001501D0"/>
    <w:rsid w:val="00150563"/>
    <w:rsid w:val="00150DEC"/>
    <w:rsid w:val="0015179C"/>
    <w:rsid w:val="00151BA6"/>
    <w:rsid w:val="001533D7"/>
    <w:rsid w:val="001537BD"/>
    <w:rsid w:val="001538EF"/>
    <w:rsid w:val="00153FAF"/>
    <w:rsid w:val="001546BC"/>
    <w:rsid w:val="00154B26"/>
    <w:rsid w:val="00155803"/>
    <w:rsid w:val="001576AD"/>
    <w:rsid w:val="0016063A"/>
    <w:rsid w:val="001610AC"/>
    <w:rsid w:val="00161D4F"/>
    <w:rsid w:val="00162ECD"/>
    <w:rsid w:val="00162FDE"/>
    <w:rsid w:val="00163017"/>
    <w:rsid w:val="00163889"/>
    <w:rsid w:val="00163A24"/>
    <w:rsid w:val="00164743"/>
    <w:rsid w:val="00165ABB"/>
    <w:rsid w:val="001660BE"/>
    <w:rsid w:val="00171078"/>
    <w:rsid w:val="00171460"/>
    <w:rsid w:val="001718A0"/>
    <w:rsid w:val="0017204A"/>
    <w:rsid w:val="001731EE"/>
    <w:rsid w:val="00173CE7"/>
    <w:rsid w:val="001744FD"/>
    <w:rsid w:val="00176DCD"/>
    <w:rsid w:val="00177699"/>
    <w:rsid w:val="00180114"/>
    <w:rsid w:val="00180896"/>
    <w:rsid w:val="0018143D"/>
    <w:rsid w:val="00181837"/>
    <w:rsid w:val="001819E4"/>
    <w:rsid w:val="00181BAD"/>
    <w:rsid w:val="0018332E"/>
    <w:rsid w:val="001833C8"/>
    <w:rsid w:val="00183788"/>
    <w:rsid w:val="001837E3"/>
    <w:rsid w:val="00185F4E"/>
    <w:rsid w:val="00186D46"/>
    <w:rsid w:val="001876A1"/>
    <w:rsid w:val="00187E5F"/>
    <w:rsid w:val="001901CB"/>
    <w:rsid w:val="00190A1E"/>
    <w:rsid w:val="00190DCD"/>
    <w:rsid w:val="0019196D"/>
    <w:rsid w:val="00192661"/>
    <w:rsid w:val="00192665"/>
    <w:rsid w:val="001936DD"/>
    <w:rsid w:val="001948DC"/>
    <w:rsid w:val="001950C1"/>
    <w:rsid w:val="001952BE"/>
    <w:rsid w:val="00195316"/>
    <w:rsid w:val="0019555F"/>
    <w:rsid w:val="00195583"/>
    <w:rsid w:val="00195FA7"/>
    <w:rsid w:val="001961D5"/>
    <w:rsid w:val="00196411"/>
    <w:rsid w:val="00196F18"/>
    <w:rsid w:val="00197967"/>
    <w:rsid w:val="00197A2D"/>
    <w:rsid w:val="001A2995"/>
    <w:rsid w:val="001A3671"/>
    <w:rsid w:val="001A378F"/>
    <w:rsid w:val="001A47C9"/>
    <w:rsid w:val="001A4D7F"/>
    <w:rsid w:val="001A5225"/>
    <w:rsid w:val="001A5FD6"/>
    <w:rsid w:val="001A6A0C"/>
    <w:rsid w:val="001B00AD"/>
    <w:rsid w:val="001B0446"/>
    <w:rsid w:val="001B0FE0"/>
    <w:rsid w:val="001B14FD"/>
    <w:rsid w:val="001B1689"/>
    <w:rsid w:val="001B1B33"/>
    <w:rsid w:val="001B1D99"/>
    <w:rsid w:val="001B21B4"/>
    <w:rsid w:val="001B2B40"/>
    <w:rsid w:val="001B33CE"/>
    <w:rsid w:val="001B4059"/>
    <w:rsid w:val="001B467C"/>
    <w:rsid w:val="001B4893"/>
    <w:rsid w:val="001B4E40"/>
    <w:rsid w:val="001B4F9B"/>
    <w:rsid w:val="001B52EF"/>
    <w:rsid w:val="001B562C"/>
    <w:rsid w:val="001B5C64"/>
    <w:rsid w:val="001C2EF6"/>
    <w:rsid w:val="001C34B9"/>
    <w:rsid w:val="001C36EA"/>
    <w:rsid w:val="001C3979"/>
    <w:rsid w:val="001C3A44"/>
    <w:rsid w:val="001C3F44"/>
    <w:rsid w:val="001C4C86"/>
    <w:rsid w:val="001C6395"/>
    <w:rsid w:val="001D1008"/>
    <w:rsid w:val="001D1461"/>
    <w:rsid w:val="001D191D"/>
    <w:rsid w:val="001D1BF8"/>
    <w:rsid w:val="001D1DFD"/>
    <w:rsid w:val="001D2608"/>
    <w:rsid w:val="001D2E90"/>
    <w:rsid w:val="001D3190"/>
    <w:rsid w:val="001D3555"/>
    <w:rsid w:val="001D38E7"/>
    <w:rsid w:val="001D391C"/>
    <w:rsid w:val="001D446A"/>
    <w:rsid w:val="001D446F"/>
    <w:rsid w:val="001D5FE6"/>
    <w:rsid w:val="001D6500"/>
    <w:rsid w:val="001D7520"/>
    <w:rsid w:val="001E0313"/>
    <w:rsid w:val="001E16B4"/>
    <w:rsid w:val="001E18E4"/>
    <w:rsid w:val="001E1F1A"/>
    <w:rsid w:val="001E21C9"/>
    <w:rsid w:val="001E2DB7"/>
    <w:rsid w:val="001E2E5A"/>
    <w:rsid w:val="001E4261"/>
    <w:rsid w:val="001E463B"/>
    <w:rsid w:val="001E51FD"/>
    <w:rsid w:val="001E5B49"/>
    <w:rsid w:val="001E5DCF"/>
    <w:rsid w:val="001E5E17"/>
    <w:rsid w:val="001E5F5D"/>
    <w:rsid w:val="001E75D8"/>
    <w:rsid w:val="001E76E0"/>
    <w:rsid w:val="001E7F97"/>
    <w:rsid w:val="001F1044"/>
    <w:rsid w:val="001F225F"/>
    <w:rsid w:val="001F2A30"/>
    <w:rsid w:val="001F3F67"/>
    <w:rsid w:val="001F43C7"/>
    <w:rsid w:val="001F57E4"/>
    <w:rsid w:val="001F5BBB"/>
    <w:rsid w:val="001F5ED4"/>
    <w:rsid w:val="001F6BEE"/>
    <w:rsid w:val="001F6D09"/>
    <w:rsid w:val="001F70FE"/>
    <w:rsid w:val="001F7861"/>
    <w:rsid w:val="00200476"/>
    <w:rsid w:val="0020052F"/>
    <w:rsid w:val="0020068C"/>
    <w:rsid w:val="00200A8E"/>
    <w:rsid w:val="00200BA3"/>
    <w:rsid w:val="00201203"/>
    <w:rsid w:val="00201E87"/>
    <w:rsid w:val="00202F41"/>
    <w:rsid w:val="00203001"/>
    <w:rsid w:val="002030D5"/>
    <w:rsid w:val="00203E9B"/>
    <w:rsid w:val="00204333"/>
    <w:rsid w:val="00204AA8"/>
    <w:rsid w:val="00205FC4"/>
    <w:rsid w:val="002061A0"/>
    <w:rsid w:val="002062B0"/>
    <w:rsid w:val="002062DF"/>
    <w:rsid w:val="002063A5"/>
    <w:rsid w:val="00207799"/>
    <w:rsid w:val="00210339"/>
    <w:rsid w:val="00211468"/>
    <w:rsid w:val="00212E14"/>
    <w:rsid w:val="00213A32"/>
    <w:rsid w:val="00213A36"/>
    <w:rsid w:val="00214F07"/>
    <w:rsid w:val="00215523"/>
    <w:rsid w:val="00216DA8"/>
    <w:rsid w:val="00217280"/>
    <w:rsid w:val="00217E4F"/>
    <w:rsid w:val="002202BB"/>
    <w:rsid w:val="002217C1"/>
    <w:rsid w:val="00223972"/>
    <w:rsid w:val="00223B54"/>
    <w:rsid w:val="00223E1D"/>
    <w:rsid w:val="002240AD"/>
    <w:rsid w:val="002242EF"/>
    <w:rsid w:val="00224663"/>
    <w:rsid w:val="002246FD"/>
    <w:rsid w:val="002249A0"/>
    <w:rsid w:val="002253F7"/>
    <w:rsid w:val="002259A3"/>
    <w:rsid w:val="00225C15"/>
    <w:rsid w:val="00225CE7"/>
    <w:rsid w:val="002264B2"/>
    <w:rsid w:val="0022658F"/>
    <w:rsid w:val="0022683A"/>
    <w:rsid w:val="00226AC5"/>
    <w:rsid w:val="00226BF2"/>
    <w:rsid w:val="0023047E"/>
    <w:rsid w:val="00234791"/>
    <w:rsid w:val="0023479C"/>
    <w:rsid w:val="00234C9D"/>
    <w:rsid w:val="00234FA7"/>
    <w:rsid w:val="00235183"/>
    <w:rsid w:val="002355CC"/>
    <w:rsid w:val="00236007"/>
    <w:rsid w:val="00236233"/>
    <w:rsid w:val="002375EB"/>
    <w:rsid w:val="002404AF"/>
    <w:rsid w:val="0024114F"/>
    <w:rsid w:val="0024157D"/>
    <w:rsid w:val="00241BDB"/>
    <w:rsid w:val="00241D3F"/>
    <w:rsid w:val="0024258D"/>
    <w:rsid w:val="00242A0A"/>
    <w:rsid w:val="00243C71"/>
    <w:rsid w:val="00243DA3"/>
    <w:rsid w:val="00245131"/>
    <w:rsid w:val="00245706"/>
    <w:rsid w:val="00246A14"/>
    <w:rsid w:val="00246BDB"/>
    <w:rsid w:val="00246FEE"/>
    <w:rsid w:val="00247458"/>
    <w:rsid w:val="002479DD"/>
    <w:rsid w:val="002501A5"/>
    <w:rsid w:val="00250687"/>
    <w:rsid w:val="00251E4E"/>
    <w:rsid w:val="00252379"/>
    <w:rsid w:val="002526BA"/>
    <w:rsid w:val="0025297F"/>
    <w:rsid w:val="00252F08"/>
    <w:rsid w:val="00253F5E"/>
    <w:rsid w:val="00255657"/>
    <w:rsid w:val="0025572F"/>
    <w:rsid w:val="00255A48"/>
    <w:rsid w:val="00255F48"/>
    <w:rsid w:val="00256165"/>
    <w:rsid w:val="002561A2"/>
    <w:rsid w:val="002565EE"/>
    <w:rsid w:val="002577D6"/>
    <w:rsid w:val="00260438"/>
    <w:rsid w:val="00260548"/>
    <w:rsid w:val="002605EA"/>
    <w:rsid w:val="00261627"/>
    <w:rsid w:val="002618A3"/>
    <w:rsid w:val="00261F14"/>
    <w:rsid w:val="00262813"/>
    <w:rsid w:val="00262FD7"/>
    <w:rsid w:val="0026343B"/>
    <w:rsid w:val="0026492E"/>
    <w:rsid w:val="00266985"/>
    <w:rsid w:val="00270C1A"/>
    <w:rsid w:val="002713A5"/>
    <w:rsid w:val="0027197A"/>
    <w:rsid w:val="0027243F"/>
    <w:rsid w:val="0027361A"/>
    <w:rsid w:val="00273F0A"/>
    <w:rsid w:val="00273F1B"/>
    <w:rsid w:val="00274C3A"/>
    <w:rsid w:val="00274ED8"/>
    <w:rsid w:val="002757FC"/>
    <w:rsid w:val="00276004"/>
    <w:rsid w:val="0027698E"/>
    <w:rsid w:val="00276B73"/>
    <w:rsid w:val="00276C18"/>
    <w:rsid w:val="00277A05"/>
    <w:rsid w:val="00280F05"/>
    <w:rsid w:val="00281A84"/>
    <w:rsid w:val="00281C1F"/>
    <w:rsid w:val="00283386"/>
    <w:rsid w:val="00283B77"/>
    <w:rsid w:val="00284C6B"/>
    <w:rsid w:val="00284CEB"/>
    <w:rsid w:val="0028514A"/>
    <w:rsid w:val="00285174"/>
    <w:rsid w:val="002851A0"/>
    <w:rsid w:val="002851AE"/>
    <w:rsid w:val="00285EAE"/>
    <w:rsid w:val="0028620C"/>
    <w:rsid w:val="00286785"/>
    <w:rsid w:val="00286895"/>
    <w:rsid w:val="00286C04"/>
    <w:rsid w:val="002876FA"/>
    <w:rsid w:val="002878BD"/>
    <w:rsid w:val="00287F96"/>
    <w:rsid w:val="00290586"/>
    <w:rsid w:val="0029092B"/>
    <w:rsid w:val="00291202"/>
    <w:rsid w:val="00291944"/>
    <w:rsid w:val="00291D38"/>
    <w:rsid w:val="00292352"/>
    <w:rsid w:val="00293045"/>
    <w:rsid w:val="0029309B"/>
    <w:rsid w:val="0029320F"/>
    <w:rsid w:val="00295B3D"/>
    <w:rsid w:val="0029629B"/>
    <w:rsid w:val="00296934"/>
    <w:rsid w:val="002976E5"/>
    <w:rsid w:val="00297ED1"/>
    <w:rsid w:val="002A003D"/>
    <w:rsid w:val="002A0C1F"/>
    <w:rsid w:val="002A0C7D"/>
    <w:rsid w:val="002A0CB7"/>
    <w:rsid w:val="002A173B"/>
    <w:rsid w:val="002A17BF"/>
    <w:rsid w:val="002A26D8"/>
    <w:rsid w:val="002A338B"/>
    <w:rsid w:val="002A36A4"/>
    <w:rsid w:val="002A3DEE"/>
    <w:rsid w:val="002A4152"/>
    <w:rsid w:val="002A47AF"/>
    <w:rsid w:val="002A5F54"/>
    <w:rsid w:val="002A63E5"/>
    <w:rsid w:val="002A64FB"/>
    <w:rsid w:val="002A6539"/>
    <w:rsid w:val="002A65A7"/>
    <w:rsid w:val="002A6BDA"/>
    <w:rsid w:val="002A7BD2"/>
    <w:rsid w:val="002B0843"/>
    <w:rsid w:val="002B1326"/>
    <w:rsid w:val="002B42FE"/>
    <w:rsid w:val="002B460F"/>
    <w:rsid w:val="002B5593"/>
    <w:rsid w:val="002B5D63"/>
    <w:rsid w:val="002B64DB"/>
    <w:rsid w:val="002B6C76"/>
    <w:rsid w:val="002B7716"/>
    <w:rsid w:val="002C0D86"/>
    <w:rsid w:val="002C0EB6"/>
    <w:rsid w:val="002C27B8"/>
    <w:rsid w:val="002C2E64"/>
    <w:rsid w:val="002C37C5"/>
    <w:rsid w:val="002C41FB"/>
    <w:rsid w:val="002C50AB"/>
    <w:rsid w:val="002C54C8"/>
    <w:rsid w:val="002C6328"/>
    <w:rsid w:val="002C63B9"/>
    <w:rsid w:val="002C6B87"/>
    <w:rsid w:val="002C6C52"/>
    <w:rsid w:val="002C6D3E"/>
    <w:rsid w:val="002C6DBD"/>
    <w:rsid w:val="002C7098"/>
    <w:rsid w:val="002C78A0"/>
    <w:rsid w:val="002D00FE"/>
    <w:rsid w:val="002D06AA"/>
    <w:rsid w:val="002D0F9D"/>
    <w:rsid w:val="002D1103"/>
    <w:rsid w:val="002D1158"/>
    <w:rsid w:val="002D2897"/>
    <w:rsid w:val="002D2B03"/>
    <w:rsid w:val="002D355F"/>
    <w:rsid w:val="002D402D"/>
    <w:rsid w:val="002D44C8"/>
    <w:rsid w:val="002D4513"/>
    <w:rsid w:val="002D4D58"/>
    <w:rsid w:val="002D5201"/>
    <w:rsid w:val="002D5250"/>
    <w:rsid w:val="002D595D"/>
    <w:rsid w:val="002D5A02"/>
    <w:rsid w:val="002D623B"/>
    <w:rsid w:val="002D68F9"/>
    <w:rsid w:val="002D6A4E"/>
    <w:rsid w:val="002D6F04"/>
    <w:rsid w:val="002D7195"/>
    <w:rsid w:val="002D7BB3"/>
    <w:rsid w:val="002D7E68"/>
    <w:rsid w:val="002E004C"/>
    <w:rsid w:val="002E0B70"/>
    <w:rsid w:val="002E0DB9"/>
    <w:rsid w:val="002E0E8F"/>
    <w:rsid w:val="002E10BB"/>
    <w:rsid w:val="002E11B8"/>
    <w:rsid w:val="002E1AA3"/>
    <w:rsid w:val="002E4331"/>
    <w:rsid w:val="002E4C02"/>
    <w:rsid w:val="002E6517"/>
    <w:rsid w:val="002E6739"/>
    <w:rsid w:val="002E6988"/>
    <w:rsid w:val="002E7170"/>
    <w:rsid w:val="002E7251"/>
    <w:rsid w:val="002F1316"/>
    <w:rsid w:val="002F15C7"/>
    <w:rsid w:val="002F2EE6"/>
    <w:rsid w:val="002F31E8"/>
    <w:rsid w:val="002F33E7"/>
    <w:rsid w:val="002F344B"/>
    <w:rsid w:val="002F3658"/>
    <w:rsid w:val="002F416D"/>
    <w:rsid w:val="002F4E29"/>
    <w:rsid w:val="002F562F"/>
    <w:rsid w:val="002F63B1"/>
    <w:rsid w:val="002F6E84"/>
    <w:rsid w:val="003002F5"/>
    <w:rsid w:val="00301231"/>
    <w:rsid w:val="00301312"/>
    <w:rsid w:val="003013CC"/>
    <w:rsid w:val="00301A92"/>
    <w:rsid w:val="0030228F"/>
    <w:rsid w:val="003022D3"/>
    <w:rsid w:val="003031D5"/>
    <w:rsid w:val="003033B8"/>
    <w:rsid w:val="00303FB6"/>
    <w:rsid w:val="00304905"/>
    <w:rsid w:val="003059F9"/>
    <w:rsid w:val="003063D3"/>
    <w:rsid w:val="0030678B"/>
    <w:rsid w:val="003072C6"/>
    <w:rsid w:val="00307911"/>
    <w:rsid w:val="00307F3C"/>
    <w:rsid w:val="0031062E"/>
    <w:rsid w:val="00310A03"/>
    <w:rsid w:val="0031185B"/>
    <w:rsid w:val="00313F36"/>
    <w:rsid w:val="00313F60"/>
    <w:rsid w:val="003147A6"/>
    <w:rsid w:val="00314F35"/>
    <w:rsid w:val="00315371"/>
    <w:rsid w:val="003154E0"/>
    <w:rsid w:val="00316244"/>
    <w:rsid w:val="00316C8A"/>
    <w:rsid w:val="00317560"/>
    <w:rsid w:val="0031765B"/>
    <w:rsid w:val="00320972"/>
    <w:rsid w:val="003210F4"/>
    <w:rsid w:val="003216BE"/>
    <w:rsid w:val="00321ED7"/>
    <w:rsid w:val="00322BF9"/>
    <w:rsid w:val="00323D2C"/>
    <w:rsid w:val="00324101"/>
    <w:rsid w:val="00324196"/>
    <w:rsid w:val="0032492E"/>
    <w:rsid w:val="00325282"/>
    <w:rsid w:val="003253A6"/>
    <w:rsid w:val="00325B3C"/>
    <w:rsid w:val="00325DA5"/>
    <w:rsid w:val="00325EC4"/>
    <w:rsid w:val="003272AC"/>
    <w:rsid w:val="00327A81"/>
    <w:rsid w:val="003300BA"/>
    <w:rsid w:val="003302CF"/>
    <w:rsid w:val="00331C94"/>
    <w:rsid w:val="0033315C"/>
    <w:rsid w:val="00333266"/>
    <w:rsid w:val="003332B6"/>
    <w:rsid w:val="00333517"/>
    <w:rsid w:val="0033410E"/>
    <w:rsid w:val="0033428A"/>
    <w:rsid w:val="003354FC"/>
    <w:rsid w:val="00335CA5"/>
    <w:rsid w:val="00335E24"/>
    <w:rsid w:val="003372C9"/>
    <w:rsid w:val="00340551"/>
    <w:rsid w:val="00341DC3"/>
    <w:rsid w:val="00342217"/>
    <w:rsid w:val="00342489"/>
    <w:rsid w:val="00342AFB"/>
    <w:rsid w:val="00343239"/>
    <w:rsid w:val="00343485"/>
    <w:rsid w:val="00344383"/>
    <w:rsid w:val="00344538"/>
    <w:rsid w:val="003449E4"/>
    <w:rsid w:val="00346A6B"/>
    <w:rsid w:val="00347F18"/>
    <w:rsid w:val="00350654"/>
    <w:rsid w:val="00351BE9"/>
    <w:rsid w:val="0035483B"/>
    <w:rsid w:val="00354996"/>
    <w:rsid w:val="0035516F"/>
    <w:rsid w:val="003567C0"/>
    <w:rsid w:val="0035778D"/>
    <w:rsid w:val="00357AAC"/>
    <w:rsid w:val="0036030D"/>
    <w:rsid w:val="003607A3"/>
    <w:rsid w:val="00360A17"/>
    <w:rsid w:val="00360B29"/>
    <w:rsid w:val="00360DDD"/>
    <w:rsid w:val="00361526"/>
    <w:rsid w:val="003619C2"/>
    <w:rsid w:val="0036216E"/>
    <w:rsid w:val="003632CF"/>
    <w:rsid w:val="0036339C"/>
    <w:rsid w:val="00363AC5"/>
    <w:rsid w:val="00365E87"/>
    <w:rsid w:val="00366A3C"/>
    <w:rsid w:val="00370266"/>
    <w:rsid w:val="0037149F"/>
    <w:rsid w:val="003717D2"/>
    <w:rsid w:val="003724E3"/>
    <w:rsid w:val="00372BBC"/>
    <w:rsid w:val="00373D30"/>
    <w:rsid w:val="00373D44"/>
    <w:rsid w:val="003740CF"/>
    <w:rsid w:val="0037509B"/>
    <w:rsid w:val="00375B3E"/>
    <w:rsid w:val="0037639F"/>
    <w:rsid w:val="0037663E"/>
    <w:rsid w:val="00376E0D"/>
    <w:rsid w:val="00380751"/>
    <w:rsid w:val="003824D9"/>
    <w:rsid w:val="00382ABF"/>
    <w:rsid w:val="00383E09"/>
    <w:rsid w:val="00384606"/>
    <w:rsid w:val="00384ECC"/>
    <w:rsid w:val="00386CD5"/>
    <w:rsid w:val="0039008F"/>
    <w:rsid w:val="003907DE"/>
    <w:rsid w:val="00390CA5"/>
    <w:rsid w:val="00394725"/>
    <w:rsid w:val="0039568A"/>
    <w:rsid w:val="00396730"/>
    <w:rsid w:val="00396FCF"/>
    <w:rsid w:val="0039721B"/>
    <w:rsid w:val="00397A55"/>
    <w:rsid w:val="003A0595"/>
    <w:rsid w:val="003A1994"/>
    <w:rsid w:val="003A19FD"/>
    <w:rsid w:val="003A3F58"/>
    <w:rsid w:val="003A426F"/>
    <w:rsid w:val="003A48AC"/>
    <w:rsid w:val="003A6CA3"/>
    <w:rsid w:val="003A76B1"/>
    <w:rsid w:val="003A796A"/>
    <w:rsid w:val="003A7D0D"/>
    <w:rsid w:val="003A7D88"/>
    <w:rsid w:val="003B02CE"/>
    <w:rsid w:val="003B06B7"/>
    <w:rsid w:val="003B11EC"/>
    <w:rsid w:val="003B145F"/>
    <w:rsid w:val="003B1C18"/>
    <w:rsid w:val="003B3993"/>
    <w:rsid w:val="003B3C1C"/>
    <w:rsid w:val="003B4AB8"/>
    <w:rsid w:val="003B4F98"/>
    <w:rsid w:val="003B50FB"/>
    <w:rsid w:val="003B60FC"/>
    <w:rsid w:val="003B61FB"/>
    <w:rsid w:val="003B6517"/>
    <w:rsid w:val="003B68F3"/>
    <w:rsid w:val="003B6DC3"/>
    <w:rsid w:val="003C0658"/>
    <w:rsid w:val="003C112D"/>
    <w:rsid w:val="003C150B"/>
    <w:rsid w:val="003C2661"/>
    <w:rsid w:val="003C3080"/>
    <w:rsid w:val="003C30DA"/>
    <w:rsid w:val="003C3102"/>
    <w:rsid w:val="003C3253"/>
    <w:rsid w:val="003C4096"/>
    <w:rsid w:val="003C457C"/>
    <w:rsid w:val="003C55AB"/>
    <w:rsid w:val="003C59FD"/>
    <w:rsid w:val="003C5A48"/>
    <w:rsid w:val="003C5F1A"/>
    <w:rsid w:val="003C69CC"/>
    <w:rsid w:val="003D06BD"/>
    <w:rsid w:val="003D077C"/>
    <w:rsid w:val="003D1044"/>
    <w:rsid w:val="003D14D5"/>
    <w:rsid w:val="003D1539"/>
    <w:rsid w:val="003D2503"/>
    <w:rsid w:val="003D2A1B"/>
    <w:rsid w:val="003D2DA8"/>
    <w:rsid w:val="003D3BB0"/>
    <w:rsid w:val="003D4229"/>
    <w:rsid w:val="003D4556"/>
    <w:rsid w:val="003D45A6"/>
    <w:rsid w:val="003D4FD1"/>
    <w:rsid w:val="003D59CF"/>
    <w:rsid w:val="003D5A04"/>
    <w:rsid w:val="003D5FE4"/>
    <w:rsid w:val="003D6C54"/>
    <w:rsid w:val="003D7370"/>
    <w:rsid w:val="003D776C"/>
    <w:rsid w:val="003E013B"/>
    <w:rsid w:val="003E03FF"/>
    <w:rsid w:val="003E0438"/>
    <w:rsid w:val="003E05E0"/>
    <w:rsid w:val="003E05F5"/>
    <w:rsid w:val="003E1415"/>
    <w:rsid w:val="003E1A24"/>
    <w:rsid w:val="003E2A01"/>
    <w:rsid w:val="003E34E2"/>
    <w:rsid w:val="003E3592"/>
    <w:rsid w:val="003E378B"/>
    <w:rsid w:val="003E3C2E"/>
    <w:rsid w:val="003E4197"/>
    <w:rsid w:val="003E5603"/>
    <w:rsid w:val="003E6154"/>
    <w:rsid w:val="003F0463"/>
    <w:rsid w:val="003F0A94"/>
    <w:rsid w:val="003F109C"/>
    <w:rsid w:val="003F1655"/>
    <w:rsid w:val="003F19EE"/>
    <w:rsid w:val="003F1BEF"/>
    <w:rsid w:val="003F2E25"/>
    <w:rsid w:val="003F34B5"/>
    <w:rsid w:val="003F3685"/>
    <w:rsid w:val="003F41F7"/>
    <w:rsid w:val="003F4784"/>
    <w:rsid w:val="003F50BB"/>
    <w:rsid w:val="003F54D9"/>
    <w:rsid w:val="003F5795"/>
    <w:rsid w:val="003F585E"/>
    <w:rsid w:val="003F666B"/>
    <w:rsid w:val="003F7F24"/>
    <w:rsid w:val="0040213A"/>
    <w:rsid w:val="00402150"/>
    <w:rsid w:val="004031E7"/>
    <w:rsid w:val="00403376"/>
    <w:rsid w:val="004033A0"/>
    <w:rsid w:val="0040345E"/>
    <w:rsid w:val="004042E8"/>
    <w:rsid w:val="004047B3"/>
    <w:rsid w:val="00405F65"/>
    <w:rsid w:val="00406A98"/>
    <w:rsid w:val="0041096E"/>
    <w:rsid w:val="00410E49"/>
    <w:rsid w:val="0041207D"/>
    <w:rsid w:val="00412F5B"/>
    <w:rsid w:val="00413D30"/>
    <w:rsid w:val="00413FEF"/>
    <w:rsid w:val="00414467"/>
    <w:rsid w:val="00415286"/>
    <w:rsid w:val="004154FD"/>
    <w:rsid w:val="004162D4"/>
    <w:rsid w:val="00417182"/>
    <w:rsid w:val="0041768B"/>
    <w:rsid w:val="00417B11"/>
    <w:rsid w:val="004217D2"/>
    <w:rsid w:val="00421CBE"/>
    <w:rsid w:val="00422D96"/>
    <w:rsid w:val="0042408B"/>
    <w:rsid w:val="00424682"/>
    <w:rsid w:val="004260A2"/>
    <w:rsid w:val="00426722"/>
    <w:rsid w:val="0042773E"/>
    <w:rsid w:val="00430BA6"/>
    <w:rsid w:val="004318EC"/>
    <w:rsid w:val="00431A89"/>
    <w:rsid w:val="004320DE"/>
    <w:rsid w:val="00432540"/>
    <w:rsid w:val="00432F38"/>
    <w:rsid w:val="00433615"/>
    <w:rsid w:val="00435D8D"/>
    <w:rsid w:val="004362EB"/>
    <w:rsid w:val="004365D5"/>
    <w:rsid w:val="004367DA"/>
    <w:rsid w:val="0043778C"/>
    <w:rsid w:val="004379B3"/>
    <w:rsid w:val="00437BE5"/>
    <w:rsid w:val="00440B41"/>
    <w:rsid w:val="00440CEB"/>
    <w:rsid w:val="00441367"/>
    <w:rsid w:val="0044255C"/>
    <w:rsid w:val="0044288E"/>
    <w:rsid w:val="00442CD3"/>
    <w:rsid w:val="00443312"/>
    <w:rsid w:val="0044418B"/>
    <w:rsid w:val="004444C3"/>
    <w:rsid w:val="00445EC2"/>
    <w:rsid w:val="00446431"/>
    <w:rsid w:val="0044723C"/>
    <w:rsid w:val="004478FE"/>
    <w:rsid w:val="00447DF4"/>
    <w:rsid w:val="00450842"/>
    <w:rsid w:val="00450969"/>
    <w:rsid w:val="0045150F"/>
    <w:rsid w:val="00451CF4"/>
    <w:rsid w:val="00451FF5"/>
    <w:rsid w:val="004525E5"/>
    <w:rsid w:val="00452D84"/>
    <w:rsid w:val="00453A78"/>
    <w:rsid w:val="00453AA7"/>
    <w:rsid w:val="004540C3"/>
    <w:rsid w:val="00455AAA"/>
    <w:rsid w:val="00456A59"/>
    <w:rsid w:val="004570A5"/>
    <w:rsid w:val="004572A7"/>
    <w:rsid w:val="004575D2"/>
    <w:rsid w:val="00457BCA"/>
    <w:rsid w:val="00460D2B"/>
    <w:rsid w:val="00461E06"/>
    <w:rsid w:val="004621DF"/>
    <w:rsid w:val="00462807"/>
    <w:rsid w:val="00463CA5"/>
    <w:rsid w:val="00464693"/>
    <w:rsid w:val="00464EA7"/>
    <w:rsid w:val="00465240"/>
    <w:rsid w:val="0046529C"/>
    <w:rsid w:val="0046668F"/>
    <w:rsid w:val="004705AD"/>
    <w:rsid w:val="00470E51"/>
    <w:rsid w:val="00471A58"/>
    <w:rsid w:val="00473F22"/>
    <w:rsid w:val="00475DB8"/>
    <w:rsid w:val="004762E3"/>
    <w:rsid w:val="00476988"/>
    <w:rsid w:val="00476FCE"/>
    <w:rsid w:val="00480361"/>
    <w:rsid w:val="0048106D"/>
    <w:rsid w:val="00482BD9"/>
    <w:rsid w:val="00483E82"/>
    <w:rsid w:val="00484425"/>
    <w:rsid w:val="00485CCD"/>
    <w:rsid w:val="00486050"/>
    <w:rsid w:val="004873D5"/>
    <w:rsid w:val="00487474"/>
    <w:rsid w:val="00490199"/>
    <w:rsid w:val="00491300"/>
    <w:rsid w:val="0049198F"/>
    <w:rsid w:val="00492A0E"/>
    <w:rsid w:val="00493144"/>
    <w:rsid w:val="00493CDD"/>
    <w:rsid w:val="004940B1"/>
    <w:rsid w:val="00494F13"/>
    <w:rsid w:val="00495AC9"/>
    <w:rsid w:val="004966C7"/>
    <w:rsid w:val="00496A6A"/>
    <w:rsid w:val="00496ADF"/>
    <w:rsid w:val="00496F96"/>
    <w:rsid w:val="00496FFD"/>
    <w:rsid w:val="004A1599"/>
    <w:rsid w:val="004A185B"/>
    <w:rsid w:val="004A1B42"/>
    <w:rsid w:val="004A54CC"/>
    <w:rsid w:val="004A570B"/>
    <w:rsid w:val="004A6AB0"/>
    <w:rsid w:val="004A6AE2"/>
    <w:rsid w:val="004A7E14"/>
    <w:rsid w:val="004B083A"/>
    <w:rsid w:val="004B0963"/>
    <w:rsid w:val="004B195C"/>
    <w:rsid w:val="004B233F"/>
    <w:rsid w:val="004B2493"/>
    <w:rsid w:val="004B2B23"/>
    <w:rsid w:val="004B2FA1"/>
    <w:rsid w:val="004B3447"/>
    <w:rsid w:val="004B3F84"/>
    <w:rsid w:val="004B4798"/>
    <w:rsid w:val="004B5705"/>
    <w:rsid w:val="004B610F"/>
    <w:rsid w:val="004B6D06"/>
    <w:rsid w:val="004B6E51"/>
    <w:rsid w:val="004C04AF"/>
    <w:rsid w:val="004C08E0"/>
    <w:rsid w:val="004C131C"/>
    <w:rsid w:val="004C18F1"/>
    <w:rsid w:val="004C1CC4"/>
    <w:rsid w:val="004C2EDD"/>
    <w:rsid w:val="004C4134"/>
    <w:rsid w:val="004C49F7"/>
    <w:rsid w:val="004C6090"/>
    <w:rsid w:val="004C75EB"/>
    <w:rsid w:val="004C7FFE"/>
    <w:rsid w:val="004D028D"/>
    <w:rsid w:val="004D0ECC"/>
    <w:rsid w:val="004D1B74"/>
    <w:rsid w:val="004D25BF"/>
    <w:rsid w:val="004D2923"/>
    <w:rsid w:val="004D3002"/>
    <w:rsid w:val="004D3492"/>
    <w:rsid w:val="004D3500"/>
    <w:rsid w:val="004D368F"/>
    <w:rsid w:val="004D3F9E"/>
    <w:rsid w:val="004D4162"/>
    <w:rsid w:val="004D570E"/>
    <w:rsid w:val="004D5ADF"/>
    <w:rsid w:val="004D5AEB"/>
    <w:rsid w:val="004D6017"/>
    <w:rsid w:val="004D68E5"/>
    <w:rsid w:val="004D79D7"/>
    <w:rsid w:val="004E1015"/>
    <w:rsid w:val="004E1537"/>
    <w:rsid w:val="004E1814"/>
    <w:rsid w:val="004E25F0"/>
    <w:rsid w:val="004E2A06"/>
    <w:rsid w:val="004E2CEC"/>
    <w:rsid w:val="004E2D4B"/>
    <w:rsid w:val="004E2FF9"/>
    <w:rsid w:val="004E3285"/>
    <w:rsid w:val="004E3ED2"/>
    <w:rsid w:val="004E3FD8"/>
    <w:rsid w:val="004E456E"/>
    <w:rsid w:val="004E5DCC"/>
    <w:rsid w:val="004E64FC"/>
    <w:rsid w:val="004E7605"/>
    <w:rsid w:val="004E7DBB"/>
    <w:rsid w:val="004F05AA"/>
    <w:rsid w:val="004F05F8"/>
    <w:rsid w:val="004F0A18"/>
    <w:rsid w:val="004F0B5E"/>
    <w:rsid w:val="004F171B"/>
    <w:rsid w:val="004F1CCC"/>
    <w:rsid w:val="004F266D"/>
    <w:rsid w:val="004F33D2"/>
    <w:rsid w:val="004F4A06"/>
    <w:rsid w:val="004F4FCB"/>
    <w:rsid w:val="004F526D"/>
    <w:rsid w:val="005002C2"/>
    <w:rsid w:val="00501917"/>
    <w:rsid w:val="00501AB5"/>
    <w:rsid w:val="00502C84"/>
    <w:rsid w:val="00503CC3"/>
    <w:rsid w:val="00504AAA"/>
    <w:rsid w:val="00504B84"/>
    <w:rsid w:val="00504F0D"/>
    <w:rsid w:val="00506230"/>
    <w:rsid w:val="00506674"/>
    <w:rsid w:val="00506C8B"/>
    <w:rsid w:val="00507356"/>
    <w:rsid w:val="00507380"/>
    <w:rsid w:val="00507686"/>
    <w:rsid w:val="00507D73"/>
    <w:rsid w:val="005101DD"/>
    <w:rsid w:val="00511124"/>
    <w:rsid w:val="0051115F"/>
    <w:rsid w:val="00511503"/>
    <w:rsid w:val="00511535"/>
    <w:rsid w:val="005134E8"/>
    <w:rsid w:val="005137C4"/>
    <w:rsid w:val="00515C75"/>
    <w:rsid w:val="00516269"/>
    <w:rsid w:val="0051783B"/>
    <w:rsid w:val="00517CAD"/>
    <w:rsid w:val="00517D06"/>
    <w:rsid w:val="00521204"/>
    <w:rsid w:val="005213A3"/>
    <w:rsid w:val="005219B8"/>
    <w:rsid w:val="00521EBA"/>
    <w:rsid w:val="005220E5"/>
    <w:rsid w:val="005223B4"/>
    <w:rsid w:val="0052383B"/>
    <w:rsid w:val="00523F9F"/>
    <w:rsid w:val="005271DB"/>
    <w:rsid w:val="0052744C"/>
    <w:rsid w:val="00527BBA"/>
    <w:rsid w:val="0053012D"/>
    <w:rsid w:val="00530946"/>
    <w:rsid w:val="00530B53"/>
    <w:rsid w:val="0053161F"/>
    <w:rsid w:val="00531883"/>
    <w:rsid w:val="005327B6"/>
    <w:rsid w:val="00534291"/>
    <w:rsid w:val="00535BAD"/>
    <w:rsid w:val="00540D20"/>
    <w:rsid w:val="00541294"/>
    <w:rsid w:val="00541E26"/>
    <w:rsid w:val="005423E5"/>
    <w:rsid w:val="00543141"/>
    <w:rsid w:val="0054329D"/>
    <w:rsid w:val="005435C4"/>
    <w:rsid w:val="00543731"/>
    <w:rsid w:val="0054428D"/>
    <w:rsid w:val="005443E6"/>
    <w:rsid w:val="0054523B"/>
    <w:rsid w:val="005454CB"/>
    <w:rsid w:val="00546706"/>
    <w:rsid w:val="00546805"/>
    <w:rsid w:val="00546959"/>
    <w:rsid w:val="005471C7"/>
    <w:rsid w:val="005502F4"/>
    <w:rsid w:val="00550A08"/>
    <w:rsid w:val="00551397"/>
    <w:rsid w:val="00551F83"/>
    <w:rsid w:val="00552BF1"/>
    <w:rsid w:val="00552D3D"/>
    <w:rsid w:val="005541C3"/>
    <w:rsid w:val="005542A7"/>
    <w:rsid w:val="00554DD9"/>
    <w:rsid w:val="00555DC9"/>
    <w:rsid w:val="00556EAC"/>
    <w:rsid w:val="00561193"/>
    <w:rsid w:val="00562119"/>
    <w:rsid w:val="00562216"/>
    <w:rsid w:val="005639D4"/>
    <w:rsid w:val="00563B88"/>
    <w:rsid w:val="005656B2"/>
    <w:rsid w:val="00567546"/>
    <w:rsid w:val="00567B8D"/>
    <w:rsid w:val="005701BE"/>
    <w:rsid w:val="00570209"/>
    <w:rsid w:val="00570645"/>
    <w:rsid w:val="00570B1D"/>
    <w:rsid w:val="005714C8"/>
    <w:rsid w:val="0057158E"/>
    <w:rsid w:val="005717A0"/>
    <w:rsid w:val="00571E11"/>
    <w:rsid w:val="00572395"/>
    <w:rsid w:val="00573598"/>
    <w:rsid w:val="00574392"/>
    <w:rsid w:val="00574483"/>
    <w:rsid w:val="00574618"/>
    <w:rsid w:val="0057474F"/>
    <w:rsid w:val="00574851"/>
    <w:rsid w:val="00574ADA"/>
    <w:rsid w:val="00574BA3"/>
    <w:rsid w:val="00574C4C"/>
    <w:rsid w:val="00575009"/>
    <w:rsid w:val="005750B9"/>
    <w:rsid w:val="005764E2"/>
    <w:rsid w:val="00576589"/>
    <w:rsid w:val="00577B2D"/>
    <w:rsid w:val="005804EA"/>
    <w:rsid w:val="00580591"/>
    <w:rsid w:val="00580B06"/>
    <w:rsid w:val="00580BC0"/>
    <w:rsid w:val="00581F28"/>
    <w:rsid w:val="0058255E"/>
    <w:rsid w:val="00583660"/>
    <w:rsid w:val="0058417A"/>
    <w:rsid w:val="00584EFE"/>
    <w:rsid w:val="00585238"/>
    <w:rsid w:val="0058523B"/>
    <w:rsid w:val="005857A0"/>
    <w:rsid w:val="005857E2"/>
    <w:rsid w:val="00585812"/>
    <w:rsid w:val="005868C3"/>
    <w:rsid w:val="00586C01"/>
    <w:rsid w:val="005900CD"/>
    <w:rsid w:val="0059050B"/>
    <w:rsid w:val="00590BBC"/>
    <w:rsid w:val="00590D88"/>
    <w:rsid w:val="00592965"/>
    <w:rsid w:val="00593A7B"/>
    <w:rsid w:val="00593DAA"/>
    <w:rsid w:val="00593FCE"/>
    <w:rsid w:val="0059579E"/>
    <w:rsid w:val="005958E5"/>
    <w:rsid w:val="00595B47"/>
    <w:rsid w:val="005969B9"/>
    <w:rsid w:val="0059751E"/>
    <w:rsid w:val="00597F08"/>
    <w:rsid w:val="005A03B8"/>
    <w:rsid w:val="005A059B"/>
    <w:rsid w:val="005A1200"/>
    <w:rsid w:val="005A173F"/>
    <w:rsid w:val="005A19CF"/>
    <w:rsid w:val="005A1BCE"/>
    <w:rsid w:val="005A256D"/>
    <w:rsid w:val="005A2D9B"/>
    <w:rsid w:val="005A2E9B"/>
    <w:rsid w:val="005A2F61"/>
    <w:rsid w:val="005A3068"/>
    <w:rsid w:val="005A30D2"/>
    <w:rsid w:val="005A3226"/>
    <w:rsid w:val="005A3E6D"/>
    <w:rsid w:val="005A6460"/>
    <w:rsid w:val="005A64BF"/>
    <w:rsid w:val="005A6D55"/>
    <w:rsid w:val="005A6F59"/>
    <w:rsid w:val="005A71CF"/>
    <w:rsid w:val="005B0AA3"/>
    <w:rsid w:val="005B0B26"/>
    <w:rsid w:val="005B1223"/>
    <w:rsid w:val="005B1CC1"/>
    <w:rsid w:val="005B35CD"/>
    <w:rsid w:val="005B5AE7"/>
    <w:rsid w:val="005B5DDC"/>
    <w:rsid w:val="005B677D"/>
    <w:rsid w:val="005B6D47"/>
    <w:rsid w:val="005B79B5"/>
    <w:rsid w:val="005B7A18"/>
    <w:rsid w:val="005C15D7"/>
    <w:rsid w:val="005C25AC"/>
    <w:rsid w:val="005C32C0"/>
    <w:rsid w:val="005C36CF"/>
    <w:rsid w:val="005C3F64"/>
    <w:rsid w:val="005C468A"/>
    <w:rsid w:val="005C49C2"/>
    <w:rsid w:val="005C56A2"/>
    <w:rsid w:val="005C6B6D"/>
    <w:rsid w:val="005C7BC5"/>
    <w:rsid w:val="005C7CA9"/>
    <w:rsid w:val="005D01AF"/>
    <w:rsid w:val="005D03A0"/>
    <w:rsid w:val="005D07A6"/>
    <w:rsid w:val="005D0C03"/>
    <w:rsid w:val="005D0DFC"/>
    <w:rsid w:val="005D302D"/>
    <w:rsid w:val="005D37F8"/>
    <w:rsid w:val="005D759D"/>
    <w:rsid w:val="005D7BDF"/>
    <w:rsid w:val="005E00C1"/>
    <w:rsid w:val="005E01A0"/>
    <w:rsid w:val="005E0325"/>
    <w:rsid w:val="005E07E5"/>
    <w:rsid w:val="005E09EE"/>
    <w:rsid w:val="005E196F"/>
    <w:rsid w:val="005E4C15"/>
    <w:rsid w:val="005E4E1D"/>
    <w:rsid w:val="005E6474"/>
    <w:rsid w:val="005E72A0"/>
    <w:rsid w:val="005E73A8"/>
    <w:rsid w:val="005F09D7"/>
    <w:rsid w:val="005F1619"/>
    <w:rsid w:val="005F364C"/>
    <w:rsid w:val="005F4868"/>
    <w:rsid w:val="005F48F7"/>
    <w:rsid w:val="005F525D"/>
    <w:rsid w:val="005F5706"/>
    <w:rsid w:val="005F65EF"/>
    <w:rsid w:val="005F70B5"/>
    <w:rsid w:val="005F734F"/>
    <w:rsid w:val="005F7E90"/>
    <w:rsid w:val="005F7EAC"/>
    <w:rsid w:val="005F7FF5"/>
    <w:rsid w:val="00600830"/>
    <w:rsid w:val="0060279E"/>
    <w:rsid w:val="00602FA0"/>
    <w:rsid w:val="00603725"/>
    <w:rsid w:val="00603D17"/>
    <w:rsid w:val="006047C9"/>
    <w:rsid w:val="00605226"/>
    <w:rsid w:val="0060581D"/>
    <w:rsid w:val="00605838"/>
    <w:rsid w:val="00605CC9"/>
    <w:rsid w:val="006061CC"/>
    <w:rsid w:val="00607532"/>
    <w:rsid w:val="00607DCB"/>
    <w:rsid w:val="006108D7"/>
    <w:rsid w:val="00610C03"/>
    <w:rsid w:val="00610DB0"/>
    <w:rsid w:val="00611221"/>
    <w:rsid w:val="00612554"/>
    <w:rsid w:val="00612722"/>
    <w:rsid w:val="00612D51"/>
    <w:rsid w:val="006130BB"/>
    <w:rsid w:val="00613AD5"/>
    <w:rsid w:val="00613B8C"/>
    <w:rsid w:val="00613DD5"/>
    <w:rsid w:val="006144C3"/>
    <w:rsid w:val="006147AA"/>
    <w:rsid w:val="00615D8D"/>
    <w:rsid w:val="00615FA8"/>
    <w:rsid w:val="00617061"/>
    <w:rsid w:val="00617825"/>
    <w:rsid w:val="006178EE"/>
    <w:rsid w:val="00617FE5"/>
    <w:rsid w:val="00620049"/>
    <w:rsid w:val="006200A0"/>
    <w:rsid w:val="006208C7"/>
    <w:rsid w:val="00621092"/>
    <w:rsid w:val="00621574"/>
    <w:rsid w:val="00621AB5"/>
    <w:rsid w:val="00622A31"/>
    <w:rsid w:val="0062446C"/>
    <w:rsid w:val="00624683"/>
    <w:rsid w:val="00626E48"/>
    <w:rsid w:val="00627B3C"/>
    <w:rsid w:val="00627D6F"/>
    <w:rsid w:val="00630887"/>
    <w:rsid w:val="00631062"/>
    <w:rsid w:val="00632266"/>
    <w:rsid w:val="00632C59"/>
    <w:rsid w:val="00632E84"/>
    <w:rsid w:val="006338B5"/>
    <w:rsid w:val="00634150"/>
    <w:rsid w:val="0063418B"/>
    <w:rsid w:val="00634C82"/>
    <w:rsid w:val="00635034"/>
    <w:rsid w:val="0063574C"/>
    <w:rsid w:val="00635FB5"/>
    <w:rsid w:val="00636370"/>
    <w:rsid w:val="006363B6"/>
    <w:rsid w:val="006366F0"/>
    <w:rsid w:val="0063673D"/>
    <w:rsid w:val="00636E6C"/>
    <w:rsid w:val="006376E9"/>
    <w:rsid w:val="006405CE"/>
    <w:rsid w:val="00640912"/>
    <w:rsid w:val="0064094B"/>
    <w:rsid w:val="00640AC4"/>
    <w:rsid w:val="00640D8F"/>
    <w:rsid w:val="00641A02"/>
    <w:rsid w:val="0064251A"/>
    <w:rsid w:val="00642727"/>
    <w:rsid w:val="00643237"/>
    <w:rsid w:val="00643CD6"/>
    <w:rsid w:val="006449F9"/>
    <w:rsid w:val="00644A57"/>
    <w:rsid w:val="006451C0"/>
    <w:rsid w:val="00645394"/>
    <w:rsid w:val="006465AD"/>
    <w:rsid w:val="00646AEF"/>
    <w:rsid w:val="00646E2C"/>
    <w:rsid w:val="00647435"/>
    <w:rsid w:val="00647817"/>
    <w:rsid w:val="00650A3D"/>
    <w:rsid w:val="00652346"/>
    <w:rsid w:val="006528B3"/>
    <w:rsid w:val="00652C24"/>
    <w:rsid w:val="00652F17"/>
    <w:rsid w:val="00653296"/>
    <w:rsid w:val="006536F9"/>
    <w:rsid w:val="00655E0C"/>
    <w:rsid w:val="00655F92"/>
    <w:rsid w:val="00657910"/>
    <w:rsid w:val="00657C69"/>
    <w:rsid w:val="00660447"/>
    <w:rsid w:val="0066139A"/>
    <w:rsid w:val="00661DF4"/>
    <w:rsid w:val="00661FA6"/>
    <w:rsid w:val="00662606"/>
    <w:rsid w:val="00662683"/>
    <w:rsid w:val="00663444"/>
    <w:rsid w:val="00664B9D"/>
    <w:rsid w:val="00664E0B"/>
    <w:rsid w:val="006659E7"/>
    <w:rsid w:val="006661B7"/>
    <w:rsid w:val="006670AF"/>
    <w:rsid w:val="00670957"/>
    <w:rsid w:val="00670F63"/>
    <w:rsid w:val="006720E7"/>
    <w:rsid w:val="006723E3"/>
    <w:rsid w:val="006725BF"/>
    <w:rsid w:val="00672857"/>
    <w:rsid w:val="00673411"/>
    <w:rsid w:val="00673894"/>
    <w:rsid w:val="00674983"/>
    <w:rsid w:val="00675104"/>
    <w:rsid w:val="006753F5"/>
    <w:rsid w:val="00675D24"/>
    <w:rsid w:val="00675D37"/>
    <w:rsid w:val="0067611F"/>
    <w:rsid w:val="0067628A"/>
    <w:rsid w:val="00676D3A"/>
    <w:rsid w:val="00677EF4"/>
    <w:rsid w:val="006801B8"/>
    <w:rsid w:val="0068050B"/>
    <w:rsid w:val="006809F5"/>
    <w:rsid w:val="00683BA1"/>
    <w:rsid w:val="006848F6"/>
    <w:rsid w:val="00685402"/>
    <w:rsid w:val="00685513"/>
    <w:rsid w:val="006858F9"/>
    <w:rsid w:val="006871C3"/>
    <w:rsid w:val="00687333"/>
    <w:rsid w:val="006901AE"/>
    <w:rsid w:val="006901C8"/>
    <w:rsid w:val="00691706"/>
    <w:rsid w:val="00691C16"/>
    <w:rsid w:val="00691F10"/>
    <w:rsid w:val="00694C2A"/>
    <w:rsid w:val="0069508F"/>
    <w:rsid w:val="006955BE"/>
    <w:rsid w:val="00695647"/>
    <w:rsid w:val="00696070"/>
    <w:rsid w:val="00696356"/>
    <w:rsid w:val="006970FB"/>
    <w:rsid w:val="006A0C23"/>
    <w:rsid w:val="006A205D"/>
    <w:rsid w:val="006A2104"/>
    <w:rsid w:val="006A2CC3"/>
    <w:rsid w:val="006A2CCC"/>
    <w:rsid w:val="006A2F40"/>
    <w:rsid w:val="006A4A40"/>
    <w:rsid w:val="006A513F"/>
    <w:rsid w:val="006A5172"/>
    <w:rsid w:val="006A61D0"/>
    <w:rsid w:val="006A6B08"/>
    <w:rsid w:val="006A7178"/>
    <w:rsid w:val="006B02A7"/>
    <w:rsid w:val="006B0927"/>
    <w:rsid w:val="006B2C4F"/>
    <w:rsid w:val="006B3328"/>
    <w:rsid w:val="006B3C4A"/>
    <w:rsid w:val="006B43A1"/>
    <w:rsid w:val="006B4D52"/>
    <w:rsid w:val="006B6521"/>
    <w:rsid w:val="006B6A50"/>
    <w:rsid w:val="006B7071"/>
    <w:rsid w:val="006B761D"/>
    <w:rsid w:val="006B775E"/>
    <w:rsid w:val="006C106F"/>
    <w:rsid w:val="006C1105"/>
    <w:rsid w:val="006C2432"/>
    <w:rsid w:val="006C2B46"/>
    <w:rsid w:val="006C321D"/>
    <w:rsid w:val="006C43D6"/>
    <w:rsid w:val="006C4485"/>
    <w:rsid w:val="006C5B63"/>
    <w:rsid w:val="006C7080"/>
    <w:rsid w:val="006C7125"/>
    <w:rsid w:val="006D00DE"/>
    <w:rsid w:val="006D173B"/>
    <w:rsid w:val="006D1911"/>
    <w:rsid w:val="006D1EFE"/>
    <w:rsid w:val="006D2875"/>
    <w:rsid w:val="006D4DF6"/>
    <w:rsid w:val="006D60A4"/>
    <w:rsid w:val="006D66E5"/>
    <w:rsid w:val="006D6C45"/>
    <w:rsid w:val="006E107F"/>
    <w:rsid w:val="006E1263"/>
    <w:rsid w:val="006E164E"/>
    <w:rsid w:val="006E194A"/>
    <w:rsid w:val="006E1E88"/>
    <w:rsid w:val="006E2069"/>
    <w:rsid w:val="006E22E3"/>
    <w:rsid w:val="006E26DD"/>
    <w:rsid w:val="006E2C21"/>
    <w:rsid w:val="006E3E24"/>
    <w:rsid w:val="006E42CE"/>
    <w:rsid w:val="006E4568"/>
    <w:rsid w:val="006E51A6"/>
    <w:rsid w:val="006E7CDE"/>
    <w:rsid w:val="006F0C36"/>
    <w:rsid w:val="006F0E88"/>
    <w:rsid w:val="006F19E3"/>
    <w:rsid w:val="006F219B"/>
    <w:rsid w:val="006F2E46"/>
    <w:rsid w:val="006F3C82"/>
    <w:rsid w:val="006F3EC1"/>
    <w:rsid w:val="006F40CF"/>
    <w:rsid w:val="006F41D3"/>
    <w:rsid w:val="006F59AA"/>
    <w:rsid w:val="006F6EDB"/>
    <w:rsid w:val="006F70EC"/>
    <w:rsid w:val="006F7508"/>
    <w:rsid w:val="00700850"/>
    <w:rsid w:val="00701F61"/>
    <w:rsid w:val="007026A2"/>
    <w:rsid w:val="007031DE"/>
    <w:rsid w:val="007032B6"/>
    <w:rsid w:val="00703692"/>
    <w:rsid w:val="00703C1F"/>
    <w:rsid w:val="00704052"/>
    <w:rsid w:val="0070481C"/>
    <w:rsid w:val="00704878"/>
    <w:rsid w:val="007054F3"/>
    <w:rsid w:val="0070744E"/>
    <w:rsid w:val="007103DD"/>
    <w:rsid w:val="007106A8"/>
    <w:rsid w:val="00711560"/>
    <w:rsid w:val="007115C5"/>
    <w:rsid w:val="0071369B"/>
    <w:rsid w:val="007139BC"/>
    <w:rsid w:val="00713D18"/>
    <w:rsid w:val="007143EF"/>
    <w:rsid w:val="00717CF7"/>
    <w:rsid w:val="00720115"/>
    <w:rsid w:val="00720137"/>
    <w:rsid w:val="00720778"/>
    <w:rsid w:val="007219A0"/>
    <w:rsid w:val="00722984"/>
    <w:rsid w:val="00722BD5"/>
    <w:rsid w:val="0072351F"/>
    <w:rsid w:val="00723FDC"/>
    <w:rsid w:val="007260C1"/>
    <w:rsid w:val="00726AEE"/>
    <w:rsid w:val="007275D9"/>
    <w:rsid w:val="007276BF"/>
    <w:rsid w:val="00727B78"/>
    <w:rsid w:val="00727CC5"/>
    <w:rsid w:val="00727FB5"/>
    <w:rsid w:val="007301DD"/>
    <w:rsid w:val="00731851"/>
    <w:rsid w:val="00732531"/>
    <w:rsid w:val="00732C64"/>
    <w:rsid w:val="00732FD6"/>
    <w:rsid w:val="00733198"/>
    <w:rsid w:val="00733F67"/>
    <w:rsid w:val="0073424C"/>
    <w:rsid w:val="00734824"/>
    <w:rsid w:val="00734F11"/>
    <w:rsid w:val="00735035"/>
    <w:rsid w:val="00736654"/>
    <w:rsid w:val="00736781"/>
    <w:rsid w:val="00736A6A"/>
    <w:rsid w:val="00736ED2"/>
    <w:rsid w:val="00737C92"/>
    <w:rsid w:val="007404D7"/>
    <w:rsid w:val="0074069F"/>
    <w:rsid w:val="00740E3E"/>
    <w:rsid w:val="00741AF3"/>
    <w:rsid w:val="007420CD"/>
    <w:rsid w:val="007422C5"/>
    <w:rsid w:val="0074273C"/>
    <w:rsid w:val="00744906"/>
    <w:rsid w:val="00744C4A"/>
    <w:rsid w:val="00745B28"/>
    <w:rsid w:val="00746192"/>
    <w:rsid w:val="00746795"/>
    <w:rsid w:val="00747428"/>
    <w:rsid w:val="00747957"/>
    <w:rsid w:val="00747F76"/>
    <w:rsid w:val="00750935"/>
    <w:rsid w:val="007510E0"/>
    <w:rsid w:val="00752835"/>
    <w:rsid w:val="007531A0"/>
    <w:rsid w:val="007532B3"/>
    <w:rsid w:val="00754490"/>
    <w:rsid w:val="00754F16"/>
    <w:rsid w:val="00755336"/>
    <w:rsid w:val="00755FA4"/>
    <w:rsid w:val="00757560"/>
    <w:rsid w:val="007600FC"/>
    <w:rsid w:val="007609CD"/>
    <w:rsid w:val="00760CEA"/>
    <w:rsid w:val="00760FFB"/>
    <w:rsid w:val="00761135"/>
    <w:rsid w:val="007611E4"/>
    <w:rsid w:val="00761F68"/>
    <w:rsid w:val="00763401"/>
    <w:rsid w:val="00770362"/>
    <w:rsid w:val="007713EB"/>
    <w:rsid w:val="00771922"/>
    <w:rsid w:val="00772379"/>
    <w:rsid w:val="007734D5"/>
    <w:rsid w:val="007743E7"/>
    <w:rsid w:val="00774CFA"/>
    <w:rsid w:val="00775AB2"/>
    <w:rsid w:val="00775F63"/>
    <w:rsid w:val="007766CD"/>
    <w:rsid w:val="00776BD9"/>
    <w:rsid w:val="00776F21"/>
    <w:rsid w:val="00780877"/>
    <w:rsid w:val="00780CD4"/>
    <w:rsid w:val="00780E98"/>
    <w:rsid w:val="00781906"/>
    <w:rsid w:val="00782FB5"/>
    <w:rsid w:val="00784038"/>
    <w:rsid w:val="00785199"/>
    <w:rsid w:val="00790066"/>
    <w:rsid w:val="00792EEE"/>
    <w:rsid w:val="00792F5B"/>
    <w:rsid w:val="0079409B"/>
    <w:rsid w:val="007941ED"/>
    <w:rsid w:val="0079446D"/>
    <w:rsid w:val="007971B9"/>
    <w:rsid w:val="007A1636"/>
    <w:rsid w:val="007A18B3"/>
    <w:rsid w:val="007A1A06"/>
    <w:rsid w:val="007A1B88"/>
    <w:rsid w:val="007A2E41"/>
    <w:rsid w:val="007A41D4"/>
    <w:rsid w:val="007A41FA"/>
    <w:rsid w:val="007A4584"/>
    <w:rsid w:val="007A47BA"/>
    <w:rsid w:val="007A4A3F"/>
    <w:rsid w:val="007A4CC6"/>
    <w:rsid w:val="007A6830"/>
    <w:rsid w:val="007A68D5"/>
    <w:rsid w:val="007A79EC"/>
    <w:rsid w:val="007A7A76"/>
    <w:rsid w:val="007B0CA7"/>
    <w:rsid w:val="007B1B0D"/>
    <w:rsid w:val="007B1EF0"/>
    <w:rsid w:val="007B24BE"/>
    <w:rsid w:val="007B2671"/>
    <w:rsid w:val="007B3228"/>
    <w:rsid w:val="007B3A96"/>
    <w:rsid w:val="007B3B05"/>
    <w:rsid w:val="007B42A0"/>
    <w:rsid w:val="007B46C7"/>
    <w:rsid w:val="007B46D3"/>
    <w:rsid w:val="007B4705"/>
    <w:rsid w:val="007B4991"/>
    <w:rsid w:val="007B539A"/>
    <w:rsid w:val="007B5C88"/>
    <w:rsid w:val="007B6154"/>
    <w:rsid w:val="007B6A70"/>
    <w:rsid w:val="007B6AB0"/>
    <w:rsid w:val="007B7076"/>
    <w:rsid w:val="007B7637"/>
    <w:rsid w:val="007C0646"/>
    <w:rsid w:val="007C08BA"/>
    <w:rsid w:val="007C2A06"/>
    <w:rsid w:val="007C2AA8"/>
    <w:rsid w:val="007C2B60"/>
    <w:rsid w:val="007C390C"/>
    <w:rsid w:val="007C3DFF"/>
    <w:rsid w:val="007C413F"/>
    <w:rsid w:val="007C4497"/>
    <w:rsid w:val="007C459D"/>
    <w:rsid w:val="007C5363"/>
    <w:rsid w:val="007C56F7"/>
    <w:rsid w:val="007C5B14"/>
    <w:rsid w:val="007C6E86"/>
    <w:rsid w:val="007C77A2"/>
    <w:rsid w:val="007D0311"/>
    <w:rsid w:val="007D1A54"/>
    <w:rsid w:val="007D1B3A"/>
    <w:rsid w:val="007D20CD"/>
    <w:rsid w:val="007D2D9D"/>
    <w:rsid w:val="007D307E"/>
    <w:rsid w:val="007D3822"/>
    <w:rsid w:val="007D3BA8"/>
    <w:rsid w:val="007D458F"/>
    <w:rsid w:val="007D46E2"/>
    <w:rsid w:val="007D49FC"/>
    <w:rsid w:val="007D4A9B"/>
    <w:rsid w:val="007D4FD3"/>
    <w:rsid w:val="007D59FE"/>
    <w:rsid w:val="007D63C6"/>
    <w:rsid w:val="007D6F9C"/>
    <w:rsid w:val="007E17E1"/>
    <w:rsid w:val="007E1BF5"/>
    <w:rsid w:val="007E208C"/>
    <w:rsid w:val="007E2828"/>
    <w:rsid w:val="007E2C28"/>
    <w:rsid w:val="007E2DEE"/>
    <w:rsid w:val="007E32E7"/>
    <w:rsid w:val="007E3980"/>
    <w:rsid w:val="007E414E"/>
    <w:rsid w:val="007E4B75"/>
    <w:rsid w:val="007E6528"/>
    <w:rsid w:val="007E681A"/>
    <w:rsid w:val="007E7C97"/>
    <w:rsid w:val="007F02DE"/>
    <w:rsid w:val="007F02E5"/>
    <w:rsid w:val="007F0487"/>
    <w:rsid w:val="007F118B"/>
    <w:rsid w:val="007F2AF4"/>
    <w:rsid w:val="007F2B91"/>
    <w:rsid w:val="007F373B"/>
    <w:rsid w:val="007F3948"/>
    <w:rsid w:val="007F409C"/>
    <w:rsid w:val="007F48CC"/>
    <w:rsid w:val="007F4B17"/>
    <w:rsid w:val="007F4CFA"/>
    <w:rsid w:val="007F64AA"/>
    <w:rsid w:val="007F7041"/>
    <w:rsid w:val="007F7423"/>
    <w:rsid w:val="007F76B0"/>
    <w:rsid w:val="007F783D"/>
    <w:rsid w:val="00800C20"/>
    <w:rsid w:val="00800F8B"/>
    <w:rsid w:val="0080132D"/>
    <w:rsid w:val="008027A4"/>
    <w:rsid w:val="00802B65"/>
    <w:rsid w:val="0080336E"/>
    <w:rsid w:val="0080579B"/>
    <w:rsid w:val="00806133"/>
    <w:rsid w:val="00806A1F"/>
    <w:rsid w:val="008106B7"/>
    <w:rsid w:val="00810FCF"/>
    <w:rsid w:val="00811026"/>
    <w:rsid w:val="0081112F"/>
    <w:rsid w:val="0081243A"/>
    <w:rsid w:val="008125CE"/>
    <w:rsid w:val="00812A3B"/>
    <w:rsid w:val="00813B12"/>
    <w:rsid w:val="00814645"/>
    <w:rsid w:val="008148A4"/>
    <w:rsid w:val="00815D8F"/>
    <w:rsid w:val="008164B6"/>
    <w:rsid w:val="0081667D"/>
    <w:rsid w:val="00816E06"/>
    <w:rsid w:val="00817256"/>
    <w:rsid w:val="00817750"/>
    <w:rsid w:val="00817AD0"/>
    <w:rsid w:val="00817C20"/>
    <w:rsid w:val="00817C59"/>
    <w:rsid w:val="00817C86"/>
    <w:rsid w:val="00817DD2"/>
    <w:rsid w:val="00821579"/>
    <w:rsid w:val="008219CF"/>
    <w:rsid w:val="00822479"/>
    <w:rsid w:val="00823245"/>
    <w:rsid w:val="00823D1F"/>
    <w:rsid w:val="00824105"/>
    <w:rsid w:val="008243C3"/>
    <w:rsid w:val="0082470B"/>
    <w:rsid w:val="00826300"/>
    <w:rsid w:val="00826D2D"/>
    <w:rsid w:val="008309BF"/>
    <w:rsid w:val="00830F89"/>
    <w:rsid w:val="00831F0A"/>
    <w:rsid w:val="0083266F"/>
    <w:rsid w:val="00832B79"/>
    <w:rsid w:val="00832CE3"/>
    <w:rsid w:val="00832D7A"/>
    <w:rsid w:val="0083316E"/>
    <w:rsid w:val="00833299"/>
    <w:rsid w:val="00833ADB"/>
    <w:rsid w:val="00834059"/>
    <w:rsid w:val="008340D9"/>
    <w:rsid w:val="00834413"/>
    <w:rsid w:val="008348AA"/>
    <w:rsid w:val="008356EE"/>
    <w:rsid w:val="008358BD"/>
    <w:rsid w:val="00836CAE"/>
    <w:rsid w:val="008377D7"/>
    <w:rsid w:val="00837DFE"/>
    <w:rsid w:val="0084025F"/>
    <w:rsid w:val="008403F7"/>
    <w:rsid w:val="00841790"/>
    <w:rsid w:val="0084202E"/>
    <w:rsid w:val="00842365"/>
    <w:rsid w:val="00842E46"/>
    <w:rsid w:val="00842F80"/>
    <w:rsid w:val="0084399C"/>
    <w:rsid w:val="00843D28"/>
    <w:rsid w:val="008441A4"/>
    <w:rsid w:val="008474F6"/>
    <w:rsid w:val="00847C2B"/>
    <w:rsid w:val="00847FA9"/>
    <w:rsid w:val="0085016C"/>
    <w:rsid w:val="008509B9"/>
    <w:rsid w:val="0085135B"/>
    <w:rsid w:val="00852360"/>
    <w:rsid w:val="00853F2C"/>
    <w:rsid w:val="008554FF"/>
    <w:rsid w:val="00855F2D"/>
    <w:rsid w:val="00856300"/>
    <w:rsid w:val="0085635A"/>
    <w:rsid w:val="008563D3"/>
    <w:rsid w:val="00856510"/>
    <w:rsid w:val="00856DD1"/>
    <w:rsid w:val="00857DCD"/>
    <w:rsid w:val="0086199A"/>
    <w:rsid w:val="00861A31"/>
    <w:rsid w:val="008627BC"/>
    <w:rsid w:val="00864123"/>
    <w:rsid w:val="008654A2"/>
    <w:rsid w:val="008660B9"/>
    <w:rsid w:val="008669CD"/>
    <w:rsid w:val="008673AD"/>
    <w:rsid w:val="00867799"/>
    <w:rsid w:val="00870390"/>
    <w:rsid w:val="008705A0"/>
    <w:rsid w:val="0087079B"/>
    <w:rsid w:val="00871129"/>
    <w:rsid w:val="008735C1"/>
    <w:rsid w:val="00874091"/>
    <w:rsid w:val="00874862"/>
    <w:rsid w:val="00874E83"/>
    <w:rsid w:val="008751F1"/>
    <w:rsid w:val="00875370"/>
    <w:rsid w:val="0087543C"/>
    <w:rsid w:val="008761B6"/>
    <w:rsid w:val="00876865"/>
    <w:rsid w:val="008769A2"/>
    <w:rsid w:val="00876A0C"/>
    <w:rsid w:val="00876CAB"/>
    <w:rsid w:val="00877371"/>
    <w:rsid w:val="00880ACB"/>
    <w:rsid w:val="008810D1"/>
    <w:rsid w:val="008813B4"/>
    <w:rsid w:val="0088151F"/>
    <w:rsid w:val="00881B20"/>
    <w:rsid w:val="00881E8A"/>
    <w:rsid w:val="008828D8"/>
    <w:rsid w:val="00882C04"/>
    <w:rsid w:val="0088324F"/>
    <w:rsid w:val="0088327C"/>
    <w:rsid w:val="0088344E"/>
    <w:rsid w:val="00884F82"/>
    <w:rsid w:val="008858E3"/>
    <w:rsid w:val="00886074"/>
    <w:rsid w:val="008861B0"/>
    <w:rsid w:val="0088687F"/>
    <w:rsid w:val="00886C0F"/>
    <w:rsid w:val="00886FCE"/>
    <w:rsid w:val="0088772D"/>
    <w:rsid w:val="00887895"/>
    <w:rsid w:val="008878E2"/>
    <w:rsid w:val="0089149F"/>
    <w:rsid w:val="00891B91"/>
    <w:rsid w:val="00892B24"/>
    <w:rsid w:val="00892B51"/>
    <w:rsid w:val="00893443"/>
    <w:rsid w:val="00893E37"/>
    <w:rsid w:val="00893EFE"/>
    <w:rsid w:val="008943EC"/>
    <w:rsid w:val="00895E59"/>
    <w:rsid w:val="00895F0F"/>
    <w:rsid w:val="008969A1"/>
    <w:rsid w:val="008A00F0"/>
    <w:rsid w:val="008A08A7"/>
    <w:rsid w:val="008A13C7"/>
    <w:rsid w:val="008A1B6F"/>
    <w:rsid w:val="008A20EB"/>
    <w:rsid w:val="008A2636"/>
    <w:rsid w:val="008A309C"/>
    <w:rsid w:val="008A4389"/>
    <w:rsid w:val="008A453D"/>
    <w:rsid w:val="008A4AF0"/>
    <w:rsid w:val="008A4E4E"/>
    <w:rsid w:val="008A53E0"/>
    <w:rsid w:val="008A7A09"/>
    <w:rsid w:val="008B0096"/>
    <w:rsid w:val="008B0391"/>
    <w:rsid w:val="008B0F62"/>
    <w:rsid w:val="008B15AF"/>
    <w:rsid w:val="008B15FA"/>
    <w:rsid w:val="008B3095"/>
    <w:rsid w:val="008B38D2"/>
    <w:rsid w:val="008B4215"/>
    <w:rsid w:val="008B4540"/>
    <w:rsid w:val="008B51F9"/>
    <w:rsid w:val="008B60AC"/>
    <w:rsid w:val="008B74E0"/>
    <w:rsid w:val="008B7956"/>
    <w:rsid w:val="008C0EAC"/>
    <w:rsid w:val="008C1511"/>
    <w:rsid w:val="008C18CC"/>
    <w:rsid w:val="008C284C"/>
    <w:rsid w:val="008C326B"/>
    <w:rsid w:val="008C376B"/>
    <w:rsid w:val="008C49F1"/>
    <w:rsid w:val="008C4D88"/>
    <w:rsid w:val="008C52E3"/>
    <w:rsid w:val="008C5B59"/>
    <w:rsid w:val="008C68F6"/>
    <w:rsid w:val="008C6B27"/>
    <w:rsid w:val="008C7EBD"/>
    <w:rsid w:val="008D0C9E"/>
    <w:rsid w:val="008D1C1D"/>
    <w:rsid w:val="008D2AF3"/>
    <w:rsid w:val="008D4681"/>
    <w:rsid w:val="008D495A"/>
    <w:rsid w:val="008D4C29"/>
    <w:rsid w:val="008D5D1F"/>
    <w:rsid w:val="008D5E57"/>
    <w:rsid w:val="008D61AC"/>
    <w:rsid w:val="008D6A8D"/>
    <w:rsid w:val="008D71E7"/>
    <w:rsid w:val="008D7483"/>
    <w:rsid w:val="008D7BF0"/>
    <w:rsid w:val="008D7C92"/>
    <w:rsid w:val="008E07BC"/>
    <w:rsid w:val="008E1306"/>
    <w:rsid w:val="008E2D09"/>
    <w:rsid w:val="008E3815"/>
    <w:rsid w:val="008E3C9B"/>
    <w:rsid w:val="008E4452"/>
    <w:rsid w:val="008E520C"/>
    <w:rsid w:val="008E52DE"/>
    <w:rsid w:val="008E77A2"/>
    <w:rsid w:val="008E7812"/>
    <w:rsid w:val="008E7BB4"/>
    <w:rsid w:val="008E7E73"/>
    <w:rsid w:val="008E7EFE"/>
    <w:rsid w:val="008F00FB"/>
    <w:rsid w:val="008F053C"/>
    <w:rsid w:val="008F0EBE"/>
    <w:rsid w:val="008F1111"/>
    <w:rsid w:val="008F2C10"/>
    <w:rsid w:val="008F4D0D"/>
    <w:rsid w:val="008F4D19"/>
    <w:rsid w:val="008F66F0"/>
    <w:rsid w:val="008F6989"/>
    <w:rsid w:val="008F6B95"/>
    <w:rsid w:val="008F70E9"/>
    <w:rsid w:val="008F7707"/>
    <w:rsid w:val="008F7D54"/>
    <w:rsid w:val="00900405"/>
    <w:rsid w:val="00901627"/>
    <w:rsid w:val="009025BE"/>
    <w:rsid w:val="009032F5"/>
    <w:rsid w:val="009042EB"/>
    <w:rsid w:val="009043C3"/>
    <w:rsid w:val="00904A70"/>
    <w:rsid w:val="009054A2"/>
    <w:rsid w:val="00905B95"/>
    <w:rsid w:val="0090637F"/>
    <w:rsid w:val="00906CF5"/>
    <w:rsid w:val="009110EB"/>
    <w:rsid w:val="009114A0"/>
    <w:rsid w:val="009114B0"/>
    <w:rsid w:val="009118B5"/>
    <w:rsid w:val="009140AB"/>
    <w:rsid w:val="00915F7A"/>
    <w:rsid w:val="00916226"/>
    <w:rsid w:val="00916E21"/>
    <w:rsid w:val="00920951"/>
    <w:rsid w:val="0092296A"/>
    <w:rsid w:val="00923A68"/>
    <w:rsid w:val="00923C68"/>
    <w:rsid w:val="0092406D"/>
    <w:rsid w:val="009240CD"/>
    <w:rsid w:val="00924730"/>
    <w:rsid w:val="00925396"/>
    <w:rsid w:val="009255E7"/>
    <w:rsid w:val="00925809"/>
    <w:rsid w:val="009271D6"/>
    <w:rsid w:val="00930BA6"/>
    <w:rsid w:val="00931DD8"/>
    <w:rsid w:val="00931ECD"/>
    <w:rsid w:val="009327C0"/>
    <w:rsid w:val="00932B54"/>
    <w:rsid w:val="009332B5"/>
    <w:rsid w:val="00935355"/>
    <w:rsid w:val="00935931"/>
    <w:rsid w:val="00935982"/>
    <w:rsid w:val="00935C52"/>
    <w:rsid w:val="00936851"/>
    <w:rsid w:val="00937960"/>
    <w:rsid w:val="009379C8"/>
    <w:rsid w:val="00941546"/>
    <w:rsid w:val="00941656"/>
    <w:rsid w:val="0094224A"/>
    <w:rsid w:val="00942FA6"/>
    <w:rsid w:val="009434E3"/>
    <w:rsid w:val="00943CD2"/>
    <w:rsid w:val="009441E9"/>
    <w:rsid w:val="009444AC"/>
    <w:rsid w:val="009445BA"/>
    <w:rsid w:val="00944C12"/>
    <w:rsid w:val="009452E4"/>
    <w:rsid w:val="009455CA"/>
    <w:rsid w:val="009458E9"/>
    <w:rsid w:val="00945B1E"/>
    <w:rsid w:val="009468DC"/>
    <w:rsid w:val="0094691D"/>
    <w:rsid w:val="00946EDC"/>
    <w:rsid w:val="00947A11"/>
    <w:rsid w:val="00951281"/>
    <w:rsid w:val="00951848"/>
    <w:rsid w:val="00951FD6"/>
    <w:rsid w:val="00952112"/>
    <w:rsid w:val="009523E2"/>
    <w:rsid w:val="0095335F"/>
    <w:rsid w:val="00954176"/>
    <w:rsid w:val="009546B8"/>
    <w:rsid w:val="00954DFC"/>
    <w:rsid w:val="00955FDB"/>
    <w:rsid w:val="009562FB"/>
    <w:rsid w:val="00956972"/>
    <w:rsid w:val="00957760"/>
    <w:rsid w:val="00960332"/>
    <w:rsid w:val="009604DA"/>
    <w:rsid w:val="00960C95"/>
    <w:rsid w:val="00961087"/>
    <w:rsid w:val="00964B84"/>
    <w:rsid w:val="00964D6B"/>
    <w:rsid w:val="0096562C"/>
    <w:rsid w:val="009663F3"/>
    <w:rsid w:val="00966BD4"/>
    <w:rsid w:val="00967A28"/>
    <w:rsid w:val="00971C45"/>
    <w:rsid w:val="00972ECA"/>
    <w:rsid w:val="00972F8A"/>
    <w:rsid w:val="0097371A"/>
    <w:rsid w:val="00974051"/>
    <w:rsid w:val="00974F51"/>
    <w:rsid w:val="009772D7"/>
    <w:rsid w:val="00980146"/>
    <w:rsid w:val="00983773"/>
    <w:rsid w:val="00984BE4"/>
    <w:rsid w:val="009851AA"/>
    <w:rsid w:val="00985C54"/>
    <w:rsid w:val="0098786B"/>
    <w:rsid w:val="00987880"/>
    <w:rsid w:val="00987B9C"/>
    <w:rsid w:val="00990540"/>
    <w:rsid w:val="009906C6"/>
    <w:rsid w:val="00991297"/>
    <w:rsid w:val="00991B6C"/>
    <w:rsid w:val="00992254"/>
    <w:rsid w:val="0099374E"/>
    <w:rsid w:val="009938C8"/>
    <w:rsid w:val="00996137"/>
    <w:rsid w:val="00996DCD"/>
    <w:rsid w:val="00996E00"/>
    <w:rsid w:val="00996E52"/>
    <w:rsid w:val="0099754F"/>
    <w:rsid w:val="00997867"/>
    <w:rsid w:val="00997A6E"/>
    <w:rsid w:val="00997AC7"/>
    <w:rsid w:val="00997F4F"/>
    <w:rsid w:val="009A0DA0"/>
    <w:rsid w:val="009A16C4"/>
    <w:rsid w:val="009A1837"/>
    <w:rsid w:val="009A1D6E"/>
    <w:rsid w:val="009A2C51"/>
    <w:rsid w:val="009A5282"/>
    <w:rsid w:val="009A5BC7"/>
    <w:rsid w:val="009A644C"/>
    <w:rsid w:val="009A7A2E"/>
    <w:rsid w:val="009B001D"/>
    <w:rsid w:val="009B1A3A"/>
    <w:rsid w:val="009B323D"/>
    <w:rsid w:val="009B40F1"/>
    <w:rsid w:val="009B458A"/>
    <w:rsid w:val="009B4B6D"/>
    <w:rsid w:val="009B5027"/>
    <w:rsid w:val="009B593F"/>
    <w:rsid w:val="009B650E"/>
    <w:rsid w:val="009B6512"/>
    <w:rsid w:val="009B66CD"/>
    <w:rsid w:val="009B670B"/>
    <w:rsid w:val="009C124A"/>
    <w:rsid w:val="009C14B9"/>
    <w:rsid w:val="009C18C3"/>
    <w:rsid w:val="009C3E90"/>
    <w:rsid w:val="009C50FD"/>
    <w:rsid w:val="009C52FA"/>
    <w:rsid w:val="009C5324"/>
    <w:rsid w:val="009C567D"/>
    <w:rsid w:val="009C5976"/>
    <w:rsid w:val="009C5DB9"/>
    <w:rsid w:val="009C6807"/>
    <w:rsid w:val="009C77F9"/>
    <w:rsid w:val="009D001E"/>
    <w:rsid w:val="009D0122"/>
    <w:rsid w:val="009D0255"/>
    <w:rsid w:val="009D1434"/>
    <w:rsid w:val="009D1751"/>
    <w:rsid w:val="009D1A78"/>
    <w:rsid w:val="009D1CE8"/>
    <w:rsid w:val="009D2C0B"/>
    <w:rsid w:val="009D2C3D"/>
    <w:rsid w:val="009D48B7"/>
    <w:rsid w:val="009D5E38"/>
    <w:rsid w:val="009D5F02"/>
    <w:rsid w:val="009D6A32"/>
    <w:rsid w:val="009D6C54"/>
    <w:rsid w:val="009D71DB"/>
    <w:rsid w:val="009D7852"/>
    <w:rsid w:val="009E082C"/>
    <w:rsid w:val="009E126F"/>
    <w:rsid w:val="009E2AB1"/>
    <w:rsid w:val="009E3F92"/>
    <w:rsid w:val="009E4014"/>
    <w:rsid w:val="009E48D0"/>
    <w:rsid w:val="009E5365"/>
    <w:rsid w:val="009E5668"/>
    <w:rsid w:val="009E6857"/>
    <w:rsid w:val="009E6EDF"/>
    <w:rsid w:val="009E7373"/>
    <w:rsid w:val="009E73CB"/>
    <w:rsid w:val="009E74BB"/>
    <w:rsid w:val="009E7DD3"/>
    <w:rsid w:val="009F0FFC"/>
    <w:rsid w:val="009F1250"/>
    <w:rsid w:val="009F1875"/>
    <w:rsid w:val="009F2898"/>
    <w:rsid w:val="009F2ED5"/>
    <w:rsid w:val="009F3B95"/>
    <w:rsid w:val="009F5007"/>
    <w:rsid w:val="009F5241"/>
    <w:rsid w:val="009F5FC4"/>
    <w:rsid w:val="009F6085"/>
    <w:rsid w:val="009F6602"/>
    <w:rsid w:val="009F7C2A"/>
    <w:rsid w:val="00A020B6"/>
    <w:rsid w:val="00A02661"/>
    <w:rsid w:val="00A032D3"/>
    <w:rsid w:val="00A034C6"/>
    <w:rsid w:val="00A04BED"/>
    <w:rsid w:val="00A05033"/>
    <w:rsid w:val="00A05A12"/>
    <w:rsid w:val="00A06491"/>
    <w:rsid w:val="00A06956"/>
    <w:rsid w:val="00A06F4E"/>
    <w:rsid w:val="00A06FC6"/>
    <w:rsid w:val="00A06FCF"/>
    <w:rsid w:val="00A079C0"/>
    <w:rsid w:val="00A07A84"/>
    <w:rsid w:val="00A07EC2"/>
    <w:rsid w:val="00A10928"/>
    <w:rsid w:val="00A11223"/>
    <w:rsid w:val="00A116BA"/>
    <w:rsid w:val="00A11EB8"/>
    <w:rsid w:val="00A1227E"/>
    <w:rsid w:val="00A1302E"/>
    <w:rsid w:val="00A14265"/>
    <w:rsid w:val="00A143F1"/>
    <w:rsid w:val="00A14B14"/>
    <w:rsid w:val="00A1626F"/>
    <w:rsid w:val="00A165EC"/>
    <w:rsid w:val="00A16AE4"/>
    <w:rsid w:val="00A16D29"/>
    <w:rsid w:val="00A171F0"/>
    <w:rsid w:val="00A1727B"/>
    <w:rsid w:val="00A1765A"/>
    <w:rsid w:val="00A1776D"/>
    <w:rsid w:val="00A17C8C"/>
    <w:rsid w:val="00A20214"/>
    <w:rsid w:val="00A2079A"/>
    <w:rsid w:val="00A218FE"/>
    <w:rsid w:val="00A229D6"/>
    <w:rsid w:val="00A22A9F"/>
    <w:rsid w:val="00A22AA7"/>
    <w:rsid w:val="00A2300A"/>
    <w:rsid w:val="00A232E0"/>
    <w:rsid w:val="00A24044"/>
    <w:rsid w:val="00A24DD3"/>
    <w:rsid w:val="00A2501F"/>
    <w:rsid w:val="00A25141"/>
    <w:rsid w:val="00A25AC3"/>
    <w:rsid w:val="00A264F8"/>
    <w:rsid w:val="00A27CC6"/>
    <w:rsid w:val="00A30870"/>
    <w:rsid w:val="00A30D99"/>
    <w:rsid w:val="00A31AA6"/>
    <w:rsid w:val="00A323A3"/>
    <w:rsid w:val="00A324F7"/>
    <w:rsid w:val="00A326B3"/>
    <w:rsid w:val="00A34016"/>
    <w:rsid w:val="00A34F2F"/>
    <w:rsid w:val="00A352BD"/>
    <w:rsid w:val="00A3558E"/>
    <w:rsid w:val="00A35E42"/>
    <w:rsid w:val="00A36335"/>
    <w:rsid w:val="00A36CDD"/>
    <w:rsid w:val="00A37220"/>
    <w:rsid w:val="00A377F4"/>
    <w:rsid w:val="00A410A7"/>
    <w:rsid w:val="00A4284B"/>
    <w:rsid w:val="00A42C2E"/>
    <w:rsid w:val="00A43D39"/>
    <w:rsid w:val="00A4432D"/>
    <w:rsid w:val="00A44378"/>
    <w:rsid w:val="00A44B35"/>
    <w:rsid w:val="00A465FF"/>
    <w:rsid w:val="00A46733"/>
    <w:rsid w:val="00A469DC"/>
    <w:rsid w:val="00A46B18"/>
    <w:rsid w:val="00A47157"/>
    <w:rsid w:val="00A47510"/>
    <w:rsid w:val="00A4797D"/>
    <w:rsid w:val="00A502FF"/>
    <w:rsid w:val="00A505F7"/>
    <w:rsid w:val="00A51620"/>
    <w:rsid w:val="00A5178A"/>
    <w:rsid w:val="00A5205B"/>
    <w:rsid w:val="00A52C03"/>
    <w:rsid w:val="00A52F56"/>
    <w:rsid w:val="00A5317E"/>
    <w:rsid w:val="00A553D3"/>
    <w:rsid w:val="00A56078"/>
    <w:rsid w:val="00A5644A"/>
    <w:rsid w:val="00A56A68"/>
    <w:rsid w:val="00A572A9"/>
    <w:rsid w:val="00A5765C"/>
    <w:rsid w:val="00A6063B"/>
    <w:rsid w:val="00A60E3C"/>
    <w:rsid w:val="00A612A2"/>
    <w:rsid w:val="00A616BB"/>
    <w:rsid w:val="00A619DE"/>
    <w:rsid w:val="00A6287C"/>
    <w:rsid w:val="00A62AFF"/>
    <w:rsid w:val="00A63070"/>
    <w:rsid w:val="00A63762"/>
    <w:rsid w:val="00A63E52"/>
    <w:rsid w:val="00A645F6"/>
    <w:rsid w:val="00A65E3D"/>
    <w:rsid w:val="00A65EB3"/>
    <w:rsid w:val="00A6650D"/>
    <w:rsid w:val="00A66E55"/>
    <w:rsid w:val="00A703FD"/>
    <w:rsid w:val="00A70B7C"/>
    <w:rsid w:val="00A70D3C"/>
    <w:rsid w:val="00A71787"/>
    <w:rsid w:val="00A71C14"/>
    <w:rsid w:val="00A726E1"/>
    <w:rsid w:val="00A7270A"/>
    <w:rsid w:val="00A7356F"/>
    <w:rsid w:val="00A73C75"/>
    <w:rsid w:val="00A75838"/>
    <w:rsid w:val="00A75B23"/>
    <w:rsid w:val="00A75E39"/>
    <w:rsid w:val="00A75E85"/>
    <w:rsid w:val="00A77E6B"/>
    <w:rsid w:val="00A8021F"/>
    <w:rsid w:val="00A80538"/>
    <w:rsid w:val="00A816AC"/>
    <w:rsid w:val="00A81FDE"/>
    <w:rsid w:val="00A83928"/>
    <w:rsid w:val="00A84D1F"/>
    <w:rsid w:val="00A8623D"/>
    <w:rsid w:val="00A863EF"/>
    <w:rsid w:val="00A86A5C"/>
    <w:rsid w:val="00A86A77"/>
    <w:rsid w:val="00A86C35"/>
    <w:rsid w:val="00A86FA3"/>
    <w:rsid w:val="00A870A6"/>
    <w:rsid w:val="00A87B1B"/>
    <w:rsid w:val="00A87BB5"/>
    <w:rsid w:val="00A900B6"/>
    <w:rsid w:val="00A90180"/>
    <w:rsid w:val="00A90732"/>
    <w:rsid w:val="00A90E59"/>
    <w:rsid w:val="00A90F5B"/>
    <w:rsid w:val="00A9265A"/>
    <w:rsid w:val="00A92AD3"/>
    <w:rsid w:val="00A92EEE"/>
    <w:rsid w:val="00A976AE"/>
    <w:rsid w:val="00AA03E8"/>
    <w:rsid w:val="00AA09CC"/>
    <w:rsid w:val="00AA0DF9"/>
    <w:rsid w:val="00AA1DBA"/>
    <w:rsid w:val="00AA1E93"/>
    <w:rsid w:val="00AA1F58"/>
    <w:rsid w:val="00AA224C"/>
    <w:rsid w:val="00AA24E0"/>
    <w:rsid w:val="00AA2DEA"/>
    <w:rsid w:val="00AA3178"/>
    <w:rsid w:val="00AA517B"/>
    <w:rsid w:val="00AA5412"/>
    <w:rsid w:val="00AA580D"/>
    <w:rsid w:val="00AA5DBC"/>
    <w:rsid w:val="00AA7369"/>
    <w:rsid w:val="00AA75C7"/>
    <w:rsid w:val="00AA7600"/>
    <w:rsid w:val="00AA788D"/>
    <w:rsid w:val="00AA7EF9"/>
    <w:rsid w:val="00AA7FA1"/>
    <w:rsid w:val="00AB016A"/>
    <w:rsid w:val="00AB0389"/>
    <w:rsid w:val="00AB06B9"/>
    <w:rsid w:val="00AB06D6"/>
    <w:rsid w:val="00AB104A"/>
    <w:rsid w:val="00AB10C0"/>
    <w:rsid w:val="00AB371D"/>
    <w:rsid w:val="00AB3B68"/>
    <w:rsid w:val="00AB44A1"/>
    <w:rsid w:val="00AB49E6"/>
    <w:rsid w:val="00AB544A"/>
    <w:rsid w:val="00AB58AA"/>
    <w:rsid w:val="00AB5A2D"/>
    <w:rsid w:val="00AC0483"/>
    <w:rsid w:val="00AC1DBF"/>
    <w:rsid w:val="00AC1FBC"/>
    <w:rsid w:val="00AC204B"/>
    <w:rsid w:val="00AC2ADC"/>
    <w:rsid w:val="00AC33B7"/>
    <w:rsid w:val="00AC3971"/>
    <w:rsid w:val="00AC3ADA"/>
    <w:rsid w:val="00AC4010"/>
    <w:rsid w:val="00AC456D"/>
    <w:rsid w:val="00AC507C"/>
    <w:rsid w:val="00AC5AE9"/>
    <w:rsid w:val="00AC61EE"/>
    <w:rsid w:val="00AC67A3"/>
    <w:rsid w:val="00AC6A08"/>
    <w:rsid w:val="00AC6BBE"/>
    <w:rsid w:val="00AC73D5"/>
    <w:rsid w:val="00AC7CA4"/>
    <w:rsid w:val="00AC7F9C"/>
    <w:rsid w:val="00AD0B14"/>
    <w:rsid w:val="00AD1AB9"/>
    <w:rsid w:val="00AD4323"/>
    <w:rsid w:val="00AD4A62"/>
    <w:rsid w:val="00AD58D5"/>
    <w:rsid w:val="00AD5AE1"/>
    <w:rsid w:val="00AD6954"/>
    <w:rsid w:val="00AD699C"/>
    <w:rsid w:val="00AD749B"/>
    <w:rsid w:val="00AD75C7"/>
    <w:rsid w:val="00AD7609"/>
    <w:rsid w:val="00AE038F"/>
    <w:rsid w:val="00AE039A"/>
    <w:rsid w:val="00AE0C9C"/>
    <w:rsid w:val="00AE0CF1"/>
    <w:rsid w:val="00AE21C1"/>
    <w:rsid w:val="00AE32BA"/>
    <w:rsid w:val="00AE336C"/>
    <w:rsid w:val="00AE3748"/>
    <w:rsid w:val="00AE3820"/>
    <w:rsid w:val="00AE42F5"/>
    <w:rsid w:val="00AE4F73"/>
    <w:rsid w:val="00AE59B1"/>
    <w:rsid w:val="00AE619D"/>
    <w:rsid w:val="00AE6674"/>
    <w:rsid w:val="00AE684F"/>
    <w:rsid w:val="00AE6AFD"/>
    <w:rsid w:val="00AF047D"/>
    <w:rsid w:val="00AF0790"/>
    <w:rsid w:val="00AF08FB"/>
    <w:rsid w:val="00AF0E14"/>
    <w:rsid w:val="00AF0EEE"/>
    <w:rsid w:val="00AF2315"/>
    <w:rsid w:val="00AF2496"/>
    <w:rsid w:val="00AF295C"/>
    <w:rsid w:val="00AF2EF4"/>
    <w:rsid w:val="00AF3119"/>
    <w:rsid w:val="00AF364F"/>
    <w:rsid w:val="00AF4F23"/>
    <w:rsid w:val="00AF5350"/>
    <w:rsid w:val="00AF5EA7"/>
    <w:rsid w:val="00AF6121"/>
    <w:rsid w:val="00AF61E7"/>
    <w:rsid w:val="00AF6482"/>
    <w:rsid w:val="00AF65DC"/>
    <w:rsid w:val="00AF709B"/>
    <w:rsid w:val="00B00E3E"/>
    <w:rsid w:val="00B02721"/>
    <w:rsid w:val="00B02E67"/>
    <w:rsid w:val="00B045D3"/>
    <w:rsid w:val="00B04E6D"/>
    <w:rsid w:val="00B05168"/>
    <w:rsid w:val="00B05AE5"/>
    <w:rsid w:val="00B0602E"/>
    <w:rsid w:val="00B06990"/>
    <w:rsid w:val="00B10572"/>
    <w:rsid w:val="00B111CD"/>
    <w:rsid w:val="00B11767"/>
    <w:rsid w:val="00B12F17"/>
    <w:rsid w:val="00B1397F"/>
    <w:rsid w:val="00B139BD"/>
    <w:rsid w:val="00B148CD"/>
    <w:rsid w:val="00B15BB6"/>
    <w:rsid w:val="00B166FC"/>
    <w:rsid w:val="00B1685A"/>
    <w:rsid w:val="00B20219"/>
    <w:rsid w:val="00B20C3A"/>
    <w:rsid w:val="00B20D0A"/>
    <w:rsid w:val="00B20F24"/>
    <w:rsid w:val="00B21B9D"/>
    <w:rsid w:val="00B220E5"/>
    <w:rsid w:val="00B225D4"/>
    <w:rsid w:val="00B22674"/>
    <w:rsid w:val="00B23034"/>
    <w:rsid w:val="00B230F8"/>
    <w:rsid w:val="00B23748"/>
    <w:rsid w:val="00B23E51"/>
    <w:rsid w:val="00B23F40"/>
    <w:rsid w:val="00B254D4"/>
    <w:rsid w:val="00B26C2D"/>
    <w:rsid w:val="00B27D7A"/>
    <w:rsid w:val="00B3006E"/>
    <w:rsid w:val="00B30ABA"/>
    <w:rsid w:val="00B30C06"/>
    <w:rsid w:val="00B31778"/>
    <w:rsid w:val="00B31F0C"/>
    <w:rsid w:val="00B31F4E"/>
    <w:rsid w:val="00B34C23"/>
    <w:rsid w:val="00B34EE4"/>
    <w:rsid w:val="00B35F52"/>
    <w:rsid w:val="00B36AF3"/>
    <w:rsid w:val="00B36E33"/>
    <w:rsid w:val="00B372EB"/>
    <w:rsid w:val="00B377C4"/>
    <w:rsid w:val="00B37B27"/>
    <w:rsid w:val="00B405B0"/>
    <w:rsid w:val="00B42A24"/>
    <w:rsid w:val="00B42B88"/>
    <w:rsid w:val="00B43C10"/>
    <w:rsid w:val="00B451C5"/>
    <w:rsid w:val="00B4577C"/>
    <w:rsid w:val="00B45A73"/>
    <w:rsid w:val="00B47C8C"/>
    <w:rsid w:val="00B47E90"/>
    <w:rsid w:val="00B50232"/>
    <w:rsid w:val="00B513BB"/>
    <w:rsid w:val="00B51E1D"/>
    <w:rsid w:val="00B51F25"/>
    <w:rsid w:val="00B52534"/>
    <w:rsid w:val="00B531EC"/>
    <w:rsid w:val="00B54CF2"/>
    <w:rsid w:val="00B54F2A"/>
    <w:rsid w:val="00B55F74"/>
    <w:rsid w:val="00B600C6"/>
    <w:rsid w:val="00B605BB"/>
    <w:rsid w:val="00B6125E"/>
    <w:rsid w:val="00B615B1"/>
    <w:rsid w:val="00B63F60"/>
    <w:rsid w:val="00B63F73"/>
    <w:rsid w:val="00B640F4"/>
    <w:rsid w:val="00B6499F"/>
    <w:rsid w:val="00B6529A"/>
    <w:rsid w:val="00B65F89"/>
    <w:rsid w:val="00B6638A"/>
    <w:rsid w:val="00B667E0"/>
    <w:rsid w:val="00B66D16"/>
    <w:rsid w:val="00B66F70"/>
    <w:rsid w:val="00B6717C"/>
    <w:rsid w:val="00B713AA"/>
    <w:rsid w:val="00B71450"/>
    <w:rsid w:val="00B71AD3"/>
    <w:rsid w:val="00B71B8D"/>
    <w:rsid w:val="00B7202C"/>
    <w:rsid w:val="00B72A73"/>
    <w:rsid w:val="00B73751"/>
    <w:rsid w:val="00B745C9"/>
    <w:rsid w:val="00B74AFE"/>
    <w:rsid w:val="00B75583"/>
    <w:rsid w:val="00B75F0E"/>
    <w:rsid w:val="00B76359"/>
    <w:rsid w:val="00B76C8A"/>
    <w:rsid w:val="00B772DF"/>
    <w:rsid w:val="00B77448"/>
    <w:rsid w:val="00B77733"/>
    <w:rsid w:val="00B8121E"/>
    <w:rsid w:val="00B81529"/>
    <w:rsid w:val="00B8285B"/>
    <w:rsid w:val="00B85244"/>
    <w:rsid w:val="00B8543E"/>
    <w:rsid w:val="00B867A3"/>
    <w:rsid w:val="00B86B7C"/>
    <w:rsid w:val="00B87373"/>
    <w:rsid w:val="00B87ADB"/>
    <w:rsid w:val="00B87B78"/>
    <w:rsid w:val="00B87C33"/>
    <w:rsid w:val="00B908B7"/>
    <w:rsid w:val="00B90AA8"/>
    <w:rsid w:val="00B91821"/>
    <w:rsid w:val="00B91843"/>
    <w:rsid w:val="00B919D8"/>
    <w:rsid w:val="00B921F3"/>
    <w:rsid w:val="00B93530"/>
    <w:rsid w:val="00B95D7F"/>
    <w:rsid w:val="00B96184"/>
    <w:rsid w:val="00B9754A"/>
    <w:rsid w:val="00B97F4F"/>
    <w:rsid w:val="00BA0185"/>
    <w:rsid w:val="00BA07ED"/>
    <w:rsid w:val="00BA1208"/>
    <w:rsid w:val="00BA3539"/>
    <w:rsid w:val="00BA399F"/>
    <w:rsid w:val="00BA4CF7"/>
    <w:rsid w:val="00BA4FF9"/>
    <w:rsid w:val="00BA716D"/>
    <w:rsid w:val="00BA779C"/>
    <w:rsid w:val="00BA79FD"/>
    <w:rsid w:val="00BB045B"/>
    <w:rsid w:val="00BB096F"/>
    <w:rsid w:val="00BB1B1C"/>
    <w:rsid w:val="00BB1C00"/>
    <w:rsid w:val="00BB1E24"/>
    <w:rsid w:val="00BB3A95"/>
    <w:rsid w:val="00BB40C3"/>
    <w:rsid w:val="00BB5C5E"/>
    <w:rsid w:val="00BB6BD9"/>
    <w:rsid w:val="00BB7266"/>
    <w:rsid w:val="00BB74E0"/>
    <w:rsid w:val="00BB7C81"/>
    <w:rsid w:val="00BB7E79"/>
    <w:rsid w:val="00BC1575"/>
    <w:rsid w:val="00BC2B8E"/>
    <w:rsid w:val="00BC30A1"/>
    <w:rsid w:val="00BC31CF"/>
    <w:rsid w:val="00BC3D7A"/>
    <w:rsid w:val="00BC40B0"/>
    <w:rsid w:val="00BC46C2"/>
    <w:rsid w:val="00BC5F4B"/>
    <w:rsid w:val="00BC621D"/>
    <w:rsid w:val="00BC7556"/>
    <w:rsid w:val="00BD02FF"/>
    <w:rsid w:val="00BD1222"/>
    <w:rsid w:val="00BD1611"/>
    <w:rsid w:val="00BD16B0"/>
    <w:rsid w:val="00BD249A"/>
    <w:rsid w:val="00BD289B"/>
    <w:rsid w:val="00BD2F05"/>
    <w:rsid w:val="00BD4EFA"/>
    <w:rsid w:val="00BD60F2"/>
    <w:rsid w:val="00BD6FB6"/>
    <w:rsid w:val="00BD7514"/>
    <w:rsid w:val="00BD7E10"/>
    <w:rsid w:val="00BE105B"/>
    <w:rsid w:val="00BE24DE"/>
    <w:rsid w:val="00BE2810"/>
    <w:rsid w:val="00BE36B0"/>
    <w:rsid w:val="00BE45DC"/>
    <w:rsid w:val="00BE5166"/>
    <w:rsid w:val="00BE54BF"/>
    <w:rsid w:val="00BE561A"/>
    <w:rsid w:val="00BE5EB3"/>
    <w:rsid w:val="00BE6453"/>
    <w:rsid w:val="00BE6E4B"/>
    <w:rsid w:val="00BE7111"/>
    <w:rsid w:val="00BF031B"/>
    <w:rsid w:val="00BF09B4"/>
    <w:rsid w:val="00BF0BD9"/>
    <w:rsid w:val="00BF0E74"/>
    <w:rsid w:val="00BF11EA"/>
    <w:rsid w:val="00BF258C"/>
    <w:rsid w:val="00BF32D5"/>
    <w:rsid w:val="00BF388E"/>
    <w:rsid w:val="00BF495F"/>
    <w:rsid w:val="00BF4B65"/>
    <w:rsid w:val="00BF4F26"/>
    <w:rsid w:val="00BF576A"/>
    <w:rsid w:val="00BF5774"/>
    <w:rsid w:val="00BF62DE"/>
    <w:rsid w:val="00BF7416"/>
    <w:rsid w:val="00BF75BC"/>
    <w:rsid w:val="00BF7778"/>
    <w:rsid w:val="00C00B74"/>
    <w:rsid w:val="00C00F8E"/>
    <w:rsid w:val="00C014EA"/>
    <w:rsid w:val="00C01858"/>
    <w:rsid w:val="00C019B7"/>
    <w:rsid w:val="00C01C10"/>
    <w:rsid w:val="00C05361"/>
    <w:rsid w:val="00C05421"/>
    <w:rsid w:val="00C060C0"/>
    <w:rsid w:val="00C06180"/>
    <w:rsid w:val="00C07619"/>
    <w:rsid w:val="00C121A8"/>
    <w:rsid w:val="00C12A4E"/>
    <w:rsid w:val="00C13225"/>
    <w:rsid w:val="00C1371E"/>
    <w:rsid w:val="00C14D79"/>
    <w:rsid w:val="00C15586"/>
    <w:rsid w:val="00C15F85"/>
    <w:rsid w:val="00C17370"/>
    <w:rsid w:val="00C17A56"/>
    <w:rsid w:val="00C17F39"/>
    <w:rsid w:val="00C2087C"/>
    <w:rsid w:val="00C2190C"/>
    <w:rsid w:val="00C2201B"/>
    <w:rsid w:val="00C2223C"/>
    <w:rsid w:val="00C2259D"/>
    <w:rsid w:val="00C22ABB"/>
    <w:rsid w:val="00C23544"/>
    <w:rsid w:val="00C23653"/>
    <w:rsid w:val="00C24602"/>
    <w:rsid w:val="00C25182"/>
    <w:rsid w:val="00C2529F"/>
    <w:rsid w:val="00C25BF4"/>
    <w:rsid w:val="00C26A5C"/>
    <w:rsid w:val="00C270D2"/>
    <w:rsid w:val="00C27195"/>
    <w:rsid w:val="00C325FF"/>
    <w:rsid w:val="00C32D6D"/>
    <w:rsid w:val="00C33715"/>
    <w:rsid w:val="00C33FEF"/>
    <w:rsid w:val="00C3405A"/>
    <w:rsid w:val="00C3479C"/>
    <w:rsid w:val="00C349D9"/>
    <w:rsid w:val="00C34BD7"/>
    <w:rsid w:val="00C367CB"/>
    <w:rsid w:val="00C37318"/>
    <w:rsid w:val="00C373EF"/>
    <w:rsid w:val="00C37460"/>
    <w:rsid w:val="00C37632"/>
    <w:rsid w:val="00C37CEB"/>
    <w:rsid w:val="00C40D37"/>
    <w:rsid w:val="00C40F8C"/>
    <w:rsid w:val="00C40FA5"/>
    <w:rsid w:val="00C413AD"/>
    <w:rsid w:val="00C41C96"/>
    <w:rsid w:val="00C42AFF"/>
    <w:rsid w:val="00C449E1"/>
    <w:rsid w:val="00C45891"/>
    <w:rsid w:val="00C47671"/>
    <w:rsid w:val="00C51DF3"/>
    <w:rsid w:val="00C522C4"/>
    <w:rsid w:val="00C53242"/>
    <w:rsid w:val="00C539E7"/>
    <w:rsid w:val="00C54A9B"/>
    <w:rsid w:val="00C54CD3"/>
    <w:rsid w:val="00C557D2"/>
    <w:rsid w:val="00C569C0"/>
    <w:rsid w:val="00C61178"/>
    <w:rsid w:val="00C617BA"/>
    <w:rsid w:val="00C61B25"/>
    <w:rsid w:val="00C62072"/>
    <w:rsid w:val="00C621AB"/>
    <w:rsid w:val="00C62742"/>
    <w:rsid w:val="00C6290C"/>
    <w:rsid w:val="00C63110"/>
    <w:rsid w:val="00C6513D"/>
    <w:rsid w:val="00C65264"/>
    <w:rsid w:val="00C65CB4"/>
    <w:rsid w:val="00C65D9D"/>
    <w:rsid w:val="00C661F0"/>
    <w:rsid w:val="00C66723"/>
    <w:rsid w:val="00C67002"/>
    <w:rsid w:val="00C67342"/>
    <w:rsid w:val="00C704E5"/>
    <w:rsid w:val="00C706D6"/>
    <w:rsid w:val="00C709DC"/>
    <w:rsid w:val="00C70CB7"/>
    <w:rsid w:val="00C722CD"/>
    <w:rsid w:val="00C72E46"/>
    <w:rsid w:val="00C730E1"/>
    <w:rsid w:val="00C739A9"/>
    <w:rsid w:val="00C73D73"/>
    <w:rsid w:val="00C76317"/>
    <w:rsid w:val="00C7761A"/>
    <w:rsid w:val="00C77A75"/>
    <w:rsid w:val="00C77E8F"/>
    <w:rsid w:val="00C81D15"/>
    <w:rsid w:val="00C835C7"/>
    <w:rsid w:val="00C836B8"/>
    <w:rsid w:val="00C838B7"/>
    <w:rsid w:val="00C83D96"/>
    <w:rsid w:val="00C84653"/>
    <w:rsid w:val="00C84BED"/>
    <w:rsid w:val="00C869B5"/>
    <w:rsid w:val="00C86C94"/>
    <w:rsid w:val="00C875C0"/>
    <w:rsid w:val="00C900C4"/>
    <w:rsid w:val="00C90357"/>
    <w:rsid w:val="00C91019"/>
    <w:rsid w:val="00C95714"/>
    <w:rsid w:val="00C96451"/>
    <w:rsid w:val="00C9648B"/>
    <w:rsid w:val="00C96DCD"/>
    <w:rsid w:val="00CA0044"/>
    <w:rsid w:val="00CA1B87"/>
    <w:rsid w:val="00CA1C16"/>
    <w:rsid w:val="00CA3E7F"/>
    <w:rsid w:val="00CA3F08"/>
    <w:rsid w:val="00CA4D5C"/>
    <w:rsid w:val="00CA5C64"/>
    <w:rsid w:val="00CA6A13"/>
    <w:rsid w:val="00CB048B"/>
    <w:rsid w:val="00CB0B80"/>
    <w:rsid w:val="00CB1DCA"/>
    <w:rsid w:val="00CB224F"/>
    <w:rsid w:val="00CB285F"/>
    <w:rsid w:val="00CB2C72"/>
    <w:rsid w:val="00CB396C"/>
    <w:rsid w:val="00CB432C"/>
    <w:rsid w:val="00CB44CE"/>
    <w:rsid w:val="00CB55F5"/>
    <w:rsid w:val="00CB6B62"/>
    <w:rsid w:val="00CC0ACA"/>
    <w:rsid w:val="00CC192E"/>
    <w:rsid w:val="00CC1EF8"/>
    <w:rsid w:val="00CC2517"/>
    <w:rsid w:val="00CC2C46"/>
    <w:rsid w:val="00CC3E76"/>
    <w:rsid w:val="00CC4A92"/>
    <w:rsid w:val="00CC7671"/>
    <w:rsid w:val="00CC7F60"/>
    <w:rsid w:val="00CD00DE"/>
    <w:rsid w:val="00CD20BC"/>
    <w:rsid w:val="00CD26EA"/>
    <w:rsid w:val="00CD2A16"/>
    <w:rsid w:val="00CD2FB0"/>
    <w:rsid w:val="00CD3008"/>
    <w:rsid w:val="00CD42CA"/>
    <w:rsid w:val="00CD4B9A"/>
    <w:rsid w:val="00CD4E77"/>
    <w:rsid w:val="00CD5D7F"/>
    <w:rsid w:val="00CD618B"/>
    <w:rsid w:val="00CD6402"/>
    <w:rsid w:val="00CD6600"/>
    <w:rsid w:val="00CD6C9F"/>
    <w:rsid w:val="00CE1EBE"/>
    <w:rsid w:val="00CE2904"/>
    <w:rsid w:val="00CE428E"/>
    <w:rsid w:val="00CE46BD"/>
    <w:rsid w:val="00CE4B5A"/>
    <w:rsid w:val="00CE7FB8"/>
    <w:rsid w:val="00CF0A12"/>
    <w:rsid w:val="00CF1AF9"/>
    <w:rsid w:val="00CF1DB2"/>
    <w:rsid w:val="00CF1FCC"/>
    <w:rsid w:val="00CF2CC3"/>
    <w:rsid w:val="00CF2CC7"/>
    <w:rsid w:val="00CF5F4C"/>
    <w:rsid w:val="00CF603F"/>
    <w:rsid w:val="00CF6D88"/>
    <w:rsid w:val="00CF753F"/>
    <w:rsid w:val="00D000B1"/>
    <w:rsid w:val="00D003CA"/>
    <w:rsid w:val="00D00F86"/>
    <w:rsid w:val="00D01100"/>
    <w:rsid w:val="00D0148D"/>
    <w:rsid w:val="00D01D85"/>
    <w:rsid w:val="00D02653"/>
    <w:rsid w:val="00D03D91"/>
    <w:rsid w:val="00D03EE5"/>
    <w:rsid w:val="00D048C0"/>
    <w:rsid w:val="00D050C7"/>
    <w:rsid w:val="00D05171"/>
    <w:rsid w:val="00D07231"/>
    <w:rsid w:val="00D07C14"/>
    <w:rsid w:val="00D10A8D"/>
    <w:rsid w:val="00D11EB8"/>
    <w:rsid w:val="00D13969"/>
    <w:rsid w:val="00D144BE"/>
    <w:rsid w:val="00D14BA6"/>
    <w:rsid w:val="00D152EB"/>
    <w:rsid w:val="00D154B2"/>
    <w:rsid w:val="00D17A4F"/>
    <w:rsid w:val="00D20361"/>
    <w:rsid w:val="00D20DF3"/>
    <w:rsid w:val="00D2178C"/>
    <w:rsid w:val="00D21A0F"/>
    <w:rsid w:val="00D22A50"/>
    <w:rsid w:val="00D23EE8"/>
    <w:rsid w:val="00D23F00"/>
    <w:rsid w:val="00D241D7"/>
    <w:rsid w:val="00D24701"/>
    <w:rsid w:val="00D258D5"/>
    <w:rsid w:val="00D25DE0"/>
    <w:rsid w:val="00D25E70"/>
    <w:rsid w:val="00D265A4"/>
    <w:rsid w:val="00D268F8"/>
    <w:rsid w:val="00D26CAE"/>
    <w:rsid w:val="00D27B52"/>
    <w:rsid w:val="00D3021A"/>
    <w:rsid w:val="00D30742"/>
    <w:rsid w:val="00D314CC"/>
    <w:rsid w:val="00D3174C"/>
    <w:rsid w:val="00D31778"/>
    <w:rsid w:val="00D31A8F"/>
    <w:rsid w:val="00D31C02"/>
    <w:rsid w:val="00D328DD"/>
    <w:rsid w:val="00D32D1F"/>
    <w:rsid w:val="00D3399F"/>
    <w:rsid w:val="00D347F5"/>
    <w:rsid w:val="00D34DFB"/>
    <w:rsid w:val="00D3629D"/>
    <w:rsid w:val="00D3760D"/>
    <w:rsid w:val="00D37D70"/>
    <w:rsid w:val="00D40064"/>
    <w:rsid w:val="00D4034C"/>
    <w:rsid w:val="00D4103E"/>
    <w:rsid w:val="00D41E53"/>
    <w:rsid w:val="00D43A96"/>
    <w:rsid w:val="00D43F64"/>
    <w:rsid w:val="00D445BF"/>
    <w:rsid w:val="00D44A67"/>
    <w:rsid w:val="00D44B4D"/>
    <w:rsid w:val="00D45C87"/>
    <w:rsid w:val="00D463D9"/>
    <w:rsid w:val="00D47BD7"/>
    <w:rsid w:val="00D5015E"/>
    <w:rsid w:val="00D50FCA"/>
    <w:rsid w:val="00D51B73"/>
    <w:rsid w:val="00D525A8"/>
    <w:rsid w:val="00D52E1F"/>
    <w:rsid w:val="00D5370C"/>
    <w:rsid w:val="00D5377F"/>
    <w:rsid w:val="00D53959"/>
    <w:rsid w:val="00D56833"/>
    <w:rsid w:val="00D568EF"/>
    <w:rsid w:val="00D57DBB"/>
    <w:rsid w:val="00D604C4"/>
    <w:rsid w:val="00D605A9"/>
    <w:rsid w:val="00D60817"/>
    <w:rsid w:val="00D608D3"/>
    <w:rsid w:val="00D60A49"/>
    <w:rsid w:val="00D61A0E"/>
    <w:rsid w:val="00D63AA2"/>
    <w:rsid w:val="00D63F64"/>
    <w:rsid w:val="00D648D7"/>
    <w:rsid w:val="00D65F1A"/>
    <w:rsid w:val="00D66585"/>
    <w:rsid w:val="00D66B0A"/>
    <w:rsid w:val="00D66EAF"/>
    <w:rsid w:val="00D67213"/>
    <w:rsid w:val="00D673A1"/>
    <w:rsid w:val="00D67F4B"/>
    <w:rsid w:val="00D702D2"/>
    <w:rsid w:val="00D70BEE"/>
    <w:rsid w:val="00D710BD"/>
    <w:rsid w:val="00D73720"/>
    <w:rsid w:val="00D7403F"/>
    <w:rsid w:val="00D742C8"/>
    <w:rsid w:val="00D75F22"/>
    <w:rsid w:val="00D7689C"/>
    <w:rsid w:val="00D80046"/>
    <w:rsid w:val="00D80137"/>
    <w:rsid w:val="00D808EA"/>
    <w:rsid w:val="00D81434"/>
    <w:rsid w:val="00D817A4"/>
    <w:rsid w:val="00D81DCB"/>
    <w:rsid w:val="00D81DEC"/>
    <w:rsid w:val="00D82E9C"/>
    <w:rsid w:val="00D83282"/>
    <w:rsid w:val="00D83EA3"/>
    <w:rsid w:val="00D84286"/>
    <w:rsid w:val="00D844CD"/>
    <w:rsid w:val="00D845AA"/>
    <w:rsid w:val="00D8496B"/>
    <w:rsid w:val="00D84FFA"/>
    <w:rsid w:val="00D85E49"/>
    <w:rsid w:val="00D87072"/>
    <w:rsid w:val="00D8739C"/>
    <w:rsid w:val="00D87DB7"/>
    <w:rsid w:val="00D90182"/>
    <w:rsid w:val="00D9065D"/>
    <w:rsid w:val="00D906B9"/>
    <w:rsid w:val="00D90A6E"/>
    <w:rsid w:val="00D91540"/>
    <w:rsid w:val="00D91E3E"/>
    <w:rsid w:val="00D92B23"/>
    <w:rsid w:val="00D931A6"/>
    <w:rsid w:val="00D933F3"/>
    <w:rsid w:val="00D945DE"/>
    <w:rsid w:val="00D94FE5"/>
    <w:rsid w:val="00D951AF"/>
    <w:rsid w:val="00D95DD5"/>
    <w:rsid w:val="00D975AC"/>
    <w:rsid w:val="00DA088B"/>
    <w:rsid w:val="00DA090A"/>
    <w:rsid w:val="00DA2B26"/>
    <w:rsid w:val="00DA308C"/>
    <w:rsid w:val="00DA466F"/>
    <w:rsid w:val="00DA5884"/>
    <w:rsid w:val="00DA5B04"/>
    <w:rsid w:val="00DA604B"/>
    <w:rsid w:val="00DA6901"/>
    <w:rsid w:val="00DA7877"/>
    <w:rsid w:val="00DA7C30"/>
    <w:rsid w:val="00DB1267"/>
    <w:rsid w:val="00DB3520"/>
    <w:rsid w:val="00DB35EB"/>
    <w:rsid w:val="00DB43F9"/>
    <w:rsid w:val="00DB62A2"/>
    <w:rsid w:val="00DB735D"/>
    <w:rsid w:val="00DB7771"/>
    <w:rsid w:val="00DC3FD0"/>
    <w:rsid w:val="00DC3FED"/>
    <w:rsid w:val="00DC4E99"/>
    <w:rsid w:val="00DC4F92"/>
    <w:rsid w:val="00DC6C2D"/>
    <w:rsid w:val="00DD01E4"/>
    <w:rsid w:val="00DD04B8"/>
    <w:rsid w:val="00DD069A"/>
    <w:rsid w:val="00DD0AE3"/>
    <w:rsid w:val="00DD0ED2"/>
    <w:rsid w:val="00DD1790"/>
    <w:rsid w:val="00DD17D3"/>
    <w:rsid w:val="00DD224E"/>
    <w:rsid w:val="00DD2BDA"/>
    <w:rsid w:val="00DD2CA6"/>
    <w:rsid w:val="00DD2E81"/>
    <w:rsid w:val="00DD31CE"/>
    <w:rsid w:val="00DD3AFC"/>
    <w:rsid w:val="00DD3B36"/>
    <w:rsid w:val="00DD496B"/>
    <w:rsid w:val="00DD5351"/>
    <w:rsid w:val="00DD5382"/>
    <w:rsid w:val="00DD5CEC"/>
    <w:rsid w:val="00DD5D0D"/>
    <w:rsid w:val="00DD631A"/>
    <w:rsid w:val="00DE0462"/>
    <w:rsid w:val="00DE10D5"/>
    <w:rsid w:val="00DE18C0"/>
    <w:rsid w:val="00DE1BDE"/>
    <w:rsid w:val="00DE267E"/>
    <w:rsid w:val="00DE2DB9"/>
    <w:rsid w:val="00DE3EED"/>
    <w:rsid w:val="00DE4480"/>
    <w:rsid w:val="00DE6626"/>
    <w:rsid w:val="00DE69DD"/>
    <w:rsid w:val="00DE6B95"/>
    <w:rsid w:val="00DE7CD3"/>
    <w:rsid w:val="00DF1CA0"/>
    <w:rsid w:val="00DF2DB4"/>
    <w:rsid w:val="00DF2FF0"/>
    <w:rsid w:val="00DF36B5"/>
    <w:rsid w:val="00DF3AFC"/>
    <w:rsid w:val="00DF46F0"/>
    <w:rsid w:val="00DF54CD"/>
    <w:rsid w:val="00DF5A15"/>
    <w:rsid w:val="00DF6887"/>
    <w:rsid w:val="00DF77E9"/>
    <w:rsid w:val="00DF7EB6"/>
    <w:rsid w:val="00E001B2"/>
    <w:rsid w:val="00E002B4"/>
    <w:rsid w:val="00E005E7"/>
    <w:rsid w:val="00E01710"/>
    <w:rsid w:val="00E01DF9"/>
    <w:rsid w:val="00E02D58"/>
    <w:rsid w:val="00E03260"/>
    <w:rsid w:val="00E05374"/>
    <w:rsid w:val="00E06FB8"/>
    <w:rsid w:val="00E11216"/>
    <w:rsid w:val="00E11833"/>
    <w:rsid w:val="00E120DC"/>
    <w:rsid w:val="00E1225A"/>
    <w:rsid w:val="00E131FF"/>
    <w:rsid w:val="00E14A11"/>
    <w:rsid w:val="00E14CAB"/>
    <w:rsid w:val="00E151EE"/>
    <w:rsid w:val="00E15ED7"/>
    <w:rsid w:val="00E163BD"/>
    <w:rsid w:val="00E173A7"/>
    <w:rsid w:val="00E17990"/>
    <w:rsid w:val="00E204EE"/>
    <w:rsid w:val="00E20506"/>
    <w:rsid w:val="00E21438"/>
    <w:rsid w:val="00E234C4"/>
    <w:rsid w:val="00E23D96"/>
    <w:rsid w:val="00E241CA"/>
    <w:rsid w:val="00E24E82"/>
    <w:rsid w:val="00E26861"/>
    <w:rsid w:val="00E26F04"/>
    <w:rsid w:val="00E3084F"/>
    <w:rsid w:val="00E30B01"/>
    <w:rsid w:val="00E30B5C"/>
    <w:rsid w:val="00E31194"/>
    <w:rsid w:val="00E3126A"/>
    <w:rsid w:val="00E31588"/>
    <w:rsid w:val="00E315D2"/>
    <w:rsid w:val="00E31A2E"/>
    <w:rsid w:val="00E320F9"/>
    <w:rsid w:val="00E32684"/>
    <w:rsid w:val="00E32FA9"/>
    <w:rsid w:val="00E34505"/>
    <w:rsid w:val="00E35D12"/>
    <w:rsid w:val="00E35D83"/>
    <w:rsid w:val="00E35F35"/>
    <w:rsid w:val="00E36D3E"/>
    <w:rsid w:val="00E3773B"/>
    <w:rsid w:val="00E37D9B"/>
    <w:rsid w:val="00E40464"/>
    <w:rsid w:val="00E41DAE"/>
    <w:rsid w:val="00E4203E"/>
    <w:rsid w:val="00E42648"/>
    <w:rsid w:val="00E42D0F"/>
    <w:rsid w:val="00E43B67"/>
    <w:rsid w:val="00E453E8"/>
    <w:rsid w:val="00E4545C"/>
    <w:rsid w:val="00E4655F"/>
    <w:rsid w:val="00E4725C"/>
    <w:rsid w:val="00E47413"/>
    <w:rsid w:val="00E508E1"/>
    <w:rsid w:val="00E50B1B"/>
    <w:rsid w:val="00E512AA"/>
    <w:rsid w:val="00E51A1C"/>
    <w:rsid w:val="00E527F6"/>
    <w:rsid w:val="00E557C6"/>
    <w:rsid w:val="00E55AF0"/>
    <w:rsid w:val="00E56F6C"/>
    <w:rsid w:val="00E57969"/>
    <w:rsid w:val="00E623CC"/>
    <w:rsid w:val="00E623D7"/>
    <w:rsid w:val="00E623DC"/>
    <w:rsid w:val="00E6260A"/>
    <w:rsid w:val="00E62963"/>
    <w:rsid w:val="00E62CE7"/>
    <w:rsid w:val="00E62EB6"/>
    <w:rsid w:val="00E63372"/>
    <w:rsid w:val="00E63EAB"/>
    <w:rsid w:val="00E643BF"/>
    <w:rsid w:val="00E644C7"/>
    <w:rsid w:val="00E6571C"/>
    <w:rsid w:val="00E6712C"/>
    <w:rsid w:val="00E67F19"/>
    <w:rsid w:val="00E71081"/>
    <w:rsid w:val="00E7261C"/>
    <w:rsid w:val="00E72FC2"/>
    <w:rsid w:val="00E73F5A"/>
    <w:rsid w:val="00E74A0A"/>
    <w:rsid w:val="00E74DFA"/>
    <w:rsid w:val="00E751BB"/>
    <w:rsid w:val="00E7544D"/>
    <w:rsid w:val="00E75587"/>
    <w:rsid w:val="00E759EC"/>
    <w:rsid w:val="00E75F71"/>
    <w:rsid w:val="00E762BF"/>
    <w:rsid w:val="00E77BA0"/>
    <w:rsid w:val="00E807ED"/>
    <w:rsid w:val="00E8094B"/>
    <w:rsid w:val="00E81C9B"/>
    <w:rsid w:val="00E829A6"/>
    <w:rsid w:val="00E82B7E"/>
    <w:rsid w:val="00E836CB"/>
    <w:rsid w:val="00E841AD"/>
    <w:rsid w:val="00E845AF"/>
    <w:rsid w:val="00E849AF"/>
    <w:rsid w:val="00E84F65"/>
    <w:rsid w:val="00E86211"/>
    <w:rsid w:val="00E8699B"/>
    <w:rsid w:val="00E86D10"/>
    <w:rsid w:val="00E901E5"/>
    <w:rsid w:val="00E90EC1"/>
    <w:rsid w:val="00E918FE"/>
    <w:rsid w:val="00E9203A"/>
    <w:rsid w:val="00E926BF"/>
    <w:rsid w:val="00E92D05"/>
    <w:rsid w:val="00E934BC"/>
    <w:rsid w:val="00E93DBF"/>
    <w:rsid w:val="00E94032"/>
    <w:rsid w:val="00E9441D"/>
    <w:rsid w:val="00E9496F"/>
    <w:rsid w:val="00E94C2B"/>
    <w:rsid w:val="00E9657F"/>
    <w:rsid w:val="00E96FE9"/>
    <w:rsid w:val="00EA094B"/>
    <w:rsid w:val="00EA1973"/>
    <w:rsid w:val="00EA19AA"/>
    <w:rsid w:val="00EA20C8"/>
    <w:rsid w:val="00EA2303"/>
    <w:rsid w:val="00EA2AC7"/>
    <w:rsid w:val="00EA2B91"/>
    <w:rsid w:val="00EA48F4"/>
    <w:rsid w:val="00EA5B10"/>
    <w:rsid w:val="00EA6370"/>
    <w:rsid w:val="00EA7079"/>
    <w:rsid w:val="00EB091E"/>
    <w:rsid w:val="00EB235F"/>
    <w:rsid w:val="00EB35E4"/>
    <w:rsid w:val="00EB3B72"/>
    <w:rsid w:val="00EB3BCE"/>
    <w:rsid w:val="00EB3CE8"/>
    <w:rsid w:val="00EB3D9B"/>
    <w:rsid w:val="00EB4482"/>
    <w:rsid w:val="00EB5135"/>
    <w:rsid w:val="00EB5196"/>
    <w:rsid w:val="00EB5C05"/>
    <w:rsid w:val="00EB66E6"/>
    <w:rsid w:val="00EC0685"/>
    <w:rsid w:val="00EC1368"/>
    <w:rsid w:val="00EC1CD7"/>
    <w:rsid w:val="00EC26CF"/>
    <w:rsid w:val="00EC4898"/>
    <w:rsid w:val="00EC4BB2"/>
    <w:rsid w:val="00EC4E82"/>
    <w:rsid w:val="00EC60BB"/>
    <w:rsid w:val="00EC71B2"/>
    <w:rsid w:val="00EC7E72"/>
    <w:rsid w:val="00EC7F22"/>
    <w:rsid w:val="00ED1DF5"/>
    <w:rsid w:val="00ED1EA2"/>
    <w:rsid w:val="00ED1F74"/>
    <w:rsid w:val="00ED3182"/>
    <w:rsid w:val="00ED36B9"/>
    <w:rsid w:val="00ED476A"/>
    <w:rsid w:val="00ED4F40"/>
    <w:rsid w:val="00ED5E69"/>
    <w:rsid w:val="00ED6EF3"/>
    <w:rsid w:val="00ED6FA5"/>
    <w:rsid w:val="00ED7277"/>
    <w:rsid w:val="00ED758D"/>
    <w:rsid w:val="00ED7888"/>
    <w:rsid w:val="00ED7A53"/>
    <w:rsid w:val="00EE01A7"/>
    <w:rsid w:val="00EE03E8"/>
    <w:rsid w:val="00EE07B3"/>
    <w:rsid w:val="00EE0E63"/>
    <w:rsid w:val="00EE1CCA"/>
    <w:rsid w:val="00EE2585"/>
    <w:rsid w:val="00EE2B05"/>
    <w:rsid w:val="00EE2CAD"/>
    <w:rsid w:val="00EE46F2"/>
    <w:rsid w:val="00EE4A42"/>
    <w:rsid w:val="00EE5A7B"/>
    <w:rsid w:val="00EE64AD"/>
    <w:rsid w:val="00EE64F4"/>
    <w:rsid w:val="00EE6D4B"/>
    <w:rsid w:val="00EF0114"/>
    <w:rsid w:val="00EF0B7D"/>
    <w:rsid w:val="00EF0CE4"/>
    <w:rsid w:val="00EF11B0"/>
    <w:rsid w:val="00EF1738"/>
    <w:rsid w:val="00EF1F12"/>
    <w:rsid w:val="00EF24B1"/>
    <w:rsid w:val="00EF4F30"/>
    <w:rsid w:val="00EF5370"/>
    <w:rsid w:val="00EF5B5C"/>
    <w:rsid w:val="00EF5CF7"/>
    <w:rsid w:val="00EF6352"/>
    <w:rsid w:val="00EF65FD"/>
    <w:rsid w:val="00EF7384"/>
    <w:rsid w:val="00F0294D"/>
    <w:rsid w:val="00F03738"/>
    <w:rsid w:val="00F03BB7"/>
    <w:rsid w:val="00F04668"/>
    <w:rsid w:val="00F05894"/>
    <w:rsid w:val="00F06746"/>
    <w:rsid w:val="00F06766"/>
    <w:rsid w:val="00F069A7"/>
    <w:rsid w:val="00F10AD4"/>
    <w:rsid w:val="00F10D2E"/>
    <w:rsid w:val="00F10F51"/>
    <w:rsid w:val="00F112EC"/>
    <w:rsid w:val="00F11439"/>
    <w:rsid w:val="00F11B18"/>
    <w:rsid w:val="00F123BC"/>
    <w:rsid w:val="00F12BF0"/>
    <w:rsid w:val="00F13CD4"/>
    <w:rsid w:val="00F14117"/>
    <w:rsid w:val="00F14823"/>
    <w:rsid w:val="00F1614B"/>
    <w:rsid w:val="00F1709B"/>
    <w:rsid w:val="00F17106"/>
    <w:rsid w:val="00F1773B"/>
    <w:rsid w:val="00F17DC2"/>
    <w:rsid w:val="00F20CD0"/>
    <w:rsid w:val="00F2140A"/>
    <w:rsid w:val="00F21CBB"/>
    <w:rsid w:val="00F21E4E"/>
    <w:rsid w:val="00F22029"/>
    <w:rsid w:val="00F225DF"/>
    <w:rsid w:val="00F2286A"/>
    <w:rsid w:val="00F229F4"/>
    <w:rsid w:val="00F23068"/>
    <w:rsid w:val="00F23AAF"/>
    <w:rsid w:val="00F23BAA"/>
    <w:rsid w:val="00F241E3"/>
    <w:rsid w:val="00F24508"/>
    <w:rsid w:val="00F24AD6"/>
    <w:rsid w:val="00F252AE"/>
    <w:rsid w:val="00F254CC"/>
    <w:rsid w:val="00F27DFE"/>
    <w:rsid w:val="00F30505"/>
    <w:rsid w:val="00F30533"/>
    <w:rsid w:val="00F30847"/>
    <w:rsid w:val="00F30BC9"/>
    <w:rsid w:val="00F31715"/>
    <w:rsid w:val="00F3190D"/>
    <w:rsid w:val="00F3259B"/>
    <w:rsid w:val="00F339B5"/>
    <w:rsid w:val="00F34513"/>
    <w:rsid w:val="00F34F4F"/>
    <w:rsid w:val="00F366D4"/>
    <w:rsid w:val="00F36B7A"/>
    <w:rsid w:val="00F405CF"/>
    <w:rsid w:val="00F40FA8"/>
    <w:rsid w:val="00F416E3"/>
    <w:rsid w:val="00F4335C"/>
    <w:rsid w:val="00F43D36"/>
    <w:rsid w:val="00F4537D"/>
    <w:rsid w:val="00F459C7"/>
    <w:rsid w:val="00F460C3"/>
    <w:rsid w:val="00F462E5"/>
    <w:rsid w:val="00F46877"/>
    <w:rsid w:val="00F47DF5"/>
    <w:rsid w:val="00F50CA0"/>
    <w:rsid w:val="00F50F8F"/>
    <w:rsid w:val="00F52249"/>
    <w:rsid w:val="00F5281A"/>
    <w:rsid w:val="00F53E8F"/>
    <w:rsid w:val="00F564B7"/>
    <w:rsid w:val="00F56E33"/>
    <w:rsid w:val="00F57337"/>
    <w:rsid w:val="00F6081F"/>
    <w:rsid w:val="00F60F06"/>
    <w:rsid w:val="00F61F07"/>
    <w:rsid w:val="00F62EFB"/>
    <w:rsid w:val="00F64811"/>
    <w:rsid w:val="00F6497E"/>
    <w:rsid w:val="00F65B8B"/>
    <w:rsid w:val="00F65FAD"/>
    <w:rsid w:val="00F6633A"/>
    <w:rsid w:val="00F66393"/>
    <w:rsid w:val="00F6799B"/>
    <w:rsid w:val="00F70385"/>
    <w:rsid w:val="00F73007"/>
    <w:rsid w:val="00F739FC"/>
    <w:rsid w:val="00F73AA1"/>
    <w:rsid w:val="00F73ADC"/>
    <w:rsid w:val="00F74307"/>
    <w:rsid w:val="00F749C3"/>
    <w:rsid w:val="00F74B52"/>
    <w:rsid w:val="00F76B54"/>
    <w:rsid w:val="00F76BF6"/>
    <w:rsid w:val="00F76F5D"/>
    <w:rsid w:val="00F77067"/>
    <w:rsid w:val="00F8011F"/>
    <w:rsid w:val="00F80419"/>
    <w:rsid w:val="00F811A4"/>
    <w:rsid w:val="00F81DF1"/>
    <w:rsid w:val="00F8278A"/>
    <w:rsid w:val="00F836C9"/>
    <w:rsid w:val="00F839A9"/>
    <w:rsid w:val="00F83E70"/>
    <w:rsid w:val="00F84333"/>
    <w:rsid w:val="00F8444E"/>
    <w:rsid w:val="00F848CE"/>
    <w:rsid w:val="00F85385"/>
    <w:rsid w:val="00F86EE9"/>
    <w:rsid w:val="00F87966"/>
    <w:rsid w:val="00F87EE8"/>
    <w:rsid w:val="00F87FB2"/>
    <w:rsid w:val="00F90A56"/>
    <w:rsid w:val="00F91126"/>
    <w:rsid w:val="00F929B6"/>
    <w:rsid w:val="00F952D3"/>
    <w:rsid w:val="00F9571D"/>
    <w:rsid w:val="00F95DDD"/>
    <w:rsid w:val="00F95F86"/>
    <w:rsid w:val="00F96E2E"/>
    <w:rsid w:val="00FA09D7"/>
    <w:rsid w:val="00FA0F82"/>
    <w:rsid w:val="00FA1294"/>
    <w:rsid w:val="00FA1FC2"/>
    <w:rsid w:val="00FA29D9"/>
    <w:rsid w:val="00FA2E43"/>
    <w:rsid w:val="00FA2FEE"/>
    <w:rsid w:val="00FA3323"/>
    <w:rsid w:val="00FA356A"/>
    <w:rsid w:val="00FA3766"/>
    <w:rsid w:val="00FA3A7C"/>
    <w:rsid w:val="00FA3BC9"/>
    <w:rsid w:val="00FA5145"/>
    <w:rsid w:val="00FA58CB"/>
    <w:rsid w:val="00FA5D1C"/>
    <w:rsid w:val="00FA6DA8"/>
    <w:rsid w:val="00FA7E76"/>
    <w:rsid w:val="00FB04E3"/>
    <w:rsid w:val="00FB0E51"/>
    <w:rsid w:val="00FB15B0"/>
    <w:rsid w:val="00FB18D6"/>
    <w:rsid w:val="00FB22B6"/>
    <w:rsid w:val="00FB302A"/>
    <w:rsid w:val="00FB350A"/>
    <w:rsid w:val="00FB37F6"/>
    <w:rsid w:val="00FB3A07"/>
    <w:rsid w:val="00FB3D65"/>
    <w:rsid w:val="00FB459C"/>
    <w:rsid w:val="00FB4FF1"/>
    <w:rsid w:val="00FB58E0"/>
    <w:rsid w:val="00FB5F9D"/>
    <w:rsid w:val="00FB6778"/>
    <w:rsid w:val="00FB6CF7"/>
    <w:rsid w:val="00FB6E16"/>
    <w:rsid w:val="00FB719F"/>
    <w:rsid w:val="00FB75CD"/>
    <w:rsid w:val="00FC08FC"/>
    <w:rsid w:val="00FC2841"/>
    <w:rsid w:val="00FC2BE5"/>
    <w:rsid w:val="00FC2CD8"/>
    <w:rsid w:val="00FC3187"/>
    <w:rsid w:val="00FC31C3"/>
    <w:rsid w:val="00FC3B3E"/>
    <w:rsid w:val="00FC40D6"/>
    <w:rsid w:val="00FC594B"/>
    <w:rsid w:val="00FC5C68"/>
    <w:rsid w:val="00FC685A"/>
    <w:rsid w:val="00FC6A71"/>
    <w:rsid w:val="00FC75B6"/>
    <w:rsid w:val="00FD03DA"/>
    <w:rsid w:val="00FD0C8D"/>
    <w:rsid w:val="00FD0E53"/>
    <w:rsid w:val="00FD1175"/>
    <w:rsid w:val="00FD18C4"/>
    <w:rsid w:val="00FD237C"/>
    <w:rsid w:val="00FD2CDB"/>
    <w:rsid w:val="00FD4811"/>
    <w:rsid w:val="00FD4C8E"/>
    <w:rsid w:val="00FD52F1"/>
    <w:rsid w:val="00FD57DC"/>
    <w:rsid w:val="00FD5FBB"/>
    <w:rsid w:val="00FD6CDA"/>
    <w:rsid w:val="00FD6DA1"/>
    <w:rsid w:val="00FD7192"/>
    <w:rsid w:val="00FD7596"/>
    <w:rsid w:val="00FD7F9E"/>
    <w:rsid w:val="00FE0184"/>
    <w:rsid w:val="00FE069B"/>
    <w:rsid w:val="00FE0924"/>
    <w:rsid w:val="00FE0A84"/>
    <w:rsid w:val="00FE0ADC"/>
    <w:rsid w:val="00FE0DBC"/>
    <w:rsid w:val="00FE115F"/>
    <w:rsid w:val="00FE136E"/>
    <w:rsid w:val="00FE2556"/>
    <w:rsid w:val="00FE2C76"/>
    <w:rsid w:val="00FE304B"/>
    <w:rsid w:val="00FE3087"/>
    <w:rsid w:val="00FE5E7F"/>
    <w:rsid w:val="00FE6F5B"/>
    <w:rsid w:val="00FE7AB2"/>
    <w:rsid w:val="00FE7EA6"/>
    <w:rsid w:val="00FF1430"/>
    <w:rsid w:val="00FF5C04"/>
    <w:rsid w:val="00FF6040"/>
    <w:rsid w:val="00FF7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725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uiPriority="1"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footnote text" w:uiPriority="99"/>
    <w:lsdException w:name="annotation text" w:uiPriority="99"/>
    <w:lsdException w:name="footer" w:uiPriority="99"/>
    <w:lsdException w:name="caption" w:qFormat="1"/>
    <w:lsdException w:name="footnote reference" w:uiPriority="99"/>
    <w:lsdException w:name="List Number 2" w:semiHidden="0" w:unhideWhenUsed="0"/>
    <w:lsdException w:name="List Number 5" w:semiHidden="0" w:unhideWhenUsed="0"/>
    <w:lsdException w:name="Title" w:semiHidden="0" w:unhideWhenUsed="0" w:qFormat="1"/>
    <w:lsdException w:name="Body Text" w:uiPriority="1"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1"/>
    <w:qFormat/>
    <w:rsid w:val="00F03738"/>
    <w:pPr>
      <w:widowControl w:val="0"/>
      <w:spacing w:before="55"/>
      <w:ind w:left="572" w:hanging="432"/>
      <w:outlineLvl w:val="0"/>
    </w:pPr>
    <w:rPr>
      <w:rFonts w:ascii="Arial" w:eastAsia="Arial" w:hAnsi="Arial"/>
      <w:b/>
      <w:bCs/>
      <w:sz w:val="32"/>
      <w:szCs w:val="32"/>
    </w:rPr>
  </w:style>
  <w:style w:type="paragraph" w:styleId="Heading2">
    <w:name w:val="heading 2"/>
    <w:basedOn w:val="Normal"/>
    <w:link w:val="Heading2Char"/>
    <w:uiPriority w:val="1"/>
    <w:qFormat/>
    <w:rsid w:val="00F03738"/>
    <w:pPr>
      <w:widowControl w:val="0"/>
      <w:ind w:left="896" w:hanging="576"/>
      <w:outlineLvl w:val="1"/>
    </w:pPr>
    <w:rPr>
      <w:rFonts w:ascii="Arial" w:eastAsia="Arial" w:hAnsi="Arial"/>
      <w:b/>
      <w:bCs/>
      <w:sz w:val="26"/>
      <w:szCs w:val="26"/>
    </w:rPr>
  </w:style>
  <w:style w:type="paragraph" w:styleId="Heading3">
    <w:name w:val="heading 3"/>
    <w:basedOn w:val="Normal"/>
    <w:link w:val="Heading3Char"/>
    <w:uiPriority w:val="1"/>
    <w:qFormat/>
    <w:rsid w:val="00F03738"/>
    <w:pPr>
      <w:widowControl w:val="0"/>
      <w:ind w:left="1220" w:hanging="720"/>
      <w:outlineLvl w:val="2"/>
    </w:pPr>
    <w:rPr>
      <w:rFonts w:ascii="Arial" w:eastAsia="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10572"/>
    <w:pPr>
      <w:autoSpaceDE w:val="0"/>
      <w:autoSpaceDN w:val="0"/>
      <w:adjustRightInd w:val="0"/>
      <w:ind w:left="720"/>
    </w:pPr>
    <w:rPr>
      <w:sz w:val="24"/>
      <w:szCs w:val="24"/>
    </w:rPr>
  </w:style>
  <w:style w:type="paragraph" w:customStyle="1" w:styleId="Level2">
    <w:name w:val="Level 2"/>
    <w:rsid w:val="00B10572"/>
    <w:pPr>
      <w:autoSpaceDE w:val="0"/>
      <w:autoSpaceDN w:val="0"/>
      <w:adjustRightInd w:val="0"/>
      <w:ind w:left="1440"/>
    </w:pPr>
    <w:rPr>
      <w:sz w:val="24"/>
      <w:szCs w:val="24"/>
    </w:rPr>
  </w:style>
  <w:style w:type="paragraph" w:customStyle="1" w:styleId="Level3">
    <w:name w:val="Level 3"/>
    <w:rsid w:val="00B10572"/>
    <w:pPr>
      <w:autoSpaceDE w:val="0"/>
      <w:autoSpaceDN w:val="0"/>
      <w:adjustRightInd w:val="0"/>
      <w:ind w:left="2160"/>
    </w:pPr>
    <w:rPr>
      <w:sz w:val="24"/>
      <w:szCs w:val="24"/>
    </w:rPr>
  </w:style>
  <w:style w:type="paragraph" w:customStyle="1" w:styleId="Level4">
    <w:name w:val="Level 4"/>
    <w:rsid w:val="00B10572"/>
    <w:pPr>
      <w:autoSpaceDE w:val="0"/>
      <w:autoSpaceDN w:val="0"/>
      <w:adjustRightInd w:val="0"/>
      <w:ind w:left="2880"/>
    </w:pPr>
    <w:rPr>
      <w:sz w:val="24"/>
      <w:szCs w:val="24"/>
    </w:rPr>
  </w:style>
  <w:style w:type="paragraph" w:customStyle="1" w:styleId="Level5">
    <w:name w:val="Level 5"/>
    <w:rsid w:val="00B10572"/>
    <w:pPr>
      <w:autoSpaceDE w:val="0"/>
      <w:autoSpaceDN w:val="0"/>
      <w:adjustRightInd w:val="0"/>
      <w:ind w:left="3600"/>
    </w:pPr>
    <w:rPr>
      <w:sz w:val="24"/>
      <w:szCs w:val="24"/>
    </w:rPr>
  </w:style>
  <w:style w:type="paragraph" w:customStyle="1" w:styleId="Level6">
    <w:name w:val="Level 6"/>
    <w:rsid w:val="00B10572"/>
    <w:pPr>
      <w:autoSpaceDE w:val="0"/>
      <w:autoSpaceDN w:val="0"/>
      <w:adjustRightInd w:val="0"/>
      <w:ind w:left="4320"/>
    </w:pPr>
    <w:rPr>
      <w:sz w:val="24"/>
      <w:szCs w:val="24"/>
    </w:rPr>
  </w:style>
  <w:style w:type="paragraph" w:customStyle="1" w:styleId="Level7">
    <w:name w:val="Level 7"/>
    <w:rsid w:val="00B10572"/>
    <w:pPr>
      <w:autoSpaceDE w:val="0"/>
      <w:autoSpaceDN w:val="0"/>
      <w:adjustRightInd w:val="0"/>
      <w:ind w:left="5040"/>
    </w:pPr>
    <w:rPr>
      <w:sz w:val="24"/>
      <w:szCs w:val="24"/>
    </w:rPr>
  </w:style>
  <w:style w:type="paragraph" w:customStyle="1" w:styleId="Level8">
    <w:name w:val="Level 8"/>
    <w:rsid w:val="00B10572"/>
    <w:pPr>
      <w:autoSpaceDE w:val="0"/>
      <w:autoSpaceDN w:val="0"/>
      <w:adjustRightInd w:val="0"/>
      <w:ind w:left="5760"/>
    </w:pPr>
    <w:rPr>
      <w:sz w:val="24"/>
      <w:szCs w:val="24"/>
    </w:rPr>
  </w:style>
  <w:style w:type="paragraph" w:customStyle="1" w:styleId="Level9">
    <w:name w:val="Level 9"/>
    <w:rsid w:val="00B10572"/>
    <w:pPr>
      <w:autoSpaceDE w:val="0"/>
      <w:autoSpaceDN w:val="0"/>
      <w:adjustRightInd w:val="0"/>
      <w:ind w:left="6480"/>
    </w:pPr>
    <w:rPr>
      <w:sz w:val="24"/>
      <w:szCs w:val="24"/>
    </w:rPr>
  </w:style>
  <w:style w:type="character" w:customStyle="1" w:styleId="SYSHYPERTEXT">
    <w:name w:val="SYS_HYPERTEXT"/>
    <w:rsid w:val="00B10572"/>
    <w:rPr>
      <w:color w:val="0000FF"/>
      <w:u w:val="single"/>
    </w:rPr>
  </w:style>
  <w:style w:type="paragraph" w:styleId="BalloonText">
    <w:name w:val="Balloon Text"/>
    <w:basedOn w:val="Normal"/>
    <w:link w:val="BalloonTextChar"/>
    <w:uiPriority w:val="99"/>
    <w:semiHidden/>
    <w:rsid w:val="00A10928"/>
    <w:rPr>
      <w:rFonts w:ascii="Tahoma" w:hAnsi="Tahoma" w:cs="Tahoma"/>
      <w:sz w:val="16"/>
      <w:szCs w:val="16"/>
    </w:rPr>
  </w:style>
  <w:style w:type="character" w:styleId="Hyperlink">
    <w:name w:val="Hyperlink"/>
    <w:rsid w:val="00FD1175"/>
    <w:rPr>
      <w:color w:val="0000FF"/>
      <w:u w:val="single"/>
    </w:rPr>
  </w:style>
  <w:style w:type="character" w:styleId="CommentReference">
    <w:name w:val="annotation reference"/>
    <w:rsid w:val="001F5ED4"/>
    <w:rPr>
      <w:sz w:val="16"/>
      <w:szCs w:val="16"/>
    </w:rPr>
  </w:style>
  <w:style w:type="paragraph" w:styleId="CommentText">
    <w:name w:val="annotation text"/>
    <w:basedOn w:val="Normal"/>
    <w:link w:val="CommentTextChar"/>
    <w:uiPriority w:val="99"/>
    <w:rsid w:val="001F5ED4"/>
    <w:rPr>
      <w:sz w:val="20"/>
      <w:szCs w:val="20"/>
    </w:rPr>
  </w:style>
  <w:style w:type="paragraph" w:styleId="CommentSubject">
    <w:name w:val="annotation subject"/>
    <w:basedOn w:val="CommentText"/>
    <w:next w:val="CommentText"/>
    <w:semiHidden/>
    <w:rsid w:val="001F5ED4"/>
    <w:rPr>
      <w:b/>
      <w:bCs/>
    </w:rPr>
  </w:style>
  <w:style w:type="paragraph" w:styleId="Header">
    <w:name w:val="header"/>
    <w:basedOn w:val="Normal"/>
    <w:link w:val="HeaderChar"/>
    <w:rsid w:val="006E164E"/>
    <w:pPr>
      <w:tabs>
        <w:tab w:val="center" w:pos="4680"/>
        <w:tab w:val="right" w:pos="9360"/>
      </w:tabs>
    </w:pPr>
  </w:style>
  <w:style w:type="character" w:customStyle="1" w:styleId="HeaderChar">
    <w:name w:val="Header Char"/>
    <w:link w:val="Header"/>
    <w:rsid w:val="006E164E"/>
    <w:rPr>
      <w:sz w:val="24"/>
      <w:szCs w:val="24"/>
    </w:rPr>
  </w:style>
  <w:style w:type="paragraph" w:styleId="Footer">
    <w:name w:val="footer"/>
    <w:basedOn w:val="Normal"/>
    <w:link w:val="FooterChar"/>
    <w:uiPriority w:val="99"/>
    <w:rsid w:val="006E164E"/>
    <w:pPr>
      <w:tabs>
        <w:tab w:val="center" w:pos="4680"/>
        <w:tab w:val="right" w:pos="9360"/>
      </w:tabs>
    </w:pPr>
  </w:style>
  <w:style w:type="character" w:customStyle="1" w:styleId="FooterChar">
    <w:name w:val="Footer Char"/>
    <w:link w:val="Footer"/>
    <w:uiPriority w:val="99"/>
    <w:rsid w:val="006E164E"/>
    <w:rPr>
      <w:sz w:val="24"/>
      <w:szCs w:val="24"/>
    </w:rPr>
  </w:style>
  <w:style w:type="character" w:customStyle="1" w:styleId="Heading1Char">
    <w:name w:val="Heading 1 Char"/>
    <w:link w:val="Heading1"/>
    <w:uiPriority w:val="1"/>
    <w:rsid w:val="00F03738"/>
    <w:rPr>
      <w:rFonts w:ascii="Arial" w:eastAsia="Arial" w:hAnsi="Arial"/>
      <w:b/>
      <w:bCs/>
      <w:sz w:val="32"/>
      <w:szCs w:val="32"/>
    </w:rPr>
  </w:style>
  <w:style w:type="character" w:customStyle="1" w:styleId="Heading2Char">
    <w:name w:val="Heading 2 Char"/>
    <w:link w:val="Heading2"/>
    <w:uiPriority w:val="1"/>
    <w:rsid w:val="00F03738"/>
    <w:rPr>
      <w:rFonts w:ascii="Arial" w:eastAsia="Arial" w:hAnsi="Arial"/>
      <w:b/>
      <w:bCs/>
      <w:sz w:val="26"/>
      <w:szCs w:val="26"/>
    </w:rPr>
  </w:style>
  <w:style w:type="character" w:customStyle="1" w:styleId="Heading3Char">
    <w:name w:val="Heading 3 Char"/>
    <w:link w:val="Heading3"/>
    <w:uiPriority w:val="1"/>
    <w:rsid w:val="00F03738"/>
    <w:rPr>
      <w:rFonts w:ascii="Arial" w:eastAsia="Arial" w:hAnsi="Arial"/>
      <w:b/>
      <w:bCs/>
      <w:sz w:val="22"/>
      <w:szCs w:val="22"/>
    </w:rPr>
  </w:style>
  <w:style w:type="paragraph" w:styleId="TOC1">
    <w:name w:val="toc 1"/>
    <w:basedOn w:val="Normal"/>
    <w:uiPriority w:val="1"/>
    <w:qFormat/>
    <w:rsid w:val="00F03738"/>
    <w:pPr>
      <w:widowControl w:val="0"/>
      <w:spacing w:before="238"/>
    </w:pPr>
    <w:rPr>
      <w:rFonts w:ascii="Arial" w:eastAsia="Arial" w:hAnsi="Arial"/>
      <w:b/>
      <w:bCs/>
      <w:sz w:val="20"/>
      <w:szCs w:val="20"/>
    </w:rPr>
  </w:style>
  <w:style w:type="paragraph" w:styleId="TOC2">
    <w:name w:val="toc 2"/>
    <w:basedOn w:val="Normal"/>
    <w:uiPriority w:val="1"/>
    <w:qFormat/>
    <w:rsid w:val="00F03738"/>
    <w:pPr>
      <w:widowControl w:val="0"/>
    </w:pPr>
    <w:rPr>
      <w:rFonts w:ascii="Arial" w:eastAsia="Arial" w:hAnsi="Arial"/>
      <w:sz w:val="18"/>
      <w:szCs w:val="18"/>
    </w:rPr>
  </w:style>
  <w:style w:type="paragraph" w:styleId="TOC3">
    <w:name w:val="toc 3"/>
    <w:basedOn w:val="Normal"/>
    <w:uiPriority w:val="1"/>
    <w:qFormat/>
    <w:rsid w:val="00F03738"/>
    <w:pPr>
      <w:widowControl w:val="0"/>
      <w:spacing w:before="115"/>
      <w:ind w:left="615" w:hanging="475"/>
    </w:pPr>
    <w:rPr>
      <w:rFonts w:ascii="Arial" w:eastAsia="Arial" w:hAnsi="Arial"/>
      <w:b/>
      <w:bCs/>
      <w:sz w:val="20"/>
      <w:szCs w:val="20"/>
    </w:rPr>
  </w:style>
  <w:style w:type="paragraph" w:styleId="TOC4">
    <w:name w:val="toc 4"/>
    <w:basedOn w:val="Normal"/>
    <w:uiPriority w:val="1"/>
    <w:qFormat/>
    <w:rsid w:val="00F03738"/>
    <w:pPr>
      <w:widowControl w:val="0"/>
      <w:ind w:left="817" w:hanging="432"/>
    </w:pPr>
    <w:rPr>
      <w:rFonts w:ascii="Arial" w:eastAsia="Arial" w:hAnsi="Arial"/>
      <w:sz w:val="18"/>
      <w:szCs w:val="18"/>
    </w:rPr>
  </w:style>
  <w:style w:type="paragraph" w:styleId="TOC5">
    <w:name w:val="toc 5"/>
    <w:basedOn w:val="Normal"/>
    <w:uiPriority w:val="1"/>
    <w:qFormat/>
    <w:rsid w:val="00F03738"/>
    <w:pPr>
      <w:widowControl w:val="0"/>
      <w:ind w:left="1191" w:hanging="576"/>
    </w:pPr>
    <w:rPr>
      <w:rFonts w:ascii="Arial" w:eastAsia="Arial" w:hAnsi="Arial"/>
      <w:sz w:val="18"/>
      <w:szCs w:val="18"/>
    </w:rPr>
  </w:style>
  <w:style w:type="paragraph" w:styleId="TOC6">
    <w:name w:val="toc 6"/>
    <w:basedOn w:val="Normal"/>
    <w:uiPriority w:val="1"/>
    <w:qFormat/>
    <w:rsid w:val="00F03738"/>
    <w:pPr>
      <w:widowControl w:val="0"/>
      <w:ind w:left="1508" w:hanging="648"/>
    </w:pPr>
    <w:rPr>
      <w:rFonts w:ascii="Arial" w:eastAsia="Arial" w:hAnsi="Arial"/>
      <w:sz w:val="16"/>
      <w:szCs w:val="16"/>
    </w:rPr>
  </w:style>
  <w:style w:type="paragraph" w:styleId="BodyText">
    <w:name w:val="Body Text"/>
    <w:basedOn w:val="Normal"/>
    <w:link w:val="BodyTextChar"/>
    <w:uiPriority w:val="1"/>
    <w:qFormat/>
    <w:rsid w:val="00F03738"/>
    <w:pPr>
      <w:widowControl w:val="0"/>
      <w:ind w:left="140"/>
    </w:pPr>
    <w:rPr>
      <w:sz w:val="22"/>
      <w:szCs w:val="22"/>
    </w:rPr>
  </w:style>
  <w:style w:type="character" w:customStyle="1" w:styleId="BodyTextChar">
    <w:name w:val="Body Text Char"/>
    <w:link w:val="BodyText"/>
    <w:uiPriority w:val="1"/>
    <w:rsid w:val="00F03738"/>
    <w:rPr>
      <w:sz w:val="22"/>
      <w:szCs w:val="22"/>
    </w:rPr>
  </w:style>
  <w:style w:type="paragraph" w:styleId="ListParagraph">
    <w:name w:val="List Paragraph"/>
    <w:basedOn w:val="Normal"/>
    <w:uiPriority w:val="34"/>
    <w:qFormat/>
    <w:rsid w:val="00F03738"/>
    <w:pPr>
      <w:widowControl w:val="0"/>
    </w:pPr>
    <w:rPr>
      <w:rFonts w:ascii="Calibri" w:eastAsia="Calibri" w:hAnsi="Calibri"/>
      <w:sz w:val="22"/>
      <w:szCs w:val="22"/>
    </w:rPr>
  </w:style>
  <w:style w:type="paragraph" w:customStyle="1" w:styleId="TableParagraph">
    <w:name w:val="Table Paragraph"/>
    <w:basedOn w:val="Normal"/>
    <w:uiPriority w:val="1"/>
    <w:qFormat/>
    <w:rsid w:val="00F03738"/>
    <w:pPr>
      <w:widowControl w:val="0"/>
    </w:pPr>
    <w:rPr>
      <w:rFonts w:ascii="Calibri" w:eastAsia="Calibri" w:hAnsi="Calibri"/>
      <w:sz w:val="22"/>
      <w:szCs w:val="22"/>
    </w:rPr>
  </w:style>
  <w:style w:type="character" w:customStyle="1" w:styleId="BalloonTextChar">
    <w:name w:val="Balloon Text Char"/>
    <w:link w:val="BalloonText"/>
    <w:uiPriority w:val="99"/>
    <w:semiHidden/>
    <w:rsid w:val="00F03738"/>
    <w:rPr>
      <w:rFonts w:ascii="Tahoma" w:hAnsi="Tahoma" w:cs="Tahoma"/>
      <w:sz w:val="16"/>
      <w:szCs w:val="16"/>
    </w:rPr>
  </w:style>
  <w:style w:type="paragraph" w:customStyle="1" w:styleId="CM32">
    <w:name w:val="CM32"/>
    <w:basedOn w:val="Normal"/>
    <w:next w:val="Normal"/>
    <w:uiPriority w:val="99"/>
    <w:rsid w:val="00C9648B"/>
    <w:pPr>
      <w:widowControl w:val="0"/>
      <w:autoSpaceDE w:val="0"/>
      <w:autoSpaceDN w:val="0"/>
      <w:adjustRightInd w:val="0"/>
      <w:spacing w:after="75"/>
    </w:pPr>
    <w:rPr>
      <w:rFonts w:ascii="FBIFD J+ Melior" w:hAnsi="FBIFD J+ Melior" w:cs="FBIFD J+ Melior"/>
    </w:rPr>
  </w:style>
  <w:style w:type="paragraph" w:styleId="NormalWeb">
    <w:name w:val="Normal (Web)"/>
    <w:basedOn w:val="Normal"/>
    <w:rsid w:val="001A6A0C"/>
  </w:style>
  <w:style w:type="paragraph" w:styleId="Revision">
    <w:name w:val="Revision"/>
    <w:hidden/>
    <w:uiPriority w:val="99"/>
    <w:semiHidden/>
    <w:rsid w:val="00324196"/>
    <w:rPr>
      <w:sz w:val="24"/>
      <w:szCs w:val="24"/>
    </w:rPr>
  </w:style>
  <w:style w:type="character" w:styleId="FollowedHyperlink">
    <w:name w:val="FollowedHyperlink"/>
    <w:rsid w:val="00324196"/>
    <w:rPr>
      <w:color w:val="800080"/>
      <w:u w:val="single"/>
    </w:rPr>
  </w:style>
  <w:style w:type="paragraph" w:styleId="FootnoteText">
    <w:name w:val="footnote text"/>
    <w:basedOn w:val="Normal"/>
    <w:link w:val="FootnoteTextChar"/>
    <w:uiPriority w:val="99"/>
    <w:rsid w:val="00E453E8"/>
    <w:pPr>
      <w:jc w:val="both"/>
    </w:pPr>
    <w:rPr>
      <w:rFonts w:ascii="Arial" w:hAnsi="Arial"/>
      <w:sz w:val="18"/>
      <w:szCs w:val="20"/>
    </w:rPr>
  </w:style>
  <w:style w:type="character" w:customStyle="1" w:styleId="FootnoteTextChar">
    <w:name w:val="Footnote Text Char"/>
    <w:basedOn w:val="DefaultParagraphFont"/>
    <w:link w:val="FootnoteText"/>
    <w:uiPriority w:val="99"/>
    <w:rsid w:val="00E453E8"/>
    <w:rPr>
      <w:rFonts w:ascii="Arial" w:hAnsi="Arial"/>
      <w:sz w:val="18"/>
    </w:rPr>
  </w:style>
  <w:style w:type="character" w:styleId="FootnoteReference">
    <w:name w:val="footnote reference"/>
    <w:uiPriority w:val="99"/>
    <w:rsid w:val="00E453E8"/>
    <w:rPr>
      <w:vertAlign w:val="superscript"/>
    </w:rPr>
  </w:style>
  <w:style w:type="table" w:styleId="TableGrid">
    <w:name w:val="Table Grid"/>
    <w:basedOn w:val="TableNormal"/>
    <w:rsid w:val="008E7BB4"/>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E7DD3"/>
    <w:rPr>
      <w:b/>
      <w:bCs/>
    </w:rPr>
  </w:style>
  <w:style w:type="character" w:customStyle="1" w:styleId="CommentTextChar">
    <w:name w:val="Comment Text Char"/>
    <w:basedOn w:val="DefaultParagraphFont"/>
    <w:link w:val="CommentText"/>
    <w:uiPriority w:val="99"/>
    <w:locked/>
    <w:rsid w:val="000827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uiPriority="1"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footnote text" w:uiPriority="99"/>
    <w:lsdException w:name="annotation text" w:uiPriority="99"/>
    <w:lsdException w:name="footer" w:uiPriority="99"/>
    <w:lsdException w:name="caption" w:qFormat="1"/>
    <w:lsdException w:name="footnote reference" w:uiPriority="99"/>
    <w:lsdException w:name="List Number 2" w:semiHidden="0" w:unhideWhenUsed="0"/>
    <w:lsdException w:name="List Number 5" w:semiHidden="0" w:unhideWhenUsed="0"/>
    <w:lsdException w:name="Title" w:semiHidden="0" w:unhideWhenUsed="0" w:qFormat="1"/>
    <w:lsdException w:name="Body Text" w:uiPriority="1"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1"/>
    <w:qFormat/>
    <w:rsid w:val="00F03738"/>
    <w:pPr>
      <w:widowControl w:val="0"/>
      <w:spacing w:before="55"/>
      <w:ind w:left="572" w:hanging="432"/>
      <w:outlineLvl w:val="0"/>
    </w:pPr>
    <w:rPr>
      <w:rFonts w:ascii="Arial" w:eastAsia="Arial" w:hAnsi="Arial"/>
      <w:b/>
      <w:bCs/>
      <w:sz w:val="32"/>
      <w:szCs w:val="32"/>
    </w:rPr>
  </w:style>
  <w:style w:type="paragraph" w:styleId="Heading2">
    <w:name w:val="heading 2"/>
    <w:basedOn w:val="Normal"/>
    <w:link w:val="Heading2Char"/>
    <w:uiPriority w:val="1"/>
    <w:qFormat/>
    <w:rsid w:val="00F03738"/>
    <w:pPr>
      <w:widowControl w:val="0"/>
      <w:ind w:left="896" w:hanging="576"/>
      <w:outlineLvl w:val="1"/>
    </w:pPr>
    <w:rPr>
      <w:rFonts w:ascii="Arial" w:eastAsia="Arial" w:hAnsi="Arial"/>
      <w:b/>
      <w:bCs/>
      <w:sz w:val="26"/>
      <w:szCs w:val="26"/>
    </w:rPr>
  </w:style>
  <w:style w:type="paragraph" w:styleId="Heading3">
    <w:name w:val="heading 3"/>
    <w:basedOn w:val="Normal"/>
    <w:link w:val="Heading3Char"/>
    <w:uiPriority w:val="1"/>
    <w:qFormat/>
    <w:rsid w:val="00F03738"/>
    <w:pPr>
      <w:widowControl w:val="0"/>
      <w:ind w:left="1220" w:hanging="720"/>
      <w:outlineLvl w:val="2"/>
    </w:pPr>
    <w:rPr>
      <w:rFonts w:ascii="Arial" w:eastAsia="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10572"/>
    <w:pPr>
      <w:autoSpaceDE w:val="0"/>
      <w:autoSpaceDN w:val="0"/>
      <w:adjustRightInd w:val="0"/>
      <w:ind w:left="720"/>
    </w:pPr>
    <w:rPr>
      <w:sz w:val="24"/>
      <w:szCs w:val="24"/>
    </w:rPr>
  </w:style>
  <w:style w:type="paragraph" w:customStyle="1" w:styleId="Level2">
    <w:name w:val="Level 2"/>
    <w:rsid w:val="00B10572"/>
    <w:pPr>
      <w:autoSpaceDE w:val="0"/>
      <w:autoSpaceDN w:val="0"/>
      <w:adjustRightInd w:val="0"/>
      <w:ind w:left="1440"/>
    </w:pPr>
    <w:rPr>
      <w:sz w:val="24"/>
      <w:szCs w:val="24"/>
    </w:rPr>
  </w:style>
  <w:style w:type="paragraph" w:customStyle="1" w:styleId="Level3">
    <w:name w:val="Level 3"/>
    <w:rsid w:val="00B10572"/>
    <w:pPr>
      <w:autoSpaceDE w:val="0"/>
      <w:autoSpaceDN w:val="0"/>
      <w:adjustRightInd w:val="0"/>
      <w:ind w:left="2160"/>
    </w:pPr>
    <w:rPr>
      <w:sz w:val="24"/>
      <w:szCs w:val="24"/>
    </w:rPr>
  </w:style>
  <w:style w:type="paragraph" w:customStyle="1" w:styleId="Level4">
    <w:name w:val="Level 4"/>
    <w:rsid w:val="00B10572"/>
    <w:pPr>
      <w:autoSpaceDE w:val="0"/>
      <w:autoSpaceDN w:val="0"/>
      <w:adjustRightInd w:val="0"/>
      <w:ind w:left="2880"/>
    </w:pPr>
    <w:rPr>
      <w:sz w:val="24"/>
      <w:szCs w:val="24"/>
    </w:rPr>
  </w:style>
  <w:style w:type="paragraph" w:customStyle="1" w:styleId="Level5">
    <w:name w:val="Level 5"/>
    <w:rsid w:val="00B10572"/>
    <w:pPr>
      <w:autoSpaceDE w:val="0"/>
      <w:autoSpaceDN w:val="0"/>
      <w:adjustRightInd w:val="0"/>
      <w:ind w:left="3600"/>
    </w:pPr>
    <w:rPr>
      <w:sz w:val="24"/>
      <w:szCs w:val="24"/>
    </w:rPr>
  </w:style>
  <w:style w:type="paragraph" w:customStyle="1" w:styleId="Level6">
    <w:name w:val="Level 6"/>
    <w:rsid w:val="00B10572"/>
    <w:pPr>
      <w:autoSpaceDE w:val="0"/>
      <w:autoSpaceDN w:val="0"/>
      <w:adjustRightInd w:val="0"/>
      <w:ind w:left="4320"/>
    </w:pPr>
    <w:rPr>
      <w:sz w:val="24"/>
      <w:szCs w:val="24"/>
    </w:rPr>
  </w:style>
  <w:style w:type="paragraph" w:customStyle="1" w:styleId="Level7">
    <w:name w:val="Level 7"/>
    <w:rsid w:val="00B10572"/>
    <w:pPr>
      <w:autoSpaceDE w:val="0"/>
      <w:autoSpaceDN w:val="0"/>
      <w:adjustRightInd w:val="0"/>
      <w:ind w:left="5040"/>
    </w:pPr>
    <w:rPr>
      <w:sz w:val="24"/>
      <w:szCs w:val="24"/>
    </w:rPr>
  </w:style>
  <w:style w:type="paragraph" w:customStyle="1" w:styleId="Level8">
    <w:name w:val="Level 8"/>
    <w:rsid w:val="00B10572"/>
    <w:pPr>
      <w:autoSpaceDE w:val="0"/>
      <w:autoSpaceDN w:val="0"/>
      <w:adjustRightInd w:val="0"/>
      <w:ind w:left="5760"/>
    </w:pPr>
    <w:rPr>
      <w:sz w:val="24"/>
      <w:szCs w:val="24"/>
    </w:rPr>
  </w:style>
  <w:style w:type="paragraph" w:customStyle="1" w:styleId="Level9">
    <w:name w:val="Level 9"/>
    <w:rsid w:val="00B10572"/>
    <w:pPr>
      <w:autoSpaceDE w:val="0"/>
      <w:autoSpaceDN w:val="0"/>
      <w:adjustRightInd w:val="0"/>
      <w:ind w:left="6480"/>
    </w:pPr>
    <w:rPr>
      <w:sz w:val="24"/>
      <w:szCs w:val="24"/>
    </w:rPr>
  </w:style>
  <w:style w:type="character" w:customStyle="1" w:styleId="SYSHYPERTEXT">
    <w:name w:val="SYS_HYPERTEXT"/>
    <w:rsid w:val="00B10572"/>
    <w:rPr>
      <w:color w:val="0000FF"/>
      <w:u w:val="single"/>
    </w:rPr>
  </w:style>
  <w:style w:type="paragraph" w:styleId="BalloonText">
    <w:name w:val="Balloon Text"/>
    <w:basedOn w:val="Normal"/>
    <w:link w:val="BalloonTextChar"/>
    <w:uiPriority w:val="99"/>
    <w:semiHidden/>
    <w:rsid w:val="00A10928"/>
    <w:rPr>
      <w:rFonts w:ascii="Tahoma" w:hAnsi="Tahoma" w:cs="Tahoma"/>
      <w:sz w:val="16"/>
      <w:szCs w:val="16"/>
    </w:rPr>
  </w:style>
  <w:style w:type="character" w:styleId="Hyperlink">
    <w:name w:val="Hyperlink"/>
    <w:rsid w:val="00FD1175"/>
    <w:rPr>
      <w:color w:val="0000FF"/>
      <w:u w:val="single"/>
    </w:rPr>
  </w:style>
  <w:style w:type="character" w:styleId="CommentReference">
    <w:name w:val="annotation reference"/>
    <w:rsid w:val="001F5ED4"/>
    <w:rPr>
      <w:sz w:val="16"/>
      <w:szCs w:val="16"/>
    </w:rPr>
  </w:style>
  <w:style w:type="paragraph" w:styleId="CommentText">
    <w:name w:val="annotation text"/>
    <w:basedOn w:val="Normal"/>
    <w:link w:val="CommentTextChar"/>
    <w:uiPriority w:val="99"/>
    <w:rsid w:val="001F5ED4"/>
    <w:rPr>
      <w:sz w:val="20"/>
      <w:szCs w:val="20"/>
    </w:rPr>
  </w:style>
  <w:style w:type="paragraph" w:styleId="CommentSubject">
    <w:name w:val="annotation subject"/>
    <w:basedOn w:val="CommentText"/>
    <w:next w:val="CommentText"/>
    <w:semiHidden/>
    <w:rsid w:val="001F5ED4"/>
    <w:rPr>
      <w:b/>
      <w:bCs/>
    </w:rPr>
  </w:style>
  <w:style w:type="paragraph" w:styleId="Header">
    <w:name w:val="header"/>
    <w:basedOn w:val="Normal"/>
    <w:link w:val="HeaderChar"/>
    <w:rsid w:val="006E164E"/>
    <w:pPr>
      <w:tabs>
        <w:tab w:val="center" w:pos="4680"/>
        <w:tab w:val="right" w:pos="9360"/>
      </w:tabs>
    </w:pPr>
  </w:style>
  <w:style w:type="character" w:customStyle="1" w:styleId="HeaderChar">
    <w:name w:val="Header Char"/>
    <w:link w:val="Header"/>
    <w:rsid w:val="006E164E"/>
    <w:rPr>
      <w:sz w:val="24"/>
      <w:szCs w:val="24"/>
    </w:rPr>
  </w:style>
  <w:style w:type="paragraph" w:styleId="Footer">
    <w:name w:val="footer"/>
    <w:basedOn w:val="Normal"/>
    <w:link w:val="FooterChar"/>
    <w:uiPriority w:val="99"/>
    <w:rsid w:val="006E164E"/>
    <w:pPr>
      <w:tabs>
        <w:tab w:val="center" w:pos="4680"/>
        <w:tab w:val="right" w:pos="9360"/>
      </w:tabs>
    </w:pPr>
  </w:style>
  <w:style w:type="character" w:customStyle="1" w:styleId="FooterChar">
    <w:name w:val="Footer Char"/>
    <w:link w:val="Footer"/>
    <w:uiPriority w:val="99"/>
    <w:rsid w:val="006E164E"/>
    <w:rPr>
      <w:sz w:val="24"/>
      <w:szCs w:val="24"/>
    </w:rPr>
  </w:style>
  <w:style w:type="character" w:customStyle="1" w:styleId="Heading1Char">
    <w:name w:val="Heading 1 Char"/>
    <w:link w:val="Heading1"/>
    <w:uiPriority w:val="1"/>
    <w:rsid w:val="00F03738"/>
    <w:rPr>
      <w:rFonts w:ascii="Arial" w:eastAsia="Arial" w:hAnsi="Arial"/>
      <w:b/>
      <w:bCs/>
      <w:sz w:val="32"/>
      <w:szCs w:val="32"/>
    </w:rPr>
  </w:style>
  <w:style w:type="character" w:customStyle="1" w:styleId="Heading2Char">
    <w:name w:val="Heading 2 Char"/>
    <w:link w:val="Heading2"/>
    <w:uiPriority w:val="1"/>
    <w:rsid w:val="00F03738"/>
    <w:rPr>
      <w:rFonts w:ascii="Arial" w:eastAsia="Arial" w:hAnsi="Arial"/>
      <w:b/>
      <w:bCs/>
      <w:sz w:val="26"/>
      <w:szCs w:val="26"/>
    </w:rPr>
  </w:style>
  <w:style w:type="character" w:customStyle="1" w:styleId="Heading3Char">
    <w:name w:val="Heading 3 Char"/>
    <w:link w:val="Heading3"/>
    <w:uiPriority w:val="1"/>
    <w:rsid w:val="00F03738"/>
    <w:rPr>
      <w:rFonts w:ascii="Arial" w:eastAsia="Arial" w:hAnsi="Arial"/>
      <w:b/>
      <w:bCs/>
      <w:sz w:val="22"/>
      <w:szCs w:val="22"/>
    </w:rPr>
  </w:style>
  <w:style w:type="paragraph" w:styleId="TOC1">
    <w:name w:val="toc 1"/>
    <w:basedOn w:val="Normal"/>
    <w:uiPriority w:val="1"/>
    <w:qFormat/>
    <w:rsid w:val="00F03738"/>
    <w:pPr>
      <w:widowControl w:val="0"/>
      <w:spacing w:before="238"/>
    </w:pPr>
    <w:rPr>
      <w:rFonts w:ascii="Arial" w:eastAsia="Arial" w:hAnsi="Arial"/>
      <w:b/>
      <w:bCs/>
      <w:sz w:val="20"/>
      <w:szCs w:val="20"/>
    </w:rPr>
  </w:style>
  <w:style w:type="paragraph" w:styleId="TOC2">
    <w:name w:val="toc 2"/>
    <w:basedOn w:val="Normal"/>
    <w:uiPriority w:val="1"/>
    <w:qFormat/>
    <w:rsid w:val="00F03738"/>
    <w:pPr>
      <w:widowControl w:val="0"/>
    </w:pPr>
    <w:rPr>
      <w:rFonts w:ascii="Arial" w:eastAsia="Arial" w:hAnsi="Arial"/>
      <w:sz w:val="18"/>
      <w:szCs w:val="18"/>
    </w:rPr>
  </w:style>
  <w:style w:type="paragraph" w:styleId="TOC3">
    <w:name w:val="toc 3"/>
    <w:basedOn w:val="Normal"/>
    <w:uiPriority w:val="1"/>
    <w:qFormat/>
    <w:rsid w:val="00F03738"/>
    <w:pPr>
      <w:widowControl w:val="0"/>
      <w:spacing w:before="115"/>
      <w:ind w:left="615" w:hanging="475"/>
    </w:pPr>
    <w:rPr>
      <w:rFonts w:ascii="Arial" w:eastAsia="Arial" w:hAnsi="Arial"/>
      <w:b/>
      <w:bCs/>
      <w:sz w:val="20"/>
      <w:szCs w:val="20"/>
    </w:rPr>
  </w:style>
  <w:style w:type="paragraph" w:styleId="TOC4">
    <w:name w:val="toc 4"/>
    <w:basedOn w:val="Normal"/>
    <w:uiPriority w:val="1"/>
    <w:qFormat/>
    <w:rsid w:val="00F03738"/>
    <w:pPr>
      <w:widowControl w:val="0"/>
      <w:ind w:left="817" w:hanging="432"/>
    </w:pPr>
    <w:rPr>
      <w:rFonts w:ascii="Arial" w:eastAsia="Arial" w:hAnsi="Arial"/>
      <w:sz w:val="18"/>
      <w:szCs w:val="18"/>
    </w:rPr>
  </w:style>
  <w:style w:type="paragraph" w:styleId="TOC5">
    <w:name w:val="toc 5"/>
    <w:basedOn w:val="Normal"/>
    <w:uiPriority w:val="1"/>
    <w:qFormat/>
    <w:rsid w:val="00F03738"/>
    <w:pPr>
      <w:widowControl w:val="0"/>
      <w:ind w:left="1191" w:hanging="576"/>
    </w:pPr>
    <w:rPr>
      <w:rFonts w:ascii="Arial" w:eastAsia="Arial" w:hAnsi="Arial"/>
      <w:sz w:val="18"/>
      <w:szCs w:val="18"/>
    </w:rPr>
  </w:style>
  <w:style w:type="paragraph" w:styleId="TOC6">
    <w:name w:val="toc 6"/>
    <w:basedOn w:val="Normal"/>
    <w:uiPriority w:val="1"/>
    <w:qFormat/>
    <w:rsid w:val="00F03738"/>
    <w:pPr>
      <w:widowControl w:val="0"/>
      <w:ind w:left="1508" w:hanging="648"/>
    </w:pPr>
    <w:rPr>
      <w:rFonts w:ascii="Arial" w:eastAsia="Arial" w:hAnsi="Arial"/>
      <w:sz w:val="16"/>
      <w:szCs w:val="16"/>
    </w:rPr>
  </w:style>
  <w:style w:type="paragraph" w:styleId="BodyText">
    <w:name w:val="Body Text"/>
    <w:basedOn w:val="Normal"/>
    <w:link w:val="BodyTextChar"/>
    <w:uiPriority w:val="1"/>
    <w:qFormat/>
    <w:rsid w:val="00F03738"/>
    <w:pPr>
      <w:widowControl w:val="0"/>
      <w:ind w:left="140"/>
    </w:pPr>
    <w:rPr>
      <w:sz w:val="22"/>
      <w:szCs w:val="22"/>
    </w:rPr>
  </w:style>
  <w:style w:type="character" w:customStyle="1" w:styleId="BodyTextChar">
    <w:name w:val="Body Text Char"/>
    <w:link w:val="BodyText"/>
    <w:uiPriority w:val="1"/>
    <w:rsid w:val="00F03738"/>
    <w:rPr>
      <w:sz w:val="22"/>
      <w:szCs w:val="22"/>
    </w:rPr>
  </w:style>
  <w:style w:type="paragraph" w:styleId="ListParagraph">
    <w:name w:val="List Paragraph"/>
    <w:basedOn w:val="Normal"/>
    <w:uiPriority w:val="34"/>
    <w:qFormat/>
    <w:rsid w:val="00F03738"/>
    <w:pPr>
      <w:widowControl w:val="0"/>
    </w:pPr>
    <w:rPr>
      <w:rFonts w:ascii="Calibri" w:eastAsia="Calibri" w:hAnsi="Calibri"/>
      <w:sz w:val="22"/>
      <w:szCs w:val="22"/>
    </w:rPr>
  </w:style>
  <w:style w:type="paragraph" w:customStyle="1" w:styleId="TableParagraph">
    <w:name w:val="Table Paragraph"/>
    <w:basedOn w:val="Normal"/>
    <w:uiPriority w:val="1"/>
    <w:qFormat/>
    <w:rsid w:val="00F03738"/>
    <w:pPr>
      <w:widowControl w:val="0"/>
    </w:pPr>
    <w:rPr>
      <w:rFonts w:ascii="Calibri" w:eastAsia="Calibri" w:hAnsi="Calibri"/>
      <w:sz w:val="22"/>
      <w:szCs w:val="22"/>
    </w:rPr>
  </w:style>
  <w:style w:type="character" w:customStyle="1" w:styleId="BalloonTextChar">
    <w:name w:val="Balloon Text Char"/>
    <w:link w:val="BalloonText"/>
    <w:uiPriority w:val="99"/>
    <w:semiHidden/>
    <w:rsid w:val="00F03738"/>
    <w:rPr>
      <w:rFonts w:ascii="Tahoma" w:hAnsi="Tahoma" w:cs="Tahoma"/>
      <w:sz w:val="16"/>
      <w:szCs w:val="16"/>
    </w:rPr>
  </w:style>
  <w:style w:type="paragraph" w:customStyle="1" w:styleId="CM32">
    <w:name w:val="CM32"/>
    <w:basedOn w:val="Normal"/>
    <w:next w:val="Normal"/>
    <w:uiPriority w:val="99"/>
    <w:rsid w:val="00C9648B"/>
    <w:pPr>
      <w:widowControl w:val="0"/>
      <w:autoSpaceDE w:val="0"/>
      <w:autoSpaceDN w:val="0"/>
      <w:adjustRightInd w:val="0"/>
      <w:spacing w:after="75"/>
    </w:pPr>
    <w:rPr>
      <w:rFonts w:ascii="FBIFD J+ Melior" w:hAnsi="FBIFD J+ Melior" w:cs="FBIFD J+ Melior"/>
    </w:rPr>
  </w:style>
  <w:style w:type="paragraph" w:styleId="NormalWeb">
    <w:name w:val="Normal (Web)"/>
    <w:basedOn w:val="Normal"/>
    <w:rsid w:val="001A6A0C"/>
  </w:style>
  <w:style w:type="paragraph" w:styleId="Revision">
    <w:name w:val="Revision"/>
    <w:hidden/>
    <w:uiPriority w:val="99"/>
    <w:semiHidden/>
    <w:rsid w:val="00324196"/>
    <w:rPr>
      <w:sz w:val="24"/>
      <w:szCs w:val="24"/>
    </w:rPr>
  </w:style>
  <w:style w:type="character" w:styleId="FollowedHyperlink">
    <w:name w:val="FollowedHyperlink"/>
    <w:rsid w:val="00324196"/>
    <w:rPr>
      <w:color w:val="800080"/>
      <w:u w:val="single"/>
    </w:rPr>
  </w:style>
  <w:style w:type="paragraph" w:styleId="FootnoteText">
    <w:name w:val="footnote text"/>
    <w:basedOn w:val="Normal"/>
    <w:link w:val="FootnoteTextChar"/>
    <w:uiPriority w:val="99"/>
    <w:rsid w:val="00E453E8"/>
    <w:pPr>
      <w:jc w:val="both"/>
    </w:pPr>
    <w:rPr>
      <w:rFonts w:ascii="Arial" w:hAnsi="Arial"/>
      <w:sz w:val="18"/>
      <w:szCs w:val="20"/>
    </w:rPr>
  </w:style>
  <w:style w:type="character" w:customStyle="1" w:styleId="FootnoteTextChar">
    <w:name w:val="Footnote Text Char"/>
    <w:basedOn w:val="DefaultParagraphFont"/>
    <w:link w:val="FootnoteText"/>
    <w:uiPriority w:val="99"/>
    <w:rsid w:val="00E453E8"/>
    <w:rPr>
      <w:rFonts w:ascii="Arial" w:hAnsi="Arial"/>
      <w:sz w:val="18"/>
    </w:rPr>
  </w:style>
  <w:style w:type="character" w:styleId="FootnoteReference">
    <w:name w:val="footnote reference"/>
    <w:uiPriority w:val="99"/>
    <w:rsid w:val="00E453E8"/>
    <w:rPr>
      <w:vertAlign w:val="superscript"/>
    </w:rPr>
  </w:style>
  <w:style w:type="table" w:styleId="TableGrid">
    <w:name w:val="Table Grid"/>
    <w:basedOn w:val="TableNormal"/>
    <w:rsid w:val="008E7BB4"/>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E7DD3"/>
    <w:rPr>
      <w:b/>
      <w:bCs/>
    </w:rPr>
  </w:style>
  <w:style w:type="character" w:customStyle="1" w:styleId="CommentTextChar">
    <w:name w:val="Comment Text Char"/>
    <w:basedOn w:val="DefaultParagraphFont"/>
    <w:link w:val="CommentText"/>
    <w:uiPriority w:val="99"/>
    <w:locked/>
    <w:rsid w:val="00082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26324">
      <w:bodyDiv w:val="1"/>
      <w:marLeft w:val="0"/>
      <w:marRight w:val="0"/>
      <w:marTop w:val="0"/>
      <w:marBottom w:val="0"/>
      <w:divBdr>
        <w:top w:val="none" w:sz="0" w:space="0" w:color="auto"/>
        <w:left w:val="none" w:sz="0" w:space="0" w:color="auto"/>
        <w:bottom w:val="none" w:sz="0" w:space="0" w:color="auto"/>
        <w:right w:val="none" w:sz="0" w:space="0" w:color="auto"/>
      </w:divBdr>
    </w:div>
    <w:div w:id="1060009787">
      <w:bodyDiv w:val="1"/>
      <w:marLeft w:val="0"/>
      <w:marRight w:val="0"/>
      <w:marTop w:val="0"/>
      <w:marBottom w:val="0"/>
      <w:divBdr>
        <w:top w:val="none" w:sz="0" w:space="0" w:color="auto"/>
        <w:left w:val="none" w:sz="0" w:space="0" w:color="auto"/>
        <w:bottom w:val="none" w:sz="0" w:space="0" w:color="auto"/>
        <w:right w:val="none" w:sz="0" w:space="0" w:color="auto"/>
      </w:divBdr>
    </w:div>
    <w:div w:id="1433087855">
      <w:bodyDiv w:val="1"/>
      <w:marLeft w:val="0"/>
      <w:marRight w:val="0"/>
      <w:marTop w:val="0"/>
      <w:marBottom w:val="0"/>
      <w:divBdr>
        <w:top w:val="none" w:sz="0" w:space="0" w:color="auto"/>
        <w:left w:val="none" w:sz="0" w:space="0" w:color="auto"/>
        <w:bottom w:val="none" w:sz="0" w:space="0" w:color="auto"/>
        <w:right w:val="none" w:sz="0" w:space="0" w:color="auto"/>
      </w:divBdr>
    </w:div>
    <w:div w:id="1728407239">
      <w:bodyDiv w:val="1"/>
      <w:marLeft w:val="0"/>
      <w:marRight w:val="0"/>
      <w:marTop w:val="0"/>
      <w:marBottom w:val="0"/>
      <w:divBdr>
        <w:top w:val="none" w:sz="0" w:space="0" w:color="auto"/>
        <w:left w:val="none" w:sz="0" w:space="0" w:color="auto"/>
        <w:bottom w:val="none" w:sz="0" w:space="0" w:color="auto"/>
        <w:right w:val="none" w:sz="0" w:space="0" w:color="auto"/>
      </w:divBdr>
    </w:div>
    <w:div w:id="1781995710">
      <w:bodyDiv w:val="1"/>
      <w:marLeft w:val="0"/>
      <w:marRight w:val="0"/>
      <w:marTop w:val="0"/>
      <w:marBottom w:val="0"/>
      <w:divBdr>
        <w:top w:val="none" w:sz="0" w:space="0" w:color="auto"/>
        <w:left w:val="none" w:sz="0" w:space="0" w:color="auto"/>
        <w:bottom w:val="none" w:sz="0" w:space="0" w:color="auto"/>
        <w:right w:val="none" w:sz="0" w:space="0" w:color="auto"/>
      </w:divBdr>
    </w:div>
    <w:div w:id="213930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laskafisheries.noaa.gov/sustainablefisheries/observ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laskafisheries.noaa.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laskafisheries.noaa.gov/cdq/allocations/annualmatrix2015.pdf"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regulation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852B2-5130-4D41-9068-AB42D3F51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12151</Words>
  <Characters>64861</Characters>
  <Application>Microsoft Office Word</Application>
  <DocSecurity>0</DocSecurity>
  <Lines>540</Lines>
  <Paragraphs>153</Paragraphs>
  <ScaleCrop>false</ScaleCrop>
  <HeadingPairs>
    <vt:vector size="2" baseType="variant">
      <vt:variant>
        <vt:lpstr>Title</vt:lpstr>
      </vt:variant>
      <vt:variant>
        <vt:i4>1</vt:i4>
      </vt:variant>
    </vt:vector>
  </HeadingPairs>
  <TitlesOfParts>
    <vt:vector size="1" baseType="lpstr">
      <vt:lpstr>Billing Code: 3510-22-S</vt:lpstr>
    </vt:vector>
  </TitlesOfParts>
  <Company>US DOC/NOAA Fisheries</Company>
  <LinksUpToDate>false</LinksUpToDate>
  <CharactersWithSpaces>76859</CharactersWithSpaces>
  <SharedDoc>false</SharedDoc>
  <HLinks>
    <vt:vector size="30" baseType="variant">
      <vt:variant>
        <vt:i4>3276858</vt:i4>
      </vt:variant>
      <vt:variant>
        <vt:i4>14</vt:i4>
      </vt:variant>
      <vt:variant>
        <vt:i4>0</vt:i4>
      </vt:variant>
      <vt:variant>
        <vt:i4>5</vt:i4>
      </vt:variant>
      <vt:variant>
        <vt:lpwstr>http://alaskafisheries.noaa.gov/frules/77fr6492.pdf</vt:lpwstr>
      </vt:variant>
      <vt:variant>
        <vt:lpwstr/>
      </vt:variant>
      <vt:variant>
        <vt:i4>4915280</vt:i4>
      </vt:variant>
      <vt:variant>
        <vt:i4>11</vt:i4>
      </vt:variant>
      <vt:variant>
        <vt:i4>0</vt:i4>
      </vt:variant>
      <vt:variant>
        <vt:i4>5</vt:i4>
      </vt:variant>
      <vt:variant>
        <vt:lpwstr>http://alaskafisheries.noaa.gov/</vt:lpwstr>
      </vt:variant>
      <vt:variant>
        <vt:lpwstr/>
      </vt:variant>
      <vt:variant>
        <vt:i4>2818151</vt:i4>
      </vt:variant>
      <vt:variant>
        <vt:i4>8</vt:i4>
      </vt:variant>
      <vt:variant>
        <vt:i4>0</vt:i4>
      </vt:variant>
      <vt:variant>
        <vt:i4>5</vt:i4>
      </vt:variant>
      <vt:variant>
        <vt:lpwstr>http://www.regulations.gov/</vt:lpwstr>
      </vt:variant>
      <vt:variant>
        <vt:lpwstr/>
      </vt:variant>
      <vt:variant>
        <vt:i4>2818151</vt:i4>
      </vt:variant>
      <vt:variant>
        <vt:i4>5</vt:i4>
      </vt:variant>
      <vt:variant>
        <vt:i4>0</vt:i4>
      </vt:variant>
      <vt:variant>
        <vt:i4>5</vt:i4>
      </vt:variant>
      <vt:variant>
        <vt:lpwstr>http://www.regulations.gov/</vt:lpwstr>
      </vt:variant>
      <vt:variant>
        <vt:lpwstr/>
      </vt:variant>
      <vt:variant>
        <vt:i4>6488163</vt:i4>
      </vt:variant>
      <vt:variant>
        <vt:i4>2</vt:i4>
      </vt:variant>
      <vt:variant>
        <vt:i4>0</vt:i4>
      </vt:variant>
      <vt:variant>
        <vt:i4>5</vt:i4>
      </vt:variant>
      <vt:variant>
        <vt:lpwstr>http://www.regulations.gov/</vt:lpwstr>
      </vt:variant>
      <vt:variant>
        <vt:lpwstr>%21docketDetail;D=[FDMS%20Docket%20Number]</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 3510-22-S</dc:title>
  <dc:creator>Obren Davis</dc:creator>
  <cp:lastModifiedBy>Patsy Bearden</cp:lastModifiedBy>
  <cp:revision>2</cp:revision>
  <cp:lastPrinted>2016-01-08T19:44:00Z</cp:lastPrinted>
  <dcterms:created xsi:type="dcterms:W3CDTF">2016-01-13T18:28:00Z</dcterms:created>
  <dcterms:modified xsi:type="dcterms:W3CDTF">2016-01-13T18:28:00Z</dcterms:modified>
</cp:coreProperties>
</file>