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CBB" w:rsidRPr="00A615AF" w:rsidRDefault="005B7CBB" w:rsidP="002E533D">
      <w:pPr>
        <w:spacing w:after="0" w:line="240" w:lineRule="auto"/>
        <w:ind w:right="-30" w:firstLine="1"/>
        <w:jc w:val="center"/>
        <w:rPr>
          <w:rFonts w:ascii="Times New Roman" w:eastAsia="Times New Roman" w:hAnsi="Times New Roman" w:cs="Times New Roman"/>
          <w:sz w:val="24"/>
          <w:szCs w:val="24"/>
        </w:rPr>
      </w:pPr>
      <w:r w:rsidRPr="00A615AF">
        <w:rPr>
          <w:rFonts w:ascii="Times New Roman" w:eastAsia="Times New Roman" w:hAnsi="Times New Roman" w:cs="Times New Roman"/>
          <w:b/>
          <w:bCs/>
          <w:spacing w:val="-3"/>
          <w:sz w:val="24"/>
          <w:szCs w:val="24"/>
        </w:rPr>
        <w:t>P</w:t>
      </w:r>
      <w:r w:rsidRPr="00A615AF">
        <w:rPr>
          <w:rFonts w:ascii="Times New Roman" w:eastAsia="Times New Roman" w:hAnsi="Times New Roman" w:cs="Times New Roman"/>
          <w:b/>
          <w:bCs/>
          <w:spacing w:val="2"/>
          <w:sz w:val="24"/>
          <w:szCs w:val="24"/>
        </w:rPr>
        <w:t>A</w:t>
      </w:r>
      <w:r w:rsidRPr="00A615AF">
        <w:rPr>
          <w:rFonts w:ascii="Times New Roman" w:eastAsia="Times New Roman" w:hAnsi="Times New Roman" w:cs="Times New Roman"/>
          <w:b/>
          <w:bCs/>
          <w:spacing w:val="-3"/>
          <w:sz w:val="24"/>
          <w:szCs w:val="24"/>
        </w:rPr>
        <w:t>P</w:t>
      </w:r>
      <w:r w:rsidRPr="00A615AF">
        <w:rPr>
          <w:rFonts w:ascii="Times New Roman" w:eastAsia="Times New Roman" w:hAnsi="Times New Roman" w:cs="Times New Roman"/>
          <w:b/>
          <w:bCs/>
          <w:spacing w:val="1"/>
          <w:sz w:val="24"/>
          <w:szCs w:val="24"/>
        </w:rPr>
        <w:t>E</w:t>
      </w:r>
      <w:r w:rsidRPr="00A615AF">
        <w:rPr>
          <w:rFonts w:ascii="Times New Roman" w:eastAsia="Times New Roman" w:hAnsi="Times New Roman" w:cs="Times New Roman"/>
          <w:b/>
          <w:bCs/>
          <w:sz w:val="24"/>
          <w:szCs w:val="24"/>
        </w:rPr>
        <w:t>RWO</w:t>
      </w:r>
      <w:r w:rsidRPr="00A615AF">
        <w:rPr>
          <w:rFonts w:ascii="Times New Roman" w:eastAsia="Times New Roman" w:hAnsi="Times New Roman" w:cs="Times New Roman"/>
          <w:b/>
          <w:bCs/>
          <w:spacing w:val="2"/>
          <w:sz w:val="24"/>
          <w:szCs w:val="24"/>
        </w:rPr>
        <w:t>R</w:t>
      </w:r>
      <w:r w:rsidRPr="00A615AF">
        <w:rPr>
          <w:rFonts w:ascii="Times New Roman" w:eastAsia="Times New Roman" w:hAnsi="Times New Roman" w:cs="Times New Roman"/>
          <w:b/>
          <w:bCs/>
          <w:sz w:val="24"/>
          <w:szCs w:val="24"/>
        </w:rPr>
        <w:t>K</w:t>
      </w:r>
      <w:r w:rsidRPr="00A615AF">
        <w:rPr>
          <w:rFonts w:ascii="Times New Roman" w:eastAsia="Times New Roman" w:hAnsi="Times New Roman" w:cs="Times New Roman"/>
          <w:b/>
          <w:bCs/>
          <w:spacing w:val="-2"/>
          <w:sz w:val="24"/>
          <w:szCs w:val="24"/>
        </w:rPr>
        <w:t xml:space="preserve"> </w:t>
      </w:r>
      <w:r w:rsidRPr="00A615AF">
        <w:rPr>
          <w:rFonts w:ascii="Times New Roman" w:eastAsia="Times New Roman" w:hAnsi="Times New Roman" w:cs="Times New Roman"/>
          <w:b/>
          <w:bCs/>
          <w:sz w:val="24"/>
          <w:szCs w:val="24"/>
        </w:rPr>
        <w:t>R</w:t>
      </w:r>
      <w:r w:rsidRPr="00A615AF">
        <w:rPr>
          <w:rFonts w:ascii="Times New Roman" w:eastAsia="Times New Roman" w:hAnsi="Times New Roman" w:cs="Times New Roman"/>
          <w:b/>
          <w:bCs/>
          <w:spacing w:val="1"/>
          <w:sz w:val="24"/>
          <w:szCs w:val="24"/>
        </w:rPr>
        <w:t>E</w:t>
      </w:r>
      <w:r w:rsidRPr="00A615AF">
        <w:rPr>
          <w:rFonts w:ascii="Times New Roman" w:eastAsia="Times New Roman" w:hAnsi="Times New Roman" w:cs="Times New Roman"/>
          <w:b/>
          <w:bCs/>
          <w:spacing w:val="2"/>
          <w:sz w:val="24"/>
          <w:szCs w:val="24"/>
        </w:rPr>
        <w:t>DU</w:t>
      </w:r>
      <w:r w:rsidRPr="00A615AF">
        <w:rPr>
          <w:rFonts w:ascii="Times New Roman" w:eastAsia="Times New Roman" w:hAnsi="Times New Roman" w:cs="Times New Roman"/>
          <w:b/>
          <w:bCs/>
          <w:sz w:val="24"/>
          <w:szCs w:val="24"/>
        </w:rPr>
        <w:t>C</w:t>
      </w:r>
      <w:r w:rsidRPr="00A615AF">
        <w:rPr>
          <w:rFonts w:ascii="Times New Roman" w:eastAsia="Times New Roman" w:hAnsi="Times New Roman" w:cs="Times New Roman"/>
          <w:b/>
          <w:bCs/>
          <w:spacing w:val="1"/>
          <w:sz w:val="24"/>
          <w:szCs w:val="24"/>
        </w:rPr>
        <w:t>T</w:t>
      </w:r>
      <w:r w:rsidRPr="00A615AF">
        <w:rPr>
          <w:rFonts w:ascii="Times New Roman" w:eastAsia="Times New Roman" w:hAnsi="Times New Roman" w:cs="Times New Roman"/>
          <w:b/>
          <w:bCs/>
          <w:sz w:val="24"/>
          <w:szCs w:val="24"/>
        </w:rPr>
        <w:t xml:space="preserve">ION ACT </w:t>
      </w:r>
      <w:r w:rsidRPr="00A615AF">
        <w:rPr>
          <w:rFonts w:ascii="Times New Roman" w:eastAsia="Times New Roman" w:hAnsi="Times New Roman" w:cs="Times New Roman"/>
          <w:b/>
          <w:bCs/>
          <w:spacing w:val="1"/>
          <w:sz w:val="24"/>
          <w:szCs w:val="24"/>
        </w:rPr>
        <w:t>S</w:t>
      </w:r>
      <w:r w:rsidRPr="00A615AF">
        <w:rPr>
          <w:rFonts w:ascii="Times New Roman" w:eastAsia="Times New Roman" w:hAnsi="Times New Roman" w:cs="Times New Roman"/>
          <w:b/>
          <w:bCs/>
          <w:sz w:val="24"/>
          <w:szCs w:val="24"/>
        </w:rPr>
        <w:t>UP</w:t>
      </w:r>
      <w:r w:rsidRPr="00A615AF">
        <w:rPr>
          <w:rFonts w:ascii="Times New Roman" w:eastAsia="Times New Roman" w:hAnsi="Times New Roman" w:cs="Times New Roman"/>
          <w:b/>
          <w:bCs/>
          <w:spacing w:val="-3"/>
          <w:sz w:val="24"/>
          <w:szCs w:val="24"/>
        </w:rPr>
        <w:t>P</w:t>
      </w:r>
      <w:r w:rsidRPr="00A615AF">
        <w:rPr>
          <w:rFonts w:ascii="Times New Roman" w:eastAsia="Times New Roman" w:hAnsi="Times New Roman" w:cs="Times New Roman"/>
          <w:b/>
          <w:bCs/>
          <w:sz w:val="24"/>
          <w:szCs w:val="24"/>
        </w:rPr>
        <w:t>OR</w:t>
      </w:r>
      <w:r w:rsidRPr="00A615AF">
        <w:rPr>
          <w:rFonts w:ascii="Times New Roman" w:eastAsia="Times New Roman" w:hAnsi="Times New Roman" w:cs="Times New Roman"/>
          <w:b/>
          <w:bCs/>
          <w:spacing w:val="1"/>
          <w:sz w:val="24"/>
          <w:szCs w:val="24"/>
        </w:rPr>
        <w:t>T</w:t>
      </w:r>
      <w:r w:rsidRPr="00A615AF">
        <w:rPr>
          <w:rFonts w:ascii="Times New Roman" w:eastAsia="Times New Roman" w:hAnsi="Times New Roman" w:cs="Times New Roman"/>
          <w:b/>
          <w:bCs/>
          <w:sz w:val="24"/>
          <w:szCs w:val="24"/>
        </w:rPr>
        <w:t>I</w:t>
      </w:r>
      <w:r w:rsidRPr="00A615AF">
        <w:rPr>
          <w:rFonts w:ascii="Times New Roman" w:eastAsia="Times New Roman" w:hAnsi="Times New Roman" w:cs="Times New Roman"/>
          <w:b/>
          <w:bCs/>
          <w:spacing w:val="2"/>
          <w:sz w:val="24"/>
          <w:szCs w:val="24"/>
        </w:rPr>
        <w:t>N</w:t>
      </w:r>
      <w:r w:rsidRPr="00A615AF">
        <w:rPr>
          <w:rFonts w:ascii="Times New Roman" w:eastAsia="Times New Roman" w:hAnsi="Times New Roman" w:cs="Times New Roman"/>
          <w:b/>
          <w:bCs/>
          <w:sz w:val="24"/>
          <w:szCs w:val="24"/>
        </w:rPr>
        <w:t>G</w:t>
      </w:r>
      <w:r w:rsidRPr="00A615AF">
        <w:rPr>
          <w:rFonts w:ascii="Times New Roman" w:eastAsia="Times New Roman" w:hAnsi="Times New Roman" w:cs="Times New Roman"/>
          <w:b/>
          <w:bCs/>
          <w:spacing w:val="-2"/>
          <w:sz w:val="24"/>
          <w:szCs w:val="24"/>
        </w:rPr>
        <w:t xml:space="preserve"> </w:t>
      </w:r>
      <w:r w:rsidRPr="00A615AF">
        <w:rPr>
          <w:rFonts w:ascii="Times New Roman" w:eastAsia="Times New Roman" w:hAnsi="Times New Roman" w:cs="Times New Roman"/>
          <w:b/>
          <w:bCs/>
          <w:spacing w:val="1"/>
          <w:sz w:val="24"/>
          <w:szCs w:val="24"/>
        </w:rPr>
        <w:t>ST</w:t>
      </w:r>
      <w:r w:rsidRPr="00A615AF">
        <w:rPr>
          <w:rFonts w:ascii="Times New Roman" w:eastAsia="Times New Roman" w:hAnsi="Times New Roman" w:cs="Times New Roman"/>
          <w:b/>
          <w:bCs/>
          <w:sz w:val="24"/>
          <w:szCs w:val="24"/>
        </w:rPr>
        <w:t>A</w:t>
      </w:r>
      <w:r w:rsidRPr="00A615AF">
        <w:rPr>
          <w:rFonts w:ascii="Times New Roman" w:eastAsia="Times New Roman" w:hAnsi="Times New Roman" w:cs="Times New Roman"/>
          <w:b/>
          <w:bCs/>
          <w:spacing w:val="1"/>
          <w:sz w:val="24"/>
          <w:szCs w:val="24"/>
        </w:rPr>
        <w:t>TE</w:t>
      </w:r>
      <w:r w:rsidRPr="00A615AF">
        <w:rPr>
          <w:rFonts w:ascii="Times New Roman" w:eastAsia="Times New Roman" w:hAnsi="Times New Roman" w:cs="Times New Roman"/>
          <w:b/>
          <w:bCs/>
          <w:spacing w:val="-1"/>
          <w:sz w:val="24"/>
          <w:szCs w:val="24"/>
        </w:rPr>
        <w:t>M</w:t>
      </w:r>
      <w:r w:rsidRPr="00A615AF">
        <w:rPr>
          <w:rFonts w:ascii="Times New Roman" w:eastAsia="Times New Roman" w:hAnsi="Times New Roman" w:cs="Times New Roman"/>
          <w:b/>
          <w:bCs/>
          <w:spacing w:val="1"/>
          <w:sz w:val="24"/>
          <w:szCs w:val="24"/>
        </w:rPr>
        <w:t>E</w:t>
      </w:r>
      <w:r w:rsidRPr="00A615AF">
        <w:rPr>
          <w:rFonts w:ascii="Times New Roman" w:eastAsia="Times New Roman" w:hAnsi="Times New Roman" w:cs="Times New Roman"/>
          <w:b/>
          <w:bCs/>
          <w:sz w:val="24"/>
          <w:szCs w:val="24"/>
        </w:rPr>
        <w:t>NT</w:t>
      </w:r>
    </w:p>
    <w:p w:rsidR="005B7CBB" w:rsidRPr="00A615AF" w:rsidRDefault="005B7CBB" w:rsidP="002E533D">
      <w:pPr>
        <w:spacing w:after="0" w:line="240" w:lineRule="auto"/>
        <w:rPr>
          <w:rFonts w:ascii="Times New Roman" w:hAnsi="Times New Roman" w:cs="Times New Roman"/>
          <w:sz w:val="24"/>
          <w:szCs w:val="24"/>
        </w:rPr>
      </w:pPr>
    </w:p>
    <w:p w:rsidR="005B7CBB" w:rsidRPr="00A615AF" w:rsidRDefault="00D3727E" w:rsidP="002E533D">
      <w:pPr>
        <w:spacing w:after="0" w:line="240" w:lineRule="auto"/>
        <w:ind w:right="-30"/>
        <w:jc w:val="center"/>
        <w:rPr>
          <w:rFonts w:ascii="Times New Roman" w:eastAsia="Times New Roman" w:hAnsi="Times New Roman" w:cs="Times New Roman"/>
          <w:sz w:val="24"/>
          <w:szCs w:val="24"/>
        </w:rPr>
      </w:pPr>
      <w:r>
        <w:rPr>
          <w:rFonts w:ascii="Times New Roman" w:hAnsi="Times New Roman" w:cs="Times New Roman"/>
          <w:b/>
          <w:sz w:val="24"/>
          <w:szCs w:val="24"/>
        </w:rPr>
        <w:t>ORDER GRANTING A CONDITIONAL EXEMPTION UNDER THE                    SECURITIES EXCHANGE ACT OF 1934 FROM THE CONFIRMATION REQUIREMENTS OF EXCHANGE ACT RULE 10b-10(a) FOR CERTAIN TRANSACTIONS IN MONEY MARKET FUNDS</w:t>
      </w:r>
    </w:p>
    <w:p w:rsidR="005B7CBB" w:rsidRPr="00A615AF" w:rsidRDefault="005B7CBB" w:rsidP="002E533D">
      <w:pPr>
        <w:pBdr>
          <w:bottom w:val="single" w:sz="4" w:space="1" w:color="auto"/>
        </w:pBdr>
        <w:spacing w:after="0" w:line="240" w:lineRule="auto"/>
        <w:rPr>
          <w:rFonts w:ascii="Times New Roman" w:hAnsi="Times New Roman" w:cs="Times New Roman"/>
          <w:sz w:val="24"/>
          <w:szCs w:val="24"/>
        </w:rPr>
      </w:pPr>
    </w:p>
    <w:p w:rsidR="005B7CBB" w:rsidRPr="00A615AF" w:rsidRDefault="005B7CBB" w:rsidP="002E533D">
      <w:pPr>
        <w:spacing w:after="0" w:line="240" w:lineRule="auto"/>
        <w:rPr>
          <w:rFonts w:ascii="Times New Roman" w:hAnsi="Times New Roman" w:cs="Times New Roman"/>
          <w:sz w:val="24"/>
          <w:szCs w:val="24"/>
        </w:rPr>
      </w:pPr>
    </w:p>
    <w:p w:rsidR="005B7CBB" w:rsidRPr="00780AAC" w:rsidRDefault="005B7CBB" w:rsidP="00B27B52">
      <w:pPr>
        <w:pStyle w:val="Heading1"/>
      </w:pPr>
      <w:r w:rsidRPr="00A615AF">
        <w:rPr>
          <w:spacing w:val="-3"/>
        </w:rPr>
        <w:t>A</w:t>
      </w:r>
      <w:r w:rsidRPr="00A615AF">
        <w:t>.</w:t>
      </w:r>
      <w:r w:rsidRPr="00A615AF">
        <w:tab/>
        <w:t>J</w:t>
      </w:r>
      <w:r w:rsidRPr="00A615AF">
        <w:rPr>
          <w:spacing w:val="-1"/>
        </w:rPr>
        <w:t>u</w:t>
      </w:r>
      <w:r w:rsidRPr="00A615AF">
        <w:t>s</w:t>
      </w:r>
      <w:r w:rsidRPr="00A615AF">
        <w:rPr>
          <w:spacing w:val="-6"/>
        </w:rPr>
        <w:t>t</w:t>
      </w:r>
      <w:r w:rsidRPr="00A615AF">
        <w:rPr>
          <w:spacing w:val="-4"/>
        </w:rPr>
        <w:t>i</w:t>
      </w:r>
      <w:r w:rsidRPr="00A615AF">
        <w:rPr>
          <w:spacing w:val="-1"/>
        </w:rPr>
        <w:t>f</w:t>
      </w:r>
      <w:r w:rsidRPr="00A615AF">
        <w:t>i</w:t>
      </w:r>
      <w:r w:rsidRPr="00A615AF">
        <w:rPr>
          <w:spacing w:val="-3"/>
        </w:rPr>
        <w:t>c</w:t>
      </w:r>
      <w:r w:rsidRPr="00A615AF">
        <w:t>a</w:t>
      </w:r>
      <w:r w:rsidRPr="00A615AF">
        <w:rPr>
          <w:spacing w:val="-6"/>
        </w:rPr>
        <w:t>t</w:t>
      </w:r>
      <w:r w:rsidRPr="00A615AF">
        <w:t>ion</w:t>
      </w:r>
    </w:p>
    <w:p w:rsidR="005B7CBB" w:rsidRPr="00A615AF" w:rsidRDefault="005B7CBB" w:rsidP="002E533D">
      <w:pPr>
        <w:keepNext/>
        <w:spacing w:after="0" w:line="240" w:lineRule="auto"/>
        <w:rPr>
          <w:rFonts w:ascii="Times New Roman" w:hAnsi="Times New Roman" w:cs="Times New Roman"/>
          <w:sz w:val="24"/>
          <w:szCs w:val="24"/>
        </w:rPr>
      </w:pPr>
    </w:p>
    <w:p w:rsidR="005B7CBB" w:rsidRPr="00780AAC" w:rsidRDefault="005B7CBB" w:rsidP="00B27B52">
      <w:pPr>
        <w:pStyle w:val="Heading2"/>
      </w:pPr>
      <w:r w:rsidRPr="00A615AF">
        <w:t>1.</w:t>
      </w:r>
      <w:r w:rsidRPr="00A615AF">
        <w:tab/>
      </w:r>
      <w:r w:rsidRPr="00A615AF">
        <w:rPr>
          <w:spacing w:val="-5"/>
        </w:rPr>
        <w:t>N</w:t>
      </w:r>
      <w:r w:rsidRPr="00A615AF">
        <w:rPr>
          <w:spacing w:val="-3"/>
        </w:rPr>
        <w:t>ece</w:t>
      </w:r>
      <w:r w:rsidRPr="00A615AF">
        <w:t>ssity</w:t>
      </w:r>
      <w:r w:rsidR="008C1C48" w:rsidRPr="00A615AF">
        <w:t xml:space="preserve"> </w:t>
      </w:r>
      <w:r w:rsidR="00B04295" w:rsidRPr="00A615AF">
        <w:t xml:space="preserve">of </w:t>
      </w:r>
      <w:r w:rsidR="00B04295" w:rsidRPr="00A615AF">
        <w:rPr>
          <w:spacing w:val="-8"/>
        </w:rPr>
        <w:t>I</w:t>
      </w:r>
      <w:r w:rsidR="00B04295" w:rsidRPr="00A615AF">
        <w:t>n</w:t>
      </w:r>
      <w:r w:rsidR="00B04295" w:rsidRPr="00A615AF">
        <w:rPr>
          <w:spacing w:val="-3"/>
        </w:rPr>
        <w:t>f</w:t>
      </w:r>
      <w:r w:rsidR="00B04295" w:rsidRPr="00A615AF">
        <w:t>o</w:t>
      </w:r>
      <w:r w:rsidR="00B04295" w:rsidRPr="00A615AF">
        <w:rPr>
          <w:spacing w:val="-3"/>
        </w:rPr>
        <w:t>r</w:t>
      </w:r>
      <w:r w:rsidR="00B04295" w:rsidRPr="00A615AF">
        <w:t>m</w:t>
      </w:r>
      <w:r w:rsidR="00B04295" w:rsidRPr="00A615AF">
        <w:rPr>
          <w:spacing w:val="-3"/>
        </w:rPr>
        <w:t>a</w:t>
      </w:r>
      <w:r w:rsidR="00B04295" w:rsidRPr="00A615AF">
        <w:t>tion</w:t>
      </w:r>
      <w:r w:rsidR="00B04295" w:rsidRPr="00A615AF">
        <w:rPr>
          <w:spacing w:val="-7"/>
        </w:rPr>
        <w:t xml:space="preserve"> </w:t>
      </w:r>
      <w:r w:rsidR="00B04295" w:rsidRPr="00A615AF">
        <w:t>C</w:t>
      </w:r>
      <w:r w:rsidR="00B04295" w:rsidRPr="00A615AF">
        <w:rPr>
          <w:spacing w:val="-5"/>
        </w:rPr>
        <w:t>o</w:t>
      </w:r>
      <w:r w:rsidR="00B04295" w:rsidRPr="00A615AF">
        <w:t>ll</w:t>
      </w:r>
      <w:r w:rsidR="00B04295" w:rsidRPr="00A615AF">
        <w:rPr>
          <w:spacing w:val="-3"/>
        </w:rPr>
        <w:t>ec</w:t>
      </w:r>
      <w:r w:rsidR="00B04295" w:rsidRPr="00A615AF">
        <w:rPr>
          <w:spacing w:val="-4"/>
        </w:rPr>
        <w:t>t</w:t>
      </w:r>
      <w:r w:rsidR="00B04295" w:rsidRPr="00A615AF">
        <w:t>ion</w:t>
      </w:r>
    </w:p>
    <w:p w:rsidR="00D3727E" w:rsidRDefault="00D3727E" w:rsidP="00D3727E">
      <w:pPr>
        <w:pStyle w:val="TEXT"/>
      </w:pPr>
      <w:r w:rsidRPr="00177317">
        <w:t>Rule 10b-10(a)</w:t>
      </w:r>
      <w:r>
        <w:t xml:space="preserve"> </w:t>
      </w:r>
      <w:r w:rsidR="00CB29E1">
        <w:t xml:space="preserve">under the Securities Exchange Act of 1934 (“Exchange Act”) </w:t>
      </w:r>
      <w:r>
        <w:t>generally requires</w:t>
      </w:r>
      <w:r w:rsidRPr="00177317">
        <w:t xml:space="preserve"> broker-dealer</w:t>
      </w:r>
      <w:r>
        <w:t>s</w:t>
      </w:r>
      <w:r w:rsidRPr="00177317">
        <w:t xml:space="preserve"> </w:t>
      </w:r>
      <w:r>
        <w:t>to</w:t>
      </w:r>
      <w:r w:rsidRPr="00177317">
        <w:t xml:space="preserve"> provide customers with </w:t>
      </w:r>
      <w:r>
        <w:t xml:space="preserve">specified </w:t>
      </w:r>
      <w:r w:rsidRPr="00177317">
        <w:t xml:space="preserve">information relating to their </w:t>
      </w:r>
      <w:r>
        <w:t>securities transactions</w:t>
      </w:r>
      <w:r w:rsidRPr="00177317">
        <w:t xml:space="preserve"> at or before the completion of </w:t>
      </w:r>
      <w:r>
        <w:t>the</w:t>
      </w:r>
      <w:r w:rsidRPr="00177317">
        <w:t xml:space="preserve"> transaction</w:t>
      </w:r>
      <w:r>
        <w:t>s</w:t>
      </w:r>
      <w:r w:rsidRPr="00177317">
        <w:t>.</w:t>
      </w:r>
      <w:r w:rsidRPr="00177317">
        <w:rPr>
          <w:rStyle w:val="FootnoteReference"/>
        </w:rPr>
        <w:footnoteReference w:id="2"/>
      </w:r>
      <w:r w:rsidRPr="00177317">
        <w:t xml:space="preserve">  Rule 10b-10(b), however, provides an exception </w:t>
      </w:r>
      <w:r>
        <w:t xml:space="preserve">from this requirement </w:t>
      </w:r>
      <w:r w:rsidRPr="00177317">
        <w:t xml:space="preserve">for certain transactions in money market funds that attempt to maintain a stable </w:t>
      </w:r>
      <w:r w:rsidR="00AE65ED">
        <w:t>net asset value (“</w:t>
      </w:r>
      <w:r w:rsidRPr="00177317">
        <w:t>NAV</w:t>
      </w:r>
      <w:r w:rsidR="00AE65ED">
        <w:t>”)</w:t>
      </w:r>
      <w:r w:rsidRPr="00177317">
        <w:t xml:space="preserve"> </w:t>
      </w:r>
      <w:r>
        <w:t>when</w:t>
      </w:r>
      <w:r w:rsidRPr="00177317">
        <w:t xml:space="preserve"> no sales load or redemption fee is charged.</w:t>
      </w:r>
      <w:r w:rsidRPr="00177317">
        <w:rPr>
          <w:rStyle w:val="FootnoteReference"/>
        </w:rPr>
        <w:footnoteReference w:id="3"/>
      </w:r>
      <w:r w:rsidRPr="00177317">
        <w:t xml:space="preserve">  The exception permits broker-dealers to provide transaction information to money market fund shareholders </w:t>
      </w:r>
      <w:r w:rsidRPr="00311679">
        <w:t>on a monthly,</w:t>
      </w:r>
      <w:r w:rsidRPr="00177317">
        <w:t xml:space="preserve"> rather than immediate,</w:t>
      </w:r>
      <w:r>
        <w:t xml:space="preserve"> basis, </w:t>
      </w:r>
      <w:r w:rsidRPr="00177317">
        <w:t xml:space="preserve">subject to </w:t>
      </w:r>
      <w:r>
        <w:t>the</w:t>
      </w:r>
      <w:r w:rsidRPr="00177317">
        <w:t xml:space="preserve"> conditions set for</w:t>
      </w:r>
      <w:r>
        <w:t>th in paragraphs (2) and (3) of Rule 10b-10(b)</w:t>
      </w:r>
      <w:r w:rsidRPr="00177317">
        <w:t>.</w:t>
      </w:r>
      <w:r w:rsidRPr="00177317">
        <w:rPr>
          <w:rStyle w:val="FootnoteReference"/>
        </w:rPr>
        <w:footnoteReference w:id="4"/>
      </w:r>
      <w:r w:rsidRPr="00177317">
        <w:t xml:space="preserve">  Accordingly, customers historically have received information </w:t>
      </w:r>
      <w:r>
        <w:t>about</w:t>
      </w:r>
      <w:r w:rsidRPr="00177317">
        <w:t xml:space="preserve"> their transactions in shares of money market funds, including institutional prime money market funds, on a monthly basis.</w:t>
      </w:r>
    </w:p>
    <w:p w:rsidR="00D3727E" w:rsidRDefault="00AE65ED" w:rsidP="00D3727E">
      <w:pPr>
        <w:pStyle w:val="TEXT"/>
      </w:pPr>
      <w:r w:rsidRPr="00177317">
        <w:t xml:space="preserve">On July 23, 2014, </w:t>
      </w:r>
      <w:r>
        <w:t xml:space="preserve">the </w:t>
      </w:r>
      <w:r w:rsidRPr="00177317">
        <w:t xml:space="preserve">Securities and Exchange Commission </w:t>
      </w:r>
      <w:r>
        <w:t>(“Commission”)</w:t>
      </w:r>
      <w:r w:rsidRPr="00177317">
        <w:t xml:space="preserve"> adopted amendments to Rule 2a-7 of the </w:t>
      </w:r>
      <w:r>
        <w:t>Investment Company Act of 1940 (“Investment Company Act”)</w:t>
      </w:r>
      <w:r>
        <w:rPr>
          <w:rStyle w:val="FootnoteReference"/>
        </w:rPr>
        <w:footnoteReference w:id="5"/>
      </w:r>
      <w:r>
        <w:t xml:space="preserve"> </w:t>
      </w:r>
      <w:r w:rsidRPr="00177317">
        <w:t>that, among other things, require institutional prime money market funds</w:t>
      </w:r>
      <w:r w:rsidRPr="00177317">
        <w:rPr>
          <w:rStyle w:val="FootnoteReference"/>
        </w:rPr>
        <w:footnoteReference w:id="6"/>
      </w:r>
      <w:r w:rsidRPr="00177317">
        <w:t xml:space="preserve"> to sell and redeem fund shares based on the current market-based value of the securities held in their </w:t>
      </w:r>
      <w:r w:rsidRPr="00177317">
        <w:lastRenderedPageBreak/>
        <w:t>portfolios (</w:t>
      </w:r>
      <w:r w:rsidRPr="00177317">
        <w:rPr>
          <w:i/>
        </w:rPr>
        <w:t xml:space="preserve">i.e., </w:t>
      </w:r>
      <w:r w:rsidRPr="00177317">
        <w:t xml:space="preserve">transact at a “floating” </w:t>
      </w:r>
      <w:r w:rsidR="0085236E">
        <w:t>NAV</w:t>
      </w:r>
      <w:r w:rsidRPr="00177317">
        <w:t>).</w:t>
      </w:r>
      <w:r>
        <w:t xml:space="preserve">  </w:t>
      </w:r>
      <w:r w:rsidR="00D3727E">
        <w:t>G</w:t>
      </w:r>
      <w:r w:rsidR="00D3727E" w:rsidRPr="00EF58F7">
        <w:t xml:space="preserve">iven that share prices of institutional prime money market funds likely will fluctuate under the </w:t>
      </w:r>
      <w:r w:rsidR="00D3727E">
        <w:t xml:space="preserve">Commission’s </w:t>
      </w:r>
      <w:r w:rsidR="00D3727E" w:rsidRPr="00177317">
        <w:t xml:space="preserve">amendments to </w:t>
      </w:r>
      <w:r w:rsidR="00D3727E">
        <w:t xml:space="preserve">Investment Company Act </w:t>
      </w:r>
      <w:r w:rsidR="00D3727E" w:rsidRPr="00177317">
        <w:t>Rule 2a-7</w:t>
      </w:r>
      <w:r w:rsidR="00D3727E" w:rsidRPr="00EF58F7">
        <w:t>,</w:t>
      </w:r>
      <w:r w:rsidR="00D3727E">
        <w:rPr>
          <w:rStyle w:val="FootnoteReference"/>
        </w:rPr>
        <w:footnoteReference w:id="7"/>
      </w:r>
      <w:r w:rsidR="00D3727E" w:rsidRPr="00EF58F7">
        <w:t xml:space="preserve"> absent </w:t>
      </w:r>
      <w:r w:rsidR="00D3727E">
        <w:t xml:space="preserve">an </w:t>
      </w:r>
      <w:r w:rsidR="00D3727E" w:rsidRPr="00EF58F7">
        <w:t>exempti</w:t>
      </w:r>
      <w:r w:rsidR="00D3727E">
        <w:t>on</w:t>
      </w:r>
      <w:r w:rsidR="00D3727E" w:rsidRPr="00EF58F7">
        <w:t>, broker-dealers w</w:t>
      </w:r>
      <w:r w:rsidR="00D3727E">
        <w:t>ould</w:t>
      </w:r>
      <w:r w:rsidR="00D3727E" w:rsidRPr="00EF58F7">
        <w:t xml:space="preserve"> not be able to continue to rely on the exception under </w:t>
      </w:r>
      <w:r w:rsidR="00D3727E">
        <w:t xml:space="preserve">Exchange Act </w:t>
      </w:r>
      <w:r w:rsidR="00D3727E" w:rsidRPr="00EF58F7">
        <w:t>Rule 10b-10(b) for transactions in money market funds operating in accordance with Rule 2a-7(c)(1)(ii).</w:t>
      </w:r>
      <w:r w:rsidR="00D3727E" w:rsidRPr="00EF58F7">
        <w:rPr>
          <w:vertAlign w:val="superscript"/>
        </w:rPr>
        <w:footnoteReference w:id="8"/>
      </w:r>
      <w:r w:rsidR="00D3727E" w:rsidRPr="00EF58F7">
        <w:t xml:space="preserve">  Instead, broker-dealers w</w:t>
      </w:r>
      <w:r w:rsidR="00D3727E">
        <w:t>ould</w:t>
      </w:r>
      <w:r w:rsidR="00D3727E" w:rsidRPr="00EF58F7">
        <w:t xml:space="preserve"> be required to provide immediate confirmations</w:t>
      </w:r>
      <w:r w:rsidR="00D3727E">
        <w:t xml:space="preserve"> for such transactions in accordance with Rule 10b-10(a)</w:t>
      </w:r>
      <w:r w:rsidR="00D3727E" w:rsidRPr="00EF58F7">
        <w:t>.</w:t>
      </w:r>
    </w:p>
    <w:p w:rsidR="00CB29E1" w:rsidRDefault="00F104DA" w:rsidP="00D3727E">
      <w:pPr>
        <w:pStyle w:val="TEXT"/>
      </w:pPr>
      <w:r>
        <w:t>Consequently</w:t>
      </w:r>
      <w:r w:rsidR="00812047">
        <w:t xml:space="preserve">, the Commission </w:t>
      </w:r>
      <w:r w:rsidR="00CB29E1">
        <w:t>has issued</w:t>
      </w:r>
      <w:r w:rsidR="00812047">
        <w:t xml:space="preserve"> an </w:t>
      </w:r>
      <w:r w:rsidR="00812047" w:rsidRPr="00812047">
        <w:t xml:space="preserve">Order Granting </w:t>
      </w:r>
      <w:r w:rsidR="00812047">
        <w:t>a</w:t>
      </w:r>
      <w:r w:rsidR="00812047" w:rsidRPr="00812047">
        <w:t xml:space="preserve"> Conditional Exemption </w:t>
      </w:r>
      <w:r w:rsidR="00812047">
        <w:t>u</w:t>
      </w:r>
      <w:r w:rsidR="00812047" w:rsidRPr="00812047">
        <w:t xml:space="preserve">nder </w:t>
      </w:r>
      <w:r w:rsidR="00812047">
        <w:t>t</w:t>
      </w:r>
      <w:r w:rsidR="00812047" w:rsidRPr="00812047">
        <w:t xml:space="preserve">he Securities Exchange Act </w:t>
      </w:r>
      <w:r w:rsidR="00812047">
        <w:t>o</w:t>
      </w:r>
      <w:r w:rsidR="00812047" w:rsidRPr="00812047">
        <w:t xml:space="preserve">f 1934 From The Confirmation Requirements </w:t>
      </w:r>
      <w:r w:rsidR="00812047">
        <w:t>o</w:t>
      </w:r>
      <w:r w:rsidR="00812047" w:rsidRPr="00812047">
        <w:t>f Exchange Act Rule 10b-10(</w:t>
      </w:r>
      <w:r w:rsidR="00812047">
        <w:t>a</w:t>
      </w:r>
      <w:r w:rsidR="00812047" w:rsidRPr="00812047">
        <w:t>) For Certain Transactions In Money Market Funds</w:t>
      </w:r>
      <w:r w:rsidR="00812047">
        <w:t xml:space="preserve"> (“Order”).</w:t>
      </w:r>
      <w:r w:rsidR="00542DF2" w:rsidRPr="00542DF2">
        <w:rPr>
          <w:vertAlign w:val="superscript"/>
        </w:rPr>
        <w:t xml:space="preserve"> </w:t>
      </w:r>
      <w:r w:rsidR="00542DF2" w:rsidRPr="00EF58F7">
        <w:rPr>
          <w:vertAlign w:val="superscript"/>
        </w:rPr>
        <w:footnoteReference w:id="9"/>
      </w:r>
      <w:r w:rsidR="00812047">
        <w:t xml:space="preserve">  I</w:t>
      </w:r>
      <w:r w:rsidR="00812047" w:rsidRPr="00812047">
        <w:t xml:space="preserve">n </w:t>
      </w:r>
      <w:r w:rsidR="00812047">
        <w:t>the Order, t</w:t>
      </w:r>
      <w:r w:rsidR="00D3727E">
        <w:t xml:space="preserve">he Commission </w:t>
      </w:r>
      <w:r w:rsidR="00812047">
        <w:t>found</w:t>
      </w:r>
      <w:r w:rsidR="00D3727E">
        <w:t xml:space="preserve"> that it is necessary and appropriate in the public interest, and consistent with the protection of investors to </w:t>
      </w:r>
      <w:r w:rsidR="00D3727E" w:rsidRPr="00C95787">
        <w:t>allow broker-dealers, subject to certain conditions, to provide transaction information to investors in any money market fund operating pursuant to Rule 2a-7(c</w:t>
      </w:r>
      <w:proofErr w:type="gramStart"/>
      <w:r w:rsidR="00D3727E" w:rsidRPr="00C95787">
        <w:t>)(</w:t>
      </w:r>
      <w:proofErr w:type="gramEnd"/>
      <w:r w:rsidR="00D3727E" w:rsidRPr="00C95787">
        <w:t xml:space="preserve">1)(ii) on a monthly basis in lieu of providing </w:t>
      </w:r>
      <w:r w:rsidR="00D3727E">
        <w:t xml:space="preserve">immediate </w:t>
      </w:r>
      <w:r w:rsidR="00D3727E" w:rsidRPr="00C95787">
        <w:t>confirmations</w:t>
      </w:r>
      <w:r w:rsidR="00D3727E">
        <w:t xml:space="preserve"> as required under</w:t>
      </w:r>
      <w:r w:rsidR="00D3727E" w:rsidRPr="00177317">
        <w:t xml:space="preserve"> Exchange Act Rule 10b-10(a)</w:t>
      </w:r>
      <w:r w:rsidR="00D3727E">
        <w:t>.</w:t>
      </w:r>
      <w:r w:rsidR="00CB29E1">
        <w:rPr>
          <w:rStyle w:val="FootnoteReference"/>
        </w:rPr>
        <w:footnoteReference w:id="10"/>
      </w:r>
      <w:r w:rsidR="00CB29E1">
        <w:t xml:space="preserve">  </w:t>
      </w:r>
    </w:p>
    <w:p w:rsidR="00D3727E" w:rsidRDefault="00CB29E1" w:rsidP="00D3727E">
      <w:pPr>
        <w:pStyle w:val="TEXT"/>
      </w:pPr>
      <w:r>
        <w:rPr>
          <w:rFonts w:cs="Calibri"/>
        </w:rPr>
        <w:t>However</w:t>
      </w:r>
      <w:r w:rsidR="00D3727E">
        <w:rPr>
          <w:rFonts w:cs="Calibri"/>
        </w:rPr>
        <w:t>, g</w:t>
      </w:r>
      <w:r w:rsidR="00D3727E" w:rsidRPr="00633493">
        <w:rPr>
          <w:rFonts w:cs="Calibri"/>
        </w:rPr>
        <w:t xml:space="preserve">iven that there </w:t>
      </w:r>
      <w:r w:rsidR="00D3727E">
        <w:rPr>
          <w:rFonts w:cs="Calibri"/>
        </w:rPr>
        <w:t xml:space="preserve">likely will </w:t>
      </w:r>
      <w:r w:rsidR="00D3727E" w:rsidRPr="00633493">
        <w:rPr>
          <w:rFonts w:cs="Calibri"/>
        </w:rPr>
        <w:t xml:space="preserve">be </w:t>
      </w:r>
      <w:r w:rsidR="00D3727E">
        <w:rPr>
          <w:rFonts w:cs="Calibri"/>
        </w:rPr>
        <w:t xml:space="preserve">some </w:t>
      </w:r>
      <w:r w:rsidR="00D3727E" w:rsidRPr="00633493">
        <w:rPr>
          <w:rFonts w:cs="Calibri"/>
        </w:rPr>
        <w:t>price fluctuations in i</w:t>
      </w:r>
      <w:r w:rsidR="00D3727E">
        <w:rPr>
          <w:rFonts w:cs="Calibri"/>
        </w:rPr>
        <w:t xml:space="preserve">nstitutional prime money market </w:t>
      </w:r>
      <w:r w:rsidR="00D3727E" w:rsidRPr="00633493">
        <w:rPr>
          <w:rFonts w:cs="Calibri"/>
        </w:rPr>
        <w:t>funds, the Commission</w:t>
      </w:r>
      <w:r w:rsidR="00D3727E">
        <w:rPr>
          <w:rFonts w:cs="Calibri"/>
        </w:rPr>
        <w:t xml:space="preserve"> </w:t>
      </w:r>
      <w:r>
        <w:rPr>
          <w:rFonts w:cs="Calibri"/>
        </w:rPr>
        <w:t xml:space="preserve">determined in the Order </w:t>
      </w:r>
      <w:r w:rsidR="00D3727E">
        <w:rPr>
          <w:rFonts w:cs="Calibri"/>
        </w:rPr>
        <w:t>that it is also necessary and appropriate</w:t>
      </w:r>
      <w:r w:rsidR="00D3727E" w:rsidRPr="00633493">
        <w:rPr>
          <w:rFonts w:cs="Calibri"/>
        </w:rPr>
        <w:t xml:space="preserve"> in the public interest and consistent with the protection of investors</w:t>
      </w:r>
      <w:r w:rsidR="00D3727E">
        <w:rPr>
          <w:rFonts w:cs="Calibri"/>
        </w:rPr>
        <w:t xml:space="preserve"> to condition the exemption on a broker-dealer providing immediate confirmations upon a customer’s request</w:t>
      </w:r>
      <w:r w:rsidR="00D3727E" w:rsidRPr="00633493">
        <w:rPr>
          <w:rFonts w:cs="Calibri"/>
        </w:rPr>
        <w:t>.</w:t>
      </w:r>
      <w:r w:rsidR="00D3727E">
        <w:rPr>
          <w:rFonts w:cs="Calibri"/>
        </w:rPr>
        <w:t xml:space="preserve">  Accordingly, to be eligible for the exemption, </w:t>
      </w:r>
      <w:r w:rsidR="00D3727E">
        <w:t xml:space="preserve">a </w:t>
      </w:r>
      <w:r w:rsidR="00D3727E" w:rsidRPr="00633493">
        <w:rPr>
          <w:rFonts w:cs="Calibri"/>
        </w:rPr>
        <w:t>broker-dealer</w:t>
      </w:r>
      <w:r w:rsidR="000C4144">
        <w:rPr>
          <w:rFonts w:cs="Calibri"/>
        </w:rPr>
        <w:t xml:space="preserve"> must (1) </w:t>
      </w:r>
      <w:r w:rsidR="00D3727E">
        <w:t xml:space="preserve">provide an initial written notification to </w:t>
      </w:r>
      <w:r w:rsidR="00D3727E" w:rsidRPr="00177317">
        <w:t>the customer</w:t>
      </w:r>
      <w:r w:rsidR="00D3727E">
        <w:t xml:space="preserve"> </w:t>
      </w:r>
      <w:r w:rsidR="00D3727E" w:rsidRPr="00177317">
        <w:t>of its ability to request delivery of immediate confirmation</w:t>
      </w:r>
      <w:r w:rsidR="00D3727E">
        <w:t>s</w:t>
      </w:r>
      <w:r w:rsidR="00D3727E" w:rsidRPr="00177317">
        <w:t xml:space="preserve"> consistent with the written notification requirements</w:t>
      </w:r>
      <w:r w:rsidR="00D3727E">
        <w:t xml:space="preserve"> of Exchange Act Rule 10b-10(a)</w:t>
      </w:r>
      <w:r w:rsidR="00D3727E" w:rsidRPr="00633493">
        <w:rPr>
          <w:rFonts w:cs="Calibri"/>
        </w:rPr>
        <w:t xml:space="preserve">, and </w:t>
      </w:r>
      <w:r w:rsidR="00D3727E">
        <w:rPr>
          <w:rFonts w:cs="Calibri"/>
        </w:rPr>
        <w:t>(2)</w:t>
      </w:r>
      <w:r w:rsidR="000C4144">
        <w:rPr>
          <w:rFonts w:cs="Calibri"/>
        </w:rPr>
        <w:t> </w:t>
      </w:r>
      <w:r w:rsidR="00D3727E" w:rsidRPr="00633493">
        <w:rPr>
          <w:rFonts w:cs="Calibri"/>
        </w:rPr>
        <w:t>not receive</w:t>
      </w:r>
      <w:r w:rsidR="00D3727E">
        <w:rPr>
          <w:rFonts w:cs="Calibri"/>
        </w:rPr>
        <w:t xml:space="preserve"> any </w:t>
      </w:r>
      <w:r w:rsidR="00D3727E" w:rsidRPr="00633493">
        <w:rPr>
          <w:rFonts w:cs="Calibri"/>
        </w:rPr>
        <w:t xml:space="preserve">such request from the customer.  </w:t>
      </w:r>
      <w:r w:rsidR="00D3727E">
        <w:rPr>
          <w:rFonts w:cs="Calibri"/>
        </w:rPr>
        <w:t xml:space="preserve">In addition, consistent with conditions applicable to </w:t>
      </w:r>
      <w:r w:rsidR="00D3727E" w:rsidRPr="0014374A">
        <w:t>confirmation delivery requirements provided in Exchange Act Rule 10b-10(b) for all transactions in investment compan</w:t>
      </w:r>
      <w:r w:rsidR="00D3727E">
        <w:t>y securities</w:t>
      </w:r>
      <w:r w:rsidR="00D3727E" w:rsidRPr="0014374A">
        <w:t xml:space="preserve"> that attempt to maintain a </w:t>
      </w:r>
      <w:r w:rsidR="00D3727E">
        <w:t>stable</w:t>
      </w:r>
      <w:r w:rsidR="00D3727E" w:rsidRPr="0014374A">
        <w:t xml:space="preserve"> NAV where no sales lo</w:t>
      </w:r>
      <w:r w:rsidR="00D3727E">
        <w:t>ad or redemption fee is charged, the Commission is imposing the conditions that</w:t>
      </w:r>
      <w:r w:rsidR="00D3727E" w:rsidRPr="00177317">
        <w:t xml:space="preserve"> no </w:t>
      </w:r>
      <w:r w:rsidR="00D3727E" w:rsidRPr="00177317">
        <w:lastRenderedPageBreak/>
        <w:t xml:space="preserve">sales load is deducted upon the purchase or redemption of shares in the </w:t>
      </w:r>
      <w:r w:rsidR="00D3727E">
        <w:t xml:space="preserve">institutional prime </w:t>
      </w:r>
      <w:r w:rsidR="00D3727E" w:rsidRPr="00177317">
        <w:t xml:space="preserve">money market fund, </w:t>
      </w:r>
      <w:r w:rsidR="00D3727E">
        <w:t xml:space="preserve">and that </w:t>
      </w:r>
      <w:r w:rsidR="00D3727E" w:rsidRPr="00177317">
        <w:t xml:space="preserve">the broker-dealer complies with the provisions of </w:t>
      </w:r>
      <w:r w:rsidR="00D3727E">
        <w:t xml:space="preserve">paragraphs (2) and (3) of </w:t>
      </w:r>
      <w:r w:rsidR="00D3727E" w:rsidRPr="00177317">
        <w:t xml:space="preserve">Rule 10b-10(b) that are applicable to money market funds that attempt to maintain a stable NAV </w:t>
      </w:r>
      <w:r w:rsidR="00D3727E">
        <w:t>referenced in Rule 10b-10(b)(1).</w:t>
      </w:r>
    </w:p>
    <w:p w:rsidR="005B7CBB" w:rsidRPr="00780AAC" w:rsidRDefault="005B7CBB" w:rsidP="00B27B52">
      <w:pPr>
        <w:pStyle w:val="Heading2"/>
      </w:pPr>
      <w:r w:rsidRPr="00A615AF">
        <w:t>2.</w:t>
      </w:r>
      <w:r w:rsidRPr="00A615AF">
        <w:tab/>
      </w:r>
      <w:r w:rsidRPr="00A615AF">
        <w:rPr>
          <w:spacing w:val="-1"/>
        </w:rPr>
        <w:t>P</w:t>
      </w:r>
      <w:r w:rsidRPr="00A615AF">
        <w:t>u</w:t>
      </w:r>
      <w:r w:rsidRPr="00A615AF">
        <w:rPr>
          <w:spacing w:val="-3"/>
        </w:rPr>
        <w:t>r</w:t>
      </w:r>
      <w:r w:rsidRPr="00A615AF">
        <w:t>p</w:t>
      </w:r>
      <w:r w:rsidRPr="00A615AF">
        <w:rPr>
          <w:spacing w:val="-5"/>
        </w:rPr>
        <w:t>o</w:t>
      </w:r>
      <w:r w:rsidRPr="00A615AF">
        <w:t>se</w:t>
      </w:r>
      <w:r w:rsidRPr="00A615AF">
        <w:rPr>
          <w:spacing w:val="-6"/>
        </w:rPr>
        <w:t xml:space="preserve"> a</w:t>
      </w:r>
      <w:r w:rsidRPr="00A615AF">
        <w:t>nd</w:t>
      </w:r>
      <w:r w:rsidRPr="00A615AF">
        <w:rPr>
          <w:spacing w:val="-5"/>
        </w:rPr>
        <w:t xml:space="preserve"> </w:t>
      </w:r>
      <w:r w:rsidR="00B875FF" w:rsidRPr="00A615AF">
        <w:rPr>
          <w:spacing w:val="-5"/>
        </w:rPr>
        <w:t xml:space="preserve">Use of </w:t>
      </w:r>
      <w:r w:rsidRPr="00A615AF">
        <w:t>t</w:t>
      </w:r>
      <w:r w:rsidRPr="00A615AF">
        <w:rPr>
          <w:spacing w:val="-5"/>
        </w:rPr>
        <w:t>h</w:t>
      </w:r>
      <w:r w:rsidRPr="00A615AF">
        <w:t>e</w:t>
      </w:r>
      <w:r w:rsidRPr="00A615AF">
        <w:rPr>
          <w:spacing w:val="-6"/>
        </w:rPr>
        <w:t xml:space="preserve"> I</w:t>
      </w:r>
      <w:r w:rsidRPr="00A615AF">
        <w:t>n</w:t>
      </w:r>
      <w:r w:rsidRPr="00A615AF">
        <w:rPr>
          <w:spacing w:val="-3"/>
        </w:rPr>
        <w:t>f</w:t>
      </w:r>
      <w:r w:rsidRPr="00A615AF">
        <w:t>o</w:t>
      </w:r>
      <w:r w:rsidRPr="00A615AF">
        <w:rPr>
          <w:spacing w:val="-3"/>
        </w:rPr>
        <w:t>r</w:t>
      </w:r>
      <w:r w:rsidRPr="00A615AF">
        <w:t>m</w:t>
      </w:r>
      <w:r w:rsidRPr="00A615AF">
        <w:rPr>
          <w:spacing w:val="-3"/>
        </w:rPr>
        <w:t>a</w:t>
      </w:r>
      <w:r w:rsidRPr="00A615AF">
        <w:t>tion</w:t>
      </w:r>
      <w:r w:rsidRPr="00A615AF">
        <w:rPr>
          <w:spacing w:val="-5"/>
        </w:rPr>
        <w:t xml:space="preserve"> </w:t>
      </w:r>
      <w:r w:rsidRPr="00A615AF">
        <w:t>C</w:t>
      </w:r>
      <w:r w:rsidRPr="00A615AF">
        <w:rPr>
          <w:spacing w:val="-5"/>
        </w:rPr>
        <w:t>o</w:t>
      </w:r>
      <w:r w:rsidRPr="00A615AF">
        <w:t>ll</w:t>
      </w:r>
      <w:r w:rsidRPr="00A615AF">
        <w:rPr>
          <w:spacing w:val="-3"/>
        </w:rPr>
        <w:t>ec</w:t>
      </w:r>
      <w:r w:rsidRPr="00A615AF">
        <w:rPr>
          <w:spacing w:val="-4"/>
        </w:rPr>
        <w:t>t</w:t>
      </w:r>
      <w:r w:rsidRPr="00A615AF">
        <w:t>ion</w:t>
      </w:r>
    </w:p>
    <w:p w:rsidR="002A4B63" w:rsidRPr="00A615AF" w:rsidRDefault="00D3727E" w:rsidP="00B27B52">
      <w:pPr>
        <w:pStyle w:val="TEXT"/>
      </w:pPr>
      <w:r>
        <w:t>The notification condition in the Order will alert customers of their ability to request immediate confirmations, consistent with the terms of Exchange Act Rule 10b-10(a).  The notification condition allows customers to obtain immediate confirmations should they choose to request them.</w:t>
      </w:r>
    </w:p>
    <w:p w:rsidR="005B7CBB" w:rsidRPr="005076A8" w:rsidRDefault="005B7CBB" w:rsidP="00B27B52">
      <w:pPr>
        <w:pStyle w:val="Heading2"/>
      </w:pPr>
      <w:r w:rsidRPr="00780AAC">
        <w:t>3.</w:t>
      </w:r>
      <w:r w:rsidRPr="00780AAC">
        <w:tab/>
        <w:t>Con</w:t>
      </w:r>
      <w:r w:rsidRPr="00780AAC">
        <w:rPr>
          <w:spacing w:val="-5"/>
        </w:rPr>
        <w:t>s</w:t>
      </w:r>
      <w:r w:rsidRPr="00780AAC">
        <w:t>id</w:t>
      </w:r>
      <w:r w:rsidRPr="00780AAC">
        <w:rPr>
          <w:spacing w:val="-3"/>
        </w:rPr>
        <w:t>era</w:t>
      </w:r>
      <w:r w:rsidRPr="00780AAC">
        <w:rPr>
          <w:spacing w:val="-4"/>
        </w:rPr>
        <w:t>t</w:t>
      </w:r>
      <w:r w:rsidRPr="00780AAC">
        <w:t xml:space="preserve">ion </w:t>
      </w:r>
      <w:r w:rsidRPr="00780AAC">
        <w:rPr>
          <w:spacing w:val="-5"/>
        </w:rPr>
        <w:t>G</w:t>
      </w:r>
      <w:r w:rsidRPr="00780AAC">
        <w:t>iv</w:t>
      </w:r>
      <w:r w:rsidRPr="00780AAC">
        <w:rPr>
          <w:spacing w:val="-3"/>
        </w:rPr>
        <w:t>e</w:t>
      </w:r>
      <w:r w:rsidRPr="00780AAC">
        <w:t>n</w:t>
      </w:r>
      <w:r w:rsidRPr="00780AAC">
        <w:rPr>
          <w:spacing w:val="-7"/>
        </w:rPr>
        <w:t xml:space="preserve"> </w:t>
      </w:r>
      <w:r w:rsidRPr="00780AAC">
        <w:t>to</w:t>
      </w:r>
      <w:r w:rsidRPr="00EA77D6">
        <w:rPr>
          <w:spacing w:val="-5"/>
        </w:rPr>
        <w:t xml:space="preserve"> </w:t>
      </w:r>
      <w:r w:rsidRPr="00EA77D6">
        <w:rPr>
          <w:spacing w:val="-8"/>
        </w:rPr>
        <w:t>I</w:t>
      </w:r>
      <w:r w:rsidRPr="00EA77D6">
        <w:t>n</w:t>
      </w:r>
      <w:r w:rsidRPr="00EA77D6">
        <w:rPr>
          <w:spacing w:val="-3"/>
        </w:rPr>
        <w:t>f</w:t>
      </w:r>
      <w:r w:rsidRPr="00EA77D6">
        <w:t>o</w:t>
      </w:r>
      <w:r w:rsidRPr="00EA77D6">
        <w:rPr>
          <w:spacing w:val="-3"/>
        </w:rPr>
        <w:t>r</w:t>
      </w:r>
      <w:r w:rsidRPr="00EA77D6">
        <w:t>m</w:t>
      </w:r>
      <w:r w:rsidRPr="00EA77D6">
        <w:rPr>
          <w:spacing w:val="-3"/>
        </w:rPr>
        <w:t>a</w:t>
      </w:r>
      <w:r w:rsidRPr="00EA77D6">
        <w:t>t</w:t>
      </w:r>
      <w:r w:rsidRPr="00EA77D6">
        <w:rPr>
          <w:spacing w:val="-4"/>
        </w:rPr>
        <w:t>i</w:t>
      </w:r>
      <w:r w:rsidRPr="00EA77D6">
        <w:t xml:space="preserve">on </w:t>
      </w:r>
      <w:r w:rsidRPr="00EA77D6">
        <w:rPr>
          <w:spacing w:val="-3"/>
        </w:rPr>
        <w:t>Tec</w:t>
      </w:r>
      <w:r w:rsidRPr="00EA77D6">
        <w:t>h</w:t>
      </w:r>
      <w:r w:rsidRPr="00EA77D6">
        <w:rPr>
          <w:spacing w:val="-5"/>
        </w:rPr>
        <w:t>n</w:t>
      </w:r>
      <w:r w:rsidRPr="00EA77D6">
        <w:t>ology</w:t>
      </w:r>
    </w:p>
    <w:p w:rsidR="005B7CBB" w:rsidRPr="005076A8" w:rsidRDefault="00D3727E" w:rsidP="00B27B52">
      <w:pPr>
        <w:pStyle w:val="TEXT"/>
      </w:pPr>
      <w:r>
        <w:t xml:space="preserve">The Order does not mandate a specified form of the notification; </w:t>
      </w:r>
      <w:r w:rsidR="00AE65ED">
        <w:t xml:space="preserve">a broker-dealer </w:t>
      </w:r>
      <w:r>
        <w:t xml:space="preserve">may employ information technology in providing </w:t>
      </w:r>
      <w:r w:rsidR="00AE65ED">
        <w:t>a</w:t>
      </w:r>
      <w:r>
        <w:t xml:space="preserve"> notification to </w:t>
      </w:r>
      <w:r w:rsidR="00AE65ED">
        <w:t>a customer</w:t>
      </w:r>
      <w:r>
        <w:t xml:space="preserve">. </w:t>
      </w:r>
      <w:r w:rsidR="0014600E" w:rsidRPr="00764A50">
        <w:t xml:space="preserve"> </w:t>
      </w:r>
    </w:p>
    <w:p w:rsidR="005B7CBB" w:rsidRPr="00A615AF" w:rsidRDefault="005B7CBB" w:rsidP="00B27B52">
      <w:pPr>
        <w:pStyle w:val="Heading2"/>
      </w:pPr>
      <w:r w:rsidRPr="00A615AF">
        <w:t>4.</w:t>
      </w:r>
      <w:r w:rsidRPr="00A615AF">
        <w:tab/>
      </w:r>
      <w:r w:rsidRPr="00A615AF">
        <w:rPr>
          <w:spacing w:val="-3"/>
        </w:rPr>
        <w:t>D</w:t>
      </w:r>
      <w:r w:rsidRPr="00A615AF">
        <w:t>upli</w:t>
      </w:r>
      <w:r w:rsidRPr="00A615AF">
        <w:rPr>
          <w:spacing w:val="-3"/>
        </w:rPr>
        <w:t>c</w:t>
      </w:r>
      <w:r w:rsidRPr="00A615AF">
        <w:rPr>
          <w:spacing w:val="-6"/>
        </w:rPr>
        <w:t>a</w:t>
      </w:r>
      <w:r w:rsidRPr="00A615AF">
        <w:t>ti</w:t>
      </w:r>
      <w:r w:rsidRPr="00A615AF">
        <w:rPr>
          <w:spacing w:val="-5"/>
        </w:rPr>
        <w:t>o</w:t>
      </w:r>
      <w:r w:rsidRPr="00A615AF">
        <w:t>n</w:t>
      </w:r>
    </w:p>
    <w:p w:rsidR="00D54FC5" w:rsidRDefault="00D441A3" w:rsidP="00B27B52">
      <w:pPr>
        <w:pStyle w:val="TEXT"/>
      </w:pPr>
      <w:r>
        <w:t>Not applicable; there is no duplication of information.</w:t>
      </w:r>
    </w:p>
    <w:p w:rsidR="005B7CBB" w:rsidRPr="00A615AF" w:rsidRDefault="005B7CBB" w:rsidP="00B27B52">
      <w:pPr>
        <w:pStyle w:val="Heading2"/>
      </w:pPr>
      <w:r w:rsidRPr="00A615AF">
        <w:t>5.</w:t>
      </w:r>
      <w:r w:rsidRPr="00A615AF">
        <w:tab/>
      </w:r>
      <w:r w:rsidRPr="00A615AF">
        <w:rPr>
          <w:spacing w:val="-3"/>
        </w:rPr>
        <w:t>Effec</w:t>
      </w:r>
      <w:r w:rsidRPr="00A615AF">
        <w:t>t</w:t>
      </w:r>
      <w:r w:rsidRPr="00A615AF">
        <w:rPr>
          <w:spacing w:val="-4"/>
        </w:rPr>
        <w:t xml:space="preserve"> </w:t>
      </w:r>
      <w:r w:rsidRPr="00A615AF">
        <w:t>on</w:t>
      </w:r>
      <w:r w:rsidRPr="00A615AF">
        <w:rPr>
          <w:spacing w:val="-7"/>
        </w:rPr>
        <w:t xml:space="preserve"> </w:t>
      </w:r>
      <w:r w:rsidRPr="00A615AF">
        <w:rPr>
          <w:spacing w:val="-1"/>
        </w:rPr>
        <w:t>S</w:t>
      </w:r>
      <w:r w:rsidRPr="00A615AF">
        <w:t>m</w:t>
      </w:r>
      <w:r w:rsidRPr="00A615AF">
        <w:rPr>
          <w:spacing w:val="-6"/>
        </w:rPr>
        <w:t>a</w:t>
      </w:r>
      <w:r w:rsidRPr="00A615AF">
        <w:t>ll</w:t>
      </w:r>
      <w:r w:rsidRPr="00A615AF">
        <w:rPr>
          <w:spacing w:val="-5"/>
        </w:rPr>
        <w:t xml:space="preserve"> </w:t>
      </w:r>
      <w:r w:rsidRPr="00A615AF">
        <w:rPr>
          <w:spacing w:val="-3"/>
        </w:rPr>
        <w:t>E</w:t>
      </w:r>
      <w:r w:rsidRPr="00A615AF">
        <w:t>n</w:t>
      </w:r>
      <w:r w:rsidRPr="00A615AF">
        <w:rPr>
          <w:spacing w:val="-4"/>
        </w:rPr>
        <w:t>t</w:t>
      </w:r>
      <w:r w:rsidRPr="00A615AF">
        <w:t>i</w:t>
      </w:r>
      <w:r w:rsidRPr="00A615AF">
        <w:rPr>
          <w:spacing w:val="-4"/>
        </w:rPr>
        <w:t>t</w:t>
      </w:r>
      <w:r w:rsidRPr="00A615AF">
        <w:t>i</w:t>
      </w:r>
      <w:r w:rsidRPr="00A615AF">
        <w:rPr>
          <w:spacing w:val="-3"/>
        </w:rPr>
        <w:t>e</w:t>
      </w:r>
      <w:r w:rsidRPr="00A615AF">
        <w:t>s</w:t>
      </w:r>
    </w:p>
    <w:p w:rsidR="00F514F2" w:rsidRDefault="008056C9" w:rsidP="00B27B52">
      <w:pPr>
        <w:pStyle w:val="TEXT"/>
      </w:pPr>
      <w:r>
        <w:t xml:space="preserve">Paragraph (c) of Rule 0-10 provides that a small entity when used with reference to a broker-dealer (“small broker-dealer”) </w:t>
      </w:r>
      <w:r w:rsidRPr="008056C9">
        <w:t xml:space="preserve">means a broker-dealer that: </w:t>
      </w:r>
      <w:r w:rsidR="00AE65ED">
        <w:t xml:space="preserve"> </w:t>
      </w:r>
      <w:r w:rsidRPr="008056C9">
        <w:t xml:space="preserve">(1) had total capital (net worth plus subordinated liabilities) of less than $500,000 on the date in the prior fiscal year as of which its audited financial statements were prepared pursuant to </w:t>
      </w:r>
      <w:r>
        <w:t xml:space="preserve">Exchange Act </w:t>
      </w:r>
      <w:r w:rsidRPr="008056C9">
        <w:t>Rule 17a-5(d)</w:t>
      </w:r>
      <w:r>
        <w:rPr>
          <w:rStyle w:val="FootnoteReference"/>
        </w:rPr>
        <w:footnoteReference w:id="11"/>
      </w:r>
      <w:r w:rsidRPr="008056C9">
        <w:t xml:space="preserve"> or, if not required to file such statements, a broker-dealer that had total capital (net worth plus subordinated liabilities) of less than $500,000 on the last business day of the preceding fiscal year (or in the time that it has been in business if shorter); and (2) is not affiliated with any person (other than a natural person) that is not a small business or small organization.</w:t>
      </w:r>
      <w:r>
        <w:rPr>
          <w:rStyle w:val="FootnoteReference"/>
        </w:rPr>
        <w:footnoteReference w:id="12"/>
      </w:r>
      <w:r>
        <w:t xml:space="preserve">  </w:t>
      </w:r>
      <w:r w:rsidR="005B7CBB" w:rsidRPr="00A615AF">
        <w:t xml:space="preserve">Based </w:t>
      </w:r>
      <w:r>
        <w:t xml:space="preserve">on FOCUS Report data, the Commission has </w:t>
      </w:r>
      <w:r w:rsidR="00F514F2">
        <w:t xml:space="preserve">previously estimated that only eight </w:t>
      </w:r>
      <w:r w:rsidR="00D441A3">
        <w:t xml:space="preserve">small </w:t>
      </w:r>
      <w:r w:rsidR="00F514F2">
        <w:t xml:space="preserve">broker-dealers </w:t>
      </w:r>
      <w:r w:rsidR="00D441A3">
        <w:t>would be carrying broker-dealers.</w:t>
      </w:r>
      <w:r w:rsidR="00D441A3">
        <w:rPr>
          <w:rStyle w:val="FootnoteReference"/>
        </w:rPr>
        <w:footnoteReference w:id="13"/>
      </w:r>
      <w:r w:rsidR="001D2164">
        <w:t xml:space="preserve">  The requirements of Exchange Act Rule 10b-10 and the Order are </w:t>
      </w:r>
      <w:r w:rsidR="00807C95">
        <w:t>not unduly burdensome on small</w:t>
      </w:r>
      <w:r w:rsidR="001D2164">
        <w:t xml:space="preserve"> broker-dealers</w:t>
      </w:r>
      <w:r w:rsidR="00807C95">
        <w:t xml:space="preserve">, and the collection of information contained in the Order will not have a significant economic impact on a </w:t>
      </w:r>
      <w:r w:rsidR="00AE65ED">
        <w:t>substantial</w:t>
      </w:r>
      <w:r w:rsidR="00807C95">
        <w:t xml:space="preserve"> number of </w:t>
      </w:r>
      <w:r w:rsidR="00AE65ED">
        <w:t xml:space="preserve">small </w:t>
      </w:r>
      <w:r w:rsidR="00807C95">
        <w:t xml:space="preserve">entities.  </w:t>
      </w:r>
      <w:r w:rsidR="00D441A3">
        <w:t xml:space="preserve">  </w:t>
      </w:r>
    </w:p>
    <w:p w:rsidR="005B7CBB" w:rsidRPr="00A615AF" w:rsidRDefault="005B7CBB" w:rsidP="00B27B52">
      <w:pPr>
        <w:pStyle w:val="Heading2"/>
      </w:pPr>
      <w:r w:rsidRPr="00A615AF">
        <w:t>6.</w:t>
      </w:r>
      <w:r w:rsidRPr="00A615AF">
        <w:tab/>
        <w:t>Cons</w:t>
      </w:r>
      <w:r w:rsidRPr="00A615AF">
        <w:rPr>
          <w:spacing w:val="-3"/>
        </w:rPr>
        <w:t>e</w:t>
      </w:r>
      <w:r w:rsidRPr="00A615AF">
        <w:rPr>
          <w:spacing w:val="-5"/>
        </w:rPr>
        <w:t>q</w:t>
      </w:r>
      <w:r w:rsidRPr="00A615AF">
        <w:t>u</w:t>
      </w:r>
      <w:r w:rsidRPr="00A615AF">
        <w:rPr>
          <w:spacing w:val="-3"/>
        </w:rPr>
        <w:t>e</w:t>
      </w:r>
      <w:r w:rsidRPr="00A615AF">
        <w:t>n</w:t>
      </w:r>
      <w:r w:rsidRPr="00A615AF">
        <w:rPr>
          <w:spacing w:val="-3"/>
        </w:rPr>
        <w:t>ce</w:t>
      </w:r>
      <w:r w:rsidRPr="00A615AF">
        <w:t>s</w:t>
      </w:r>
      <w:r w:rsidRPr="00A615AF">
        <w:rPr>
          <w:spacing w:val="-5"/>
        </w:rPr>
        <w:t xml:space="preserve"> </w:t>
      </w:r>
      <w:r w:rsidRPr="00A615AF">
        <w:t>of</w:t>
      </w:r>
      <w:r w:rsidRPr="00A615AF">
        <w:rPr>
          <w:spacing w:val="-6"/>
        </w:rPr>
        <w:t xml:space="preserve"> </w:t>
      </w:r>
      <w:r w:rsidR="00B875FF" w:rsidRPr="00A615AF">
        <w:rPr>
          <w:spacing w:val="-7"/>
        </w:rPr>
        <w:t>Not Conducting</w:t>
      </w:r>
      <w:r w:rsidRPr="00A615AF">
        <w:rPr>
          <w:spacing w:val="-4"/>
        </w:rPr>
        <w:t xml:space="preserve"> </w:t>
      </w:r>
      <w:r w:rsidRPr="00A615AF">
        <w:t>C</w:t>
      </w:r>
      <w:r w:rsidRPr="00A615AF">
        <w:rPr>
          <w:spacing w:val="-5"/>
        </w:rPr>
        <w:t>o</w:t>
      </w:r>
      <w:r w:rsidRPr="00A615AF">
        <w:t>ll</w:t>
      </w:r>
      <w:r w:rsidRPr="00A615AF">
        <w:rPr>
          <w:spacing w:val="-3"/>
        </w:rPr>
        <w:t>ec</w:t>
      </w:r>
      <w:r w:rsidRPr="00A615AF">
        <w:rPr>
          <w:spacing w:val="-4"/>
        </w:rPr>
        <w:t>t</w:t>
      </w:r>
      <w:r w:rsidRPr="00A615AF">
        <w:t>ion</w:t>
      </w:r>
    </w:p>
    <w:p w:rsidR="005B7CBB" w:rsidRPr="00A615AF" w:rsidRDefault="00AE483D" w:rsidP="00B27B52">
      <w:pPr>
        <w:pStyle w:val="TEXT"/>
      </w:pPr>
      <w:r>
        <w:t>The collection of information results from a condition of th</w:t>
      </w:r>
      <w:r w:rsidR="00AE65ED">
        <w:t>e</w:t>
      </w:r>
      <w:r>
        <w:t xml:space="preserve"> Order and will be required for a broker-dealer to be exempt from the immediate confirmation requirements of Exchange Act Rule 10b-10(a).</w:t>
      </w:r>
      <w:r w:rsidR="00C202B5">
        <w:t xml:space="preserve">  Absent the notification condition in the Order, customers would not be alerted of their ability to request immediate confirmations, consistent with the terms of Exchange Act Rule 10b-10(a).  The notification condition allows customers to obtain immediate confirmations should they choose to request them.</w:t>
      </w:r>
      <w:r w:rsidR="005B2FC6" w:rsidRPr="005B2FC6">
        <w:rPr>
          <w:sz w:val="20"/>
          <w:szCs w:val="20"/>
        </w:rPr>
        <w:t xml:space="preserve"> </w:t>
      </w:r>
    </w:p>
    <w:p w:rsidR="005B7CBB" w:rsidRPr="00A615AF" w:rsidRDefault="005B7CBB" w:rsidP="00B27B52">
      <w:pPr>
        <w:pStyle w:val="Heading2"/>
      </w:pPr>
      <w:r w:rsidRPr="00A615AF">
        <w:t>7.</w:t>
      </w:r>
      <w:r w:rsidRPr="00A615AF">
        <w:tab/>
      </w:r>
      <w:r w:rsidRPr="00A615AF">
        <w:rPr>
          <w:spacing w:val="-8"/>
        </w:rPr>
        <w:t>I</w:t>
      </w:r>
      <w:r w:rsidRPr="00A615AF">
        <w:t>n</w:t>
      </w:r>
      <w:r w:rsidRPr="00A615AF">
        <w:rPr>
          <w:spacing w:val="-3"/>
        </w:rPr>
        <w:t>c</w:t>
      </w:r>
      <w:r w:rsidRPr="00A615AF">
        <w:t>onsist</w:t>
      </w:r>
      <w:r w:rsidRPr="00A615AF">
        <w:rPr>
          <w:spacing w:val="-3"/>
        </w:rPr>
        <w:t>e</w:t>
      </w:r>
      <w:r w:rsidRPr="00A615AF">
        <w:t>n</w:t>
      </w:r>
      <w:r w:rsidRPr="00A615AF">
        <w:rPr>
          <w:spacing w:val="-6"/>
        </w:rPr>
        <w:t>c</w:t>
      </w:r>
      <w:r w:rsidRPr="00A615AF">
        <w:t>i</w:t>
      </w:r>
      <w:r w:rsidRPr="00A615AF">
        <w:rPr>
          <w:spacing w:val="-3"/>
        </w:rPr>
        <w:t>e</w:t>
      </w:r>
      <w:r w:rsidRPr="00A615AF">
        <w:t>s</w:t>
      </w:r>
      <w:r w:rsidRPr="00A615AF">
        <w:rPr>
          <w:spacing w:val="-5"/>
        </w:rPr>
        <w:t xml:space="preserve"> </w:t>
      </w:r>
      <w:r w:rsidRPr="00A615AF">
        <w:rPr>
          <w:spacing w:val="-3"/>
        </w:rPr>
        <w:t>w</w:t>
      </w:r>
      <w:r w:rsidRPr="00A615AF">
        <w:rPr>
          <w:spacing w:val="-4"/>
        </w:rPr>
        <w:t>i</w:t>
      </w:r>
      <w:r w:rsidRPr="00A615AF">
        <w:t>th</w:t>
      </w:r>
      <w:r w:rsidRPr="00A615AF">
        <w:rPr>
          <w:spacing w:val="-5"/>
        </w:rPr>
        <w:t xml:space="preserve"> G</w:t>
      </w:r>
      <w:r w:rsidRPr="00A615AF">
        <w:t>ui</w:t>
      </w:r>
      <w:r w:rsidRPr="00A615AF">
        <w:rPr>
          <w:spacing w:val="-5"/>
        </w:rPr>
        <w:t>d</w:t>
      </w:r>
      <w:r w:rsidRPr="00A615AF">
        <w:rPr>
          <w:spacing w:val="-3"/>
        </w:rPr>
        <w:t>e</w:t>
      </w:r>
      <w:r w:rsidRPr="00A615AF">
        <w:t>lin</w:t>
      </w:r>
      <w:r w:rsidRPr="00A615AF">
        <w:rPr>
          <w:spacing w:val="-3"/>
        </w:rPr>
        <w:t>e</w:t>
      </w:r>
      <w:r w:rsidRPr="00A615AF">
        <w:t>s</w:t>
      </w:r>
      <w:r w:rsidRPr="00A615AF">
        <w:rPr>
          <w:spacing w:val="-7"/>
        </w:rPr>
        <w:t xml:space="preserve"> </w:t>
      </w:r>
      <w:r w:rsidRPr="00A615AF">
        <w:t>in</w:t>
      </w:r>
      <w:r w:rsidRPr="00A615AF">
        <w:rPr>
          <w:spacing w:val="-7"/>
        </w:rPr>
        <w:t xml:space="preserve"> </w:t>
      </w:r>
      <w:r w:rsidRPr="00A615AF">
        <w:t>5</w:t>
      </w:r>
      <w:r w:rsidRPr="00A615AF">
        <w:rPr>
          <w:spacing w:val="-5"/>
        </w:rPr>
        <w:t xml:space="preserve"> </w:t>
      </w:r>
      <w:r w:rsidRPr="00A615AF">
        <w:t>C</w:t>
      </w:r>
      <w:r w:rsidRPr="00A615AF">
        <w:rPr>
          <w:spacing w:val="-6"/>
        </w:rPr>
        <w:t>F</w:t>
      </w:r>
      <w:r w:rsidRPr="00A615AF">
        <w:t>R</w:t>
      </w:r>
      <w:r w:rsidRPr="00A615AF">
        <w:rPr>
          <w:spacing w:val="-4"/>
        </w:rPr>
        <w:t xml:space="preserve"> </w:t>
      </w:r>
      <w:r w:rsidRPr="00A615AF">
        <w:t>1</w:t>
      </w:r>
      <w:r w:rsidRPr="00A615AF">
        <w:rPr>
          <w:spacing w:val="-5"/>
        </w:rPr>
        <w:t>3</w:t>
      </w:r>
      <w:r w:rsidRPr="00A615AF">
        <w:t>20.5</w:t>
      </w:r>
      <w:r w:rsidRPr="00A615AF">
        <w:rPr>
          <w:spacing w:val="-6"/>
        </w:rPr>
        <w:t>(</w:t>
      </w:r>
      <w:r w:rsidRPr="00A615AF">
        <w:t>d</w:t>
      </w:r>
      <w:proofErr w:type="gramStart"/>
      <w:r w:rsidRPr="00A615AF">
        <w:rPr>
          <w:spacing w:val="-6"/>
        </w:rPr>
        <w:t>)</w:t>
      </w:r>
      <w:r w:rsidRPr="00A615AF">
        <w:rPr>
          <w:spacing w:val="-3"/>
        </w:rPr>
        <w:t>(</w:t>
      </w:r>
      <w:proofErr w:type="gramEnd"/>
      <w:r w:rsidRPr="00A615AF">
        <w:t>2)</w:t>
      </w:r>
    </w:p>
    <w:p w:rsidR="005B7CBB" w:rsidRPr="00A615AF" w:rsidRDefault="00410AB6" w:rsidP="00B27B52">
      <w:pPr>
        <w:pStyle w:val="TEXT"/>
      </w:pPr>
      <w:r>
        <w:t xml:space="preserve">There are no special circumstances.  </w:t>
      </w:r>
      <w:r w:rsidR="005B7CBB" w:rsidRPr="00A615AF">
        <w:t>This collection is consistent with the guidelines in 5 CFR 1320.5(d</w:t>
      </w:r>
      <w:proofErr w:type="gramStart"/>
      <w:r w:rsidR="005B7CBB" w:rsidRPr="00A615AF">
        <w:t>)(</w:t>
      </w:r>
      <w:proofErr w:type="gramEnd"/>
      <w:r w:rsidR="005B7CBB" w:rsidRPr="00A615AF">
        <w:t>2).</w:t>
      </w:r>
    </w:p>
    <w:p w:rsidR="005B7CBB" w:rsidRPr="00A615AF" w:rsidRDefault="005B7CBB" w:rsidP="002E533D">
      <w:pPr>
        <w:keepNext/>
        <w:tabs>
          <w:tab w:val="left" w:pos="1560"/>
        </w:tabs>
        <w:spacing w:after="0" w:line="240" w:lineRule="auto"/>
        <w:ind w:left="720" w:right="-20"/>
        <w:rPr>
          <w:rFonts w:ascii="Times New Roman" w:eastAsia="Times New Roman" w:hAnsi="Times New Roman" w:cs="Times New Roman"/>
          <w:b/>
          <w:sz w:val="24"/>
          <w:szCs w:val="24"/>
        </w:rPr>
      </w:pPr>
      <w:r w:rsidRPr="00A615AF">
        <w:rPr>
          <w:rFonts w:ascii="Times New Roman" w:eastAsia="Times New Roman" w:hAnsi="Times New Roman" w:cs="Times New Roman"/>
          <w:b/>
          <w:spacing w:val="-2"/>
          <w:position w:val="-1"/>
          <w:sz w:val="24"/>
          <w:szCs w:val="24"/>
        </w:rPr>
        <w:t>8</w:t>
      </w:r>
      <w:r w:rsidRPr="00A615AF">
        <w:rPr>
          <w:rFonts w:ascii="Times New Roman" w:eastAsia="Times New Roman" w:hAnsi="Times New Roman" w:cs="Times New Roman"/>
          <w:b/>
          <w:position w:val="-1"/>
          <w:sz w:val="24"/>
          <w:szCs w:val="24"/>
        </w:rPr>
        <w:t>.</w:t>
      </w:r>
      <w:r w:rsidRPr="00A615AF">
        <w:rPr>
          <w:rFonts w:ascii="Times New Roman" w:eastAsia="Times New Roman" w:hAnsi="Times New Roman" w:cs="Times New Roman"/>
          <w:b/>
          <w:position w:val="-1"/>
          <w:sz w:val="24"/>
          <w:szCs w:val="24"/>
        </w:rPr>
        <w:tab/>
      </w:r>
      <w:r w:rsidRPr="00A615AF">
        <w:rPr>
          <w:rFonts w:ascii="Times New Roman" w:eastAsia="Times New Roman" w:hAnsi="Times New Roman" w:cs="Times New Roman"/>
          <w:b/>
          <w:spacing w:val="-2"/>
          <w:position w:val="-1"/>
          <w:sz w:val="24"/>
          <w:szCs w:val="24"/>
        </w:rPr>
        <w:t>Con</w:t>
      </w:r>
      <w:r w:rsidRPr="00A615AF">
        <w:rPr>
          <w:rFonts w:ascii="Times New Roman" w:eastAsia="Times New Roman" w:hAnsi="Times New Roman" w:cs="Times New Roman"/>
          <w:b/>
          <w:spacing w:val="-5"/>
          <w:position w:val="-1"/>
          <w:sz w:val="24"/>
          <w:szCs w:val="24"/>
        </w:rPr>
        <w:t>s</w:t>
      </w:r>
      <w:r w:rsidRPr="00A615AF">
        <w:rPr>
          <w:rFonts w:ascii="Times New Roman" w:eastAsia="Times New Roman" w:hAnsi="Times New Roman" w:cs="Times New Roman"/>
          <w:b/>
          <w:spacing w:val="-2"/>
          <w:position w:val="-1"/>
          <w:sz w:val="24"/>
          <w:szCs w:val="24"/>
        </w:rPr>
        <w:t>u</w:t>
      </w:r>
      <w:r w:rsidRPr="00A615AF">
        <w:rPr>
          <w:rFonts w:ascii="Times New Roman" w:eastAsia="Times New Roman" w:hAnsi="Times New Roman" w:cs="Times New Roman"/>
          <w:b/>
          <w:spacing w:val="-4"/>
          <w:position w:val="-1"/>
          <w:sz w:val="24"/>
          <w:szCs w:val="24"/>
        </w:rPr>
        <w:t>l</w:t>
      </w:r>
      <w:r w:rsidRPr="00A615AF">
        <w:rPr>
          <w:rFonts w:ascii="Times New Roman" w:eastAsia="Times New Roman" w:hAnsi="Times New Roman" w:cs="Times New Roman"/>
          <w:b/>
          <w:spacing w:val="-2"/>
          <w:position w:val="-1"/>
          <w:sz w:val="24"/>
          <w:szCs w:val="24"/>
        </w:rPr>
        <w:t>t</w:t>
      </w:r>
      <w:r w:rsidRPr="00A615AF">
        <w:rPr>
          <w:rFonts w:ascii="Times New Roman" w:eastAsia="Times New Roman" w:hAnsi="Times New Roman" w:cs="Times New Roman"/>
          <w:b/>
          <w:spacing w:val="-3"/>
          <w:position w:val="-1"/>
          <w:sz w:val="24"/>
          <w:szCs w:val="24"/>
        </w:rPr>
        <w:t>a</w:t>
      </w:r>
      <w:r w:rsidRPr="00A615AF">
        <w:rPr>
          <w:rFonts w:ascii="Times New Roman" w:eastAsia="Times New Roman" w:hAnsi="Times New Roman" w:cs="Times New Roman"/>
          <w:b/>
          <w:spacing w:val="-2"/>
          <w:position w:val="-1"/>
          <w:sz w:val="24"/>
          <w:szCs w:val="24"/>
        </w:rPr>
        <w:t>t</w:t>
      </w:r>
      <w:r w:rsidRPr="00A615AF">
        <w:rPr>
          <w:rFonts w:ascii="Times New Roman" w:eastAsia="Times New Roman" w:hAnsi="Times New Roman" w:cs="Times New Roman"/>
          <w:b/>
          <w:spacing w:val="-4"/>
          <w:position w:val="-1"/>
          <w:sz w:val="24"/>
          <w:szCs w:val="24"/>
        </w:rPr>
        <w:t>i</w:t>
      </w:r>
      <w:r w:rsidRPr="00A615AF">
        <w:rPr>
          <w:rFonts w:ascii="Times New Roman" w:eastAsia="Times New Roman" w:hAnsi="Times New Roman" w:cs="Times New Roman"/>
          <w:b/>
          <w:spacing w:val="-2"/>
          <w:position w:val="-1"/>
          <w:sz w:val="24"/>
          <w:szCs w:val="24"/>
        </w:rPr>
        <w:t xml:space="preserve">ons </w:t>
      </w:r>
      <w:proofErr w:type="gramStart"/>
      <w:r w:rsidRPr="00A615AF">
        <w:rPr>
          <w:rFonts w:ascii="Times New Roman" w:eastAsia="Times New Roman" w:hAnsi="Times New Roman" w:cs="Times New Roman"/>
          <w:b/>
          <w:spacing w:val="-5"/>
          <w:position w:val="-1"/>
          <w:sz w:val="24"/>
          <w:szCs w:val="24"/>
        </w:rPr>
        <w:t>O</w:t>
      </w:r>
      <w:r w:rsidRPr="00A615AF">
        <w:rPr>
          <w:rFonts w:ascii="Times New Roman" w:eastAsia="Times New Roman" w:hAnsi="Times New Roman" w:cs="Times New Roman"/>
          <w:b/>
          <w:spacing w:val="-2"/>
          <w:position w:val="-1"/>
          <w:sz w:val="24"/>
          <w:szCs w:val="24"/>
        </w:rPr>
        <w:t>ut</w:t>
      </w:r>
      <w:r w:rsidRPr="00A615AF">
        <w:rPr>
          <w:rFonts w:ascii="Times New Roman" w:eastAsia="Times New Roman" w:hAnsi="Times New Roman" w:cs="Times New Roman"/>
          <w:b/>
          <w:spacing w:val="-5"/>
          <w:position w:val="-1"/>
          <w:sz w:val="24"/>
          <w:szCs w:val="24"/>
        </w:rPr>
        <w:t>s</w:t>
      </w:r>
      <w:r w:rsidRPr="00A615AF">
        <w:rPr>
          <w:rFonts w:ascii="Times New Roman" w:eastAsia="Times New Roman" w:hAnsi="Times New Roman" w:cs="Times New Roman"/>
          <w:b/>
          <w:spacing w:val="-2"/>
          <w:position w:val="-1"/>
          <w:sz w:val="24"/>
          <w:szCs w:val="24"/>
        </w:rPr>
        <w:t>ide</w:t>
      </w:r>
      <w:proofErr w:type="gramEnd"/>
      <w:r w:rsidRPr="00A615AF">
        <w:rPr>
          <w:rFonts w:ascii="Times New Roman" w:eastAsia="Times New Roman" w:hAnsi="Times New Roman" w:cs="Times New Roman"/>
          <w:b/>
          <w:spacing w:val="-6"/>
          <w:position w:val="-1"/>
          <w:sz w:val="24"/>
          <w:szCs w:val="24"/>
        </w:rPr>
        <w:t xml:space="preserve"> </w:t>
      </w:r>
      <w:r w:rsidRPr="00A615AF">
        <w:rPr>
          <w:rFonts w:ascii="Times New Roman" w:eastAsia="Times New Roman" w:hAnsi="Times New Roman" w:cs="Times New Roman"/>
          <w:b/>
          <w:spacing w:val="-2"/>
          <w:position w:val="-1"/>
          <w:sz w:val="24"/>
          <w:szCs w:val="24"/>
        </w:rPr>
        <w:t>the</w:t>
      </w:r>
      <w:r w:rsidRPr="00A615AF">
        <w:rPr>
          <w:rFonts w:ascii="Times New Roman" w:eastAsia="Times New Roman" w:hAnsi="Times New Roman" w:cs="Times New Roman"/>
          <w:b/>
          <w:spacing w:val="-6"/>
          <w:position w:val="-1"/>
          <w:sz w:val="24"/>
          <w:szCs w:val="24"/>
        </w:rPr>
        <w:t xml:space="preserve"> </w:t>
      </w:r>
      <w:r w:rsidRPr="00A615AF">
        <w:rPr>
          <w:rFonts w:ascii="Times New Roman" w:eastAsia="Times New Roman" w:hAnsi="Times New Roman" w:cs="Times New Roman"/>
          <w:b/>
          <w:spacing w:val="-3"/>
          <w:position w:val="-1"/>
          <w:sz w:val="24"/>
          <w:szCs w:val="24"/>
        </w:rPr>
        <w:t>A</w:t>
      </w:r>
      <w:r w:rsidRPr="00A615AF">
        <w:rPr>
          <w:rFonts w:ascii="Times New Roman" w:eastAsia="Times New Roman" w:hAnsi="Times New Roman" w:cs="Times New Roman"/>
          <w:b/>
          <w:spacing w:val="-5"/>
          <w:position w:val="-1"/>
          <w:sz w:val="24"/>
          <w:szCs w:val="24"/>
        </w:rPr>
        <w:t>g</w:t>
      </w:r>
      <w:r w:rsidRPr="00A615AF">
        <w:rPr>
          <w:rFonts w:ascii="Times New Roman" w:eastAsia="Times New Roman" w:hAnsi="Times New Roman" w:cs="Times New Roman"/>
          <w:b/>
          <w:spacing w:val="-3"/>
          <w:position w:val="-1"/>
          <w:sz w:val="24"/>
          <w:szCs w:val="24"/>
        </w:rPr>
        <w:t>e</w:t>
      </w:r>
      <w:r w:rsidRPr="00A615AF">
        <w:rPr>
          <w:rFonts w:ascii="Times New Roman" w:eastAsia="Times New Roman" w:hAnsi="Times New Roman" w:cs="Times New Roman"/>
          <w:b/>
          <w:spacing w:val="-2"/>
          <w:position w:val="-1"/>
          <w:sz w:val="24"/>
          <w:szCs w:val="24"/>
        </w:rPr>
        <w:t>n</w:t>
      </w:r>
      <w:r w:rsidRPr="00A615AF">
        <w:rPr>
          <w:rFonts w:ascii="Times New Roman" w:eastAsia="Times New Roman" w:hAnsi="Times New Roman" w:cs="Times New Roman"/>
          <w:b/>
          <w:spacing w:val="-1"/>
          <w:position w:val="-1"/>
          <w:sz w:val="24"/>
          <w:szCs w:val="24"/>
        </w:rPr>
        <w:t>c</w:t>
      </w:r>
      <w:r w:rsidRPr="00A615AF">
        <w:rPr>
          <w:rFonts w:ascii="Times New Roman" w:eastAsia="Times New Roman" w:hAnsi="Times New Roman" w:cs="Times New Roman"/>
          <w:b/>
          <w:position w:val="-1"/>
          <w:sz w:val="24"/>
          <w:szCs w:val="24"/>
        </w:rPr>
        <w:t>y</w:t>
      </w:r>
    </w:p>
    <w:p w:rsidR="005B7CBB" w:rsidRPr="00A615AF" w:rsidRDefault="005B7CBB" w:rsidP="002E533D">
      <w:pPr>
        <w:keepNext/>
        <w:spacing w:after="0" w:line="240" w:lineRule="auto"/>
        <w:ind w:right="180" w:firstLine="720"/>
        <w:rPr>
          <w:rFonts w:ascii="Times New Roman" w:eastAsia="Times New Roman" w:hAnsi="Times New Roman" w:cs="Times New Roman"/>
          <w:sz w:val="24"/>
          <w:szCs w:val="24"/>
        </w:rPr>
      </w:pPr>
    </w:p>
    <w:p w:rsidR="00410AB6" w:rsidRPr="00A615AF" w:rsidRDefault="00812047" w:rsidP="002E533D">
      <w:pPr>
        <w:spacing w:after="0" w:line="240" w:lineRule="auto"/>
        <w:ind w:right="18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In the Order, t</w:t>
      </w:r>
      <w:r w:rsidR="00410AB6" w:rsidRPr="00410AB6">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Commission has solicited</w:t>
      </w:r>
      <w:r w:rsidR="00410AB6" w:rsidRPr="00410AB6">
        <w:rPr>
          <w:rFonts w:ascii="Times New Roman" w:eastAsia="Times New Roman" w:hAnsi="Times New Roman" w:cs="Times New Roman"/>
          <w:sz w:val="24"/>
          <w:szCs w:val="24"/>
        </w:rPr>
        <w:t xml:space="preserve"> comment on the new “collect</w:t>
      </w:r>
      <w:r>
        <w:rPr>
          <w:rFonts w:ascii="Times New Roman" w:eastAsia="Times New Roman" w:hAnsi="Times New Roman" w:cs="Times New Roman"/>
          <w:sz w:val="24"/>
          <w:szCs w:val="24"/>
        </w:rPr>
        <w:t>ion of information” requirement</w:t>
      </w:r>
      <w:r w:rsidR="00410AB6" w:rsidRPr="00410AB6">
        <w:rPr>
          <w:rFonts w:ascii="Times New Roman" w:eastAsia="Times New Roman" w:hAnsi="Times New Roman" w:cs="Times New Roman"/>
          <w:sz w:val="24"/>
          <w:szCs w:val="24"/>
        </w:rPr>
        <w:t xml:space="preserve"> and associated paperwork burdens.  A copy of the </w:t>
      </w:r>
      <w:r w:rsidR="00CB29E1">
        <w:rPr>
          <w:rFonts w:ascii="Times New Roman" w:eastAsia="Times New Roman" w:hAnsi="Times New Roman" w:cs="Times New Roman"/>
          <w:sz w:val="24"/>
          <w:szCs w:val="24"/>
        </w:rPr>
        <w:t>Order</w:t>
      </w:r>
      <w:r w:rsidR="00410AB6" w:rsidRPr="00410AB6">
        <w:rPr>
          <w:rFonts w:ascii="Times New Roman" w:eastAsia="Times New Roman" w:hAnsi="Times New Roman" w:cs="Times New Roman"/>
          <w:sz w:val="24"/>
          <w:szCs w:val="24"/>
        </w:rPr>
        <w:t xml:space="preserve"> is attached.  </w:t>
      </w:r>
    </w:p>
    <w:p w:rsidR="005B7CBB" w:rsidRPr="00A615AF" w:rsidRDefault="005B7CBB" w:rsidP="002E533D">
      <w:pPr>
        <w:spacing w:after="0" w:line="240" w:lineRule="auto"/>
        <w:ind w:right="180" w:firstLine="720"/>
        <w:rPr>
          <w:rFonts w:ascii="Times New Roman" w:eastAsia="Times New Roman" w:hAnsi="Times New Roman" w:cs="Times New Roman"/>
          <w:sz w:val="24"/>
          <w:szCs w:val="24"/>
        </w:rPr>
      </w:pPr>
    </w:p>
    <w:p w:rsidR="005B7CBB" w:rsidRPr="00A615AF" w:rsidRDefault="005B7CBB" w:rsidP="00B27B52">
      <w:pPr>
        <w:pStyle w:val="Heading2"/>
      </w:pPr>
      <w:r w:rsidRPr="00A615AF">
        <w:t>9.</w:t>
      </w:r>
      <w:r w:rsidRPr="00A615AF">
        <w:tab/>
      </w:r>
      <w:r w:rsidRPr="00A615AF">
        <w:rPr>
          <w:spacing w:val="-1"/>
        </w:rPr>
        <w:t>Pa</w:t>
      </w:r>
      <w:r w:rsidRPr="00A615AF">
        <w:rPr>
          <w:spacing w:val="-10"/>
        </w:rPr>
        <w:t>y</w:t>
      </w:r>
      <w:r w:rsidRPr="00A615AF">
        <w:t>m</w:t>
      </w:r>
      <w:r w:rsidRPr="00A615AF">
        <w:rPr>
          <w:spacing w:val="-3"/>
        </w:rPr>
        <w:t>e</w:t>
      </w:r>
      <w:r w:rsidRPr="00A615AF">
        <w:t>nt</w:t>
      </w:r>
      <w:r w:rsidRPr="00A615AF">
        <w:rPr>
          <w:spacing w:val="-4"/>
        </w:rPr>
        <w:t xml:space="preserve"> </w:t>
      </w:r>
      <w:r w:rsidRPr="00A615AF">
        <w:t>or</w:t>
      </w:r>
      <w:r w:rsidRPr="00A615AF">
        <w:rPr>
          <w:spacing w:val="-6"/>
        </w:rPr>
        <w:t xml:space="preserve"> </w:t>
      </w:r>
      <w:r w:rsidRPr="00A615AF">
        <w:rPr>
          <w:spacing w:val="-3"/>
        </w:rPr>
        <w:t>G</w:t>
      </w:r>
      <w:r w:rsidRPr="00A615AF">
        <w:t>i</w:t>
      </w:r>
      <w:r w:rsidRPr="00A615AF">
        <w:rPr>
          <w:spacing w:val="-3"/>
        </w:rPr>
        <w:t>f</w:t>
      </w:r>
      <w:r w:rsidRPr="00A615AF">
        <w:t>t</w:t>
      </w:r>
    </w:p>
    <w:p w:rsidR="005B7CBB" w:rsidRPr="00A615AF" w:rsidRDefault="005B7CBB" w:rsidP="00B27B52">
      <w:pPr>
        <w:pStyle w:val="TEXT"/>
      </w:pPr>
      <w:r w:rsidRPr="00A615AF">
        <w:t>Not applicable.</w:t>
      </w:r>
    </w:p>
    <w:p w:rsidR="005B7CBB" w:rsidRPr="00A615AF" w:rsidRDefault="005B7CBB" w:rsidP="00B27B52">
      <w:pPr>
        <w:pStyle w:val="Heading2"/>
      </w:pPr>
      <w:r w:rsidRPr="00A615AF">
        <w:t>10.</w:t>
      </w:r>
      <w:r w:rsidRPr="00A615AF">
        <w:tab/>
        <w:t>Con</w:t>
      </w:r>
      <w:r w:rsidRPr="00A615AF">
        <w:rPr>
          <w:spacing w:val="-3"/>
        </w:rPr>
        <w:t>f</w:t>
      </w:r>
      <w:r w:rsidRPr="00A615AF">
        <w:rPr>
          <w:spacing w:val="-4"/>
        </w:rPr>
        <w:t>i</w:t>
      </w:r>
      <w:r w:rsidRPr="00A615AF">
        <w:t>d</w:t>
      </w:r>
      <w:r w:rsidRPr="00A615AF">
        <w:rPr>
          <w:spacing w:val="-3"/>
        </w:rPr>
        <w:t>e</w:t>
      </w:r>
      <w:r w:rsidRPr="00A615AF">
        <w:t>n</w:t>
      </w:r>
      <w:r w:rsidRPr="00A615AF">
        <w:rPr>
          <w:spacing w:val="-4"/>
        </w:rPr>
        <w:t>t</w:t>
      </w:r>
      <w:r w:rsidRPr="00A615AF">
        <w:t>i</w:t>
      </w:r>
      <w:r w:rsidRPr="00A615AF">
        <w:rPr>
          <w:spacing w:val="-3"/>
        </w:rPr>
        <w:t>a</w:t>
      </w:r>
      <w:r w:rsidRPr="00A615AF">
        <w:rPr>
          <w:spacing w:val="-4"/>
        </w:rPr>
        <w:t>l</w:t>
      </w:r>
      <w:r w:rsidRPr="00A615AF">
        <w:t>ity</w:t>
      </w:r>
    </w:p>
    <w:p w:rsidR="005076A8" w:rsidRDefault="00194428" w:rsidP="00EA77D6">
      <w:pPr>
        <w:pStyle w:val="TEXT"/>
      </w:pPr>
      <w:r>
        <w:t>The notification would be provided by a broker-dealer directly to a customer and thus would not be kept confidential.</w:t>
      </w:r>
      <w:r w:rsidR="005076A8">
        <w:t xml:space="preserve"> </w:t>
      </w:r>
    </w:p>
    <w:p w:rsidR="005B7CBB" w:rsidRPr="00A615AF" w:rsidRDefault="005B7CBB" w:rsidP="00B27B52">
      <w:pPr>
        <w:pStyle w:val="Heading2"/>
      </w:pPr>
      <w:r w:rsidRPr="00A615AF">
        <w:t>11.</w:t>
      </w:r>
      <w:r w:rsidRPr="00A615AF">
        <w:tab/>
      </w:r>
      <w:r w:rsidRPr="00A615AF">
        <w:rPr>
          <w:spacing w:val="-1"/>
        </w:rPr>
        <w:t>S</w:t>
      </w:r>
      <w:r w:rsidRPr="00A615AF">
        <w:rPr>
          <w:spacing w:val="-3"/>
        </w:rPr>
        <w:t>e</w:t>
      </w:r>
      <w:r w:rsidRPr="00A615AF">
        <w:t>n</w:t>
      </w:r>
      <w:r w:rsidRPr="00A615AF">
        <w:rPr>
          <w:spacing w:val="-5"/>
        </w:rPr>
        <w:t>s</w:t>
      </w:r>
      <w:r w:rsidRPr="00A615AF">
        <w:t>it</w:t>
      </w:r>
      <w:r w:rsidRPr="00A615AF">
        <w:rPr>
          <w:spacing w:val="-4"/>
        </w:rPr>
        <w:t>i</w:t>
      </w:r>
      <w:r w:rsidRPr="00A615AF">
        <w:t>ve</w:t>
      </w:r>
      <w:r w:rsidRPr="00A615AF">
        <w:rPr>
          <w:spacing w:val="-3"/>
        </w:rPr>
        <w:t xml:space="preserve"> Q</w:t>
      </w:r>
      <w:r w:rsidRPr="00A615AF">
        <w:t>u</w:t>
      </w:r>
      <w:r w:rsidRPr="00A615AF">
        <w:rPr>
          <w:spacing w:val="-3"/>
        </w:rPr>
        <w:t>e</w:t>
      </w:r>
      <w:r w:rsidRPr="00A615AF">
        <w:rPr>
          <w:spacing w:val="-5"/>
        </w:rPr>
        <w:t>s</w:t>
      </w:r>
      <w:r w:rsidRPr="00A615AF">
        <w:t>ti</w:t>
      </w:r>
      <w:r w:rsidRPr="00A615AF">
        <w:rPr>
          <w:spacing w:val="-5"/>
        </w:rPr>
        <w:t>o</w:t>
      </w:r>
      <w:r w:rsidRPr="00A615AF">
        <w:t>ns</w:t>
      </w:r>
    </w:p>
    <w:p w:rsidR="008C147B" w:rsidRDefault="00194428" w:rsidP="00B27B52">
      <w:pPr>
        <w:pStyle w:val="TEXT"/>
      </w:pPr>
      <w:r>
        <w:rPr>
          <w:rFonts w:eastAsiaTheme="minorHAnsi"/>
        </w:rPr>
        <w:t>Not applicable.</w:t>
      </w:r>
      <w:r w:rsidR="008C147B" w:rsidRPr="008C147B">
        <w:t xml:space="preserve">  </w:t>
      </w:r>
    </w:p>
    <w:p w:rsidR="005B7CBB" w:rsidRPr="00A615AF" w:rsidRDefault="005B7CBB" w:rsidP="00B27B52">
      <w:pPr>
        <w:pStyle w:val="Heading2"/>
      </w:pPr>
      <w:r w:rsidRPr="00A615AF">
        <w:t>12.</w:t>
      </w:r>
      <w:r w:rsidRPr="00A615AF">
        <w:tab/>
      </w:r>
      <w:r w:rsidR="00B04295" w:rsidRPr="00A615AF">
        <w:t>Burden of Information Collection</w:t>
      </w:r>
    </w:p>
    <w:p w:rsidR="00B875FF" w:rsidRPr="00A615AF" w:rsidRDefault="00B875FF" w:rsidP="00B875FF">
      <w:pPr>
        <w:keepNext/>
        <w:spacing w:after="0" w:line="240" w:lineRule="auto"/>
        <w:ind w:left="720" w:right="187" w:firstLine="720"/>
        <w:rPr>
          <w:rFonts w:ascii="Times New Roman" w:eastAsia="Times New Roman" w:hAnsi="Times New Roman" w:cs="Times New Roman"/>
          <w:sz w:val="24"/>
          <w:szCs w:val="24"/>
        </w:rPr>
      </w:pPr>
      <w:r w:rsidRPr="00A615AF">
        <w:rPr>
          <w:rFonts w:ascii="Times New Roman" w:eastAsia="Times New Roman" w:hAnsi="Times New Roman" w:cs="Times New Roman"/>
          <w:sz w:val="24"/>
          <w:szCs w:val="24"/>
        </w:rPr>
        <w:t>a.</w:t>
      </w:r>
      <w:r w:rsidRPr="00A615AF">
        <w:rPr>
          <w:rFonts w:ascii="Times New Roman" w:eastAsia="Times New Roman" w:hAnsi="Times New Roman" w:cs="Times New Roman"/>
          <w:sz w:val="24"/>
          <w:szCs w:val="24"/>
        </w:rPr>
        <w:tab/>
      </w:r>
      <w:r w:rsidRPr="00A615AF">
        <w:rPr>
          <w:rFonts w:ascii="Times New Roman" w:eastAsia="Times New Roman" w:hAnsi="Times New Roman" w:cs="Times New Roman"/>
          <w:sz w:val="24"/>
          <w:szCs w:val="24"/>
          <w:u w:val="single"/>
        </w:rPr>
        <w:t>Respondents</w:t>
      </w:r>
      <w:r w:rsidRPr="00A615AF">
        <w:rPr>
          <w:rFonts w:ascii="Times New Roman" w:eastAsia="Times New Roman" w:hAnsi="Times New Roman" w:cs="Times New Roman"/>
          <w:sz w:val="24"/>
          <w:szCs w:val="24"/>
        </w:rPr>
        <w:t>:</w:t>
      </w:r>
    </w:p>
    <w:p w:rsidR="00B875FF" w:rsidRPr="00A615AF" w:rsidRDefault="00B875FF" w:rsidP="00B875FF">
      <w:pPr>
        <w:keepNext/>
        <w:spacing w:after="0" w:line="240" w:lineRule="auto"/>
        <w:ind w:right="187" w:firstLine="720"/>
        <w:rPr>
          <w:rFonts w:ascii="Times New Roman" w:eastAsia="Times New Roman" w:hAnsi="Times New Roman" w:cs="Times New Roman"/>
          <w:sz w:val="24"/>
          <w:szCs w:val="24"/>
        </w:rPr>
      </w:pPr>
    </w:p>
    <w:p w:rsidR="00FB5663" w:rsidRPr="00A615AF" w:rsidRDefault="00194428" w:rsidP="00B27B52">
      <w:pPr>
        <w:pStyle w:val="TEXT"/>
      </w:pPr>
      <w:r>
        <w:t>As stated in the Money Market Fund Reform Adopting Release, based on FOCUS report data as of December 31, 2013, the Commission estimates that there are approximately 320 broker-dealers that clear customer transactions or carry customer funds and securities.</w:t>
      </w:r>
      <w:r>
        <w:rPr>
          <w:rStyle w:val="FootnoteReference"/>
        </w:rPr>
        <w:footnoteReference w:id="14"/>
      </w:r>
      <w:r>
        <w:t xml:space="preserve">  In the Money Market Fund Reform Adopting Release, the Commission also conservatively estimated that those broker-dealers are the respondents that would provide trade confirmations to customers in institutional prime money market funds.</w:t>
      </w:r>
      <w:r>
        <w:rPr>
          <w:rStyle w:val="FootnoteReference"/>
        </w:rPr>
        <w:footnoteReference w:id="15"/>
      </w:r>
      <w:r>
        <w:t xml:space="preserve">  </w:t>
      </w:r>
    </w:p>
    <w:p w:rsidR="00B875FF" w:rsidRPr="00A615AF" w:rsidRDefault="00B875FF" w:rsidP="00B875FF">
      <w:pPr>
        <w:keepNext/>
        <w:spacing w:after="0" w:line="240" w:lineRule="auto"/>
        <w:ind w:left="720" w:right="187" w:firstLine="720"/>
        <w:rPr>
          <w:rFonts w:ascii="Times New Roman" w:eastAsia="Times New Roman" w:hAnsi="Times New Roman" w:cs="Times New Roman"/>
          <w:sz w:val="24"/>
          <w:szCs w:val="24"/>
        </w:rPr>
      </w:pPr>
      <w:r w:rsidRPr="00A615AF">
        <w:rPr>
          <w:rFonts w:ascii="Times New Roman" w:eastAsia="Times New Roman" w:hAnsi="Times New Roman" w:cs="Times New Roman"/>
          <w:sz w:val="24"/>
          <w:szCs w:val="24"/>
        </w:rPr>
        <w:t>b.</w:t>
      </w:r>
      <w:r w:rsidRPr="00A615AF">
        <w:rPr>
          <w:rFonts w:ascii="Times New Roman" w:eastAsia="Times New Roman" w:hAnsi="Times New Roman" w:cs="Times New Roman"/>
          <w:sz w:val="24"/>
          <w:szCs w:val="24"/>
        </w:rPr>
        <w:tab/>
      </w:r>
      <w:r w:rsidRPr="00A615AF">
        <w:rPr>
          <w:rFonts w:ascii="Times New Roman" w:eastAsia="Times New Roman" w:hAnsi="Times New Roman" w:cs="Times New Roman"/>
          <w:sz w:val="24"/>
          <w:szCs w:val="24"/>
          <w:u w:val="single"/>
        </w:rPr>
        <w:t>Description of Burdens</w:t>
      </w:r>
      <w:r w:rsidRPr="00A615AF">
        <w:rPr>
          <w:rFonts w:ascii="Times New Roman" w:eastAsia="Times New Roman" w:hAnsi="Times New Roman" w:cs="Times New Roman"/>
          <w:sz w:val="24"/>
          <w:szCs w:val="24"/>
        </w:rPr>
        <w:t>:</w:t>
      </w:r>
    </w:p>
    <w:p w:rsidR="00B875FF" w:rsidRPr="00A615AF" w:rsidRDefault="00B875FF" w:rsidP="00B875FF">
      <w:pPr>
        <w:keepNext/>
        <w:spacing w:after="0" w:line="240" w:lineRule="auto"/>
        <w:ind w:right="187" w:firstLine="720"/>
        <w:rPr>
          <w:rFonts w:ascii="Times New Roman" w:eastAsia="Times New Roman" w:hAnsi="Times New Roman" w:cs="Times New Roman"/>
          <w:sz w:val="24"/>
          <w:szCs w:val="24"/>
        </w:rPr>
      </w:pPr>
    </w:p>
    <w:p w:rsidR="005B7CBB" w:rsidRPr="00A615AF" w:rsidRDefault="00194428" w:rsidP="00194428">
      <w:pPr>
        <w:pStyle w:val="TEXT"/>
      </w:pPr>
      <w:r>
        <w:t xml:space="preserve">The Commission estimates that the initial one-time burden required </w:t>
      </w:r>
      <w:proofErr w:type="gramStart"/>
      <w:r>
        <w:t>to implement,</w:t>
      </w:r>
      <w:r w:rsidR="00DB1259">
        <w:t xml:space="preserve"> </w:t>
      </w:r>
      <w:r>
        <w:t>modify</w:t>
      </w:r>
      <w:proofErr w:type="gramEnd"/>
      <w:r>
        <w:t>, or reprogram existing systems to generate and transmit the required notifications to customers would be 36 hours for each of the 320 broker-dealers that clear customer transactions or carry customer funds and securities.</w:t>
      </w:r>
      <w:bookmarkStart w:id="0" w:name="_Ref408581258"/>
      <w:r>
        <w:rPr>
          <w:rStyle w:val="FootnoteReference"/>
        </w:rPr>
        <w:footnoteReference w:id="16"/>
      </w:r>
      <w:bookmarkEnd w:id="0"/>
      <w:r>
        <w:t xml:space="preserve">  Thus, the Commission estimates that the initial burden for issuance of the notifications in accordance with this Order, including burdens to implement, modify, or reprogram existing systems to generate such notifications will be approximately 11,520 burden hours.</w:t>
      </w:r>
      <w:r>
        <w:rPr>
          <w:rStyle w:val="FootnoteReference"/>
        </w:rPr>
        <w:footnoteReference w:id="17"/>
      </w:r>
      <w:r>
        <w:t xml:space="preserve">  The Commission anticipates that after broker-dealers incur the initial costs to establish systems to generate and transmit the notifications to existing </w:t>
      </w:r>
      <w:proofErr w:type="gramStart"/>
      <w:r>
        <w:t>customers,</w:t>
      </w:r>
      <w:proofErr w:type="gramEnd"/>
      <w:r>
        <w:t xml:space="preserve"> broker-dealers will be able to minimize any additional costs, such as by providing the notifications as part of a new account application.</w:t>
      </w:r>
      <w:r>
        <w:rPr>
          <w:rStyle w:val="FootnoteReference"/>
        </w:rPr>
        <w:footnoteReference w:id="18"/>
      </w:r>
      <w:r>
        <w:t xml:space="preserve">  As a result, the Commission anticipates that any additional annual burdens arising from the notification condition will be minimal,</w:t>
      </w:r>
      <w:r>
        <w:rPr>
          <w:rStyle w:val="FootnoteReference"/>
        </w:rPr>
        <w:footnoteReference w:id="19"/>
      </w:r>
      <w:r>
        <w:t xml:space="preserve"> and conservatively estimates that broker-dealers will, on average, incur annual costs of 5% of those initial costs, or 576 burden hours.</w:t>
      </w:r>
      <w:r>
        <w:rPr>
          <w:rStyle w:val="FootnoteReference"/>
        </w:rPr>
        <w:footnoteReference w:id="20"/>
      </w:r>
      <w:r w:rsidR="00F9789E">
        <w:t xml:space="preserve"> </w:t>
      </w:r>
    </w:p>
    <w:p w:rsidR="00C22226" w:rsidRDefault="00CE3F5E" w:rsidP="00194428">
      <w:pPr>
        <w:spacing w:after="0" w:line="240" w:lineRule="auto"/>
        <w:ind w:right="49" w:firstLine="720"/>
        <w:rPr>
          <w:rFonts w:ascii="Times New Roman" w:hAnsi="Times New Roman" w:cs="Times New Roman"/>
          <w:b/>
          <w:sz w:val="24"/>
          <w:szCs w:val="24"/>
        </w:rPr>
      </w:pPr>
      <w:r w:rsidRPr="00A615AF">
        <w:rPr>
          <w:rFonts w:ascii="Times New Roman" w:hAnsi="Times New Roman" w:cs="Times New Roman"/>
          <w:b/>
          <w:sz w:val="24"/>
          <w:szCs w:val="24"/>
        </w:rPr>
        <w:t xml:space="preserve">In summary, the Commission estimates that, over a three-year period, the total </w:t>
      </w:r>
      <w:r w:rsidR="00DB1259">
        <w:rPr>
          <w:rFonts w:ascii="Times New Roman" w:hAnsi="Times New Roman" w:cs="Times New Roman"/>
          <w:b/>
          <w:sz w:val="24"/>
          <w:szCs w:val="24"/>
        </w:rPr>
        <w:t>third-party disclosure</w:t>
      </w:r>
      <w:r w:rsidRPr="00A615AF">
        <w:rPr>
          <w:rFonts w:ascii="Times New Roman" w:hAnsi="Times New Roman" w:cs="Times New Roman"/>
          <w:b/>
          <w:sz w:val="24"/>
          <w:szCs w:val="24"/>
        </w:rPr>
        <w:t xml:space="preserve"> burden associated with </w:t>
      </w:r>
      <w:r w:rsidR="00DB1259">
        <w:rPr>
          <w:rFonts w:ascii="Times New Roman" w:hAnsi="Times New Roman" w:cs="Times New Roman"/>
          <w:b/>
          <w:sz w:val="24"/>
          <w:szCs w:val="24"/>
        </w:rPr>
        <w:t xml:space="preserve">the notification condition in the Order </w:t>
      </w:r>
      <w:r w:rsidRPr="00A615AF">
        <w:rPr>
          <w:rFonts w:ascii="Times New Roman" w:hAnsi="Times New Roman" w:cs="Times New Roman"/>
          <w:b/>
          <w:sz w:val="24"/>
          <w:szCs w:val="24"/>
        </w:rPr>
        <w:t xml:space="preserve">would be </w:t>
      </w:r>
      <w:r w:rsidR="00201940" w:rsidRPr="00A615AF">
        <w:rPr>
          <w:rFonts w:ascii="Times New Roman" w:hAnsi="Times New Roman" w:cs="Times New Roman"/>
          <w:b/>
          <w:sz w:val="24"/>
          <w:szCs w:val="24"/>
        </w:rPr>
        <w:t xml:space="preserve">approximately </w:t>
      </w:r>
      <w:r w:rsidR="00DB1259">
        <w:rPr>
          <w:rFonts w:ascii="Times New Roman" w:eastAsia="Times New Roman" w:hAnsi="Times New Roman" w:cs="Times New Roman"/>
          <w:b/>
          <w:sz w:val="24"/>
          <w:szCs w:val="24"/>
        </w:rPr>
        <w:t>12,672</w:t>
      </w:r>
      <w:r w:rsidR="000C582C">
        <w:rPr>
          <w:rFonts w:ascii="Times New Roman" w:eastAsia="Times New Roman" w:hAnsi="Times New Roman" w:cs="Times New Roman"/>
          <w:b/>
          <w:sz w:val="24"/>
          <w:szCs w:val="24"/>
        </w:rPr>
        <w:t xml:space="preserve"> </w:t>
      </w:r>
      <w:r w:rsidRPr="00A615AF">
        <w:rPr>
          <w:rFonts w:ascii="Times New Roman" w:eastAsia="Times New Roman" w:hAnsi="Times New Roman" w:cs="Times New Roman"/>
          <w:b/>
          <w:sz w:val="24"/>
          <w:szCs w:val="24"/>
        </w:rPr>
        <w:t>hou</w:t>
      </w:r>
      <w:r w:rsidRPr="00A615AF">
        <w:rPr>
          <w:rFonts w:ascii="Times New Roman" w:eastAsia="Times New Roman" w:hAnsi="Times New Roman" w:cs="Times New Roman"/>
          <w:b/>
          <w:spacing w:val="-1"/>
          <w:sz w:val="24"/>
          <w:szCs w:val="24"/>
        </w:rPr>
        <w:t>r</w:t>
      </w:r>
      <w:r w:rsidRPr="00A615AF">
        <w:rPr>
          <w:rFonts w:ascii="Times New Roman" w:eastAsia="Times New Roman" w:hAnsi="Times New Roman" w:cs="Times New Roman"/>
          <w:b/>
          <w:sz w:val="24"/>
          <w:szCs w:val="24"/>
        </w:rPr>
        <w:t>s,</w:t>
      </w:r>
      <w:r w:rsidRPr="00A615AF">
        <w:rPr>
          <w:rStyle w:val="FootnoteReference"/>
          <w:rFonts w:ascii="Times New Roman" w:eastAsia="Times New Roman" w:hAnsi="Times New Roman" w:cs="Times New Roman"/>
          <w:b/>
          <w:spacing w:val="10"/>
          <w:sz w:val="24"/>
          <w:szCs w:val="24"/>
        </w:rPr>
        <w:footnoteReference w:id="21"/>
      </w:r>
      <w:r w:rsidRPr="00A615AF">
        <w:rPr>
          <w:rFonts w:ascii="Times New Roman" w:hAnsi="Times New Roman" w:cs="Times New Roman"/>
          <w:b/>
          <w:sz w:val="24"/>
          <w:szCs w:val="24"/>
        </w:rPr>
        <w:t xml:space="preserve"> or </w:t>
      </w:r>
      <w:r w:rsidR="00DB1259">
        <w:rPr>
          <w:rFonts w:ascii="Times New Roman" w:hAnsi="Times New Roman" w:cs="Times New Roman"/>
          <w:b/>
          <w:sz w:val="24"/>
          <w:szCs w:val="24"/>
        </w:rPr>
        <w:t>4,224</w:t>
      </w:r>
      <w:r w:rsidR="00F9789E" w:rsidRPr="00A615AF">
        <w:rPr>
          <w:rFonts w:ascii="Times New Roman" w:hAnsi="Times New Roman" w:cs="Times New Roman"/>
          <w:b/>
          <w:sz w:val="24"/>
          <w:szCs w:val="24"/>
        </w:rPr>
        <w:t xml:space="preserve"> </w:t>
      </w:r>
      <w:r w:rsidRPr="00A615AF">
        <w:rPr>
          <w:rFonts w:ascii="Times New Roman" w:hAnsi="Times New Roman" w:cs="Times New Roman"/>
          <w:b/>
          <w:sz w:val="24"/>
          <w:szCs w:val="24"/>
        </w:rPr>
        <w:t>per year</w:t>
      </w:r>
      <w:r w:rsidRPr="00A615AF">
        <w:rPr>
          <w:rStyle w:val="FootnoteReference"/>
          <w:rFonts w:ascii="Times New Roman" w:hAnsi="Times New Roman" w:cs="Times New Roman"/>
          <w:b/>
          <w:sz w:val="24"/>
          <w:szCs w:val="24"/>
        </w:rPr>
        <w:footnoteReference w:id="22"/>
      </w:r>
      <w:r w:rsidRPr="00A615AF">
        <w:rPr>
          <w:rFonts w:ascii="Times New Roman" w:hAnsi="Times New Roman" w:cs="Times New Roman"/>
          <w:b/>
          <w:sz w:val="24"/>
          <w:szCs w:val="24"/>
        </w:rPr>
        <w:t xml:space="preserve"> when annualized over three years.  The </w:t>
      </w:r>
      <w:r w:rsidR="00201940" w:rsidRPr="00A615AF">
        <w:rPr>
          <w:rFonts w:ascii="Times New Roman" w:hAnsi="Times New Roman" w:cs="Times New Roman"/>
          <w:b/>
          <w:sz w:val="24"/>
          <w:szCs w:val="24"/>
        </w:rPr>
        <w:t>average</w:t>
      </w:r>
      <w:r w:rsidRPr="00A615AF">
        <w:rPr>
          <w:rFonts w:ascii="Times New Roman" w:hAnsi="Times New Roman" w:cs="Times New Roman"/>
          <w:b/>
          <w:sz w:val="24"/>
          <w:szCs w:val="24"/>
        </w:rPr>
        <w:t xml:space="preserve"> estimated burden per </w:t>
      </w:r>
      <w:r w:rsidR="00DB1259">
        <w:rPr>
          <w:rFonts w:ascii="Times New Roman" w:hAnsi="Times New Roman" w:cs="Times New Roman"/>
          <w:b/>
          <w:sz w:val="24"/>
          <w:szCs w:val="24"/>
        </w:rPr>
        <w:t>respondent</w:t>
      </w:r>
      <w:r w:rsidRPr="00A615AF">
        <w:rPr>
          <w:rFonts w:ascii="Times New Roman" w:hAnsi="Times New Roman" w:cs="Times New Roman"/>
          <w:b/>
          <w:sz w:val="24"/>
          <w:szCs w:val="24"/>
        </w:rPr>
        <w:t xml:space="preserve"> would be </w:t>
      </w:r>
      <w:r w:rsidR="00DB1259">
        <w:rPr>
          <w:rFonts w:ascii="Times New Roman" w:hAnsi="Times New Roman" w:cs="Times New Roman"/>
          <w:b/>
          <w:sz w:val="24"/>
          <w:szCs w:val="24"/>
        </w:rPr>
        <w:t>39.6</w:t>
      </w:r>
      <w:r w:rsidRPr="00A615AF">
        <w:rPr>
          <w:rFonts w:ascii="Times New Roman" w:hAnsi="Times New Roman" w:cs="Times New Roman"/>
          <w:b/>
          <w:sz w:val="24"/>
          <w:szCs w:val="24"/>
        </w:rPr>
        <w:t xml:space="preserve"> hours, or </w:t>
      </w:r>
      <w:r w:rsidR="00DB1259">
        <w:rPr>
          <w:rFonts w:ascii="Times New Roman" w:hAnsi="Times New Roman" w:cs="Times New Roman"/>
          <w:b/>
          <w:sz w:val="24"/>
          <w:szCs w:val="24"/>
        </w:rPr>
        <w:t>13.2</w:t>
      </w:r>
      <w:r w:rsidR="00370EA7">
        <w:rPr>
          <w:rFonts w:ascii="Times New Roman" w:hAnsi="Times New Roman" w:cs="Times New Roman"/>
          <w:b/>
          <w:sz w:val="24"/>
          <w:szCs w:val="24"/>
        </w:rPr>
        <w:t xml:space="preserve"> </w:t>
      </w:r>
      <w:r w:rsidRPr="00A615AF">
        <w:rPr>
          <w:rFonts w:ascii="Times New Roman" w:hAnsi="Times New Roman" w:cs="Times New Roman"/>
          <w:b/>
          <w:sz w:val="24"/>
          <w:szCs w:val="24"/>
        </w:rPr>
        <w:t>hours per year</w:t>
      </w:r>
      <w:r w:rsidRPr="00A615AF">
        <w:rPr>
          <w:rStyle w:val="FootnoteReference"/>
          <w:rFonts w:ascii="Times New Roman" w:hAnsi="Times New Roman" w:cs="Times New Roman"/>
          <w:b/>
          <w:sz w:val="24"/>
          <w:szCs w:val="24"/>
        </w:rPr>
        <w:footnoteReference w:id="23"/>
      </w:r>
      <w:r w:rsidRPr="00A615AF">
        <w:rPr>
          <w:rFonts w:ascii="Times New Roman" w:hAnsi="Times New Roman" w:cs="Times New Roman"/>
          <w:b/>
          <w:sz w:val="24"/>
          <w:szCs w:val="24"/>
        </w:rPr>
        <w:t xml:space="preserve"> when annualized over three years.</w:t>
      </w:r>
    </w:p>
    <w:p w:rsidR="00CB29E1" w:rsidRDefault="00CB29E1" w:rsidP="00194428">
      <w:pPr>
        <w:spacing w:after="0" w:line="240" w:lineRule="auto"/>
        <w:ind w:right="49" w:firstLine="720"/>
        <w:rPr>
          <w:rFonts w:ascii="Times New Roman" w:hAnsi="Times New Roman" w:cs="Times New Roman"/>
          <w:b/>
          <w:sz w:val="24"/>
          <w:szCs w:val="24"/>
        </w:rPr>
      </w:pPr>
    </w:p>
    <w:p w:rsidR="00CB29E1" w:rsidRDefault="00CB29E1" w:rsidP="00194428">
      <w:pPr>
        <w:spacing w:after="0" w:line="240" w:lineRule="auto"/>
        <w:ind w:right="49" w:firstLine="720"/>
        <w:rPr>
          <w:rFonts w:ascii="Times New Roman" w:hAnsi="Times New Roman" w:cs="Times New Roman"/>
          <w:b/>
          <w:sz w:val="24"/>
          <w:szCs w:val="24"/>
        </w:rPr>
      </w:pPr>
    </w:p>
    <w:p w:rsidR="00CB29E1" w:rsidRDefault="00CB29E1" w:rsidP="00194428">
      <w:pPr>
        <w:spacing w:after="0" w:line="240" w:lineRule="auto"/>
        <w:ind w:right="49" w:firstLine="720"/>
        <w:rPr>
          <w:rFonts w:ascii="Times New Roman" w:hAnsi="Times New Roman" w:cs="Times New Roman"/>
          <w:b/>
          <w:sz w:val="24"/>
          <w:szCs w:val="24"/>
        </w:rPr>
      </w:pPr>
    </w:p>
    <w:p w:rsidR="00CB29E1" w:rsidRDefault="00CB29E1" w:rsidP="00194428">
      <w:pPr>
        <w:spacing w:after="0" w:line="240" w:lineRule="auto"/>
        <w:ind w:right="49" w:firstLine="720"/>
        <w:rPr>
          <w:rFonts w:ascii="Times New Roman" w:hAnsi="Times New Roman" w:cs="Times New Roman"/>
          <w:b/>
          <w:sz w:val="24"/>
          <w:szCs w:val="24"/>
        </w:rPr>
      </w:pPr>
    </w:p>
    <w:p w:rsidR="00CB29E1" w:rsidRPr="00A615AF" w:rsidRDefault="00CB29E1" w:rsidP="00194428">
      <w:pPr>
        <w:spacing w:after="0" w:line="240" w:lineRule="auto"/>
        <w:ind w:right="49" w:firstLine="720"/>
        <w:rPr>
          <w:rFonts w:ascii="Times New Roman" w:hAnsi="Times New Roman" w:cs="Times New Roman"/>
          <w:sz w:val="24"/>
          <w:szCs w:val="24"/>
        </w:rPr>
      </w:pPr>
    </w:p>
    <w:p w:rsidR="005B7CBB" w:rsidRPr="00A615AF" w:rsidRDefault="00B04295" w:rsidP="002E533D">
      <w:pPr>
        <w:keepNext/>
        <w:spacing w:after="0" w:line="240" w:lineRule="auto"/>
        <w:ind w:left="120" w:right="-20"/>
        <w:rPr>
          <w:rFonts w:ascii="Times New Roman" w:eastAsia="Times New Roman" w:hAnsi="Times New Roman" w:cs="Times New Roman"/>
          <w:sz w:val="24"/>
          <w:szCs w:val="24"/>
        </w:rPr>
      </w:pPr>
      <w:bookmarkStart w:id="1" w:name="_GoBack"/>
      <w:bookmarkEnd w:id="1"/>
      <w:r w:rsidRPr="00A615AF">
        <w:rPr>
          <w:rFonts w:ascii="Times New Roman" w:eastAsia="Times New Roman" w:hAnsi="Times New Roman" w:cs="Times New Roman"/>
          <w:i/>
          <w:spacing w:val="1"/>
          <w:sz w:val="24"/>
          <w:szCs w:val="24"/>
          <w:u w:val="single" w:color="000000"/>
        </w:rPr>
        <w:t>Summary of Hourly Burdens</w:t>
      </w:r>
    </w:p>
    <w:p w:rsidR="005B7CBB" w:rsidRPr="00A615AF" w:rsidRDefault="005B7CBB" w:rsidP="002E533D">
      <w:pPr>
        <w:keepNext/>
        <w:spacing w:after="0" w:line="240" w:lineRule="auto"/>
        <w:ind w:firstLine="720"/>
        <w:rPr>
          <w:rFonts w:ascii="Times New Roman" w:hAnsi="Times New Roman" w:cs="Times New Roman"/>
          <w:sz w:val="24"/>
          <w:szCs w:val="24"/>
        </w:rPr>
      </w:pPr>
    </w:p>
    <w:tbl>
      <w:tblPr>
        <w:tblW w:w="10200" w:type="dxa"/>
        <w:jc w:val="center"/>
        <w:tblInd w:w="93" w:type="dxa"/>
        <w:tblLook w:val="04A0" w:firstRow="1" w:lastRow="0" w:firstColumn="1" w:lastColumn="0" w:noHBand="0" w:noVBand="1"/>
      </w:tblPr>
      <w:tblGrid>
        <w:gridCol w:w="1874"/>
        <w:gridCol w:w="1350"/>
        <w:gridCol w:w="1032"/>
        <w:gridCol w:w="960"/>
        <w:gridCol w:w="1000"/>
        <w:gridCol w:w="1000"/>
        <w:gridCol w:w="1060"/>
        <w:gridCol w:w="1041"/>
        <w:gridCol w:w="883"/>
      </w:tblGrid>
      <w:tr w:rsidR="00EA77D6" w:rsidRPr="005E2687" w:rsidTr="007E5A13">
        <w:trPr>
          <w:trHeight w:val="315"/>
          <w:jc w:val="center"/>
        </w:trPr>
        <w:tc>
          <w:tcPr>
            <w:tcW w:w="1020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EA77D6" w:rsidRPr="005E2687" w:rsidRDefault="00D441A3" w:rsidP="00D441A3">
            <w:pPr>
              <w:spacing w:after="0"/>
              <w:jc w:val="center"/>
              <w:rPr>
                <w:b/>
                <w:bCs/>
                <w:color w:val="000000"/>
                <w:sz w:val="12"/>
                <w:szCs w:val="12"/>
              </w:rPr>
            </w:pPr>
            <w:r w:rsidRPr="00D441A3">
              <w:rPr>
                <w:b/>
                <w:bCs/>
                <w:color w:val="000000"/>
                <w:sz w:val="12"/>
                <w:szCs w:val="12"/>
              </w:rPr>
              <w:t>ORDER GRANTING A CONDITIONAL EXEMPTION UNDER THE</w:t>
            </w:r>
            <w:r>
              <w:rPr>
                <w:b/>
                <w:bCs/>
                <w:color w:val="000000"/>
                <w:sz w:val="12"/>
                <w:szCs w:val="12"/>
              </w:rPr>
              <w:t xml:space="preserve"> </w:t>
            </w:r>
            <w:r w:rsidRPr="00D441A3">
              <w:rPr>
                <w:b/>
                <w:bCs/>
                <w:color w:val="000000"/>
                <w:sz w:val="12"/>
                <w:szCs w:val="12"/>
              </w:rPr>
              <w:t xml:space="preserve">SECURITIES EXCHANGE ACT OF 1934 FROM THE CONFIRMATION REQUIREMENTS </w:t>
            </w:r>
            <w:r>
              <w:rPr>
                <w:b/>
                <w:bCs/>
                <w:color w:val="000000"/>
                <w:sz w:val="12"/>
                <w:szCs w:val="12"/>
              </w:rPr>
              <w:t xml:space="preserve">                                                                                                                   </w:t>
            </w:r>
            <w:r w:rsidRPr="00D441A3">
              <w:rPr>
                <w:b/>
                <w:bCs/>
                <w:color w:val="000000"/>
                <w:sz w:val="12"/>
                <w:szCs w:val="12"/>
              </w:rPr>
              <w:t>OF EXCHANGE</w:t>
            </w:r>
            <w:r>
              <w:rPr>
                <w:b/>
                <w:bCs/>
                <w:color w:val="000000"/>
                <w:sz w:val="12"/>
                <w:szCs w:val="12"/>
              </w:rPr>
              <w:t xml:space="preserve"> ACT RULE 10b-10(a) FOR CERTAIN </w:t>
            </w:r>
            <w:r w:rsidRPr="00D441A3">
              <w:rPr>
                <w:b/>
                <w:bCs/>
                <w:color w:val="000000"/>
                <w:sz w:val="12"/>
                <w:szCs w:val="12"/>
              </w:rPr>
              <w:t>TRANSACTIONS IN MONEY MARKET FUNDS</w:t>
            </w:r>
          </w:p>
        </w:tc>
      </w:tr>
      <w:tr w:rsidR="00194428" w:rsidRPr="005E2687" w:rsidTr="00C96E0E">
        <w:trPr>
          <w:trHeight w:val="960"/>
          <w:jc w:val="center"/>
        </w:trPr>
        <w:tc>
          <w:tcPr>
            <w:tcW w:w="1874" w:type="dxa"/>
            <w:tcBorders>
              <w:top w:val="nil"/>
              <w:left w:val="single" w:sz="8" w:space="0" w:color="auto"/>
              <w:bottom w:val="single" w:sz="4" w:space="0" w:color="auto"/>
              <w:right w:val="single" w:sz="4" w:space="0" w:color="auto"/>
            </w:tcBorders>
            <w:shd w:val="clear" w:color="auto" w:fill="auto"/>
            <w:vAlign w:val="center"/>
            <w:hideMark/>
          </w:tcPr>
          <w:p w:rsidR="00194428" w:rsidRPr="005E2687" w:rsidRDefault="00194428" w:rsidP="007E5A13">
            <w:pPr>
              <w:spacing w:after="0"/>
              <w:jc w:val="center"/>
              <w:rPr>
                <w:color w:val="000000"/>
                <w:sz w:val="12"/>
                <w:szCs w:val="12"/>
              </w:rPr>
            </w:pPr>
            <w:r w:rsidRPr="005E2687">
              <w:rPr>
                <w:color w:val="000000"/>
                <w:sz w:val="12"/>
                <w:szCs w:val="12"/>
              </w:rPr>
              <w:t> </w:t>
            </w:r>
          </w:p>
          <w:p w:rsidR="00194428" w:rsidRPr="005E2687" w:rsidRDefault="00194428" w:rsidP="007E5A13">
            <w:pPr>
              <w:spacing w:after="0"/>
              <w:jc w:val="center"/>
              <w:rPr>
                <w:b/>
                <w:bCs/>
                <w:color w:val="000000"/>
                <w:sz w:val="12"/>
                <w:szCs w:val="12"/>
                <w:u w:val="single"/>
              </w:rPr>
            </w:pPr>
            <w:r w:rsidRPr="005E2687">
              <w:rPr>
                <w:b/>
                <w:bCs/>
                <w:color w:val="000000"/>
                <w:sz w:val="12"/>
                <w:szCs w:val="12"/>
                <w:u w:val="single"/>
              </w:rPr>
              <w:t>Nature of Information Collection Burden</w:t>
            </w:r>
          </w:p>
        </w:tc>
        <w:tc>
          <w:tcPr>
            <w:tcW w:w="1350" w:type="dxa"/>
            <w:tcBorders>
              <w:top w:val="nil"/>
              <w:left w:val="nil"/>
              <w:bottom w:val="single" w:sz="4" w:space="0" w:color="auto"/>
              <w:right w:val="single" w:sz="4" w:space="0" w:color="auto"/>
            </w:tcBorders>
            <w:shd w:val="clear" w:color="auto" w:fill="auto"/>
            <w:vAlign w:val="center"/>
            <w:hideMark/>
          </w:tcPr>
          <w:p w:rsidR="00194428" w:rsidRPr="005E2687" w:rsidRDefault="00194428" w:rsidP="007E5A13">
            <w:pPr>
              <w:spacing w:after="0"/>
              <w:jc w:val="center"/>
              <w:rPr>
                <w:b/>
                <w:bCs/>
                <w:color w:val="000000"/>
                <w:sz w:val="12"/>
                <w:szCs w:val="12"/>
                <w:u w:val="single"/>
              </w:rPr>
            </w:pPr>
            <w:r w:rsidRPr="005E2687">
              <w:rPr>
                <w:b/>
                <w:bCs/>
                <w:color w:val="000000"/>
                <w:sz w:val="12"/>
                <w:szCs w:val="12"/>
                <w:u w:val="single"/>
              </w:rPr>
              <w:t>Type of Burden</w:t>
            </w:r>
          </w:p>
        </w:tc>
        <w:tc>
          <w:tcPr>
            <w:tcW w:w="1032" w:type="dxa"/>
            <w:tcBorders>
              <w:top w:val="nil"/>
              <w:left w:val="nil"/>
              <w:bottom w:val="single" w:sz="4" w:space="0" w:color="auto"/>
              <w:right w:val="single" w:sz="4" w:space="0" w:color="auto"/>
            </w:tcBorders>
            <w:shd w:val="clear" w:color="auto" w:fill="auto"/>
            <w:vAlign w:val="center"/>
            <w:hideMark/>
          </w:tcPr>
          <w:p w:rsidR="00194428" w:rsidRPr="005E2687" w:rsidRDefault="00194428" w:rsidP="007E5A13">
            <w:pPr>
              <w:spacing w:after="0"/>
              <w:jc w:val="center"/>
              <w:rPr>
                <w:b/>
                <w:bCs/>
                <w:color w:val="000000"/>
                <w:sz w:val="12"/>
                <w:szCs w:val="12"/>
                <w:u w:val="single"/>
              </w:rPr>
            </w:pPr>
            <w:r w:rsidRPr="005E2687">
              <w:rPr>
                <w:b/>
                <w:bCs/>
                <w:color w:val="000000"/>
                <w:sz w:val="12"/>
                <w:szCs w:val="12"/>
                <w:u w:val="single"/>
              </w:rPr>
              <w:t>Number of Respondents</w:t>
            </w:r>
          </w:p>
        </w:tc>
        <w:tc>
          <w:tcPr>
            <w:tcW w:w="960" w:type="dxa"/>
            <w:tcBorders>
              <w:top w:val="nil"/>
              <w:left w:val="nil"/>
              <w:bottom w:val="single" w:sz="4" w:space="0" w:color="auto"/>
              <w:right w:val="single" w:sz="4" w:space="0" w:color="auto"/>
            </w:tcBorders>
            <w:shd w:val="clear" w:color="auto" w:fill="auto"/>
            <w:vAlign w:val="center"/>
            <w:hideMark/>
          </w:tcPr>
          <w:p w:rsidR="00194428" w:rsidRPr="005E2687" w:rsidRDefault="00194428" w:rsidP="007E5A13">
            <w:pPr>
              <w:spacing w:after="0"/>
              <w:jc w:val="center"/>
              <w:rPr>
                <w:b/>
                <w:bCs/>
                <w:color w:val="000000"/>
                <w:sz w:val="12"/>
                <w:szCs w:val="12"/>
                <w:u w:val="single"/>
              </w:rPr>
            </w:pPr>
            <w:r w:rsidRPr="005E2687">
              <w:rPr>
                <w:b/>
                <w:bCs/>
                <w:color w:val="000000"/>
                <w:sz w:val="12"/>
                <w:szCs w:val="12"/>
                <w:u w:val="single"/>
              </w:rPr>
              <w:t xml:space="preserve">Number of Responses Per Year </w:t>
            </w:r>
          </w:p>
        </w:tc>
        <w:tc>
          <w:tcPr>
            <w:tcW w:w="1000" w:type="dxa"/>
            <w:tcBorders>
              <w:top w:val="nil"/>
              <w:left w:val="nil"/>
              <w:bottom w:val="single" w:sz="4" w:space="0" w:color="auto"/>
              <w:right w:val="single" w:sz="4" w:space="0" w:color="auto"/>
            </w:tcBorders>
            <w:shd w:val="clear" w:color="auto" w:fill="auto"/>
            <w:vAlign w:val="center"/>
            <w:hideMark/>
          </w:tcPr>
          <w:p w:rsidR="00194428" w:rsidRPr="005E2687" w:rsidRDefault="00194428" w:rsidP="007E5A13">
            <w:pPr>
              <w:spacing w:after="0"/>
              <w:jc w:val="center"/>
              <w:rPr>
                <w:b/>
                <w:bCs/>
                <w:color w:val="000000"/>
                <w:sz w:val="12"/>
                <w:szCs w:val="12"/>
                <w:u w:val="single"/>
              </w:rPr>
            </w:pPr>
            <w:r w:rsidRPr="005E2687">
              <w:rPr>
                <w:b/>
                <w:bCs/>
                <w:color w:val="000000"/>
                <w:sz w:val="12"/>
                <w:szCs w:val="12"/>
                <w:u w:val="single"/>
              </w:rPr>
              <w:t>Initial Burden Per Response Per Year Per Respondent</w:t>
            </w:r>
          </w:p>
        </w:tc>
        <w:tc>
          <w:tcPr>
            <w:tcW w:w="1000" w:type="dxa"/>
            <w:tcBorders>
              <w:top w:val="nil"/>
              <w:left w:val="nil"/>
              <w:bottom w:val="single" w:sz="4" w:space="0" w:color="auto"/>
              <w:right w:val="single" w:sz="4" w:space="0" w:color="auto"/>
            </w:tcBorders>
            <w:shd w:val="clear" w:color="auto" w:fill="auto"/>
            <w:vAlign w:val="center"/>
            <w:hideMark/>
          </w:tcPr>
          <w:p w:rsidR="00194428" w:rsidRPr="005E2687" w:rsidRDefault="00194428" w:rsidP="007E5A13">
            <w:pPr>
              <w:spacing w:after="0"/>
              <w:jc w:val="center"/>
              <w:rPr>
                <w:b/>
                <w:bCs/>
                <w:color w:val="000000"/>
                <w:sz w:val="12"/>
                <w:szCs w:val="12"/>
                <w:u w:val="single"/>
              </w:rPr>
            </w:pPr>
            <w:r w:rsidRPr="005E2687">
              <w:rPr>
                <w:b/>
                <w:bCs/>
                <w:color w:val="000000"/>
                <w:sz w:val="12"/>
                <w:szCs w:val="12"/>
                <w:u w:val="single"/>
              </w:rPr>
              <w:t>Ongoing Burden Per Response Per Year Per Respondent</w:t>
            </w:r>
          </w:p>
        </w:tc>
        <w:tc>
          <w:tcPr>
            <w:tcW w:w="1060" w:type="dxa"/>
            <w:tcBorders>
              <w:top w:val="nil"/>
              <w:left w:val="nil"/>
              <w:bottom w:val="single" w:sz="4" w:space="0" w:color="auto"/>
              <w:right w:val="single" w:sz="4" w:space="0" w:color="auto"/>
            </w:tcBorders>
            <w:shd w:val="clear" w:color="auto" w:fill="auto"/>
            <w:vAlign w:val="center"/>
            <w:hideMark/>
          </w:tcPr>
          <w:p w:rsidR="00194428" w:rsidRPr="005E2687" w:rsidRDefault="00194428" w:rsidP="007E5A13">
            <w:pPr>
              <w:spacing w:after="0"/>
              <w:jc w:val="center"/>
              <w:rPr>
                <w:b/>
                <w:bCs/>
                <w:color w:val="000000"/>
                <w:sz w:val="12"/>
                <w:szCs w:val="12"/>
                <w:u w:val="single"/>
              </w:rPr>
            </w:pPr>
            <w:r w:rsidRPr="005E2687">
              <w:rPr>
                <w:b/>
                <w:bCs/>
                <w:color w:val="000000"/>
                <w:sz w:val="12"/>
                <w:szCs w:val="12"/>
                <w:u w:val="single"/>
              </w:rPr>
              <w:t>Annualized Burden Estimate Per Respondent</w:t>
            </w:r>
          </w:p>
        </w:tc>
        <w:tc>
          <w:tcPr>
            <w:tcW w:w="1041" w:type="dxa"/>
            <w:tcBorders>
              <w:top w:val="nil"/>
              <w:left w:val="nil"/>
              <w:bottom w:val="single" w:sz="4" w:space="0" w:color="auto"/>
              <w:right w:val="single" w:sz="4" w:space="0" w:color="auto"/>
            </w:tcBorders>
            <w:shd w:val="clear" w:color="auto" w:fill="auto"/>
            <w:vAlign w:val="center"/>
            <w:hideMark/>
          </w:tcPr>
          <w:p w:rsidR="00194428" w:rsidRPr="005E2687" w:rsidRDefault="00194428" w:rsidP="007E5A13">
            <w:pPr>
              <w:spacing w:after="0"/>
              <w:jc w:val="center"/>
              <w:rPr>
                <w:b/>
                <w:bCs/>
                <w:color w:val="000000"/>
                <w:sz w:val="12"/>
                <w:szCs w:val="12"/>
                <w:u w:val="single"/>
              </w:rPr>
            </w:pPr>
            <w:r w:rsidRPr="005E2687">
              <w:rPr>
                <w:b/>
                <w:bCs/>
                <w:color w:val="000000"/>
                <w:sz w:val="12"/>
                <w:szCs w:val="12"/>
                <w:u w:val="single"/>
              </w:rPr>
              <w:t>Annualized Hourly Burden Estimate Industry-Wide</w:t>
            </w:r>
          </w:p>
        </w:tc>
        <w:tc>
          <w:tcPr>
            <w:tcW w:w="883" w:type="dxa"/>
            <w:tcBorders>
              <w:top w:val="nil"/>
              <w:left w:val="nil"/>
              <w:bottom w:val="single" w:sz="4" w:space="0" w:color="auto"/>
              <w:right w:val="single" w:sz="8" w:space="0" w:color="auto"/>
            </w:tcBorders>
            <w:shd w:val="clear" w:color="auto" w:fill="auto"/>
            <w:vAlign w:val="center"/>
            <w:hideMark/>
          </w:tcPr>
          <w:p w:rsidR="00194428" w:rsidRPr="005E2687" w:rsidRDefault="00194428" w:rsidP="007E5A13">
            <w:pPr>
              <w:spacing w:after="0"/>
              <w:jc w:val="center"/>
              <w:rPr>
                <w:b/>
                <w:bCs/>
                <w:color w:val="000000"/>
                <w:sz w:val="12"/>
                <w:szCs w:val="12"/>
                <w:u w:val="single"/>
              </w:rPr>
            </w:pPr>
            <w:r w:rsidRPr="005E2687">
              <w:rPr>
                <w:b/>
                <w:bCs/>
                <w:color w:val="000000"/>
                <w:sz w:val="12"/>
                <w:szCs w:val="12"/>
                <w:u w:val="single"/>
              </w:rPr>
              <w:t>Small Business Entities Affected</w:t>
            </w:r>
          </w:p>
        </w:tc>
      </w:tr>
      <w:tr w:rsidR="00194428" w:rsidRPr="005E2687" w:rsidTr="00C96E0E">
        <w:trPr>
          <w:trHeight w:val="330"/>
          <w:jc w:val="center"/>
        </w:trPr>
        <w:tc>
          <w:tcPr>
            <w:tcW w:w="1874" w:type="dxa"/>
            <w:tcBorders>
              <w:top w:val="nil"/>
              <w:left w:val="single" w:sz="8" w:space="0" w:color="auto"/>
              <w:bottom w:val="single" w:sz="4" w:space="0" w:color="auto"/>
              <w:right w:val="single" w:sz="4" w:space="0" w:color="auto"/>
            </w:tcBorders>
            <w:shd w:val="clear" w:color="auto" w:fill="auto"/>
            <w:vAlign w:val="center"/>
            <w:hideMark/>
          </w:tcPr>
          <w:p w:rsidR="00194428" w:rsidRPr="00194428" w:rsidRDefault="00194428" w:rsidP="00194428">
            <w:pPr>
              <w:spacing w:after="0"/>
              <w:ind w:left="-93"/>
              <w:jc w:val="center"/>
              <w:outlineLvl w:val="0"/>
              <w:rPr>
                <w:color w:val="000000"/>
                <w:sz w:val="12"/>
                <w:szCs w:val="12"/>
              </w:rPr>
            </w:pPr>
            <w:r w:rsidRPr="00194428">
              <w:rPr>
                <w:color w:val="000000"/>
                <w:sz w:val="12"/>
                <w:szCs w:val="12"/>
              </w:rPr>
              <w:t>Burden Associated with Notification</w:t>
            </w:r>
          </w:p>
        </w:tc>
        <w:tc>
          <w:tcPr>
            <w:tcW w:w="1350" w:type="dxa"/>
            <w:tcBorders>
              <w:top w:val="nil"/>
              <w:left w:val="nil"/>
              <w:bottom w:val="single" w:sz="4" w:space="0" w:color="auto"/>
              <w:right w:val="single" w:sz="4" w:space="0" w:color="auto"/>
            </w:tcBorders>
            <w:shd w:val="clear" w:color="auto" w:fill="auto"/>
            <w:vAlign w:val="center"/>
            <w:hideMark/>
          </w:tcPr>
          <w:p w:rsidR="00194428" w:rsidRPr="00C96E0E" w:rsidRDefault="00AE483D" w:rsidP="00AE483D">
            <w:pPr>
              <w:spacing w:after="0"/>
              <w:jc w:val="center"/>
              <w:outlineLvl w:val="0"/>
              <w:rPr>
                <w:color w:val="000000"/>
                <w:sz w:val="12"/>
                <w:szCs w:val="12"/>
              </w:rPr>
            </w:pPr>
            <w:r>
              <w:rPr>
                <w:color w:val="000000"/>
                <w:sz w:val="12"/>
                <w:szCs w:val="12"/>
              </w:rPr>
              <w:t>Third-</w:t>
            </w:r>
            <w:r w:rsidR="00C96E0E">
              <w:rPr>
                <w:color w:val="000000"/>
                <w:sz w:val="12"/>
                <w:szCs w:val="12"/>
              </w:rPr>
              <w:t>Party</w:t>
            </w:r>
            <w:r w:rsidR="008056C9">
              <w:rPr>
                <w:color w:val="000000"/>
                <w:sz w:val="12"/>
                <w:szCs w:val="12"/>
              </w:rPr>
              <w:t xml:space="preserve"> Disclosure</w:t>
            </w:r>
          </w:p>
        </w:tc>
        <w:tc>
          <w:tcPr>
            <w:tcW w:w="1032" w:type="dxa"/>
            <w:tcBorders>
              <w:top w:val="nil"/>
              <w:left w:val="nil"/>
              <w:bottom w:val="single" w:sz="4" w:space="0" w:color="auto"/>
              <w:right w:val="single" w:sz="4" w:space="0" w:color="auto"/>
            </w:tcBorders>
            <w:shd w:val="clear" w:color="auto" w:fill="auto"/>
            <w:vAlign w:val="center"/>
            <w:hideMark/>
          </w:tcPr>
          <w:p w:rsidR="00194428" w:rsidRPr="000C4144" w:rsidRDefault="0023019E" w:rsidP="007E5A13">
            <w:pPr>
              <w:spacing w:after="0"/>
              <w:jc w:val="center"/>
              <w:outlineLvl w:val="0"/>
              <w:rPr>
                <w:bCs/>
                <w:color w:val="000000"/>
                <w:sz w:val="12"/>
                <w:szCs w:val="12"/>
              </w:rPr>
            </w:pPr>
            <w:r w:rsidRPr="000C4144">
              <w:rPr>
                <w:bCs/>
                <w:color w:val="000000"/>
                <w:sz w:val="12"/>
                <w:szCs w:val="12"/>
              </w:rPr>
              <w:t>320</w:t>
            </w:r>
          </w:p>
        </w:tc>
        <w:tc>
          <w:tcPr>
            <w:tcW w:w="960" w:type="dxa"/>
            <w:tcBorders>
              <w:top w:val="nil"/>
              <w:left w:val="nil"/>
              <w:bottom w:val="single" w:sz="4" w:space="0" w:color="auto"/>
              <w:right w:val="single" w:sz="4" w:space="0" w:color="auto"/>
            </w:tcBorders>
            <w:shd w:val="clear" w:color="auto" w:fill="auto"/>
            <w:vAlign w:val="center"/>
            <w:hideMark/>
          </w:tcPr>
          <w:p w:rsidR="00194428" w:rsidRPr="000C4144" w:rsidRDefault="00DB1259" w:rsidP="007E5A13">
            <w:pPr>
              <w:spacing w:after="0"/>
              <w:jc w:val="center"/>
              <w:outlineLvl w:val="0"/>
              <w:rPr>
                <w:bCs/>
                <w:color w:val="000000"/>
                <w:sz w:val="12"/>
                <w:szCs w:val="12"/>
              </w:rPr>
            </w:pPr>
            <w:r w:rsidRPr="000C4144">
              <w:rPr>
                <w:bCs/>
                <w:color w:val="000000"/>
                <w:sz w:val="12"/>
                <w:szCs w:val="12"/>
              </w:rPr>
              <w:t>320</w:t>
            </w:r>
          </w:p>
        </w:tc>
        <w:tc>
          <w:tcPr>
            <w:tcW w:w="1000" w:type="dxa"/>
            <w:tcBorders>
              <w:top w:val="nil"/>
              <w:left w:val="nil"/>
              <w:bottom w:val="single" w:sz="4" w:space="0" w:color="auto"/>
              <w:right w:val="single" w:sz="4" w:space="0" w:color="auto"/>
            </w:tcBorders>
            <w:shd w:val="clear" w:color="auto" w:fill="auto"/>
            <w:vAlign w:val="center"/>
            <w:hideMark/>
          </w:tcPr>
          <w:p w:rsidR="00194428" w:rsidRPr="000C4144" w:rsidRDefault="0023019E" w:rsidP="007E5A13">
            <w:pPr>
              <w:spacing w:after="0"/>
              <w:jc w:val="center"/>
              <w:outlineLvl w:val="0"/>
              <w:rPr>
                <w:bCs/>
                <w:color w:val="000000"/>
                <w:sz w:val="12"/>
                <w:szCs w:val="12"/>
              </w:rPr>
            </w:pPr>
            <w:r w:rsidRPr="000C4144">
              <w:rPr>
                <w:bCs/>
                <w:color w:val="000000"/>
                <w:sz w:val="12"/>
                <w:szCs w:val="12"/>
              </w:rPr>
              <w:t>36</w:t>
            </w:r>
          </w:p>
        </w:tc>
        <w:tc>
          <w:tcPr>
            <w:tcW w:w="1000" w:type="dxa"/>
            <w:tcBorders>
              <w:top w:val="nil"/>
              <w:left w:val="nil"/>
              <w:bottom w:val="single" w:sz="4" w:space="0" w:color="auto"/>
              <w:right w:val="single" w:sz="4" w:space="0" w:color="auto"/>
            </w:tcBorders>
            <w:shd w:val="clear" w:color="auto" w:fill="auto"/>
            <w:vAlign w:val="center"/>
            <w:hideMark/>
          </w:tcPr>
          <w:p w:rsidR="00194428" w:rsidRPr="000C4144" w:rsidRDefault="0023019E" w:rsidP="007E5A13">
            <w:pPr>
              <w:spacing w:after="0"/>
              <w:jc w:val="center"/>
              <w:outlineLvl w:val="0"/>
              <w:rPr>
                <w:bCs/>
                <w:color w:val="000000"/>
                <w:sz w:val="12"/>
                <w:szCs w:val="12"/>
              </w:rPr>
            </w:pPr>
            <w:r w:rsidRPr="000C4144">
              <w:rPr>
                <w:bCs/>
                <w:color w:val="000000"/>
                <w:sz w:val="12"/>
                <w:szCs w:val="12"/>
              </w:rPr>
              <w:t>1.8</w:t>
            </w:r>
          </w:p>
        </w:tc>
        <w:tc>
          <w:tcPr>
            <w:tcW w:w="1060" w:type="dxa"/>
            <w:tcBorders>
              <w:top w:val="nil"/>
              <w:left w:val="nil"/>
              <w:bottom w:val="single" w:sz="4" w:space="0" w:color="auto"/>
              <w:right w:val="single" w:sz="4" w:space="0" w:color="auto"/>
            </w:tcBorders>
            <w:shd w:val="clear" w:color="auto" w:fill="auto"/>
            <w:vAlign w:val="center"/>
            <w:hideMark/>
          </w:tcPr>
          <w:p w:rsidR="00194428" w:rsidRPr="000C4144" w:rsidRDefault="0023019E" w:rsidP="007E5A13">
            <w:pPr>
              <w:spacing w:after="0"/>
              <w:jc w:val="center"/>
              <w:outlineLvl w:val="0"/>
              <w:rPr>
                <w:bCs/>
                <w:color w:val="000000"/>
                <w:sz w:val="12"/>
                <w:szCs w:val="12"/>
              </w:rPr>
            </w:pPr>
            <w:r w:rsidRPr="000C4144">
              <w:rPr>
                <w:bCs/>
                <w:color w:val="000000"/>
                <w:sz w:val="12"/>
                <w:szCs w:val="12"/>
              </w:rPr>
              <w:t>39.6</w:t>
            </w:r>
          </w:p>
        </w:tc>
        <w:tc>
          <w:tcPr>
            <w:tcW w:w="1041" w:type="dxa"/>
            <w:tcBorders>
              <w:top w:val="nil"/>
              <w:left w:val="nil"/>
              <w:bottom w:val="single" w:sz="4" w:space="0" w:color="auto"/>
              <w:right w:val="single" w:sz="4" w:space="0" w:color="auto"/>
            </w:tcBorders>
            <w:shd w:val="clear" w:color="auto" w:fill="auto"/>
            <w:vAlign w:val="center"/>
            <w:hideMark/>
          </w:tcPr>
          <w:p w:rsidR="00194428" w:rsidRPr="000C4144" w:rsidRDefault="0023019E" w:rsidP="007E5A13">
            <w:pPr>
              <w:spacing w:after="0"/>
              <w:jc w:val="center"/>
              <w:outlineLvl w:val="0"/>
              <w:rPr>
                <w:bCs/>
                <w:color w:val="000000"/>
                <w:sz w:val="12"/>
                <w:szCs w:val="12"/>
              </w:rPr>
            </w:pPr>
            <w:r w:rsidRPr="000C4144">
              <w:rPr>
                <w:bCs/>
                <w:color w:val="000000"/>
                <w:sz w:val="12"/>
                <w:szCs w:val="12"/>
              </w:rPr>
              <w:t>12,672</w:t>
            </w:r>
          </w:p>
        </w:tc>
        <w:tc>
          <w:tcPr>
            <w:tcW w:w="883" w:type="dxa"/>
            <w:tcBorders>
              <w:top w:val="nil"/>
              <w:left w:val="nil"/>
              <w:bottom w:val="single" w:sz="4" w:space="0" w:color="auto"/>
              <w:right w:val="single" w:sz="8" w:space="0" w:color="auto"/>
            </w:tcBorders>
            <w:shd w:val="clear" w:color="auto" w:fill="auto"/>
            <w:vAlign w:val="center"/>
            <w:hideMark/>
          </w:tcPr>
          <w:p w:rsidR="00194428" w:rsidRPr="000C4144" w:rsidRDefault="00807C95" w:rsidP="007E5A13">
            <w:pPr>
              <w:spacing w:after="0"/>
              <w:jc w:val="center"/>
              <w:outlineLvl w:val="0"/>
              <w:rPr>
                <w:bCs/>
                <w:color w:val="000000"/>
                <w:sz w:val="12"/>
                <w:szCs w:val="12"/>
              </w:rPr>
            </w:pPr>
            <w:r w:rsidRPr="000C4144">
              <w:rPr>
                <w:bCs/>
                <w:color w:val="000000"/>
                <w:sz w:val="12"/>
                <w:szCs w:val="12"/>
              </w:rPr>
              <w:t>8</w:t>
            </w:r>
          </w:p>
        </w:tc>
      </w:tr>
      <w:tr w:rsidR="00194428" w:rsidRPr="005E2687" w:rsidTr="00C96E0E">
        <w:trPr>
          <w:trHeight w:val="315"/>
          <w:jc w:val="center"/>
        </w:trPr>
        <w:tc>
          <w:tcPr>
            <w:tcW w:w="1874" w:type="dxa"/>
            <w:tcBorders>
              <w:top w:val="nil"/>
              <w:left w:val="single" w:sz="8" w:space="0" w:color="auto"/>
              <w:bottom w:val="single" w:sz="8" w:space="0" w:color="auto"/>
              <w:right w:val="single" w:sz="4" w:space="0" w:color="auto"/>
            </w:tcBorders>
            <w:shd w:val="clear" w:color="000000" w:fill="BFBFBF"/>
            <w:noWrap/>
            <w:vAlign w:val="center"/>
            <w:hideMark/>
          </w:tcPr>
          <w:p w:rsidR="00194428" w:rsidRPr="005E2687" w:rsidRDefault="00194428" w:rsidP="007E5A13">
            <w:pPr>
              <w:spacing w:after="0"/>
              <w:jc w:val="center"/>
              <w:rPr>
                <w:rFonts w:ascii="Calibri" w:hAnsi="Calibri" w:cs="Calibri"/>
                <w:color w:val="000000"/>
                <w:sz w:val="12"/>
                <w:szCs w:val="12"/>
              </w:rPr>
            </w:pPr>
            <w:r w:rsidRPr="005E2687">
              <w:rPr>
                <w:rFonts w:ascii="Calibri" w:hAnsi="Calibri" w:cs="Calibri"/>
                <w:color w:val="000000"/>
                <w:sz w:val="12"/>
                <w:szCs w:val="12"/>
              </w:rPr>
              <w:t> </w:t>
            </w:r>
          </w:p>
          <w:p w:rsidR="00194428" w:rsidRPr="005E2687" w:rsidRDefault="00194428" w:rsidP="007E5A13">
            <w:pPr>
              <w:spacing w:after="0"/>
              <w:jc w:val="center"/>
              <w:rPr>
                <w:rFonts w:ascii="Calibri" w:hAnsi="Calibri" w:cs="Calibri"/>
                <w:color w:val="000000"/>
                <w:sz w:val="12"/>
                <w:szCs w:val="12"/>
              </w:rPr>
            </w:pPr>
            <w:r w:rsidRPr="005E2687">
              <w:rPr>
                <w:rFonts w:ascii="Calibri" w:hAnsi="Calibri" w:cs="Calibri"/>
                <w:color w:val="000000"/>
                <w:sz w:val="12"/>
                <w:szCs w:val="12"/>
              </w:rPr>
              <w:t> </w:t>
            </w:r>
          </w:p>
        </w:tc>
        <w:tc>
          <w:tcPr>
            <w:tcW w:w="1350" w:type="dxa"/>
            <w:tcBorders>
              <w:top w:val="nil"/>
              <w:left w:val="nil"/>
              <w:bottom w:val="single" w:sz="8" w:space="0" w:color="auto"/>
              <w:right w:val="single" w:sz="4" w:space="0" w:color="auto"/>
            </w:tcBorders>
            <w:shd w:val="clear" w:color="000000" w:fill="BFBFBF"/>
            <w:noWrap/>
            <w:vAlign w:val="center"/>
            <w:hideMark/>
          </w:tcPr>
          <w:p w:rsidR="00194428" w:rsidRPr="005E2687" w:rsidRDefault="00194428" w:rsidP="007E5A13">
            <w:pPr>
              <w:spacing w:after="0"/>
              <w:jc w:val="center"/>
              <w:rPr>
                <w:rFonts w:ascii="Calibri" w:hAnsi="Calibri" w:cs="Calibri"/>
                <w:color w:val="000000"/>
                <w:sz w:val="12"/>
                <w:szCs w:val="12"/>
              </w:rPr>
            </w:pPr>
            <w:r w:rsidRPr="005E2687">
              <w:rPr>
                <w:rFonts w:ascii="Calibri" w:hAnsi="Calibri" w:cs="Calibri"/>
                <w:color w:val="000000"/>
                <w:sz w:val="12"/>
                <w:szCs w:val="12"/>
              </w:rPr>
              <w:t> </w:t>
            </w:r>
          </w:p>
        </w:tc>
        <w:tc>
          <w:tcPr>
            <w:tcW w:w="1032" w:type="dxa"/>
            <w:tcBorders>
              <w:top w:val="nil"/>
              <w:left w:val="nil"/>
              <w:bottom w:val="single" w:sz="8" w:space="0" w:color="auto"/>
              <w:right w:val="single" w:sz="4" w:space="0" w:color="auto"/>
            </w:tcBorders>
            <w:shd w:val="clear" w:color="000000" w:fill="BFBFBF"/>
            <w:vAlign w:val="center"/>
            <w:hideMark/>
          </w:tcPr>
          <w:p w:rsidR="00194428" w:rsidRPr="005E2687" w:rsidRDefault="00194428" w:rsidP="007E5A13">
            <w:pPr>
              <w:spacing w:after="0"/>
              <w:jc w:val="center"/>
              <w:rPr>
                <w:b/>
                <w:bCs/>
                <w:color w:val="000000"/>
                <w:sz w:val="12"/>
                <w:szCs w:val="12"/>
              </w:rPr>
            </w:pPr>
            <w:r w:rsidRPr="005E2687">
              <w:rPr>
                <w:b/>
                <w:bCs/>
                <w:color w:val="000000"/>
                <w:sz w:val="12"/>
                <w:szCs w:val="12"/>
              </w:rPr>
              <w:t> </w:t>
            </w:r>
          </w:p>
        </w:tc>
        <w:tc>
          <w:tcPr>
            <w:tcW w:w="960" w:type="dxa"/>
            <w:tcBorders>
              <w:top w:val="nil"/>
              <w:left w:val="nil"/>
              <w:bottom w:val="single" w:sz="8" w:space="0" w:color="auto"/>
              <w:right w:val="single" w:sz="4" w:space="0" w:color="auto"/>
            </w:tcBorders>
            <w:shd w:val="clear" w:color="000000" w:fill="BFBFBF"/>
            <w:vAlign w:val="center"/>
            <w:hideMark/>
          </w:tcPr>
          <w:p w:rsidR="00194428" w:rsidRPr="005E2687" w:rsidRDefault="00194428" w:rsidP="007E5A13">
            <w:pPr>
              <w:spacing w:after="0"/>
              <w:jc w:val="center"/>
              <w:rPr>
                <w:b/>
                <w:bCs/>
                <w:color w:val="000000"/>
                <w:sz w:val="12"/>
                <w:szCs w:val="12"/>
              </w:rPr>
            </w:pPr>
            <w:r w:rsidRPr="005E2687">
              <w:rPr>
                <w:b/>
                <w:bCs/>
                <w:color w:val="000000"/>
                <w:sz w:val="12"/>
                <w:szCs w:val="12"/>
              </w:rPr>
              <w:t> </w:t>
            </w:r>
          </w:p>
        </w:tc>
        <w:tc>
          <w:tcPr>
            <w:tcW w:w="1000" w:type="dxa"/>
            <w:tcBorders>
              <w:top w:val="nil"/>
              <w:left w:val="nil"/>
              <w:bottom w:val="single" w:sz="8" w:space="0" w:color="auto"/>
              <w:right w:val="single" w:sz="4" w:space="0" w:color="auto"/>
            </w:tcBorders>
            <w:shd w:val="clear" w:color="000000" w:fill="BFBFBF"/>
            <w:vAlign w:val="center"/>
            <w:hideMark/>
          </w:tcPr>
          <w:p w:rsidR="00194428" w:rsidRPr="005E2687" w:rsidRDefault="00194428" w:rsidP="007E5A13">
            <w:pPr>
              <w:spacing w:after="0"/>
              <w:jc w:val="center"/>
              <w:rPr>
                <w:b/>
                <w:bCs/>
                <w:color w:val="000000"/>
                <w:sz w:val="12"/>
                <w:szCs w:val="12"/>
              </w:rPr>
            </w:pPr>
            <w:r w:rsidRPr="005E2687">
              <w:rPr>
                <w:b/>
                <w:bCs/>
                <w:color w:val="000000"/>
                <w:sz w:val="12"/>
                <w:szCs w:val="12"/>
              </w:rPr>
              <w:t> </w:t>
            </w:r>
          </w:p>
        </w:tc>
        <w:tc>
          <w:tcPr>
            <w:tcW w:w="1000" w:type="dxa"/>
            <w:tcBorders>
              <w:top w:val="nil"/>
              <w:left w:val="nil"/>
              <w:bottom w:val="single" w:sz="8" w:space="0" w:color="auto"/>
              <w:right w:val="single" w:sz="4" w:space="0" w:color="auto"/>
            </w:tcBorders>
            <w:shd w:val="clear" w:color="000000" w:fill="BFBFBF"/>
            <w:vAlign w:val="center"/>
            <w:hideMark/>
          </w:tcPr>
          <w:p w:rsidR="00194428" w:rsidRPr="005E2687" w:rsidRDefault="00194428" w:rsidP="007E5A13">
            <w:pPr>
              <w:spacing w:after="0"/>
              <w:jc w:val="center"/>
              <w:rPr>
                <w:b/>
                <w:bCs/>
                <w:color w:val="000000"/>
                <w:sz w:val="12"/>
                <w:szCs w:val="12"/>
              </w:rPr>
            </w:pPr>
            <w:r w:rsidRPr="005E2687">
              <w:rPr>
                <w:b/>
                <w:bCs/>
                <w:color w:val="000000"/>
                <w:sz w:val="12"/>
                <w:szCs w:val="12"/>
              </w:rPr>
              <w:t> </w:t>
            </w:r>
          </w:p>
        </w:tc>
        <w:tc>
          <w:tcPr>
            <w:tcW w:w="1060" w:type="dxa"/>
            <w:tcBorders>
              <w:top w:val="nil"/>
              <w:left w:val="nil"/>
              <w:bottom w:val="single" w:sz="8" w:space="0" w:color="auto"/>
              <w:right w:val="single" w:sz="4" w:space="0" w:color="auto"/>
            </w:tcBorders>
            <w:shd w:val="clear" w:color="000000" w:fill="BFBFBF"/>
            <w:vAlign w:val="center"/>
            <w:hideMark/>
          </w:tcPr>
          <w:p w:rsidR="00194428" w:rsidRPr="005E2687" w:rsidRDefault="00DB1259" w:rsidP="007E5A13">
            <w:pPr>
              <w:spacing w:after="0"/>
              <w:jc w:val="center"/>
              <w:rPr>
                <w:b/>
                <w:bCs/>
                <w:color w:val="000000"/>
                <w:sz w:val="12"/>
                <w:szCs w:val="12"/>
              </w:rPr>
            </w:pPr>
            <w:r>
              <w:rPr>
                <w:b/>
                <w:bCs/>
                <w:color w:val="000000"/>
                <w:sz w:val="12"/>
                <w:szCs w:val="12"/>
              </w:rPr>
              <w:t>39.6</w:t>
            </w:r>
          </w:p>
        </w:tc>
        <w:tc>
          <w:tcPr>
            <w:tcW w:w="1041" w:type="dxa"/>
            <w:tcBorders>
              <w:top w:val="nil"/>
              <w:left w:val="nil"/>
              <w:bottom w:val="single" w:sz="8" w:space="0" w:color="auto"/>
              <w:right w:val="single" w:sz="4" w:space="0" w:color="auto"/>
            </w:tcBorders>
            <w:shd w:val="clear" w:color="000000" w:fill="BFBFBF"/>
            <w:vAlign w:val="center"/>
            <w:hideMark/>
          </w:tcPr>
          <w:p w:rsidR="00194428" w:rsidRPr="005E2687" w:rsidRDefault="00DB1259" w:rsidP="007E5A13">
            <w:pPr>
              <w:spacing w:after="0"/>
              <w:jc w:val="center"/>
              <w:rPr>
                <w:b/>
                <w:bCs/>
                <w:color w:val="000000"/>
                <w:sz w:val="12"/>
                <w:szCs w:val="12"/>
              </w:rPr>
            </w:pPr>
            <w:r>
              <w:rPr>
                <w:b/>
                <w:bCs/>
                <w:color w:val="000000"/>
                <w:sz w:val="12"/>
                <w:szCs w:val="12"/>
              </w:rPr>
              <w:t>12,672</w:t>
            </w:r>
          </w:p>
        </w:tc>
        <w:tc>
          <w:tcPr>
            <w:tcW w:w="883" w:type="dxa"/>
            <w:tcBorders>
              <w:top w:val="nil"/>
              <w:left w:val="nil"/>
              <w:bottom w:val="single" w:sz="8" w:space="0" w:color="auto"/>
              <w:right w:val="single" w:sz="8" w:space="0" w:color="auto"/>
            </w:tcBorders>
            <w:shd w:val="clear" w:color="000000" w:fill="BFBFBF"/>
            <w:vAlign w:val="center"/>
            <w:hideMark/>
          </w:tcPr>
          <w:p w:rsidR="00194428" w:rsidRPr="005E2687" w:rsidRDefault="00194428" w:rsidP="007E5A13">
            <w:pPr>
              <w:spacing w:after="0"/>
              <w:jc w:val="center"/>
              <w:rPr>
                <w:b/>
                <w:bCs/>
                <w:color w:val="000000"/>
                <w:sz w:val="12"/>
                <w:szCs w:val="12"/>
              </w:rPr>
            </w:pPr>
            <w:r w:rsidRPr="005E2687">
              <w:rPr>
                <w:b/>
                <w:bCs/>
                <w:color w:val="000000"/>
                <w:sz w:val="12"/>
                <w:szCs w:val="12"/>
              </w:rPr>
              <w:t> </w:t>
            </w:r>
          </w:p>
        </w:tc>
      </w:tr>
    </w:tbl>
    <w:p w:rsidR="00B04295" w:rsidRPr="00A615AF" w:rsidRDefault="00B04295" w:rsidP="002E533D">
      <w:pPr>
        <w:spacing w:after="0" w:line="240" w:lineRule="auto"/>
        <w:ind w:firstLine="720"/>
        <w:rPr>
          <w:rFonts w:ascii="Times New Roman" w:hAnsi="Times New Roman" w:cs="Times New Roman"/>
          <w:sz w:val="24"/>
          <w:szCs w:val="24"/>
        </w:rPr>
      </w:pPr>
    </w:p>
    <w:p w:rsidR="005B7CBB" w:rsidRPr="00A615AF" w:rsidRDefault="005B7CBB" w:rsidP="00B27B52">
      <w:pPr>
        <w:pStyle w:val="Heading2"/>
      </w:pPr>
      <w:r w:rsidRPr="00A615AF">
        <w:t>13.</w:t>
      </w:r>
      <w:r w:rsidRPr="00A615AF">
        <w:tab/>
      </w:r>
      <w:r w:rsidRPr="00A615AF">
        <w:rPr>
          <w:spacing w:val="1"/>
        </w:rPr>
        <w:t>C</w:t>
      </w:r>
      <w:r w:rsidRPr="00A615AF">
        <w:t>ost</w:t>
      </w:r>
      <w:r w:rsidR="00B04295" w:rsidRPr="00A615AF">
        <w:t>s to Respondents</w:t>
      </w:r>
    </w:p>
    <w:p w:rsidR="002B1687" w:rsidRPr="00542DF2" w:rsidRDefault="002B1687" w:rsidP="002B1687">
      <w:pPr>
        <w:tabs>
          <w:tab w:val="left" w:pos="-720"/>
        </w:tabs>
        <w:suppressAutoHyphens/>
        <w:rPr>
          <w:rFonts w:ascii="Times New Roman" w:hAnsi="Times New Roman" w:cs="Times New Roman"/>
          <w:spacing w:val="-3"/>
          <w:sz w:val="24"/>
          <w:szCs w:val="24"/>
        </w:rPr>
      </w:pPr>
      <w:r>
        <w:tab/>
      </w:r>
      <w:r w:rsidR="00DA06E3" w:rsidRPr="00542DF2">
        <w:rPr>
          <w:rFonts w:ascii="Times New Roman" w:hAnsi="Times New Roman" w:cs="Times New Roman"/>
          <w:sz w:val="24"/>
          <w:szCs w:val="24"/>
        </w:rPr>
        <w:t xml:space="preserve">Not applicable.  </w:t>
      </w:r>
      <w:r w:rsidRPr="00542DF2">
        <w:rPr>
          <w:rFonts w:ascii="Times New Roman" w:hAnsi="Times New Roman" w:cs="Times New Roman"/>
          <w:spacing w:val="-3"/>
          <w:sz w:val="24"/>
          <w:szCs w:val="24"/>
        </w:rPr>
        <w:t xml:space="preserve">The Commission estimates that respondents will not seek outside assistance in completing the collection of information, and therefore, respondents will not experience any external costs in connection with the collection of information. </w:t>
      </w:r>
    </w:p>
    <w:p w:rsidR="005B7CBB" w:rsidRDefault="005B7CBB" w:rsidP="00B27B52">
      <w:pPr>
        <w:pStyle w:val="Heading2"/>
        <w:rPr>
          <w:spacing w:val="-7"/>
        </w:rPr>
      </w:pPr>
      <w:r w:rsidRPr="00A615AF">
        <w:t>14.</w:t>
      </w:r>
      <w:r w:rsidRPr="00A615AF">
        <w:tab/>
      </w:r>
      <w:r w:rsidR="003176B1" w:rsidRPr="00A615AF">
        <w:t xml:space="preserve">Costs to the </w:t>
      </w:r>
      <w:r w:rsidRPr="00A615AF">
        <w:rPr>
          <w:spacing w:val="-4"/>
        </w:rPr>
        <w:t>F</w:t>
      </w:r>
      <w:r w:rsidRPr="00A615AF">
        <w:rPr>
          <w:spacing w:val="-3"/>
        </w:rPr>
        <w:t>e</w:t>
      </w:r>
      <w:r w:rsidRPr="00A615AF">
        <w:t>d</w:t>
      </w:r>
      <w:r w:rsidRPr="00A615AF">
        <w:rPr>
          <w:spacing w:val="-3"/>
        </w:rPr>
        <w:t>eral</w:t>
      </w:r>
      <w:r w:rsidRPr="00A615AF">
        <w:rPr>
          <w:spacing w:val="-1"/>
        </w:rPr>
        <w:t xml:space="preserve"> </w:t>
      </w:r>
      <w:r w:rsidRPr="00A615AF">
        <w:rPr>
          <w:spacing w:val="-3"/>
        </w:rPr>
        <w:t>G</w:t>
      </w:r>
      <w:r w:rsidRPr="00A615AF">
        <w:t>ov</w:t>
      </w:r>
      <w:r w:rsidRPr="00A615AF">
        <w:rPr>
          <w:spacing w:val="-3"/>
        </w:rPr>
        <w:t>er</w:t>
      </w:r>
      <w:r w:rsidRPr="00A615AF">
        <w:t>nm</w:t>
      </w:r>
      <w:r w:rsidRPr="00A615AF">
        <w:rPr>
          <w:spacing w:val="-3"/>
        </w:rPr>
        <w:t>e</w:t>
      </w:r>
      <w:r w:rsidRPr="00A615AF">
        <w:rPr>
          <w:spacing w:val="-5"/>
        </w:rPr>
        <w:t>n</w:t>
      </w:r>
      <w:r w:rsidRPr="00A615AF">
        <w:t>t</w:t>
      </w:r>
      <w:r w:rsidRPr="00A615AF">
        <w:rPr>
          <w:spacing w:val="-7"/>
        </w:rPr>
        <w:t xml:space="preserve"> </w:t>
      </w:r>
    </w:p>
    <w:p w:rsidR="00AB65C2" w:rsidRPr="008C147B" w:rsidRDefault="00AB65C2" w:rsidP="00B27B52">
      <w:pPr>
        <w:pStyle w:val="TEXT"/>
      </w:pPr>
      <w:r>
        <w:t xml:space="preserve">Not applicable.  </w:t>
      </w:r>
    </w:p>
    <w:p w:rsidR="005B7CBB" w:rsidRPr="00A615AF" w:rsidRDefault="005B7CBB" w:rsidP="00B27B52">
      <w:pPr>
        <w:pStyle w:val="Heading2"/>
      </w:pPr>
      <w:r w:rsidRPr="00A615AF">
        <w:t>15.</w:t>
      </w:r>
      <w:r w:rsidRPr="00A615AF">
        <w:tab/>
      </w:r>
      <w:r w:rsidR="003176B1" w:rsidRPr="00A615AF">
        <w:t xml:space="preserve">Reason for </w:t>
      </w:r>
      <w:r w:rsidRPr="00A615AF">
        <w:t>Ch</w:t>
      </w:r>
      <w:r w:rsidRPr="00A615AF">
        <w:rPr>
          <w:spacing w:val="-3"/>
        </w:rPr>
        <w:t>a</w:t>
      </w:r>
      <w:r w:rsidRPr="00A615AF">
        <w:t>n</w:t>
      </w:r>
      <w:r w:rsidRPr="00A615AF">
        <w:rPr>
          <w:spacing w:val="-5"/>
        </w:rPr>
        <w:t>g</w:t>
      </w:r>
      <w:r w:rsidRPr="00A615AF">
        <w:rPr>
          <w:spacing w:val="-3"/>
        </w:rPr>
        <w:t>e</w:t>
      </w:r>
      <w:r w:rsidRPr="00A615AF">
        <w:t>s</w:t>
      </w:r>
      <w:r w:rsidRPr="00A615AF">
        <w:rPr>
          <w:spacing w:val="-5"/>
        </w:rPr>
        <w:t xml:space="preserve"> </w:t>
      </w:r>
      <w:r w:rsidRPr="00A615AF">
        <w:t>in</w:t>
      </w:r>
      <w:r w:rsidRPr="00A615AF">
        <w:rPr>
          <w:spacing w:val="-7"/>
        </w:rPr>
        <w:t xml:space="preserve"> </w:t>
      </w:r>
      <w:r w:rsidRPr="00A615AF">
        <w:rPr>
          <w:spacing w:val="-4"/>
        </w:rPr>
        <w:t>B</w:t>
      </w:r>
      <w:r w:rsidRPr="00A615AF">
        <w:t>u</w:t>
      </w:r>
      <w:r w:rsidRPr="00A615AF">
        <w:rPr>
          <w:spacing w:val="-3"/>
        </w:rPr>
        <w:t>r</w:t>
      </w:r>
      <w:r w:rsidRPr="00A615AF">
        <w:t>d</w:t>
      </w:r>
      <w:r w:rsidRPr="00A615AF">
        <w:rPr>
          <w:spacing w:val="-3"/>
        </w:rPr>
        <w:t>e</w:t>
      </w:r>
      <w:r w:rsidRPr="00A615AF">
        <w:t>n</w:t>
      </w:r>
    </w:p>
    <w:p w:rsidR="005B7CBB" w:rsidRPr="00A615AF" w:rsidRDefault="005B7CBB" w:rsidP="00B27B52">
      <w:pPr>
        <w:pStyle w:val="TEXT"/>
      </w:pPr>
      <w:r w:rsidRPr="00A615AF">
        <w:t xml:space="preserve">Not </w:t>
      </w:r>
      <w:r w:rsidRPr="00A615AF">
        <w:rPr>
          <w:spacing w:val="-1"/>
        </w:rPr>
        <w:t>a</w:t>
      </w:r>
      <w:r w:rsidRPr="00A615AF">
        <w:t>ppli</w:t>
      </w:r>
      <w:r w:rsidRPr="00A615AF">
        <w:rPr>
          <w:spacing w:val="-1"/>
        </w:rPr>
        <w:t>ca</w:t>
      </w:r>
      <w:r w:rsidRPr="00A615AF">
        <w:t>bl</w:t>
      </w:r>
      <w:r w:rsidRPr="00A615AF">
        <w:rPr>
          <w:spacing w:val="-1"/>
        </w:rPr>
        <w:t>e</w:t>
      </w:r>
      <w:r w:rsidRPr="00A615AF">
        <w:t xml:space="preserve">.  </w:t>
      </w:r>
    </w:p>
    <w:p w:rsidR="005B7CBB" w:rsidRPr="00A615AF" w:rsidRDefault="005B7CBB" w:rsidP="00B27B52">
      <w:pPr>
        <w:pStyle w:val="Heading2"/>
      </w:pPr>
      <w:r w:rsidRPr="00A615AF">
        <w:t>16.</w:t>
      </w:r>
      <w:r w:rsidRPr="00A615AF">
        <w:tab/>
      </w:r>
      <w:r w:rsidRPr="00A615AF">
        <w:rPr>
          <w:spacing w:val="-8"/>
        </w:rPr>
        <w:t>I</w:t>
      </w:r>
      <w:r w:rsidRPr="00A615AF">
        <w:t>n</w:t>
      </w:r>
      <w:r w:rsidRPr="00A615AF">
        <w:rPr>
          <w:spacing w:val="-3"/>
        </w:rPr>
        <w:t>f</w:t>
      </w:r>
      <w:r w:rsidRPr="00A615AF">
        <w:t>o</w:t>
      </w:r>
      <w:r w:rsidRPr="00A615AF">
        <w:rPr>
          <w:spacing w:val="-3"/>
        </w:rPr>
        <w:t>r</w:t>
      </w:r>
      <w:r w:rsidRPr="00A615AF">
        <w:t>m</w:t>
      </w:r>
      <w:r w:rsidRPr="00A615AF">
        <w:rPr>
          <w:spacing w:val="-3"/>
        </w:rPr>
        <w:t>a</w:t>
      </w:r>
      <w:r w:rsidRPr="00A615AF">
        <w:t>tion</w:t>
      </w:r>
      <w:r w:rsidRPr="00A615AF">
        <w:rPr>
          <w:spacing w:val="-5"/>
        </w:rPr>
        <w:t xml:space="preserve"> </w:t>
      </w:r>
      <w:r w:rsidRPr="00A615AF">
        <w:t>C</w:t>
      </w:r>
      <w:r w:rsidRPr="00A615AF">
        <w:rPr>
          <w:spacing w:val="-5"/>
        </w:rPr>
        <w:t>o</w:t>
      </w:r>
      <w:r w:rsidRPr="00A615AF">
        <w:t>ll</w:t>
      </w:r>
      <w:r w:rsidRPr="00A615AF">
        <w:rPr>
          <w:spacing w:val="-3"/>
        </w:rPr>
        <w:t>ec</w:t>
      </w:r>
      <w:r w:rsidRPr="00A615AF">
        <w:rPr>
          <w:spacing w:val="-4"/>
        </w:rPr>
        <w:t>t</w:t>
      </w:r>
      <w:r w:rsidRPr="00A615AF">
        <w:t>io</w:t>
      </w:r>
      <w:r w:rsidRPr="00A615AF">
        <w:rPr>
          <w:spacing w:val="-5"/>
        </w:rPr>
        <w:t>n</w:t>
      </w:r>
      <w:r w:rsidRPr="00A615AF">
        <w:t>s</w:t>
      </w:r>
      <w:r w:rsidRPr="00A615AF">
        <w:rPr>
          <w:spacing w:val="-5"/>
        </w:rPr>
        <w:t xml:space="preserve"> </w:t>
      </w:r>
      <w:r w:rsidRPr="00A615AF">
        <w:rPr>
          <w:spacing w:val="-4"/>
        </w:rPr>
        <w:t>P</w:t>
      </w:r>
      <w:r w:rsidRPr="00A615AF">
        <w:t>l</w:t>
      </w:r>
      <w:r w:rsidRPr="00A615AF">
        <w:rPr>
          <w:spacing w:val="-3"/>
        </w:rPr>
        <w:t>a</w:t>
      </w:r>
      <w:r w:rsidRPr="00A615AF">
        <w:t>nn</w:t>
      </w:r>
      <w:r w:rsidRPr="00A615AF">
        <w:rPr>
          <w:spacing w:val="-3"/>
        </w:rPr>
        <w:t>e</w:t>
      </w:r>
      <w:r w:rsidRPr="00A615AF">
        <w:t>d</w:t>
      </w:r>
      <w:r w:rsidRPr="00A615AF">
        <w:rPr>
          <w:spacing w:val="-5"/>
        </w:rPr>
        <w:t xml:space="preserve"> </w:t>
      </w:r>
      <w:r w:rsidRPr="00A615AF">
        <w:rPr>
          <w:spacing w:val="-3"/>
        </w:rPr>
        <w:t>f</w:t>
      </w:r>
      <w:r w:rsidRPr="00A615AF">
        <w:t>or</w:t>
      </w:r>
      <w:r w:rsidRPr="00A615AF">
        <w:rPr>
          <w:spacing w:val="-6"/>
        </w:rPr>
        <w:t xml:space="preserve"> </w:t>
      </w:r>
      <w:r w:rsidRPr="00A615AF">
        <w:rPr>
          <w:spacing w:val="-4"/>
        </w:rPr>
        <w:t>S</w:t>
      </w:r>
      <w:r w:rsidRPr="00A615AF">
        <w:t>t</w:t>
      </w:r>
      <w:r w:rsidRPr="00A615AF">
        <w:rPr>
          <w:spacing w:val="-3"/>
        </w:rPr>
        <w:t>a</w:t>
      </w:r>
      <w:r w:rsidRPr="00A615AF">
        <w:t>t</w:t>
      </w:r>
      <w:r w:rsidRPr="00A615AF">
        <w:rPr>
          <w:spacing w:val="-4"/>
        </w:rPr>
        <w:t>i</w:t>
      </w:r>
      <w:r w:rsidRPr="00A615AF">
        <w:t>s</w:t>
      </w:r>
      <w:r w:rsidRPr="00A615AF">
        <w:rPr>
          <w:spacing w:val="-4"/>
        </w:rPr>
        <w:t>t</w:t>
      </w:r>
      <w:r w:rsidRPr="00A615AF">
        <w:t>i</w:t>
      </w:r>
      <w:r w:rsidRPr="00A615AF">
        <w:rPr>
          <w:spacing w:val="-3"/>
        </w:rPr>
        <w:t>ca</w:t>
      </w:r>
      <w:r w:rsidRPr="00A615AF">
        <w:t>l</w:t>
      </w:r>
      <w:r w:rsidRPr="00A615AF">
        <w:rPr>
          <w:spacing w:val="-7"/>
        </w:rPr>
        <w:t xml:space="preserve"> </w:t>
      </w:r>
      <w:r w:rsidRPr="00A615AF">
        <w:rPr>
          <w:spacing w:val="-1"/>
        </w:rPr>
        <w:t>P</w:t>
      </w:r>
      <w:r w:rsidRPr="00A615AF">
        <w:t>u</w:t>
      </w:r>
      <w:r w:rsidRPr="00A615AF">
        <w:rPr>
          <w:spacing w:val="-3"/>
        </w:rPr>
        <w:t>r</w:t>
      </w:r>
      <w:r w:rsidRPr="00A615AF">
        <w:rPr>
          <w:spacing w:val="-5"/>
        </w:rPr>
        <w:t>p</w:t>
      </w:r>
      <w:r w:rsidRPr="00A615AF">
        <w:t>os</w:t>
      </w:r>
      <w:r w:rsidRPr="00A615AF">
        <w:rPr>
          <w:spacing w:val="-3"/>
        </w:rPr>
        <w:t>e</w:t>
      </w:r>
      <w:r w:rsidRPr="00A615AF">
        <w:t>s</w:t>
      </w:r>
    </w:p>
    <w:p w:rsidR="005B7CBB" w:rsidRPr="00A615AF" w:rsidRDefault="005B7CBB" w:rsidP="00B27B52">
      <w:pPr>
        <w:pStyle w:val="TEXT"/>
      </w:pPr>
      <w:r w:rsidRPr="00A615AF">
        <w:t>N</w:t>
      </w:r>
      <w:r w:rsidRPr="00A615AF">
        <w:rPr>
          <w:spacing w:val="-2"/>
        </w:rPr>
        <w:t>o</w:t>
      </w:r>
      <w:r w:rsidRPr="00A615AF">
        <w:t>t</w:t>
      </w:r>
      <w:r w:rsidRPr="00A615AF">
        <w:rPr>
          <w:spacing w:val="-4"/>
        </w:rPr>
        <w:t xml:space="preserve"> </w:t>
      </w:r>
      <w:r w:rsidRPr="00A615AF">
        <w:t>a</w:t>
      </w:r>
      <w:r w:rsidRPr="00A615AF">
        <w:rPr>
          <w:spacing w:val="-2"/>
        </w:rPr>
        <w:t>p</w:t>
      </w:r>
      <w:r w:rsidRPr="00A615AF">
        <w:rPr>
          <w:spacing w:val="-5"/>
        </w:rPr>
        <w:t>p</w:t>
      </w:r>
      <w:r w:rsidRPr="00A615AF">
        <w:rPr>
          <w:spacing w:val="-2"/>
        </w:rPr>
        <w:t>li</w:t>
      </w:r>
      <w:r w:rsidRPr="00A615AF">
        <w:t>ca</w:t>
      </w:r>
      <w:r w:rsidRPr="00A615AF">
        <w:rPr>
          <w:spacing w:val="-5"/>
        </w:rPr>
        <w:t>b</w:t>
      </w:r>
      <w:r w:rsidRPr="00A615AF">
        <w:rPr>
          <w:spacing w:val="-2"/>
        </w:rPr>
        <w:t>l</w:t>
      </w:r>
      <w:r w:rsidRPr="00A615AF">
        <w:t>e.</w:t>
      </w:r>
    </w:p>
    <w:p w:rsidR="005B7CBB" w:rsidRPr="00A615AF" w:rsidRDefault="005B7CBB" w:rsidP="00B27B52">
      <w:pPr>
        <w:pStyle w:val="Heading2"/>
      </w:pPr>
      <w:r w:rsidRPr="00A615AF">
        <w:t>17.</w:t>
      </w:r>
      <w:r w:rsidRPr="00A615AF">
        <w:tab/>
      </w:r>
      <w:r w:rsidR="003176B1" w:rsidRPr="00A615AF">
        <w:t xml:space="preserve">Display of </w:t>
      </w:r>
      <w:r w:rsidRPr="00A615AF">
        <w:t>O</w:t>
      </w:r>
      <w:r w:rsidRPr="00A615AF">
        <w:rPr>
          <w:spacing w:val="-5"/>
        </w:rPr>
        <w:t>M</w:t>
      </w:r>
      <w:r w:rsidRPr="00A615AF">
        <w:t>B</w:t>
      </w:r>
      <w:r w:rsidRPr="00A615AF">
        <w:rPr>
          <w:spacing w:val="-6"/>
        </w:rPr>
        <w:t xml:space="preserve"> </w:t>
      </w:r>
      <w:r w:rsidR="003176B1" w:rsidRPr="00A615AF">
        <w:rPr>
          <w:spacing w:val="-6"/>
        </w:rPr>
        <w:t>Approval</w:t>
      </w:r>
      <w:r w:rsidRPr="00A615AF">
        <w:rPr>
          <w:spacing w:val="-5"/>
        </w:rPr>
        <w:t xml:space="preserve"> </w:t>
      </w:r>
      <w:r w:rsidRPr="00A615AF">
        <w:t>D</w:t>
      </w:r>
      <w:r w:rsidRPr="00A615AF">
        <w:rPr>
          <w:spacing w:val="-6"/>
        </w:rPr>
        <w:t>a</w:t>
      </w:r>
      <w:r w:rsidRPr="00A615AF">
        <w:t>te</w:t>
      </w:r>
    </w:p>
    <w:p w:rsidR="00EA77D6" w:rsidRPr="00A615AF" w:rsidRDefault="00A86618" w:rsidP="00B27B52">
      <w:pPr>
        <w:pStyle w:val="TEXT"/>
      </w:pPr>
      <w:r>
        <w:t>The Commission is not seeking approval to not display the OMB approval expiration date.</w:t>
      </w:r>
      <w:r w:rsidR="00EA77D6">
        <w:t xml:space="preserve">  </w:t>
      </w:r>
    </w:p>
    <w:p w:rsidR="005B7CBB" w:rsidRPr="00A615AF" w:rsidRDefault="005B7CBB" w:rsidP="00B27B52">
      <w:pPr>
        <w:pStyle w:val="Heading2"/>
      </w:pPr>
      <w:r w:rsidRPr="00A615AF">
        <w:t>18.</w:t>
      </w:r>
      <w:r w:rsidRPr="00A615AF">
        <w:tab/>
      </w:r>
      <w:r w:rsidRPr="00A615AF">
        <w:rPr>
          <w:spacing w:val="-3"/>
        </w:rPr>
        <w:t>E</w:t>
      </w:r>
      <w:r w:rsidRPr="00A615AF">
        <w:t>x</w:t>
      </w:r>
      <w:r w:rsidRPr="00A615AF">
        <w:rPr>
          <w:spacing w:val="-3"/>
        </w:rPr>
        <w:t>ce</w:t>
      </w:r>
      <w:r w:rsidRPr="00A615AF">
        <w:rPr>
          <w:spacing w:val="-5"/>
        </w:rPr>
        <w:t>p</w:t>
      </w:r>
      <w:r w:rsidRPr="00A615AF">
        <w:t>t</w:t>
      </w:r>
      <w:r w:rsidRPr="00A615AF">
        <w:rPr>
          <w:spacing w:val="-4"/>
        </w:rPr>
        <w:t>i</w:t>
      </w:r>
      <w:r w:rsidRPr="00A615AF">
        <w:t>ons</w:t>
      </w:r>
      <w:r w:rsidRPr="00A615AF">
        <w:rPr>
          <w:spacing w:val="-7"/>
        </w:rPr>
        <w:t xml:space="preserve"> </w:t>
      </w:r>
      <w:r w:rsidRPr="00A615AF">
        <w:t>to</w:t>
      </w:r>
      <w:r w:rsidRPr="00A615AF">
        <w:rPr>
          <w:spacing w:val="-7"/>
        </w:rPr>
        <w:t xml:space="preserve"> </w:t>
      </w:r>
      <w:r w:rsidRPr="00A615AF">
        <w:t>C</w:t>
      </w:r>
      <w:r w:rsidRPr="00A615AF">
        <w:rPr>
          <w:spacing w:val="-3"/>
        </w:rPr>
        <w:t>er</w:t>
      </w:r>
      <w:r w:rsidRPr="00A615AF">
        <w:rPr>
          <w:spacing w:val="-4"/>
        </w:rPr>
        <w:t>t</w:t>
      </w:r>
      <w:r w:rsidRPr="00A615AF">
        <w:t>i</w:t>
      </w:r>
      <w:r w:rsidRPr="00A615AF">
        <w:rPr>
          <w:spacing w:val="-3"/>
        </w:rPr>
        <w:t>f</w:t>
      </w:r>
      <w:r w:rsidRPr="00A615AF">
        <w:t>i</w:t>
      </w:r>
      <w:r w:rsidRPr="00A615AF">
        <w:rPr>
          <w:spacing w:val="-3"/>
        </w:rPr>
        <w:t>ca</w:t>
      </w:r>
      <w:r w:rsidRPr="00A615AF">
        <w:rPr>
          <w:spacing w:val="-4"/>
        </w:rPr>
        <w:t>t</w:t>
      </w:r>
      <w:r w:rsidRPr="00A615AF">
        <w:t>i</w:t>
      </w:r>
      <w:r w:rsidRPr="00A615AF">
        <w:rPr>
          <w:spacing w:val="-5"/>
        </w:rPr>
        <w:t>o</w:t>
      </w:r>
      <w:r w:rsidRPr="00A615AF">
        <w:t>n</w:t>
      </w:r>
      <w:r w:rsidR="003176B1" w:rsidRPr="00A615AF">
        <w:t xml:space="preserve"> for Paperwork Reduction Act Submissions</w:t>
      </w:r>
    </w:p>
    <w:p w:rsidR="0088676C" w:rsidRPr="00A615AF" w:rsidRDefault="005B7CBB" w:rsidP="00B27B52">
      <w:pPr>
        <w:pStyle w:val="TEXT"/>
      </w:pPr>
      <w:r w:rsidRPr="00A615AF">
        <w:t xml:space="preserve">This collection complies with the requirements in 5 CFR 1320.9. </w:t>
      </w:r>
    </w:p>
    <w:p w:rsidR="005B7CBB" w:rsidRPr="00A615AF" w:rsidRDefault="005B7CBB" w:rsidP="00B27B52">
      <w:pPr>
        <w:pStyle w:val="Heading1"/>
      </w:pPr>
      <w:r w:rsidRPr="00A615AF">
        <w:rPr>
          <w:spacing w:val="-4"/>
        </w:rPr>
        <w:t>B</w:t>
      </w:r>
      <w:r w:rsidRPr="00A615AF">
        <w:t>.</w:t>
      </w:r>
      <w:r w:rsidRPr="00A615AF">
        <w:tab/>
        <w:t>Co</w:t>
      </w:r>
      <w:r w:rsidRPr="00A615AF">
        <w:rPr>
          <w:spacing w:val="-4"/>
        </w:rPr>
        <w:t>l</w:t>
      </w:r>
      <w:r w:rsidRPr="00A615AF">
        <w:t>l</w:t>
      </w:r>
      <w:r w:rsidRPr="00A615AF">
        <w:rPr>
          <w:spacing w:val="-3"/>
        </w:rPr>
        <w:t>ec</w:t>
      </w:r>
      <w:r w:rsidRPr="00A615AF">
        <w:t>t</w:t>
      </w:r>
      <w:r w:rsidRPr="00A615AF">
        <w:rPr>
          <w:spacing w:val="-4"/>
        </w:rPr>
        <w:t>i</w:t>
      </w:r>
      <w:r w:rsidRPr="00A615AF">
        <w:t>on of</w:t>
      </w:r>
      <w:r w:rsidRPr="00A615AF">
        <w:rPr>
          <w:spacing w:val="-3"/>
        </w:rPr>
        <w:t xml:space="preserve"> </w:t>
      </w:r>
      <w:r w:rsidRPr="00A615AF">
        <w:rPr>
          <w:spacing w:val="-8"/>
        </w:rPr>
        <w:t>I</w:t>
      </w:r>
      <w:r w:rsidRPr="00A615AF">
        <w:t>n</w:t>
      </w:r>
      <w:r w:rsidRPr="00A615AF">
        <w:rPr>
          <w:spacing w:val="-3"/>
        </w:rPr>
        <w:t>f</w:t>
      </w:r>
      <w:r w:rsidRPr="00A615AF">
        <w:t>o</w:t>
      </w:r>
      <w:r w:rsidRPr="00A615AF">
        <w:rPr>
          <w:spacing w:val="-3"/>
        </w:rPr>
        <w:t>r</w:t>
      </w:r>
      <w:r w:rsidRPr="00A615AF">
        <w:t>m</w:t>
      </w:r>
      <w:r w:rsidRPr="00A615AF">
        <w:rPr>
          <w:spacing w:val="-3"/>
        </w:rPr>
        <w:t>a</w:t>
      </w:r>
      <w:r w:rsidRPr="00A615AF">
        <w:t>ti</w:t>
      </w:r>
      <w:r w:rsidRPr="00A615AF">
        <w:rPr>
          <w:spacing w:val="-5"/>
        </w:rPr>
        <w:t>o</w:t>
      </w:r>
      <w:r w:rsidRPr="00A615AF">
        <w:t>n</w:t>
      </w:r>
      <w:r w:rsidRPr="00A615AF">
        <w:rPr>
          <w:spacing w:val="-7"/>
        </w:rPr>
        <w:t xml:space="preserve"> </w:t>
      </w:r>
      <w:r w:rsidRPr="00A615AF">
        <w:rPr>
          <w:spacing w:val="-3"/>
        </w:rPr>
        <w:t>E</w:t>
      </w:r>
      <w:r w:rsidRPr="00A615AF">
        <w:t>mp</w:t>
      </w:r>
      <w:r w:rsidRPr="00A615AF">
        <w:rPr>
          <w:spacing w:val="-4"/>
        </w:rPr>
        <w:t>l</w:t>
      </w:r>
      <w:r w:rsidRPr="00A615AF">
        <w:t>o</w:t>
      </w:r>
      <w:r w:rsidRPr="00A615AF">
        <w:rPr>
          <w:spacing w:val="-10"/>
        </w:rPr>
        <w:t>y</w:t>
      </w:r>
      <w:r w:rsidRPr="00A615AF">
        <w:t>ing</w:t>
      </w:r>
      <w:r w:rsidRPr="00A615AF">
        <w:rPr>
          <w:spacing w:val="-5"/>
        </w:rPr>
        <w:t xml:space="preserve"> </w:t>
      </w:r>
      <w:r w:rsidRPr="00A615AF">
        <w:rPr>
          <w:spacing w:val="-1"/>
        </w:rPr>
        <w:t>S</w:t>
      </w:r>
      <w:r w:rsidRPr="00A615AF">
        <w:t>t</w:t>
      </w:r>
      <w:r w:rsidRPr="00A615AF">
        <w:rPr>
          <w:spacing w:val="-3"/>
        </w:rPr>
        <w:t>a</w:t>
      </w:r>
      <w:r w:rsidRPr="00A615AF">
        <w:t>ti</w:t>
      </w:r>
      <w:r w:rsidRPr="00A615AF">
        <w:rPr>
          <w:spacing w:val="-5"/>
        </w:rPr>
        <w:t>s</w:t>
      </w:r>
      <w:r w:rsidRPr="00A615AF">
        <w:t>ti</w:t>
      </w:r>
      <w:r w:rsidRPr="00A615AF">
        <w:rPr>
          <w:spacing w:val="-3"/>
        </w:rPr>
        <w:t>ca</w:t>
      </w:r>
      <w:r w:rsidRPr="00A615AF">
        <w:t>l</w:t>
      </w:r>
      <w:r w:rsidRPr="00A615AF">
        <w:rPr>
          <w:spacing w:val="-7"/>
        </w:rPr>
        <w:t xml:space="preserve"> </w:t>
      </w:r>
      <w:r w:rsidRPr="00A615AF">
        <w:t>M</w:t>
      </w:r>
      <w:r w:rsidRPr="00A615AF">
        <w:rPr>
          <w:spacing w:val="-3"/>
        </w:rPr>
        <w:t>e</w:t>
      </w:r>
      <w:r w:rsidRPr="00A615AF">
        <w:rPr>
          <w:spacing w:val="-4"/>
        </w:rPr>
        <w:t>t</w:t>
      </w:r>
      <w:r w:rsidRPr="00A615AF">
        <w:t>hods</w:t>
      </w:r>
    </w:p>
    <w:p w:rsidR="005B7CBB" w:rsidRPr="00A615AF" w:rsidRDefault="005B7CBB" w:rsidP="002E533D">
      <w:pPr>
        <w:keepNext/>
        <w:spacing w:after="0" w:line="240" w:lineRule="auto"/>
        <w:ind w:firstLine="720"/>
        <w:rPr>
          <w:rFonts w:ascii="Times New Roman" w:hAnsi="Times New Roman" w:cs="Times New Roman"/>
          <w:sz w:val="24"/>
          <w:szCs w:val="24"/>
        </w:rPr>
      </w:pPr>
    </w:p>
    <w:p w:rsidR="008F6B19" w:rsidRPr="00A615AF" w:rsidRDefault="00A86618" w:rsidP="00B27B52">
      <w:pPr>
        <w:pStyle w:val="TEXT"/>
      </w:pPr>
      <w:r>
        <w:t>This collection does not involve statistical methods.</w:t>
      </w:r>
    </w:p>
    <w:sectPr w:rsidR="008F6B19" w:rsidRPr="00A615AF" w:rsidSect="007B3365">
      <w:footerReference w:type="default" r:id="rId10"/>
      <w:pgSz w:w="12240" w:h="15840" w:code="1"/>
      <w:pgMar w:top="1354" w:right="1382" w:bottom="1195" w:left="1526" w:header="0" w:footer="10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A13" w:rsidRDefault="007E5A13" w:rsidP="005B7CBB">
      <w:pPr>
        <w:spacing w:after="0" w:line="240" w:lineRule="auto"/>
      </w:pPr>
      <w:r>
        <w:separator/>
      </w:r>
    </w:p>
  </w:endnote>
  <w:endnote w:type="continuationSeparator" w:id="0">
    <w:p w:rsidR="007E5A13" w:rsidRDefault="007E5A13" w:rsidP="005B7CBB">
      <w:pPr>
        <w:spacing w:after="0" w:line="240" w:lineRule="auto"/>
      </w:pPr>
      <w:r>
        <w:continuationSeparator/>
      </w:r>
    </w:p>
  </w:endnote>
  <w:endnote w:type="continuationNotice" w:id="1">
    <w:p w:rsidR="007E5A13" w:rsidRDefault="007E5A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953915"/>
      <w:docPartObj>
        <w:docPartGallery w:val="Page Numbers (Bottom of Page)"/>
        <w:docPartUnique/>
      </w:docPartObj>
    </w:sdtPr>
    <w:sdtEndPr>
      <w:rPr>
        <w:rFonts w:ascii="Times New Roman" w:hAnsi="Times New Roman" w:cs="Times New Roman"/>
        <w:noProof/>
      </w:rPr>
    </w:sdtEndPr>
    <w:sdtContent>
      <w:p w:rsidR="007E5A13" w:rsidRPr="007B3365" w:rsidRDefault="007E5A13">
        <w:pPr>
          <w:pStyle w:val="Footer"/>
          <w:jc w:val="center"/>
          <w:rPr>
            <w:rFonts w:ascii="Times New Roman" w:hAnsi="Times New Roman" w:cs="Times New Roman"/>
          </w:rPr>
        </w:pPr>
        <w:r w:rsidRPr="007B3365">
          <w:rPr>
            <w:rFonts w:ascii="Times New Roman" w:hAnsi="Times New Roman" w:cs="Times New Roman"/>
          </w:rPr>
          <w:fldChar w:fldCharType="begin"/>
        </w:r>
        <w:r w:rsidRPr="007B3365">
          <w:rPr>
            <w:rFonts w:ascii="Times New Roman" w:hAnsi="Times New Roman" w:cs="Times New Roman"/>
          </w:rPr>
          <w:instrText xml:space="preserve"> PAGE   \* MERGEFORMAT </w:instrText>
        </w:r>
        <w:r w:rsidRPr="007B3365">
          <w:rPr>
            <w:rFonts w:ascii="Times New Roman" w:hAnsi="Times New Roman" w:cs="Times New Roman"/>
          </w:rPr>
          <w:fldChar w:fldCharType="separate"/>
        </w:r>
        <w:r w:rsidR="009555E8">
          <w:rPr>
            <w:rFonts w:ascii="Times New Roman" w:hAnsi="Times New Roman" w:cs="Times New Roman"/>
            <w:noProof/>
          </w:rPr>
          <w:t>6</w:t>
        </w:r>
        <w:r w:rsidRPr="007B3365">
          <w:rPr>
            <w:rFonts w:ascii="Times New Roman" w:hAnsi="Times New Roman" w:cs="Times New Roman"/>
            <w:noProof/>
          </w:rPr>
          <w:fldChar w:fldCharType="end"/>
        </w:r>
      </w:p>
    </w:sdtContent>
  </w:sdt>
  <w:p w:rsidR="007E5A13" w:rsidRDefault="007E5A13">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A13" w:rsidRDefault="007E5A13" w:rsidP="005B7CBB">
      <w:pPr>
        <w:spacing w:after="0" w:line="240" w:lineRule="auto"/>
      </w:pPr>
      <w:r>
        <w:separator/>
      </w:r>
    </w:p>
  </w:footnote>
  <w:footnote w:type="continuationSeparator" w:id="0">
    <w:p w:rsidR="007E5A13" w:rsidRDefault="007E5A13" w:rsidP="005B7CBB">
      <w:pPr>
        <w:spacing w:after="0" w:line="240" w:lineRule="auto"/>
      </w:pPr>
      <w:r>
        <w:continuationSeparator/>
      </w:r>
    </w:p>
  </w:footnote>
  <w:footnote w:type="continuationNotice" w:id="1">
    <w:p w:rsidR="007E5A13" w:rsidRDefault="007E5A13">
      <w:pPr>
        <w:spacing w:after="0" w:line="240" w:lineRule="auto"/>
      </w:pPr>
    </w:p>
  </w:footnote>
  <w:footnote w:id="2">
    <w:p w:rsidR="00D3727E" w:rsidRPr="00F84D0D" w:rsidRDefault="00D3727E" w:rsidP="00A444F7">
      <w:pPr>
        <w:pStyle w:val="FootnoteText"/>
      </w:pPr>
      <w:r w:rsidRPr="00F84D0D">
        <w:rPr>
          <w:rStyle w:val="FootnoteReference"/>
        </w:rPr>
        <w:footnoteRef/>
      </w:r>
      <w:r w:rsidRPr="00F84D0D">
        <w:t xml:space="preserve"> </w:t>
      </w:r>
      <w:r w:rsidRPr="00F84D0D">
        <w:tab/>
      </w:r>
      <w:proofErr w:type="gramStart"/>
      <w:r w:rsidRPr="00F84D0D">
        <w:t>17 CFR 240.10b-10(a).</w:t>
      </w:r>
      <w:proofErr w:type="gramEnd"/>
    </w:p>
  </w:footnote>
  <w:footnote w:id="3">
    <w:p w:rsidR="00D3727E" w:rsidRPr="00F84D0D" w:rsidRDefault="00D3727E" w:rsidP="00A444F7">
      <w:pPr>
        <w:pStyle w:val="FootnoteText"/>
      </w:pPr>
      <w:r w:rsidRPr="00F84D0D">
        <w:rPr>
          <w:rStyle w:val="FootnoteReference"/>
        </w:rPr>
        <w:footnoteRef/>
      </w:r>
      <w:r w:rsidRPr="00F84D0D">
        <w:t xml:space="preserve"> </w:t>
      </w:r>
      <w:r w:rsidRPr="00F84D0D">
        <w:tab/>
      </w:r>
      <w:proofErr w:type="gramStart"/>
      <w:r w:rsidRPr="00F84D0D">
        <w:t>17 CFR 240.10b-10(b).</w:t>
      </w:r>
      <w:proofErr w:type="gramEnd"/>
    </w:p>
  </w:footnote>
  <w:footnote w:id="4">
    <w:p w:rsidR="00D3727E" w:rsidRDefault="00D3727E" w:rsidP="00A444F7">
      <w:pPr>
        <w:pStyle w:val="NoSpacing"/>
        <w:spacing w:after="120"/>
        <w:rPr>
          <w:rFonts w:ascii="Times New Roman" w:hAnsi="Times New Roman" w:cs="Times New Roman"/>
          <w:sz w:val="20"/>
          <w:szCs w:val="20"/>
        </w:rPr>
      </w:pPr>
      <w:r w:rsidRPr="00F84D0D">
        <w:rPr>
          <w:rStyle w:val="FootnoteReference"/>
          <w:rFonts w:ascii="Times New Roman" w:hAnsi="Times New Roman" w:cs="Times New Roman"/>
          <w:sz w:val="20"/>
          <w:szCs w:val="20"/>
        </w:rPr>
        <w:footnoteRef/>
      </w:r>
      <w:r w:rsidRPr="00F84D0D">
        <w:rPr>
          <w:rFonts w:ascii="Times New Roman" w:hAnsi="Times New Roman" w:cs="Times New Roman"/>
          <w:sz w:val="20"/>
          <w:szCs w:val="20"/>
        </w:rPr>
        <w:t xml:space="preserve"> </w:t>
      </w:r>
      <w:r w:rsidRPr="00F84D0D">
        <w:rPr>
          <w:rFonts w:ascii="Times New Roman" w:hAnsi="Times New Roman" w:cs="Times New Roman"/>
          <w:sz w:val="20"/>
          <w:szCs w:val="20"/>
        </w:rPr>
        <w:tab/>
        <w:t>With respect to such money market funds, Exchange Act Rule 10b-10(b)(2) requires a broker-dealer to give or send to a customer within five business days after the end of each monthly period</w:t>
      </w:r>
      <w:r>
        <w:rPr>
          <w:rFonts w:ascii="Times New Roman" w:hAnsi="Times New Roman" w:cs="Times New Roman"/>
          <w:sz w:val="20"/>
          <w:szCs w:val="20"/>
        </w:rPr>
        <w:t>:</w:t>
      </w:r>
      <w:r w:rsidRPr="00F84D0D">
        <w:rPr>
          <w:rFonts w:ascii="Times New Roman" w:hAnsi="Times New Roman" w:cs="Times New Roman"/>
          <w:sz w:val="20"/>
          <w:szCs w:val="20"/>
        </w:rPr>
        <w:t xml:space="preserve"> </w:t>
      </w:r>
    </w:p>
    <w:p w:rsidR="00D3727E" w:rsidRDefault="00D3727E" w:rsidP="00A444F7">
      <w:pPr>
        <w:pStyle w:val="NoSpacing"/>
        <w:spacing w:after="120"/>
        <w:ind w:left="720" w:right="720"/>
        <w:rPr>
          <w:rFonts w:ascii="Times New Roman" w:hAnsi="Times New Roman" w:cs="Times New Roman"/>
          <w:sz w:val="20"/>
          <w:szCs w:val="20"/>
        </w:rPr>
      </w:pPr>
      <w:r w:rsidRPr="00F84D0D">
        <w:rPr>
          <w:rFonts w:ascii="Times New Roman" w:hAnsi="Times New Roman" w:cs="Times New Roman"/>
          <w:sz w:val="20"/>
          <w:szCs w:val="20"/>
        </w:rPr>
        <w:t>a written statement disclosing, each purchase or redemption, effected for or with, and each dividend or distribution credited to or reinvested for, the account of such customer during the month; the date of such transaction; the identity, number, and price of any securities purchased or redeemed by such customer in each such transaction; the total number of shares of such securities in such customer</w:t>
      </w:r>
      <w:r>
        <w:rPr>
          <w:rFonts w:ascii="Times New Roman" w:hAnsi="Times New Roman" w:cs="Times New Roman"/>
          <w:sz w:val="20"/>
          <w:szCs w:val="20"/>
        </w:rPr>
        <w:t>’</w:t>
      </w:r>
      <w:r w:rsidRPr="00F84D0D">
        <w:rPr>
          <w:rFonts w:ascii="Times New Roman" w:hAnsi="Times New Roman" w:cs="Times New Roman"/>
          <w:sz w:val="20"/>
          <w:szCs w:val="20"/>
        </w:rPr>
        <w:t xml:space="preserve">s account; any remuneration received or to be received by the broker or dealer in connection therewith; and that any other information required by </w:t>
      </w:r>
      <w:r>
        <w:rPr>
          <w:rFonts w:ascii="Times New Roman" w:hAnsi="Times New Roman" w:cs="Times New Roman"/>
          <w:sz w:val="20"/>
          <w:szCs w:val="20"/>
        </w:rPr>
        <w:t>[</w:t>
      </w:r>
      <w:r w:rsidRPr="00F84D0D">
        <w:rPr>
          <w:rFonts w:ascii="Times New Roman" w:hAnsi="Times New Roman" w:cs="Times New Roman"/>
          <w:sz w:val="20"/>
          <w:szCs w:val="20"/>
        </w:rPr>
        <w:t>Rule 10b-10(a)</w:t>
      </w:r>
      <w:r>
        <w:rPr>
          <w:rFonts w:ascii="Times New Roman" w:hAnsi="Times New Roman" w:cs="Times New Roman"/>
          <w:sz w:val="20"/>
          <w:szCs w:val="20"/>
        </w:rPr>
        <w:t>]</w:t>
      </w:r>
      <w:r w:rsidRPr="00F84D0D">
        <w:rPr>
          <w:rFonts w:ascii="Times New Roman" w:hAnsi="Times New Roman" w:cs="Times New Roman"/>
          <w:sz w:val="20"/>
          <w:szCs w:val="20"/>
        </w:rPr>
        <w:t xml:space="preserve"> will be furnished upon written request:  </w:t>
      </w:r>
      <w:r w:rsidRPr="00F84D0D">
        <w:rPr>
          <w:rFonts w:ascii="Times New Roman" w:hAnsi="Times New Roman" w:cs="Times New Roman"/>
          <w:i/>
          <w:sz w:val="20"/>
          <w:szCs w:val="20"/>
        </w:rPr>
        <w:t>Provided, however</w:t>
      </w:r>
      <w:r w:rsidRPr="00F84D0D">
        <w:rPr>
          <w:rFonts w:ascii="Times New Roman" w:hAnsi="Times New Roman" w:cs="Times New Roman"/>
          <w:sz w:val="20"/>
          <w:szCs w:val="20"/>
        </w:rPr>
        <w:t xml:space="preserve">, that the written statement may be delivered to some other person designated by the customer for distribution to the customer.  </w:t>
      </w:r>
    </w:p>
    <w:p w:rsidR="00D3727E" w:rsidRPr="005367FB" w:rsidRDefault="00D3727E" w:rsidP="00A444F7">
      <w:pPr>
        <w:pStyle w:val="NoSpacing"/>
        <w:spacing w:after="120"/>
        <w:rPr>
          <w:rFonts w:ascii="Times New Roman" w:hAnsi="Times New Roman" w:cs="Times New Roman"/>
          <w:sz w:val="20"/>
          <w:szCs w:val="20"/>
        </w:rPr>
      </w:pPr>
      <w:r w:rsidRPr="00F84D0D">
        <w:rPr>
          <w:rFonts w:ascii="Times New Roman" w:hAnsi="Times New Roman" w:cs="Times New Roman"/>
          <w:sz w:val="20"/>
          <w:szCs w:val="20"/>
        </w:rPr>
        <w:t>17 CFR 240.10b-10(b</w:t>
      </w:r>
      <w:proofErr w:type="gramStart"/>
      <w:r w:rsidRPr="00F84D0D">
        <w:rPr>
          <w:rFonts w:ascii="Times New Roman" w:hAnsi="Times New Roman" w:cs="Times New Roman"/>
          <w:sz w:val="20"/>
          <w:szCs w:val="20"/>
        </w:rPr>
        <w:t>)(</w:t>
      </w:r>
      <w:proofErr w:type="gramEnd"/>
      <w:r w:rsidRPr="00F84D0D">
        <w:rPr>
          <w:rFonts w:ascii="Times New Roman" w:hAnsi="Times New Roman" w:cs="Times New Roman"/>
          <w:sz w:val="20"/>
          <w:szCs w:val="20"/>
        </w:rPr>
        <w:t>2).</w:t>
      </w:r>
      <w:r>
        <w:rPr>
          <w:rFonts w:ascii="Times New Roman" w:hAnsi="Times New Roman" w:cs="Times New Roman"/>
          <w:sz w:val="20"/>
          <w:szCs w:val="20"/>
        </w:rPr>
        <w:t xml:space="preserve">  </w:t>
      </w:r>
      <w:r w:rsidRPr="00F84D0D">
        <w:rPr>
          <w:rFonts w:ascii="Times New Roman" w:hAnsi="Times New Roman" w:cs="Times New Roman"/>
          <w:sz w:val="20"/>
          <w:szCs w:val="20"/>
        </w:rPr>
        <w:t xml:space="preserve">Exchange Act Rule 10b-10(b)(3) requires </w:t>
      </w:r>
      <w:r>
        <w:rPr>
          <w:rFonts w:ascii="Times New Roman" w:hAnsi="Times New Roman" w:cs="Times New Roman"/>
          <w:sz w:val="20"/>
          <w:szCs w:val="20"/>
        </w:rPr>
        <w:t>the</w:t>
      </w:r>
      <w:r w:rsidRPr="00F84D0D">
        <w:rPr>
          <w:rFonts w:ascii="Times New Roman" w:hAnsi="Times New Roman" w:cs="Times New Roman"/>
          <w:sz w:val="20"/>
          <w:szCs w:val="20"/>
        </w:rPr>
        <w:t xml:space="preserve"> customer</w:t>
      </w:r>
      <w:r>
        <w:rPr>
          <w:rFonts w:ascii="Times New Roman" w:hAnsi="Times New Roman" w:cs="Times New Roman"/>
          <w:sz w:val="20"/>
          <w:szCs w:val="20"/>
        </w:rPr>
        <w:t xml:space="preserve"> to be</w:t>
      </w:r>
      <w:r w:rsidRPr="00F84D0D">
        <w:rPr>
          <w:rFonts w:ascii="Times New Roman" w:hAnsi="Times New Roman" w:cs="Times New Roman"/>
          <w:sz w:val="20"/>
          <w:szCs w:val="20"/>
        </w:rPr>
        <w:t xml:space="preserve"> provided with prior notification in writing disclosing the intention to send the written information referred to in </w:t>
      </w:r>
      <w:r w:rsidRPr="00106A1A">
        <w:rPr>
          <w:rFonts w:ascii="Times New Roman" w:hAnsi="Times New Roman" w:cs="Times New Roman"/>
          <w:sz w:val="20"/>
          <w:szCs w:val="20"/>
        </w:rPr>
        <w:t>Rule 10b-10(b)(1) in lieu of an immediate confirmation.  17 CFR 240.10b-10(b</w:t>
      </w:r>
      <w:proofErr w:type="gramStart"/>
      <w:r w:rsidRPr="00106A1A">
        <w:rPr>
          <w:rFonts w:ascii="Times New Roman" w:hAnsi="Times New Roman" w:cs="Times New Roman"/>
          <w:sz w:val="20"/>
          <w:szCs w:val="20"/>
        </w:rPr>
        <w:t>)(</w:t>
      </w:r>
      <w:proofErr w:type="gramEnd"/>
      <w:r w:rsidRPr="00106A1A">
        <w:rPr>
          <w:rFonts w:ascii="Times New Roman" w:hAnsi="Times New Roman" w:cs="Times New Roman"/>
          <w:sz w:val="20"/>
          <w:szCs w:val="20"/>
        </w:rPr>
        <w:t>3).</w:t>
      </w:r>
      <w:r>
        <w:rPr>
          <w:rFonts w:ascii="Times New Roman" w:hAnsi="Times New Roman" w:cs="Times New Roman"/>
          <w:sz w:val="20"/>
          <w:szCs w:val="20"/>
        </w:rPr>
        <w:t xml:space="preserve"> </w:t>
      </w:r>
    </w:p>
  </w:footnote>
  <w:footnote w:id="5">
    <w:p w:rsidR="00AE65ED" w:rsidRDefault="00AE65ED" w:rsidP="00125BCE">
      <w:pPr>
        <w:pStyle w:val="FOOTNOTE"/>
        <w:spacing w:after="120"/>
      </w:pPr>
      <w:r>
        <w:rPr>
          <w:rStyle w:val="FootnoteReference"/>
        </w:rPr>
        <w:footnoteRef/>
      </w:r>
      <w:r>
        <w:t xml:space="preserve"> </w:t>
      </w:r>
      <w:r>
        <w:tab/>
      </w:r>
      <w:proofErr w:type="gramStart"/>
      <w:r>
        <w:t>17 CFR 270.2a-7.</w:t>
      </w:r>
      <w:proofErr w:type="gramEnd"/>
    </w:p>
  </w:footnote>
  <w:footnote w:id="6">
    <w:p w:rsidR="00AE65ED" w:rsidRPr="00F84D0D" w:rsidRDefault="00AE65ED" w:rsidP="006000EF">
      <w:pPr>
        <w:pStyle w:val="FootnoteText"/>
        <w:ind w:left="0" w:firstLine="0"/>
      </w:pPr>
      <w:r w:rsidRPr="005F74B8">
        <w:rPr>
          <w:rStyle w:val="FootnoteReference"/>
        </w:rPr>
        <w:footnoteRef/>
      </w:r>
      <w:r w:rsidRPr="005F74B8">
        <w:t xml:space="preserve"> </w:t>
      </w:r>
      <w:r w:rsidRPr="005F74B8">
        <w:tab/>
        <w:t>“Institutional prime money market funds” are money market funds operating in accordance with Investment Company Act Rule 2a-7(c)(1)(ii)</w:t>
      </w:r>
      <w:r>
        <w:t xml:space="preserve">, which include funds that are often referred to as (i) “tax exempt” or (ii) “municipal” funds that do not qualify as a “retail money market fund” as defined in Rule 2a-7(a)(25).  </w:t>
      </w:r>
    </w:p>
  </w:footnote>
  <w:footnote w:id="7">
    <w:p w:rsidR="00D3727E" w:rsidRDefault="00D3727E" w:rsidP="00A444F7">
      <w:pPr>
        <w:pStyle w:val="FOOTNOTE"/>
        <w:spacing w:after="120"/>
      </w:pPr>
      <w:r>
        <w:rPr>
          <w:rStyle w:val="FootnoteReference"/>
        </w:rPr>
        <w:footnoteRef/>
      </w:r>
      <w:r>
        <w:t xml:space="preserve"> </w:t>
      </w:r>
      <w:r>
        <w:tab/>
      </w:r>
      <w:proofErr w:type="gramStart"/>
      <w:r>
        <w:t>17 CFR 270.2a-7.</w:t>
      </w:r>
      <w:proofErr w:type="gramEnd"/>
    </w:p>
  </w:footnote>
  <w:footnote w:id="8">
    <w:p w:rsidR="00D3727E" w:rsidRPr="00F43D08" w:rsidRDefault="00D3727E" w:rsidP="00A444F7">
      <w:pPr>
        <w:pStyle w:val="FootnoteText"/>
        <w:ind w:left="0" w:firstLine="0"/>
        <w:rPr>
          <w:i/>
        </w:rPr>
      </w:pPr>
      <w:r w:rsidRPr="00F43D08">
        <w:rPr>
          <w:rStyle w:val="FootnoteReference"/>
        </w:rPr>
        <w:footnoteRef/>
      </w:r>
      <w:r w:rsidRPr="00F43D08">
        <w:t xml:space="preserve"> </w:t>
      </w:r>
      <w:r w:rsidRPr="00F43D08">
        <w:tab/>
      </w:r>
      <w:r w:rsidRPr="00F43D08">
        <w:rPr>
          <w:i/>
        </w:rPr>
        <w:t xml:space="preserve">See generally </w:t>
      </w:r>
      <w:r w:rsidRPr="00F43D08">
        <w:t>Money Market Fund Reform; Amendments to Form PF, Securities Act Release No. 9408, Investment Advisers Act Release No. 3616, Investment Company Act Release No. 30551 (June 5, 2013),</w:t>
      </w:r>
      <w:r w:rsidRPr="00F43D08">
        <w:rPr>
          <w:i/>
        </w:rPr>
        <w:t xml:space="preserve"> </w:t>
      </w:r>
      <w:r w:rsidRPr="00F43D08">
        <w:t xml:space="preserve">78 </w:t>
      </w:r>
      <w:r>
        <w:t>FR</w:t>
      </w:r>
      <w:r w:rsidRPr="00F43D08">
        <w:t xml:space="preserve"> 36834, 36934 (June 19, 2013); </w:t>
      </w:r>
      <w:r w:rsidRPr="00F43D08">
        <w:rPr>
          <w:i/>
        </w:rPr>
        <w:t xml:space="preserve">see also </w:t>
      </w:r>
      <w:r w:rsidRPr="00F43D08">
        <w:t>Exchange Act Rule 10b-10(b</w:t>
      </w:r>
      <w:proofErr w:type="gramStart"/>
      <w:r w:rsidRPr="00F43D08">
        <w:t>)(</w:t>
      </w:r>
      <w:proofErr w:type="gramEnd"/>
      <w:r w:rsidRPr="00F43D08">
        <w:t>1),</w:t>
      </w:r>
      <w:r w:rsidRPr="00F43D08">
        <w:rPr>
          <w:i/>
        </w:rPr>
        <w:t xml:space="preserve"> </w:t>
      </w:r>
      <w:r w:rsidRPr="00F43D08">
        <w:t>17 CFR</w:t>
      </w:r>
      <w:r>
        <w:t xml:space="preserve"> </w:t>
      </w:r>
      <w:r w:rsidRPr="00F43D08">
        <w:t xml:space="preserve">240.10b-10(b)(1) (limiting alternative monthly reporting to money market funds that attempt to maintain a </w:t>
      </w:r>
      <w:r w:rsidRPr="009C1B33">
        <w:t xml:space="preserve">stable </w:t>
      </w:r>
      <w:r>
        <w:t>NAV</w:t>
      </w:r>
      <w:r w:rsidRPr="00F43D08">
        <w:t>).</w:t>
      </w:r>
      <w:r w:rsidRPr="00F43D08">
        <w:rPr>
          <w:i/>
        </w:rPr>
        <w:t xml:space="preserve"> </w:t>
      </w:r>
    </w:p>
    <w:p w:rsidR="00D3727E" w:rsidRPr="00F43D08" w:rsidRDefault="00D3727E" w:rsidP="00A444F7">
      <w:pPr>
        <w:pStyle w:val="FootnoteText"/>
        <w:ind w:left="0" w:firstLine="720"/>
      </w:pPr>
      <w:r w:rsidRPr="00F43D08">
        <w:t>As adopted, government and retail money market funds are exempt from the Investment Company Act Rule 2a-7</w:t>
      </w:r>
      <w:r>
        <w:t>(c</w:t>
      </w:r>
      <w:proofErr w:type="gramStart"/>
      <w:r>
        <w:t>)(</w:t>
      </w:r>
      <w:proofErr w:type="gramEnd"/>
      <w:r>
        <w:t>1)(ii)</w:t>
      </w:r>
      <w:r w:rsidRPr="00F43D08">
        <w:t xml:space="preserve"> floating NAV requirement, and therefore, will continue to maintain a stable NAV</w:t>
      </w:r>
      <w:r>
        <w:t xml:space="preserve">.  </w:t>
      </w:r>
      <w:r>
        <w:rPr>
          <w:i/>
        </w:rPr>
        <w:t>See</w:t>
      </w:r>
      <w:r>
        <w:t xml:space="preserve"> </w:t>
      </w:r>
      <w:r w:rsidR="00AE483D" w:rsidRPr="00F84D0D">
        <w:t>Money Market Fund Reform; Amendments to Form PF, Securities Act Release No. 9616, Investment Advisers Act Release No. 3879, Investment Company Act Release No. 31166 (July 23, 2014)</w:t>
      </w:r>
      <w:r w:rsidR="00AE483D">
        <w:t xml:space="preserve">, 79 FR 47736, </w:t>
      </w:r>
      <w:r w:rsidR="00AE483D" w:rsidRPr="00F84D0D">
        <w:t xml:space="preserve">at </w:t>
      </w:r>
      <w:r w:rsidR="00AE483D">
        <w:t>sections III.C.1 and III.C.2 (Aug. 14, 2014)</w:t>
      </w:r>
      <w:r w:rsidR="00AE483D" w:rsidRPr="00F84D0D">
        <w:t xml:space="preserve"> </w:t>
      </w:r>
      <w:r w:rsidR="00AE483D">
        <w:t>(“Money Market Fund Reform Adopting Release”)</w:t>
      </w:r>
      <w:r w:rsidRPr="00F43D08">
        <w:t xml:space="preserve">.  Accordingly, for investor transactions in </w:t>
      </w:r>
      <w:r>
        <w:t>the</w:t>
      </w:r>
      <w:r w:rsidRPr="00F43D08">
        <w:t xml:space="preserve"> exempt funds, broker-dealers would continue </w:t>
      </w:r>
      <w:r>
        <w:t>to qualify for</w:t>
      </w:r>
      <w:r w:rsidRPr="00F43D08">
        <w:t xml:space="preserve"> the exception under Rule 10b-10 and be permitted to send monthly transaction reports</w:t>
      </w:r>
      <w:r>
        <w:t>.</w:t>
      </w:r>
    </w:p>
  </w:footnote>
  <w:footnote w:id="9">
    <w:p w:rsidR="00542DF2" w:rsidRPr="00F43D08" w:rsidRDefault="00542DF2" w:rsidP="00542DF2">
      <w:pPr>
        <w:pStyle w:val="FootnoteText"/>
        <w:ind w:left="0" w:firstLine="0"/>
      </w:pPr>
      <w:r w:rsidRPr="00F43D08">
        <w:rPr>
          <w:rStyle w:val="FootnoteReference"/>
        </w:rPr>
        <w:footnoteRef/>
      </w:r>
      <w:r w:rsidRPr="00F43D08">
        <w:t xml:space="preserve"> </w:t>
      </w:r>
      <w:r w:rsidRPr="00F43D08">
        <w:tab/>
      </w:r>
      <w:r w:rsidRPr="00F43D08">
        <w:rPr>
          <w:i/>
        </w:rPr>
        <w:t xml:space="preserve">See </w:t>
      </w:r>
      <w:r w:rsidRPr="00F84D0D">
        <w:t xml:space="preserve">Order Granting </w:t>
      </w:r>
      <w:r w:rsidR="009555E8">
        <w:t>a Conditional Exemption</w:t>
      </w:r>
      <w:r w:rsidRPr="00F84D0D">
        <w:t xml:space="preserve"> Under the S</w:t>
      </w:r>
      <w:r w:rsidR="009555E8">
        <w:t>ecurities Exchange Act of 1934 From t</w:t>
      </w:r>
      <w:r w:rsidRPr="00F84D0D">
        <w:t>he Confirmation Requirements of Exchange Act Rule 10b-10</w:t>
      </w:r>
      <w:r w:rsidR="009555E8">
        <w:t>(a)</w:t>
      </w:r>
      <w:r w:rsidRPr="00F84D0D">
        <w:t xml:space="preserve"> for Certain </w:t>
      </w:r>
      <w:r w:rsidR="009555E8">
        <w:t xml:space="preserve">Transactions in </w:t>
      </w:r>
      <w:r w:rsidRPr="00F84D0D">
        <w:t>Money Market Funds, Exchange Act Release No.</w:t>
      </w:r>
      <w:r w:rsidR="009555E8">
        <w:t xml:space="preserve"> 34-76480 (Nov. 19, 2015)</w:t>
      </w:r>
      <w:r>
        <w:t xml:space="preserve">, 80 Fed. Reg. </w:t>
      </w:r>
      <w:r w:rsidR="009555E8">
        <w:t>73849</w:t>
      </w:r>
      <w:r>
        <w:t xml:space="preserve"> (Nov. </w:t>
      </w:r>
      <w:r w:rsidR="009555E8">
        <w:t>25, 2015).</w:t>
      </w:r>
    </w:p>
  </w:footnote>
  <w:footnote w:id="10">
    <w:p w:rsidR="00CB29E1" w:rsidRDefault="00CB29E1" w:rsidP="00CB29E1">
      <w:pPr>
        <w:pStyle w:val="FootnoteText"/>
        <w:ind w:left="0" w:firstLine="0"/>
      </w:pPr>
      <w:r>
        <w:rPr>
          <w:rStyle w:val="FootnoteReference"/>
        </w:rPr>
        <w:footnoteRef/>
      </w:r>
      <w:r>
        <w:t xml:space="preserve"> </w:t>
      </w:r>
      <w:r>
        <w:tab/>
        <w:t xml:space="preserve">The Commission previously </w:t>
      </w:r>
      <w:r w:rsidRPr="00CB29E1">
        <w:t xml:space="preserve">published a notice requesting comment on </w:t>
      </w:r>
      <w:r>
        <w:t>the</w:t>
      </w:r>
      <w:r w:rsidRPr="00CB29E1">
        <w:t xml:space="preserve"> proposal to grant a conditional exemption to broker-dealers, subject to certain conditions, from the immediate confirmation requirements of</w:t>
      </w:r>
      <w:r>
        <w:t xml:space="preserve"> Exchange Act</w:t>
      </w:r>
      <w:r w:rsidRPr="00CB29E1">
        <w:t xml:space="preserve"> Rule 10b-10 for transactions effected in shares of institutional prime money market funds.</w:t>
      </w:r>
      <w:r>
        <w:t xml:space="preserve">  </w:t>
      </w:r>
      <w:r w:rsidRPr="005F74B8">
        <w:rPr>
          <w:i/>
        </w:rPr>
        <w:t xml:space="preserve">See </w:t>
      </w:r>
      <w:r w:rsidRPr="00F84D0D">
        <w:t xml:space="preserve">Notice of Proposed </w:t>
      </w:r>
      <w:proofErr w:type="spellStart"/>
      <w:r w:rsidRPr="00F84D0D">
        <w:t>Exemptive</w:t>
      </w:r>
      <w:proofErr w:type="spellEnd"/>
      <w:r w:rsidRPr="00F84D0D">
        <w:t xml:space="preserve"> Order Granting Permanent Exemptions Under the Securities Exchange Act of 1934 from the Confirmation Requirements of Exchange Act Rule 10b-10 for Certain Money Market Funds, Exchange Act Release No. 72658 (July 23, 2014)</w:t>
      </w:r>
      <w:r>
        <w:t>, 79 FR 44076 (July 29, 2014)</w:t>
      </w:r>
      <w:r w:rsidRPr="00F84D0D">
        <w:t>.</w:t>
      </w:r>
    </w:p>
  </w:footnote>
  <w:footnote w:id="11">
    <w:p w:rsidR="008056C9" w:rsidRDefault="008056C9">
      <w:pPr>
        <w:pStyle w:val="FootnoteText"/>
      </w:pPr>
      <w:r>
        <w:rPr>
          <w:rStyle w:val="FootnoteReference"/>
        </w:rPr>
        <w:footnoteRef/>
      </w:r>
      <w:r>
        <w:t xml:space="preserve"> </w:t>
      </w:r>
      <w:r>
        <w:tab/>
      </w:r>
      <w:proofErr w:type="gramStart"/>
      <w:r>
        <w:t>17 CFR 240.17a-5(d).</w:t>
      </w:r>
      <w:proofErr w:type="gramEnd"/>
    </w:p>
  </w:footnote>
  <w:footnote w:id="12">
    <w:p w:rsidR="008056C9" w:rsidRDefault="008056C9">
      <w:pPr>
        <w:pStyle w:val="FootnoteText"/>
      </w:pPr>
      <w:r>
        <w:rPr>
          <w:rStyle w:val="FootnoteReference"/>
        </w:rPr>
        <w:footnoteRef/>
      </w:r>
      <w:r>
        <w:t xml:space="preserve"> </w:t>
      </w:r>
      <w:r>
        <w:tab/>
      </w:r>
      <w:proofErr w:type="gramStart"/>
      <w:r w:rsidRPr="008056C9">
        <w:t>17 CFR 240.0-10(c).</w:t>
      </w:r>
      <w:proofErr w:type="gramEnd"/>
    </w:p>
  </w:footnote>
  <w:footnote w:id="13">
    <w:p w:rsidR="00D441A3" w:rsidRPr="00D441A3" w:rsidRDefault="00D441A3" w:rsidP="001D2164">
      <w:pPr>
        <w:pStyle w:val="FootnoteText"/>
        <w:ind w:left="0" w:firstLine="0"/>
      </w:pPr>
      <w:r>
        <w:rPr>
          <w:rStyle w:val="FootnoteReference"/>
        </w:rPr>
        <w:footnoteRef/>
      </w:r>
      <w:r>
        <w:t xml:space="preserve"> </w:t>
      </w:r>
      <w:r>
        <w:tab/>
      </w:r>
      <w:r>
        <w:rPr>
          <w:i/>
        </w:rPr>
        <w:t>See</w:t>
      </w:r>
      <w:r>
        <w:t xml:space="preserve"> Broker-Dealer Reports, Exchange Act Release No. 70073 (July 30, 2013), </w:t>
      </w:r>
      <w:r w:rsidR="001D2164">
        <w:t>78 FR 51910, 51987 (Aug. 21, 2013)</w:t>
      </w:r>
      <w:r>
        <w:t>.</w:t>
      </w:r>
    </w:p>
  </w:footnote>
  <w:footnote w:id="14">
    <w:p w:rsidR="00194428" w:rsidRDefault="00194428" w:rsidP="00A444F7">
      <w:pPr>
        <w:pStyle w:val="FOOTNOTE"/>
        <w:spacing w:after="120"/>
      </w:pPr>
      <w:r>
        <w:rPr>
          <w:rStyle w:val="FootnoteReference"/>
        </w:rPr>
        <w:footnoteRef/>
      </w:r>
      <w:r>
        <w:t xml:space="preserve"> </w:t>
      </w:r>
      <w:r>
        <w:tab/>
      </w:r>
      <w:proofErr w:type="gramStart"/>
      <w:r>
        <w:t>Money Market Fund Reform Adopting Release, 79 FR at 47785 &amp; n.563.</w:t>
      </w:r>
      <w:proofErr w:type="gramEnd"/>
      <w:r>
        <w:t xml:space="preserve">  </w:t>
      </w:r>
    </w:p>
  </w:footnote>
  <w:footnote w:id="15">
    <w:p w:rsidR="00194428" w:rsidRPr="00234FF1" w:rsidRDefault="00194428" w:rsidP="00A444F7">
      <w:pPr>
        <w:pStyle w:val="FOOTNOTE"/>
        <w:spacing w:after="120"/>
      </w:pPr>
      <w:r>
        <w:rPr>
          <w:rStyle w:val="FootnoteReference"/>
        </w:rPr>
        <w:footnoteRef/>
      </w:r>
      <w:r>
        <w:t xml:space="preserve"> </w:t>
      </w:r>
      <w:r>
        <w:tab/>
      </w:r>
      <w:r>
        <w:rPr>
          <w:i/>
        </w:rPr>
        <w:t>Id.</w:t>
      </w:r>
    </w:p>
  </w:footnote>
  <w:footnote w:id="16">
    <w:p w:rsidR="00194428" w:rsidRPr="001245BC" w:rsidRDefault="00194428" w:rsidP="00A444F7">
      <w:pPr>
        <w:pStyle w:val="FOOTNOTE"/>
        <w:spacing w:after="120"/>
      </w:pPr>
      <w:r>
        <w:rPr>
          <w:rStyle w:val="FootnoteReference"/>
        </w:rPr>
        <w:footnoteRef/>
      </w:r>
      <w:r>
        <w:t xml:space="preserve"> </w:t>
      </w:r>
      <w:r>
        <w:tab/>
        <w:t xml:space="preserve">In the Money Market Fund Reform Adopting Release, the Commission estimated that the initial one-time burden to implement, modify, or reprogram existing systems to generate immediate confirmations (rather than monthly statements) would be 355 burden hours for each of the 320 broker-dealers that clear customer transactions or carry customer funds and securities.  </w:t>
      </w:r>
      <w:proofErr w:type="gramStart"/>
      <w:r w:rsidRPr="00E86BCB">
        <w:rPr>
          <w:i/>
        </w:rPr>
        <w:t>Id.</w:t>
      </w:r>
      <w:r>
        <w:t xml:space="preserve"> at 47785 &amp; n.562.</w:t>
      </w:r>
      <w:proofErr w:type="gramEnd"/>
      <w:r>
        <w:t xml:space="preserve">  Given the non-repeat nature of the notification requirement and substantial savings in resources noted by commenters, the Commission estimates that the burdens to develop system changes to provide the notices to all applicable customers would be no more than 10% of the prior 355 burden hours estimate associated with requiring immediate confirmations.  </w:t>
      </w:r>
    </w:p>
  </w:footnote>
  <w:footnote w:id="17">
    <w:p w:rsidR="00194428" w:rsidRDefault="00194428" w:rsidP="00A444F7">
      <w:pPr>
        <w:pStyle w:val="FOOTNOTE"/>
        <w:spacing w:after="120"/>
      </w:pPr>
      <w:r>
        <w:rPr>
          <w:rStyle w:val="FootnoteReference"/>
        </w:rPr>
        <w:footnoteRef/>
      </w:r>
      <w:r>
        <w:t xml:space="preserve"> </w:t>
      </w:r>
      <w:r>
        <w:tab/>
        <w:t>This estimate is based on the following:  36 hours x 320 firms = 11,520 hours.</w:t>
      </w:r>
    </w:p>
  </w:footnote>
  <w:footnote w:id="18">
    <w:p w:rsidR="00194428" w:rsidRPr="009E413B" w:rsidRDefault="00194428" w:rsidP="00A444F7">
      <w:pPr>
        <w:pStyle w:val="FOOTNOTE"/>
        <w:spacing w:after="120"/>
      </w:pPr>
      <w:r>
        <w:rPr>
          <w:rStyle w:val="FootnoteReference"/>
        </w:rPr>
        <w:footnoteRef/>
      </w:r>
      <w:r>
        <w:t xml:space="preserve"> </w:t>
      </w:r>
      <w:r>
        <w:tab/>
      </w:r>
      <w:r>
        <w:rPr>
          <w:i/>
        </w:rPr>
        <w:t>See</w:t>
      </w:r>
      <w:r>
        <w:t xml:space="preserve">, </w:t>
      </w:r>
      <w:r>
        <w:rPr>
          <w:i/>
        </w:rPr>
        <w:t>e.g.</w:t>
      </w:r>
      <w:r>
        <w:t xml:space="preserve">, </w:t>
      </w:r>
      <w:r w:rsidR="00A444F7" w:rsidRPr="00F84D0D">
        <w:t>Letters to Kevin M. O’Neill, Deputy Secretary, Commission, from Dorothy Donohue, Acting General Counsel, Investment Company Institute (Aug</w:t>
      </w:r>
      <w:r w:rsidR="00A444F7">
        <w:t>.</w:t>
      </w:r>
      <w:r w:rsidR="00A444F7" w:rsidRPr="00F84D0D">
        <w:t xml:space="preserve"> 15, 2014</w:t>
      </w:r>
      <w:r w:rsidR="00A444F7">
        <w:t>),</w:t>
      </w:r>
      <w:r w:rsidR="00A444F7" w:rsidRPr="00A444F7">
        <w:t xml:space="preserve"> </w:t>
      </w:r>
      <w:r w:rsidR="00A444F7">
        <w:t xml:space="preserve">at 2, </w:t>
      </w:r>
      <w:hyperlink r:id="rId1" w:history="1">
        <w:r w:rsidR="00A444F7" w:rsidRPr="004036B3">
          <w:rPr>
            <w:rStyle w:val="Hyperlink"/>
          </w:rPr>
          <w:t>http://www.sec.gov/comments/s7-08-14/s70814-1.pdf</w:t>
        </w:r>
      </w:hyperlink>
      <w:r w:rsidR="00A444F7">
        <w:rPr>
          <w:rStyle w:val="Hyperlink"/>
        </w:rPr>
        <w:t>.</w:t>
      </w:r>
    </w:p>
  </w:footnote>
  <w:footnote w:id="19">
    <w:p w:rsidR="00194428" w:rsidRPr="009B4D91" w:rsidRDefault="00194428" w:rsidP="00A444F7">
      <w:pPr>
        <w:pStyle w:val="FOOTNOTE"/>
        <w:spacing w:after="120"/>
      </w:pPr>
      <w:r>
        <w:rPr>
          <w:rStyle w:val="FootnoteReference"/>
        </w:rPr>
        <w:footnoteRef/>
      </w:r>
      <w:r>
        <w:t xml:space="preserve"> </w:t>
      </w:r>
      <w:r>
        <w:tab/>
      </w:r>
      <w:r w:rsidR="00DB1259">
        <w:t>O</w:t>
      </w:r>
      <w:r>
        <w:t xml:space="preserve">ther than the notification condition set forth in this Order, the Commission has previously estimated the additional burdens associated with providing immediate confirmations and/or monthly statements under Rule 10b-10.  </w:t>
      </w:r>
      <w:r>
        <w:rPr>
          <w:i/>
        </w:rPr>
        <w:t>See</w:t>
      </w:r>
      <w:r>
        <w:t xml:space="preserve"> Submission for OMB Review; Comment Request, 78 FR 39023 (June 28, 2013).</w:t>
      </w:r>
    </w:p>
  </w:footnote>
  <w:footnote w:id="20">
    <w:p w:rsidR="00194428" w:rsidRDefault="00194428" w:rsidP="00A444F7">
      <w:pPr>
        <w:pStyle w:val="FOOTNOTE"/>
        <w:spacing w:after="120"/>
      </w:pPr>
      <w:r>
        <w:rPr>
          <w:rStyle w:val="FootnoteReference"/>
        </w:rPr>
        <w:footnoteRef/>
      </w:r>
      <w:r>
        <w:t xml:space="preserve"> </w:t>
      </w:r>
      <w:r>
        <w:tab/>
        <w:t>This estimate is based on the following:  11,520 hours x 5% = 576 hours.</w:t>
      </w:r>
    </w:p>
  </w:footnote>
  <w:footnote w:id="21">
    <w:p w:rsidR="007E5A13" w:rsidRPr="00F60058" w:rsidRDefault="007E5A13" w:rsidP="00A444F7">
      <w:pPr>
        <w:widowControl/>
        <w:spacing w:after="120" w:line="240" w:lineRule="auto"/>
        <w:ind w:left="720" w:right="-20" w:hanging="720"/>
        <w:rPr>
          <w:rFonts w:ascii="Times New Roman" w:hAnsi="Times New Roman" w:cs="Times New Roman"/>
          <w:sz w:val="20"/>
          <w:szCs w:val="20"/>
        </w:rPr>
      </w:pPr>
      <w:r w:rsidRPr="00F60058">
        <w:rPr>
          <w:rStyle w:val="FootnoteReference"/>
          <w:rFonts w:ascii="Times New Roman" w:hAnsi="Times New Roman" w:cs="Times New Roman"/>
          <w:sz w:val="20"/>
          <w:szCs w:val="20"/>
        </w:rPr>
        <w:footnoteRef/>
      </w:r>
      <w:r w:rsidRPr="00F60058">
        <w:rPr>
          <w:rFonts w:ascii="Times New Roman" w:hAnsi="Times New Roman" w:cs="Times New Roman"/>
          <w:sz w:val="20"/>
          <w:szCs w:val="20"/>
        </w:rPr>
        <w:t xml:space="preserve"> </w:t>
      </w:r>
      <w:r w:rsidRPr="00F60058">
        <w:rPr>
          <w:rFonts w:ascii="Times New Roman" w:hAnsi="Times New Roman" w:cs="Times New Roman"/>
          <w:sz w:val="20"/>
          <w:szCs w:val="20"/>
        </w:rPr>
        <w:tab/>
      </w:r>
      <w:r w:rsidRPr="00D65E3C">
        <w:rPr>
          <w:rFonts w:ascii="Times New Roman" w:hAnsi="Times New Roman" w:cs="Times New Roman"/>
          <w:sz w:val="20"/>
          <w:szCs w:val="20"/>
        </w:rPr>
        <w:t>This estimate is based on the following:  [(</w:t>
      </w:r>
      <w:r w:rsidR="00DB1259">
        <w:rPr>
          <w:rFonts w:ascii="Times New Roman" w:hAnsi="Times New Roman" w:cs="Times New Roman"/>
          <w:sz w:val="20"/>
          <w:szCs w:val="20"/>
        </w:rPr>
        <w:t>36 hours of initial costs (</w:t>
      </w:r>
      <w:r w:rsidR="00DB1259">
        <w:rPr>
          <w:rFonts w:ascii="Times New Roman" w:hAnsi="Times New Roman" w:cs="Times New Roman"/>
          <w:i/>
          <w:sz w:val="20"/>
          <w:szCs w:val="20"/>
        </w:rPr>
        <w:t>i.e.</w:t>
      </w:r>
      <w:r w:rsidR="00DB1259">
        <w:rPr>
          <w:rFonts w:ascii="Times New Roman" w:hAnsi="Times New Roman" w:cs="Times New Roman"/>
          <w:sz w:val="20"/>
          <w:szCs w:val="20"/>
        </w:rPr>
        <w:t>, costs in year</w:t>
      </w:r>
      <w:r w:rsidR="00A444F7">
        <w:rPr>
          <w:rFonts w:ascii="Times New Roman" w:hAnsi="Times New Roman" w:cs="Times New Roman"/>
          <w:sz w:val="20"/>
          <w:szCs w:val="20"/>
        </w:rPr>
        <w:t xml:space="preserve"> one</w:t>
      </w:r>
      <w:r w:rsidR="00DB1259">
        <w:rPr>
          <w:rFonts w:ascii="Times New Roman" w:hAnsi="Times New Roman" w:cs="Times New Roman"/>
          <w:sz w:val="20"/>
          <w:szCs w:val="20"/>
        </w:rPr>
        <w:t>)</w:t>
      </w:r>
      <w:r w:rsidRPr="00D65E3C">
        <w:rPr>
          <w:rFonts w:ascii="Times New Roman" w:hAnsi="Times New Roman" w:cs="Times New Roman"/>
          <w:sz w:val="20"/>
          <w:szCs w:val="20"/>
        </w:rPr>
        <w:t>) x (</w:t>
      </w:r>
      <w:r w:rsidR="00DB1259" w:rsidRPr="00DB1259">
        <w:rPr>
          <w:rFonts w:ascii="Times New Roman" w:hAnsi="Times New Roman" w:cs="Times New Roman"/>
          <w:sz w:val="20"/>
          <w:szCs w:val="20"/>
        </w:rPr>
        <w:t>320 firms</w:t>
      </w:r>
      <w:r w:rsidRPr="00D65E3C">
        <w:rPr>
          <w:rFonts w:ascii="Times New Roman" w:hAnsi="Times New Roman" w:cs="Times New Roman"/>
          <w:sz w:val="20"/>
          <w:szCs w:val="20"/>
        </w:rPr>
        <w:t>) + (</w:t>
      </w:r>
      <w:r w:rsidR="00DB1259">
        <w:rPr>
          <w:rFonts w:ascii="Times New Roman" w:hAnsi="Times New Roman" w:cs="Times New Roman"/>
          <w:sz w:val="20"/>
          <w:szCs w:val="20"/>
        </w:rPr>
        <w:t>576 hours</w:t>
      </w:r>
      <w:r w:rsidRPr="00D65E3C">
        <w:rPr>
          <w:rFonts w:ascii="Times New Roman" w:hAnsi="Times New Roman" w:cs="Times New Roman"/>
          <w:sz w:val="20"/>
          <w:szCs w:val="20"/>
        </w:rPr>
        <w:t>) x (</w:t>
      </w:r>
      <w:r w:rsidR="00DB1259">
        <w:rPr>
          <w:rFonts w:ascii="Times New Roman" w:hAnsi="Times New Roman" w:cs="Times New Roman"/>
          <w:sz w:val="20"/>
          <w:szCs w:val="20"/>
        </w:rPr>
        <w:t>2 years</w:t>
      </w:r>
      <w:r w:rsidRPr="00D65E3C">
        <w:rPr>
          <w:rFonts w:ascii="Times New Roman" w:hAnsi="Times New Roman" w:cs="Times New Roman"/>
          <w:sz w:val="20"/>
          <w:szCs w:val="20"/>
        </w:rPr>
        <w:t xml:space="preserve">)] = </w:t>
      </w:r>
      <w:r w:rsidR="00DB1259">
        <w:rPr>
          <w:rFonts w:ascii="Times New Roman" w:hAnsi="Times New Roman" w:cs="Times New Roman"/>
          <w:sz w:val="20"/>
          <w:szCs w:val="20"/>
        </w:rPr>
        <w:t>12,672</w:t>
      </w:r>
      <w:r w:rsidRPr="00D65E3C">
        <w:rPr>
          <w:rFonts w:ascii="Times New Roman" w:hAnsi="Times New Roman" w:cs="Times New Roman"/>
          <w:sz w:val="20"/>
          <w:szCs w:val="20"/>
        </w:rPr>
        <w:t xml:space="preserve"> hours total.</w:t>
      </w:r>
    </w:p>
  </w:footnote>
  <w:footnote w:id="22">
    <w:p w:rsidR="007E5A13" w:rsidRPr="00CE3F5E" w:rsidRDefault="007E5A13" w:rsidP="00A444F7">
      <w:pPr>
        <w:pStyle w:val="FootnoteText"/>
      </w:pPr>
      <w:r w:rsidRPr="00CE3F5E">
        <w:rPr>
          <w:rStyle w:val="FootnoteReference"/>
        </w:rPr>
        <w:footnoteRef/>
      </w:r>
      <w:r w:rsidRPr="00CE3F5E">
        <w:t xml:space="preserve"> </w:t>
      </w:r>
      <w:r w:rsidRPr="00CE3F5E">
        <w:tab/>
      </w:r>
      <w:proofErr w:type="gramStart"/>
      <w:r w:rsidR="00DB1259">
        <w:rPr>
          <w:rFonts w:eastAsia="Times New Roman"/>
          <w:spacing w:val="1"/>
        </w:rPr>
        <w:t>12,672</w:t>
      </w:r>
      <w:r w:rsidRPr="00F60058">
        <w:rPr>
          <w:rFonts w:eastAsia="Times New Roman"/>
          <w:spacing w:val="-3"/>
        </w:rPr>
        <w:t xml:space="preserve"> </w:t>
      </w:r>
      <w:r w:rsidRPr="00F60058">
        <w:rPr>
          <w:rFonts w:eastAsia="Times New Roman"/>
          <w:spacing w:val="-1"/>
        </w:rPr>
        <w:t>h</w:t>
      </w:r>
      <w:r w:rsidRPr="00F60058">
        <w:rPr>
          <w:rFonts w:eastAsia="Times New Roman"/>
          <w:spacing w:val="1"/>
        </w:rPr>
        <w:t>o</w:t>
      </w:r>
      <w:r w:rsidRPr="00F60058">
        <w:rPr>
          <w:rFonts w:eastAsia="Times New Roman"/>
          <w:spacing w:val="-1"/>
        </w:rPr>
        <w:t>u</w:t>
      </w:r>
      <w:r w:rsidRPr="00F60058">
        <w:rPr>
          <w:rFonts w:eastAsia="Times New Roman"/>
          <w:spacing w:val="1"/>
        </w:rPr>
        <w:t>r</w:t>
      </w:r>
      <w:r w:rsidRPr="00F60058">
        <w:rPr>
          <w:rFonts w:eastAsia="Times New Roman"/>
          <w:spacing w:val="-1"/>
        </w:rPr>
        <w:t>s</w:t>
      </w:r>
      <w:r w:rsidRPr="00CE3F5E">
        <w:t xml:space="preserve"> ÷ 3 = </w:t>
      </w:r>
      <w:r w:rsidR="00DB1259">
        <w:t>4,224</w:t>
      </w:r>
      <w:r w:rsidRPr="00CE3F5E">
        <w:t xml:space="preserve"> hours per year.</w:t>
      </w:r>
      <w:proofErr w:type="gramEnd"/>
    </w:p>
  </w:footnote>
  <w:footnote w:id="23">
    <w:p w:rsidR="007E5A13" w:rsidRPr="00CE3F5E" w:rsidRDefault="007E5A13" w:rsidP="00A444F7">
      <w:pPr>
        <w:pStyle w:val="FootnoteText"/>
        <w:ind w:left="0" w:firstLine="0"/>
      </w:pPr>
      <w:r w:rsidRPr="00CE3F5E">
        <w:rPr>
          <w:rStyle w:val="FootnoteReference"/>
        </w:rPr>
        <w:footnoteRef/>
      </w:r>
      <w:r w:rsidRPr="00CE3F5E">
        <w:t xml:space="preserve"> </w:t>
      </w:r>
      <w:r w:rsidRPr="00CE3F5E">
        <w:tab/>
      </w:r>
      <w:r w:rsidR="00A444F7">
        <w:t>12,672</w:t>
      </w:r>
      <w:r w:rsidRPr="00CE3F5E">
        <w:t xml:space="preserve"> hours (total burden to</w:t>
      </w:r>
      <w:r w:rsidR="00A444F7">
        <w:t xml:space="preserve"> provide notifications under the Order</w:t>
      </w:r>
      <w:r w:rsidRPr="00CE3F5E">
        <w:t xml:space="preserve">) ÷ </w:t>
      </w:r>
      <w:r w:rsidR="00A444F7">
        <w:t>320 firms</w:t>
      </w:r>
      <w:r w:rsidRPr="00CE3F5E">
        <w:t xml:space="preserve"> (estimated number of </w:t>
      </w:r>
      <w:r>
        <w:t xml:space="preserve">total </w:t>
      </w:r>
      <w:r w:rsidR="00A444F7">
        <w:t>respondents</w:t>
      </w:r>
      <w:r w:rsidRPr="00CE3F5E">
        <w:t xml:space="preserve">) = </w:t>
      </w:r>
      <w:r w:rsidR="00A444F7">
        <w:t>39.6</w:t>
      </w:r>
      <w:r w:rsidRPr="00CE3F5E">
        <w:t xml:space="preserve"> hours ÷ 3 = </w:t>
      </w:r>
      <w:r w:rsidR="00A444F7">
        <w:t xml:space="preserve">13.2 </w:t>
      </w:r>
      <w:r w:rsidRPr="00CE3F5E">
        <w:t>hours per respondent.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D1E68"/>
    <w:multiLevelType w:val="hybridMultilevel"/>
    <w:tmpl w:val="E880243A"/>
    <w:lvl w:ilvl="0" w:tplc="10BA2DA0">
      <w:start w:val="1"/>
      <w:numFmt w:val="bullet"/>
      <w:pStyle w:val="BULLET2"/>
      <w:lvlText w:val=""/>
      <w:lvlJc w:val="left"/>
      <w:pPr>
        <w:ind w:left="-720" w:hanging="360"/>
      </w:pPr>
      <w:rPr>
        <w:rFonts w:ascii="Symbol" w:hAnsi="Symbol" w:hint="default"/>
      </w:rPr>
    </w:lvl>
    <w:lvl w:ilvl="1" w:tplc="04090003">
      <w:start w:val="1"/>
      <w:numFmt w:val="bullet"/>
      <w:pStyle w:val="BULLET3"/>
      <w:lvlText w:val="o"/>
      <w:lvlJc w:val="left"/>
      <w:pPr>
        <w:ind w:left="0" w:hanging="360"/>
      </w:pPr>
      <w:rPr>
        <w:rFonts w:ascii="Courier New" w:hAnsi="Courier New" w:cs="Courier New"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CBB"/>
    <w:rsid w:val="000047E0"/>
    <w:rsid w:val="000147AA"/>
    <w:rsid w:val="00015121"/>
    <w:rsid w:val="0004048C"/>
    <w:rsid w:val="000C4144"/>
    <w:rsid w:val="000C4163"/>
    <w:rsid w:val="000C582C"/>
    <w:rsid w:val="000D0139"/>
    <w:rsid w:val="000F3911"/>
    <w:rsid w:val="00104B3A"/>
    <w:rsid w:val="00107E9D"/>
    <w:rsid w:val="00110B5C"/>
    <w:rsid w:val="00115150"/>
    <w:rsid w:val="00125BCE"/>
    <w:rsid w:val="00140D0D"/>
    <w:rsid w:val="00145BA3"/>
    <w:rsid w:val="0014600E"/>
    <w:rsid w:val="00146C81"/>
    <w:rsid w:val="00150519"/>
    <w:rsid w:val="001603C4"/>
    <w:rsid w:val="00186EA5"/>
    <w:rsid w:val="00194428"/>
    <w:rsid w:val="001A4B9B"/>
    <w:rsid w:val="001B2124"/>
    <w:rsid w:val="001B7C77"/>
    <w:rsid w:val="001C5983"/>
    <w:rsid w:val="001D2164"/>
    <w:rsid w:val="001D4446"/>
    <w:rsid w:val="00201940"/>
    <w:rsid w:val="00227C74"/>
    <w:rsid w:val="0023019E"/>
    <w:rsid w:val="00296FE4"/>
    <w:rsid w:val="002A2126"/>
    <w:rsid w:val="002A4B63"/>
    <w:rsid w:val="002B1687"/>
    <w:rsid w:val="002B244B"/>
    <w:rsid w:val="002D14A5"/>
    <w:rsid w:val="002E0906"/>
    <w:rsid w:val="002E533D"/>
    <w:rsid w:val="002E6E4F"/>
    <w:rsid w:val="002F10B5"/>
    <w:rsid w:val="002F33FD"/>
    <w:rsid w:val="002F73C3"/>
    <w:rsid w:val="00312AEA"/>
    <w:rsid w:val="003176B1"/>
    <w:rsid w:val="00323EFA"/>
    <w:rsid w:val="00347EA1"/>
    <w:rsid w:val="003703D0"/>
    <w:rsid w:val="00370EA7"/>
    <w:rsid w:val="003768B9"/>
    <w:rsid w:val="003A2ABB"/>
    <w:rsid w:val="003A436A"/>
    <w:rsid w:val="003D2629"/>
    <w:rsid w:val="003E1750"/>
    <w:rsid w:val="003F5E6C"/>
    <w:rsid w:val="00410AB6"/>
    <w:rsid w:val="00415980"/>
    <w:rsid w:val="004178A1"/>
    <w:rsid w:val="00440321"/>
    <w:rsid w:val="00444FCF"/>
    <w:rsid w:val="00450733"/>
    <w:rsid w:val="00467D95"/>
    <w:rsid w:val="004803D2"/>
    <w:rsid w:val="00483BF9"/>
    <w:rsid w:val="004A3542"/>
    <w:rsid w:val="004B7291"/>
    <w:rsid w:val="004D6CE3"/>
    <w:rsid w:val="00501649"/>
    <w:rsid w:val="005076A8"/>
    <w:rsid w:val="00542DF2"/>
    <w:rsid w:val="00552EB4"/>
    <w:rsid w:val="00564419"/>
    <w:rsid w:val="0058756E"/>
    <w:rsid w:val="005B0D5F"/>
    <w:rsid w:val="005B2FC6"/>
    <w:rsid w:val="005B7CBB"/>
    <w:rsid w:val="005B7EA8"/>
    <w:rsid w:val="005D0A74"/>
    <w:rsid w:val="005F141D"/>
    <w:rsid w:val="006000EF"/>
    <w:rsid w:val="006126DA"/>
    <w:rsid w:val="00623EF9"/>
    <w:rsid w:val="00626D50"/>
    <w:rsid w:val="0064341A"/>
    <w:rsid w:val="00646664"/>
    <w:rsid w:val="00660F19"/>
    <w:rsid w:val="00673D63"/>
    <w:rsid w:val="0068616B"/>
    <w:rsid w:val="00692C20"/>
    <w:rsid w:val="00694FC7"/>
    <w:rsid w:val="006A3E07"/>
    <w:rsid w:val="006A7F5F"/>
    <w:rsid w:val="006C439E"/>
    <w:rsid w:val="006D6E88"/>
    <w:rsid w:val="00734DBF"/>
    <w:rsid w:val="00753E48"/>
    <w:rsid w:val="00764A50"/>
    <w:rsid w:val="00780AAC"/>
    <w:rsid w:val="007B3365"/>
    <w:rsid w:val="007B403A"/>
    <w:rsid w:val="007C553D"/>
    <w:rsid w:val="007E5A13"/>
    <w:rsid w:val="007F0DFB"/>
    <w:rsid w:val="007F435F"/>
    <w:rsid w:val="008056C9"/>
    <w:rsid w:val="00807182"/>
    <w:rsid w:val="00807C95"/>
    <w:rsid w:val="00812047"/>
    <w:rsid w:val="00827E16"/>
    <w:rsid w:val="0085236E"/>
    <w:rsid w:val="00870B96"/>
    <w:rsid w:val="0088676C"/>
    <w:rsid w:val="008A60F4"/>
    <w:rsid w:val="008B40E3"/>
    <w:rsid w:val="008C147B"/>
    <w:rsid w:val="008C1C48"/>
    <w:rsid w:val="008F6B19"/>
    <w:rsid w:val="00902F14"/>
    <w:rsid w:val="009155A5"/>
    <w:rsid w:val="0093559C"/>
    <w:rsid w:val="00936A61"/>
    <w:rsid w:val="0094747F"/>
    <w:rsid w:val="009505CD"/>
    <w:rsid w:val="009555E8"/>
    <w:rsid w:val="009940F6"/>
    <w:rsid w:val="009A0E9D"/>
    <w:rsid w:val="009A3DB6"/>
    <w:rsid w:val="009D6C5D"/>
    <w:rsid w:val="00A064B6"/>
    <w:rsid w:val="00A16933"/>
    <w:rsid w:val="00A3165F"/>
    <w:rsid w:val="00A444F7"/>
    <w:rsid w:val="00A45477"/>
    <w:rsid w:val="00A469CB"/>
    <w:rsid w:val="00A50449"/>
    <w:rsid w:val="00A615AF"/>
    <w:rsid w:val="00A67B3E"/>
    <w:rsid w:val="00A772B5"/>
    <w:rsid w:val="00A86618"/>
    <w:rsid w:val="00A86666"/>
    <w:rsid w:val="00AA7DC6"/>
    <w:rsid w:val="00AB432B"/>
    <w:rsid w:val="00AB65C2"/>
    <w:rsid w:val="00AD0671"/>
    <w:rsid w:val="00AD5ED3"/>
    <w:rsid w:val="00AE483D"/>
    <w:rsid w:val="00AE65ED"/>
    <w:rsid w:val="00B04295"/>
    <w:rsid w:val="00B07A45"/>
    <w:rsid w:val="00B17DBB"/>
    <w:rsid w:val="00B26D5C"/>
    <w:rsid w:val="00B27B52"/>
    <w:rsid w:val="00B45E9B"/>
    <w:rsid w:val="00B57714"/>
    <w:rsid w:val="00B76107"/>
    <w:rsid w:val="00B80CD5"/>
    <w:rsid w:val="00B82498"/>
    <w:rsid w:val="00B858FD"/>
    <w:rsid w:val="00B875FF"/>
    <w:rsid w:val="00B92CE2"/>
    <w:rsid w:val="00BA4821"/>
    <w:rsid w:val="00BC73FF"/>
    <w:rsid w:val="00BF469A"/>
    <w:rsid w:val="00BF6DC5"/>
    <w:rsid w:val="00C02A77"/>
    <w:rsid w:val="00C202B5"/>
    <w:rsid w:val="00C22226"/>
    <w:rsid w:val="00C47F3F"/>
    <w:rsid w:val="00C5602D"/>
    <w:rsid w:val="00C91003"/>
    <w:rsid w:val="00C95BF7"/>
    <w:rsid w:val="00C96E0E"/>
    <w:rsid w:val="00CB29E1"/>
    <w:rsid w:val="00CD251A"/>
    <w:rsid w:val="00CE3F5E"/>
    <w:rsid w:val="00CF7680"/>
    <w:rsid w:val="00D1272A"/>
    <w:rsid w:val="00D20A1E"/>
    <w:rsid w:val="00D3727E"/>
    <w:rsid w:val="00D441A3"/>
    <w:rsid w:val="00D54FC5"/>
    <w:rsid w:val="00D65E3C"/>
    <w:rsid w:val="00D76A5D"/>
    <w:rsid w:val="00D85BC8"/>
    <w:rsid w:val="00D92F4D"/>
    <w:rsid w:val="00D97334"/>
    <w:rsid w:val="00DA06E3"/>
    <w:rsid w:val="00DB1259"/>
    <w:rsid w:val="00DB6C3F"/>
    <w:rsid w:val="00DB7539"/>
    <w:rsid w:val="00DC61FB"/>
    <w:rsid w:val="00DD3FCF"/>
    <w:rsid w:val="00DD7B07"/>
    <w:rsid w:val="00DF6BDC"/>
    <w:rsid w:val="00E20762"/>
    <w:rsid w:val="00E45757"/>
    <w:rsid w:val="00E6505E"/>
    <w:rsid w:val="00E67EDE"/>
    <w:rsid w:val="00E73B1A"/>
    <w:rsid w:val="00EA04A4"/>
    <w:rsid w:val="00EA77D6"/>
    <w:rsid w:val="00EB7943"/>
    <w:rsid w:val="00F03EEC"/>
    <w:rsid w:val="00F0711B"/>
    <w:rsid w:val="00F104DA"/>
    <w:rsid w:val="00F20BBB"/>
    <w:rsid w:val="00F241D0"/>
    <w:rsid w:val="00F247B6"/>
    <w:rsid w:val="00F514F2"/>
    <w:rsid w:val="00F56F90"/>
    <w:rsid w:val="00F60058"/>
    <w:rsid w:val="00F656F2"/>
    <w:rsid w:val="00F77DD9"/>
    <w:rsid w:val="00F879E3"/>
    <w:rsid w:val="00F9185E"/>
    <w:rsid w:val="00F957A0"/>
    <w:rsid w:val="00F9789E"/>
    <w:rsid w:val="00FA6434"/>
    <w:rsid w:val="00FB5663"/>
    <w:rsid w:val="00FD5760"/>
    <w:rsid w:val="00FF1FDE"/>
    <w:rsid w:val="00FF5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CBB"/>
    <w:pPr>
      <w:widowControl w:val="0"/>
    </w:pPr>
  </w:style>
  <w:style w:type="paragraph" w:styleId="Heading1">
    <w:name w:val="heading 1"/>
    <w:basedOn w:val="Normal"/>
    <w:next w:val="Normal"/>
    <w:link w:val="Heading1Char"/>
    <w:uiPriority w:val="9"/>
    <w:qFormat/>
    <w:rsid w:val="00780AAC"/>
    <w:pPr>
      <w:keepNext/>
      <w:tabs>
        <w:tab w:val="left" w:pos="720"/>
      </w:tabs>
      <w:spacing w:after="0" w:line="240" w:lineRule="auto"/>
      <w:ind w:right="-20"/>
      <w:outlineLvl w:val="0"/>
    </w:pPr>
    <w:rPr>
      <w:rFonts w:ascii="Times New Roman" w:eastAsia="Times New Roman" w:hAnsi="Times New Roman" w:cs="Times New Roman"/>
      <w:b/>
      <w:bCs/>
      <w:caps/>
      <w:spacing w:val="-2"/>
      <w:position w:val="-1"/>
      <w:sz w:val="24"/>
      <w:szCs w:val="24"/>
    </w:rPr>
  </w:style>
  <w:style w:type="paragraph" w:styleId="Heading2">
    <w:name w:val="heading 2"/>
    <w:basedOn w:val="Normal"/>
    <w:next w:val="Normal"/>
    <w:link w:val="Heading2Char"/>
    <w:uiPriority w:val="9"/>
    <w:unhideWhenUsed/>
    <w:qFormat/>
    <w:rsid w:val="00780AAC"/>
    <w:pPr>
      <w:keepNext/>
      <w:tabs>
        <w:tab w:val="left" w:pos="1560"/>
      </w:tabs>
      <w:spacing w:after="240" w:line="240" w:lineRule="auto"/>
      <w:ind w:left="720" w:right="-14"/>
      <w:outlineLvl w:val="1"/>
    </w:pPr>
    <w:rPr>
      <w:rFonts w:ascii="Times New Roman" w:eastAsia="Times New Roman" w:hAnsi="Times New Roman" w:cs="Times New Roman"/>
      <w:b/>
      <w:spacing w:val="-2"/>
      <w:position w:val="-1"/>
      <w:sz w:val="24"/>
      <w:szCs w:val="24"/>
    </w:rPr>
  </w:style>
  <w:style w:type="paragraph" w:styleId="Heading3">
    <w:name w:val="heading 3"/>
    <w:basedOn w:val="Heading2"/>
    <w:next w:val="Normal"/>
    <w:link w:val="Heading3Char"/>
    <w:uiPriority w:val="9"/>
    <w:unhideWhenUsed/>
    <w:qFormat/>
    <w:rsid w:val="00780AAC"/>
    <w:pPr>
      <w:ind w:hanging="720"/>
      <w:outlineLvl w:val="2"/>
    </w:pPr>
    <w:rPr>
      <w:b w:val="0"/>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rsid w:val="00F9789E"/>
    <w:rPr>
      <w:rFonts w:ascii="Times New Roman" w:hAnsi="Times New Roman" w:cs="Times New Roman"/>
      <w:sz w:val="20"/>
      <w:szCs w:val="20"/>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t,fn"/>
    <w:basedOn w:val="Normal"/>
    <w:link w:val="FootnoteTextChar"/>
    <w:uiPriority w:val="99"/>
    <w:unhideWhenUsed/>
    <w:qFormat/>
    <w:rsid w:val="00F9789E"/>
    <w:pPr>
      <w:spacing w:after="120" w:line="240" w:lineRule="auto"/>
      <w:ind w:left="720" w:hanging="720"/>
    </w:pPr>
    <w:rPr>
      <w:rFonts w:ascii="Times New Roman" w:hAnsi="Times New Roman" w:cs="Times New Roman"/>
      <w:sz w:val="20"/>
      <w:szCs w:val="20"/>
    </w:rPr>
  </w:style>
  <w:style w:type="paragraph" w:styleId="Header">
    <w:name w:val="header"/>
    <w:basedOn w:val="Normal"/>
    <w:link w:val="HeaderChar"/>
    <w:uiPriority w:val="99"/>
    <w:unhideWhenUsed/>
    <w:rsid w:val="005B7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CBB"/>
  </w:style>
  <w:style w:type="paragraph" w:styleId="Footer">
    <w:name w:val="footer"/>
    <w:basedOn w:val="Normal"/>
    <w:link w:val="FooterChar"/>
    <w:uiPriority w:val="99"/>
    <w:unhideWhenUsed/>
    <w:rsid w:val="005B7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CBB"/>
  </w:style>
  <w:style w:type="character" w:styleId="FootnoteReference">
    <w:name w:val="footnote reference"/>
    <w:aliases w:val="fr,Style 19,Style 16,Style 35,Style 39,Style 14,12,Style 6,Footnote Reference Superscript,SUPERS,BVI fnr,Footnote symbol,(Footnote Reference),Footnote reference number,note TESI,EN Footnote Reference,Voetnootverwijzing,Footnote"/>
    <w:basedOn w:val="DefaultParagraphFont"/>
    <w:uiPriority w:val="99"/>
    <w:unhideWhenUsed/>
    <w:qFormat/>
    <w:rsid w:val="005B7CBB"/>
    <w:rPr>
      <w:vertAlign w:val="superscript"/>
    </w:rPr>
  </w:style>
  <w:style w:type="character" w:styleId="Hyperlink">
    <w:name w:val="Hyperlink"/>
    <w:basedOn w:val="DefaultParagraphFont"/>
    <w:uiPriority w:val="99"/>
    <w:unhideWhenUsed/>
    <w:rsid w:val="0004048C"/>
    <w:rPr>
      <w:color w:val="0000FF" w:themeColor="hyperlink"/>
      <w:u w:val="single"/>
    </w:rPr>
  </w:style>
  <w:style w:type="paragraph" w:styleId="BalloonText">
    <w:name w:val="Balloon Text"/>
    <w:basedOn w:val="Normal"/>
    <w:link w:val="BalloonTextChar"/>
    <w:uiPriority w:val="99"/>
    <w:semiHidden/>
    <w:unhideWhenUsed/>
    <w:rsid w:val="00870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B96"/>
    <w:rPr>
      <w:rFonts w:ascii="Tahoma" w:hAnsi="Tahoma" w:cs="Tahoma"/>
      <w:sz w:val="16"/>
      <w:szCs w:val="16"/>
    </w:rPr>
  </w:style>
  <w:style w:type="paragraph" w:styleId="ListParagraph">
    <w:name w:val="List Paragraph"/>
    <w:basedOn w:val="Normal"/>
    <w:uiPriority w:val="34"/>
    <w:qFormat/>
    <w:rsid w:val="00B875FF"/>
    <w:pPr>
      <w:ind w:left="720"/>
      <w:contextualSpacing/>
    </w:pPr>
  </w:style>
  <w:style w:type="paragraph" w:customStyle="1" w:styleId="BULLET2">
    <w:name w:val="BULLET 2"/>
    <w:basedOn w:val="NoSpacing"/>
    <w:qFormat/>
    <w:rsid w:val="00F9185E"/>
    <w:pPr>
      <w:widowControl/>
      <w:numPr>
        <w:numId w:val="1"/>
      </w:numPr>
      <w:tabs>
        <w:tab w:val="num" w:pos="720"/>
      </w:tabs>
      <w:autoSpaceDE w:val="0"/>
      <w:autoSpaceDN w:val="0"/>
      <w:adjustRightInd w:val="0"/>
      <w:spacing w:after="240"/>
      <w:ind w:left="720" w:right="-14"/>
    </w:pPr>
    <w:rPr>
      <w:rFonts w:ascii="Times New Roman" w:eastAsia="Times New Roman" w:hAnsi="Times New Roman" w:cs="Times New Roman"/>
      <w:sz w:val="24"/>
      <w:szCs w:val="24"/>
    </w:rPr>
  </w:style>
  <w:style w:type="paragraph" w:customStyle="1" w:styleId="BULLET3">
    <w:name w:val="BULLET 3"/>
    <w:basedOn w:val="BULLET2"/>
    <w:qFormat/>
    <w:rsid w:val="00DB7539"/>
    <w:pPr>
      <w:numPr>
        <w:ilvl w:val="1"/>
      </w:numPr>
      <w:tabs>
        <w:tab w:val="num" w:pos="360"/>
      </w:tabs>
      <w:ind w:left="2160"/>
    </w:pPr>
  </w:style>
  <w:style w:type="paragraph" w:styleId="NoSpacing">
    <w:name w:val="No Spacing"/>
    <w:uiPriority w:val="1"/>
    <w:qFormat/>
    <w:rsid w:val="00DB7539"/>
    <w:pPr>
      <w:widowControl w:val="0"/>
      <w:spacing w:after="0" w:line="240" w:lineRule="auto"/>
    </w:pPr>
  </w:style>
  <w:style w:type="paragraph" w:customStyle="1" w:styleId="TEXT">
    <w:name w:val="TEXT"/>
    <w:basedOn w:val="Normal"/>
    <w:qFormat/>
    <w:rsid w:val="005076A8"/>
    <w:pPr>
      <w:spacing w:after="240" w:line="240" w:lineRule="auto"/>
      <w:ind w:right="58" w:firstLine="720"/>
    </w:pPr>
    <w:rPr>
      <w:rFonts w:ascii="Times New Roman" w:eastAsia="Times New Roman" w:hAnsi="Times New Roman" w:cs="Times New Roman"/>
      <w:sz w:val="24"/>
      <w:szCs w:val="24"/>
    </w:rPr>
  </w:style>
  <w:style w:type="paragraph" w:styleId="NormalWeb">
    <w:name w:val="Normal (Web)"/>
    <w:basedOn w:val="Normal"/>
    <w:uiPriority w:val="99"/>
    <w:unhideWhenUsed/>
    <w:rsid w:val="00FF595F"/>
    <w:pPr>
      <w:widowControl/>
      <w:spacing w:before="100" w:beforeAutospacing="1" w:after="100" w:afterAutospacing="1" w:line="240" w:lineRule="auto"/>
    </w:pPr>
    <w:rPr>
      <w:rFonts w:ascii="Verdana" w:eastAsia="Times New Roman" w:hAnsi="Verdana" w:cs="Times New Roman"/>
      <w:sz w:val="20"/>
      <w:szCs w:val="20"/>
    </w:rPr>
  </w:style>
  <w:style w:type="character" w:customStyle="1" w:styleId="Heading1Char">
    <w:name w:val="Heading 1 Char"/>
    <w:basedOn w:val="DefaultParagraphFont"/>
    <w:link w:val="Heading1"/>
    <w:uiPriority w:val="9"/>
    <w:rsid w:val="00780AAC"/>
    <w:rPr>
      <w:rFonts w:ascii="Times New Roman" w:eastAsia="Times New Roman" w:hAnsi="Times New Roman" w:cs="Times New Roman"/>
      <w:b/>
      <w:bCs/>
      <w:caps/>
      <w:spacing w:val="-2"/>
      <w:position w:val="-1"/>
      <w:sz w:val="24"/>
      <w:szCs w:val="24"/>
    </w:rPr>
  </w:style>
  <w:style w:type="character" w:customStyle="1" w:styleId="Heading2Char">
    <w:name w:val="Heading 2 Char"/>
    <w:basedOn w:val="DefaultParagraphFont"/>
    <w:link w:val="Heading2"/>
    <w:uiPriority w:val="9"/>
    <w:rsid w:val="00780AAC"/>
    <w:rPr>
      <w:rFonts w:ascii="Times New Roman" w:eastAsia="Times New Roman" w:hAnsi="Times New Roman" w:cs="Times New Roman"/>
      <w:b/>
      <w:spacing w:val="-2"/>
      <w:position w:val="-1"/>
      <w:sz w:val="24"/>
      <w:szCs w:val="24"/>
    </w:rPr>
  </w:style>
  <w:style w:type="character" w:customStyle="1" w:styleId="Heading3Char">
    <w:name w:val="Heading 3 Char"/>
    <w:basedOn w:val="DefaultParagraphFont"/>
    <w:link w:val="Heading3"/>
    <w:uiPriority w:val="9"/>
    <w:rsid w:val="00780AAC"/>
    <w:rPr>
      <w:rFonts w:ascii="Times New Roman" w:eastAsia="Times New Roman" w:hAnsi="Times New Roman" w:cs="Times New Roman"/>
      <w:i/>
      <w:spacing w:val="-2"/>
      <w:position w:val="-1"/>
      <w:sz w:val="24"/>
      <w:szCs w:val="24"/>
      <w:u w:val="single"/>
    </w:rPr>
  </w:style>
  <w:style w:type="character" w:styleId="CommentReference">
    <w:name w:val="annotation reference"/>
    <w:basedOn w:val="DefaultParagraphFont"/>
    <w:uiPriority w:val="99"/>
    <w:semiHidden/>
    <w:unhideWhenUsed/>
    <w:rsid w:val="00F9185E"/>
    <w:rPr>
      <w:sz w:val="16"/>
      <w:szCs w:val="16"/>
    </w:rPr>
  </w:style>
  <w:style w:type="paragraph" w:styleId="CommentText">
    <w:name w:val="annotation text"/>
    <w:basedOn w:val="Normal"/>
    <w:link w:val="CommentTextChar"/>
    <w:uiPriority w:val="99"/>
    <w:semiHidden/>
    <w:unhideWhenUsed/>
    <w:rsid w:val="00F9185E"/>
    <w:pPr>
      <w:spacing w:line="240" w:lineRule="auto"/>
    </w:pPr>
    <w:rPr>
      <w:sz w:val="20"/>
      <w:szCs w:val="20"/>
    </w:rPr>
  </w:style>
  <w:style w:type="character" w:customStyle="1" w:styleId="CommentTextChar">
    <w:name w:val="Comment Text Char"/>
    <w:basedOn w:val="DefaultParagraphFont"/>
    <w:link w:val="CommentText"/>
    <w:uiPriority w:val="99"/>
    <w:semiHidden/>
    <w:rsid w:val="00F9185E"/>
    <w:rPr>
      <w:sz w:val="20"/>
      <w:szCs w:val="20"/>
    </w:rPr>
  </w:style>
  <w:style w:type="paragraph" w:styleId="CommentSubject">
    <w:name w:val="annotation subject"/>
    <w:basedOn w:val="CommentText"/>
    <w:next w:val="CommentText"/>
    <w:link w:val="CommentSubjectChar"/>
    <w:uiPriority w:val="99"/>
    <w:semiHidden/>
    <w:unhideWhenUsed/>
    <w:rsid w:val="00F9185E"/>
    <w:rPr>
      <w:b/>
      <w:bCs/>
    </w:rPr>
  </w:style>
  <w:style w:type="character" w:customStyle="1" w:styleId="CommentSubjectChar">
    <w:name w:val="Comment Subject Char"/>
    <w:basedOn w:val="CommentTextChar"/>
    <w:link w:val="CommentSubject"/>
    <w:uiPriority w:val="99"/>
    <w:semiHidden/>
    <w:rsid w:val="00F9185E"/>
    <w:rPr>
      <w:b/>
      <w:bCs/>
      <w:sz w:val="20"/>
      <w:szCs w:val="20"/>
    </w:rPr>
  </w:style>
  <w:style w:type="paragraph" w:styleId="Revision">
    <w:name w:val="Revision"/>
    <w:hidden/>
    <w:uiPriority w:val="99"/>
    <w:semiHidden/>
    <w:rsid w:val="008C147B"/>
    <w:pPr>
      <w:spacing w:after="0" w:line="240" w:lineRule="auto"/>
    </w:pPr>
  </w:style>
  <w:style w:type="paragraph" w:customStyle="1" w:styleId="FOOTNOTE">
    <w:name w:val="FOOTNOTE"/>
    <w:basedOn w:val="FootnoteText"/>
    <w:qFormat/>
    <w:rsid w:val="00D3727E"/>
    <w:pPr>
      <w:widowControl/>
      <w:spacing w:after="240"/>
      <w:ind w:left="0" w:firstLine="0"/>
    </w:pPr>
  </w:style>
  <w:style w:type="character" w:styleId="FollowedHyperlink">
    <w:name w:val="FollowedHyperlink"/>
    <w:basedOn w:val="DefaultParagraphFont"/>
    <w:uiPriority w:val="99"/>
    <w:semiHidden/>
    <w:unhideWhenUsed/>
    <w:rsid w:val="00A444F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7CBB"/>
    <w:pPr>
      <w:widowControl w:val="0"/>
    </w:pPr>
  </w:style>
  <w:style w:type="paragraph" w:styleId="Heading1">
    <w:name w:val="heading 1"/>
    <w:basedOn w:val="Normal"/>
    <w:next w:val="Normal"/>
    <w:link w:val="Heading1Char"/>
    <w:uiPriority w:val="9"/>
    <w:qFormat/>
    <w:rsid w:val="00780AAC"/>
    <w:pPr>
      <w:keepNext/>
      <w:tabs>
        <w:tab w:val="left" w:pos="720"/>
      </w:tabs>
      <w:spacing w:after="0" w:line="240" w:lineRule="auto"/>
      <w:ind w:right="-20"/>
      <w:outlineLvl w:val="0"/>
    </w:pPr>
    <w:rPr>
      <w:rFonts w:ascii="Times New Roman" w:eastAsia="Times New Roman" w:hAnsi="Times New Roman" w:cs="Times New Roman"/>
      <w:b/>
      <w:bCs/>
      <w:caps/>
      <w:spacing w:val="-2"/>
      <w:position w:val="-1"/>
      <w:sz w:val="24"/>
      <w:szCs w:val="24"/>
    </w:rPr>
  </w:style>
  <w:style w:type="paragraph" w:styleId="Heading2">
    <w:name w:val="heading 2"/>
    <w:basedOn w:val="Normal"/>
    <w:next w:val="Normal"/>
    <w:link w:val="Heading2Char"/>
    <w:uiPriority w:val="9"/>
    <w:unhideWhenUsed/>
    <w:qFormat/>
    <w:rsid w:val="00780AAC"/>
    <w:pPr>
      <w:keepNext/>
      <w:tabs>
        <w:tab w:val="left" w:pos="1560"/>
      </w:tabs>
      <w:spacing w:after="240" w:line="240" w:lineRule="auto"/>
      <w:ind w:left="720" w:right="-14"/>
      <w:outlineLvl w:val="1"/>
    </w:pPr>
    <w:rPr>
      <w:rFonts w:ascii="Times New Roman" w:eastAsia="Times New Roman" w:hAnsi="Times New Roman" w:cs="Times New Roman"/>
      <w:b/>
      <w:spacing w:val="-2"/>
      <w:position w:val="-1"/>
      <w:sz w:val="24"/>
      <w:szCs w:val="24"/>
    </w:rPr>
  </w:style>
  <w:style w:type="paragraph" w:styleId="Heading3">
    <w:name w:val="heading 3"/>
    <w:basedOn w:val="Heading2"/>
    <w:next w:val="Normal"/>
    <w:link w:val="Heading3Char"/>
    <w:uiPriority w:val="9"/>
    <w:unhideWhenUsed/>
    <w:qFormat/>
    <w:rsid w:val="00780AAC"/>
    <w:pPr>
      <w:ind w:hanging="720"/>
      <w:outlineLvl w:val="2"/>
    </w:pPr>
    <w:rPr>
      <w:b w:val="0"/>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rsid w:val="00F9789E"/>
    <w:rPr>
      <w:rFonts w:ascii="Times New Roman" w:hAnsi="Times New Roman" w:cs="Times New Roman"/>
      <w:sz w:val="20"/>
      <w:szCs w:val="20"/>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t,fn"/>
    <w:basedOn w:val="Normal"/>
    <w:link w:val="FootnoteTextChar"/>
    <w:uiPriority w:val="99"/>
    <w:unhideWhenUsed/>
    <w:qFormat/>
    <w:rsid w:val="00F9789E"/>
    <w:pPr>
      <w:spacing w:after="120" w:line="240" w:lineRule="auto"/>
      <w:ind w:left="720" w:hanging="720"/>
    </w:pPr>
    <w:rPr>
      <w:rFonts w:ascii="Times New Roman" w:hAnsi="Times New Roman" w:cs="Times New Roman"/>
      <w:sz w:val="20"/>
      <w:szCs w:val="20"/>
    </w:rPr>
  </w:style>
  <w:style w:type="paragraph" w:styleId="Header">
    <w:name w:val="header"/>
    <w:basedOn w:val="Normal"/>
    <w:link w:val="HeaderChar"/>
    <w:uiPriority w:val="99"/>
    <w:unhideWhenUsed/>
    <w:rsid w:val="005B7C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CBB"/>
  </w:style>
  <w:style w:type="paragraph" w:styleId="Footer">
    <w:name w:val="footer"/>
    <w:basedOn w:val="Normal"/>
    <w:link w:val="FooterChar"/>
    <w:uiPriority w:val="99"/>
    <w:unhideWhenUsed/>
    <w:rsid w:val="005B7C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CBB"/>
  </w:style>
  <w:style w:type="character" w:styleId="FootnoteReference">
    <w:name w:val="footnote reference"/>
    <w:aliases w:val="fr,Style 19,Style 16,Style 35,Style 39,Style 14,12,Style 6,Footnote Reference Superscript,SUPERS,BVI fnr,Footnote symbol,(Footnote Reference),Footnote reference number,note TESI,EN Footnote Reference,Voetnootverwijzing,Footnote"/>
    <w:basedOn w:val="DefaultParagraphFont"/>
    <w:uiPriority w:val="99"/>
    <w:unhideWhenUsed/>
    <w:qFormat/>
    <w:rsid w:val="005B7CBB"/>
    <w:rPr>
      <w:vertAlign w:val="superscript"/>
    </w:rPr>
  </w:style>
  <w:style w:type="character" w:styleId="Hyperlink">
    <w:name w:val="Hyperlink"/>
    <w:basedOn w:val="DefaultParagraphFont"/>
    <w:uiPriority w:val="99"/>
    <w:unhideWhenUsed/>
    <w:rsid w:val="0004048C"/>
    <w:rPr>
      <w:color w:val="0000FF" w:themeColor="hyperlink"/>
      <w:u w:val="single"/>
    </w:rPr>
  </w:style>
  <w:style w:type="paragraph" w:styleId="BalloonText">
    <w:name w:val="Balloon Text"/>
    <w:basedOn w:val="Normal"/>
    <w:link w:val="BalloonTextChar"/>
    <w:uiPriority w:val="99"/>
    <w:semiHidden/>
    <w:unhideWhenUsed/>
    <w:rsid w:val="00870B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B96"/>
    <w:rPr>
      <w:rFonts w:ascii="Tahoma" w:hAnsi="Tahoma" w:cs="Tahoma"/>
      <w:sz w:val="16"/>
      <w:szCs w:val="16"/>
    </w:rPr>
  </w:style>
  <w:style w:type="paragraph" w:styleId="ListParagraph">
    <w:name w:val="List Paragraph"/>
    <w:basedOn w:val="Normal"/>
    <w:uiPriority w:val="34"/>
    <w:qFormat/>
    <w:rsid w:val="00B875FF"/>
    <w:pPr>
      <w:ind w:left="720"/>
      <w:contextualSpacing/>
    </w:pPr>
  </w:style>
  <w:style w:type="paragraph" w:customStyle="1" w:styleId="BULLET2">
    <w:name w:val="BULLET 2"/>
    <w:basedOn w:val="NoSpacing"/>
    <w:qFormat/>
    <w:rsid w:val="00F9185E"/>
    <w:pPr>
      <w:widowControl/>
      <w:numPr>
        <w:numId w:val="1"/>
      </w:numPr>
      <w:tabs>
        <w:tab w:val="num" w:pos="720"/>
      </w:tabs>
      <w:autoSpaceDE w:val="0"/>
      <w:autoSpaceDN w:val="0"/>
      <w:adjustRightInd w:val="0"/>
      <w:spacing w:after="240"/>
      <w:ind w:left="720" w:right="-14"/>
    </w:pPr>
    <w:rPr>
      <w:rFonts w:ascii="Times New Roman" w:eastAsia="Times New Roman" w:hAnsi="Times New Roman" w:cs="Times New Roman"/>
      <w:sz w:val="24"/>
      <w:szCs w:val="24"/>
    </w:rPr>
  </w:style>
  <w:style w:type="paragraph" w:customStyle="1" w:styleId="BULLET3">
    <w:name w:val="BULLET 3"/>
    <w:basedOn w:val="BULLET2"/>
    <w:qFormat/>
    <w:rsid w:val="00DB7539"/>
    <w:pPr>
      <w:numPr>
        <w:ilvl w:val="1"/>
      </w:numPr>
      <w:tabs>
        <w:tab w:val="num" w:pos="360"/>
      </w:tabs>
      <w:ind w:left="2160"/>
    </w:pPr>
  </w:style>
  <w:style w:type="paragraph" w:styleId="NoSpacing">
    <w:name w:val="No Spacing"/>
    <w:uiPriority w:val="1"/>
    <w:qFormat/>
    <w:rsid w:val="00DB7539"/>
    <w:pPr>
      <w:widowControl w:val="0"/>
      <w:spacing w:after="0" w:line="240" w:lineRule="auto"/>
    </w:pPr>
  </w:style>
  <w:style w:type="paragraph" w:customStyle="1" w:styleId="TEXT">
    <w:name w:val="TEXT"/>
    <w:basedOn w:val="Normal"/>
    <w:qFormat/>
    <w:rsid w:val="005076A8"/>
    <w:pPr>
      <w:spacing w:after="240" w:line="240" w:lineRule="auto"/>
      <w:ind w:right="58" w:firstLine="720"/>
    </w:pPr>
    <w:rPr>
      <w:rFonts w:ascii="Times New Roman" w:eastAsia="Times New Roman" w:hAnsi="Times New Roman" w:cs="Times New Roman"/>
      <w:sz w:val="24"/>
      <w:szCs w:val="24"/>
    </w:rPr>
  </w:style>
  <w:style w:type="paragraph" w:styleId="NormalWeb">
    <w:name w:val="Normal (Web)"/>
    <w:basedOn w:val="Normal"/>
    <w:uiPriority w:val="99"/>
    <w:unhideWhenUsed/>
    <w:rsid w:val="00FF595F"/>
    <w:pPr>
      <w:widowControl/>
      <w:spacing w:before="100" w:beforeAutospacing="1" w:after="100" w:afterAutospacing="1" w:line="240" w:lineRule="auto"/>
    </w:pPr>
    <w:rPr>
      <w:rFonts w:ascii="Verdana" w:eastAsia="Times New Roman" w:hAnsi="Verdana" w:cs="Times New Roman"/>
      <w:sz w:val="20"/>
      <w:szCs w:val="20"/>
    </w:rPr>
  </w:style>
  <w:style w:type="character" w:customStyle="1" w:styleId="Heading1Char">
    <w:name w:val="Heading 1 Char"/>
    <w:basedOn w:val="DefaultParagraphFont"/>
    <w:link w:val="Heading1"/>
    <w:uiPriority w:val="9"/>
    <w:rsid w:val="00780AAC"/>
    <w:rPr>
      <w:rFonts w:ascii="Times New Roman" w:eastAsia="Times New Roman" w:hAnsi="Times New Roman" w:cs="Times New Roman"/>
      <w:b/>
      <w:bCs/>
      <w:caps/>
      <w:spacing w:val="-2"/>
      <w:position w:val="-1"/>
      <w:sz w:val="24"/>
      <w:szCs w:val="24"/>
    </w:rPr>
  </w:style>
  <w:style w:type="character" w:customStyle="1" w:styleId="Heading2Char">
    <w:name w:val="Heading 2 Char"/>
    <w:basedOn w:val="DefaultParagraphFont"/>
    <w:link w:val="Heading2"/>
    <w:uiPriority w:val="9"/>
    <w:rsid w:val="00780AAC"/>
    <w:rPr>
      <w:rFonts w:ascii="Times New Roman" w:eastAsia="Times New Roman" w:hAnsi="Times New Roman" w:cs="Times New Roman"/>
      <w:b/>
      <w:spacing w:val="-2"/>
      <w:position w:val="-1"/>
      <w:sz w:val="24"/>
      <w:szCs w:val="24"/>
    </w:rPr>
  </w:style>
  <w:style w:type="character" w:customStyle="1" w:styleId="Heading3Char">
    <w:name w:val="Heading 3 Char"/>
    <w:basedOn w:val="DefaultParagraphFont"/>
    <w:link w:val="Heading3"/>
    <w:uiPriority w:val="9"/>
    <w:rsid w:val="00780AAC"/>
    <w:rPr>
      <w:rFonts w:ascii="Times New Roman" w:eastAsia="Times New Roman" w:hAnsi="Times New Roman" w:cs="Times New Roman"/>
      <w:i/>
      <w:spacing w:val="-2"/>
      <w:position w:val="-1"/>
      <w:sz w:val="24"/>
      <w:szCs w:val="24"/>
      <w:u w:val="single"/>
    </w:rPr>
  </w:style>
  <w:style w:type="character" w:styleId="CommentReference">
    <w:name w:val="annotation reference"/>
    <w:basedOn w:val="DefaultParagraphFont"/>
    <w:uiPriority w:val="99"/>
    <w:semiHidden/>
    <w:unhideWhenUsed/>
    <w:rsid w:val="00F9185E"/>
    <w:rPr>
      <w:sz w:val="16"/>
      <w:szCs w:val="16"/>
    </w:rPr>
  </w:style>
  <w:style w:type="paragraph" w:styleId="CommentText">
    <w:name w:val="annotation text"/>
    <w:basedOn w:val="Normal"/>
    <w:link w:val="CommentTextChar"/>
    <w:uiPriority w:val="99"/>
    <w:semiHidden/>
    <w:unhideWhenUsed/>
    <w:rsid w:val="00F9185E"/>
    <w:pPr>
      <w:spacing w:line="240" w:lineRule="auto"/>
    </w:pPr>
    <w:rPr>
      <w:sz w:val="20"/>
      <w:szCs w:val="20"/>
    </w:rPr>
  </w:style>
  <w:style w:type="character" w:customStyle="1" w:styleId="CommentTextChar">
    <w:name w:val="Comment Text Char"/>
    <w:basedOn w:val="DefaultParagraphFont"/>
    <w:link w:val="CommentText"/>
    <w:uiPriority w:val="99"/>
    <w:semiHidden/>
    <w:rsid w:val="00F9185E"/>
    <w:rPr>
      <w:sz w:val="20"/>
      <w:szCs w:val="20"/>
    </w:rPr>
  </w:style>
  <w:style w:type="paragraph" w:styleId="CommentSubject">
    <w:name w:val="annotation subject"/>
    <w:basedOn w:val="CommentText"/>
    <w:next w:val="CommentText"/>
    <w:link w:val="CommentSubjectChar"/>
    <w:uiPriority w:val="99"/>
    <w:semiHidden/>
    <w:unhideWhenUsed/>
    <w:rsid w:val="00F9185E"/>
    <w:rPr>
      <w:b/>
      <w:bCs/>
    </w:rPr>
  </w:style>
  <w:style w:type="character" w:customStyle="1" w:styleId="CommentSubjectChar">
    <w:name w:val="Comment Subject Char"/>
    <w:basedOn w:val="CommentTextChar"/>
    <w:link w:val="CommentSubject"/>
    <w:uiPriority w:val="99"/>
    <w:semiHidden/>
    <w:rsid w:val="00F9185E"/>
    <w:rPr>
      <w:b/>
      <w:bCs/>
      <w:sz w:val="20"/>
      <w:szCs w:val="20"/>
    </w:rPr>
  </w:style>
  <w:style w:type="paragraph" w:styleId="Revision">
    <w:name w:val="Revision"/>
    <w:hidden/>
    <w:uiPriority w:val="99"/>
    <w:semiHidden/>
    <w:rsid w:val="008C147B"/>
    <w:pPr>
      <w:spacing w:after="0" w:line="240" w:lineRule="auto"/>
    </w:pPr>
  </w:style>
  <w:style w:type="paragraph" w:customStyle="1" w:styleId="FOOTNOTE">
    <w:name w:val="FOOTNOTE"/>
    <w:basedOn w:val="FootnoteText"/>
    <w:qFormat/>
    <w:rsid w:val="00D3727E"/>
    <w:pPr>
      <w:widowControl/>
      <w:spacing w:after="240"/>
      <w:ind w:left="0" w:firstLine="0"/>
    </w:pPr>
  </w:style>
  <w:style w:type="character" w:styleId="FollowedHyperlink">
    <w:name w:val="FollowedHyperlink"/>
    <w:basedOn w:val="DefaultParagraphFont"/>
    <w:uiPriority w:val="99"/>
    <w:semiHidden/>
    <w:unhideWhenUsed/>
    <w:rsid w:val="00A444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029098">
      <w:bodyDiv w:val="1"/>
      <w:marLeft w:val="0"/>
      <w:marRight w:val="0"/>
      <w:marTop w:val="0"/>
      <w:marBottom w:val="0"/>
      <w:divBdr>
        <w:top w:val="none" w:sz="0" w:space="0" w:color="auto"/>
        <w:left w:val="none" w:sz="0" w:space="0" w:color="auto"/>
        <w:bottom w:val="none" w:sz="0" w:space="0" w:color="auto"/>
        <w:right w:val="none" w:sz="0" w:space="0" w:color="auto"/>
      </w:divBdr>
    </w:div>
    <w:div w:id="447164818">
      <w:bodyDiv w:val="1"/>
      <w:marLeft w:val="0"/>
      <w:marRight w:val="0"/>
      <w:marTop w:val="0"/>
      <w:marBottom w:val="0"/>
      <w:divBdr>
        <w:top w:val="none" w:sz="0" w:space="0" w:color="auto"/>
        <w:left w:val="none" w:sz="0" w:space="0" w:color="auto"/>
        <w:bottom w:val="none" w:sz="0" w:space="0" w:color="auto"/>
        <w:right w:val="none" w:sz="0" w:space="0" w:color="auto"/>
      </w:divBdr>
    </w:div>
    <w:div w:id="685641387">
      <w:bodyDiv w:val="1"/>
      <w:marLeft w:val="0"/>
      <w:marRight w:val="0"/>
      <w:marTop w:val="0"/>
      <w:marBottom w:val="0"/>
      <w:divBdr>
        <w:top w:val="none" w:sz="0" w:space="0" w:color="auto"/>
        <w:left w:val="none" w:sz="0" w:space="0" w:color="auto"/>
        <w:bottom w:val="none" w:sz="0" w:space="0" w:color="auto"/>
        <w:right w:val="none" w:sz="0" w:space="0" w:color="auto"/>
      </w:divBdr>
    </w:div>
    <w:div w:id="1232617601">
      <w:bodyDiv w:val="1"/>
      <w:marLeft w:val="0"/>
      <w:marRight w:val="0"/>
      <w:marTop w:val="0"/>
      <w:marBottom w:val="0"/>
      <w:divBdr>
        <w:top w:val="none" w:sz="0" w:space="0" w:color="auto"/>
        <w:left w:val="none" w:sz="0" w:space="0" w:color="auto"/>
        <w:bottom w:val="none" w:sz="0" w:space="0" w:color="auto"/>
        <w:right w:val="none" w:sz="0" w:space="0" w:color="auto"/>
      </w:divBdr>
    </w:div>
    <w:div w:id="1263225020">
      <w:bodyDiv w:val="1"/>
      <w:marLeft w:val="0"/>
      <w:marRight w:val="0"/>
      <w:marTop w:val="0"/>
      <w:marBottom w:val="0"/>
      <w:divBdr>
        <w:top w:val="none" w:sz="0" w:space="0" w:color="auto"/>
        <w:left w:val="none" w:sz="0" w:space="0" w:color="auto"/>
        <w:bottom w:val="none" w:sz="0" w:space="0" w:color="auto"/>
        <w:right w:val="none" w:sz="0" w:space="0" w:color="auto"/>
      </w:divBdr>
    </w:div>
    <w:div w:id="1384526664">
      <w:bodyDiv w:val="1"/>
      <w:marLeft w:val="0"/>
      <w:marRight w:val="0"/>
      <w:marTop w:val="0"/>
      <w:marBottom w:val="0"/>
      <w:divBdr>
        <w:top w:val="none" w:sz="0" w:space="0" w:color="auto"/>
        <w:left w:val="none" w:sz="0" w:space="0" w:color="auto"/>
        <w:bottom w:val="none" w:sz="0" w:space="0" w:color="auto"/>
        <w:right w:val="none" w:sz="0" w:space="0" w:color="auto"/>
      </w:divBdr>
    </w:div>
    <w:div w:id="1465732442">
      <w:bodyDiv w:val="1"/>
      <w:marLeft w:val="0"/>
      <w:marRight w:val="0"/>
      <w:marTop w:val="0"/>
      <w:marBottom w:val="0"/>
      <w:divBdr>
        <w:top w:val="none" w:sz="0" w:space="0" w:color="auto"/>
        <w:left w:val="none" w:sz="0" w:space="0" w:color="auto"/>
        <w:bottom w:val="none" w:sz="0" w:space="0" w:color="auto"/>
        <w:right w:val="none" w:sz="0" w:space="0" w:color="auto"/>
      </w:divBdr>
    </w:div>
    <w:div w:id="171188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www.sec.gov/comments/s7-08-14/s70814-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0C34-4B94-4B19-B637-30BFD620701D}">
  <ds:schemaRefs>
    <ds:schemaRef ds:uri="http://schemas.openxmlformats.org/officeDocument/2006/bibliography"/>
  </ds:schemaRefs>
</ds:datastoreItem>
</file>

<file path=customXml/itemProps2.xml><?xml version="1.0" encoding="utf-8"?>
<ds:datastoreItem xmlns:ds="http://schemas.openxmlformats.org/officeDocument/2006/customXml" ds:itemID="{4A46CF40-5470-493B-8F8F-E686B0349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1618</Words>
  <Characters>9229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SEC</Company>
  <LinksUpToDate>false</LinksUpToDate>
  <CharactersWithSpaces>10826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 L. Gauch</dc:creator>
  <cp:lastModifiedBy>Tontz, Jennifer</cp:lastModifiedBy>
  <cp:revision>2</cp:revision>
  <cp:lastPrinted>2015-07-15T12:46:00Z</cp:lastPrinted>
  <dcterms:created xsi:type="dcterms:W3CDTF">2015-12-09T21:38:00Z</dcterms:created>
  <dcterms:modified xsi:type="dcterms:W3CDTF">2015-12-09T21:38:00Z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2012-12-05T00:00:00Z</vt:filetime>
  </property>
  <property fmtid="{D5CDD505-2E9C-101B-9397-08002B2CF9AE}" pid="3" name="LastSaved">
    <vt:filetime>2013-11-29T00:00:00Z</vt:filetime>
  </property>
</Properties>
</file>