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2626" w:rsidRPr="006D4510" w:rsidRDefault="00B50C00" w:rsidP="004E4CB6">
      <w:pPr>
        <w:jc w:val="center"/>
        <w:rPr>
          <w:rFonts w:ascii="Times New Roman" w:hAnsi="Times New Roman" w:cs="Times New Roman"/>
          <w:b/>
          <w:sz w:val="24"/>
          <w:szCs w:val="24"/>
        </w:rPr>
      </w:pPr>
      <w:r w:rsidRPr="006D4510">
        <w:rPr>
          <w:rFonts w:ascii="Times New Roman" w:hAnsi="Times New Roman" w:cs="Times New Roman"/>
          <w:b/>
          <w:sz w:val="24"/>
          <w:szCs w:val="24"/>
        </w:rPr>
        <w:t xml:space="preserve">Non-Substantive Change Request for </w:t>
      </w:r>
      <w:r w:rsidR="007A7A67" w:rsidRPr="006D4510">
        <w:rPr>
          <w:rFonts w:ascii="Times New Roman" w:hAnsi="Times New Roman" w:cs="Times New Roman"/>
          <w:b/>
          <w:sz w:val="24"/>
          <w:szCs w:val="24"/>
        </w:rPr>
        <w:t>Information Collection 3060-</w:t>
      </w:r>
      <w:r w:rsidR="006D4510" w:rsidRPr="006D4510">
        <w:rPr>
          <w:rFonts w:ascii="Times New Roman" w:hAnsi="Times New Roman" w:cs="Times New Roman"/>
          <w:b/>
          <w:sz w:val="24"/>
          <w:szCs w:val="24"/>
        </w:rPr>
        <w:t>0888</w:t>
      </w:r>
    </w:p>
    <w:p w:rsidR="006D4510" w:rsidRPr="006D4510" w:rsidRDefault="006D4510" w:rsidP="006D4510">
      <w:pPr>
        <w:widowControl w:val="0"/>
        <w:spacing w:after="0" w:line="240" w:lineRule="auto"/>
        <w:rPr>
          <w:rFonts w:ascii="Times New Roman" w:eastAsia="Times New Roman Bold" w:hAnsi="Times New Roman" w:cs="Times New Roman"/>
          <w:b/>
          <w:snapToGrid w:val="0"/>
          <w:kern w:val="28"/>
          <w:sz w:val="24"/>
          <w:szCs w:val="24"/>
        </w:rPr>
      </w:pPr>
      <w:r w:rsidRPr="006D4510">
        <w:rPr>
          <w:rFonts w:ascii="Times New Roman" w:eastAsia="Times New Roman" w:hAnsi="Times New Roman" w:cs="Times New Roman"/>
          <w:b/>
          <w:snapToGrid w:val="0"/>
          <w:kern w:val="28"/>
          <w:sz w:val="24"/>
          <w:szCs w:val="24"/>
        </w:rPr>
        <w:t>Title: Section 76.7, Petition Procedures; Section 76.9, Confidentiality of Proprietary Information; Section 76.61, Dispute Concerning Carriage; Section 76.914, Revocation of Certification; Section 76.1001, Unfair Practices; Section 76.1003, Program Access Proceedings; Section 76.1302, Carriage Agreement Proceedings; Section 76.1513, Open Video Dispute Resolution</w:t>
      </w:r>
    </w:p>
    <w:p w:rsidR="006D4510" w:rsidRPr="006D4510" w:rsidRDefault="006D4510" w:rsidP="004E4CB6">
      <w:pPr>
        <w:jc w:val="center"/>
        <w:rPr>
          <w:rFonts w:ascii="Times New Roman" w:hAnsi="Times New Roman" w:cs="Times New Roman"/>
          <w:sz w:val="24"/>
          <w:szCs w:val="24"/>
        </w:rPr>
      </w:pPr>
    </w:p>
    <w:p w:rsidR="00B50C00" w:rsidRPr="006D4510" w:rsidRDefault="00B50C00">
      <w:pPr>
        <w:rPr>
          <w:rFonts w:ascii="Times New Roman" w:hAnsi="Times New Roman" w:cs="Times New Roman"/>
          <w:sz w:val="24"/>
          <w:szCs w:val="24"/>
        </w:rPr>
      </w:pPr>
    </w:p>
    <w:p w:rsidR="006D4510" w:rsidRPr="006D4510" w:rsidRDefault="006D4510" w:rsidP="006D4510">
      <w:pPr>
        <w:pBdr>
          <w:top w:val="nil"/>
          <w:left w:val="nil"/>
          <w:bottom w:val="nil"/>
          <w:right w:val="nil"/>
          <w:between w:val="nil"/>
          <w:bar w:val="nil"/>
        </w:pBdr>
        <w:tabs>
          <w:tab w:val="left" w:pos="1440"/>
        </w:tabs>
        <w:spacing w:after="0" w:line="240" w:lineRule="auto"/>
        <w:rPr>
          <w:rFonts w:ascii="Times New Roman" w:eastAsia="Arial Unicode MS" w:hAnsi="Times New Roman" w:cs="Times New Roman"/>
          <w:color w:val="000000"/>
          <w:sz w:val="24"/>
          <w:szCs w:val="24"/>
          <w:u w:color="000000"/>
          <w:bdr w:val="nil"/>
        </w:rPr>
      </w:pPr>
      <w:r w:rsidRPr="006D4510">
        <w:rPr>
          <w:rFonts w:ascii="Times New Roman" w:eastAsia="Arial Unicode MS" w:hAnsi="Times New Roman" w:cs="Times New Roman"/>
          <w:color w:val="000000"/>
          <w:sz w:val="24"/>
          <w:szCs w:val="24"/>
          <w:u w:color="000000"/>
          <w:bdr w:val="nil"/>
        </w:rPr>
        <w:t xml:space="preserve">This </w:t>
      </w:r>
      <w:r w:rsidRPr="006D4510">
        <w:rPr>
          <w:rFonts w:ascii="Times New Roman" w:eastAsia="Arial Unicode MS" w:hAnsi="Times New Roman" w:cs="Times New Roman"/>
          <w:b/>
          <w:color w:val="000000"/>
          <w:sz w:val="24"/>
          <w:szCs w:val="24"/>
          <w:u w:color="000000"/>
          <w:bdr w:val="nil"/>
        </w:rPr>
        <w:t>non-substanti</w:t>
      </w:r>
      <w:r w:rsidR="003F0478">
        <w:rPr>
          <w:rFonts w:ascii="Times New Roman" w:eastAsia="Arial Unicode MS" w:hAnsi="Times New Roman" w:cs="Times New Roman"/>
          <w:b/>
          <w:color w:val="000000"/>
          <w:sz w:val="24"/>
          <w:szCs w:val="24"/>
          <w:u w:color="000000"/>
          <w:bdr w:val="nil"/>
        </w:rPr>
        <w:t>ve</w:t>
      </w:r>
      <w:bookmarkStart w:id="0" w:name="_GoBack"/>
      <w:bookmarkEnd w:id="0"/>
      <w:r w:rsidRPr="006D4510">
        <w:rPr>
          <w:rFonts w:ascii="Times New Roman" w:eastAsia="Arial Unicode MS" w:hAnsi="Times New Roman" w:cs="Times New Roman"/>
          <w:b/>
          <w:color w:val="000000"/>
          <w:sz w:val="24"/>
          <w:szCs w:val="24"/>
          <w:u w:color="000000"/>
          <w:bdr w:val="nil"/>
        </w:rPr>
        <w:t xml:space="preserve"> change request</w:t>
      </w:r>
      <w:r w:rsidRPr="006D4510">
        <w:rPr>
          <w:rFonts w:ascii="Times New Roman" w:eastAsia="Arial Unicode MS" w:hAnsi="Times New Roman" w:cs="Times New Roman"/>
          <w:color w:val="000000"/>
          <w:sz w:val="24"/>
          <w:szCs w:val="24"/>
          <w:u w:color="000000"/>
          <w:bdr w:val="nil"/>
        </w:rPr>
        <w:t xml:space="preserve"> is being submitted to OMB to reflect the non-substantial change to Section 76.7(a)(3) of the Commission’s Rules, 47 C.F.R. § 76.7(a)(3), made by the Commission in its a Report and Order, FCC 15-111, in MB Docket No. 15-71, released on September 2, 2015.  The Report and Order amended Section 76.7(a</w:t>
      </w:r>
      <w:proofErr w:type="gramStart"/>
      <w:r w:rsidRPr="006D4510">
        <w:rPr>
          <w:rFonts w:ascii="Times New Roman" w:eastAsia="Arial Unicode MS" w:hAnsi="Times New Roman" w:cs="Times New Roman"/>
          <w:color w:val="000000"/>
          <w:sz w:val="24"/>
          <w:szCs w:val="24"/>
          <w:u w:color="000000"/>
          <w:bdr w:val="nil"/>
        </w:rPr>
        <w:t>)(</w:t>
      </w:r>
      <w:proofErr w:type="gramEnd"/>
      <w:r w:rsidRPr="006D4510">
        <w:rPr>
          <w:rFonts w:ascii="Times New Roman" w:eastAsia="Arial Unicode MS" w:hAnsi="Times New Roman" w:cs="Times New Roman"/>
          <w:color w:val="000000"/>
          <w:sz w:val="24"/>
          <w:szCs w:val="24"/>
          <w:u w:color="000000"/>
          <w:bdr w:val="nil"/>
        </w:rPr>
        <w:t xml:space="preserve">3) to add a missing reference to any “multichannel video programming distributor operator” in the rule section.  </w:t>
      </w:r>
      <w:r w:rsidRPr="006D4510">
        <w:rPr>
          <w:rFonts w:ascii="Times New Roman" w:eastAsia="Arial Unicode MS" w:hAnsi="Times New Roman" w:cs="Times New Roman"/>
          <w:i/>
          <w:color w:val="000000"/>
          <w:sz w:val="24"/>
          <w:szCs w:val="24"/>
          <w:u w:color="000000"/>
          <w:bdr w:val="nil"/>
        </w:rPr>
        <w:t>See</w:t>
      </w:r>
      <w:r w:rsidRPr="006D4510">
        <w:rPr>
          <w:rFonts w:ascii="Times New Roman" w:eastAsia="Arial Unicode MS" w:hAnsi="Times New Roman" w:cs="Times New Roman"/>
          <w:color w:val="000000"/>
          <w:sz w:val="24"/>
          <w:szCs w:val="24"/>
          <w:u w:color="000000"/>
          <w:bdr w:val="nil"/>
        </w:rPr>
        <w:t xml:space="preserve"> amended 47 C.F.R. Section 76.7(a</w:t>
      </w:r>
      <w:proofErr w:type="gramStart"/>
      <w:r w:rsidRPr="006D4510">
        <w:rPr>
          <w:rFonts w:ascii="Times New Roman" w:eastAsia="Arial Unicode MS" w:hAnsi="Times New Roman" w:cs="Times New Roman"/>
          <w:color w:val="000000"/>
          <w:sz w:val="24"/>
          <w:szCs w:val="24"/>
          <w:u w:color="000000"/>
          <w:bdr w:val="nil"/>
        </w:rPr>
        <w:t>)(</w:t>
      </w:r>
      <w:proofErr w:type="gramEnd"/>
      <w:r w:rsidRPr="006D4510">
        <w:rPr>
          <w:rFonts w:ascii="Times New Roman" w:eastAsia="Arial Unicode MS" w:hAnsi="Times New Roman" w:cs="Times New Roman"/>
          <w:color w:val="000000"/>
          <w:sz w:val="24"/>
          <w:szCs w:val="24"/>
          <w:u w:color="000000"/>
          <w:bdr w:val="nil"/>
        </w:rPr>
        <w:t>3) (“Certificate of service. Petitions and Complaints shall be accompanied by a certificate of service on any cable television system operator, multichannel video programming distributor, franchising authority, station licensee, permittee, or applicant, or other interested person who is likely to be directly affected if the relief requested is granted.”).  As reflected in Section 76.7(a</w:t>
      </w:r>
      <w:proofErr w:type="gramStart"/>
      <w:r w:rsidRPr="006D4510">
        <w:rPr>
          <w:rFonts w:ascii="Times New Roman" w:eastAsia="Arial Unicode MS" w:hAnsi="Times New Roman" w:cs="Times New Roman"/>
          <w:color w:val="000000"/>
          <w:sz w:val="24"/>
          <w:szCs w:val="24"/>
          <w:u w:color="000000"/>
          <w:bdr w:val="nil"/>
        </w:rPr>
        <w:t>)(</w:t>
      </w:r>
      <w:proofErr w:type="gramEnd"/>
      <w:r w:rsidRPr="006D4510">
        <w:rPr>
          <w:rFonts w:ascii="Times New Roman" w:eastAsia="Arial Unicode MS" w:hAnsi="Times New Roman" w:cs="Times New Roman"/>
          <w:color w:val="000000"/>
          <w:sz w:val="24"/>
          <w:szCs w:val="24"/>
          <w:u w:color="000000"/>
          <w:bdr w:val="nil"/>
        </w:rPr>
        <w:t xml:space="preserve">1) of the Commission’s Rules, 47 C.F.R. § 76.7(a)(1), the petition procedures already apply to a multichannel video programming distributor.  </w:t>
      </w:r>
    </w:p>
    <w:p w:rsidR="006D4510" w:rsidRPr="006D4510" w:rsidRDefault="006D4510" w:rsidP="006D4510">
      <w:pPr>
        <w:pBdr>
          <w:top w:val="nil"/>
          <w:left w:val="nil"/>
          <w:bottom w:val="nil"/>
          <w:right w:val="nil"/>
          <w:between w:val="nil"/>
          <w:bar w:val="nil"/>
        </w:pBdr>
        <w:tabs>
          <w:tab w:val="left" w:pos="1440"/>
        </w:tabs>
        <w:spacing w:after="0" w:line="240" w:lineRule="auto"/>
        <w:rPr>
          <w:rFonts w:ascii="Times New Roman" w:eastAsia="Arial Unicode MS" w:hAnsi="Times New Roman" w:cs="Times New Roman"/>
          <w:color w:val="000000"/>
          <w:sz w:val="24"/>
          <w:szCs w:val="24"/>
          <w:u w:color="000000"/>
          <w:bdr w:val="nil"/>
        </w:rPr>
      </w:pPr>
    </w:p>
    <w:p w:rsidR="006D4510" w:rsidRDefault="006D4510" w:rsidP="006D4510">
      <w:pPr>
        <w:widowControl w:val="0"/>
        <w:spacing w:after="0" w:line="240" w:lineRule="auto"/>
        <w:rPr>
          <w:rFonts w:ascii="Times New Roman" w:eastAsia="Times New Roman" w:hAnsi="Times New Roman" w:cs="Times New Roman"/>
          <w:snapToGrid w:val="0"/>
          <w:kern w:val="28"/>
          <w:sz w:val="24"/>
          <w:szCs w:val="24"/>
        </w:rPr>
      </w:pPr>
      <w:r w:rsidRPr="006D4510">
        <w:rPr>
          <w:rFonts w:ascii="Times New Roman" w:eastAsia="Times New Roman" w:hAnsi="Times New Roman" w:cs="Times New Roman"/>
          <w:snapToGrid w:val="0"/>
          <w:kern w:val="28"/>
          <w:sz w:val="24"/>
          <w:szCs w:val="24"/>
        </w:rPr>
        <w:t>In addition, this collection is updated to reflect mandatory electronic filing regarding filings with the FCC in accordance with 47 C.F.R. § 76.7.  Effective January 3, 2012, the Commission requires parties to electronically file Special Relief petitions, complaints and associated responsive pleadings (</w:t>
      </w:r>
      <w:r w:rsidRPr="006D4510">
        <w:rPr>
          <w:rFonts w:ascii="Times New Roman" w:eastAsia="Times New Roman" w:hAnsi="Times New Roman" w:cs="Times New Roman"/>
          <w:i/>
          <w:snapToGrid w:val="0"/>
          <w:kern w:val="28"/>
          <w:sz w:val="24"/>
          <w:szCs w:val="24"/>
        </w:rPr>
        <w:t>e.g.</w:t>
      </w:r>
      <w:r w:rsidRPr="006D4510">
        <w:rPr>
          <w:rFonts w:ascii="Times New Roman" w:eastAsia="Times New Roman" w:hAnsi="Times New Roman" w:cs="Times New Roman"/>
          <w:snapToGrid w:val="0"/>
          <w:kern w:val="28"/>
          <w:sz w:val="24"/>
          <w:szCs w:val="24"/>
        </w:rPr>
        <w:t xml:space="preserve">, answers to complaints, oppositions to petitions, comments, </w:t>
      </w:r>
      <w:proofErr w:type="gramStart"/>
      <w:r w:rsidRPr="006D4510">
        <w:rPr>
          <w:rFonts w:ascii="Times New Roman" w:eastAsia="Times New Roman" w:hAnsi="Times New Roman" w:cs="Times New Roman"/>
          <w:snapToGrid w:val="0"/>
          <w:kern w:val="28"/>
          <w:sz w:val="24"/>
          <w:szCs w:val="24"/>
        </w:rPr>
        <w:t>reply</w:t>
      </w:r>
      <w:proofErr w:type="gramEnd"/>
      <w:r w:rsidRPr="006D4510">
        <w:rPr>
          <w:rFonts w:ascii="Times New Roman" w:eastAsia="Times New Roman" w:hAnsi="Times New Roman" w:cs="Times New Roman"/>
          <w:snapToGrid w:val="0"/>
          <w:kern w:val="28"/>
          <w:sz w:val="24"/>
          <w:szCs w:val="24"/>
        </w:rPr>
        <w:t xml:space="preserve"> comments) with the Commission using the Commission’s Electronic Comment Filing System (ECFS), </w:t>
      </w:r>
      <w:hyperlink r:id="rId6" w:history="1">
        <w:r w:rsidRPr="006D4510">
          <w:rPr>
            <w:rFonts w:ascii="Times New Roman" w:eastAsia="Times New Roman" w:hAnsi="Times New Roman" w:cs="Times New Roman"/>
            <w:snapToGrid w:val="0"/>
            <w:color w:val="0000FF"/>
            <w:kern w:val="28"/>
            <w:sz w:val="24"/>
            <w:szCs w:val="24"/>
            <w:u w:val="single"/>
          </w:rPr>
          <w:t>http://www.fcc.gov/cgb/ecfs/</w:t>
        </w:r>
      </w:hyperlink>
      <w:r w:rsidRPr="006D4510">
        <w:rPr>
          <w:rFonts w:ascii="Times New Roman" w:eastAsia="Times New Roman" w:hAnsi="Times New Roman" w:cs="Times New Roman"/>
          <w:snapToGrid w:val="0"/>
          <w:kern w:val="28"/>
          <w:sz w:val="24"/>
          <w:szCs w:val="24"/>
        </w:rPr>
        <w:t>.</w:t>
      </w:r>
      <w:r w:rsidRPr="006D4510">
        <w:rPr>
          <w:rFonts w:ascii="Times New Roman" w:eastAsia="Times New Roman" w:hAnsi="Times New Roman" w:cs="Times New Roman"/>
          <w:snapToGrid w:val="0"/>
          <w:kern w:val="28"/>
          <w:sz w:val="24"/>
          <w:szCs w:val="24"/>
          <w:vertAlign w:val="superscript"/>
        </w:rPr>
        <w:footnoteReference w:id="1"/>
      </w:r>
      <w:r w:rsidRPr="006D4510">
        <w:rPr>
          <w:rFonts w:ascii="Times New Roman" w:eastAsia="Times New Roman" w:hAnsi="Times New Roman" w:cs="Times New Roman"/>
          <w:snapToGrid w:val="0"/>
          <w:kern w:val="28"/>
          <w:sz w:val="24"/>
          <w:szCs w:val="24"/>
        </w:rPr>
        <w:t xml:space="preserve">  A fee is generally required for the filing of Special Relief petitions and complaints; 47 C.F.R. §§ 1.1104, 1.1117, 76.7.  The </w:t>
      </w:r>
      <w:r w:rsidRPr="006D4510">
        <w:rPr>
          <w:rFonts w:ascii="Times New Roman" w:eastAsia="Times New Roman" w:hAnsi="Times New Roman" w:cs="Times New Roman"/>
          <w:snapToGrid w:val="0"/>
          <w:spacing w:val="-3"/>
          <w:kern w:val="28"/>
          <w:sz w:val="24"/>
          <w:szCs w:val="24"/>
        </w:rPr>
        <w:t xml:space="preserve">filing fee </w:t>
      </w:r>
      <w:r w:rsidRPr="006D4510">
        <w:rPr>
          <w:rFonts w:ascii="Times New Roman" w:eastAsia="Times New Roman" w:hAnsi="Times New Roman" w:cs="Times New Roman"/>
          <w:snapToGrid w:val="0"/>
          <w:kern w:val="28"/>
          <w:sz w:val="24"/>
          <w:szCs w:val="24"/>
        </w:rPr>
        <w:t xml:space="preserve">is currently </w:t>
      </w:r>
      <w:r w:rsidRPr="006D4510">
        <w:rPr>
          <w:rFonts w:ascii="Times New Roman" w:eastAsia="Times New Roman" w:hAnsi="Times New Roman" w:cs="Times New Roman"/>
          <w:snapToGrid w:val="0"/>
          <w:spacing w:val="-3"/>
          <w:kern w:val="28"/>
          <w:sz w:val="24"/>
          <w:szCs w:val="24"/>
        </w:rPr>
        <w:t xml:space="preserve">$1,465.00.  </w:t>
      </w:r>
      <w:r w:rsidRPr="006D4510">
        <w:rPr>
          <w:rFonts w:ascii="Times New Roman" w:eastAsia="Times New Roman" w:hAnsi="Times New Roman" w:cs="Times New Roman"/>
          <w:b/>
          <w:snapToGrid w:val="0"/>
          <w:kern w:val="28"/>
          <w:sz w:val="24"/>
          <w:szCs w:val="24"/>
        </w:rPr>
        <w:t>(</w:t>
      </w:r>
      <w:r w:rsidRPr="006D4510">
        <w:rPr>
          <w:rFonts w:ascii="Times New Roman" w:eastAsia="Times New Roman" w:hAnsi="Times New Roman" w:cs="Times New Roman"/>
          <w:b/>
          <w:snapToGrid w:val="0"/>
          <w:kern w:val="28"/>
          <w:sz w:val="24"/>
          <w:szCs w:val="24"/>
          <w:u w:val="single"/>
        </w:rPr>
        <w:t>Note</w:t>
      </w:r>
      <w:r w:rsidRPr="006D4510">
        <w:rPr>
          <w:rFonts w:ascii="Times New Roman" w:eastAsia="Times New Roman" w:hAnsi="Times New Roman" w:cs="Times New Roman"/>
          <w:b/>
          <w:snapToGrid w:val="0"/>
          <w:kern w:val="28"/>
          <w:sz w:val="24"/>
          <w:szCs w:val="24"/>
        </w:rPr>
        <w:t>: This information collection requirement is being updated to include the filing fees in the annual cost burden.  This was inadvertently omitted from the previous submission and is not due to a substantive change.)</w:t>
      </w:r>
      <w:r w:rsidRPr="006D4510">
        <w:rPr>
          <w:rFonts w:ascii="Times New Roman" w:eastAsia="Times New Roman" w:hAnsi="Times New Roman" w:cs="Times New Roman"/>
          <w:snapToGrid w:val="0"/>
          <w:kern w:val="28"/>
          <w:sz w:val="24"/>
          <w:szCs w:val="24"/>
        </w:rPr>
        <w:t xml:space="preserve"> </w:t>
      </w:r>
    </w:p>
    <w:p w:rsidR="009338FB" w:rsidRDefault="009338FB" w:rsidP="006D4510">
      <w:pPr>
        <w:widowControl w:val="0"/>
        <w:spacing w:after="0" w:line="240" w:lineRule="auto"/>
        <w:rPr>
          <w:rFonts w:ascii="Times New Roman" w:eastAsia="Times New Roman" w:hAnsi="Times New Roman" w:cs="Times New Roman"/>
          <w:snapToGrid w:val="0"/>
          <w:kern w:val="28"/>
          <w:sz w:val="24"/>
          <w:szCs w:val="24"/>
        </w:rPr>
      </w:pPr>
    </w:p>
    <w:p w:rsidR="009338FB" w:rsidRPr="006D4510" w:rsidRDefault="00554600" w:rsidP="006D4510">
      <w:pPr>
        <w:widowControl w:val="0"/>
        <w:spacing w:after="0" w:line="240" w:lineRule="auto"/>
        <w:rPr>
          <w:rFonts w:ascii="Times New Roman" w:eastAsia="Times New Roman" w:hAnsi="Times New Roman" w:cs="Times New Roman"/>
          <w:snapToGrid w:val="0"/>
          <w:kern w:val="28"/>
          <w:sz w:val="24"/>
          <w:szCs w:val="24"/>
        </w:rPr>
      </w:pPr>
      <w:r>
        <w:rPr>
          <w:rFonts w:ascii="Times New Roman" w:eastAsia="Times New Roman" w:hAnsi="Times New Roman" w:cs="Times New Roman"/>
          <w:snapToGrid w:val="0"/>
          <w:kern w:val="28"/>
          <w:sz w:val="24"/>
          <w:szCs w:val="24"/>
        </w:rPr>
        <w:t>The supporting statement has been updated accordingly.  Also, t</w:t>
      </w:r>
      <w:r w:rsidR="009338FB">
        <w:rPr>
          <w:rFonts w:ascii="Times New Roman" w:eastAsia="Times New Roman" w:hAnsi="Times New Roman" w:cs="Times New Roman"/>
          <w:snapToGrid w:val="0"/>
          <w:kern w:val="28"/>
          <w:sz w:val="24"/>
          <w:szCs w:val="24"/>
        </w:rPr>
        <w:t xml:space="preserve">his change request submission </w:t>
      </w:r>
      <w:r w:rsidR="00CC13D1">
        <w:rPr>
          <w:rFonts w:ascii="Times New Roman" w:eastAsia="Times New Roman" w:hAnsi="Times New Roman" w:cs="Times New Roman"/>
          <w:snapToGrid w:val="0"/>
          <w:kern w:val="28"/>
          <w:sz w:val="24"/>
          <w:szCs w:val="24"/>
        </w:rPr>
        <w:t>does</w:t>
      </w:r>
      <w:r w:rsidR="009338FB">
        <w:rPr>
          <w:rFonts w:ascii="Times New Roman" w:eastAsia="Times New Roman" w:hAnsi="Times New Roman" w:cs="Times New Roman"/>
          <w:snapToGrid w:val="0"/>
          <w:kern w:val="28"/>
          <w:sz w:val="24"/>
          <w:szCs w:val="24"/>
        </w:rPr>
        <w:t xml:space="preserve"> not impact the annual burden hours.</w:t>
      </w:r>
    </w:p>
    <w:p w:rsidR="006D4510" w:rsidRPr="006D4510" w:rsidRDefault="006D4510" w:rsidP="006D4510">
      <w:pPr>
        <w:pBdr>
          <w:top w:val="nil"/>
          <w:left w:val="nil"/>
          <w:bottom w:val="nil"/>
          <w:right w:val="nil"/>
          <w:between w:val="nil"/>
          <w:bar w:val="nil"/>
        </w:pBdr>
        <w:tabs>
          <w:tab w:val="left" w:pos="1440"/>
        </w:tabs>
        <w:spacing w:after="0" w:line="240" w:lineRule="auto"/>
        <w:rPr>
          <w:rFonts w:ascii="Times New Roman" w:eastAsia="Arial Unicode MS" w:hAnsi="Times New Roman" w:cs="Times New Roman"/>
          <w:color w:val="000000"/>
          <w:sz w:val="24"/>
          <w:szCs w:val="24"/>
          <w:u w:color="000000"/>
          <w:bdr w:val="nil"/>
        </w:rPr>
      </w:pPr>
    </w:p>
    <w:p w:rsidR="007879B8" w:rsidRPr="006D4510" w:rsidRDefault="007879B8" w:rsidP="007879B8">
      <w:pPr>
        <w:rPr>
          <w:rFonts w:ascii="Times New Roman" w:hAnsi="Times New Roman" w:cs="Times New Roman"/>
          <w:sz w:val="24"/>
          <w:szCs w:val="24"/>
        </w:rPr>
      </w:pPr>
    </w:p>
    <w:p w:rsidR="00B50C00" w:rsidRPr="007879B8" w:rsidRDefault="00B50C00">
      <w:pPr>
        <w:rPr>
          <w:rFonts w:ascii="Arial Black" w:hAnsi="Arial Black"/>
          <w:sz w:val="20"/>
          <w:szCs w:val="20"/>
        </w:rPr>
      </w:pPr>
    </w:p>
    <w:p w:rsidR="00624998" w:rsidRPr="007879B8" w:rsidRDefault="00624998">
      <w:pPr>
        <w:rPr>
          <w:rFonts w:ascii="Arial Black" w:hAnsi="Arial Black"/>
          <w:sz w:val="20"/>
          <w:szCs w:val="20"/>
        </w:rPr>
      </w:pPr>
    </w:p>
    <w:p w:rsidR="00624998" w:rsidRPr="007879B8" w:rsidRDefault="00624998">
      <w:pPr>
        <w:rPr>
          <w:rFonts w:ascii="Arial Black" w:hAnsi="Arial Black"/>
          <w:sz w:val="20"/>
          <w:szCs w:val="20"/>
        </w:rPr>
      </w:pPr>
    </w:p>
    <w:sectPr w:rsidR="00624998" w:rsidRPr="007879B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4510" w:rsidRDefault="006D4510" w:rsidP="006D4510">
      <w:pPr>
        <w:spacing w:after="0" w:line="240" w:lineRule="auto"/>
      </w:pPr>
      <w:r>
        <w:separator/>
      </w:r>
    </w:p>
  </w:endnote>
  <w:endnote w:type="continuationSeparator" w:id="0">
    <w:p w:rsidR="006D4510" w:rsidRDefault="006D4510" w:rsidP="006D45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 New Roman Bold">
    <w:panose1 w:val="02020803070505020304"/>
    <w:charset w:val="00"/>
    <w:family w:val="roman"/>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4510" w:rsidRDefault="006D4510" w:rsidP="006D4510">
      <w:pPr>
        <w:spacing w:after="0" w:line="240" w:lineRule="auto"/>
      </w:pPr>
      <w:r>
        <w:separator/>
      </w:r>
    </w:p>
  </w:footnote>
  <w:footnote w:type="continuationSeparator" w:id="0">
    <w:p w:rsidR="006D4510" w:rsidRDefault="006D4510" w:rsidP="006D4510">
      <w:pPr>
        <w:spacing w:after="0" w:line="240" w:lineRule="auto"/>
      </w:pPr>
      <w:r>
        <w:continuationSeparator/>
      </w:r>
    </w:p>
  </w:footnote>
  <w:footnote w:id="1">
    <w:p w:rsidR="006D4510" w:rsidRPr="00E870E1" w:rsidRDefault="006D4510" w:rsidP="006D4510">
      <w:pPr>
        <w:pStyle w:val="FootnoteText"/>
      </w:pPr>
      <w:r w:rsidRPr="00E870E1">
        <w:rPr>
          <w:rStyle w:val="FootnoteReference"/>
        </w:rPr>
        <w:footnoteRef/>
      </w:r>
      <w:r w:rsidRPr="00E870E1">
        <w:t xml:space="preserve"> </w:t>
      </w:r>
      <w:r w:rsidRPr="00E870E1">
        <w:rPr>
          <w:i/>
        </w:rPr>
        <w:t>See Media Bureau Announces Commencement of Mandatory Electronic Filing for Cable Special Relief Petitions and Cable Show Cause Petitions Via the Electronic Comment Filing System</w:t>
      </w:r>
      <w:r w:rsidRPr="00E870E1">
        <w:t xml:space="preserve">, Public Notice, 26 FCC </w:t>
      </w:r>
      <w:proofErr w:type="spellStart"/>
      <w:r w:rsidRPr="00E870E1">
        <w:t>Rcd</w:t>
      </w:r>
      <w:proofErr w:type="spellEnd"/>
      <w:r w:rsidRPr="00E870E1">
        <w:t xml:space="preserve"> 17150 (MB 2011).  Petitions and complaints must be initially filed in MB Docket No. 12-1 and will be assigned </w:t>
      </w:r>
      <w:r>
        <w:t xml:space="preserve">to </w:t>
      </w:r>
      <w:r w:rsidRPr="00E870E1">
        <w:t xml:space="preserve">a </w:t>
      </w:r>
      <w:r>
        <w:t xml:space="preserve">new </w:t>
      </w:r>
      <w:r w:rsidRPr="00E870E1">
        <w:t xml:space="preserve">docket after </w:t>
      </w:r>
      <w:r>
        <w:t xml:space="preserve">its </w:t>
      </w:r>
      <w:r w:rsidRPr="00E870E1">
        <w:t>placement on public notice</w:t>
      </w:r>
      <w: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ACD"/>
    <w:rsid w:val="00281ACD"/>
    <w:rsid w:val="003F0478"/>
    <w:rsid w:val="004E4CB6"/>
    <w:rsid w:val="00554600"/>
    <w:rsid w:val="00607798"/>
    <w:rsid w:val="00624998"/>
    <w:rsid w:val="006D4510"/>
    <w:rsid w:val="00750702"/>
    <w:rsid w:val="007879B8"/>
    <w:rsid w:val="007A7A67"/>
    <w:rsid w:val="009338FB"/>
    <w:rsid w:val="00A92A21"/>
    <w:rsid w:val="00B50C00"/>
    <w:rsid w:val="00CA06EF"/>
    <w:rsid w:val="00CC13D1"/>
    <w:rsid w:val="00D350A1"/>
    <w:rsid w:val="00E34F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75A0B6-CED2-4B6F-9939-9F6C8C1EA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D451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4510"/>
    <w:rPr>
      <w:sz w:val="20"/>
      <w:szCs w:val="20"/>
    </w:rPr>
  </w:style>
  <w:style w:type="character" w:styleId="FootnoteReference">
    <w:name w:val="footnote reference"/>
    <w:aliases w:val="Style 12,(NECG) Footnote Reference,Appel note de bas de p,Style 124,o,fr,Style 3,Style 13,FR,Style 17,Style 6,Footnote Reference/,Style 4,Style 7"/>
    <w:rsid w:val="006D4510"/>
    <w:rPr>
      <w:rFonts w:ascii="Times New Roman" w:hAnsi="Times New Roman"/>
      <w:dstrike w:val="0"/>
      <w:color w:val="auto"/>
      <w:sz w:val="20"/>
      <w:vertAlign w:val="superscript"/>
    </w:rPr>
  </w:style>
  <w:style w:type="paragraph" w:styleId="BalloonText">
    <w:name w:val="Balloon Text"/>
    <w:basedOn w:val="Normal"/>
    <w:link w:val="BalloonTextChar"/>
    <w:uiPriority w:val="99"/>
    <w:semiHidden/>
    <w:unhideWhenUsed/>
    <w:rsid w:val="00CC13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13D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5095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cc.gov/cgb/ecfs/"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377</Words>
  <Characters>2150</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Federal Communications Commission</Company>
  <LinksUpToDate>false</LinksUpToDate>
  <CharactersWithSpaces>2522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Cheryl B Williams</dc:creator>
  <cp:lastModifiedBy>Cathy Williams</cp:lastModifiedBy>
  <cp:revision>6</cp:revision>
  <cp:lastPrinted>2015-10-22T16:36:00Z</cp:lastPrinted>
  <dcterms:created xsi:type="dcterms:W3CDTF">2015-10-22T16:35:00Z</dcterms:created>
  <dcterms:modified xsi:type="dcterms:W3CDTF">2015-10-27T15:46:00Z</dcterms:modified>
</cp:coreProperties>
</file>