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22907" w14:textId="77777777" w:rsidR="005164F9" w:rsidRDefault="005164F9">
      <w:pPr>
        <w:jc w:val="center"/>
        <w:rPr>
          <w:rFonts w:asciiTheme="minorHAnsi" w:hAnsiTheme="minorHAnsi" w:cs="Calibri"/>
          <w:b/>
          <w:sz w:val="22"/>
          <w:szCs w:val="22"/>
        </w:rPr>
      </w:pPr>
      <w:bookmarkStart w:id="0" w:name="_GoBack"/>
      <w:bookmarkEnd w:id="0"/>
      <w:r w:rsidRPr="00DE04E4">
        <w:rPr>
          <w:rFonts w:asciiTheme="minorHAnsi" w:hAnsiTheme="minorHAnsi" w:cs="Calibri"/>
          <w:b/>
          <w:sz w:val="22"/>
          <w:szCs w:val="22"/>
        </w:rPr>
        <w:t>SUPPORTING STATEMENT</w:t>
      </w:r>
    </w:p>
    <w:p w14:paraId="6AB843AB" w14:textId="77777777" w:rsidR="00227697" w:rsidRDefault="00227697">
      <w:pPr>
        <w:jc w:val="center"/>
        <w:rPr>
          <w:rFonts w:asciiTheme="minorHAnsi" w:hAnsiTheme="minorHAnsi" w:cs="Calibri"/>
          <w:b/>
          <w:sz w:val="22"/>
          <w:szCs w:val="22"/>
        </w:rPr>
      </w:pPr>
    </w:p>
    <w:p w14:paraId="1917442C" w14:textId="77777777" w:rsidR="00227697" w:rsidRDefault="00227697">
      <w:pPr>
        <w:jc w:val="center"/>
        <w:rPr>
          <w:rFonts w:asciiTheme="minorHAnsi" w:hAnsiTheme="minorHAnsi" w:cs="Calibri"/>
          <w:b/>
          <w:sz w:val="22"/>
          <w:szCs w:val="22"/>
        </w:rPr>
      </w:pPr>
      <w:r>
        <w:rPr>
          <w:rFonts w:asciiTheme="minorHAnsi" w:hAnsiTheme="minorHAnsi" w:cs="Calibri"/>
          <w:b/>
          <w:sz w:val="22"/>
          <w:szCs w:val="22"/>
        </w:rPr>
        <w:t xml:space="preserve">Mortality Risk Valuation:  </w:t>
      </w:r>
    </w:p>
    <w:p w14:paraId="3823E497" w14:textId="3FF6DA7E" w:rsidR="00227697" w:rsidRDefault="00227697">
      <w:pPr>
        <w:jc w:val="center"/>
        <w:rPr>
          <w:rFonts w:asciiTheme="minorHAnsi" w:hAnsiTheme="minorHAnsi" w:cs="Calibri"/>
          <w:b/>
          <w:sz w:val="22"/>
          <w:szCs w:val="22"/>
        </w:rPr>
      </w:pPr>
      <w:r>
        <w:rPr>
          <w:rFonts w:asciiTheme="minorHAnsi" w:hAnsiTheme="minorHAnsi" w:cs="Calibri"/>
          <w:b/>
          <w:sz w:val="22"/>
          <w:szCs w:val="22"/>
        </w:rPr>
        <w:t>An exploration of alternative nomenclature through focus groups</w:t>
      </w:r>
    </w:p>
    <w:p w14:paraId="3A0A80AA" w14:textId="77777777" w:rsidR="00227697" w:rsidRPr="00DE04E4" w:rsidRDefault="00227697">
      <w:pPr>
        <w:jc w:val="center"/>
        <w:rPr>
          <w:rFonts w:asciiTheme="minorHAnsi" w:hAnsiTheme="minorHAnsi" w:cs="Calibri"/>
          <w:b/>
          <w:sz w:val="22"/>
          <w:szCs w:val="22"/>
        </w:rPr>
      </w:pPr>
    </w:p>
    <w:p w14:paraId="5231B4EE" w14:textId="77777777" w:rsidR="005164F9" w:rsidRPr="00DE04E4" w:rsidRDefault="005164F9">
      <w:pPr>
        <w:rPr>
          <w:rFonts w:asciiTheme="minorHAnsi" w:hAnsiTheme="minorHAnsi" w:cs="Calibri"/>
          <w:sz w:val="22"/>
          <w:szCs w:val="22"/>
        </w:rPr>
      </w:pPr>
    </w:p>
    <w:p w14:paraId="57F6F004"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  Title of the Information Collection</w:t>
      </w:r>
    </w:p>
    <w:p w14:paraId="3762B653" w14:textId="77777777" w:rsidR="005164F9" w:rsidRDefault="005164F9">
      <w:pPr>
        <w:rPr>
          <w:rFonts w:asciiTheme="minorHAnsi" w:hAnsiTheme="minorHAnsi" w:cs="Calibri"/>
          <w:sz w:val="22"/>
          <w:szCs w:val="22"/>
        </w:rPr>
      </w:pPr>
    </w:p>
    <w:p w14:paraId="32DC86BD" w14:textId="135FD7B9" w:rsidR="00227697" w:rsidRDefault="00227697" w:rsidP="00227697">
      <w:pPr>
        <w:rPr>
          <w:rFonts w:asciiTheme="minorHAnsi" w:hAnsiTheme="minorHAnsi" w:cs="Calibri"/>
          <w:b/>
          <w:sz w:val="22"/>
          <w:szCs w:val="22"/>
        </w:rPr>
      </w:pPr>
      <w:r>
        <w:rPr>
          <w:rFonts w:asciiTheme="minorHAnsi" w:hAnsiTheme="minorHAnsi" w:cs="Calibri"/>
          <w:b/>
          <w:sz w:val="22"/>
          <w:szCs w:val="22"/>
        </w:rPr>
        <w:t>Mortality Risk Valuation: An exploration of alternative nomenclature through focus groups</w:t>
      </w:r>
    </w:p>
    <w:p w14:paraId="5129D986" w14:textId="77777777" w:rsidR="00227697" w:rsidRPr="00DE04E4" w:rsidRDefault="00227697" w:rsidP="00227697">
      <w:pPr>
        <w:jc w:val="center"/>
        <w:rPr>
          <w:rFonts w:asciiTheme="minorHAnsi" w:hAnsiTheme="minorHAnsi" w:cs="Calibri"/>
          <w:b/>
          <w:sz w:val="22"/>
          <w:szCs w:val="22"/>
        </w:rPr>
      </w:pPr>
    </w:p>
    <w:p w14:paraId="5B359791"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(2)  Short Characterization/Abstract</w:t>
      </w:r>
    </w:p>
    <w:p w14:paraId="32047BA8" w14:textId="77777777" w:rsidR="005164F9" w:rsidRPr="00DE04E4" w:rsidRDefault="005164F9">
      <w:pPr>
        <w:rPr>
          <w:rFonts w:asciiTheme="minorHAnsi" w:hAnsiTheme="minorHAnsi" w:cs="Calibri"/>
          <w:sz w:val="22"/>
          <w:szCs w:val="22"/>
        </w:rPr>
      </w:pPr>
    </w:p>
    <w:p w14:paraId="135CCE9D" w14:textId="35E0BB03" w:rsidR="00227697" w:rsidRPr="00227697" w:rsidRDefault="00227697" w:rsidP="00227697">
      <w:pPr>
        <w:autoSpaceDE w:val="0"/>
        <w:autoSpaceDN w:val="0"/>
        <w:adjustRightInd w:val="0"/>
        <w:rPr>
          <w:rFonts w:asciiTheme="minorHAnsi" w:hAnsiTheme="minorHAnsi"/>
          <w:sz w:val="22"/>
          <w:szCs w:val="22"/>
        </w:rPr>
      </w:pPr>
      <w:r w:rsidRPr="00227697">
        <w:rPr>
          <w:rFonts w:asciiTheme="minorHAnsi" w:hAnsiTheme="minorHAnsi"/>
          <w:sz w:val="22"/>
          <w:szCs w:val="22"/>
        </w:rPr>
        <w:t xml:space="preserve">In pursuing its mission to protect human health and the environment, the EPA issues regulations </w:t>
      </w:r>
      <w:r w:rsidR="008E5A2F">
        <w:rPr>
          <w:rFonts w:asciiTheme="minorHAnsi" w:hAnsiTheme="minorHAnsi"/>
          <w:sz w:val="22"/>
          <w:szCs w:val="22"/>
        </w:rPr>
        <w:t xml:space="preserve">that </w:t>
      </w:r>
      <w:r w:rsidRPr="00227697">
        <w:rPr>
          <w:rFonts w:asciiTheme="minorHAnsi" w:hAnsiTheme="minorHAnsi"/>
          <w:sz w:val="22"/>
          <w:szCs w:val="22"/>
        </w:rPr>
        <w:t>reduc</w:t>
      </w:r>
      <w:r w:rsidR="008E5A2F">
        <w:rPr>
          <w:rFonts w:asciiTheme="minorHAnsi" w:hAnsiTheme="minorHAnsi"/>
          <w:sz w:val="22"/>
          <w:szCs w:val="22"/>
        </w:rPr>
        <w:t>e</w:t>
      </w:r>
      <w:r w:rsidRPr="00227697">
        <w:rPr>
          <w:rFonts w:asciiTheme="minorHAnsi" w:hAnsiTheme="minorHAnsi"/>
          <w:sz w:val="22"/>
          <w:szCs w:val="22"/>
        </w:rPr>
        <w:t xml:space="preserve"> environmental risks to human health.  These rules are informed by scientific analyses</w:t>
      </w:r>
      <w:r w:rsidR="0039471C">
        <w:rPr>
          <w:rFonts w:asciiTheme="minorHAnsi" w:hAnsiTheme="minorHAnsi"/>
          <w:sz w:val="22"/>
          <w:szCs w:val="22"/>
        </w:rPr>
        <w:t xml:space="preserve">, including </w:t>
      </w:r>
      <w:r w:rsidRPr="00227697">
        <w:rPr>
          <w:rFonts w:asciiTheme="minorHAnsi" w:hAnsiTheme="minorHAnsi"/>
          <w:sz w:val="22"/>
          <w:szCs w:val="22"/>
        </w:rPr>
        <w:t>benefit-cost analys</w:t>
      </w:r>
      <w:r w:rsidR="0039471C">
        <w:rPr>
          <w:rFonts w:asciiTheme="minorHAnsi" w:hAnsiTheme="minorHAnsi"/>
          <w:sz w:val="22"/>
          <w:szCs w:val="22"/>
        </w:rPr>
        <w:t>i</w:t>
      </w:r>
      <w:r w:rsidRPr="00227697">
        <w:rPr>
          <w:rFonts w:asciiTheme="minorHAnsi" w:hAnsiTheme="minorHAnsi"/>
          <w:sz w:val="22"/>
          <w:szCs w:val="22"/>
        </w:rPr>
        <w:t>s</w:t>
      </w:r>
      <w:r w:rsidR="0039471C">
        <w:rPr>
          <w:rFonts w:asciiTheme="minorHAnsi" w:hAnsiTheme="minorHAnsi"/>
          <w:sz w:val="22"/>
          <w:szCs w:val="22"/>
        </w:rPr>
        <w:t xml:space="preserve"> as required </w:t>
      </w:r>
      <w:r w:rsidRPr="00227697">
        <w:rPr>
          <w:rFonts w:asciiTheme="minorHAnsi" w:hAnsiTheme="minorHAnsi"/>
          <w:sz w:val="22"/>
          <w:szCs w:val="22"/>
        </w:rPr>
        <w:t xml:space="preserve">for every economically significant regulation—those with an estimated economic impact of $100 million or more in any one year—and others as required by law. </w:t>
      </w:r>
    </w:p>
    <w:p w14:paraId="6A6F093E" w14:textId="77777777" w:rsidR="00227697" w:rsidRPr="00227697" w:rsidRDefault="00227697" w:rsidP="00227697">
      <w:pPr>
        <w:autoSpaceDE w:val="0"/>
        <w:autoSpaceDN w:val="0"/>
        <w:adjustRightInd w:val="0"/>
        <w:rPr>
          <w:rFonts w:asciiTheme="minorHAnsi" w:hAnsiTheme="minorHAnsi"/>
          <w:sz w:val="22"/>
          <w:szCs w:val="22"/>
        </w:rPr>
      </w:pPr>
    </w:p>
    <w:p w14:paraId="1C2A8114" w14:textId="2FE2E659" w:rsidR="00E519DA" w:rsidRDefault="00D62C25" w:rsidP="00227697">
      <w:pPr>
        <w:autoSpaceDE w:val="0"/>
        <w:autoSpaceDN w:val="0"/>
        <w:adjustRightInd w:val="0"/>
        <w:rPr>
          <w:rFonts w:asciiTheme="minorHAnsi" w:hAnsiTheme="minorHAnsi"/>
          <w:sz w:val="22"/>
          <w:szCs w:val="22"/>
        </w:rPr>
      </w:pPr>
      <w:r>
        <w:rPr>
          <w:rFonts w:asciiTheme="minorHAnsi" w:hAnsiTheme="minorHAnsi"/>
          <w:sz w:val="22"/>
          <w:szCs w:val="22"/>
        </w:rPr>
        <w:t>Although the risk reduction</w:t>
      </w:r>
      <w:r w:rsidR="00E519DA">
        <w:rPr>
          <w:rFonts w:asciiTheme="minorHAnsi" w:hAnsiTheme="minorHAnsi"/>
          <w:sz w:val="22"/>
          <w:szCs w:val="22"/>
        </w:rPr>
        <w:t xml:space="preserve"> accruing to </w:t>
      </w:r>
      <w:r>
        <w:rPr>
          <w:rFonts w:asciiTheme="minorHAnsi" w:hAnsiTheme="minorHAnsi"/>
          <w:sz w:val="22"/>
          <w:szCs w:val="22"/>
        </w:rPr>
        <w:t xml:space="preserve">any one individual </w:t>
      </w:r>
      <w:r w:rsidR="00E519DA">
        <w:rPr>
          <w:rFonts w:asciiTheme="minorHAnsi" w:hAnsiTheme="minorHAnsi"/>
          <w:sz w:val="22"/>
          <w:szCs w:val="22"/>
        </w:rPr>
        <w:t>from an environmental regulation are typically</w:t>
      </w:r>
      <w:r>
        <w:rPr>
          <w:rFonts w:asciiTheme="minorHAnsi" w:hAnsiTheme="minorHAnsi"/>
          <w:sz w:val="22"/>
          <w:szCs w:val="22"/>
        </w:rPr>
        <w:t xml:space="preserve"> small</w:t>
      </w:r>
      <w:r w:rsidR="00E519DA">
        <w:rPr>
          <w:rFonts w:asciiTheme="minorHAnsi" w:hAnsiTheme="minorHAnsi"/>
          <w:sz w:val="22"/>
          <w:szCs w:val="22"/>
        </w:rPr>
        <w:t xml:space="preserve"> (e.g., 1-in -10,000 reduction in risk), </w:t>
      </w:r>
      <w:r>
        <w:rPr>
          <w:rFonts w:asciiTheme="minorHAnsi" w:hAnsiTheme="minorHAnsi"/>
          <w:sz w:val="22"/>
          <w:szCs w:val="22"/>
        </w:rPr>
        <w:t>when aggregated over the entire affected population</w:t>
      </w:r>
      <w:r w:rsidR="00E519DA">
        <w:rPr>
          <w:rFonts w:asciiTheme="minorHAnsi" w:hAnsiTheme="minorHAnsi"/>
          <w:sz w:val="22"/>
          <w:szCs w:val="22"/>
        </w:rPr>
        <w:t>, the total benefits</w:t>
      </w:r>
      <w:r>
        <w:rPr>
          <w:rFonts w:asciiTheme="minorHAnsi" w:hAnsiTheme="minorHAnsi"/>
          <w:sz w:val="22"/>
          <w:szCs w:val="22"/>
        </w:rPr>
        <w:t xml:space="preserve"> can be sizable</w:t>
      </w:r>
      <w:r w:rsidR="00E519DA">
        <w:rPr>
          <w:rFonts w:asciiTheme="minorHAnsi" w:hAnsiTheme="minorHAnsi"/>
          <w:sz w:val="22"/>
          <w:szCs w:val="22"/>
        </w:rPr>
        <w:t xml:space="preserve"> and are often reported in terms of “lives saved</w:t>
      </w:r>
      <w:r w:rsidR="00227697" w:rsidRPr="00227697">
        <w:rPr>
          <w:rFonts w:asciiTheme="minorHAnsi" w:hAnsiTheme="minorHAnsi"/>
          <w:sz w:val="22"/>
          <w:szCs w:val="22"/>
        </w:rPr>
        <w:t>.</w:t>
      </w:r>
      <w:r w:rsidR="00E519DA">
        <w:rPr>
          <w:rFonts w:asciiTheme="minorHAnsi" w:hAnsiTheme="minorHAnsi"/>
          <w:sz w:val="22"/>
          <w:szCs w:val="22"/>
        </w:rPr>
        <w:t>”</w:t>
      </w:r>
      <w:r w:rsidR="00833680">
        <w:rPr>
          <w:rFonts w:asciiTheme="minorHAnsi" w:hAnsiTheme="minorHAnsi"/>
          <w:sz w:val="22"/>
          <w:szCs w:val="22"/>
        </w:rPr>
        <w:t xml:space="preserve">  </w:t>
      </w:r>
    </w:p>
    <w:p w14:paraId="7D31487A" w14:textId="77777777" w:rsidR="00E519DA" w:rsidRDefault="00E519DA" w:rsidP="00227697">
      <w:pPr>
        <w:autoSpaceDE w:val="0"/>
        <w:autoSpaceDN w:val="0"/>
        <w:adjustRightInd w:val="0"/>
        <w:rPr>
          <w:rFonts w:asciiTheme="minorHAnsi" w:hAnsiTheme="minorHAnsi"/>
          <w:sz w:val="22"/>
          <w:szCs w:val="22"/>
        </w:rPr>
      </w:pPr>
    </w:p>
    <w:p w14:paraId="0FFB96A7" w14:textId="31E2C686" w:rsidR="00227697" w:rsidRPr="00227697" w:rsidRDefault="00E519DA" w:rsidP="00227697">
      <w:pPr>
        <w:autoSpaceDE w:val="0"/>
        <w:autoSpaceDN w:val="0"/>
        <w:adjustRightInd w:val="0"/>
        <w:rPr>
          <w:rFonts w:asciiTheme="minorHAnsi" w:hAnsiTheme="minorHAnsi"/>
          <w:sz w:val="22"/>
          <w:szCs w:val="22"/>
        </w:rPr>
      </w:pPr>
      <w:r w:rsidRPr="00227697">
        <w:rPr>
          <w:rFonts w:asciiTheme="minorHAnsi" w:hAnsiTheme="minorHAnsi"/>
          <w:sz w:val="22"/>
          <w:szCs w:val="22"/>
        </w:rPr>
        <w:t xml:space="preserve">The </w:t>
      </w:r>
      <w:r w:rsidR="006035EB">
        <w:rPr>
          <w:rFonts w:asciiTheme="minorHAnsi" w:hAnsiTheme="minorHAnsi"/>
          <w:sz w:val="22"/>
          <w:szCs w:val="22"/>
        </w:rPr>
        <w:t xml:space="preserve">monetary </w:t>
      </w:r>
      <w:r w:rsidRPr="00227697">
        <w:rPr>
          <w:rFonts w:asciiTheme="minorHAnsi" w:hAnsiTheme="minorHAnsi"/>
          <w:sz w:val="22"/>
          <w:szCs w:val="22"/>
        </w:rPr>
        <w:t xml:space="preserve">value </w:t>
      </w:r>
      <w:r>
        <w:rPr>
          <w:rFonts w:asciiTheme="minorHAnsi" w:hAnsiTheme="minorHAnsi"/>
          <w:sz w:val="22"/>
          <w:szCs w:val="22"/>
        </w:rPr>
        <w:t xml:space="preserve">associated with these </w:t>
      </w:r>
      <w:r w:rsidRPr="00227697">
        <w:rPr>
          <w:rFonts w:asciiTheme="minorHAnsi" w:hAnsiTheme="minorHAnsi"/>
          <w:sz w:val="22"/>
          <w:szCs w:val="22"/>
        </w:rPr>
        <w:t xml:space="preserve">reductions in mortality risks </w:t>
      </w:r>
      <w:r>
        <w:rPr>
          <w:rFonts w:asciiTheme="minorHAnsi" w:hAnsiTheme="minorHAnsi"/>
          <w:sz w:val="22"/>
          <w:szCs w:val="22"/>
        </w:rPr>
        <w:t xml:space="preserve">are derived from published studies that either elicit willingness to pay estimates using stated preference techniques or marginal willingness to accept estimates using hedonic wage analyses.  Ultimately, the </w:t>
      </w:r>
      <w:r w:rsidR="00347B0D">
        <w:rPr>
          <w:rFonts w:asciiTheme="minorHAnsi" w:hAnsiTheme="minorHAnsi"/>
          <w:sz w:val="22"/>
          <w:szCs w:val="22"/>
        </w:rPr>
        <w:t xml:space="preserve">individual </w:t>
      </w:r>
      <w:r>
        <w:rPr>
          <w:rFonts w:asciiTheme="minorHAnsi" w:hAnsiTheme="minorHAnsi"/>
          <w:sz w:val="22"/>
          <w:szCs w:val="22"/>
        </w:rPr>
        <w:t xml:space="preserve">valuation estimates </w:t>
      </w:r>
      <w:r w:rsidR="00347B0D">
        <w:rPr>
          <w:rFonts w:asciiTheme="minorHAnsi" w:hAnsiTheme="minorHAnsi"/>
          <w:sz w:val="22"/>
          <w:szCs w:val="22"/>
        </w:rPr>
        <w:t xml:space="preserve">for these small changes in risk are </w:t>
      </w:r>
      <w:r>
        <w:rPr>
          <w:rFonts w:asciiTheme="minorHAnsi" w:hAnsiTheme="minorHAnsi"/>
          <w:sz w:val="22"/>
          <w:szCs w:val="22"/>
        </w:rPr>
        <w:t xml:space="preserve">themselves aggregated and </w:t>
      </w:r>
      <w:r w:rsidR="00347B0D">
        <w:rPr>
          <w:rFonts w:asciiTheme="minorHAnsi" w:hAnsiTheme="minorHAnsi"/>
          <w:sz w:val="22"/>
          <w:szCs w:val="22"/>
        </w:rPr>
        <w:t>reported as a</w:t>
      </w:r>
      <w:r w:rsidR="00DC1569">
        <w:rPr>
          <w:rFonts w:asciiTheme="minorHAnsi" w:hAnsiTheme="minorHAnsi"/>
          <w:sz w:val="22"/>
          <w:szCs w:val="22"/>
        </w:rPr>
        <w:t xml:space="preserve"> “value of statistical life” or VSL.  </w:t>
      </w:r>
      <w:r w:rsidR="00227697" w:rsidRPr="00227697">
        <w:rPr>
          <w:rFonts w:asciiTheme="minorHAnsi" w:hAnsiTheme="minorHAnsi"/>
          <w:sz w:val="22"/>
          <w:szCs w:val="22"/>
        </w:rPr>
        <w:t xml:space="preserve">   </w:t>
      </w:r>
      <w:r w:rsidR="00347B0D">
        <w:rPr>
          <w:rFonts w:asciiTheme="minorHAnsi" w:hAnsiTheme="minorHAnsi"/>
          <w:sz w:val="22"/>
          <w:szCs w:val="22"/>
        </w:rPr>
        <w:t>The VSL is then applied in Agency economic analyses to value the aggregate</w:t>
      </w:r>
      <w:r w:rsidR="00F36035">
        <w:rPr>
          <w:rFonts w:asciiTheme="minorHAnsi" w:hAnsiTheme="minorHAnsi"/>
          <w:sz w:val="22"/>
          <w:szCs w:val="22"/>
        </w:rPr>
        <w:t>d</w:t>
      </w:r>
      <w:r w:rsidR="00347B0D">
        <w:rPr>
          <w:rFonts w:asciiTheme="minorHAnsi" w:hAnsiTheme="minorHAnsi"/>
          <w:sz w:val="22"/>
          <w:szCs w:val="22"/>
        </w:rPr>
        <w:t xml:space="preserve"> estimate</w:t>
      </w:r>
      <w:r w:rsidR="00F36035">
        <w:rPr>
          <w:rFonts w:asciiTheme="minorHAnsi" w:hAnsiTheme="minorHAnsi"/>
          <w:sz w:val="22"/>
          <w:szCs w:val="22"/>
        </w:rPr>
        <w:t>s</w:t>
      </w:r>
      <w:r w:rsidR="00347B0D">
        <w:rPr>
          <w:rFonts w:asciiTheme="minorHAnsi" w:hAnsiTheme="minorHAnsi"/>
          <w:sz w:val="22"/>
          <w:szCs w:val="22"/>
        </w:rPr>
        <w:t xml:space="preserve"> of </w:t>
      </w:r>
      <w:r w:rsidR="00F36035">
        <w:rPr>
          <w:rFonts w:asciiTheme="minorHAnsi" w:hAnsiTheme="minorHAnsi"/>
          <w:sz w:val="22"/>
          <w:szCs w:val="22"/>
        </w:rPr>
        <w:t>mortality risk reduction</w:t>
      </w:r>
      <w:r w:rsidR="006035EB">
        <w:rPr>
          <w:rFonts w:asciiTheme="minorHAnsi" w:hAnsiTheme="minorHAnsi"/>
          <w:sz w:val="22"/>
          <w:szCs w:val="22"/>
        </w:rPr>
        <w:t>,</w:t>
      </w:r>
      <w:r w:rsidR="00F36035">
        <w:rPr>
          <w:rFonts w:asciiTheme="minorHAnsi" w:hAnsiTheme="minorHAnsi"/>
          <w:sz w:val="22"/>
          <w:szCs w:val="22"/>
        </w:rPr>
        <w:t xml:space="preserve"> or lives saved</w:t>
      </w:r>
      <w:r w:rsidR="006035EB">
        <w:rPr>
          <w:rFonts w:asciiTheme="minorHAnsi" w:hAnsiTheme="minorHAnsi"/>
          <w:sz w:val="22"/>
          <w:szCs w:val="22"/>
        </w:rPr>
        <w:t>,</w:t>
      </w:r>
      <w:r w:rsidR="00347B0D">
        <w:rPr>
          <w:rFonts w:asciiTheme="minorHAnsi" w:hAnsiTheme="minorHAnsi"/>
          <w:sz w:val="22"/>
          <w:szCs w:val="22"/>
        </w:rPr>
        <w:t xml:space="preserve"> and as such </w:t>
      </w:r>
      <w:r w:rsidR="00347B0D" w:rsidRPr="00227697">
        <w:rPr>
          <w:rFonts w:asciiTheme="minorHAnsi" w:hAnsiTheme="minorHAnsi"/>
          <w:sz w:val="22"/>
          <w:szCs w:val="22"/>
        </w:rPr>
        <w:t>figure</w:t>
      </w:r>
      <w:r w:rsidR="00347B0D">
        <w:rPr>
          <w:rFonts w:asciiTheme="minorHAnsi" w:hAnsiTheme="minorHAnsi"/>
          <w:sz w:val="22"/>
          <w:szCs w:val="22"/>
        </w:rPr>
        <w:t>s</w:t>
      </w:r>
      <w:r w:rsidR="00347B0D" w:rsidRPr="00227697">
        <w:rPr>
          <w:rFonts w:asciiTheme="minorHAnsi" w:hAnsiTheme="minorHAnsi"/>
          <w:sz w:val="22"/>
          <w:szCs w:val="22"/>
        </w:rPr>
        <w:t xml:space="preserve"> prominently in the estimated benefits for many regulations issued by the EPA</w:t>
      </w:r>
      <w:r w:rsidR="00347B0D">
        <w:rPr>
          <w:rFonts w:asciiTheme="minorHAnsi" w:hAnsiTheme="minorHAnsi"/>
          <w:sz w:val="22"/>
          <w:szCs w:val="22"/>
        </w:rPr>
        <w:t xml:space="preserve">.  </w:t>
      </w:r>
    </w:p>
    <w:p w14:paraId="41CF4722" w14:textId="77777777" w:rsidR="00227697" w:rsidRPr="00227697" w:rsidRDefault="00227697" w:rsidP="00227697">
      <w:pPr>
        <w:autoSpaceDE w:val="0"/>
        <w:autoSpaceDN w:val="0"/>
        <w:adjustRightInd w:val="0"/>
        <w:rPr>
          <w:rFonts w:asciiTheme="minorHAnsi" w:hAnsiTheme="minorHAnsi"/>
          <w:sz w:val="22"/>
          <w:szCs w:val="22"/>
        </w:rPr>
      </w:pPr>
    </w:p>
    <w:p w14:paraId="47E8B240" w14:textId="7859FF58" w:rsidR="00227697" w:rsidRPr="00227697" w:rsidRDefault="00F03885" w:rsidP="00227697">
      <w:pPr>
        <w:autoSpaceDE w:val="0"/>
        <w:autoSpaceDN w:val="0"/>
        <w:adjustRightInd w:val="0"/>
        <w:rPr>
          <w:rFonts w:asciiTheme="minorHAnsi" w:hAnsiTheme="minorHAnsi"/>
          <w:sz w:val="22"/>
          <w:szCs w:val="22"/>
        </w:rPr>
      </w:pPr>
      <w:r>
        <w:rPr>
          <w:rFonts w:asciiTheme="minorHAnsi" w:hAnsiTheme="minorHAnsi"/>
          <w:sz w:val="22"/>
          <w:szCs w:val="22"/>
        </w:rPr>
        <w:t>T</w:t>
      </w:r>
      <w:r w:rsidR="00227697" w:rsidRPr="00227697">
        <w:rPr>
          <w:rFonts w:asciiTheme="minorHAnsi" w:hAnsiTheme="minorHAnsi"/>
          <w:sz w:val="22"/>
          <w:szCs w:val="22"/>
        </w:rPr>
        <w:t>he VSL is sometimes misconstrued</w:t>
      </w:r>
      <w:r w:rsidR="00347B0D">
        <w:rPr>
          <w:rFonts w:asciiTheme="minorHAnsi" w:hAnsiTheme="minorHAnsi"/>
          <w:sz w:val="22"/>
          <w:szCs w:val="22"/>
        </w:rPr>
        <w:t>, however,</w:t>
      </w:r>
      <w:r w:rsidR="00227697" w:rsidRPr="00227697">
        <w:rPr>
          <w:rFonts w:asciiTheme="minorHAnsi" w:hAnsiTheme="minorHAnsi"/>
          <w:sz w:val="22"/>
          <w:szCs w:val="22"/>
        </w:rPr>
        <w:t xml:space="preserve"> as a measure of the dollar value of avoiding certain death for a single individual</w:t>
      </w:r>
      <w:r w:rsidR="007C717B">
        <w:rPr>
          <w:rFonts w:asciiTheme="minorHAnsi" w:hAnsiTheme="minorHAnsi"/>
          <w:sz w:val="22"/>
          <w:szCs w:val="22"/>
        </w:rPr>
        <w:t xml:space="preserve">.  </w:t>
      </w:r>
      <w:r w:rsidR="00687BE2">
        <w:rPr>
          <w:rFonts w:asciiTheme="minorHAnsi" w:hAnsiTheme="minorHAnsi"/>
          <w:sz w:val="22"/>
          <w:szCs w:val="22"/>
        </w:rPr>
        <w:t>At times, t</w:t>
      </w:r>
      <w:r w:rsidR="007C717B">
        <w:rPr>
          <w:rFonts w:asciiTheme="minorHAnsi" w:hAnsiTheme="minorHAnsi"/>
          <w:sz w:val="22"/>
          <w:szCs w:val="22"/>
        </w:rPr>
        <w:t xml:space="preserve">his </w:t>
      </w:r>
      <w:r w:rsidR="008E5A2F">
        <w:rPr>
          <w:rFonts w:asciiTheme="minorHAnsi" w:hAnsiTheme="minorHAnsi"/>
          <w:sz w:val="22"/>
          <w:szCs w:val="22"/>
        </w:rPr>
        <w:t xml:space="preserve">mischaracterization </w:t>
      </w:r>
      <w:r w:rsidR="007C717B">
        <w:rPr>
          <w:rFonts w:asciiTheme="minorHAnsi" w:hAnsiTheme="minorHAnsi"/>
          <w:sz w:val="22"/>
          <w:szCs w:val="22"/>
        </w:rPr>
        <w:t xml:space="preserve">has </w:t>
      </w:r>
      <w:r w:rsidR="0026524D">
        <w:rPr>
          <w:rFonts w:asciiTheme="minorHAnsi" w:hAnsiTheme="minorHAnsi"/>
          <w:sz w:val="22"/>
          <w:szCs w:val="22"/>
        </w:rPr>
        <w:t>le</w:t>
      </w:r>
      <w:r w:rsidR="00CC04CB">
        <w:rPr>
          <w:rFonts w:asciiTheme="minorHAnsi" w:hAnsiTheme="minorHAnsi"/>
          <w:sz w:val="22"/>
          <w:szCs w:val="22"/>
        </w:rPr>
        <w:t xml:space="preserve">d to </w:t>
      </w:r>
      <w:r w:rsidR="008E5A2F">
        <w:rPr>
          <w:rFonts w:asciiTheme="minorHAnsi" w:hAnsiTheme="minorHAnsi"/>
          <w:sz w:val="22"/>
          <w:szCs w:val="22"/>
        </w:rPr>
        <w:t xml:space="preserve">surprise </w:t>
      </w:r>
      <w:r w:rsidR="00687BE2">
        <w:rPr>
          <w:rFonts w:asciiTheme="minorHAnsi" w:hAnsiTheme="minorHAnsi"/>
          <w:sz w:val="22"/>
          <w:szCs w:val="22"/>
        </w:rPr>
        <w:t xml:space="preserve">and </w:t>
      </w:r>
      <w:r w:rsidR="003A210F">
        <w:rPr>
          <w:rFonts w:asciiTheme="minorHAnsi" w:hAnsiTheme="minorHAnsi"/>
          <w:sz w:val="22"/>
          <w:szCs w:val="22"/>
        </w:rPr>
        <w:t>even</w:t>
      </w:r>
      <w:r w:rsidR="008E5A2F">
        <w:rPr>
          <w:rFonts w:asciiTheme="minorHAnsi" w:hAnsiTheme="minorHAnsi"/>
          <w:sz w:val="22"/>
          <w:szCs w:val="22"/>
        </w:rPr>
        <w:t xml:space="preserve"> </w:t>
      </w:r>
      <w:r w:rsidR="00687BE2">
        <w:rPr>
          <w:rFonts w:asciiTheme="minorHAnsi" w:hAnsiTheme="minorHAnsi"/>
          <w:sz w:val="22"/>
          <w:szCs w:val="22"/>
        </w:rPr>
        <w:t xml:space="preserve">incredulity </w:t>
      </w:r>
      <w:r w:rsidR="007C717B">
        <w:rPr>
          <w:rFonts w:asciiTheme="minorHAnsi" w:hAnsiTheme="minorHAnsi"/>
          <w:sz w:val="22"/>
          <w:szCs w:val="22"/>
        </w:rPr>
        <w:t xml:space="preserve">as </w:t>
      </w:r>
      <w:r w:rsidR="008E5A2F">
        <w:rPr>
          <w:rFonts w:asciiTheme="minorHAnsi" w:hAnsiTheme="minorHAnsi"/>
          <w:sz w:val="22"/>
          <w:szCs w:val="22"/>
        </w:rPr>
        <w:t>people react to th</w:t>
      </w:r>
      <w:r w:rsidR="003A210F">
        <w:rPr>
          <w:rFonts w:asciiTheme="minorHAnsi" w:hAnsiTheme="minorHAnsi"/>
          <w:sz w:val="22"/>
          <w:szCs w:val="22"/>
        </w:rPr>
        <w:t>e</w:t>
      </w:r>
      <w:r w:rsidR="008E5A2F">
        <w:rPr>
          <w:rFonts w:asciiTheme="minorHAnsi" w:hAnsiTheme="minorHAnsi"/>
          <w:sz w:val="22"/>
          <w:szCs w:val="22"/>
        </w:rPr>
        <w:t xml:space="preserve"> notion of </w:t>
      </w:r>
      <w:r w:rsidR="003A210F">
        <w:rPr>
          <w:rFonts w:asciiTheme="minorHAnsi" w:hAnsiTheme="minorHAnsi"/>
          <w:sz w:val="22"/>
          <w:szCs w:val="22"/>
        </w:rPr>
        <w:t>“</w:t>
      </w:r>
      <w:r w:rsidR="008E5A2F">
        <w:rPr>
          <w:rFonts w:asciiTheme="minorHAnsi" w:hAnsiTheme="minorHAnsi"/>
          <w:sz w:val="22"/>
          <w:szCs w:val="22"/>
        </w:rPr>
        <w:t>placing a dollar value on human life,</w:t>
      </w:r>
      <w:r w:rsidR="003A210F">
        <w:rPr>
          <w:rFonts w:asciiTheme="minorHAnsi" w:hAnsiTheme="minorHAnsi"/>
          <w:sz w:val="22"/>
          <w:szCs w:val="22"/>
        </w:rPr>
        <w:t>”</w:t>
      </w:r>
      <w:r w:rsidR="008E5A2F">
        <w:rPr>
          <w:rFonts w:asciiTheme="minorHAnsi" w:hAnsiTheme="minorHAnsi"/>
          <w:sz w:val="22"/>
          <w:szCs w:val="22"/>
        </w:rPr>
        <w:t xml:space="preserve"> rather than what is actually intended with the VSL.</w:t>
      </w:r>
      <w:r w:rsidR="00227697" w:rsidRPr="00227697">
        <w:rPr>
          <w:rFonts w:asciiTheme="minorHAnsi" w:hAnsiTheme="minorHAnsi"/>
          <w:sz w:val="22"/>
          <w:szCs w:val="22"/>
        </w:rPr>
        <w:t xml:space="preserve">  Cameron (2010) discussed confusions that often surround the VSL terminology in more detail.  Further, use of a VSL reporting convention can be difficult to describe and explain </w:t>
      </w:r>
      <w:r w:rsidR="00687BE2">
        <w:rPr>
          <w:rFonts w:asciiTheme="minorHAnsi" w:hAnsiTheme="minorHAnsi"/>
          <w:sz w:val="22"/>
          <w:szCs w:val="22"/>
        </w:rPr>
        <w:t xml:space="preserve">in economic analyses </w:t>
      </w:r>
      <w:r w:rsidR="00227697" w:rsidRPr="00227697">
        <w:rPr>
          <w:rFonts w:asciiTheme="minorHAnsi" w:hAnsiTheme="minorHAnsi"/>
          <w:sz w:val="22"/>
          <w:szCs w:val="22"/>
        </w:rPr>
        <w:t xml:space="preserve">when the risk reduction associated with a policy results in a fraction of a statistical life. </w:t>
      </w:r>
      <w:r w:rsidR="00687BE2">
        <w:rPr>
          <w:rFonts w:asciiTheme="minorHAnsi" w:hAnsiTheme="minorHAnsi"/>
          <w:sz w:val="22"/>
          <w:szCs w:val="22"/>
        </w:rPr>
        <w:t xml:space="preserve"> </w:t>
      </w:r>
      <w:r w:rsidR="008E5A2F">
        <w:rPr>
          <w:rFonts w:asciiTheme="minorHAnsi" w:hAnsiTheme="minorHAnsi"/>
          <w:sz w:val="22"/>
          <w:szCs w:val="22"/>
        </w:rPr>
        <w:t xml:space="preserve">These confusions make it difficult for EPA </w:t>
      </w:r>
      <w:r w:rsidR="000D5C50">
        <w:rPr>
          <w:rFonts w:asciiTheme="minorHAnsi" w:hAnsiTheme="minorHAnsi"/>
          <w:sz w:val="22"/>
          <w:szCs w:val="22"/>
        </w:rPr>
        <w:t xml:space="preserve">to </w:t>
      </w:r>
      <w:r w:rsidR="004305F3">
        <w:rPr>
          <w:rFonts w:asciiTheme="minorHAnsi" w:hAnsiTheme="minorHAnsi"/>
          <w:sz w:val="22"/>
          <w:szCs w:val="22"/>
        </w:rPr>
        <w:t>effectively communicate the impact of its policies and regulations with members of the public.</w:t>
      </w:r>
      <w:r w:rsidR="006035EB">
        <w:rPr>
          <w:rFonts w:asciiTheme="minorHAnsi" w:hAnsiTheme="minorHAnsi"/>
          <w:sz w:val="22"/>
          <w:szCs w:val="22"/>
        </w:rPr>
        <w:t xml:space="preserve">  It is incumbent upon the Agency, in the interest of improved transparency, to consider alternative means of describing the quantified and monetized mortality risk benefits to more accurately reflect the good in question.</w:t>
      </w:r>
    </w:p>
    <w:p w14:paraId="450B255B" w14:textId="77777777" w:rsidR="00227697" w:rsidRPr="00227697" w:rsidRDefault="00227697" w:rsidP="00227697">
      <w:pPr>
        <w:autoSpaceDE w:val="0"/>
        <w:autoSpaceDN w:val="0"/>
        <w:adjustRightInd w:val="0"/>
        <w:rPr>
          <w:rFonts w:asciiTheme="minorHAnsi" w:hAnsiTheme="minorHAnsi"/>
          <w:sz w:val="22"/>
          <w:szCs w:val="22"/>
        </w:rPr>
      </w:pPr>
    </w:p>
    <w:p w14:paraId="57A4E14F" w14:textId="5EE62C2B" w:rsidR="00227697" w:rsidRPr="00227697" w:rsidRDefault="00227697" w:rsidP="00227697">
      <w:pPr>
        <w:autoSpaceDE w:val="0"/>
        <w:autoSpaceDN w:val="0"/>
        <w:adjustRightInd w:val="0"/>
        <w:rPr>
          <w:rFonts w:asciiTheme="minorHAnsi" w:hAnsiTheme="minorHAnsi"/>
          <w:sz w:val="22"/>
          <w:szCs w:val="22"/>
        </w:rPr>
      </w:pPr>
      <w:r w:rsidRPr="00227697">
        <w:rPr>
          <w:rFonts w:asciiTheme="minorHAnsi" w:hAnsiTheme="minorHAnsi"/>
          <w:sz w:val="22"/>
          <w:szCs w:val="22"/>
        </w:rPr>
        <w:t xml:space="preserve">In </w:t>
      </w:r>
      <w:r w:rsidR="00CC04CB">
        <w:rPr>
          <w:rFonts w:asciiTheme="minorHAnsi" w:hAnsiTheme="minorHAnsi"/>
          <w:sz w:val="22"/>
          <w:szCs w:val="22"/>
        </w:rPr>
        <w:t xml:space="preserve">a </w:t>
      </w:r>
      <w:r w:rsidRPr="00227697">
        <w:rPr>
          <w:rFonts w:asciiTheme="minorHAnsi" w:hAnsiTheme="minorHAnsi"/>
          <w:sz w:val="22"/>
          <w:szCs w:val="22"/>
        </w:rPr>
        <w:t>2010</w:t>
      </w:r>
      <w:r w:rsidR="00CC04CB">
        <w:rPr>
          <w:rFonts w:asciiTheme="minorHAnsi" w:hAnsiTheme="minorHAnsi"/>
          <w:sz w:val="22"/>
          <w:szCs w:val="22"/>
        </w:rPr>
        <w:t xml:space="preserve"> white paper shared with the EPA’s Science Advisory Board</w:t>
      </w:r>
      <w:r w:rsidR="001962FF">
        <w:rPr>
          <w:rFonts w:asciiTheme="minorHAnsi" w:hAnsiTheme="minorHAnsi"/>
          <w:sz w:val="22"/>
          <w:szCs w:val="22"/>
        </w:rPr>
        <w:t xml:space="preserve"> (U.S. EPA 2010)</w:t>
      </w:r>
      <w:r w:rsidRPr="00227697">
        <w:rPr>
          <w:rFonts w:asciiTheme="minorHAnsi" w:hAnsiTheme="minorHAnsi"/>
          <w:sz w:val="22"/>
          <w:szCs w:val="22"/>
        </w:rPr>
        <w:t>, the EPA proposed a shift in terminology away from th</w:t>
      </w:r>
      <w:r w:rsidR="00687BE2">
        <w:rPr>
          <w:rFonts w:asciiTheme="minorHAnsi" w:hAnsiTheme="minorHAnsi"/>
          <w:sz w:val="22"/>
          <w:szCs w:val="22"/>
        </w:rPr>
        <w:t xml:space="preserve">is </w:t>
      </w:r>
      <w:r w:rsidRPr="00227697">
        <w:rPr>
          <w:rFonts w:asciiTheme="minorHAnsi" w:hAnsiTheme="minorHAnsi"/>
          <w:sz w:val="22"/>
          <w:szCs w:val="22"/>
        </w:rPr>
        <w:t>often misunderstood “value of a statistical life”</w:t>
      </w:r>
      <w:r w:rsidR="003A210F">
        <w:rPr>
          <w:rFonts w:asciiTheme="minorHAnsi" w:hAnsiTheme="minorHAnsi"/>
          <w:sz w:val="22"/>
          <w:szCs w:val="22"/>
        </w:rPr>
        <w:t xml:space="preserve"> </w:t>
      </w:r>
      <w:r w:rsidRPr="00227697">
        <w:rPr>
          <w:rFonts w:asciiTheme="minorHAnsi" w:hAnsiTheme="minorHAnsi"/>
          <w:sz w:val="22"/>
          <w:szCs w:val="22"/>
        </w:rPr>
        <w:t xml:space="preserve">to a term that more accurately describes the nature of the health risk changes that are being analyzed in its benefit cost analyses.  </w:t>
      </w:r>
      <w:r w:rsidR="00DC1569">
        <w:rPr>
          <w:rFonts w:asciiTheme="minorHAnsi" w:hAnsiTheme="minorHAnsi"/>
          <w:sz w:val="22"/>
          <w:szCs w:val="22"/>
        </w:rPr>
        <w:t xml:space="preserve">EPA’s Science Advisory Board </w:t>
      </w:r>
      <w:r w:rsidRPr="00227697">
        <w:rPr>
          <w:rFonts w:asciiTheme="minorHAnsi" w:hAnsiTheme="minorHAnsi"/>
          <w:sz w:val="22"/>
          <w:szCs w:val="22"/>
        </w:rPr>
        <w:t>was generally</w:t>
      </w:r>
      <w:r w:rsidR="00DC1569">
        <w:rPr>
          <w:rFonts w:asciiTheme="minorHAnsi" w:hAnsiTheme="minorHAnsi"/>
          <w:sz w:val="22"/>
          <w:szCs w:val="22"/>
        </w:rPr>
        <w:t xml:space="preserve"> supportive of this proposal but</w:t>
      </w:r>
      <w:r w:rsidRPr="00227697">
        <w:rPr>
          <w:rFonts w:asciiTheme="minorHAnsi" w:hAnsiTheme="minorHAnsi"/>
          <w:sz w:val="22"/>
          <w:szCs w:val="22"/>
        </w:rPr>
        <w:t xml:space="preserve"> rec</w:t>
      </w:r>
      <w:r w:rsidR="00DC1569">
        <w:rPr>
          <w:rFonts w:asciiTheme="minorHAnsi" w:hAnsiTheme="minorHAnsi"/>
          <w:sz w:val="22"/>
          <w:szCs w:val="22"/>
        </w:rPr>
        <w:t>ommended that the Agency adopt a</w:t>
      </w:r>
      <w:r w:rsidRPr="00227697">
        <w:rPr>
          <w:rFonts w:asciiTheme="minorHAnsi" w:hAnsiTheme="minorHAnsi"/>
          <w:sz w:val="22"/>
          <w:szCs w:val="22"/>
        </w:rPr>
        <w:t xml:space="preserve"> new term </w:t>
      </w:r>
      <w:r w:rsidR="00DC1569">
        <w:rPr>
          <w:rFonts w:asciiTheme="minorHAnsi" w:hAnsiTheme="minorHAnsi"/>
          <w:sz w:val="22"/>
          <w:szCs w:val="22"/>
        </w:rPr>
        <w:t xml:space="preserve">only </w:t>
      </w:r>
      <w:r w:rsidRPr="00227697">
        <w:rPr>
          <w:rFonts w:asciiTheme="minorHAnsi" w:hAnsiTheme="minorHAnsi"/>
          <w:sz w:val="22"/>
          <w:szCs w:val="22"/>
        </w:rPr>
        <w:t xml:space="preserve">after carefully exploring </w:t>
      </w:r>
      <w:r w:rsidRPr="00227697">
        <w:rPr>
          <w:rFonts w:asciiTheme="minorHAnsi" w:hAnsiTheme="minorHAnsi"/>
          <w:sz w:val="22"/>
          <w:szCs w:val="22"/>
        </w:rPr>
        <w:lastRenderedPageBreak/>
        <w:t xml:space="preserve">a range of alternatives, with the aid of focus groups and discussions with relevant user groups (USEPA 2011, p. 1).    </w:t>
      </w:r>
    </w:p>
    <w:p w14:paraId="6B6477F3" w14:textId="77777777" w:rsidR="00227697" w:rsidRPr="00227697" w:rsidRDefault="00227697" w:rsidP="00227697">
      <w:pPr>
        <w:autoSpaceDE w:val="0"/>
        <w:autoSpaceDN w:val="0"/>
        <w:adjustRightInd w:val="0"/>
        <w:rPr>
          <w:rFonts w:asciiTheme="minorHAnsi" w:hAnsiTheme="minorHAnsi"/>
          <w:sz w:val="22"/>
          <w:szCs w:val="22"/>
        </w:rPr>
      </w:pPr>
    </w:p>
    <w:p w14:paraId="583719A7" w14:textId="2D99A227" w:rsidR="005164F9" w:rsidRPr="00DE04E4" w:rsidRDefault="005164F9">
      <w:pPr>
        <w:rPr>
          <w:rFonts w:asciiTheme="minorHAnsi" w:hAnsiTheme="minorHAnsi" w:cs="Calibri"/>
          <w:b/>
          <w:sz w:val="22"/>
          <w:szCs w:val="22"/>
        </w:rPr>
      </w:pPr>
      <w:r w:rsidRPr="00DE04E4">
        <w:rPr>
          <w:rFonts w:asciiTheme="minorHAnsi" w:hAnsiTheme="minorHAnsi" w:cs="Calibri"/>
          <w:sz w:val="22"/>
          <w:szCs w:val="22"/>
        </w:rPr>
        <w:t xml:space="preserve"> </w:t>
      </w:r>
      <w:r w:rsidRPr="00DE04E4">
        <w:rPr>
          <w:rFonts w:asciiTheme="minorHAnsi" w:hAnsiTheme="minorHAnsi" w:cs="Calibri"/>
          <w:b/>
          <w:sz w:val="22"/>
          <w:szCs w:val="22"/>
        </w:rPr>
        <w:t>(3)  Need for the Collection</w:t>
      </w:r>
    </w:p>
    <w:p w14:paraId="54E00983" w14:textId="77777777" w:rsidR="005164F9" w:rsidRPr="00DE04E4" w:rsidRDefault="005164F9" w:rsidP="005F6F32">
      <w:pPr>
        <w:rPr>
          <w:rFonts w:asciiTheme="minorHAnsi" w:hAnsiTheme="minorHAnsi" w:cs="Calibri"/>
          <w:sz w:val="22"/>
          <w:szCs w:val="22"/>
        </w:rPr>
      </w:pPr>
    </w:p>
    <w:p w14:paraId="0105AD56" w14:textId="32C7F9A1" w:rsidR="004305F3" w:rsidRDefault="00687BE2" w:rsidP="00A03139">
      <w:pPr>
        <w:rPr>
          <w:rFonts w:asciiTheme="minorHAnsi" w:hAnsiTheme="minorHAnsi"/>
          <w:sz w:val="22"/>
          <w:szCs w:val="22"/>
        </w:rPr>
      </w:pPr>
      <w:r>
        <w:rPr>
          <w:rFonts w:asciiTheme="minorHAnsi" w:hAnsiTheme="minorHAnsi"/>
          <w:sz w:val="22"/>
          <w:szCs w:val="22"/>
        </w:rPr>
        <w:t xml:space="preserve">The goal of this project is to </w:t>
      </w:r>
      <w:r w:rsidR="00DC1569" w:rsidRPr="00227697">
        <w:rPr>
          <w:rFonts w:asciiTheme="minorHAnsi" w:hAnsiTheme="minorHAnsi"/>
          <w:sz w:val="22"/>
          <w:szCs w:val="22"/>
        </w:rPr>
        <w:t>evaluate</w:t>
      </w:r>
      <w:r w:rsidR="003A210F">
        <w:rPr>
          <w:rFonts w:asciiTheme="minorHAnsi" w:hAnsiTheme="minorHAnsi"/>
          <w:sz w:val="22"/>
          <w:szCs w:val="22"/>
        </w:rPr>
        <w:t>, through focus group discussions,</w:t>
      </w:r>
      <w:r w:rsidR="00DC1569" w:rsidRPr="00227697">
        <w:rPr>
          <w:rFonts w:asciiTheme="minorHAnsi" w:hAnsiTheme="minorHAnsi"/>
          <w:sz w:val="22"/>
          <w:szCs w:val="22"/>
        </w:rPr>
        <w:t xml:space="preserve"> </w:t>
      </w:r>
      <w:r>
        <w:rPr>
          <w:rFonts w:asciiTheme="minorHAnsi" w:hAnsiTheme="minorHAnsi"/>
          <w:sz w:val="22"/>
          <w:szCs w:val="22"/>
        </w:rPr>
        <w:t>alternatives to</w:t>
      </w:r>
      <w:r w:rsidR="0039471C">
        <w:rPr>
          <w:rFonts w:asciiTheme="minorHAnsi" w:hAnsiTheme="minorHAnsi"/>
          <w:sz w:val="22"/>
          <w:szCs w:val="22"/>
        </w:rPr>
        <w:t xml:space="preserve"> the term</w:t>
      </w:r>
      <w:r>
        <w:rPr>
          <w:rFonts w:asciiTheme="minorHAnsi" w:hAnsiTheme="minorHAnsi"/>
          <w:sz w:val="22"/>
          <w:szCs w:val="22"/>
        </w:rPr>
        <w:t xml:space="preserve"> </w:t>
      </w:r>
      <w:r w:rsidR="00DC1569" w:rsidRPr="00227697">
        <w:rPr>
          <w:rFonts w:asciiTheme="minorHAnsi" w:hAnsiTheme="minorHAnsi"/>
          <w:sz w:val="22"/>
          <w:szCs w:val="22"/>
        </w:rPr>
        <w:t>“value of statistical life”</w:t>
      </w:r>
      <w:r w:rsidR="003A210F">
        <w:rPr>
          <w:rFonts w:asciiTheme="minorHAnsi" w:hAnsiTheme="minorHAnsi"/>
          <w:sz w:val="22"/>
          <w:szCs w:val="22"/>
        </w:rPr>
        <w:t xml:space="preserve"> that better and more accurately communicate the underlying concept.</w:t>
      </w:r>
      <w:r w:rsidR="00DC1569" w:rsidRPr="00227697">
        <w:rPr>
          <w:rFonts w:asciiTheme="minorHAnsi" w:hAnsiTheme="minorHAnsi"/>
          <w:sz w:val="22"/>
          <w:szCs w:val="22"/>
        </w:rPr>
        <w:t xml:space="preserve"> </w:t>
      </w:r>
      <w:r w:rsidR="004305F3">
        <w:rPr>
          <w:rFonts w:asciiTheme="minorHAnsi" w:hAnsiTheme="minorHAnsi"/>
          <w:sz w:val="22"/>
          <w:szCs w:val="22"/>
        </w:rPr>
        <w:t xml:space="preserve">It is important </w:t>
      </w:r>
      <w:r w:rsidR="003C4D57">
        <w:rPr>
          <w:rFonts w:asciiTheme="minorHAnsi" w:hAnsiTheme="minorHAnsi"/>
          <w:sz w:val="22"/>
          <w:szCs w:val="22"/>
        </w:rPr>
        <w:t xml:space="preserve">and necessary </w:t>
      </w:r>
      <w:r w:rsidR="004305F3">
        <w:rPr>
          <w:rFonts w:asciiTheme="minorHAnsi" w:hAnsiTheme="minorHAnsi"/>
          <w:sz w:val="22"/>
          <w:szCs w:val="22"/>
        </w:rPr>
        <w:t xml:space="preserve">to both EPA and the public </w:t>
      </w:r>
      <w:r w:rsidR="003C4D57">
        <w:rPr>
          <w:rFonts w:asciiTheme="minorHAnsi" w:hAnsiTheme="minorHAnsi"/>
          <w:sz w:val="22"/>
          <w:szCs w:val="22"/>
        </w:rPr>
        <w:t>that</w:t>
      </w:r>
      <w:r w:rsidR="004305F3">
        <w:rPr>
          <w:rFonts w:asciiTheme="minorHAnsi" w:hAnsiTheme="minorHAnsi"/>
          <w:sz w:val="22"/>
          <w:szCs w:val="22"/>
        </w:rPr>
        <w:t xml:space="preserve"> the Agency effectively and meaningfully describe the impact of policies and regulations within the context of benefit-cost analysis.  The term “VSL” appears to be an impediment to this kind of effective communication.</w:t>
      </w:r>
    </w:p>
    <w:p w14:paraId="516FB14F" w14:textId="77777777" w:rsidR="004305F3" w:rsidRDefault="004305F3" w:rsidP="00A03139">
      <w:pPr>
        <w:rPr>
          <w:rFonts w:asciiTheme="minorHAnsi" w:hAnsiTheme="minorHAnsi"/>
          <w:sz w:val="22"/>
          <w:szCs w:val="22"/>
        </w:rPr>
      </w:pPr>
    </w:p>
    <w:p w14:paraId="5D9D3BC7" w14:textId="3BFF1425" w:rsidR="0026524D" w:rsidRDefault="00DC1569" w:rsidP="00A03139">
      <w:pPr>
        <w:rPr>
          <w:rFonts w:asciiTheme="minorHAnsi" w:hAnsiTheme="minorHAnsi"/>
          <w:sz w:val="22"/>
          <w:szCs w:val="22"/>
        </w:rPr>
      </w:pPr>
      <w:r w:rsidRPr="00227697">
        <w:rPr>
          <w:rFonts w:asciiTheme="minorHAnsi" w:hAnsiTheme="minorHAnsi"/>
          <w:sz w:val="22"/>
          <w:szCs w:val="22"/>
        </w:rPr>
        <w:t xml:space="preserve">Following the advice provided by the SAB-EEAC, the EPA intends to </w:t>
      </w:r>
      <w:r w:rsidR="0026524D">
        <w:rPr>
          <w:rFonts w:asciiTheme="minorHAnsi" w:hAnsiTheme="minorHAnsi"/>
          <w:sz w:val="22"/>
          <w:szCs w:val="22"/>
        </w:rPr>
        <w:t xml:space="preserve">explore the understandability of a range of new terms and reporting conventions to </w:t>
      </w:r>
      <w:r w:rsidR="004305F3">
        <w:rPr>
          <w:rFonts w:asciiTheme="minorHAnsi" w:hAnsiTheme="minorHAnsi"/>
          <w:sz w:val="22"/>
          <w:szCs w:val="22"/>
        </w:rPr>
        <w:t xml:space="preserve">effectively </w:t>
      </w:r>
      <w:r w:rsidR="00F36035">
        <w:rPr>
          <w:rFonts w:asciiTheme="minorHAnsi" w:hAnsiTheme="minorHAnsi"/>
          <w:sz w:val="22"/>
          <w:szCs w:val="22"/>
        </w:rPr>
        <w:t xml:space="preserve">and more accurately </w:t>
      </w:r>
      <w:r w:rsidR="0026524D">
        <w:rPr>
          <w:rFonts w:asciiTheme="minorHAnsi" w:hAnsiTheme="minorHAnsi"/>
          <w:sz w:val="22"/>
          <w:szCs w:val="22"/>
        </w:rPr>
        <w:t>convey the changes in health risk and their monetary value with members of the public.  A</w:t>
      </w:r>
      <w:r w:rsidRPr="00227697">
        <w:rPr>
          <w:rFonts w:asciiTheme="minorHAnsi" w:hAnsiTheme="minorHAnsi"/>
          <w:sz w:val="22"/>
          <w:szCs w:val="22"/>
        </w:rPr>
        <w:t xml:space="preserve">lternatives </w:t>
      </w:r>
      <w:r w:rsidR="0026524D">
        <w:rPr>
          <w:rFonts w:asciiTheme="minorHAnsi" w:hAnsiTheme="minorHAnsi"/>
          <w:sz w:val="22"/>
          <w:szCs w:val="22"/>
        </w:rPr>
        <w:t>include</w:t>
      </w:r>
      <w:r w:rsidR="004305F3">
        <w:rPr>
          <w:rFonts w:asciiTheme="minorHAnsi" w:hAnsiTheme="minorHAnsi"/>
          <w:sz w:val="22"/>
          <w:szCs w:val="22"/>
        </w:rPr>
        <w:t xml:space="preserve"> some terms already used in the economics literature (e.g., </w:t>
      </w:r>
      <w:r w:rsidRPr="00227697">
        <w:rPr>
          <w:rFonts w:asciiTheme="minorHAnsi" w:hAnsiTheme="minorHAnsi"/>
          <w:sz w:val="22"/>
          <w:szCs w:val="22"/>
        </w:rPr>
        <w:t>“value of risk reductions” (VRR) for mortality</w:t>
      </w:r>
      <w:r w:rsidR="004305F3" w:rsidRPr="00CB46DF">
        <w:rPr>
          <w:rStyle w:val="FootnoteReference"/>
          <w:rFonts w:asciiTheme="minorHAnsi" w:hAnsiTheme="minorHAnsi"/>
          <w:sz w:val="22"/>
          <w:szCs w:val="22"/>
          <w:vertAlign w:val="superscript"/>
        </w:rPr>
        <w:footnoteReference w:id="2"/>
      </w:r>
      <w:r w:rsidR="004305F3">
        <w:rPr>
          <w:rFonts w:asciiTheme="minorHAnsi" w:hAnsiTheme="minorHAnsi"/>
          <w:sz w:val="22"/>
          <w:szCs w:val="22"/>
        </w:rPr>
        <w:t xml:space="preserve">), and closely related terms (e.g., </w:t>
      </w:r>
      <w:r w:rsidR="004305F3" w:rsidRPr="00227697">
        <w:rPr>
          <w:rFonts w:asciiTheme="minorHAnsi" w:hAnsiTheme="minorHAnsi"/>
          <w:sz w:val="22"/>
          <w:szCs w:val="22"/>
        </w:rPr>
        <w:t>“va</w:t>
      </w:r>
      <w:r w:rsidR="000D1F85">
        <w:rPr>
          <w:rFonts w:asciiTheme="minorHAnsi" w:hAnsiTheme="minorHAnsi"/>
          <w:sz w:val="22"/>
          <w:szCs w:val="22"/>
        </w:rPr>
        <w:t>lue of mortality risk</w:t>
      </w:r>
      <w:r w:rsidR="00CB46DF">
        <w:rPr>
          <w:rFonts w:asciiTheme="minorHAnsi" w:hAnsiTheme="minorHAnsi"/>
          <w:sz w:val="22"/>
          <w:szCs w:val="22"/>
        </w:rPr>
        <w:t>,</w:t>
      </w:r>
      <w:r w:rsidR="000D1F85">
        <w:rPr>
          <w:rFonts w:asciiTheme="minorHAnsi" w:hAnsiTheme="minorHAnsi"/>
          <w:sz w:val="22"/>
          <w:szCs w:val="22"/>
        </w:rPr>
        <w:t>”</w:t>
      </w:r>
      <w:r w:rsidR="00CB46DF">
        <w:rPr>
          <w:rFonts w:asciiTheme="minorHAnsi" w:hAnsiTheme="minorHAnsi"/>
          <w:sz w:val="22"/>
          <w:szCs w:val="22"/>
        </w:rPr>
        <w:t xml:space="preserve"> “value of a statistical case”</w:t>
      </w:r>
      <w:r w:rsidR="004305F3">
        <w:rPr>
          <w:rFonts w:asciiTheme="minorHAnsi" w:hAnsiTheme="minorHAnsi"/>
          <w:sz w:val="22"/>
          <w:szCs w:val="22"/>
        </w:rPr>
        <w:t xml:space="preserve">).  </w:t>
      </w:r>
    </w:p>
    <w:p w14:paraId="38770ECA" w14:textId="77777777" w:rsidR="0073085A" w:rsidRDefault="0073085A" w:rsidP="00DC1569">
      <w:pPr>
        <w:rPr>
          <w:rFonts w:asciiTheme="minorHAnsi" w:hAnsiTheme="minorHAnsi"/>
          <w:sz w:val="22"/>
          <w:szCs w:val="22"/>
        </w:rPr>
      </w:pPr>
    </w:p>
    <w:p w14:paraId="5708E517" w14:textId="6BF20338" w:rsidR="0073085A" w:rsidRDefault="009F5589" w:rsidP="00DC1569">
      <w:pPr>
        <w:rPr>
          <w:rFonts w:asciiTheme="minorHAnsi" w:hAnsiTheme="minorHAnsi"/>
          <w:sz w:val="22"/>
          <w:szCs w:val="22"/>
        </w:rPr>
      </w:pPr>
      <w:r>
        <w:rPr>
          <w:rFonts w:asciiTheme="minorHAnsi" w:hAnsiTheme="minorHAnsi"/>
          <w:sz w:val="22"/>
          <w:szCs w:val="22"/>
        </w:rPr>
        <w:t>These focus groups are one part of a suite of activities that will inform a proposed update to the term for valuing mortality risk reductions.  EPA will summarize the information discussed in the focus groups, including the suggestions, reactions, and themes that emerge within and across the focus groups.  EPA will</w:t>
      </w:r>
      <w:r w:rsidR="00347B0D">
        <w:rPr>
          <w:rFonts w:asciiTheme="minorHAnsi" w:hAnsiTheme="minorHAnsi"/>
          <w:sz w:val="22"/>
          <w:szCs w:val="22"/>
        </w:rPr>
        <w:t xml:space="preserve"> then</w:t>
      </w:r>
      <w:r>
        <w:rPr>
          <w:rFonts w:asciiTheme="minorHAnsi" w:hAnsiTheme="minorHAnsi"/>
          <w:sz w:val="22"/>
          <w:szCs w:val="22"/>
        </w:rPr>
        <w:t xml:space="preserve"> discuss </w:t>
      </w:r>
      <w:r w:rsidR="005652CD">
        <w:rPr>
          <w:rFonts w:asciiTheme="minorHAnsi" w:hAnsiTheme="minorHAnsi"/>
          <w:sz w:val="22"/>
          <w:szCs w:val="22"/>
        </w:rPr>
        <w:t>the focus group findings</w:t>
      </w:r>
      <w:r>
        <w:rPr>
          <w:rFonts w:asciiTheme="minorHAnsi" w:hAnsiTheme="minorHAnsi"/>
          <w:sz w:val="22"/>
          <w:szCs w:val="22"/>
        </w:rPr>
        <w:t xml:space="preserve"> with EPA management, public affairs and communications specialists (e.g., Office of Public Affairs), </w:t>
      </w:r>
      <w:r w:rsidR="0061447D">
        <w:rPr>
          <w:rFonts w:asciiTheme="minorHAnsi" w:hAnsiTheme="minorHAnsi"/>
          <w:sz w:val="22"/>
          <w:szCs w:val="22"/>
        </w:rPr>
        <w:t xml:space="preserve">other federal agencies, </w:t>
      </w:r>
      <w:r>
        <w:rPr>
          <w:rFonts w:asciiTheme="minorHAnsi" w:hAnsiTheme="minorHAnsi"/>
          <w:sz w:val="22"/>
          <w:szCs w:val="22"/>
        </w:rPr>
        <w:t xml:space="preserve">academics and other practitioners, and users within the agency before </w:t>
      </w:r>
      <w:r w:rsidR="00764EA4">
        <w:rPr>
          <w:rFonts w:asciiTheme="minorHAnsi" w:hAnsiTheme="minorHAnsi"/>
          <w:sz w:val="22"/>
          <w:szCs w:val="22"/>
        </w:rPr>
        <w:t>propos</w:t>
      </w:r>
      <w:r>
        <w:rPr>
          <w:rFonts w:asciiTheme="minorHAnsi" w:hAnsiTheme="minorHAnsi"/>
          <w:sz w:val="22"/>
          <w:szCs w:val="22"/>
        </w:rPr>
        <w:t>ing</w:t>
      </w:r>
      <w:r w:rsidR="00764EA4">
        <w:rPr>
          <w:rFonts w:asciiTheme="minorHAnsi" w:hAnsiTheme="minorHAnsi"/>
          <w:sz w:val="22"/>
          <w:szCs w:val="22"/>
        </w:rPr>
        <w:t xml:space="preserve"> </w:t>
      </w:r>
      <w:r w:rsidR="005652CD">
        <w:rPr>
          <w:rFonts w:asciiTheme="minorHAnsi" w:hAnsiTheme="minorHAnsi"/>
          <w:sz w:val="22"/>
          <w:szCs w:val="22"/>
        </w:rPr>
        <w:t>modifications to the terminology used to describe</w:t>
      </w:r>
      <w:r>
        <w:rPr>
          <w:rFonts w:asciiTheme="minorHAnsi" w:hAnsiTheme="minorHAnsi"/>
          <w:sz w:val="22"/>
          <w:szCs w:val="22"/>
        </w:rPr>
        <w:t xml:space="preserve"> the value of mortality risk reductions </w:t>
      </w:r>
      <w:r w:rsidR="00764EA4">
        <w:rPr>
          <w:rFonts w:asciiTheme="minorHAnsi" w:hAnsiTheme="minorHAnsi"/>
          <w:sz w:val="22"/>
          <w:szCs w:val="22"/>
        </w:rPr>
        <w:t>in EPA benefit-cost analys</w:t>
      </w:r>
      <w:r w:rsidR="00347B0D">
        <w:rPr>
          <w:rFonts w:asciiTheme="minorHAnsi" w:hAnsiTheme="minorHAnsi"/>
          <w:sz w:val="22"/>
          <w:szCs w:val="22"/>
        </w:rPr>
        <w:t>e</w:t>
      </w:r>
      <w:r w:rsidR="00764EA4">
        <w:rPr>
          <w:rFonts w:asciiTheme="minorHAnsi" w:hAnsiTheme="minorHAnsi"/>
          <w:sz w:val="22"/>
          <w:szCs w:val="22"/>
        </w:rPr>
        <w:t xml:space="preserve">s.  </w:t>
      </w:r>
      <w:r>
        <w:rPr>
          <w:rFonts w:asciiTheme="minorHAnsi" w:hAnsiTheme="minorHAnsi"/>
          <w:sz w:val="22"/>
          <w:szCs w:val="22"/>
        </w:rPr>
        <w:t>Following input from experts, users, and management</w:t>
      </w:r>
      <w:r w:rsidR="009717F9">
        <w:rPr>
          <w:rFonts w:asciiTheme="minorHAnsi" w:hAnsiTheme="minorHAnsi"/>
          <w:sz w:val="22"/>
          <w:szCs w:val="22"/>
        </w:rPr>
        <w:t>,</w:t>
      </w:r>
      <w:r>
        <w:rPr>
          <w:rFonts w:asciiTheme="minorHAnsi" w:hAnsiTheme="minorHAnsi"/>
          <w:sz w:val="22"/>
          <w:szCs w:val="22"/>
        </w:rPr>
        <w:t xml:space="preserve"> EPA will propose</w:t>
      </w:r>
      <w:r w:rsidR="005652CD">
        <w:rPr>
          <w:rFonts w:asciiTheme="minorHAnsi" w:hAnsiTheme="minorHAnsi"/>
          <w:sz w:val="22"/>
          <w:szCs w:val="22"/>
        </w:rPr>
        <w:t xml:space="preserve"> modifications</w:t>
      </w:r>
      <w:r w:rsidR="00764EA4">
        <w:rPr>
          <w:rFonts w:asciiTheme="minorHAnsi" w:hAnsiTheme="minorHAnsi"/>
          <w:sz w:val="22"/>
          <w:szCs w:val="22"/>
        </w:rPr>
        <w:t xml:space="preserve"> </w:t>
      </w:r>
      <w:r w:rsidR="005652CD">
        <w:rPr>
          <w:rFonts w:asciiTheme="minorHAnsi" w:hAnsiTheme="minorHAnsi"/>
          <w:sz w:val="22"/>
          <w:szCs w:val="22"/>
        </w:rPr>
        <w:t>to its guidance on this issue if necessary.  Any revised guidance will be further vetted</w:t>
      </w:r>
      <w:r w:rsidR="00764EA4">
        <w:rPr>
          <w:rFonts w:asciiTheme="minorHAnsi" w:hAnsiTheme="minorHAnsi"/>
          <w:sz w:val="22"/>
          <w:szCs w:val="22"/>
        </w:rPr>
        <w:t xml:space="preserve"> internal</w:t>
      </w:r>
      <w:r w:rsidR="005652CD">
        <w:rPr>
          <w:rFonts w:asciiTheme="minorHAnsi" w:hAnsiTheme="minorHAnsi"/>
          <w:sz w:val="22"/>
          <w:szCs w:val="22"/>
        </w:rPr>
        <w:t>ly</w:t>
      </w:r>
      <w:r w:rsidR="005A0756">
        <w:rPr>
          <w:rFonts w:asciiTheme="minorHAnsi" w:hAnsiTheme="minorHAnsi"/>
          <w:sz w:val="22"/>
          <w:szCs w:val="22"/>
        </w:rPr>
        <w:t xml:space="preserve"> </w:t>
      </w:r>
      <w:r w:rsidR="005652CD">
        <w:rPr>
          <w:rFonts w:asciiTheme="minorHAnsi" w:hAnsiTheme="minorHAnsi"/>
          <w:sz w:val="22"/>
          <w:szCs w:val="22"/>
        </w:rPr>
        <w:t xml:space="preserve">prior to </w:t>
      </w:r>
      <w:r w:rsidR="005A0756">
        <w:rPr>
          <w:rFonts w:asciiTheme="minorHAnsi" w:hAnsiTheme="minorHAnsi"/>
          <w:sz w:val="22"/>
          <w:szCs w:val="22"/>
        </w:rPr>
        <w:t>introduction</w:t>
      </w:r>
      <w:r w:rsidR="00764EA4">
        <w:rPr>
          <w:rFonts w:asciiTheme="minorHAnsi" w:hAnsiTheme="minorHAnsi"/>
          <w:sz w:val="22"/>
          <w:szCs w:val="22"/>
        </w:rPr>
        <w:t xml:space="preserve"> in EPA’s </w:t>
      </w:r>
      <w:r w:rsidR="00764EA4" w:rsidRPr="009F5589">
        <w:rPr>
          <w:rFonts w:asciiTheme="minorHAnsi" w:hAnsiTheme="minorHAnsi"/>
          <w:i/>
          <w:sz w:val="22"/>
          <w:szCs w:val="22"/>
        </w:rPr>
        <w:t>Guidelines</w:t>
      </w:r>
      <w:r w:rsidR="00442785" w:rsidRPr="009F5589">
        <w:rPr>
          <w:rFonts w:asciiTheme="minorHAnsi" w:hAnsiTheme="minorHAnsi"/>
          <w:i/>
          <w:sz w:val="22"/>
          <w:szCs w:val="22"/>
        </w:rPr>
        <w:t xml:space="preserve"> for Preparing Economic Analyses</w:t>
      </w:r>
      <w:r w:rsidR="00764EA4">
        <w:rPr>
          <w:rFonts w:asciiTheme="minorHAnsi" w:hAnsiTheme="minorHAnsi"/>
          <w:sz w:val="22"/>
          <w:szCs w:val="22"/>
        </w:rPr>
        <w:t xml:space="preserve">.  </w:t>
      </w:r>
    </w:p>
    <w:p w14:paraId="1F9587F6" w14:textId="77777777" w:rsidR="005164F9" w:rsidRPr="00DE04E4" w:rsidRDefault="005164F9">
      <w:pPr>
        <w:rPr>
          <w:rFonts w:asciiTheme="minorHAnsi" w:hAnsiTheme="minorHAnsi" w:cs="Calibri"/>
          <w:sz w:val="22"/>
          <w:szCs w:val="22"/>
        </w:rPr>
      </w:pPr>
    </w:p>
    <w:p w14:paraId="468DA1B0"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(4)  Non-duplication</w:t>
      </w:r>
    </w:p>
    <w:p w14:paraId="4280B50E" w14:textId="77777777" w:rsidR="00504462" w:rsidRDefault="00504462">
      <w:pPr>
        <w:rPr>
          <w:rFonts w:asciiTheme="minorHAnsi" w:hAnsiTheme="minorHAnsi" w:cs="Calibri"/>
          <w:sz w:val="22"/>
          <w:szCs w:val="22"/>
        </w:rPr>
      </w:pPr>
    </w:p>
    <w:p w14:paraId="3DAC143D" w14:textId="26CAB0C2" w:rsidR="00BA6F65" w:rsidRPr="00DE04E4" w:rsidRDefault="001962FF">
      <w:pPr>
        <w:rPr>
          <w:rFonts w:asciiTheme="minorHAnsi" w:hAnsiTheme="minorHAnsi" w:cs="Calibri"/>
          <w:sz w:val="22"/>
          <w:szCs w:val="22"/>
        </w:rPr>
      </w:pPr>
      <w:r>
        <w:rPr>
          <w:rFonts w:asciiTheme="minorHAnsi" w:hAnsiTheme="minorHAnsi" w:cs="Calibri"/>
          <w:sz w:val="22"/>
          <w:szCs w:val="22"/>
        </w:rPr>
        <w:t xml:space="preserve">While the communication challenges surrounding the use of the term “Value of a Statistical Life” have been documented in the literature (Cameron, 2010), to our knowledge no </w:t>
      </w:r>
      <w:r w:rsidR="003C4D57">
        <w:rPr>
          <w:rFonts w:asciiTheme="minorHAnsi" w:hAnsiTheme="minorHAnsi" w:cs="Calibri"/>
          <w:sz w:val="22"/>
          <w:szCs w:val="22"/>
        </w:rPr>
        <w:t xml:space="preserve">systematic </w:t>
      </w:r>
      <w:r>
        <w:rPr>
          <w:rFonts w:asciiTheme="minorHAnsi" w:hAnsiTheme="minorHAnsi" w:cs="Calibri"/>
          <w:sz w:val="22"/>
          <w:szCs w:val="22"/>
        </w:rPr>
        <w:t xml:space="preserve">effort has been made to identify </w:t>
      </w:r>
      <w:r w:rsidR="00764EA4">
        <w:rPr>
          <w:rFonts w:asciiTheme="minorHAnsi" w:hAnsiTheme="minorHAnsi" w:cs="Calibri"/>
          <w:sz w:val="22"/>
          <w:szCs w:val="22"/>
        </w:rPr>
        <w:t xml:space="preserve">appropriate </w:t>
      </w:r>
      <w:r w:rsidR="005652CD">
        <w:rPr>
          <w:rFonts w:asciiTheme="minorHAnsi" w:hAnsiTheme="minorHAnsi" w:cs="Calibri"/>
          <w:sz w:val="22"/>
          <w:szCs w:val="22"/>
        </w:rPr>
        <w:t xml:space="preserve">and accessible </w:t>
      </w:r>
      <w:r w:rsidR="00764EA4">
        <w:rPr>
          <w:rFonts w:asciiTheme="minorHAnsi" w:hAnsiTheme="minorHAnsi" w:cs="Calibri"/>
          <w:sz w:val="22"/>
          <w:szCs w:val="22"/>
        </w:rPr>
        <w:t>term</w:t>
      </w:r>
      <w:r w:rsidR="005652CD">
        <w:rPr>
          <w:rFonts w:asciiTheme="minorHAnsi" w:hAnsiTheme="minorHAnsi" w:cs="Calibri"/>
          <w:sz w:val="22"/>
          <w:szCs w:val="22"/>
        </w:rPr>
        <w:t>inology</w:t>
      </w:r>
      <w:r w:rsidR="00764EA4">
        <w:rPr>
          <w:rFonts w:asciiTheme="minorHAnsi" w:hAnsiTheme="minorHAnsi" w:cs="Calibri"/>
          <w:sz w:val="22"/>
          <w:szCs w:val="22"/>
        </w:rPr>
        <w:t xml:space="preserve"> for communicating the value of mortality risk reductions</w:t>
      </w:r>
      <w:r w:rsidR="005652CD">
        <w:rPr>
          <w:rFonts w:asciiTheme="minorHAnsi" w:hAnsiTheme="minorHAnsi" w:cs="Calibri"/>
          <w:sz w:val="22"/>
          <w:szCs w:val="22"/>
        </w:rPr>
        <w:t xml:space="preserve"> to non-economists</w:t>
      </w:r>
      <w:r w:rsidR="00764EA4">
        <w:rPr>
          <w:rFonts w:asciiTheme="minorHAnsi" w:hAnsiTheme="minorHAnsi" w:cs="Calibri"/>
          <w:sz w:val="22"/>
          <w:szCs w:val="22"/>
        </w:rPr>
        <w:t xml:space="preserve">.  </w:t>
      </w:r>
    </w:p>
    <w:p w14:paraId="35D42C42" w14:textId="5A606FB4" w:rsidR="005164F9" w:rsidRPr="00DE04E4" w:rsidRDefault="005164F9" w:rsidP="00987DD2">
      <w:pPr>
        <w:rPr>
          <w:rFonts w:asciiTheme="minorHAnsi" w:hAnsiTheme="minorHAnsi" w:cs="Calibri"/>
          <w:sz w:val="22"/>
          <w:szCs w:val="22"/>
        </w:rPr>
      </w:pPr>
      <w:r w:rsidRPr="00DE04E4">
        <w:rPr>
          <w:rFonts w:asciiTheme="minorHAnsi" w:hAnsiTheme="minorHAnsi" w:cs="Calibri"/>
          <w:sz w:val="22"/>
          <w:szCs w:val="22"/>
        </w:rPr>
        <w:t xml:space="preserve">  </w:t>
      </w:r>
    </w:p>
    <w:p w14:paraId="57649DCF" w14:textId="77777777" w:rsidR="005164F9" w:rsidRPr="00DE04E4" w:rsidRDefault="005164F9" w:rsidP="00A453C2">
      <w:pPr>
        <w:rPr>
          <w:rFonts w:asciiTheme="minorHAnsi" w:hAnsiTheme="minorHAnsi" w:cs="Calibri"/>
          <w:sz w:val="22"/>
          <w:szCs w:val="22"/>
        </w:rPr>
      </w:pPr>
    </w:p>
    <w:p w14:paraId="4A06E91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(5) Consultations</w:t>
      </w:r>
    </w:p>
    <w:p w14:paraId="0628D77F" w14:textId="77777777" w:rsidR="005164F9" w:rsidRPr="00DE04E4" w:rsidRDefault="005164F9">
      <w:pPr>
        <w:rPr>
          <w:rFonts w:asciiTheme="minorHAnsi" w:hAnsiTheme="minorHAnsi" w:cs="Calibri"/>
          <w:b/>
          <w:sz w:val="22"/>
          <w:szCs w:val="22"/>
        </w:rPr>
      </w:pPr>
    </w:p>
    <w:p w14:paraId="67DFE931" w14:textId="15CD82A9" w:rsidR="005164F9" w:rsidRDefault="005164F9" w:rsidP="00486EE7">
      <w:pPr>
        <w:rPr>
          <w:rFonts w:asciiTheme="minorHAnsi" w:hAnsiTheme="minorHAnsi" w:cs="Calibri"/>
          <w:sz w:val="22"/>
          <w:szCs w:val="22"/>
        </w:rPr>
      </w:pPr>
      <w:r w:rsidRPr="00DE04E4">
        <w:rPr>
          <w:rFonts w:asciiTheme="minorHAnsi" w:hAnsiTheme="minorHAnsi" w:cs="Calibri"/>
          <w:sz w:val="22"/>
          <w:szCs w:val="22"/>
        </w:rPr>
        <w:t xml:space="preserve">This is a new </w:t>
      </w:r>
      <w:r w:rsidR="002203F2" w:rsidRPr="00DE04E4">
        <w:rPr>
          <w:rFonts w:asciiTheme="minorHAnsi" w:hAnsiTheme="minorHAnsi" w:cs="Calibri"/>
          <w:sz w:val="22"/>
          <w:szCs w:val="22"/>
        </w:rPr>
        <w:t xml:space="preserve">focus group request (not a renewal of an ongoing collection effort) </w:t>
      </w:r>
      <w:r w:rsidRPr="00DE04E4">
        <w:rPr>
          <w:rFonts w:asciiTheme="minorHAnsi" w:hAnsiTheme="minorHAnsi" w:cs="Calibri"/>
          <w:sz w:val="22"/>
          <w:szCs w:val="22"/>
        </w:rPr>
        <w:t xml:space="preserve">so no periodic consultations </w:t>
      </w:r>
      <w:r w:rsidR="002203F2" w:rsidRPr="00DE04E4">
        <w:rPr>
          <w:rFonts w:asciiTheme="minorHAnsi" w:hAnsiTheme="minorHAnsi" w:cs="Calibri"/>
          <w:sz w:val="22"/>
          <w:szCs w:val="22"/>
        </w:rPr>
        <w:t xml:space="preserve">with persons outside of the Agency </w:t>
      </w:r>
      <w:r w:rsidRPr="00DE04E4">
        <w:rPr>
          <w:rFonts w:asciiTheme="minorHAnsi" w:hAnsiTheme="minorHAnsi" w:cs="Calibri"/>
          <w:sz w:val="22"/>
          <w:szCs w:val="22"/>
        </w:rPr>
        <w:t xml:space="preserve">have been conducted related to this effort. </w:t>
      </w:r>
      <w:r w:rsidR="002203F2" w:rsidRPr="00DE04E4">
        <w:rPr>
          <w:rFonts w:asciiTheme="minorHAnsi" w:hAnsiTheme="minorHAnsi" w:cs="Calibri"/>
          <w:sz w:val="22"/>
          <w:szCs w:val="22"/>
        </w:rPr>
        <w:t xml:space="preserve"> </w:t>
      </w:r>
    </w:p>
    <w:p w14:paraId="65D4C9C7" w14:textId="096E28F9" w:rsidR="001962FF" w:rsidRDefault="001962FF" w:rsidP="00486EE7">
      <w:pPr>
        <w:rPr>
          <w:rFonts w:asciiTheme="minorHAnsi" w:hAnsiTheme="minorHAnsi" w:cs="Calibri"/>
          <w:sz w:val="22"/>
          <w:szCs w:val="22"/>
        </w:rPr>
      </w:pPr>
    </w:p>
    <w:p w14:paraId="066C726B" w14:textId="2D25BA07" w:rsidR="001962FF" w:rsidRPr="00DE04E4" w:rsidRDefault="001962FF" w:rsidP="00486EE7">
      <w:pPr>
        <w:rPr>
          <w:rFonts w:asciiTheme="minorHAnsi" w:hAnsiTheme="minorHAnsi" w:cs="Calibri"/>
          <w:sz w:val="22"/>
          <w:szCs w:val="22"/>
        </w:rPr>
      </w:pPr>
      <w:r>
        <w:rPr>
          <w:rFonts w:asciiTheme="minorHAnsi" w:hAnsiTheme="minorHAnsi" w:cs="Calibri"/>
          <w:sz w:val="22"/>
          <w:szCs w:val="22"/>
        </w:rPr>
        <w:t>This collection, however, is in keeping with recommendations made to the EPA by the SAB’s Environmental Economics Advisory Committee (U.S. EPA, 2011).</w:t>
      </w:r>
    </w:p>
    <w:p w14:paraId="1401F6A3" w14:textId="77777777" w:rsidR="005164F9" w:rsidRPr="00DE04E4" w:rsidRDefault="005164F9" w:rsidP="00486EE7">
      <w:pPr>
        <w:rPr>
          <w:rFonts w:asciiTheme="minorHAnsi" w:hAnsiTheme="minorHAnsi" w:cs="Calibri"/>
          <w:sz w:val="22"/>
          <w:szCs w:val="22"/>
        </w:rPr>
      </w:pPr>
    </w:p>
    <w:p w14:paraId="2A5F8C08" w14:textId="5D10FB49" w:rsidR="005164F9" w:rsidRPr="00DE04E4" w:rsidRDefault="005164F9" w:rsidP="00486EE7">
      <w:pPr>
        <w:rPr>
          <w:rFonts w:asciiTheme="minorHAnsi" w:hAnsiTheme="minorHAnsi" w:cs="Calibri"/>
          <w:sz w:val="22"/>
          <w:szCs w:val="22"/>
        </w:rPr>
      </w:pPr>
      <w:r w:rsidRPr="00DE04E4">
        <w:rPr>
          <w:rFonts w:asciiTheme="minorHAnsi" w:hAnsiTheme="minorHAnsi" w:cs="Calibri"/>
          <w:sz w:val="22"/>
          <w:szCs w:val="22"/>
        </w:rPr>
        <w:lastRenderedPageBreak/>
        <w:t>This collection</w:t>
      </w:r>
      <w:r w:rsidR="0073085A">
        <w:rPr>
          <w:rFonts w:asciiTheme="minorHAnsi" w:hAnsiTheme="minorHAnsi" w:cs="Calibri"/>
          <w:sz w:val="22"/>
          <w:szCs w:val="22"/>
        </w:rPr>
        <w:t xml:space="preserve"> </w:t>
      </w:r>
      <w:r w:rsidRPr="00DE04E4">
        <w:rPr>
          <w:rFonts w:asciiTheme="minorHAnsi" w:hAnsiTheme="minorHAnsi" w:cs="Calibri"/>
          <w:sz w:val="22"/>
          <w:szCs w:val="22"/>
        </w:rPr>
        <w:t xml:space="preserve">may be of interest to other Federal, State, and Local Agencies that </w:t>
      </w:r>
      <w:r w:rsidR="0073085A">
        <w:rPr>
          <w:rFonts w:asciiTheme="minorHAnsi" w:hAnsiTheme="minorHAnsi" w:cs="Calibri"/>
          <w:sz w:val="22"/>
          <w:szCs w:val="22"/>
        </w:rPr>
        <w:t>engage in benefit cost analysis associated with health risk reductions</w:t>
      </w:r>
      <w:r w:rsidRPr="00DE04E4">
        <w:rPr>
          <w:rFonts w:asciiTheme="minorHAnsi" w:hAnsiTheme="minorHAnsi" w:cs="Calibri"/>
          <w:sz w:val="22"/>
          <w:szCs w:val="22"/>
        </w:rPr>
        <w:t xml:space="preserve">, as well as to the Office of Management and Budget.  </w:t>
      </w:r>
      <w:r w:rsidR="002203F2" w:rsidRPr="00DE04E4">
        <w:rPr>
          <w:rFonts w:asciiTheme="minorHAnsi" w:hAnsiTheme="minorHAnsi" w:cs="Calibri"/>
          <w:sz w:val="22"/>
          <w:szCs w:val="22"/>
        </w:rPr>
        <w:t>EPA</w:t>
      </w:r>
      <w:r w:rsidRPr="00DE04E4">
        <w:rPr>
          <w:rFonts w:asciiTheme="minorHAnsi" w:hAnsiTheme="minorHAnsi" w:cs="Calibri"/>
          <w:sz w:val="22"/>
          <w:szCs w:val="22"/>
        </w:rPr>
        <w:t xml:space="preserve"> will make a concerted effort to keep interested parties informed of progress </w:t>
      </w:r>
      <w:r w:rsidR="0073085A">
        <w:rPr>
          <w:rFonts w:asciiTheme="minorHAnsi" w:hAnsiTheme="minorHAnsi" w:cs="Calibri"/>
          <w:sz w:val="22"/>
          <w:szCs w:val="22"/>
        </w:rPr>
        <w:t>of this effort</w:t>
      </w:r>
      <w:r w:rsidRPr="00DE04E4">
        <w:rPr>
          <w:rFonts w:asciiTheme="minorHAnsi" w:hAnsiTheme="minorHAnsi" w:cs="Calibri"/>
          <w:sz w:val="22"/>
          <w:szCs w:val="22"/>
        </w:rPr>
        <w:t xml:space="preserve">.  </w:t>
      </w:r>
    </w:p>
    <w:p w14:paraId="2E8BC6F4" w14:textId="77777777" w:rsidR="005164F9" w:rsidRPr="00DE04E4" w:rsidRDefault="005164F9" w:rsidP="00486EE7">
      <w:pPr>
        <w:rPr>
          <w:rFonts w:asciiTheme="minorHAnsi" w:hAnsiTheme="minorHAnsi" w:cs="Calibri"/>
          <w:sz w:val="22"/>
          <w:szCs w:val="22"/>
        </w:rPr>
      </w:pPr>
    </w:p>
    <w:p w14:paraId="435C5362" w14:textId="45174A74" w:rsidR="005164F9" w:rsidRPr="00DE04E4" w:rsidRDefault="005164F9" w:rsidP="00486EE7">
      <w:pPr>
        <w:rPr>
          <w:rFonts w:asciiTheme="minorHAnsi" w:hAnsiTheme="minorHAnsi" w:cs="Calibri"/>
          <w:b/>
          <w:sz w:val="22"/>
          <w:szCs w:val="22"/>
        </w:rPr>
      </w:pPr>
      <w:r w:rsidRPr="00DE04E4">
        <w:rPr>
          <w:rFonts w:asciiTheme="minorHAnsi" w:hAnsiTheme="minorHAnsi" w:cs="Calibri"/>
          <w:b/>
          <w:sz w:val="22"/>
          <w:szCs w:val="22"/>
        </w:rPr>
        <w:t>(6) Peer Review Plans</w:t>
      </w:r>
    </w:p>
    <w:p w14:paraId="47F7C126" w14:textId="77777777" w:rsidR="005164F9" w:rsidRPr="00DE04E4" w:rsidRDefault="005164F9" w:rsidP="00486EE7">
      <w:pPr>
        <w:rPr>
          <w:rFonts w:asciiTheme="minorHAnsi" w:hAnsiTheme="minorHAnsi" w:cs="Calibri"/>
          <w:sz w:val="22"/>
          <w:szCs w:val="22"/>
        </w:rPr>
      </w:pPr>
    </w:p>
    <w:p w14:paraId="06B9B3E3" w14:textId="3AA33C51" w:rsidR="005164F9" w:rsidRPr="005652CD" w:rsidRDefault="00F36035">
      <w:pPr>
        <w:rPr>
          <w:rFonts w:asciiTheme="minorHAnsi" w:hAnsiTheme="minorHAnsi"/>
          <w:sz w:val="22"/>
          <w:szCs w:val="22"/>
        </w:rPr>
      </w:pPr>
      <w:r>
        <w:rPr>
          <w:rFonts w:asciiTheme="minorHAnsi" w:hAnsiTheme="minorHAnsi" w:cs="Calibri"/>
          <w:sz w:val="22"/>
          <w:szCs w:val="22"/>
        </w:rPr>
        <w:t>The</w:t>
      </w:r>
      <w:r w:rsidR="00764EA4">
        <w:rPr>
          <w:rFonts w:asciiTheme="minorHAnsi" w:hAnsiTheme="minorHAnsi" w:cs="Calibri"/>
          <w:sz w:val="22"/>
          <w:szCs w:val="22"/>
        </w:rPr>
        <w:t xml:space="preserve"> results of the focus groups will be </w:t>
      </w:r>
      <w:r w:rsidR="005652CD">
        <w:rPr>
          <w:rFonts w:asciiTheme="minorHAnsi" w:hAnsiTheme="minorHAnsi" w:cs="Calibri"/>
          <w:sz w:val="22"/>
          <w:szCs w:val="22"/>
        </w:rPr>
        <w:t>summarized</w:t>
      </w:r>
      <w:r w:rsidR="00764EA4">
        <w:rPr>
          <w:rFonts w:asciiTheme="minorHAnsi" w:hAnsiTheme="minorHAnsi" w:cs="Calibri"/>
          <w:sz w:val="22"/>
          <w:szCs w:val="22"/>
        </w:rPr>
        <w:t xml:space="preserve"> and discussed in a White Paper</w:t>
      </w:r>
      <w:r>
        <w:rPr>
          <w:rFonts w:asciiTheme="minorHAnsi" w:hAnsiTheme="minorHAnsi" w:cs="Calibri"/>
          <w:sz w:val="22"/>
          <w:szCs w:val="22"/>
        </w:rPr>
        <w:t xml:space="preserve">, as noted above, </w:t>
      </w:r>
      <w:r w:rsidR="00764EA4">
        <w:rPr>
          <w:rFonts w:asciiTheme="minorHAnsi" w:hAnsiTheme="minorHAnsi" w:cs="Calibri"/>
          <w:sz w:val="22"/>
          <w:szCs w:val="22"/>
        </w:rPr>
        <w:t>that will be circulated</w:t>
      </w:r>
      <w:r w:rsidR="00442785">
        <w:rPr>
          <w:rFonts w:asciiTheme="minorHAnsi" w:hAnsiTheme="minorHAnsi" w:cs="Calibri"/>
          <w:sz w:val="22"/>
          <w:szCs w:val="22"/>
        </w:rPr>
        <w:t xml:space="preserve"> for</w:t>
      </w:r>
      <w:r w:rsidR="00764EA4">
        <w:rPr>
          <w:rFonts w:asciiTheme="minorHAnsi" w:hAnsiTheme="minorHAnsi" w:cs="Calibri"/>
          <w:sz w:val="22"/>
          <w:szCs w:val="22"/>
        </w:rPr>
        <w:t xml:space="preserve"> internal review through EPA’s Economics Forum and with </w:t>
      </w:r>
      <w:r w:rsidR="005652CD">
        <w:rPr>
          <w:rFonts w:asciiTheme="minorHAnsi" w:hAnsiTheme="minorHAnsi" w:cs="Calibri"/>
          <w:sz w:val="22"/>
          <w:szCs w:val="22"/>
        </w:rPr>
        <w:t xml:space="preserve">Agency management, </w:t>
      </w:r>
      <w:r>
        <w:rPr>
          <w:rFonts w:asciiTheme="minorHAnsi" w:hAnsiTheme="minorHAnsi" w:cs="Calibri"/>
          <w:sz w:val="22"/>
          <w:szCs w:val="22"/>
        </w:rPr>
        <w:t xml:space="preserve">Agency </w:t>
      </w:r>
      <w:r w:rsidR="00764EA4">
        <w:rPr>
          <w:rFonts w:asciiTheme="minorHAnsi" w:hAnsiTheme="minorHAnsi" w:cs="Calibri"/>
          <w:sz w:val="22"/>
          <w:szCs w:val="22"/>
        </w:rPr>
        <w:t xml:space="preserve">public affairs </w:t>
      </w:r>
      <w:r w:rsidR="005652CD">
        <w:rPr>
          <w:rFonts w:asciiTheme="minorHAnsi" w:hAnsiTheme="minorHAnsi" w:cs="Calibri"/>
          <w:sz w:val="22"/>
          <w:szCs w:val="22"/>
        </w:rPr>
        <w:t>and communications specialists</w:t>
      </w:r>
      <w:r w:rsidR="00364D36">
        <w:rPr>
          <w:rFonts w:asciiTheme="minorHAnsi" w:hAnsiTheme="minorHAnsi" w:cs="Calibri"/>
          <w:sz w:val="22"/>
          <w:szCs w:val="22"/>
        </w:rPr>
        <w:t xml:space="preserve">, economists from other </w:t>
      </w:r>
      <w:r w:rsidR="005652CD">
        <w:rPr>
          <w:rFonts w:asciiTheme="minorHAnsi" w:hAnsiTheme="minorHAnsi" w:cs="Calibri"/>
          <w:sz w:val="22"/>
          <w:szCs w:val="22"/>
        </w:rPr>
        <w:t>federal agencies, as well as academics and other practitioners.</w:t>
      </w:r>
      <w:r w:rsidR="005652CD" w:rsidRPr="005652CD">
        <w:rPr>
          <w:rFonts w:asciiTheme="minorHAnsi" w:hAnsiTheme="minorHAnsi"/>
          <w:sz w:val="22"/>
          <w:szCs w:val="22"/>
        </w:rPr>
        <w:t xml:space="preserve"> </w:t>
      </w:r>
      <w:r w:rsidR="005652CD">
        <w:rPr>
          <w:rFonts w:asciiTheme="minorHAnsi" w:hAnsiTheme="minorHAnsi"/>
          <w:sz w:val="22"/>
          <w:szCs w:val="22"/>
        </w:rPr>
        <w:t xml:space="preserve">Following input from experts, users, and management, EPA will propose modifications to its guidance on this issue if </w:t>
      </w:r>
      <w:r w:rsidR="00364D36">
        <w:rPr>
          <w:rFonts w:asciiTheme="minorHAnsi" w:hAnsiTheme="minorHAnsi"/>
          <w:sz w:val="22"/>
          <w:szCs w:val="22"/>
        </w:rPr>
        <w:t>deemed appropriate</w:t>
      </w:r>
      <w:r w:rsidR="005652CD">
        <w:rPr>
          <w:rFonts w:asciiTheme="minorHAnsi" w:hAnsiTheme="minorHAnsi"/>
          <w:sz w:val="22"/>
          <w:szCs w:val="22"/>
        </w:rPr>
        <w:t xml:space="preserve">.  Any revised guidance will be further vetted internally prior to being introduced in EPA’s </w:t>
      </w:r>
      <w:r w:rsidR="005652CD" w:rsidRPr="009F5589">
        <w:rPr>
          <w:rFonts w:asciiTheme="minorHAnsi" w:hAnsiTheme="minorHAnsi"/>
          <w:i/>
          <w:sz w:val="22"/>
          <w:szCs w:val="22"/>
        </w:rPr>
        <w:t>Guidelines for Preparing Economic Analyses</w:t>
      </w:r>
      <w:r w:rsidR="005652CD">
        <w:rPr>
          <w:rFonts w:asciiTheme="minorHAnsi" w:hAnsiTheme="minorHAnsi"/>
          <w:sz w:val="22"/>
          <w:szCs w:val="22"/>
        </w:rPr>
        <w:t xml:space="preserve">.  Note that EPA’s Science Advisory Board has </w:t>
      </w:r>
      <w:r w:rsidR="005A0756">
        <w:rPr>
          <w:rFonts w:asciiTheme="minorHAnsi" w:hAnsiTheme="minorHAnsi"/>
          <w:sz w:val="22"/>
          <w:szCs w:val="22"/>
        </w:rPr>
        <w:t xml:space="preserve">endorsed movement away from the use of “value of a statistical life” but encouraged EPA to explore </w:t>
      </w:r>
      <w:r w:rsidR="005A0756" w:rsidRPr="00227697">
        <w:rPr>
          <w:rFonts w:asciiTheme="minorHAnsi" w:hAnsiTheme="minorHAnsi"/>
          <w:sz w:val="22"/>
          <w:szCs w:val="22"/>
        </w:rPr>
        <w:t>a range of alternatives, with the aid of focus groups and discussions with relevant user groups</w:t>
      </w:r>
      <w:r w:rsidR="005A0756">
        <w:rPr>
          <w:rFonts w:asciiTheme="minorHAnsi" w:hAnsiTheme="minorHAnsi"/>
          <w:sz w:val="22"/>
          <w:szCs w:val="22"/>
        </w:rPr>
        <w:t>, before formally introducing a change in policy</w:t>
      </w:r>
      <w:r w:rsidR="005A0756" w:rsidRPr="00227697">
        <w:rPr>
          <w:rFonts w:asciiTheme="minorHAnsi" w:hAnsiTheme="minorHAnsi"/>
          <w:sz w:val="22"/>
          <w:szCs w:val="22"/>
        </w:rPr>
        <w:t xml:space="preserve"> (USEPA 2011, p. 1).</w:t>
      </w:r>
      <w:r w:rsidR="005A0756">
        <w:rPr>
          <w:rFonts w:asciiTheme="minorHAnsi" w:hAnsiTheme="minorHAnsi"/>
          <w:sz w:val="22"/>
          <w:szCs w:val="22"/>
        </w:rPr>
        <w:t xml:space="preserve"> </w:t>
      </w:r>
    </w:p>
    <w:p w14:paraId="1D36C038" w14:textId="77777777" w:rsidR="005164F9" w:rsidRPr="00DE04E4" w:rsidRDefault="005164F9">
      <w:pPr>
        <w:rPr>
          <w:rFonts w:asciiTheme="minorHAnsi" w:hAnsiTheme="minorHAnsi" w:cs="Calibri"/>
          <w:b/>
          <w:sz w:val="22"/>
          <w:szCs w:val="22"/>
        </w:rPr>
      </w:pPr>
    </w:p>
    <w:p w14:paraId="5878D30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 xml:space="preserve">(7)  Confidentiality </w:t>
      </w:r>
    </w:p>
    <w:p w14:paraId="2E446D3D" w14:textId="77777777" w:rsidR="005164F9" w:rsidRPr="00DE04E4" w:rsidRDefault="005164F9">
      <w:pPr>
        <w:rPr>
          <w:rFonts w:asciiTheme="minorHAnsi" w:hAnsiTheme="minorHAnsi" w:cs="Calibri"/>
          <w:sz w:val="22"/>
          <w:szCs w:val="22"/>
        </w:rPr>
      </w:pPr>
    </w:p>
    <w:p w14:paraId="121F91C2" w14:textId="2CBFDBF6"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 </w:t>
      </w:r>
      <w:r w:rsidR="0026524D">
        <w:rPr>
          <w:rFonts w:asciiTheme="minorHAnsi" w:hAnsiTheme="minorHAnsi" w:cs="Calibri"/>
          <w:sz w:val="22"/>
          <w:szCs w:val="22"/>
        </w:rPr>
        <w:t>focus group materials</w:t>
      </w:r>
      <w:r w:rsidRPr="00DE04E4">
        <w:rPr>
          <w:rFonts w:asciiTheme="minorHAnsi" w:hAnsiTheme="minorHAnsi" w:cs="Calibri"/>
          <w:sz w:val="22"/>
          <w:szCs w:val="22"/>
        </w:rPr>
        <w:t xml:space="preserve"> will fully conform to federal regulations – specifically the Privacy Act of 1974 (5 U.S.C. 552a), the Hawkins-Stafford Amendments of 1988 (P.L 100-297), and the Computer Security Act of 1987.  Each prospective </w:t>
      </w:r>
      <w:r w:rsidR="0026524D">
        <w:rPr>
          <w:rFonts w:asciiTheme="minorHAnsi" w:hAnsiTheme="minorHAnsi" w:cs="Calibri"/>
          <w:sz w:val="22"/>
          <w:szCs w:val="22"/>
        </w:rPr>
        <w:t>participant</w:t>
      </w:r>
      <w:r w:rsidR="0026524D" w:rsidRPr="00DE04E4">
        <w:rPr>
          <w:rFonts w:asciiTheme="minorHAnsi" w:hAnsiTheme="minorHAnsi" w:cs="Calibri"/>
          <w:sz w:val="22"/>
          <w:szCs w:val="22"/>
        </w:rPr>
        <w:t xml:space="preserve"> </w:t>
      </w:r>
      <w:r w:rsidRPr="00DE04E4">
        <w:rPr>
          <w:rFonts w:asciiTheme="minorHAnsi" w:hAnsiTheme="minorHAnsi" w:cs="Calibri"/>
          <w:sz w:val="22"/>
          <w:szCs w:val="22"/>
        </w:rPr>
        <w:t xml:space="preserve">will be informed that their participation in the exercise is voluntary.  The identities of the individuals will be kept confidential by the investigators and not associated with their responses in any report.  </w:t>
      </w:r>
    </w:p>
    <w:p w14:paraId="602775B9" w14:textId="77777777" w:rsidR="005164F9" w:rsidRPr="00DE04E4" w:rsidRDefault="005164F9">
      <w:pPr>
        <w:rPr>
          <w:rFonts w:asciiTheme="minorHAnsi" w:hAnsiTheme="minorHAnsi" w:cs="Calibri"/>
          <w:sz w:val="22"/>
          <w:szCs w:val="22"/>
        </w:rPr>
      </w:pPr>
    </w:p>
    <w:p w14:paraId="64DC2787"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(8)  Sensitive Questions</w:t>
      </w:r>
    </w:p>
    <w:p w14:paraId="6CE54067" w14:textId="77777777" w:rsidR="005164F9" w:rsidRPr="00DE04E4" w:rsidRDefault="005164F9">
      <w:pPr>
        <w:rPr>
          <w:rFonts w:asciiTheme="minorHAnsi" w:hAnsiTheme="minorHAnsi" w:cs="Calibri"/>
          <w:sz w:val="22"/>
          <w:szCs w:val="22"/>
        </w:rPr>
      </w:pPr>
    </w:p>
    <w:p w14:paraId="31E4B1DF" w14:textId="4626A5F4"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There are no questions included in the </w:t>
      </w:r>
      <w:r w:rsidR="0026524D">
        <w:rPr>
          <w:rFonts w:asciiTheme="minorHAnsi" w:hAnsiTheme="minorHAnsi" w:cs="Calibri"/>
          <w:sz w:val="22"/>
          <w:szCs w:val="22"/>
        </w:rPr>
        <w:t>focus group</w:t>
      </w:r>
      <w:r w:rsidR="0026524D" w:rsidRPr="00DE04E4">
        <w:rPr>
          <w:rFonts w:asciiTheme="minorHAnsi" w:hAnsiTheme="minorHAnsi" w:cs="Calibri"/>
          <w:sz w:val="22"/>
          <w:szCs w:val="22"/>
        </w:rPr>
        <w:t xml:space="preserve"> </w:t>
      </w:r>
      <w:r w:rsidRPr="00DE04E4">
        <w:rPr>
          <w:rFonts w:asciiTheme="minorHAnsi" w:hAnsiTheme="minorHAnsi" w:cs="Calibri"/>
          <w:sz w:val="22"/>
          <w:szCs w:val="22"/>
        </w:rPr>
        <w:t xml:space="preserve">materials on sexual behavior and attitudes, religious beliefs, and other matters that are commonly considered private or sensitive materials.  </w:t>
      </w:r>
    </w:p>
    <w:p w14:paraId="2D8874A1" w14:textId="77777777" w:rsidR="005164F9" w:rsidRPr="00DE04E4" w:rsidRDefault="005164F9">
      <w:pPr>
        <w:rPr>
          <w:rFonts w:asciiTheme="minorHAnsi" w:hAnsiTheme="minorHAnsi" w:cs="Calibri"/>
          <w:sz w:val="22"/>
          <w:szCs w:val="22"/>
        </w:rPr>
      </w:pPr>
    </w:p>
    <w:p w14:paraId="66EF1C4D" w14:textId="77777777" w:rsidR="005164F9" w:rsidRPr="00DE04E4" w:rsidRDefault="005164F9">
      <w:pPr>
        <w:rPr>
          <w:rFonts w:asciiTheme="minorHAnsi" w:hAnsiTheme="minorHAnsi" w:cs="Calibri"/>
          <w:b/>
          <w:sz w:val="22"/>
          <w:szCs w:val="22"/>
        </w:rPr>
      </w:pPr>
      <w:r w:rsidRPr="00DE04E4">
        <w:rPr>
          <w:rFonts w:asciiTheme="minorHAnsi" w:hAnsiTheme="minorHAnsi" w:cs="Calibri"/>
          <w:sz w:val="22"/>
          <w:szCs w:val="22"/>
        </w:rPr>
        <w:t xml:space="preserve"> </w:t>
      </w:r>
      <w:r w:rsidRPr="00DE04E4">
        <w:rPr>
          <w:rFonts w:asciiTheme="minorHAnsi" w:hAnsiTheme="minorHAnsi" w:cs="Calibri"/>
          <w:b/>
          <w:sz w:val="22"/>
          <w:szCs w:val="22"/>
        </w:rPr>
        <w:t>(9)  Respondents</w:t>
      </w:r>
    </w:p>
    <w:p w14:paraId="7E1DB1AD" w14:textId="77777777" w:rsidR="005164F9" w:rsidRPr="00DE04E4" w:rsidRDefault="005164F9">
      <w:pPr>
        <w:rPr>
          <w:rFonts w:asciiTheme="minorHAnsi" w:hAnsiTheme="minorHAnsi" w:cs="Calibri"/>
          <w:sz w:val="22"/>
          <w:szCs w:val="22"/>
        </w:rPr>
      </w:pPr>
    </w:p>
    <w:p w14:paraId="543635C7" w14:textId="53B94B85"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Respondents will be members of the general public</w:t>
      </w:r>
      <w:r w:rsidR="009A60CF">
        <w:rPr>
          <w:rFonts w:asciiTheme="minorHAnsi" w:hAnsiTheme="minorHAnsi" w:cs="Calibri"/>
          <w:sz w:val="22"/>
          <w:szCs w:val="22"/>
        </w:rPr>
        <w:t xml:space="preserve"> who</w:t>
      </w:r>
      <w:r w:rsidRPr="00DE04E4">
        <w:rPr>
          <w:rFonts w:asciiTheme="minorHAnsi" w:hAnsiTheme="minorHAnsi" w:cs="Calibri"/>
          <w:sz w:val="22"/>
          <w:szCs w:val="22"/>
        </w:rPr>
        <w:t xml:space="preserve"> volunteer to participate in focus groups and interviews.  </w:t>
      </w:r>
      <w:r w:rsidR="00C336B6" w:rsidRPr="00DE04E4">
        <w:rPr>
          <w:rFonts w:asciiTheme="minorHAnsi" w:hAnsiTheme="minorHAnsi" w:cs="Calibri"/>
          <w:sz w:val="22"/>
          <w:szCs w:val="22"/>
        </w:rPr>
        <w:t xml:space="preserve">Participants will be recruited so as to provide adequate representation of the target population. </w:t>
      </w:r>
    </w:p>
    <w:p w14:paraId="3EB9FDEB" w14:textId="77777777" w:rsidR="005164F9" w:rsidRPr="00DE04E4" w:rsidRDefault="005164F9">
      <w:pPr>
        <w:rPr>
          <w:rFonts w:asciiTheme="minorHAnsi" w:hAnsiTheme="minorHAnsi" w:cs="Calibri"/>
          <w:sz w:val="22"/>
          <w:szCs w:val="22"/>
        </w:rPr>
      </w:pPr>
    </w:p>
    <w:p w14:paraId="004EE60F"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(10)  Collection Schedule</w:t>
      </w:r>
    </w:p>
    <w:p w14:paraId="6DDC7E13" w14:textId="77777777" w:rsidR="005164F9" w:rsidRPr="00DE04E4" w:rsidRDefault="005164F9">
      <w:pPr>
        <w:rPr>
          <w:rFonts w:asciiTheme="minorHAnsi" w:hAnsiTheme="minorHAnsi" w:cs="Calibri"/>
          <w:sz w:val="22"/>
          <w:szCs w:val="22"/>
        </w:rPr>
      </w:pPr>
    </w:p>
    <w:p w14:paraId="3EDD9AB0" w14:textId="67D4C2DF" w:rsidR="005164F9" w:rsidRPr="00DE04E4" w:rsidRDefault="009A60CF">
      <w:pPr>
        <w:rPr>
          <w:rFonts w:asciiTheme="minorHAnsi" w:hAnsiTheme="minorHAnsi" w:cs="Calibri"/>
          <w:sz w:val="22"/>
          <w:szCs w:val="22"/>
        </w:rPr>
      </w:pPr>
      <w:r>
        <w:rPr>
          <w:rFonts w:asciiTheme="minorHAnsi" w:hAnsiTheme="minorHAnsi" w:cs="Calibri"/>
          <w:sz w:val="22"/>
          <w:szCs w:val="22"/>
        </w:rPr>
        <w:t>The</w:t>
      </w:r>
      <w:r w:rsidR="005164F9" w:rsidRPr="00DE04E4">
        <w:rPr>
          <w:rFonts w:asciiTheme="minorHAnsi" w:hAnsiTheme="minorHAnsi" w:cs="Calibri"/>
          <w:sz w:val="22"/>
          <w:szCs w:val="22"/>
        </w:rPr>
        <w:t xml:space="preserve"> expected timeline for the data collection </w:t>
      </w:r>
      <w:r w:rsidR="000616BB">
        <w:rPr>
          <w:rFonts w:asciiTheme="minorHAnsi" w:hAnsiTheme="minorHAnsi" w:cs="Calibri"/>
          <w:sz w:val="22"/>
          <w:szCs w:val="22"/>
        </w:rPr>
        <w:t xml:space="preserve">in three focus groups </w:t>
      </w:r>
      <w:r w:rsidR="005164F9" w:rsidRPr="00DE04E4">
        <w:rPr>
          <w:rFonts w:asciiTheme="minorHAnsi" w:hAnsiTheme="minorHAnsi" w:cs="Calibri"/>
          <w:sz w:val="22"/>
          <w:szCs w:val="22"/>
        </w:rPr>
        <w:t>is as follows</w:t>
      </w:r>
      <w:r w:rsidR="00BA6F65">
        <w:rPr>
          <w:rFonts w:asciiTheme="minorHAnsi" w:hAnsiTheme="minorHAnsi" w:cs="Calibri"/>
          <w:sz w:val="22"/>
          <w:szCs w:val="22"/>
        </w:rPr>
        <w:t>.</w:t>
      </w:r>
      <w:r w:rsidR="00921C48">
        <w:rPr>
          <w:rFonts w:asciiTheme="minorHAnsi" w:hAnsiTheme="minorHAnsi" w:cs="Calibri"/>
          <w:sz w:val="22"/>
          <w:szCs w:val="22"/>
        </w:rPr>
        <w:t xml:space="preserve"> </w:t>
      </w:r>
      <w:r w:rsidR="000616BB">
        <w:rPr>
          <w:rFonts w:asciiTheme="minorHAnsi" w:hAnsiTheme="minorHAnsi" w:cs="Calibri"/>
          <w:sz w:val="22"/>
          <w:szCs w:val="22"/>
        </w:rPr>
        <w:t xml:space="preserve"> Note that results from initial focus groups may result in modifications to focus groups scripts for those that follow.</w:t>
      </w:r>
    </w:p>
    <w:p w14:paraId="5684167F" w14:textId="77777777" w:rsidR="005164F9" w:rsidRPr="00DE04E4" w:rsidRDefault="005164F9">
      <w:pPr>
        <w:rPr>
          <w:rFonts w:asciiTheme="minorHAnsi" w:hAnsiTheme="minorHAnsi"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4310"/>
      </w:tblGrid>
      <w:tr w:rsidR="005164F9" w:rsidRPr="00DE04E4" w14:paraId="095194E8" w14:textId="77777777" w:rsidTr="007B70B1">
        <w:tc>
          <w:tcPr>
            <w:tcW w:w="4230" w:type="dxa"/>
          </w:tcPr>
          <w:p w14:paraId="245FE7B2"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Task:</w:t>
            </w:r>
          </w:p>
        </w:tc>
        <w:tc>
          <w:tcPr>
            <w:tcW w:w="4428" w:type="dxa"/>
          </w:tcPr>
          <w:p w14:paraId="0E485E2D"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Expected Completion Date:</w:t>
            </w:r>
          </w:p>
        </w:tc>
      </w:tr>
      <w:tr w:rsidR="005164F9" w:rsidRPr="00DE04E4" w14:paraId="49AAD2D0" w14:textId="77777777" w:rsidTr="007B70B1">
        <w:tc>
          <w:tcPr>
            <w:tcW w:w="4230" w:type="dxa"/>
          </w:tcPr>
          <w:p w14:paraId="19CA305F" w14:textId="209626FC"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Contact potential respondents</w:t>
            </w:r>
            <w:r w:rsidR="000616BB">
              <w:rPr>
                <w:rFonts w:asciiTheme="minorHAnsi" w:hAnsiTheme="minorHAnsi" w:cs="Calibri"/>
                <w:sz w:val="22"/>
                <w:szCs w:val="22"/>
              </w:rPr>
              <w:t xml:space="preserve"> (with contractor support)</w:t>
            </w:r>
          </w:p>
        </w:tc>
        <w:tc>
          <w:tcPr>
            <w:tcW w:w="4428" w:type="dxa"/>
          </w:tcPr>
          <w:p w14:paraId="7CAE66CD" w14:textId="68788035" w:rsidR="005164F9" w:rsidRPr="00DE04E4" w:rsidRDefault="005164F9" w:rsidP="00442785">
            <w:pPr>
              <w:rPr>
                <w:rFonts w:asciiTheme="minorHAnsi" w:hAnsiTheme="minorHAnsi" w:cs="Calibri"/>
                <w:sz w:val="22"/>
                <w:szCs w:val="22"/>
              </w:rPr>
            </w:pPr>
            <w:r w:rsidRPr="00DE04E4">
              <w:rPr>
                <w:rFonts w:asciiTheme="minorHAnsi" w:hAnsiTheme="minorHAnsi" w:cs="Calibri"/>
                <w:sz w:val="22"/>
                <w:szCs w:val="22"/>
              </w:rPr>
              <w:t xml:space="preserve">Start </w:t>
            </w:r>
            <w:r w:rsidR="002203F2" w:rsidRPr="00DE04E4">
              <w:rPr>
                <w:rFonts w:asciiTheme="minorHAnsi" w:hAnsiTheme="minorHAnsi" w:cs="Calibri"/>
                <w:sz w:val="22"/>
                <w:szCs w:val="22"/>
              </w:rPr>
              <w:t>2</w:t>
            </w:r>
            <w:r w:rsidRPr="00DE04E4">
              <w:rPr>
                <w:rFonts w:asciiTheme="minorHAnsi" w:hAnsiTheme="minorHAnsi" w:cs="Calibri"/>
                <w:sz w:val="22"/>
                <w:szCs w:val="22"/>
              </w:rPr>
              <w:t xml:space="preserve"> Weeks from ICR approval</w:t>
            </w:r>
            <w:r w:rsidR="000616BB">
              <w:rPr>
                <w:rFonts w:asciiTheme="minorHAnsi" w:hAnsiTheme="minorHAnsi" w:cs="Calibri"/>
                <w:sz w:val="22"/>
                <w:szCs w:val="22"/>
              </w:rPr>
              <w:t xml:space="preserve"> (on rolling basis)</w:t>
            </w:r>
          </w:p>
        </w:tc>
      </w:tr>
      <w:tr w:rsidR="005164F9" w:rsidRPr="00DE04E4" w14:paraId="12E26FB9" w14:textId="77777777" w:rsidTr="007B70B1">
        <w:tc>
          <w:tcPr>
            <w:tcW w:w="4230" w:type="dxa"/>
          </w:tcPr>
          <w:p w14:paraId="396657A5"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Conduct Focus Groups</w:t>
            </w:r>
          </w:p>
        </w:tc>
        <w:tc>
          <w:tcPr>
            <w:tcW w:w="4428" w:type="dxa"/>
          </w:tcPr>
          <w:p w14:paraId="263D25DE" w14:textId="45CE82FA" w:rsidR="005164F9" w:rsidRPr="00DE04E4" w:rsidRDefault="00450F86" w:rsidP="00A03139">
            <w:pPr>
              <w:rPr>
                <w:rFonts w:asciiTheme="minorHAnsi" w:hAnsiTheme="minorHAnsi" w:cs="Calibri"/>
                <w:sz w:val="22"/>
                <w:szCs w:val="22"/>
              </w:rPr>
            </w:pPr>
            <w:r>
              <w:rPr>
                <w:rFonts w:asciiTheme="minorHAnsi" w:hAnsiTheme="minorHAnsi" w:cs="Calibri"/>
                <w:sz w:val="22"/>
                <w:szCs w:val="22"/>
              </w:rPr>
              <w:t>3-8</w:t>
            </w:r>
            <w:r w:rsidR="005164F9" w:rsidRPr="00DE04E4">
              <w:rPr>
                <w:rFonts w:asciiTheme="minorHAnsi" w:hAnsiTheme="minorHAnsi" w:cs="Calibri"/>
                <w:sz w:val="22"/>
                <w:szCs w:val="22"/>
              </w:rPr>
              <w:t xml:space="preserve"> Weeks from ICR approval</w:t>
            </w:r>
          </w:p>
        </w:tc>
      </w:tr>
      <w:tr w:rsidR="005164F9" w:rsidRPr="00DE04E4" w14:paraId="5E55DB11" w14:textId="77777777" w:rsidTr="007B70B1">
        <w:tc>
          <w:tcPr>
            <w:tcW w:w="4230" w:type="dxa"/>
          </w:tcPr>
          <w:p w14:paraId="13E4B6EB" w14:textId="1E83948D" w:rsidR="005164F9" w:rsidRPr="00DE04E4" w:rsidRDefault="000616BB">
            <w:pPr>
              <w:rPr>
                <w:rFonts w:asciiTheme="minorHAnsi" w:hAnsiTheme="minorHAnsi" w:cs="Calibri"/>
                <w:sz w:val="22"/>
                <w:szCs w:val="22"/>
              </w:rPr>
            </w:pPr>
            <w:r>
              <w:rPr>
                <w:rFonts w:asciiTheme="minorHAnsi" w:hAnsiTheme="minorHAnsi" w:cs="Calibri"/>
                <w:sz w:val="22"/>
                <w:szCs w:val="22"/>
              </w:rPr>
              <w:t>Summarize Findings</w:t>
            </w:r>
          </w:p>
        </w:tc>
        <w:tc>
          <w:tcPr>
            <w:tcW w:w="4428" w:type="dxa"/>
          </w:tcPr>
          <w:p w14:paraId="484A1D61" w14:textId="63118E60" w:rsidR="005164F9" w:rsidRPr="00DE04E4" w:rsidRDefault="000616BB" w:rsidP="00A03139">
            <w:pPr>
              <w:rPr>
                <w:rFonts w:asciiTheme="minorHAnsi" w:hAnsiTheme="minorHAnsi" w:cs="Calibri"/>
                <w:sz w:val="22"/>
                <w:szCs w:val="22"/>
              </w:rPr>
            </w:pPr>
            <w:r>
              <w:rPr>
                <w:rFonts w:asciiTheme="minorHAnsi" w:hAnsiTheme="minorHAnsi" w:cs="Calibri"/>
                <w:sz w:val="22"/>
                <w:szCs w:val="22"/>
              </w:rPr>
              <w:t>8-12 weeks from ICR approval</w:t>
            </w:r>
          </w:p>
        </w:tc>
      </w:tr>
    </w:tbl>
    <w:p w14:paraId="1EC20A4C" w14:textId="77777777" w:rsidR="005164F9" w:rsidRPr="00DE04E4" w:rsidRDefault="005164F9">
      <w:pPr>
        <w:rPr>
          <w:rFonts w:asciiTheme="minorHAnsi" w:hAnsiTheme="minorHAnsi" w:cs="Calibri"/>
          <w:sz w:val="22"/>
          <w:szCs w:val="22"/>
        </w:rPr>
      </w:pPr>
    </w:p>
    <w:p w14:paraId="1511C76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(11)  Respondent Burden</w:t>
      </w:r>
    </w:p>
    <w:p w14:paraId="661B59F6" w14:textId="77777777" w:rsidR="005164F9" w:rsidRPr="00DE04E4" w:rsidRDefault="005164F9">
      <w:pPr>
        <w:rPr>
          <w:rFonts w:asciiTheme="minorHAnsi" w:hAnsiTheme="minorHAnsi" w:cs="Calibri"/>
          <w:sz w:val="22"/>
          <w:szCs w:val="22"/>
        </w:rPr>
      </w:pPr>
    </w:p>
    <w:p w14:paraId="42571E44" w14:textId="686714E5" w:rsidR="005164F9" w:rsidRPr="00DE04E4" w:rsidRDefault="000616BB">
      <w:pPr>
        <w:rPr>
          <w:rFonts w:asciiTheme="minorHAnsi" w:hAnsiTheme="minorHAnsi" w:cs="Calibri"/>
          <w:sz w:val="22"/>
          <w:szCs w:val="22"/>
        </w:rPr>
      </w:pPr>
      <w:r>
        <w:rPr>
          <w:rFonts w:asciiTheme="minorHAnsi" w:hAnsiTheme="minorHAnsi"/>
          <w:sz w:val="22"/>
          <w:szCs w:val="22"/>
        </w:rPr>
        <w:t xml:space="preserve">Three 2-hour focus groups of 10 participants </w:t>
      </w:r>
      <w:r w:rsidR="0039471C">
        <w:rPr>
          <w:rFonts w:asciiTheme="minorHAnsi" w:hAnsiTheme="minorHAnsi"/>
          <w:sz w:val="22"/>
          <w:szCs w:val="22"/>
        </w:rPr>
        <w:t xml:space="preserve">each </w:t>
      </w:r>
      <w:r>
        <w:rPr>
          <w:rFonts w:asciiTheme="minorHAnsi" w:hAnsiTheme="minorHAnsi"/>
          <w:sz w:val="22"/>
          <w:szCs w:val="22"/>
        </w:rPr>
        <w:t xml:space="preserve">are planned.  </w:t>
      </w:r>
      <w:r w:rsidR="005164F9" w:rsidRPr="00DE04E4">
        <w:rPr>
          <w:rFonts w:asciiTheme="minorHAnsi" w:hAnsiTheme="minorHAnsi"/>
          <w:sz w:val="22"/>
          <w:szCs w:val="22"/>
        </w:rPr>
        <w:t xml:space="preserve">Participants for focus groups </w:t>
      </w:r>
      <w:r>
        <w:rPr>
          <w:rFonts w:asciiTheme="minorHAnsi" w:hAnsiTheme="minorHAnsi"/>
          <w:sz w:val="22"/>
          <w:szCs w:val="22"/>
        </w:rPr>
        <w:t xml:space="preserve">will be recruited from the general population in </w:t>
      </w:r>
      <w:r w:rsidR="005164F9" w:rsidRPr="00DE04E4">
        <w:rPr>
          <w:rFonts w:asciiTheme="minorHAnsi" w:hAnsiTheme="minorHAnsi"/>
          <w:sz w:val="22"/>
          <w:szCs w:val="22"/>
        </w:rPr>
        <w:t xml:space="preserve">areas </w:t>
      </w:r>
      <w:r>
        <w:rPr>
          <w:rFonts w:asciiTheme="minorHAnsi" w:hAnsiTheme="minorHAnsi"/>
          <w:sz w:val="22"/>
          <w:szCs w:val="22"/>
        </w:rPr>
        <w:t>outside of the Washington, DC metro area (e.g., Baltimore, Richmond)</w:t>
      </w:r>
      <w:r w:rsidR="005164F9" w:rsidRPr="00DE04E4">
        <w:rPr>
          <w:rFonts w:asciiTheme="minorHAnsi" w:hAnsiTheme="minorHAnsi"/>
          <w:sz w:val="22"/>
          <w:szCs w:val="22"/>
        </w:rPr>
        <w:t>.</w:t>
      </w:r>
      <w:r>
        <w:rPr>
          <w:rFonts w:asciiTheme="minorHAnsi" w:hAnsiTheme="minorHAnsi"/>
          <w:sz w:val="22"/>
          <w:szCs w:val="22"/>
        </w:rPr>
        <w:t xml:space="preserve">  </w:t>
      </w:r>
      <w:r w:rsidR="005164F9" w:rsidRPr="00DE04E4">
        <w:rPr>
          <w:rFonts w:asciiTheme="minorHAnsi" w:hAnsiTheme="minorHAnsi" w:cs="Calibri"/>
          <w:sz w:val="22"/>
          <w:szCs w:val="22"/>
        </w:rPr>
        <w:t xml:space="preserve">The respondent burden for focus groups is </w:t>
      </w:r>
      <w:r w:rsidR="00113E83">
        <w:rPr>
          <w:rFonts w:asciiTheme="minorHAnsi" w:hAnsiTheme="minorHAnsi" w:cs="Calibri"/>
          <w:sz w:val="22"/>
          <w:szCs w:val="22"/>
        </w:rPr>
        <w:t>6</w:t>
      </w:r>
      <w:r w:rsidR="00113E83" w:rsidRPr="00DE04E4">
        <w:rPr>
          <w:rFonts w:asciiTheme="minorHAnsi" w:hAnsiTheme="minorHAnsi" w:cs="Calibri"/>
          <w:sz w:val="22"/>
          <w:szCs w:val="22"/>
        </w:rPr>
        <w:t xml:space="preserve">0 </w:t>
      </w:r>
      <w:r w:rsidR="005164F9" w:rsidRPr="00DE04E4">
        <w:rPr>
          <w:rFonts w:asciiTheme="minorHAnsi" w:hAnsiTheme="minorHAnsi" w:cs="Calibri"/>
          <w:sz w:val="22"/>
          <w:szCs w:val="22"/>
        </w:rPr>
        <w:t xml:space="preserve">hours.   </w:t>
      </w:r>
    </w:p>
    <w:p w14:paraId="2330DFC3" w14:textId="77777777" w:rsidR="005164F9" w:rsidRPr="00DE04E4" w:rsidRDefault="005164F9">
      <w:pPr>
        <w:rPr>
          <w:rFonts w:asciiTheme="minorHAnsi" w:hAnsiTheme="minorHAnsi" w:cs="Calibri"/>
          <w:sz w:val="22"/>
          <w:szCs w:val="22"/>
        </w:rPr>
      </w:pPr>
    </w:p>
    <w:p w14:paraId="2504F324"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In summary, the total burden for voluntary respondents consists of:</w:t>
      </w:r>
    </w:p>
    <w:p w14:paraId="49F06180" w14:textId="65802693"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Focus groups: </w:t>
      </w:r>
      <w:r w:rsidRPr="00DE04E4">
        <w:rPr>
          <w:rFonts w:asciiTheme="minorHAnsi" w:hAnsiTheme="minorHAnsi" w:cs="Calibri"/>
          <w:sz w:val="22"/>
          <w:szCs w:val="22"/>
        </w:rPr>
        <w:tab/>
      </w:r>
      <w:r w:rsidRPr="00DE04E4">
        <w:rPr>
          <w:rFonts w:asciiTheme="minorHAnsi" w:hAnsiTheme="minorHAnsi" w:cs="Calibri"/>
          <w:sz w:val="22"/>
          <w:szCs w:val="22"/>
        </w:rPr>
        <w:tab/>
      </w:r>
      <w:r w:rsidR="00113E83">
        <w:rPr>
          <w:rFonts w:asciiTheme="minorHAnsi" w:hAnsiTheme="minorHAnsi" w:cs="Calibri"/>
          <w:sz w:val="22"/>
          <w:szCs w:val="22"/>
        </w:rPr>
        <w:t>3</w:t>
      </w:r>
      <w:r w:rsidR="00113E83" w:rsidRPr="00DE04E4">
        <w:rPr>
          <w:rFonts w:asciiTheme="minorHAnsi" w:hAnsiTheme="minorHAnsi" w:cs="Calibri"/>
          <w:sz w:val="22"/>
          <w:szCs w:val="22"/>
        </w:rPr>
        <w:t xml:space="preserve"> </w:t>
      </w:r>
      <w:r w:rsidRPr="00DE04E4">
        <w:rPr>
          <w:rFonts w:asciiTheme="minorHAnsi" w:hAnsiTheme="minorHAnsi" w:cs="Calibri"/>
          <w:sz w:val="22"/>
          <w:szCs w:val="22"/>
        </w:rPr>
        <w:t xml:space="preserve">groups * 10 people/group * 2 hrs per person = </w:t>
      </w:r>
      <w:r w:rsidR="00113E83">
        <w:rPr>
          <w:rFonts w:asciiTheme="minorHAnsi" w:hAnsiTheme="minorHAnsi" w:cs="Calibri"/>
          <w:sz w:val="22"/>
          <w:szCs w:val="22"/>
        </w:rPr>
        <w:t>60</w:t>
      </w:r>
      <w:r w:rsidR="00113E83" w:rsidRPr="00DE04E4">
        <w:rPr>
          <w:rFonts w:asciiTheme="minorHAnsi" w:hAnsiTheme="minorHAnsi" w:cs="Calibri"/>
          <w:sz w:val="22"/>
          <w:szCs w:val="22"/>
        </w:rPr>
        <w:t xml:space="preserve"> </w:t>
      </w:r>
      <w:r w:rsidRPr="00DE04E4">
        <w:rPr>
          <w:rFonts w:asciiTheme="minorHAnsi" w:hAnsiTheme="minorHAnsi" w:cs="Calibri"/>
          <w:sz w:val="22"/>
          <w:szCs w:val="22"/>
        </w:rPr>
        <w:t>hours.</w:t>
      </w:r>
    </w:p>
    <w:p w14:paraId="691A5338" w14:textId="77777777" w:rsidR="005164F9" w:rsidRPr="00DE04E4" w:rsidRDefault="005164F9">
      <w:pPr>
        <w:rPr>
          <w:rFonts w:asciiTheme="minorHAnsi" w:hAnsiTheme="minorHAnsi" w:cs="Calibri"/>
          <w:sz w:val="22"/>
          <w:szCs w:val="22"/>
        </w:rPr>
      </w:pPr>
    </w:p>
    <w:p w14:paraId="31F77F09" w14:textId="3FFBCFBE" w:rsidR="005164F9" w:rsidRPr="00DE04E4" w:rsidRDefault="005164F9">
      <w:pPr>
        <w:rPr>
          <w:rFonts w:asciiTheme="minorHAnsi" w:hAnsiTheme="minorHAnsi" w:cs="Calibri"/>
          <w:b/>
          <w:sz w:val="22"/>
          <w:szCs w:val="22"/>
        </w:rPr>
      </w:pPr>
    </w:p>
    <w:p w14:paraId="7ED14120" w14:textId="77777777" w:rsidR="005164F9" w:rsidRPr="00DE04E4" w:rsidRDefault="005164F9">
      <w:pPr>
        <w:rPr>
          <w:rFonts w:asciiTheme="minorHAnsi" w:hAnsiTheme="minorHAnsi" w:cs="Calibri"/>
          <w:b/>
          <w:sz w:val="22"/>
          <w:szCs w:val="22"/>
        </w:rPr>
      </w:pPr>
    </w:p>
    <w:p w14:paraId="69E975F9" w14:textId="4EC69DDB" w:rsidR="005164F9" w:rsidRPr="00A03139" w:rsidRDefault="00450F86" w:rsidP="007B70B1">
      <w:pPr>
        <w:autoSpaceDE w:val="0"/>
        <w:autoSpaceDN w:val="0"/>
        <w:adjustRightInd w:val="0"/>
        <w:rPr>
          <w:rFonts w:asciiTheme="minorHAnsi" w:hAnsiTheme="minorHAnsi" w:cs="Calibri"/>
          <w:b/>
          <w:sz w:val="22"/>
          <w:szCs w:val="22"/>
        </w:rPr>
      </w:pPr>
      <w:r w:rsidRPr="00A03139">
        <w:rPr>
          <w:rFonts w:asciiTheme="minorHAnsi" w:hAnsiTheme="minorHAnsi" w:cs="Calibri"/>
          <w:b/>
          <w:sz w:val="22"/>
          <w:szCs w:val="22"/>
        </w:rPr>
        <w:t>References:</w:t>
      </w:r>
    </w:p>
    <w:p w14:paraId="3E2C9115" w14:textId="77777777" w:rsidR="00450F86" w:rsidRDefault="00450F86" w:rsidP="007B70B1">
      <w:pPr>
        <w:autoSpaceDE w:val="0"/>
        <w:autoSpaceDN w:val="0"/>
        <w:adjustRightInd w:val="0"/>
        <w:rPr>
          <w:rFonts w:asciiTheme="minorHAnsi" w:hAnsiTheme="minorHAnsi" w:cs="Calibri"/>
          <w:sz w:val="22"/>
          <w:szCs w:val="22"/>
        </w:rPr>
      </w:pPr>
    </w:p>
    <w:p w14:paraId="5E6757B6" w14:textId="34B621AB" w:rsidR="00450F86" w:rsidRDefault="00450F86" w:rsidP="00A03139">
      <w:pPr>
        <w:autoSpaceDE w:val="0"/>
        <w:autoSpaceDN w:val="0"/>
        <w:adjustRightInd w:val="0"/>
        <w:ind w:left="720" w:hanging="720"/>
        <w:rPr>
          <w:rFonts w:asciiTheme="minorHAnsi" w:hAnsiTheme="minorHAnsi" w:cs="Calibri"/>
          <w:sz w:val="22"/>
          <w:szCs w:val="22"/>
        </w:rPr>
      </w:pPr>
      <w:r>
        <w:rPr>
          <w:rFonts w:asciiTheme="minorHAnsi" w:hAnsiTheme="minorHAnsi" w:cs="Calibri"/>
          <w:sz w:val="22"/>
          <w:szCs w:val="22"/>
        </w:rPr>
        <w:t xml:space="preserve">Cameron, T. A. 2010. </w:t>
      </w:r>
      <w:r w:rsidRPr="00450F86">
        <w:rPr>
          <w:rFonts w:asciiTheme="minorHAnsi" w:hAnsiTheme="minorHAnsi" w:cs="Calibri"/>
          <w:sz w:val="22"/>
          <w:szCs w:val="22"/>
        </w:rPr>
        <w:t>Euthanizing the Value of a Statistical Life</w:t>
      </w:r>
      <w:r>
        <w:rPr>
          <w:rFonts w:asciiTheme="minorHAnsi" w:hAnsiTheme="minorHAnsi" w:cs="Calibri"/>
          <w:sz w:val="22"/>
          <w:szCs w:val="22"/>
        </w:rPr>
        <w:t xml:space="preserve">. </w:t>
      </w:r>
      <w:r w:rsidRPr="00A03139">
        <w:rPr>
          <w:rFonts w:asciiTheme="minorHAnsi" w:hAnsiTheme="minorHAnsi" w:cs="Calibri"/>
          <w:i/>
          <w:sz w:val="22"/>
          <w:szCs w:val="22"/>
        </w:rPr>
        <w:t>Rev Environ Econ Policy</w:t>
      </w:r>
      <w:r w:rsidRPr="00450F86">
        <w:rPr>
          <w:rFonts w:asciiTheme="minorHAnsi" w:hAnsiTheme="minorHAnsi" w:cs="Calibri"/>
          <w:sz w:val="22"/>
          <w:szCs w:val="22"/>
        </w:rPr>
        <w:t xml:space="preserve"> 4</w:t>
      </w:r>
      <w:r>
        <w:rPr>
          <w:rFonts w:asciiTheme="minorHAnsi" w:hAnsiTheme="minorHAnsi" w:cs="Calibri"/>
          <w:sz w:val="22"/>
          <w:szCs w:val="22"/>
        </w:rPr>
        <w:t xml:space="preserve"> </w:t>
      </w:r>
      <w:r w:rsidRPr="00450F86">
        <w:rPr>
          <w:rFonts w:asciiTheme="minorHAnsi" w:hAnsiTheme="minorHAnsi" w:cs="Calibri"/>
          <w:sz w:val="22"/>
          <w:szCs w:val="22"/>
        </w:rPr>
        <w:t>(2):  161-178.</w:t>
      </w:r>
    </w:p>
    <w:p w14:paraId="5D4C83AA" w14:textId="77777777" w:rsidR="00113E83" w:rsidRDefault="00113E83" w:rsidP="00A03139">
      <w:pPr>
        <w:autoSpaceDE w:val="0"/>
        <w:autoSpaceDN w:val="0"/>
        <w:adjustRightInd w:val="0"/>
        <w:ind w:left="720" w:hanging="720"/>
        <w:rPr>
          <w:rFonts w:asciiTheme="minorHAnsi" w:hAnsiTheme="minorHAnsi" w:cs="Calibri"/>
          <w:sz w:val="22"/>
          <w:szCs w:val="22"/>
        </w:rPr>
      </w:pPr>
    </w:p>
    <w:p w14:paraId="698F2CCA" w14:textId="2BF36379" w:rsidR="00113E83" w:rsidRDefault="00AE3A15" w:rsidP="00A03139">
      <w:pPr>
        <w:autoSpaceDE w:val="0"/>
        <w:autoSpaceDN w:val="0"/>
        <w:adjustRightInd w:val="0"/>
        <w:ind w:left="720" w:hanging="720"/>
        <w:rPr>
          <w:rFonts w:asciiTheme="minorHAnsi" w:hAnsiTheme="minorHAnsi"/>
          <w:sz w:val="22"/>
          <w:szCs w:val="22"/>
        </w:rPr>
      </w:pPr>
      <w:r w:rsidRPr="00AE3A15">
        <w:rPr>
          <w:rFonts w:asciiTheme="minorHAnsi" w:hAnsiTheme="minorHAnsi"/>
          <w:sz w:val="22"/>
          <w:szCs w:val="22"/>
        </w:rPr>
        <w:t>Hensher DA, Rose JM, de Dios Ortuzar J, Rizzi LI. 2011. Estimating the value of risk reduction for pedestrians in the road environment: an exploratory analysis. Journal of Choice Modelling 4(2):70-94.</w:t>
      </w:r>
    </w:p>
    <w:p w14:paraId="142EAA6B" w14:textId="77777777" w:rsidR="00113E83" w:rsidRDefault="00113E83" w:rsidP="00A03139">
      <w:pPr>
        <w:autoSpaceDE w:val="0"/>
        <w:autoSpaceDN w:val="0"/>
        <w:adjustRightInd w:val="0"/>
        <w:ind w:left="720" w:hanging="720"/>
        <w:rPr>
          <w:rFonts w:asciiTheme="minorHAnsi" w:hAnsiTheme="minorHAnsi" w:cs="Calibri"/>
          <w:sz w:val="22"/>
          <w:szCs w:val="22"/>
        </w:rPr>
      </w:pPr>
    </w:p>
    <w:p w14:paraId="314F8E19" w14:textId="7DD88875" w:rsidR="00113E83" w:rsidRDefault="00AE3A15" w:rsidP="00A03139">
      <w:pPr>
        <w:autoSpaceDE w:val="0"/>
        <w:autoSpaceDN w:val="0"/>
        <w:adjustRightInd w:val="0"/>
        <w:ind w:left="720" w:hanging="720"/>
        <w:rPr>
          <w:rFonts w:asciiTheme="minorHAnsi" w:hAnsiTheme="minorHAnsi"/>
          <w:sz w:val="22"/>
          <w:szCs w:val="22"/>
        </w:rPr>
      </w:pPr>
      <w:r w:rsidRPr="00AE3A15">
        <w:rPr>
          <w:rFonts w:asciiTheme="minorHAnsi" w:hAnsiTheme="minorHAnsi"/>
          <w:sz w:val="22"/>
          <w:szCs w:val="22"/>
        </w:rPr>
        <w:t>Scotton CR, Taylor LO. 2011. Valuing risk reductions: incorporating risk heterogeneity into a revealed preference framework. Resource and Energy Economics 33:381-397.</w:t>
      </w:r>
    </w:p>
    <w:p w14:paraId="24E679BD" w14:textId="77777777" w:rsidR="00113E83" w:rsidRDefault="00113E83" w:rsidP="00A03139">
      <w:pPr>
        <w:autoSpaceDE w:val="0"/>
        <w:autoSpaceDN w:val="0"/>
        <w:adjustRightInd w:val="0"/>
        <w:rPr>
          <w:rFonts w:asciiTheme="minorHAnsi" w:hAnsiTheme="minorHAnsi"/>
          <w:sz w:val="22"/>
          <w:szCs w:val="22"/>
        </w:rPr>
      </w:pPr>
    </w:p>
    <w:p w14:paraId="2A9F94B7" w14:textId="77777777" w:rsidR="00AE3A15" w:rsidRDefault="00113E83" w:rsidP="00A03139">
      <w:pPr>
        <w:ind w:left="720" w:hanging="720"/>
        <w:rPr>
          <w:rFonts w:asciiTheme="minorHAnsi" w:hAnsiTheme="minorHAnsi"/>
          <w:sz w:val="22"/>
          <w:szCs w:val="22"/>
        </w:rPr>
      </w:pPr>
      <w:r w:rsidRPr="00A03139">
        <w:rPr>
          <w:rFonts w:asciiTheme="minorHAnsi" w:hAnsiTheme="minorHAnsi"/>
          <w:sz w:val="22"/>
          <w:szCs w:val="22"/>
        </w:rPr>
        <w:t xml:space="preserve">USEPA. 2010. Valuing Mortality Risk Reductions for Environmental Policy: A White Paper. SAB Review Draft.  Office of Policy, National Center for Environmental Economics.  December 10.  Available at: </w:t>
      </w:r>
      <w:hyperlink r:id="rId8" w:history="1">
        <w:r w:rsidRPr="00A03139">
          <w:rPr>
            <w:rStyle w:val="Hyperlink"/>
            <w:rFonts w:asciiTheme="minorHAnsi" w:hAnsiTheme="minorHAnsi"/>
            <w:sz w:val="22"/>
            <w:szCs w:val="22"/>
          </w:rPr>
          <w:t>http://yosemite.epa.gov/sab/sabproduct.nsf/c91996cd39a82f6485257424</w:t>
        </w:r>
      </w:hyperlink>
      <w:r w:rsidRPr="00A03139">
        <w:rPr>
          <w:rFonts w:asciiTheme="minorHAnsi" w:hAnsiTheme="minorHAnsi"/>
          <w:sz w:val="22"/>
          <w:szCs w:val="22"/>
        </w:rPr>
        <w:t xml:space="preserve"> 00690127/34D7008FAD7FA8AD8525750400712AEB/$File/White+Paper+(Dec.+2010).pdf.</w:t>
      </w:r>
    </w:p>
    <w:p w14:paraId="55998E6D" w14:textId="77777777" w:rsidR="0039471C" w:rsidRDefault="0039471C" w:rsidP="00A03139">
      <w:pPr>
        <w:ind w:left="720" w:hanging="720"/>
        <w:rPr>
          <w:rFonts w:asciiTheme="minorHAnsi" w:hAnsiTheme="minorHAnsi"/>
          <w:sz w:val="22"/>
          <w:szCs w:val="22"/>
        </w:rPr>
      </w:pPr>
    </w:p>
    <w:p w14:paraId="15BEB9DC" w14:textId="4718F8B6" w:rsidR="00113E83" w:rsidRPr="00A03139" w:rsidRDefault="00113E83" w:rsidP="00A03139">
      <w:pPr>
        <w:ind w:left="720" w:hanging="720"/>
        <w:rPr>
          <w:rFonts w:asciiTheme="minorHAnsi" w:hAnsiTheme="minorHAnsi"/>
          <w:sz w:val="22"/>
          <w:szCs w:val="22"/>
        </w:rPr>
      </w:pPr>
      <w:r w:rsidRPr="00A03139">
        <w:rPr>
          <w:rFonts w:asciiTheme="minorHAnsi" w:hAnsiTheme="minorHAnsi"/>
          <w:sz w:val="22"/>
          <w:szCs w:val="22"/>
        </w:rPr>
        <w:t xml:space="preserve">USEPA. 2011. Review of </w:t>
      </w:r>
      <w:r w:rsidRPr="00A03139">
        <w:rPr>
          <w:rFonts w:asciiTheme="minorHAnsi" w:hAnsiTheme="minorHAnsi"/>
          <w:i/>
          <w:sz w:val="22"/>
          <w:szCs w:val="22"/>
        </w:rPr>
        <w:t xml:space="preserve">Valuing Mortality Risk Reductions for Environmental Policy: A White Paper (December 10, 2010). </w:t>
      </w:r>
      <w:r w:rsidRPr="00A03139">
        <w:rPr>
          <w:rFonts w:asciiTheme="minorHAnsi" w:hAnsiTheme="minorHAnsi"/>
          <w:sz w:val="22"/>
          <w:szCs w:val="22"/>
        </w:rPr>
        <w:t xml:space="preserve"> Office of the Administrator, Science Advisory Board. EPA-SAB-11-011. July 29. Available at: http://yosemite.epa.gov/sab/sabproduct.nsf/298E1F50F844BC23852578DC0059A616/$File/EPA-SAB-11-011-unsigned.pdf</w:t>
      </w:r>
    </w:p>
    <w:sectPr w:rsidR="00113E83" w:rsidRPr="00A03139" w:rsidSect="005532B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E985" w14:textId="77777777" w:rsidR="00951F05" w:rsidRDefault="00951F05">
      <w:r>
        <w:separator/>
      </w:r>
    </w:p>
  </w:endnote>
  <w:endnote w:type="continuationSeparator" w:id="0">
    <w:p w14:paraId="096A8830" w14:textId="77777777" w:rsidR="00951F05" w:rsidRDefault="00951F05">
      <w:r>
        <w:continuationSeparator/>
      </w:r>
    </w:p>
  </w:endnote>
  <w:endnote w:type="continuationNotice" w:id="1">
    <w:p w14:paraId="6A0C0AA2" w14:textId="77777777" w:rsidR="00951F05" w:rsidRDefault="0095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A6F1" w14:textId="77777777" w:rsidR="00777A6B" w:rsidRDefault="00777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03A4D" w14:textId="77777777" w:rsidR="00777A6B" w:rsidRDefault="00777A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A492" w14:textId="13816650" w:rsidR="00777A6B" w:rsidRDefault="00777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445">
      <w:rPr>
        <w:rStyle w:val="PageNumber"/>
        <w:noProof/>
      </w:rPr>
      <w:t>1</w:t>
    </w:r>
    <w:r>
      <w:rPr>
        <w:rStyle w:val="PageNumber"/>
      </w:rPr>
      <w:fldChar w:fldCharType="end"/>
    </w:r>
  </w:p>
  <w:p w14:paraId="3402588B" w14:textId="77777777" w:rsidR="00777A6B" w:rsidRDefault="00777A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06890" w14:textId="77777777" w:rsidR="00951F05" w:rsidRDefault="00951F05">
      <w:r>
        <w:separator/>
      </w:r>
    </w:p>
  </w:footnote>
  <w:footnote w:type="continuationSeparator" w:id="0">
    <w:p w14:paraId="70423D6F" w14:textId="77777777" w:rsidR="00951F05" w:rsidRDefault="00951F05">
      <w:r>
        <w:continuationSeparator/>
      </w:r>
    </w:p>
  </w:footnote>
  <w:footnote w:type="continuationNotice" w:id="1">
    <w:p w14:paraId="689170A6" w14:textId="77777777" w:rsidR="00951F05" w:rsidRDefault="00951F05"/>
  </w:footnote>
  <w:footnote w:id="2">
    <w:p w14:paraId="77871584" w14:textId="74D14D46" w:rsidR="004305F3" w:rsidRDefault="004305F3">
      <w:pPr>
        <w:pStyle w:val="FootnoteText"/>
      </w:pPr>
      <w:r>
        <w:rPr>
          <w:rStyle w:val="FootnoteReference"/>
        </w:rPr>
        <w:footnoteRef/>
      </w:r>
      <w:r>
        <w:t xml:space="preserve"> VRR </w:t>
      </w:r>
      <w:r w:rsidRPr="00227697">
        <w:rPr>
          <w:rFonts w:asciiTheme="minorHAnsi" w:hAnsiTheme="minorHAnsi"/>
          <w:sz w:val="22"/>
          <w:szCs w:val="22"/>
        </w:rPr>
        <w:t xml:space="preserve">was suggested by the SAB-EEAC (USEPA 2011) and has been used in at least two published </w:t>
      </w:r>
      <w:r>
        <w:rPr>
          <w:rFonts w:asciiTheme="minorHAnsi" w:hAnsiTheme="minorHAnsi"/>
          <w:sz w:val="22"/>
          <w:szCs w:val="22"/>
        </w:rPr>
        <w:t>studies</w:t>
      </w:r>
      <w:r w:rsidRPr="00227697">
        <w:rPr>
          <w:rFonts w:asciiTheme="minorHAnsi" w:hAnsiTheme="minorHAnsi"/>
          <w:sz w:val="22"/>
          <w:szCs w:val="22"/>
        </w:rPr>
        <w:t xml:space="preserve"> since that time (Scotton and Taylor 201</w:t>
      </w:r>
      <w:r>
        <w:rPr>
          <w:rFonts w:asciiTheme="minorHAnsi" w:hAnsiTheme="minorHAnsi"/>
          <w:sz w:val="22"/>
          <w:szCs w:val="22"/>
        </w:rPr>
        <w:t>1</w:t>
      </w:r>
      <w:r w:rsidRPr="00227697">
        <w:rPr>
          <w:rFonts w:asciiTheme="minorHAnsi" w:hAnsiTheme="minorHAnsi"/>
          <w:sz w:val="22"/>
          <w:szCs w:val="22"/>
        </w:rPr>
        <w:t>, Hensher et al.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18"/>
    <w:rsid w:val="0000090C"/>
    <w:rsid w:val="00010E19"/>
    <w:rsid w:val="000343B3"/>
    <w:rsid w:val="00036E68"/>
    <w:rsid w:val="0004148A"/>
    <w:rsid w:val="00042D91"/>
    <w:rsid w:val="000616BB"/>
    <w:rsid w:val="000716C7"/>
    <w:rsid w:val="000717DE"/>
    <w:rsid w:val="00072D0B"/>
    <w:rsid w:val="00092C13"/>
    <w:rsid w:val="0009787F"/>
    <w:rsid w:val="000B12B2"/>
    <w:rsid w:val="000D1ECB"/>
    <w:rsid w:val="000D1F85"/>
    <w:rsid w:val="000D298A"/>
    <w:rsid w:val="000D579D"/>
    <w:rsid w:val="000D5C50"/>
    <w:rsid w:val="000D678C"/>
    <w:rsid w:val="000E3D0B"/>
    <w:rsid w:val="000F5CBA"/>
    <w:rsid w:val="001006F3"/>
    <w:rsid w:val="001012EE"/>
    <w:rsid w:val="00105E5E"/>
    <w:rsid w:val="001069EA"/>
    <w:rsid w:val="00113E83"/>
    <w:rsid w:val="00120210"/>
    <w:rsid w:val="00134DB1"/>
    <w:rsid w:val="001425D5"/>
    <w:rsid w:val="00155418"/>
    <w:rsid w:val="00164A6C"/>
    <w:rsid w:val="00167A30"/>
    <w:rsid w:val="001962FF"/>
    <w:rsid w:val="0019732A"/>
    <w:rsid w:val="001A22E3"/>
    <w:rsid w:val="001B34B1"/>
    <w:rsid w:val="001B785D"/>
    <w:rsid w:val="001C05EF"/>
    <w:rsid w:val="001C4F70"/>
    <w:rsid w:val="001D10CB"/>
    <w:rsid w:val="001E12FA"/>
    <w:rsid w:val="001E3927"/>
    <w:rsid w:val="0020296F"/>
    <w:rsid w:val="002062F9"/>
    <w:rsid w:val="0021495C"/>
    <w:rsid w:val="002203F2"/>
    <w:rsid w:val="0022703A"/>
    <w:rsid w:val="00227697"/>
    <w:rsid w:val="00242932"/>
    <w:rsid w:val="00250110"/>
    <w:rsid w:val="00254A18"/>
    <w:rsid w:val="002576B8"/>
    <w:rsid w:val="00257F4F"/>
    <w:rsid w:val="0026524D"/>
    <w:rsid w:val="00275E20"/>
    <w:rsid w:val="00277DD6"/>
    <w:rsid w:val="002A2476"/>
    <w:rsid w:val="002D4754"/>
    <w:rsid w:val="002D79FD"/>
    <w:rsid w:val="002E1DCB"/>
    <w:rsid w:val="002E61BA"/>
    <w:rsid w:val="002E6C13"/>
    <w:rsid w:val="002F0887"/>
    <w:rsid w:val="002F0C96"/>
    <w:rsid w:val="00310F22"/>
    <w:rsid w:val="00315119"/>
    <w:rsid w:val="00342F05"/>
    <w:rsid w:val="00347B0D"/>
    <w:rsid w:val="00353382"/>
    <w:rsid w:val="00357B56"/>
    <w:rsid w:val="003615C7"/>
    <w:rsid w:val="00364D36"/>
    <w:rsid w:val="00371102"/>
    <w:rsid w:val="00372685"/>
    <w:rsid w:val="003759F7"/>
    <w:rsid w:val="0038238D"/>
    <w:rsid w:val="00387D9C"/>
    <w:rsid w:val="0039471C"/>
    <w:rsid w:val="00394861"/>
    <w:rsid w:val="00396243"/>
    <w:rsid w:val="003A007A"/>
    <w:rsid w:val="003A1359"/>
    <w:rsid w:val="003A210F"/>
    <w:rsid w:val="003A3374"/>
    <w:rsid w:val="003A6D6A"/>
    <w:rsid w:val="003A72AC"/>
    <w:rsid w:val="003B2AFE"/>
    <w:rsid w:val="003C4D57"/>
    <w:rsid w:val="003C7829"/>
    <w:rsid w:val="003D2711"/>
    <w:rsid w:val="003E1E1D"/>
    <w:rsid w:val="003E6ADD"/>
    <w:rsid w:val="00403037"/>
    <w:rsid w:val="00404290"/>
    <w:rsid w:val="004305F3"/>
    <w:rsid w:val="00442785"/>
    <w:rsid w:val="00447DCC"/>
    <w:rsid w:val="00450F86"/>
    <w:rsid w:val="004537AD"/>
    <w:rsid w:val="00460D3B"/>
    <w:rsid w:val="00461305"/>
    <w:rsid w:val="004633FC"/>
    <w:rsid w:val="00464DC9"/>
    <w:rsid w:val="00467837"/>
    <w:rsid w:val="00472446"/>
    <w:rsid w:val="004805CF"/>
    <w:rsid w:val="00486EE7"/>
    <w:rsid w:val="004911B0"/>
    <w:rsid w:val="004A3315"/>
    <w:rsid w:val="004B7B87"/>
    <w:rsid w:val="004D01FF"/>
    <w:rsid w:val="004E1C17"/>
    <w:rsid w:val="004E3349"/>
    <w:rsid w:val="004F10CC"/>
    <w:rsid w:val="004F4B3A"/>
    <w:rsid w:val="004F652C"/>
    <w:rsid w:val="00504462"/>
    <w:rsid w:val="00510D83"/>
    <w:rsid w:val="005164F9"/>
    <w:rsid w:val="00517B23"/>
    <w:rsid w:val="005205DC"/>
    <w:rsid w:val="005331B8"/>
    <w:rsid w:val="00534680"/>
    <w:rsid w:val="0053711A"/>
    <w:rsid w:val="00537309"/>
    <w:rsid w:val="005532BE"/>
    <w:rsid w:val="0055513A"/>
    <w:rsid w:val="005601D6"/>
    <w:rsid w:val="0056442A"/>
    <w:rsid w:val="005652CD"/>
    <w:rsid w:val="0056548C"/>
    <w:rsid w:val="005917CA"/>
    <w:rsid w:val="00593A50"/>
    <w:rsid w:val="00597B35"/>
    <w:rsid w:val="005A05A3"/>
    <w:rsid w:val="005A0756"/>
    <w:rsid w:val="005A4BF9"/>
    <w:rsid w:val="005C54B9"/>
    <w:rsid w:val="005E34FB"/>
    <w:rsid w:val="005E4DBD"/>
    <w:rsid w:val="005E51AD"/>
    <w:rsid w:val="005E5B37"/>
    <w:rsid w:val="005E7646"/>
    <w:rsid w:val="005F0E12"/>
    <w:rsid w:val="005F6F32"/>
    <w:rsid w:val="006035EB"/>
    <w:rsid w:val="00612366"/>
    <w:rsid w:val="0061447D"/>
    <w:rsid w:val="00627591"/>
    <w:rsid w:val="006448F0"/>
    <w:rsid w:val="006533BA"/>
    <w:rsid w:val="00676155"/>
    <w:rsid w:val="00684ED5"/>
    <w:rsid w:val="00687BE2"/>
    <w:rsid w:val="00697F86"/>
    <w:rsid w:val="006B65E0"/>
    <w:rsid w:val="006C524C"/>
    <w:rsid w:val="006D2645"/>
    <w:rsid w:val="006E0011"/>
    <w:rsid w:val="006E55AB"/>
    <w:rsid w:val="006F4A33"/>
    <w:rsid w:val="00701118"/>
    <w:rsid w:val="00701EA4"/>
    <w:rsid w:val="00706DFC"/>
    <w:rsid w:val="007073CA"/>
    <w:rsid w:val="007171BC"/>
    <w:rsid w:val="00720CD5"/>
    <w:rsid w:val="0073026F"/>
    <w:rsid w:val="0073085A"/>
    <w:rsid w:val="00741F6B"/>
    <w:rsid w:val="00747A9E"/>
    <w:rsid w:val="00764EA4"/>
    <w:rsid w:val="00777A6B"/>
    <w:rsid w:val="007A578F"/>
    <w:rsid w:val="007B70B1"/>
    <w:rsid w:val="007C3BD4"/>
    <w:rsid w:val="007C717B"/>
    <w:rsid w:val="007D53C0"/>
    <w:rsid w:val="007E4D80"/>
    <w:rsid w:val="007E6A3F"/>
    <w:rsid w:val="007F1191"/>
    <w:rsid w:val="007F2D22"/>
    <w:rsid w:val="007F3CE7"/>
    <w:rsid w:val="00807FA7"/>
    <w:rsid w:val="008115D7"/>
    <w:rsid w:val="00815217"/>
    <w:rsid w:val="00822DE1"/>
    <w:rsid w:val="0082379E"/>
    <w:rsid w:val="00833680"/>
    <w:rsid w:val="008672F5"/>
    <w:rsid w:val="0087560E"/>
    <w:rsid w:val="00875A81"/>
    <w:rsid w:val="0088079D"/>
    <w:rsid w:val="00897A9B"/>
    <w:rsid w:val="008A29E6"/>
    <w:rsid w:val="008A77E3"/>
    <w:rsid w:val="008B1214"/>
    <w:rsid w:val="008C2A40"/>
    <w:rsid w:val="008D23B8"/>
    <w:rsid w:val="008D2F29"/>
    <w:rsid w:val="008D6575"/>
    <w:rsid w:val="008D66AF"/>
    <w:rsid w:val="008D77D7"/>
    <w:rsid w:val="008E1123"/>
    <w:rsid w:val="008E5A2F"/>
    <w:rsid w:val="008E5D0A"/>
    <w:rsid w:val="008F1BEF"/>
    <w:rsid w:val="008F7851"/>
    <w:rsid w:val="0090606D"/>
    <w:rsid w:val="0091550D"/>
    <w:rsid w:val="00921C48"/>
    <w:rsid w:val="0093161C"/>
    <w:rsid w:val="00933848"/>
    <w:rsid w:val="009453C1"/>
    <w:rsid w:val="00945591"/>
    <w:rsid w:val="009506C4"/>
    <w:rsid w:val="00951F05"/>
    <w:rsid w:val="00953FC1"/>
    <w:rsid w:val="00957558"/>
    <w:rsid w:val="009610E9"/>
    <w:rsid w:val="009717F9"/>
    <w:rsid w:val="00976573"/>
    <w:rsid w:val="00987DD2"/>
    <w:rsid w:val="009954F8"/>
    <w:rsid w:val="009A2445"/>
    <w:rsid w:val="009A3C46"/>
    <w:rsid w:val="009A60CF"/>
    <w:rsid w:val="009A6593"/>
    <w:rsid w:val="009C1095"/>
    <w:rsid w:val="009C4C60"/>
    <w:rsid w:val="009C7D4C"/>
    <w:rsid w:val="009D1AFE"/>
    <w:rsid w:val="009D3A81"/>
    <w:rsid w:val="009E00A8"/>
    <w:rsid w:val="009E03D6"/>
    <w:rsid w:val="009E324C"/>
    <w:rsid w:val="009F5589"/>
    <w:rsid w:val="00A03139"/>
    <w:rsid w:val="00A07562"/>
    <w:rsid w:val="00A26535"/>
    <w:rsid w:val="00A37215"/>
    <w:rsid w:val="00A420AE"/>
    <w:rsid w:val="00A430E4"/>
    <w:rsid w:val="00A453C2"/>
    <w:rsid w:val="00A57142"/>
    <w:rsid w:val="00A61DF2"/>
    <w:rsid w:val="00A73DD0"/>
    <w:rsid w:val="00A82B34"/>
    <w:rsid w:val="00A83F7B"/>
    <w:rsid w:val="00A84B98"/>
    <w:rsid w:val="00AA0CAC"/>
    <w:rsid w:val="00AB4ECB"/>
    <w:rsid w:val="00AC4F66"/>
    <w:rsid w:val="00AC72EB"/>
    <w:rsid w:val="00AD5366"/>
    <w:rsid w:val="00AE3A15"/>
    <w:rsid w:val="00AF4259"/>
    <w:rsid w:val="00AF4F4F"/>
    <w:rsid w:val="00AF69A5"/>
    <w:rsid w:val="00B02C3E"/>
    <w:rsid w:val="00B057BF"/>
    <w:rsid w:val="00B16D53"/>
    <w:rsid w:val="00B31F06"/>
    <w:rsid w:val="00B35FDE"/>
    <w:rsid w:val="00B4064A"/>
    <w:rsid w:val="00B42305"/>
    <w:rsid w:val="00B55BD6"/>
    <w:rsid w:val="00B62D25"/>
    <w:rsid w:val="00B77FEA"/>
    <w:rsid w:val="00B87653"/>
    <w:rsid w:val="00B92520"/>
    <w:rsid w:val="00BA1A9B"/>
    <w:rsid w:val="00BA6F65"/>
    <w:rsid w:val="00BB25D3"/>
    <w:rsid w:val="00BD7C2F"/>
    <w:rsid w:val="00BE360E"/>
    <w:rsid w:val="00BE777D"/>
    <w:rsid w:val="00BF6B37"/>
    <w:rsid w:val="00C07660"/>
    <w:rsid w:val="00C07FDE"/>
    <w:rsid w:val="00C175D9"/>
    <w:rsid w:val="00C336B6"/>
    <w:rsid w:val="00C33E1A"/>
    <w:rsid w:val="00C46F03"/>
    <w:rsid w:val="00C472BC"/>
    <w:rsid w:val="00C505AC"/>
    <w:rsid w:val="00C51DF5"/>
    <w:rsid w:val="00C52B2A"/>
    <w:rsid w:val="00C61459"/>
    <w:rsid w:val="00C632C1"/>
    <w:rsid w:val="00C63F12"/>
    <w:rsid w:val="00C722A1"/>
    <w:rsid w:val="00C87622"/>
    <w:rsid w:val="00CA1CD4"/>
    <w:rsid w:val="00CA4BF0"/>
    <w:rsid w:val="00CA5DA7"/>
    <w:rsid w:val="00CB46DF"/>
    <w:rsid w:val="00CC04CB"/>
    <w:rsid w:val="00CC69C0"/>
    <w:rsid w:val="00CD5385"/>
    <w:rsid w:val="00CE2BEB"/>
    <w:rsid w:val="00CF2A59"/>
    <w:rsid w:val="00CF61ED"/>
    <w:rsid w:val="00D00D06"/>
    <w:rsid w:val="00D15B82"/>
    <w:rsid w:val="00D201B1"/>
    <w:rsid w:val="00D20D59"/>
    <w:rsid w:val="00D235B7"/>
    <w:rsid w:val="00D305E4"/>
    <w:rsid w:val="00D31E74"/>
    <w:rsid w:val="00D403D3"/>
    <w:rsid w:val="00D420E3"/>
    <w:rsid w:val="00D45DEA"/>
    <w:rsid w:val="00D55E61"/>
    <w:rsid w:val="00D62C25"/>
    <w:rsid w:val="00D6622B"/>
    <w:rsid w:val="00D66593"/>
    <w:rsid w:val="00D74BD9"/>
    <w:rsid w:val="00D756FF"/>
    <w:rsid w:val="00D83106"/>
    <w:rsid w:val="00D87626"/>
    <w:rsid w:val="00D919F8"/>
    <w:rsid w:val="00D92719"/>
    <w:rsid w:val="00D93FFA"/>
    <w:rsid w:val="00D9547D"/>
    <w:rsid w:val="00D97ED6"/>
    <w:rsid w:val="00DA04F3"/>
    <w:rsid w:val="00DA093F"/>
    <w:rsid w:val="00DA2C62"/>
    <w:rsid w:val="00DB26CB"/>
    <w:rsid w:val="00DC1569"/>
    <w:rsid w:val="00DE04E4"/>
    <w:rsid w:val="00DF688E"/>
    <w:rsid w:val="00E06CEF"/>
    <w:rsid w:val="00E27DC3"/>
    <w:rsid w:val="00E313EE"/>
    <w:rsid w:val="00E3316D"/>
    <w:rsid w:val="00E36424"/>
    <w:rsid w:val="00E43450"/>
    <w:rsid w:val="00E519DA"/>
    <w:rsid w:val="00E53279"/>
    <w:rsid w:val="00E55FCC"/>
    <w:rsid w:val="00E6011A"/>
    <w:rsid w:val="00E65B22"/>
    <w:rsid w:val="00E7487A"/>
    <w:rsid w:val="00E74FD6"/>
    <w:rsid w:val="00E83BC7"/>
    <w:rsid w:val="00E85660"/>
    <w:rsid w:val="00E87722"/>
    <w:rsid w:val="00EA078E"/>
    <w:rsid w:val="00EA4598"/>
    <w:rsid w:val="00EC0200"/>
    <w:rsid w:val="00ED046F"/>
    <w:rsid w:val="00ED6964"/>
    <w:rsid w:val="00ED7328"/>
    <w:rsid w:val="00EE0810"/>
    <w:rsid w:val="00EE434F"/>
    <w:rsid w:val="00EF70E4"/>
    <w:rsid w:val="00F00C76"/>
    <w:rsid w:val="00F03885"/>
    <w:rsid w:val="00F05E7F"/>
    <w:rsid w:val="00F0647C"/>
    <w:rsid w:val="00F36035"/>
    <w:rsid w:val="00F36AF6"/>
    <w:rsid w:val="00F40201"/>
    <w:rsid w:val="00F6526C"/>
    <w:rsid w:val="00F71844"/>
    <w:rsid w:val="00F7323B"/>
    <w:rsid w:val="00F824C8"/>
    <w:rsid w:val="00F87917"/>
    <w:rsid w:val="00F9395D"/>
    <w:rsid w:val="00FA58C2"/>
    <w:rsid w:val="00FB323D"/>
    <w:rsid w:val="00FD0831"/>
    <w:rsid w:val="00FE2135"/>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FC1FD"/>
  <w15:docId w15:val="{818BAA46-FEDC-4913-AE94-2D114042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semiHidden/>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rFonts w:cs="Times New Roman"/>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 w:type="paragraph" w:styleId="Header">
    <w:name w:val="header"/>
    <w:basedOn w:val="Normal"/>
    <w:link w:val="HeaderChar"/>
    <w:uiPriority w:val="99"/>
    <w:semiHidden/>
    <w:unhideWhenUsed/>
    <w:rsid w:val="00C33E1A"/>
    <w:pPr>
      <w:tabs>
        <w:tab w:val="center" w:pos="4680"/>
        <w:tab w:val="right" w:pos="9360"/>
      </w:tabs>
    </w:pPr>
  </w:style>
  <w:style w:type="character" w:customStyle="1" w:styleId="HeaderChar">
    <w:name w:val="Header Char"/>
    <w:basedOn w:val="DefaultParagraphFont"/>
    <w:link w:val="Header"/>
    <w:uiPriority w:val="99"/>
    <w:semiHidden/>
    <w:rsid w:val="00C33E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544555">
      <w:bodyDiv w:val="1"/>
      <w:marLeft w:val="0"/>
      <w:marRight w:val="0"/>
      <w:marTop w:val="0"/>
      <w:marBottom w:val="0"/>
      <w:divBdr>
        <w:top w:val="none" w:sz="0" w:space="0" w:color="auto"/>
        <w:left w:val="none" w:sz="0" w:space="0" w:color="auto"/>
        <w:bottom w:val="none" w:sz="0" w:space="0" w:color="auto"/>
        <w:right w:val="none" w:sz="0" w:space="0" w:color="auto"/>
      </w:divBdr>
    </w:div>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 w:id="19162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semite.epa.gov/sab/sabproduct.nsf/c91996cd39a82f6485257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49D43-4CF0-4323-8686-3C3367FB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8748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Eric</dc:creator>
  <cp:keywords/>
  <dc:description/>
  <cp:lastModifiedBy>Suzuki, Judy</cp:lastModifiedBy>
  <cp:revision>2</cp:revision>
  <cp:lastPrinted>2016-12-06T17:54:00Z</cp:lastPrinted>
  <dcterms:created xsi:type="dcterms:W3CDTF">2016-12-16T18:27:00Z</dcterms:created>
  <dcterms:modified xsi:type="dcterms:W3CDTF">2016-12-16T18:27:00Z</dcterms:modified>
</cp:coreProperties>
</file>