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DBC28" w14:textId="77777777" w:rsidR="00BC15BE" w:rsidRPr="003B18DD" w:rsidRDefault="00BC15BE" w:rsidP="00BC15BE">
      <w:pPr>
        <w:tabs>
          <w:tab w:val="center" w:pos="4680"/>
        </w:tabs>
        <w:jc w:val="center"/>
        <w:rPr>
          <w:b/>
          <w:bCs/>
          <w:szCs w:val="26"/>
        </w:rPr>
      </w:pPr>
      <w:bookmarkStart w:id="0" w:name="_GoBack"/>
      <w:bookmarkEnd w:id="0"/>
    </w:p>
    <w:p w14:paraId="20181696" w14:textId="77777777" w:rsidR="00BC15BE" w:rsidRPr="003B18DD" w:rsidRDefault="00BC15BE" w:rsidP="00BC15BE">
      <w:pPr>
        <w:tabs>
          <w:tab w:val="center" w:pos="4680"/>
        </w:tabs>
        <w:jc w:val="center"/>
        <w:rPr>
          <w:b/>
          <w:bCs/>
          <w:szCs w:val="26"/>
        </w:rPr>
      </w:pPr>
    </w:p>
    <w:p w14:paraId="572739FA" w14:textId="77777777" w:rsidR="00BC15BE" w:rsidRPr="003B18DD" w:rsidRDefault="00BC15BE" w:rsidP="00BC15BE">
      <w:pPr>
        <w:tabs>
          <w:tab w:val="center" w:pos="4680"/>
        </w:tabs>
        <w:jc w:val="center"/>
        <w:rPr>
          <w:b/>
          <w:bCs/>
          <w:szCs w:val="26"/>
        </w:rPr>
      </w:pPr>
      <w:r w:rsidRPr="003B18DD">
        <w:rPr>
          <w:b/>
          <w:bCs/>
          <w:szCs w:val="26"/>
        </w:rPr>
        <w:t>SUPPORTING STATEMENT FOR</w:t>
      </w:r>
    </w:p>
    <w:p w14:paraId="16E82296" w14:textId="77777777" w:rsidR="002B45F1" w:rsidRDefault="002B45F1" w:rsidP="002B45F1">
      <w:pPr>
        <w:tabs>
          <w:tab w:val="center" w:pos="5040"/>
        </w:tabs>
        <w:jc w:val="center"/>
        <w:rPr>
          <w:b/>
          <w:bCs/>
          <w:szCs w:val="26"/>
        </w:rPr>
      </w:pPr>
      <w:r w:rsidRPr="006D6EEA">
        <w:rPr>
          <w:b/>
          <w:bCs/>
          <w:szCs w:val="26"/>
        </w:rPr>
        <w:t>FERC-545</w:t>
      </w:r>
      <w:r w:rsidR="003F0E97">
        <w:rPr>
          <w:rStyle w:val="FootnoteReference"/>
          <w:b w:val="0"/>
          <w:bCs/>
        </w:rPr>
        <w:footnoteReference w:id="1"/>
      </w:r>
      <w:r w:rsidRPr="006D6EEA">
        <w:rPr>
          <w:b/>
          <w:bCs/>
          <w:szCs w:val="26"/>
        </w:rPr>
        <w:t xml:space="preserve"> (Gas Pipeline </w:t>
      </w:r>
      <w:r>
        <w:rPr>
          <w:b/>
          <w:bCs/>
          <w:szCs w:val="26"/>
        </w:rPr>
        <w:t xml:space="preserve">Rates: Rate Change Non-Formal, in RM96-1-038) and </w:t>
      </w:r>
    </w:p>
    <w:p w14:paraId="62838425" w14:textId="77777777" w:rsidR="002B45F1" w:rsidRDefault="002B45F1" w:rsidP="002B45F1">
      <w:pPr>
        <w:tabs>
          <w:tab w:val="center" w:pos="5040"/>
        </w:tabs>
        <w:jc w:val="center"/>
        <w:rPr>
          <w:b/>
          <w:bCs/>
          <w:szCs w:val="26"/>
        </w:rPr>
      </w:pPr>
      <w:r w:rsidRPr="00A72889">
        <w:rPr>
          <w:b/>
          <w:bCs/>
          <w:szCs w:val="26"/>
        </w:rPr>
        <w:t xml:space="preserve">FERC-549C </w:t>
      </w:r>
      <w:r>
        <w:rPr>
          <w:b/>
          <w:bCs/>
          <w:szCs w:val="26"/>
        </w:rPr>
        <w:t>(</w:t>
      </w:r>
      <w:r w:rsidRPr="00A72889">
        <w:rPr>
          <w:b/>
          <w:bCs/>
          <w:szCs w:val="26"/>
        </w:rPr>
        <w:t>Standards for Business Practices of Interstate Natural Gas Pipelines</w:t>
      </w:r>
      <w:r>
        <w:rPr>
          <w:b/>
          <w:bCs/>
          <w:szCs w:val="26"/>
        </w:rPr>
        <w:t xml:space="preserve">), </w:t>
      </w:r>
    </w:p>
    <w:p w14:paraId="6A716D5C" w14:textId="77777777" w:rsidR="002B45F1" w:rsidRPr="006D6EEA" w:rsidRDefault="002B45F1" w:rsidP="002B45F1">
      <w:pPr>
        <w:tabs>
          <w:tab w:val="center" w:pos="5040"/>
        </w:tabs>
        <w:jc w:val="center"/>
        <w:rPr>
          <w:b/>
          <w:bCs/>
          <w:szCs w:val="26"/>
        </w:rPr>
      </w:pPr>
      <w:proofErr w:type="gramStart"/>
      <w:r>
        <w:rPr>
          <w:b/>
          <w:bCs/>
          <w:szCs w:val="26"/>
        </w:rPr>
        <w:t>as</w:t>
      </w:r>
      <w:proofErr w:type="gramEnd"/>
      <w:r>
        <w:rPr>
          <w:b/>
          <w:bCs/>
          <w:szCs w:val="26"/>
        </w:rPr>
        <w:t xml:space="preserve"> revised by Final Rule in Docket No. RM96-1-038</w:t>
      </w:r>
    </w:p>
    <w:p w14:paraId="1C7D4E2C" w14:textId="77777777" w:rsidR="00BC15BE" w:rsidRPr="003B18DD" w:rsidRDefault="00BC15BE" w:rsidP="00BC15BE">
      <w:pPr>
        <w:rPr>
          <w:szCs w:val="26"/>
        </w:rPr>
      </w:pPr>
    </w:p>
    <w:p w14:paraId="0E2CA91B" w14:textId="77777777" w:rsidR="002B45F1" w:rsidRDefault="002B45F1" w:rsidP="002B45F1">
      <w:pPr>
        <w:rPr>
          <w:szCs w:val="26"/>
        </w:rPr>
      </w:pPr>
      <w:r w:rsidRPr="006D6EEA">
        <w:rPr>
          <w:szCs w:val="26"/>
        </w:rPr>
        <w:t>The Federal Energy Regulatory Commission (Commission or FERC) requests that the Office of Management and Budget (OMB) review and approve</w:t>
      </w:r>
      <w:r>
        <w:rPr>
          <w:szCs w:val="26"/>
        </w:rPr>
        <w:t xml:space="preserve"> </w:t>
      </w:r>
      <w:r w:rsidRPr="006D6EEA">
        <w:rPr>
          <w:szCs w:val="26"/>
        </w:rPr>
        <w:t xml:space="preserve">changes </w:t>
      </w:r>
      <w:r>
        <w:rPr>
          <w:szCs w:val="26"/>
        </w:rPr>
        <w:t xml:space="preserve">to </w:t>
      </w:r>
      <w:r w:rsidRPr="00AE141B">
        <w:rPr>
          <w:szCs w:val="26"/>
        </w:rPr>
        <w:t>FERC-549C (Standards for Business Practices of Interstate Natural Gas Pipelines)</w:t>
      </w:r>
      <w:r>
        <w:rPr>
          <w:szCs w:val="26"/>
        </w:rPr>
        <w:t xml:space="preserve"> and FERC-545 (</w:t>
      </w:r>
      <w:r w:rsidRPr="00AE141B">
        <w:rPr>
          <w:szCs w:val="26"/>
        </w:rPr>
        <w:t>Gas Pipeline Rates: Rate Change Non-Formal</w:t>
      </w:r>
      <w:r>
        <w:rPr>
          <w:szCs w:val="26"/>
        </w:rPr>
        <w:t>, in RM96-1-038</w:t>
      </w:r>
      <w:r w:rsidRPr="00AE141B">
        <w:rPr>
          <w:szCs w:val="26"/>
        </w:rPr>
        <w:t>)</w:t>
      </w:r>
      <w:r>
        <w:rPr>
          <w:szCs w:val="26"/>
        </w:rPr>
        <w:t>,</w:t>
      </w:r>
      <w:r w:rsidRPr="00B20053">
        <w:rPr>
          <w:szCs w:val="26"/>
          <w:vertAlign w:val="superscript"/>
        </w:rPr>
        <w:t xml:space="preserve"> </w:t>
      </w:r>
      <w:r>
        <w:rPr>
          <w:szCs w:val="26"/>
        </w:rPr>
        <w:t>as stated in the Final Rule in Docket</w:t>
      </w:r>
      <w:r w:rsidRPr="009B7756">
        <w:rPr>
          <w:szCs w:val="26"/>
        </w:rPr>
        <w:t xml:space="preserve"> </w:t>
      </w:r>
      <w:r>
        <w:rPr>
          <w:szCs w:val="26"/>
        </w:rPr>
        <w:t xml:space="preserve">No. </w:t>
      </w:r>
      <w:proofErr w:type="gramStart"/>
      <w:r w:rsidRPr="009B7756">
        <w:rPr>
          <w:szCs w:val="26"/>
        </w:rPr>
        <w:t>RM</w:t>
      </w:r>
      <w:r>
        <w:rPr>
          <w:szCs w:val="26"/>
        </w:rPr>
        <w:t>96-1-038.</w:t>
      </w:r>
      <w:proofErr w:type="gramEnd"/>
      <w:r w:rsidDel="00521B76">
        <w:rPr>
          <w:szCs w:val="26"/>
        </w:rPr>
        <w:t xml:space="preserve"> </w:t>
      </w:r>
    </w:p>
    <w:p w14:paraId="62603059" w14:textId="77777777" w:rsidR="00BC15BE" w:rsidRPr="003B18DD" w:rsidRDefault="00BC15BE" w:rsidP="00BC15BE">
      <w:pPr>
        <w:tabs>
          <w:tab w:val="center" w:pos="4680"/>
        </w:tabs>
        <w:rPr>
          <w:szCs w:val="26"/>
        </w:rPr>
      </w:pPr>
    </w:p>
    <w:p w14:paraId="1F2BA15F" w14:textId="77777777" w:rsidR="002B45F1" w:rsidRDefault="002B45F1" w:rsidP="002B45F1">
      <w:pPr>
        <w:rPr>
          <w:szCs w:val="26"/>
        </w:rPr>
      </w:pPr>
      <w:r>
        <w:rPr>
          <w:szCs w:val="26"/>
        </w:rPr>
        <w:t>Please note that this Final Rule in Docket No. RM96-1-038 affects two separate OMB Control Numbers:</w:t>
      </w:r>
    </w:p>
    <w:p w14:paraId="67DA8796" w14:textId="77777777" w:rsidR="002B45F1" w:rsidRDefault="002B45F1" w:rsidP="002B45F1">
      <w:pPr>
        <w:pStyle w:val="ListParagraph"/>
        <w:numPr>
          <w:ilvl w:val="0"/>
          <w:numId w:val="5"/>
        </w:numPr>
        <w:rPr>
          <w:sz w:val="26"/>
          <w:szCs w:val="26"/>
        </w:rPr>
      </w:pPr>
      <w:r w:rsidRPr="006120E4">
        <w:rPr>
          <w:sz w:val="26"/>
          <w:szCs w:val="26"/>
        </w:rPr>
        <w:t>FERC-545 (Gas Pipeline Rates: Rate Change Non-Formal</w:t>
      </w:r>
      <w:r>
        <w:rPr>
          <w:sz w:val="26"/>
          <w:szCs w:val="26"/>
        </w:rPr>
        <w:t>, in RM96-1-038</w:t>
      </w:r>
      <w:r w:rsidRPr="006120E4">
        <w:rPr>
          <w:sz w:val="26"/>
          <w:szCs w:val="26"/>
        </w:rPr>
        <w:t>), OMB Control No. 1902-</w:t>
      </w:r>
      <w:r w:rsidR="003F0E97">
        <w:rPr>
          <w:sz w:val="26"/>
          <w:szCs w:val="26"/>
        </w:rPr>
        <w:t>0154</w:t>
      </w:r>
      <w:r>
        <w:rPr>
          <w:sz w:val="26"/>
          <w:szCs w:val="26"/>
        </w:rPr>
        <w:t>;</w:t>
      </w:r>
      <w:r w:rsidRPr="006120E4">
        <w:rPr>
          <w:sz w:val="26"/>
          <w:szCs w:val="26"/>
        </w:rPr>
        <w:t xml:space="preserve"> and </w:t>
      </w:r>
    </w:p>
    <w:p w14:paraId="459069AC" w14:textId="77777777" w:rsidR="002B45F1" w:rsidRDefault="002B45F1" w:rsidP="002B45F1">
      <w:pPr>
        <w:pStyle w:val="ListParagraph"/>
        <w:numPr>
          <w:ilvl w:val="0"/>
          <w:numId w:val="5"/>
        </w:numPr>
        <w:rPr>
          <w:sz w:val="26"/>
          <w:szCs w:val="26"/>
        </w:rPr>
      </w:pPr>
      <w:r>
        <w:rPr>
          <w:sz w:val="26"/>
          <w:szCs w:val="26"/>
        </w:rPr>
        <w:t>F</w:t>
      </w:r>
      <w:r w:rsidRPr="006120E4">
        <w:rPr>
          <w:sz w:val="26"/>
          <w:szCs w:val="26"/>
        </w:rPr>
        <w:t xml:space="preserve">ERC-549C </w:t>
      </w:r>
      <w:r>
        <w:rPr>
          <w:sz w:val="26"/>
          <w:szCs w:val="26"/>
        </w:rPr>
        <w:t>(</w:t>
      </w:r>
      <w:r w:rsidRPr="006120E4">
        <w:rPr>
          <w:sz w:val="26"/>
          <w:szCs w:val="26"/>
        </w:rPr>
        <w:t>Standards for Business Practices of Interstate Natural Gas Pipelines</w:t>
      </w:r>
      <w:r>
        <w:rPr>
          <w:sz w:val="26"/>
          <w:szCs w:val="26"/>
        </w:rPr>
        <w:t>),</w:t>
      </w:r>
      <w:r w:rsidRPr="006252AA">
        <w:rPr>
          <w:sz w:val="26"/>
          <w:szCs w:val="26"/>
        </w:rPr>
        <w:t xml:space="preserve"> </w:t>
      </w:r>
      <w:r>
        <w:rPr>
          <w:sz w:val="26"/>
          <w:szCs w:val="26"/>
        </w:rPr>
        <w:t>OMB Control No. 1902-0174.</w:t>
      </w:r>
    </w:p>
    <w:p w14:paraId="5032BFB4" w14:textId="77777777" w:rsidR="002B45F1" w:rsidRDefault="002B45F1" w:rsidP="003D2136">
      <w:pPr>
        <w:pStyle w:val="ListParagraph"/>
        <w:rPr>
          <w:sz w:val="26"/>
          <w:szCs w:val="26"/>
        </w:rPr>
      </w:pPr>
    </w:p>
    <w:p w14:paraId="45F13C86" w14:textId="77777777" w:rsidR="002B45F1" w:rsidRDefault="002B45F1" w:rsidP="002B45F1">
      <w:pPr>
        <w:rPr>
          <w:szCs w:val="26"/>
        </w:rPr>
      </w:pPr>
      <w:r>
        <w:rPr>
          <w:szCs w:val="26"/>
        </w:rPr>
        <w:t>The Commission</w:t>
      </w:r>
      <w:r w:rsidRPr="00F336E5">
        <w:rPr>
          <w:szCs w:val="26"/>
        </w:rPr>
        <w:t xml:space="preserve"> is submitting this consolidated supporting statement to OMB with one ICR for each of the 2 separate OMB Control Numbers.</w:t>
      </w:r>
      <w:r>
        <w:rPr>
          <w:szCs w:val="26"/>
        </w:rPr>
        <w:t xml:space="preserve">  </w:t>
      </w:r>
      <w:r w:rsidRPr="00F336E5">
        <w:rPr>
          <w:szCs w:val="26"/>
        </w:rPr>
        <w:t xml:space="preserve">The FERC-549C is affected because the </w:t>
      </w:r>
      <w:r>
        <w:rPr>
          <w:szCs w:val="26"/>
        </w:rPr>
        <w:t>Final Rule amends</w:t>
      </w:r>
      <w:r w:rsidRPr="00E50B28">
        <w:rPr>
          <w:szCs w:val="26"/>
        </w:rPr>
        <w:t xml:space="preserve"> </w:t>
      </w:r>
      <w:r>
        <w:rPr>
          <w:szCs w:val="26"/>
        </w:rPr>
        <w:t>FERC’s</w:t>
      </w:r>
      <w:r w:rsidRPr="00E50B28">
        <w:rPr>
          <w:szCs w:val="26"/>
        </w:rPr>
        <w:t xml:space="preserve"> regulations to incorporate by reference, with certain enumerated exceptions, the latest version (Version 3.0) of business practice standards adopted by the Wholesale Gas Quadrant </w:t>
      </w:r>
      <w:r>
        <w:rPr>
          <w:szCs w:val="26"/>
        </w:rPr>
        <w:t xml:space="preserve">(WGQ) </w:t>
      </w:r>
      <w:r w:rsidRPr="00E50B28">
        <w:rPr>
          <w:szCs w:val="26"/>
        </w:rPr>
        <w:t xml:space="preserve">of the North American Energy Standards Board (NAESB) </w:t>
      </w:r>
      <w:r>
        <w:rPr>
          <w:szCs w:val="26"/>
        </w:rPr>
        <w:t xml:space="preserve">and </w:t>
      </w:r>
      <w:r w:rsidRPr="00E50B28">
        <w:rPr>
          <w:szCs w:val="26"/>
        </w:rPr>
        <w:t>applicable to natural gas pipelines</w:t>
      </w:r>
      <w:r>
        <w:rPr>
          <w:szCs w:val="26"/>
        </w:rPr>
        <w:t>.</w:t>
      </w:r>
      <w:r w:rsidR="007051A1">
        <w:rPr>
          <w:szCs w:val="26"/>
        </w:rPr>
        <w:t xml:space="preserve">  </w:t>
      </w:r>
      <w:r w:rsidRPr="00BD7C50">
        <w:rPr>
          <w:szCs w:val="26"/>
        </w:rPr>
        <w:t xml:space="preserve">The FERC-545 accounts for the required tariff revision each </w:t>
      </w:r>
      <w:r>
        <w:rPr>
          <w:szCs w:val="26"/>
        </w:rPr>
        <w:t xml:space="preserve">interstate </w:t>
      </w:r>
      <w:r w:rsidRPr="00BD7C50">
        <w:rPr>
          <w:szCs w:val="26"/>
        </w:rPr>
        <w:t>pipeline company will file with the Commission.</w:t>
      </w:r>
      <w:r w:rsidRPr="00522EA0">
        <w:rPr>
          <w:szCs w:val="26"/>
        </w:rPr>
        <w:t xml:space="preserve"> </w:t>
      </w:r>
      <w:r>
        <w:rPr>
          <w:szCs w:val="26"/>
        </w:rPr>
        <w:t xml:space="preserve">  </w:t>
      </w:r>
    </w:p>
    <w:p w14:paraId="52ABBC3E" w14:textId="77777777" w:rsidR="002B45F1" w:rsidRDefault="002B45F1" w:rsidP="002B45F1">
      <w:pPr>
        <w:rPr>
          <w:szCs w:val="26"/>
        </w:rPr>
      </w:pPr>
    </w:p>
    <w:p w14:paraId="21616F04" w14:textId="77777777" w:rsidR="002B45F1" w:rsidRDefault="002B45F1" w:rsidP="002B45F1">
      <w:pPr>
        <w:rPr>
          <w:szCs w:val="26"/>
        </w:rPr>
      </w:pPr>
      <w:r w:rsidRPr="00CC0D00">
        <w:rPr>
          <w:szCs w:val="26"/>
        </w:rPr>
        <w:t xml:space="preserve">NAESB is a consensus standards organization composed of representatives of all segments of the natural gas industry and the electric power industry.  Since 1996, </w:t>
      </w:r>
      <w:r w:rsidR="007051A1">
        <w:rPr>
          <w:szCs w:val="26"/>
        </w:rPr>
        <w:lastRenderedPageBreak/>
        <w:t>NAESB’s business practice</w:t>
      </w:r>
      <w:r w:rsidRPr="00CC0D00">
        <w:rPr>
          <w:szCs w:val="26"/>
        </w:rPr>
        <w:t xml:space="preserve"> standards have established </w:t>
      </w:r>
      <w:r w:rsidR="005B305F">
        <w:rPr>
          <w:szCs w:val="26"/>
        </w:rPr>
        <w:t>standardized</w:t>
      </w:r>
      <w:r w:rsidR="007051A1">
        <w:rPr>
          <w:szCs w:val="26"/>
        </w:rPr>
        <w:t xml:space="preserve"> procedures and protocols for conducting </w:t>
      </w:r>
      <w:r w:rsidR="005B305F">
        <w:rPr>
          <w:szCs w:val="26"/>
        </w:rPr>
        <w:t xml:space="preserve">their business </w:t>
      </w:r>
      <w:r w:rsidR="007051A1">
        <w:rPr>
          <w:szCs w:val="26"/>
        </w:rPr>
        <w:t>transactions</w:t>
      </w:r>
      <w:r w:rsidRPr="00CC0D00">
        <w:rPr>
          <w:szCs w:val="26"/>
        </w:rPr>
        <w:t xml:space="preserve"> that the industry and the Commission have determined are necessary to establish a more efficient and integrated pipeline grid.</w:t>
      </w:r>
    </w:p>
    <w:p w14:paraId="31ECB3C9" w14:textId="77777777" w:rsidR="00BC15BE" w:rsidRPr="003B18DD" w:rsidRDefault="00BC15BE" w:rsidP="00BC15BE">
      <w:pPr>
        <w:rPr>
          <w:b/>
          <w:szCs w:val="26"/>
        </w:rPr>
      </w:pPr>
    </w:p>
    <w:p w14:paraId="60B9FCDC"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 xml:space="preserve">CIRCUMSTANCES THAT MAKE THE COLLECTION OF INFORMATION NECESSARY  </w:t>
      </w:r>
    </w:p>
    <w:p w14:paraId="5A2671C4" w14:textId="77777777" w:rsidR="00BC15BE" w:rsidRPr="003B18DD" w:rsidRDefault="00BC15BE" w:rsidP="00BC15BE">
      <w:pPr>
        <w:pStyle w:val="Level1"/>
        <w:widowControl/>
        <w:numPr>
          <w:ilvl w:val="0"/>
          <w:numId w:val="0"/>
        </w:numPr>
        <w:tabs>
          <w:tab w:val="left" w:pos="-1440"/>
        </w:tabs>
        <w:rPr>
          <w:b/>
          <w:sz w:val="26"/>
          <w:szCs w:val="26"/>
        </w:rPr>
      </w:pPr>
    </w:p>
    <w:p w14:paraId="0FE750FC" w14:textId="77777777" w:rsidR="002B45F1" w:rsidRDefault="002B45F1" w:rsidP="002B45F1">
      <w:pPr>
        <w:rPr>
          <w:szCs w:val="26"/>
        </w:rPr>
      </w:pPr>
      <w:r w:rsidRPr="001A3773">
        <w:rPr>
          <w:b/>
          <w:i/>
          <w:szCs w:val="26"/>
        </w:rPr>
        <w:t xml:space="preserve">Docket </w:t>
      </w:r>
      <w:r>
        <w:rPr>
          <w:b/>
          <w:i/>
          <w:szCs w:val="26"/>
        </w:rPr>
        <w:t>RM96-1-038</w:t>
      </w:r>
      <w:r w:rsidRPr="001A3773">
        <w:rPr>
          <w:b/>
          <w:i/>
          <w:szCs w:val="26"/>
        </w:rPr>
        <w:t>.</w:t>
      </w:r>
      <w:r>
        <w:rPr>
          <w:szCs w:val="26"/>
        </w:rPr>
        <w:t xml:space="preserve">  The Final Rule says in part [footnotes omitted]:</w:t>
      </w:r>
    </w:p>
    <w:p w14:paraId="381A92CA" w14:textId="77777777" w:rsidR="002B45F1" w:rsidRPr="002801B6" w:rsidRDefault="002B45F1" w:rsidP="002B45F1">
      <w:pPr>
        <w:ind w:left="720"/>
        <w:rPr>
          <w:szCs w:val="26"/>
        </w:rPr>
      </w:pPr>
      <w:r w:rsidRPr="002801B6">
        <w:rPr>
          <w:szCs w:val="26"/>
        </w:rPr>
        <w:tab/>
      </w:r>
      <w:r>
        <w:rPr>
          <w:szCs w:val="26"/>
        </w:rPr>
        <w:t>“</w:t>
      </w:r>
      <w:r w:rsidRPr="002801B6">
        <w:rPr>
          <w:szCs w:val="26"/>
        </w:rPr>
        <w:t>On November 14, 2014, NAESB filed a report informing the Commission that it had adopted and ratified Version 3.0 of its business practice standards applicable to natural gas pipelines</w:t>
      </w:r>
      <w:r>
        <w:rPr>
          <w:szCs w:val="26"/>
        </w:rPr>
        <w:t xml:space="preserve">….  </w:t>
      </w:r>
      <w:r w:rsidRPr="002801B6">
        <w:rPr>
          <w:szCs w:val="26"/>
        </w:rPr>
        <w:t xml:space="preserve">The Version 3.0 Standards added the modifications to support efforts to harmonize gas-electric scheduling coordination that NAESB had separately filed and that the Commission incorporated by reference in Order No. 809.   In addition, the Version 3.0 Standards contain revisions to the capacity release standards regarding posting requirements for offers to purchase released capacity that were the subject of the Commission’s order to show cause in Docket No. </w:t>
      </w:r>
      <w:proofErr w:type="gramStart"/>
      <w:r w:rsidRPr="002801B6">
        <w:rPr>
          <w:szCs w:val="26"/>
        </w:rPr>
        <w:t>RP14-442-000.</w:t>
      </w:r>
      <w:proofErr w:type="gramEnd"/>
      <w:r w:rsidRPr="002801B6">
        <w:rPr>
          <w:szCs w:val="26"/>
        </w:rPr>
        <w:t xml:space="preserve">   Other revisions in the Version 3.0 Standards are:  (1) revisions to the standards to define “Operating Capacity” and “Design Capacity” in response to the Commission request in Order No. 587-V;  (2) elimination of the WGQ Interpretations, which the Commission declined to incorporate by reference; (3) modifications to standards to reflect the interpretations; (4) modifications for maintenance purposes, which includes changes to eliminate the appearance of the electronic data interchange in the imbalance trading process; (5) modifications to reflect new data elements; and (6) edits for clarity and to increase user-friendliness.  The Version 3.0 standards have also been revised to include 29 minor corrections. </w:t>
      </w:r>
    </w:p>
    <w:p w14:paraId="6E7E0E8B" w14:textId="77777777" w:rsidR="002B45F1" w:rsidRDefault="002B45F1" w:rsidP="002B45F1">
      <w:pPr>
        <w:ind w:left="720" w:firstLine="720"/>
        <w:rPr>
          <w:szCs w:val="26"/>
        </w:rPr>
      </w:pPr>
      <w:r w:rsidRPr="002801B6">
        <w:rPr>
          <w:szCs w:val="26"/>
        </w:rPr>
        <w:t>On July 7, 2015, NAESB filed a report informing the Commission that it has made errata corrections to the WGQ Version 3.0 Business Practice Standards.   These corrections incorporate a 9:00 AM Central Clock Time (CCT) start to the gas operating day, consistent with the Commission’s findings in Order No. 809 and also correct other minor errors.</w:t>
      </w:r>
    </w:p>
    <w:p w14:paraId="7500EF6A" w14:textId="77777777" w:rsidR="002B45F1" w:rsidRDefault="002B45F1" w:rsidP="002B45F1">
      <w:pPr>
        <w:ind w:left="720" w:firstLine="720"/>
        <w:rPr>
          <w:szCs w:val="26"/>
        </w:rPr>
      </w:pPr>
      <w:r w:rsidRPr="00001C6D">
        <w:rPr>
          <w:szCs w:val="26"/>
        </w:rPr>
        <w:t xml:space="preserve">In this </w:t>
      </w:r>
      <w:r>
        <w:rPr>
          <w:szCs w:val="26"/>
        </w:rPr>
        <w:t>Final Rule</w:t>
      </w:r>
      <w:r w:rsidRPr="00001C6D">
        <w:rPr>
          <w:szCs w:val="26"/>
        </w:rPr>
        <w:t xml:space="preserve">, the Commission </w:t>
      </w:r>
      <w:r w:rsidR="007051A1">
        <w:rPr>
          <w:szCs w:val="26"/>
        </w:rPr>
        <w:t>amends its regulations</w:t>
      </w:r>
      <w:r w:rsidR="007051A1" w:rsidRPr="00001C6D">
        <w:rPr>
          <w:szCs w:val="26"/>
        </w:rPr>
        <w:t xml:space="preserve"> </w:t>
      </w:r>
      <w:r w:rsidRPr="00001C6D">
        <w:rPr>
          <w:szCs w:val="26"/>
        </w:rPr>
        <w:t xml:space="preserve">to incorporate by reference Version 3.0 of the NAESB WGQ's consensus business practice standards, with certain </w:t>
      </w:r>
      <w:r w:rsidR="005B305F">
        <w:rPr>
          <w:szCs w:val="26"/>
        </w:rPr>
        <w:t xml:space="preserve">enumerated </w:t>
      </w:r>
      <w:r w:rsidRPr="00001C6D">
        <w:rPr>
          <w:szCs w:val="26"/>
        </w:rPr>
        <w:t xml:space="preserve">exceptions.   </w:t>
      </w:r>
      <w:r w:rsidR="005B305F">
        <w:rPr>
          <w:szCs w:val="26"/>
        </w:rPr>
        <w:t xml:space="preserve">The Commission will require interstate natural gas pipelines to comply with </w:t>
      </w:r>
      <w:r w:rsidRPr="00001C6D">
        <w:rPr>
          <w:szCs w:val="26"/>
        </w:rPr>
        <w:t xml:space="preserve">these standards </w:t>
      </w:r>
      <w:r w:rsidR="005B305F">
        <w:rPr>
          <w:szCs w:val="26"/>
        </w:rPr>
        <w:t xml:space="preserve">beginning on April 1, 2016, a date chosen to </w:t>
      </w:r>
      <w:r w:rsidRPr="00001C6D">
        <w:rPr>
          <w:szCs w:val="26"/>
        </w:rPr>
        <w:t xml:space="preserve">coincide with the implementation </w:t>
      </w:r>
      <w:r w:rsidR="005B305F">
        <w:rPr>
          <w:szCs w:val="26"/>
        </w:rPr>
        <w:t>date for</w:t>
      </w:r>
      <w:r w:rsidRPr="00001C6D">
        <w:rPr>
          <w:szCs w:val="26"/>
        </w:rPr>
        <w:t xml:space="preserve"> the Gas-Electric Coordination standards on </w:t>
      </w:r>
      <w:r w:rsidR="005B305F">
        <w:rPr>
          <w:szCs w:val="26"/>
        </w:rPr>
        <w:t>that same date</w:t>
      </w:r>
      <w:r w:rsidRPr="00001C6D">
        <w:rPr>
          <w:szCs w:val="26"/>
        </w:rPr>
        <w:t>.</w:t>
      </w:r>
    </w:p>
    <w:p w14:paraId="3FEDBE8D" w14:textId="77777777" w:rsidR="002B45F1" w:rsidRDefault="002B45F1" w:rsidP="002B45F1">
      <w:pPr>
        <w:ind w:left="720" w:firstLine="720"/>
        <w:rPr>
          <w:szCs w:val="26"/>
        </w:rPr>
      </w:pPr>
      <w:r w:rsidRPr="00001C6D">
        <w:rPr>
          <w:szCs w:val="26"/>
        </w:rPr>
        <w:t xml:space="preserve">Adoption of the Version 3.0 Standards will continue the process of updating and improving NAESB’s business practice standards for the benefit of </w:t>
      </w:r>
      <w:r w:rsidRPr="00001C6D">
        <w:rPr>
          <w:szCs w:val="26"/>
        </w:rPr>
        <w:lastRenderedPageBreak/>
        <w:t>the entire wholesale natural gas market</w:t>
      </w:r>
      <w:r w:rsidR="00256088">
        <w:rPr>
          <w:szCs w:val="26"/>
        </w:rPr>
        <w:t xml:space="preserve"> and were developed and supported by a consensus of all segments of the industry</w:t>
      </w:r>
      <w:r w:rsidRPr="00001C6D">
        <w:rPr>
          <w:szCs w:val="26"/>
        </w:rPr>
        <w:t>.</w:t>
      </w:r>
    </w:p>
    <w:p w14:paraId="1EB4099B" w14:textId="77777777" w:rsidR="002B45F1" w:rsidRDefault="002B45F1" w:rsidP="002B45F1">
      <w:pPr>
        <w:ind w:left="720" w:firstLine="720"/>
        <w:rPr>
          <w:szCs w:val="26"/>
        </w:rPr>
      </w:pPr>
      <w:r w:rsidRPr="00001C6D">
        <w:rPr>
          <w:szCs w:val="26"/>
        </w:rPr>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has to conduct 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consensus standards organizations, like NAESB, as a means to carry out policy objectives or activities.</w:t>
      </w:r>
      <w:r>
        <w:rPr>
          <w:szCs w:val="26"/>
        </w:rPr>
        <w:t>”</w:t>
      </w:r>
    </w:p>
    <w:p w14:paraId="7BE145BD" w14:textId="77777777" w:rsidR="002B45F1" w:rsidRDefault="002B45F1" w:rsidP="002B45F1">
      <w:pPr>
        <w:rPr>
          <w:szCs w:val="26"/>
        </w:rPr>
      </w:pPr>
    </w:p>
    <w:p w14:paraId="0C3D59FA" w14:textId="77777777" w:rsidR="002B45F1" w:rsidRDefault="002B45F1" w:rsidP="002B45F1">
      <w:pPr>
        <w:rPr>
          <w:b/>
          <w:i/>
          <w:szCs w:val="26"/>
        </w:rPr>
      </w:pPr>
      <w:proofErr w:type="gramStart"/>
      <w:r>
        <w:rPr>
          <w:b/>
          <w:i/>
          <w:szCs w:val="26"/>
        </w:rPr>
        <w:t>General Background on the Collections (including items not affected by the Final Rule in Docket RM96-1-038).</w:t>
      </w:r>
      <w:proofErr w:type="gramEnd"/>
    </w:p>
    <w:p w14:paraId="28B1781B" w14:textId="77777777" w:rsidR="002B45F1" w:rsidRPr="00A02247" w:rsidRDefault="002B45F1" w:rsidP="002B45F1">
      <w:pPr>
        <w:rPr>
          <w:b/>
          <w:i/>
          <w:szCs w:val="26"/>
        </w:rPr>
      </w:pPr>
    </w:p>
    <w:p w14:paraId="3B5964B2" w14:textId="77777777" w:rsidR="002B45F1" w:rsidRDefault="002B45F1" w:rsidP="002B45F1">
      <w:pPr>
        <w:rPr>
          <w:szCs w:val="26"/>
        </w:rPr>
      </w:pPr>
      <w:r w:rsidRPr="006C749F">
        <w:rPr>
          <w:b/>
          <w:szCs w:val="26"/>
        </w:rPr>
        <w:t>FERC-545</w:t>
      </w:r>
      <w:r w:rsidR="003F0E97">
        <w:rPr>
          <w:b/>
          <w:szCs w:val="26"/>
        </w:rPr>
        <w:t xml:space="preserve"> </w:t>
      </w:r>
      <w:r>
        <w:rPr>
          <w:szCs w:val="26"/>
        </w:rPr>
        <w:t xml:space="preserve"> </w:t>
      </w:r>
    </w:p>
    <w:p w14:paraId="6F78E60A" w14:textId="77777777" w:rsidR="002B45F1" w:rsidRDefault="002B45F1" w:rsidP="002B45F1">
      <w:pPr>
        <w:rPr>
          <w:szCs w:val="26"/>
        </w:rPr>
      </w:pPr>
    </w:p>
    <w:p w14:paraId="0C1E049F" w14:textId="77777777" w:rsidR="002B45F1" w:rsidRDefault="002B45F1" w:rsidP="002B45F1">
      <w:pPr>
        <w:rPr>
          <w:szCs w:val="26"/>
        </w:rPr>
      </w:pPr>
      <w:r>
        <w:rPr>
          <w:szCs w:val="26"/>
        </w:rPr>
        <w:t xml:space="preserve">FERC-545 </w:t>
      </w:r>
      <w:r w:rsidRPr="006C749F">
        <w:rPr>
          <w:szCs w:val="26"/>
        </w:rPr>
        <w:t xml:space="preserve">is required to implement sections 4, 5, and 16 of the Natural Gas Act (NGA), (15 USC 717c   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76A40C51" w14:textId="77777777" w:rsidR="002B45F1" w:rsidRDefault="002B45F1" w:rsidP="002B45F1">
      <w:pPr>
        <w:rPr>
          <w:szCs w:val="26"/>
        </w:rPr>
      </w:pPr>
    </w:p>
    <w:p w14:paraId="0E798759" w14:textId="77777777" w:rsidR="002B45F1" w:rsidRPr="006C749F" w:rsidRDefault="002B45F1" w:rsidP="002B45F1">
      <w:pPr>
        <w:rPr>
          <w:szCs w:val="26"/>
        </w:rPr>
      </w:pPr>
      <w:r w:rsidRPr="006C749F">
        <w:rPr>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14:paraId="674A27D6" w14:textId="77777777" w:rsidR="002B45F1" w:rsidRPr="006C749F" w:rsidRDefault="002B45F1" w:rsidP="002B45F1">
      <w:pPr>
        <w:rPr>
          <w:szCs w:val="26"/>
        </w:rPr>
      </w:pPr>
    </w:p>
    <w:p w14:paraId="22E73A06" w14:textId="77777777" w:rsidR="002B45F1" w:rsidRPr="006C749F" w:rsidRDefault="002B45F1" w:rsidP="002B45F1">
      <w:pPr>
        <w:rPr>
          <w:szCs w:val="26"/>
        </w:rPr>
      </w:pPr>
      <w:r w:rsidRPr="006C749F">
        <w:rPr>
          <w:szCs w:val="26"/>
        </w:rPr>
        <w:t xml:space="preserve">Section 16 of the NGA states that the Commission “shall have the power to perform any and all acts, and to prescribe, issue, make, amend, and rescind such orders, rules, and regulations as it may find necessary or appropriate to carry out provisions of [the NGA].”  </w:t>
      </w:r>
      <w:r w:rsidRPr="006C749F">
        <w:rPr>
          <w:szCs w:val="26"/>
        </w:rPr>
        <w:lastRenderedPageBreak/>
        <w:t>In other words, section 16 of the NGA grants the Commission the power to define accounting, technical and trade terms, prescribe forms, statements, declarations or reports and to prescribe rules and regulations.</w:t>
      </w:r>
    </w:p>
    <w:p w14:paraId="1BA9C6A2" w14:textId="77777777" w:rsidR="002B45F1" w:rsidRPr="006C749F" w:rsidRDefault="002B45F1" w:rsidP="002B45F1">
      <w:pPr>
        <w:rPr>
          <w:szCs w:val="26"/>
        </w:rPr>
      </w:pPr>
    </w:p>
    <w:p w14:paraId="5B35EF25" w14:textId="77777777" w:rsidR="002B45F1" w:rsidRDefault="002B45F1" w:rsidP="002B45F1">
      <w:pPr>
        <w:rPr>
          <w:szCs w:val="26"/>
        </w:rPr>
      </w:pPr>
      <w:r w:rsidRPr="006C749F">
        <w:rPr>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14:paraId="3F24446B" w14:textId="77777777" w:rsidR="002B45F1" w:rsidRDefault="002B45F1" w:rsidP="002B45F1">
      <w:pPr>
        <w:ind w:firstLine="360"/>
        <w:rPr>
          <w:szCs w:val="26"/>
        </w:rPr>
      </w:pPr>
    </w:p>
    <w:p w14:paraId="6D619EE0" w14:textId="77777777" w:rsidR="002B45F1" w:rsidRPr="00051566" w:rsidRDefault="002B45F1" w:rsidP="002B45F1">
      <w:pPr>
        <w:rPr>
          <w:szCs w:val="26"/>
        </w:rPr>
      </w:pPr>
      <w:r w:rsidRPr="00051566">
        <w:rPr>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14:paraId="5518E7B1" w14:textId="77777777" w:rsidR="002B45F1" w:rsidRPr="00051566" w:rsidRDefault="002B45F1" w:rsidP="002B45F1">
      <w:pPr>
        <w:ind w:firstLine="360"/>
        <w:rPr>
          <w:szCs w:val="26"/>
        </w:rPr>
      </w:pPr>
    </w:p>
    <w:p w14:paraId="377D55EE" w14:textId="77777777" w:rsidR="002B45F1" w:rsidRDefault="002B45F1" w:rsidP="002B45F1">
      <w:pPr>
        <w:tabs>
          <w:tab w:val="num" w:pos="0"/>
        </w:tabs>
        <w:rPr>
          <w:szCs w:val="26"/>
        </w:rPr>
      </w:pPr>
      <w:r>
        <w:rPr>
          <w:b/>
          <w:szCs w:val="26"/>
        </w:rPr>
        <w:t xml:space="preserve">FERC-549C.  </w:t>
      </w:r>
      <w:r>
        <w:rPr>
          <w:szCs w:val="26"/>
        </w:rPr>
        <w:t xml:space="preserve">The business practice standards under FERC-549C are required to carry out the Commission’s policies in accordance with the general authority in Sections 4, 5, 7, 8, 10, 14, 16, and 20 of the Natural Gas Act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14:paraId="5E566320" w14:textId="77777777" w:rsidR="002B45F1" w:rsidRDefault="002B45F1" w:rsidP="002B45F1">
      <w:pPr>
        <w:tabs>
          <w:tab w:val="num" w:pos="0"/>
        </w:tabs>
        <w:rPr>
          <w:szCs w:val="26"/>
        </w:rPr>
      </w:pPr>
    </w:p>
    <w:p w14:paraId="3325B065" w14:textId="77777777" w:rsidR="002B45F1" w:rsidRPr="0027062E" w:rsidRDefault="002B45F1" w:rsidP="002B45F1">
      <w:pPr>
        <w:tabs>
          <w:tab w:val="num" w:pos="0"/>
        </w:tabs>
        <w:rPr>
          <w:szCs w:val="26"/>
        </w:rPr>
      </w:pPr>
      <w:r>
        <w:rPr>
          <w:szCs w:val="26"/>
        </w:rPr>
        <w:t>In various orders</w:t>
      </w:r>
      <w:r w:rsidRPr="00FD2199">
        <w:rPr>
          <w:szCs w:val="26"/>
        </w:rPr>
        <w:t xml:space="preserve"> </w:t>
      </w:r>
      <w:r>
        <w:rPr>
          <w:szCs w:val="26"/>
        </w:rPr>
        <w:t>s</w:t>
      </w:r>
      <w:r w:rsidRPr="0027062E">
        <w:rPr>
          <w:szCs w:val="26"/>
        </w:rPr>
        <w:t>ince 1996</w:t>
      </w:r>
      <w:r>
        <w:rPr>
          <w:rStyle w:val="FootnoteReference"/>
        </w:rPr>
        <w:footnoteReference w:id="2"/>
      </w:r>
      <w:r>
        <w:rPr>
          <w:szCs w:val="26"/>
        </w:rPr>
        <w:t>, FERC</w:t>
      </w:r>
      <w:r w:rsidRPr="0027062E">
        <w:rPr>
          <w:szCs w:val="26"/>
        </w:rPr>
        <w:t xml:space="preserve"> has adopted regulations to standardize the business practices and communication methodologies of interstate </w:t>
      </w:r>
      <w:r>
        <w:rPr>
          <w:szCs w:val="26"/>
        </w:rPr>
        <w:t xml:space="preserve">natural gas </w:t>
      </w:r>
      <w:r w:rsidRPr="0027062E">
        <w:rPr>
          <w:szCs w:val="26"/>
        </w:rPr>
        <w:t>pipelines in order to create a more integrated and efficient pipeline</w:t>
      </w:r>
      <w:r>
        <w:rPr>
          <w:szCs w:val="26"/>
        </w:rPr>
        <w:t xml:space="preserve"> </w:t>
      </w:r>
      <w:r w:rsidRPr="004F7E93">
        <w:rPr>
          <w:szCs w:val="26"/>
        </w:rPr>
        <w:t>industry.  In general, when and if NAESB-</w:t>
      </w:r>
      <w:r w:rsidRPr="004F7E93">
        <w:rPr>
          <w:szCs w:val="26"/>
        </w:rPr>
        <w:lastRenderedPageBreak/>
        <w:t xml:space="preserve">proposed standards (e.g., consensus standards developed by the </w:t>
      </w:r>
      <w:r w:rsidRPr="00C66C32">
        <w:rPr>
          <w:szCs w:val="26"/>
        </w:rPr>
        <w:t xml:space="preserve">Wholesale Gas Quadrant </w:t>
      </w:r>
      <w:r>
        <w:rPr>
          <w:szCs w:val="26"/>
        </w:rPr>
        <w:t>(</w:t>
      </w:r>
      <w:r w:rsidRPr="004F7E93">
        <w:rPr>
          <w:szCs w:val="26"/>
        </w:rPr>
        <w:t>WGQ</w:t>
      </w:r>
      <w:r>
        <w:rPr>
          <w:szCs w:val="26"/>
        </w:rPr>
        <w:t>)</w:t>
      </w:r>
      <w:r w:rsidRPr="004F7E93">
        <w:rPr>
          <w:szCs w:val="26"/>
        </w:rPr>
        <w:t xml:space="preserve">, an accredited standards organization under the auspices of the American </w:t>
      </w:r>
      <w:r>
        <w:rPr>
          <w:szCs w:val="26"/>
        </w:rPr>
        <w:t xml:space="preserve">National </w:t>
      </w:r>
      <w:r w:rsidRPr="004F7E93">
        <w:rPr>
          <w:szCs w:val="26"/>
        </w:rPr>
        <w:t>Standards Institute (ANSI)) are approved by FERC, the Commission incorporates them by reference into its approval.</w:t>
      </w:r>
      <w:r>
        <w:rPr>
          <w:szCs w:val="26"/>
        </w:rPr>
        <w:t xml:space="preserve">  </w:t>
      </w:r>
      <w:r w:rsidRPr="0027062E">
        <w:rPr>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the North American Energy Standards Board (NAESB).</w:t>
      </w:r>
    </w:p>
    <w:p w14:paraId="47ECF080" w14:textId="77777777" w:rsidR="002B45F1" w:rsidRPr="0027062E" w:rsidRDefault="002B45F1" w:rsidP="002B45F1">
      <w:pPr>
        <w:tabs>
          <w:tab w:val="num" w:pos="0"/>
        </w:tabs>
        <w:rPr>
          <w:szCs w:val="26"/>
        </w:rPr>
      </w:pPr>
    </w:p>
    <w:p w14:paraId="67D34839" w14:textId="77777777" w:rsidR="002B45F1" w:rsidRPr="0027062E" w:rsidRDefault="002B45F1" w:rsidP="002B45F1">
      <w:pPr>
        <w:tabs>
          <w:tab w:val="num" w:pos="0"/>
        </w:tabs>
        <w:rPr>
          <w:szCs w:val="26"/>
        </w:rPr>
      </w:pPr>
      <w:r w:rsidRPr="0027062E">
        <w:rPr>
          <w:szCs w:val="26"/>
        </w:rPr>
        <w:t>NAESB</w:t>
      </w:r>
      <w:r>
        <w:rPr>
          <w:rStyle w:val="FootnoteReference"/>
        </w:rPr>
        <w:footnoteReference w:id="3"/>
      </w:r>
      <w:r w:rsidRPr="0027062E">
        <w:rPr>
          <w:szCs w:val="26"/>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w:t>
      </w:r>
      <w:r w:rsidRPr="00A27A38">
        <w:rPr>
          <w:szCs w:val="26"/>
        </w:rPr>
        <w:t xml:space="preserve">.  NAESB </w:t>
      </w:r>
      <w:r w:rsidR="00256088">
        <w:rPr>
          <w:szCs w:val="26"/>
        </w:rPr>
        <w:t xml:space="preserve">has divided its efforts among four quadrants, including two retail quadrants, a wholesale electric quadrant, and the </w:t>
      </w:r>
      <w:r w:rsidRPr="00A27A38">
        <w:rPr>
          <w:szCs w:val="26"/>
        </w:rPr>
        <w:t>WGQ</w:t>
      </w:r>
      <w:r w:rsidR="00256088">
        <w:rPr>
          <w:szCs w:val="26"/>
        </w:rPr>
        <w:t>.  The NAESB WGQ</w:t>
      </w:r>
      <w:r w:rsidRPr="00A27A38">
        <w:rPr>
          <w:szCs w:val="26"/>
        </w:rPr>
        <w:t xml:space="preserve"> standard</w:t>
      </w:r>
      <w:r>
        <w:rPr>
          <w:szCs w:val="26"/>
        </w:rPr>
        <w:t>s are a product of this effort.  I</w:t>
      </w:r>
      <w:r w:rsidRPr="0027062E">
        <w:rPr>
          <w:szCs w:val="26"/>
        </w:rPr>
        <w:t>ndustry participant</w:t>
      </w:r>
      <w:r>
        <w:rPr>
          <w:szCs w:val="26"/>
        </w:rPr>
        <w:t>s</w:t>
      </w:r>
      <w:r w:rsidRPr="0027062E">
        <w:rPr>
          <w:szCs w:val="26"/>
        </w:rPr>
        <w:t xml:space="preserve"> seeking additional or amended standards (including principles, definitions, standards, data elements, process descriptions, technical implementation instructions) submit a request to the NAESB office, detailing the change, so that the appropriate process may take place to amend the standards.</w:t>
      </w:r>
    </w:p>
    <w:p w14:paraId="2F8697DD" w14:textId="77777777" w:rsidR="00BC15BE" w:rsidRPr="003B18DD" w:rsidRDefault="00BC15BE" w:rsidP="00BC15BE">
      <w:pPr>
        <w:rPr>
          <w:szCs w:val="26"/>
        </w:rPr>
      </w:pPr>
    </w:p>
    <w:p w14:paraId="597CB500"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HOW, BY WHOM, AND FOR WHAT PURPOSE THE INFORMATION IS TO BE USED AND THE CONSEQUENCES OF NOT COLLECTING THE INFORMATION</w:t>
      </w:r>
    </w:p>
    <w:p w14:paraId="2038B84A" w14:textId="77777777" w:rsidR="00BC15BE" w:rsidRDefault="00BC15BE" w:rsidP="00BC15BE">
      <w:pPr>
        <w:pStyle w:val="Level1"/>
        <w:numPr>
          <w:ilvl w:val="0"/>
          <w:numId w:val="0"/>
        </w:numPr>
        <w:tabs>
          <w:tab w:val="left" w:pos="-1440"/>
        </w:tabs>
        <w:rPr>
          <w:sz w:val="26"/>
          <w:szCs w:val="26"/>
        </w:rPr>
      </w:pPr>
    </w:p>
    <w:p w14:paraId="3B02A8F4" w14:textId="77777777" w:rsidR="003F0E97" w:rsidRDefault="003F0E97" w:rsidP="003F0E97">
      <w:pPr>
        <w:rPr>
          <w:szCs w:val="26"/>
        </w:rPr>
      </w:pPr>
      <w:r>
        <w:rPr>
          <w:b/>
          <w:szCs w:val="26"/>
        </w:rPr>
        <w:t xml:space="preserve">FERC-545:  </w:t>
      </w:r>
      <w:r w:rsidRPr="00950A39">
        <w:rPr>
          <w:szCs w:val="26"/>
        </w:rPr>
        <w:t>The</w:t>
      </w:r>
      <w:r>
        <w:rPr>
          <w:b/>
          <w:szCs w:val="26"/>
        </w:rPr>
        <w:t xml:space="preserve"> </w:t>
      </w:r>
      <w:r>
        <w:rPr>
          <w:szCs w:val="26"/>
        </w:rPr>
        <w:t xml:space="preserve">Final Rule in RM96-1-038 requires interstate gas pipelines to make a one-time tariff filing to reflect the changes in the updated NAESB standards.  </w:t>
      </w:r>
    </w:p>
    <w:p w14:paraId="701869B6" w14:textId="77777777" w:rsidR="003F0E97" w:rsidRDefault="003F0E97" w:rsidP="003F0E97">
      <w:pPr>
        <w:rPr>
          <w:szCs w:val="26"/>
        </w:rPr>
      </w:pPr>
    </w:p>
    <w:p w14:paraId="739C597C" w14:textId="77777777" w:rsidR="003F0E97" w:rsidRDefault="003F0E97" w:rsidP="003F0E97">
      <w:pPr>
        <w:rPr>
          <w:szCs w:val="26"/>
        </w:rPr>
      </w:pPr>
      <w:r w:rsidRPr="006B7AF3">
        <w:rPr>
          <w:szCs w:val="26"/>
        </w:rPr>
        <w:t>The following information is the subject of the FERC-545</w:t>
      </w:r>
      <w:r>
        <w:rPr>
          <w:szCs w:val="26"/>
        </w:rPr>
        <w:t>:</w:t>
      </w:r>
      <w:r w:rsidRPr="006B7AF3">
        <w:rPr>
          <w:szCs w:val="26"/>
        </w:rPr>
        <w:t xml:space="preserve"> (1) tariff filings and any related compliance filings; (2) rate case filings and any related compliance filings; (3) informational reports; (4) negotiated rates; (5) non-conforming agreement filings; and (6) NAESB Activity (tariff portion only).  In summary, the Commission uses the FERC-545</w:t>
      </w:r>
      <w:r>
        <w:rPr>
          <w:szCs w:val="26"/>
        </w:rPr>
        <w:t xml:space="preserve"> </w:t>
      </w:r>
      <w:r w:rsidRPr="006B7AF3">
        <w:rPr>
          <w:szCs w:val="26"/>
        </w:rPr>
        <w:t xml:space="preserve">information to (1) ensure </w:t>
      </w:r>
      <w:r>
        <w:rPr>
          <w:szCs w:val="26"/>
        </w:rPr>
        <w:t xml:space="preserve">there are </w:t>
      </w:r>
      <w:r w:rsidRPr="006B7AF3">
        <w:rPr>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14:paraId="5021D951" w14:textId="77777777" w:rsidR="003F0E97" w:rsidRDefault="003F0E97" w:rsidP="003F0E97">
      <w:pPr>
        <w:ind w:firstLine="360"/>
        <w:rPr>
          <w:szCs w:val="26"/>
        </w:rPr>
      </w:pPr>
    </w:p>
    <w:p w14:paraId="3D9AC83A" w14:textId="77777777" w:rsidR="003F0E97" w:rsidRDefault="003F0E97" w:rsidP="003F0E97">
      <w:pPr>
        <w:rPr>
          <w:szCs w:val="26"/>
        </w:rPr>
      </w:pPr>
      <w:r>
        <w:rPr>
          <w:szCs w:val="26"/>
        </w:rPr>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14:paraId="76001DB4" w14:textId="77777777" w:rsidR="003F0E97" w:rsidRDefault="003F0E97" w:rsidP="003F0E97">
      <w:pPr>
        <w:rPr>
          <w:szCs w:val="26"/>
        </w:rPr>
      </w:pPr>
    </w:p>
    <w:p w14:paraId="7D806AEA" w14:textId="77777777" w:rsidR="003F0E97" w:rsidRPr="00091565" w:rsidRDefault="003F0E97" w:rsidP="003F0E97">
      <w:pPr>
        <w:rPr>
          <w:szCs w:val="26"/>
        </w:rPr>
      </w:pPr>
      <w:r>
        <w:rPr>
          <w:b/>
          <w:szCs w:val="26"/>
        </w:rPr>
        <w:t xml:space="preserve">FERC-549C.  </w:t>
      </w:r>
      <w:r>
        <w:rPr>
          <w:szCs w:val="26"/>
        </w:rPr>
        <w:t xml:space="preserve">The Commission requires the FERC-549C because the NOPR in Docket RM96-1-038 </w:t>
      </w:r>
      <w:r w:rsidRPr="00B51F34">
        <w:rPr>
          <w:szCs w:val="26"/>
        </w:rPr>
        <w:t xml:space="preserve">proposes to amend its regulations at 18 CFR 284.12 to incorporate by reference, with certain exceptions, Version 3.0 of business practice standards adopted by NAESB applicable to natural gas pipelines.  The Version 3.0 standards also revise the codes used to identify receipt and delivery locations in the Index of Customers. </w:t>
      </w:r>
    </w:p>
    <w:p w14:paraId="42927BD5" w14:textId="77777777" w:rsidR="003F0E97" w:rsidRPr="00740DAF" w:rsidRDefault="003F0E97" w:rsidP="003F0E97">
      <w:pPr>
        <w:rPr>
          <w:szCs w:val="26"/>
        </w:rPr>
      </w:pPr>
    </w:p>
    <w:p w14:paraId="08A578B8" w14:textId="77777777" w:rsidR="003F0E97" w:rsidRPr="00FF32D1" w:rsidRDefault="003F0E97" w:rsidP="003F0E97">
      <w:pPr>
        <w:rPr>
          <w:szCs w:val="26"/>
        </w:rPr>
      </w:pPr>
      <w:proofErr w:type="gramStart"/>
      <w:r>
        <w:rPr>
          <w:b/>
          <w:szCs w:val="26"/>
        </w:rPr>
        <w:t>FERC-545 and -549C.</w:t>
      </w:r>
      <w:proofErr w:type="gramEnd"/>
      <w:r>
        <w:rPr>
          <w:b/>
          <w:szCs w:val="26"/>
        </w:rPr>
        <w:t xml:space="preserve">  </w:t>
      </w:r>
      <w:r w:rsidRPr="00FF32D1">
        <w:rPr>
          <w:szCs w:val="26"/>
        </w:rPr>
        <w:t xml:space="preserve">Failure to collect this information would prohibit the Commission from monitoring and properly evaluating pipeline transactions and meeting statutory obligations under both the NGPA and the NGA. </w:t>
      </w:r>
    </w:p>
    <w:p w14:paraId="4F14D241" w14:textId="77777777" w:rsidR="003F0E97" w:rsidRPr="003B18DD" w:rsidRDefault="003F0E97" w:rsidP="00A5298F">
      <w:pPr>
        <w:tabs>
          <w:tab w:val="num" w:pos="0"/>
        </w:tabs>
        <w:spacing w:before="100" w:beforeAutospacing="1" w:after="240"/>
      </w:pPr>
      <w:r w:rsidRPr="00466398">
        <w:rPr>
          <w:szCs w:val="26"/>
        </w:rPr>
        <w:t xml:space="preserve">Additionally, the incorporation by reference of consensus standards helps ensure the reasonableness of these standards </w:t>
      </w:r>
      <w:r w:rsidR="00353A27">
        <w:rPr>
          <w:szCs w:val="26"/>
        </w:rPr>
        <w:t>because they have enlisted</w:t>
      </w:r>
      <w:r w:rsidRPr="00466398">
        <w:rPr>
          <w:szCs w:val="26"/>
        </w:rPr>
        <w:t xml:space="preserve"> broad support from industry participants representing all segments of the industry.  </w:t>
      </w:r>
      <w:r w:rsidR="00353A27">
        <w:rPr>
          <w:szCs w:val="26"/>
        </w:rPr>
        <w:t>Interstate n</w:t>
      </w:r>
      <w:r>
        <w:rPr>
          <w:szCs w:val="26"/>
        </w:rPr>
        <w:t>atural gas p</w:t>
      </w:r>
      <w:r w:rsidRPr="00466398">
        <w:rPr>
          <w:szCs w:val="26"/>
        </w:rPr>
        <w:t>ipelines will need to file new tariffs with the Commission only if a) they do not currently offer multi-party transportation contracts and b) shippers request that the pipeline offer such contracts.</w:t>
      </w:r>
    </w:p>
    <w:p w14:paraId="6CD2F648"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ANY CONSIDERATION FOR THE USE OF IMPROVED INFORMATION TECHNOLOGY TO REDUCE BURDEN AND TECHNICAL OR LEGAL OBSTACLES TO REDUCING BURDEN</w:t>
      </w:r>
    </w:p>
    <w:p w14:paraId="743F0CDB" w14:textId="77777777" w:rsidR="00BC15BE" w:rsidRPr="003B18DD" w:rsidRDefault="00BC15BE" w:rsidP="00BC15BE">
      <w:pPr>
        <w:rPr>
          <w:b/>
          <w:szCs w:val="26"/>
        </w:rPr>
      </w:pPr>
    </w:p>
    <w:p w14:paraId="31DD328F" w14:textId="77777777" w:rsidR="00F8150C" w:rsidRDefault="00F8150C" w:rsidP="00F8150C">
      <w:pPr>
        <w:rPr>
          <w:szCs w:val="26"/>
        </w:rPr>
      </w:pPr>
      <w:proofErr w:type="gramStart"/>
      <w:r>
        <w:rPr>
          <w:b/>
          <w:szCs w:val="26"/>
        </w:rPr>
        <w:lastRenderedPageBreak/>
        <w:t>FERC-545.</w:t>
      </w:r>
      <w:proofErr w:type="gramEnd"/>
      <w:r>
        <w:rPr>
          <w:b/>
          <w:szCs w:val="26"/>
        </w:rPr>
        <w:t xml:space="preserve"> </w:t>
      </w:r>
      <w:r w:rsidRPr="004F7E93">
        <w:rPr>
          <w:szCs w:val="26"/>
        </w:rPr>
        <w:t>In previous rulemakings,</w:t>
      </w:r>
      <w:r w:rsidRPr="001C3337">
        <w:rPr>
          <w:szCs w:val="26"/>
          <w:vertAlign w:val="superscript"/>
        </w:rPr>
        <w:t xml:space="preserve"> </w:t>
      </w:r>
      <w:r w:rsidRPr="001C3337">
        <w:rPr>
          <w:szCs w:val="26"/>
          <w:vertAlign w:val="superscript"/>
        </w:rPr>
        <w:footnoteReference w:id="4"/>
      </w:r>
      <w:r w:rsidRPr="004F7E93">
        <w:rPr>
          <w:szCs w:val="26"/>
        </w:rPr>
        <w:t xml:space="preserve"> the Commission implemented the capability </w:t>
      </w:r>
      <w:r>
        <w:rPr>
          <w:szCs w:val="26"/>
        </w:rPr>
        <w:t xml:space="preserve">and requirement </w:t>
      </w:r>
      <w:r w:rsidRPr="004F7E93">
        <w:rPr>
          <w:szCs w:val="26"/>
        </w:rPr>
        <w:t>for electronic filing of all tariff submissions</w:t>
      </w:r>
      <w:r>
        <w:rPr>
          <w:szCs w:val="26"/>
        </w:rPr>
        <w:t xml:space="preserve">.  FERC also </w:t>
      </w:r>
      <w:r w:rsidRPr="004F7E93">
        <w:rPr>
          <w:szCs w:val="26"/>
        </w:rPr>
        <w:t>improve</w:t>
      </w:r>
      <w:r>
        <w:rPr>
          <w:szCs w:val="26"/>
        </w:rPr>
        <w:t>d</w:t>
      </w:r>
      <w:r w:rsidRPr="004F7E93">
        <w:rPr>
          <w:szCs w:val="26"/>
        </w:rPr>
        <w:t xml:space="preserve"> the security of submitting those electronic filings and the pipelines’ </w:t>
      </w:r>
      <w:r>
        <w:rPr>
          <w:szCs w:val="26"/>
        </w:rPr>
        <w:t xml:space="preserve">on-line </w:t>
      </w:r>
      <w:r w:rsidRPr="004F7E93">
        <w:rPr>
          <w:szCs w:val="26"/>
        </w:rPr>
        <w:t xml:space="preserve">process of appointing and modifying agents with the authority to make a filing on the pipeline’s behalf </w:t>
      </w:r>
      <w:r>
        <w:rPr>
          <w:szCs w:val="26"/>
        </w:rPr>
        <w:t>(</w:t>
      </w:r>
      <w:r w:rsidRPr="004F7E93">
        <w:rPr>
          <w:szCs w:val="26"/>
        </w:rPr>
        <w:t>provid</w:t>
      </w:r>
      <w:r>
        <w:rPr>
          <w:szCs w:val="26"/>
        </w:rPr>
        <w:t>ing</w:t>
      </w:r>
      <w:r w:rsidRPr="004F7E93">
        <w:rPr>
          <w:szCs w:val="26"/>
        </w:rPr>
        <w:t xml:space="preserve"> filing companies with greater control over the agents eligible to make specific types of filings on their </w:t>
      </w:r>
      <w:r>
        <w:rPr>
          <w:szCs w:val="26"/>
        </w:rPr>
        <w:t>behalf).</w:t>
      </w:r>
    </w:p>
    <w:p w14:paraId="0DE95B50" w14:textId="77777777" w:rsidR="00BC15BE" w:rsidRPr="003B18DD" w:rsidRDefault="00F8150C" w:rsidP="00A5298F">
      <w:pPr>
        <w:tabs>
          <w:tab w:val="num" w:pos="0"/>
        </w:tabs>
        <w:spacing w:before="100" w:beforeAutospacing="1" w:after="240"/>
        <w:rPr>
          <w:b/>
          <w:bCs/>
          <w:szCs w:val="26"/>
        </w:rPr>
      </w:pPr>
      <w:r>
        <w:rPr>
          <w:b/>
          <w:szCs w:val="26"/>
        </w:rPr>
        <w:t>FERC-549C.</w:t>
      </w:r>
      <w:r>
        <w:rPr>
          <w:szCs w:val="26"/>
        </w:rPr>
        <w:t xml:space="preserve">  The information resulting from the FERC-549C data requirements will not be filed at FERC.  Instead it will be posted on the pipelines’ Internet </w:t>
      </w:r>
      <w:r w:rsidR="00353A27">
        <w:rPr>
          <w:szCs w:val="26"/>
        </w:rPr>
        <w:t>web</w:t>
      </w:r>
      <w:r>
        <w:rPr>
          <w:szCs w:val="26"/>
        </w:rPr>
        <w:t>sites, provided to third parties</w:t>
      </w:r>
      <w:r w:rsidR="00353A27">
        <w:rPr>
          <w:szCs w:val="26"/>
        </w:rPr>
        <w:t>,</w:t>
      </w:r>
      <w:r>
        <w:rPr>
          <w:szCs w:val="26"/>
        </w:rPr>
        <w:t xml:space="preserve"> or retained</w:t>
      </w:r>
      <w:r w:rsidR="00353A27">
        <w:rPr>
          <w:szCs w:val="26"/>
        </w:rPr>
        <w:t xml:space="preserve"> by the pipeline</w:t>
      </w:r>
      <w:r>
        <w:rPr>
          <w:szCs w:val="26"/>
        </w:rPr>
        <w:t xml:space="preserve">.  The Internet and current software allow easy access and use of data on the pipelines’ Internet </w:t>
      </w:r>
      <w:r w:rsidR="00353A27">
        <w:rPr>
          <w:szCs w:val="26"/>
        </w:rPr>
        <w:t>web</w:t>
      </w:r>
      <w:r>
        <w:rPr>
          <w:szCs w:val="26"/>
        </w:rPr>
        <w:t xml:space="preserve">sites and for </w:t>
      </w:r>
      <w:r w:rsidR="00353A27">
        <w:rPr>
          <w:szCs w:val="26"/>
        </w:rPr>
        <w:t xml:space="preserve">the </w:t>
      </w:r>
      <w:r>
        <w:rPr>
          <w:szCs w:val="26"/>
        </w:rPr>
        <w:t>transmittal of information</w:t>
      </w:r>
      <w:r w:rsidR="00353A27">
        <w:rPr>
          <w:szCs w:val="26"/>
        </w:rPr>
        <w:t xml:space="preserve"> to users</w:t>
      </w:r>
      <w:r>
        <w:rPr>
          <w:szCs w:val="26"/>
        </w:rPr>
        <w:t>.</w:t>
      </w:r>
    </w:p>
    <w:p w14:paraId="4C60CADA"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IDENTIFY DUPLICATION AND SHOW SPECIFICALLY WHY ANY SIMILAR INFORMATION ALREADY AVAILABLE CANNOT BE USED OR MODIFIED FOR USE FOR THE PURPOSE(S) DESCRIBED IN INSTRUCTION NO. 2.</w:t>
      </w:r>
    </w:p>
    <w:p w14:paraId="3852EF47" w14:textId="77777777" w:rsidR="00BC15BE" w:rsidRPr="003B18DD" w:rsidRDefault="00BC15BE" w:rsidP="00BC15BE">
      <w:pPr>
        <w:pStyle w:val="Level1"/>
        <w:widowControl/>
        <w:numPr>
          <w:ilvl w:val="0"/>
          <w:numId w:val="0"/>
        </w:numPr>
        <w:tabs>
          <w:tab w:val="left" w:pos="-1440"/>
        </w:tabs>
        <w:rPr>
          <w:sz w:val="26"/>
          <w:szCs w:val="26"/>
        </w:rPr>
      </w:pPr>
    </w:p>
    <w:p w14:paraId="60B247B7" w14:textId="77777777" w:rsidR="00F8150C" w:rsidRDefault="00F8150C" w:rsidP="00F8150C">
      <w:pPr>
        <w:tabs>
          <w:tab w:val="num" w:pos="0"/>
        </w:tabs>
        <w:spacing w:before="100" w:beforeAutospacing="1" w:after="240"/>
        <w:rPr>
          <w:szCs w:val="26"/>
        </w:rPr>
      </w:pPr>
      <w:proofErr w:type="gramStart"/>
      <w:r>
        <w:rPr>
          <w:b/>
          <w:szCs w:val="26"/>
        </w:rPr>
        <w:t>FERC-545 and FERC-549C.</w:t>
      </w:r>
      <w:proofErr w:type="gramEnd"/>
      <w:r w:rsidRPr="00996DF4">
        <w:rPr>
          <w:szCs w:val="26"/>
        </w:rPr>
        <w:t xml:space="preserve"> </w:t>
      </w:r>
      <w:r>
        <w:rPr>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327617EA" w14:textId="77777777" w:rsidR="00BC15BE" w:rsidRPr="003B18DD" w:rsidRDefault="00BC15BE" w:rsidP="00BC15BE">
      <w:pPr>
        <w:pStyle w:val="Level1"/>
        <w:widowControl/>
        <w:numPr>
          <w:ilvl w:val="0"/>
          <w:numId w:val="0"/>
        </w:numPr>
        <w:tabs>
          <w:tab w:val="left" w:pos="-1440"/>
        </w:tabs>
        <w:ind w:firstLine="720"/>
        <w:rPr>
          <w:sz w:val="26"/>
          <w:szCs w:val="26"/>
        </w:rPr>
      </w:pPr>
    </w:p>
    <w:p w14:paraId="77803D14"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METHODS USED TO MINIMIZE BURDEN IN COLLECTION OF INFORMATION INVOLVING SMALL ENTITIES</w:t>
      </w:r>
    </w:p>
    <w:p w14:paraId="0DB416A3" w14:textId="77777777" w:rsidR="00BC15BE" w:rsidRPr="003B18DD" w:rsidRDefault="00BC15BE" w:rsidP="00BC15BE">
      <w:pPr>
        <w:pStyle w:val="Level1"/>
        <w:widowControl/>
        <w:numPr>
          <w:ilvl w:val="0"/>
          <w:numId w:val="0"/>
        </w:numPr>
        <w:tabs>
          <w:tab w:val="left" w:pos="-1440"/>
        </w:tabs>
        <w:ind w:left="720" w:hanging="720"/>
        <w:rPr>
          <w:sz w:val="26"/>
          <w:szCs w:val="26"/>
        </w:rPr>
      </w:pPr>
    </w:p>
    <w:p w14:paraId="50D5341F" w14:textId="77777777" w:rsidR="00F8150C" w:rsidRDefault="00F8150C" w:rsidP="00F8150C">
      <w:pPr>
        <w:rPr>
          <w:szCs w:val="26"/>
        </w:rPr>
      </w:pPr>
      <w:r w:rsidRPr="00332BEF">
        <w:rPr>
          <w:szCs w:val="26"/>
        </w:rPr>
        <w:t xml:space="preserve">The Small Business Administration's (SBA) Office of Size Standards develops the numerical definition of a small business as matched to North American Industry Classification System Codes (NAICS).    The SBA </w:t>
      </w:r>
      <w:r>
        <w:rPr>
          <w:szCs w:val="26"/>
        </w:rPr>
        <w:t xml:space="preserve">(in </w:t>
      </w:r>
      <w:r w:rsidRPr="001A3773">
        <w:rPr>
          <w:szCs w:val="26"/>
        </w:rPr>
        <w:t>13 CFR 121.101</w:t>
      </w:r>
      <w:r>
        <w:rPr>
          <w:szCs w:val="26"/>
        </w:rPr>
        <w:t>)</w:t>
      </w:r>
      <w:r w:rsidRPr="001A3773">
        <w:rPr>
          <w:szCs w:val="26"/>
        </w:rPr>
        <w:t xml:space="preserve"> </w:t>
      </w:r>
      <w:r w:rsidRPr="00332BEF">
        <w:rPr>
          <w:szCs w:val="26"/>
        </w:rPr>
        <w:t>has established a size standard for pipelines transporting natural gas, stating that a firm is a small entity if its annual receipts (including those of its affiliates) are $27.5 million or less.</w:t>
      </w:r>
      <w:r>
        <w:rPr>
          <w:rStyle w:val="FootnoteReference"/>
        </w:rPr>
        <w:footnoteReference w:id="5"/>
      </w:r>
    </w:p>
    <w:p w14:paraId="1E3D58FD" w14:textId="77777777" w:rsidR="00F8150C" w:rsidRPr="00544199" w:rsidRDefault="00F8150C" w:rsidP="00F8150C">
      <w:pPr>
        <w:ind w:firstLine="720"/>
        <w:rPr>
          <w:szCs w:val="26"/>
        </w:rPr>
      </w:pPr>
    </w:p>
    <w:p w14:paraId="328B9F94" w14:textId="77777777" w:rsidR="00F8150C" w:rsidRDefault="00F8150C" w:rsidP="00F8150C">
      <w:pPr>
        <w:rPr>
          <w:szCs w:val="26"/>
        </w:rPr>
      </w:pPr>
      <w:proofErr w:type="gramStart"/>
      <w:r>
        <w:rPr>
          <w:b/>
          <w:szCs w:val="26"/>
        </w:rPr>
        <w:t>FERC-545.</w:t>
      </w:r>
      <w:proofErr w:type="gramEnd"/>
      <w:r>
        <w:rPr>
          <w:b/>
          <w:szCs w:val="26"/>
        </w:rPr>
        <w:t xml:space="preserve">  </w:t>
      </w:r>
      <w:r>
        <w:rPr>
          <w:szCs w:val="26"/>
        </w:rPr>
        <w:t xml:space="preserve">The FERC-545 is a filing requirement related to pipeline rate filing obligations for the transportation and storage of natural gas.  The filing collects data from both large and small respondent companies.  The data required </w:t>
      </w:r>
      <w:r w:rsidR="00353A27">
        <w:rPr>
          <w:szCs w:val="26"/>
        </w:rPr>
        <w:t xml:space="preserve">were designed to </w:t>
      </w:r>
      <w:r>
        <w:rPr>
          <w:szCs w:val="26"/>
        </w:rPr>
        <w:t xml:space="preserve">impose the least possible burden for companies, while collecting the information required for processing the filings.  Use of the Internet to file documents electronically is the primary method the Commission uses to minimize the FERC-545A </w:t>
      </w:r>
      <w:r w:rsidR="00353A27">
        <w:rPr>
          <w:szCs w:val="26"/>
        </w:rPr>
        <w:t xml:space="preserve">filing </w:t>
      </w:r>
      <w:r>
        <w:rPr>
          <w:szCs w:val="26"/>
        </w:rPr>
        <w:t>burden.</w:t>
      </w:r>
    </w:p>
    <w:p w14:paraId="3175B70D" w14:textId="77777777" w:rsidR="00F8150C" w:rsidRDefault="00F8150C" w:rsidP="00F8150C">
      <w:pPr>
        <w:rPr>
          <w:szCs w:val="26"/>
        </w:rPr>
      </w:pPr>
    </w:p>
    <w:p w14:paraId="0BFC2FBD" w14:textId="77777777" w:rsidR="00F8150C" w:rsidRDefault="00F8150C" w:rsidP="00F8150C">
      <w:pPr>
        <w:rPr>
          <w:b/>
          <w:szCs w:val="26"/>
        </w:rPr>
      </w:pPr>
      <w:r>
        <w:rPr>
          <w:szCs w:val="26"/>
        </w:rPr>
        <w:t>The one-time compliance filings mandated in the Final Rule must be filed electronically.</w:t>
      </w:r>
    </w:p>
    <w:p w14:paraId="64C01A1C" w14:textId="77777777" w:rsidR="00F8150C" w:rsidRDefault="00F8150C" w:rsidP="00F8150C">
      <w:pPr>
        <w:tabs>
          <w:tab w:val="num" w:pos="0"/>
        </w:tabs>
        <w:spacing w:before="100" w:beforeAutospacing="1" w:after="240"/>
        <w:rPr>
          <w:szCs w:val="26"/>
        </w:rPr>
      </w:pPr>
      <w:r>
        <w:rPr>
          <w:b/>
          <w:szCs w:val="26"/>
        </w:rPr>
        <w:t xml:space="preserve">FERC-549C.  </w:t>
      </w:r>
      <w:r>
        <w:rPr>
          <w:szCs w:val="26"/>
        </w:rPr>
        <w:t>The FERC-549C information collection will impact t</w:t>
      </w:r>
      <w:r w:rsidRPr="00E0344D">
        <w:rPr>
          <w:szCs w:val="26"/>
        </w:rPr>
        <w:t xml:space="preserve">he proposed business standards, practices and procedures </w:t>
      </w:r>
      <w:r>
        <w:rPr>
          <w:szCs w:val="26"/>
        </w:rPr>
        <w:t xml:space="preserve">for the </w:t>
      </w:r>
      <w:r w:rsidRPr="00E0344D">
        <w:rPr>
          <w:szCs w:val="26"/>
        </w:rPr>
        <w:t xml:space="preserve">day-to-day operations of major and a few non-major natural gas companies.  </w:t>
      </w:r>
      <w:r w:rsidR="00353A27">
        <w:rPr>
          <w:szCs w:val="26"/>
        </w:rPr>
        <w:t xml:space="preserve">These transactions would occur even without the standards, but the standards assure they are conducted in a standardized manner.  </w:t>
      </w:r>
      <w:r w:rsidRPr="00E0344D">
        <w:rPr>
          <w:szCs w:val="26"/>
        </w:rPr>
        <w:t xml:space="preserve">The business practice standards are designed to benefit all customers, including small businesses.  </w:t>
      </w:r>
      <w:r>
        <w:rPr>
          <w:szCs w:val="26"/>
        </w:rPr>
        <w:t>T</w:t>
      </w:r>
      <w:r w:rsidRPr="00E0344D">
        <w:rPr>
          <w:szCs w:val="26"/>
        </w:rPr>
        <w:t>he Commission allows for extensions of time and for waivers of the business practice standards</w:t>
      </w:r>
      <w:r w:rsidR="00353A27">
        <w:rPr>
          <w:szCs w:val="26"/>
        </w:rPr>
        <w:t>, when appropriate</w:t>
      </w:r>
      <w:r w:rsidRPr="00E0344D">
        <w:rPr>
          <w:szCs w:val="26"/>
        </w:rPr>
        <w:t>.  Such extensions or waivers are based on a pipeline’s individual circumstances, including the size of the pipeline.  For smaller pipelines</w:t>
      </w:r>
      <w:r>
        <w:rPr>
          <w:szCs w:val="26"/>
        </w:rPr>
        <w:t>,</w:t>
      </w:r>
      <w:r w:rsidRPr="00E0344D">
        <w:rPr>
          <w:szCs w:val="26"/>
        </w:rPr>
        <w:t xml:space="preserve"> the Commission </w:t>
      </w:r>
      <w:r>
        <w:rPr>
          <w:szCs w:val="26"/>
        </w:rPr>
        <w:t>has granted waivers of some of the standards w</w:t>
      </w:r>
      <w:r w:rsidRPr="00E0344D">
        <w:rPr>
          <w:szCs w:val="26"/>
        </w:rPr>
        <w:t>hen such pipelines have shown that complying with such standards would prove unduly burdensome.</w:t>
      </w:r>
    </w:p>
    <w:p w14:paraId="38B683B5" w14:textId="77777777" w:rsidR="00BC15BE" w:rsidRPr="003B18DD" w:rsidRDefault="00BC15BE" w:rsidP="00BC15BE">
      <w:pPr>
        <w:pStyle w:val="FERCparanumber"/>
        <w:numPr>
          <w:ilvl w:val="0"/>
          <w:numId w:val="0"/>
        </w:numPr>
        <w:autoSpaceDE w:val="0"/>
        <w:autoSpaceDN w:val="0"/>
        <w:adjustRightInd w:val="0"/>
        <w:ind w:left="360"/>
        <w:rPr>
          <w:szCs w:val="26"/>
        </w:rPr>
      </w:pPr>
    </w:p>
    <w:p w14:paraId="4CE780E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CONSEQUENCE TO FEDERAL PROGRAM IF COLLECTION WERE CONDUCTED LESS FREQUENTLY</w:t>
      </w:r>
    </w:p>
    <w:p w14:paraId="684A23EB" w14:textId="77777777" w:rsidR="00BC15BE" w:rsidRPr="003B18DD" w:rsidRDefault="00BC15BE" w:rsidP="00BC15BE">
      <w:pPr>
        <w:pStyle w:val="Level1"/>
        <w:widowControl/>
        <w:numPr>
          <w:ilvl w:val="0"/>
          <w:numId w:val="0"/>
        </w:numPr>
        <w:tabs>
          <w:tab w:val="left" w:pos="-1440"/>
          <w:tab w:val="num" w:pos="0"/>
        </w:tabs>
        <w:ind w:firstLine="720"/>
        <w:rPr>
          <w:b/>
          <w:sz w:val="26"/>
          <w:szCs w:val="26"/>
        </w:rPr>
      </w:pPr>
    </w:p>
    <w:p w14:paraId="7F50D911" w14:textId="77777777" w:rsidR="00F8150C" w:rsidRPr="004739F8" w:rsidRDefault="00F8150C" w:rsidP="00F8150C">
      <w:pPr>
        <w:tabs>
          <w:tab w:val="left" w:pos="0"/>
        </w:tabs>
        <w:rPr>
          <w:szCs w:val="26"/>
        </w:rPr>
      </w:pPr>
      <w:r w:rsidRPr="00443AA1">
        <w:rPr>
          <w:szCs w:val="26"/>
        </w:rPr>
        <w:t>FERC-545</w:t>
      </w:r>
      <w:r w:rsidRPr="004739F8">
        <w:rPr>
          <w:szCs w:val="26"/>
        </w:rPr>
        <w:t xml:space="preserve"> is a one-time compliance filing</w:t>
      </w:r>
      <w:r>
        <w:rPr>
          <w:szCs w:val="26"/>
        </w:rPr>
        <w:t>, and FERC-549C is a one-time implementation plus ongoing operations</w:t>
      </w:r>
      <w:r w:rsidRPr="004739F8">
        <w:rPr>
          <w:szCs w:val="26"/>
        </w:rPr>
        <w:t>.</w:t>
      </w:r>
      <w:r>
        <w:rPr>
          <w:szCs w:val="26"/>
        </w:rPr>
        <w:t xml:space="preserve">  Failure to collect the information would prohibit FERC from properly monitoring and evaluating pipeline transactions and meeting statutory obligations under NGPA and NGA.</w:t>
      </w:r>
    </w:p>
    <w:p w14:paraId="5BA45430" w14:textId="77777777" w:rsidR="00BC15BE" w:rsidRPr="003B18DD" w:rsidRDefault="00BC15BE" w:rsidP="00BC15BE">
      <w:pPr>
        <w:pStyle w:val="Level1"/>
        <w:widowControl/>
        <w:numPr>
          <w:ilvl w:val="0"/>
          <w:numId w:val="0"/>
        </w:numPr>
        <w:tabs>
          <w:tab w:val="left" w:pos="-1440"/>
        </w:tabs>
        <w:rPr>
          <w:sz w:val="26"/>
          <w:szCs w:val="26"/>
        </w:rPr>
      </w:pPr>
    </w:p>
    <w:p w14:paraId="4A3EAEB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EXPLAIN ANY SPECIAL CIRCUMSTANCES RELATING TO THE INFORMATION COLLECTION</w:t>
      </w:r>
    </w:p>
    <w:p w14:paraId="61C2B225" w14:textId="77777777" w:rsidR="00BC15BE" w:rsidRDefault="00BC15BE" w:rsidP="00BC15BE">
      <w:pPr>
        <w:pStyle w:val="Level1"/>
        <w:numPr>
          <w:ilvl w:val="0"/>
          <w:numId w:val="0"/>
        </w:numPr>
      </w:pPr>
    </w:p>
    <w:p w14:paraId="053930B4" w14:textId="77777777" w:rsidR="00F8150C" w:rsidRDefault="00F8150C" w:rsidP="00BC15BE">
      <w:pPr>
        <w:pStyle w:val="Level1"/>
        <w:numPr>
          <w:ilvl w:val="0"/>
          <w:numId w:val="0"/>
        </w:numPr>
      </w:pPr>
      <w:r>
        <w:t>The FERC-545 and FEC-549C present no special circumstances.</w:t>
      </w:r>
    </w:p>
    <w:p w14:paraId="7E0E1525" w14:textId="77777777" w:rsidR="00F45B52" w:rsidRPr="003B18DD" w:rsidRDefault="00F45B52" w:rsidP="00BC15BE">
      <w:pPr>
        <w:pStyle w:val="Level1"/>
        <w:numPr>
          <w:ilvl w:val="0"/>
          <w:numId w:val="0"/>
        </w:numPr>
      </w:pPr>
    </w:p>
    <w:p w14:paraId="7D4E2FA3"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CONSULT OUTSIDE THE AGENCY: SUMMARIZE PUBLIC COMMENTS AND AGENCY'S RESPONSE TO THESE COMMENTS</w:t>
      </w:r>
    </w:p>
    <w:p w14:paraId="3B868284" w14:textId="77777777" w:rsidR="00BC15BE" w:rsidRPr="00A5298F" w:rsidRDefault="00BC15BE" w:rsidP="00BC15BE">
      <w:pPr>
        <w:tabs>
          <w:tab w:val="left" w:pos="-1440"/>
        </w:tabs>
        <w:rPr>
          <w:b/>
          <w:szCs w:val="26"/>
        </w:rPr>
      </w:pPr>
    </w:p>
    <w:p w14:paraId="3249D6FF" w14:textId="77777777" w:rsidR="00A5298F" w:rsidRPr="00A5298F" w:rsidRDefault="00A5298F" w:rsidP="00A5298F">
      <w:pPr>
        <w:rPr>
          <w:szCs w:val="26"/>
        </w:rPr>
      </w:pPr>
      <w:r w:rsidRPr="00A5298F">
        <w:rPr>
          <w:szCs w:val="26"/>
        </w:rPr>
        <w:t>The Commission‘s outside consultation was in the form of a notice of proposed rulemaking (NOPR) that included the Commission’s best estimate of the burden imposed by compliance with the requirements proposed in the NOPR, as well as the availability of waivers, where requested and appropriate.  Interested persons were notified through publication in the Federal Register that they could file comments on the proposals in the NOPR, including the burden estimate.  In addition, potential commenters were specifically informed that they could file comments on the proposed collection of information and associated burden directly with OMB.  There were three comments filed with the Commission in response to the NOPR.  All were generally supportive of the Commission’s proposals and raised no concerns about the burden estimate in the NOPR.  Nor were any concerns about the burden estimate filed with OMB.  Accordingly, the Commission used the same estimate in its Final Rule.</w:t>
      </w:r>
    </w:p>
    <w:p w14:paraId="55C9D4B2" w14:textId="77777777" w:rsidR="00A5298F" w:rsidRPr="003B18DD" w:rsidRDefault="00A5298F" w:rsidP="00BC15BE">
      <w:pPr>
        <w:tabs>
          <w:tab w:val="left" w:pos="-1440"/>
        </w:tabs>
        <w:rPr>
          <w:b/>
          <w:szCs w:val="26"/>
        </w:rPr>
      </w:pPr>
    </w:p>
    <w:p w14:paraId="3AF18542" w14:textId="77777777" w:rsidR="00BC15BE" w:rsidRPr="003B18DD" w:rsidRDefault="00BC15BE" w:rsidP="00BC15BE">
      <w:pPr>
        <w:rPr>
          <w:b/>
          <w:szCs w:val="26"/>
        </w:rPr>
      </w:pPr>
      <w:r w:rsidRPr="003B18DD">
        <w:rPr>
          <w:bCs/>
          <w:szCs w:val="26"/>
        </w:rPr>
        <w:t>9.</w:t>
      </w:r>
      <w:r w:rsidRPr="003B18DD">
        <w:rPr>
          <w:bCs/>
          <w:szCs w:val="26"/>
        </w:rPr>
        <w:tab/>
      </w:r>
      <w:r w:rsidRPr="003B18DD">
        <w:rPr>
          <w:b/>
          <w:szCs w:val="26"/>
        </w:rPr>
        <w:t>EXPLAIN ANY PAYMENT OR GIFTS TO RESPONDENTS</w:t>
      </w:r>
    </w:p>
    <w:p w14:paraId="5E921196" w14:textId="77777777" w:rsidR="00BC15BE" w:rsidRPr="003B18DD" w:rsidRDefault="00BC15BE" w:rsidP="00BC15BE">
      <w:pPr>
        <w:rPr>
          <w:b/>
          <w:szCs w:val="26"/>
        </w:rPr>
      </w:pPr>
    </w:p>
    <w:p w14:paraId="24B994D1" w14:textId="77777777" w:rsidR="00BC15BE" w:rsidRPr="003B18DD" w:rsidRDefault="00BC15BE" w:rsidP="00BC15BE">
      <w:pPr>
        <w:rPr>
          <w:szCs w:val="26"/>
        </w:rPr>
      </w:pPr>
      <w:r w:rsidRPr="003B18DD">
        <w:rPr>
          <w:szCs w:val="26"/>
        </w:rPr>
        <w:t xml:space="preserve">There are no payments or gifts to respondents associated with </w:t>
      </w:r>
      <w:r w:rsidR="00F8150C">
        <w:rPr>
          <w:szCs w:val="26"/>
        </w:rPr>
        <w:t>collections FERC-545 and FERC-549C</w:t>
      </w:r>
      <w:r w:rsidRPr="003B18DD">
        <w:rPr>
          <w:szCs w:val="26"/>
        </w:rPr>
        <w:t>.</w:t>
      </w:r>
    </w:p>
    <w:p w14:paraId="7E8EC9EC" w14:textId="77777777" w:rsidR="00BC15BE" w:rsidRPr="003B18DD" w:rsidRDefault="00BC15BE" w:rsidP="00BC15BE">
      <w:pPr>
        <w:ind w:left="720" w:hanging="720"/>
        <w:rPr>
          <w:b/>
          <w:bCs/>
          <w:szCs w:val="26"/>
        </w:rPr>
      </w:pPr>
    </w:p>
    <w:p w14:paraId="46E5652F" w14:textId="77777777" w:rsidR="00BC15BE" w:rsidRPr="003B18DD" w:rsidRDefault="00BC15BE" w:rsidP="00BC15BE">
      <w:pPr>
        <w:ind w:left="720" w:hanging="720"/>
        <w:rPr>
          <w:b/>
          <w:szCs w:val="26"/>
        </w:rPr>
      </w:pPr>
      <w:r w:rsidRPr="003B18DD">
        <w:rPr>
          <w:bCs/>
          <w:szCs w:val="26"/>
        </w:rPr>
        <w:t>1</w:t>
      </w:r>
      <w:r w:rsidRPr="003B18DD">
        <w:rPr>
          <w:szCs w:val="26"/>
        </w:rPr>
        <w:t>0.</w:t>
      </w:r>
      <w:r w:rsidRPr="003B18DD">
        <w:rPr>
          <w:szCs w:val="26"/>
        </w:rPr>
        <w:tab/>
      </w:r>
      <w:r w:rsidRPr="003B18DD">
        <w:rPr>
          <w:b/>
          <w:szCs w:val="26"/>
        </w:rPr>
        <w:t>DESCRIBE ANY ASSURANCE OF CONFIDENTIALITY PROVIDED TO RESPONDENTS</w:t>
      </w:r>
    </w:p>
    <w:p w14:paraId="69679F0D" w14:textId="77777777" w:rsidR="00BC15BE" w:rsidRPr="003B18DD" w:rsidRDefault="00BC15BE" w:rsidP="00BC15BE">
      <w:pPr>
        <w:rPr>
          <w:szCs w:val="26"/>
        </w:rPr>
      </w:pPr>
    </w:p>
    <w:p w14:paraId="474DB3E7" w14:textId="77777777" w:rsidR="00BC15BE" w:rsidRDefault="00F8150C" w:rsidP="00BC15BE">
      <w:pPr>
        <w:rPr>
          <w:szCs w:val="26"/>
        </w:rPr>
      </w:pPr>
      <w:r>
        <w:rPr>
          <w:szCs w:val="26"/>
        </w:rPr>
        <w:t>For the FERC-545 and FERC-549C t</w:t>
      </w:r>
      <w:r w:rsidRPr="003A636B">
        <w:rPr>
          <w:szCs w:val="26"/>
        </w:rPr>
        <w:t xml:space="preserve">he data </w:t>
      </w:r>
      <w:r>
        <w:rPr>
          <w:szCs w:val="26"/>
        </w:rPr>
        <w:t>is public.</w:t>
      </w:r>
      <w:r w:rsidRPr="003A636B">
        <w:rPr>
          <w:szCs w:val="26"/>
        </w:rPr>
        <w:t xml:space="preserve">  </w:t>
      </w:r>
      <w:r>
        <w:rPr>
          <w:szCs w:val="26"/>
        </w:rPr>
        <w:t>In general, for all submittals to the Commission, filers may submit</w:t>
      </w:r>
      <w:r w:rsidRPr="003A636B">
        <w:rPr>
          <w:szCs w:val="26"/>
        </w:rPr>
        <w:t xml:space="preserve"> specific requests for confidential treatment to the extent permitted by law</w:t>
      </w:r>
      <w:r>
        <w:rPr>
          <w:szCs w:val="26"/>
        </w:rPr>
        <w:t xml:space="preserve">; details are available in </w:t>
      </w:r>
      <w:r w:rsidRPr="003A636B">
        <w:rPr>
          <w:szCs w:val="26"/>
        </w:rPr>
        <w:t>18 C.F.R. Section 388.112.</w:t>
      </w:r>
    </w:p>
    <w:p w14:paraId="0AFB7A44" w14:textId="77777777" w:rsidR="00F8150C" w:rsidRPr="003B18DD" w:rsidRDefault="00F8150C" w:rsidP="00BC15BE">
      <w:pPr>
        <w:rPr>
          <w:szCs w:val="26"/>
        </w:rPr>
      </w:pPr>
    </w:p>
    <w:p w14:paraId="6C8E31E8" w14:textId="77777777" w:rsidR="00BC15BE" w:rsidRPr="003B18DD" w:rsidRDefault="00BC15BE" w:rsidP="00BC15BE">
      <w:pPr>
        <w:pStyle w:val="Level1"/>
        <w:numPr>
          <w:ilvl w:val="0"/>
          <w:numId w:val="3"/>
        </w:numPr>
        <w:rPr>
          <w:b/>
          <w:sz w:val="26"/>
          <w:szCs w:val="26"/>
        </w:rPr>
      </w:pPr>
      <w:r w:rsidRPr="003B18DD">
        <w:rPr>
          <w:b/>
          <w:sz w:val="26"/>
          <w:szCs w:val="26"/>
        </w:rPr>
        <w:t>PROVIDE ADDITIONAL JUSTIFICATION FOR ANY QUESTIONS OF A SENSITIVE NATURE, SUCH AS SEXUAL BEHAVIOR AND ATTITUDES, RELIGIOUS BELIEFS, AND OTHER MATTERS THAT ARE COMMONLY CONSIDERED PRIVATE.</w:t>
      </w:r>
    </w:p>
    <w:p w14:paraId="261D7BC2" w14:textId="77777777" w:rsidR="00BC15BE" w:rsidRPr="003B18DD" w:rsidRDefault="00BC15BE" w:rsidP="00BC15BE">
      <w:pPr>
        <w:rPr>
          <w:szCs w:val="26"/>
        </w:rPr>
      </w:pPr>
    </w:p>
    <w:p w14:paraId="5421794C" w14:textId="77777777" w:rsidR="00BC15BE" w:rsidRPr="003B18DD" w:rsidRDefault="00BC15BE" w:rsidP="00BC15BE">
      <w:pPr>
        <w:rPr>
          <w:szCs w:val="26"/>
        </w:rPr>
      </w:pPr>
      <w:r w:rsidRPr="003B18DD">
        <w:rPr>
          <w:szCs w:val="26"/>
        </w:rPr>
        <w:t>There are no questions of a sensitive nature in the reporting requirements.</w:t>
      </w:r>
    </w:p>
    <w:p w14:paraId="23373ED0" w14:textId="77777777" w:rsidR="00BC15BE" w:rsidRPr="003B18DD" w:rsidRDefault="00BC15BE" w:rsidP="00BC15BE">
      <w:pPr>
        <w:rPr>
          <w:szCs w:val="26"/>
        </w:rPr>
      </w:pPr>
    </w:p>
    <w:p w14:paraId="1971821D" w14:textId="77777777" w:rsidR="00BC15BE" w:rsidRPr="003B18DD" w:rsidRDefault="00BC15BE" w:rsidP="00BC15BE">
      <w:pPr>
        <w:pStyle w:val="Level1"/>
        <w:rPr>
          <w:b/>
          <w:sz w:val="26"/>
          <w:szCs w:val="26"/>
        </w:rPr>
      </w:pPr>
      <w:r w:rsidRPr="003B18DD">
        <w:rPr>
          <w:b/>
          <w:sz w:val="26"/>
          <w:szCs w:val="26"/>
        </w:rPr>
        <w:t>ESTIMATED BURDEN OF COLLECTION OF INFORMATION</w:t>
      </w:r>
    </w:p>
    <w:p w14:paraId="32995021" w14:textId="77777777" w:rsidR="00BC15BE" w:rsidRPr="003B18DD" w:rsidRDefault="00BC15BE" w:rsidP="00BC15BE">
      <w:pPr>
        <w:rPr>
          <w:szCs w:val="26"/>
        </w:rPr>
      </w:pPr>
    </w:p>
    <w:p w14:paraId="3EA3C14E" w14:textId="77777777" w:rsidR="00F8150C" w:rsidRDefault="00F8150C" w:rsidP="00F8150C">
      <w:pPr>
        <w:pStyle w:val="FERCparanumber"/>
        <w:numPr>
          <w:ilvl w:val="0"/>
          <w:numId w:val="0"/>
        </w:numPr>
      </w:pPr>
      <w:proofErr w:type="gramStart"/>
      <w:r>
        <w:rPr>
          <w:b/>
          <w:szCs w:val="26"/>
        </w:rPr>
        <w:lastRenderedPageBreak/>
        <w:t>Changes due to the Final Rule in RM96-1-038.</w:t>
      </w:r>
      <w:proofErr w:type="gramEnd"/>
      <w:r>
        <w:rPr>
          <w:b/>
          <w:szCs w:val="26"/>
        </w:rPr>
        <w:t xml:space="preserve">  </w:t>
      </w:r>
      <w:r w:rsidRPr="00FC26AD">
        <w:t xml:space="preserve">The following estimates of reporting burden are related only to this </w:t>
      </w:r>
      <w:r>
        <w:t>Final Rule</w:t>
      </w:r>
      <w:r w:rsidRPr="00FC26AD">
        <w:t xml:space="preserve"> </w:t>
      </w:r>
      <w:r>
        <w:t xml:space="preserve">in RM96-1-038 </w:t>
      </w:r>
      <w:r w:rsidRPr="00FC26AD">
        <w:t xml:space="preserve">and anticipate the costs to pipelines for </w:t>
      </w:r>
      <w:r>
        <w:t xml:space="preserve">compliance.  </w:t>
      </w:r>
      <w:r w:rsidRPr="00FC26AD">
        <w:t>The burden estimates are primarily related to start-up to implement these standards and regulations and will not result in ongoing costs.</w:t>
      </w:r>
    </w:p>
    <w:p w14:paraId="2B3B9378" w14:textId="77777777" w:rsidR="00F8150C" w:rsidRPr="00FC26AD" w:rsidRDefault="00F8150C" w:rsidP="00F8150C">
      <w:pPr>
        <w:pStyle w:val="FERCparanumber"/>
        <w:numPr>
          <w:ilvl w:val="0"/>
          <w:numId w:val="0"/>
        </w:numPr>
      </w:pPr>
    </w:p>
    <w:tbl>
      <w:tblPr>
        <w:tblW w:w="535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711"/>
        <w:gridCol w:w="1711"/>
        <w:gridCol w:w="1619"/>
        <w:gridCol w:w="1260"/>
        <w:gridCol w:w="1438"/>
        <w:gridCol w:w="1531"/>
      </w:tblGrid>
      <w:tr w:rsidR="00F8150C" w:rsidRPr="00FC26AD" w14:paraId="4BA34227" w14:textId="77777777" w:rsidTr="00D7505C">
        <w:trPr>
          <w:cantSplit/>
        </w:trPr>
        <w:tc>
          <w:tcPr>
            <w:tcW w:w="5000" w:type="pct"/>
            <w:gridSpan w:val="7"/>
            <w:tcBorders>
              <w:bottom w:val="single" w:sz="4" w:space="0" w:color="auto"/>
            </w:tcBorders>
            <w:shd w:val="clear" w:color="auto" w:fill="D9D9D9"/>
          </w:tcPr>
          <w:p w14:paraId="27953D09" w14:textId="77777777" w:rsidR="00F8150C" w:rsidRPr="00FC26AD" w:rsidRDefault="00F8150C" w:rsidP="00D7505C">
            <w:pPr>
              <w:jc w:val="center"/>
            </w:pPr>
            <w:r>
              <w:rPr>
                <w:rFonts w:eastAsia="Calibri"/>
              </w:rPr>
              <w:t xml:space="preserve">One-Time Effects of Final Rule in Docket </w:t>
            </w:r>
            <w:r w:rsidRPr="00FC26AD">
              <w:rPr>
                <w:rFonts w:eastAsia="Calibri"/>
              </w:rPr>
              <w:t>RM96-1-038</w:t>
            </w:r>
            <w:r>
              <w:rPr>
                <w:rFonts w:eastAsia="Calibri"/>
              </w:rPr>
              <w:t xml:space="preserve"> (rounded)</w:t>
            </w:r>
          </w:p>
          <w:p w14:paraId="23533EF7" w14:textId="77777777" w:rsidR="00F8150C" w:rsidRPr="00FC26AD" w:rsidRDefault="00F8150C" w:rsidP="00D7505C">
            <w:pPr>
              <w:rPr>
                <w:rFonts w:eastAsia="Calibri"/>
              </w:rPr>
            </w:pPr>
          </w:p>
        </w:tc>
      </w:tr>
      <w:tr w:rsidR="00F8150C" w:rsidRPr="00FC26AD" w14:paraId="3F820EF2" w14:textId="77777777" w:rsidTr="00D7505C">
        <w:trPr>
          <w:cantSplit/>
        </w:trPr>
        <w:tc>
          <w:tcPr>
            <w:tcW w:w="482" w:type="pct"/>
            <w:shd w:val="clear" w:color="auto" w:fill="D9D9D9"/>
          </w:tcPr>
          <w:p w14:paraId="512DA364" w14:textId="77777777" w:rsidR="00F8150C" w:rsidRPr="00FC26AD" w:rsidRDefault="00F8150C" w:rsidP="00D7505C">
            <w:pPr>
              <w:jc w:val="center"/>
              <w:rPr>
                <w:rFonts w:eastAsia="Calibri"/>
                <w:b/>
                <w:szCs w:val="20"/>
              </w:rPr>
            </w:pPr>
          </w:p>
        </w:tc>
        <w:tc>
          <w:tcPr>
            <w:tcW w:w="834" w:type="pct"/>
            <w:shd w:val="clear" w:color="auto" w:fill="D9D9D9"/>
            <w:vAlign w:val="bottom"/>
          </w:tcPr>
          <w:p w14:paraId="5EE20945" w14:textId="77777777" w:rsidR="00F8150C" w:rsidRPr="00FC26AD" w:rsidRDefault="00F8150C" w:rsidP="00D7505C">
            <w:pPr>
              <w:jc w:val="center"/>
              <w:rPr>
                <w:rFonts w:eastAsia="Calibri"/>
                <w:b/>
                <w:szCs w:val="20"/>
              </w:rPr>
            </w:pPr>
            <w:r w:rsidRPr="00FC26AD">
              <w:rPr>
                <w:rFonts w:eastAsia="Calibri"/>
                <w:b/>
                <w:szCs w:val="20"/>
              </w:rPr>
              <w:t>Number of Respondents</w:t>
            </w:r>
            <w:r w:rsidRPr="00FC26AD">
              <w:rPr>
                <w:rFonts w:eastAsia="Calibri"/>
                <w:b/>
                <w:szCs w:val="26"/>
                <w:vertAlign w:val="superscript"/>
              </w:rPr>
              <w:footnoteReference w:id="6"/>
            </w:r>
          </w:p>
          <w:p w14:paraId="208A8305" w14:textId="77777777" w:rsidR="00F8150C" w:rsidRPr="00FC26AD" w:rsidRDefault="00F8150C" w:rsidP="00D7505C">
            <w:pPr>
              <w:jc w:val="center"/>
              <w:rPr>
                <w:rFonts w:eastAsia="Calibri"/>
                <w:b/>
                <w:szCs w:val="20"/>
              </w:rPr>
            </w:pPr>
            <w:r w:rsidRPr="00FC26AD">
              <w:rPr>
                <w:rFonts w:eastAsia="Calibri"/>
                <w:b/>
                <w:szCs w:val="20"/>
              </w:rPr>
              <w:t>(1)</w:t>
            </w:r>
          </w:p>
        </w:tc>
        <w:tc>
          <w:tcPr>
            <w:tcW w:w="834" w:type="pct"/>
            <w:shd w:val="clear" w:color="auto" w:fill="D9D9D9"/>
            <w:vAlign w:val="bottom"/>
          </w:tcPr>
          <w:p w14:paraId="7CD12051" w14:textId="77777777" w:rsidR="00F8150C" w:rsidRPr="00FC26AD" w:rsidRDefault="00F8150C" w:rsidP="00D7505C">
            <w:pPr>
              <w:jc w:val="center"/>
              <w:rPr>
                <w:rFonts w:eastAsia="Calibri"/>
                <w:b/>
                <w:szCs w:val="20"/>
              </w:rPr>
            </w:pPr>
            <w:r w:rsidRPr="00FC26AD">
              <w:rPr>
                <w:rFonts w:eastAsia="Calibri"/>
                <w:b/>
                <w:szCs w:val="20"/>
              </w:rPr>
              <w:t>Annual Number of Responses per Respondent</w:t>
            </w:r>
          </w:p>
          <w:p w14:paraId="7DD1CAE5" w14:textId="77777777" w:rsidR="00F8150C" w:rsidRPr="00FC26AD" w:rsidRDefault="00F8150C" w:rsidP="00D7505C">
            <w:pPr>
              <w:jc w:val="center"/>
              <w:rPr>
                <w:rFonts w:eastAsia="Calibri"/>
                <w:b/>
                <w:szCs w:val="20"/>
              </w:rPr>
            </w:pPr>
            <w:r w:rsidRPr="00FC26AD">
              <w:rPr>
                <w:rFonts w:eastAsia="Calibri"/>
                <w:b/>
                <w:szCs w:val="20"/>
              </w:rPr>
              <w:t>(2)</w:t>
            </w:r>
          </w:p>
        </w:tc>
        <w:tc>
          <w:tcPr>
            <w:tcW w:w="789" w:type="pct"/>
            <w:shd w:val="clear" w:color="auto" w:fill="D9D9D9"/>
            <w:vAlign w:val="bottom"/>
          </w:tcPr>
          <w:p w14:paraId="74619C9D" w14:textId="77777777" w:rsidR="00F8150C" w:rsidRPr="00FC26AD" w:rsidRDefault="00F8150C" w:rsidP="00D7505C">
            <w:pPr>
              <w:jc w:val="center"/>
              <w:rPr>
                <w:rFonts w:eastAsia="Calibri"/>
                <w:b/>
                <w:szCs w:val="20"/>
              </w:rPr>
            </w:pPr>
            <w:r w:rsidRPr="00FC26AD">
              <w:rPr>
                <w:rFonts w:eastAsia="Calibri"/>
                <w:b/>
                <w:szCs w:val="20"/>
              </w:rPr>
              <w:t>Total Number of Responses (1)*(2)=</w:t>
            </w:r>
          </w:p>
          <w:p w14:paraId="5FC222C0" w14:textId="77777777" w:rsidR="00F8150C" w:rsidRPr="00FC26AD" w:rsidRDefault="00F8150C" w:rsidP="00D7505C">
            <w:pPr>
              <w:jc w:val="center"/>
              <w:rPr>
                <w:rFonts w:eastAsia="Calibri"/>
                <w:b/>
                <w:szCs w:val="20"/>
              </w:rPr>
            </w:pPr>
            <w:r w:rsidRPr="00FC26AD">
              <w:rPr>
                <w:rFonts w:eastAsia="Calibri"/>
                <w:b/>
                <w:szCs w:val="20"/>
              </w:rPr>
              <w:t>(3)</w:t>
            </w:r>
          </w:p>
        </w:tc>
        <w:tc>
          <w:tcPr>
            <w:tcW w:w="614" w:type="pct"/>
            <w:shd w:val="clear" w:color="auto" w:fill="D9D9D9"/>
            <w:vAlign w:val="bottom"/>
          </w:tcPr>
          <w:p w14:paraId="35BC195C" w14:textId="77777777" w:rsidR="00F8150C" w:rsidRPr="00FC26AD" w:rsidRDefault="00F8150C" w:rsidP="00D7505C">
            <w:pPr>
              <w:jc w:val="center"/>
              <w:rPr>
                <w:rFonts w:eastAsia="Calibri"/>
                <w:b/>
                <w:szCs w:val="20"/>
              </w:rPr>
            </w:pPr>
            <w:r w:rsidRPr="00FC26AD">
              <w:rPr>
                <w:rFonts w:eastAsia="Calibri"/>
                <w:b/>
                <w:szCs w:val="20"/>
              </w:rPr>
              <w:t>Average Burden &amp; Cost Per Response</w:t>
            </w:r>
          </w:p>
          <w:p w14:paraId="0C25B0B2" w14:textId="77777777" w:rsidR="00F8150C" w:rsidRPr="00FC26AD" w:rsidRDefault="00F8150C" w:rsidP="00D7505C">
            <w:pPr>
              <w:jc w:val="center"/>
              <w:rPr>
                <w:rFonts w:eastAsia="Calibri"/>
                <w:b/>
                <w:szCs w:val="20"/>
              </w:rPr>
            </w:pPr>
            <w:r w:rsidRPr="00FC26AD">
              <w:rPr>
                <w:rFonts w:eastAsia="Calibri"/>
                <w:b/>
                <w:szCs w:val="20"/>
              </w:rPr>
              <w:t>(4)</w:t>
            </w:r>
          </w:p>
        </w:tc>
        <w:tc>
          <w:tcPr>
            <w:tcW w:w="701" w:type="pct"/>
            <w:shd w:val="clear" w:color="auto" w:fill="D9D9D9"/>
            <w:vAlign w:val="bottom"/>
          </w:tcPr>
          <w:p w14:paraId="1CF86113" w14:textId="77777777" w:rsidR="00F8150C" w:rsidRPr="00FC26AD" w:rsidRDefault="00F8150C" w:rsidP="00D7505C">
            <w:pPr>
              <w:jc w:val="center"/>
              <w:rPr>
                <w:rFonts w:eastAsia="Calibri"/>
                <w:b/>
                <w:szCs w:val="20"/>
              </w:rPr>
            </w:pPr>
            <w:r w:rsidRPr="00FC26AD">
              <w:rPr>
                <w:rFonts w:eastAsia="Calibri"/>
                <w:b/>
                <w:szCs w:val="20"/>
              </w:rPr>
              <w:t>Total Annual Burden Hours &amp; Total Annual Cost</w:t>
            </w:r>
          </w:p>
          <w:p w14:paraId="7FB0E985" w14:textId="77777777" w:rsidR="00F8150C" w:rsidRPr="00FC26AD" w:rsidRDefault="00F8150C" w:rsidP="00D7505C">
            <w:pPr>
              <w:jc w:val="center"/>
              <w:rPr>
                <w:rFonts w:eastAsia="Calibri"/>
                <w:b/>
                <w:szCs w:val="20"/>
              </w:rPr>
            </w:pPr>
            <w:r w:rsidRPr="00FC26AD">
              <w:rPr>
                <w:rFonts w:eastAsia="Calibri"/>
                <w:b/>
                <w:szCs w:val="20"/>
              </w:rPr>
              <w:t>(3)*(4)=(5)</w:t>
            </w:r>
          </w:p>
        </w:tc>
        <w:tc>
          <w:tcPr>
            <w:tcW w:w="746" w:type="pct"/>
            <w:shd w:val="clear" w:color="auto" w:fill="D9D9D9"/>
            <w:vAlign w:val="bottom"/>
          </w:tcPr>
          <w:p w14:paraId="40FB886E" w14:textId="77777777" w:rsidR="00F8150C" w:rsidRPr="00FC26AD" w:rsidRDefault="00F8150C" w:rsidP="00D7505C">
            <w:pPr>
              <w:jc w:val="center"/>
              <w:rPr>
                <w:rFonts w:eastAsia="Calibri"/>
                <w:b/>
                <w:szCs w:val="20"/>
              </w:rPr>
            </w:pPr>
            <w:r w:rsidRPr="00FC26AD">
              <w:rPr>
                <w:rFonts w:eastAsia="Calibri"/>
                <w:b/>
                <w:szCs w:val="20"/>
              </w:rPr>
              <w:t>Cost per Respondent</w:t>
            </w:r>
          </w:p>
          <w:p w14:paraId="0CADBA35" w14:textId="77777777" w:rsidR="00F8150C" w:rsidRPr="00FC26AD" w:rsidRDefault="00F8150C" w:rsidP="00D7505C">
            <w:pPr>
              <w:jc w:val="center"/>
              <w:rPr>
                <w:rFonts w:eastAsia="Calibri"/>
                <w:b/>
                <w:szCs w:val="20"/>
              </w:rPr>
            </w:pPr>
            <w:r w:rsidRPr="00FC26AD">
              <w:rPr>
                <w:b/>
                <w:szCs w:val="26"/>
                <w:vertAlign w:val="superscript"/>
              </w:rPr>
              <w:footnoteReference w:id="7"/>
            </w:r>
          </w:p>
          <w:p w14:paraId="7FCD3959" w14:textId="77777777" w:rsidR="00F8150C" w:rsidRPr="00FC26AD" w:rsidRDefault="00F8150C" w:rsidP="00D7505C">
            <w:pPr>
              <w:jc w:val="center"/>
              <w:rPr>
                <w:rFonts w:eastAsia="Calibri"/>
                <w:b/>
                <w:szCs w:val="20"/>
              </w:rPr>
            </w:pPr>
            <w:r w:rsidRPr="00FC26AD">
              <w:rPr>
                <w:rFonts w:eastAsia="Calibri"/>
                <w:b/>
                <w:szCs w:val="20"/>
              </w:rPr>
              <w:t>($)</w:t>
            </w:r>
          </w:p>
          <w:p w14:paraId="7F1E1113" w14:textId="77777777" w:rsidR="00F8150C" w:rsidRPr="00FC26AD" w:rsidRDefault="00F8150C" w:rsidP="00D7505C">
            <w:pPr>
              <w:jc w:val="center"/>
              <w:rPr>
                <w:rFonts w:eastAsia="Calibri"/>
                <w:b/>
                <w:szCs w:val="20"/>
              </w:rPr>
            </w:pPr>
            <w:r w:rsidRPr="00FC26AD">
              <w:rPr>
                <w:rFonts w:eastAsia="Calibri"/>
                <w:b/>
                <w:szCs w:val="20"/>
              </w:rPr>
              <w:t>(5)÷(1)</w:t>
            </w:r>
          </w:p>
        </w:tc>
      </w:tr>
      <w:tr w:rsidR="00F8150C" w:rsidRPr="00FC26AD" w14:paraId="7E3BFC78" w14:textId="77777777" w:rsidTr="00D7505C">
        <w:trPr>
          <w:cantSplit/>
        </w:trPr>
        <w:tc>
          <w:tcPr>
            <w:tcW w:w="482" w:type="pct"/>
          </w:tcPr>
          <w:p w14:paraId="7B843C4B" w14:textId="77777777" w:rsidR="00F8150C" w:rsidRPr="00FC26AD" w:rsidRDefault="00F8150C" w:rsidP="00D7505C">
            <w:pPr>
              <w:rPr>
                <w:rFonts w:eastAsia="Calibri"/>
                <w:szCs w:val="20"/>
              </w:rPr>
            </w:pPr>
            <w:r w:rsidRPr="00FC26AD">
              <w:rPr>
                <w:rFonts w:eastAsia="Calibri"/>
                <w:szCs w:val="20"/>
              </w:rPr>
              <w:t>FERC-545</w:t>
            </w:r>
            <w:r w:rsidRPr="00FC26AD">
              <w:rPr>
                <w:b/>
                <w:szCs w:val="26"/>
                <w:vertAlign w:val="superscript"/>
              </w:rPr>
              <w:footnoteReference w:id="8"/>
            </w:r>
          </w:p>
        </w:tc>
        <w:tc>
          <w:tcPr>
            <w:tcW w:w="834" w:type="pct"/>
          </w:tcPr>
          <w:p w14:paraId="1B09F60B" w14:textId="77777777" w:rsidR="00F8150C" w:rsidRPr="00FC26AD" w:rsidRDefault="00F8150C" w:rsidP="00D7505C">
            <w:pPr>
              <w:jc w:val="right"/>
              <w:rPr>
                <w:rFonts w:eastAsia="Calibri"/>
                <w:szCs w:val="20"/>
              </w:rPr>
            </w:pPr>
            <w:r w:rsidRPr="00FC26AD">
              <w:rPr>
                <w:rFonts w:eastAsia="Calibri"/>
                <w:szCs w:val="20"/>
              </w:rPr>
              <w:t>165</w:t>
            </w:r>
          </w:p>
        </w:tc>
        <w:tc>
          <w:tcPr>
            <w:tcW w:w="834" w:type="pct"/>
          </w:tcPr>
          <w:p w14:paraId="6830D3F1" w14:textId="77777777" w:rsidR="00F8150C" w:rsidRPr="00FC26AD" w:rsidRDefault="00F8150C" w:rsidP="00D7505C">
            <w:pPr>
              <w:jc w:val="right"/>
              <w:rPr>
                <w:rFonts w:eastAsia="Calibri"/>
                <w:szCs w:val="20"/>
              </w:rPr>
            </w:pPr>
            <w:r w:rsidRPr="00FC26AD">
              <w:rPr>
                <w:rFonts w:eastAsia="Calibri"/>
                <w:szCs w:val="20"/>
              </w:rPr>
              <w:t>1</w:t>
            </w:r>
          </w:p>
        </w:tc>
        <w:tc>
          <w:tcPr>
            <w:tcW w:w="789" w:type="pct"/>
          </w:tcPr>
          <w:p w14:paraId="343FBD7C" w14:textId="77777777" w:rsidR="00F8150C" w:rsidRPr="00FC26AD" w:rsidRDefault="00F8150C" w:rsidP="00D7505C">
            <w:pPr>
              <w:jc w:val="right"/>
              <w:rPr>
                <w:rFonts w:eastAsia="Calibri"/>
                <w:szCs w:val="20"/>
              </w:rPr>
            </w:pPr>
            <w:r w:rsidRPr="00FC26AD">
              <w:rPr>
                <w:rFonts w:eastAsia="Calibri"/>
                <w:szCs w:val="20"/>
              </w:rPr>
              <w:t>165</w:t>
            </w:r>
          </w:p>
        </w:tc>
        <w:tc>
          <w:tcPr>
            <w:tcW w:w="614" w:type="pct"/>
          </w:tcPr>
          <w:p w14:paraId="0C551E55" w14:textId="77777777" w:rsidR="00F8150C" w:rsidRPr="00FC26AD" w:rsidRDefault="00F8150C" w:rsidP="00D7505C">
            <w:pPr>
              <w:jc w:val="right"/>
              <w:rPr>
                <w:rFonts w:eastAsia="Calibri"/>
                <w:szCs w:val="20"/>
              </w:rPr>
            </w:pPr>
            <w:r w:rsidRPr="00FC26AD">
              <w:rPr>
                <w:rFonts w:eastAsia="Calibri"/>
                <w:szCs w:val="20"/>
              </w:rPr>
              <w:t>10</w:t>
            </w:r>
            <w:r>
              <w:rPr>
                <w:rFonts w:eastAsia="Calibri"/>
                <w:szCs w:val="20"/>
              </w:rPr>
              <w:t xml:space="preserve"> hrs.; $837</w:t>
            </w:r>
          </w:p>
        </w:tc>
        <w:tc>
          <w:tcPr>
            <w:tcW w:w="701" w:type="pct"/>
          </w:tcPr>
          <w:p w14:paraId="38796604" w14:textId="77777777" w:rsidR="00F8150C" w:rsidRPr="00FC26AD" w:rsidRDefault="00F8150C" w:rsidP="00D7505C">
            <w:pPr>
              <w:jc w:val="right"/>
              <w:rPr>
                <w:rFonts w:eastAsia="Calibri"/>
                <w:szCs w:val="20"/>
              </w:rPr>
            </w:pPr>
            <w:r w:rsidRPr="00FC26AD">
              <w:rPr>
                <w:rFonts w:eastAsia="Calibri"/>
                <w:szCs w:val="20"/>
              </w:rPr>
              <w:t>1,650</w:t>
            </w:r>
            <w:r>
              <w:rPr>
                <w:rFonts w:eastAsia="Calibri"/>
                <w:szCs w:val="20"/>
              </w:rPr>
              <w:t xml:space="preserve"> hrs.;</w:t>
            </w:r>
            <w:r w:rsidRPr="00FC26AD">
              <w:rPr>
                <w:rFonts w:eastAsia="Calibri"/>
                <w:szCs w:val="20"/>
              </w:rPr>
              <w:t xml:space="preserve"> $138,056</w:t>
            </w:r>
          </w:p>
        </w:tc>
        <w:tc>
          <w:tcPr>
            <w:tcW w:w="746" w:type="pct"/>
          </w:tcPr>
          <w:p w14:paraId="244B77B4" w14:textId="77777777" w:rsidR="00F8150C" w:rsidRPr="00FC26AD" w:rsidRDefault="00F8150C" w:rsidP="00D7505C">
            <w:pPr>
              <w:jc w:val="right"/>
              <w:rPr>
                <w:rFonts w:eastAsia="Calibri"/>
                <w:szCs w:val="20"/>
              </w:rPr>
            </w:pPr>
            <w:r w:rsidRPr="009D36BD">
              <w:rPr>
                <w:rFonts w:eastAsia="Calibri"/>
                <w:szCs w:val="20"/>
              </w:rPr>
              <w:t>$837</w:t>
            </w:r>
          </w:p>
        </w:tc>
      </w:tr>
      <w:tr w:rsidR="00F8150C" w:rsidRPr="00FC26AD" w14:paraId="6C8719A0" w14:textId="77777777" w:rsidTr="00D7505C">
        <w:trPr>
          <w:cantSplit/>
        </w:trPr>
        <w:tc>
          <w:tcPr>
            <w:tcW w:w="482" w:type="pct"/>
          </w:tcPr>
          <w:p w14:paraId="5E517DC1" w14:textId="77777777" w:rsidR="00F8150C" w:rsidRPr="00FC26AD" w:rsidRDefault="00F8150C" w:rsidP="00D7505C">
            <w:pPr>
              <w:rPr>
                <w:rFonts w:eastAsia="Calibri"/>
                <w:szCs w:val="20"/>
              </w:rPr>
            </w:pPr>
            <w:r w:rsidRPr="00FC26AD">
              <w:rPr>
                <w:rFonts w:eastAsia="Calibri"/>
                <w:szCs w:val="20"/>
              </w:rPr>
              <w:t>FERC-549C</w:t>
            </w:r>
            <w:r>
              <w:rPr>
                <w:rStyle w:val="FootnoteReference"/>
                <w:rFonts w:eastAsia="Calibri"/>
              </w:rPr>
              <w:footnoteReference w:id="9"/>
            </w:r>
          </w:p>
        </w:tc>
        <w:tc>
          <w:tcPr>
            <w:tcW w:w="834" w:type="pct"/>
          </w:tcPr>
          <w:p w14:paraId="7752402F" w14:textId="77777777" w:rsidR="00F8150C" w:rsidRPr="00FC26AD" w:rsidRDefault="00F8150C" w:rsidP="00D7505C">
            <w:pPr>
              <w:jc w:val="right"/>
              <w:rPr>
                <w:rFonts w:eastAsia="Calibri"/>
                <w:szCs w:val="20"/>
              </w:rPr>
            </w:pPr>
            <w:r w:rsidRPr="00FC26AD">
              <w:rPr>
                <w:rFonts w:eastAsia="Calibri"/>
                <w:szCs w:val="20"/>
              </w:rPr>
              <w:t>165</w:t>
            </w:r>
          </w:p>
        </w:tc>
        <w:tc>
          <w:tcPr>
            <w:tcW w:w="834" w:type="pct"/>
          </w:tcPr>
          <w:p w14:paraId="29753A92" w14:textId="77777777" w:rsidR="00F8150C" w:rsidRPr="00FC26AD" w:rsidRDefault="00F8150C" w:rsidP="00D7505C">
            <w:pPr>
              <w:jc w:val="right"/>
              <w:rPr>
                <w:rFonts w:eastAsia="Calibri"/>
                <w:szCs w:val="20"/>
              </w:rPr>
            </w:pPr>
            <w:r w:rsidRPr="00FC26AD">
              <w:rPr>
                <w:rFonts w:eastAsia="Calibri"/>
                <w:szCs w:val="20"/>
              </w:rPr>
              <w:t>1</w:t>
            </w:r>
          </w:p>
        </w:tc>
        <w:tc>
          <w:tcPr>
            <w:tcW w:w="789" w:type="pct"/>
          </w:tcPr>
          <w:p w14:paraId="1154B14F" w14:textId="77777777" w:rsidR="00F8150C" w:rsidRPr="00FC26AD" w:rsidRDefault="00F8150C" w:rsidP="00D7505C">
            <w:pPr>
              <w:jc w:val="right"/>
              <w:rPr>
                <w:rFonts w:eastAsia="Calibri"/>
                <w:szCs w:val="20"/>
              </w:rPr>
            </w:pPr>
            <w:r w:rsidRPr="00FC26AD">
              <w:rPr>
                <w:rFonts w:eastAsia="Calibri"/>
                <w:szCs w:val="20"/>
              </w:rPr>
              <w:t>165</w:t>
            </w:r>
          </w:p>
        </w:tc>
        <w:tc>
          <w:tcPr>
            <w:tcW w:w="614" w:type="pct"/>
          </w:tcPr>
          <w:p w14:paraId="7922D500" w14:textId="77777777" w:rsidR="00F8150C" w:rsidRPr="00FC26AD" w:rsidRDefault="00F8150C" w:rsidP="00D7505C">
            <w:pPr>
              <w:jc w:val="right"/>
              <w:rPr>
                <w:rFonts w:eastAsia="Calibri"/>
                <w:szCs w:val="20"/>
              </w:rPr>
            </w:pPr>
            <w:r w:rsidRPr="00FC26AD">
              <w:rPr>
                <w:rFonts w:eastAsia="Calibri"/>
                <w:szCs w:val="20"/>
              </w:rPr>
              <w:t>22</w:t>
            </w:r>
            <w:r>
              <w:rPr>
                <w:rFonts w:eastAsia="Calibri"/>
                <w:szCs w:val="20"/>
              </w:rPr>
              <w:t xml:space="preserve"> hrs.; $1,841</w:t>
            </w:r>
          </w:p>
        </w:tc>
        <w:tc>
          <w:tcPr>
            <w:tcW w:w="701" w:type="pct"/>
          </w:tcPr>
          <w:p w14:paraId="48524EC5" w14:textId="77777777" w:rsidR="00F8150C" w:rsidRDefault="00F8150C" w:rsidP="00D7505C">
            <w:pPr>
              <w:jc w:val="right"/>
              <w:rPr>
                <w:rFonts w:eastAsia="Calibri"/>
                <w:szCs w:val="20"/>
              </w:rPr>
            </w:pPr>
            <w:r w:rsidRPr="00FC26AD">
              <w:rPr>
                <w:rFonts w:eastAsia="Calibri"/>
                <w:szCs w:val="20"/>
              </w:rPr>
              <w:t>3,630</w:t>
            </w:r>
            <w:r>
              <w:rPr>
                <w:rFonts w:eastAsia="Calibri"/>
                <w:szCs w:val="20"/>
              </w:rPr>
              <w:t xml:space="preserve"> hrs</w:t>
            </w:r>
            <w:proofErr w:type="gramStart"/>
            <w:r>
              <w:rPr>
                <w:rFonts w:eastAsia="Calibri"/>
                <w:szCs w:val="20"/>
              </w:rPr>
              <w:t>.;</w:t>
            </w:r>
            <w:proofErr w:type="gramEnd"/>
            <w:r>
              <w:rPr>
                <w:rFonts w:eastAsia="Calibri"/>
                <w:szCs w:val="20"/>
              </w:rPr>
              <w:t xml:space="preserve"> </w:t>
            </w:r>
          </w:p>
          <w:p w14:paraId="18A4B974" w14:textId="77777777" w:rsidR="00F8150C" w:rsidRPr="00FC26AD" w:rsidRDefault="00F8150C" w:rsidP="00D7505C">
            <w:pPr>
              <w:jc w:val="right"/>
              <w:rPr>
                <w:rFonts w:eastAsia="Calibri"/>
                <w:szCs w:val="20"/>
              </w:rPr>
            </w:pPr>
            <w:r w:rsidRPr="00FC26AD">
              <w:rPr>
                <w:rFonts w:eastAsia="Calibri"/>
                <w:szCs w:val="20"/>
              </w:rPr>
              <w:t>$303,722</w:t>
            </w:r>
          </w:p>
        </w:tc>
        <w:tc>
          <w:tcPr>
            <w:tcW w:w="746" w:type="pct"/>
          </w:tcPr>
          <w:p w14:paraId="026B6179" w14:textId="77777777" w:rsidR="00F8150C" w:rsidRPr="00FC26AD" w:rsidRDefault="00F8150C" w:rsidP="00D7505C">
            <w:pPr>
              <w:jc w:val="right"/>
              <w:rPr>
                <w:rFonts w:eastAsia="Calibri"/>
                <w:szCs w:val="20"/>
              </w:rPr>
            </w:pPr>
            <w:r w:rsidRPr="00E05912">
              <w:rPr>
                <w:rFonts w:eastAsia="Calibri"/>
                <w:szCs w:val="20"/>
              </w:rPr>
              <w:t>$1,841</w:t>
            </w:r>
          </w:p>
        </w:tc>
      </w:tr>
      <w:tr w:rsidR="00F8150C" w:rsidRPr="00FC26AD" w14:paraId="41C5E017" w14:textId="77777777" w:rsidTr="00D7505C">
        <w:trPr>
          <w:cantSplit/>
        </w:trPr>
        <w:tc>
          <w:tcPr>
            <w:tcW w:w="482" w:type="pct"/>
          </w:tcPr>
          <w:p w14:paraId="15EEF196" w14:textId="77777777" w:rsidR="00F8150C" w:rsidRPr="0065517A" w:rsidRDefault="00F8150C" w:rsidP="00D7505C">
            <w:pPr>
              <w:rPr>
                <w:rFonts w:eastAsia="Calibri"/>
                <w:b/>
                <w:szCs w:val="20"/>
              </w:rPr>
            </w:pPr>
            <w:r w:rsidRPr="0065517A">
              <w:rPr>
                <w:rFonts w:eastAsia="Calibri"/>
                <w:b/>
                <w:szCs w:val="20"/>
              </w:rPr>
              <w:lastRenderedPageBreak/>
              <w:t>Totals</w:t>
            </w:r>
          </w:p>
        </w:tc>
        <w:tc>
          <w:tcPr>
            <w:tcW w:w="834" w:type="pct"/>
          </w:tcPr>
          <w:p w14:paraId="0AB6C576" w14:textId="77777777" w:rsidR="00F8150C" w:rsidRPr="00FC26AD" w:rsidRDefault="00F8150C" w:rsidP="00D7505C">
            <w:pPr>
              <w:jc w:val="right"/>
              <w:rPr>
                <w:rFonts w:eastAsia="Calibri"/>
                <w:szCs w:val="20"/>
              </w:rPr>
            </w:pPr>
          </w:p>
        </w:tc>
        <w:tc>
          <w:tcPr>
            <w:tcW w:w="834" w:type="pct"/>
          </w:tcPr>
          <w:p w14:paraId="20C1FBAA" w14:textId="77777777" w:rsidR="00F8150C" w:rsidRPr="00FC26AD" w:rsidRDefault="00F8150C" w:rsidP="00D7505C">
            <w:pPr>
              <w:jc w:val="right"/>
              <w:rPr>
                <w:rFonts w:eastAsia="Calibri"/>
                <w:szCs w:val="20"/>
              </w:rPr>
            </w:pPr>
          </w:p>
        </w:tc>
        <w:tc>
          <w:tcPr>
            <w:tcW w:w="789" w:type="pct"/>
          </w:tcPr>
          <w:p w14:paraId="4CE05A49" w14:textId="77777777" w:rsidR="00F8150C" w:rsidRPr="00FC26AD" w:rsidRDefault="00F8150C" w:rsidP="00D7505C">
            <w:pPr>
              <w:jc w:val="right"/>
              <w:rPr>
                <w:rFonts w:eastAsia="Calibri"/>
                <w:szCs w:val="20"/>
              </w:rPr>
            </w:pPr>
          </w:p>
        </w:tc>
        <w:tc>
          <w:tcPr>
            <w:tcW w:w="614" w:type="pct"/>
          </w:tcPr>
          <w:p w14:paraId="55F47ED5" w14:textId="77777777" w:rsidR="00F8150C" w:rsidRPr="00FC26AD" w:rsidRDefault="00F8150C" w:rsidP="00D7505C">
            <w:pPr>
              <w:jc w:val="right"/>
              <w:rPr>
                <w:rFonts w:eastAsia="Calibri"/>
                <w:szCs w:val="20"/>
              </w:rPr>
            </w:pPr>
          </w:p>
        </w:tc>
        <w:tc>
          <w:tcPr>
            <w:tcW w:w="701" w:type="pct"/>
          </w:tcPr>
          <w:p w14:paraId="1FB282D4" w14:textId="77777777" w:rsidR="00F8150C" w:rsidRPr="00FC26AD" w:rsidRDefault="00F8150C" w:rsidP="00D7505C">
            <w:pPr>
              <w:jc w:val="right"/>
              <w:rPr>
                <w:rFonts w:eastAsia="Calibri"/>
                <w:szCs w:val="20"/>
              </w:rPr>
            </w:pPr>
            <w:r w:rsidRPr="00FC26AD">
              <w:rPr>
                <w:rFonts w:eastAsia="Calibri"/>
                <w:szCs w:val="20"/>
              </w:rPr>
              <w:t>5,280</w:t>
            </w:r>
            <w:r>
              <w:rPr>
                <w:rFonts w:eastAsia="Calibri"/>
                <w:szCs w:val="20"/>
              </w:rPr>
              <w:t xml:space="preserve"> hrs.; </w:t>
            </w:r>
            <w:r w:rsidRPr="00FC26AD">
              <w:rPr>
                <w:rFonts w:eastAsia="Calibri"/>
                <w:szCs w:val="20"/>
              </w:rPr>
              <w:t>$441,778</w:t>
            </w:r>
          </w:p>
        </w:tc>
        <w:tc>
          <w:tcPr>
            <w:tcW w:w="746" w:type="pct"/>
          </w:tcPr>
          <w:p w14:paraId="1E51C381" w14:textId="77777777" w:rsidR="00F8150C" w:rsidRPr="00FC26AD" w:rsidRDefault="00F8150C" w:rsidP="00D7505C">
            <w:pPr>
              <w:jc w:val="right"/>
              <w:rPr>
                <w:rFonts w:eastAsia="Calibri"/>
                <w:szCs w:val="20"/>
              </w:rPr>
            </w:pPr>
          </w:p>
        </w:tc>
      </w:tr>
    </w:tbl>
    <w:p w14:paraId="5F329CFC" w14:textId="77777777" w:rsidR="00F8150C" w:rsidRDefault="00F8150C" w:rsidP="00F8150C">
      <w:pPr>
        <w:rPr>
          <w:szCs w:val="26"/>
        </w:rPr>
      </w:pPr>
    </w:p>
    <w:p w14:paraId="33BD4617" w14:textId="77777777" w:rsidR="00F8150C" w:rsidRDefault="00F8150C" w:rsidP="00F8150C">
      <w:pPr>
        <w:rPr>
          <w:szCs w:val="26"/>
        </w:rPr>
      </w:pPr>
      <w:proofErr w:type="gramStart"/>
      <w:r w:rsidRPr="0014601E">
        <w:rPr>
          <w:b/>
          <w:szCs w:val="26"/>
        </w:rPr>
        <w:t>FERC-54</w:t>
      </w:r>
      <w:r>
        <w:rPr>
          <w:b/>
          <w:szCs w:val="26"/>
        </w:rPr>
        <w:t>5</w:t>
      </w:r>
      <w:r w:rsidRPr="0014601E">
        <w:rPr>
          <w:b/>
          <w:szCs w:val="26"/>
        </w:rPr>
        <w:t>.</w:t>
      </w:r>
      <w:proofErr w:type="gramEnd"/>
      <w:r w:rsidRPr="0014601E">
        <w:rPr>
          <w:b/>
          <w:szCs w:val="26"/>
        </w:rPr>
        <w:t xml:space="preserve">  </w:t>
      </w:r>
      <w:r w:rsidRPr="00B00965">
        <w:rPr>
          <w:szCs w:val="26"/>
        </w:rPr>
        <w:t>For this submittal</w:t>
      </w:r>
      <w:r w:rsidRPr="009C5F46">
        <w:rPr>
          <w:szCs w:val="26"/>
        </w:rPr>
        <w:t xml:space="preserve">, we are averaging the one-time implementation burden over Years 1-3.  </w:t>
      </w:r>
      <w:r w:rsidRPr="00B00965">
        <w:rPr>
          <w:szCs w:val="26"/>
        </w:rPr>
        <w:t>Using that approach, each of Years 1-3 would impose</w:t>
      </w:r>
      <w:r>
        <w:rPr>
          <w:szCs w:val="26"/>
        </w:rPr>
        <w:t xml:space="preserve"> a total of</w:t>
      </w:r>
      <w:r w:rsidRPr="00B00965">
        <w:rPr>
          <w:szCs w:val="26"/>
        </w:rPr>
        <w:t xml:space="preserve">:  </w:t>
      </w:r>
    </w:p>
    <w:p w14:paraId="7F36B253" w14:textId="77777777" w:rsidR="00F8150C" w:rsidRDefault="00F8150C" w:rsidP="00F8150C">
      <w:pPr>
        <w:pStyle w:val="ListParagraph"/>
        <w:numPr>
          <w:ilvl w:val="0"/>
          <w:numId w:val="7"/>
        </w:numPr>
        <w:rPr>
          <w:sz w:val="26"/>
          <w:szCs w:val="26"/>
        </w:rPr>
      </w:pPr>
      <w:r>
        <w:rPr>
          <w:sz w:val="26"/>
          <w:szCs w:val="26"/>
        </w:rPr>
        <w:t>550 hours/yr. (or 1,650 hrs</w:t>
      </w:r>
      <w:proofErr w:type="gramStart"/>
      <w:r>
        <w:rPr>
          <w:sz w:val="26"/>
          <w:szCs w:val="26"/>
        </w:rPr>
        <w:t>./</w:t>
      </w:r>
      <w:proofErr w:type="gramEnd"/>
      <w:r>
        <w:rPr>
          <w:sz w:val="26"/>
          <w:szCs w:val="26"/>
        </w:rPr>
        <w:t>3 yrs.)</w:t>
      </w:r>
    </w:p>
    <w:p w14:paraId="70640F6A" w14:textId="77777777" w:rsidR="00F8150C" w:rsidRPr="002C70C1" w:rsidRDefault="00F8150C" w:rsidP="00F8150C">
      <w:pPr>
        <w:pStyle w:val="ListParagraph"/>
        <w:numPr>
          <w:ilvl w:val="0"/>
          <w:numId w:val="7"/>
        </w:numPr>
        <w:rPr>
          <w:sz w:val="26"/>
          <w:szCs w:val="26"/>
        </w:rPr>
      </w:pPr>
      <w:r>
        <w:rPr>
          <w:sz w:val="26"/>
          <w:szCs w:val="26"/>
        </w:rPr>
        <w:t>$46,019/yr. (or $138,056/3 yrs.)</w:t>
      </w:r>
    </w:p>
    <w:p w14:paraId="49B039B0" w14:textId="77777777" w:rsidR="00F8150C" w:rsidRPr="00027B22" w:rsidRDefault="00F8150C" w:rsidP="00F8150C">
      <w:pPr>
        <w:rPr>
          <w:szCs w:val="26"/>
        </w:rPr>
      </w:pPr>
      <w:r w:rsidRPr="00B00965">
        <w:rPr>
          <w:szCs w:val="26"/>
        </w:rPr>
        <w:t>Then after Year 3, the FERC-54</w:t>
      </w:r>
      <w:r>
        <w:rPr>
          <w:szCs w:val="26"/>
        </w:rPr>
        <w:t>5A</w:t>
      </w:r>
      <w:r w:rsidRPr="00B00965">
        <w:rPr>
          <w:szCs w:val="26"/>
        </w:rPr>
        <w:t xml:space="preserve"> burden associated with the averaged implementation burden would be removed from the inventory.</w:t>
      </w:r>
    </w:p>
    <w:p w14:paraId="08A1E93C" w14:textId="77777777" w:rsidR="00F8150C" w:rsidRDefault="00F8150C" w:rsidP="00F8150C">
      <w:pPr>
        <w:rPr>
          <w:szCs w:val="26"/>
        </w:rPr>
      </w:pPr>
    </w:p>
    <w:p w14:paraId="467D6389" w14:textId="77777777" w:rsidR="00F8150C" w:rsidRDefault="00F8150C" w:rsidP="00F8150C">
      <w:pPr>
        <w:rPr>
          <w:szCs w:val="26"/>
        </w:rPr>
      </w:pPr>
      <w:r w:rsidRPr="0014601E">
        <w:rPr>
          <w:b/>
          <w:szCs w:val="26"/>
        </w:rPr>
        <w:t xml:space="preserve">FERC-549C.  </w:t>
      </w:r>
      <w:r w:rsidRPr="00B00965">
        <w:rPr>
          <w:szCs w:val="26"/>
        </w:rPr>
        <w:t>For this submittal</w:t>
      </w:r>
      <w:r w:rsidRPr="009C5F46">
        <w:rPr>
          <w:szCs w:val="26"/>
        </w:rPr>
        <w:t>, we are averaging the one-time implementation burden</w:t>
      </w:r>
      <w:r>
        <w:rPr>
          <w:szCs w:val="26"/>
        </w:rPr>
        <w:t xml:space="preserve"> </w:t>
      </w:r>
      <w:r w:rsidRPr="00B00965">
        <w:rPr>
          <w:szCs w:val="26"/>
        </w:rPr>
        <w:t>and cost</w:t>
      </w:r>
      <w:r>
        <w:rPr>
          <w:szCs w:val="26"/>
        </w:rPr>
        <w:t xml:space="preserve"> </w:t>
      </w:r>
      <w:r w:rsidRPr="009C5F46">
        <w:rPr>
          <w:szCs w:val="26"/>
        </w:rPr>
        <w:t xml:space="preserve">over Years 1-3. </w:t>
      </w:r>
      <w:r w:rsidRPr="00B00965">
        <w:rPr>
          <w:szCs w:val="26"/>
        </w:rPr>
        <w:t xml:space="preserve">Using that approach, each of Years 1-3 would impose:  </w:t>
      </w:r>
    </w:p>
    <w:p w14:paraId="53605636" w14:textId="77777777" w:rsidR="00F8150C" w:rsidRPr="000C7503" w:rsidRDefault="00F8150C" w:rsidP="00F8150C">
      <w:pPr>
        <w:pStyle w:val="ListParagraph"/>
        <w:numPr>
          <w:ilvl w:val="0"/>
          <w:numId w:val="8"/>
        </w:numPr>
        <w:rPr>
          <w:sz w:val="26"/>
          <w:szCs w:val="26"/>
        </w:rPr>
      </w:pPr>
      <w:r>
        <w:rPr>
          <w:sz w:val="26"/>
          <w:szCs w:val="26"/>
        </w:rPr>
        <w:t>1,210 hrs</w:t>
      </w:r>
      <w:proofErr w:type="gramStart"/>
      <w:r>
        <w:rPr>
          <w:sz w:val="26"/>
          <w:szCs w:val="26"/>
        </w:rPr>
        <w:t>./</w:t>
      </w:r>
      <w:proofErr w:type="gramEnd"/>
      <w:r>
        <w:rPr>
          <w:sz w:val="26"/>
          <w:szCs w:val="26"/>
        </w:rPr>
        <w:t xml:space="preserve">yr. (or </w:t>
      </w:r>
      <w:r w:rsidRPr="000C7503">
        <w:rPr>
          <w:sz w:val="26"/>
          <w:szCs w:val="26"/>
        </w:rPr>
        <w:t>3,630 hrs.</w:t>
      </w:r>
      <w:r>
        <w:rPr>
          <w:sz w:val="26"/>
          <w:szCs w:val="26"/>
        </w:rPr>
        <w:t>/3 yrs.)</w:t>
      </w:r>
      <w:r w:rsidRPr="000C7503">
        <w:rPr>
          <w:sz w:val="26"/>
          <w:szCs w:val="26"/>
        </w:rPr>
        <w:t xml:space="preserve"> </w:t>
      </w:r>
    </w:p>
    <w:p w14:paraId="31D82E7C" w14:textId="77777777" w:rsidR="00F8150C" w:rsidRPr="000C7503" w:rsidRDefault="00F8150C" w:rsidP="00F8150C">
      <w:pPr>
        <w:pStyle w:val="ListParagraph"/>
        <w:numPr>
          <w:ilvl w:val="0"/>
          <w:numId w:val="8"/>
        </w:numPr>
        <w:rPr>
          <w:sz w:val="26"/>
          <w:szCs w:val="26"/>
        </w:rPr>
      </w:pPr>
      <w:r>
        <w:rPr>
          <w:sz w:val="26"/>
          <w:szCs w:val="26"/>
        </w:rPr>
        <w:t>$101,241/yr. (</w:t>
      </w:r>
      <w:r w:rsidRPr="000C7503">
        <w:rPr>
          <w:sz w:val="26"/>
          <w:szCs w:val="26"/>
        </w:rPr>
        <w:t>$303,722</w:t>
      </w:r>
      <w:r>
        <w:rPr>
          <w:sz w:val="26"/>
          <w:szCs w:val="26"/>
        </w:rPr>
        <w:t>/3 yrs.)</w:t>
      </w:r>
    </w:p>
    <w:p w14:paraId="4D7C0EDB" w14:textId="77777777" w:rsidR="00F8150C" w:rsidRPr="00027B22" w:rsidRDefault="00F8150C" w:rsidP="00F8150C">
      <w:pPr>
        <w:rPr>
          <w:szCs w:val="26"/>
        </w:rPr>
      </w:pPr>
      <w:r w:rsidRPr="00B00965">
        <w:rPr>
          <w:szCs w:val="26"/>
        </w:rPr>
        <w:t>Then after Year 3, the FERC-549C burden associated with the averaged implementation burden would be removed from the inventory.</w:t>
      </w:r>
    </w:p>
    <w:p w14:paraId="2B52D029" w14:textId="77777777" w:rsidR="00F8150C" w:rsidRDefault="00F8150C" w:rsidP="00F8150C">
      <w:pPr>
        <w:rPr>
          <w:b/>
          <w:szCs w:val="26"/>
        </w:rPr>
      </w:pPr>
    </w:p>
    <w:p w14:paraId="23087E40" w14:textId="77777777" w:rsidR="00F8150C" w:rsidRPr="00914CAA" w:rsidRDefault="00F8150C" w:rsidP="00F8150C">
      <w:pPr>
        <w:rPr>
          <w:szCs w:val="26"/>
        </w:rPr>
      </w:pPr>
      <w:r w:rsidRPr="00914CAA">
        <w:rPr>
          <w:szCs w:val="26"/>
        </w:rPr>
        <w:t>See #15</w:t>
      </w:r>
      <w:r>
        <w:rPr>
          <w:szCs w:val="26"/>
        </w:rPr>
        <w:t>, below,</w:t>
      </w:r>
      <w:r w:rsidRPr="00914CAA">
        <w:rPr>
          <w:szCs w:val="26"/>
        </w:rPr>
        <w:t xml:space="preserve"> for </w:t>
      </w:r>
      <w:r>
        <w:rPr>
          <w:szCs w:val="26"/>
        </w:rPr>
        <w:t>an explanation of</w:t>
      </w:r>
      <w:r w:rsidRPr="00914CAA">
        <w:rPr>
          <w:szCs w:val="26"/>
        </w:rPr>
        <w:t xml:space="preserve"> the estimated changes to burden </w:t>
      </w:r>
      <w:r>
        <w:rPr>
          <w:szCs w:val="26"/>
        </w:rPr>
        <w:t>as implemented</w:t>
      </w:r>
      <w:r w:rsidRPr="00914CAA">
        <w:rPr>
          <w:szCs w:val="26"/>
        </w:rPr>
        <w:t xml:space="preserve"> in the </w:t>
      </w:r>
      <w:r>
        <w:rPr>
          <w:szCs w:val="26"/>
        </w:rPr>
        <w:t>Final Rule</w:t>
      </w:r>
      <w:r w:rsidRPr="00914CAA">
        <w:rPr>
          <w:szCs w:val="26"/>
        </w:rPr>
        <w:t xml:space="preserve"> in </w:t>
      </w:r>
      <w:r>
        <w:rPr>
          <w:szCs w:val="26"/>
        </w:rPr>
        <w:t>RM96-1-038.</w:t>
      </w:r>
    </w:p>
    <w:p w14:paraId="17E0306C" w14:textId="77777777" w:rsidR="00BC15BE" w:rsidRPr="003B18DD" w:rsidRDefault="00BC15BE" w:rsidP="00BC15BE">
      <w:pPr>
        <w:rPr>
          <w:szCs w:val="26"/>
        </w:rPr>
      </w:pPr>
    </w:p>
    <w:p w14:paraId="0EAE6A8A" w14:textId="77777777" w:rsidR="00BC15BE" w:rsidRPr="003B18DD" w:rsidRDefault="00BC15BE" w:rsidP="00BC15BE">
      <w:pPr>
        <w:pStyle w:val="Level1"/>
        <w:rPr>
          <w:b/>
          <w:sz w:val="26"/>
          <w:szCs w:val="26"/>
        </w:rPr>
      </w:pPr>
      <w:r w:rsidRPr="003B18DD">
        <w:rPr>
          <w:b/>
          <w:sz w:val="26"/>
          <w:szCs w:val="26"/>
        </w:rPr>
        <w:t>ESTIMATE OF THE TOTAL ANNUAL COST BURDEN TO RESPONDENTS</w:t>
      </w:r>
    </w:p>
    <w:p w14:paraId="5439F8AA" w14:textId="77777777" w:rsidR="00BC15BE" w:rsidRPr="003B18DD" w:rsidRDefault="00BC15BE" w:rsidP="00BC15BE">
      <w:pPr>
        <w:rPr>
          <w:szCs w:val="26"/>
        </w:rPr>
      </w:pPr>
    </w:p>
    <w:p w14:paraId="4F056501" w14:textId="77777777" w:rsidR="00BC15BE" w:rsidRDefault="00F8150C" w:rsidP="00BC15BE">
      <w:pPr>
        <w:rPr>
          <w:szCs w:val="26"/>
        </w:rPr>
      </w:pPr>
      <w:r w:rsidRPr="00231159">
        <w:rPr>
          <w:szCs w:val="26"/>
        </w:rPr>
        <w:t xml:space="preserve">There are no capital or start-up costs </w:t>
      </w:r>
      <w:r>
        <w:rPr>
          <w:szCs w:val="26"/>
        </w:rPr>
        <w:t xml:space="preserve">for the requirements in the Final Rule in RM96-1-038 that are </w:t>
      </w:r>
      <w:r w:rsidRPr="00231159">
        <w:rPr>
          <w:szCs w:val="26"/>
        </w:rPr>
        <w:t>not associated with the burden hours.</w:t>
      </w:r>
      <w:r>
        <w:rPr>
          <w:szCs w:val="26"/>
        </w:rPr>
        <w:t xml:space="preserve">  All of the costs are related to burden hours and are detailed in #12 and #15.</w:t>
      </w:r>
    </w:p>
    <w:p w14:paraId="1D00A9A3" w14:textId="77777777" w:rsidR="00F8150C" w:rsidRPr="003B18DD" w:rsidRDefault="00F8150C" w:rsidP="00BC15BE">
      <w:pPr>
        <w:rPr>
          <w:szCs w:val="26"/>
        </w:rPr>
      </w:pPr>
    </w:p>
    <w:p w14:paraId="3D7896A0" w14:textId="77777777" w:rsidR="00BC15BE" w:rsidRPr="003B18DD" w:rsidRDefault="00BC15BE" w:rsidP="00BC15BE">
      <w:pPr>
        <w:pStyle w:val="Level1"/>
        <w:rPr>
          <w:b/>
          <w:sz w:val="26"/>
          <w:szCs w:val="26"/>
        </w:rPr>
      </w:pPr>
      <w:r w:rsidRPr="003B18DD">
        <w:rPr>
          <w:b/>
          <w:sz w:val="26"/>
          <w:szCs w:val="26"/>
        </w:rPr>
        <w:t>ESTIMATED ANNUALIZED COST TO FEDERAL GOVERNMENT</w:t>
      </w:r>
    </w:p>
    <w:p w14:paraId="56374BBE" w14:textId="77777777" w:rsidR="00BC15BE" w:rsidRPr="003B18DD" w:rsidRDefault="00BC15BE" w:rsidP="00BC15BE">
      <w:pPr>
        <w:rPr>
          <w:szCs w:val="26"/>
        </w:rPr>
      </w:pPr>
    </w:p>
    <w:p w14:paraId="2261AD23" w14:textId="77777777" w:rsidR="003D2136" w:rsidRDefault="003D2136" w:rsidP="003D2136">
      <w:pPr>
        <w:rPr>
          <w:vertAlign w:val="superscript"/>
        </w:rPr>
      </w:pPr>
      <w:r w:rsidRPr="005518EB">
        <w:rPr>
          <w:szCs w:val="26"/>
        </w:rPr>
        <w:t>The following federal cost</w:t>
      </w:r>
      <w:r>
        <w:rPr>
          <w:szCs w:val="26"/>
        </w:rPr>
        <w:t>s</w:t>
      </w:r>
      <w:r w:rsidRPr="005518EB">
        <w:rPr>
          <w:szCs w:val="26"/>
        </w:rPr>
        <w:t xml:space="preserve"> relate only to the new requirements </w:t>
      </w:r>
      <w:r>
        <w:rPr>
          <w:szCs w:val="26"/>
        </w:rPr>
        <w:t>in the Final Rule</w:t>
      </w:r>
      <w:r w:rsidRPr="005518EB">
        <w:rPr>
          <w:szCs w:val="26"/>
        </w:rPr>
        <w:t>.</w:t>
      </w:r>
      <w:r w:rsidRPr="005518EB" w:rsidDel="00807E75">
        <w:rPr>
          <w:vertAlign w:val="superscript"/>
        </w:rPr>
        <w:t xml:space="preserve"> </w:t>
      </w:r>
    </w:p>
    <w:p w14:paraId="183BEDE3" w14:textId="77777777" w:rsidR="002C118D" w:rsidRPr="005518EB" w:rsidRDefault="002C118D" w:rsidP="002C118D">
      <w:pPr>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2C118D" w:rsidRPr="005518EB" w14:paraId="0B6B6C8D" w14:textId="77777777" w:rsidTr="00D7505C">
        <w:tc>
          <w:tcPr>
            <w:tcW w:w="3200" w:type="dxa"/>
            <w:shd w:val="clear" w:color="auto" w:fill="CCCCCC"/>
          </w:tcPr>
          <w:p w14:paraId="4E21CC98" w14:textId="77777777" w:rsidR="002C118D" w:rsidRPr="005518EB" w:rsidRDefault="002C118D" w:rsidP="00D7505C">
            <w:pPr>
              <w:rPr>
                <w:szCs w:val="26"/>
              </w:rPr>
            </w:pPr>
          </w:p>
        </w:tc>
        <w:tc>
          <w:tcPr>
            <w:tcW w:w="3192" w:type="dxa"/>
            <w:shd w:val="clear" w:color="auto" w:fill="CCCCCC"/>
            <w:vAlign w:val="bottom"/>
          </w:tcPr>
          <w:p w14:paraId="01B2C6BA" w14:textId="77777777" w:rsidR="002C118D" w:rsidRPr="005518EB" w:rsidRDefault="002C118D" w:rsidP="00D7505C">
            <w:pPr>
              <w:jc w:val="center"/>
              <w:rPr>
                <w:b/>
                <w:szCs w:val="26"/>
              </w:rPr>
            </w:pPr>
            <w:r w:rsidRPr="005518EB">
              <w:rPr>
                <w:b/>
                <w:szCs w:val="26"/>
              </w:rPr>
              <w:t xml:space="preserve">Number of </w:t>
            </w:r>
            <w:r>
              <w:rPr>
                <w:b/>
                <w:szCs w:val="26"/>
              </w:rPr>
              <w:t>Hours or FTE’s</w:t>
            </w:r>
          </w:p>
        </w:tc>
        <w:tc>
          <w:tcPr>
            <w:tcW w:w="3184" w:type="dxa"/>
            <w:shd w:val="clear" w:color="auto" w:fill="CCCCCC"/>
            <w:vAlign w:val="bottom"/>
          </w:tcPr>
          <w:p w14:paraId="427E8970" w14:textId="77777777" w:rsidR="002C118D" w:rsidRPr="005518EB" w:rsidRDefault="002C118D" w:rsidP="00D7505C">
            <w:pPr>
              <w:jc w:val="center"/>
              <w:rPr>
                <w:b/>
                <w:szCs w:val="26"/>
              </w:rPr>
            </w:pPr>
            <w:r w:rsidRPr="005518EB">
              <w:rPr>
                <w:b/>
                <w:szCs w:val="26"/>
              </w:rPr>
              <w:t>Estimated Annual Federal Cost ($)</w:t>
            </w:r>
            <w:r w:rsidRPr="005518EB">
              <w:rPr>
                <w:szCs w:val="26"/>
                <w:vertAlign w:val="superscript"/>
              </w:rPr>
              <w:footnoteReference w:id="10"/>
            </w:r>
            <w:r>
              <w:rPr>
                <w:b/>
                <w:szCs w:val="26"/>
              </w:rPr>
              <w:t xml:space="preserve"> </w:t>
            </w:r>
          </w:p>
        </w:tc>
      </w:tr>
      <w:tr w:rsidR="002C118D" w:rsidRPr="0014601E" w14:paraId="36A7B0E3" w14:textId="77777777" w:rsidTr="00D7505C">
        <w:tc>
          <w:tcPr>
            <w:tcW w:w="3200" w:type="dxa"/>
          </w:tcPr>
          <w:p w14:paraId="3330260E" w14:textId="77777777" w:rsidR="002C118D" w:rsidRPr="007F1297" w:rsidRDefault="002C118D" w:rsidP="00D7505C">
            <w:pPr>
              <w:rPr>
                <w:szCs w:val="26"/>
              </w:rPr>
            </w:pPr>
            <w:r w:rsidRPr="007F1297">
              <w:rPr>
                <w:szCs w:val="26"/>
              </w:rPr>
              <w:t>PRA</w:t>
            </w:r>
            <w:r w:rsidRPr="007F1297">
              <w:rPr>
                <w:rStyle w:val="FootnoteReference"/>
              </w:rPr>
              <w:footnoteReference w:id="11"/>
            </w:r>
            <w:r w:rsidRPr="007F1297">
              <w:rPr>
                <w:szCs w:val="26"/>
              </w:rPr>
              <w:t xml:space="preserve"> Administration Cost</w:t>
            </w:r>
            <w:r w:rsidRPr="007F1297" w:rsidDel="00B32011">
              <w:rPr>
                <w:szCs w:val="26"/>
              </w:rPr>
              <w:t xml:space="preserve"> </w:t>
            </w:r>
            <w:r w:rsidRPr="00443AA1">
              <w:rPr>
                <w:szCs w:val="26"/>
                <w:vertAlign w:val="superscript"/>
              </w:rPr>
              <w:footnoteReference w:id="12"/>
            </w:r>
          </w:p>
        </w:tc>
        <w:tc>
          <w:tcPr>
            <w:tcW w:w="3192" w:type="dxa"/>
            <w:shd w:val="clear" w:color="auto" w:fill="FFFFFF"/>
            <w:vAlign w:val="bottom"/>
          </w:tcPr>
          <w:p w14:paraId="5930AFD7" w14:textId="77777777" w:rsidR="002C118D" w:rsidRPr="009C5F46" w:rsidRDefault="002C118D" w:rsidP="00D7505C">
            <w:pPr>
              <w:jc w:val="right"/>
              <w:rPr>
                <w:szCs w:val="26"/>
              </w:rPr>
            </w:pPr>
            <w:r w:rsidRPr="009C5F46">
              <w:rPr>
                <w:szCs w:val="26"/>
              </w:rPr>
              <w:t>-</w:t>
            </w:r>
          </w:p>
        </w:tc>
        <w:tc>
          <w:tcPr>
            <w:tcW w:w="3184" w:type="dxa"/>
            <w:vAlign w:val="bottom"/>
          </w:tcPr>
          <w:p w14:paraId="3BD6B342" w14:textId="77777777" w:rsidR="002C118D" w:rsidRPr="007D241B" w:rsidRDefault="002C118D" w:rsidP="00D7505C">
            <w:pPr>
              <w:jc w:val="right"/>
              <w:rPr>
                <w:szCs w:val="26"/>
              </w:rPr>
            </w:pPr>
            <w:r w:rsidRPr="009C5F46">
              <w:rPr>
                <w:szCs w:val="26"/>
              </w:rPr>
              <w:t>$</w:t>
            </w:r>
            <w:r w:rsidRPr="00824E72">
              <w:t xml:space="preserve"> </w:t>
            </w:r>
            <w:r w:rsidRPr="007D241B">
              <w:rPr>
                <w:szCs w:val="26"/>
              </w:rPr>
              <w:t>5,193</w:t>
            </w:r>
          </w:p>
        </w:tc>
      </w:tr>
      <w:tr w:rsidR="002C118D" w:rsidRPr="0014601E" w14:paraId="76FC4C2C" w14:textId="77777777" w:rsidTr="00D7505C">
        <w:tc>
          <w:tcPr>
            <w:tcW w:w="3200" w:type="dxa"/>
            <w:vAlign w:val="bottom"/>
          </w:tcPr>
          <w:p w14:paraId="5A39B9FF" w14:textId="77777777" w:rsidR="002C118D" w:rsidRPr="0014601E" w:rsidRDefault="002C118D" w:rsidP="00D7505C">
            <w:pPr>
              <w:ind w:left="720"/>
              <w:jc w:val="right"/>
              <w:rPr>
                <w:i/>
                <w:szCs w:val="26"/>
              </w:rPr>
            </w:pPr>
            <w:r w:rsidRPr="0014601E">
              <w:rPr>
                <w:szCs w:val="26"/>
              </w:rPr>
              <w:lastRenderedPageBreak/>
              <w:t>Data Processing and Analysis, Sub-Total</w:t>
            </w:r>
            <w:r>
              <w:rPr>
                <w:rStyle w:val="FootnoteReference"/>
              </w:rPr>
              <w:footnoteReference w:id="13"/>
            </w:r>
          </w:p>
        </w:tc>
        <w:tc>
          <w:tcPr>
            <w:tcW w:w="3192" w:type="dxa"/>
            <w:shd w:val="clear" w:color="auto" w:fill="FFFFFF" w:themeFill="background1"/>
            <w:vAlign w:val="bottom"/>
          </w:tcPr>
          <w:p w14:paraId="73A15B0D" w14:textId="77777777" w:rsidR="002C118D" w:rsidRDefault="002C118D" w:rsidP="00D7505C">
            <w:pPr>
              <w:jc w:val="right"/>
            </w:pPr>
            <w:r>
              <w:t>1</w:t>
            </w:r>
            <w:r>
              <w:rPr>
                <w:rStyle w:val="FootnoteReference"/>
              </w:rPr>
              <w:footnoteReference w:id="14"/>
            </w:r>
          </w:p>
        </w:tc>
        <w:tc>
          <w:tcPr>
            <w:tcW w:w="3184" w:type="dxa"/>
            <w:vAlign w:val="bottom"/>
          </w:tcPr>
          <w:p w14:paraId="102F05C0" w14:textId="77777777" w:rsidR="002C118D" w:rsidRPr="00E25CB2" w:rsidDel="00423194" w:rsidRDefault="002C118D" w:rsidP="00D7505C">
            <w:pPr>
              <w:jc w:val="right"/>
            </w:pPr>
            <w:r>
              <w:t>$149,489</w:t>
            </w:r>
          </w:p>
        </w:tc>
      </w:tr>
      <w:tr w:rsidR="002C118D" w:rsidRPr="0014601E" w14:paraId="46C01DA5" w14:textId="77777777" w:rsidTr="00D7505C">
        <w:tc>
          <w:tcPr>
            <w:tcW w:w="3200" w:type="dxa"/>
            <w:vAlign w:val="bottom"/>
          </w:tcPr>
          <w:p w14:paraId="48032161" w14:textId="77777777" w:rsidR="002C118D" w:rsidRPr="0014601E" w:rsidRDefault="002C118D" w:rsidP="00D7505C">
            <w:pPr>
              <w:ind w:left="720"/>
              <w:jc w:val="right"/>
              <w:rPr>
                <w:i/>
                <w:szCs w:val="26"/>
              </w:rPr>
            </w:pPr>
            <w:r w:rsidRPr="0014601E">
              <w:rPr>
                <w:i/>
                <w:szCs w:val="26"/>
              </w:rPr>
              <w:t>FERC-545</w:t>
            </w:r>
          </w:p>
        </w:tc>
        <w:tc>
          <w:tcPr>
            <w:tcW w:w="3192" w:type="dxa"/>
            <w:shd w:val="clear" w:color="auto" w:fill="FFFFFF" w:themeFill="background1"/>
            <w:vAlign w:val="bottom"/>
          </w:tcPr>
          <w:p w14:paraId="3B246792" w14:textId="77777777" w:rsidR="002C118D" w:rsidRPr="0014601E" w:rsidRDefault="002C118D" w:rsidP="00D7505C">
            <w:pPr>
              <w:jc w:val="right"/>
              <w:rPr>
                <w:i/>
                <w:szCs w:val="26"/>
              </w:rPr>
            </w:pPr>
            <w:r>
              <w:t>0.25</w:t>
            </w:r>
          </w:p>
        </w:tc>
        <w:tc>
          <w:tcPr>
            <w:tcW w:w="3184" w:type="dxa"/>
            <w:vAlign w:val="bottom"/>
          </w:tcPr>
          <w:p w14:paraId="7EA62400" w14:textId="77777777" w:rsidR="002C118D" w:rsidRPr="007F1297" w:rsidRDefault="002C118D" w:rsidP="00D7505C">
            <w:pPr>
              <w:jc w:val="right"/>
              <w:rPr>
                <w:i/>
                <w:szCs w:val="26"/>
              </w:rPr>
            </w:pPr>
            <w:r>
              <w:t>$37,372.25</w:t>
            </w:r>
          </w:p>
        </w:tc>
      </w:tr>
      <w:tr w:rsidR="002C118D" w:rsidRPr="0014601E" w14:paraId="723C09D8" w14:textId="77777777" w:rsidTr="00D7505C">
        <w:tc>
          <w:tcPr>
            <w:tcW w:w="3200" w:type="dxa"/>
            <w:vAlign w:val="bottom"/>
          </w:tcPr>
          <w:p w14:paraId="533E1057" w14:textId="77777777" w:rsidR="002C118D" w:rsidRPr="0014601E" w:rsidRDefault="002C118D" w:rsidP="00D7505C">
            <w:pPr>
              <w:ind w:left="720"/>
              <w:jc w:val="right"/>
              <w:rPr>
                <w:i/>
                <w:szCs w:val="26"/>
              </w:rPr>
            </w:pPr>
            <w:r w:rsidRPr="0014601E">
              <w:rPr>
                <w:i/>
                <w:szCs w:val="26"/>
              </w:rPr>
              <w:t>FERC-549C</w:t>
            </w:r>
          </w:p>
        </w:tc>
        <w:tc>
          <w:tcPr>
            <w:tcW w:w="3192" w:type="dxa"/>
            <w:shd w:val="clear" w:color="auto" w:fill="FFFFFF" w:themeFill="background1"/>
            <w:vAlign w:val="bottom"/>
          </w:tcPr>
          <w:p w14:paraId="0F05CBCD" w14:textId="77777777" w:rsidR="002C118D" w:rsidRPr="0014601E" w:rsidRDefault="002C118D" w:rsidP="00D7505C">
            <w:pPr>
              <w:jc w:val="right"/>
              <w:rPr>
                <w:i/>
                <w:szCs w:val="26"/>
              </w:rPr>
            </w:pPr>
            <w:r>
              <w:t>0.75</w:t>
            </w:r>
          </w:p>
        </w:tc>
        <w:tc>
          <w:tcPr>
            <w:tcW w:w="3184" w:type="dxa"/>
            <w:vAlign w:val="bottom"/>
          </w:tcPr>
          <w:p w14:paraId="6C68240D" w14:textId="77777777" w:rsidR="002C118D" w:rsidRPr="007F1297" w:rsidRDefault="002C118D" w:rsidP="00D7505C">
            <w:pPr>
              <w:jc w:val="right"/>
              <w:rPr>
                <w:i/>
                <w:szCs w:val="26"/>
              </w:rPr>
            </w:pPr>
            <w:r>
              <w:t>$112,116.75</w:t>
            </w:r>
          </w:p>
        </w:tc>
      </w:tr>
      <w:tr w:rsidR="002C118D" w:rsidRPr="0014601E" w14:paraId="07068A79" w14:textId="77777777" w:rsidTr="00D7505C">
        <w:tc>
          <w:tcPr>
            <w:tcW w:w="3200" w:type="dxa"/>
          </w:tcPr>
          <w:p w14:paraId="04529EBB" w14:textId="77777777" w:rsidR="002C118D" w:rsidRPr="0014601E" w:rsidRDefault="002C118D" w:rsidP="00D7505C">
            <w:pPr>
              <w:rPr>
                <w:b/>
                <w:szCs w:val="26"/>
              </w:rPr>
            </w:pPr>
            <w:r w:rsidRPr="0014601E">
              <w:rPr>
                <w:b/>
                <w:szCs w:val="26"/>
              </w:rPr>
              <w:t>FERC Total</w:t>
            </w:r>
          </w:p>
        </w:tc>
        <w:tc>
          <w:tcPr>
            <w:tcW w:w="3192" w:type="dxa"/>
            <w:vAlign w:val="bottom"/>
          </w:tcPr>
          <w:p w14:paraId="70A017C4" w14:textId="77777777" w:rsidR="002C118D" w:rsidRPr="0014601E" w:rsidRDefault="002C118D" w:rsidP="00D7505C">
            <w:pPr>
              <w:jc w:val="right"/>
              <w:rPr>
                <w:szCs w:val="26"/>
              </w:rPr>
            </w:pPr>
            <w:r>
              <w:t>1</w:t>
            </w:r>
          </w:p>
        </w:tc>
        <w:tc>
          <w:tcPr>
            <w:tcW w:w="3184" w:type="dxa"/>
            <w:vAlign w:val="bottom"/>
          </w:tcPr>
          <w:p w14:paraId="48BC9E02" w14:textId="77777777" w:rsidR="002C118D" w:rsidRPr="0014601E" w:rsidRDefault="002C118D" w:rsidP="00D7505C">
            <w:pPr>
              <w:jc w:val="right"/>
              <w:rPr>
                <w:szCs w:val="26"/>
              </w:rPr>
            </w:pPr>
            <w:r>
              <w:t>$154,682</w:t>
            </w:r>
          </w:p>
        </w:tc>
      </w:tr>
    </w:tbl>
    <w:p w14:paraId="20FAEBF9" w14:textId="77777777" w:rsidR="00BC15BE" w:rsidRPr="003B18DD" w:rsidRDefault="00BC15BE" w:rsidP="00BC15BE">
      <w:pPr>
        <w:rPr>
          <w:szCs w:val="26"/>
        </w:rPr>
      </w:pPr>
    </w:p>
    <w:p w14:paraId="553B62C8" w14:textId="77777777" w:rsidR="00BC15BE" w:rsidRPr="003B18DD" w:rsidRDefault="00BC15BE" w:rsidP="00BC15BE">
      <w:pPr>
        <w:pStyle w:val="Level1"/>
        <w:rPr>
          <w:b/>
          <w:sz w:val="26"/>
          <w:szCs w:val="26"/>
        </w:rPr>
      </w:pPr>
      <w:r w:rsidRPr="003B18DD">
        <w:rPr>
          <w:b/>
          <w:sz w:val="26"/>
          <w:szCs w:val="26"/>
        </w:rPr>
        <w:t>REASONS FOR CHANGES IN BURDEN INCLUDING THE NEED FOR ANY INCREASE</w:t>
      </w:r>
    </w:p>
    <w:p w14:paraId="62497CC1" w14:textId="77777777" w:rsidR="002C118D" w:rsidRDefault="002C118D" w:rsidP="002C118D">
      <w:pPr>
        <w:rPr>
          <w:b/>
          <w:szCs w:val="26"/>
        </w:rPr>
      </w:pPr>
    </w:p>
    <w:p w14:paraId="3843D9BF" w14:textId="77777777" w:rsidR="002C118D" w:rsidRDefault="002C118D" w:rsidP="002C118D">
      <w:pPr>
        <w:rPr>
          <w:szCs w:val="26"/>
        </w:rPr>
      </w:pPr>
      <w:proofErr w:type="gramStart"/>
      <w:r>
        <w:rPr>
          <w:b/>
          <w:szCs w:val="26"/>
        </w:rPr>
        <w:t>FERC-545</w:t>
      </w:r>
      <w:r w:rsidRPr="00950A39">
        <w:rPr>
          <w:szCs w:val="26"/>
        </w:rPr>
        <w:t>.</w:t>
      </w:r>
      <w:proofErr w:type="gramEnd"/>
      <w:r w:rsidRPr="00950A39">
        <w:rPr>
          <w:szCs w:val="26"/>
        </w:rPr>
        <w:t xml:space="preserve">  The</w:t>
      </w:r>
      <w:r>
        <w:rPr>
          <w:b/>
          <w:szCs w:val="26"/>
        </w:rPr>
        <w:t xml:space="preserve"> </w:t>
      </w:r>
      <w:r w:rsidR="00B83CB7">
        <w:rPr>
          <w:szCs w:val="26"/>
        </w:rPr>
        <w:t xml:space="preserve">Final Rule </w:t>
      </w:r>
      <w:r>
        <w:rPr>
          <w:szCs w:val="26"/>
        </w:rPr>
        <w:t>in RM96-1-038 require</w:t>
      </w:r>
      <w:r w:rsidR="00B83CB7">
        <w:rPr>
          <w:szCs w:val="26"/>
        </w:rPr>
        <w:t>s</w:t>
      </w:r>
      <w:r>
        <w:rPr>
          <w:szCs w:val="26"/>
        </w:rPr>
        <w:t xml:space="preserve"> interstate gas pipelines to make a one-time tariff filing to reflect the changes.</w:t>
      </w:r>
    </w:p>
    <w:p w14:paraId="1E0541DD" w14:textId="77777777" w:rsidR="002C118D" w:rsidRDefault="002C118D" w:rsidP="002C118D">
      <w:pPr>
        <w:ind w:left="720"/>
        <w:rPr>
          <w:szCs w:val="26"/>
        </w:rPr>
      </w:pPr>
    </w:p>
    <w:p w14:paraId="4ABC8E15" w14:textId="77777777" w:rsidR="002C118D" w:rsidRDefault="002C118D" w:rsidP="002C118D">
      <w:pPr>
        <w:rPr>
          <w:szCs w:val="26"/>
        </w:rPr>
      </w:pPr>
      <w:r w:rsidRPr="00644125">
        <w:rPr>
          <w:b/>
          <w:szCs w:val="26"/>
        </w:rPr>
        <w:t xml:space="preserve">FERC-549C.  </w:t>
      </w:r>
      <w:r>
        <w:rPr>
          <w:szCs w:val="26"/>
        </w:rPr>
        <w:t>In the</w:t>
      </w:r>
      <w:r w:rsidRPr="00BE70AC">
        <w:rPr>
          <w:szCs w:val="26"/>
        </w:rPr>
        <w:t xml:space="preserve"> </w:t>
      </w:r>
      <w:r w:rsidR="00B83CB7">
        <w:rPr>
          <w:szCs w:val="26"/>
        </w:rPr>
        <w:t xml:space="preserve">Final Rule </w:t>
      </w:r>
      <w:r>
        <w:rPr>
          <w:szCs w:val="26"/>
        </w:rPr>
        <w:t>in RM96-1-038</w:t>
      </w:r>
      <w:r w:rsidRPr="00BE70AC">
        <w:rPr>
          <w:szCs w:val="26"/>
        </w:rPr>
        <w:t xml:space="preserve">, the Commission is </w:t>
      </w:r>
      <w:r w:rsidR="00B83CB7">
        <w:rPr>
          <w:szCs w:val="26"/>
        </w:rPr>
        <w:t xml:space="preserve">incorporating by reference </w:t>
      </w:r>
      <w:r>
        <w:rPr>
          <w:szCs w:val="26"/>
        </w:rPr>
        <w:t>changes to NAESB</w:t>
      </w:r>
      <w:r w:rsidR="00B83CB7">
        <w:rPr>
          <w:szCs w:val="26"/>
        </w:rPr>
        <w:t>’s earlier</w:t>
      </w:r>
      <w:r>
        <w:rPr>
          <w:szCs w:val="26"/>
        </w:rPr>
        <w:t xml:space="preserve"> standards</w:t>
      </w:r>
      <w:r w:rsidR="00B83CB7">
        <w:rPr>
          <w:szCs w:val="26"/>
        </w:rPr>
        <w:t xml:space="preserve"> applicable to the natural gas industry</w:t>
      </w:r>
      <w:r>
        <w:rPr>
          <w:szCs w:val="26"/>
        </w:rPr>
        <w:t>.</w:t>
      </w:r>
      <w:r w:rsidR="00B83CB7">
        <w:rPr>
          <w:szCs w:val="26"/>
        </w:rPr>
        <w:t xml:space="preserve">  These standards became mandatory enforceable requirements once the Commission took this action.</w:t>
      </w:r>
      <w:r>
        <w:rPr>
          <w:szCs w:val="26"/>
        </w:rPr>
        <w:t xml:space="preserve">  The resulting burden change is</w:t>
      </w:r>
      <w:r w:rsidRPr="00BE70AC">
        <w:rPr>
          <w:szCs w:val="26"/>
        </w:rPr>
        <w:t xml:space="preserve"> </w:t>
      </w:r>
      <w:r>
        <w:rPr>
          <w:szCs w:val="26"/>
        </w:rPr>
        <w:t xml:space="preserve">primarily </w:t>
      </w:r>
      <w:r w:rsidRPr="003F0D2A">
        <w:rPr>
          <w:szCs w:val="26"/>
        </w:rPr>
        <w:t>related to start-up to implement these standards and regulations.</w:t>
      </w:r>
      <w:r>
        <w:rPr>
          <w:szCs w:val="26"/>
        </w:rPr>
        <w:t xml:space="preserve">  The proposed changes include:</w:t>
      </w:r>
    </w:p>
    <w:p w14:paraId="3EA38A74" w14:textId="77777777" w:rsidR="002C118D" w:rsidRDefault="002C118D" w:rsidP="002C118D">
      <w:pPr>
        <w:pStyle w:val="ListParagraph"/>
        <w:numPr>
          <w:ilvl w:val="0"/>
          <w:numId w:val="10"/>
        </w:numPr>
        <w:rPr>
          <w:sz w:val="26"/>
          <w:szCs w:val="26"/>
        </w:rPr>
      </w:pPr>
      <w:r w:rsidRPr="0080741B">
        <w:rPr>
          <w:sz w:val="26"/>
          <w:szCs w:val="26"/>
        </w:rPr>
        <w:t>modify</w:t>
      </w:r>
      <w:r>
        <w:rPr>
          <w:sz w:val="26"/>
          <w:szCs w:val="26"/>
        </w:rPr>
        <w:t>ing</w:t>
      </w:r>
      <w:r w:rsidRPr="0080741B">
        <w:rPr>
          <w:sz w:val="26"/>
          <w:szCs w:val="26"/>
        </w:rPr>
        <w:t xml:space="preserve"> WGQ Standard 4.3.23 to add “Request to Purchase Releasable Capacity” as a subcategory of information contained in a transportation service provider’s information posting website</w:t>
      </w:r>
    </w:p>
    <w:p w14:paraId="23036147" w14:textId="77777777" w:rsidR="002C118D" w:rsidRDefault="002C118D" w:rsidP="002C118D">
      <w:pPr>
        <w:pStyle w:val="ListParagraph"/>
        <w:numPr>
          <w:ilvl w:val="0"/>
          <w:numId w:val="10"/>
        </w:numPr>
        <w:rPr>
          <w:sz w:val="26"/>
          <w:szCs w:val="26"/>
        </w:rPr>
      </w:pPr>
      <w:r w:rsidRPr="0080741B">
        <w:rPr>
          <w:sz w:val="26"/>
          <w:szCs w:val="26"/>
        </w:rPr>
        <w:t>add</w:t>
      </w:r>
      <w:r>
        <w:rPr>
          <w:sz w:val="26"/>
          <w:szCs w:val="26"/>
        </w:rPr>
        <w:t>ing</w:t>
      </w:r>
      <w:r w:rsidRPr="0080741B">
        <w:rPr>
          <w:sz w:val="26"/>
          <w:szCs w:val="26"/>
        </w:rPr>
        <w:t xml:space="preserve"> new WGQ Standard 5.3.73, containing requirements regarding requests to purchase capacity that is releasable</w:t>
      </w:r>
    </w:p>
    <w:p w14:paraId="53B7B22A" w14:textId="77777777" w:rsidR="002C118D" w:rsidRPr="0080741B" w:rsidRDefault="002C118D" w:rsidP="002C118D">
      <w:pPr>
        <w:pStyle w:val="ListParagraph"/>
        <w:numPr>
          <w:ilvl w:val="0"/>
          <w:numId w:val="10"/>
        </w:numPr>
        <w:rPr>
          <w:sz w:val="26"/>
          <w:szCs w:val="26"/>
        </w:rPr>
      </w:pPr>
      <w:r>
        <w:rPr>
          <w:sz w:val="26"/>
          <w:szCs w:val="26"/>
        </w:rPr>
        <w:t>using</w:t>
      </w:r>
      <w:r w:rsidRPr="005E5702">
        <w:rPr>
          <w:sz w:val="26"/>
          <w:szCs w:val="26"/>
        </w:rPr>
        <w:t xml:space="preserve"> proprietary codes to identify the location of points of receipt and delivery</w:t>
      </w:r>
      <w:r>
        <w:rPr>
          <w:sz w:val="26"/>
          <w:szCs w:val="26"/>
        </w:rPr>
        <w:t xml:space="preserve"> and</w:t>
      </w:r>
      <w:r w:rsidRPr="005E5702">
        <w:rPr>
          <w:sz w:val="26"/>
          <w:szCs w:val="26"/>
        </w:rPr>
        <w:t xml:space="preserve"> requir</w:t>
      </w:r>
      <w:r>
        <w:rPr>
          <w:sz w:val="26"/>
          <w:szCs w:val="26"/>
        </w:rPr>
        <w:t>ing</w:t>
      </w:r>
      <w:r w:rsidRPr="005E5702">
        <w:rPr>
          <w:sz w:val="26"/>
          <w:szCs w:val="26"/>
        </w:rPr>
        <w:t xml:space="preserve"> pipelines to post on their websites information on each of the proprietary points </w:t>
      </w:r>
      <w:r>
        <w:rPr>
          <w:sz w:val="26"/>
          <w:szCs w:val="26"/>
        </w:rPr>
        <w:t>(and no longer using</w:t>
      </w:r>
      <w:r w:rsidR="007F3726">
        <w:rPr>
          <w:sz w:val="26"/>
          <w:szCs w:val="26"/>
        </w:rPr>
        <w:t xml:space="preserve"> </w:t>
      </w:r>
      <w:r>
        <w:rPr>
          <w:sz w:val="26"/>
          <w:szCs w:val="26"/>
        </w:rPr>
        <w:t xml:space="preserve">the current common code database which </w:t>
      </w:r>
      <w:r>
        <w:rPr>
          <w:sz w:val="26"/>
          <w:szCs w:val="26"/>
        </w:rPr>
        <w:lastRenderedPageBreak/>
        <w:t xml:space="preserve">industry decided is not worth the expense and effort) </w:t>
      </w:r>
      <w:r w:rsidRPr="005E5702">
        <w:rPr>
          <w:sz w:val="26"/>
          <w:szCs w:val="26"/>
        </w:rPr>
        <w:t xml:space="preserve">that can be used to determine which points are interconnecting points between pipelines </w:t>
      </w:r>
    </w:p>
    <w:p w14:paraId="493AD923" w14:textId="77777777" w:rsidR="002C118D" w:rsidRPr="0080741B" w:rsidRDefault="002C118D" w:rsidP="002C118D">
      <w:pPr>
        <w:pStyle w:val="ListParagraph"/>
        <w:numPr>
          <w:ilvl w:val="0"/>
          <w:numId w:val="9"/>
        </w:numPr>
        <w:rPr>
          <w:sz w:val="26"/>
          <w:szCs w:val="26"/>
        </w:rPr>
      </w:pPr>
      <w:proofErr w:type="gramStart"/>
      <w:r>
        <w:rPr>
          <w:sz w:val="26"/>
          <w:szCs w:val="26"/>
        </w:rPr>
        <w:t>approving</w:t>
      </w:r>
      <w:proofErr w:type="gramEnd"/>
      <w:r>
        <w:rPr>
          <w:sz w:val="26"/>
          <w:szCs w:val="26"/>
        </w:rPr>
        <w:t xml:space="preserve"> </w:t>
      </w:r>
      <w:r w:rsidRPr="001B4C5E">
        <w:rPr>
          <w:sz w:val="26"/>
          <w:szCs w:val="26"/>
        </w:rPr>
        <w:t>NAESB’s approach of separately reporting both “Design Capacity” and “Operating Capacity” as part of the reporting data set</w:t>
      </w:r>
      <w:r>
        <w:rPr>
          <w:sz w:val="26"/>
          <w:szCs w:val="26"/>
        </w:rPr>
        <w:t>,</w:t>
      </w:r>
      <w:r w:rsidRPr="001B4C5E">
        <w:rPr>
          <w:sz w:val="26"/>
          <w:szCs w:val="26"/>
        </w:rPr>
        <w:t xml:space="preserve"> </w:t>
      </w:r>
      <w:r>
        <w:rPr>
          <w:sz w:val="26"/>
          <w:szCs w:val="26"/>
        </w:rPr>
        <w:t>because they are not synonymous and</w:t>
      </w:r>
      <w:r w:rsidRPr="001B4C5E">
        <w:rPr>
          <w:sz w:val="26"/>
          <w:szCs w:val="26"/>
        </w:rPr>
        <w:t xml:space="preserve"> this will provide shippers and the Commission with added information.  Accordingly, the Commission proposes to incorporate by reference revised WGQ Standards 0.3.18, 0.3.20, and 0.3.21, and Dataset 0.4.2, as the revised standards and dataset meet the Commission’s past concerns and no longer conflict with section 284.13(d) of the Commission’s regulations.</w:t>
      </w:r>
    </w:p>
    <w:p w14:paraId="71A8F26C" w14:textId="77777777" w:rsidR="002C118D" w:rsidRPr="00425731" w:rsidRDefault="002C118D" w:rsidP="002C118D">
      <w:pPr>
        <w:rPr>
          <w:b/>
          <w:szCs w:val="26"/>
        </w:rPr>
      </w:pPr>
    </w:p>
    <w:p w14:paraId="796909D9" w14:textId="77777777" w:rsidR="002C118D" w:rsidRDefault="002C118D" w:rsidP="002C118D">
      <w:pPr>
        <w:rPr>
          <w:b/>
          <w:bCs/>
          <w:szCs w:val="26"/>
        </w:rPr>
      </w:pPr>
    </w:p>
    <w:p w14:paraId="4DABCA55" w14:textId="77777777" w:rsidR="002C118D" w:rsidRPr="009D6A25" w:rsidRDefault="002C118D" w:rsidP="002C118D">
      <w:pPr>
        <w:rPr>
          <w:b/>
          <w:szCs w:val="26"/>
        </w:rPr>
      </w:pPr>
      <w:r w:rsidRPr="00425731">
        <w:rPr>
          <w:b/>
          <w:bCs/>
          <w:szCs w:val="26"/>
        </w:rPr>
        <w:t>Summary table</w:t>
      </w:r>
      <w:r w:rsidRPr="009D6A25">
        <w:rPr>
          <w:bCs/>
          <w:szCs w:val="26"/>
        </w:rPr>
        <w:t xml:space="preserve"> of changes to burden hours, with current approved inventory, as listed in ROCIS and reginfo.gov</w:t>
      </w:r>
      <w:r>
        <w:rPr>
          <w:bCs/>
          <w:szCs w:val="26"/>
        </w:rPr>
        <w:t xml:space="preserve"> follow.  (The additional implementation burden due to the </w:t>
      </w:r>
      <w:r w:rsidR="00B83CB7">
        <w:rPr>
          <w:bCs/>
          <w:szCs w:val="26"/>
        </w:rPr>
        <w:t>Final Rule</w:t>
      </w:r>
      <w:r>
        <w:rPr>
          <w:bCs/>
          <w:szCs w:val="26"/>
        </w:rPr>
        <w:t xml:space="preserve"> in RM96-1-038 is being averaged over Years 1-3, as discussed in #12 above.)</w:t>
      </w:r>
    </w:p>
    <w:p w14:paraId="527E0C80" w14:textId="77777777" w:rsidR="002C118D" w:rsidRPr="009D6A25" w:rsidRDefault="002C118D" w:rsidP="002C118D">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C118D" w:rsidRPr="00254D55" w14:paraId="5933FAFD" w14:textId="77777777" w:rsidTr="00D7505C">
        <w:trPr>
          <w:trHeight w:val="870"/>
        </w:trPr>
        <w:tc>
          <w:tcPr>
            <w:tcW w:w="2679" w:type="dxa"/>
            <w:tcBorders>
              <w:bottom w:val="single" w:sz="4" w:space="0" w:color="auto"/>
            </w:tcBorders>
            <w:shd w:val="clear" w:color="auto" w:fill="D9D9D9"/>
            <w:vAlign w:val="bottom"/>
          </w:tcPr>
          <w:p w14:paraId="48B25A60" w14:textId="77777777" w:rsidR="002C118D" w:rsidRPr="00254D55" w:rsidRDefault="002C118D" w:rsidP="00D7505C">
            <w:pPr>
              <w:jc w:val="center"/>
              <w:rPr>
                <w:rFonts w:eastAsia="Calibri"/>
                <w:b/>
                <w:szCs w:val="26"/>
              </w:rPr>
            </w:pPr>
          </w:p>
        </w:tc>
        <w:tc>
          <w:tcPr>
            <w:tcW w:w="1461" w:type="dxa"/>
            <w:tcBorders>
              <w:bottom w:val="single" w:sz="4" w:space="0" w:color="auto"/>
            </w:tcBorders>
            <w:shd w:val="clear" w:color="auto" w:fill="D9D9D9"/>
            <w:vAlign w:val="bottom"/>
          </w:tcPr>
          <w:p w14:paraId="7D41E079" w14:textId="77777777" w:rsidR="002C118D" w:rsidRPr="00254D55" w:rsidRDefault="002C118D" w:rsidP="00D7505C">
            <w:pPr>
              <w:jc w:val="center"/>
              <w:rPr>
                <w:rFonts w:eastAsia="Calibri"/>
                <w:b/>
                <w:szCs w:val="26"/>
              </w:rPr>
            </w:pPr>
            <w:r w:rsidRPr="00254D55">
              <w:rPr>
                <w:rFonts w:eastAsia="Calibri"/>
                <w:b/>
                <w:szCs w:val="26"/>
              </w:rPr>
              <w:t>Total Request</w:t>
            </w:r>
          </w:p>
        </w:tc>
        <w:tc>
          <w:tcPr>
            <w:tcW w:w="1620" w:type="dxa"/>
            <w:tcBorders>
              <w:bottom w:val="single" w:sz="4" w:space="0" w:color="auto"/>
            </w:tcBorders>
            <w:shd w:val="clear" w:color="auto" w:fill="D9D9D9"/>
            <w:vAlign w:val="bottom"/>
          </w:tcPr>
          <w:p w14:paraId="634D8CB9" w14:textId="77777777" w:rsidR="002C118D" w:rsidRPr="00254D55" w:rsidRDefault="002C118D" w:rsidP="00D7505C">
            <w:pPr>
              <w:jc w:val="center"/>
              <w:rPr>
                <w:rFonts w:eastAsia="Calibri"/>
                <w:b/>
                <w:szCs w:val="26"/>
              </w:rPr>
            </w:pPr>
            <w:r w:rsidRPr="00254D55">
              <w:rPr>
                <w:rFonts w:eastAsia="Calibri"/>
                <w:b/>
                <w:szCs w:val="26"/>
              </w:rPr>
              <w:t>Previously Approved</w:t>
            </w:r>
          </w:p>
        </w:tc>
        <w:tc>
          <w:tcPr>
            <w:tcW w:w="1800" w:type="dxa"/>
            <w:tcBorders>
              <w:bottom w:val="single" w:sz="4" w:space="0" w:color="auto"/>
            </w:tcBorders>
            <w:shd w:val="clear" w:color="auto" w:fill="D9D9D9"/>
            <w:vAlign w:val="bottom"/>
          </w:tcPr>
          <w:p w14:paraId="311C7E55" w14:textId="77777777" w:rsidR="002C118D" w:rsidRPr="00254D55" w:rsidRDefault="002C118D" w:rsidP="00D7505C">
            <w:pPr>
              <w:jc w:val="center"/>
              <w:rPr>
                <w:rFonts w:eastAsia="Calibri"/>
                <w:b/>
                <w:szCs w:val="26"/>
              </w:rPr>
            </w:pPr>
            <w:r w:rsidRPr="00254D55">
              <w:rPr>
                <w:rFonts w:eastAsia="Calibri"/>
                <w:b/>
                <w:szCs w:val="26"/>
              </w:rPr>
              <w:t>Change due to Adjustment in Estimate</w:t>
            </w:r>
          </w:p>
        </w:tc>
        <w:tc>
          <w:tcPr>
            <w:tcW w:w="1800" w:type="dxa"/>
            <w:tcBorders>
              <w:bottom w:val="single" w:sz="4" w:space="0" w:color="auto"/>
            </w:tcBorders>
            <w:shd w:val="clear" w:color="auto" w:fill="D9D9D9"/>
            <w:vAlign w:val="bottom"/>
          </w:tcPr>
          <w:p w14:paraId="2D2756A6" w14:textId="77777777" w:rsidR="002C118D" w:rsidRPr="00254D55" w:rsidRDefault="002C118D" w:rsidP="00D7505C">
            <w:pPr>
              <w:jc w:val="center"/>
              <w:rPr>
                <w:rFonts w:eastAsia="Calibri"/>
                <w:b/>
                <w:szCs w:val="26"/>
              </w:rPr>
            </w:pPr>
            <w:r w:rsidRPr="00254D55">
              <w:rPr>
                <w:rFonts w:eastAsia="Calibri"/>
                <w:b/>
                <w:szCs w:val="26"/>
              </w:rPr>
              <w:t>Change Due to Agency Discretion</w:t>
            </w:r>
          </w:p>
        </w:tc>
      </w:tr>
      <w:tr w:rsidR="002C118D" w:rsidRPr="00254D55" w14:paraId="78E46AC4" w14:textId="77777777" w:rsidTr="00D7505C">
        <w:trPr>
          <w:trHeight w:val="431"/>
        </w:trPr>
        <w:tc>
          <w:tcPr>
            <w:tcW w:w="9360" w:type="dxa"/>
            <w:gridSpan w:val="5"/>
            <w:shd w:val="clear" w:color="auto" w:fill="C6D9F1" w:themeFill="text2" w:themeFillTint="33"/>
            <w:vAlign w:val="bottom"/>
          </w:tcPr>
          <w:p w14:paraId="3A30B033" w14:textId="77777777" w:rsidR="002C118D" w:rsidRPr="00C75C08" w:rsidRDefault="002C118D" w:rsidP="00D7505C">
            <w:pPr>
              <w:jc w:val="center"/>
              <w:rPr>
                <w:b/>
                <w:bCs/>
                <w:szCs w:val="26"/>
              </w:rPr>
            </w:pPr>
            <w:r>
              <w:rPr>
                <w:b/>
                <w:bCs/>
                <w:szCs w:val="26"/>
              </w:rPr>
              <w:t>FERC-545A</w:t>
            </w:r>
          </w:p>
        </w:tc>
      </w:tr>
      <w:tr w:rsidR="002C118D" w:rsidRPr="00254D55" w14:paraId="420C7837" w14:textId="77777777" w:rsidTr="00D7505C">
        <w:trPr>
          <w:trHeight w:val="591"/>
        </w:trPr>
        <w:tc>
          <w:tcPr>
            <w:tcW w:w="2679" w:type="dxa"/>
            <w:shd w:val="clear" w:color="auto" w:fill="auto"/>
          </w:tcPr>
          <w:p w14:paraId="6DE0E407" w14:textId="77777777" w:rsidR="002C118D" w:rsidRPr="00254D55" w:rsidRDefault="002C118D" w:rsidP="00D7505C">
            <w:pPr>
              <w:jc w:val="center"/>
              <w:rPr>
                <w:rFonts w:eastAsia="Calibri"/>
                <w:szCs w:val="26"/>
              </w:rPr>
            </w:pPr>
            <w:r w:rsidRPr="00254D55">
              <w:rPr>
                <w:rFonts w:eastAsia="Calibri"/>
                <w:szCs w:val="26"/>
              </w:rPr>
              <w:t>Annual Number of Responses</w:t>
            </w:r>
          </w:p>
        </w:tc>
        <w:tc>
          <w:tcPr>
            <w:tcW w:w="1461" w:type="dxa"/>
            <w:shd w:val="clear" w:color="auto" w:fill="auto"/>
            <w:vAlign w:val="bottom"/>
          </w:tcPr>
          <w:p w14:paraId="6798BFED" w14:textId="77777777" w:rsidR="002C118D" w:rsidRPr="006923C8" w:rsidRDefault="002C118D" w:rsidP="00D7505C">
            <w:pPr>
              <w:jc w:val="right"/>
              <w:rPr>
                <w:rFonts w:eastAsia="Calibri"/>
                <w:szCs w:val="26"/>
              </w:rPr>
            </w:pPr>
            <w:r w:rsidRPr="006923C8">
              <w:rPr>
                <w:rFonts w:eastAsia="Calibri"/>
                <w:szCs w:val="26"/>
              </w:rPr>
              <w:t>165</w:t>
            </w:r>
          </w:p>
        </w:tc>
        <w:tc>
          <w:tcPr>
            <w:tcW w:w="1620" w:type="dxa"/>
            <w:shd w:val="clear" w:color="auto" w:fill="auto"/>
            <w:vAlign w:val="bottom"/>
          </w:tcPr>
          <w:p w14:paraId="6A07C9C7" w14:textId="77777777" w:rsidR="002C118D" w:rsidRPr="006923C8" w:rsidRDefault="002C118D" w:rsidP="00D7505C">
            <w:pPr>
              <w:jc w:val="right"/>
              <w:rPr>
                <w:rFonts w:eastAsia="Calibri"/>
                <w:szCs w:val="26"/>
              </w:rPr>
            </w:pPr>
            <w:r w:rsidRPr="006923C8">
              <w:rPr>
                <w:rFonts w:eastAsia="Calibri"/>
                <w:szCs w:val="26"/>
              </w:rPr>
              <w:t>0</w:t>
            </w:r>
          </w:p>
        </w:tc>
        <w:tc>
          <w:tcPr>
            <w:tcW w:w="1800" w:type="dxa"/>
            <w:shd w:val="clear" w:color="auto" w:fill="auto"/>
            <w:vAlign w:val="bottom"/>
          </w:tcPr>
          <w:p w14:paraId="47D4B999" w14:textId="77777777" w:rsidR="002C118D" w:rsidRPr="006923C8" w:rsidRDefault="002C118D" w:rsidP="00D7505C">
            <w:pPr>
              <w:jc w:val="right"/>
              <w:rPr>
                <w:rFonts w:eastAsia="Calibri"/>
                <w:szCs w:val="26"/>
              </w:rPr>
            </w:pPr>
            <w:r w:rsidRPr="006923C8">
              <w:rPr>
                <w:rFonts w:eastAsia="Calibri"/>
                <w:szCs w:val="26"/>
              </w:rPr>
              <w:t>0</w:t>
            </w:r>
          </w:p>
        </w:tc>
        <w:tc>
          <w:tcPr>
            <w:tcW w:w="1800" w:type="dxa"/>
            <w:shd w:val="clear" w:color="auto" w:fill="auto"/>
            <w:vAlign w:val="bottom"/>
          </w:tcPr>
          <w:p w14:paraId="46E10869" w14:textId="77777777" w:rsidR="002C118D" w:rsidRPr="006923C8" w:rsidRDefault="002C118D" w:rsidP="00D7505C">
            <w:pPr>
              <w:jc w:val="right"/>
              <w:rPr>
                <w:rFonts w:eastAsia="Calibri"/>
                <w:szCs w:val="26"/>
              </w:rPr>
            </w:pPr>
            <w:r w:rsidRPr="006923C8">
              <w:rPr>
                <w:rFonts w:eastAsia="Calibri"/>
                <w:szCs w:val="26"/>
              </w:rPr>
              <w:t>+165</w:t>
            </w:r>
          </w:p>
        </w:tc>
      </w:tr>
      <w:tr w:rsidR="002C118D" w:rsidRPr="00254D55" w14:paraId="04164A0A" w14:textId="77777777" w:rsidTr="00D7505C">
        <w:trPr>
          <w:trHeight w:val="575"/>
        </w:trPr>
        <w:tc>
          <w:tcPr>
            <w:tcW w:w="2679" w:type="dxa"/>
            <w:shd w:val="clear" w:color="auto" w:fill="auto"/>
          </w:tcPr>
          <w:p w14:paraId="736CA82D" w14:textId="77777777" w:rsidR="002C118D" w:rsidRPr="00254D55" w:rsidRDefault="002C118D" w:rsidP="00D7505C">
            <w:pPr>
              <w:jc w:val="center"/>
              <w:rPr>
                <w:rFonts w:eastAsia="Calibri"/>
                <w:szCs w:val="26"/>
              </w:rPr>
            </w:pPr>
            <w:r w:rsidRPr="00254D55">
              <w:rPr>
                <w:rFonts w:eastAsia="Calibri"/>
                <w:szCs w:val="26"/>
              </w:rPr>
              <w:t>Annual Time Burden (Hr.)</w:t>
            </w:r>
          </w:p>
        </w:tc>
        <w:tc>
          <w:tcPr>
            <w:tcW w:w="1461" w:type="dxa"/>
            <w:shd w:val="clear" w:color="auto" w:fill="auto"/>
            <w:vAlign w:val="bottom"/>
          </w:tcPr>
          <w:p w14:paraId="2A7CAA27" w14:textId="77777777" w:rsidR="002C118D" w:rsidRPr="006923C8" w:rsidRDefault="002C118D" w:rsidP="00D7505C">
            <w:pPr>
              <w:jc w:val="right"/>
              <w:rPr>
                <w:rFonts w:eastAsia="Calibri"/>
                <w:szCs w:val="26"/>
              </w:rPr>
            </w:pPr>
            <w:r w:rsidRPr="006923C8">
              <w:rPr>
                <w:rFonts w:eastAsia="Calibri"/>
                <w:szCs w:val="26"/>
              </w:rPr>
              <w:t>550</w:t>
            </w:r>
          </w:p>
        </w:tc>
        <w:tc>
          <w:tcPr>
            <w:tcW w:w="1620" w:type="dxa"/>
            <w:shd w:val="clear" w:color="auto" w:fill="auto"/>
            <w:vAlign w:val="bottom"/>
          </w:tcPr>
          <w:p w14:paraId="0B9871EA" w14:textId="77777777" w:rsidR="002C118D" w:rsidRPr="006923C8" w:rsidRDefault="002C118D" w:rsidP="00D7505C">
            <w:pPr>
              <w:jc w:val="right"/>
              <w:rPr>
                <w:rFonts w:eastAsia="Calibri"/>
                <w:szCs w:val="26"/>
              </w:rPr>
            </w:pPr>
            <w:r w:rsidRPr="006923C8">
              <w:rPr>
                <w:rFonts w:eastAsia="Calibri"/>
                <w:szCs w:val="26"/>
              </w:rPr>
              <w:t>0</w:t>
            </w:r>
          </w:p>
        </w:tc>
        <w:tc>
          <w:tcPr>
            <w:tcW w:w="1800" w:type="dxa"/>
            <w:shd w:val="clear" w:color="auto" w:fill="auto"/>
            <w:vAlign w:val="bottom"/>
          </w:tcPr>
          <w:p w14:paraId="7256C604" w14:textId="77777777" w:rsidR="002C118D" w:rsidRPr="006923C8" w:rsidRDefault="002C118D" w:rsidP="00D7505C">
            <w:pPr>
              <w:jc w:val="right"/>
              <w:rPr>
                <w:rFonts w:eastAsia="Calibri"/>
                <w:szCs w:val="26"/>
              </w:rPr>
            </w:pPr>
            <w:r w:rsidRPr="006923C8">
              <w:rPr>
                <w:rFonts w:eastAsia="Calibri"/>
                <w:szCs w:val="26"/>
              </w:rPr>
              <w:t>0</w:t>
            </w:r>
          </w:p>
        </w:tc>
        <w:tc>
          <w:tcPr>
            <w:tcW w:w="1800" w:type="dxa"/>
            <w:shd w:val="clear" w:color="auto" w:fill="auto"/>
            <w:vAlign w:val="bottom"/>
          </w:tcPr>
          <w:p w14:paraId="05F78782" w14:textId="77777777" w:rsidR="002C118D" w:rsidRPr="006923C8" w:rsidRDefault="002C118D" w:rsidP="00D7505C">
            <w:pPr>
              <w:jc w:val="right"/>
              <w:rPr>
                <w:rFonts w:eastAsia="Calibri"/>
                <w:szCs w:val="26"/>
              </w:rPr>
            </w:pPr>
            <w:r w:rsidRPr="006923C8">
              <w:rPr>
                <w:rFonts w:eastAsia="Calibri"/>
                <w:szCs w:val="26"/>
              </w:rPr>
              <w:t>+550</w:t>
            </w:r>
          </w:p>
        </w:tc>
      </w:tr>
      <w:tr w:rsidR="002C118D" w:rsidRPr="00254D55" w14:paraId="5B108C7E" w14:textId="77777777" w:rsidTr="00D7505C">
        <w:trPr>
          <w:trHeight w:val="295"/>
        </w:trPr>
        <w:tc>
          <w:tcPr>
            <w:tcW w:w="2679" w:type="dxa"/>
            <w:tcBorders>
              <w:bottom w:val="single" w:sz="4" w:space="0" w:color="auto"/>
            </w:tcBorders>
            <w:shd w:val="clear" w:color="auto" w:fill="auto"/>
          </w:tcPr>
          <w:p w14:paraId="662323DE" w14:textId="77777777" w:rsidR="002C118D" w:rsidRPr="00254D55" w:rsidRDefault="002C118D" w:rsidP="00D7505C">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6D23EB5D" w14:textId="77777777" w:rsidR="002C118D" w:rsidRPr="00254D55" w:rsidRDefault="002C118D" w:rsidP="00D7505C">
            <w:pPr>
              <w:jc w:val="right"/>
              <w:rPr>
                <w:rFonts w:eastAsia="Calibri"/>
                <w:szCs w:val="26"/>
                <w:highlight w:val="yellow"/>
              </w:rPr>
            </w:pPr>
            <w:r w:rsidRPr="00A55F2D">
              <w:rPr>
                <w:rFonts w:eastAsia="Calibri"/>
                <w:szCs w:val="26"/>
              </w:rPr>
              <w:t>$0</w:t>
            </w:r>
          </w:p>
        </w:tc>
        <w:tc>
          <w:tcPr>
            <w:tcW w:w="1620" w:type="dxa"/>
            <w:tcBorders>
              <w:bottom w:val="single" w:sz="4" w:space="0" w:color="auto"/>
            </w:tcBorders>
            <w:shd w:val="clear" w:color="auto" w:fill="auto"/>
            <w:vAlign w:val="bottom"/>
          </w:tcPr>
          <w:p w14:paraId="16094852" w14:textId="77777777" w:rsidR="002C118D" w:rsidRPr="00254D55" w:rsidRDefault="002C118D" w:rsidP="00D7505C">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7D283D17" w14:textId="77777777" w:rsidR="002C118D" w:rsidRPr="00254D55" w:rsidRDefault="002C118D" w:rsidP="00D7505C">
            <w:pPr>
              <w:jc w:val="right"/>
              <w:rPr>
                <w:rFonts w:eastAsia="Calibri"/>
                <w:szCs w:val="26"/>
              </w:rPr>
            </w:pPr>
            <w:r w:rsidRPr="00A55F2D">
              <w:rPr>
                <w:rFonts w:eastAsia="Calibri"/>
                <w:szCs w:val="26"/>
              </w:rPr>
              <w:t>$0</w:t>
            </w:r>
          </w:p>
        </w:tc>
        <w:tc>
          <w:tcPr>
            <w:tcW w:w="1800" w:type="dxa"/>
            <w:tcBorders>
              <w:bottom w:val="single" w:sz="4" w:space="0" w:color="auto"/>
            </w:tcBorders>
            <w:shd w:val="clear" w:color="auto" w:fill="auto"/>
            <w:vAlign w:val="bottom"/>
          </w:tcPr>
          <w:p w14:paraId="0BBC8A41" w14:textId="77777777" w:rsidR="002C118D" w:rsidRPr="00254D55" w:rsidRDefault="002C118D" w:rsidP="00D7505C">
            <w:pPr>
              <w:jc w:val="right"/>
              <w:rPr>
                <w:rFonts w:eastAsia="Calibri"/>
                <w:szCs w:val="26"/>
              </w:rPr>
            </w:pPr>
            <w:r w:rsidRPr="00A55F2D">
              <w:rPr>
                <w:rFonts w:eastAsia="Calibri"/>
                <w:szCs w:val="26"/>
              </w:rPr>
              <w:t>$0</w:t>
            </w:r>
          </w:p>
        </w:tc>
      </w:tr>
      <w:tr w:rsidR="002C118D" w:rsidRPr="00254D55" w14:paraId="5B649E8D" w14:textId="77777777" w:rsidTr="00D7505C">
        <w:trPr>
          <w:trHeight w:val="295"/>
        </w:trPr>
        <w:tc>
          <w:tcPr>
            <w:tcW w:w="9360" w:type="dxa"/>
            <w:gridSpan w:val="5"/>
            <w:tcBorders>
              <w:bottom w:val="single" w:sz="4" w:space="0" w:color="auto"/>
            </w:tcBorders>
            <w:shd w:val="clear" w:color="auto" w:fill="C6D9F1" w:themeFill="text2" w:themeFillTint="33"/>
            <w:vAlign w:val="bottom"/>
          </w:tcPr>
          <w:p w14:paraId="24EAB669" w14:textId="77777777" w:rsidR="002C118D" w:rsidRPr="00C75C08" w:rsidRDefault="002C118D" w:rsidP="00D7505C">
            <w:pPr>
              <w:jc w:val="center"/>
              <w:rPr>
                <w:rFonts w:eastAsia="Calibri"/>
                <w:b/>
                <w:szCs w:val="26"/>
              </w:rPr>
            </w:pPr>
            <w:r>
              <w:rPr>
                <w:rFonts w:eastAsia="Calibri"/>
                <w:b/>
                <w:szCs w:val="26"/>
              </w:rPr>
              <w:t>FERC-549C</w:t>
            </w:r>
          </w:p>
        </w:tc>
      </w:tr>
      <w:tr w:rsidR="002C118D" w:rsidRPr="00254D55" w14:paraId="3BA2AFAE" w14:textId="77777777" w:rsidTr="00D7505C">
        <w:trPr>
          <w:trHeight w:val="295"/>
        </w:trPr>
        <w:tc>
          <w:tcPr>
            <w:tcW w:w="2679" w:type="dxa"/>
            <w:tcBorders>
              <w:bottom w:val="single" w:sz="4" w:space="0" w:color="auto"/>
            </w:tcBorders>
            <w:shd w:val="clear" w:color="auto" w:fill="auto"/>
          </w:tcPr>
          <w:p w14:paraId="3E238135" w14:textId="77777777" w:rsidR="002C118D" w:rsidRPr="00117A4E" w:rsidRDefault="002C118D" w:rsidP="00D7505C">
            <w:pPr>
              <w:jc w:val="center"/>
              <w:rPr>
                <w:rFonts w:eastAsia="Calibri"/>
                <w:szCs w:val="26"/>
              </w:rPr>
            </w:pPr>
            <w:r w:rsidRPr="00117A4E">
              <w:rPr>
                <w:rFonts w:eastAsia="Calibri"/>
                <w:szCs w:val="26"/>
              </w:rPr>
              <w:t>Annual Number of Responses</w:t>
            </w:r>
          </w:p>
        </w:tc>
        <w:tc>
          <w:tcPr>
            <w:tcW w:w="1461" w:type="dxa"/>
            <w:tcBorders>
              <w:bottom w:val="single" w:sz="4" w:space="0" w:color="auto"/>
            </w:tcBorders>
            <w:shd w:val="clear" w:color="auto" w:fill="auto"/>
            <w:vAlign w:val="bottom"/>
          </w:tcPr>
          <w:p w14:paraId="73209D00" w14:textId="77777777" w:rsidR="002C118D" w:rsidRPr="00425731" w:rsidRDefault="002C118D" w:rsidP="00D7505C">
            <w:pPr>
              <w:jc w:val="right"/>
              <w:rPr>
                <w:rFonts w:eastAsia="Calibri"/>
                <w:szCs w:val="26"/>
              </w:rPr>
            </w:pPr>
            <w:r>
              <w:rPr>
                <w:rFonts w:eastAsia="Calibri"/>
                <w:szCs w:val="26"/>
              </w:rPr>
              <w:t>656</w:t>
            </w:r>
          </w:p>
        </w:tc>
        <w:tc>
          <w:tcPr>
            <w:tcW w:w="1620" w:type="dxa"/>
            <w:tcBorders>
              <w:bottom w:val="single" w:sz="4" w:space="0" w:color="auto"/>
            </w:tcBorders>
            <w:shd w:val="clear" w:color="auto" w:fill="auto"/>
            <w:vAlign w:val="bottom"/>
          </w:tcPr>
          <w:p w14:paraId="45340588" w14:textId="77777777" w:rsidR="002C118D" w:rsidRPr="00425731" w:rsidRDefault="002C118D" w:rsidP="00D7505C">
            <w:pPr>
              <w:jc w:val="right"/>
              <w:rPr>
                <w:rFonts w:eastAsia="Calibri"/>
                <w:szCs w:val="26"/>
              </w:rPr>
            </w:pPr>
            <w:r w:rsidRPr="00755904">
              <w:rPr>
                <w:rFonts w:eastAsia="Calibri"/>
                <w:szCs w:val="26"/>
              </w:rPr>
              <w:t>491</w:t>
            </w:r>
          </w:p>
        </w:tc>
        <w:tc>
          <w:tcPr>
            <w:tcW w:w="1800" w:type="dxa"/>
            <w:tcBorders>
              <w:bottom w:val="single" w:sz="4" w:space="0" w:color="auto"/>
            </w:tcBorders>
            <w:shd w:val="clear" w:color="auto" w:fill="auto"/>
            <w:vAlign w:val="bottom"/>
          </w:tcPr>
          <w:p w14:paraId="77C507E5" w14:textId="77777777" w:rsidR="002C118D" w:rsidRPr="00425731" w:rsidRDefault="002C118D" w:rsidP="00D7505C">
            <w:pPr>
              <w:jc w:val="right"/>
              <w:rPr>
                <w:rFonts w:eastAsia="Calibri"/>
                <w:szCs w:val="26"/>
              </w:rPr>
            </w:pPr>
            <w:r w:rsidRPr="00425731">
              <w:rPr>
                <w:rFonts w:eastAsia="Calibri"/>
                <w:szCs w:val="26"/>
              </w:rPr>
              <w:t>0</w:t>
            </w:r>
          </w:p>
        </w:tc>
        <w:tc>
          <w:tcPr>
            <w:tcW w:w="1800" w:type="dxa"/>
            <w:tcBorders>
              <w:bottom w:val="single" w:sz="4" w:space="0" w:color="auto"/>
            </w:tcBorders>
            <w:shd w:val="clear" w:color="auto" w:fill="auto"/>
            <w:vAlign w:val="bottom"/>
          </w:tcPr>
          <w:p w14:paraId="5CCCE60F" w14:textId="77777777" w:rsidR="002C118D" w:rsidRPr="00425731" w:rsidRDefault="002C118D" w:rsidP="00D7505C">
            <w:pPr>
              <w:jc w:val="right"/>
              <w:rPr>
                <w:rFonts w:eastAsia="Calibri"/>
                <w:szCs w:val="26"/>
              </w:rPr>
            </w:pPr>
            <w:r w:rsidRPr="00425731">
              <w:rPr>
                <w:rFonts w:eastAsia="Calibri"/>
                <w:szCs w:val="26"/>
              </w:rPr>
              <w:t>+</w:t>
            </w:r>
            <w:r>
              <w:rPr>
                <w:rFonts w:eastAsia="Calibri"/>
                <w:szCs w:val="26"/>
              </w:rPr>
              <w:t>165</w:t>
            </w:r>
          </w:p>
        </w:tc>
      </w:tr>
      <w:tr w:rsidR="002C118D" w:rsidRPr="006923C8" w14:paraId="6473DFF9" w14:textId="77777777" w:rsidTr="00D7505C">
        <w:trPr>
          <w:trHeight w:val="295"/>
        </w:trPr>
        <w:tc>
          <w:tcPr>
            <w:tcW w:w="2679" w:type="dxa"/>
            <w:tcBorders>
              <w:bottom w:val="single" w:sz="4" w:space="0" w:color="auto"/>
            </w:tcBorders>
            <w:shd w:val="clear" w:color="auto" w:fill="auto"/>
          </w:tcPr>
          <w:p w14:paraId="6B3A8511" w14:textId="77777777" w:rsidR="002C118D" w:rsidRPr="00254D55" w:rsidRDefault="002C118D" w:rsidP="00D7505C">
            <w:pPr>
              <w:jc w:val="center"/>
              <w:rPr>
                <w:rFonts w:eastAsia="Calibri"/>
                <w:szCs w:val="26"/>
              </w:rPr>
            </w:pPr>
            <w:r w:rsidRPr="00254D55">
              <w:rPr>
                <w:rFonts w:eastAsia="Calibri"/>
                <w:szCs w:val="26"/>
              </w:rPr>
              <w:t>Annual Time Burden (Hr.)</w:t>
            </w:r>
            <w:r w:rsidRPr="00254D55">
              <w:rPr>
                <w:rStyle w:val="FootnoteReference"/>
                <w:rFonts w:eastAsia="Calibri"/>
              </w:rPr>
              <w:footnoteReference w:id="15"/>
            </w:r>
          </w:p>
        </w:tc>
        <w:tc>
          <w:tcPr>
            <w:tcW w:w="1461" w:type="dxa"/>
            <w:tcBorders>
              <w:bottom w:val="single" w:sz="4" w:space="0" w:color="auto"/>
            </w:tcBorders>
            <w:shd w:val="clear" w:color="auto" w:fill="auto"/>
            <w:vAlign w:val="bottom"/>
          </w:tcPr>
          <w:p w14:paraId="3F0FDBBB" w14:textId="77777777" w:rsidR="002C118D" w:rsidRPr="001F374E" w:rsidRDefault="002C118D" w:rsidP="00D7505C">
            <w:pPr>
              <w:jc w:val="right"/>
              <w:rPr>
                <w:bCs/>
                <w:szCs w:val="26"/>
              </w:rPr>
            </w:pPr>
            <w:r>
              <w:rPr>
                <w:szCs w:val="26"/>
              </w:rPr>
              <w:t>59,013</w:t>
            </w:r>
          </w:p>
        </w:tc>
        <w:tc>
          <w:tcPr>
            <w:tcW w:w="1620" w:type="dxa"/>
            <w:tcBorders>
              <w:bottom w:val="single" w:sz="4" w:space="0" w:color="auto"/>
            </w:tcBorders>
            <w:shd w:val="clear" w:color="auto" w:fill="auto"/>
            <w:vAlign w:val="bottom"/>
          </w:tcPr>
          <w:p w14:paraId="5E6D66D4" w14:textId="77777777" w:rsidR="002C118D" w:rsidRPr="00254D55" w:rsidRDefault="002C118D" w:rsidP="00D7505C">
            <w:pPr>
              <w:jc w:val="right"/>
              <w:rPr>
                <w:rFonts w:eastAsia="Calibri"/>
                <w:szCs w:val="26"/>
              </w:rPr>
            </w:pPr>
            <w:r w:rsidRPr="00755904">
              <w:rPr>
                <w:rFonts w:eastAsia="Calibri"/>
                <w:szCs w:val="26"/>
              </w:rPr>
              <w:t>57,803</w:t>
            </w:r>
          </w:p>
        </w:tc>
        <w:tc>
          <w:tcPr>
            <w:tcW w:w="1800" w:type="dxa"/>
            <w:tcBorders>
              <w:bottom w:val="single" w:sz="4" w:space="0" w:color="auto"/>
            </w:tcBorders>
            <w:shd w:val="clear" w:color="auto" w:fill="auto"/>
            <w:vAlign w:val="bottom"/>
          </w:tcPr>
          <w:p w14:paraId="260EC150" w14:textId="77777777" w:rsidR="002C118D" w:rsidRPr="00254D55" w:rsidRDefault="002C118D" w:rsidP="00D7505C">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1F1ADBED" w14:textId="77777777" w:rsidR="002C118D" w:rsidRPr="006923C8" w:rsidRDefault="002C118D" w:rsidP="00D7505C">
            <w:pPr>
              <w:jc w:val="right"/>
              <w:rPr>
                <w:bCs/>
                <w:szCs w:val="26"/>
              </w:rPr>
            </w:pPr>
            <w:r w:rsidRPr="006923C8">
              <w:rPr>
                <w:bCs/>
                <w:szCs w:val="26"/>
              </w:rPr>
              <w:t>+1,210</w:t>
            </w:r>
          </w:p>
        </w:tc>
      </w:tr>
      <w:tr w:rsidR="002C118D" w:rsidRPr="00254D55" w14:paraId="575250F6" w14:textId="77777777" w:rsidTr="00D7505C">
        <w:trPr>
          <w:trHeight w:val="295"/>
        </w:trPr>
        <w:tc>
          <w:tcPr>
            <w:tcW w:w="2679" w:type="dxa"/>
            <w:tcBorders>
              <w:bottom w:val="single" w:sz="4" w:space="0" w:color="auto"/>
            </w:tcBorders>
            <w:shd w:val="clear" w:color="auto" w:fill="auto"/>
          </w:tcPr>
          <w:p w14:paraId="4C643B3B" w14:textId="77777777" w:rsidR="002C118D" w:rsidRPr="00254D55" w:rsidRDefault="002C118D" w:rsidP="00D7505C">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3C41363A" w14:textId="77777777" w:rsidR="002C118D" w:rsidRPr="00254D55" w:rsidRDefault="002C118D" w:rsidP="00D7505C">
            <w:pPr>
              <w:jc w:val="right"/>
              <w:rPr>
                <w:rFonts w:eastAsia="Calibri"/>
                <w:szCs w:val="26"/>
              </w:rPr>
            </w:pPr>
            <w:r w:rsidRPr="00B325A1">
              <w:t>$0</w:t>
            </w:r>
          </w:p>
        </w:tc>
        <w:tc>
          <w:tcPr>
            <w:tcW w:w="1620" w:type="dxa"/>
            <w:tcBorders>
              <w:bottom w:val="single" w:sz="4" w:space="0" w:color="auto"/>
            </w:tcBorders>
            <w:shd w:val="clear" w:color="auto" w:fill="auto"/>
            <w:vAlign w:val="bottom"/>
          </w:tcPr>
          <w:p w14:paraId="2CCA2936" w14:textId="77777777" w:rsidR="002C118D" w:rsidRPr="00254D55" w:rsidRDefault="002C118D" w:rsidP="00D7505C">
            <w:pPr>
              <w:jc w:val="right"/>
              <w:rPr>
                <w:rFonts w:eastAsia="Calibri"/>
                <w:szCs w:val="26"/>
              </w:rPr>
            </w:pPr>
            <w:r w:rsidRPr="00B325A1">
              <w:t>$0</w:t>
            </w:r>
          </w:p>
        </w:tc>
        <w:tc>
          <w:tcPr>
            <w:tcW w:w="1800" w:type="dxa"/>
            <w:tcBorders>
              <w:bottom w:val="single" w:sz="4" w:space="0" w:color="auto"/>
            </w:tcBorders>
            <w:shd w:val="clear" w:color="auto" w:fill="auto"/>
            <w:vAlign w:val="bottom"/>
          </w:tcPr>
          <w:p w14:paraId="629BC3CC" w14:textId="77777777" w:rsidR="002C118D" w:rsidRPr="00254D55" w:rsidRDefault="002C118D" w:rsidP="00D7505C">
            <w:pPr>
              <w:jc w:val="right"/>
              <w:rPr>
                <w:rFonts w:eastAsia="Calibri"/>
                <w:szCs w:val="26"/>
              </w:rPr>
            </w:pPr>
            <w:r w:rsidRPr="00B325A1">
              <w:t>$0</w:t>
            </w:r>
          </w:p>
        </w:tc>
        <w:tc>
          <w:tcPr>
            <w:tcW w:w="1800" w:type="dxa"/>
            <w:tcBorders>
              <w:bottom w:val="single" w:sz="4" w:space="0" w:color="auto"/>
            </w:tcBorders>
            <w:shd w:val="clear" w:color="auto" w:fill="auto"/>
            <w:vAlign w:val="bottom"/>
          </w:tcPr>
          <w:p w14:paraId="0CB35862" w14:textId="77777777" w:rsidR="002C118D" w:rsidRPr="00254D55" w:rsidRDefault="002C118D" w:rsidP="00D7505C">
            <w:pPr>
              <w:jc w:val="right"/>
              <w:rPr>
                <w:rFonts w:eastAsia="Calibri"/>
                <w:szCs w:val="26"/>
              </w:rPr>
            </w:pPr>
            <w:r w:rsidRPr="00B325A1">
              <w:t>$0</w:t>
            </w:r>
          </w:p>
        </w:tc>
      </w:tr>
    </w:tbl>
    <w:p w14:paraId="0BF8D166" w14:textId="77777777" w:rsidR="002C118D" w:rsidRPr="003B18DD" w:rsidRDefault="002C118D" w:rsidP="00BC15BE">
      <w:pPr>
        <w:rPr>
          <w:szCs w:val="26"/>
        </w:rPr>
      </w:pPr>
    </w:p>
    <w:p w14:paraId="6385FC56" w14:textId="77777777" w:rsidR="00BC15BE" w:rsidRPr="003B18DD" w:rsidRDefault="00BC15BE" w:rsidP="00BC15BE">
      <w:pPr>
        <w:pStyle w:val="Level1"/>
        <w:rPr>
          <w:b/>
          <w:sz w:val="26"/>
          <w:szCs w:val="26"/>
        </w:rPr>
      </w:pPr>
      <w:r w:rsidRPr="003B18DD">
        <w:rPr>
          <w:b/>
          <w:sz w:val="26"/>
          <w:szCs w:val="26"/>
        </w:rPr>
        <w:t>TIME SCHEDULE FOR PUBLICATION OF DATA</w:t>
      </w:r>
    </w:p>
    <w:p w14:paraId="262E579F" w14:textId="77777777" w:rsidR="00BC15BE" w:rsidRPr="003B18DD" w:rsidRDefault="00BC15BE" w:rsidP="00BC15BE">
      <w:pPr>
        <w:rPr>
          <w:szCs w:val="26"/>
        </w:rPr>
      </w:pPr>
    </w:p>
    <w:p w14:paraId="5AE42336" w14:textId="77777777" w:rsidR="00BC15BE" w:rsidRPr="003B18DD" w:rsidRDefault="003D2136" w:rsidP="00BC15BE">
      <w:pPr>
        <w:rPr>
          <w:szCs w:val="26"/>
        </w:rPr>
      </w:pPr>
      <w:r w:rsidRPr="00DA6CEC">
        <w:rPr>
          <w:szCs w:val="26"/>
        </w:rPr>
        <w:t>There are no publications of the information</w:t>
      </w:r>
      <w:r w:rsidR="00BC15BE" w:rsidRPr="003B18DD">
        <w:rPr>
          <w:szCs w:val="26"/>
        </w:rPr>
        <w:t>.</w:t>
      </w:r>
    </w:p>
    <w:p w14:paraId="7D27AE26" w14:textId="77777777" w:rsidR="00BC15BE" w:rsidRPr="003B18DD" w:rsidRDefault="00BC15BE" w:rsidP="00BC15BE">
      <w:pPr>
        <w:rPr>
          <w:szCs w:val="26"/>
        </w:rPr>
      </w:pPr>
    </w:p>
    <w:p w14:paraId="7650D858" w14:textId="77777777" w:rsidR="00BC15BE" w:rsidRPr="003B18DD" w:rsidRDefault="00BC15BE" w:rsidP="00BC15BE">
      <w:pPr>
        <w:pStyle w:val="Level1"/>
        <w:rPr>
          <w:b/>
          <w:sz w:val="26"/>
          <w:szCs w:val="26"/>
        </w:rPr>
      </w:pPr>
      <w:r w:rsidRPr="003B18DD">
        <w:rPr>
          <w:b/>
          <w:sz w:val="26"/>
          <w:szCs w:val="26"/>
        </w:rPr>
        <w:t>DISPLAY OF EXPIRATION DATE</w:t>
      </w:r>
    </w:p>
    <w:p w14:paraId="1688A16E" w14:textId="77777777" w:rsidR="00BC15BE" w:rsidRPr="003B18DD" w:rsidRDefault="00BC15BE" w:rsidP="00BC15BE">
      <w:pPr>
        <w:rPr>
          <w:szCs w:val="26"/>
        </w:rPr>
      </w:pPr>
    </w:p>
    <w:p w14:paraId="12A5BD60" w14:textId="77777777" w:rsidR="00BC15BE" w:rsidRPr="003B18DD" w:rsidRDefault="003D2136" w:rsidP="00BC15BE">
      <w:pPr>
        <w:rPr>
          <w:szCs w:val="26"/>
        </w:rPr>
      </w:pPr>
      <w:r w:rsidRPr="0074677E">
        <w:rPr>
          <w:szCs w:val="26"/>
        </w:rPr>
        <w:t xml:space="preserve">The expiration dates are displayed on ferc.gov with links to the updated table from </w:t>
      </w:r>
      <w:hyperlink r:id="rId13" w:history="1">
        <w:r w:rsidRPr="0074677E">
          <w:rPr>
            <w:rStyle w:val="Hyperlink"/>
            <w:szCs w:val="26"/>
          </w:rPr>
          <w:t>http://www.ferc.gov/docs-filing/info-collections.asp</w:t>
        </w:r>
      </w:hyperlink>
      <w:proofErr w:type="gramStart"/>
      <w:r w:rsidRPr="0074677E">
        <w:rPr>
          <w:szCs w:val="26"/>
        </w:rPr>
        <w:t xml:space="preserve"> .</w:t>
      </w:r>
      <w:r w:rsidR="00BC15BE" w:rsidRPr="003B18DD">
        <w:rPr>
          <w:szCs w:val="26"/>
        </w:rPr>
        <w:t>.</w:t>
      </w:r>
      <w:proofErr w:type="gramEnd"/>
      <w:r w:rsidR="00BC15BE" w:rsidRPr="003B18DD">
        <w:rPr>
          <w:szCs w:val="26"/>
        </w:rPr>
        <w:t xml:space="preserve"> </w:t>
      </w:r>
    </w:p>
    <w:p w14:paraId="7B5EB921" w14:textId="77777777" w:rsidR="00BC15BE" w:rsidRPr="003B18DD" w:rsidRDefault="00BC15BE" w:rsidP="00BC15BE">
      <w:pPr>
        <w:rPr>
          <w:szCs w:val="26"/>
        </w:rPr>
      </w:pPr>
    </w:p>
    <w:p w14:paraId="7BF11C19" w14:textId="77777777" w:rsidR="00BC15BE" w:rsidRPr="003B18DD" w:rsidRDefault="00BC15BE" w:rsidP="00BC15BE">
      <w:pPr>
        <w:pStyle w:val="Level1"/>
        <w:rPr>
          <w:b/>
          <w:sz w:val="26"/>
          <w:szCs w:val="26"/>
        </w:rPr>
      </w:pPr>
      <w:r w:rsidRPr="003B18DD">
        <w:rPr>
          <w:b/>
          <w:sz w:val="26"/>
          <w:szCs w:val="26"/>
        </w:rPr>
        <w:t>EXCEPTIONS TO THE CERTIFICATION STATEMENT</w:t>
      </w:r>
    </w:p>
    <w:p w14:paraId="6BCFE7AF" w14:textId="77777777" w:rsidR="00BC15BE" w:rsidRPr="003B18DD" w:rsidRDefault="00BC15BE" w:rsidP="00BC15BE">
      <w:pPr>
        <w:rPr>
          <w:szCs w:val="26"/>
        </w:rPr>
      </w:pPr>
    </w:p>
    <w:p w14:paraId="21F8277A" w14:textId="77777777" w:rsidR="00BC15BE" w:rsidRPr="003B18DD" w:rsidRDefault="00BC15BE" w:rsidP="00BC15BE">
      <w:pPr>
        <w:rPr>
          <w:szCs w:val="26"/>
        </w:rPr>
      </w:pPr>
      <w:r>
        <w:rPr>
          <w:szCs w:val="26"/>
        </w:rPr>
        <w:t>There are no exceptions.</w:t>
      </w:r>
    </w:p>
    <w:p w14:paraId="480F3362" w14:textId="77777777" w:rsidR="0010764F" w:rsidRDefault="0010764F"/>
    <w:sectPr w:rsidR="0010764F" w:rsidSect="00D54671">
      <w:headerReference w:type="default" r:id="rId14"/>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9825" w14:textId="77777777" w:rsidR="0020662B" w:rsidRDefault="0020662B" w:rsidP="00BC15BE">
      <w:r>
        <w:separator/>
      </w:r>
    </w:p>
  </w:endnote>
  <w:endnote w:type="continuationSeparator" w:id="0">
    <w:p w14:paraId="4470CB39" w14:textId="77777777" w:rsidR="0020662B" w:rsidRDefault="0020662B" w:rsidP="00BC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31C0F" w14:textId="77777777" w:rsidR="0020662B" w:rsidRDefault="0020662B" w:rsidP="00BC15BE">
      <w:r>
        <w:separator/>
      </w:r>
    </w:p>
  </w:footnote>
  <w:footnote w:type="continuationSeparator" w:id="0">
    <w:p w14:paraId="4900FFA6" w14:textId="77777777" w:rsidR="0020662B" w:rsidRDefault="0020662B" w:rsidP="00BC15BE">
      <w:r>
        <w:continuationSeparator/>
      </w:r>
    </w:p>
  </w:footnote>
  <w:footnote w:id="1">
    <w:p w14:paraId="18275BFB" w14:textId="77777777" w:rsidR="003F0E97" w:rsidRPr="00053830" w:rsidRDefault="003F0E97" w:rsidP="003F0E97">
      <w:pPr>
        <w:pStyle w:val="FootnoteText"/>
        <w:rPr>
          <w:sz w:val="24"/>
          <w:szCs w:val="24"/>
        </w:rPr>
      </w:pPr>
      <w:r w:rsidRPr="00053830">
        <w:rPr>
          <w:rStyle w:val="FootnoteReference"/>
          <w:sz w:val="24"/>
          <w:szCs w:val="24"/>
        </w:rPr>
        <w:footnoteRef/>
      </w:r>
      <w:r w:rsidRPr="00053830">
        <w:rPr>
          <w:sz w:val="24"/>
          <w:szCs w:val="24"/>
        </w:rPr>
        <w:t xml:space="preserve"> Th</w:t>
      </w:r>
      <w:r>
        <w:rPr>
          <w:sz w:val="24"/>
          <w:szCs w:val="24"/>
        </w:rPr>
        <w:t>e</w:t>
      </w:r>
      <w:r w:rsidRPr="00053830">
        <w:rPr>
          <w:sz w:val="24"/>
          <w:szCs w:val="24"/>
        </w:rPr>
        <w:t xml:space="preserve"> submittal to OMB for the NOPR in RM96-1-038 </w:t>
      </w:r>
      <w:r>
        <w:rPr>
          <w:sz w:val="24"/>
          <w:szCs w:val="24"/>
        </w:rPr>
        <w:t>was</w:t>
      </w:r>
      <w:r w:rsidRPr="00053830">
        <w:rPr>
          <w:sz w:val="24"/>
          <w:szCs w:val="24"/>
        </w:rPr>
        <w:t xml:space="preserve"> made under a temporary collection number</w:t>
      </w:r>
      <w:r>
        <w:rPr>
          <w:sz w:val="24"/>
          <w:szCs w:val="24"/>
        </w:rPr>
        <w:t xml:space="preserve"> (and temporary placeholder)</w:t>
      </w:r>
      <w:r w:rsidRPr="00053830">
        <w:rPr>
          <w:sz w:val="24"/>
          <w:szCs w:val="24"/>
        </w:rPr>
        <w:t>, FERC-545A</w:t>
      </w:r>
      <w:r w:rsidR="00385B39">
        <w:rPr>
          <w:sz w:val="24"/>
          <w:szCs w:val="24"/>
        </w:rPr>
        <w:t>, 1902-0174</w:t>
      </w:r>
      <w:r w:rsidRPr="00053830">
        <w:rPr>
          <w:sz w:val="24"/>
          <w:szCs w:val="24"/>
        </w:rPr>
        <w:t xml:space="preserve">, to enable FERC to submit this package timely to OMB for review under the Paperwork Reduction Act.  </w:t>
      </w:r>
      <w:r>
        <w:rPr>
          <w:sz w:val="24"/>
          <w:szCs w:val="24"/>
        </w:rPr>
        <w:t xml:space="preserve">This was done because </w:t>
      </w:r>
      <w:r w:rsidRPr="00053830">
        <w:rPr>
          <w:sz w:val="24"/>
          <w:szCs w:val="24"/>
        </w:rPr>
        <w:t xml:space="preserve">another unrelated item (in Docket PL15-1) </w:t>
      </w:r>
      <w:r>
        <w:rPr>
          <w:sz w:val="24"/>
          <w:szCs w:val="24"/>
        </w:rPr>
        <w:t>was</w:t>
      </w:r>
      <w:r w:rsidRPr="00053830">
        <w:rPr>
          <w:sz w:val="24"/>
          <w:szCs w:val="24"/>
        </w:rPr>
        <w:t xml:space="preserve"> currently pending OMB review under FERC-545, and only one item per OMB Control Number can be pending OMB review at a time</w:t>
      </w:r>
      <w:r>
        <w:rPr>
          <w:sz w:val="24"/>
          <w:szCs w:val="24"/>
        </w:rPr>
        <w:t xml:space="preserve">; the item in Docket PL15-1 has since concluded and the collection will be submitted in the permanent collection, FERC-545. </w:t>
      </w:r>
      <w:r w:rsidR="00385B39">
        <w:rPr>
          <w:sz w:val="24"/>
          <w:szCs w:val="24"/>
        </w:rPr>
        <w:t xml:space="preserve">  </w:t>
      </w:r>
    </w:p>
  </w:footnote>
  <w:footnote w:id="2">
    <w:p w14:paraId="39007681" w14:textId="77777777" w:rsidR="002B45F1" w:rsidRDefault="002B45F1" w:rsidP="00F45B52">
      <w:r>
        <w:rPr>
          <w:rStyle w:val="FootnoteReference"/>
        </w:rPr>
        <w:footnoteRef/>
      </w:r>
      <w:r>
        <w:t xml:space="preserve"> </w:t>
      </w:r>
      <w:r w:rsidRPr="0019793D">
        <w:t xml:space="preserve">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w:t>
      </w:r>
      <w:r w:rsidRPr="005B1BAC">
        <w:t>communication between the pipelines and those doing business with the pipelines.</w:t>
      </w:r>
    </w:p>
    <w:p w14:paraId="61CF04A5" w14:textId="77777777" w:rsidR="00F45B52" w:rsidRPr="006D154A" w:rsidRDefault="00F45B52" w:rsidP="00F45B52"/>
  </w:footnote>
  <w:footnote w:id="3">
    <w:p w14:paraId="5DF22500" w14:textId="77777777" w:rsidR="002B45F1" w:rsidRPr="00A27A38" w:rsidRDefault="002B45F1" w:rsidP="002B45F1">
      <w:pPr>
        <w:pStyle w:val="FootnoteText"/>
        <w:rPr>
          <w:sz w:val="24"/>
          <w:szCs w:val="24"/>
        </w:rPr>
      </w:pPr>
      <w:r w:rsidRPr="005B1BAC">
        <w:rPr>
          <w:rStyle w:val="FootnoteReference"/>
          <w:sz w:val="24"/>
          <w:szCs w:val="24"/>
        </w:rPr>
        <w:footnoteRef/>
      </w:r>
      <w:r w:rsidRPr="005B1BAC">
        <w:rPr>
          <w:sz w:val="24"/>
          <w:szCs w:val="24"/>
        </w:rPr>
        <w:t xml:space="preserve"> Additional information is available on NAESB’s website at </w:t>
      </w:r>
      <w:hyperlink r:id="rId1" w:history="1">
        <w:r w:rsidRPr="005B1BAC">
          <w:rPr>
            <w:rStyle w:val="Hyperlink"/>
            <w:sz w:val="24"/>
          </w:rPr>
          <w:t>http://www.naesb.org/</w:t>
        </w:r>
      </w:hyperlink>
      <w:r w:rsidRPr="005B1BAC">
        <w:rPr>
          <w:sz w:val="24"/>
          <w:szCs w:val="24"/>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2" w:history="1">
        <w:r w:rsidRPr="005B1BAC">
          <w:rPr>
            <w:rStyle w:val="Hyperlink"/>
            <w:sz w:val="24"/>
          </w:rPr>
          <w:t>http://elibrary.ferc.gov/idmws/common/opennat.asp?fileID=13165589</w:t>
        </w:r>
      </w:hyperlink>
      <w:r w:rsidRPr="005B1BAC">
        <w:rPr>
          <w:sz w:val="24"/>
          <w:szCs w:val="24"/>
        </w:rPr>
        <w:t xml:space="preserve"> .</w:t>
      </w:r>
      <w:r w:rsidR="00256088">
        <w:rPr>
          <w:sz w:val="24"/>
          <w:szCs w:val="24"/>
        </w:rPr>
        <w:t xml:space="preserve">  The same process is used by the WGQ in developing standards for interstate natural gas pipelines, with the exception that the </w:t>
      </w:r>
      <w:proofErr w:type="gramStart"/>
      <w:r w:rsidR="00353A27">
        <w:rPr>
          <w:sz w:val="24"/>
          <w:szCs w:val="24"/>
        </w:rPr>
        <w:t xml:space="preserve">composition of the </w:t>
      </w:r>
      <w:r w:rsidR="00256088">
        <w:rPr>
          <w:sz w:val="24"/>
          <w:szCs w:val="24"/>
        </w:rPr>
        <w:t>voting segments have</w:t>
      </w:r>
      <w:proofErr w:type="gramEnd"/>
      <w:r w:rsidR="00256088">
        <w:rPr>
          <w:sz w:val="24"/>
          <w:szCs w:val="24"/>
        </w:rPr>
        <w:t xml:space="preserve"> been designed to match the participants in th</w:t>
      </w:r>
      <w:r w:rsidR="00353A27">
        <w:rPr>
          <w:sz w:val="24"/>
          <w:szCs w:val="24"/>
        </w:rPr>
        <w:t>e natural gas</w:t>
      </w:r>
      <w:r w:rsidR="00256088">
        <w:rPr>
          <w:sz w:val="24"/>
          <w:szCs w:val="24"/>
        </w:rPr>
        <w:t xml:space="preserve"> industry.</w:t>
      </w:r>
    </w:p>
  </w:footnote>
  <w:footnote w:id="4">
    <w:p w14:paraId="2D8262E4" w14:textId="77777777" w:rsidR="00F8150C" w:rsidRPr="001B7C2A" w:rsidRDefault="00F8150C" w:rsidP="00F8150C">
      <w:pPr>
        <w:pStyle w:val="FootnoteText"/>
        <w:rPr>
          <w:sz w:val="24"/>
          <w:szCs w:val="24"/>
        </w:rPr>
      </w:pPr>
      <w:r w:rsidRPr="001B7C2A">
        <w:rPr>
          <w:rStyle w:val="FootnoteReference"/>
          <w:sz w:val="24"/>
          <w:szCs w:val="24"/>
        </w:rPr>
        <w:footnoteRef/>
      </w:r>
      <w:r w:rsidRPr="001B7C2A">
        <w:rPr>
          <w:sz w:val="24"/>
          <w:szCs w:val="24"/>
        </w:rPr>
        <w:t xml:space="preserve"> More information is available on FERC’s </w:t>
      </w:r>
      <w:proofErr w:type="spellStart"/>
      <w:r w:rsidRPr="001B7C2A">
        <w:rPr>
          <w:sz w:val="24"/>
          <w:szCs w:val="24"/>
        </w:rPr>
        <w:t>eTariff</w:t>
      </w:r>
      <w:proofErr w:type="spellEnd"/>
      <w:r w:rsidRPr="001B7C2A">
        <w:rPr>
          <w:sz w:val="24"/>
          <w:szCs w:val="24"/>
        </w:rPr>
        <w:t xml:space="preserve"> page at </w:t>
      </w:r>
      <w:hyperlink r:id="rId3" w:history="1">
        <w:r w:rsidRPr="001B7C2A">
          <w:rPr>
            <w:rStyle w:val="Hyperlink"/>
            <w:sz w:val="24"/>
          </w:rPr>
          <w:t>http://www.ferc.gov/docs-filing/etariff.asp</w:t>
        </w:r>
      </w:hyperlink>
      <w:r w:rsidRPr="001B7C2A">
        <w:rPr>
          <w:sz w:val="24"/>
          <w:szCs w:val="24"/>
        </w:rPr>
        <w:t xml:space="preserve"> .</w:t>
      </w:r>
    </w:p>
  </w:footnote>
  <w:footnote w:id="5">
    <w:p w14:paraId="7E18A243" w14:textId="77777777" w:rsidR="00F8150C" w:rsidRPr="00611052" w:rsidRDefault="00F8150C" w:rsidP="00F8150C">
      <w:pPr>
        <w:pStyle w:val="FootnoteText"/>
        <w:rPr>
          <w:sz w:val="24"/>
          <w:szCs w:val="24"/>
        </w:rPr>
      </w:pPr>
      <w:r w:rsidRPr="00611052">
        <w:rPr>
          <w:rStyle w:val="FootnoteReference"/>
          <w:sz w:val="24"/>
          <w:szCs w:val="24"/>
        </w:rPr>
        <w:footnoteRef/>
      </w:r>
      <w:r w:rsidRPr="00611052">
        <w:rPr>
          <w:sz w:val="24"/>
          <w:szCs w:val="24"/>
        </w:rPr>
        <w:t xml:space="preserve"> U.S. Small Business Administration, Table of Small Business Size Standards for  Pipeline Transportation of Natural Gas, NAICS Code 486210,  available at https://www.sba.gov/sites/default/files/files/Size_Standards_Table.pdf, Subsector 486. </w:t>
      </w:r>
    </w:p>
    <w:p w14:paraId="1215D197" w14:textId="77777777" w:rsidR="00F8150C" w:rsidRDefault="00F8150C" w:rsidP="00F8150C">
      <w:pPr>
        <w:pStyle w:val="FootnoteText"/>
      </w:pPr>
      <w:proofErr w:type="gramStart"/>
      <w:r w:rsidRPr="00D613DE">
        <w:rPr>
          <w:sz w:val="24"/>
          <w:szCs w:val="24"/>
        </w:rPr>
        <w:t>Matched to North American Industry Classification System Codes, Natural Gas Pipeline Transportation, NAICS Code 486210, page 27, July 14, 2014, available at https://www.sba.gov/sites/default/files/files/Size_Standards_Table.pdf, Subsector 486.</w:t>
      </w:r>
      <w:proofErr w:type="gramEnd"/>
    </w:p>
  </w:footnote>
  <w:footnote w:id="6">
    <w:p w14:paraId="6A163AE3" w14:textId="77777777" w:rsidR="00F8150C" w:rsidRPr="006031E8" w:rsidRDefault="00F8150C" w:rsidP="00F8150C">
      <w:pPr>
        <w:pStyle w:val="FootnoteText"/>
        <w:rPr>
          <w:sz w:val="24"/>
          <w:szCs w:val="24"/>
        </w:rPr>
      </w:pPr>
      <w:r w:rsidRPr="006031E8">
        <w:rPr>
          <w:rStyle w:val="FootnoteReference"/>
          <w:sz w:val="24"/>
          <w:szCs w:val="24"/>
        </w:rPr>
        <w:footnoteRef/>
      </w:r>
      <w:r w:rsidRPr="006031E8">
        <w:rPr>
          <w:sz w:val="24"/>
          <w:szCs w:val="24"/>
        </w:rPr>
        <w:t xml:space="preserve"> The number of respondents is the number of entities in which a change in burden from the current standards to the proposed exists, not the total number of entities from the current or proposed standards that are applicable.</w:t>
      </w:r>
    </w:p>
  </w:footnote>
  <w:footnote w:id="7">
    <w:p w14:paraId="71DDF6AC" w14:textId="77777777" w:rsidR="00F8150C" w:rsidRPr="00745B0A" w:rsidRDefault="00F8150C" w:rsidP="00F8150C">
      <w:pPr>
        <w:pStyle w:val="FootnoteText"/>
        <w:rPr>
          <w:sz w:val="24"/>
          <w:szCs w:val="24"/>
        </w:rPr>
      </w:pPr>
      <w:r w:rsidRPr="006031E8">
        <w:rPr>
          <w:rStyle w:val="FootnoteReference"/>
          <w:sz w:val="24"/>
          <w:szCs w:val="24"/>
        </w:rPr>
        <w:footnoteRef/>
      </w:r>
      <w:r w:rsidRPr="006031E8">
        <w:rPr>
          <w:sz w:val="24"/>
          <w:szCs w:val="24"/>
        </w:rPr>
        <w:t xml:space="preserve"> Wage data is based on the Bureau of Labor Statistics data for </w:t>
      </w:r>
      <w:r w:rsidR="00986AA7" w:rsidRPr="006031E8">
        <w:rPr>
          <w:sz w:val="24"/>
          <w:szCs w:val="24"/>
        </w:rPr>
        <w:t>201</w:t>
      </w:r>
      <w:r w:rsidR="00986AA7">
        <w:rPr>
          <w:sz w:val="24"/>
          <w:szCs w:val="24"/>
        </w:rPr>
        <w:t>5</w:t>
      </w:r>
      <w:r w:rsidR="00986AA7" w:rsidRPr="006031E8">
        <w:rPr>
          <w:sz w:val="24"/>
          <w:szCs w:val="24"/>
        </w:rPr>
        <w:t xml:space="preserve"> </w:t>
      </w:r>
      <w:r w:rsidRPr="006031E8">
        <w:rPr>
          <w:sz w:val="24"/>
          <w:szCs w:val="24"/>
        </w:rPr>
        <w:br/>
      </w:r>
      <w:r w:rsidRPr="00745B0A">
        <w:rPr>
          <w:sz w:val="24"/>
          <w:szCs w:val="24"/>
        </w:rPr>
        <w:t xml:space="preserve">(“National Industry-Specific Occupational Employment and Wage </w:t>
      </w:r>
      <w:r w:rsidRPr="00745B0A">
        <w:rPr>
          <w:sz w:val="24"/>
          <w:szCs w:val="24"/>
        </w:rPr>
        <w:br/>
        <w:t xml:space="preserve">Estimates, [for] Sector 22 - Utilities” at </w:t>
      </w:r>
      <w:hyperlink r:id="rId4" w:history="1">
        <w:r w:rsidR="00986AA7" w:rsidRPr="001E502F">
          <w:rPr>
            <w:rStyle w:val="Hyperlink"/>
            <w:szCs w:val="26"/>
          </w:rPr>
          <w:t>http://www.bls.gov/oes/current/naics2_22.htm</w:t>
        </w:r>
      </w:hyperlink>
      <w:r w:rsidRPr="00745B0A">
        <w:rPr>
          <w:sz w:val="24"/>
          <w:szCs w:val="24"/>
        </w:rPr>
        <w:t xml:space="preserve">) and is compiled for the top 10 percent earned.  For the estimate of the benefits component, </w:t>
      </w:r>
      <w:r w:rsidRPr="00745B0A">
        <w:rPr>
          <w:i/>
          <w:sz w:val="24"/>
          <w:szCs w:val="24"/>
        </w:rPr>
        <w:t>see</w:t>
      </w:r>
      <w:r w:rsidRPr="00745B0A">
        <w:rPr>
          <w:sz w:val="24"/>
          <w:szCs w:val="24"/>
        </w:rPr>
        <w:t xml:space="preserve"> http://www.bls.gov/news.release/ecec.nr0.htm.</w:t>
      </w:r>
    </w:p>
  </w:footnote>
  <w:footnote w:id="8">
    <w:p w14:paraId="6B4D0703" w14:textId="77777777" w:rsidR="00F8150C" w:rsidRPr="00745B0A" w:rsidRDefault="00F8150C">
      <w:pPr>
        <w:pStyle w:val="FootnoteText"/>
      </w:pPr>
      <w:r w:rsidRPr="00745B0A">
        <w:rPr>
          <w:rStyle w:val="FootnoteReference"/>
          <w:sz w:val="24"/>
          <w:szCs w:val="24"/>
        </w:rPr>
        <w:footnoteRef/>
      </w:r>
      <w:r w:rsidRPr="00745B0A">
        <w:rPr>
          <w:sz w:val="24"/>
          <w:szCs w:val="24"/>
        </w:rPr>
        <w:t xml:space="preserve"> The mean hourly cost of tariff filings and implementation for interstate natural gas pipelines is $83.67.  This represents the average wage (salary and benefits for 2,080 annual work-hours) of the following occupational categories:  “Legal” ($128.02 per hour), “Computer Analyst” ($83.50 per hour), and “Office and Administrative” ($39.49 per hour).  Wage data is available from the Bureau of Labor Statistics at http://bls.gov/oes/current/naics2_22.htm and is compiled for the top10 percent earned.  For the estimate of the benefits component, </w:t>
      </w:r>
      <w:r w:rsidRPr="00745B0A">
        <w:rPr>
          <w:i/>
          <w:sz w:val="24"/>
          <w:szCs w:val="24"/>
        </w:rPr>
        <w:t>see</w:t>
      </w:r>
      <w:r w:rsidRPr="00745B0A">
        <w:rPr>
          <w:sz w:val="24"/>
          <w:szCs w:val="24"/>
        </w:rPr>
        <w:t xml:space="preserve"> http://www.bls.gov/news.release/ecec.nr0.htm.</w:t>
      </w:r>
    </w:p>
  </w:footnote>
  <w:footnote w:id="9">
    <w:p w14:paraId="0512F8E7" w14:textId="77777777" w:rsidR="00F8150C" w:rsidRDefault="00F8150C" w:rsidP="00F8150C">
      <w:pPr>
        <w:pStyle w:val="FootnoteText"/>
      </w:pPr>
      <w:r w:rsidRPr="00745B0A">
        <w:rPr>
          <w:rStyle w:val="FootnoteReference"/>
        </w:rPr>
        <w:footnoteRef/>
      </w:r>
      <w:r w:rsidRPr="00745B0A">
        <w:t xml:space="preserve"> </w:t>
      </w:r>
      <w:r w:rsidRPr="00745B0A">
        <w:rPr>
          <w:sz w:val="24"/>
          <w:szCs w:val="24"/>
        </w:rPr>
        <w:t>The mean hourly cost of tariff filings and implementation for interstate natural</w:t>
      </w:r>
      <w:r w:rsidRPr="006031E8">
        <w:rPr>
          <w:sz w:val="24"/>
          <w:szCs w:val="24"/>
        </w:rPr>
        <w:t xml:space="preserve"> gas pipelines is $83.67.  </w:t>
      </w:r>
      <w:r>
        <w:rPr>
          <w:sz w:val="24"/>
          <w:szCs w:val="24"/>
        </w:rPr>
        <w:t>It is composed of the skill sets and related hourly costs described above.</w:t>
      </w:r>
    </w:p>
  </w:footnote>
  <w:footnote w:id="10">
    <w:p w14:paraId="43E35E4E" w14:textId="77777777" w:rsidR="002C118D" w:rsidRPr="00E70325" w:rsidRDefault="002C118D" w:rsidP="002C118D">
      <w:pPr>
        <w:pStyle w:val="FootnoteText"/>
        <w:rPr>
          <w:sz w:val="24"/>
          <w:szCs w:val="24"/>
        </w:rPr>
      </w:pPr>
      <w:r w:rsidRPr="00E70325">
        <w:rPr>
          <w:rStyle w:val="FootnoteReference"/>
          <w:sz w:val="24"/>
          <w:szCs w:val="24"/>
        </w:rPr>
        <w:footnoteRef/>
      </w:r>
      <w:r w:rsidRPr="00E70325">
        <w:rPr>
          <w:sz w:val="24"/>
          <w:szCs w:val="24"/>
        </w:rPr>
        <w:t xml:space="preserve"> Based on </w:t>
      </w:r>
      <w:r>
        <w:rPr>
          <w:sz w:val="24"/>
          <w:szCs w:val="24"/>
        </w:rPr>
        <w:t xml:space="preserve">FERC’s Fiscal Year </w:t>
      </w:r>
      <w:r w:rsidRPr="00E70325">
        <w:rPr>
          <w:sz w:val="24"/>
          <w:szCs w:val="24"/>
        </w:rPr>
        <w:t>201</w:t>
      </w:r>
      <w:r>
        <w:rPr>
          <w:sz w:val="24"/>
          <w:szCs w:val="24"/>
        </w:rPr>
        <w:t>5</w:t>
      </w:r>
      <w:r w:rsidRPr="00E70325">
        <w:rPr>
          <w:sz w:val="24"/>
          <w:szCs w:val="24"/>
        </w:rPr>
        <w:t xml:space="preserve"> </w:t>
      </w:r>
      <w:r>
        <w:rPr>
          <w:sz w:val="24"/>
          <w:szCs w:val="24"/>
        </w:rPr>
        <w:t xml:space="preserve">average </w:t>
      </w:r>
      <w:r w:rsidRPr="00E70325">
        <w:rPr>
          <w:sz w:val="24"/>
          <w:szCs w:val="24"/>
        </w:rPr>
        <w:t xml:space="preserve">cost per FTE (salary plus benefits) of </w:t>
      </w:r>
      <w:r w:rsidRPr="008759E2">
        <w:rPr>
          <w:sz w:val="24"/>
          <w:szCs w:val="24"/>
        </w:rPr>
        <w:t>$149,489</w:t>
      </w:r>
      <w:r w:rsidRPr="00E70325">
        <w:rPr>
          <w:sz w:val="24"/>
          <w:szCs w:val="24"/>
        </w:rPr>
        <w:t xml:space="preserve"> </w:t>
      </w:r>
      <w:r>
        <w:rPr>
          <w:sz w:val="24"/>
          <w:szCs w:val="24"/>
        </w:rPr>
        <w:t xml:space="preserve">per </w:t>
      </w:r>
      <w:r w:rsidRPr="00E70325">
        <w:rPr>
          <w:sz w:val="24"/>
          <w:szCs w:val="24"/>
        </w:rPr>
        <w:t xml:space="preserve">year (or 2,080 </w:t>
      </w:r>
      <w:r>
        <w:rPr>
          <w:sz w:val="24"/>
          <w:szCs w:val="24"/>
        </w:rPr>
        <w:t xml:space="preserve">work </w:t>
      </w:r>
      <w:r w:rsidRPr="00E70325">
        <w:rPr>
          <w:sz w:val="24"/>
          <w:szCs w:val="24"/>
        </w:rPr>
        <w:t>hours), rounded to $</w:t>
      </w:r>
      <w:r>
        <w:rPr>
          <w:sz w:val="24"/>
          <w:szCs w:val="24"/>
        </w:rPr>
        <w:t>72.00</w:t>
      </w:r>
      <w:r w:rsidRPr="00E70325">
        <w:rPr>
          <w:sz w:val="24"/>
          <w:szCs w:val="24"/>
        </w:rPr>
        <w:t xml:space="preserve"> per hour.</w:t>
      </w:r>
      <w:r>
        <w:rPr>
          <w:sz w:val="24"/>
          <w:szCs w:val="24"/>
        </w:rPr>
        <w:t xml:space="preserve"> </w:t>
      </w:r>
    </w:p>
  </w:footnote>
  <w:footnote w:id="11">
    <w:p w14:paraId="04A5AC82" w14:textId="77777777" w:rsidR="002C118D" w:rsidRPr="00817519" w:rsidRDefault="002C118D" w:rsidP="002C118D">
      <w:pPr>
        <w:pStyle w:val="FootnoteText"/>
        <w:rPr>
          <w:sz w:val="24"/>
          <w:szCs w:val="24"/>
        </w:rPr>
      </w:pPr>
      <w:r w:rsidRPr="00E70325">
        <w:rPr>
          <w:rStyle w:val="FootnoteReference"/>
          <w:sz w:val="24"/>
          <w:szCs w:val="24"/>
        </w:rPr>
        <w:footnoteRef/>
      </w:r>
      <w:r w:rsidRPr="00E70325">
        <w:rPr>
          <w:sz w:val="24"/>
          <w:szCs w:val="24"/>
        </w:rPr>
        <w:t xml:space="preserve"> Paperwork Reduction Act of </w:t>
      </w:r>
      <w:r w:rsidRPr="007F1297">
        <w:rPr>
          <w:sz w:val="24"/>
          <w:szCs w:val="24"/>
        </w:rPr>
        <w:t>1995 (PRA)</w:t>
      </w:r>
    </w:p>
  </w:footnote>
  <w:footnote w:id="12">
    <w:p w14:paraId="62D7A65B" w14:textId="77777777" w:rsidR="002C118D" w:rsidRPr="007F3726" w:rsidRDefault="002C118D" w:rsidP="002C118D">
      <w:pPr>
        <w:pStyle w:val="FootnoteText"/>
        <w:rPr>
          <w:sz w:val="24"/>
          <w:szCs w:val="24"/>
        </w:rPr>
      </w:pPr>
      <w:r w:rsidRPr="007F3726">
        <w:rPr>
          <w:rStyle w:val="FootnoteReference"/>
          <w:sz w:val="24"/>
          <w:szCs w:val="24"/>
        </w:rPr>
        <w:footnoteRef/>
      </w:r>
      <w:r w:rsidRPr="007F3726">
        <w:rPr>
          <w:sz w:val="24"/>
          <w:szCs w:val="24"/>
        </w:rPr>
        <w:t xml:space="preserve"> The PRA Administration Cost is $ 5,193, and includes preparing supporting statements, notices, and other activities associated with Paperwork Reduction Act compliance.</w:t>
      </w:r>
    </w:p>
  </w:footnote>
  <w:footnote w:id="13">
    <w:p w14:paraId="0615D491" w14:textId="77777777" w:rsidR="002C118D" w:rsidRPr="007F3726" w:rsidRDefault="002C118D" w:rsidP="002C118D">
      <w:pPr>
        <w:pStyle w:val="FootnoteText"/>
        <w:rPr>
          <w:sz w:val="24"/>
          <w:szCs w:val="24"/>
        </w:rPr>
      </w:pPr>
      <w:r w:rsidRPr="007F3726">
        <w:rPr>
          <w:rStyle w:val="FootnoteReference"/>
          <w:sz w:val="24"/>
          <w:szCs w:val="24"/>
        </w:rPr>
        <w:footnoteRef/>
      </w:r>
      <w:r w:rsidRPr="007F3726">
        <w:rPr>
          <w:sz w:val="24"/>
          <w:szCs w:val="24"/>
        </w:rPr>
        <w:t xml:space="preserve"> The estimate of federal FTE’s and the indicated split between FERC-545 and FERC549C is based on staff’s experience and the fact that the FERC-545 filings are one-time filings, with the FERC-549C requirements both one-time and on-going.</w:t>
      </w:r>
    </w:p>
  </w:footnote>
  <w:footnote w:id="14">
    <w:p w14:paraId="0E887A8C" w14:textId="77777777" w:rsidR="002C118D" w:rsidRPr="00975EE0" w:rsidRDefault="002C118D" w:rsidP="002C118D">
      <w:pPr>
        <w:pStyle w:val="FootnoteText"/>
      </w:pPr>
      <w:r w:rsidRPr="007F3726">
        <w:rPr>
          <w:rStyle w:val="FootnoteReference"/>
          <w:sz w:val="24"/>
          <w:szCs w:val="24"/>
        </w:rPr>
        <w:footnoteRef/>
      </w:r>
      <w:r w:rsidRPr="007F3726">
        <w:rPr>
          <w:sz w:val="24"/>
          <w:szCs w:val="24"/>
        </w:rPr>
        <w:t xml:space="preserve"> </w:t>
      </w:r>
      <w:r w:rsidRPr="007F3726">
        <w:rPr>
          <w:sz w:val="24"/>
          <w:szCs w:val="24"/>
          <w:shd w:val="clear" w:color="auto" w:fill="FFFFFF"/>
        </w:rPr>
        <w:t xml:space="preserve">The 1 FTE we are estimating here in connection with the issuance of </w:t>
      </w:r>
      <w:r w:rsidR="00B83CB7">
        <w:rPr>
          <w:sz w:val="24"/>
          <w:szCs w:val="24"/>
          <w:shd w:val="clear" w:color="auto" w:fill="FFFFFF"/>
        </w:rPr>
        <w:t>the final rule</w:t>
      </w:r>
      <w:r w:rsidRPr="007F3726">
        <w:rPr>
          <w:sz w:val="24"/>
          <w:szCs w:val="24"/>
          <w:shd w:val="clear" w:color="auto" w:fill="FFFFFF"/>
        </w:rPr>
        <w:t xml:space="preserve"> in Docket No. </w:t>
      </w:r>
      <w:r w:rsidRPr="007F3726">
        <w:rPr>
          <w:bCs/>
          <w:sz w:val="24"/>
          <w:szCs w:val="24"/>
          <w:shd w:val="clear" w:color="auto" w:fill="FFFFFF"/>
        </w:rPr>
        <w:t>RM96-1-038</w:t>
      </w:r>
      <w:r w:rsidRPr="007F3726">
        <w:rPr>
          <w:sz w:val="24"/>
          <w:szCs w:val="24"/>
          <w:shd w:val="clear" w:color="auto" w:fill="FFFFFF"/>
        </w:rPr>
        <w:t xml:space="preserve"> replace</w:t>
      </w:r>
      <w:r w:rsidR="00B83CB7">
        <w:rPr>
          <w:sz w:val="24"/>
          <w:szCs w:val="24"/>
          <w:shd w:val="clear" w:color="auto" w:fill="FFFFFF"/>
        </w:rPr>
        <w:t>s</w:t>
      </w:r>
      <w:r w:rsidRPr="007F3726">
        <w:rPr>
          <w:sz w:val="24"/>
          <w:szCs w:val="24"/>
          <w:shd w:val="clear" w:color="auto" w:fill="FFFFFF"/>
        </w:rPr>
        <w:t xml:space="preserve"> the 1 FTE previously estimated in connection with the issuance of Order No. 809 and does not represent an additional FTE.  Compliance with this rule will eliminate the need to separately comply with Order No. 809.</w:t>
      </w:r>
    </w:p>
  </w:footnote>
  <w:footnote w:id="15">
    <w:p w14:paraId="24D2055B" w14:textId="77777777" w:rsidR="002C118D" w:rsidRDefault="002C118D" w:rsidP="002C118D">
      <w:pPr>
        <w:pStyle w:val="FootnoteText"/>
      </w:pPr>
      <w:r w:rsidRPr="001B7C2A">
        <w:rPr>
          <w:rStyle w:val="FootnoteReference"/>
          <w:sz w:val="24"/>
          <w:szCs w:val="24"/>
        </w:rPr>
        <w:footnoteRef/>
      </w:r>
      <w:r w:rsidRPr="001B7C2A">
        <w:rPr>
          <w:sz w:val="24"/>
          <w:szCs w:val="24"/>
        </w:rPr>
        <w:t xml:space="preserve"> Averaging the one-time burden and cost over Years 1-3 for the purposes of this PRA-related supporting statement (for the total </w:t>
      </w:r>
      <w:r>
        <w:rPr>
          <w:sz w:val="24"/>
          <w:szCs w:val="24"/>
        </w:rPr>
        <w:t xml:space="preserve">number </w:t>
      </w:r>
      <w:r w:rsidRPr="001B7C2A">
        <w:rPr>
          <w:sz w:val="24"/>
          <w:szCs w:val="24"/>
        </w:rPr>
        <w:t>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AD29" w14:textId="77777777" w:rsidR="00BB46C7" w:rsidRPr="005E290C" w:rsidRDefault="009878A3" w:rsidP="00BE06CE">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B6435E">
      <w:rPr>
        <w:rStyle w:val="PageNumber"/>
        <w:noProof/>
        <w:sz w:val="20"/>
        <w:szCs w:val="20"/>
      </w:rPr>
      <w:t>1</w:t>
    </w:r>
    <w:r w:rsidRPr="005E290C">
      <w:rPr>
        <w:rStyle w:val="PageNumber"/>
        <w:sz w:val="20"/>
        <w:szCs w:val="20"/>
      </w:rPr>
      <w:fldChar w:fldCharType="end"/>
    </w:r>
  </w:p>
  <w:p w14:paraId="66F2B9D6" w14:textId="77777777" w:rsidR="002B45F1" w:rsidRDefault="002B45F1" w:rsidP="002B45F1">
    <w:pPr>
      <w:pStyle w:val="Header"/>
    </w:pPr>
    <w:r>
      <w:t>FERC-545 (OMB Control No. 1902-</w:t>
    </w:r>
    <w:r w:rsidR="003F0E97" w:rsidRPr="00053830">
      <w:t>0154</w:t>
    </w:r>
    <w:r>
      <w:t xml:space="preserve">) and </w:t>
    </w:r>
    <w:r w:rsidRPr="00A72889">
      <w:t>FERC-549C (OMB Control No. 1902-0174)</w:t>
    </w:r>
  </w:p>
  <w:p w14:paraId="08D02C93" w14:textId="77777777" w:rsidR="00682CE6" w:rsidRDefault="009878A3" w:rsidP="00BE06CE">
    <w:pPr>
      <w:tabs>
        <w:tab w:val="left" w:pos="-1440"/>
      </w:tabs>
      <w:ind w:left="5760" w:right="360" w:hanging="5760"/>
      <w:rPr>
        <w:b/>
        <w:sz w:val="22"/>
        <w:szCs w:val="22"/>
      </w:rPr>
    </w:pPr>
    <w:r>
      <w:rPr>
        <w:b/>
        <w:sz w:val="22"/>
        <w:szCs w:val="22"/>
      </w:rPr>
      <w:t xml:space="preserve">Docket No. </w:t>
    </w:r>
    <w:r w:rsidR="002B45F1">
      <w:rPr>
        <w:b/>
        <w:sz w:val="22"/>
        <w:szCs w:val="22"/>
      </w:rPr>
      <w:t>RM96-1-038</w:t>
    </w:r>
    <w:r>
      <w:rPr>
        <w:b/>
        <w:sz w:val="22"/>
        <w:szCs w:val="22"/>
      </w:rPr>
      <w:t xml:space="preserve"> (Final Rule, issued </w:t>
    </w:r>
    <w:r w:rsidR="002B45F1">
      <w:rPr>
        <w:b/>
        <w:sz w:val="22"/>
        <w:szCs w:val="22"/>
      </w:rPr>
      <w:t>10</w:t>
    </w:r>
    <w:r>
      <w:rPr>
        <w:b/>
        <w:sz w:val="22"/>
        <w:szCs w:val="22"/>
      </w:rPr>
      <w:t>/</w:t>
    </w:r>
    <w:r w:rsidR="00653765">
      <w:rPr>
        <w:b/>
        <w:sz w:val="22"/>
        <w:szCs w:val="22"/>
      </w:rPr>
      <w:t>16</w:t>
    </w:r>
    <w:r>
      <w:rPr>
        <w:b/>
        <w:sz w:val="22"/>
        <w:szCs w:val="22"/>
      </w:rPr>
      <w:t>/2015)</w:t>
    </w:r>
  </w:p>
  <w:p w14:paraId="354AB11C" w14:textId="77777777" w:rsidR="00682CE6" w:rsidRPr="001A559B" w:rsidRDefault="009878A3" w:rsidP="00BE06CE">
    <w:pPr>
      <w:tabs>
        <w:tab w:val="left" w:pos="-1440"/>
      </w:tabs>
      <w:ind w:left="5760" w:right="360" w:hanging="5760"/>
      <w:rPr>
        <w:b/>
        <w:sz w:val="22"/>
        <w:szCs w:val="22"/>
      </w:rPr>
    </w:pPr>
    <w:r>
      <w:rPr>
        <w:b/>
        <w:sz w:val="22"/>
        <w:szCs w:val="22"/>
      </w:rPr>
      <w:t>RIN:  1902-AF0</w:t>
    </w:r>
    <w:r w:rsidR="002B45F1">
      <w:rPr>
        <w:b/>
        <w:sz w:val="22"/>
        <w:szCs w:val="22"/>
      </w:rPr>
      <w:t>8</w:t>
    </w:r>
  </w:p>
  <w:p w14:paraId="0D79515F" w14:textId="77777777" w:rsidR="00BB46C7" w:rsidRPr="005C32C4" w:rsidRDefault="00B6435E" w:rsidP="00BE06CE">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7"/>
  </w:num>
  <w:num w:numId="5">
    <w:abstractNumId w:val="3"/>
  </w:num>
  <w:num w:numId="6">
    <w:abstractNumId w:val="8"/>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E"/>
    <w:rsid w:val="0010764F"/>
    <w:rsid w:val="001456AE"/>
    <w:rsid w:val="0020662B"/>
    <w:rsid w:val="00256088"/>
    <w:rsid w:val="002B45F1"/>
    <w:rsid w:val="002C118D"/>
    <w:rsid w:val="002D7F3A"/>
    <w:rsid w:val="002E7DA9"/>
    <w:rsid w:val="00353A27"/>
    <w:rsid w:val="00385B39"/>
    <w:rsid w:val="003A6CBA"/>
    <w:rsid w:val="003D2136"/>
    <w:rsid w:val="003F0E97"/>
    <w:rsid w:val="00504150"/>
    <w:rsid w:val="005B305F"/>
    <w:rsid w:val="00652747"/>
    <w:rsid w:val="00653765"/>
    <w:rsid w:val="00691DF4"/>
    <w:rsid w:val="006E49AD"/>
    <w:rsid w:val="007051A1"/>
    <w:rsid w:val="00725D1D"/>
    <w:rsid w:val="007777B4"/>
    <w:rsid w:val="007F3726"/>
    <w:rsid w:val="0094085E"/>
    <w:rsid w:val="00986AA7"/>
    <w:rsid w:val="009878A3"/>
    <w:rsid w:val="009C3D22"/>
    <w:rsid w:val="00A5298F"/>
    <w:rsid w:val="00AA44F5"/>
    <w:rsid w:val="00B6435E"/>
    <w:rsid w:val="00B83CB7"/>
    <w:rsid w:val="00B90ECF"/>
    <w:rsid w:val="00BC15BE"/>
    <w:rsid w:val="00BE7994"/>
    <w:rsid w:val="00C002D1"/>
    <w:rsid w:val="00C51371"/>
    <w:rsid w:val="00E639DE"/>
    <w:rsid w:val="00EC2AAF"/>
    <w:rsid w:val="00F45B52"/>
    <w:rsid w:val="00F56F9C"/>
    <w:rsid w:val="00F8150C"/>
    <w:rsid w:val="00FA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6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2015-11-05T00:00:00-05:00</Date>
    <Status xmlns="d6eefc7d-9817-4fa6-84d5-3bc009be21b8">Final</Status>
    <_x0032__x002e__x0020_Docket_x0020_Number xmlns="d6eefc7d-9817-4fa6-84d5-3bc009be21b8" xsi:nil="true"/>
    <_x0032__x002e__x0020_Collection_x0020_Number xmlns="d6eefc7d-9817-4fa6-84d5-3bc009be21b8">549C</_x0032__x002e__x0020_Collection_x0020_Number>
    <_x0031__x002e__x0020_Docket_x0020_Number xmlns="d6eefc7d-9817-4fa6-84d5-3bc009be21b8">RM96-1-038</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BDA1-40DB-49B2-9290-CFDEFDE88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F7434-2410-413C-AA07-BAD0241B9270}">
  <ds:schemaRefs>
    <ds:schemaRef ds:uri="http://schemas.microsoft.com/office/2006/metadata/customXsn"/>
  </ds:schemaRefs>
</ds:datastoreItem>
</file>

<file path=customXml/itemProps3.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4.xml><?xml version="1.0" encoding="utf-8"?>
<ds:datastoreItem xmlns:ds="http://schemas.openxmlformats.org/officeDocument/2006/customXml" ds:itemID="{23C472E6-E3F7-4C35-B2DC-3F4E7649F8B4}">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d6eefc7d-9817-4fa6-84d5-3bc009be21b8"/>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DED53209-9A76-4501-B01B-61EE502E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Ellen Brown</cp:lastModifiedBy>
  <cp:revision>3</cp:revision>
  <dcterms:created xsi:type="dcterms:W3CDTF">2015-11-05T16:39:00Z</dcterms:created>
  <dcterms:modified xsi:type="dcterms:W3CDTF">2015-11-05T16:40:00Z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