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BFE6" w14:textId="77777777" w:rsidR="007D4C26" w:rsidRPr="008A190A"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7158A52E" w14:textId="77777777" w:rsidR="00437DA2" w:rsidRPr="008A190A"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8A190A">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0C5D29D" w14:textId="77777777" w:rsidR="007D4C26" w:rsidRPr="008A190A"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702DC971" w14:textId="77777777" w:rsidR="00016546" w:rsidRPr="008A190A" w:rsidRDefault="00016546" w:rsidP="00016546">
      <w:pPr>
        <w:spacing w:after="0" w:line="240" w:lineRule="auto"/>
        <w:rPr>
          <w:rFonts w:cs="Arial"/>
          <w:sz w:val="18"/>
          <w:szCs w:val="18"/>
        </w:rPr>
      </w:pPr>
    </w:p>
    <w:p w14:paraId="2795F05C" w14:textId="2B29354B" w:rsidR="00AD4A97" w:rsidRPr="008A190A" w:rsidRDefault="00391556" w:rsidP="00AD4A97">
      <w:pPr>
        <w:tabs>
          <w:tab w:val="left" w:pos="1980"/>
          <w:tab w:val="left" w:pos="3330"/>
          <w:tab w:val="left" w:pos="5040"/>
        </w:tabs>
        <w:spacing w:after="0" w:line="360" w:lineRule="auto"/>
        <w:jc w:val="right"/>
        <w:rPr>
          <w:rFonts w:cs="Arial"/>
          <w:sz w:val="18"/>
          <w:szCs w:val="18"/>
        </w:rPr>
      </w:pPr>
      <w:r w:rsidRPr="008A190A">
        <w:rPr>
          <w:rFonts w:cs="Arial"/>
          <w:b/>
          <w:sz w:val="18"/>
          <w:szCs w:val="18"/>
        </w:rPr>
        <w:t>SUBMISSION DATE</w:t>
      </w:r>
      <w:r w:rsidR="00016546" w:rsidRPr="008A190A">
        <w:rPr>
          <w:rFonts w:cs="Arial"/>
          <w:b/>
          <w:sz w:val="18"/>
          <w:szCs w:val="18"/>
        </w:rPr>
        <w:t>:</w:t>
      </w:r>
      <w:r w:rsidR="008A190A" w:rsidRPr="008A190A">
        <w:rPr>
          <w:rFonts w:cs="Arial"/>
          <w:b/>
          <w:sz w:val="18"/>
          <w:szCs w:val="18"/>
        </w:rPr>
        <w:t>6-14-2017</w:t>
      </w:r>
      <w:r w:rsidR="00016546" w:rsidRPr="008A190A">
        <w:rPr>
          <w:rFonts w:cs="Arial"/>
          <w:sz w:val="18"/>
          <w:szCs w:val="18"/>
        </w:rPr>
        <w:tab/>
      </w:r>
    </w:p>
    <w:p w14:paraId="3E32BA16" w14:textId="77777777" w:rsidR="00016546" w:rsidRPr="008A190A" w:rsidRDefault="00391556" w:rsidP="00391556">
      <w:pPr>
        <w:tabs>
          <w:tab w:val="left" w:pos="1980"/>
          <w:tab w:val="left" w:pos="3330"/>
          <w:tab w:val="left" w:pos="5040"/>
        </w:tabs>
        <w:spacing w:after="0" w:line="360" w:lineRule="auto"/>
        <w:rPr>
          <w:rFonts w:cs="Arial"/>
        </w:rPr>
      </w:pPr>
      <w:r w:rsidRPr="008A190A">
        <w:rPr>
          <w:rFonts w:cs="Arial"/>
          <w:b/>
        </w:rPr>
        <w:t>PROJECT TITLE</w:t>
      </w:r>
      <w:r w:rsidR="00DA5C9A" w:rsidRPr="008A190A">
        <w:rPr>
          <w:rFonts w:cs="Arial"/>
          <w:b/>
        </w:rPr>
        <w:t>:</w:t>
      </w:r>
      <w:r w:rsidR="00DA5C9A" w:rsidRPr="008A190A">
        <w:rPr>
          <w:rFonts w:cs="Arial"/>
        </w:rPr>
        <w:tab/>
      </w:r>
      <w:r w:rsidR="002E6066" w:rsidRPr="008A190A">
        <w:rPr>
          <w:rFonts w:cstheme="minorHAnsi"/>
          <w:b/>
          <w:bCs/>
        </w:rPr>
        <w:t>Wrangell-St. Elias Backcountry Monitoring Study</w:t>
      </w:r>
    </w:p>
    <w:p w14:paraId="3B19AE77" w14:textId="77777777" w:rsidR="00DA5C9A" w:rsidRPr="008A190A" w:rsidRDefault="00391556" w:rsidP="007D4C26">
      <w:pPr>
        <w:pBdr>
          <w:top w:val="single" w:sz="48" w:space="1" w:color="76923C" w:themeColor="accent3" w:themeShade="BF"/>
        </w:pBdr>
        <w:tabs>
          <w:tab w:val="left" w:pos="1800"/>
        </w:tabs>
        <w:spacing w:after="0" w:line="360" w:lineRule="auto"/>
        <w:rPr>
          <w:rFonts w:cs="Arial"/>
        </w:rPr>
      </w:pPr>
      <w:r w:rsidRPr="008A190A">
        <w:rPr>
          <w:rFonts w:cs="Arial"/>
          <w:b/>
        </w:rPr>
        <w:t>ABSTRACT</w:t>
      </w:r>
      <w:r w:rsidR="0065616C" w:rsidRPr="008A190A">
        <w:rPr>
          <w:rFonts w:cs="Arial"/>
          <w:b/>
        </w:rPr>
        <w:t>:</w:t>
      </w:r>
      <w:r w:rsidR="00DA5C9A" w:rsidRPr="008A190A">
        <w:rPr>
          <w:rFonts w:cs="Arial"/>
        </w:rPr>
        <w:t xml:space="preserve"> </w:t>
      </w:r>
      <w:r w:rsidR="0065616C" w:rsidRPr="008A190A">
        <w:rPr>
          <w:rFonts w:cs="Arial"/>
        </w:rPr>
        <w:t xml:space="preserve"> </w:t>
      </w:r>
      <w:r w:rsidR="00DA5C9A" w:rsidRPr="008A190A">
        <w:rPr>
          <w:rFonts w:cs="Arial"/>
        </w:rPr>
        <w:t>(not to exceed 150 words)</w:t>
      </w:r>
    </w:p>
    <w:p w14:paraId="6346E837" w14:textId="05C9A5B0" w:rsidR="00DA5C9A" w:rsidRPr="008A190A" w:rsidRDefault="002E6066" w:rsidP="00F531D3">
      <w:pPr>
        <w:tabs>
          <w:tab w:val="left" w:pos="1800"/>
        </w:tabs>
        <w:spacing w:after="0"/>
        <w:rPr>
          <w:rFonts w:cstheme="minorHAnsi"/>
          <w:i/>
        </w:rPr>
      </w:pPr>
      <w:r w:rsidRPr="008A190A">
        <w:rPr>
          <w:rFonts w:cstheme="minorHAnsi"/>
          <w:i/>
        </w:rPr>
        <w:t>Wrangell-St. Elias National Park &amp; Preserve (WRST) is developing a Backcountry and Wilderness Stewardship Plan (BWSP) to guide management of its backcountry, wilderness character, and related resources.  The BWSP will identify management objectives related to visitor experiences and will include indicators, standards, and management actions designed to protect high-quality experiences and prevent degradation of resource conditions.  A mail</w:t>
      </w:r>
      <w:r w:rsidR="008A190A" w:rsidRPr="008A190A">
        <w:rPr>
          <w:rFonts w:cstheme="minorHAnsi"/>
          <w:i/>
        </w:rPr>
        <w:t>-</w:t>
      </w:r>
      <w:r w:rsidRPr="008A190A">
        <w:rPr>
          <w:rFonts w:cstheme="minorHAnsi"/>
          <w:i/>
        </w:rPr>
        <w:t xml:space="preserve">back questionnaire will be used </w:t>
      </w:r>
      <w:r w:rsidR="008A190A" w:rsidRPr="008A190A">
        <w:rPr>
          <w:rFonts w:cstheme="minorHAnsi"/>
          <w:i/>
        </w:rPr>
        <w:t>to collect information</w:t>
      </w:r>
      <w:r w:rsidR="00F531D3" w:rsidRPr="008A190A">
        <w:rPr>
          <w:rFonts w:cstheme="minorHAnsi"/>
          <w:i/>
        </w:rPr>
        <w:t>.</w:t>
      </w:r>
    </w:p>
    <w:p w14:paraId="32476FC8" w14:textId="77777777" w:rsidR="002E6066" w:rsidRPr="008A190A" w:rsidRDefault="002E6066" w:rsidP="00F531D3">
      <w:pPr>
        <w:tabs>
          <w:tab w:val="left" w:pos="1800"/>
        </w:tabs>
        <w:spacing w:after="0"/>
        <w:rPr>
          <w:rFonts w:cs="Arial"/>
          <w:i/>
        </w:rPr>
      </w:pPr>
    </w:p>
    <w:p w14:paraId="79981169" w14:textId="77777777" w:rsidR="00DA5C9A" w:rsidRPr="008A190A" w:rsidRDefault="00391556" w:rsidP="007D4C26">
      <w:pPr>
        <w:pBdr>
          <w:top w:val="single" w:sz="48" w:space="1" w:color="76923C" w:themeColor="accent3" w:themeShade="BF"/>
        </w:pBdr>
        <w:tabs>
          <w:tab w:val="left" w:pos="1800"/>
        </w:tabs>
        <w:spacing w:after="0" w:line="360" w:lineRule="auto"/>
        <w:rPr>
          <w:rFonts w:cs="Arial"/>
        </w:rPr>
      </w:pPr>
      <w:r w:rsidRPr="008A190A">
        <w:rPr>
          <w:rFonts w:cs="Arial"/>
          <w:b/>
        </w:rPr>
        <w:t>PRINCIPAL INVESTIGATOR CONTACT INFORMATION</w:t>
      </w:r>
      <w:r w:rsidR="0065616C" w:rsidRPr="008A190A">
        <w:rPr>
          <w:rFonts w:cs="Arial"/>
          <w:b/>
        </w:rPr>
        <w:t>:</w:t>
      </w:r>
    </w:p>
    <w:p w14:paraId="59E0ED77" w14:textId="77777777" w:rsidR="00DA5C9A" w:rsidRPr="008A190A" w:rsidRDefault="00DA5C9A" w:rsidP="0065616C">
      <w:pPr>
        <w:tabs>
          <w:tab w:val="left" w:pos="360"/>
          <w:tab w:val="left" w:pos="1440"/>
          <w:tab w:val="left" w:pos="5040"/>
          <w:tab w:val="left" w:pos="5760"/>
        </w:tabs>
        <w:spacing w:after="0" w:line="360" w:lineRule="auto"/>
        <w:rPr>
          <w:rFonts w:cs="Arial"/>
        </w:rPr>
      </w:pPr>
      <w:r w:rsidRPr="008A190A">
        <w:rPr>
          <w:rFonts w:cs="Arial"/>
        </w:rPr>
        <w:tab/>
        <w:t>Name:</w:t>
      </w:r>
      <w:r w:rsidRPr="008A190A">
        <w:rPr>
          <w:rFonts w:cs="Arial"/>
        </w:rPr>
        <w:tab/>
      </w:r>
      <w:r w:rsidR="002E6066" w:rsidRPr="008A190A">
        <w:rPr>
          <w:rFonts w:cstheme="minorHAnsi"/>
        </w:rPr>
        <w:t>Doug Whittaker, PhD, Senior researcher/planner</w:t>
      </w:r>
    </w:p>
    <w:p w14:paraId="2502E60B" w14:textId="77777777" w:rsidR="00DA5C9A" w:rsidRPr="008A190A" w:rsidRDefault="00DA5C9A" w:rsidP="0065616C">
      <w:pPr>
        <w:tabs>
          <w:tab w:val="left" w:pos="360"/>
          <w:tab w:val="left" w:pos="1440"/>
          <w:tab w:val="left" w:pos="5040"/>
          <w:tab w:val="left" w:pos="5760"/>
        </w:tabs>
        <w:spacing w:after="0" w:line="360" w:lineRule="auto"/>
        <w:rPr>
          <w:rFonts w:cs="Arial"/>
        </w:rPr>
      </w:pPr>
      <w:r w:rsidRPr="008A190A">
        <w:rPr>
          <w:rFonts w:cs="Arial"/>
        </w:rPr>
        <w:tab/>
        <w:t>Affiliation:</w:t>
      </w:r>
      <w:r w:rsidRPr="008A190A">
        <w:rPr>
          <w:rFonts w:cs="Arial"/>
        </w:rPr>
        <w:tab/>
      </w:r>
      <w:r w:rsidR="002E6066" w:rsidRPr="008A190A">
        <w:rPr>
          <w:rFonts w:cstheme="minorHAnsi"/>
          <w:bCs/>
        </w:rPr>
        <w:t>Confluence Research and Consulting</w:t>
      </w:r>
      <w:r w:rsidRPr="008A190A">
        <w:rPr>
          <w:rFonts w:cs="Arial"/>
        </w:rPr>
        <w:tab/>
      </w:r>
    </w:p>
    <w:p w14:paraId="7B3FF87A" w14:textId="77777777" w:rsidR="00F531D3" w:rsidRPr="008A190A" w:rsidRDefault="00F531D3" w:rsidP="00F531D3">
      <w:pPr>
        <w:tabs>
          <w:tab w:val="left" w:pos="360"/>
        </w:tabs>
        <w:rPr>
          <w:rFonts w:cstheme="minorHAnsi"/>
          <w:bCs/>
        </w:rPr>
      </w:pPr>
      <w:r w:rsidRPr="008A190A">
        <w:rPr>
          <w:rFonts w:cs="Arial"/>
        </w:rPr>
        <w:tab/>
      </w:r>
      <w:r w:rsidR="00DA5C9A" w:rsidRPr="008A190A">
        <w:rPr>
          <w:rFonts w:cs="Arial"/>
        </w:rPr>
        <w:t>Address:</w:t>
      </w:r>
      <w:r w:rsidR="00DA5C9A" w:rsidRPr="008A190A">
        <w:rPr>
          <w:rFonts w:cs="Arial"/>
        </w:rPr>
        <w:tab/>
      </w:r>
      <w:r w:rsidR="002E6066" w:rsidRPr="008A190A">
        <w:rPr>
          <w:rFonts w:ascii="Calibri" w:eastAsia="Times New Roman" w:hAnsi="Calibri" w:cs="Calibri"/>
        </w:rPr>
        <w:t>6324 Red Tree Circle, Anchorage, AK 99507</w:t>
      </w:r>
    </w:p>
    <w:p w14:paraId="602C6145" w14:textId="77777777" w:rsidR="00F531D3" w:rsidRPr="008A190A" w:rsidRDefault="00F531D3" w:rsidP="0065616C">
      <w:pPr>
        <w:tabs>
          <w:tab w:val="left" w:pos="360"/>
          <w:tab w:val="left" w:pos="1440"/>
          <w:tab w:val="left" w:pos="5040"/>
          <w:tab w:val="left" w:pos="5760"/>
        </w:tabs>
        <w:spacing w:after="0" w:line="360" w:lineRule="auto"/>
        <w:rPr>
          <w:rFonts w:cs="Arial"/>
        </w:rPr>
      </w:pPr>
      <w:r w:rsidRPr="008A190A">
        <w:rPr>
          <w:rFonts w:cs="Arial"/>
        </w:rPr>
        <w:tab/>
        <w:t xml:space="preserve"> Phone:</w:t>
      </w:r>
      <w:r w:rsidRPr="008A190A">
        <w:rPr>
          <w:rFonts w:cs="Arial"/>
        </w:rPr>
        <w:tab/>
      </w:r>
      <w:r w:rsidR="002E6066" w:rsidRPr="008A190A">
        <w:rPr>
          <w:rFonts w:ascii="Calibri" w:eastAsia="Times New Roman" w:hAnsi="Calibri" w:cs="Calibri"/>
        </w:rPr>
        <w:t>907 346 3769</w:t>
      </w:r>
    </w:p>
    <w:p w14:paraId="219C8523" w14:textId="77777777" w:rsidR="00947B88" w:rsidRPr="008A190A" w:rsidRDefault="00947B88" w:rsidP="0065616C">
      <w:pPr>
        <w:tabs>
          <w:tab w:val="left" w:pos="360"/>
          <w:tab w:val="left" w:pos="1440"/>
          <w:tab w:val="left" w:pos="5040"/>
          <w:tab w:val="left" w:pos="5760"/>
        </w:tabs>
        <w:spacing w:after="0" w:line="360" w:lineRule="auto"/>
        <w:rPr>
          <w:rFonts w:cs="Arial"/>
        </w:rPr>
      </w:pPr>
      <w:r w:rsidRPr="008A190A">
        <w:rPr>
          <w:rFonts w:cs="Arial"/>
        </w:rPr>
        <w:tab/>
        <w:t>Email:</w:t>
      </w:r>
      <w:r w:rsidRPr="008A190A">
        <w:rPr>
          <w:rFonts w:cs="Arial"/>
        </w:rPr>
        <w:tab/>
      </w:r>
      <w:hyperlink r:id="rId8" w:history="1">
        <w:r w:rsidR="002E6066" w:rsidRPr="008A190A">
          <w:rPr>
            <w:rFonts w:ascii="Calibri" w:eastAsia="Times New Roman" w:hAnsi="Calibri" w:cs="Calibri"/>
            <w:u w:val="single"/>
          </w:rPr>
          <w:t>dougwhit@alaska.net</w:t>
        </w:r>
      </w:hyperlink>
    </w:p>
    <w:p w14:paraId="0CAC46DE" w14:textId="77777777" w:rsidR="00947B88" w:rsidRPr="008A190A" w:rsidRDefault="00391556" w:rsidP="007D4C26">
      <w:pPr>
        <w:pBdr>
          <w:top w:val="single" w:sz="18" w:space="1" w:color="76923C" w:themeColor="accent3" w:themeShade="BF"/>
        </w:pBdr>
        <w:tabs>
          <w:tab w:val="left" w:pos="1800"/>
        </w:tabs>
        <w:spacing w:after="0" w:line="360" w:lineRule="auto"/>
        <w:rPr>
          <w:rFonts w:cs="Arial"/>
        </w:rPr>
      </w:pPr>
      <w:r w:rsidRPr="008A190A">
        <w:rPr>
          <w:rFonts w:cs="Arial"/>
          <w:b/>
        </w:rPr>
        <w:t>PARK OR PROGRAM LIAISON</w:t>
      </w:r>
      <w:r w:rsidR="00947B88" w:rsidRPr="008A190A">
        <w:rPr>
          <w:rFonts w:cs="Arial"/>
          <w:b/>
        </w:rPr>
        <w:t xml:space="preserve"> </w:t>
      </w:r>
      <w:r w:rsidRPr="008A190A">
        <w:rPr>
          <w:rFonts w:cs="Arial"/>
          <w:b/>
        </w:rPr>
        <w:t>CONTACT INFORMATION</w:t>
      </w:r>
      <w:r w:rsidR="0065616C" w:rsidRPr="008A190A">
        <w:rPr>
          <w:rFonts w:cs="Arial"/>
          <w:b/>
        </w:rPr>
        <w:t>:</w:t>
      </w:r>
    </w:p>
    <w:p w14:paraId="48275A23" w14:textId="77777777" w:rsidR="00947B88" w:rsidRPr="008A190A" w:rsidRDefault="00947B88" w:rsidP="0065616C">
      <w:pPr>
        <w:tabs>
          <w:tab w:val="left" w:pos="360"/>
          <w:tab w:val="left" w:pos="1440"/>
          <w:tab w:val="left" w:pos="5040"/>
          <w:tab w:val="left" w:pos="5760"/>
        </w:tabs>
        <w:spacing w:after="0" w:line="360" w:lineRule="auto"/>
        <w:rPr>
          <w:rFonts w:cs="Arial"/>
        </w:rPr>
      </w:pPr>
      <w:r w:rsidRPr="008A190A">
        <w:rPr>
          <w:rFonts w:cs="Arial"/>
        </w:rPr>
        <w:tab/>
        <w:t>Name:</w:t>
      </w:r>
      <w:r w:rsidRPr="008A190A">
        <w:rPr>
          <w:rFonts w:cs="Arial"/>
        </w:rPr>
        <w:tab/>
      </w:r>
      <w:r w:rsidR="002E6066" w:rsidRPr="008A190A">
        <w:rPr>
          <w:rFonts w:cstheme="minorHAnsi"/>
          <w:bCs/>
          <w:szCs w:val="20"/>
        </w:rPr>
        <w:t>Bruce Rogers or Nyssa Landres, Planners</w:t>
      </w:r>
    </w:p>
    <w:p w14:paraId="28B9BFFE" w14:textId="77777777" w:rsidR="00947B88" w:rsidRPr="008A190A" w:rsidRDefault="00947B88" w:rsidP="0065616C">
      <w:pPr>
        <w:tabs>
          <w:tab w:val="left" w:pos="360"/>
          <w:tab w:val="left" w:pos="1440"/>
          <w:tab w:val="left" w:pos="5040"/>
          <w:tab w:val="left" w:pos="5760"/>
        </w:tabs>
        <w:spacing w:after="0" w:line="360" w:lineRule="auto"/>
        <w:rPr>
          <w:rFonts w:cs="Arial"/>
        </w:rPr>
      </w:pPr>
      <w:r w:rsidRPr="008A190A">
        <w:rPr>
          <w:rFonts w:cs="Arial"/>
        </w:rPr>
        <w:tab/>
      </w:r>
      <w:r w:rsidR="002E6066" w:rsidRPr="008A190A">
        <w:rPr>
          <w:rFonts w:cs="Arial"/>
        </w:rPr>
        <w:t>Park:</w:t>
      </w:r>
      <w:r w:rsidRPr="008A190A">
        <w:rPr>
          <w:rFonts w:cs="Arial"/>
        </w:rPr>
        <w:tab/>
      </w:r>
      <w:r w:rsidR="002E6066" w:rsidRPr="008A190A">
        <w:rPr>
          <w:rFonts w:cstheme="minorHAnsi"/>
          <w:bCs/>
          <w:szCs w:val="20"/>
        </w:rPr>
        <w:t>Wrangell – St. Elias NPP</w:t>
      </w:r>
    </w:p>
    <w:p w14:paraId="79072D7D" w14:textId="77777777" w:rsidR="00F531D3" w:rsidRPr="008A190A" w:rsidRDefault="00947B88" w:rsidP="0065616C">
      <w:pPr>
        <w:tabs>
          <w:tab w:val="left" w:pos="360"/>
          <w:tab w:val="left" w:pos="1440"/>
          <w:tab w:val="left" w:pos="5040"/>
          <w:tab w:val="left" w:pos="5760"/>
        </w:tabs>
        <w:spacing w:after="0" w:line="360" w:lineRule="auto"/>
        <w:rPr>
          <w:rFonts w:cs="Arial"/>
        </w:rPr>
      </w:pPr>
      <w:r w:rsidRPr="008A190A">
        <w:rPr>
          <w:rFonts w:cs="Arial"/>
        </w:rPr>
        <w:tab/>
        <w:t>Address:</w:t>
      </w:r>
      <w:r w:rsidRPr="008A190A">
        <w:rPr>
          <w:rFonts w:cs="Arial"/>
        </w:rPr>
        <w:tab/>
      </w:r>
      <w:r w:rsidR="002E6066" w:rsidRPr="008A190A">
        <w:rPr>
          <w:rFonts w:cstheme="minorHAnsi"/>
          <w:bCs/>
          <w:szCs w:val="20"/>
        </w:rPr>
        <w:t>Mile 106.8 PO Box 43, Copper Center AK 99573</w:t>
      </w:r>
      <w:r w:rsidR="00F531D3" w:rsidRPr="008A190A">
        <w:rPr>
          <w:rFonts w:cs="Arial"/>
        </w:rPr>
        <w:t xml:space="preserve"> </w:t>
      </w:r>
    </w:p>
    <w:p w14:paraId="236919C9" w14:textId="77777777" w:rsidR="00947B88" w:rsidRPr="008A190A" w:rsidRDefault="00F531D3" w:rsidP="0065616C">
      <w:pPr>
        <w:tabs>
          <w:tab w:val="left" w:pos="360"/>
          <w:tab w:val="left" w:pos="1440"/>
          <w:tab w:val="left" w:pos="5040"/>
          <w:tab w:val="left" w:pos="5760"/>
        </w:tabs>
        <w:spacing w:after="0" w:line="360" w:lineRule="auto"/>
        <w:rPr>
          <w:rFonts w:cs="Arial"/>
        </w:rPr>
      </w:pPr>
      <w:r w:rsidRPr="008A190A">
        <w:rPr>
          <w:rFonts w:cs="Arial"/>
        </w:rPr>
        <w:tab/>
        <w:t>Phone:</w:t>
      </w:r>
      <w:r w:rsidRPr="008A190A">
        <w:rPr>
          <w:rFonts w:cstheme="minorHAnsi"/>
          <w:bCs/>
          <w:szCs w:val="20"/>
        </w:rPr>
        <w:t xml:space="preserve"> </w:t>
      </w:r>
      <w:r w:rsidR="002E6066" w:rsidRPr="008A190A">
        <w:rPr>
          <w:rFonts w:cstheme="minorHAnsi"/>
          <w:bCs/>
          <w:szCs w:val="20"/>
        </w:rPr>
        <w:tab/>
      </w:r>
      <w:r w:rsidR="002E6066" w:rsidRPr="008A190A">
        <w:rPr>
          <w:rFonts w:ascii="Calibri" w:eastAsia="Times New Roman" w:hAnsi="Calibri" w:cs="Calibri"/>
          <w:sz w:val="20"/>
          <w:szCs w:val="20"/>
        </w:rPr>
        <w:t>907 822 7240</w:t>
      </w:r>
    </w:p>
    <w:p w14:paraId="120EF3C9" w14:textId="77777777" w:rsidR="00947B88" w:rsidRPr="008A190A"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8A190A">
        <w:rPr>
          <w:rFonts w:cs="Arial"/>
        </w:rPr>
        <w:tab/>
        <w:t>Email:</w:t>
      </w:r>
      <w:r w:rsidRPr="008A190A">
        <w:rPr>
          <w:rFonts w:cs="Arial"/>
        </w:rPr>
        <w:tab/>
      </w:r>
      <w:hyperlink r:id="rId9" w:history="1">
        <w:r w:rsidR="002E6066" w:rsidRPr="008A190A">
          <w:rPr>
            <w:rStyle w:val="Hyperlink"/>
            <w:rFonts w:cstheme="minorBidi"/>
            <w:color w:val="auto"/>
          </w:rPr>
          <w:t>bruce_rogers@nps.gov</w:t>
        </w:r>
      </w:hyperlink>
      <w:r w:rsidR="002E6066" w:rsidRPr="008A190A">
        <w:t xml:space="preserve">; </w:t>
      </w:r>
      <w:hyperlink r:id="rId10" w:history="1">
        <w:r w:rsidR="002E6066" w:rsidRPr="008A190A">
          <w:rPr>
            <w:rStyle w:val="Hyperlink"/>
            <w:rFonts w:cstheme="minorBidi"/>
            <w:color w:val="auto"/>
          </w:rPr>
          <w:t>nyssa_landres@nps.gov</w:t>
        </w:r>
      </w:hyperlink>
    </w:p>
    <w:p w14:paraId="62AB2F99" w14:textId="77777777" w:rsidR="007D4C26" w:rsidRPr="008A190A" w:rsidRDefault="007D4C26">
      <w:pPr>
        <w:rPr>
          <w:rFonts w:cs="Arial"/>
          <w:b/>
        </w:rPr>
      </w:pPr>
    </w:p>
    <w:p w14:paraId="5C4DE8A8" w14:textId="77777777" w:rsidR="00B80788" w:rsidRPr="008A190A" w:rsidRDefault="00B80788">
      <w:pPr>
        <w:rPr>
          <w:rFonts w:cs="Arial"/>
          <w:b/>
        </w:rPr>
      </w:pPr>
      <w:r w:rsidRPr="008A190A">
        <w:rPr>
          <w:rFonts w:cs="Arial"/>
          <w:b/>
        </w:rPr>
        <w:br w:type="page"/>
      </w:r>
    </w:p>
    <w:p w14:paraId="33E35A56" w14:textId="77777777" w:rsidR="0065616C" w:rsidRPr="008A190A"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8A190A">
        <w:rPr>
          <w:rFonts w:cs="Arial"/>
          <w:b/>
        </w:rPr>
        <w:lastRenderedPageBreak/>
        <w:t>PROJECT INFORMATION</w:t>
      </w:r>
      <w:r w:rsidR="0065616C" w:rsidRPr="008A190A">
        <w:rPr>
          <w:rFonts w:cs="Arial"/>
          <w:b/>
        </w:rPr>
        <w:t>:</w:t>
      </w:r>
    </w:p>
    <w:p w14:paraId="340D5EE6" w14:textId="77777777" w:rsidR="0065616C" w:rsidRPr="008A190A" w:rsidRDefault="0065616C" w:rsidP="0065616C">
      <w:pPr>
        <w:tabs>
          <w:tab w:val="left" w:pos="360"/>
          <w:tab w:val="left" w:pos="1440"/>
          <w:tab w:val="left" w:pos="5040"/>
          <w:tab w:val="left" w:pos="5760"/>
        </w:tabs>
        <w:spacing w:after="0" w:line="360" w:lineRule="auto"/>
        <w:rPr>
          <w:rFonts w:cs="Arial"/>
        </w:rPr>
      </w:pPr>
      <w:r w:rsidRPr="008A190A">
        <w:rPr>
          <w:rFonts w:cs="Arial"/>
        </w:rPr>
        <w:tab/>
        <w:t>Where w</w:t>
      </w:r>
      <w:r w:rsidR="00F531D3" w:rsidRPr="008A190A">
        <w:rPr>
          <w:rFonts w:cs="Arial"/>
        </w:rPr>
        <w:t xml:space="preserve">ill the collection take </w:t>
      </w:r>
      <w:r w:rsidR="00AE2129" w:rsidRPr="008A190A">
        <w:rPr>
          <w:rFonts w:cs="Arial"/>
        </w:rPr>
        <w:t>place</w:t>
      </w:r>
      <w:r w:rsidR="00F531D3" w:rsidRPr="008A190A">
        <w:rPr>
          <w:rFonts w:cs="Arial"/>
        </w:rPr>
        <w:t xml:space="preserve">? </w:t>
      </w:r>
      <w:r w:rsidR="002E6066" w:rsidRPr="008A190A">
        <w:rPr>
          <w:rFonts w:cstheme="minorHAnsi"/>
          <w:bCs/>
        </w:rPr>
        <w:t>Wrangell-St. Elias National Park</w:t>
      </w:r>
    </w:p>
    <w:p w14:paraId="7FFE663B" w14:textId="77777777" w:rsidR="0065616C" w:rsidRPr="008A190A" w:rsidRDefault="0065616C" w:rsidP="0065616C">
      <w:pPr>
        <w:tabs>
          <w:tab w:val="left" w:pos="360"/>
          <w:tab w:val="left" w:pos="1440"/>
          <w:tab w:val="left" w:pos="2160"/>
          <w:tab w:val="left" w:pos="5040"/>
          <w:tab w:val="left" w:pos="5760"/>
        </w:tabs>
        <w:spacing w:after="0" w:line="360" w:lineRule="auto"/>
        <w:rPr>
          <w:rFonts w:cs="Arial"/>
        </w:rPr>
      </w:pPr>
      <w:r w:rsidRPr="008A190A">
        <w:rPr>
          <w:rFonts w:cs="Arial"/>
        </w:rPr>
        <w:tab/>
        <w:t xml:space="preserve">Sampling Period Start Date:  </w:t>
      </w:r>
      <w:r w:rsidR="00F531D3" w:rsidRPr="008A190A">
        <w:rPr>
          <w:rFonts w:cs="Arial"/>
        </w:rPr>
        <w:t xml:space="preserve">July 1, 2017    Sampling Period End Date:  </w:t>
      </w:r>
      <w:r w:rsidR="002E6066" w:rsidRPr="008A190A">
        <w:rPr>
          <w:rFonts w:cs="Arial"/>
        </w:rPr>
        <w:t xml:space="preserve">October </w:t>
      </w:r>
      <w:r w:rsidR="00F531D3" w:rsidRPr="008A190A">
        <w:rPr>
          <w:rFonts w:cs="Arial"/>
        </w:rPr>
        <w:t>, 201</w:t>
      </w:r>
      <w:r w:rsidR="002E6066" w:rsidRPr="008A190A">
        <w:rPr>
          <w:rFonts w:cs="Arial"/>
        </w:rPr>
        <w:t>8</w:t>
      </w:r>
    </w:p>
    <w:p w14:paraId="5DA4ECFA" w14:textId="77777777" w:rsidR="0065616C" w:rsidRPr="008A190A" w:rsidRDefault="0065616C" w:rsidP="0065616C">
      <w:pPr>
        <w:tabs>
          <w:tab w:val="left" w:pos="360"/>
          <w:tab w:val="left" w:pos="1440"/>
          <w:tab w:val="left" w:pos="2160"/>
          <w:tab w:val="left" w:pos="5040"/>
          <w:tab w:val="left" w:pos="5760"/>
        </w:tabs>
        <w:spacing w:after="0" w:line="360" w:lineRule="auto"/>
        <w:rPr>
          <w:rFonts w:cs="Arial"/>
        </w:rPr>
      </w:pPr>
      <w:r w:rsidRPr="008A190A">
        <w:rPr>
          <w:rFonts w:cs="Arial"/>
        </w:rPr>
        <w:tab/>
        <w:t>Type of Information Collection Instrument:  (Check ALL that Apply)</w:t>
      </w:r>
    </w:p>
    <w:p w14:paraId="1B24234A" w14:textId="77777777" w:rsidR="0065616C" w:rsidRPr="008A190A"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ab/>
      </w:r>
      <w:r w:rsidRPr="008A190A">
        <w:rPr>
          <w:rFonts w:cs="Arial"/>
        </w:rPr>
        <w:tab/>
      </w:r>
      <w:r w:rsidR="00F531D3" w:rsidRPr="008A190A">
        <w:rPr>
          <w:rFonts w:cs="Arial"/>
          <w:sz w:val="28"/>
          <w:szCs w:val="28"/>
        </w:rPr>
        <w:sym w:font="Wingdings 2" w:char="F054"/>
      </w:r>
      <w:r w:rsidRPr="008A190A">
        <w:rPr>
          <w:rFonts w:cs="Arial"/>
        </w:rPr>
        <w:t xml:space="preserve">  Mail-Back Questionnaire</w:t>
      </w:r>
      <w:r w:rsidRPr="008A190A">
        <w:rPr>
          <w:rFonts w:cs="Arial"/>
        </w:rPr>
        <w:tab/>
      </w:r>
      <w:r w:rsidR="00F531D3" w:rsidRPr="008A190A">
        <w:rPr>
          <w:rFonts w:cs="Arial"/>
          <w:sz w:val="28"/>
          <w:szCs w:val="28"/>
        </w:rPr>
        <w:sym w:font="Wingdings 2" w:char="F0A3"/>
      </w:r>
      <w:r w:rsidRPr="008A190A">
        <w:rPr>
          <w:rFonts w:cs="Arial"/>
        </w:rPr>
        <w:t xml:space="preserve">  Face-to-Face Interview</w:t>
      </w:r>
      <w:r w:rsidRPr="008A190A">
        <w:rPr>
          <w:rFonts w:cs="Arial"/>
        </w:rPr>
        <w:tab/>
      </w:r>
      <w:r w:rsidRPr="008A190A">
        <w:rPr>
          <w:rFonts w:cs="Arial"/>
        </w:rPr>
        <w:tab/>
      </w:r>
      <w:r w:rsidR="00F531D3" w:rsidRPr="008A190A">
        <w:rPr>
          <w:rFonts w:cs="Arial"/>
          <w:sz w:val="28"/>
          <w:szCs w:val="28"/>
        </w:rPr>
        <w:sym w:font="Wingdings 2" w:char="F0A3"/>
      </w:r>
      <w:r w:rsidRPr="008A190A">
        <w:rPr>
          <w:rFonts w:cs="Arial"/>
        </w:rPr>
        <w:t xml:space="preserve">  Focus Groups</w:t>
      </w:r>
    </w:p>
    <w:p w14:paraId="546A9A02" w14:textId="77777777" w:rsidR="0065616C" w:rsidRPr="008A190A"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ab/>
      </w:r>
      <w:r w:rsidRPr="008A190A">
        <w:rPr>
          <w:rFonts w:cs="Arial"/>
        </w:rPr>
        <w:tab/>
      </w:r>
      <w:r w:rsidR="00F531D3" w:rsidRPr="008A190A">
        <w:rPr>
          <w:rFonts w:cs="Arial"/>
          <w:sz w:val="28"/>
          <w:szCs w:val="28"/>
        </w:rPr>
        <w:sym w:font="Wingdings 2" w:char="F0A3"/>
      </w:r>
      <w:r w:rsidRPr="008A190A">
        <w:rPr>
          <w:rFonts w:cs="Arial"/>
        </w:rPr>
        <w:t xml:space="preserve">  On-Site Questionnaire</w:t>
      </w:r>
      <w:r w:rsidRPr="008A190A">
        <w:rPr>
          <w:rFonts w:cs="Arial"/>
        </w:rPr>
        <w:tab/>
      </w:r>
      <w:r w:rsidR="00F531D3" w:rsidRPr="008A190A">
        <w:rPr>
          <w:rFonts w:cs="Arial"/>
          <w:sz w:val="28"/>
          <w:szCs w:val="28"/>
        </w:rPr>
        <w:sym w:font="Wingdings 2" w:char="F0A3"/>
      </w:r>
      <w:r w:rsidRPr="008A190A">
        <w:rPr>
          <w:rFonts w:cs="Arial"/>
        </w:rPr>
        <w:t xml:space="preserve">  Telephone Survey</w:t>
      </w:r>
    </w:p>
    <w:p w14:paraId="18A32D8C" w14:textId="77777777" w:rsidR="0065616C" w:rsidRPr="008A190A"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ab/>
      </w:r>
      <w:r w:rsidRPr="008A190A">
        <w:rPr>
          <w:rFonts w:cs="Arial"/>
        </w:rPr>
        <w:tab/>
      </w:r>
      <w:r w:rsidR="00F531D3" w:rsidRPr="008A190A">
        <w:rPr>
          <w:rFonts w:cs="Arial"/>
          <w:sz w:val="28"/>
          <w:szCs w:val="28"/>
        </w:rPr>
        <w:sym w:font="Wingdings 2" w:char="F0A3"/>
      </w:r>
      <w:r w:rsidRPr="008A190A">
        <w:rPr>
          <w:rFonts w:cs="Arial"/>
        </w:rPr>
        <w:t xml:space="preserve">  Other (List)  </w:t>
      </w:r>
    </w:p>
    <w:p w14:paraId="47172023" w14:textId="77777777" w:rsidR="00BB4F22" w:rsidRPr="008A190A"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ab/>
        <w:t xml:space="preserve">Will an electronic device be used to collect information?  </w:t>
      </w:r>
      <w:r w:rsidR="002E6066" w:rsidRPr="008A190A">
        <w:rPr>
          <w:rFonts w:cs="Arial"/>
          <w:sz w:val="28"/>
          <w:szCs w:val="28"/>
        </w:rPr>
        <w:sym w:font="Wingdings 2" w:char="F054"/>
      </w:r>
      <w:r w:rsidR="00BB4F22" w:rsidRPr="008A190A">
        <w:rPr>
          <w:rFonts w:cs="Arial"/>
        </w:rPr>
        <w:t xml:space="preserve">  No  </w:t>
      </w:r>
      <w:r w:rsidR="00F531D3" w:rsidRPr="008A190A">
        <w:rPr>
          <w:rFonts w:cs="Arial"/>
          <w:sz w:val="28"/>
          <w:szCs w:val="28"/>
        </w:rPr>
        <w:sym w:font="Wingdings 2" w:char="F0A3"/>
      </w:r>
      <w:r w:rsidR="00BB4F22" w:rsidRPr="008A190A">
        <w:rPr>
          <w:rFonts w:cs="Arial"/>
        </w:rPr>
        <w:t xml:space="preserve">  Yes – Type of Device:  </w:t>
      </w:r>
    </w:p>
    <w:p w14:paraId="5D38B51B" w14:textId="77777777" w:rsidR="00BB4F22" w:rsidRPr="008A190A"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8A190A">
        <w:rPr>
          <w:rFonts w:cs="Arial"/>
          <w:b/>
        </w:rPr>
        <w:t>SURVEY JUSTIFICATION</w:t>
      </w:r>
      <w:r w:rsidR="00BB4F22" w:rsidRPr="008A190A">
        <w:rPr>
          <w:rFonts w:cs="Arial"/>
          <w:b/>
        </w:rPr>
        <w:t>:</w:t>
      </w:r>
    </w:p>
    <w:p w14:paraId="6388B734" w14:textId="77777777" w:rsidR="00BB4F22" w:rsidRPr="008A190A"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8A190A">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0EE94366" w14:textId="47F122F3" w:rsidR="002E6066" w:rsidRPr="008A190A" w:rsidRDefault="002E6066" w:rsidP="002E6066">
      <w:pPr>
        <w:spacing w:line="360" w:lineRule="auto"/>
        <w:rPr>
          <w:rFonts w:eastAsia="Times New Roman" w:cstheme="minorHAnsi"/>
        </w:rPr>
      </w:pPr>
      <w:r w:rsidRPr="008A190A">
        <w:rPr>
          <w:rFonts w:eastAsia="Times New Roman" w:cstheme="minorHAnsi"/>
        </w:rPr>
        <w:t>Wrangell-St. Elias National Park &amp; Preserve (WRST) has experienced increased backcountry visitation over the past decade.  In other areas similar to this location, studies have shown that higher use is often correlated with a degraded quality of visitor experiences and increased biophysical and cultural resource impacts.  The need to monitor experiential and resource issues has become a major focus of backcountry stewardship management and planning.   Backcountry and Wilderness Stewardship Planning (BWSP) process began in spring 2015 and is expected to be complete in 2018.  The BWSP will amend the WRST 1986 General Management Plan.  It will help park staff guide programs and set priorities for resources stewardship and science, visitor use, facilities and operations for specific areas of the WRST backcountry and wilderness for the next 20 years. The WRST Backcountry and Wilderness Stewardship Plan (BWSP) will be used to:</w:t>
      </w:r>
    </w:p>
    <w:p w14:paraId="25CB5D0C" w14:textId="77777777" w:rsidR="002E6066" w:rsidRPr="008A190A" w:rsidRDefault="002E6066" w:rsidP="001D7AE1">
      <w:pPr>
        <w:pStyle w:val="NoSpacing"/>
        <w:numPr>
          <w:ilvl w:val="0"/>
          <w:numId w:val="12"/>
        </w:numPr>
        <w:rPr>
          <w:rFonts w:asciiTheme="minorHAnsi" w:hAnsiTheme="minorHAnsi"/>
          <w:sz w:val="22"/>
          <w:szCs w:val="22"/>
        </w:rPr>
      </w:pPr>
      <w:r w:rsidRPr="008A190A">
        <w:rPr>
          <w:rFonts w:asciiTheme="minorHAnsi" w:hAnsiTheme="minorHAnsi"/>
          <w:sz w:val="22"/>
          <w:szCs w:val="22"/>
        </w:rPr>
        <w:t>guide management of its backcountry</w:t>
      </w:r>
    </w:p>
    <w:p w14:paraId="05BD69A8" w14:textId="77777777" w:rsidR="002E6066" w:rsidRPr="008A190A" w:rsidRDefault="002E6066" w:rsidP="001D7AE1">
      <w:pPr>
        <w:pStyle w:val="NoSpacing"/>
        <w:numPr>
          <w:ilvl w:val="0"/>
          <w:numId w:val="12"/>
        </w:numPr>
        <w:rPr>
          <w:rFonts w:asciiTheme="minorHAnsi" w:hAnsiTheme="minorHAnsi"/>
          <w:sz w:val="22"/>
          <w:szCs w:val="22"/>
        </w:rPr>
      </w:pPr>
      <w:r w:rsidRPr="008A190A">
        <w:rPr>
          <w:rFonts w:asciiTheme="minorHAnsi" w:hAnsiTheme="minorHAnsi"/>
          <w:sz w:val="22"/>
          <w:szCs w:val="22"/>
        </w:rPr>
        <w:t xml:space="preserve">identify desired future conditions; </w:t>
      </w:r>
    </w:p>
    <w:p w14:paraId="4E8B12C5" w14:textId="77777777" w:rsidR="002E6066" w:rsidRPr="008A190A" w:rsidRDefault="002E6066" w:rsidP="001D7AE1">
      <w:pPr>
        <w:pStyle w:val="NoSpacing"/>
        <w:numPr>
          <w:ilvl w:val="0"/>
          <w:numId w:val="12"/>
        </w:numPr>
        <w:rPr>
          <w:rFonts w:asciiTheme="minorHAnsi" w:hAnsiTheme="minorHAnsi"/>
          <w:sz w:val="22"/>
          <w:szCs w:val="22"/>
        </w:rPr>
      </w:pPr>
      <w:r w:rsidRPr="008A190A">
        <w:rPr>
          <w:rFonts w:asciiTheme="minorHAnsi" w:hAnsiTheme="minorHAnsi"/>
          <w:sz w:val="22"/>
          <w:szCs w:val="22"/>
        </w:rPr>
        <w:t xml:space="preserve">provide comprehensive management prescriptions; </w:t>
      </w:r>
    </w:p>
    <w:p w14:paraId="485BE702" w14:textId="77777777" w:rsidR="002E6066" w:rsidRPr="008A190A" w:rsidRDefault="002E6066" w:rsidP="001D7AE1">
      <w:pPr>
        <w:pStyle w:val="NoSpacing"/>
        <w:numPr>
          <w:ilvl w:val="0"/>
          <w:numId w:val="12"/>
        </w:numPr>
        <w:rPr>
          <w:rFonts w:asciiTheme="minorHAnsi" w:hAnsiTheme="minorHAnsi"/>
          <w:sz w:val="22"/>
          <w:szCs w:val="22"/>
        </w:rPr>
      </w:pPr>
      <w:r w:rsidRPr="008A190A">
        <w:rPr>
          <w:rFonts w:asciiTheme="minorHAnsi" w:hAnsiTheme="minorHAnsi"/>
          <w:sz w:val="22"/>
          <w:szCs w:val="22"/>
        </w:rPr>
        <w:t xml:space="preserve">develop specific management indicators and standards to protect wilderness character and protect opportunities for high quality visitor experiences; and </w:t>
      </w:r>
    </w:p>
    <w:p w14:paraId="08BA1098" w14:textId="77777777" w:rsidR="002E6066" w:rsidRPr="008A190A" w:rsidRDefault="002E6066" w:rsidP="001D7AE1">
      <w:pPr>
        <w:pStyle w:val="NoSpacing"/>
        <w:numPr>
          <w:ilvl w:val="0"/>
          <w:numId w:val="12"/>
        </w:numPr>
        <w:rPr>
          <w:rFonts w:asciiTheme="minorHAnsi" w:hAnsiTheme="minorHAnsi"/>
          <w:sz w:val="22"/>
          <w:szCs w:val="22"/>
        </w:rPr>
      </w:pPr>
      <w:r w:rsidRPr="008A190A">
        <w:rPr>
          <w:rFonts w:asciiTheme="minorHAnsi" w:hAnsiTheme="minorHAnsi"/>
          <w:sz w:val="22"/>
          <w:szCs w:val="22"/>
        </w:rPr>
        <w:t xml:space="preserve">identify management tools to address recreational and commercial uses and provide for customary and traditional subsistence activities.  </w:t>
      </w:r>
    </w:p>
    <w:p w14:paraId="651B5B07" w14:textId="77777777" w:rsidR="001D7AE1" w:rsidRPr="008A190A" w:rsidRDefault="001D7AE1" w:rsidP="001D7AE1">
      <w:pPr>
        <w:pStyle w:val="NoSpacing"/>
        <w:ind w:left="720"/>
        <w:rPr>
          <w:rFonts w:asciiTheme="minorHAnsi" w:hAnsiTheme="minorHAnsi"/>
          <w:sz w:val="22"/>
          <w:szCs w:val="22"/>
        </w:rPr>
      </w:pPr>
    </w:p>
    <w:p w14:paraId="65800424" w14:textId="77777777" w:rsidR="002E6066" w:rsidRPr="008A190A" w:rsidRDefault="002E6066" w:rsidP="002E6066">
      <w:pPr>
        <w:spacing w:line="360" w:lineRule="auto"/>
        <w:rPr>
          <w:rFonts w:eastAsia="Times New Roman" w:cstheme="minorHAnsi"/>
        </w:rPr>
      </w:pPr>
      <w:r w:rsidRPr="008A190A">
        <w:rPr>
          <w:rFonts w:eastAsia="Times New Roman" w:cstheme="minorHAnsi"/>
        </w:rPr>
        <w:t xml:space="preserve">This proposed information collection will address complex issues related to visitor use patterns and attitudes that can be used to address visitor impact problems.  Because WRST does not currently require backcountry use permits, mangers and planners have relied on visitor use information provided by commercial air taxi operators and backcountry lodges as part of their Commercial Use Authorizations (CUAs).  There is limited information about visitor use levels, destinations, </w:t>
      </w:r>
      <w:r w:rsidRPr="008A190A">
        <w:rPr>
          <w:rFonts w:eastAsia="Times New Roman" w:cstheme="minorHAnsi"/>
        </w:rPr>
        <w:lastRenderedPageBreak/>
        <w:t xml:space="preserve">and activities.  The results of this collection will attempt to systematically provide information that will be directly applicable to management decisions. </w:t>
      </w:r>
    </w:p>
    <w:p w14:paraId="7B2BC8CB" w14:textId="77777777" w:rsidR="002E6066" w:rsidRPr="008A190A" w:rsidRDefault="002E6066" w:rsidP="002E6066">
      <w:pPr>
        <w:spacing w:line="360" w:lineRule="auto"/>
        <w:rPr>
          <w:rFonts w:eastAsia="Times New Roman" w:cstheme="minorHAnsi"/>
        </w:rPr>
      </w:pPr>
      <w:r w:rsidRPr="008A190A">
        <w:rPr>
          <w:rFonts w:eastAsia="Times New Roman" w:cstheme="minorHAnsi"/>
        </w:rPr>
        <w:t>Park managers and planners have requested this study to learn more about visitors’ experiences and expectation during their backcountry trips in WRST.  The topics will include:</w:t>
      </w:r>
    </w:p>
    <w:p w14:paraId="59C30D47" w14:textId="77777777" w:rsidR="002E6066" w:rsidRPr="008A190A" w:rsidRDefault="002E6066" w:rsidP="001D7AE1">
      <w:pPr>
        <w:numPr>
          <w:ilvl w:val="0"/>
          <w:numId w:val="3"/>
        </w:numPr>
        <w:spacing w:line="240" w:lineRule="auto"/>
        <w:rPr>
          <w:rFonts w:eastAsia="Times New Roman" w:cstheme="minorHAnsi"/>
        </w:rPr>
      </w:pPr>
      <w:r w:rsidRPr="008A190A">
        <w:rPr>
          <w:rFonts w:eastAsia="Times New Roman" w:cstheme="minorHAnsi"/>
        </w:rPr>
        <w:t xml:space="preserve">Perceived crowding </w:t>
      </w:r>
    </w:p>
    <w:p w14:paraId="2AE14E9C" w14:textId="77777777" w:rsidR="002E6066" w:rsidRPr="008A190A" w:rsidRDefault="002E6066" w:rsidP="001D7AE1">
      <w:pPr>
        <w:numPr>
          <w:ilvl w:val="0"/>
          <w:numId w:val="3"/>
        </w:numPr>
        <w:spacing w:line="240" w:lineRule="auto"/>
        <w:rPr>
          <w:rFonts w:eastAsia="Times New Roman" w:cstheme="minorHAnsi"/>
        </w:rPr>
      </w:pPr>
      <w:r w:rsidRPr="008A190A">
        <w:rPr>
          <w:rFonts w:eastAsia="Times New Roman" w:cstheme="minorHAnsi"/>
        </w:rPr>
        <w:t xml:space="preserve">Reported levels of social or natural resource impacts. </w:t>
      </w:r>
    </w:p>
    <w:p w14:paraId="20918D24" w14:textId="77777777" w:rsidR="002E6066" w:rsidRPr="008A190A" w:rsidRDefault="002E6066" w:rsidP="001D7AE1">
      <w:pPr>
        <w:numPr>
          <w:ilvl w:val="0"/>
          <w:numId w:val="3"/>
        </w:numPr>
        <w:spacing w:line="240" w:lineRule="auto"/>
        <w:rPr>
          <w:rFonts w:eastAsia="Times New Roman" w:cstheme="minorHAnsi"/>
        </w:rPr>
      </w:pPr>
      <w:r w:rsidRPr="008A190A">
        <w:rPr>
          <w:rFonts w:eastAsia="Times New Roman" w:cstheme="minorHAnsi"/>
        </w:rPr>
        <w:t xml:space="preserve">Tolerance levels towards social or natural resource impacts. </w:t>
      </w:r>
    </w:p>
    <w:p w14:paraId="0AE06916" w14:textId="77777777" w:rsidR="002E6066" w:rsidRPr="008A190A" w:rsidRDefault="002E6066" w:rsidP="002E6066">
      <w:pPr>
        <w:spacing w:line="360" w:lineRule="auto"/>
        <w:rPr>
          <w:rFonts w:eastAsia="Times New Roman" w:cstheme="minorHAnsi"/>
        </w:rPr>
      </w:pPr>
      <w:r w:rsidRPr="008A190A">
        <w:rPr>
          <w:rFonts w:eastAsia="Times New Roman" w:cstheme="minorHAnsi"/>
        </w:rPr>
        <w:t>An on-site survey will be used to collect information from visitors between May and October 2017.</w:t>
      </w:r>
    </w:p>
    <w:p w14:paraId="5E2C1DA6" w14:textId="77777777" w:rsidR="00BB4F22" w:rsidRPr="008A190A"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b/>
        </w:rPr>
        <w:fldChar w:fldCharType="begin"/>
      </w:r>
      <w:r w:rsidRPr="008A190A">
        <w:rPr>
          <w:rFonts w:cs="Arial"/>
          <w:b/>
        </w:rPr>
        <w:instrText xml:space="preserve">  </w:instrText>
      </w:r>
      <w:r w:rsidRPr="008A190A">
        <w:rPr>
          <w:rFonts w:cs="Arial"/>
          <w:b/>
        </w:rPr>
        <w:fldChar w:fldCharType="end"/>
      </w:r>
      <w:r w:rsidR="00391556" w:rsidRPr="008A190A">
        <w:rPr>
          <w:rFonts w:cs="Arial"/>
          <w:b/>
        </w:rPr>
        <w:t>SURVEY METHODOLOGY:</w:t>
      </w:r>
    </w:p>
    <w:p w14:paraId="5D7A4D08" w14:textId="77777777" w:rsidR="00E95952" w:rsidRPr="008A190A"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8A190A">
        <w:rPr>
          <w:rFonts w:cs="Arial"/>
        </w:rPr>
        <w:t xml:space="preserve">Respondent Universe:  </w:t>
      </w:r>
    </w:p>
    <w:p w14:paraId="37EA230B" w14:textId="4B4FE124" w:rsidR="001D7AE1" w:rsidRPr="008A190A" w:rsidRDefault="001D7AE1" w:rsidP="001D7AE1">
      <w:pPr>
        <w:rPr>
          <w:rFonts w:cstheme="minorHAnsi"/>
        </w:rPr>
      </w:pPr>
      <w:r w:rsidRPr="008A190A">
        <w:rPr>
          <w:rFonts w:cstheme="minorHAnsi"/>
        </w:rPr>
        <w:t>The respondent universe for this collection will consist of t</w:t>
      </w:r>
      <w:r w:rsidR="00AF6105" w:rsidRPr="008A190A">
        <w:rPr>
          <w:rFonts w:cstheme="minorHAnsi"/>
        </w:rPr>
        <w:t>wo</w:t>
      </w:r>
      <w:r w:rsidRPr="008A190A">
        <w:rPr>
          <w:rFonts w:cstheme="minorHAnsi"/>
        </w:rPr>
        <w:t xml:space="preserve"> respondent categories that will include all adult groups (ages 18 and older) engaged in WRST backcountry trips during the study period (April through October 2017).  The study will survey </w:t>
      </w:r>
      <w:r w:rsidRPr="008A190A">
        <w:rPr>
          <w:rFonts w:cstheme="minorHAnsi"/>
          <w:b/>
          <w:i/>
        </w:rPr>
        <w:t>one visitor from each group</w:t>
      </w:r>
      <w:r w:rsidRPr="008A190A">
        <w:rPr>
          <w:rFonts w:cstheme="minorHAnsi"/>
        </w:rPr>
        <w:t xml:space="preserve"> taking a trip.  </w:t>
      </w:r>
    </w:p>
    <w:p w14:paraId="2C4F2F7E" w14:textId="77777777" w:rsidR="001D7AE1" w:rsidRPr="008A190A" w:rsidRDefault="001D7AE1" w:rsidP="001D7AE1">
      <w:pPr>
        <w:pStyle w:val="ListParagraph"/>
        <w:numPr>
          <w:ilvl w:val="0"/>
          <w:numId w:val="13"/>
        </w:numPr>
        <w:autoSpaceDE w:val="0"/>
        <w:autoSpaceDN w:val="0"/>
        <w:spacing w:after="0" w:line="240" w:lineRule="auto"/>
        <w:ind w:left="1065" w:right="1422"/>
        <w:rPr>
          <w:rFonts w:cs="Times New Roman"/>
        </w:rPr>
      </w:pPr>
      <w:r w:rsidRPr="008A190A">
        <w:rPr>
          <w:b/>
        </w:rPr>
        <w:t xml:space="preserve">Category 1: </w:t>
      </w:r>
      <w:r w:rsidRPr="008A190A">
        <w:t xml:space="preserve">Groups using commercial services to access the backcountry (e.g., air taxis, guides, or backcountry lodges). </w:t>
      </w:r>
    </w:p>
    <w:p w14:paraId="74DDCE16" w14:textId="77777777" w:rsidR="001D7AE1" w:rsidRPr="008A190A" w:rsidRDefault="001D7AE1" w:rsidP="001D7AE1">
      <w:pPr>
        <w:pStyle w:val="ListParagraph"/>
        <w:numPr>
          <w:ilvl w:val="0"/>
          <w:numId w:val="13"/>
        </w:numPr>
        <w:autoSpaceDE w:val="0"/>
        <w:autoSpaceDN w:val="0"/>
        <w:spacing w:after="0" w:line="240" w:lineRule="auto"/>
        <w:ind w:left="1065" w:right="1422"/>
      </w:pPr>
      <w:r w:rsidRPr="008A190A">
        <w:rPr>
          <w:b/>
        </w:rPr>
        <w:t>Category 2:</w:t>
      </w:r>
      <w:r w:rsidRPr="008A190A">
        <w:t xml:space="preserve"> Groups contacting NPS at the park visitor center or ranger stations to plan their trips (and do not plan to use commercial services to access the backcountry). </w:t>
      </w:r>
    </w:p>
    <w:p w14:paraId="0DBBC9FD" w14:textId="77777777" w:rsidR="00F531D3" w:rsidRPr="008A190A" w:rsidRDefault="00F531D3" w:rsidP="001D7AE1">
      <w:pPr>
        <w:pStyle w:val="ListParagraph"/>
        <w:ind w:left="1080"/>
        <w:rPr>
          <w:rFonts w:cstheme="minorHAnsi"/>
        </w:rPr>
      </w:pPr>
    </w:p>
    <w:p w14:paraId="78409B31" w14:textId="77777777" w:rsidR="00E95952" w:rsidRPr="008A190A"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A190A">
        <w:rPr>
          <w:rFonts w:cs="Arial"/>
          <w:b/>
        </w:rPr>
        <w:t xml:space="preserve">Sampling Plan / Procedures:  </w:t>
      </w:r>
    </w:p>
    <w:p w14:paraId="618E8E0D" w14:textId="77777777"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A190A">
        <w:rPr>
          <w:rFonts w:cs="Arial"/>
        </w:rPr>
        <w:t xml:space="preserve">The park has limited information about the number of backcountry trips into WRST; currently available information is unsystematically collected from commercial air taxi reports and visitor center contacts.  Based on this information, NPS estimates that there are about 500 groups who take trips over the course of a year, and of this about 450 (90%) stay in commercial backcountry lodges or use commercial air taxi services to access the backcountry.  </w:t>
      </w:r>
    </w:p>
    <w:p w14:paraId="34EC6E40" w14:textId="77777777"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6D4E6BCF" w14:textId="527CF446"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A190A">
        <w:rPr>
          <w:rFonts w:cs="Arial"/>
        </w:rPr>
        <w:t xml:space="preserve">An estimated 50 groups (10%) do not use these commercial services during their backcountry trips.  Of these, an estimated 30 may contact NPS at the visitor center or ranger station while planning trips.   </w:t>
      </w:r>
    </w:p>
    <w:p w14:paraId="748AC6E0" w14:textId="77777777"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0AFC881F" w14:textId="32402C6E" w:rsidR="00F531D3" w:rsidRPr="008A190A" w:rsidRDefault="002E6066"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A190A">
        <w:rPr>
          <w:rFonts w:cs="Arial"/>
        </w:rPr>
        <w:t xml:space="preserve">The study will attempt to invite participation from </w:t>
      </w:r>
      <w:r w:rsidR="00AF6105" w:rsidRPr="008A190A">
        <w:rPr>
          <w:rFonts w:cs="Arial"/>
        </w:rPr>
        <w:t>all</w:t>
      </w:r>
      <w:r w:rsidRPr="008A190A">
        <w:rPr>
          <w:rFonts w:cs="Arial"/>
        </w:rPr>
        <w:t xml:space="preserve"> backcountry group</w:t>
      </w:r>
      <w:r w:rsidR="00AF6105" w:rsidRPr="008A190A">
        <w:rPr>
          <w:rFonts w:cs="Arial"/>
        </w:rPr>
        <w:t>s</w:t>
      </w:r>
      <w:r w:rsidRPr="008A190A">
        <w:rPr>
          <w:rFonts w:cs="Arial"/>
        </w:rPr>
        <w:t xml:space="preserve"> accessing WRST during the study period (April 2017 through March 2018).  Potential respondents in the t</w:t>
      </w:r>
      <w:r w:rsidR="00AF6105" w:rsidRPr="008A190A">
        <w:rPr>
          <w:rFonts w:cs="Arial"/>
        </w:rPr>
        <w:t>wo</w:t>
      </w:r>
      <w:r w:rsidRPr="008A190A">
        <w:rPr>
          <w:rFonts w:cs="Arial"/>
        </w:rPr>
        <w:t xml:space="preserve"> categories identified above, will be invited to participate by t</w:t>
      </w:r>
      <w:r w:rsidR="00AF6105" w:rsidRPr="008A190A">
        <w:rPr>
          <w:rFonts w:cs="Arial"/>
        </w:rPr>
        <w:t xml:space="preserve">wo </w:t>
      </w:r>
      <w:r w:rsidRPr="008A190A">
        <w:rPr>
          <w:rFonts w:cs="Arial"/>
        </w:rPr>
        <w:t>different methods that are described below.</w:t>
      </w:r>
    </w:p>
    <w:p w14:paraId="1EB4053D" w14:textId="77777777" w:rsidR="00AF6105" w:rsidRPr="008A190A" w:rsidRDefault="00AF6105"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B39A689" w14:textId="77777777" w:rsidR="00AF6105" w:rsidRPr="008A190A" w:rsidRDefault="00AF6105"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tbl>
      <w:tblPr>
        <w:tblStyle w:val="TableGrid1"/>
        <w:tblW w:w="0" w:type="auto"/>
        <w:tblInd w:w="790" w:type="dxa"/>
        <w:tblLayout w:type="fixed"/>
        <w:tblLook w:val="04A0" w:firstRow="1" w:lastRow="0" w:firstColumn="1" w:lastColumn="0" w:noHBand="0" w:noVBand="1"/>
      </w:tblPr>
      <w:tblGrid>
        <w:gridCol w:w="3098"/>
        <w:gridCol w:w="4590"/>
        <w:gridCol w:w="1260"/>
      </w:tblGrid>
      <w:tr w:rsidR="008A190A" w:rsidRPr="008A190A" w14:paraId="059163BA" w14:textId="77777777" w:rsidTr="00AA2286">
        <w:trPr>
          <w:trHeight w:val="674"/>
        </w:trPr>
        <w:tc>
          <w:tcPr>
            <w:tcW w:w="3098" w:type="dxa"/>
            <w:tcBorders>
              <w:left w:val="nil"/>
              <w:bottom w:val="nil"/>
              <w:right w:val="nil"/>
            </w:tcBorders>
            <w:vAlign w:val="center"/>
          </w:tcPr>
          <w:p w14:paraId="14FED3C6" w14:textId="77777777" w:rsidR="002E6066" w:rsidRPr="008A190A" w:rsidRDefault="002E6066" w:rsidP="002E6066">
            <w:pPr>
              <w:autoSpaceDE w:val="0"/>
              <w:autoSpaceDN w:val="0"/>
              <w:jc w:val="center"/>
              <w:rPr>
                <w:rFonts w:ascii="Calibri" w:hAnsi="Calibri" w:cs="Calibri"/>
                <w:b/>
                <w:sz w:val="20"/>
              </w:rPr>
            </w:pPr>
            <w:r w:rsidRPr="008A190A">
              <w:rPr>
                <w:rFonts w:ascii="Calibri" w:hAnsi="Calibri" w:cs="Calibri"/>
                <w:b/>
                <w:sz w:val="20"/>
              </w:rPr>
              <w:lastRenderedPageBreak/>
              <w:t>Respondent category</w:t>
            </w:r>
          </w:p>
        </w:tc>
        <w:tc>
          <w:tcPr>
            <w:tcW w:w="4590" w:type="dxa"/>
            <w:tcBorders>
              <w:left w:val="nil"/>
              <w:bottom w:val="nil"/>
              <w:right w:val="nil"/>
            </w:tcBorders>
            <w:vAlign w:val="center"/>
          </w:tcPr>
          <w:p w14:paraId="6CAE8EFD" w14:textId="77777777" w:rsidR="00AA2286" w:rsidRPr="008A190A" w:rsidRDefault="002E6066" w:rsidP="00AA2286">
            <w:pPr>
              <w:autoSpaceDE w:val="0"/>
              <w:autoSpaceDN w:val="0"/>
              <w:jc w:val="center"/>
              <w:rPr>
                <w:rFonts w:ascii="Calibri" w:hAnsi="Calibri" w:cs="Calibri"/>
                <w:b/>
                <w:sz w:val="20"/>
              </w:rPr>
            </w:pPr>
            <w:r w:rsidRPr="008A190A">
              <w:rPr>
                <w:rFonts w:ascii="Calibri" w:hAnsi="Calibri" w:cs="Calibri"/>
                <w:b/>
                <w:sz w:val="20"/>
              </w:rPr>
              <w:t>Method for inviting</w:t>
            </w:r>
          </w:p>
          <w:p w14:paraId="0F0F037D" w14:textId="7FB0607D" w:rsidR="002E6066" w:rsidRPr="008A190A" w:rsidRDefault="002E6066" w:rsidP="00AA2286">
            <w:pPr>
              <w:autoSpaceDE w:val="0"/>
              <w:autoSpaceDN w:val="0"/>
              <w:jc w:val="center"/>
              <w:rPr>
                <w:rFonts w:ascii="Calibri" w:hAnsi="Calibri" w:cs="Calibri"/>
                <w:b/>
                <w:sz w:val="20"/>
              </w:rPr>
            </w:pPr>
            <w:r w:rsidRPr="008A190A">
              <w:rPr>
                <w:rFonts w:ascii="Calibri" w:hAnsi="Calibri" w:cs="Calibri"/>
                <w:b/>
                <w:sz w:val="20"/>
              </w:rPr>
              <w:t xml:space="preserve">participation in the survey  </w:t>
            </w:r>
          </w:p>
        </w:tc>
        <w:tc>
          <w:tcPr>
            <w:tcW w:w="1260" w:type="dxa"/>
            <w:tcBorders>
              <w:left w:val="nil"/>
              <w:bottom w:val="nil"/>
              <w:right w:val="nil"/>
            </w:tcBorders>
            <w:vAlign w:val="center"/>
          </w:tcPr>
          <w:p w14:paraId="4E057A7F" w14:textId="77777777" w:rsidR="002E6066" w:rsidRPr="008A190A" w:rsidRDefault="002E6066" w:rsidP="002E6066">
            <w:pPr>
              <w:autoSpaceDE w:val="0"/>
              <w:autoSpaceDN w:val="0"/>
              <w:jc w:val="center"/>
              <w:rPr>
                <w:rFonts w:ascii="Calibri" w:hAnsi="Calibri" w:cs="Calibri"/>
                <w:b/>
                <w:sz w:val="20"/>
              </w:rPr>
            </w:pPr>
            <w:r w:rsidRPr="008A190A">
              <w:rPr>
                <w:rFonts w:ascii="Calibri" w:hAnsi="Calibri" w:cs="Calibri"/>
                <w:b/>
                <w:sz w:val="20"/>
              </w:rPr>
              <w:t>Estimated Number</w:t>
            </w:r>
          </w:p>
          <w:p w14:paraId="43393ACB" w14:textId="77777777" w:rsidR="002E6066" w:rsidRPr="008A190A" w:rsidRDefault="002E6066" w:rsidP="002E6066">
            <w:pPr>
              <w:autoSpaceDE w:val="0"/>
              <w:autoSpaceDN w:val="0"/>
              <w:jc w:val="center"/>
              <w:rPr>
                <w:rFonts w:ascii="Calibri" w:hAnsi="Calibri" w:cs="Calibri"/>
                <w:b/>
                <w:sz w:val="20"/>
              </w:rPr>
            </w:pPr>
            <w:r w:rsidRPr="008A190A">
              <w:rPr>
                <w:rFonts w:ascii="Calibri" w:hAnsi="Calibri" w:cs="Calibri"/>
                <w:b/>
                <w:sz w:val="20"/>
              </w:rPr>
              <w:t>of Groups</w:t>
            </w:r>
          </w:p>
        </w:tc>
      </w:tr>
      <w:tr w:rsidR="008A190A" w:rsidRPr="008A190A" w14:paraId="25C273F0" w14:textId="77777777" w:rsidTr="00AA2286">
        <w:trPr>
          <w:trHeight w:val="603"/>
        </w:trPr>
        <w:tc>
          <w:tcPr>
            <w:tcW w:w="3098" w:type="dxa"/>
            <w:tcBorders>
              <w:top w:val="nil"/>
              <w:left w:val="nil"/>
              <w:bottom w:val="nil"/>
              <w:right w:val="nil"/>
            </w:tcBorders>
            <w:vAlign w:val="center"/>
          </w:tcPr>
          <w:p w14:paraId="35AB9237" w14:textId="6D7A722B" w:rsidR="002E6066" w:rsidRPr="008A190A" w:rsidRDefault="00AA2286" w:rsidP="00AA2286">
            <w:pPr>
              <w:autoSpaceDE w:val="0"/>
              <w:autoSpaceDN w:val="0"/>
              <w:rPr>
                <w:rFonts w:ascii="Calibri" w:hAnsi="Calibri" w:cs="Calibri"/>
                <w:b/>
                <w:sz w:val="20"/>
              </w:rPr>
            </w:pPr>
            <w:r w:rsidRPr="008A190A">
              <w:rPr>
                <w:rFonts w:ascii="Calibri" w:hAnsi="Calibri" w:cs="Calibri"/>
                <w:b/>
                <w:sz w:val="20"/>
              </w:rPr>
              <w:t xml:space="preserve">Category 1: Commercial air taxi services or backcountry lodges </w:t>
            </w:r>
          </w:p>
        </w:tc>
        <w:tc>
          <w:tcPr>
            <w:tcW w:w="4590" w:type="dxa"/>
            <w:tcBorders>
              <w:top w:val="nil"/>
              <w:left w:val="nil"/>
              <w:bottom w:val="nil"/>
              <w:right w:val="nil"/>
            </w:tcBorders>
            <w:vAlign w:val="center"/>
          </w:tcPr>
          <w:p w14:paraId="121511F0" w14:textId="77777777" w:rsidR="002E6066" w:rsidRPr="008A190A" w:rsidRDefault="002E6066" w:rsidP="00AA2286">
            <w:pPr>
              <w:autoSpaceDE w:val="0"/>
              <w:autoSpaceDN w:val="0"/>
              <w:ind w:left="162" w:right="252"/>
              <w:rPr>
                <w:rFonts w:ascii="Calibri" w:hAnsi="Calibri"/>
                <w:sz w:val="20"/>
                <w:szCs w:val="24"/>
              </w:rPr>
            </w:pPr>
            <w:r w:rsidRPr="008A190A">
              <w:rPr>
                <w:rFonts w:ascii="Calibri" w:hAnsi="Calibri" w:cs="Calibri"/>
                <w:sz w:val="20"/>
              </w:rPr>
              <w:t>In-person contact with commercial air taxi services or backcountry lodges</w:t>
            </w:r>
          </w:p>
        </w:tc>
        <w:tc>
          <w:tcPr>
            <w:tcW w:w="1260" w:type="dxa"/>
            <w:tcBorders>
              <w:top w:val="nil"/>
              <w:left w:val="nil"/>
              <w:bottom w:val="nil"/>
              <w:right w:val="nil"/>
            </w:tcBorders>
            <w:vAlign w:val="center"/>
          </w:tcPr>
          <w:p w14:paraId="4D5DE261" w14:textId="77777777" w:rsidR="002E6066" w:rsidRPr="008A190A" w:rsidRDefault="002E6066" w:rsidP="002E6066">
            <w:pPr>
              <w:autoSpaceDE w:val="0"/>
              <w:autoSpaceDN w:val="0"/>
              <w:jc w:val="center"/>
              <w:rPr>
                <w:rFonts w:ascii="Calibri" w:hAnsi="Calibri" w:cs="Calibri"/>
                <w:sz w:val="20"/>
              </w:rPr>
            </w:pPr>
            <w:r w:rsidRPr="008A190A">
              <w:rPr>
                <w:rFonts w:ascii="Calibri" w:hAnsi="Calibri" w:cs="Calibri"/>
                <w:sz w:val="20"/>
              </w:rPr>
              <w:t>450</w:t>
            </w:r>
          </w:p>
        </w:tc>
      </w:tr>
      <w:tr w:rsidR="008A190A" w:rsidRPr="008A190A" w14:paraId="1848D503" w14:textId="77777777" w:rsidTr="00AA2286">
        <w:trPr>
          <w:trHeight w:val="531"/>
        </w:trPr>
        <w:tc>
          <w:tcPr>
            <w:tcW w:w="3098" w:type="dxa"/>
            <w:tcBorders>
              <w:top w:val="nil"/>
              <w:left w:val="nil"/>
              <w:bottom w:val="nil"/>
              <w:right w:val="nil"/>
            </w:tcBorders>
            <w:vAlign w:val="center"/>
          </w:tcPr>
          <w:p w14:paraId="2FE689B7" w14:textId="338AC37D" w:rsidR="002E6066" w:rsidRPr="008A190A" w:rsidRDefault="00AA2286" w:rsidP="00AA2286">
            <w:pPr>
              <w:autoSpaceDE w:val="0"/>
              <w:autoSpaceDN w:val="0"/>
              <w:rPr>
                <w:rFonts w:ascii="Calibri" w:hAnsi="Calibri" w:cs="Calibri"/>
                <w:b/>
                <w:sz w:val="20"/>
              </w:rPr>
            </w:pPr>
            <w:r w:rsidRPr="008A190A">
              <w:rPr>
                <w:rFonts w:ascii="Calibri" w:hAnsi="Calibri" w:cs="Calibri"/>
                <w:b/>
                <w:sz w:val="20"/>
              </w:rPr>
              <w:t>Category 2: Visitor Center and NPS staff Contacts</w:t>
            </w:r>
          </w:p>
        </w:tc>
        <w:tc>
          <w:tcPr>
            <w:tcW w:w="4590" w:type="dxa"/>
            <w:tcBorders>
              <w:top w:val="nil"/>
              <w:left w:val="nil"/>
              <w:bottom w:val="nil"/>
              <w:right w:val="nil"/>
            </w:tcBorders>
            <w:vAlign w:val="center"/>
          </w:tcPr>
          <w:p w14:paraId="3A3E0EEB" w14:textId="77777777" w:rsidR="002E6066" w:rsidRPr="008A190A" w:rsidRDefault="002E6066" w:rsidP="00AA2286">
            <w:pPr>
              <w:autoSpaceDE w:val="0"/>
              <w:autoSpaceDN w:val="0"/>
              <w:ind w:left="162" w:right="252"/>
              <w:rPr>
                <w:rFonts w:ascii="Calibri" w:hAnsi="Calibri" w:cs="Calibri"/>
                <w:sz w:val="20"/>
              </w:rPr>
            </w:pPr>
            <w:r w:rsidRPr="008A190A">
              <w:rPr>
                <w:rFonts w:ascii="Calibri" w:hAnsi="Calibri" w:cs="Calibri"/>
                <w:sz w:val="20"/>
              </w:rPr>
              <w:t>In-person contact with NPS staff at the Copper Center or Kennecott Visitor Centers, or the Slana Ranger Station</w:t>
            </w:r>
          </w:p>
        </w:tc>
        <w:tc>
          <w:tcPr>
            <w:tcW w:w="1260" w:type="dxa"/>
            <w:tcBorders>
              <w:top w:val="nil"/>
              <w:left w:val="nil"/>
              <w:bottom w:val="nil"/>
              <w:right w:val="nil"/>
            </w:tcBorders>
            <w:vAlign w:val="center"/>
          </w:tcPr>
          <w:p w14:paraId="79CF1440" w14:textId="77777777" w:rsidR="002E6066" w:rsidRPr="008A190A" w:rsidRDefault="002E6066" w:rsidP="002E6066">
            <w:pPr>
              <w:autoSpaceDE w:val="0"/>
              <w:autoSpaceDN w:val="0"/>
              <w:jc w:val="center"/>
              <w:rPr>
                <w:rFonts w:ascii="Calibri" w:hAnsi="Calibri" w:cs="Calibri"/>
                <w:sz w:val="20"/>
              </w:rPr>
            </w:pPr>
            <w:r w:rsidRPr="008A190A">
              <w:rPr>
                <w:rFonts w:ascii="Calibri" w:hAnsi="Calibri" w:cs="Calibri"/>
                <w:sz w:val="20"/>
              </w:rPr>
              <w:t>30</w:t>
            </w:r>
          </w:p>
        </w:tc>
      </w:tr>
      <w:tr w:rsidR="002E6066" w:rsidRPr="008A190A" w14:paraId="6573A2B0" w14:textId="77777777" w:rsidTr="00AA2286">
        <w:trPr>
          <w:trHeight w:val="342"/>
        </w:trPr>
        <w:tc>
          <w:tcPr>
            <w:tcW w:w="7688" w:type="dxa"/>
            <w:gridSpan w:val="2"/>
            <w:tcBorders>
              <w:top w:val="nil"/>
              <w:left w:val="nil"/>
              <w:bottom w:val="single" w:sz="4" w:space="0" w:color="auto"/>
              <w:right w:val="nil"/>
            </w:tcBorders>
          </w:tcPr>
          <w:p w14:paraId="2B16ACD0" w14:textId="77777777" w:rsidR="002E6066" w:rsidRPr="008A190A" w:rsidRDefault="002E6066" w:rsidP="002E6066">
            <w:pPr>
              <w:autoSpaceDE w:val="0"/>
              <w:autoSpaceDN w:val="0"/>
              <w:jc w:val="right"/>
              <w:rPr>
                <w:rFonts w:ascii="Calibri" w:hAnsi="Calibri" w:cs="Calibri"/>
                <w:b/>
                <w:sz w:val="20"/>
              </w:rPr>
            </w:pPr>
            <w:r w:rsidRPr="008A190A">
              <w:rPr>
                <w:rFonts w:ascii="Calibri" w:hAnsi="Calibri" w:cs="Calibri"/>
                <w:b/>
                <w:sz w:val="20"/>
              </w:rPr>
              <w:t>Total</w:t>
            </w:r>
          </w:p>
        </w:tc>
        <w:tc>
          <w:tcPr>
            <w:tcW w:w="1260" w:type="dxa"/>
            <w:tcBorders>
              <w:top w:val="nil"/>
              <w:left w:val="nil"/>
              <w:bottom w:val="single" w:sz="4" w:space="0" w:color="auto"/>
              <w:right w:val="nil"/>
            </w:tcBorders>
          </w:tcPr>
          <w:p w14:paraId="1FF06C33" w14:textId="7F125E89" w:rsidR="002E6066" w:rsidRPr="008A190A" w:rsidRDefault="00AF6105" w:rsidP="00AF6105">
            <w:pPr>
              <w:autoSpaceDE w:val="0"/>
              <w:autoSpaceDN w:val="0"/>
              <w:jc w:val="center"/>
              <w:rPr>
                <w:rFonts w:ascii="Calibri" w:hAnsi="Calibri" w:cs="Calibri"/>
                <w:b/>
                <w:sz w:val="20"/>
              </w:rPr>
            </w:pPr>
            <w:r w:rsidRPr="008A190A">
              <w:rPr>
                <w:rFonts w:ascii="Calibri" w:hAnsi="Calibri" w:cs="Calibri"/>
                <w:b/>
                <w:sz w:val="20"/>
              </w:rPr>
              <w:t>480</w:t>
            </w:r>
          </w:p>
        </w:tc>
      </w:tr>
    </w:tbl>
    <w:p w14:paraId="203522B1" w14:textId="77777777" w:rsidR="00F531D3" w:rsidRPr="008A190A" w:rsidRDefault="00F531D3" w:rsidP="00F531D3">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3180913B" w14:textId="77777777"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b/>
        </w:rPr>
        <w:t>Category 1</w:t>
      </w:r>
      <w:r w:rsidRPr="008A190A">
        <w:rPr>
          <w:rFonts w:cs="Arial"/>
        </w:rPr>
        <w:t>:</w:t>
      </w:r>
    </w:p>
    <w:p w14:paraId="7EE6CFAC" w14:textId="77777777" w:rsidR="008A190A" w:rsidRPr="008A190A" w:rsidRDefault="008A190A" w:rsidP="008A190A">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rPr>
        <w:t xml:space="preserve">Twelve air taxi operators and seven backcountry lodges have commercial use authorizations to operate in WRST.  These operators are estimated to provide access to 90% (n= 450) of all WRST backcountry groups.  These operators will invite every backcountry group they bring into WRST to participate in the study throughout the study period.  </w:t>
      </w:r>
    </w:p>
    <w:p w14:paraId="77B9F4BD" w14:textId="77777777" w:rsidR="008A190A" w:rsidRPr="008A190A" w:rsidRDefault="008A190A" w:rsidP="008A190A">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rPr>
        <w:t xml:space="preserve">The operators will be trained in survey protocol and distribution.  Each operator will have a supply of survey packets in a Ziploc bag that will include: a survey, instructions, a self-addressed and return envelope (SASE), and a pencil. A packet will be given to one person in each group aboard the vessel.  The passengers will be instructed to complete the questionnaire on the last night of their trip and will be reminded return in on the boat ride back to the mainland.  It is our experience that backcountry groups tend to have the greatest amount of time to complete surveys when they are in camp on the last night of their trip, or while waiting for the air taxi to take them back to the mainland. All air taxis will have additional questionnaires on-board to replace any lost instruments to be completed as needed.  </w:t>
      </w:r>
    </w:p>
    <w:p w14:paraId="33EEEF39" w14:textId="77777777" w:rsidR="008A190A" w:rsidRPr="008A190A" w:rsidRDefault="008A190A" w:rsidP="008A190A">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p>
    <w:p w14:paraId="7205EF97" w14:textId="3827563B" w:rsidR="002E6066" w:rsidRPr="008A190A" w:rsidRDefault="008A190A" w:rsidP="002E6066">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rPr>
        <w:t>The operators will keep a log of all groups contacted throughout the study period; this will include basic information from those accepting a survey packet as well as those who refuse.  This log will be used to record group size, backcountry destination(s), dates of trip, and planned activities (e.g., hunting, rafting, backpacking, etc.) to compare to those who decide to participate vs. those who refuse.  The survey will be coded to track the source of the survey (the name of the commercial service provider)</w:t>
      </w:r>
      <w:r w:rsidR="002E6066" w:rsidRPr="008A190A">
        <w:rPr>
          <w:rFonts w:cs="Arial"/>
        </w:rPr>
        <w:t xml:space="preserve">.  </w:t>
      </w:r>
    </w:p>
    <w:p w14:paraId="68C56A9D" w14:textId="77777777" w:rsidR="00AE2129" w:rsidRPr="008A190A" w:rsidRDefault="00AE2129" w:rsidP="002E6066">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p>
    <w:p w14:paraId="7898057D" w14:textId="77777777" w:rsidR="002E6066" w:rsidRPr="008A190A" w:rsidRDefault="002E6066" w:rsidP="002E6066">
      <w:pPr>
        <w:pStyle w:val="ListParagraph"/>
        <w:tabs>
          <w:tab w:val="left" w:pos="360"/>
          <w:tab w:val="left" w:pos="540"/>
          <w:tab w:val="left" w:pos="1440"/>
          <w:tab w:val="left" w:pos="2160"/>
          <w:tab w:val="left" w:pos="3600"/>
          <w:tab w:val="left" w:pos="5040"/>
          <w:tab w:val="left" w:pos="5760"/>
        </w:tabs>
        <w:spacing w:line="360" w:lineRule="auto"/>
        <w:ind w:left="360"/>
        <w:rPr>
          <w:rFonts w:cs="Arial"/>
          <w:b/>
        </w:rPr>
      </w:pPr>
      <w:r w:rsidRPr="008A190A">
        <w:rPr>
          <w:rFonts w:cs="Arial"/>
          <w:b/>
        </w:rPr>
        <w:t>Category 2:</w:t>
      </w:r>
    </w:p>
    <w:p w14:paraId="689EBF52" w14:textId="77777777" w:rsidR="008A190A" w:rsidRPr="008A190A" w:rsidRDefault="008A190A" w:rsidP="008A190A">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rPr>
        <w:t>All Backpackers, pack rafters, or river runners that stop at the Copper Center Visitor Center, Kennecott Visitor Center, and Slana Ranger Station requesting help planning their backcountry trips will be asked to participate in the study.  It is expected that at least 30 groups will ask NPS staff for help planning their backcountry trip during the sampling period.  The non-response check questions will be used to determine anticipated start and end dates.  If the start date is outside the sample period the visitor will not be given a survey.  All visitors receiving a survey packet will be asked at least two salient questions from the survey to attempt to assess any bias.  Any visitors only “planning” but will not complete a trip during the study period will be asked the non-response check questions as well.</w:t>
      </w:r>
    </w:p>
    <w:p w14:paraId="0B445071" w14:textId="065ED761" w:rsidR="008A190A" w:rsidRPr="008A190A" w:rsidRDefault="008A190A" w:rsidP="008A190A">
      <w:pPr>
        <w:pStyle w:val="ListParagraph"/>
        <w:tabs>
          <w:tab w:val="left" w:pos="360"/>
          <w:tab w:val="left" w:pos="540"/>
          <w:tab w:val="left" w:pos="1440"/>
          <w:tab w:val="left" w:pos="2160"/>
          <w:tab w:val="left" w:pos="3600"/>
          <w:tab w:val="left" w:pos="5040"/>
          <w:tab w:val="left" w:pos="5760"/>
        </w:tabs>
        <w:spacing w:line="360" w:lineRule="auto"/>
        <w:ind w:left="360"/>
        <w:rPr>
          <w:rFonts w:cs="Arial"/>
        </w:rPr>
      </w:pPr>
      <w:r w:rsidRPr="008A190A">
        <w:rPr>
          <w:rFonts w:cs="Arial"/>
        </w:rPr>
        <w:lastRenderedPageBreak/>
        <w:t xml:space="preserve">The staff member will keep a log of all contacted groups throughout the study period; this will include basic information from those accepting a packet, those who refuse and those who are deemed ineligible.  This log will include group size, backcountry destination(s), and primary activity (e.g., hunting, rafting, backpacking, etc.) and responses to the non-response bias check questions.  Surveys will be coded to track the source of the survey (the two visitor centers vs. the ranger station).      </w:t>
      </w:r>
    </w:p>
    <w:p w14:paraId="2F751428" w14:textId="77777777" w:rsidR="00D20070" w:rsidRDefault="00D20070"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eastAsia="Times New Roman" w:cs="Times New Roman"/>
          <w:b/>
          <w:sz w:val="20"/>
          <w:szCs w:val="20"/>
        </w:rPr>
      </w:pPr>
    </w:p>
    <w:p w14:paraId="5C1D47C2" w14:textId="77777777" w:rsidR="001D7AE1" w:rsidRPr="008A190A" w:rsidRDefault="00AE2129" w:rsidP="002E606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A190A">
        <w:rPr>
          <w:rFonts w:eastAsia="Times New Roman" w:cs="Times New Roman"/>
          <w:b/>
          <w:sz w:val="20"/>
          <w:szCs w:val="20"/>
        </w:rPr>
        <w:t>T</w:t>
      </w:r>
      <w:r w:rsidR="009959DF" w:rsidRPr="008A190A">
        <w:rPr>
          <w:rFonts w:eastAsia="Times New Roman" w:cs="Times New Roman"/>
          <w:b/>
          <w:sz w:val="20"/>
          <w:szCs w:val="20"/>
        </w:rPr>
        <w:t>able 1: Estimated</w:t>
      </w:r>
      <w:r w:rsidR="009959DF" w:rsidRPr="008A190A">
        <w:rPr>
          <w:rFonts w:eastAsia="Times New Roman" w:cs="Times New Roman"/>
          <w:b/>
          <w:sz w:val="18"/>
          <w:szCs w:val="16"/>
        </w:rPr>
        <w:t xml:space="preserve"> Number of Visitor Contacts during Sampling Period</w:t>
      </w:r>
    </w:p>
    <w:tbl>
      <w:tblPr>
        <w:tblW w:w="9000" w:type="dxa"/>
        <w:tblInd w:w="828" w:type="dxa"/>
        <w:tblLayout w:type="fixed"/>
        <w:tblLook w:val="04A0" w:firstRow="1" w:lastRow="0" w:firstColumn="1" w:lastColumn="0" w:noHBand="0" w:noVBand="1"/>
      </w:tblPr>
      <w:tblGrid>
        <w:gridCol w:w="3330"/>
        <w:gridCol w:w="990"/>
        <w:gridCol w:w="900"/>
        <w:gridCol w:w="900"/>
        <w:gridCol w:w="1080"/>
        <w:gridCol w:w="900"/>
        <w:gridCol w:w="900"/>
      </w:tblGrid>
      <w:tr w:rsidR="008A190A" w:rsidRPr="008A190A" w14:paraId="3BA9300C" w14:textId="77777777" w:rsidTr="00AA2286">
        <w:trPr>
          <w:trHeight w:val="396"/>
        </w:trPr>
        <w:tc>
          <w:tcPr>
            <w:tcW w:w="3330" w:type="dxa"/>
            <w:tcBorders>
              <w:bottom w:val="single" w:sz="6" w:space="0" w:color="76923C" w:themeColor="accent3" w:themeShade="BF"/>
            </w:tcBorders>
            <w:shd w:val="clear" w:color="auto" w:fill="auto"/>
            <w:noWrap/>
            <w:vAlign w:val="center"/>
          </w:tcPr>
          <w:p w14:paraId="6A56B37E" w14:textId="77777777" w:rsidR="001D7AE1" w:rsidRPr="008A190A" w:rsidRDefault="001D7AE1" w:rsidP="001D7AE1">
            <w:pPr>
              <w:autoSpaceDE w:val="0"/>
              <w:autoSpaceDN w:val="0"/>
              <w:spacing w:after="0" w:line="240" w:lineRule="auto"/>
              <w:jc w:val="center"/>
              <w:rPr>
                <w:rFonts w:eastAsia="Times New Roman" w:cs="Calibri"/>
                <w:b/>
                <w:bCs/>
              </w:rPr>
            </w:pPr>
          </w:p>
        </w:tc>
        <w:tc>
          <w:tcPr>
            <w:tcW w:w="5670" w:type="dxa"/>
            <w:gridSpan w:val="6"/>
            <w:tcBorders>
              <w:top w:val="single" w:sz="6" w:space="0" w:color="76923C" w:themeColor="accent3" w:themeShade="BF"/>
              <w:bottom w:val="single" w:sz="6" w:space="0" w:color="76923C" w:themeColor="accent3" w:themeShade="BF"/>
            </w:tcBorders>
            <w:shd w:val="clear" w:color="auto" w:fill="76923C" w:themeFill="accent3" w:themeFillShade="BF"/>
            <w:noWrap/>
            <w:vAlign w:val="center"/>
          </w:tcPr>
          <w:p w14:paraId="1B30D6B2" w14:textId="77777777" w:rsidR="001D7AE1" w:rsidRPr="008A190A" w:rsidRDefault="009B5B54" w:rsidP="001D7AE1">
            <w:pPr>
              <w:autoSpaceDE w:val="0"/>
              <w:autoSpaceDN w:val="0"/>
              <w:spacing w:after="0" w:line="240" w:lineRule="auto"/>
              <w:jc w:val="center"/>
              <w:rPr>
                <w:rFonts w:eastAsia="Times New Roman" w:cs="Calibri"/>
                <w:b/>
                <w:bCs/>
              </w:rPr>
            </w:pPr>
            <w:r w:rsidRPr="008A190A">
              <w:rPr>
                <w:rFonts w:eastAsia="Times New Roman" w:cs="Times New Roman"/>
                <w:b/>
                <w:sz w:val="18"/>
                <w:szCs w:val="16"/>
              </w:rPr>
              <w:t>Number during Sampling Period</w:t>
            </w:r>
          </w:p>
        </w:tc>
      </w:tr>
      <w:tr w:rsidR="008A190A" w:rsidRPr="008A190A" w14:paraId="3A13B9C0" w14:textId="77777777" w:rsidTr="00AA2286">
        <w:trPr>
          <w:trHeight w:val="396"/>
        </w:trPr>
        <w:tc>
          <w:tcPr>
            <w:tcW w:w="3330" w:type="dxa"/>
            <w:tcBorders>
              <w:top w:val="single" w:sz="6" w:space="0" w:color="76923C" w:themeColor="accent3" w:themeShade="BF"/>
            </w:tcBorders>
            <w:shd w:val="clear" w:color="auto" w:fill="auto"/>
            <w:noWrap/>
            <w:vAlign w:val="center"/>
          </w:tcPr>
          <w:p w14:paraId="64A51DD7" w14:textId="77777777" w:rsidR="009B5B54" w:rsidRPr="008A190A" w:rsidRDefault="009B5B54" w:rsidP="001D7AE1">
            <w:pPr>
              <w:autoSpaceDE w:val="0"/>
              <w:autoSpaceDN w:val="0"/>
              <w:spacing w:after="0" w:line="240" w:lineRule="auto"/>
              <w:jc w:val="center"/>
              <w:rPr>
                <w:rFonts w:eastAsia="Times New Roman" w:cs="Calibri"/>
                <w:b/>
                <w:bCs/>
                <w:sz w:val="20"/>
              </w:rPr>
            </w:pPr>
            <w:r w:rsidRPr="008A190A">
              <w:rPr>
                <w:rFonts w:eastAsia="Times New Roman" w:cs="Times New Roman"/>
                <w:b/>
                <w:sz w:val="18"/>
                <w:szCs w:val="16"/>
              </w:rPr>
              <w:t>Visitor Contacts</w:t>
            </w:r>
          </w:p>
        </w:tc>
        <w:tc>
          <w:tcPr>
            <w:tcW w:w="990" w:type="dxa"/>
            <w:tcBorders>
              <w:top w:val="single" w:sz="6" w:space="0" w:color="76923C" w:themeColor="accent3" w:themeShade="BF"/>
              <w:bottom w:val="single" w:sz="4" w:space="0" w:color="auto"/>
              <w:right w:val="single" w:sz="6" w:space="0" w:color="76923C" w:themeColor="accent3" w:themeShade="BF"/>
            </w:tcBorders>
            <w:shd w:val="clear" w:color="auto" w:fill="C2D69B" w:themeFill="accent3" w:themeFillTint="99"/>
            <w:noWrap/>
            <w:vAlign w:val="center"/>
          </w:tcPr>
          <w:p w14:paraId="2D76A702"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June</w:t>
            </w:r>
          </w:p>
        </w:tc>
        <w:tc>
          <w:tcPr>
            <w:tcW w:w="900" w:type="dxa"/>
            <w:tcBorders>
              <w:top w:val="single" w:sz="6" w:space="0" w:color="76923C" w:themeColor="accent3" w:themeShade="BF"/>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3BF1D2C4"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July</w:t>
            </w:r>
          </w:p>
        </w:tc>
        <w:tc>
          <w:tcPr>
            <w:tcW w:w="900" w:type="dxa"/>
            <w:tcBorders>
              <w:top w:val="single" w:sz="6" w:space="0" w:color="76923C" w:themeColor="accent3" w:themeShade="BF"/>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472F7747"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August</w:t>
            </w:r>
          </w:p>
        </w:tc>
        <w:tc>
          <w:tcPr>
            <w:tcW w:w="1080" w:type="dxa"/>
            <w:tcBorders>
              <w:top w:val="single" w:sz="6" w:space="0" w:color="76923C" w:themeColor="accent3" w:themeShade="BF"/>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02FFC2FA"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September</w:t>
            </w:r>
          </w:p>
        </w:tc>
        <w:tc>
          <w:tcPr>
            <w:tcW w:w="900" w:type="dxa"/>
            <w:tcBorders>
              <w:top w:val="single" w:sz="6" w:space="0" w:color="76923C" w:themeColor="accent3" w:themeShade="BF"/>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28E79EAE"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October</w:t>
            </w:r>
          </w:p>
        </w:tc>
        <w:tc>
          <w:tcPr>
            <w:tcW w:w="900" w:type="dxa"/>
            <w:tcBorders>
              <w:top w:val="single" w:sz="6" w:space="0" w:color="76923C" w:themeColor="accent3" w:themeShade="BF"/>
              <w:left w:val="single" w:sz="6" w:space="0" w:color="76923C" w:themeColor="accent3" w:themeShade="BF"/>
              <w:bottom w:val="single" w:sz="4" w:space="0" w:color="auto"/>
            </w:tcBorders>
            <w:shd w:val="clear" w:color="auto" w:fill="C2D69B" w:themeFill="accent3" w:themeFillTint="99"/>
            <w:vAlign w:val="center"/>
          </w:tcPr>
          <w:p w14:paraId="58BF32FB" w14:textId="77777777" w:rsidR="009B5B54" w:rsidRPr="008A190A" w:rsidRDefault="009B5B54"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TOTAL</w:t>
            </w:r>
          </w:p>
        </w:tc>
      </w:tr>
      <w:tr w:rsidR="008A190A" w:rsidRPr="008A190A" w14:paraId="2116527C" w14:textId="77777777" w:rsidTr="00AA2286">
        <w:trPr>
          <w:trHeight w:val="323"/>
        </w:trPr>
        <w:tc>
          <w:tcPr>
            <w:tcW w:w="3330" w:type="dxa"/>
            <w:shd w:val="clear" w:color="auto" w:fill="auto"/>
            <w:noWrap/>
            <w:vAlign w:val="center"/>
          </w:tcPr>
          <w:p w14:paraId="21C9CA2D" w14:textId="328E92B9" w:rsidR="009B5B54" w:rsidRPr="008A190A" w:rsidRDefault="00AA2286" w:rsidP="00AA2286">
            <w:pPr>
              <w:spacing w:after="0" w:line="240" w:lineRule="auto"/>
              <w:rPr>
                <w:rFonts w:eastAsia="Times New Roman" w:cs="Times New Roman"/>
                <w:b/>
                <w:sz w:val="20"/>
                <w:szCs w:val="20"/>
              </w:rPr>
            </w:pPr>
            <w:r w:rsidRPr="008A190A">
              <w:rPr>
                <w:rFonts w:eastAsia="Times New Roman" w:cs="Times New Roman"/>
                <w:b/>
                <w:sz w:val="20"/>
                <w:szCs w:val="20"/>
              </w:rPr>
              <w:t>Category 1</w:t>
            </w:r>
          </w:p>
        </w:tc>
        <w:tc>
          <w:tcPr>
            <w:tcW w:w="990" w:type="dxa"/>
            <w:tcBorders>
              <w:top w:val="single" w:sz="4" w:space="0" w:color="auto"/>
              <w:right w:val="single" w:sz="6" w:space="0" w:color="76923C" w:themeColor="accent3" w:themeShade="BF"/>
            </w:tcBorders>
            <w:shd w:val="clear" w:color="auto" w:fill="auto"/>
            <w:noWrap/>
            <w:vAlign w:val="center"/>
          </w:tcPr>
          <w:p w14:paraId="555DE881" w14:textId="77777777" w:rsidR="009B5B54" w:rsidRPr="008A190A" w:rsidRDefault="00464F90" w:rsidP="00464F90">
            <w:pPr>
              <w:spacing w:after="0" w:line="240" w:lineRule="auto"/>
              <w:jc w:val="center"/>
              <w:rPr>
                <w:rFonts w:eastAsia="Times New Roman" w:cs="Times New Roman"/>
                <w:b/>
                <w:sz w:val="18"/>
                <w:szCs w:val="16"/>
              </w:rPr>
            </w:pPr>
            <w:r w:rsidRPr="008A190A">
              <w:rPr>
                <w:rFonts w:eastAsia="Times New Roman" w:cs="Times New Roman"/>
                <w:b/>
                <w:sz w:val="18"/>
                <w:szCs w:val="16"/>
              </w:rPr>
              <w:t>30</w:t>
            </w:r>
          </w:p>
        </w:tc>
        <w:tc>
          <w:tcPr>
            <w:tcW w:w="90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0EAD73A2" w14:textId="77777777" w:rsidR="009B5B54" w:rsidRPr="008A190A" w:rsidRDefault="00464F90"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150</w:t>
            </w:r>
          </w:p>
        </w:tc>
        <w:tc>
          <w:tcPr>
            <w:tcW w:w="90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2F39CE5E" w14:textId="77777777" w:rsidR="009B5B54" w:rsidRPr="008A190A" w:rsidRDefault="00464F90" w:rsidP="001D7AE1">
            <w:pPr>
              <w:spacing w:after="0" w:line="240" w:lineRule="auto"/>
              <w:jc w:val="center"/>
              <w:rPr>
                <w:rFonts w:eastAsia="Times New Roman" w:cs="Times New Roman"/>
                <w:b/>
                <w:sz w:val="18"/>
                <w:szCs w:val="16"/>
              </w:rPr>
            </w:pPr>
            <w:r w:rsidRPr="008A190A">
              <w:rPr>
                <w:rFonts w:eastAsia="Times New Roman" w:cs="Times New Roman"/>
                <w:b/>
                <w:sz w:val="18"/>
                <w:szCs w:val="16"/>
              </w:rPr>
              <w:t>150</w:t>
            </w:r>
          </w:p>
        </w:tc>
        <w:tc>
          <w:tcPr>
            <w:tcW w:w="1080" w:type="dxa"/>
            <w:tcBorders>
              <w:top w:val="single" w:sz="4" w:space="0" w:color="auto"/>
              <w:left w:val="single" w:sz="6" w:space="0" w:color="76923C" w:themeColor="accent3" w:themeShade="BF"/>
              <w:right w:val="single" w:sz="6" w:space="0" w:color="76923C" w:themeColor="accent3" w:themeShade="BF"/>
            </w:tcBorders>
            <w:vAlign w:val="center"/>
          </w:tcPr>
          <w:p w14:paraId="57AEAEAF" w14:textId="77777777" w:rsidR="009B5B54" w:rsidRPr="008A190A" w:rsidRDefault="00464F90" w:rsidP="00464F90">
            <w:pPr>
              <w:spacing w:after="0" w:line="240" w:lineRule="auto"/>
              <w:jc w:val="center"/>
              <w:rPr>
                <w:rFonts w:eastAsia="Times New Roman" w:cs="Times New Roman"/>
                <w:b/>
                <w:sz w:val="18"/>
                <w:szCs w:val="16"/>
              </w:rPr>
            </w:pPr>
            <w:r w:rsidRPr="008A190A">
              <w:rPr>
                <w:rFonts w:eastAsia="Times New Roman" w:cs="Times New Roman"/>
                <w:b/>
                <w:sz w:val="18"/>
                <w:szCs w:val="16"/>
              </w:rPr>
              <w:t>100</w:t>
            </w:r>
          </w:p>
        </w:tc>
        <w:tc>
          <w:tcPr>
            <w:tcW w:w="900" w:type="dxa"/>
            <w:tcBorders>
              <w:top w:val="single" w:sz="4" w:space="0" w:color="auto"/>
              <w:left w:val="single" w:sz="6" w:space="0" w:color="76923C" w:themeColor="accent3" w:themeShade="BF"/>
              <w:right w:val="single" w:sz="6" w:space="0" w:color="76923C" w:themeColor="accent3" w:themeShade="BF"/>
            </w:tcBorders>
            <w:vAlign w:val="center"/>
          </w:tcPr>
          <w:p w14:paraId="637054CD" w14:textId="77777777" w:rsidR="009B5B54" w:rsidRPr="008A190A" w:rsidRDefault="00464F90" w:rsidP="00464F90">
            <w:pPr>
              <w:autoSpaceDE w:val="0"/>
              <w:autoSpaceDN w:val="0"/>
              <w:spacing w:after="0" w:line="240" w:lineRule="auto"/>
              <w:jc w:val="center"/>
              <w:rPr>
                <w:rFonts w:eastAsia="Times New Roman" w:cs="Calibri"/>
                <w:b/>
                <w:bCs/>
                <w:sz w:val="20"/>
              </w:rPr>
            </w:pPr>
            <w:r w:rsidRPr="008A190A">
              <w:rPr>
                <w:rFonts w:eastAsia="Times New Roman" w:cs="Calibri"/>
                <w:b/>
                <w:bCs/>
                <w:sz w:val="20"/>
              </w:rPr>
              <w:t>20</w:t>
            </w:r>
          </w:p>
        </w:tc>
        <w:tc>
          <w:tcPr>
            <w:tcW w:w="900" w:type="dxa"/>
            <w:tcBorders>
              <w:top w:val="single" w:sz="4" w:space="0" w:color="auto"/>
              <w:left w:val="single" w:sz="6" w:space="0" w:color="76923C" w:themeColor="accent3" w:themeShade="BF"/>
            </w:tcBorders>
            <w:vAlign w:val="center"/>
          </w:tcPr>
          <w:p w14:paraId="67722585" w14:textId="77777777" w:rsidR="009B5B54" w:rsidRPr="008A190A" w:rsidRDefault="00AE2129"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450</w:t>
            </w:r>
          </w:p>
        </w:tc>
      </w:tr>
      <w:tr w:rsidR="008A190A" w:rsidRPr="008A190A" w14:paraId="27342128" w14:textId="77777777" w:rsidTr="00AA2286">
        <w:trPr>
          <w:trHeight w:val="270"/>
        </w:trPr>
        <w:tc>
          <w:tcPr>
            <w:tcW w:w="3330" w:type="dxa"/>
            <w:shd w:val="clear" w:color="auto" w:fill="auto"/>
            <w:noWrap/>
            <w:vAlign w:val="center"/>
          </w:tcPr>
          <w:p w14:paraId="7067197D" w14:textId="7CACAF6F" w:rsidR="009B5B54" w:rsidRPr="008A190A" w:rsidRDefault="00AA2286" w:rsidP="00AA2286">
            <w:pPr>
              <w:autoSpaceDE w:val="0"/>
              <w:autoSpaceDN w:val="0"/>
              <w:spacing w:after="0" w:line="240" w:lineRule="auto"/>
              <w:rPr>
                <w:rFonts w:eastAsia="Times New Roman" w:cs="Calibri"/>
                <w:b/>
                <w:bCs/>
                <w:sz w:val="20"/>
                <w:szCs w:val="20"/>
              </w:rPr>
            </w:pPr>
            <w:r w:rsidRPr="008A190A">
              <w:rPr>
                <w:rFonts w:eastAsia="Times New Roman" w:cs="Calibri"/>
                <w:b/>
                <w:bCs/>
                <w:sz w:val="20"/>
                <w:szCs w:val="20"/>
              </w:rPr>
              <w:t>Category 2</w:t>
            </w:r>
          </w:p>
        </w:tc>
        <w:tc>
          <w:tcPr>
            <w:tcW w:w="990" w:type="dxa"/>
            <w:tcBorders>
              <w:right w:val="single" w:sz="6" w:space="0" w:color="76923C" w:themeColor="accent3" w:themeShade="BF"/>
            </w:tcBorders>
            <w:shd w:val="clear" w:color="auto" w:fill="auto"/>
            <w:noWrap/>
            <w:vAlign w:val="center"/>
          </w:tcPr>
          <w:p w14:paraId="3E49C453"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5</w:t>
            </w:r>
          </w:p>
        </w:tc>
        <w:tc>
          <w:tcPr>
            <w:tcW w:w="900" w:type="dxa"/>
            <w:tcBorders>
              <w:left w:val="single" w:sz="6" w:space="0" w:color="76923C" w:themeColor="accent3" w:themeShade="BF"/>
              <w:right w:val="single" w:sz="6" w:space="0" w:color="76923C" w:themeColor="accent3" w:themeShade="BF"/>
            </w:tcBorders>
            <w:shd w:val="clear" w:color="auto" w:fill="auto"/>
            <w:vAlign w:val="center"/>
          </w:tcPr>
          <w:p w14:paraId="2EFD7DFE"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10</w:t>
            </w:r>
          </w:p>
        </w:tc>
        <w:tc>
          <w:tcPr>
            <w:tcW w:w="900" w:type="dxa"/>
            <w:tcBorders>
              <w:left w:val="single" w:sz="6" w:space="0" w:color="76923C" w:themeColor="accent3" w:themeShade="BF"/>
              <w:right w:val="single" w:sz="6" w:space="0" w:color="76923C" w:themeColor="accent3" w:themeShade="BF"/>
            </w:tcBorders>
            <w:shd w:val="clear" w:color="auto" w:fill="auto"/>
            <w:vAlign w:val="center"/>
          </w:tcPr>
          <w:p w14:paraId="4DD74AF2"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10</w:t>
            </w:r>
          </w:p>
        </w:tc>
        <w:tc>
          <w:tcPr>
            <w:tcW w:w="1080" w:type="dxa"/>
            <w:tcBorders>
              <w:left w:val="single" w:sz="6" w:space="0" w:color="76923C" w:themeColor="accent3" w:themeShade="BF"/>
              <w:right w:val="single" w:sz="6" w:space="0" w:color="76923C" w:themeColor="accent3" w:themeShade="BF"/>
            </w:tcBorders>
            <w:vAlign w:val="center"/>
          </w:tcPr>
          <w:p w14:paraId="5762FF4D"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5</w:t>
            </w:r>
          </w:p>
        </w:tc>
        <w:tc>
          <w:tcPr>
            <w:tcW w:w="900" w:type="dxa"/>
            <w:tcBorders>
              <w:left w:val="single" w:sz="6" w:space="0" w:color="76923C" w:themeColor="accent3" w:themeShade="BF"/>
              <w:right w:val="single" w:sz="6" w:space="0" w:color="76923C" w:themeColor="accent3" w:themeShade="BF"/>
            </w:tcBorders>
            <w:vAlign w:val="center"/>
          </w:tcPr>
          <w:p w14:paraId="0BE92191"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0</w:t>
            </w:r>
          </w:p>
        </w:tc>
        <w:tc>
          <w:tcPr>
            <w:tcW w:w="900" w:type="dxa"/>
            <w:tcBorders>
              <w:left w:val="single" w:sz="6" w:space="0" w:color="76923C" w:themeColor="accent3" w:themeShade="BF"/>
            </w:tcBorders>
            <w:vAlign w:val="center"/>
          </w:tcPr>
          <w:p w14:paraId="09B95D12" w14:textId="77777777" w:rsidR="009B5B54" w:rsidRPr="008A190A" w:rsidRDefault="00AE2129"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30</w:t>
            </w:r>
          </w:p>
        </w:tc>
      </w:tr>
      <w:tr w:rsidR="009B5B54" w:rsidRPr="008A190A" w14:paraId="50BA1F13" w14:textId="77777777" w:rsidTr="00AA2286">
        <w:trPr>
          <w:trHeight w:val="270"/>
        </w:trPr>
        <w:tc>
          <w:tcPr>
            <w:tcW w:w="3330" w:type="dxa"/>
            <w:tcBorders>
              <w:bottom w:val="single" w:sz="6" w:space="0" w:color="76923C" w:themeColor="accent3" w:themeShade="BF"/>
            </w:tcBorders>
            <w:shd w:val="clear" w:color="auto" w:fill="auto"/>
            <w:noWrap/>
            <w:vAlign w:val="center"/>
          </w:tcPr>
          <w:p w14:paraId="1E1A946B" w14:textId="77777777" w:rsidR="009B5B54" w:rsidRPr="008A190A" w:rsidRDefault="009B5B54" w:rsidP="00AE2129">
            <w:pPr>
              <w:autoSpaceDE w:val="0"/>
              <w:autoSpaceDN w:val="0"/>
              <w:spacing w:after="0"/>
              <w:jc w:val="right"/>
              <w:rPr>
                <w:rFonts w:eastAsia="Times New Roman" w:cs="Times New Roman"/>
                <w:sz w:val="20"/>
                <w:szCs w:val="20"/>
              </w:rPr>
            </w:pPr>
            <w:r w:rsidRPr="008A190A">
              <w:rPr>
                <w:rFonts w:eastAsia="Times New Roman" w:cs="Calibri"/>
                <w:b/>
                <w:sz w:val="20"/>
              </w:rPr>
              <w:t>Total</w:t>
            </w:r>
          </w:p>
        </w:tc>
        <w:tc>
          <w:tcPr>
            <w:tcW w:w="990" w:type="dxa"/>
            <w:tcBorders>
              <w:bottom w:val="single" w:sz="6" w:space="0" w:color="76923C" w:themeColor="accent3" w:themeShade="BF"/>
              <w:right w:val="single" w:sz="6" w:space="0" w:color="76923C" w:themeColor="accent3" w:themeShade="BF"/>
            </w:tcBorders>
            <w:shd w:val="clear" w:color="auto" w:fill="auto"/>
            <w:noWrap/>
            <w:vAlign w:val="center"/>
          </w:tcPr>
          <w:p w14:paraId="7CBC9327" w14:textId="7D854A90" w:rsidR="009B5B54" w:rsidRPr="008A190A" w:rsidRDefault="00AF6105" w:rsidP="00AF6105">
            <w:pPr>
              <w:autoSpaceDE w:val="0"/>
              <w:autoSpaceDN w:val="0"/>
              <w:spacing w:after="0" w:line="240" w:lineRule="auto"/>
              <w:jc w:val="center"/>
              <w:rPr>
                <w:rFonts w:eastAsia="Times New Roman" w:cs="Calibri"/>
                <w:b/>
                <w:bCs/>
                <w:sz w:val="20"/>
              </w:rPr>
            </w:pPr>
            <w:r w:rsidRPr="008A190A">
              <w:rPr>
                <w:rFonts w:eastAsia="Times New Roman" w:cs="Calibri"/>
                <w:b/>
                <w:bCs/>
                <w:sz w:val="20"/>
              </w:rPr>
              <w:t>35</w:t>
            </w:r>
          </w:p>
        </w:tc>
        <w:tc>
          <w:tcPr>
            <w:tcW w:w="900" w:type="dxa"/>
            <w:tcBorders>
              <w:left w:val="single" w:sz="6" w:space="0" w:color="76923C" w:themeColor="accent3" w:themeShade="BF"/>
              <w:bottom w:val="single" w:sz="6" w:space="0" w:color="76923C" w:themeColor="accent3" w:themeShade="BF"/>
              <w:right w:val="single" w:sz="6" w:space="0" w:color="76923C" w:themeColor="accent3" w:themeShade="BF"/>
            </w:tcBorders>
            <w:shd w:val="clear" w:color="auto" w:fill="auto"/>
            <w:vAlign w:val="center"/>
          </w:tcPr>
          <w:p w14:paraId="6966278A" w14:textId="41621530" w:rsidR="009B5B54" w:rsidRPr="008A190A" w:rsidRDefault="00464F90" w:rsidP="00AF6105">
            <w:pPr>
              <w:autoSpaceDE w:val="0"/>
              <w:autoSpaceDN w:val="0"/>
              <w:spacing w:after="0" w:line="240" w:lineRule="auto"/>
              <w:jc w:val="center"/>
              <w:rPr>
                <w:rFonts w:eastAsia="Times New Roman" w:cs="Calibri"/>
                <w:b/>
                <w:bCs/>
                <w:sz w:val="20"/>
              </w:rPr>
            </w:pPr>
            <w:r w:rsidRPr="008A190A">
              <w:rPr>
                <w:rFonts w:eastAsia="Times New Roman" w:cs="Calibri"/>
                <w:b/>
                <w:bCs/>
                <w:sz w:val="20"/>
              </w:rPr>
              <w:t>16</w:t>
            </w:r>
            <w:r w:rsidR="00AF6105" w:rsidRPr="008A190A">
              <w:rPr>
                <w:rFonts w:eastAsia="Times New Roman" w:cs="Calibri"/>
                <w:b/>
                <w:bCs/>
                <w:sz w:val="20"/>
              </w:rPr>
              <w:t>0</w:t>
            </w:r>
          </w:p>
        </w:tc>
        <w:tc>
          <w:tcPr>
            <w:tcW w:w="900" w:type="dxa"/>
            <w:tcBorders>
              <w:left w:val="single" w:sz="6" w:space="0" w:color="76923C" w:themeColor="accent3" w:themeShade="BF"/>
              <w:bottom w:val="single" w:sz="6" w:space="0" w:color="76923C" w:themeColor="accent3" w:themeShade="BF"/>
              <w:right w:val="single" w:sz="6" w:space="0" w:color="76923C" w:themeColor="accent3" w:themeShade="BF"/>
            </w:tcBorders>
            <w:shd w:val="clear" w:color="auto" w:fill="auto"/>
            <w:vAlign w:val="center"/>
          </w:tcPr>
          <w:p w14:paraId="0F07DA63" w14:textId="539687B5" w:rsidR="009B5B54" w:rsidRPr="008A190A" w:rsidRDefault="00464F90" w:rsidP="00AF6105">
            <w:pPr>
              <w:autoSpaceDE w:val="0"/>
              <w:autoSpaceDN w:val="0"/>
              <w:spacing w:after="0" w:line="240" w:lineRule="auto"/>
              <w:jc w:val="center"/>
              <w:rPr>
                <w:rFonts w:eastAsia="Times New Roman" w:cs="Calibri"/>
                <w:b/>
                <w:bCs/>
                <w:sz w:val="20"/>
              </w:rPr>
            </w:pPr>
            <w:r w:rsidRPr="008A190A">
              <w:rPr>
                <w:rFonts w:eastAsia="Times New Roman" w:cs="Calibri"/>
                <w:b/>
                <w:bCs/>
                <w:sz w:val="20"/>
              </w:rPr>
              <w:t>16</w:t>
            </w:r>
            <w:r w:rsidR="00AF6105" w:rsidRPr="008A190A">
              <w:rPr>
                <w:rFonts w:eastAsia="Times New Roman" w:cs="Calibri"/>
                <w:b/>
                <w:bCs/>
                <w:sz w:val="20"/>
              </w:rPr>
              <w:t>0</w:t>
            </w:r>
          </w:p>
        </w:tc>
        <w:tc>
          <w:tcPr>
            <w:tcW w:w="1080" w:type="dxa"/>
            <w:tcBorders>
              <w:left w:val="single" w:sz="6" w:space="0" w:color="76923C" w:themeColor="accent3" w:themeShade="BF"/>
              <w:bottom w:val="single" w:sz="6" w:space="0" w:color="76923C" w:themeColor="accent3" w:themeShade="BF"/>
              <w:right w:val="single" w:sz="6" w:space="0" w:color="76923C" w:themeColor="accent3" w:themeShade="BF"/>
            </w:tcBorders>
            <w:vAlign w:val="center"/>
          </w:tcPr>
          <w:p w14:paraId="3B51C81B" w14:textId="662BEDDA" w:rsidR="009B5B54" w:rsidRPr="008A190A" w:rsidRDefault="00464F90" w:rsidP="00AF6105">
            <w:pPr>
              <w:autoSpaceDE w:val="0"/>
              <w:autoSpaceDN w:val="0"/>
              <w:spacing w:after="0" w:line="240" w:lineRule="auto"/>
              <w:jc w:val="center"/>
              <w:rPr>
                <w:rFonts w:eastAsia="Times New Roman" w:cs="Calibri"/>
                <w:b/>
                <w:bCs/>
                <w:sz w:val="20"/>
              </w:rPr>
            </w:pPr>
            <w:r w:rsidRPr="008A190A">
              <w:rPr>
                <w:rFonts w:eastAsia="Times New Roman" w:cs="Calibri"/>
                <w:b/>
                <w:bCs/>
                <w:sz w:val="20"/>
              </w:rPr>
              <w:t>10</w:t>
            </w:r>
            <w:r w:rsidR="00AF6105" w:rsidRPr="008A190A">
              <w:rPr>
                <w:rFonts w:eastAsia="Times New Roman" w:cs="Calibri"/>
                <w:b/>
                <w:bCs/>
                <w:sz w:val="20"/>
              </w:rPr>
              <w:t>5</w:t>
            </w:r>
          </w:p>
        </w:tc>
        <w:tc>
          <w:tcPr>
            <w:tcW w:w="900" w:type="dxa"/>
            <w:tcBorders>
              <w:left w:val="single" w:sz="6" w:space="0" w:color="76923C" w:themeColor="accent3" w:themeShade="BF"/>
              <w:bottom w:val="single" w:sz="6" w:space="0" w:color="76923C" w:themeColor="accent3" w:themeShade="BF"/>
              <w:right w:val="single" w:sz="6" w:space="0" w:color="76923C" w:themeColor="accent3" w:themeShade="BF"/>
            </w:tcBorders>
            <w:vAlign w:val="center"/>
          </w:tcPr>
          <w:p w14:paraId="4B7679DE" w14:textId="77777777" w:rsidR="009B5B54" w:rsidRPr="008A190A" w:rsidRDefault="00464F90" w:rsidP="001D7AE1">
            <w:pPr>
              <w:autoSpaceDE w:val="0"/>
              <w:autoSpaceDN w:val="0"/>
              <w:spacing w:after="0" w:line="240" w:lineRule="auto"/>
              <w:jc w:val="center"/>
              <w:rPr>
                <w:rFonts w:eastAsia="Times New Roman" w:cs="Calibri"/>
                <w:b/>
                <w:bCs/>
                <w:sz w:val="20"/>
              </w:rPr>
            </w:pPr>
            <w:r w:rsidRPr="008A190A">
              <w:rPr>
                <w:rFonts w:eastAsia="Times New Roman" w:cs="Calibri"/>
                <w:b/>
                <w:bCs/>
                <w:sz w:val="20"/>
              </w:rPr>
              <w:t>20</w:t>
            </w:r>
          </w:p>
        </w:tc>
        <w:tc>
          <w:tcPr>
            <w:tcW w:w="900" w:type="dxa"/>
            <w:tcBorders>
              <w:left w:val="single" w:sz="6" w:space="0" w:color="76923C" w:themeColor="accent3" w:themeShade="BF"/>
              <w:bottom w:val="single" w:sz="6" w:space="0" w:color="76923C" w:themeColor="accent3" w:themeShade="BF"/>
            </w:tcBorders>
            <w:vAlign w:val="center"/>
          </w:tcPr>
          <w:p w14:paraId="1B2E0D1F" w14:textId="143B8F46" w:rsidR="009B5B54" w:rsidRPr="008A190A" w:rsidRDefault="00AF6105" w:rsidP="00AF6105">
            <w:pPr>
              <w:autoSpaceDE w:val="0"/>
              <w:autoSpaceDN w:val="0"/>
              <w:spacing w:after="0" w:line="240" w:lineRule="auto"/>
              <w:jc w:val="center"/>
              <w:rPr>
                <w:rFonts w:eastAsia="Times New Roman" w:cs="Calibri"/>
                <w:b/>
                <w:bCs/>
                <w:sz w:val="20"/>
              </w:rPr>
            </w:pPr>
            <w:r w:rsidRPr="008A190A">
              <w:rPr>
                <w:rFonts w:eastAsia="Times New Roman" w:cs="Calibri"/>
                <w:b/>
                <w:bCs/>
                <w:sz w:val="20"/>
              </w:rPr>
              <w:t>480</w:t>
            </w:r>
          </w:p>
        </w:tc>
      </w:tr>
    </w:tbl>
    <w:p w14:paraId="0F46FA51" w14:textId="77777777" w:rsidR="000D13B3" w:rsidRPr="008A190A" w:rsidRDefault="000D13B3">
      <w:pPr>
        <w:rPr>
          <w:rFonts w:cs="Arial"/>
          <w:b/>
        </w:rPr>
      </w:pPr>
    </w:p>
    <w:p w14:paraId="30FDA3CF" w14:textId="77777777" w:rsidR="00E95952" w:rsidRPr="008A190A"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A190A">
        <w:rPr>
          <w:rFonts w:cs="Arial"/>
          <w:b/>
        </w:rPr>
        <w:t>Instrument Administration:</w:t>
      </w:r>
    </w:p>
    <w:p w14:paraId="0D820063" w14:textId="77777777" w:rsidR="002E6066" w:rsidRPr="008A190A" w:rsidRDefault="002E6066" w:rsidP="002E6066">
      <w:pPr>
        <w:autoSpaceDE w:val="0"/>
        <w:autoSpaceDN w:val="0"/>
        <w:spacing w:after="0" w:line="240" w:lineRule="auto"/>
        <w:rPr>
          <w:rFonts w:ascii="Calibri" w:eastAsia="Times New Roman" w:hAnsi="Calibri" w:cs="Calibri"/>
          <w:b/>
        </w:rPr>
      </w:pPr>
      <w:r w:rsidRPr="008A190A">
        <w:rPr>
          <w:rFonts w:ascii="Calibri" w:eastAsia="Times New Roman" w:hAnsi="Calibri" w:cs="Calibri"/>
          <w:b/>
        </w:rPr>
        <w:t>Category 1:</w:t>
      </w:r>
    </w:p>
    <w:p w14:paraId="4F5594AE" w14:textId="77777777" w:rsidR="002E6066" w:rsidRPr="008A190A" w:rsidRDefault="002E6066" w:rsidP="002E6066">
      <w:pPr>
        <w:autoSpaceDE w:val="0"/>
        <w:autoSpaceDN w:val="0"/>
        <w:spacing w:after="0" w:line="240" w:lineRule="auto"/>
        <w:contextualSpacing/>
        <w:rPr>
          <w:rFonts w:ascii="Calibri" w:eastAsia="Times New Roman" w:hAnsi="Calibri" w:cs="Calibri"/>
        </w:rPr>
      </w:pPr>
      <w:r w:rsidRPr="008A190A">
        <w:rPr>
          <w:rFonts w:ascii="Calibri" w:eastAsia="Times New Roman" w:hAnsi="Calibri" w:cs="Calibri"/>
        </w:rPr>
        <w:t xml:space="preserve">The following script will be used by the lodge and air taxi operators during the initial contact with all visitors:  </w:t>
      </w:r>
    </w:p>
    <w:p w14:paraId="2135B253" w14:textId="77777777" w:rsidR="002E6066" w:rsidRPr="008A190A" w:rsidRDefault="002E6066" w:rsidP="002E6066">
      <w:pPr>
        <w:autoSpaceDE w:val="0"/>
        <w:autoSpaceDN w:val="0"/>
        <w:spacing w:after="0" w:line="240" w:lineRule="auto"/>
        <w:contextualSpacing/>
        <w:rPr>
          <w:rFonts w:ascii="Calibri" w:eastAsia="Times New Roman" w:hAnsi="Calibri" w:cs="Calibri"/>
        </w:rPr>
      </w:pPr>
    </w:p>
    <w:p w14:paraId="2406EF33"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i/>
        </w:rPr>
      </w:pPr>
      <w:r w:rsidRPr="008A190A">
        <w:rPr>
          <w:rFonts w:ascii="Calibri" w:eastAsia="Times New Roman" w:hAnsi="Calibri" w:cs="Calibri"/>
          <w:i/>
        </w:rPr>
        <w:t xml:space="preserve">“We’re helping the National Park Service conduct a study for Wrangell-St. Elias National Park to better understand visitor experience during their backcountry trips their perceptions of conditions, and opinions toward management actions to address impacts. Your participation is voluntary and all responses are anonymous.  Would you be willing to take about 7 minutes to complete a survey on the last day of your backcountry trip? ” </w:t>
      </w:r>
    </w:p>
    <w:p w14:paraId="39133139"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p>
    <w:p w14:paraId="30542C4D"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r w:rsidRPr="008A190A">
        <w:rPr>
          <w:rFonts w:ascii="Calibri" w:eastAsia="Times New Roman" w:hAnsi="Calibri" w:cs="Calibri"/>
        </w:rPr>
        <w:sym w:font="Wingdings 3" w:char="F0E2"/>
      </w:r>
      <w:r w:rsidRPr="008A190A">
        <w:rPr>
          <w:rFonts w:ascii="Calibri" w:eastAsia="Times New Roman" w:hAnsi="Calibri" w:cs="Calibri"/>
        </w:rPr>
        <w:t xml:space="preserve">If YES: </w:t>
      </w:r>
    </w:p>
    <w:p w14:paraId="28346296"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p>
    <w:p w14:paraId="7CB6DB72"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i/>
        </w:rPr>
      </w:pPr>
      <w:r w:rsidRPr="008A190A">
        <w:rPr>
          <w:rFonts w:ascii="Calibri" w:eastAsia="Times New Roman" w:hAnsi="Calibri" w:cs="Calibri"/>
          <w:i/>
        </w:rPr>
        <w:t>“Thank you.  Here is the survey and instructions on how to complete the survey and mail it back to NPS at the end of your trip when you leave the backcountry.  As discussed in the instructions on the first page, we only need one member of your group to complete the survey.  In order to ensure a random sample, please identify the person in your group who most recently celebrated a birthday (and is at least 18 years old).  They will be the person designated to complete the survey.”</w:t>
      </w:r>
    </w:p>
    <w:p w14:paraId="0E0DA525"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p>
    <w:p w14:paraId="3C853251"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i/>
        </w:rPr>
      </w:pPr>
      <w:r w:rsidRPr="008A190A">
        <w:rPr>
          <w:rFonts w:ascii="Calibri" w:eastAsia="Times New Roman" w:hAnsi="Calibri" w:cs="Calibri"/>
          <w:i/>
        </w:rPr>
        <w:t xml:space="preserve">“All instructions for completing the questionnaire are self-explanatory.  The survey is about two pages long.” </w:t>
      </w:r>
    </w:p>
    <w:p w14:paraId="5CE817E7"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p>
    <w:p w14:paraId="4EE9E7E3"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r w:rsidRPr="008A190A">
        <w:rPr>
          <w:rFonts w:ascii="Calibri" w:eastAsia="Times New Roman" w:hAnsi="Calibri" w:cs="Calibri"/>
        </w:rPr>
        <w:sym w:font="Wingdings 3" w:char="F0E2"/>
      </w:r>
      <w:r w:rsidRPr="008A190A">
        <w:rPr>
          <w:rFonts w:ascii="Calibri" w:eastAsia="Times New Roman" w:hAnsi="Calibri" w:cs="Calibri"/>
        </w:rPr>
        <w:t xml:space="preserve">If NO: </w:t>
      </w:r>
    </w:p>
    <w:p w14:paraId="7E71C9AD"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i/>
        </w:rPr>
      </w:pPr>
      <w:r w:rsidRPr="008A190A">
        <w:rPr>
          <w:rFonts w:ascii="Calibri" w:eastAsia="Times New Roman" w:hAnsi="Calibri" w:cs="Calibri"/>
          <w:i/>
        </w:rPr>
        <w:t xml:space="preserve">“Thank you.  I have three quick questions to ask you.”  </w:t>
      </w:r>
    </w:p>
    <w:p w14:paraId="6E52E65C" w14:textId="77777777" w:rsidR="002E6066" w:rsidRPr="008A190A" w:rsidRDefault="002E6066" w:rsidP="009B5B54">
      <w:pPr>
        <w:autoSpaceDE w:val="0"/>
        <w:autoSpaceDN w:val="0"/>
        <w:spacing w:after="0" w:line="240" w:lineRule="auto"/>
        <w:ind w:left="720" w:right="2160"/>
        <w:contextualSpacing/>
        <w:jc w:val="both"/>
        <w:rPr>
          <w:rFonts w:ascii="Calibri" w:eastAsia="Times New Roman" w:hAnsi="Calibri" w:cs="Calibri"/>
        </w:rPr>
      </w:pPr>
    </w:p>
    <w:p w14:paraId="7D5C42A4" w14:textId="77777777" w:rsidR="002E6066" w:rsidRPr="008A190A" w:rsidRDefault="002E6066" w:rsidP="009B5B54">
      <w:pPr>
        <w:autoSpaceDE w:val="0"/>
        <w:autoSpaceDN w:val="0"/>
        <w:spacing w:after="0" w:line="240" w:lineRule="auto"/>
        <w:ind w:left="1440" w:right="2160" w:hanging="360"/>
        <w:contextualSpacing/>
        <w:jc w:val="both"/>
        <w:rPr>
          <w:rFonts w:ascii="Calibri" w:eastAsia="Times New Roman" w:hAnsi="Calibri" w:cs="Calibri"/>
        </w:rPr>
      </w:pPr>
      <w:r w:rsidRPr="008A190A">
        <w:rPr>
          <w:rFonts w:ascii="Calibri" w:eastAsia="Times New Roman" w:hAnsi="Calibri" w:cs="Calibri"/>
        </w:rPr>
        <w:t xml:space="preserve">For all groups contacted, the air taxi operator or lodge staff will then ask and record: </w:t>
      </w:r>
    </w:p>
    <w:p w14:paraId="57758B15" w14:textId="77777777" w:rsidR="002E6066" w:rsidRPr="008A190A" w:rsidRDefault="002E6066" w:rsidP="009B5B54">
      <w:pPr>
        <w:numPr>
          <w:ilvl w:val="0"/>
          <w:numId w:val="7"/>
        </w:numPr>
        <w:autoSpaceDE w:val="0"/>
        <w:autoSpaceDN w:val="0"/>
        <w:spacing w:after="0" w:line="240" w:lineRule="auto"/>
        <w:ind w:left="1440" w:right="2160"/>
        <w:contextualSpacing/>
        <w:jc w:val="both"/>
        <w:rPr>
          <w:rFonts w:ascii="Calibri" w:eastAsia="Times New Roman" w:hAnsi="Calibri" w:cs="Calibri"/>
          <w:i/>
        </w:rPr>
      </w:pPr>
      <w:r w:rsidRPr="008A190A">
        <w:rPr>
          <w:rFonts w:ascii="Calibri" w:eastAsia="Times New Roman" w:hAnsi="Calibri" w:cs="Calibri"/>
          <w:i/>
        </w:rPr>
        <w:t>How many people are in your group?</w:t>
      </w:r>
    </w:p>
    <w:p w14:paraId="5365880F" w14:textId="77777777" w:rsidR="002E6066" w:rsidRPr="008A190A" w:rsidRDefault="002E6066" w:rsidP="009B5B54">
      <w:pPr>
        <w:numPr>
          <w:ilvl w:val="0"/>
          <w:numId w:val="7"/>
        </w:numPr>
        <w:autoSpaceDE w:val="0"/>
        <w:autoSpaceDN w:val="0"/>
        <w:spacing w:after="0" w:line="240" w:lineRule="auto"/>
        <w:ind w:left="1440" w:right="2160"/>
        <w:contextualSpacing/>
        <w:jc w:val="both"/>
        <w:rPr>
          <w:rFonts w:ascii="Calibri" w:eastAsia="Times New Roman" w:hAnsi="Calibri" w:cs="Calibri"/>
          <w:i/>
        </w:rPr>
      </w:pPr>
      <w:r w:rsidRPr="008A190A">
        <w:rPr>
          <w:rFonts w:ascii="Calibri" w:eastAsia="Times New Roman" w:hAnsi="Calibri" w:cs="Calibri"/>
          <w:i/>
        </w:rPr>
        <w:t>What is your backcountry destination and pick-up location?</w:t>
      </w:r>
    </w:p>
    <w:p w14:paraId="792182B5" w14:textId="77777777" w:rsidR="002E6066" w:rsidRPr="008A190A" w:rsidRDefault="002E6066" w:rsidP="009B5B54">
      <w:pPr>
        <w:numPr>
          <w:ilvl w:val="0"/>
          <w:numId w:val="7"/>
        </w:numPr>
        <w:autoSpaceDE w:val="0"/>
        <w:autoSpaceDN w:val="0"/>
        <w:spacing w:after="0" w:line="240" w:lineRule="auto"/>
        <w:ind w:left="1440" w:right="2160"/>
        <w:contextualSpacing/>
        <w:jc w:val="both"/>
        <w:rPr>
          <w:rFonts w:ascii="Calibri" w:eastAsia="Times New Roman" w:hAnsi="Calibri" w:cs="Calibri"/>
          <w:i/>
        </w:rPr>
      </w:pPr>
      <w:r w:rsidRPr="008A190A">
        <w:rPr>
          <w:rFonts w:ascii="Calibri" w:eastAsia="Times New Roman" w:hAnsi="Calibri" w:cs="Calibri"/>
          <w:i/>
        </w:rPr>
        <w:t>What day will you enter and exit the backcountry?</w:t>
      </w:r>
    </w:p>
    <w:p w14:paraId="45068DF9" w14:textId="1403BE12" w:rsidR="002E6066" w:rsidRPr="008A190A" w:rsidRDefault="002E6066" w:rsidP="00AA2286">
      <w:pPr>
        <w:numPr>
          <w:ilvl w:val="0"/>
          <w:numId w:val="7"/>
        </w:numPr>
        <w:autoSpaceDE w:val="0"/>
        <w:autoSpaceDN w:val="0"/>
        <w:spacing w:after="0" w:line="240" w:lineRule="auto"/>
        <w:ind w:left="1440" w:right="2160"/>
        <w:contextualSpacing/>
        <w:jc w:val="both"/>
        <w:rPr>
          <w:rFonts w:ascii="Calibri" w:eastAsia="Times New Roman" w:hAnsi="Calibri" w:cs="Calibri"/>
          <w:i/>
        </w:rPr>
      </w:pPr>
      <w:r w:rsidRPr="008A190A">
        <w:rPr>
          <w:rFonts w:ascii="Calibri" w:eastAsia="Times New Roman" w:hAnsi="Calibri" w:cs="Calibri"/>
          <w:i/>
        </w:rPr>
        <w:t xml:space="preserve">What is the primary activity you will do in the backcountry?  </w:t>
      </w:r>
    </w:p>
    <w:p w14:paraId="278165C5" w14:textId="77777777" w:rsidR="009959DF" w:rsidRPr="008A190A" w:rsidRDefault="009959DF" w:rsidP="002E6066">
      <w:pPr>
        <w:autoSpaceDE w:val="0"/>
        <w:autoSpaceDN w:val="0"/>
        <w:spacing w:after="0" w:line="240" w:lineRule="auto"/>
        <w:rPr>
          <w:rFonts w:ascii="Calibri" w:eastAsia="Times New Roman" w:hAnsi="Calibri" w:cs="Calibri"/>
          <w:b/>
        </w:rPr>
      </w:pPr>
    </w:p>
    <w:p w14:paraId="2A2A0804" w14:textId="77777777" w:rsidR="002E6066" w:rsidRPr="008A190A" w:rsidRDefault="002E6066" w:rsidP="009B5B54">
      <w:pPr>
        <w:pBdr>
          <w:top w:val="single" w:sz="4" w:space="1" w:color="auto"/>
        </w:pBdr>
        <w:autoSpaceDE w:val="0"/>
        <w:autoSpaceDN w:val="0"/>
        <w:spacing w:after="0" w:line="240" w:lineRule="auto"/>
        <w:rPr>
          <w:rFonts w:ascii="Calibri" w:eastAsia="Times New Roman" w:hAnsi="Calibri" w:cs="Calibri"/>
          <w:b/>
        </w:rPr>
      </w:pPr>
      <w:r w:rsidRPr="008A190A">
        <w:rPr>
          <w:rFonts w:ascii="Calibri" w:eastAsia="Times New Roman" w:hAnsi="Calibri" w:cs="Calibri"/>
          <w:b/>
        </w:rPr>
        <w:lastRenderedPageBreak/>
        <w:t>Category 2:</w:t>
      </w:r>
    </w:p>
    <w:p w14:paraId="298245F0" w14:textId="77777777" w:rsidR="002E6066" w:rsidRPr="008A190A" w:rsidRDefault="002E6066" w:rsidP="002E6066">
      <w:pPr>
        <w:autoSpaceDE w:val="0"/>
        <w:autoSpaceDN w:val="0"/>
        <w:spacing w:after="0" w:line="240" w:lineRule="auto"/>
        <w:contextualSpacing/>
        <w:rPr>
          <w:rFonts w:ascii="Calibri" w:eastAsia="Times New Roman" w:hAnsi="Calibri" w:cs="Calibri"/>
        </w:rPr>
      </w:pPr>
    </w:p>
    <w:p w14:paraId="05C1E2C8" w14:textId="77777777" w:rsidR="002E6066" w:rsidRPr="008A190A" w:rsidRDefault="002E6066" w:rsidP="003159A0">
      <w:pPr>
        <w:autoSpaceDE w:val="0"/>
        <w:autoSpaceDN w:val="0"/>
        <w:spacing w:after="0" w:line="360" w:lineRule="auto"/>
        <w:contextualSpacing/>
        <w:rPr>
          <w:rFonts w:ascii="Calibri" w:eastAsia="Times New Roman" w:hAnsi="Calibri" w:cs="Calibri"/>
        </w:rPr>
      </w:pPr>
      <w:r w:rsidRPr="008A190A">
        <w:rPr>
          <w:rFonts w:ascii="Calibri" w:eastAsia="Times New Roman" w:hAnsi="Calibri" w:cs="Calibri"/>
        </w:rPr>
        <w:t xml:space="preserve">The following script will be used by the NPS staff at the visitor centers and ranger station during the initial contact with all visitors:  </w:t>
      </w:r>
    </w:p>
    <w:p w14:paraId="7A25B6EB" w14:textId="77777777" w:rsidR="002E6066" w:rsidRPr="008A190A" w:rsidRDefault="002E6066" w:rsidP="002E6066">
      <w:pPr>
        <w:autoSpaceDE w:val="0"/>
        <w:autoSpaceDN w:val="0"/>
        <w:spacing w:after="0" w:line="240" w:lineRule="auto"/>
        <w:contextualSpacing/>
        <w:rPr>
          <w:rFonts w:ascii="Calibri" w:eastAsia="Times New Roman" w:hAnsi="Calibri" w:cs="Calibri"/>
        </w:rPr>
      </w:pPr>
    </w:p>
    <w:p w14:paraId="13E75248" w14:textId="77777777" w:rsidR="002E6066" w:rsidRPr="008A190A" w:rsidRDefault="002E6066" w:rsidP="009B5B54">
      <w:pPr>
        <w:autoSpaceDE w:val="0"/>
        <w:autoSpaceDN w:val="0"/>
        <w:spacing w:after="0" w:line="240" w:lineRule="auto"/>
        <w:ind w:left="705" w:right="990"/>
        <w:contextualSpacing/>
        <w:rPr>
          <w:rFonts w:ascii="Calibri" w:eastAsia="Times New Roman" w:hAnsi="Calibri" w:cs="Calibri"/>
          <w:i/>
        </w:rPr>
      </w:pPr>
      <w:r w:rsidRPr="008A190A">
        <w:rPr>
          <w:rFonts w:ascii="Calibri" w:eastAsia="Times New Roman" w:hAnsi="Calibri" w:cs="Calibri"/>
          <w:i/>
        </w:rPr>
        <w:t xml:space="preserve">“The National Park Service is conducting a study for Wrangell-St. Elias National Park to better understand visitor experience during their backcountry trips their perceptions of conditions, and opinions toward management actions to address impacts. Your Participation is voluntary and all responses are anonymous.  Would you be willing to take about 7 minutes to complete a survey on the last day of your backcountry trip? ” </w:t>
      </w:r>
    </w:p>
    <w:p w14:paraId="2C4C3FD7"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rPr>
      </w:pPr>
    </w:p>
    <w:p w14:paraId="0439F0FA" w14:textId="77777777" w:rsidR="002E6066" w:rsidRPr="008A190A" w:rsidRDefault="002E6066" w:rsidP="002E6066">
      <w:pPr>
        <w:autoSpaceDE w:val="0"/>
        <w:autoSpaceDN w:val="0"/>
        <w:spacing w:after="0" w:line="240" w:lineRule="auto"/>
        <w:ind w:left="705" w:right="990"/>
        <w:contextualSpacing/>
        <w:rPr>
          <w:rFonts w:ascii="Calibri" w:eastAsia="Times New Roman" w:hAnsi="Calibri" w:cs="Calibri"/>
        </w:rPr>
      </w:pPr>
      <w:r w:rsidRPr="008A190A">
        <w:rPr>
          <w:rFonts w:ascii="Calibri" w:eastAsia="Times New Roman" w:hAnsi="Calibri" w:cs="Calibri"/>
        </w:rPr>
        <w:sym w:font="Wingdings 3" w:char="F0E2"/>
      </w:r>
      <w:r w:rsidRPr="008A190A">
        <w:rPr>
          <w:rFonts w:ascii="Calibri" w:eastAsia="Times New Roman" w:hAnsi="Calibri" w:cs="Calibri"/>
        </w:rPr>
        <w:t xml:space="preserve">If YES: </w:t>
      </w:r>
    </w:p>
    <w:p w14:paraId="3DDE6071" w14:textId="77777777" w:rsidR="002E6066" w:rsidRPr="008A190A" w:rsidRDefault="002E6066" w:rsidP="002E6066">
      <w:pPr>
        <w:autoSpaceDE w:val="0"/>
        <w:autoSpaceDN w:val="0"/>
        <w:spacing w:after="0" w:line="240" w:lineRule="auto"/>
        <w:ind w:left="705" w:right="990"/>
        <w:contextualSpacing/>
        <w:rPr>
          <w:rFonts w:ascii="Calibri" w:eastAsia="Times New Roman" w:hAnsi="Calibri" w:cs="Calibri"/>
        </w:rPr>
      </w:pPr>
    </w:p>
    <w:p w14:paraId="17269CAE" w14:textId="77777777" w:rsidR="002E6066" w:rsidRPr="008A190A" w:rsidRDefault="002E6066" w:rsidP="002E6066">
      <w:pPr>
        <w:autoSpaceDE w:val="0"/>
        <w:autoSpaceDN w:val="0"/>
        <w:spacing w:after="0" w:line="240" w:lineRule="auto"/>
        <w:ind w:left="705" w:right="990"/>
        <w:contextualSpacing/>
        <w:rPr>
          <w:rFonts w:ascii="Calibri" w:eastAsia="Times New Roman" w:hAnsi="Calibri" w:cs="Calibri"/>
          <w:i/>
        </w:rPr>
      </w:pPr>
      <w:r w:rsidRPr="008A190A">
        <w:rPr>
          <w:rFonts w:ascii="Calibri" w:eastAsia="Times New Roman" w:hAnsi="Calibri" w:cs="Calibri"/>
          <w:i/>
        </w:rPr>
        <w:t>“Thank you.  Here is the survey and instructions on how to complete the survey and mail it back to NPS at the end of your trip when you leave the backcountry.  As discussed in the instructions on the first page, we only need one member of your group to complete the survey.  In order to ensure a random sample, please identify the person in your group who most recently celebrated a birthday (and is at least 18 years old).  They will be the person designated to complete the survey.”</w:t>
      </w:r>
    </w:p>
    <w:p w14:paraId="3F557995"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rPr>
      </w:pPr>
    </w:p>
    <w:p w14:paraId="4D260FB6"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i/>
        </w:rPr>
      </w:pPr>
      <w:r w:rsidRPr="008A190A">
        <w:rPr>
          <w:rFonts w:ascii="Calibri" w:eastAsia="Times New Roman" w:hAnsi="Calibri" w:cs="Calibri"/>
          <w:i/>
        </w:rPr>
        <w:t xml:space="preserve">“All instructions for completing the questionnaire are self-explanatory.  The survey is about two pages long.” </w:t>
      </w:r>
    </w:p>
    <w:p w14:paraId="48359701"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rPr>
      </w:pPr>
    </w:p>
    <w:p w14:paraId="4AEECBB1"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rPr>
      </w:pPr>
      <w:r w:rsidRPr="008A190A">
        <w:rPr>
          <w:rFonts w:ascii="Calibri" w:eastAsia="Times New Roman" w:hAnsi="Calibri" w:cs="Calibri"/>
        </w:rPr>
        <w:sym w:font="Wingdings 3" w:char="F0E2"/>
      </w:r>
      <w:r w:rsidRPr="008A190A">
        <w:rPr>
          <w:rFonts w:ascii="Calibri" w:eastAsia="Times New Roman" w:hAnsi="Calibri" w:cs="Calibri"/>
        </w:rPr>
        <w:t xml:space="preserve">If NO: </w:t>
      </w:r>
    </w:p>
    <w:p w14:paraId="46092655"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i/>
        </w:rPr>
      </w:pPr>
      <w:r w:rsidRPr="008A190A">
        <w:rPr>
          <w:rFonts w:ascii="Calibri" w:eastAsia="Times New Roman" w:hAnsi="Calibri" w:cs="Calibri"/>
          <w:i/>
        </w:rPr>
        <w:t xml:space="preserve">“Thank you.  I have three quick questions to ask you.”  </w:t>
      </w:r>
    </w:p>
    <w:p w14:paraId="68106D55" w14:textId="77777777" w:rsidR="002E6066" w:rsidRPr="008A190A" w:rsidRDefault="002E6066" w:rsidP="002E6066">
      <w:pPr>
        <w:autoSpaceDE w:val="0"/>
        <w:autoSpaceDN w:val="0"/>
        <w:spacing w:after="0" w:line="240" w:lineRule="auto"/>
        <w:ind w:left="687" w:right="990"/>
        <w:contextualSpacing/>
        <w:rPr>
          <w:rFonts w:ascii="Calibri" w:eastAsia="Times New Roman" w:hAnsi="Calibri" w:cs="Calibri"/>
        </w:rPr>
      </w:pPr>
    </w:p>
    <w:p w14:paraId="593F49A4" w14:textId="77777777" w:rsidR="002E6066" w:rsidRPr="008A190A" w:rsidRDefault="002E6066" w:rsidP="002E6066">
      <w:pPr>
        <w:autoSpaceDE w:val="0"/>
        <w:autoSpaceDN w:val="0"/>
        <w:spacing w:after="0" w:line="240" w:lineRule="auto"/>
        <w:ind w:left="1155" w:right="270" w:hanging="360"/>
        <w:contextualSpacing/>
        <w:rPr>
          <w:rFonts w:ascii="Calibri" w:eastAsia="Times New Roman" w:hAnsi="Calibri" w:cs="Calibri"/>
        </w:rPr>
      </w:pPr>
      <w:r w:rsidRPr="008A190A">
        <w:rPr>
          <w:rFonts w:ascii="Calibri" w:eastAsia="Times New Roman" w:hAnsi="Calibri" w:cs="Calibri"/>
        </w:rPr>
        <w:t>For all groups contacted, NPS staff will then ask and record</w:t>
      </w:r>
      <w:r w:rsidR="009F1EBC" w:rsidRPr="008A190A">
        <w:rPr>
          <w:rFonts w:ascii="Calibri" w:eastAsia="Times New Roman" w:hAnsi="Calibri" w:cs="Calibri"/>
        </w:rPr>
        <w:t xml:space="preserve"> the responses to the following questions</w:t>
      </w:r>
      <w:r w:rsidRPr="008A190A">
        <w:rPr>
          <w:rFonts w:ascii="Calibri" w:eastAsia="Times New Roman" w:hAnsi="Calibri" w:cs="Calibri"/>
        </w:rPr>
        <w:t xml:space="preserve">: </w:t>
      </w:r>
    </w:p>
    <w:p w14:paraId="6BF90AC4" w14:textId="77777777" w:rsidR="002E6066" w:rsidRPr="008A190A" w:rsidRDefault="002E6066" w:rsidP="002E6066">
      <w:pPr>
        <w:autoSpaceDE w:val="0"/>
        <w:autoSpaceDN w:val="0"/>
        <w:spacing w:after="0" w:line="240" w:lineRule="auto"/>
        <w:ind w:left="1155" w:right="270" w:hanging="360"/>
        <w:contextualSpacing/>
        <w:rPr>
          <w:rFonts w:ascii="Calibri" w:eastAsia="Times New Roman" w:hAnsi="Calibri" w:cs="Calibri"/>
        </w:rPr>
      </w:pPr>
    </w:p>
    <w:p w14:paraId="4C1EFA83" w14:textId="77777777" w:rsidR="002E6066" w:rsidRPr="008A190A" w:rsidRDefault="002E6066" w:rsidP="002E6066">
      <w:pPr>
        <w:numPr>
          <w:ilvl w:val="0"/>
          <w:numId w:val="8"/>
        </w:numPr>
        <w:autoSpaceDE w:val="0"/>
        <w:autoSpaceDN w:val="0"/>
        <w:spacing w:after="0" w:line="240" w:lineRule="auto"/>
        <w:ind w:right="270"/>
        <w:contextualSpacing/>
        <w:rPr>
          <w:rFonts w:ascii="Calibri" w:eastAsia="Times New Roman" w:hAnsi="Calibri" w:cs="Calibri"/>
          <w:i/>
        </w:rPr>
      </w:pPr>
      <w:r w:rsidRPr="008A190A">
        <w:rPr>
          <w:rFonts w:ascii="Calibri" w:eastAsia="Times New Roman" w:hAnsi="Calibri" w:cs="Calibri"/>
          <w:i/>
        </w:rPr>
        <w:t>How many people are in your group?</w:t>
      </w:r>
    </w:p>
    <w:p w14:paraId="5B7D506D" w14:textId="77777777" w:rsidR="002E6066" w:rsidRPr="008A190A" w:rsidRDefault="002E6066" w:rsidP="002E6066">
      <w:pPr>
        <w:numPr>
          <w:ilvl w:val="0"/>
          <w:numId w:val="8"/>
        </w:numPr>
        <w:autoSpaceDE w:val="0"/>
        <w:autoSpaceDN w:val="0"/>
        <w:spacing w:after="0" w:line="240" w:lineRule="auto"/>
        <w:ind w:right="270"/>
        <w:contextualSpacing/>
        <w:rPr>
          <w:rFonts w:ascii="Calibri" w:eastAsia="Times New Roman" w:hAnsi="Calibri" w:cs="Calibri"/>
          <w:i/>
        </w:rPr>
      </w:pPr>
      <w:r w:rsidRPr="008A190A">
        <w:rPr>
          <w:rFonts w:ascii="Calibri" w:eastAsia="Times New Roman" w:hAnsi="Calibri" w:cs="Calibri"/>
          <w:i/>
        </w:rPr>
        <w:t>What is your backcountry destination and pick-up location?</w:t>
      </w:r>
    </w:p>
    <w:p w14:paraId="71834175" w14:textId="77777777" w:rsidR="002E6066" w:rsidRPr="008A190A" w:rsidRDefault="002E6066" w:rsidP="002E6066">
      <w:pPr>
        <w:numPr>
          <w:ilvl w:val="0"/>
          <w:numId w:val="8"/>
        </w:numPr>
        <w:autoSpaceDE w:val="0"/>
        <w:autoSpaceDN w:val="0"/>
        <w:spacing w:after="0" w:line="240" w:lineRule="auto"/>
        <w:ind w:right="270"/>
        <w:contextualSpacing/>
        <w:rPr>
          <w:rFonts w:ascii="Calibri" w:eastAsia="Times New Roman" w:hAnsi="Calibri" w:cs="Calibri"/>
          <w:i/>
        </w:rPr>
      </w:pPr>
      <w:r w:rsidRPr="008A190A">
        <w:rPr>
          <w:rFonts w:ascii="Calibri" w:eastAsia="Times New Roman" w:hAnsi="Calibri" w:cs="Calibri"/>
          <w:i/>
        </w:rPr>
        <w:t>What day will you enter and exit the backcountry?</w:t>
      </w:r>
    </w:p>
    <w:p w14:paraId="5B4F67EC" w14:textId="0FBF3EB8" w:rsidR="007D4C26" w:rsidRPr="008A190A" w:rsidRDefault="002E6066" w:rsidP="00AA2286">
      <w:pPr>
        <w:numPr>
          <w:ilvl w:val="0"/>
          <w:numId w:val="8"/>
        </w:numPr>
        <w:autoSpaceDE w:val="0"/>
        <w:autoSpaceDN w:val="0"/>
        <w:spacing w:after="0" w:line="240" w:lineRule="auto"/>
        <w:ind w:right="270"/>
        <w:contextualSpacing/>
        <w:rPr>
          <w:rFonts w:ascii="Calibri" w:eastAsia="Times New Roman" w:hAnsi="Calibri" w:cs="Calibri"/>
          <w:i/>
        </w:rPr>
      </w:pPr>
      <w:r w:rsidRPr="008A190A">
        <w:rPr>
          <w:rFonts w:ascii="Calibri" w:eastAsia="Times New Roman" w:hAnsi="Calibri" w:cs="Calibri"/>
          <w:i/>
        </w:rPr>
        <w:t xml:space="preserve">What is the primary activity you will do in the backcountry?  </w:t>
      </w:r>
    </w:p>
    <w:p w14:paraId="36D5C14E" w14:textId="77777777" w:rsidR="00AA2286" w:rsidRPr="008A190A" w:rsidRDefault="00AA2286" w:rsidP="00AA2286">
      <w:pPr>
        <w:autoSpaceDE w:val="0"/>
        <w:autoSpaceDN w:val="0"/>
        <w:spacing w:after="0" w:line="240" w:lineRule="auto"/>
        <w:ind w:right="270"/>
        <w:contextualSpacing/>
        <w:rPr>
          <w:rFonts w:ascii="Calibri" w:eastAsia="Times New Roman" w:hAnsi="Calibri" w:cs="Calibri"/>
          <w:i/>
        </w:rPr>
      </w:pPr>
    </w:p>
    <w:p w14:paraId="1052C20C" w14:textId="77777777" w:rsidR="00E95952" w:rsidRPr="008A190A"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A190A">
        <w:rPr>
          <w:rFonts w:cs="Arial"/>
          <w:b/>
        </w:rPr>
        <w:t>Expected Response Rate / Confidence Level:</w:t>
      </w:r>
    </w:p>
    <w:p w14:paraId="0329D5A3" w14:textId="0980E418" w:rsidR="003159A0" w:rsidRPr="008A190A" w:rsidRDefault="003159A0" w:rsidP="003159A0">
      <w:pP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 xml:space="preserve">We anticipate that a total of </w:t>
      </w:r>
      <w:r w:rsidR="00AF6105" w:rsidRPr="008A190A">
        <w:rPr>
          <w:rFonts w:cs="Arial"/>
        </w:rPr>
        <w:t>480</w:t>
      </w:r>
      <w:r w:rsidRPr="008A190A">
        <w:rPr>
          <w:rFonts w:cs="Arial"/>
        </w:rPr>
        <w:t xml:space="preserve"> groups will be asked to participate in the survey.  Of these, we estimate that about 90% </w:t>
      </w:r>
      <w:r w:rsidR="00B10738">
        <w:rPr>
          <w:rFonts w:cs="Arial"/>
        </w:rPr>
        <w:t xml:space="preserve">(n=432) in Category 1 </w:t>
      </w:r>
      <w:r w:rsidRPr="008A190A">
        <w:rPr>
          <w:rFonts w:cs="Arial"/>
        </w:rPr>
        <w:t xml:space="preserve">will be contacted by air taxi operators and lodges and the remaining 10% </w:t>
      </w:r>
      <w:r w:rsidR="00B10738">
        <w:rPr>
          <w:rFonts w:cs="Arial"/>
        </w:rPr>
        <w:t xml:space="preserve">(n=48) in Category 2 </w:t>
      </w:r>
      <w:r w:rsidRPr="008A190A">
        <w:rPr>
          <w:rFonts w:cs="Arial"/>
        </w:rPr>
        <w:t>will be contacted by NPS staff</w:t>
      </w:r>
      <w:r w:rsidR="00B10738">
        <w:rPr>
          <w:rFonts w:cs="Arial"/>
        </w:rPr>
        <w:t xml:space="preserve">.  </w:t>
      </w:r>
      <w:r w:rsidRPr="008A190A">
        <w:rPr>
          <w:rFonts w:cs="Arial"/>
        </w:rPr>
        <w:t>Based on previous surveys of Alaskan backcountry users, we estimate 80% of groups in both Categor</w:t>
      </w:r>
      <w:r w:rsidR="00DA7624" w:rsidRPr="008A190A">
        <w:rPr>
          <w:rFonts w:cs="Arial"/>
        </w:rPr>
        <w:t xml:space="preserve">y </w:t>
      </w:r>
      <w:r w:rsidRPr="008A190A">
        <w:rPr>
          <w:rFonts w:cs="Arial"/>
        </w:rPr>
        <w:t xml:space="preserve">1 </w:t>
      </w:r>
      <w:r w:rsidR="00DA7624" w:rsidRPr="008A190A">
        <w:rPr>
          <w:rFonts w:cs="Arial"/>
        </w:rPr>
        <w:t>(n=</w:t>
      </w:r>
      <w:r w:rsidR="00B10738">
        <w:rPr>
          <w:rFonts w:cs="Arial"/>
        </w:rPr>
        <w:t>346</w:t>
      </w:r>
      <w:r w:rsidR="00DA7624" w:rsidRPr="008A190A">
        <w:rPr>
          <w:rFonts w:cs="Arial"/>
        </w:rPr>
        <w:t xml:space="preserve">) </w:t>
      </w:r>
      <w:r w:rsidRPr="008A190A">
        <w:rPr>
          <w:rFonts w:cs="Arial"/>
        </w:rPr>
        <w:t xml:space="preserve">and </w:t>
      </w:r>
      <w:r w:rsidR="00DA7624" w:rsidRPr="008A190A">
        <w:rPr>
          <w:rFonts w:cs="Arial"/>
        </w:rPr>
        <w:t xml:space="preserve">Category </w:t>
      </w:r>
      <w:r w:rsidRPr="008A190A">
        <w:rPr>
          <w:rFonts w:cs="Arial"/>
        </w:rPr>
        <w:t>2</w:t>
      </w:r>
      <w:r w:rsidR="00DA7624" w:rsidRPr="008A190A">
        <w:rPr>
          <w:rFonts w:cs="Arial"/>
        </w:rPr>
        <w:t xml:space="preserve"> (n=</w:t>
      </w:r>
      <w:r w:rsidR="00B10738" w:rsidRPr="008A190A">
        <w:rPr>
          <w:rFonts w:cs="Arial"/>
        </w:rPr>
        <w:t>3</w:t>
      </w:r>
      <w:r w:rsidR="00B10738">
        <w:rPr>
          <w:rFonts w:cs="Arial"/>
        </w:rPr>
        <w:t>8</w:t>
      </w:r>
      <w:r w:rsidR="00DA7624" w:rsidRPr="008A190A">
        <w:rPr>
          <w:rFonts w:cs="Arial"/>
        </w:rPr>
        <w:t>)</w:t>
      </w:r>
      <w:r w:rsidRPr="008A190A">
        <w:rPr>
          <w:rFonts w:cs="Arial"/>
        </w:rPr>
        <w:t xml:space="preserve"> will agree to participate </w:t>
      </w:r>
      <w:r w:rsidR="00DA7624" w:rsidRPr="008A190A">
        <w:rPr>
          <w:rFonts w:cs="Arial"/>
        </w:rPr>
        <w:t xml:space="preserve">by </w:t>
      </w:r>
      <w:r w:rsidRPr="008A190A">
        <w:rPr>
          <w:rFonts w:cs="Arial"/>
        </w:rPr>
        <w:t>accept</w:t>
      </w:r>
      <w:r w:rsidR="00DA7624" w:rsidRPr="008A190A">
        <w:rPr>
          <w:rFonts w:cs="Arial"/>
        </w:rPr>
        <w:t>in</w:t>
      </w:r>
      <w:r w:rsidR="0086250D" w:rsidRPr="008A190A">
        <w:rPr>
          <w:rFonts w:cs="Arial"/>
        </w:rPr>
        <w:t>g</w:t>
      </w:r>
      <w:r w:rsidRPr="008A190A">
        <w:rPr>
          <w:rFonts w:cs="Arial"/>
        </w:rPr>
        <w:t xml:space="preserve"> the survey packet </w:t>
      </w:r>
      <w:r w:rsidR="00DA7624" w:rsidRPr="008A190A">
        <w:rPr>
          <w:rFonts w:cs="Arial"/>
        </w:rPr>
        <w:t xml:space="preserve">during the initial contact </w:t>
      </w:r>
      <w:r w:rsidRPr="008A190A">
        <w:rPr>
          <w:rFonts w:cs="Arial"/>
        </w:rPr>
        <w:t xml:space="preserve">(see table below). </w:t>
      </w:r>
    </w:p>
    <w:p w14:paraId="76F584AF" w14:textId="77777777" w:rsidR="003159A0" w:rsidRPr="008A190A" w:rsidRDefault="003159A0" w:rsidP="003159A0">
      <w:pPr>
        <w:pStyle w:val="NoSpacing"/>
        <w:rPr>
          <w:rFonts w:asciiTheme="minorHAnsi" w:hAnsiTheme="minorHAnsi"/>
          <w:sz w:val="22"/>
          <w:szCs w:val="22"/>
        </w:rPr>
      </w:pPr>
    </w:p>
    <w:p w14:paraId="43F02FCD" w14:textId="017727D0" w:rsidR="003159A0" w:rsidRDefault="00880FA4" w:rsidP="003159A0">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W</w:t>
      </w:r>
      <w:r w:rsidR="00DA7624" w:rsidRPr="008A190A">
        <w:rPr>
          <w:rFonts w:cs="Arial"/>
        </w:rPr>
        <w:t xml:space="preserve">e anticipate that approximately 55% </w:t>
      </w:r>
      <w:r w:rsidR="00D20070">
        <w:rPr>
          <w:rFonts w:cs="Arial"/>
        </w:rPr>
        <w:t>(n= 211)</w:t>
      </w:r>
      <w:r>
        <w:rPr>
          <w:rFonts w:cs="Arial"/>
        </w:rPr>
        <w:t xml:space="preserve">of all visitor accepting the invitation will return a completed questionnaire </w:t>
      </w:r>
      <w:r w:rsidR="00B10738">
        <w:rPr>
          <w:rFonts w:cs="Arial"/>
        </w:rPr>
        <w:t xml:space="preserve">Category 1 </w:t>
      </w:r>
      <w:r w:rsidRPr="008A190A">
        <w:rPr>
          <w:rFonts w:cs="Arial"/>
        </w:rPr>
        <w:t>(n=19</w:t>
      </w:r>
      <w:r>
        <w:rPr>
          <w:rFonts w:cs="Arial"/>
        </w:rPr>
        <w:t>0</w:t>
      </w:r>
      <w:r w:rsidRPr="008A190A">
        <w:rPr>
          <w:rFonts w:cs="Arial"/>
        </w:rPr>
        <w:t xml:space="preserve">) </w:t>
      </w:r>
      <w:r>
        <w:rPr>
          <w:rFonts w:cs="Arial"/>
        </w:rPr>
        <w:t>and</w:t>
      </w:r>
      <w:r w:rsidR="003159A0" w:rsidRPr="008A190A">
        <w:rPr>
          <w:rFonts w:cs="Arial"/>
        </w:rPr>
        <w:t xml:space="preserve"> </w:t>
      </w:r>
      <w:r w:rsidR="00DE0F84" w:rsidRPr="008A190A">
        <w:rPr>
          <w:rFonts w:cs="Arial"/>
        </w:rPr>
        <w:t>Category 2</w:t>
      </w:r>
      <w:r>
        <w:rPr>
          <w:rFonts w:cs="Arial"/>
        </w:rPr>
        <w:t xml:space="preserve"> </w:t>
      </w:r>
      <w:r w:rsidRPr="008A190A">
        <w:rPr>
          <w:rFonts w:cs="Arial"/>
        </w:rPr>
        <w:t>(n=2</w:t>
      </w:r>
      <w:r>
        <w:rPr>
          <w:rFonts w:cs="Arial"/>
        </w:rPr>
        <w:t>1</w:t>
      </w:r>
      <w:r w:rsidRPr="008A190A">
        <w:rPr>
          <w:rFonts w:cs="Arial"/>
        </w:rPr>
        <w:t>)</w:t>
      </w:r>
      <w:r w:rsidR="00B10738">
        <w:rPr>
          <w:rFonts w:cs="Arial"/>
        </w:rPr>
        <w:t>,</w:t>
      </w:r>
      <w:r w:rsidR="00DE0F84" w:rsidRPr="008A190A">
        <w:rPr>
          <w:rFonts w:cs="Arial"/>
        </w:rPr>
        <w:t xml:space="preserve"> </w:t>
      </w:r>
      <w:r w:rsidR="00B10738">
        <w:rPr>
          <w:rFonts w:cs="Arial"/>
        </w:rPr>
        <w:t>therefore</w:t>
      </w:r>
      <w:r w:rsidR="00DE0F84" w:rsidRPr="008A190A">
        <w:rPr>
          <w:rFonts w:cs="Arial"/>
        </w:rPr>
        <w:t xml:space="preserve"> we expect </w:t>
      </w:r>
      <w:r w:rsidR="00B10738">
        <w:rPr>
          <w:rFonts w:cs="Arial"/>
        </w:rPr>
        <w:t xml:space="preserve">a return rate </w:t>
      </w:r>
      <w:r w:rsidR="003159A0" w:rsidRPr="008A190A">
        <w:rPr>
          <w:rFonts w:cs="Arial"/>
        </w:rPr>
        <w:t xml:space="preserve">of about </w:t>
      </w:r>
      <w:r w:rsidR="00D31F5F" w:rsidRPr="008A190A">
        <w:rPr>
          <w:rFonts w:cs="Arial"/>
        </w:rPr>
        <w:t>21</w:t>
      </w:r>
      <w:r>
        <w:rPr>
          <w:rFonts w:cs="Arial"/>
        </w:rPr>
        <w:t>1</w:t>
      </w:r>
      <w:r w:rsidR="00D31F5F" w:rsidRPr="008A190A">
        <w:rPr>
          <w:rFonts w:cs="Arial"/>
        </w:rPr>
        <w:t xml:space="preserve"> </w:t>
      </w:r>
      <w:r w:rsidR="003159A0" w:rsidRPr="008A190A">
        <w:rPr>
          <w:rFonts w:cs="Arial"/>
        </w:rPr>
        <w:t xml:space="preserve">completed surveys.  </w:t>
      </w:r>
    </w:p>
    <w:p w14:paraId="0C98955A" w14:textId="77777777" w:rsidR="00D20070" w:rsidRDefault="00D20070" w:rsidP="003159A0">
      <w:pPr>
        <w:tabs>
          <w:tab w:val="left" w:pos="360"/>
          <w:tab w:val="left" w:pos="720"/>
          <w:tab w:val="left" w:pos="1440"/>
          <w:tab w:val="left" w:pos="2160"/>
          <w:tab w:val="left" w:pos="3600"/>
          <w:tab w:val="left" w:pos="5040"/>
          <w:tab w:val="left" w:pos="5760"/>
        </w:tabs>
        <w:spacing w:after="0" w:line="360" w:lineRule="auto"/>
        <w:rPr>
          <w:rFonts w:cs="Arial"/>
        </w:rPr>
      </w:pPr>
    </w:p>
    <w:p w14:paraId="54A6634E" w14:textId="77777777" w:rsidR="00D20070" w:rsidRPr="008A190A" w:rsidRDefault="00D20070" w:rsidP="003159A0">
      <w:pPr>
        <w:tabs>
          <w:tab w:val="left" w:pos="360"/>
          <w:tab w:val="left" w:pos="720"/>
          <w:tab w:val="left" w:pos="1440"/>
          <w:tab w:val="left" w:pos="2160"/>
          <w:tab w:val="left" w:pos="3600"/>
          <w:tab w:val="left" w:pos="5040"/>
          <w:tab w:val="left" w:pos="5760"/>
        </w:tabs>
        <w:spacing w:after="0" w:line="360" w:lineRule="auto"/>
        <w:rPr>
          <w:rFonts w:cs="Arial"/>
        </w:rPr>
      </w:pPr>
    </w:p>
    <w:tbl>
      <w:tblPr>
        <w:tblStyle w:val="TableGrid"/>
        <w:tblW w:w="0" w:type="auto"/>
        <w:tblInd w:w="355" w:type="dxa"/>
        <w:tblLook w:val="04A0" w:firstRow="1" w:lastRow="0" w:firstColumn="1" w:lastColumn="0" w:noHBand="0" w:noVBand="1"/>
      </w:tblPr>
      <w:tblGrid>
        <w:gridCol w:w="2093"/>
        <w:gridCol w:w="1710"/>
        <w:gridCol w:w="1350"/>
        <w:gridCol w:w="1710"/>
        <w:gridCol w:w="1440"/>
        <w:gridCol w:w="1440"/>
      </w:tblGrid>
      <w:tr w:rsidR="008A190A" w:rsidRPr="008A190A" w14:paraId="64E2A65C" w14:textId="77777777" w:rsidTr="00F62DBD">
        <w:tc>
          <w:tcPr>
            <w:tcW w:w="20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626A7449" w14:textId="77777777" w:rsidR="00DE0F84" w:rsidRPr="008A190A" w:rsidRDefault="00DE0F84" w:rsidP="0085312C">
            <w:pPr>
              <w:tabs>
                <w:tab w:val="left" w:pos="1445"/>
                <w:tab w:val="left" w:pos="1625"/>
                <w:tab w:val="left" w:pos="2160"/>
                <w:tab w:val="left" w:pos="3600"/>
                <w:tab w:val="left" w:pos="5040"/>
                <w:tab w:val="left" w:pos="5760"/>
              </w:tabs>
              <w:ind w:left="-18" w:firstLine="3"/>
              <w:jc w:val="center"/>
              <w:rPr>
                <w:rFonts w:cs="Arial"/>
                <w:b/>
                <w:sz w:val="20"/>
                <w:szCs w:val="20"/>
              </w:rPr>
            </w:pPr>
          </w:p>
        </w:tc>
        <w:tc>
          <w:tcPr>
            <w:tcW w:w="7650" w:type="dxa"/>
            <w:gridSpan w:val="5"/>
            <w:tcBorders>
              <w:top w:val="single" w:sz="4" w:space="0" w:color="76923C" w:themeColor="accent3" w:themeShade="BF"/>
              <w:left w:val="single" w:sz="8" w:space="0" w:color="76923C" w:themeColor="accent3" w:themeShade="BF"/>
              <w:bottom w:val="single" w:sz="8" w:space="0" w:color="76923C" w:themeColor="accent3" w:themeShade="BF"/>
              <w:right w:val="single" w:sz="4" w:space="0" w:color="76923C" w:themeColor="accent3" w:themeShade="BF"/>
            </w:tcBorders>
            <w:shd w:val="clear" w:color="auto" w:fill="C2D69B" w:themeFill="accent3" w:themeFillTint="99"/>
            <w:vAlign w:val="center"/>
          </w:tcPr>
          <w:p w14:paraId="28FBF494" w14:textId="77777777" w:rsidR="00DE0F84" w:rsidRPr="008A190A" w:rsidRDefault="00DE0F84" w:rsidP="0085312C">
            <w:pPr>
              <w:jc w:val="center"/>
              <w:rPr>
                <w:b/>
                <w:sz w:val="20"/>
                <w:szCs w:val="20"/>
              </w:rPr>
            </w:pPr>
            <w:r w:rsidRPr="008A190A">
              <w:rPr>
                <w:b/>
                <w:sz w:val="20"/>
                <w:szCs w:val="20"/>
              </w:rPr>
              <w:t>On-site and On-line Contacts</w:t>
            </w:r>
          </w:p>
        </w:tc>
      </w:tr>
      <w:tr w:rsidR="008A190A" w:rsidRPr="008A190A" w14:paraId="62C9C82F" w14:textId="77777777" w:rsidTr="009B5B54">
        <w:tc>
          <w:tcPr>
            <w:tcW w:w="20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6614F408" w14:textId="77777777" w:rsidR="00DE0F84" w:rsidRPr="008A190A" w:rsidRDefault="00DE0F84" w:rsidP="0085312C">
            <w:pPr>
              <w:tabs>
                <w:tab w:val="left" w:pos="1445"/>
                <w:tab w:val="left" w:pos="1625"/>
                <w:tab w:val="left" w:pos="2160"/>
                <w:tab w:val="left" w:pos="3600"/>
                <w:tab w:val="left" w:pos="5040"/>
                <w:tab w:val="left" w:pos="5760"/>
              </w:tabs>
              <w:ind w:left="-18" w:firstLine="3"/>
              <w:jc w:val="center"/>
              <w:rPr>
                <w:rFonts w:cs="Arial"/>
                <w:b/>
                <w:sz w:val="20"/>
                <w:szCs w:val="20"/>
              </w:rPr>
            </w:pPr>
            <w:r w:rsidRPr="008A190A">
              <w:rPr>
                <w:rFonts w:cs="Arial"/>
                <w:b/>
                <w:sz w:val="20"/>
                <w:szCs w:val="20"/>
              </w:rPr>
              <w:t>Intercept</w:t>
            </w:r>
          </w:p>
          <w:p w14:paraId="4CE2C43A" w14:textId="77777777" w:rsidR="00DE0F84" w:rsidRPr="008A190A" w:rsidRDefault="00DE0F84" w:rsidP="0085312C">
            <w:pPr>
              <w:tabs>
                <w:tab w:val="left" w:pos="1445"/>
                <w:tab w:val="left" w:pos="1625"/>
                <w:tab w:val="left" w:pos="2160"/>
                <w:tab w:val="left" w:pos="3600"/>
                <w:tab w:val="left" w:pos="5040"/>
                <w:tab w:val="left" w:pos="5760"/>
              </w:tabs>
              <w:ind w:left="-18" w:firstLine="3"/>
              <w:jc w:val="center"/>
              <w:rPr>
                <w:rFonts w:cs="Arial"/>
                <w:b/>
                <w:sz w:val="20"/>
                <w:szCs w:val="20"/>
              </w:rPr>
            </w:pPr>
            <w:r w:rsidRPr="008A190A">
              <w:rPr>
                <w:rFonts w:cs="Arial"/>
                <w:b/>
                <w:sz w:val="20"/>
                <w:szCs w:val="20"/>
              </w:rPr>
              <w:t>Location</w:t>
            </w:r>
          </w:p>
        </w:tc>
        <w:tc>
          <w:tcPr>
            <w:tcW w:w="171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28EBF6F" w14:textId="77777777" w:rsidR="00DE0F84" w:rsidRPr="008A190A" w:rsidRDefault="00DE0F84" w:rsidP="0085312C">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t>Initial Contacts</w:t>
            </w:r>
          </w:p>
        </w:tc>
        <w:tc>
          <w:tcPr>
            <w:tcW w:w="135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229F8C7D" w14:textId="77777777" w:rsidR="00DE0F84" w:rsidRPr="008A190A" w:rsidRDefault="00DE0F84" w:rsidP="001A69E5">
            <w:pPr>
              <w:autoSpaceDE w:val="0"/>
              <w:autoSpaceDN w:val="0"/>
              <w:jc w:val="center"/>
              <w:rPr>
                <w:rFonts w:eastAsia="Times New Roman" w:cs="Times New Roman"/>
                <w:b/>
                <w:sz w:val="20"/>
                <w:szCs w:val="20"/>
              </w:rPr>
            </w:pPr>
            <w:r w:rsidRPr="008A190A">
              <w:rPr>
                <w:rFonts w:eastAsia="Times New Roman" w:cs="Times New Roman"/>
                <w:b/>
                <w:sz w:val="20"/>
                <w:szCs w:val="20"/>
              </w:rPr>
              <w:t>Acceptance</w:t>
            </w:r>
          </w:p>
          <w:p w14:paraId="2952E16A" w14:textId="5DDD639C" w:rsidR="00AA2286" w:rsidRPr="008A190A" w:rsidRDefault="00AA2286" w:rsidP="001A69E5">
            <w:pPr>
              <w:autoSpaceDE w:val="0"/>
              <w:autoSpaceDN w:val="0"/>
              <w:jc w:val="center"/>
              <w:rPr>
                <w:rFonts w:cs="Arial"/>
                <w:b/>
                <w:sz w:val="20"/>
                <w:szCs w:val="20"/>
              </w:rPr>
            </w:pPr>
            <w:r w:rsidRPr="008A190A">
              <w:rPr>
                <w:rFonts w:eastAsia="Times New Roman" w:cs="Times New Roman"/>
                <w:b/>
                <w:sz w:val="20"/>
                <w:szCs w:val="20"/>
              </w:rPr>
              <w:t>80%</w:t>
            </w:r>
          </w:p>
        </w:tc>
        <w:tc>
          <w:tcPr>
            <w:tcW w:w="171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2B796CF3" w14:textId="77777777" w:rsidR="00DE0F84" w:rsidRPr="008A190A" w:rsidRDefault="00DE0F84" w:rsidP="00464F90">
            <w:pPr>
              <w:jc w:val="center"/>
              <w:rPr>
                <w:b/>
                <w:sz w:val="20"/>
                <w:szCs w:val="20"/>
              </w:rPr>
            </w:pPr>
            <w:r w:rsidRPr="008A190A">
              <w:rPr>
                <w:b/>
                <w:sz w:val="20"/>
                <w:szCs w:val="20"/>
              </w:rPr>
              <w:t>Non-respondents</w:t>
            </w:r>
          </w:p>
          <w:p w14:paraId="6B9E5C0C" w14:textId="6C5566CA" w:rsidR="00AA2286" w:rsidRPr="008A190A" w:rsidRDefault="00AA2286" w:rsidP="00464F90">
            <w:pPr>
              <w:jc w:val="center"/>
              <w:rPr>
                <w:rFonts w:cs="Arial"/>
                <w:b/>
                <w:sz w:val="20"/>
                <w:szCs w:val="20"/>
              </w:rPr>
            </w:pPr>
            <w:r w:rsidRPr="008A190A">
              <w:rPr>
                <w:b/>
                <w:sz w:val="20"/>
                <w:szCs w:val="20"/>
              </w:rPr>
              <w:t>(20%)</w:t>
            </w:r>
          </w:p>
        </w:tc>
        <w:tc>
          <w:tcPr>
            <w:tcW w:w="144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53E2F92" w14:textId="77777777" w:rsidR="00DE0F84" w:rsidRPr="008A190A" w:rsidRDefault="00DE0F84" w:rsidP="0085312C">
            <w:pPr>
              <w:jc w:val="center"/>
              <w:rPr>
                <w:b/>
                <w:sz w:val="20"/>
                <w:szCs w:val="20"/>
              </w:rPr>
            </w:pPr>
            <w:r w:rsidRPr="008A190A">
              <w:rPr>
                <w:b/>
                <w:sz w:val="20"/>
                <w:szCs w:val="20"/>
              </w:rPr>
              <w:t>Non-response survey</w:t>
            </w:r>
          </w:p>
          <w:p w14:paraId="2DB3CD94" w14:textId="77777777" w:rsidR="00DE0F84" w:rsidRPr="008A190A" w:rsidRDefault="006A4579" w:rsidP="006A4579">
            <w:pPr>
              <w:tabs>
                <w:tab w:val="left" w:pos="360"/>
                <w:tab w:val="left" w:pos="720"/>
                <w:tab w:val="left" w:pos="1440"/>
                <w:tab w:val="left" w:pos="2160"/>
                <w:tab w:val="left" w:pos="3600"/>
                <w:tab w:val="left" w:pos="5040"/>
                <w:tab w:val="left" w:pos="5760"/>
              </w:tabs>
              <w:jc w:val="center"/>
              <w:rPr>
                <w:rFonts w:cs="Arial"/>
                <w:b/>
                <w:sz w:val="20"/>
                <w:szCs w:val="20"/>
              </w:rPr>
            </w:pPr>
            <w:r w:rsidRPr="008A190A">
              <w:rPr>
                <w:b/>
                <w:sz w:val="20"/>
                <w:szCs w:val="20"/>
              </w:rPr>
              <w:t>8</w:t>
            </w:r>
            <w:r w:rsidR="00DE0F84" w:rsidRPr="008A190A">
              <w:rPr>
                <w:b/>
                <w:sz w:val="20"/>
                <w:szCs w:val="20"/>
              </w:rPr>
              <w:t>0%</w:t>
            </w:r>
          </w:p>
        </w:tc>
        <w:tc>
          <w:tcPr>
            <w:tcW w:w="1440" w:type="dxa"/>
            <w:tcBorders>
              <w:top w:val="single" w:sz="4" w:space="0" w:color="76923C" w:themeColor="accent3" w:themeShade="BF"/>
              <w:left w:val="single" w:sz="8" w:space="0" w:color="76923C" w:themeColor="accent3" w:themeShade="BF"/>
              <w:bottom w:val="single" w:sz="8" w:space="0" w:color="76923C" w:themeColor="accent3" w:themeShade="BF"/>
              <w:right w:val="single" w:sz="4" w:space="0" w:color="76923C" w:themeColor="accent3" w:themeShade="BF"/>
            </w:tcBorders>
            <w:shd w:val="clear" w:color="auto" w:fill="C2D69B" w:themeFill="accent3" w:themeFillTint="99"/>
            <w:vAlign w:val="center"/>
          </w:tcPr>
          <w:p w14:paraId="65E282ED" w14:textId="77777777" w:rsidR="00DE0F84" w:rsidRPr="008A190A" w:rsidRDefault="00DE0F84" w:rsidP="0085312C">
            <w:pPr>
              <w:jc w:val="center"/>
              <w:rPr>
                <w:b/>
                <w:sz w:val="20"/>
                <w:szCs w:val="20"/>
              </w:rPr>
            </w:pPr>
            <w:r w:rsidRPr="008A190A">
              <w:rPr>
                <w:b/>
                <w:sz w:val="20"/>
                <w:szCs w:val="20"/>
              </w:rPr>
              <w:t>Hard Refusals</w:t>
            </w:r>
          </w:p>
          <w:p w14:paraId="3DC5A7F9" w14:textId="77777777" w:rsidR="00DE0F84" w:rsidRPr="008A190A" w:rsidRDefault="006A4579" w:rsidP="006A4579">
            <w:pPr>
              <w:tabs>
                <w:tab w:val="left" w:pos="360"/>
                <w:tab w:val="left" w:pos="720"/>
                <w:tab w:val="left" w:pos="1440"/>
                <w:tab w:val="left" w:pos="2160"/>
                <w:tab w:val="left" w:pos="3600"/>
                <w:tab w:val="left" w:pos="5040"/>
                <w:tab w:val="left" w:pos="5760"/>
              </w:tabs>
              <w:jc w:val="center"/>
              <w:rPr>
                <w:rFonts w:cs="Arial"/>
                <w:b/>
                <w:sz w:val="20"/>
                <w:szCs w:val="20"/>
              </w:rPr>
            </w:pPr>
            <w:r w:rsidRPr="008A190A">
              <w:rPr>
                <w:b/>
                <w:sz w:val="20"/>
                <w:szCs w:val="20"/>
              </w:rPr>
              <w:t>2</w:t>
            </w:r>
            <w:r w:rsidR="00DE0F84" w:rsidRPr="008A190A">
              <w:rPr>
                <w:b/>
                <w:sz w:val="20"/>
                <w:szCs w:val="20"/>
              </w:rPr>
              <w:t>0%</w:t>
            </w:r>
          </w:p>
        </w:tc>
      </w:tr>
      <w:tr w:rsidR="008A190A" w:rsidRPr="008A190A" w14:paraId="4CDB99D6" w14:textId="77777777" w:rsidTr="009B5B54">
        <w:trPr>
          <w:trHeight w:val="288"/>
        </w:trPr>
        <w:tc>
          <w:tcPr>
            <w:tcW w:w="2093" w:type="dxa"/>
            <w:tcBorders>
              <w:top w:val="single" w:sz="8" w:space="0" w:color="76923C" w:themeColor="accent3" w:themeShade="BF"/>
              <w:left w:val="single" w:sz="4" w:space="0" w:color="76923C" w:themeColor="accent3" w:themeShade="BF"/>
              <w:bottom w:val="nil"/>
              <w:right w:val="nil"/>
            </w:tcBorders>
            <w:vAlign w:val="center"/>
          </w:tcPr>
          <w:p w14:paraId="72118CE9" w14:textId="77777777" w:rsidR="00DE0F84" w:rsidRPr="008A190A" w:rsidRDefault="00DE0F84" w:rsidP="0085312C">
            <w:pPr>
              <w:rPr>
                <w:rFonts w:ascii="Calibri" w:hAnsi="Calibri"/>
                <w:b/>
                <w:sz w:val="20"/>
                <w:szCs w:val="20"/>
              </w:rPr>
            </w:pPr>
            <w:r w:rsidRPr="008A190A">
              <w:rPr>
                <w:rFonts w:ascii="Calibri" w:hAnsi="Calibri"/>
                <w:b/>
                <w:sz w:val="20"/>
                <w:szCs w:val="20"/>
              </w:rPr>
              <w:t>Category 1</w:t>
            </w:r>
          </w:p>
        </w:tc>
        <w:tc>
          <w:tcPr>
            <w:tcW w:w="1710" w:type="dxa"/>
            <w:tcBorders>
              <w:top w:val="single" w:sz="8" w:space="0" w:color="76923C" w:themeColor="accent3" w:themeShade="BF"/>
              <w:left w:val="nil"/>
              <w:bottom w:val="nil"/>
              <w:right w:val="nil"/>
            </w:tcBorders>
            <w:vAlign w:val="center"/>
          </w:tcPr>
          <w:p w14:paraId="2657BEAE" w14:textId="0D1FE579" w:rsidR="00DE0F84" w:rsidRPr="008A190A" w:rsidRDefault="00B10738" w:rsidP="00B10738">
            <w:pPr>
              <w:jc w:val="center"/>
              <w:rPr>
                <w:rFonts w:ascii="Calibri" w:hAnsi="Calibri"/>
                <w:b/>
                <w:sz w:val="20"/>
                <w:szCs w:val="20"/>
              </w:rPr>
            </w:pPr>
            <w:r w:rsidRPr="008A190A">
              <w:rPr>
                <w:rFonts w:ascii="Calibri" w:hAnsi="Calibri"/>
                <w:b/>
                <w:sz w:val="20"/>
                <w:szCs w:val="20"/>
              </w:rPr>
              <w:t>4</w:t>
            </w:r>
            <w:r>
              <w:rPr>
                <w:rFonts w:ascii="Calibri" w:hAnsi="Calibri"/>
                <w:b/>
                <w:sz w:val="20"/>
                <w:szCs w:val="20"/>
              </w:rPr>
              <w:t>32</w:t>
            </w:r>
          </w:p>
        </w:tc>
        <w:tc>
          <w:tcPr>
            <w:tcW w:w="1350" w:type="dxa"/>
            <w:tcBorders>
              <w:top w:val="single" w:sz="8" w:space="0" w:color="76923C" w:themeColor="accent3" w:themeShade="BF"/>
              <w:left w:val="nil"/>
              <w:bottom w:val="nil"/>
              <w:right w:val="nil"/>
            </w:tcBorders>
            <w:vAlign w:val="center"/>
          </w:tcPr>
          <w:p w14:paraId="0F3AF2C1" w14:textId="1BB30084" w:rsidR="00DE0F84" w:rsidRPr="008A190A" w:rsidRDefault="00B10738" w:rsidP="00B10738">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t>3</w:t>
            </w:r>
            <w:r>
              <w:rPr>
                <w:rFonts w:cs="Arial"/>
                <w:b/>
                <w:sz w:val="20"/>
                <w:szCs w:val="20"/>
              </w:rPr>
              <w:t>46</w:t>
            </w:r>
          </w:p>
        </w:tc>
        <w:tc>
          <w:tcPr>
            <w:tcW w:w="1710" w:type="dxa"/>
            <w:tcBorders>
              <w:top w:val="single" w:sz="8" w:space="0" w:color="76923C" w:themeColor="accent3" w:themeShade="BF"/>
              <w:left w:val="nil"/>
              <w:bottom w:val="nil"/>
              <w:right w:val="nil"/>
            </w:tcBorders>
            <w:vAlign w:val="center"/>
          </w:tcPr>
          <w:p w14:paraId="637F8BE9" w14:textId="2AE6131D" w:rsidR="00DE0F84" w:rsidRPr="008A190A" w:rsidRDefault="000E5748" w:rsidP="0085312C">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86</w:t>
            </w:r>
            <w:r w:rsidRPr="008A190A">
              <w:rPr>
                <w:rFonts w:cs="Arial"/>
                <w:b/>
                <w:sz w:val="20"/>
                <w:szCs w:val="20"/>
              </w:rPr>
              <w:t xml:space="preserve"> </w:t>
            </w:r>
          </w:p>
        </w:tc>
        <w:tc>
          <w:tcPr>
            <w:tcW w:w="1440" w:type="dxa"/>
            <w:tcBorders>
              <w:top w:val="single" w:sz="8" w:space="0" w:color="76923C" w:themeColor="accent3" w:themeShade="BF"/>
              <w:left w:val="nil"/>
              <w:bottom w:val="nil"/>
              <w:right w:val="nil"/>
            </w:tcBorders>
            <w:vAlign w:val="center"/>
          </w:tcPr>
          <w:p w14:paraId="2F275385" w14:textId="34C8B12E" w:rsidR="00DE0F84" w:rsidRPr="008A190A" w:rsidRDefault="000E5748" w:rsidP="001A69E5">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69</w:t>
            </w:r>
          </w:p>
        </w:tc>
        <w:tc>
          <w:tcPr>
            <w:tcW w:w="1440" w:type="dxa"/>
            <w:tcBorders>
              <w:top w:val="single" w:sz="8" w:space="0" w:color="76923C" w:themeColor="accent3" w:themeShade="BF"/>
              <w:left w:val="nil"/>
              <w:bottom w:val="nil"/>
              <w:right w:val="single" w:sz="4" w:space="0" w:color="76923C" w:themeColor="accent3" w:themeShade="BF"/>
            </w:tcBorders>
            <w:vAlign w:val="center"/>
          </w:tcPr>
          <w:p w14:paraId="12BBE20C" w14:textId="1241F1B4" w:rsidR="00DE0F84" w:rsidRPr="008A190A" w:rsidRDefault="00D31F5F" w:rsidP="00D31F5F">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t>1</w:t>
            </w:r>
            <w:r w:rsidR="000E5748">
              <w:rPr>
                <w:rFonts w:cs="Arial"/>
                <w:b/>
                <w:sz w:val="20"/>
                <w:szCs w:val="20"/>
              </w:rPr>
              <w:t>4</w:t>
            </w:r>
          </w:p>
        </w:tc>
      </w:tr>
      <w:tr w:rsidR="008A190A" w:rsidRPr="008A190A" w14:paraId="1D7295B4" w14:textId="77777777" w:rsidTr="009B5B54">
        <w:trPr>
          <w:trHeight w:val="288"/>
        </w:trPr>
        <w:tc>
          <w:tcPr>
            <w:tcW w:w="2093"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1FA9786B" w14:textId="77777777" w:rsidR="00DE0F84" w:rsidRPr="008A190A" w:rsidRDefault="00DE0F84" w:rsidP="009B5B54">
            <w:pPr>
              <w:rPr>
                <w:rFonts w:ascii="Calibri" w:hAnsi="Calibri"/>
                <w:b/>
                <w:sz w:val="20"/>
                <w:szCs w:val="20"/>
              </w:rPr>
            </w:pPr>
            <w:r w:rsidRPr="008A190A">
              <w:rPr>
                <w:rFonts w:ascii="Calibri" w:hAnsi="Calibri"/>
                <w:b/>
                <w:sz w:val="20"/>
                <w:szCs w:val="20"/>
              </w:rPr>
              <w:t>Category 2</w:t>
            </w: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437D53E6" w14:textId="26D0C22C" w:rsidR="00DE0F84" w:rsidRPr="008A190A" w:rsidRDefault="00B10738" w:rsidP="0085312C">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48</w:t>
            </w:r>
          </w:p>
        </w:tc>
        <w:tc>
          <w:tcPr>
            <w:tcW w:w="135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3A086CC8" w14:textId="31B5C829" w:rsidR="00DE0F84" w:rsidRPr="008A190A" w:rsidRDefault="00B10738" w:rsidP="00AA2286">
            <w:pPr>
              <w:autoSpaceDE w:val="0"/>
              <w:autoSpaceDN w:val="0"/>
              <w:jc w:val="center"/>
              <w:rPr>
                <w:rFonts w:eastAsia="Times New Roman" w:cs="Times New Roman"/>
                <w:b/>
                <w:sz w:val="20"/>
                <w:szCs w:val="20"/>
              </w:rPr>
            </w:pPr>
            <w:r>
              <w:rPr>
                <w:rFonts w:eastAsia="Times New Roman" w:cs="Times New Roman"/>
                <w:b/>
                <w:sz w:val="20"/>
                <w:szCs w:val="20"/>
              </w:rPr>
              <w:t>38</w:t>
            </w: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70420068" w14:textId="06E23E84" w:rsidR="00DE0F84" w:rsidRPr="008A190A" w:rsidRDefault="000E5748" w:rsidP="0085312C">
            <w:pPr>
              <w:jc w:val="center"/>
              <w:rPr>
                <w:b/>
                <w:sz w:val="20"/>
                <w:szCs w:val="20"/>
              </w:rPr>
            </w:pPr>
            <w:r>
              <w:rPr>
                <w:b/>
                <w:sz w:val="20"/>
                <w:szCs w:val="20"/>
              </w:rPr>
              <w:t>10</w:t>
            </w:r>
          </w:p>
        </w:tc>
        <w:tc>
          <w:tcPr>
            <w:tcW w:w="144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2F168820" w14:textId="3085034E" w:rsidR="00DE0F84" w:rsidRPr="008A190A" w:rsidRDefault="000E5748" w:rsidP="0085312C">
            <w:pPr>
              <w:jc w:val="center"/>
              <w:rPr>
                <w:b/>
                <w:sz w:val="20"/>
                <w:szCs w:val="20"/>
              </w:rPr>
            </w:pPr>
            <w:r>
              <w:rPr>
                <w:b/>
                <w:sz w:val="20"/>
                <w:szCs w:val="20"/>
              </w:rPr>
              <w:t>8</w:t>
            </w:r>
          </w:p>
        </w:tc>
        <w:tc>
          <w:tcPr>
            <w:tcW w:w="144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auto"/>
            <w:vAlign w:val="center"/>
          </w:tcPr>
          <w:p w14:paraId="0E70EE4C" w14:textId="0FFB8E35" w:rsidR="00DE0F84" w:rsidRPr="008A190A" w:rsidRDefault="00D31F5F" w:rsidP="0085312C">
            <w:pPr>
              <w:jc w:val="center"/>
              <w:rPr>
                <w:b/>
                <w:sz w:val="20"/>
                <w:szCs w:val="20"/>
              </w:rPr>
            </w:pPr>
            <w:r>
              <w:rPr>
                <w:b/>
                <w:sz w:val="20"/>
                <w:szCs w:val="20"/>
              </w:rPr>
              <w:t>2</w:t>
            </w:r>
          </w:p>
        </w:tc>
      </w:tr>
      <w:tr w:rsidR="00DE0F84" w:rsidRPr="008A190A" w14:paraId="4E3B1A1F" w14:textId="77777777" w:rsidTr="009B5B54">
        <w:trPr>
          <w:trHeight w:val="288"/>
        </w:trPr>
        <w:tc>
          <w:tcPr>
            <w:tcW w:w="2093"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30C7B3E7" w14:textId="77777777" w:rsidR="00DE0F84" w:rsidRPr="008A190A" w:rsidRDefault="00DE0F84" w:rsidP="00F62DBD">
            <w:pPr>
              <w:rPr>
                <w:rFonts w:ascii="Calibri" w:hAnsi="Calibri"/>
                <w:b/>
                <w:sz w:val="20"/>
                <w:szCs w:val="20"/>
              </w:rPr>
            </w:pP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784D734A" w14:textId="3815293D" w:rsidR="00DE0F84" w:rsidRPr="008A190A" w:rsidRDefault="00AF6105" w:rsidP="00AF6105">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t>480</w:t>
            </w:r>
          </w:p>
        </w:tc>
        <w:tc>
          <w:tcPr>
            <w:tcW w:w="135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4E4CDDEF" w14:textId="4EF4FFE1" w:rsidR="00DE0F84" w:rsidRPr="008A190A" w:rsidRDefault="00B10738" w:rsidP="00AA2286">
            <w:pPr>
              <w:autoSpaceDE w:val="0"/>
              <w:autoSpaceDN w:val="0"/>
              <w:jc w:val="center"/>
              <w:rPr>
                <w:rFonts w:eastAsia="Times New Roman" w:cs="Times New Roman"/>
                <w:b/>
                <w:sz w:val="20"/>
                <w:szCs w:val="20"/>
              </w:rPr>
            </w:pPr>
            <w:r>
              <w:rPr>
                <w:rFonts w:eastAsia="Times New Roman" w:cs="Times New Roman"/>
                <w:b/>
                <w:sz w:val="20"/>
                <w:szCs w:val="20"/>
              </w:rPr>
              <w:fldChar w:fldCharType="begin"/>
            </w:r>
            <w:r>
              <w:rPr>
                <w:rFonts w:eastAsia="Times New Roman" w:cs="Times New Roman"/>
                <w:b/>
                <w:sz w:val="20"/>
                <w:szCs w:val="20"/>
              </w:rPr>
              <w:instrText xml:space="preserve"> =SUM(ABOVE) </w:instrText>
            </w:r>
            <w:r>
              <w:rPr>
                <w:rFonts w:eastAsia="Times New Roman" w:cs="Times New Roman"/>
                <w:b/>
                <w:sz w:val="20"/>
                <w:szCs w:val="20"/>
              </w:rPr>
              <w:fldChar w:fldCharType="separate"/>
            </w:r>
            <w:r>
              <w:rPr>
                <w:rFonts w:eastAsia="Times New Roman" w:cs="Times New Roman"/>
                <w:b/>
                <w:noProof/>
                <w:sz w:val="20"/>
                <w:szCs w:val="20"/>
              </w:rPr>
              <w:t>384</w:t>
            </w:r>
            <w:r>
              <w:rPr>
                <w:rFonts w:eastAsia="Times New Roman" w:cs="Times New Roman"/>
                <w:b/>
                <w:sz w:val="20"/>
                <w:szCs w:val="20"/>
              </w:rPr>
              <w:fldChar w:fldCharType="end"/>
            </w:r>
            <w:r>
              <w:rPr>
                <w:rFonts w:eastAsia="Times New Roman" w:cs="Times New Roman"/>
                <w:b/>
                <w:sz w:val="20"/>
                <w:szCs w:val="20"/>
              </w:rPr>
              <w:fldChar w:fldCharType="begin"/>
            </w:r>
            <w:r>
              <w:rPr>
                <w:rFonts w:eastAsia="Times New Roman" w:cs="Times New Roman"/>
                <w:b/>
                <w:sz w:val="20"/>
                <w:szCs w:val="20"/>
              </w:rPr>
              <w:instrText xml:space="preserve">  </w:instrText>
            </w:r>
            <w:r>
              <w:rPr>
                <w:rFonts w:eastAsia="Times New Roman" w:cs="Times New Roman"/>
                <w:b/>
                <w:sz w:val="20"/>
                <w:szCs w:val="20"/>
              </w:rPr>
              <w:fldChar w:fldCharType="end"/>
            </w:r>
            <w:r>
              <w:rPr>
                <w:rFonts w:eastAsia="Times New Roman" w:cs="Times New Roman"/>
                <w:b/>
                <w:sz w:val="20"/>
                <w:szCs w:val="20"/>
              </w:rPr>
              <w:fldChar w:fldCharType="begin"/>
            </w:r>
            <w:r>
              <w:rPr>
                <w:rFonts w:eastAsia="Times New Roman" w:cs="Times New Roman"/>
                <w:b/>
                <w:sz w:val="20"/>
                <w:szCs w:val="20"/>
              </w:rPr>
              <w:instrText xml:space="preserve">  </w:instrText>
            </w:r>
            <w:r>
              <w:rPr>
                <w:rFonts w:eastAsia="Times New Roman" w:cs="Times New Roman"/>
                <w:b/>
                <w:sz w:val="20"/>
                <w:szCs w:val="20"/>
              </w:rPr>
              <w:fldChar w:fldCharType="end"/>
            </w: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75EB03FF" w14:textId="79DC8765" w:rsidR="00DE0F84" w:rsidRPr="008A190A" w:rsidRDefault="000E5748" w:rsidP="00AF6105">
            <w:pPr>
              <w:jc w:val="center"/>
              <w:rPr>
                <w:b/>
                <w:sz w:val="20"/>
                <w:szCs w:val="20"/>
              </w:rPr>
            </w:pPr>
            <w:r>
              <w:rPr>
                <w:b/>
                <w:sz w:val="20"/>
                <w:szCs w:val="20"/>
              </w:rPr>
              <w:t>96</w:t>
            </w:r>
          </w:p>
        </w:tc>
        <w:tc>
          <w:tcPr>
            <w:tcW w:w="144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405363C" w14:textId="5A0207D1" w:rsidR="00DE0F84" w:rsidRPr="008A190A" w:rsidRDefault="00D31F5F" w:rsidP="000E5748">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sidR="000E5748">
              <w:rPr>
                <w:b/>
                <w:noProof/>
                <w:sz w:val="20"/>
                <w:szCs w:val="20"/>
              </w:rPr>
              <w:t>77</w:t>
            </w:r>
            <w:r>
              <w:rPr>
                <w:b/>
                <w:sz w:val="20"/>
                <w:szCs w:val="20"/>
              </w:rPr>
              <w:fldChar w:fldCharType="end"/>
            </w:r>
          </w:p>
        </w:tc>
        <w:tc>
          <w:tcPr>
            <w:tcW w:w="144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auto"/>
            <w:vAlign w:val="center"/>
          </w:tcPr>
          <w:p w14:paraId="66FE8B83" w14:textId="1AF2C3BB" w:rsidR="00DE0F84" w:rsidRPr="008A190A" w:rsidRDefault="000E5748" w:rsidP="000E5748">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16</w:t>
            </w:r>
            <w:r>
              <w:rPr>
                <w:b/>
                <w:sz w:val="20"/>
                <w:szCs w:val="20"/>
              </w:rPr>
              <w:fldChar w:fldCharType="end"/>
            </w:r>
          </w:p>
        </w:tc>
      </w:tr>
    </w:tbl>
    <w:p w14:paraId="4C6608ED" w14:textId="77777777" w:rsidR="003159A0" w:rsidRPr="008A190A" w:rsidRDefault="003159A0" w:rsidP="003159A0">
      <w:pPr>
        <w:tabs>
          <w:tab w:val="left" w:pos="360"/>
          <w:tab w:val="left" w:pos="720"/>
          <w:tab w:val="left" w:pos="1440"/>
          <w:tab w:val="left" w:pos="2160"/>
          <w:tab w:val="left" w:pos="3600"/>
          <w:tab w:val="left" w:pos="5040"/>
          <w:tab w:val="left" w:pos="5760"/>
        </w:tabs>
        <w:spacing w:after="0" w:line="360" w:lineRule="auto"/>
        <w:rPr>
          <w:rFonts w:cs="Arial"/>
        </w:rPr>
      </w:pPr>
    </w:p>
    <w:tbl>
      <w:tblPr>
        <w:tblStyle w:val="TableGrid"/>
        <w:tblW w:w="0" w:type="auto"/>
        <w:tblInd w:w="355" w:type="dxa"/>
        <w:tblLook w:val="04A0" w:firstRow="1" w:lastRow="0" w:firstColumn="1" w:lastColumn="0" w:noHBand="0" w:noVBand="1"/>
      </w:tblPr>
      <w:tblGrid>
        <w:gridCol w:w="2093"/>
        <w:gridCol w:w="1710"/>
        <w:gridCol w:w="2340"/>
        <w:gridCol w:w="2250"/>
      </w:tblGrid>
      <w:tr w:rsidR="002021AB" w:rsidRPr="008A190A" w14:paraId="01C0E198" w14:textId="2B138240" w:rsidTr="00D20070">
        <w:tc>
          <w:tcPr>
            <w:tcW w:w="20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01715AFF" w14:textId="77777777" w:rsidR="002021AB" w:rsidRPr="008A190A" w:rsidRDefault="002021AB" w:rsidP="0085312C">
            <w:pPr>
              <w:tabs>
                <w:tab w:val="left" w:pos="1445"/>
                <w:tab w:val="left" w:pos="1625"/>
                <w:tab w:val="left" w:pos="2160"/>
                <w:tab w:val="left" w:pos="3600"/>
                <w:tab w:val="left" w:pos="5040"/>
                <w:tab w:val="left" w:pos="5760"/>
              </w:tabs>
              <w:ind w:left="-18" w:firstLine="3"/>
              <w:jc w:val="center"/>
              <w:rPr>
                <w:rFonts w:cs="Arial"/>
                <w:b/>
                <w:sz w:val="20"/>
                <w:szCs w:val="20"/>
              </w:rPr>
            </w:pPr>
          </w:p>
        </w:tc>
        <w:tc>
          <w:tcPr>
            <w:tcW w:w="6300" w:type="dxa"/>
            <w:gridSpan w:val="3"/>
            <w:tcBorders>
              <w:top w:val="single" w:sz="4" w:space="0" w:color="76923C" w:themeColor="accent3" w:themeShade="BF"/>
              <w:left w:val="single" w:sz="8" w:space="0" w:color="76923C" w:themeColor="accent3" w:themeShade="BF"/>
              <w:bottom w:val="single" w:sz="8" w:space="0" w:color="76923C" w:themeColor="accent3" w:themeShade="BF"/>
              <w:right w:val="single" w:sz="4" w:space="0" w:color="auto"/>
            </w:tcBorders>
            <w:shd w:val="clear" w:color="auto" w:fill="C2D69B" w:themeFill="accent3" w:themeFillTint="99"/>
            <w:vAlign w:val="center"/>
          </w:tcPr>
          <w:p w14:paraId="74BC9584" w14:textId="77777777" w:rsidR="002021AB" w:rsidRPr="008A190A" w:rsidRDefault="002021AB" w:rsidP="0085312C">
            <w:pPr>
              <w:jc w:val="center"/>
              <w:rPr>
                <w:b/>
                <w:sz w:val="20"/>
                <w:szCs w:val="20"/>
              </w:rPr>
            </w:pPr>
            <w:r w:rsidRPr="008A190A">
              <w:rPr>
                <w:b/>
                <w:sz w:val="20"/>
                <w:szCs w:val="20"/>
              </w:rPr>
              <w:t>Mail Back Survey</w:t>
            </w:r>
          </w:p>
        </w:tc>
      </w:tr>
      <w:tr w:rsidR="002021AB" w:rsidRPr="008A190A" w14:paraId="5BE3776E" w14:textId="77777777" w:rsidTr="00D20070">
        <w:tc>
          <w:tcPr>
            <w:tcW w:w="20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5F9B2DCD" w14:textId="77777777" w:rsidR="002021AB" w:rsidRPr="008A190A" w:rsidRDefault="002021AB" w:rsidP="0085312C">
            <w:pPr>
              <w:tabs>
                <w:tab w:val="left" w:pos="1445"/>
                <w:tab w:val="left" w:pos="1625"/>
                <w:tab w:val="left" w:pos="2160"/>
                <w:tab w:val="left" w:pos="3600"/>
                <w:tab w:val="left" w:pos="5040"/>
                <w:tab w:val="left" w:pos="5760"/>
              </w:tabs>
              <w:ind w:left="-18" w:firstLine="3"/>
              <w:jc w:val="center"/>
              <w:rPr>
                <w:rFonts w:cs="Arial"/>
                <w:b/>
                <w:sz w:val="20"/>
                <w:szCs w:val="20"/>
              </w:rPr>
            </w:pPr>
          </w:p>
        </w:tc>
        <w:tc>
          <w:tcPr>
            <w:tcW w:w="171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5F390A68" w14:textId="77777777" w:rsidR="002021AB" w:rsidRPr="008A190A" w:rsidRDefault="002021AB" w:rsidP="0085312C">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t>Accepted invitation</w:t>
            </w:r>
          </w:p>
        </w:tc>
        <w:tc>
          <w:tcPr>
            <w:tcW w:w="2340"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17449F07" w14:textId="77777777" w:rsidR="002021AB" w:rsidRDefault="002021AB" w:rsidP="0085312C">
            <w:pPr>
              <w:tabs>
                <w:tab w:val="left" w:pos="360"/>
                <w:tab w:val="left" w:pos="720"/>
                <w:tab w:val="left" w:pos="1440"/>
                <w:tab w:val="left" w:pos="2160"/>
                <w:tab w:val="left" w:pos="3600"/>
                <w:tab w:val="left" w:pos="5040"/>
                <w:tab w:val="left" w:pos="5760"/>
              </w:tabs>
              <w:jc w:val="center"/>
              <w:rPr>
                <w:rFonts w:eastAsia="Times New Roman" w:cs="Times New Roman"/>
                <w:b/>
                <w:sz w:val="20"/>
                <w:szCs w:val="20"/>
              </w:rPr>
            </w:pPr>
            <w:r w:rsidRPr="008A190A">
              <w:rPr>
                <w:rFonts w:eastAsia="Times New Roman" w:cs="Times New Roman"/>
                <w:b/>
                <w:sz w:val="20"/>
                <w:szCs w:val="20"/>
              </w:rPr>
              <w:t>Return</w:t>
            </w:r>
            <w:r>
              <w:rPr>
                <w:rFonts w:eastAsia="Times New Roman" w:cs="Times New Roman"/>
                <w:b/>
                <w:sz w:val="20"/>
                <w:szCs w:val="20"/>
              </w:rPr>
              <w:t>ed Questionnaires</w:t>
            </w:r>
          </w:p>
          <w:p w14:paraId="2A512F12" w14:textId="3E9583EB" w:rsidR="00880FA4" w:rsidRPr="008A190A" w:rsidRDefault="00880FA4" w:rsidP="0085312C">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sz w:val="20"/>
                <w:szCs w:val="20"/>
              </w:rPr>
              <w:t>55%</w:t>
            </w:r>
          </w:p>
        </w:tc>
        <w:tc>
          <w:tcPr>
            <w:tcW w:w="2250" w:type="dxa"/>
            <w:tcBorders>
              <w:top w:val="single" w:sz="4" w:space="0" w:color="76923C" w:themeColor="accent3" w:themeShade="BF"/>
              <w:left w:val="single" w:sz="8" w:space="0" w:color="76923C" w:themeColor="accent3" w:themeShade="BF"/>
              <w:bottom w:val="single" w:sz="8" w:space="0" w:color="76923C" w:themeColor="accent3" w:themeShade="BF"/>
              <w:right w:val="single" w:sz="4" w:space="0" w:color="auto"/>
            </w:tcBorders>
            <w:shd w:val="clear" w:color="auto" w:fill="C2D69B" w:themeFill="accent3" w:themeFillTint="99"/>
            <w:vAlign w:val="center"/>
          </w:tcPr>
          <w:p w14:paraId="08F2A6F1" w14:textId="15628D60" w:rsidR="002021AB" w:rsidRDefault="002021AB" w:rsidP="0085312C">
            <w:pPr>
              <w:jc w:val="center"/>
              <w:rPr>
                <w:b/>
                <w:sz w:val="20"/>
                <w:szCs w:val="20"/>
              </w:rPr>
            </w:pPr>
            <w:r w:rsidRPr="008A190A">
              <w:rPr>
                <w:b/>
                <w:sz w:val="20"/>
                <w:szCs w:val="20"/>
              </w:rPr>
              <w:t>Non-respondents</w:t>
            </w:r>
            <w:r w:rsidR="00D20070">
              <w:rPr>
                <w:rStyle w:val="FootnoteReference"/>
                <w:b/>
                <w:sz w:val="20"/>
                <w:szCs w:val="20"/>
              </w:rPr>
              <w:footnoteReference w:id="1"/>
            </w:r>
          </w:p>
          <w:p w14:paraId="743754BE" w14:textId="5FFB137C" w:rsidR="00880FA4" w:rsidRPr="008A190A" w:rsidRDefault="00880FA4" w:rsidP="0085312C">
            <w:pPr>
              <w:jc w:val="center"/>
              <w:rPr>
                <w:b/>
                <w:sz w:val="20"/>
                <w:szCs w:val="20"/>
              </w:rPr>
            </w:pPr>
            <w:r>
              <w:rPr>
                <w:b/>
                <w:sz w:val="20"/>
                <w:szCs w:val="20"/>
              </w:rPr>
              <w:t>45%</w:t>
            </w:r>
          </w:p>
        </w:tc>
      </w:tr>
      <w:tr w:rsidR="002021AB" w:rsidRPr="008A190A" w14:paraId="74902E28" w14:textId="77777777" w:rsidTr="00D20070">
        <w:trPr>
          <w:trHeight w:val="288"/>
        </w:trPr>
        <w:tc>
          <w:tcPr>
            <w:tcW w:w="2093" w:type="dxa"/>
            <w:tcBorders>
              <w:top w:val="single" w:sz="8" w:space="0" w:color="76923C" w:themeColor="accent3" w:themeShade="BF"/>
              <w:left w:val="single" w:sz="4" w:space="0" w:color="76923C" w:themeColor="accent3" w:themeShade="BF"/>
              <w:bottom w:val="nil"/>
              <w:right w:val="nil"/>
            </w:tcBorders>
            <w:vAlign w:val="center"/>
          </w:tcPr>
          <w:p w14:paraId="40699F56" w14:textId="77777777" w:rsidR="002021AB" w:rsidRPr="008A190A" w:rsidRDefault="002021AB" w:rsidP="0085312C">
            <w:pPr>
              <w:rPr>
                <w:rFonts w:ascii="Calibri" w:hAnsi="Calibri"/>
                <w:b/>
                <w:sz w:val="20"/>
                <w:szCs w:val="20"/>
              </w:rPr>
            </w:pPr>
            <w:r w:rsidRPr="008A190A">
              <w:rPr>
                <w:rFonts w:ascii="Calibri" w:hAnsi="Calibri"/>
                <w:b/>
                <w:sz w:val="20"/>
                <w:szCs w:val="20"/>
              </w:rPr>
              <w:t>Category 1</w:t>
            </w:r>
          </w:p>
        </w:tc>
        <w:tc>
          <w:tcPr>
            <w:tcW w:w="1710" w:type="dxa"/>
            <w:tcBorders>
              <w:top w:val="single" w:sz="8" w:space="0" w:color="76923C" w:themeColor="accent3" w:themeShade="BF"/>
              <w:left w:val="nil"/>
              <w:bottom w:val="nil"/>
              <w:right w:val="nil"/>
            </w:tcBorders>
            <w:vAlign w:val="center"/>
          </w:tcPr>
          <w:p w14:paraId="2F12810E" w14:textId="34FD1B51" w:rsidR="002021AB" w:rsidRPr="008A190A" w:rsidRDefault="002021AB" w:rsidP="0085312C">
            <w:pPr>
              <w:jc w:val="center"/>
              <w:rPr>
                <w:rFonts w:ascii="Calibri" w:hAnsi="Calibri"/>
                <w:b/>
                <w:sz w:val="20"/>
                <w:szCs w:val="20"/>
              </w:rPr>
            </w:pPr>
            <w:r>
              <w:rPr>
                <w:rFonts w:cs="Arial"/>
                <w:b/>
                <w:sz w:val="20"/>
                <w:szCs w:val="20"/>
              </w:rPr>
              <w:t>346</w:t>
            </w:r>
          </w:p>
        </w:tc>
        <w:tc>
          <w:tcPr>
            <w:tcW w:w="2340" w:type="dxa"/>
            <w:tcBorders>
              <w:top w:val="single" w:sz="8" w:space="0" w:color="76923C" w:themeColor="accent3" w:themeShade="BF"/>
              <w:left w:val="nil"/>
              <w:bottom w:val="nil"/>
              <w:right w:val="nil"/>
            </w:tcBorders>
            <w:vAlign w:val="center"/>
          </w:tcPr>
          <w:p w14:paraId="73EDD59E" w14:textId="647FAAB3" w:rsidR="002021AB" w:rsidRPr="008A190A" w:rsidRDefault="00880FA4" w:rsidP="002021AB">
            <w:pPr>
              <w:tabs>
                <w:tab w:val="left" w:pos="162"/>
                <w:tab w:val="left" w:pos="1440"/>
                <w:tab w:val="left" w:pos="2160"/>
                <w:tab w:val="left" w:pos="3600"/>
                <w:tab w:val="left" w:pos="5040"/>
                <w:tab w:val="left" w:pos="5760"/>
              </w:tabs>
              <w:ind w:left="-18"/>
              <w:jc w:val="center"/>
              <w:rPr>
                <w:rFonts w:cs="Arial"/>
                <w:sz w:val="20"/>
                <w:szCs w:val="20"/>
              </w:rPr>
            </w:pPr>
            <w:r>
              <w:rPr>
                <w:rFonts w:cs="Arial"/>
                <w:sz w:val="20"/>
                <w:szCs w:val="20"/>
              </w:rPr>
              <w:t>190</w:t>
            </w:r>
          </w:p>
        </w:tc>
        <w:tc>
          <w:tcPr>
            <w:tcW w:w="2250" w:type="dxa"/>
            <w:tcBorders>
              <w:top w:val="single" w:sz="8" w:space="0" w:color="76923C" w:themeColor="accent3" w:themeShade="BF"/>
              <w:left w:val="nil"/>
              <w:bottom w:val="nil"/>
              <w:right w:val="nil"/>
            </w:tcBorders>
            <w:vAlign w:val="center"/>
          </w:tcPr>
          <w:p w14:paraId="0628FEF2" w14:textId="434B65FC" w:rsidR="002021AB" w:rsidRPr="008A190A" w:rsidRDefault="00880FA4" w:rsidP="00880FA4">
            <w:pPr>
              <w:tabs>
                <w:tab w:val="left" w:pos="360"/>
                <w:tab w:val="left" w:pos="720"/>
                <w:tab w:val="left" w:pos="1440"/>
                <w:tab w:val="left" w:pos="2160"/>
                <w:tab w:val="left" w:pos="3600"/>
                <w:tab w:val="left" w:pos="5040"/>
                <w:tab w:val="left" w:pos="5760"/>
              </w:tabs>
              <w:ind w:left="-18"/>
              <w:jc w:val="center"/>
              <w:rPr>
                <w:rFonts w:cs="Arial"/>
                <w:b/>
                <w:sz w:val="20"/>
                <w:szCs w:val="20"/>
              </w:rPr>
            </w:pPr>
            <w:r>
              <w:rPr>
                <w:rFonts w:cs="Arial"/>
                <w:sz w:val="20"/>
                <w:szCs w:val="20"/>
              </w:rPr>
              <w:t>156</w:t>
            </w:r>
          </w:p>
        </w:tc>
      </w:tr>
      <w:tr w:rsidR="002021AB" w:rsidRPr="008A190A" w14:paraId="0B7E4468" w14:textId="77777777" w:rsidTr="00D20070">
        <w:trPr>
          <w:trHeight w:val="288"/>
        </w:trPr>
        <w:tc>
          <w:tcPr>
            <w:tcW w:w="2093"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5A47BC73" w14:textId="77777777" w:rsidR="002021AB" w:rsidRPr="008A190A" w:rsidRDefault="002021AB" w:rsidP="0085312C">
            <w:pPr>
              <w:rPr>
                <w:rFonts w:ascii="Calibri" w:hAnsi="Calibri"/>
                <w:b/>
                <w:sz w:val="20"/>
                <w:szCs w:val="20"/>
              </w:rPr>
            </w:pPr>
            <w:r w:rsidRPr="008A190A">
              <w:rPr>
                <w:rFonts w:ascii="Calibri" w:hAnsi="Calibri"/>
                <w:b/>
                <w:sz w:val="20"/>
                <w:szCs w:val="20"/>
              </w:rPr>
              <w:t>Category 2</w:t>
            </w: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0D1574CD" w14:textId="0C224A12" w:rsidR="002021AB" w:rsidRPr="008A190A" w:rsidRDefault="002021AB" w:rsidP="0085312C">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sz w:val="20"/>
                <w:szCs w:val="20"/>
              </w:rPr>
              <w:t>38</w:t>
            </w:r>
          </w:p>
        </w:tc>
        <w:tc>
          <w:tcPr>
            <w:tcW w:w="234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0B2E9AF7" w14:textId="725E6E64" w:rsidR="002021AB" w:rsidRPr="008A190A" w:rsidRDefault="00880FA4" w:rsidP="002021AB">
            <w:pPr>
              <w:autoSpaceDE w:val="0"/>
              <w:autoSpaceDN w:val="0"/>
              <w:jc w:val="center"/>
              <w:rPr>
                <w:rFonts w:eastAsia="Times New Roman" w:cs="Times New Roman"/>
                <w:sz w:val="20"/>
                <w:szCs w:val="20"/>
              </w:rPr>
            </w:pPr>
            <w:r>
              <w:rPr>
                <w:rFonts w:eastAsia="Times New Roman" w:cs="Times New Roman"/>
                <w:sz w:val="20"/>
                <w:szCs w:val="20"/>
              </w:rPr>
              <w:t>21</w:t>
            </w:r>
          </w:p>
        </w:tc>
        <w:tc>
          <w:tcPr>
            <w:tcW w:w="225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15FBBBF1" w14:textId="2B27BDE1" w:rsidR="002021AB" w:rsidRPr="008A190A" w:rsidRDefault="00880FA4" w:rsidP="00880FA4">
            <w:pPr>
              <w:ind w:left="-18"/>
              <w:jc w:val="center"/>
              <w:rPr>
                <w:b/>
                <w:sz w:val="20"/>
                <w:szCs w:val="20"/>
              </w:rPr>
            </w:pPr>
            <w:r>
              <w:rPr>
                <w:sz w:val="20"/>
                <w:szCs w:val="20"/>
              </w:rPr>
              <w:t>17</w:t>
            </w:r>
          </w:p>
        </w:tc>
      </w:tr>
      <w:tr w:rsidR="002021AB" w:rsidRPr="008A190A" w14:paraId="61212E0F" w14:textId="77777777" w:rsidTr="00D20070">
        <w:trPr>
          <w:trHeight w:val="288"/>
        </w:trPr>
        <w:tc>
          <w:tcPr>
            <w:tcW w:w="2093"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2D6CB621" w14:textId="77777777" w:rsidR="002021AB" w:rsidRPr="008A190A" w:rsidRDefault="002021AB" w:rsidP="00F62DBD">
            <w:pPr>
              <w:rPr>
                <w:rFonts w:ascii="Calibri" w:hAnsi="Calibri"/>
                <w:b/>
                <w:sz w:val="20"/>
                <w:szCs w:val="20"/>
              </w:rPr>
            </w:pPr>
          </w:p>
        </w:tc>
        <w:tc>
          <w:tcPr>
            <w:tcW w:w="171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3E93CAE2" w14:textId="421A3C53" w:rsidR="002021AB" w:rsidRPr="008A190A" w:rsidRDefault="002021AB" w:rsidP="00AF6105">
            <w:pPr>
              <w:tabs>
                <w:tab w:val="left" w:pos="360"/>
                <w:tab w:val="left" w:pos="720"/>
                <w:tab w:val="left" w:pos="1440"/>
                <w:tab w:val="left" w:pos="2160"/>
                <w:tab w:val="left" w:pos="3600"/>
                <w:tab w:val="left" w:pos="5040"/>
                <w:tab w:val="left" w:pos="5760"/>
              </w:tabs>
              <w:jc w:val="center"/>
              <w:rPr>
                <w:rFonts w:cs="Arial"/>
                <w:b/>
                <w:sz w:val="20"/>
                <w:szCs w:val="20"/>
              </w:rPr>
            </w:pPr>
            <w:r w:rsidRPr="008A190A">
              <w:rPr>
                <w:rFonts w:cs="Arial"/>
                <w:b/>
                <w:sz w:val="20"/>
                <w:szCs w:val="20"/>
              </w:rPr>
              <w:fldChar w:fldCharType="begin"/>
            </w:r>
            <w:r w:rsidRPr="008A190A">
              <w:rPr>
                <w:rFonts w:cs="Arial"/>
                <w:b/>
                <w:sz w:val="20"/>
                <w:szCs w:val="20"/>
              </w:rPr>
              <w:instrText xml:space="preserve"> =SUM(ABOVE) </w:instrText>
            </w:r>
            <w:r w:rsidRPr="008A190A">
              <w:rPr>
                <w:rFonts w:cs="Arial"/>
                <w:b/>
                <w:sz w:val="20"/>
                <w:szCs w:val="20"/>
              </w:rPr>
              <w:fldChar w:fldCharType="separate"/>
            </w:r>
            <w:r w:rsidRPr="008A190A">
              <w:rPr>
                <w:rFonts w:cs="Arial"/>
                <w:b/>
                <w:noProof/>
                <w:sz w:val="20"/>
                <w:szCs w:val="20"/>
              </w:rPr>
              <w:t>384</w:t>
            </w:r>
            <w:r w:rsidRPr="008A190A">
              <w:rPr>
                <w:rFonts w:cs="Arial"/>
                <w:b/>
                <w:sz w:val="20"/>
                <w:szCs w:val="20"/>
              </w:rPr>
              <w:fldChar w:fldCharType="end"/>
            </w:r>
          </w:p>
        </w:tc>
        <w:tc>
          <w:tcPr>
            <w:tcW w:w="234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46DB1119" w14:textId="1F479D56" w:rsidR="002021AB" w:rsidRPr="008A190A" w:rsidRDefault="00880FA4" w:rsidP="002021AB">
            <w:pPr>
              <w:autoSpaceDE w:val="0"/>
              <w:autoSpaceDN w:val="0"/>
              <w:jc w:val="center"/>
              <w:rPr>
                <w:rFonts w:eastAsia="Times New Roman" w:cs="Times New Roman"/>
                <w:b/>
                <w:sz w:val="20"/>
                <w:szCs w:val="20"/>
              </w:rPr>
            </w:pPr>
            <w:r>
              <w:rPr>
                <w:rFonts w:eastAsia="Times New Roman" w:cs="Times New Roman"/>
                <w:b/>
                <w:sz w:val="20"/>
                <w:szCs w:val="20"/>
              </w:rPr>
              <w:fldChar w:fldCharType="begin"/>
            </w:r>
            <w:r>
              <w:rPr>
                <w:rFonts w:eastAsia="Times New Roman" w:cs="Times New Roman"/>
                <w:b/>
                <w:sz w:val="20"/>
                <w:szCs w:val="20"/>
              </w:rPr>
              <w:instrText xml:space="preserve"> =SUM(ABOVE) </w:instrText>
            </w:r>
            <w:r>
              <w:rPr>
                <w:rFonts w:eastAsia="Times New Roman" w:cs="Times New Roman"/>
                <w:b/>
                <w:sz w:val="20"/>
                <w:szCs w:val="20"/>
              </w:rPr>
              <w:fldChar w:fldCharType="separate"/>
            </w:r>
            <w:r>
              <w:rPr>
                <w:rFonts w:eastAsia="Times New Roman" w:cs="Times New Roman"/>
                <w:b/>
                <w:noProof/>
                <w:sz w:val="20"/>
                <w:szCs w:val="20"/>
              </w:rPr>
              <w:t>211</w:t>
            </w:r>
            <w:r>
              <w:rPr>
                <w:rFonts w:eastAsia="Times New Roman" w:cs="Times New Roman"/>
                <w:b/>
                <w:sz w:val="20"/>
                <w:szCs w:val="20"/>
              </w:rPr>
              <w:fldChar w:fldCharType="end"/>
            </w:r>
          </w:p>
        </w:tc>
        <w:tc>
          <w:tcPr>
            <w:tcW w:w="2250"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D2BD37B" w14:textId="20C02D5D" w:rsidR="002021AB" w:rsidRPr="008A190A" w:rsidRDefault="00880FA4" w:rsidP="00D20070">
            <w:pPr>
              <w:ind w:left="-18"/>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173</w:t>
            </w:r>
            <w:r>
              <w:rPr>
                <w:b/>
                <w:sz w:val="20"/>
                <w:szCs w:val="20"/>
              </w:rPr>
              <w:fldChar w:fldCharType="end"/>
            </w:r>
          </w:p>
        </w:tc>
      </w:tr>
    </w:tbl>
    <w:p w14:paraId="22F31CED" w14:textId="77777777" w:rsidR="00AA2286" w:rsidRPr="008A190A" w:rsidRDefault="00AA2286" w:rsidP="00AA2286">
      <w:pPr>
        <w:pStyle w:val="NoSpacing"/>
        <w:rPr>
          <w:rFonts w:asciiTheme="minorHAnsi" w:hAnsiTheme="minorHAnsi"/>
          <w:sz w:val="22"/>
          <w:szCs w:val="22"/>
        </w:rPr>
      </w:pPr>
    </w:p>
    <w:p w14:paraId="50F0DDE6" w14:textId="77777777" w:rsidR="00566B3D" w:rsidRPr="008A190A" w:rsidRDefault="00566B3D" w:rsidP="009B5B54">
      <w:pPr>
        <w:spacing w:line="360" w:lineRule="auto"/>
        <w:rPr>
          <w:rFonts w:cs="Calibri"/>
        </w:rPr>
      </w:pPr>
      <w:r w:rsidRPr="008A190A">
        <w:rPr>
          <w:rFonts w:cs="Calibri"/>
        </w:rPr>
        <w:t>Confidence intervals provide a method for estimating population values from sample statistics. Based on the survey sample sizes, there will be 95 percent confidence that the survey findings will be accurate to within 5 percentage points. The proposed sample size will be adequate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437DA256" w14:textId="77777777" w:rsidR="0019450C" w:rsidRPr="008A190A"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A190A">
        <w:rPr>
          <w:rFonts w:cs="Arial"/>
          <w:b/>
        </w:rPr>
        <w:t>Strategies for dealing with potential non-response bias:</w:t>
      </w:r>
    </w:p>
    <w:p w14:paraId="45C998A8" w14:textId="2F3A81A1" w:rsidR="003159A0" w:rsidRPr="008A190A" w:rsidRDefault="00566B3D" w:rsidP="003159A0">
      <w:pPr>
        <w:pStyle w:val="ListParagraph"/>
        <w:tabs>
          <w:tab w:val="left" w:pos="360"/>
          <w:tab w:val="left" w:pos="450"/>
          <w:tab w:val="left" w:pos="1440"/>
          <w:tab w:val="left" w:pos="2160"/>
          <w:tab w:val="left" w:pos="3600"/>
          <w:tab w:val="left" w:pos="5040"/>
          <w:tab w:val="left" w:pos="5760"/>
        </w:tabs>
        <w:spacing w:line="360" w:lineRule="auto"/>
        <w:ind w:left="0"/>
        <w:rPr>
          <w:rFonts w:cs="Arial"/>
        </w:rPr>
      </w:pPr>
      <w:r w:rsidRPr="008A190A">
        <w:rPr>
          <w:rFonts w:cs="Arial"/>
          <w:b/>
        </w:rPr>
        <w:t xml:space="preserve">Categories </w:t>
      </w:r>
      <w:r w:rsidR="003159A0" w:rsidRPr="008A190A">
        <w:rPr>
          <w:rFonts w:cs="Arial"/>
          <w:b/>
        </w:rPr>
        <w:t>1 and 2</w:t>
      </w:r>
      <w:r w:rsidR="003159A0" w:rsidRPr="008A190A">
        <w:rPr>
          <w:rFonts w:cs="Arial"/>
        </w:rPr>
        <w:t xml:space="preserve">:  NPS </w:t>
      </w:r>
      <w:r w:rsidRPr="008A190A">
        <w:rPr>
          <w:rFonts w:cs="Arial"/>
        </w:rPr>
        <w:t xml:space="preserve">staff </w:t>
      </w:r>
      <w:r w:rsidR="003159A0" w:rsidRPr="008A190A">
        <w:rPr>
          <w:rFonts w:cs="Arial"/>
        </w:rPr>
        <w:t xml:space="preserve">and commercial service providers will </w:t>
      </w:r>
      <w:r w:rsidR="0086250D" w:rsidRPr="008A190A">
        <w:rPr>
          <w:rFonts w:cs="Arial"/>
        </w:rPr>
        <w:t xml:space="preserve">collect information from all visitors contacted through several verbal </w:t>
      </w:r>
      <w:r w:rsidR="003159A0" w:rsidRPr="008A190A">
        <w:rPr>
          <w:rFonts w:cs="Arial"/>
        </w:rPr>
        <w:t xml:space="preserve">questions, regardless of whether they agree to participate.  </w:t>
      </w:r>
      <w:r w:rsidR="0086250D" w:rsidRPr="008A190A">
        <w:rPr>
          <w:rFonts w:cs="Arial"/>
        </w:rPr>
        <w:t xml:space="preserve">The visitors are contracting with air taxi operators to take trips into the park, and thus must communicate their </w:t>
      </w:r>
      <w:r w:rsidR="00013FB2" w:rsidRPr="008A190A">
        <w:rPr>
          <w:rFonts w:cs="Arial"/>
        </w:rPr>
        <w:t xml:space="preserve">primary activity (e.g., hunting, backpacking, rafting), </w:t>
      </w:r>
      <w:r w:rsidR="0086250D" w:rsidRPr="008A190A">
        <w:rPr>
          <w:rFonts w:cs="Arial"/>
        </w:rPr>
        <w:t>group size, entry destination, exit location, and dates</w:t>
      </w:r>
      <w:r w:rsidR="00013FB2" w:rsidRPr="008A190A">
        <w:rPr>
          <w:rFonts w:cs="Arial"/>
        </w:rPr>
        <w:t xml:space="preserve"> of travel.  Likewise, visitors who are enquiring about trips into the backcountry at NPS visitor centers and ranger stations will be providing that information in asking for NPS with advice about the trip</w:t>
      </w:r>
      <w:r w:rsidR="00056F5D" w:rsidRPr="008A190A">
        <w:rPr>
          <w:rFonts w:cs="Arial"/>
        </w:rPr>
        <w:t xml:space="preserve"> they are planning</w:t>
      </w:r>
      <w:r w:rsidR="00013FB2" w:rsidRPr="008A190A">
        <w:rPr>
          <w:rFonts w:cs="Arial"/>
        </w:rPr>
        <w:t xml:space="preserve">.  The air taxi operators and NPS staff will simply keep track of that information in a </w:t>
      </w:r>
      <w:r w:rsidR="003159A0" w:rsidRPr="008A190A">
        <w:rPr>
          <w:rFonts w:cs="Arial"/>
        </w:rPr>
        <w:t xml:space="preserve">log of </w:t>
      </w:r>
      <w:r w:rsidR="00056F5D" w:rsidRPr="008A190A">
        <w:rPr>
          <w:rFonts w:cs="Arial"/>
        </w:rPr>
        <w:t xml:space="preserve">all </w:t>
      </w:r>
      <w:r w:rsidR="003159A0" w:rsidRPr="008A190A">
        <w:rPr>
          <w:rFonts w:cs="Arial"/>
        </w:rPr>
        <w:t xml:space="preserve">trips </w:t>
      </w:r>
      <w:r w:rsidR="00013FB2" w:rsidRPr="008A190A">
        <w:rPr>
          <w:rFonts w:cs="Arial"/>
        </w:rPr>
        <w:t xml:space="preserve">that will include:  </w:t>
      </w:r>
    </w:p>
    <w:p w14:paraId="61F22F95" w14:textId="77777777" w:rsidR="003159A0" w:rsidRPr="00880FA4" w:rsidRDefault="003159A0" w:rsidP="00880FA4">
      <w:pPr>
        <w:pStyle w:val="ListParagraph"/>
        <w:numPr>
          <w:ilvl w:val="0"/>
          <w:numId w:val="16"/>
        </w:numPr>
      </w:pPr>
      <w:r w:rsidRPr="00880FA4">
        <w:t>Group size</w:t>
      </w:r>
    </w:p>
    <w:p w14:paraId="23185D11" w14:textId="77777777" w:rsidR="003159A0" w:rsidRPr="00880FA4" w:rsidRDefault="003159A0" w:rsidP="00880FA4">
      <w:pPr>
        <w:pStyle w:val="ListParagraph"/>
        <w:numPr>
          <w:ilvl w:val="0"/>
          <w:numId w:val="16"/>
        </w:numPr>
      </w:pPr>
      <w:r w:rsidRPr="00880FA4">
        <w:t>Entry destination (trailhead, launch, or airstrip)</w:t>
      </w:r>
    </w:p>
    <w:p w14:paraId="78B72B44" w14:textId="77777777" w:rsidR="003159A0" w:rsidRPr="00880FA4" w:rsidRDefault="003159A0" w:rsidP="00880FA4">
      <w:pPr>
        <w:pStyle w:val="ListParagraph"/>
        <w:numPr>
          <w:ilvl w:val="0"/>
          <w:numId w:val="16"/>
        </w:numPr>
      </w:pPr>
      <w:r w:rsidRPr="00880FA4">
        <w:t xml:space="preserve">Exit location (trailhead, launch, or airstrip) </w:t>
      </w:r>
    </w:p>
    <w:p w14:paraId="2603C498" w14:textId="77777777" w:rsidR="003159A0" w:rsidRPr="00880FA4" w:rsidRDefault="003159A0" w:rsidP="00880FA4">
      <w:pPr>
        <w:pStyle w:val="ListParagraph"/>
        <w:numPr>
          <w:ilvl w:val="0"/>
          <w:numId w:val="16"/>
        </w:numPr>
      </w:pPr>
      <w:r w:rsidRPr="00880FA4">
        <w:t>Entry and exit dates</w:t>
      </w:r>
    </w:p>
    <w:p w14:paraId="7999BC7A" w14:textId="77777777" w:rsidR="003159A0" w:rsidRPr="00880FA4" w:rsidRDefault="003159A0" w:rsidP="00880FA4">
      <w:pPr>
        <w:pStyle w:val="ListParagraph"/>
        <w:numPr>
          <w:ilvl w:val="0"/>
          <w:numId w:val="16"/>
        </w:numPr>
      </w:pPr>
      <w:r w:rsidRPr="00880FA4">
        <w:t xml:space="preserve">Primary activity </w:t>
      </w:r>
    </w:p>
    <w:p w14:paraId="7A3E1A20" w14:textId="5AFCCDEE" w:rsidR="003159A0" w:rsidRPr="00880FA4" w:rsidRDefault="003159A0" w:rsidP="00D20070">
      <w:pPr>
        <w:pStyle w:val="ListParagraph"/>
        <w:ind w:left="1440"/>
      </w:pPr>
      <w:r w:rsidRPr="00880FA4">
        <w:t xml:space="preserve"> </w:t>
      </w:r>
    </w:p>
    <w:p w14:paraId="4C021F0F" w14:textId="1CBA57B9" w:rsidR="003159A0" w:rsidRDefault="003159A0" w:rsidP="00C24F4E">
      <w:pPr>
        <w:pStyle w:val="ListParagraph"/>
        <w:tabs>
          <w:tab w:val="left" w:pos="360"/>
          <w:tab w:val="left" w:pos="720"/>
          <w:tab w:val="left" w:pos="1440"/>
          <w:tab w:val="left" w:pos="2160"/>
          <w:tab w:val="left" w:pos="3600"/>
          <w:tab w:val="left" w:pos="5040"/>
          <w:tab w:val="left" w:pos="5760"/>
        </w:tabs>
        <w:spacing w:line="360" w:lineRule="auto"/>
        <w:ind w:left="0"/>
        <w:rPr>
          <w:rFonts w:cs="Arial"/>
        </w:rPr>
      </w:pPr>
      <w:r w:rsidRPr="008A190A">
        <w:rPr>
          <w:rFonts w:cs="Arial"/>
        </w:rPr>
        <w:t xml:space="preserve">These comparisons can help estimate non-response bias for the shared variables, and offer opportunities to weight data by those variables if differences between respondents and non-respondents are statistically significant.  </w:t>
      </w:r>
    </w:p>
    <w:p w14:paraId="7F246351" w14:textId="77777777" w:rsidR="00880FA4" w:rsidRPr="008A190A" w:rsidRDefault="00880FA4" w:rsidP="00C24F4E">
      <w:pPr>
        <w:pStyle w:val="ListParagraph"/>
        <w:tabs>
          <w:tab w:val="left" w:pos="360"/>
          <w:tab w:val="left" w:pos="720"/>
          <w:tab w:val="left" w:pos="1440"/>
          <w:tab w:val="left" w:pos="2160"/>
          <w:tab w:val="left" w:pos="3600"/>
          <w:tab w:val="left" w:pos="5040"/>
          <w:tab w:val="left" w:pos="5760"/>
        </w:tabs>
        <w:spacing w:line="360" w:lineRule="auto"/>
        <w:ind w:left="0"/>
        <w:rPr>
          <w:rFonts w:cs="Arial"/>
        </w:rPr>
      </w:pPr>
    </w:p>
    <w:p w14:paraId="5934CDAE" w14:textId="77777777" w:rsidR="0019450C" w:rsidRPr="008A190A"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A190A">
        <w:rPr>
          <w:rFonts w:cs="Arial"/>
          <w:b/>
        </w:rPr>
        <w:lastRenderedPageBreak/>
        <w:t>Description of any pre-testing and peer review o</w:t>
      </w:r>
      <w:r w:rsidR="000D13B3" w:rsidRPr="008A190A">
        <w:rPr>
          <w:rFonts w:cs="Arial"/>
          <w:b/>
        </w:rPr>
        <w:t>f the methods and/or instrument:</w:t>
      </w:r>
    </w:p>
    <w:p w14:paraId="59C37A48" w14:textId="77777777" w:rsidR="0019450C" w:rsidRPr="008A190A" w:rsidRDefault="003159A0" w:rsidP="008A190A">
      <w:pPr>
        <w:pStyle w:val="ListParagraph"/>
        <w:tabs>
          <w:tab w:val="left" w:pos="1440"/>
          <w:tab w:val="left" w:pos="2160"/>
          <w:tab w:val="left" w:pos="3600"/>
          <w:tab w:val="left" w:pos="5040"/>
          <w:tab w:val="left" w:pos="5760"/>
        </w:tabs>
        <w:spacing w:after="0" w:line="360" w:lineRule="auto"/>
        <w:ind w:left="0"/>
        <w:rPr>
          <w:rFonts w:cs="Arial"/>
        </w:rPr>
      </w:pPr>
      <w:r w:rsidRPr="008A190A">
        <w:rPr>
          <w:rFonts w:cs="Arial"/>
        </w:rPr>
        <w:t xml:space="preserve">The survey uses well-known and commonly-used questions in backcountry visitor surveys (Vaske, 2008); most are slightly adapted from questions in NPS’s Pool of Known Questions for OMB.  The order of questions follows from strategies that haven been used on dozens of backcountry surveys conducted by the study researchers since 1976.  </w:t>
      </w:r>
      <w:r w:rsidR="009F1EBC" w:rsidRPr="008A190A">
        <w:rPr>
          <w:rFonts w:cs="Arial"/>
        </w:rPr>
        <w:t>Peer review and p</w:t>
      </w:r>
      <w:r w:rsidRPr="008A190A">
        <w:rPr>
          <w:rFonts w:cs="Arial"/>
        </w:rPr>
        <w:t xml:space="preserve">re-testing </w:t>
      </w:r>
      <w:r w:rsidR="009F1EBC" w:rsidRPr="008A190A">
        <w:rPr>
          <w:rFonts w:cs="Arial"/>
        </w:rPr>
        <w:t xml:space="preserve">was </w:t>
      </w:r>
      <w:r w:rsidRPr="008A190A">
        <w:rPr>
          <w:rFonts w:cs="Arial"/>
        </w:rPr>
        <w:t xml:space="preserve">limited to NPS-staff, consultants, a small sample </w:t>
      </w:r>
      <w:r w:rsidR="00A235EB" w:rsidRPr="008A190A">
        <w:rPr>
          <w:rFonts w:cs="Arial"/>
        </w:rPr>
        <w:t xml:space="preserve">(n=5) </w:t>
      </w:r>
      <w:r w:rsidRPr="008A190A">
        <w:rPr>
          <w:rFonts w:cs="Arial"/>
        </w:rPr>
        <w:t xml:space="preserve">of Alaskan backcountry users </w:t>
      </w:r>
      <w:r w:rsidR="009F1EBC" w:rsidRPr="008A190A">
        <w:rPr>
          <w:rFonts w:cs="Arial"/>
        </w:rPr>
        <w:t>and four additional NPS staff at other Alaskan parks in April 2017</w:t>
      </w:r>
      <w:r w:rsidRPr="008A190A">
        <w:rPr>
          <w:rFonts w:cs="Arial"/>
        </w:rPr>
        <w:t xml:space="preserve">to inform the response burden estimates below.  </w:t>
      </w:r>
      <w:r w:rsidR="009F1EBC" w:rsidRPr="008A190A">
        <w:rPr>
          <w:rFonts w:cs="Arial"/>
        </w:rPr>
        <w:t>Based on an informal pre-test and NPS peer-review,</w:t>
      </w:r>
      <w:r w:rsidR="00A235EB" w:rsidRPr="008A190A">
        <w:rPr>
          <w:rFonts w:cs="Arial"/>
        </w:rPr>
        <w:t xml:space="preserve"> the </w:t>
      </w:r>
      <w:r w:rsidR="009F1EBC" w:rsidRPr="008A190A">
        <w:rPr>
          <w:rFonts w:cs="Arial"/>
        </w:rPr>
        <w:t xml:space="preserve">users required as few as 5 minutes and as many as 11 to complete the </w:t>
      </w:r>
      <w:r w:rsidR="00A235EB" w:rsidRPr="008A190A">
        <w:rPr>
          <w:rFonts w:cs="Arial"/>
        </w:rPr>
        <w:t>questionnaire</w:t>
      </w:r>
      <w:r w:rsidR="009F1EBC" w:rsidRPr="008A190A">
        <w:rPr>
          <w:rFonts w:cs="Arial"/>
        </w:rPr>
        <w:t>, therefore we have estimate</w:t>
      </w:r>
      <w:r w:rsidR="00A235EB" w:rsidRPr="008A190A">
        <w:rPr>
          <w:rFonts w:cs="Arial"/>
        </w:rPr>
        <w:t>d</w:t>
      </w:r>
      <w:r w:rsidR="009F1EBC" w:rsidRPr="008A190A">
        <w:rPr>
          <w:rFonts w:cs="Arial"/>
        </w:rPr>
        <w:t xml:space="preserve"> that it will take an average of seven minutes per respondent to complete the questionnaire. </w:t>
      </w:r>
    </w:p>
    <w:p w14:paraId="3B36EF7A" w14:textId="77777777" w:rsidR="0019450C" w:rsidRPr="008A190A" w:rsidRDefault="0019450C" w:rsidP="00C24F4E">
      <w:pPr>
        <w:pStyle w:val="NoSpacing"/>
        <w:rPr>
          <w:rFonts w:asciiTheme="minorHAnsi" w:hAnsiTheme="minorHAnsi"/>
          <w:sz w:val="20"/>
          <w:szCs w:val="20"/>
        </w:rPr>
      </w:pPr>
    </w:p>
    <w:p w14:paraId="458DF48F" w14:textId="77777777" w:rsidR="0019450C" w:rsidRPr="008A190A"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b/>
        </w:rPr>
        <w:t>BURDEN ESTIMATES:</w:t>
      </w:r>
    </w:p>
    <w:p w14:paraId="71EBF899" w14:textId="1E71190D" w:rsidR="005676CE" w:rsidRPr="008A190A" w:rsidRDefault="005676CE" w:rsidP="005676CE">
      <w:pPr>
        <w:tabs>
          <w:tab w:val="left" w:pos="360"/>
          <w:tab w:val="left" w:pos="720"/>
          <w:tab w:val="left" w:pos="1440"/>
          <w:tab w:val="left" w:pos="2160"/>
          <w:tab w:val="left" w:pos="3600"/>
          <w:tab w:val="left" w:pos="5040"/>
          <w:tab w:val="left" w:pos="5760"/>
        </w:tabs>
        <w:spacing w:after="0" w:line="360" w:lineRule="auto"/>
        <w:rPr>
          <w:rFonts w:ascii="Calibri" w:eastAsia="Calibri" w:hAnsi="Calibri" w:cs="Calibri"/>
        </w:rPr>
      </w:pPr>
      <w:r w:rsidRPr="008A190A">
        <w:rPr>
          <w:rFonts w:ascii="Calibri" w:eastAsia="Calibri" w:hAnsi="Calibri" w:cs="Calibri"/>
        </w:rPr>
        <w:t>The combined total burden for this collection is estimated to be 5</w:t>
      </w:r>
      <w:r w:rsidR="009B5B54" w:rsidRPr="008A190A">
        <w:rPr>
          <w:rFonts w:ascii="Calibri" w:eastAsia="Calibri" w:hAnsi="Calibri" w:cs="Calibri"/>
        </w:rPr>
        <w:t>2</w:t>
      </w:r>
      <w:r w:rsidR="0086250D" w:rsidRPr="008A190A">
        <w:rPr>
          <w:rFonts w:ascii="Calibri" w:eastAsia="Calibri" w:hAnsi="Calibri" w:cs="Calibri"/>
        </w:rPr>
        <w:t xml:space="preserve"> </w:t>
      </w:r>
      <w:r w:rsidRPr="008A190A">
        <w:rPr>
          <w:rFonts w:ascii="Calibri" w:eastAsia="Calibri" w:hAnsi="Calibri" w:cs="Calibri"/>
        </w:rPr>
        <w:t xml:space="preserve">hours. </w:t>
      </w:r>
      <w:r w:rsidR="00147149" w:rsidRPr="008A190A">
        <w:rPr>
          <w:rFonts w:ascii="Calibri" w:eastAsia="Calibri" w:hAnsi="Calibri" w:cs="Calibri"/>
        </w:rPr>
        <w:t xml:space="preserve">We plan to contact a total of </w:t>
      </w:r>
      <w:r w:rsidR="000524FA" w:rsidRPr="008A190A">
        <w:rPr>
          <w:rFonts w:ascii="Calibri" w:eastAsia="Calibri" w:hAnsi="Calibri" w:cs="Calibri"/>
        </w:rPr>
        <w:t>480</w:t>
      </w:r>
      <w:r w:rsidR="00147149" w:rsidRPr="008A190A">
        <w:rPr>
          <w:rFonts w:ascii="Calibri" w:eastAsia="Calibri" w:hAnsi="Calibri" w:cs="Calibri"/>
        </w:rPr>
        <w:t xml:space="preserve"> potential participants for this collection.</w:t>
      </w:r>
      <w:r w:rsidR="00D31F5F">
        <w:rPr>
          <w:rFonts w:ascii="Calibri" w:eastAsia="Calibri" w:hAnsi="Calibri" w:cs="Calibri"/>
        </w:rPr>
        <w:t xml:space="preserve"> We anticipate that</w:t>
      </w:r>
      <w:r w:rsidR="00147149" w:rsidRPr="008A190A">
        <w:rPr>
          <w:rFonts w:ascii="Calibri" w:eastAsia="Calibri" w:hAnsi="Calibri" w:cs="Calibri"/>
        </w:rPr>
        <w:t xml:space="preserve"> </w:t>
      </w:r>
      <w:r w:rsidR="00D31F5F">
        <w:rPr>
          <w:rFonts w:ascii="Calibri" w:eastAsia="Calibri" w:hAnsi="Calibri" w:cs="Calibri"/>
        </w:rPr>
        <w:t>of all the visitors invited to)</w:t>
      </w:r>
      <w:r w:rsidR="00D31F5F" w:rsidRPr="008A190A">
        <w:rPr>
          <w:rFonts w:ascii="Calibri" w:eastAsia="Calibri" w:hAnsi="Calibri" w:cs="Calibri"/>
        </w:rPr>
        <w:t xml:space="preserve"> </w:t>
      </w:r>
      <w:r w:rsidR="00D31F5F">
        <w:rPr>
          <w:rFonts w:ascii="Calibri" w:eastAsia="Calibri" w:hAnsi="Calibri" w:cs="Calibri"/>
        </w:rPr>
        <w:t>participate 80% (n=</w:t>
      </w:r>
      <w:r w:rsidR="00D31F5F" w:rsidRPr="008A190A">
        <w:rPr>
          <w:rFonts w:ascii="Calibri" w:eastAsia="Calibri" w:hAnsi="Calibri" w:cs="Calibri"/>
        </w:rPr>
        <w:t>384</w:t>
      </w:r>
      <w:r w:rsidR="00D31F5F">
        <w:rPr>
          <w:rFonts w:ascii="Calibri" w:eastAsia="Calibri" w:hAnsi="Calibri" w:cs="Calibri"/>
        </w:rPr>
        <w:t xml:space="preserve">) will agree and accept a survey packet. During the initial contact, in addition to being asked to participate in the study, all visitors will be asked to respond to the non-response bias check questions (listed above). The initial contact to explain the study and to administer the non-response bias check is anticipated to take at least three minutes (384 x 3 minutes = </w:t>
      </w:r>
      <w:r w:rsidR="000E5748">
        <w:rPr>
          <w:rFonts w:ascii="Calibri" w:eastAsia="Calibri" w:hAnsi="Calibri" w:cs="Calibri"/>
        </w:rPr>
        <w:t>19</w:t>
      </w:r>
      <w:r w:rsidR="00D31F5F">
        <w:rPr>
          <w:rFonts w:ascii="Calibri" w:eastAsia="Calibri" w:hAnsi="Calibri" w:cs="Calibri"/>
        </w:rPr>
        <w:t xml:space="preserve"> hours).  </w:t>
      </w:r>
      <w:r w:rsidRPr="008A190A">
        <w:rPr>
          <w:rFonts w:ascii="Calibri" w:eastAsia="Calibri" w:hAnsi="Calibri" w:cs="Calibri"/>
        </w:rPr>
        <w:t xml:space="preserve">We expect </w:t>
      </w:r>
      <w:r w:rsidR="000E5748">
        <w:rPr>
          <w:rFonts w:ascii="Calibri" w:eastAsia="Calibri" w:hAnsi="Calibri" w:cs="Calibri"/>
        </w:rPr>
        <w:t xml:space="preserve">of the </w:t>
      </w:r>
      <w:r w:rsidRPr="008A190A">
        <w:rPr>
          <w:rFonts w:ascii="Calibri" w:eastAsia="Calibri" w:hAnsi="Calibri" w:cs="Calibri"/>
        </w:rPr>
        <w:t>~20% (n=</w:t>
      </w:r>
      <w:r w:rsidR="00D31F5F" w:rsidRPr="008A190A">
        <w:rPr>
          <w:rFonts w:ascii="Calibri" w:eastAsia="Calibri" w:hAnsi="Calibri" w:cs="Calibri"/>
        </w:rPr>
        <w:t>9</w:t>
      </w:r>
      <w:r w:rsidR="00D31F5F">
        <w:rPr>
          <w:rFonts w:ascii="Calibri" w:eastAsia="Calibri" w:hAnsi="Calibri" w:cs="Calibri"/>
        </w:rPr>
        <w:t>6</w:t>
      </w:r>
      <w:r w:rsidRPr="008A190A">
        <w:rPr>
          <w:rFonts w:ascii="Calibri" w:eastAsia="Calibri" w:hAnsi="Calibri" w:cs="Calibri"/>
        </w:rPr>
        <w:t>) refus</w:t>
      </w:r>
      <w:r w:rsidR="000E5748">
        <w:rPr>
          <w:rFonts w:ascii="Calibri" w:eastAsia="Calibri" w:hAnsi="Calibri" w:cs="Calibri"/>
        </w:rPr>
        <w:t>ing</w:t>
      </w:r>
      <w:r w:rsidRPr="008A190A">
        <w:rPr>
          <w:rFonts w:ascii="Calibri" w:eastAsia="Calibri" w:hAnsi="Calibri" w:cs="Calibri"/>
        </w:rPr>
        <w:t xml:space="preserve"> to participate in the study</w:t>
      </w:r>
      <w:r w:rsidR="000E5748">
        <w:rPr>
          <w:rFonts w:ascii="Calibri" w:eastAsia="Calibri" w:hAnsi="Calibri" w:cs="Calibri"/>
        </w:rPr>
        <w:t xml:space="preserve"> only 77 (80%) will answer the non-response bias check questions (77 x 3 minutes = 4 hours)</w:t>
      </w:r>
      <w:r w:rsidRPr="008A190A">
        <w:rPr>
          <w:rFonts w:ascii="Calibri" w:eastAsia="Calibri" w:hAnsi="Calibri" w:cs="Calibri"/>
        </w:rPr>
        <w:t xml:space="preserve">. For those individuals, we will </w:t>
      </w:r>
      <w:r w:rsidR="000E5748">
        <w:rPr>
          <w:rFonts w:ascii="Calibri" w:eastAsia="Calibri" w:hAnsi="Calibri" w:cs="Calibri"/>
        </w:rPr>
        <w:t xml:space="preserve">only </w:t>
      </w:r>
      <w:r w:rsidRPr="008A190A">
        <w:rPr>
          <w:rFonts w:ascii="Calibri" w:eastAsia="Calibri" w:hAnsi="Calibri" w:cs="Calibri"/>
        </w:rPr>
        <w:t xml:space="preserve">record their reason for refusal and ask them to answer the non-response check question. </w:t>
      </w:r>
      <w:r w:rsidR="009B5B54" w:rsidRPr="008A190A">
        <w:rPr>
          <w:rFonts w:ascii="Calibri" w:eastAsia="Calibri" w:hAnsi="Calibri" w:cs="Calibri"/>
        </w:rPr>
        <w:t xml:space="preserve"> </w:t>
      </w:r>
      <w:r w:rsidR="009B5B54" w:rsidRPr="008A190A">
        <w:rPr>
          <w:rFonts w:cstheme="minorHAnsi"/>
        </w:rPr>
        <w:t>For both survey efforts</w:t>
      </w:r>
      <w:r w:rsidR="000524FA" w:rsidRPr="008A190A">
        <w:rPr>
          <w:rFonts w:cstheme="minorHAnsi"/>
        </w:rPr>
        <w:t xml:space="preserve">, </w:t>
      </w:r>
      <w:r w:rsidR="009B5B54" w:rsidRPr="008A190A">
        <w:rPr>
          <w:rFonts w:ascii="Calibri" w:eastAsia="Calibri" w:hAnsi="Calibri" w:cs="Calibri"/>
        </w:rPr>
        <w:t>w</w:t>
      </w:r>
      <w:r w:rsidR="009B5B54" w:rsidRPr="008A190A">
        <w:rPr>
          <w:rFonts w:cstheme="minorHAnsi"/>
        </w:rPr>
        <w:t>e have estimated respondent burdens as follows:</w:t>
      </w:r>
    </w:p>
    <w:p w14:paraId="04ACFFF2" w14:textId="11C504CF" w:rsidR="005676CE" w:rsidRPr="008A190A" w:rsidRDefault="000E5748" w:rsidP="005676CE">
      <w:pPr>
        <w:pStyle w:val="ListParagraph"/>
        <w:numPr>
          <w:ilvl w:val="0"/>
          <w:numId w:val="14"/>
        </w:numPr>
        <w:autoSpaceDE w:val="0"/>
        <w:autoSpaceDN w:val="0"/>
        <w:spacing w:after="0" w:line="240" w:lineRule="auto"/>
        <w:ind w:right="342"/>
        <w:rPr>
          <w:rFonts w:cstheme="minorHAnsi"/>
        </w:rPr>
      </w:pPr>
      <w:r>
        <w:rPr>
          <w:rFonts w:cstheme="minorHAnsi"/>
          <w:b/>
        </w:rPr>
        <w:t>19</w:t>
      </w:r>
      <w:r w:rsidRPr="008A190A">
        <w:rPr>
          <w:rFonts w:cstheme="minorHAnsi"/>
          <w:b/>
        </w:rPr>
        <w:t xml:space="preserve"> </w:t>
      </w:r>
      <w:r w:rsidR="005676CE" w:rsidRPr="008A190A">
        <w:rPr>
          <w:rFonts w:cstheme="minorHAnsi"/>
          <w:b/>
        </w:rPr>
        <w:t>hours</w:t>
      </w:r>
      <w:r w:rsidR="005676CE" w:rsidRPr="008A190A">
        <w:rPr>
          <w:rFonts w:cstheme="minorHAnsi"/>
        </w:rPr>
        <w:t xml:space="preserve"> </w:t>
      </w:r>
      <w:r w:rsidR="009B5B54" w:rsidRPr="008A190A">
        <w:rPr>
          <w:rFonts w:cstheme="minorHAnsi"/>
        </w:rPr>
        <w:t xml:space="preserve">– </w:t>
      </w:r>
      <w:r>
        <w:rPr>
          <w:rFonts w:cstheme="minorHAnsi"/>
        </w:rPr>
        <w:t>Three</w:t>
      </w:r>
      <w:r w:rsidRPr="008A190A">
        <w:rPr>
          <w:rFonts w:cstheme="minorHAnsi"/>
        </w:rPr>
        <w:t xml:space="preserve"> </w:t>
      </w:r>
      <w:r w:rsidR="009B5B54" w:rsidRPr="008A190A">
        <w:rPr>
          <w:rFonts w:cstheme="minorHAnsi"/>
        </w:rPr>
        <w:t xml:space="preserve">minutes will be </w:t>
      </w:r>
      <w:r>
        <w:rPr>
          <w:rFonts w:cstheme="minorHAnsi"/>
        </w:rPr>
        <w:t xml:space="preserve">used to complete the </w:t>
      </w:r>
      <w:r w:rsidR="009B5B54" w:rsidRPr="008A190A">
        <w:rPr>
          <w:rFonts w:cstheme="minorHAnsi"/>
        </w:rPr>
        <w:t>i</w:t>
      </w:r>
      <w:r w:rsidR="005676CE" w:rsidRPr="008A190A">
        <w:rPr>
          <w:rFonts w:cstheme="minorHAnsi"/>
        </w:rPr>
        <w:t xml:space="preserve">nitial contact </w:t>
      </w:r>
      <w:r w:rsidR="009B5B54" w:rsidRPr="008A190A">
        <w:rPr>
          <w:rFonts w:cstheme="minorHAnsi"/>
        </w:rPr>
        <w:t xml:space="preserve">with </w:t>
      </w:r>
      <w:r>
        <w:rPr>
          <w:rFonts w:cstheme="minorHAnsi"/>
        </w:rPr>
        <w:t xml:space="preserve">all </w:t>
      </w:r>
      <w:r w:rsidR="009B5B54" w:rsidRPr="008A190A">
        <w:rPr>
          <w:rFonts w:cstheme="minorHAnsi"/>
        </w:rPr>
        <w:t>visitors</w:t>
      </w:r>
      <w:r>
        <w:rPr>
          <w:rFonts w:cstheme="minorHAnsi"/>
        </w:rPr>
        <w:t xml:space="preserve"> </w:t>
      </w:r>
      <w:r w:rsidRPr="008A190A">
        <w:rPr>
          <w:rFonts w:cstheme="minorHAnsi"/>
        </w:rPr>
        <w:t>(n=</w:t>
      </w:r>
      <w:r>
        <w:rPr>
          <w:rFonts w:cstheme="minorHAnsi"/>
        </w:rPr>
        <w:t>461)</w:t>
      </w:r>
      <w:r w:rsidR="009B5B54" w:rsidRPr="008A190A">
        <w:rPr>
          <w:rFonts w:cstheme="minorHAnsi"/>
        </w:rPr>
        <w:t xml:space="preserve"> </w:t>
      </w:r>
      <w:r>
        <w:rPr>
          <w:rFonts w:cstheme="minorHAnsi"/>
        </w:rPr>
        <w:t xml:space="preserve">to explain the study and to administer the non-response survey (this includes the visitors </w:t>
      </w:r>
      <w:r w:rsidR="005676CE" w:rsidRPr="008A190A">
        <w:rPr>
          <w:rFonts w:cstheme="minorHAnsi"/>
        </w:rPr>
        <w:t>refusing to take a survey packet but agree to and respond to the non-response check questions</w:t>
      </w:r>
      <w:r w:rsidR="009B5B54" w:rsidRPr="008A190A">
        <w:rPr>
          <w:rFonts w:cstheme="minorHAnsi"/>
        </w:rPr>
        <w:t>)</w:t>
      </w:r>
      <w:r w:rsidR="005676CE" w:rsidRPr="008A190A">
        <w:rPr>
          <w:rFonts w:cstheme="minorHAnsi"/>
        </w:rPr>
        <w:t xml:space="preserve"> </w:t>
      </w:r>
    </w:p>
    <w:p w14:paraId="7BE38BDA" w14:textId="77777777" w:rsidR="005676CE" w:rsidRDefault="005676CE" w:rsidP="005676CE">
      <w:pPr>
        <w:pStyle w:val="ListParagraph"/>
        <w:autoSpaceDE w:val="0"/>
        <w:autoSpaceDN w:val="0"/>
        <w:spacing w:after="0" w:line="240" w:lineRule="auto"/>
        <w:ind w:left="1080" w:right="342" w:hanging="360"/>
        <w:rPr>
          <w:rFonts w:cstheme="minorHAnsi"/>
        </w:rPr>
      </w:pPr>
    </w:p>
    <w:p w14:paraId="51F77323" w14:textId="190B35D1" w:rsidR="002021AB" w:rsidRPr="008A190A" w:rsidRDefault="002021AB" w:rsidP="00880FA4">
      <w:pPr>
        <w:pStyle w:val="ListParagraph"/>
        <w:autoSpaceDE w:val="0"/>
        <w:autoSpaceDN w:val="0"/>
        <w:spacing w:after="0" w:line="360" w:lineRule="auto"/>
        <w:ind w:left="0" w:right="342"/>
        <w:rPr>
          <w:rFonts w:cstheme="minorHAnsi"/>
        </w:rPr>
      </w:pPr>
      <w:r>
        <w:rPr>
          <w:rFonts w:cstheme="minorHAnsi"/>
        </w:rPr>
        <w:t>The time to complete and return the survey instrument is estimated to be at least seven minutes.  We are expecting to receive 215 completed surveys from both groups (</w:t>
      </w:r>
      <w:r w:rsidR="00880FA4">
        <w:rPr>
          <w:rFonts w:cstheme="minorHAnsi"/>
        </w:rPr>
        <w:t xml:space="preserve">211 </w:t>
      </w:r>
      <w:r>
        <w:rPr>
          <w:rFonts w:cstheme="minorHAnsi"/>
        </w:rPr>
        <w:t xml:space="preserve">x 7 minutes = 25 hours).  We have estimated that </w:t>
      </w:r>
      <w:r w:rsidR="00880FA4">
        <w:rPr>
          <w:rFonts w:cstheme="minorHAnsi"/>
        </w:rPr>
        <w:t xml:space="preserve">173 of the </w:t>
      </w:r>
      <w:r>
        <w:rPr>
          <w:rFonts w:cstheme="minorHAnsi"/>
        </w:rPr>
        <w:t xml:space="preserve">visitors accepting a survey during the initial </w:t>
      </w:r>
      <w:r w:rsidR="00880FA4">
        <w:rPr>
          <w:rFonts w:cstheme="minorHAnsi"/>
        </w:rPr>
        <w:t xml:space="preserve">on-site </w:t>
      </w:r>
      <w:r>
        <w:rPr>
          <w:rFonts w:cstheme="minorHAnsi"/>
        </w:rPr>
        <w:t xml:space="preserve">contact will not return the survey by the end of the collection. </w:t>
      </w:r>
    </w:p>
    <w:p w14:paraId="63791916" w14:textId="11FD14C7" w:rsidR="005676CE" w:rsidRPr="008A190A" w:rsidRDefault="002021AB" w:rsidP="009B5B54">
      <w:pPr>
        <w:pStyle w:val="ListParagraph"/>
        <w:numPr>
          <w:ilvl w:val="0"/>
          <w:numId w:val="14"/>
        </w:numPr>
        <w:autoSpaceDE w:val="0"/>
        <w:autoSpaceDN w:val="0"/>
        <w:spacing w:after="0" w:line="240" w:lineRule="auto"/>
        <w:ind w:right="342"/>
        <w:rPr>
          <w:rFonts w:cstheme="minorHAnsi"/>
        </w:rPr>
      </w:pPr>
      <w:r>
        <w:rPr>
          <w:rFonts w:cstheme="minorHAnsi"/>
          <w:b/>
        </w:rPr>
        <w:t>25</w:t>
      </w:r>
      <w:r w:rsidRPr="008A190A">
        <w:rPr>
          <w:rFonts w:cstheme="minorHAnsi"/>
          <w:b/>
        </w:rPr>
        <w:t xml:space="preserve"> </w:t>
      </w:r>
      <w:r w:rsidR="009B5B54" w:rsidRPr="008A190A">
        <w:rPr>
          <w:rFonts w:cstheme="minorHAnsi"/>
          <w:b/>
        </w:rPr>
        <w:t>Hours</w:t>
      </w:r>
      <w:r w:rsidR="009B5B54" w:rsidRPr="008A190A">
        <w:rPr>
          <w:rFonts w:cstheme="minorHAnsi"/>
        </w:rPr>
        <w:t xml:space="preserve"> - Seven</w:t>
      </w:r>
      <w:r w:rsidR="005676CE" w:rsidRPr="008A190A">
        <w:rPr>
          <w:rFonts w:cstheme="minorHAnsi"/>
        </w:rPr>
        <w:t xml:space="preserve"> minutes </w:t>
      </w:r>
      <w:r w:rsidR="009B5B54" w:rsidRPr="008A190A">
        <w:rPr>
          <w:rFonts w:cstheme="minorHAnsi"/>
        </w:rPr>
        <w:t xml:space="preserve">will be used </w:t>
      </w:r>
      <w:r w:rsidR="005676CE" w:rsidRPr="008A190A">
        <w:rPr>
          <w:rFonts w:cstheme="minorHAnsi"/>
        </w:rPr>
        <w:t xml:space="preserve">to complete and return the </w:t>
      </w:r>
      <w:r w:rsidR="009B5B54" w:rsidRPr="008A190A">
        <w:rPr>
          <w:rFonts w:cstheme="minorHAnsi"/>
        </w:rPr>
        <w:t xml:space="preserve">mail back </w:t>
      </w:r>
      <w:r w:rsidR="005676CE" w:rsidRPr="008A190A">
        <w:rPr>
          <w:rFonts w:cstheme="minorHAnsi"/>
        </w:rPr>
        <w:t>questionnaire</w:t>
      </w:r>
    </w:p>
    <w:p w14:paraId="24F090F7" w14:textId="0F134C07" w:rsidR="008A190A" w:rsidRPr="00880FA4" w:rsidRDefault="008A190A" w:rsidP="00880FA4">
      <w:pPr>
        <w:pStyle w:val="NoSpacing"/>
        <w:rPr>
          <w:rFonts w:asciiTheme="minorHAnsi" w:hAnsiTheme="minorHAnsi" w:cs="Arial"/>
          <w:sz w:val="22"/>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Layout w:type="fixed"/>
        <w:tblCellMar>
          <w:left w:w="0" w:type="dxa"/>
          <w:right w:w="0" w:type="dxa"/>
        </w:tblCellMar>
        <w:tblLook w:val="04A0" w:firstRow="1" w:lastRow="0" w:firstColumn="1" w:lastColumn="0" w:noHBand="0" w:noVBand="1"/>
        <w:tblDescription w:val="table that charts list of ICs"/>
      </w:tblPr>
      <w:tblGrid>
        <w:gridCol w:w="5940"/>
        <w:gridCol w:w="1260"/>
        <w:gridCol w:w="1351"/>
        <w:gridCol w:w="1170"/>
      </w:tblGrid>
      <w:tr w:rsidR="008A190A" w:rsidRPr="008A190A" w14:paraId="26A3DF1D" w14:textId="77777777" w:rsidTr="00C24F4E">
        <w:trPr>
          <w:trHeight w:val="375"/>
        </w:trPr>
        <w:tc>
          <w:tcPr>
            <w:tcW w:w="305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AEC9FBD" w14:textId="77777777" w:rsidR="00A235EB" w:rsidRPr="008A190A" w:rsidRDefault="00147149" w:rsidP="00013FB2">
            <w:pPr>
              <w:spacing w:after="0" w:line="195" w:lineRule="atLeast"/>
              <w:jc w:val="center"/>
              <w:rPr>
                <w:rFonts w:ascii="Arial" w:eastAsia="Times New Roman" w:hAnsi="Arial" w:cs="Arial"/>
                <w:b/>
                <w:bCs/>
                <w:sz w:val="17"/>
                <w:szCs w:val="17"/>
              </w:rPr>
            </w:pPr>
            <w:r w:rsidRPr="008A190A">
              <w:rPr>
                <w:b/>
                <w:sz w:val="20"/>
                <w:szCs w:val="20"/>
              </w:rPr>
              <w:t>Combined: Categories 1</w:t>
            </w:r>
            <w:r w:rsidR="00013FB2" w:rsidRPr="008A190A">
              <w:rPr>
                <w:b/>
                <w:sz w:val="20"/>
                <w:szCs w:val="20"/>
              </w:rPr>
              <w:t xml:space="preserve"> and </w:t>
            </w:r>
            <w:r w:rsidRPr="008A190A">
              <w:rPr>
                <w:b/>
                <w:sz w:val="20"/>
                <w:szCs w:val="20"/>
              </w:rPr>
              <w:t>2</w:t>
            </w:r>
          </w:p>
        </w:tc>
        <w:tc>
          <w:tcPr>
            <w:tcW w:w="648"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tcPr>
          <w:p w14:paraId="52B8D50C" w14:textId="77777777" w:rsidR="00A235EB" w:rsidRPr="008A190A" w:rsidRDefault="00147149" w:rsidP="00147149">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Responses</w:t>
            </w:r>
          </w:p>
        </w:tc>
        <w:tc>
          <w:tcPr>
            <w:tcW w:w="695" w:type="pct"/>
            <w:tcBorders>
              <w:bottom w:val="single" w:sz="6" w:space="0" w:color="76923C" w:themeColor="accent3" w:themeShade="BF"/>
            </w:tcBorders>
            <w:shd w:val="clear" w:color="auto" w:fill="C2D69B" w:themeFill="accent3" w:themeFillTint="99"/>
          </w:tcPr>
          <w:p w14:paraId="17D220D4" w14:textId="77777777" w:rsidR="00A235EB" w:rsidRPr="008A190A" w:rsidRDefault="00A235EB" w:rsidP="0085312C">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 xml:space="preserve">Completion </w:t>
            </w:r>
          </w:p>
          <w:p w14:paraId="734214F8" w14:textId="77777777" w:rsidR="00A235EB" w:rsidRPr="008A190A" w:rsidRDefault="00A235EB" w:rsidP="0085312C">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Time *</w:t>
            </w:r>
          </w:p>
          <w:p w14:paraId="492B5186" w14:textId="77777777" w:rsidR="00A235EB" w:rsidRPr="008A190A" w:rsidRDefault="00A235EB" w:rsidP="0085312C">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(minutes)</w:t>
            </w:r>
          </w:p>
        </w:tc>
        <w:tc>
          <w:tcPr>
            <w:tcW w:w="60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tcPr>
          <w:p w14:paraId="1DE35D05" w14:textId="77777777" w:rsidR="00A235EB" w:rsidRPr="008A190A" w:rsidRDefault="00147149" w:rsidP="0085312C">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 xml:space="preserve">Estimated </w:t>
            </w:r>
            <w:r w:rsidR="00A235EB" w:rsidRPr="008A190A">
              <w:rPr>
                <w:rFonts w:ascii="Arial" w:eastAsia="Times New Roman" w:hAnsi="Arial" w:cs="Arial"/>
                <w:b/>
                <w:bCs/>
                <w:sz w:val="17"/>
                <w:szCs w:val="17"/>
              </w:rPr>
              <w:t>Burden</w:t>
            </w:r>
          </w:p>
          <w:p w14:paraId="36744C67" w14:textId="77777777" w:rsidR="00A235EB" w:rsidRPr="008A190A" w:rsidRDefault="00A235EB" w:rsidP="0085312C">
            <w:pPr>
              <w:spacing w:after="0" w:line="195" w:lineRule="atLeast"/>
              <w:jc w:val="center"/>
              <w:rPr>
                <w:rFonts w:ascii="Arial" w:eastAsia="Times New Roman" w:hAnsi="Arial" w:cs="Arial"/>
                <w:b/>
                <w:bCs/>
                <w:sz w:val="17"/>
                <w:szCs w:val="17"/>
              </w:rPr>
            </w:pPr>
            <w:r w:rsidRPr="008A190A">
              <w:rPr>
                <w:rFonts w:ascii="Arial" w:eastAsia="Times New Roman" w:hAnsi="Arial" w:cs="Arial"/>
                <w:b/>
                <w:bCs/>
                <w:sz w:val="17"/>
                <w:szCs w:val="17"/>
              </w:rPr>
              <w:t>Hours</w:t>
            </w:r>
          </w:p>
        </w:tc>
      </w:tr>
      <w:tr w:rsidR="008A190A" w:rsidRPr="008A190A" w14:paraId="51D4A6AB" w14:textId="77777777" w:rsidTr="00C24F4E">
        <w:trPr>
          <w:trHeight w:val="258"/>
        </w:trPr>
        <w:tc>
          <w:tcPr>
            <w:tcW w:w="3055" w:type="pct"/>
            <w:tcBorders>
              <w:top w:val="single" w:sz="6" w:space="0" w:color="76923C" w:themeColor="accent3" w:themeShade="BF"/>
              <w:bottom w:val="nil"/>
              <w:right w:val="nil"/>
            </w:tcBorders>
            <w:shd w:val="clear" w:color="auto" w:fill="FFFFFF"/>
            <w:tcMar>
              <w:top w:w="60" w:type="dxa"/>
              <w:left w:w="60" w:type="dxa"/>
              <w:bottom w:w="60" w:type="dxa"/>
              <w:right w:w="60" w:type="dxa"/>
            </w:tcMar>
            <w:vAlign w:val="center"/>
          </w:tcPr>
          <w:p w14:paraId="77B33140" w14:textId="24C04F11" w:rsidR="00A235EB" w:rsidRPr="008A190A" w:rsidRDefault="00147149" w:rsidP="002021AB">
            <w:pPr>
              <w:pStyle w:val="NoSpacing"/>
              <w:ind w:left="120"/>
              <w:rPr>
                <w:rFonts w:asciiTheme="minorHAnsi" w:hAnsiTheme="minorHAnsi"/>
                <w:sz w:val="20"/>
                <w:szCs w:val="20"/>
              </w:rPr>
            </w:pPr>
            <w:r w:rsidRPr="008A190A">
              <w:rPr>
                <w:rFonts w:asciiTheme="minorHAnsi" w:hAnsiTheme="minorHAnsi"/>
                <w:sz w:val="20"/>
                <w:szCs w:val="20"/>
              </w:rPr>
              <w:t>I</w:t>
            </w:r>
            <w:r w:rsidR="00573E0D" w:rsidRPr="008A190A">
              <w:rPr>
                <w:rFonts w:asciiTheme="minorHAnsi" w:hAnsiTheme="minorHAnsi"/>
                <w:sz w:val="20"/>
                <w:szCs w:val="20"/>
              </w:rPr>
              <w:t xml:space="preserve">nitial contact </w:t>
            </w:r>
            <w:r w:rsidR="002021AB">
              <w:rPr>
                <w:rFonts w:asciiTheme="minorHAnsi" w:hAnsiTheme="minorHAnsi"/>
                <w:sz w:val="20"/>
                <w:szCs w:val="20"/>
              </w:rPr>
              <w:t>and</w:t>
            </w:r>
            <w:r w:rsidR="00013FB2" w:rsidRPr="008A190A">
              <w:rPr>
                <w:rFonts w:asciiTheme="minorHAnsi" w:hAnsiTheme="minorHAnsi"/>
                <w:sz w:val="20"/>
                <w:szCs w:val="20"/>
              </w:rPr>
              <w:t xml:space="preserve"> </w:t>
            </w:r>
            <w:r w:rsidR="00573E0D" w:rsidRPr="008A190A">
              <w:rPr>
                <w:rFonts w:asciiTheme="minorHAnsi" w:hAnsiTheme="minorHAnsi"/>
                <w:sz w:val="20"/>
                <w:szCs w:val="20"/>
              </w:rPr>
              <w:t>non</w:t>
            </w:r>
            <w:r w:rsidRPr="008A190A">
              <w:rPr>
                <w:rFonts w:asciiTheme="minorHAnsi" w:hAnsiTheme="minorHAnsi"/>
                <w:sz w:val="20"/>
                <w:szCs w:val="20"/>
              </w:rPr>
              <w:t>-</w:t>
            </w:r>
            <w:r w:rsidR="00573E0D" w:rsidRPr="008A190A">
              <w:rPr>
                <w:rFonts w:asciiTheme="minorHAnsi" w:hAnsiTheme="minorHAnsi"/>
                <w:sz w:val="20"/>
                <w:szCs w:val="20"/>
              </w:rPr>
              <w:t>response</w:t>
            </w:r>
            <w:r w:rsidRPr="008A190A">
              <w:rPr>
                <w:rFonts w:asciiTheme="minorHAnsi" w:hAnsiTheme="minorHAnsi"/>
                <w:sz w:val="20"/>
                <w:szCs w:val="20"/>
              </w:rPr>
              <w:t xml:space="preserve"> check</w:t>
            </w:r>
            <w:r w:rsidR="00573E0D" w:rsidRPr="008A190A">
              <w:rPr>
                <w:rFonts w:asciiTheme="minorHAnsi" w:hAnsiTheme="minorHAnsi"/>
                <w:sz w:val="20"/>
                <w:szCs w:val="20"/>
              </w:rPr>
              <w:t xml:space="preserve"> </w:t>
            </w:r>
            <w:r w:rsidR="002021AB">
              <w:rPr>
                <w:rFonts w:asciiTheme="minorHAnsi" w:hAnsiTheme="minorHAnsi"/>
                <w:sz w:val="20"/>
                <w:szCs w:val="20"/>
              </w:rPr>
              <w:t>for all visitors contacted</w:t>
            </w:r>
          </w:p>
        </w:tc>
        <w:tc>
          <w:tcPr>
            <w:tcW w:w="648" w:type="pct"/>
            <w:tcBorders>
              <w:top w:val="single" w:sz="6" w:space="0" w:color="76923C" w:themeColor="accent3" w:themeShade="BF"/>
              <w:left w:val="nil"/>
              <w:bottom w:val="nil"/>
              <w:right w:val="nil"/>
            </w:tcBorders>
            <w:shd w:val="clear" w:color="auto" w:fill="FFFFFF"/>
            <w:tcMar>
              <w:top w:w="60" w:type="dxa"/>
              <w:left w:w="60" w:type="dxa"/>
              <w:bottom w:w="60" w:type="dxa"/>
              <w:right w:w="60" w:type="dxa"/>
            </w:tcMar>
            <w:vAlign w:val="center"/>
          </w:tcPr>
          <w:p w14:paraId="30755CA9" w14:textId="00A615A6" w:rsidR="00A235EB" w:rsidRPr="008A190A" w:rsidRDefault="002021AB" w:rsidP="00147149">
            <w:pPr>
              <w:pStyle w:val="NoSpacing"/>
              <w:jc w:val="center"/>
              <w:rPr>
                <w:rFonts w:asciiTheme="minorHAnsi" w:hAnsiTheme="minorHAnsi" w:cs="Arial"/>
                <w:b/>
                <w:sz w:val="20"/>
                <w:szCs w:val="20"/>
              </w:rPr>
            </w:pPr>
            <w:r>
              <w:rPr>
                <w:rFonts w:asciiTheme="minorHAnsi" w:hAnsiTheme="minorHAnsi" w:cs="Arial"/>
                <w:b/>
                <w:sz w:val="20"/>
                <w:szCs w:val="20"/>
              </w:rPr>
              <w:t>461</w:t>
            </w:r>
          </w:p>
        </w:tc>
        <w:tc>
          <w:tcPr>
            <w:tcW w:w="695" w:type="pct"/>
            <w:tcBorders>
              <w:top w:val="single" w:sz="6" w:space="0" w:color="76923C" w:themeColor="accent3" w:themeShade="BF"/>
              <w:left w:val="nil"/>
              <w:bottom w:val="nil"/>
              <w:right w:val="nil"/>
            </w:tcBorders>
            <w:shd w:val="clear" w:color="auto" w:fill="FFFFFF"/>
            <w:vAlign w:val="center"/>
          </w:tcPr>
          <w:p w14:paraId="21709557" w14:textId="1FD9DFE4" w:rsidR="00A235EB" w:rsidRPr="008A190A" w:rsidRDefault="00880FA4" w:rsidP="00147149">
            <w:pPr>
              <w:pStyle w:val="NoSpacing"/>
              <w:jc w:val="center"/>
              <w:rPr>
                <w:rFonts w:asciiTheme="minorHAnsi" w:hAnsiTheme="minorHAnsi" w:cs="Arial"/>
                <w:b/>
                <w:sz w:val="20"/>
                <w:szCs w:val="20"/>
              </w:rPr>
            </w:pPr>
            <w:r>
              <w:rPr>
                <w:rFonts w:asciiTheme="minorHAnsi" w:hAnsiTheme="minorHAnsi" w:cs="Arial"/>
                <w:b/>
                <w:sz w:val="20"/>
                <w:szCs w:val="20"/>
              </w:rPr>
              <w:t>3</w:t>
            </w:r>
          </w:p>
        </w:tc>
        <w:tc>
          <w:tcPr>
            <w:tcW w:w="602" w:type="pct"/>
            <w:tcBorders>
              <w:top w:val="single" w:sz="6" w:space="0" w:color="76923C" w:themeColor="accent3" w:themeShade="BF"/>
              <w:left w:val="nil"/>
              <w:bottom w:val="nil"/>
            </w:tcBorders>
            <w:shd w:val="clear" w:color="auto" w:fill="FFFFFF"/>
            <w:tcMar>
              <w:top w:w="60" w:type="dxa"/>
              <w:left w:w="60" w:type="dxa"/>
              <w:bottom w:w="60" w:type="dxa"/>
              <w:right w:w="60" w:type="dxa"/>
            </w:tcMar>
            <w:vAlign w:val="center"/>
          </w:tcPr>
          <w:p w14:paraId="771DEB31" w14:textId="545187EF" w:rsidR="00A235EB" w:rsidRPr="008A190A" w:rsidRDefault="002021AB" w:rsidP="00147149">
            <w:pPr>
              <w:pStyle w:val="NoSpacing"/>
              <w:jc w:val="center"/>
              <w:rPr>
                <w:rFonts w:asciiTheme="minorHAnsi" w:hAnsiTheme="minorHAnsi" w:cs="Arial"/>
                <w:b/>
                <w:sz w:val="20"/>
                <w:szCs w:val="20"/>
              </w:rPr>
            </w:pPr>
            <w:r>
              <w:rPr>
                <w:rFonts w:asciiTheme="minorHAnsi" w:hAnsiTheme="minorHAnsi" w:cs="Arial"/>
                <w:b/>
                <w:sz w:val="20"/>
                <w:szCs w:val="20"/>
              </w:rPr>
              <w:t>19</w:t>
            </w:r>
          </w:p>
        </w:tc>
      </w:tr>
      <w:tr w:rsidR="008A190A" w:rsidRPr="008A190A" w14:paraId="58E7FAB2" w14:textId="77777777" w:rsidTr="00C24F4E">
        <w:trPr>
          <w:trHeight w:val="222"/>
        </w:trPr>
        <w:tc>
          <w:tcPr>
            <w:tcW w:w="3055"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660ACF4D" w14:textId="4449BA6F" w:rsidR="00A235EB" w:rsidRPr="008A190A" w:rsidRDefault="002021AB" w:rsidP="002021AB">
            <w:pPr>
              <w:spacing w:after="0" w:line="225" w:lineRule="atLeast"/>
              <w:ind w:left="120"/>
              <w:rPr>
                <w:rFonts w:eastAsia="Times New Roman" w:cs="Arial"/>
                <w:sz w:val="20"/>
                <w:szCs w:val="20"/>
              </w:rPr>
            </w:pPr>
            <w:r>
              <w:rPr>
                <w:sz w:val="20"/>
                <w:szCs w:val="20"/>
              </w:rPr>
              <w:t xml:space="preserve">Returned and </w:t>
            </w:r>
            <w:r w:rsidR="00573E0D" w:rsidRPr="008A190A">
              <w:rPr>
                <w:sz w:val="20"/>
                <w:szCs w:val="20"/>
              </w:rPr>
              <w:t>completed questionnaire</w:t>
            </w:r>
          </w:p>
        </w:tc>
        <w:tc>
          <w:tcPr>
            <w:tcW w:w="648"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vAlign w:val="center"/>
          </w:tcPr>
          <w:p w14:paraId="47BFAD5D" w14:textId="5E1C5097" w:rsidR="00A235EB" w:rsidRPr="008A190A" w:rsidRDefault="00573E0D" w:rsidP="00880FA4">
            <w:pPr>
              <w:spacing w:after="0" w:line="195" w:lineRule="atLeast"/>
              <w:jc w:val="center"/>
              <w:rPr>
                <w:rFonts w:eastAsia="Times New Roman" w:cs="Arial"/>
                <w:b/>
                <w:bCs/>
                <w:sz w:val="20"/>
                <w:szCs w:val="20"/>
              </w:rPr>
            </w:pPr>
            <w:r w:rsidRPr="008A190A">
              <w:rPr>
                <w:rFonts w:eastAsia="Times New Roman" w:cs="Arial"/>
                <w:b/>
                <w:bCs/>
                <w:sz w:val="20"/>
                <w:szCs w:val="20"/>
              </w:rPr>
              <w:t>2</w:t>
            </w:r>
            <w:r w:rsidR="000524FA" w:rsidRPr="008A190A">
              <w:rPr>
                <w:rFonts w:eastAsia="Times New Roman" w:cs="Arial"/>
                <w:b/>
                <w:bCs/>
                <w:sz w:val="20"/>
                <w:szCs w:val="20"/>
              </w:rPr>
              <w:t>1</w:t>
            </w:r>
            <w:r w:rsidR="00880FA4">
              <w:rPr>
                <w:rFonts w:eastAsia="Times New Roman" w:cs="Arial"/>
                <w:b/>
                <w:bCs/>
                <w:sz w:val="20"/>
                <w:szCs w:val="20"/>
              </w:rPr>
              <w:t>1</w:t>
            </w:r>
          </w:p>
        </w:tc>
        <w:tc>
          <w:tcPr>
            <w:tcW w:w="695" w:type="pct"/>
            <w:tcBorders>
              <w:top w:val="nil"/>
              <w:left w:val="nil"/>
              <w:bottom w:val="single" w:sz="6" w:space="0" w:color="76923C" w:themeColor="accent3" w:themeShade="BF"/>
              <w:right w:val="nil"/>
            </w:tcBorders>
            <w:shd w:val="clear" w:color="auto" w:fill="FFFFFF"/>
            <w:vAlign w:val="center"/>
          </w:tcPr>
          <w:p w14:paraId="1F6AB44F" w14:textId="276ED28B" w:rsidR="00A235EB" w:rsidRPr="008A190A" w:rsidRDefault="002021AB" w:rsidP="00147149">
            <w:pPr>
              <w:spacing w:after="0" w:line="195" w:lineRule="atLeast"/>
              <w:jc w:val="center"/>
              <w:rPr>
                <w:rFonts w:eastAsia="Times New Roman" w:cs="Arial"/>
                <w:b/>
                <w:bCs/>
                <w:sz w:val="20"/>
                <w:szCs w:val="20"/>
              </w:rPr>
            </w:pPr>
            <w:r>
              <w:rPr>
                <w:rFonts w:eastAsia="Times New Roman" w:cs="Arial"/>
                <w:b/>
                <w:bCs/>
                <w:sz w:val="20"/>
                <w:szCs w:val="20"/>
              </w:rPr>
              <w:t>7</w:t>
            </w:r>
          </w:p>
        </w:tc>
        <w:tc>
          <w:tcPr>
            <w:tcW w:w="602"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vAlign w:val="center"/>
          </w:tcPr>
          <w:p w14:paraId="5B940746" w14:textId="694B4307" w:rsidR="00A235EB" w:rsidRPr="008A190A" w:rsidRDefault="002021AB" w:rsidP="000524FA">
            <w:pPr>
              <w:spacing w:after="0" w:line="195" w:lineRule="atLeast"/>
              <w:jc w:val="center"/>
              <w:rPr>
                <w:rFonts w:eastAsia="Times New Roman" w:cs="Arial"/>
                <w:b/>
                <w:bCs/>
                <w:sz w:val="20"/>
                <w:szCs w:val="20"/>
              </w:rPr>
            </w:pPr>
            <w:r>
              <w:rPr>
                <w:rFonts w:eastAsia="Times New Roman" w:cs="Arial"/>
                <w:b/>
                <w:bCs/>
                <w:sz w:val="20"/>
                <w:szCs w:val="20"/>
              </w:rPr>
              <w:t>25</w:t>
            </w:r>
          </w:p>
        </w:tc>
      </w:tr>
      <w:tr w:rsidR="008A190A" w:rsidRPr="008A190A" w14:paraId="78580E1F" w14:textId="77777777" w:rsidTr="00147149">
        <w:trPr>
          <w:trHeight w:val="222"/>
        </w:trPr>
        <w:tc>
          <w:tcPr>
            <w:tcW w:w="305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56895894" w14:textId="77777777" w:rsidR="003159A0" w:rsidRPr="008A190A" w:rsidRDefault="00147149" w:rsidP="00147149">
            <w:pPr>
              <w:spacing w:after="0" w:line="225" w:lineRule="atLeast"/>
              <w:jc w:val="right"/>
              <w:rPr>
                <w:rFonts w:eastAsia="Times New Roman" w:cs="Arial"/>
                <w:b/>
                <w:sz w:val="20"/>
                <w:szCs w:val="20"/>
              </w:rPr>
            </w:pPr>
            <w:r w:rsidRPr="008A190A">
              <w:rPr>
                <w:rFonts w:eastAsia="Times New Roman" w:cs="Arial"/>
                <w:sz w:val="20"/>
              </w:rPr>
              <w:t>Total burden requested under this ICR:</w:t>
            </w:r>
          </w:p>
        </w:tc>
        <w:tc>
          <w:tcPr>
            <w:tcW w:w="648"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vAlign w:val="center"/>
          </w:tcPr>
          <w:p w14:paraId="6E17FE67" w14:textId="3CF70316" w:rsidR="003159A0" w:rsidRPr="008A190A" w:rsidRDefault="002021AB" w:rsidP="000524FA">
            <w:pPr>
              <w:spacing w:after="0" w:line="225" w:lineRule="atLeast"/>
              <w:jc w:val="center"/>
              <w:rPr>
                <w:rFonts w:eastAsia="Times New Roman" w:cs="Arial"/>
                <w:b/>
                <w:sz w:val="20"/>
                <w:szCs w:val="20"/>
              </w:rPr>
            </w:pPr>
            <w:r>
              <w:rPr>
                <w:rFonts w:eastAsia="Times New Roman" w:cs="Arial"/>
                <w:b/>
                <w:sz w:val="20"/>
                <w:szCs w:val="20"/>
              </w:rPr>
              <w:fldChar w:fldCharType="begin"/>
            </w:r>
            <w:r>
              <w:rPr>
                <w:rFonts w:eastAsia="Times New Roman" w:cs="Arial"/>
                <w:b/>
                <w:sz w:val="20"/>
                <w:szCs w:val="20"/>
              </w:rPr>
              <w:instrText xml:space="preserve"> =SUM(ABOVE) </w:instrText>
            </w:r>
            <w:r>
              <w:rPr>
                <w:rFonts w:eastAsia="Times New Roman" w:cs="Arial"/>
                <w:b/>
                <w:sz w:val="20"/>
                <w:szCs w:val="20"/>
              </w:rPr>
              <w:fldChar w:fldCharType="separate"/>
            </w:r>
            <w:r>
              <w:rPr>
                <w:rFonts w:eastAsia="Times New Roman" w:cs="Arial"/>
                <w:b/>
                <w:noProof/>
                <w:sz w:val="20"/>
                <w:szCs w:val="20"/>
              </w:rPr>
              <w:t>676</w:t>
            </w:r>
            <w:r>
              <w:rPr>
                <w:rFonts w:eastAsia="Times New Roman" w:cs="Arial"/>
                <w:b/>
                <w:sz w:val="20"/>
                <w:szCs w:val="20"/>
              </w:rPr>
              <w:fldChar w:fldCharType="end"/>
            </w:r>
            <w:r>
              <w:rPr>
                <w:rFonts w:eastAsia="Times New Roman" w:cs="Arial"/>
                <w:b/>
                <w:sz w:val="20"/>
                <w:szCs w:val="20"/>
              </w:rPr>
              <w:fldChar w:fldCharType="begin"/>
            </w:r>
            <w:r>
              <w:rPr>
                <w:rFonts w:eastAsia="Times New Roman" w:cs="Arial"/>
                <w:b/>
                <w:sz w:val="20"/>
                <w:szCs w:val="20"/>
              </w:rPr>
              <w:instrText xml:space="preserve">  </w:instrText>
            </w:r>
            <w:r>
              <w:rPr>
                <w:rFonts w:eastAsia="Times New Roman" w:cs="Arial"/>
                <w:b/>
                <w:sz w:val="20"/>
                <w:szCs w:val="20"/>
              </w:rPr>
              <w:fldChar w:fldCharType="end"/>
            </w:r>
            <w:r>
              <w:rPr>
                <w:rFonts w:eastAsia="Times New Roman" w:cs="Arial"/>
                <w:b/>
                <w:sz w:val="20"/>
                <w:szCs w:val="20"/>
              </w:rPr>
              <w:fldChar w:fldCharType="begin"/>
            </w:r>
            <w:r>
              <w:rPr>
                <w:rFonts w:eastAsia="Times New Roman" w:cs="Arial"/>
                <w:b/>
                <w:sz w:val="20"/>
                <w:szCs w:val="20"/>
              </w:rPr>
              <w:instrText xml:space="preserve">  </w:instrText>
            </w:r>
            <w:r>
              <w:rPr>
                <w:rFonts w:eastAsia="Times New Roman" w:cs="Arial"/>
                <w:b/>
                <w:sz w:val="20"/>
                <w:szCs w:val="20"/>
              </w:rPr>
              <w:fldChar w:fldCharType="end"/>
            </w:r>
            <w:r>
              <w:rPr>
                <w:rFonts w:eastAsia="Times New Roman" w:cs="Arial"/>
                <w:b/>
                <w:sz w:val="20"/>
                <w:szCs w:val="20"/>
              </w:rPr>
              <w:fldChar w:fldCharType="begin"/>
            </w:r>
            <w:r>
              <w:rPr>
                <w:rFonts w:eastAsia="Times New Roman" w:cs="Arial"/>
                <w:b/>
                <w:sz w:val="20"/>
                <w:szCs w:val="20"/>
              </w:rPr>
              <w:instrText xml:space="preserve">  </w:instrText>
            </w:r>
            <w:r>
              <w:rPr>
                <w:rFonts w:eastAsia="Times New Roman" w:cs="Arial"/>
                <w:b/>
                <w:sz w:val="20"/>
                <w:szCs w:val="20"/>
              </w:rPr>
              <w:fldChar w:fldCharType="end"/>
            </w:r>
          </w:p>
        </w:tc>
        <w:tc>
          <w:tcPr>
            <w:tcW w:w="695" w:type="pct"/>
            <w:tcBorders>
              <w:top w:val="nil"/>
              <w:left w:val="nil"/>
              <w:bottom w:val="single" w:sz="6" w:space="0" w:color="76923C" w:themeColor="accent3" w:themeShade="BF"/>
              <w:right w:val="nil"/>
            </w:tcBorders>
            <w:shd w:val="clear" w:color="auto" w:fill="FFFFFF"/>
            <w:vAlign w:val="center"/>
          </w:tcPr>
          <w:p w14:paraId="2987B10D" w14:textId="320312FD" w:rsidR="003159A0" w:rsidRPr="008A190A" w:rsidRDefault="00880FA4" w:rsidP="00147149">
            <w:pPr>
              <w:spacing w:after="0" w:line="225" w:lineRule="atLeast"/>
              <w:jc w:val="center"/>
              <w:rPr>
                <w:rFonts w:eastAsia="Times New Roman" w:cs="Arial"/>
                <w:b/>
                <w:sz w:val="20"/>
                <w:szCs w:val="20"/>
              </w:rPr>
            </w:pPr>
            <w:r>
              <w:rPr>
                <w:rFonts w:eastAsia="Times New Roman" w:cs="Arial"/>
                <w:b/>
                <w:sz w:val="20"/>
                <w:szCs w:val="20"/>
              </w:rPr>
              <w:t>-</w:t>
            </w:r>
          </w:p>
        </w:tc>
        <w:tc>
          <w:tcPr>
            <w:tcW w:w="602" w:type="pct"/>
            <w:tcBorders>
              <w:top w:val="nil"/>
              <w:left w:val="nil"/>
              <w:bottom w:val="single" w:sz="6" w:space="0" w:color="76923C" w:themeColor="accent3" w:themeShade="BF"/>
            </w:tcBorders>
            <w:shd w:val="clear" w:color="auto" w:fill="FFFFFF"/>
            <w:tcMar>
              <w:top w:w="60" w:type="dxa"/>
              <w:left w:w="60" w:type="dxa"/>
              <w:bottom w:w="60" w:type="dxa"/>
              <w:right w:w="60" w:type="dxa"/>
            </w:tcMar>
            <w:vAlign w:val="center"/>
          </w:tcPr>
          <w:p w14:paraId="55A00E79" w14:textId="0C18CAD0" w:rsidR="003159A0" w:rsidRPr="008A190A" w:rsidRDefault="002021AB" w:rsidP="000524FA">
            <w:pPr>
              <w:spacing w:after="0" w:line="225" w:lineRule="atLeast"/>
              <w:jc w:val="center"/>
              <w:rPr>
                <w:rFonts w:eastAsia="Times New Roman" w:cs="Arial"/>
                <w:b/>
                <w:sz w:val="20"/>
                <w:szCs w:val="20"/>
              </w:rPr>
            </w:pPr>
            <w:r>
              <w:rPr>
                <w:rFonts w:eastAsia="Times New Roman" w:cs="Arial"/>
                <w:b/>
                <w:sz w:val="20"/>
                <w:szCs w:val="20"/>
              </w:rPr>
              <w:fldChar w:fldCharType="begin"/>
            </w:r>
            <w:r>
              <w:rPr>
                <w:rFonts w:eastAsia="Times New Roman" w:cs="Arial"/>
                <w:b/>
                <w:sz w:val="20"/>
                <w:szCs w:val="20"/>
              </w:rPr>
              <w:instrText xml:space="preserve"> =SUM(ABOVE) </w:instrText>
            </w:r>
            <w:r>
              <w:rPr>
                <w:rFonts w:eastAsia="Times New Roman" w:cs="Arial"/>
                <w:b/>
                <w:sz w:val="20"/>
                <w:szCs w:val="20"/>
              </w:rPr>
              <w:fldChar w:fldCharType="separate"/>
            </w:r>
            <w:r>
              <w:rPr>
                <w:rFonts w:eastAsia="Times New Roman" w:cs="Arial"/>
                <w:b/>
                <w:noProof/>
                <w:sz w:val="20"/>
                <w:szCs w:val="20"/>
              </w:rPr>
              <w:t>44</w:t>
            </w:r>
            <w:r>
              <w:rPr>
                <w:rFonts w:eastAsia="Times New Roman" w:cs="Arial"/>
                <w:b/>
                <w:sz w:val="20"/>
                <w:szCs w:val="20"/>
              </w:rPr>
              <w:fldChar w:fldCharType="end"/>
            </w:r>
          </w:p>
        </w:tc>
      </w:tr>
    </w:tbl>
    <w:p w14:paraId="6522B71E" w14:textId="77777777" w:rsidR="000902A1" w:rsidRDefault="000902A1" w:rsidP="0019450C">
      <w:pPr>
        <w:tabs>
          <w:tab w:val="left" w:pos="360"/>
          <w:tab w:val="left" w:pos="720"/>
          <w:tab w:val="left" w:pos="1440"/>
          <w:tab w:val="left" w:pos="2160"/>
          <w:tab w:val="left" w:pos="3600"/>
          <w:tab w:val="left" w:pos="5040"/>
          <w:tab w:val="left" w:pos="5760"/>
        </w:tabs>
        <w:spacing w:after="0" w:line="360" w:lineRule="auto"/>
        <w:rPr>
          <w:rFonts w:cs="Arial"/>
        </w:rPr>
      </w:pPr>
    </w:p>
    <w:p w14:paraId="5823ED8C" w14:textId="77777777" w:rsidR="00D20070" w:rsidRDefault="00D20070" w:rsidP="0019450C">
      <w:pPr>
        <w:tabs>
          <w:tab w:val="left" w:pos="360"/>
          <w:tab w:val="left" w:pos="720"/>
          <w:tab w:val="left" w:pos="1440"/>
          <w:tab w:val="left" w:pos="2160"/>
          <w:tab w:val="left" w:pos="3600"/>
          <w:tab w:val="left" w:pos="5040"/>
          <w:tab w:val="left" w:pos="5760"/>
        </w:tabs>
        <w:spacing w:after="0" w:line="360" w:lineRule="auto"/>
        <w:rPr>
          <w:rFonts w:cs="Arial"/>
        </w:rPr>
      </w:pPr>
    </w:p>
    <w:p w14:paraId="38611B0E" w14:textId="77777777" w:rsidR="0019450C" w:rsidRPr="008A190A"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b/>
        </w:rPr>
        <w:lastRenderedPageBreak/>
        <w:t>REPORTING PLAN:</w:t>
      </w:r>
    </w:p>
    <w:p w14:paraId="0057C0A8" w14:textId="77777777" w:rsidR="009B5B54" w:rsidRPr="008A190A" w:rsidRDefault="009B5B54" w:rsidP="009B5B54">
      <w:pPr>
        <w:tabs>
          <w:tab w:val="left" w:pos="360"/>
          <w:tab w:val="left" w:pos="720"/>
          <w:tab w:val="left" w:pos="1440"/>
          <w:tab w:val="left" w:pos="2160"/>
          <w:tab w:val="left" w:pos="3600"/>
          <w:tab w:val="left" w:pos="5040"/>
          <w:tab w:val="left" w:pos="5760"/>
        </w:tabs>
        <w:spacing w:after="0" w:line="360" w:lineRule="auto"/>
        <w:rPr>
          <w:rFonts w:cs="Arial"/>
        </w:rPr>
      </w:pPr>
      <w:r w:rsidRPr="008A190A">
        <w:rPr>
          <w:rFonts w:cs="Arial"/>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hard copy and electronic formats, and posted as a Natural Resource Data Series in the NPS Data Store (</w:t>
      </w:r>
      <w:hyperlink r:id="rId11" w:history="1">
        <w:r w:rsidRPr="008A190A">
          <w:rPr>
            <w:rStyle w:val="Hyperlink"/>
            <w:rFonts w:cs="Arial"/>
            <w:color w:val="auto"/>
          </w:rPr>
          <w:t>https://irma.nps.gov/DataStore/Reference/Profile/</w:t>
        </w:r>
      </w:hyperlink>
      <w:r w:rsidRPr="008A190A">
        <w:rPr>
          <w:rFonts w:cs="Arial"/>
        </w:rPr>
        <w:t>) as required by the NPS Programmatic Review Process.</w:t>
      </w:r>
    </w:p>
    <w:p w14:paraId="418694F8" w14:textId="77777777" w:rsidR="00DD4CE9" w:rsidRPr="008A190A" w:rsidRDefault="00DD4CE9" w:rsidP="009B5B54">
      <w:pPr>
        <w:tabs>
          <w:tab w:val="left" w:pos="360"/>
          <w:tab w:val="left" w:pos="720"/>
          <w:tab w:val="left" w:pos="1440"/>
          <w:tab w:val="left" w:pos="2160"/>
          <w:tab w:val="left" w:pos="3600"/>
          <w:tab w:val="left" w:pos="5040"/>
          <w:tab w:val="left" w:pos="5760"/>
        </w:tabs>
        <w:spacing w:after="0" w:line="360" w:lineRule="auto"/>
        <w:rPr>
          <w:rFonts w:cs="Arial"/>
          <w:sz w:val="18"/>
          <w:szCs w:val="18"/>
        </w:rPr>
      </w:pPr>
      <w:r w:rsidRPr="008A190A">
        <w:rPr>
          <w:rFonts w:cs="Arial"/>
          <w:sz w:val="18"/>
          <w:szCs w:val="18"/>
        </w:rPr>
        <w:br w:type="page"/>
      </w:r>
    </w:p>
    <w:p w14:paraId="630DC0D0"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880FA4">
        <w:rPr>
          <w:rFonts w:cs="Arial"/>
          <w:b/>
          <w:sz w:val="20"/>
          <w:szCs w:val="20"/>
        </w:rPr>
        <w:lastRenderedPageBreak/>
        <w:t>NOTICES</w:t>
      </w:r>
    </w:p>
    <w:p w14:paraId="21AAE82C"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999615"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880FA4">
        <w:rPr>
          <w:rFonts w:cs="Arial"/>
          <w:b/>
          <w:sz w:val="20"/>
          <w:szCs w:val="20"/>
        </w:rPr>
        <w:t>Privacy Act Statement</w:t>
      </w:r>
    </w:p>
    <w:p w14:paraId="031F8304" w14:textId="77777777" w:rsidR="005F0CAA" w:rsidRPr="00880FA4"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6AF1ECB1" w14:textId="77777777" w:rsidR="005F0CAA" w:rsidRPr="00880FA4" w:rsidRDefault="005F0CAA" w:rsidP="005F0CAA">
      <w:pPr>
        <w:pStyle w:val="Footer"/>
        <w:jc w:val="both"/>
        <w:rPr>
          <w:rFonts w:cs="Arial"/>
          <w:sz w:val="20"/>
          <w:szCs w:val="20"/>
        </w:rPr>
      </w:pPr>
      <w:r w:rsidRPr="00880FA4">
        <w:rPr>
          <w:rFonts w:cs="Arial"/>
          <w:b/>
          <w:sz w:val="20"/>
          <w:szCs w:val="20"/>
        </w:rPr>
        <w:t>General:</w:t>
      </w:r>
      <w:r w:rsidRPr="00880FA4">
        <w:rPr>
          <w:rFonts w:cs="Arial"/>
          <w:sz w:val="20"/>
          <w:szCs w:val="20"/>
        </w:rPr>
        <w:t xml:space="preserve">  This information is provided pursuant to Public Law 93-579 (Privacy Act of 1974), December 21, 1984, for individuals completing this form.</w:t>
      </w:r>
    </w:p>
    <w:p w14:paraId="5E124401" w14:textId="77777777" w:rsidR="005F0CAA" w:rsidRPr="00880FA4" w:rsidRDefault="005F0CAA" w:rsidP="005F0CAA">
      <w:pPr>
        <w:pStyle w:val="Footer"/>
        <w:jc w:val="both"/>
        <w:rPr>
          <w:rFonts w:cs="Arial"/>
          <w:sz w:val="20"/>
          <w:szCs w:val="20"/>
        </w:rPr>
      </w:pPr>
    </w:p>
    <w:p w14:paraId="7DC7B4F3" w14:textId="77777777" w:rsidR="005F0CAA" w:rsidRPr="00880FA4" w:rsidRDefault="005F0CAA" w:rsidP="005F0CAA">
      <w:pPr>
        <w:pStyle w:val="Footer"/>
        <w:jc w:val="both"/>
        <w:rPr>
          <w:rFonts w:cs="Arial"/>
          <w:sz w:val="20"/>
          <w:szCs w:val="20"/>
        </w:rPr>
      </w:pPr>
      <w:r w:rsidRPr="00880FA4">
        <w:rPr>
          <w:rFonts w:cs="Arial"/>
          <w:b/>
          <w:sz w:val="20"/>
          <w:szCs w:val="20"/>
        </w:rPr>
        <w:t>Authority:</w:t>
      </w:r>
      <w:r w:rsidRPr="00880FA4">
        <w:rPr>
          <w:rFonts w:cs="Arial"/>
          <w:sz w:val="20"/>
          <w:szCs w:val="20"/>
        </w:rPr>
        <w:t xml:space="preserve">  </w:t>
      </w:r>
      <w:r w:rsidR="00DF757A" w:rsidRPr="00880FA4">
        <w:rPr>
          <w:rFonts w:cs="Arial"/>
          <w:sz w:val="20"/>
          <w:szCs w:val="20"/>
        </w:rPr>
        <w:t>National Park Service Research mandate (54 USC 100702)</w:t>
      </w:r>
    </w:p>
    <w:p w14:paraId="7175BF44" w14:textId="77777777" w:rsidR="005F0CAA" w:rsidRPr="00880FA4" w:rsidRDefault="005F0CAA" w:rsidP="005F0CAA">
      <w:pPr>
        <w:pStyle w:val="Footer"/>
        <w:jc w:val="both"/>
        <w:rPr>
          <w:rFonts w:cs="Arial"/>
          <w:sz w:val="20"/>
          <w:szCs w:val="20"/>
        </w:rPr>
      </w:pPr>
    </w:p>
    <w:p w14:paraId="4D37909C" w14:textId="77777777" w:rsidR="005F0CAA" w:rsidRPr="00880FA4" w:rsidRDefault="005F0CAA" w:rsidP="005F0CAA">
      <w:pPr>
        <w:pStyle w:val="Footer"/>
        <w:jc w:val="both"/>
        <w:rPr>
          <w:rFonts w:cs="Arial"/>
          <w:sz w:val="20"/>
          <w:szCs w:val="20"/>
        </w:rPr>
      </w:pPr>
      <w:r w:rsidRPr="00880FA4">
        <w:rPr>
          <w:rFonts w:cs="Arial"/>
          <w:b/>
          <w:sz w:val="20"/>
          <w:szCs w:val="20"/>
        </w:rPr>
        <w:t>Purpose and Uses:</w:t>
      </w:r>
      <w:r w:rsidRPr="00880FA4">
        <w:rPr>
          <w:rFonts w:cs="Arial"/>
          <w:sz w:val="20"/>
          <w:szCs w:val="20"/>
        </w:rPr>
        <w:t xml:space="preserve"> </w:t>
      </w:r>
      <w:r w:rsidR="00DF757A" w:rsidRPr="00880FA4">
        <w:rPr>
          <w:rFonts w:eastAsia="Times New Roman" w:cs="Times New Roman"/>
          <w:sz w:val="20"/>
          <w:szCs w:val="20"/>
        </w:rPr>
        <w:t xml:space="preserve">This information will be used by The NPS Information Collections Coordinator to </w:t>
      </w:r>
      <w:r w:rsidR="00DF757A" w:rsidRPr="00880FA4">
        <w:rPr>
          <w:rFonts w:cs="Helvetica"/>
          <w:sz w:val="20"/>
          <w:szCs w:val="20"/>
        </w:rPr>
        <w:t>ensure appropriate documentation of information collections conducted in areas managed by or that are sponsored by the National Park Service</w:t>
      </w:r>
      <w:r w:rsidR="00DF757A" w:rsidRPr="00880FA4">
        <w:rPr>
          <w:rFonts w:cs="Arial"/>
          <w:sz w:val="20"/>
          <w:szCs w:val="20"/>
        </w:rPr>
        <w:t xml:space="preserve">. </w:t>
      </w:r>
      <w:r w:rsidRPr="00880FA4">
        <w:rPr>
          <w:rFonts w:cs="Arial"/>
          <w:sz w:val="20"/>
          <w:szCs w:val="20"/>
        </w:rPr>
        <w:t xml:space="preserve"> </w:t>
      </w:r>
    </w:p>
    <w:p w14:paraId="67B382B7" w14:textId="77777777" w:rsidR="005F0CAA" w:rsidRPr="00880FA4" w:rsidRDefault="005F0CAA" w:rsidP="005F0CAA">
      <w:pPr>
        <w:pStyle w:val="Footer"/>
        <w:jc w:val="both"/>
        <w:rPr>
          <w:rFonts w:cs="Arial"/>
          <w:sz w:val="20"/>
          <w:szCs w:val="20"/>
        </w:rPr>
      </w:pPr>
    </w:p>
    <w:p w14:paraId="6CAAA2B6" w14:textId="77777777" w:rsidR="00DD4CE9" w:rsidRPr="00880FA4" w:rsidRDefault="005F0CAA" w:rsidP="005F0CAA">
      <w:pPr>
        <w:pStyle w:val="Footer"/>
        <w:jc w:val="both"/>
        <w:rPr>
          <w:rFonts w:cs="Arial"/>
          <w:sz w:val="20"/>
          <w:szCs w:val="20"/>
        </w:rPr>
      </w:pPr>
      <w:r w:rsidRPr="00880FA4">
        <w:rPr>
          <w:rFonts w:cs="Arial"/>
          <w:b/>
          <w:sz w:val="20"/>
          <w:szCs w:val="20"/>
        </w:rPr>
        <w:t>Effects of Nondisclosure:</w:t>
      </w:r>
      <w:r w:rsidRPr="00880FA4">
        <w:rPr>
          <w:rFonts w:cs="Arial"/>
          <w:sz w:val="20"/>
          <w:szCs w:val="20"/>
        </w:rPr>
        <w:t xml:space="preserve">  </w:t>
      </w:r>
      <w:r w:rsidR="00DF757A" w:rsidRPr="00880FA4">
        <w:rPr>
          <w:rFonts w:cs="Arial"/>
          <w:sz w:val="20"/>
          <w:szCs w:val="20"/>
        </w:rPr>
        <w:t>Providing information is mandatory to submit Information Collection Requests to Programmatic Review Process.</w:t>
      </w:r>
    </w:p>
    <w:p w14:paraId="69310019"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17DDB326" w14:textId="77777777" w:rsidR="005F0CAA" w:rsidRPr="00880FA4"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2E7A25"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880FA4">
        <w:rPr>
          <w:rFonts w:cs="Arial"/>
          <w:b/>
          <w:sz w:val="20"/>
          <w:szCs w:val="20"/>
        </w:rPr>
        <w:t>Paperwork Reduction Act Statement</w:t>
      </w:r>
    </w:p>
    <w:p w14:paraId="25109FE8"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9D33F2E"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880FA4">
        <w:rPr>
          <w:rFonts w:cs="Arial"/>
          <w:sz w:val="20"/>
          <w:szCs w:val="20"/>
        </w:rPr>
        <w:t xml:space="preserve">We are collecting this information subject to the Paperwork Reduction Act (44 U.S.C. 3501) and </w:t>
      </w:r>
      <w:r w:rsidR="00D60F86" w:rsidRPr="00880FA4">
        <w:rPr>
          <w:rFonts w:cs="Arial"/>
          <w:sz w:val="20"/>
          <w:szCs w:val="20"/>
        </w:rPr>
        <w:t>is authorized by the National Park Service Research mandate (</w:t>
      </w:r>
      <w:r w:rsidR="00D60F86" w:rsidRPr="00880FA4">
        <w:rPr>
          <w:rFonts w:cs="Arial"/>
          <w:sz w:val="20"/>
          <w:szCs w:val="20"/>
          <w:shd w:val="clear" w:color="auto" w:fill="FFFFFF"/>
        </w:rPr>
        <w:t>54 USC 100702)</w:t>
      </w:r>
      <w:r w:rsidR="00D60F86" w:rsidRPr="00880FA4">
        <w:rPr>
          <w:rFonts w:cs="Arial"/>
          <w:sz w:val="20"/>
          <w:szCs w:val="20"/>
        </w:rPr>
        <w:t>.</w:t>
      </w:r>
      <w:r w:rsidRPr="00880FA4">
        <w:rPr>
          <w:rFonts w:cs="Arial"/>
          <w:sz w:val="20"/>
          <w:szCs w:val="20"/>
        </w:rPr>
        <w:t xml:space="preserve"> </w:t>
      </w:r>
      <w:r w:rsidR="00212E14" w:rsidRPr="00880FA4">
        <w:rPr>
          <w:rFonts w:eastAsia="Times New Roman" w:cs="Times New Roman"/>
          <w:sz w:val="20"/>
          <w:szCs w:val="20"/>
        </w:rPr>
        <w:t xml:space="preserve">This information will be used by The NPS Information Collections Coordinator to </w:t>
      </w:r>
      <w:r w:rsidR="00D60F86" w:rsidRPr="00880FA4">
        <w:rPr>
          <w:rFonts w:cs="Helvetica"/>
          <w:sz w:val="20"/>
          <w:szCs w:val="20"/>
        </w:rPr>
        <w:t xml:space="preserve">ensure appropriate documentation of information collections conducted in areas managed by </w:t>
      </w:r>
      <w:r w:rsidR="00212E14" w:rsidRPr="00880FA4">
        <w:rPr>
          <w:rFonts w:cs="Helvetica"/>
          <w:sz w:val="20"/>
          <w:szCs w:val="20"/>
        </w:rPr>
        <w:t xml:space="preserve">or that are sponsored by </w:t>
      </w:r>
      <w:r w:rsidR="00D60F86" w:rsidRPr="00880FA4">
        <w:rPr>
          <w:rFonts w:cs="Helvetica"/>
          <w:sz w:val="20"/>
          <w:szCs w:val="20"/>
        </w:rPr>
        <w:t>the National Park Service</w:t>
      </w:r>
      <w:r w:rsidRPr="00880FA4">
        <w:rPr>
          <w:rFonts w:cs="Arial"/>
          <w:sz w:val="20"/>
          <w:szCs w:val="20"/>
        </w:rPr>
        <w:t xml:space="preserve">.  All parts of the form must be completed in order for your request to be considered.  We may not conduct or </w:t>
      </w:r>
      <w:r w:rsidR="00D60F86" w:rsidRPr="00880FA4">
        <w:rPr>
          <w:rFonts w:cs="Arial"/>
          <w:sz w:val="20"/>
          <w:szCs w:val="20"/>
        </w:rPr>
        <w:t>sponsor</w:t>
      </w:r>
      <w:r w:rsidRPr="00880FA4">
        <w:rPr>
          <w:rFonts w:cs="Arial"/>
          <w:sz w:val="20"/>
          <w:szCs w:val="20"/>
        </w:rPr>
        <w:t xml:space="preserve"> and you are not required to respond to</w:t>
      </w:r>
      <w:r w:rsidR="00F349BC" w:rsidRPr="00880FA4">
        <w:rPr>
          <w:rFonts w:cs="Arial"/>
          <w:sz w:val="20"/>
          <w:szCs w:val="20"/>
        </w:rPr>
        <w:t>,</w:t>
      </w:r>
      <w:r w:rsidRPr="00880FA4">
        <w:rPr>
          <w:rFonts w:cs="Arial"/>
          <w:sz w:val="20"/>
          <w:szCs w:val="20"/>
        </w:rPr>
        <w:t xml:space="preserve"> this or any other Federal agency-sponsored information collection unless it displays a currently valid OMB control number.  OMB has reviewed and approved </w:t>
      </w:r>
      <w:r w:rsidR="00D60F86" w:rsidRPr="00880FA4">
        <w:rPr>
          <w:rFonts w:cs="Arial"/>
          <w:sz w:val="20"/>
          <w:szCs w:val="20"/>
        </w:rPr>
        <w:t>The National Park Service Programmatic Review Process</w:t>
      </w:r>
      <w:r w:rsidRPr="00880FA4">
        <w:rPr>
          <w:rFonts w:cs="Arial"/>
          <w:sz w:val="20"/>
          <w:szCs w:val="20"/>
        </w:rPr>
        <w:t xml:space="preserve"> and assigned OMB Control Number </w:t>
      </w:r>
      <w:r w:rsidR="00D60F86" w:rsidRPr="00880FA4">
        <w:rPr>
          <w:rFonts w:cs="Arial"/>
          <w:sz w:val="20"/>
          <w:szCs w:val="20"/>
        </w:rPr>
        <w:t>1024-022</w:t>
      </w:r>
      <w:r w:rsidRPr="00880FA4">
        <w:rPr>
          <w:rFonts w:cs="Arial"/>
          <w:sz w:val="20"/>
          <w:szCs w:val="20"/>
        </w:rPr>
        <w:t xml:space="preserve">4.  </w:t>
      </w:r>
    </w:p>
    <w:p w14:paraId="082B8E86" w14:textId="77777777" w:rsidR="005F0CAA" w:rsidRPr="00880FA4"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A0750BF"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5B16D5A"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880FA4">
        <w:rPr>
          <w:rFonts w:cs="Arial"/>
          <w:b/>
          <w:sz w:val="20"/>
          <w:szCs w:val="20"/>
        </w:rPr>
        <w:t>Estimated Burden Statement</w:t>
      </w:r>
    </w:p>
    <w:p w14:paraId="12BCF7DB"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67D3E15"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880FA4">
        <w:rPr>
          <w:rFonts w:cs="Arial"/>
          <w:sz w:val="20"/>
          <w:szCs w:val="20"/>
        </w:rPr>
        <w:t xml:space="preserve">Public Reporting burden for this form is estimated to average </w:t>
      </w:r>
      <w:r w:rsidR="00970F2F" w:rsidRPr="00880FA4">
        <w:rPr>
          <w:rFonts w:cs="Arial"/>
          <w:sz w:val="20"/>
          <w:szCs w:val="20"/>
        </w:rPr>
        <w:t>60</w:t>
      </w:r>
      <w:r w:rsidRPr="00880FA4">
        <w:rPr>
          <w:rFonts w:cs="Arial"/>
          <w:sz w:val="20"/>
          <w:szCs w:val="20"/>
        </w:rPr>
        <w:t xml:space="preserve"> minutes per</w:t>
      </w:r>
      <w:r w:rsidR="00D60F86" w:rsidRPr="00880FA4">
        <w:rPr>
          <w:rFonts w:cs="Arial"/>
          <w:sz w:val="20"/>
          <w:szCs w:val="20"/>
        </w:rPr>
        <w:t xml:space="preserve"> collection</w:t>
      </w:r>
      <w:r w:rsidRPr="00880FA4">
        <w:rPr>
          <w:rFonts w:cs="Arial"/>
          <w:sz w:val="20"/>
          <w:szCs w:val="20"/>
        </w:rPr>
        <w:t xml:space="preserve">, including the time it takes for reviewing instructions, gathering </w:t>
      </w:r>
      <w:r w:rsidR="00D60F86" w:rsidRPr="00880FA4">
        <w:rPr>
          <w:rFonts w:cs="Arial"/>
          <w:sz w:val="20"/>
          <w:szCs w:val="20"/>
        </w:rPr>
        <w:t xml:space="preserve">information and </w:t>
      </w:r>
      <w:r w:rsidRPr="00880FA4">
        <w:rPr>
          <w:rFonts w:cs="Arial"/>
          <w:sz w:val="20"/>
          <w:szCs w:val="20"/>
        </w:rPr>
        <w:t xml:space="preserve">completing and reviewing the form.  </w:t>
      </w:r>
      <w:r w:rsidR="00D60F86" w:rsidRPr="00880FA4">
        <w:rPr>
          <w:rFonts w:cs="Arial"/>
          <w:sz w:val="20"/>
          <w:szCs w:val="20"/>
        </w:rPr>
        <w:t xml:space="preserve">This time does not include the editorial time required to finalize the submission. </w:t>
      </w:r>
      <w:r w:rsidRPr="00880FA4">
        <w:rPr>
          <w:rFonts w:cs="Arial"/>
          <w:sz w:val="20"/>
          <w:szCs w:val="20"/>
        </w:rPr>
        <w:t>Comments regarding this burden estimate or any aspect of this form should be sent to the Information Collection Clearance Coordinator, National Park Service, 1201 Oakridge Dr., Fort Collins, CO  80525.</w:t>
      </w:r>
    </w:p>
    <w:p w14:paraId="3DC3AE4E" w14:textId="77777777" w:rsidR="00DD4CE9" w:rsidRPr="00880FA4"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880FA4"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198F" w14:textId="77777777" w:rsidR="0072152F" w:rsidRDefault="0072152F" w:rsidP="005749F3">
      <w:pPr>
        <w:spacing w:after="0" w:line="240" w:lineRule="auto"/>
      </w:pPr>
      <w:r>
        <w:separator/>
      </w:r>
    </w:p>
  </w:endnote>
  <w:endnote w:type="continuationSeparator" w:id="0">
    <w:p w14:paraId="0B3D28EF" w14:textId="77777777" w:rsidR="0072152F" w:rsidRDefault="0072152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46A34049" w14:textId="77777777" w:rsidR="001D7AE1" w:rsidRPr="00AA2AA1" w:rsidRDefault="001D7AE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F24B7">
              <w:rPr>
                <w:rFonts w:ascii="Arial" w:hAnsi="Arial" w:cs="Arial"/>
                <w:b/>
                <w:bCs/>
                <w:noProof/>
                <w:sz w:val="16"/>
                <w:szCs w:val="16"/>
              </w:rPr>
              <w:t>10</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F24B7">
              <w:rPr>
                <w:rFonts w:ascii="Arial" w:hAnsi="Arial" w:cs="Arial"/>
                <w:b/>
                <w:bCs/>
                <w:noProof/>
                <w:sz w:val="16"/>
                <w:szCs w:val="16"/>
              </w:rPr>
              <w:t>10</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3F16F6C5" w14:textId="77777777" w:rsidR="001D7AE1" w:rsidRPr="00F60E00" w:rsidRDefault="001D7AE1"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2F24B7">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2F24B7">
              <w:rPr>
                <w:rFonts w:ascii="Arial" w:hAnsi="Arial" w:cs="Arial"/>
                <w:b/>
                <w:bCs/>
                <w:noProof/>
                <w:sz w:val="15"/>
                <w:szCs w:val="15"/>
              </w:rPr>
              <w:t>10</w:t>
            </w:r>
            <w:r w:rsidRPr="00F60E00">
              <w:rPr>
                <w:rFonts w:ascii="Arial" w:hAnsi="Arial" w:cs="Arial"/>
                <w:b/>
                <w:bCs/>
                <w:sz w:val="15"/>
                <w:szCs w:val="15"/>
              </w:rPr>
              <w:fldChar w:fldCharType="end"/>
            </w:r>
          </w:p>
        </w:sdtContent>
      </w:sdt>
    </w:sdtContent>
  </w:sdt>
  <w:p w14:paraId="6F05C8A4" w14:textId="77777777" w:rsidR="001D7AE1" w:rsidRPr="00DA5C9A" w:rsidRDefault="001D7AE1"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871FA" w14:textId="77777777" w:rsidR="0072152F" w:rsidRDefault="0072152F" w:rsidP="005749F3">
      <w:pPr>
        <w:spacing w:after="0" w:line="240" w:lineRule="auto"/>
      </w:pPr>
      <w:r>
        <w:separator/>
      </w:r>
    </w:p>
  </w:footnote>
  <w:footnote w:type="continuationSeparator" w:id="0">
    <w:p w14:paraId="1078189A" w14:textId="77777777" w:rsidR="0072152F" w:rsidRDefault="0072152F" w:rsidP="005749F3">
      <w:pPr>
        <w:spacing w:after="0" w:line="240" w:lineRule="auto"/>
      </w:pPr>
      <w:r>
        <w:continuationSeparator/>
      </w:r>
    </w:p>
  </w:footnote>
  <w:footnote w:id="1">
    <w:p w14:paraId="00D649F6" w14:textId="3FFBB209" w:rsidR="00D20070" w:rsidRDefault="00D20070">
      <w:pPr>
        <w:pStyle w:val="FootnoteText"/>
      </w:pPr>
      <w:r>
        <w:rPr>
          <w:rStyle w:val="FootnoteReference"/>
        </w:rPr>
        <w:footnoteRef/>
      </w:r>
      <w:r w:rsidRPr="007506F1">
        <w:rPr>
          <w:sz w:val="18"/>
        </w:rPr>
        <w:t xml:space="preserve"> The non-response check during the initial contact will be used to make an overall comparison between the respondents to the non-respondents.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768A2" w14:textId="77777777" w:rsidR="001D7AE1" w:rsidRDefault="001D7AE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2955F73A" w14:textId="77777777" w:rsidR="001D7AE1" w:rsidRPr="009E5218" w:rsidRDefault="001D7AE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61FA46F5" w14:textId="77777777" w:rsidR="001D7AE1" w:rsidRPr="00AA2AA1" w:rsidRDefault="001D7AE1"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3E816" w14:textId="77777777" w:rsidR="001D7AE1" w:rsidRDefault="001D7AE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05B727B" w14:textId="77777777" w:rsidR="001D7AE1" w:rsidRPr="009E5218" w:rsidRDefault="001D7AE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4F438E08" w14:textId="77777777" w:rsidR="001D7AE1" w:rsidRDefault="001D7AE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68B22D0B" wp14:editId="1676F9F5">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D5FE240" wp14:editId="12779E93">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6DACAF55" w14:textId="77777777" w:rsidR="001D7AE1" w:rsidRDefault="001D7AE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14CF43B9" w14:textId="77777777" w:rsidR="001D7AE1" w:rsidRDefault="001D7AE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6E65BCC9" w14:textId="77777777"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14:paraId="50086E25" w14:textId="77777777"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14:paraId="6E76567C" w14:textId="77777777"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14:paraId="4CE0B31B" w14:textId="77777777"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2A89"/>
    <w:multiLevelType w:val="hybridMultilevel"/>
    <w:tmpl w:val="E8188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F06F2"/>
    <w:multiLevelType w:val="hybridMultilevel"/>
    <w:tmpl w:val="7DC09BC2"/>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AD5"/>
    <w:multiLevelType w:val="hybridMultilevel"/>
    <w:tmpl w:val="C3BA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9014B"/>
    <w:multiLevelType w:val="hybridMultilevel"/>
    <w:tmpl w:val="AA900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4974B9"/>
    <w:multiLevelType w:val="hybridMultilevel"/>
    <w:tmpl w:val="D36431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15:restartNumberingAfterBreak="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14253"/>
    <w:multiLevelType w:val="hybridMultilevel"/>
    <w:tmpl w:val="4D8C5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6"/>
  </w:num>
  <w:num w:numId="4">
    <w:abstractNumId w:val="12"/>
  </w:num>
  <w:num w:numId="5">
    <w:abstractNumId w:val="3"/>
  </w:num>
  <w:num w:numId="6">
    <w:abstractNumId w:val="10"/>
  </w:num>
  <w:num w:numId="7">
    <w:abstractNumId w:val="0"/>
  </w:num>
  <w:num w:numId="8">
    <w:abstractNumId w:val="5"/>
  </w:num>
  <w:num w:numId="9">
    <w:abstractNumId w:val="11"/>
  </w:num>
  <w:num w:numId="10">
    <w:abstractNumId w:val="15"/>
  </w:num>
  <w:num w:numId="11">
    <w:abstractNumId w:val="4"/>
  </w:num>
  <w:num w:numId="12">
    <w:abstractNumId w:val="13"/>
  </w:num>
  <w:num w:numId="13">
    <w:abstractNumId w:val="3"/>
  </w:num>
  <w:num w:numId="14">
    <w:abstractNumId w:val="2"/>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3tDCzNLY0MbOwMDBW0lEKTi0uzszPAykwrQUAE1hckSwAAAA="/>
  </w:docVars>
  <w:rsids>
    <w:rsidRoot w:val="005719CA"/>
    <w:rsid w:val="00013FB2"/>
    <w:rsid w:val="00016546"/>
    <w:rsid w:val="000246E9"/>
    <w:rsid w:val="00033CF7"/>
    <w:rsid w:val="000524FA"/>
    <w:rsid w:val="00056F5D"/>
    <w:rsid w:val="000902A1"/>
    <w:rsid w:val="000A423B"/>
    <w:rsid w:val="000D13B3"/>
    <w:rsid w:val="000E5748"/>
    <w:rsid w:val="00147149"/>
    <w:rsid w:val="0019450C"/>
    <w:rsid w:val="001A69E5"/>
    <w:rsid w:val="001D7AE1"/>
    <w:rsid w:val="002021AB"/>
    <w:rsid w:val="00212E14"/>
    <w:rsid w:val="002375FD"/>
    <w:rsid w:val="002610CA"/>
    <w:rsid w:val="002A5058"/>
    <w:rsid w:val="002E6066"/>
    <w:rsid w:val="002F24B7"/>
    <w:rsid w:val="003159A0"/>
    <w:rsid w:val="00377727"/>
    <w:rsid w:val="00391556"/>
    <w:rsid w:val="003F7B6E"/>
    <w:rsid w:val="00437DA2"/>
    <w:rsid w:val="00464F90"/>
    <w:rsid w:val="0052661B"/>
    <w:rsid w:val="00566B3D"/>
    <w:rsid w:val="005676CE"/>
    <w:rsid w:val="005719CA"/>
    <w:rsid w:val="00573E0D"/>
    <w:rsid w:val="005749F3"/>
    <w:rsid w:val="005853F0"/>
    <w:rsid w:val="00596E03"/>
    <w:rsid w:val="005F0CAA"/>
    <w:rsid w:val="00603C08"/>
    <w:rsid w:val="0065616C"/>
    <w:rsid w:val="00677AC6"/>
    <w:rsid w:val="006A4579"/>
    <w:rsid w:val="006A7B97"/>
    <w:rsid w:val="006C4321"/>
    <w:rsid w:val="006E765F"/>
    <w:rsid w:val="0072152F"/>
    <w:rsid w:val="007506F1"/>
    <w:rsid w:val="007B0737"/>
    <w:rsid w:val="007D4C26"/>
    <w:rsid w:val="008525F2"/>
    <w:rsid w:val="0086250D"/>
    <w:rsid w:val="00880FA4"/>
    <w:rsid w:val="008A190A"/>
    <w:rsid w:val="008D72F0"/>
    <w:rsid w:val="00947B88"/>
    <w:rsid w:val="00970F2F"/>
    <w:rsid w:val="009959DF"/>
    <w:rsid w:val="009B5B54"/>
    <w:rsid w:val="009E5218"/>
    <w:rsid w:val="009F1EBC"/>
    <w:rsid w:val="00A235EB"/>
    <w:rsid w:val="00A46E01"/>
    <w:rsid w:val="00AA2286"/>
    <w:rsid w:val="00AA2AA1"/>
    <w:rsid w:val="00AA7B4E"/>
    <w:rsid w:val="00AD4A97"/>
    <w:rsid w:val="00AE2129"/>
    <w:rsid w:val="00AF6105"/>
    <w:rsid w:val="00AF7270"/>
    <w:rsid w:val="00B10738"/>
    <w:rsid w:val="00B80788"/>
    <w:rsid w:val="00BB4F22"/>
    <w:rsid w:val="00C129BE"/>
    <w:rsid w:val="00C24F4E"/>
    <w:rsid w:val="00C81E05"/>
    <w:rsid w:val="00CA56A1"/>
    <w:rsid w:val="00D160AF"/>
    <w:rsid w:val="00D20070"/>
    <w:rsid w:val="00D31F5F"/>
    <w:rsid w:val="00D60F86"/>
    <w:rsid w:val="00D71DA6"/>
    <w:rsid w:val="00D92392"/>
    <w:rsid w:val="00DA5C9A"/>
    <w:rsid w:val="00DA7624"/>
    <w:rsid w:val="00DD4CE9"/>
    <w:rsid w:val="00DE0F84"/>
    <w:rsid w:val="00DF757A"/>
    <w:rsid w:val="00E95952"/>
    <w:rsid w:val="00EA6B08"/>
    <w:rsid w:val="00EB0585"/>
    <w:rsid w:val="00F349BC"/>
    <w:rsid w:val="00F36C4C"/>
    <w:rsid w:val="00F5307C"/>
    <w:rsid w:val="00F531D3"/>
    <w:rsid w:val="00F60571"/>
    <w:rsid w:val="00F6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A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9DF"/>
    <w:pPr>
      <w:spacing w:after="0" w:line="240" w:lineRule="auto"/>
    </w:pPr>
  </w:style>
  <w:style w:type="paragraph" w:styleId="CommentSubject">
    <w:name w:val="annotation subject"/>
    <w:basedOn w:val="CommentText"/>
    <w:next w:val="CommentText"/>
    <w:link w:val="CommentSubjectChar"/>
    <w:uiPriority w:val="99"/>
    <w:semiHidden/>
    <w:unhideWhenUsed/>
    <w:rsid w:val="009959DF"/>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59D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20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070"/>
    <w:rPr>
      <w:sz w:val="20"/>
      <w:szCs w:val="20"/>
    </w:rPr>
  </w:style>
  <w:style w:type="character" w:styleId="FootnoteReference">
    <w:name w:val="footnote reference"/>
    <w:basedOn w:val="DefaultParagraphFont"/>
    <w:uiPriority w:val="99"/>
    <w:semiHidden/>
    <w:unhideWhenUsed/>
    <w:rsid w:val="00D20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2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whit@alaska.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ma.nps.gov/DataStore/Reference/Profi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yssa_landres@nps.gov" TargetMode="External"/><Relationship Id="rId4" Type="http://schemas.openxmlformats.org/officeDocument/2006/relationships/settings" Target="settings.xml"/><Relationship Id="rId9" Type="http://schemas.openxmlformats.org/officeDocument/2006/relationships/hyperlink" Target="mailto:bruce_rogers@nps.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3428-1646-450A-AB67-3195E57E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2017-06-16T20:17:00Z</dcterms:created>
  <dcterms:modified xsi:type="dcterms:W3CDTF">2017-06-16T20:17:00Z</dcterms:modified>
</cp:coreProperties>
</file>