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9652D" w14:textId="77777777" w:rsidR="00936597" w:rsidRDefault="00936597" w:rsidP="00760EDF">
      <w:pPr>
        <w:pStyle w:val="C2-CtrSglSp"/>
        <w:ind w:firstLine="720"/>
        <w:rPr>
          <w:rFonts w:ascii="Franklin Gothic Medium" w:hAnsi="Franklin Gothic Medium"/>
          <w:b/>
          <w:sz w:val="40"/>
          <w:szCs w:val="40"/>
        </w:rPr>
      </w:pPr>
      <w:bookmarkStart w:id="0" w:name="_GoBack"/>
      <w:bookmarkEnd w:id="0"/>
    </w:p>
    <w:p w14:paraId="2669652E" w14:textId="77777777" w:rsidR="004A2EFE" w:rsidRPr="00D96C07" w:rsidRDefault="00A23708" w:rsidP="00760EDF">
      <w:pPr>
        <w:pStyle w:val="C2-CtrSglSp"/>
        <w:ind w:firstLine="720"/>
        <w:rPr>
          <w:rFonts w:ascii="Franklin Gothic Medium" w:hAnsi="Franklin Gothic Medium"/>
          <w:b/>
          <w:i/>
          <w:sz w:val="40"/>
          <w:szCs w:val="40"/>
        </w:rPr>
      </w:pPr>
      <w:r w:rsidRPr="00D96C07">
        <w:rPr>
          <w:rFonts w:ascii="Franklin Gothic Medium" w:hAnsi="Franklin Gothic Medium"/>
          <w:b/>
          <w:sz w:val="40"/>
          <w:szCs w:val="40"/>
        </w:rPr>
        <w:t>Supporting Statement A</w:t>
      </w:r>
      <w:r w:rsidRPr="00D96C07">
        <w:rPr>
          <w:rFonts w:ascii="Franklin Gothic Medium" w:hAnsi="Franklin Gothic Medium"/>
          <w:b/>
          <w:sz w:val="40"/>
          <w:szCs w:val="40"/>
        </w:rPr>
        <w:br/>
        <w:t>for</w:t>
      </w:r>
      <w:r w:rsidRPr="00D96C07">
        <w:rPr>
          <w:rFonts w:ascii="Franklin Gothic Medium" w:hAnsi="Franklin Gothic Medium"/>
          <w:b/>
          <w:sz w:val="40"/>
          <w:szCs w:val="40"/>
        </w:rPr>
        <w:br/>
      </w:r>
      <w:r w:rsidR="004A2EFE" w:rsidRPr="00D96C07">
        <w:rPr>
          <w:rFonts w:ascii="Franklin Gothic Medium" w:hAnsi="Franklin Gothic Medium"/>
          <w:b/>
          <w:sz w:val="40"/>
          <w:szCs w:val="40"/>
        </w:rPr>
        <w:t xml:space="preserve">Request for Generic Clearance </w:t>
      </w:r>
      <w:r w:rsidR="008C6C18">
        <w:rPr>
          <w:rFonts w:ascii="Franklin Gothic Medium" w:hAnsi="Franklin Gothic Medium"/>
          <w:b/>
          <w:sz w:val="40"/>
          <w:szCs w:val="40"/>
        </w:rPr>
        <w:t>for</w:t>
      </w:r>
      <w:r w:rsidR="004A2EFE" w:rsidRPr="00D96C07">
        <w:rPr>
          <w:rFonts w:ascii="Franklin Gothic Medium" w:hAnsi="Franklin Gothic Medium"/>
          <w:b/>
          <w:sz w:val="40"/>
          <w:szCs w:val="40"/>
        </w:rPr>
        <w:br/>
        <w:t xml:space="preserve">Cognitive </w:t>
      </w:r>
      <w:r w:rsidR="000913E5" w:rsidRPr="00D96C07">
        <w:rPr>
          <w:rFonts w:ascii="Franklin Gothic Medium" w:hAnsi="Franklin Gothic Medium"/>
          <w:b/>
          <w:sz w:val="40"/>
          <w:szCs w:val="40"/>
        </w:rPr>
        <w:t>Interview</w:t>
      </w:r>
      <w:r w:rsidR="001B1DDA" w:rsidRPr="00D96C07">
        <w:rPr>
          <w:rFonts w:ascii="Franklin Gothic Medium" w:hAnsi="Franklin Gothic Medium"/>
          <w:b/>
          <w:sz w:val="40"/>
          <w:szCs w:val="40"/>
        </w:rPr>
        <w:t>s</w:t>
      </w:r>
      <w:r w:rsidR="004A2EFE" w:rsidRPr="00D96C07">
        <w:rPr>
          <w:rFonts w:ascii="Franklin Gothic Medium" w:hAnsi="Franklin Gothic Medium"/>
          <w:b/>
          <w:sz w:val="40"/>
          <w:szCs w:val="40"/>
        </w:rPr>
        <w:t xml:space="preserve"> </w:t>
      </w:r>
      <w:r w:rsidR="00B61DF9" w:rsidRPr="00D96C07">
        <w:rPr>
          <w:rFonts w:ascii="Franklin Gothic Medium" w:hAnsi="Franklin Gothic Medium"/>
          <w:b/>
          <w:sz w:val="40"/>
          <w:szCs w:val="40"/>
        </w:rPr>
        <w:t xml:space="preserve">and Focus Groups </w:t>
      </w:r>
      <w:r w:rsidR="004A2EFE" w:rsidRPr="00D96C07">
        <w:rPr>
          <w:rFonts w:ascii="Franklin Gothic Medium" w:hAnsi="Franklin Gothic Medium"/>
          <w:b/>
          <w:sz w:val="40"/>
          <w:szCs w:val="40"/>
        </w:rPr>
        <w:t xml:space="preserve">for the Population Assessment of </w:t>
      </w:r>
      <w:r w:rsidR="0096129D" w:rsidRPr="00D96C07">
        <w:rPr>
          <w:rFonts w:ascii="Franklin Gothic Medium" w:hAnsi="Franklin Gothic Medium"/>
          <w:b/>
          <w:sz w:val="40"/>
          <w:szCs w:val="40"/>
        </w:rPr>
        <w:t xml:space="preserve">Tobacco and Health (PATH) Study </w:t>
      </w:r>
      <w:r w:rsidR="00F20415" w:rsidRPr="00D96C07">
        <w:rPr>
          <w:rFonts w:ascii="Franklin Gothic Medium" w:hAnsi="Franklin Gothic Medium"/>
          <w:b/>
          <w:sz w:val="40"/>
          <w:szCs w:val="40"/>
        </w:rPr>
        <w:t>(NIDA)</w:t>
      </w:r>
    </w:p>
    <w:p w14:paraId="2669652F" w14:textId="77777777" w:rsidR="00A23708" w:rsidRPr="00D96C07" w:rsidRDefault="00A23708" w:rsidP="00A23708">
      <w:pPr>
        <w:pStyle w:val="C2-CtrSglSp"/>
        <w:rPr>
          <w:rFonts w:ascii="Franklin Gothic Medium" w:hAnsi="Franklin Gothic Medium"/>
          <w:b/>
          <w:sz w:val="40"/>
          <w:szCs w:val="40"/>
        </w:rPr>
      </w:pPr>
    </w:p>
    <w:p w14:paraId="26696530" w14:textId="77777777" w:rsidR="00A23708" w:rsidRPr="00D96C07" w:rsidRDefault="00A23708" w:rsidP="00A23708">
      <w:pPr>
        <w:pStyle w:val="C2-CtrSglSp"/>
        <w:rPr>
          <w:rFonts w:ascii="Franklin Gothic Medium" w:hAnsi="Franklin Gothic Medium"/>
          <w:b/>
          <w:sz w:val="40"/>
          <w:szCs w:val="40"/>
        </w:rPr>
      </w:pPr>
    </w:p>
    <w:p w14:paraId="26696531" w14:textId="77777777" w:rsidR="00A23708" w:rsidRPr="00D96C07" w:rsidRDefault="00A23708" w:rsidP="00A23708">
      <w:pPr>
        <w:pStyle w:val="C2-CtrSglSp"/>
        <w:rPr>
          <w:rFonts w:ascii="Franklin Gothic Medium" w:hAnsi="Franklin Gothic Medium"/>
          <w:b/>
          <w:sz w:val="40"/>
          <w:szCs w:val="40"/>
        </w:rPr>
      </w:pPr>
    </w:p>
    <w:p w14:paraId="26696532" w14:textId="77777777" w:rsidR="00A23708" w:rsidRPr="00D96C07" w:rsidRDefault="00A23708" w:rsidP="00A23708">
      <w:pPr>
        <w:pStyle w:val="C2-CtrSglSp"/>
        <w:rPr>
          <w:rFonts w:ascii="Franklin Gothic Medium" w:hAnsi="Franklin Gothic Medium"/>
          <w:b/>
          <w:sz w:val="40"/>
          <w:szCs w:val="40"/>
        </w:rPr>
      </w:pPr>
    </w:p>
    <w:p w14:paraId="26696533" w14:textId="77777777" w:rsidR="00A23708" w:rsidRPr="00D96C07" w:rsidRDefault="00A23708" w:rsidP="00A23708">
      <w:pPr>
        <w:pStyle w:val="C2-CtrSglSp"/>
        <w:rPr>
          <w:rFonts w:ascii="Franklin Gothic Medium" w:hAnsi="Franklin Gothic Medium"/>
          <w:b/>
          <w:sz w:val="40"/>
          <w:szCs w:val="40"/>
        </w:rPr>
      </w:pPr>
    </w:p>
    <w:p w14:paraId="26696534" w14:textId="77777777" w:rsidR="00A23708" w:rsidRPr="00D96C07" w:rsidRDefault="00A23708" w:rsidP="00A23708">
      <w:pPr>
        <w:pStyle w:val="C2-CtrSglSp"/>
        <w:rPr>
          <w:rFonts w:ascii="Franklin Gothic Medium" w:hAnsi="Franklin Gothic Medium"/>
          <w:b/>
          <w:sz w:val="40"/>
          <w:szCs w:val="40"/>
        </w:rPr>
      </w:pPr>
    </w:p>
    <w:p w14:paraId="26696535" w14:textId="1CF7E446" w:rsidR="00A23708" w:rsidRPr="00342EA3" w:rsidRDefault="00B62118" w:rsidP="00A23708">
      <w:pPr>
        <w:pStyle w:val="Heading1"/>
        <w:jc w:val="center"/>
        <w:rPr>
          <w:color w:val="auto"/>
        </w:rPr>
      </w:pPr>
      <w:r>
        <w:rPr>
          <w:color w:val="auto"/>
        </w:rPr>
        <w:t>October 7</w:t>
      </w:r>
      <w:r w:rsidR="00AC467C" w:rsidRPr="00342EA3">
        <w:rPr>
          <w:color w:val="auto"/>
        </w:rPr>
        <w:t>,</w:t>
      </w:r>
      <w:r w:rsidR="008F7090" w:rsidRPr="00342EA3">
        <w:rPr>
          <w:color w:val="auto"/>
        </w:rPr>
        <w:t xml:space="preserve"> </w:t>
      </w:r>
      <w:r w:rsidR="00AC467C" w:rsidRPr="00342EA3">
        <w:rPr>
          <w:color w:val="auto"/>
        </w:rPr>
        <w:t>2015</w:t>
      </w:r>
    </w:p>
    <w:p w14:paraId="26696536" w14:textId="77777777" w:rsidR="00A23708" w:rsidRPr="00D96C07" w:rsidRDefault="00A23708" w:rsidP="00A23708">
      <w:pPr>
        <w:pStyle w:val="L1-FlLSp12"/>
      </w:pPr>
    </w:p>
    <w:p w14:paraId="26696537" w14:textId="77777777" w:rsidR="00A23708" w:rsidRPr="00D96C07" w:rsidRDefault="00A23708" w:rsidP="00A23708">
      <w:pPr>
        <w:pStyle w:val="L1-FlLSp12"/>
      </w:pPr>
    </w:p>
    <w:p w14:paraId="26696538" w14:textId="77777777" w:rsidR="005C3617" w:rsidRDefault="005C3617" w:rsidP="00A23708">
      <w:pPr>
        <w:pStyle w:val="L1-FlLSp12"/>
      </w:pPr>
    </w:p>
    <w:p w14:paraId="26696539" w14:textId="77777777" w:rsidR="005C3617" w:rsidRPr="00D96C07" w:rsidRDefault="005C3617" w:rsidP="00A23708">
      <w:pPr>
        <w:pStyle w:val="L1-FlLSp12"/>
      </w:pPr>
    </w:p>
    <w:p w14:paraId="2669653A" w14:textId="77777777" w:rsidR="005C3617" w:rsidRPr="00D96C07" w:rsidRDefault="005C3617" w:rsidP="00A23708">
      <w:pPr>
        <w:pStyle w:val="L1-FlLSp12"/>
      </w:pPr>
    </w:p>
    <w:p w14:paraId="2669653B" w14:textId="77777777" w:rsidR="005C3617" w:rsidRPr="00D96C07" w:rsidRDefault="005C3617" w:rsidP="00A23708">
      <w:pPr>
        <w:pStyle w:val="L1-FlLSp12"/>
      </w:pPr>
    </w:p>
    <w:p w14:paraId="2669653C" w14:textId="77777777" w:rsidR="00A23708" w:rsidRPr="00D96C07" w:rsidRDefault="00A23708" w:rsidP="00A23708">
      <w:pPr>
        <w:pStyle w:val="L1-FlLSp12"/>
      </w:pPr>
    </w:p>
    <w:p w14:paraId="2669653D" w14:textId="77777777" w:rsidR="00731BA1" w:rsidRPr="00D96C07" w:rsidRDefault="00731BA1" w:rsidP="00731BA1">
      <w:pPr>
        <w:pStyle w:val="SL-FlLftSgl"/>
        <w:rPr>
          <w:rFonts w:ascii="Franklin Gothic Medium" w:hAnsi="Franklin Gothic Medium"/>
        </w:rPr>
      </w:pPr>
      <w:r w:rsidRPr="00D96C07">
        <w:rPr>
          <w:rFonts w:ascii="Franklin Gothic Medium" w:hAnsi="Franklin Gothic Medium"/>
        </w:rPr>
        <w:t>Kevin P. Conway, Ph.D.</w:t>
      </w:r>
    </w:p>
    <w:p w14:paraId="2669653E" w14:textId="77777777" w:rsidR="00731BA1" w:rsidRPr="00D96C07" w:rsidRDefault="00731BA1" w:rsidP="00731BA1">
      <w:pPr>
        <w:pStyle w:val="SL-FlLftSgl"/>
        <w:rPr>
          <w:rFonts w:ascii="Franklin Gothic Medium" w:hAnsi="Franklin Gothic Medium"/>
        </w:rPr>
      </w:pPr>
      <w:r w:rsidRPr="00D96C07">
        <w:rPr>
          <w:rFonts w:ascii="Franklin Gothic Medium" w:hAnsi="Franklin Gothic Medium"/>
        </w:rPr>
        <w:t>Deputy Director</w:t>
      </w:r>
    </w:p>
    <w:p w14:paraId="2669653F" w14:textId="77777777" w:rsidR="00731BA1" w:rsidRPr="00D96C07" w:rsidRDefault="00731BA1" w:rsidP="00731BA1">
      <w:pPr>
        <w:pStyle w:val="SL-FlLftSgl"/>
        <w:rPr>
          <w:rFonts w:ascii="Franklin Gothic Medium" w:hAnsi="Franklin Gothic Medium"/>
        </w:rPr>
      </w:pPr>
      <w:r w:rsidRPr="00D96C07">
        <w:rPr>
          <w:rFonts w:ascii="Franklin Gothic Medium" w:hAnsi="Franklin Gothic Medium"/>
        </w:rPr>
        <w:t>Division of Epidemiology, Services, and Prevention Research</w:t>
      </w:r>
    </w:p>
    <w:p w14:paraId="26696540" w14:textId="77777777" w:rsidR="00731BA1" w:rsidRPr="00D96C07" w:rsidRDefault="00731BA1" w:rsidP="00731BA1">
      <w:pPr>
        <w:pStyle w:val="SL-FlLftSgl"/>
        <w:rPr>
          <w:rFonts w:ascii="Franklin Gothic Medium" w:hAnsi="Franklin Gothic Medium"/>
        </w:rPr>
      </w:pPr>
      <w:r w:rsidRPr="00D96C07">
        <w:rPr>
          <w:rFonts w:ascii="Franklin Gothic Medium" w:hAnsi="Franklin Gothic Medium"/>
        </w:rPr>
        <w:t>National Institute on Drug Abuse</w:t>
      </w:r>
    </w:p>
    <w:p w14:paraId="26696541" w14:textId="77777777" w:rsidR="00731BA1" w:rsidRPr="00D96C07" w:rsidRDefault="00731BA1" w:rsidP="00731BA1">
      <w:pPr>
        <w:pStyle w:val="SL-FlLftSgl"/>
        <w:rPr>
          <w:rFonts w:ascii="Franklin Gothic Medium" w:hAnsi="Franklin Gothic Medium"/>
        </w:rPr>
      </w:pPr>
      <w:r w:rsidRPr="00D96C07">
        <w:rPr>
          <w:rFonts w:ascii="Franklin Gothic Medium" w:hAnsi="Franklin Gothic Medium"/>
        </w:rPr>
        <w:t>6001 Executive Blvd., Room 5185</w:t>
      </w:r>
    </w:p>
    <w:p w14:paraId="26696542" w14:textId="77777777" w:rsidR="00731BA1" w:rsidRPr="00D96C07" w:rsidRDefault="00731BA1" w:rsidP="00731BA1">
      <w:pPr>
        <w:pStyle w:val="SL-FlLftSgl"/>
        <w:rPr>
          <w:rFonts w:ascii="Franklin Gothic Medium" w:hAnsi="Franklin Gothic Medium"/>
        </w:rPr>
      </w:pPr>
      <w:r w:rsidRPr="00D96C07">
        <w:rPr>
          <w:rFonts w:ascii="Franklin Gothic Medium" w:hAnsi="Franklin Gothic Medium"/>
        </w:rPr>
        <w:t>Rockville, MD 20852</w:t>
      </w:r>
    </w:p>
    <w:p w14:paraId="26696543" w14:textId="77777777" w:rsidR="00731BA1" w:rsidRPr="00D96C07" w:rsidRDefault="00731BA1" w:rsidP="00731BA1">
      <w:pPr>
        <w:pStyle w:val="SL-FlLftSgl"/>
        <w:rPr>
          <w:rFonts w:ascii="Franklin Gothic Medium" w:hAnsi="Franklin Gothic Medium"/>
        </w:rPr>
      </w:pPr>
      <w:r w:rsidRPr="00D96C07">
        <w:rPr>
          <w:rFonts w:ascii="Franklin Gothic Medium" w:hAnsi="Franklin Gothic Medium"/>
        </w:rPr>
        <w:t>Phone: 301-443-8755</w:t>
      </w:r>
    </w:p>
    <w:p w14:paraId="26696544" w14:textId="77777777" w:rsidR="00731BA1" w:rsidRPr="00D96C07" w:rsidRDefault="00731BA1" w:rsidP="00731BA1">
      <w:pPr>
        <w:pStyle w:val="SL-FlLftSgl"/>
        <w:rPr>
          <w:rFonts w:ascii="Franklin Gothic Medium" w:hAnsi="Franklin Gothic Medium"/>
        </w:rPr>
      </w:pPr>
      <w:r w:rsidRPr="00D96C07">
        <w:rPr>
          <w:rFonts w:ascii="Franklin Gothic Medium" w:hAnsi="Franklin Gothic Medium"/>
        </w:rPr>
        <w:t xml:space="preserve">Email: </w:t>
      </w:r>
      <w:hyperlink r:id="rId9" w:history="1">
        <w:r w:rsidRPr="00D96C07">
          <w:rPr>
            <w:rFonts w:ascii="Franklin Gothic Medium" w:hAnsi="Franklin Gothic Medium"/>
          </w:rPr>
          <w:t>PATHprojectofficer@mail.nih.gov</w:t>
        </w:r>
      </w:hyperlink>
    </w:p>
    <w:p w14:paraId="26696545" w14:textId="77777777" w:rsidR="00731BA1" w:rsidRPr="00D96C07" w:rsidRDefault="00731BA1" w:rsidP="00731BA1">
      <w:pPr>
        <w:pStyle w:val="SL-FlLftSgl"/>
      </w:pPr>
    </w:p>
    <w:p w14:paraId="26696546" w14:textId="77777777" w:rsidR="00A23708" w:rsidRPr="00D96C07" w:rsidRDefault="00A23708" w:rsidP="00A23708">
      <w:pPr>
        <w:pStyle w:val="SL-FlLftSgl"/>
      </w:pPr>
    </w:p>
    <w:p w14:paraId="26696547" w14:textId="77777777" w:rsidR="002F7ABC" w:rsidRPr="00D96C07" w:rsidRDefault="006657C8" w:rsidP="00A23708">
      <w:pPr>
        <w:pStyle w:val="TC-TableofContentsHeading"/>
      </w:pPr>
      <w:r w:rsidRPr="00D96C07">
        <w:lastRenderedPageBreak/>
        <w:t>Table of Contents</w:t>
      </w:r>
    </w:p>
    <w:p w14:paraId="26696548" w14:textId="77777777" w:rsidR="006657C8" w:rsidRPr="00D96C07" w:rsidRDefault="00A23708" w:rsidP="00A23708">
      <w:pPr>
        <w:pStyle w:val="T0-ChapPgHd"/>
      </w:pPr>
      <w:r w:rsidRPr="00D96C07">
        <w:t>Section</w:t>
      </w:r>
      <w:r w:rsidRPr="00D96C07">
        <w:tab/>
        <w:t>Page</w:t>
      </w:r>
    </w:p>
    <w:p w14:paraId="26696549" w14:textId="77777777" w:rsidR="00A23708" w:rsidRPr="00D96C07" w:rsidRDefault="00A23708" w:rsidP="00A23708">
      <w:pPr>
        <w:pStyle w:val="T0-ChapPgHd"/>
      </w:pPr>
    </w:p>
    <w:p w14:paraId="2669654A" w14:textId="77777777" w:rsidR="00070C51" w:rsidRPr="00D96C07" w:rsidRDefault="00070C51" w:rsidP="00070C51">
      <w:pPr>
        <w:pStyle w:val="TOC1"/>
        <w:rPr>
          <w:rFonts w:eastAsiaTheme="minorEastAsia"/>
        </w:rPr>
      </w:pPr>
      <w:r w:rsidRPr="00D96C07">
        <w:t>A.</w:t>
      </w:r>
      <w:r w:rsidRPr="00D96C07">
        <w:rPr>
          <w:rFonts w:eastAsiaTheme="minorEastAsia"/>
        </w:rPr>
        <w:tab/>
      </w:r>
      <w:r w:rsidRPr="00D96C07">
        <w:t>Justification</w:t>
      </w:r>
      <w:r w:rsidRPr="00D96C07">
        <w:tab/>
      </w:r>
      <w:r w:rsidRPr="00D96C07">
        <w:tab/>
        <w:t>1</w:t>
      </w:r>
    </w:p>
    <w:p w14:paraId="2669654B" w14:textId="77777777" w:rsidR="00070C51" w:rsidRPr="00D96C07" w:rsidRDefault="00070C51" w:rsidP="00070C51">
      <w:pPr>
        <w:pStyle w:val="TOC2"/>
      </w:pPr>
    </w:p>
    <w:p w14:paraId="2669654C" w14:textId="77777777" w:rsidR="00070C51" w:rsidRPr="00D96C07" w:rsidRDefault="00070C51" w:rsidP="00070C51">
      <w:pPr>
        <w:pStyle w:val="TOC2"/>
        <w:rPr>
          <w:rFonts w:eastAsiaTheme="minorEastAsia"/>
        </w:rPr>
      </w:pPr>
      <w:r w:rsidRPr="00D96C07">
        <w:t>A.1</w:t>
      </w:r>
      <w:r w:rsidRPr="00D96C07">
        <w:rPr>
          <w:rFonts w:eastAsiaTheme="minorEastAsia"/>
        </w:rPr>
        <w:tab/>
      </w:r>
      <w:r w:rsidRPr="00D96C07">
        <w:t>Circumstances Making the Collection of Information Necessary</w:t>
      </w:r>
      <w:r w:rsidRPr="00D96C07">
        <w:tab/>
      </w:r>
      <w:r w:rsidRPr="00D96C07">
        <w:tab/>
        <w:t>1</w:t>
      </w:r>
    </w:p>
    <w:p w14:paraId="2669654D" w14:textId="77777777" w:rsidR="00070C51" w:rsidRPr="00D96C07" w:rsidRDefault="00070C51" w:rsidP="00070C51">
      <w:pPr>
        <w:pStyle w:val="TOC2"/>
        <w:rPr>
          <w:rFonts w:eastAsiaTheme="minorEastAsia"/>
        </w:rPr>
      </w:pPr>
      <w:r w:rsidRPr="00D96C07">
        <w:t>A.2</w:t>
      </w:r>
      <w:r w:rsidRPr="00D96C07">
        <w:rPr>
          <w:rFonts w:eastAsiaTheme="minorEastAsia"/>
        </w:rPr>
        <w:tab/>
      </w:r>
      <w:r w:rsidRPr="00D96C07">
        <w:t>Purpose and Use of the Information Collection</w:t>
      </w:r>
      <w:r w:rsidRPr="00D96C07">
        <w:tab/>
      </w:r>
      <w:r w:rsidRPr="00D96C07">
        <w:tab/>
      </w:r>
      <w:r w:rsidR="007A6D41" w:rsidRPr="00D96C07">
        <w:t>2</w:t>
      </w:r>
    </w:p>
    <w:p w14:paraId="2669654E" w14:textId="77777777" w:rsidR="00070C51" w:rsidRPr="00D96C07" w:rsidRDefault="00070C51" w:rsidP="00070C51">
      <w:pPr>
        <w:pStyle w:val="TOC2"/>
        <w:rPr>
          <w:rFonts w:eastAsiaTheme="minorEastAsia"/>
        </w:rPr>
      </w:pPr>
      <w:r w:rsidRPr="00D96C07">
        <w:t>A.3</w:t>
      </w:r>
      <w:r w:rsidRPr="00D96C07">
        <w:rPr>
          <w:rFonts w:eastAsiaTheme="minorEastAsia"/>
        </w:rPr>
        <w:tab/>
      </w:r>
      <w:r w:rsidRPr="00D96C07">
        <w:t>Use of Information Technology and Burden Reduction</w:t>
      </w:r>
      <w:r w:rsidRPr="00D96C07">
        <w:tab/>
      </w:r>
      <w:r w:rsidRPr="00D96C07">
        <w:tab/>
      </w:r>
      <w:r w:rsidR="00852C3F" w:rsidRPr="00D96C07">
        <w:t>2</w:t>
      </w:r>
    </w:p>
    <w:p w14:paraId="2669654F" w14:textId="77777777" w:rsidR="00070C51" w:rsidRPr="00D96C07" w:rsidRDefault="00070C51" w:rsidP="00070C51">
      <w:pPr>
        <w:pStyle w:val="TOC2"/>
        <w:rPr>
          <w:rFonts w:eastAsiaTheme="minorEastAsia"/>
        </w:rPr>
      </w:pPr>
      <w:r w:rsidRPr="00D96C07">
        <w:t>A.4</w:t>
      </w:r>
      <w:r w:rsidRPr="00D96C07">
        <w:rPr>
          <w:rFonts w:eastAsiaTheme="minorEastAsia"/>
        </w:rPr>
        <w:tab/>
      </w:r>
      <w:r w:rsidRPr="00D96C07">
        <w:t>Efforts to Identify Duplication and Use of Similar Information</w:t>
      </w:r>
      <w:r w:rsidRPr="00D96C07">
        <w:tab/>
      </w:r>
      <w:r w:rsidRPr="00D96C07">
        <w:tab/>
      </w:r>
      <w:r w:rsidR="00852C3F" w:rsidRPr="00D96C07">
        <w:t>3</w:t>
      </w:r>
    </w:p>
    <w:p w14:paraId="26696550" w14:textId="77777777" w:rsidR="00070C51" w:rsidRPr="00D96C07" w:rsidRDefault="00070C51" w:rsidP="00070C51">
      <w:pPr>
        <w:pStyle w:val="TOC2"/>
        <w:rPr>
          <w:rFonts w:eastAsiaTheme="minorEastAsia"/>
        </w:rPr>
      </w:pPr>
      <w:r w:rsidRPr="00D96C07">
        <w:t>A.5</w:t>
      </w:r>
      <w:r w:rsidRPr="00D96C07">
        <w:rPr>
          <w:rFonts w:eastAsiaTheme="minorEastAsia"/>
        </w:rPr>
        <w:tab/>
      </w:r>
      <w:r w:rsidRPr="00D96C07">
        <w:t>Impact on Small Businesses or Other Small Entities</w:t>
      </w:r>
      <w:r w:rsidRPr="00D96C07">
        <w:tab/>
      </w:r>
      <w:r w:rsidRPr="00D96C07">
        <w:tab/>
      </w:r>
      <w:r w:rsidR="007A6D41" w:rsidRPr="00D96C07">
        <w:t>4</w:t>
      </w:r>
    </w:p>
    <w:p w14:paraId="26696551" w14:textId="77777777" w:rsidR="00070C51" w:rsidRPr="00D96C07" w:rsidRDefault="00070C51" w:rsidP="00070C51">
      <w:pPr>
        <w:pStyle w:val="TOC2"/>
        <w:rPr>
          <w:rFonts w:eastAsiaTheme="minorEastAsia"/>
        </w:rPr>
      </w:pPr>
      <w:r w:rsidRPr="00D96C07">
        <w:t>A.6</w:t>
      </w:r>
      <w:r w:rsidRPr="00D96C07">
        <w:rPr>
          <w:rFonts w:eastAsiaTheme="minorEastAsia"/>
        </w:rPr>
        <w:tab/>
      </w:r>
      <w:r w:rsidRPr="00D96C07">
        <w:t>Consequences of Collecting the Information Less Frequently</w:t>
      </w:r>
      <w:r w:rsidRPr="00D96C07">
        <w:tab/>
      </w:r>
      <w:r w:rsidRPr="00D96C07">
        <w:tab/>
      </w:r>
      <w:r w:rsidR="007A6D41" w:rsidRPr="00D96C07">
        <w:t>4</w:t>
      </w:r>
    </w:p>
    <w:p w14:paraId="26696552" w14:textId="77777777" w:rsidR="00070C51" w:rsidRPr="00D96C07" w:rsidRDefault="00070C51" w:rsidP="00070C51">
      <w:pPr>
        <w:pStyle w:val="TOC2"/>
        <w:rPr>
          <w:rFonts w:eastAsiaTheme="minorEastAsia"/>
        </w:rPr>
      </w:pPr>
      <w:r w:rsidRPr="00D96C07">
        <w:t>A.7</w:t>
      </w:r>
      <w:r w:rsidRPr="00D96C07">
        <w:rPr>
          <w:rFonts w:eastAsiaTheme="minorEastAsia"/>
        </w:rPr>
        <w:tab/>
      </w:r>
      <w:r w:rsidRPr="00D96C07">
        <w:t>Special Circumstances Relating to the Guidelines of 5 CFR 1320.5</w:t>
      </w:r>
      <w:r w:rsidRPr="00D96C07">
        <w:tab/>
      </w:r>
      <w:r w:rsidRPr="00D96C07">
        <w:tab/>
      </w:r>
      <w:r w:rsidR="007A6D41" w:rsidRPr="00D96C07">
        <w:t>5</w:t>
      </w:r>
    </w:p>
    <w:p w14:paraId="26696553" w14:textId="77777777" w:rsidR="00070C51" w:rsidRPr="00D96C07" w:rsidRDefault="00070C51" w:rsidP="00070C51">
      <w:pPr>
        <w:pStyle w:val="TOC2"/>
        <w:rPr>
          <w:rFonts w:eastAsiaTheme="minorEastAsia"/>
        </w:rPr>
      </w:pPr>
      <w:r w:rsidRPr="00D96C07">
        <w:t>A.8</w:t>
      </w:r>
      <w:r w:rsidRPr="00D96C07">
        <w:rPr>
          <w:rFonts w:eastAsiaTheme="minorEastAsia"/>
        </w:rPr>
        <w:tab/>
      </w:r>
      <w:r w:rsidRPr="00D96C07">
        <w:t>Comments in Response to the Federal Register Notice and Efforts to Consult Outside Agency</w:t>
      </w:r>
      <w:r w:rsidRPr="00D96C07">
        <w:tab/>
      </w:r>
      <w:r w:rsidRPr="00D96C07">
        <w:tab/>
      </w:r>
      <w:r w:rsidR="007A6D41" w:rsidRPr="00D96C07">
        <w:t>5</w:t>
      </w:r>
    </w:p>
    <w:p w14:paraId="26696554" w14:textId="77777777" w:rsidR="00070C51" w:rsidRPr="00D96C07" w:rsidRDefault="00070C51" w:rsidP="00070C51">
      <w:pPr>
        <w:pStyle w:val="TOC2"/>
        <w:rPr>
          <w:rFonts w:eastAsiaTheme="minorEastAsia"/>
        </w:rPr>
      </w:pPr>
      <w:r w:rsidRPr="00D96C07">
        <w:t>A.9</w:t>
      </w:r>
      <w:r w:rsidRPr="00D96C07">
        <w:rPr>
          <w:rFonts w:eastAsiaTheme="minorEastAsia"/>
        </w:rPr>
        <w:tab/>
      </w:r>
      <w:r w:rsidRPr="00D96C07">
        <w:t>Explanation of Any Payment or Gift to Respondents</w:t>
      </w:r>
      <w:r w:rsidRPr="00D96C07">
        <w:tab/>
      </w:r>
      <w:r w:rsidRPr="00D96C07">
        <w:tab/>
      </w:r>
      <w:r w:rsidR="007A6D41" w:rsidRPr="00D96C07">
        <w:t>5</w:t>
      </w:r>
    </w:p>
    <w:p w14:paraId="26696555" w14:textId="538BCD57" w:rsidR="00070C51" w:rsidRPr="00D96C07" w:rsidRDefault="00070C51" w:rsidP="00070C51">
      <w:pPr>
        <w:pStyle w:val="TOC2"/>
        <w:rPr>
          <w:rFonts w:eastAsiaTheme="minorEastAsia"/>
        </w:rPr>
      </w:pPr>
      <w:r w:rsidRPr="00D96C07">
        <w:t>A.10</w:t>
      </w:r>
      <w:r w:rsidRPr="00D96C07">
        <w:rPr>
          <w:rFonts w:eastAsiaTheme="minorEastAsia"/>
        </w:rPr>
        <w:tab/>
      </w:r>
      <w:r w:rsidRPr="00D96C07">
        <w:t>Assurances of Confidentiality Provided to Respondents</w:t>
      </w:r>
      <w:r w:rsidRPr="00D96C07">
        <w:tab/>
      </w:r>
      <w:r w:rsidRPr="00D96C07">
        <w:tab/>
      </w:r>
      <w:r w:rsidR="00286CC2">
        <w:t>6</w:t>
      </w:r>
    </w:p>
    <w:p w14:paraId="26696556" w14:textId="77777777" w:rsidR="00070C51" w:rsidRPr="00D96C07" w:rsidRDefault="00070C51" w:rsidP="00070C51">
      <w:pPr>
        <w:pStyle w:val="TOC2"/>
        <w:rPr>
          <w:rFonts w:eastAsiaTheme="minorEastAsia"/>
        </w:rPr>
      </w:pPr>
      <w:r w:rsidRPr="00D96C07">
        <w:t>A.11</w:t>
      </w:r>
      <w:r w:rsidRPr="00D96C07">
        <w:rPr>
          <w:rFonts w:eastAsiaTheme="minorEastAsia"/>
        </w:rPr>
        <w:tab/>
      </w:r>
      <w:r w:rsidRPr="00D96C07">
        <w:t>Justification for Sensitive Questions</w:t>
      </w:r>
      <w:r w:rsidRPr="00D96C07">
        <w:tab/>
      </w:r>
      <w:r w:rsidRPr="00D96C07">
        <w:tab/>
      </w:r>
      <w:r w:rsidR="00852C3F" w:rsidRPr="00D96C07">
        <w:t>7</w:t>
      </w:r>
    </w:p>
    <w:p w14:paraId="26696557" w14:textId="77777777" w:rsidR="00070C51" w:rsidRPr="00D96C07" w:rsidRDefault="00070C51" w:rsidP="00070C51">
      <w:pPr>
        <w:pStyle w:val="TOC2"/>
        <w:rPr>
          <w:rFonts w:eastAsiaTheme="minorEastAsia"/>
        </w:rPr>
      </w:pPr>
      <w:r w:rsidRPr="00D96C07">
        <w:t>A.12</w:t>
      </w:r>
      <w:r w:rsidRPr="00D96C07">
        <w:rPr>
          <w:rFonts w:eastAsiaTheme="minorEastAsia"/>
        </w:rPr>
        <w:tab/>
      </w:r>
      <w:r w:rsidRPr="00D96C07">
        <w:t>Estimates of Hour Burden Including Annualized Hourly Costs</w:t>
      </w:r>
      <w:r w:rsidRPr="00D96C07">
        <w:tab/>
      </w:r>
      <w:r w:rsidRPr="00D96C07">
        <w:tab/>
      </w:r>
      <w:r w:rsidR="00852C3F" w:rsidRPr="00D96C07">
        <w:t>7</w:t>
      </w:r>
    </w:p>
    <w:p w14:paraId="26696558" w14:textId="77777777" w:rsidR="00070C51" w:rsidRPr="00D96C07" w:rsidRDefault="00070C51" w:rsidP="00070C51">
      <w:pPr>
        <w:pStyle w:val="TOC2"/>
        <w:rPr>
          <w:rFonts w:eastAsiaTheme="minorEastAsia"/>
        </w:rPr>
      </w:pPr>
      <w:r w:rsidRPr="00D96C07">
        <w:t>A.13</w:t>
      </w:r>
      <w:r w:rsidRPr="00D96C07">
        <w:rPr>
          <w:rFonts w:eastAsiaTheme="minorEastAsia"/>
        </w:rPr>
        <w:tab/>
      </w:r>
      <w:r w:rsidRPr="00D96C07">
        <w:t>Estimate of Other Total Annual Cost Burden to Respondents or Record Keepers</w:t>
      </w:r>
      <w:r w:rsidRPr="00D96C07">
        <w:tab/>
      </w:r>
      <w:r w:rsidRPr="00D96C07">
        <w:tab/>
      </w:r>
      <w:r w:rsidR="00852C3F" w:rsidRPr="00D96C07">
        <w:t>10</w:t>
      </w:r>
    </w:p>
    <w:p w14:paraId="26696559" w14:textId="77777777" w:rsidR="00070C51" w:rsidRPr="00D96C07" w:rsidRDefault="00070C51" w:rsidP="00070C51">
      <w:pPr>
        <w:pStyle w:val="TOC2"/>
        <w:rPr>
          <w:rFonts w:eastAsiaTheme="minorEastAsia"/>
        </w:rPr>
      </w:pPr>
      <w:r w:rsidRPr="00D96C07">
        <w:t>A.14</w:t>
      </w:r>
      <w:r w:rsidRPr="00D96C07">
        <w:rPr>
          <w:rFonts w:eastAsiaTheme="minorEastAsia"/>
        </w:rPr>
        <w:tab/>
      </w:r>
      <w:r w:rsidRPr="00D96C07">
        <w:t>Annualized Cost to the Federal Government</w:t>
      </w:r>
      <w:r w:rsidRPr="00D96C07">
        <w:tab/>
      </w:r>
      <w:r w:rsidRPr="00D96C07">
        <w:tab/>
      </w:r>
      <w:r w:rsidR="00852C3F" w:rsidRPr="00D96C07">
        <w:t>10</w:t>
      </w:r>
    </w:p>
    <w:p w14:paraId="2669655A" w14:textId="5E157685" w:rsidR="00070C51" w:rsidRPr="00D96C07" w:rsidRDefault="00070C51" w:rsidP="00070C51">
      <w:pPr>
        <w:pStyle w:val="TOC2"/>
        <w:rPr>
          <w:rFonts w:eastAsiaTheme="minorEastAsia"/>
        </w:rPr>
      </w:pPr>
      <w:r w:rsidRPr="00D96C07">
        <w:t>A.15</w:t>
      </w:r>
      <w:r w:rsidRPr="00D96C07">
        <w:rPr>
          <w:rFonts w:eastAsiaTheme="minorEastAsia"/>
        </w:rPr>
        <w:tab/>
      </w:r>
      <w:r w:rsidRPr="00D96C07">
        <w:t>Explanation for Program Changes or Adjustments</w:t>
      </w:r>
      <w:r w:rsidRPr="00D96C07">
        <w:tab/>
      </w:r>
      <w:r w:rsidRPr="00D96C07">
        <w:tab/>
      </w:r>
      <w:r w:rsidR="00CE4631">
        <w:t>1</w:t>
      </w:r>
      <w:r w:rsidR="009D20DE">
        <w:t>1</w:t>
      </w:r>
    </w:p>
    <w:p w14:paraId="2669655B" w14:textId="77777777" w:rsidR="00070C51" w:rsidRPr="00D96C07" w:rsidRDefault="00070C51" w:rsidP="00070C51">
      <w:pPr>
        <w:pStyle w:val="TOC2"/>
        <w:rPr>
          <w:rFonts w:eastAsiaTheme="minorEastAsia"/>
        </w:rPr>
      </w:pPr>
      <w:r w:rsidRPr="00D96C07">
        <w:t>A.16</w:t>
      </w:r>
      <w:r w:rsidRPr="00D96C07">
        <w:rPr>
          <w:rFonts w:eastAsiaTheme="minorEastAsia"/>
        </w:rPr>
        <w:tab/>
      </w:r>
      <w:r w:rsidRPr="00D96C07">
        <w:t>Plans for Tabulation and Publication and Project Time Schedule</w:t>
      </w:r>
      <w:r w:rsidRPr="00D96C07">
        <w:tab/>
      </w:r>
      <w:r w:rsidRPr="00D96C07">
        <w:tab/>
      </w:r>
      <w:r w:rsidR="00107B2D">
        <w:t>11</w:t>
      </w:r>
    </w:p>
    <w:p w14:paraId="2669655C" w14:textId="77777777" w:rsidR="00070C51" w:rsidRPr="00D96C07" w:rsidRDefault="00070C51" w:rsidP="00070C51">
      <w:pPr>
        <w:pStyle w:val="TOC2"/>
        <w:rPr>
          <w:rFonts w:eastAsiaTheme="minorEastAsia"/>
        </w:rPr>
      </w:pPr>
      <w:r w:rsidRPr="00D96C07">
        <w:t>A.17</w:t>
      </w:r>
      <w:r w:rsidRPr="00D96C07">
        <w:rPr>
          <w:rFonts w:eastAsiaTheme="minorEastAsia"/>
        </w:rPr>
        <w:tab/>
      </w:r>
      <w:r w:rsidRPr="00D96C07">
        <w:t>Reason(s) Display of OMB Expiration Date is Inappropriate</w:t>
      </w:r>
      <w:r w:rsidRPr="00D96C07">
        <w:tab/>
      </w:r>
      <w:r w:rsidRPr="00D96C07">
        <w:tab/>
      </w:r>
      <w:r w:rsidR="00852C3F" w:rsidRPr="00D96C07">
        <w:t>11</w:t>
      </w:r>
    </w:p>
    <w:p w14:paraId="2669655D" w14:textId="77777777" w:rsidR="00070C51" w:rsidRPr="00D96C07" w:rsidRDefault="00070C51" w:rsidP="00070C51">
      <w:pPr>
        <w:pStyle w:val="TOC2"/>
        <w:rPr>
          <w:rFonts w:eastAsiaTheme="minorEastAsia"/>
        </w:rPr>
      </w:pPr>
      <w:r w:rsidRPr="00D96C07">
        <w:t>A.18</w:t>
      </w:r>
      <w:r w:rsidRPr="00D96C07">
        <w:rPr>
          <w:rFonts w:eastAsiaTheme="minorEastAsia"/>
        </w:rPr>
        <w:tab/>
      </w:r>
      <w:r w:rsidRPr="00D96C07">
        <w:t>Exceptions to Certification for Paperwork Reduction Act Submissions</w:t>
      </w:r>
      <w:r w:rsidRPr="00D96C07">
        <w:tab/>
      </w:r>
      <w:r w:rsidRPr="00D96C07">
        <w:tab/>
      </w:r>
      <w:r w:rsidR="00852C3F" w:rsidRPr="00D96C07">
        <w:t>11</w:t>
      </w:r>
    </w:p>
    <w:p w14:paraId="2669655E" w14:textId="77777777" w:rsidR="00880BFD" w:rsidRPr="00D96C07" w:rsidRDefault="00F361EE" w:rsidP="001370CE">
      <w:pPr>
        <w:tabs>
          <w:tab w:val="left" w:pos="720"/>
          <w:tab w:val="right" w:leader="dot" w:pos="9000"/>
        </w:tabs>
        <w:spacing w:before="120" w:after="120"/>
        <w:ind w:left="540" w:hanging="540"/>
        <w:rPr>
          <w:smallCaps/>
        </w:rPr>
      </w:pPr>
      <w:r w:rsidRPr="00D96C07">
        <w:rPr>
          <w:color w:val="000000"/>
        </w:rPr>
        <w:br w:type="page"/>
      </w:r>
    </w:p>
    <w:p w14:paraId="2669655F" w14:textId="77777777" w:rsidR="00A23708" w:rsidRPr="00D96C07" w:rsidRDefault="00A23708" w:rsidP="00A23708">
      <w:pPr>
        <w:pStyle w:val="C2-CtrSglSp"/>
        <w:rPr>
          <w:b/>
        </w:rPr>
      </w:pPr>
      <w:r w:rsidRPr="00D96C07">
        <w:rPr>
          <w:b/>
        </w:rPr>
        <w:lastRenderedPageBreak/>
        <w:t>LIST OF ATTACHMENTS</w:t>
      </w:r>
    </w:p>
    <w:p w14:paraId="26696560" w14:textId="77777777" w:rsidR="00A23708" w:rsidRPr="00D96C07" w:rsidRDefault="00A23708" w:rsidP="00A23708">
      <w:pPr>
        <w:jc w:val="center"/>
        <w:rPr>
          <w:b/>
        </w:rPr>
      </w:pPr>
      <w:r w:rsidRPr="00D96C07">
        <w:rPr>
          <w:b/>
        </w:rPr>
        <w:t>(In order of appearance in Supporting Statement A)</w:t>
      </w:r>
    </w:p>
    <w:p w14:paraId="26696561" w14:textId="77777777" w:rsidR="00A23708" w:rsidRPr="00D96C07" w:rsidRDefault="00A23708" w:rsidP="00A23708"/>
    <w:p w14:paraId="26696562" w14:textId="77777777" w:rsidR="00280E16" w:rsidRPr="00D96C07" w:rsidRDefault="00280E16" w:rsidP="00374672">
      <w:pPr>
        <w:tabs>
          <w:tab w:val="left" w:pos="720"/>
          <w:tab w:val="left" w:pos="1440"/>
          <w:tab w:val="left" w:pos="2160"/>
          <w:tab w:val="left" w:pos="2880"/>
          <w:tab w:val="right" w:leader="dot" w:pos="8820"/>
        </w:tabs>
        <w:rPr>
          <w:color w:val="000000"/>
        </w:rPr>
      </w:pPr>
      <w:r w:rsidRPr="00D96C07">
        <w:rPr>
          <w:color w:val="000000"/>
        </w:rPr>
        <w:t>Attachment 1. NIDA’s Data Collection Authority</w:t>
      </w:r>
      <w:r w:rsidR="00374672" w:rsidRPr="00D96C07">
        <w:rPr>
          <w:color w:val="000000"/>
        </w:rPr>
        <w:tab/>
      </w:r>
      <w:r w:rsidR="008F16E5" w:rsidRPr="00D96C07">
        <w:rPr>
          <w:color w:val="000000"/>
        </w:rPr>
        <w:t>1</w:t>
      </w:r>
    </w:p>
    <w:p w14:paraId="26696563" w14:textId="77777777" w:rsidR="00374672" w:rsidRPr="00D96C07" w:rsidRDefault="00374672" w:rsidP="00374672">
      <w:pPr>
        <w:tabs>
          <w:tab w:val="left" w:pos="720"/>
          <w:tab w:val="left" w:pos="1440"/>
          <w:tab w:val="left" w:pos="2160"/>
          <w:tab w:val="left" w:pos="2880"/>
          <w:tab w:val="right" w:leader="dot" w:pos="8820"/>
        </w:tabs>
        <w:rPr>
          <w:color w:val="000000"/>
        </w:rPr>
      </w:pPr>
    </w:p>
    <w:p w14:paraId="26696564" w14:textId="77777777" w:rsidR="004454CF" w:rsidRPr="00D96C07" w:rsidRDefault="004454CF" w:rsidP="00374672">
      <w:pPr>
        <w:tabs>
          <w:tab w:val="left" w:pos="720"/>
          <w:tab w:val="left" w:pos="1440"/>
          <w:tab w:val="left" w:pos="2160"/>
          <w:tab w:val="left" w:pos="2880"/>
          <w:tab w:val="right" w:leader="dot" w:pos="8820"/>
        </w:tabs>
        <w:rPr>
          <w:color w:val="000000"/>
        </w:rPr>
      </w:pPr>
      <w:r w:rsidRPr="00D96C07">
        <w:rPr>
          <w:color w:val="000000"/>
        </w:rPr>
        <w:t xml:space="preserve">Attachment </w:t>
      </w:r>
      <w:r w:rsidR="009868B9" w:rsidRPr="00D96C07">
        <w:rPr>
          <w:color w:val="000000"/>
        </w:rPr>
        <w:t>2</w:t>
      </w:r>
      <w:r w:rsidRPr="00D96C07">
        <w:rPr>
          <w:color w:val="000000"/>
        </w:rPr>
        <w:t xml:space="preserve">. List </w:t>
      </w:r>
      <w:r w:rsidR="00B2258E" w:rsidRPr="00D96C07">
        <w:rPr>
          <w:color w:val="000000"/>
        </w:rPr>
        <w:t>of Consultants</w:t>
      </w:r>
      <w:r w:rsidRPr="00D96C07">
        <w:rPr>
          <w:color w:val="000000"/>
        </w:rPr>
        <w:tab/>
        <w:t>5</w:t>
      </w:r>
    </w:p>
    <w:p w14:paraId="26696565" w14:textId="77777777" w:rsidR="004454CF" w:rsidRPr="00D96C07" w:rsidRDefault="004454CF" w:rsidP="00374672">
      <w:pPr>
        <w:tabs>
          <w:tab w:val="left" w:pos="720"/>
          <w:tab w:val="left" w:pos="1440"/>
          <w:tab w:val="left" w:pos="2160"/>
          <w:tab w:val="left" w:pos="2880"/>
          <w:tab w:val="right" w:leader="dot" w:pos="8820"/>
        </w:tabs>
        <w:rPr>
          <w:color w:val="000000"/>
        </w:rPr>
      </w:pPr>
    </w:p>
    <w:p w14:paraId="26696566" w14:textId="77777777" w:rsidR="004454CF" w:rsidRPr="00D96C07" w:rsidRDefault="004454CF" w:rsidP="00374672">
      <w:pPr>
        <w:tabs>
          <w:tab w:val="left" w:pos="720"/>
          <w:tab w:val="left" w:pos="1440"/>
          <w:tab w:val="left" w:pos="2160"/>
          <w:tab w:val="left" w:pos="2880"/>
          <w:tab w:val="right" w:leader="dot" w:pos="8820"/>
        </w:tabs>
        <w:rPr>
          <w:color w:val="000000"/>
        </w:rPr>
      </w:pPr>
      <w:r w:rsidRPr="00D96C07">
        <w:rPr>
          <w:color w:val="000000"/>
        </w:rPr>
        <w:t xml:space="preserve">Attachment </w:t>
      </w:r>
      <w:r w:rsidR="009868B9" w:rsidRPr="00D96C07">
        <w:rPr>
          <w:color w:val="000000"/>
        </w:rPr>
        <w:t>3</w:t>
      </w:r>
      <w:r w:rsidRPr="00D96C07">
        <w:rPr>
          <w:color w:val="000000"/>
        </w:rPr>
        <w:t xml:space="preserve">. </w:t>
      </w:r>
      <w:r w:rsidR="00317BDA" w:rsidRPr="00D96C07">
        <w:t>NIH Privacy Act Systems of Record Notice</w:t>
      </w:r>
      <w:r w:rsidRPr="00D96C07">
        <w:rPr>
          <w:color w:val="000000"/>
        </w:rPr>
        <w:tab/>
      </w:r>
      <w:r w:rsidR="00852C3F" w:rsidRPr="00D96C07">
        <w:rPr>
          <w:color w:val="000000"/>
        </w:rPr>
        <w:t>6</w:t>
      </w:r>
    </w:p>
    <w:p w14:paraId="26696567" w14:textId="77777777" w:rsidR="004454CF" w:rsidRPr="00D96C07" w:rsidRDefault="004454CF" w:rsidP="00374672">
      <w:pPr>
        <w:tabs>
          <w:tab w:val="left" w:pos="720"/>
          <w:tab w:val="left" w:pos="1440"/>
          <w:tab w:val="left" w:pos="2160"/>
          <w:tab w:val="left" w:pos="2880"/>
          <w:tab w:val="right" w:leader="dot" w:pos="8820"/>
        </w:tabs>
        <w:rPr>
          <w:color w:val="000000"/>
        </w:rPr>
      </w:pPr>
    </w:p>
    <w:p w14:paraId="26696568" w14:textId="77777777" w:rsidR="00880BFD" w:rsidRPr="00D96C07" w:rsidRDefault="00280E16" w:rsidP="00374672">
      <w:pPr>
        <w:tabs>
          <w:tab w:val="left" w:pos="720"/>
          <w:tab w:val="left" w:pos="1440"/>
          <w:tab w:val="left" w:pos="2160"/>
          <w:tab w:val="left" w:pos="2880"/>
          <w:tab w:val="right" w:leader="dot" w:pos="8820"/>
        </w:tabs>
        <w:rPr>
          <w:color w:val="000000"/>
        </w:rPr>
      </w:pPr>
      <w:r w:rsidRPr="00D96C07">
        <w:rPr>
          <w:color w:val="000000"/>
        </w:rPr>
        <w:t xml:space="preserve">Attachment </w:t>
      </w:r>
      <w:r w:rsidR="009868B9" w:rsidRPr="00D96C07">
        <w:rPr>
          <w:color w:val="000000"/>
        </w:rPr>
        <w:t>4</w:t>
      </w:r>
      <w:r w:rsidRPr="00D96C07">
        <w:rPr>
          <w:color w:val="000000"/>
        </w:rPr>
        <w:t xml:space="preserve">. Assurance of Confidentiality </w:t>
      </w:r>
      <w:r w:rsidR="00374672" w:rsidRPr="00D96C07">
        <w:rPr>
          <w:color w:val="000000"/>
        </w:rPr>
        <w:tab/>
      </w:r>
      <w:r w:rsidR="00852C3F" w:rsidRPr="00D96C07">
        <w:rPr>
          <w:color w:val="000000"/>
        </w:rPr>
        <w:t>6</w:t>
      </w:r>
    </w:p>
    <w:p w14:paraId="26696569" w14:textId="77777777" w:rsidR="00A23708" w:rsidRPr="00D96C07" w:rsidRDefault="00A23708" w:rsidP="00374672">
      <w:pPr>
        <w:tabs>
          <w:tab w:val="left" w:pos="720"/>
          <w:tab w:val="left" w:pos="1440"/>
          <w:tab w:val="left" w:pos="2160"/>
          <w:tab w:val="left" w:pos="2880"/>
          <w:tab w:val="right" w:leader="dot" w:pos="8820"/>
        </w:tabs>
        <w:rPr>
          <w:color w:val="000000"/>
        </w:rPr>
      </w:pPr>
    </w:p>
    <w:p w14:paraId="2669656A" w14:textId="77777777" w:rsidR="00A23708" w:rsidRPr="00D96C07" w:rsidRDefault="00A23708" w:rsidP="00374672">
      <w:pPr>
        <w:tabs>
          <w:tab w:val="left" w:pos="720"/>
          <w:tab w:val="left" w:pos="1440"/>
          <w:tab w:val="left" w:pos="2160"/>
          <w:tab w:val="left" w:pos="2880"/>
          <w:tab w:val="right" w:leader="dot" w:pos="8820"/>
        </w:tabs>
        <w:rPr>
          <w:color w:val="000000"/>
        </w:rPr>
        <w:sectPr w:rsidR="00A23708" w:rsidRPr="00D96C07" w:rsidSect="009279CB">
          <w:footerReference w:type="default" r:id="rId10"/>
          <w:pgSz w:w="12240" w:h="15840"/>
          <w:pgMar w:top="1440" w:right="1440" w:bottom="1440" w:left="1440" w:header="720" w:footer="576" w:gutter="0"/>
          <w:pgNumType w:fmt="lowerRoman" w:start="1"/>
          <w:cols w:space="720"/>
          <w:titlePg/>
          <w:docGrid w:linePitch="360"/>
        </w:sectPr>
      </w:pPr>
    </w:p>
    <w:p w14:paraId="2669656B" w14:textId="77777777" w:rsidR="002F7ABC" w:rsidRPr="00D96C07" w:rsidRDefault="002F7ABC" w:rsidP="00A23708">
      <w:pPr>
        <w:pStyle w:val="Heading1"/>
      </w:pPr>
      <w:r w:rsidRPr="00D96C07">
        <w:lastRenderedPageBreak/>
        <w:t>A.</w:t>
      </w:r>
      <w:r w:rsidRPr="00D96C07">
        <w:tab/>
        <w:t>Justification</w:t>
      </w:r>
    </w:p>
    <w:p w14:paraId="2669656C" w14:textId="77777777" w:rsidR="00F361EE" w:rsidRPr="00D96C07" w:rsidRDefault="00F361EE" w:rsidP="00A23708">
      <w:pPr>
        <w:pStyle w:val="Heading2"/>
      </w:pPr>
      <w:r w:rsidRPr="00D96C07">
        <w:t>A.1</w:t>
      </w:r>
      <w:r w:rsidR="00C82C56" w:rsidRPr="00D96C07">
        <w:tab/>
      </w:r>
      <w:r w:rsidRPr="00D96C07">
        <w:t>Circumstances Making the Collection of Information Necessary</w:t>
      </w:r>
    </w:p>
    <w:p w14:paraId="2669656D" w14:textId="77777777" w:rsidR="00A23708" w:rsidRPr="00D96C07" w:rsidRDefault="00AD3810" w:rsidP="009A36F7">
      <w:pPr>
        <w:tabs>
          <w:tab w:val="left" w:pos="1152"/>
        </w:tabs>
        <w:spacing w:line="360" w:lineRule="atLeast"/>
      </w:pPr>
      <w:r w:rsidRPr="00D96C07">
        <w:t>The National Institutes of Health (NIH), through the National Institute on Drug Abuse (NIDA) and in partnership with the Food and Drug Administration (FDA), requests Office of Management and Budget (OMB) approval of a</w:t>
      </w:r>
      <w:r w:rsidR="00CA1DA2" w:rsidRPr="00D96C07">
        <w:t xml:space="preserve"> </w:t>
      </w:r>
      <w:r w:rsidR="00B2258E" w:rsidRPr="00D96C07">
        <w:t xml:space="preserve">revision </w:t>
      </w:r>
      <w:r w:rsidR="00B2258E">
        <w:t>of</w:t>
      </w:r>
      <w:r w:rsidR="00A62301">
        <w:t xml:space="preserve"> an existing Generic Clearance </w:t>
      </w:r>
      <w:r w:rsidRPr="00D96C07">
        <w:t xml:space="preserve">(OMB </w:t>
      </w:r>
      <w:r w:rsidR="002348EE">
        <w:t xml:space="preserve">number </w:t>
      </w:r>
      <w:r w:rsidRPr="00D96C07">
        <w:t>0925-0663, expir</w:t>
      </w:r>
      <w:r w:rsidR="00DC3181" w:rsidRPr="00D96C07">
        <w:t>ation date</w:t>
      </w:r>
      <w:r w:rsidRPr="00D96C07">
        <w:t xml:space="preserve"> 11/30/2015) for the Population Assessment of Tobacco and Health (PATH) Study</w:t>
      </w:r>
      <w:r w:rsidR="00A62301">
        <w:t>, for the purpose of conducting</w:t>
      </w:r>
      <w:r w:rsidRPr="00D96C07">
        <w:t xml:space="preserve"> cognitive </w:t>
      </w:r>
      <w:r w:rsidR="003D6E59" w:rsidRPr="00D96C07">
        <w:t>interviews</w:t>
      </w:r>
      <w:r w:rsidR="00790A2F" w:rsidRPr="00D96C07">
        <w:t xml:space="preserve"> (</w:t>
      </w:r>
      <w:r w:rsidR="00251CFE" w:rsidRPr="00D96C07">
        <w:t xml:space="preserve">also referred to as </w:t>
      </w:r>
      <w:r w:rsidR="00790A2F" w:rsidRPr="00D96C07">
        <w:t xml:space="preserve">cognitive </w:t>
      </w:r>
      <w:r w:rsidR="00251CFE" w:rsidRPr="00D96C07">
        <w:t>test</w:t>
      </w:r>
      <w:r w:rsidR="00D6187D" w:rsidRPr="00D96C07">
        <w:t>s</w:t>
      </w:r>
      <w:r w:rsidR="00251CFE" w:rsidRPr="00D96C07">
        <w:t xml:space="preserve">) </w:t>
      </w:r>
      <w:r w:rsidR="00B61DF9" w:rsidRPr="00D96C07">
        <w:t xml:space="preserve">and </w:t>
      </w:r>
      <w:r w:rsidRPr="00D96C07">
        <w:t>focus group</w:t>
      </w:r>
      <w:r w:rsidR="00B61DF9" w:rsidRPr="00D96C07">
        <w:t xml:space="preserve">s. </w:t>
      </w:r>
      <w:r w:rsidR="002426EF" w:rsidRPr="00D96C07">
        <w:t>These techniques serve an essential</w:t>
      </w:r>
      <w:r w:rsidR="00B61DF9" w:rsidRPr="00D96C07">
        <w:t xml:space="preserve"> step </w:t>
      </w:r>
      <w:r w:rsidR="00D02E33" w:rsidRPr="00D96C07">
        <w:t xml:space="preserve">in </w:t>
      </w:r>
      <w:r w:rsidR="00222E5F" w:rsidRPr="00D96C07">
        <w:t xml:space="preserve">the </w:t>
      </w:r>
      <w:r w:rsidR="00AA7D85" w:rsidRPr="00D96C07">
        <w:t>development</w:t>
      </w:r>
      <w:r w:rsidR="005810F5" w:rsidRPr="00D96C07">
        <w:t xml:space="preserve"> </w:t>
      </w:r>
      <w:r w:rsidR="00F361EE" w:rsidRPr="00D96C07">
        <w:t>of instrumentation</w:t>
      </w:r>
      <w:r w:rsidR="00AA7D85" w:rsidRPr="00D96C07">
        <w:t xml:space="preserve"> </w:t>
      </w:r>
      <w:r w:rsidR="00B1372B" w:rsidRPr="00D96C07">
        <w:t xml:space="preserve">and materials </w:t>
      </w:r>
      <w:r w:rsidR="00D02E33" w:rsidRPr="00D96C07">
        <w:t xml:space="preserve">used by </w:t>
      </w:r>
      <w:r w:rsidR="00B75A3D" w:rsidRPr="00D96C07">
        <w:t xml:space="preserve">the </w:t>
      </w:r>
      <w:r w:rsidR="001111E1" w:rsidRPr="00D96C07">
        <w:t>PATH</w:t>
      </w:r>
      <w:r w:rsidR="00B75A3D" w:rsidRPr="00D96C07">
        <w:t xml:space="preserve"> </w:t>
      </w:r>
      <w:r w:rsidR="008F7090" w:rsidRPr="00D96C07">
        <w:t>Study</w:t>
      </w:r>
      <w:r w:rsidR="00D02E33" w:rsidRPr="00D96C07">
        <w:t xml:space="preserve"> to collect </w:t>
      </w:r>
      <w:r w:rsidR="00B75A3D" w:rsidRPr="00D96C07">
        <w:t>data and biospecimen</w:t>
      </w:r>
      <w:r w:rsidR="00D02E33" w:rsidRPr="00D96C07">
        <w:t>s</w:t>
      </w:r>
      <w:r w:rsidR="00B75A3D" w:rsidRPr="00D96C07">
        <w:t>.</w:t>
      </w:r>
      <w:r w:rsidR="00A23708" w:rsidRPr="00D96C07">
        <w:t xml:space="preserve"> </w:t>
      </w:r>
    </w:p>
    <w:p w14:paraId="2669656E" w14:textId="77777777" w:rsidR="0033450C" w:rsidRPr="00D96C07" w:rsidRDefault="0033450C" w:rsidP="00A23708">
      <w:pPr>
        <w:pStyle w:val="L1-FlLSp12"/>
        <w:rPr>
          <w:i/>
        </w:rPr>
      </w:pPr>
    </w:p>
    <w:p w14:paraId="2669656F" w14:textId="77777777" w:rsidR="00667272" w:rsidRPr="00D96C07" w:rsidRDefault="00E17EF4" w:rsidP="00A23708">
      <w:pPr>
        <w:pStyle w:val="L1-FlLSp12"/>
      </w:pPr>
      <w:r w:rsidRPr="00D96C07">
        <w:rPr>
          <w:b/>
        </w:rPr>
        <w:t>The PATH Study</w:t>
      </w:r>
      <w:r w:rsidR="002B4545" w:rsidRPr="00D96C07">
        <w:rPr>
          <w:b/>
        </w:rPr>
        <w:t>.</w:t>
      </w:r>
      <w:r w:rsidR="002B4545" w:rsidRPr="00D96C07">
        <w:rPr>
          <w:i/>
        </w:rPr>
        <w:t xml:space="preserve"> </w:t>
      </w:r>
      <w:r w:rsidR="0021040A" w:rsidRPr="00D96C07">
        <w:t xml:space="preserve">Under data collection authorization of Title 42 USC 285o (Attachment 1), NIDA is partnering with FDA to conduct the PATH Study through a contractor. </w:t>
      </w:r>
      <w:r w:rsidR="00CA1DA2" w:rsidRPr="00D96C07">
        <w:t>T</w:t>
      </w:r>
      <w:r w:rsidR="0021040A" w:rsidRPr="00D96C07">
        <w:t xml:space="preserve">he PATH Study </w:t>
      </w:r>
      <w:r w:rsidR="00D02E33" w:rsidRPr="00D96C07">
        <w:t>is collecting behavioral data and biospecimens</w:t>
      </w:r>
      <w:r w:rsidR="0021040A" w:rsidRPr="00D96C07">
        <w:t xml:space="preserve"> on tobacco-use patterns</w:t>
      </w:r>
      <w:r w:rsidR="00D02E33" w:rsidRPr="00D96C07">
        <w:t>; attitudes and beliefs</w:t>
      </w:r>
      <w:r w:rsidR="0021040A" w:rsidRPr="00D96C07">
        <w:t xml:space="preserve"> regarding harmful constituents, and new and emerging tobacco products;</w:t>
      </w:r>
      <w:r w:rsidR="00D02E33" w:rsidRPr="00D96C07">
        <w:t xml:space="preserve"> and</w:t>
      </w:r>
      <w:r w:rsidR="0021040A" w:rsidRPr="00D96C07">
        <w:t xml:space="preserve"> tobacco initiation, cessation</w:t>
      </w:r>
      <w:r w:rsidR="00D02E33" w:rsidRPr="00D96C07">
        <w:t>,</w:t>
      </w:r>
      <w:r w:rsidR="0021040A" w:rsidRPr="00D96C07">
        <w:t xml:space="preserve"> and relapse behaviors among </w:t>
      </w:r>
      <w:r w:rsidR="00410FD2" w:rsidRPr="00D96C07">
        <w:t>the U.S. civilian non-institutionalized population, ages</w:t>
      </w:r>
      <w:r w:rsidR="0021040A" w:rsidRPr="00D96C07">
        <w:t xml:space="preserve"> 12 </w:t>
      </w:r>
      <w:r w:rsidR="00410FD2" w:rsidRPr="00D96C07">
        <w:t>and older</w:t>
      </w:r>
      <w:r w:rsidR="0021040A" w:rsidRPr="00D96C07">
        <w:t xml:space="preserve">. </w:t>
      </w:r>
      <w:r w:rsidR="00661556" w:rsidRPr="00D96C07">
        <w:t xml:space="preserve">Its </w:t>
      </w:r>
      <w:r w:rsidR="0021040A" w:rsidRPr="00D96C07">
        <w:t>longitudinal</w:t>
      </w:r>
      <w:r w:rsidR="00661556" w:rsidRPr="00D96C07">
        <w:t xml:space="preserve">, population-based </w:t>
      </w:r>
      <w:r w:rsidR="0021040A" w:rsidRPr="00D96C07">
        <w:t xml:space="preserve">data will </w:t>
      </w:r>
      <w:r w:rsidR="00661556" w:rsidRPr="00D96C07">
        <w:t>help to enhance the evidence base that informs FDA’s regulatory actions under the Family Smoking Prevention and Tobacco Control Act (TCA)</w:t>
      </w:r>
      <w:r w:rsidR="00F676E7">
        <w:t>,</w:t>
      </w:r>
      <w:r w:rsidR="00410FD2" w:rsidRPr="00D96C07">
        <w:t xml:space="preserve"> to protect the Nation’s public health and reduce its burden of tobacco-related morbidity and mortality.</w:t>
      </w:r>
      <w:r w:rsidR="0021040A" w:rsidRPr="00D96C07">
        <w:t xml:space="preserve"> </w:t>
      </w:r>
    </w:p>
    <w:p w14:paraId="26696570" w14:textId="77777777" w:rsidR="00667272" w:rsidRPr="00D96C07" w:rsidRDefault="00667272" w:rsidP="00A23708">
      <w:pPr>
        <w:pStyle w:val="L1-FlLSp12"/>
      </w:pPr>
    </w:p>
    <w:p w14:paraId="26696571" w14:textId="77777777" w:rsidR="001B16FC" w:rsidRPr="00D96C07" w:rsidRDefault="00667272" w:rsidP="00A23708">
      <w:pPr>
        <w:pStyle w:val="L1-FlLSp12"/>
      </w:pPr>
      <w:r w:rsidRPr="00D96C07">
        <w:t xml:space="preserve">The first annual data and biospecimen collection for the PATH Study (Wave 1) took place October 2013 – December 2014 with a total </w:t>
      </w:r>
      <w:r w:rsidR="00410FD2" w:rsidRPr="00D96C07">
        <w:t>sample</w:t>
      </w:r>
      <w:r w:rsidRPr="00D96C07">
        <w:t xml:space="preserve"> of</w:t>
      </w:r>
      <w:r w:rsidR="00410FD2" w:rsidRPr="00D96C07">
        <w:t xml:space="preserve"> 45,971 (32,320 adults and 13,651 youth)</w:t>
      </w:r>
      <w:r w:rsidR="00D6187D" w:rsidRPr="00D96C07">
        <w:t xml:space="preserve">. </w:t>
      </w:r>
      <w:r w:rsidRPr="00D96C07">
        <w:t>Wave 2 b</w:t>
      </w:r>
      <w:r w:rsidR="00AC467C" w:rsidRPr="00D96C07">
        <w:t xml:space="preserve">egan in </w:t>
      </w:r>
      <w:r w:rsidR="00616680" w:rsidRPr="00D96C07">
        <w:t>October</w:t>
      </w:r>
      <w:r w:rsidR="00AC467C" w:rsidRPr="00D96C07">
        <w:t xml:space="preserve"> 2014</w:t>
      </w:r>
      <w:r w:rsidR="00AD213C" w:rsidRPr="00D96C07">
        <w:t>, and</w:t>
      </w:r>
      <w:r w:rsidRPr="00D96C07">
        <w:t xml:space="preserve"> Wave 3 is scheduled to begin</w:t>
      </w:r>
      <w:r w:rsidR="00A7154E" w:rsidRPr="00D96C07">
        <w:t xml:space="preserve"> immediately </w:t>
      </w:r>
      <w:r w:rsidRPr="00D96C07">
        <w:t>after Wave 2 in October 2015. Pending funding and other considerations, additional follow up waves may occur thereafter.</w:t>
      </w:r>
      <w:r w:rsidR="00A7154E" w:rsidRPr="00D96C07">
        <w:t xml:space="preserve"> </w:t>
      </w:r>
    </w:p>
    <w:p w14:paraId="26696572" w14:textId="77777777" w:rsidR="0033450C" w:rsidRPr="00D96C07" w:rsidRDefault="0033450C" w:rsidP="00A23708">
      <w:pPr>
        <w:pStyle w:val="L1-FlLSp12"/>
      </w:pPr>
    </w:p>
    <w:p w14:paraId="26696573" w14:textId="6BE1314A" w:rsidR="004A1F5E" w:rsidRPr="00D96C07" w:rsidRDefault="00162E65" w:rsidP="008308F0">
      <w:pPr>
        <w:pStyle w:val="L1-FlLSp12"/>
      </w:pPr>
      <w:r w:rsidRPr="00D96C07">
        <w:rPr>
          <w:b/>
        </w:rPr>
        <w:t xml:space="preserve">Cognitive </w:t>
      </w:r>
      <w:r w:rsidR="003D6E59" w:rsidRPr="00D96C07">
        <w:rPr>
          <w:b/>
        </w:rPr>
        <w:t>Interviews</w:t>
      </w:r>
      <w:r w:rsidR="00790A2F" w:rsidRPr="00D96C07">
        <w:rPr>
          <w:b/>
        </w:rPr>
        <w:t xml:space="preserve"> </w:t>
      </w:r>
      <w:r w:rsidR="007C0BC3" w:rsidRPr="00D96C07">
        <w:rPr>
          <w:b/>
        </w:rPr>
        <w:t xml:space="preserve">and </w:t>
      </w:r>
      <w:r w:rsidR="0039134B" w:rsidRPr="00D96C07">
        <w:rPr>
          <w:b/>
        </w:rPr>
        <w:t>Focus Groups</w:t>
      </w:r>
      <w:r w:rsidR="00B2258E">
        <w:rPr>
          <w:b/>
        </w:rPr>
        <w:t>.</w:t>
      </w:r>
      <w:r w:rsidR="004D22E8">
        <w:rPr>
          <w:b/>
        </w:rPr>
        <w:t xml:space="preserve"> </w:t>
      </w:r>
      <w:r w:rsidR="007C70C0">
        <w:t xml:space="preserve">Focus group research </w:t>
      </w:r>
      <w:r w:rsidR="00453FF8">
        <w:t xml:space="preserve">uses </w:t>
      </w:r>
      <w:r w:rsidR="007C70C0">
        <w:t>guided, interactional discussions among a small group of individuals to help identify and understand new or complex issues (Powell &amp; Single, 1996).</w:t>
      </w:r>
      <w:r w:rsidR="00B2258E">
        <w:rPr>
          <w:b/>
        </w:rPr>
        <w:t xml:space="preserve"> </w:t>
      </w:r>
      <w:r w:rsidR="00CA6C89" w:rsidRPr="00D96C07">
        <w:t>C</w:t>
      </w:r>
      <w:r w:rsidR="004A1F5E" w:rsidRPr="00D96C07">
        <w:t xml:space="preserve">ognitive </w:t>
      </w:r>
      <w:r w:rsidR="003D6E59" w:rsidRPr="00D96C07">
        <w:t>interview</w:t>
      </w:r>
      <w:r w:rsidR="007C70C0">
        <w:t>ing</w:t>
      </w:r>
      <w:r w:rsidR="004D22E8">
        <w:t xml:space="preserve"> </w:t>
      </w:r>
      <w:r w:rsidR="00453FF8">
        <w:t xml:space="preserve">uses </w:t>
      </w:r>
      <w:r w:rsidR="007C70C0">
        <w:t>in-depth interviewing that</w:t>
      </w:r>
      <w:r w:rsidR="00CA6C89" w:rsidRPr="00D96C07">
        <w:t xml:space="preserve"> assess</w:t>
      </w:r>
      <w:r w:rsidR="007C70C0">
        <w:t>es</w:t>
      </w:r>
      <w:r w:rsidR="00CA6C89" w:rsidRPr="00D96C07">
        <w:t xml:space="preserve"> how people interpret</w:t>
      </w:r>
      <w:r w:rsidR="00271AD6" w:rsidRPr="00D96C07">
        <w:t>, process</w:t>
      </w:r>
      <w:r w:rsidR="00CA6C89" w:rsidRPr="00D96C07">
        <w:t xml:space="preserve">, </w:t>
      </w:r>
      <w:r w:rsidR="00790A2F" w:rsidRPr="00D96C07">
        <w:t xml:space="preserve">retrieve, </w:t>
      </w:r>
      <w:r w:rsidR="00CA6C89" w:rsidRPr="00D96C07">
        <w:t xml:space="preserve">and respond to words, phrases, questions, response options, and product images </w:t>
      </w:r>
      <w:r w:rsidR="004A6157" w:rsidRPr="00D96C07">
        <w:t>(Willis, 201</w:t>
      </w:r>
      <w:r w:rsidR="00AD213C" w:rsidRPr="00D96C07">
        <w:t>5</w:t>
      </w:r>
      <w:r w:rsidR="004A6157" w:rsidRPr="00D96C07">
        <w:t>)</w:t>
      </w:r>
      <w:r w:rsidR="00CA6C89" w:rsidRPr="00D96C07">
        <w:t>.</w:t>
      </w:r>
      <w:r w:rsidR="00B1372B" w:rsidRPr="00D96C07">
        <w:t xml:space="preserve"> </w:t>
      </w:r>
      <w:r w:rsidR="00CA6C89" w:rsidRPr="00D96C07">
        <w:t>T</w:t>
      </w:r>
      <w:r w:rsidR="00790A2F" w:rsidRPr="00D96C07">
        <w:t>hese</w:t>
      </w:r>
      <w:r w:rsidR="00CA6C89" w:rsidRPr="00D96C07">
        <w:t xml:space="preserve"> </w:t>
      </w:r>
      <w:r w:rsidR="004D22E8">
        <w:t xml:space="preserve">qualitative methodologies help the </w:t>
      </w:r>
      <w:r w:rsidR="00CA6C89" w:rsidRPr="00D96C07">
        <w:t xml:space="preserve">PATH Study improve the </w:t>
      </w:r>
      <w:r w:rsidR="001F56AB">
        <w:t xml:space="preserve">accuracy of </w:t>
      </w:r>
      <w:r w:rsidR="00CA6C89" w:rsidRPr="00D96C07">
        <w:t xml:space="preserve">its </w:t>
      </w:r>
      <w:r w:rsidR="009D11EA" w:rsidRPr="00D96C07">
        <w:t>instruments, as well as</w:t>
      </w:r>
      <w:r w:rsidR="001F56AB">
        <w:t xml:space="preserve"> the comprehensibility of </w:t>
      </w:r>
      <w:r w:rsidR="009D11EA" w:rsidRPr="00D96C07">
        <w:t xml:space="preserve">its </w:t>
      </w:r>
      <w:r w:rsidR="00CA6C89" w:rsidRPr="00D96C07">
        <w:t>introductory</w:t>
      </w:r>
      <w:r w:rsidR="008308F0" w:rsidRPr="00D96C07">
        <w:t xml:space="preserve"> letters to </w:t>
      </w:r>
      <w:r w:rsidR="009D11EA" w:rsidRPr="00D96C07">
        <w:t xml:space="preserve">potential </w:t>
      </w:r>
      <w:r w:rsidR="008308F0" w:rsidRPr="00D96C07">
        <w:t>participant</w:t>
      </w:r>
      <w:r w:rsidR="009D11EA" w:rsidRPr="00D96C07">
        <w:t xml:space="preserve">s, </w:t>
      </w:r>
      <w:r w:rsidR="008308F0" w:rsidRPr="00D96C07">
        <w:t>consent forms</w:t>
      </w:r>
      <w:r w:rsidR="00E93C65" w:rsidRPr="00D96C07">
        <w:t xml:space="preserve">, </w:t>
      </w:r>
      <w:r w:rsidR="00EE62D8" w:rsidRPr="00D96C07">
        <w:t>brochures</w:t>
      </w:r>
      <w:r w:rsidR="00E93C65" w:rsidRPr="00D96C07">
        <w:t xml:space="preserve">, and </w:t>
      </w:r>
      <w:r w:rsidR="00737CFB" w:rsidRPr="00D96C07">
        <w:t>related materials</w:t>
      </w:r>
      <w:r w:rsidR="00EE62D8" w:rsidRPr="00D96C07">
        <w:t xml:space="preserve"> about the Study.</w:t>
      </w:r>
      <w:r w:rsidR="00A51C97" w:rsidRPr="00D96C07">
        <w:t xml:space="preserve"> </w:t>
      </w:r>
    </w:p>
    <w:p w14:paraId="26696574" w14:textId="77777777" w:rsidR="00AD213C" w:rsidRPr="00D96C07" w:rsidRDefault="00AD213C" w:rsidP="008308F0">
      <w:pPr>
        <w:pStyle w:val="L1-FlLSp12"/>
      </w:pPr>
    </w:p>
    <w:p w14:paraId="26696575" w14:textId="77777777" w:rsidR="00A23708" w:rsidRPr="00D96C07" w:rsidRDefault="00086684" w:rsidP="00CD3E19">
      <w:pPr>
        <w:pStyle w:val="L1-FlLSp12"/>
      </w:pPr>
      <w:r w:rsidRPr="00D96C07">
        <w:rPr>
          <w:b/>
        </w:rPr>
        <w:lastRenderedPageBreak/>
        <w:t>Generic</w:t>
      </w:r>
      <w:r w:rsidR="00E17EF4" w:rsidRPr="00D96C07">
        <w:rPr>
          <w:b/>
        </w:rPr>
        <w:t xml:space="preserve"> Clearance Request</w:t>
      </w:r>
      <w:r w:rsidR="00E17EF4" w:rsidRPr="00D96C07">
        <w:t>.</w:t>
      </w:r>
      <w:r w:rsidR="00A23708" w:rsidRPr="00D96C07">
        <w:t xml:space="preserve"> </w:t>
      </w:r>
      <w:r w:rsidR="004A1F5E" w:rsidRPr="00D96C07">
        <w:t>To meet the ongoing need</w:t>
      </w:r>
      <w:r w:rsidRPr="00D96C07">
        <w:t>s</w:t>
      </w:r>
      <w:r w:rsidR="004A1F5E" w:rsidRPr="00D96C07">
        <w:t xml:space="preserve"> of the PATH Study </w:t>
      </w:r>
      <w:r w:rsidRPr="00D96C07">
        <w:t>to develop and refine its instruments and data collection materials</w:t>
      </w:r>
      <w:r w:rsidR="00E17EF4" w:rsidRPr="00D96C07">
        <w:t xml:space="preserve">, this </w:t>
      </w:r>
      <w:r w:rsidR="008439FF" w:rsidRPr="00D96C07">
        <w:t xml:space="preserve">is </w:t>
      </w:r>
      <w:r w:rsidR="00A62301">
        <w:t xml:space="preserve">a </w:t>
      </w:r>
      <w:r w:rsidRPr="00D96C07">
        <w:t xml:space="preserve">revision </w:t>
      </w:r>
      <w:r w:rsidR="00CD3E19" w:rsidRPr="00D96C07">
        <w:t>of</w:t>
      </w:r>
      <w:r w:rsidRPr="00D96C07">
        <w:t xml:space="preserve"> a currently approved </w:t>
      </w:r>
      <w:r w:rsidR="00A62301">
        <w:t xml:space="preserve">Generic </w:t>
      </w:r>
      <w:r w:rsidR="00B2258E">
        <w:t xml:space="preserve">Clearance </w:t>
      </w:r>
      <w:r w:rsidR="00B2258E" w:rsidRPr="00D96C07">
        <w:t>(</w:t>
      </w:r>
      <w:r w:rsidR="00CA1DA2" w:rsidRPr="00D96C07">
        <w:t xml:space="preserve">OMB </w:t>
      </w:r>
      <w:r w:rsidR="002348EE">
        <w:t xml:space="preserve">number </w:t>
      </w:r>
      <w:r w:rsidRPr="00D96C07">
        <w:t xml:space="preserve">0925-0663) that will expire </w:t>
      </w:r>
      <w:r w:rsidR="00CA1DA2" w:rsidRPr="00D96C07">
        <w:t xml:space="preserve">on </w:t>
      </w:r>
      <w:r w:rsidRPr="00D96C07">
        <w:t xml:space="preserve">November 30, 2015. </w:t>
      </w:r>
      <w:r w:rsidR="00A62301">
        <w:t xml:space="preserve">This revision request </w:t>
      </w:r>
      <w:r w:rsidR="001657E4">
        <w:t xml:space="preserve">is for three years </w:t>
      </w:r>
      <w:r w:rsidR="004C46B0">
        <w:t>for</w:t>
      </w:r>
      <w:r w:rsidR="00A62301">
        <w:t xml:space="preserve"> the current Generic Clearance for cognitive interview</w:t>
      </w:r>
      <w:r w:rsidR="004C46B0">
        <w:t>s</w:t>
      </w:r>
      <w:r w:rsidR="001657E4">
        <w:t xml:space="preserve">, with the addition </w:t>
      </w:r>
      <w:r w:rsidR="00A62301">
        <w:t>of focus groups.</w:t>
      </w:r>
      <w:r w:rsidR="008439FF" w:rsidRPr="00D96C07">
        <w:t xml:space="preserve"> </w:t>
      </w:r>
      <w:r w:rsidR="008835E0" w:rsidRPr="00D96C07">
        <w:t xml:space="preserve">As shown in section A.12, approval is sought </w:t>
      </w:r>
      <w:r w:rsidR="00CD3E19" w:rsidRPr="00D96C07">
        <w:t xml:space="preserve">to </w:t>
      </w:r>
      <w:r w:rsidR="00DA78D8" w:rsidRPr="00D96C07">
        <w:t xml:space="preserve">screen </w:t>
      </w:r>
      <w:r w:rsidR="003D6E59" w:rsidRPr="00D96C07">
        <w:t>3,600</w:t>
      </w:r>
      <w:r w:rsidR="00DA78D8" w:rsidRPr="00D96C07">
        <w:t xml:space="preserve"> </w:t>
      </w:r>
      <w:r w:rsidR="00CD3E19" w:rsidRPr="00D96C07">
        <w:t>individuals</w:t>
      </w:r>
      <w:r w:rsidR="00DA78D8" w:rsidRPr="00D96C07">
        <w:t xml:space="preserve"> </w:t>
      </w:r>
      <w:r w:rsidR="00737CFB" w:rsidRPr="00D96C07">
        <w:t xml:space="preserve">each year to recruit </w:t>
      </w:r>
      <w:r w:rsidR="00CD3E19" w:rsidRPr="00D96C07">
        <w:t xml:space="preserve">approximately </w:t>
      </w:r>
      <w:r w:rsidR="003D6E59" w:rsidRPr="00D96C07">
        <w:t>1,200</w:t>
      </w:r>
      <w:r w:rsidR="00CD3E19" w:rsidRPr="00D96C07">
        <w:t xml:space="preserve"> </w:t>
      </w:r>
      <w:r w:rsidR="00737CFB" w:rsidRPr="00D96C07">
        <w:t xml:space="preserve">to participate </w:t>
      </w:r>
      <w:r w:rsidR="00CD3E19" w:rsidRPr="00D96C07">
        <w:t xml:space="preserve">in </w:t>
      </w:r>
      <w:r w:rsidR="008835E0" w:rsidRPr="00D96C07">
        <w:t xml:space="preserve">cognitive </w:t>
      </w:r>
      <w:r w:rsidR="002426EF" w:rsidRPr="00D96C07">
        <w:t>interview</w:t>
      </w:r>
      <w:r w:rsidR="003D6E59" w:rsidRPr="00D96C07">
        <w:t>s</w:t>
      </w:r>
      <w:r w:rsidR="00CD3E19" w:rsidRPr="00D96C07">
        <w:t xml:space="preserve"> and </w:t>
      </w:r>
      <w:r w:rsidR="0039134B" w:rsidRPr="00D96C07">
        <w:t>focus group</w:t>
      </w:r>
      <w:r w:rsidR="00CD3E19" w:rsidRPr="00D96C07">
        <w:t>s</w:t>
      </w:r>
      <w:r w:rsidR="00737CFB" w:rsidRPr="00D96C07">
        <w:t>.</w:t>
      </w:r>
      <w:r w:rsidR="00B1372B" w:rsidRPr="00D96C07">
        <w:t xml:space="preserve"> </w:t>
      </w:r>
      <w:r w:rsidR="00F24D79" w:rsidRPr="00D96C07">
        <w:t>Upon</w:t>
      </w:r>
      <w:r w:rsidR="000E5E5F" w:rsidRPr="00D96C07">
        <w:t xml:space="preserve"> </w:t>
      </w:r>
      <w:r w:rsidR="00222E5F" w:rsidRPr="00D96C07">
        <w:t>approval</w:t>
      </w:r>
      <w:r w:rsidR="00F24D79" w:rsidRPr="00D96C07">
        <w:t>,</w:t>
      </w:r>
      <w:r w:rsidR="00222E5F" w:rsidRPr="00D96C07">
        <w:t xml:space="preserve"> NIDA will submit individual or bundled substudies under this </w:t>
      </w:r>
      <w:r w:rsidR="00AF5E73" w:rsidRPr="00D96C07">
        <w:t>Generic Clearance</w:t>
      </w:r>
      <w:r w:rsidR="00741155" w:rsidRPr="00D96C07">
        <w:t xml:space="preserve">. </w:t>
      </w:r>
      <w:r w:rsidR="00632366" w:rsidRPr="00D96C07">
        <w:t>Only instruments, consent forms</w:t>
      </w:r>
      <w:r w:rsidR="00CA1DA2" w:rsidRPr="00D96C07">
        <w:t xml:space="preserve">, and other materials </w:t>
      </w:r>
      <w:r w:rsidR="00632366" w:rsidRPr="00D96C07">
        <w:t xml:space="preserve">that have been approved by the </w:t>
      </w:r>
      <w:r w:rsidR="009279CB" w:rsidRPr="00D96C07">
        <w:t>prime contractor’s</w:t>
      </w:r>
      <w:r w:rsidR="00632366" w:rsidRPr="00D96C07">
        <w:t xml:space="preserve"> Institutional Review Board (IRB) will be included in requests submitted under this </w:t>
      </w:r>
      <w:r w:rsidR="00AF5E73" w:rsidRPr="00D96C07">
        <w:t>Generic Clearance</w:t>
      </w:r>
      <w:r w:rsidR="00632366" w:rsidRPr="00D96C07">
        <w:t>.</w:t>
      </w:r>
      <w:r w:rsidR="00A23708" w:rsidRPr="00D96C07">
        <w:t xml:space="preserve"> </w:t>
      </w:r>
      <w:r w:rsidR="00222E5F" w:rsidRPr="00D96C07">
        <w:t xml:space="preserve">NIDA requests a 10-working day OMB review period for </w:t>
      </w:r>
      <w:r w:rsidR="003D6B78" w:rsidRPr="00D96C07">
        <w:t>substudy</w:t>
      </w:r>
      <w:r w:rsidR="00222E5F" w:rsidRPr="00D96C07">
        <w:t xml:space="preserve"> submission.</w:t>
      </w:r>
      <w:r w:rsidR="00A23708" w:rsidRPr="00D96C07">
        <w:t xml:space="preserve"> </w:t>
      </w:r>
      <w:r w:rsidR="00222E5F" w:rsidRPr="00D96C07">
        <w:t xml:space="preserve">Approval for </w:t>
      </w:r>
      <w:r w:rsidR="00F24D79" w:rsidRPr="00D96C07">
        <w:t xml:space="preserve">use of </w:t>
      </w:r>
      <w:r w:rsidR="00222E5F" w:rsidRPr="00D96C07">
        <w:t xml:space="preserve">participant incentives will be </w:t>
      </w:r>
      <w:r w:rsidR="00F24D79" w:rsidRPr="00D96C07">
        <w:t xml:space="preserve">requested as necessary </w:t>
      </w:r>
      <w:r w:rsidR="00222E5F" w:rsidRPr="00D96C07">
        <w:t>on a case-by-case basis.</w:t>
      </w:r>
    </w:p>
    <w:p w14:paraId="26696576" w14:textId="77777777" w:rsidR="00222E5F" w:rsidRPr="00D96C07" w:rsidRDefault="00222E5F" w:rsidP="00A23708">
      <w:pPr>
        <w:pStyle w:val="L1-FlLSp12"/>
      </w:pPr>
    </w:p>
    <w:p w14:paraId="26696577" w14:textId="77777777" w:rsidR="001B1DDA" w:rsidRPr="00D96C07" w:rsidRDefault="001B1DDA" w:rsidP="00A23708">
      <w:pPr>
        <w:pStyle w:val="L1-FlLSp12"/>
      </w:pPr>
    </w:p>
    <w:p w14:paraId="26696578" w14:textId="77777777" w:rsidR="002F7ABC" w:rsidRPr="00D96C07" w:rsidRDefault="002F7ABC" w:rsidP="00A23708">
      <w:pPr>
        <w:pStyle w:val="Heading2"/>
      </w:pPr>
      <w:r w:rsidRPr="00D96C07">
        <w:t>A.2</w:t>
      </w:r>
      <w:r w:rsidRPr="00D96C07">
        <w:tab/>
        <w:t>Purpose and Use of the Information Collection</w:t>
      </w:r>
    </w:p>
    <w:p w14:paraId="26696579" w14:textId="77777777" w:rsidR="00A23708" w:rsidRPr="00D96C07" w:rsidRDefault="00A226F7" w:rsidP="00A23708">
      <w:pPr>
        <w:pStyle w:val="L1-FlLSp12"/>
      </w:pPr>
      <w:r w:rsidRPr="00D96C07">
        <w:t xml:space="preserve">The </w:t>
      </w:r>
      <w:r w:rsidR="00651003" w:rsidRPr="00D96C07">
        <w:t xml:space="preserve">purpose and use of this information </w:t>
      </w:r>
      <w:r w:rsidR="00737CFB" w:rsidRPr="00D96C07">
        <w:t xml:space="preserve">collection </w:t>
      </w:r>
      <w:r w:rsidR="00651003" w:rsidRPr="00D96C07">
        <w:t>are to</w:t>
      </w:r>
      <w:r w:rsidR="00BF27AE" w:rsidRPr="00D96C07">
        <w:t xml:space="preserve"> inform </w:t>
      </w:r>
      <w:r w:rsidR="00CD3E19" w:rsidRPr="00D96C07">
        <w:t xml:space="preserve">the development of </w:t>
      </w:r>
      <w:r w:rsidR="00BF27AE" w:rsidRPr="00D96C07">
        <w:t>measure</w:t>
      </w:r>
      <w:r w:rsidR="00CD3E19" w:rsidRPr="00D96C07">
        <w:t>s, questionnaire items, and related</w:t>
      </w:r>
      <w:r w:rsidR="00651003" w:rsidRPr="00D96C07">
        <w:t xml:space="preserve"> </w:t>
      </w:r>
      <w:r w:rsidR="00632366" w:rsidRPr="00D96C07">
        <w:t xml:space="preserve">data collection </w:t>
      </w:r>
      <w:r w:rsidR="00651003" w:rsidRPr="00D96C07">
        <w:t xml:space="preserve">materials </w:t>
      </w:r>
      <w:r w:rsidR="00CD3E19" w:rsidRPr="00D96C07">
        <w:t>for use by</w:t>
      </w:r>
      <w:r w:rsidR="00651003" w:rsidRPr="00D96C07">
        <w:t xml:space="preserve"> </w:t>
      </w:r>
      <w:r w:rsidRPr="00D96C07">
        <w:t xml:space="preserve">the PATH </w:t>
      </w:r>
      <w:r w:rsidR="008F7090" w:rsidRPr="00D96C07">
        <w:t>Study</w:t>
      </w:r>
      <w:r w:rsidR="00AC467C" w:rsidRPr="00D96C07">
        <w:t>.</w:t>
      </w:r>
      <w:r w:rsidR="00A23708" w:rsidRPr="00D96C07">
        <w:t xml:space="preserve"> </w:t>
      </w:r>
      <w:r w:rsidR="009C216B" w:rsidRPr="00D96C07">
        <w:t>C</w:t>
      </w:r>
      <w:r w:rsidR="00D238D7" w:rsidRPr="00D96C07">
        <w:t xml:space="preserve">ognitive </w:t>
      </w:r>
      <w:r w:rsidR="003D6E59" w:rsidRPr="00D96C07">
        <w:t>interviews</w:t>
      </w:r>
      <w:r w:rsidR="0039134B" w:rsidRPr="00D96C07">
        <w:t xml:space="preserve"> and focus group</w:t>
      </w:r>
      <w:r w:rsidR="00CD253F" w:rsidRPr="00D96C07">
        <w:t>s</w:t>
      </w:r>
      <w:r w:rsidR="00D238D7" w:rsidRPr="00D96C07">
        <w:t xml:space="preserve"> </w:t>
      </w:r>
      <w:r w:rsidR="00162E65" w:rsidRPr="00D96C07">
        <w:t xml:space="preserve">with a large sample (i.e., more than </w:t>
      </w:r>
      <w:r w:rsidR="0079439D" w:rsidRPr="00D96C07">
        <w:t>nine</w:t>
      </w:r>
      <w:r w:rsidR="00162E65" w:rsidRPr="00D96C07">
        <w:t xml:space="preserve"> individuals) </w:t>
      </w:r>
      <w:r w:rsidR="00CD253F" w:rsidRPr="00D96C07">
        <w:t xml:space="preserve">of demographically diverse respondents </w:t>
      </w:r>
      <w:r w:rsidR="00D238D7" w:rsidRPr="00D96C07">
        <w:t xml:space="preserve">will help </w:t>
      </w:r>
      <w:r w:rsidR="00CD253F" w:rsidRPr="00D96C07">
        <w:t xml:space="preserve">the PATH Study </w:t>
      </w:r>
      <w:r w:rsidR="00D238D7" w:rsidRPr="00D96C07">
        <w:t xml:space="preserve">ensure that </w:t>
      </w:r>
      <w:r w:rsidR="00CD253F" w:rsidRPr="00D96C07">
        <w:t xml:space="preserve">the </w:t>
      </w:r>
      <w:r w:rsidR="00D238D7" w:rsidRPr="00D96C07">
        <w:t xml:space="preserve">wording and concepts presented in </w:t>
      </w:r>
      <w:r w:rsidR="00CD253F" w:rsidRPr="00D96C07">
        <w:t>its</w:t>
      </w:r>
      <w:r w:rsidR="00D238D7" w:rsidRPr="00D96C07">
        <w:t xml:space="preserve"> questionnaires </w:t>
      </w:r>
      <w:r w:rsidR="00CD253F" w:rsidRPr="00D96C07">
        <w:t xml:space="preserve">and materials </w:t>
      </w:r>
      <w:r w:rsidR="00651003" w:rsidRPr="00D96C07">
        <w:t>are unambiguous</w:t>
      </w:r>
      <w:r w:rsidR="00CD253F" w:rsidRPr="00D96C07">
        <w:t xml:space="preserve">, comprehensible, </w:t>
      </w:r>
      <w:r w:rsidR="00651003" w:rsidRPr="00D96C07">
        <w:t xml:space="preserve">and </w:t>
      </w:r>
      <w:r w:rsidR="00737CFB" w:rsidRPr="00D96C07">
        <w:t>understood by</w:t>
      </w:r>
      <w:r w:rsidR="00CD253F" w:rsidRPr="00D96C07">
        <w:t xml:space="preserve"> </w:t>
      </w:r>
      <w:r w:rsidR="00737CFB" w:rsidRPr="00D96C07">
        <w:t xml:space="preserve">a variety of individuals from different backgrounds and </w:t>
      </w:r>
      <w:r w:rsidR="007C6A69" w:rsidRPr="00D96C07">
        <w:t>subgroups</w:t>
      </w:r>
      <w:r w:rsidR="00EE6B9C" w:rsidRPr="00D96C07">
        <w:t xml:space="preserve"> of interest (e.g., </w:t>
      </w:r>
      <w:r w:rsidR="00737CFB" w:rsidRPr="00D96C07">
        <w:t>of different ages, race/ethnicities, gender</w:t>
      </w:r>
      <w:r w:rsidR="00CA1DA2" w:rsidRPr="00D96C07">
        <w:t>s</w:t>
      </w:r>
      <w:r w:rsidR="00737CFB" w:rsidRPr="00D96C07">
        <w:t xml:space="preserve">, and </w:t>
      </w:r>
      <w:r w:rsidR="003E112A" w:rsidRPr="00D96C07">
        <w:t xml:space="preserve">geographic </w:t>
      </w:r>
      <w:r w:rsidR="00737CFB" w:rsidRPr="00D96C07">
        <w:t>region</w:t>
      </w:r>
      <w:r w:rsidR="00CA1DA2" w:rsidRPr="00D96C07">
        <w:t>s</w:t>
      </w:r>
      <w:r w:rsidR="003E112A" w:rsidRPr="00D96C07">
        <w:t>).</w:t>
      </w:r>
      <w:r w:rsidR="00A23708" w:rsidRPr="00D96C07">
        <w:t xml:space="preserve"> </w:t>
      </w:r>
      <w:r w:rsidR="003E112A" w:rsidRPr="00D96C07">
        <w:t>S</w:t>
      </w:r>
      <w:r w:rsidR="00CD253F" w:rsidRPr="00D96C07">
        <w:t xml:space="preserve">ubstudies submitted under this </w:t>
      </w:r>
      <w:r w:rsidR="00AF5E73" w:rsidRPr="00D96C07">
        <w:t>Generic Clearance</w:t>
      </w:r>
      <w:r w:rsidR="00CD253F" w:rsidRPr="00D96C07">
        <w:t xml:space="preserve"> </w:t>
      </w:r>
      <w:r w:rsidR="00CE3455" w:rsidRPr="00D96C07">
        <w:t xml:space="preserve">and approved by OMB </w:t>
      </w:r>
      <w:r w:rsidR="00CD253F" w:rsidRPr="00D96C07">
        <w:t xml:space="preserve">will help to inform decisions </w:t>
      </w:r>
      <w:r w:rsidR="003E112A" w:rsidRPr="00D96C07">
        <w:t xml:space="preserve">by the PATH Study </w:t>
      </w:r>
      <w:r w:rsidR="00CD253F" w:rsidRPr="00D96C07">
        <w:t xml:space="preserve">on whether to change or retain </w:t>
      </w:r>
      <w:r w:rsidR="003E112A" w:rsidRPr="00D96C07">
        <w:t xml:space="preserve">questionnaire </w:t>
      </w:r>
      <w:r w:rsidR="00CD253F" w:rsidRPr="00D96C07">
        <w:t>item</w:t>
      </w:r>
      <w:r w:rsidR="00CE3455" w:rsidRPr="00D96C07">
        <w:t>s</w:t>
      </w:r>
      <w:r w:rsidR="00CD253F" w:rsidRPr="00D96C07">
        <w:t xml:space="preserve"> in the instrument </w:t>
      </w:r>
      <w:r w:rsidR="00CE3455" w:rsidRPr="00D96C07">
        <w:t>f</w:t>
      </w:r>
      <w:r w:rsidR="003E112A" w:rsidRPr="00D96C07">
        <w:t>rom</w:t>
      </w:r>
      <w:r w:rsidR="00CD253F" w:rsidRPr="00D96C07">
        <w:t xml:space="preserve"> one wave of data collection to the next. Such changes c</w:t>
      </w:r>
      <w:r w:rsidR="007C6A69" w:rsidRPr="00D96C07">
        <w:t xml:space="preserve">ould be </w:t>
      </w:r>
      <w:r w:rsidR="00CD253F" w:rsidRPr="00D96C07">
        <w:t>incremental,</w:t>
      </w:r>
      <w:r w:rsidR="00302902" w:rsidRPr="00D96C07">
        <w:t xml:space="preserve"> as in</w:t>
      </w:r>
      <w:r w:rsidR="00CD253F" w:rsidRPr="00D96C07">
        <w:t xml:space="preserve"> substituting </w:t>
      </w:r>
      <w:r w:rsidR="00302902" w:rsidRPr="00D96C07">
        <w:t>an outdated term for a product with a new one that is now widely recognized and accepted</w:t>
      </w:r>
      <w:r w:rsidR="00CA1DA2" w:rsidRPr="00D96C07">
        <w:t>;</w:t>
      </w:r>
      <w:r w:rsidR="00302902" w:rsidRPr="00D96C07">
        <w:t xml:space="preserve"> or </w:t>
      </w:r>
      <w:r w:rsidR="007C6A69" w:rsidRPr="00D96C07">
        <w:t xml:space="preserve">substantive, </w:t>
      </w:r>
      <w:r w:rsidR="00302902" w:rsidRPr="00D96C07">
        <w:t xml:space="preserve">as </w:t>
      </w:r>
      <w:r w:rsidR="007C6A69" w:rsidRPr="00D96C07">
        <w:t xml:space="preserve">in response to </w:t>
      </w:r>
      <w:r w:rsidR="00302902" w:rsidRPr="00D96C07">
        <w:t>a recent tobacco product</w:t>
      </w:r>
      <w:r w:rsidR="007C6A69" w:rsidRPr="00D96C07">
        <w:t xml:space="preserve"> </w:t>
      </w:r>
      <w:r w:rsidR="005810F5" w:rsidRPr="00D96C07">
        <w:t>regulat</w:t>
      </w:r>
      <w:r w:rsidR="00651003" w:rsidRPr="00D96C07">
        <w:t>ion</w:t>
      </w:r>
      <w:r w:rsidR="00302902" w:rsidRPr="00D96C07">
        <w:t xml:space="preserve"> promulgated </w:t>
      </w:r>
      <w:r w:rsidR="007C6A69" w:rsidRPr="00D96C07">
        <w:t xml:space="preserve">by </w:t>
      </w:r>
      <w:r w:rsidR="00162E65" w:rsidRPr="00D96C07">
        <w:t>F</w:t>
      </w:r>
      <w:r w:rsidR="005810F5" w:rsidRPr="00D96C07">
        <w:t>DA</w:t>
      </w:r>
      <w:r w:rsidR="007C6A69" w:rsidRPr="00D96C07">
        <w:t>.</w:t>
      </w:r>
      <w:r w:rsidR="00A23708" w:rsidRPr="00D96C07">
        <w:t xml:space="preserve"> </w:t>
      </w:r>
      <w:r w:rsidR="007C6A69" w:rsidRPr="00D96C07">
        <w:t xml:space="preserve">They could </w:t>
      </w:r>
      <w:r w:rsidR="00DF369C" w:rsidRPr="00D96C07">
        <w:t xml:space="preserve">also </w:t>
      </w:r>
      <w:r w:rsidR="00302902" w:rsidRPr="00D96C07">
        <w:t>reflect</w:t>
      </w:r>
      <w:r w:rsidR="007C6A69" w:rsidRPr="00D96C07">
        <w:t xml:space="preserve"> </w:t>
      </w:r>
      <w:r w:rsidR="00302902" w:rsidRPr="00D96C07">
        <w:t xml:space="preserve">a </w:t>
      </w:r>
      <w:r w:rsidR="007C6A69" w:rsidRPr="00D96C07">
        <w:t>change in data collection mode</w:t>
      </w:r>
      <w:r w:rsidR="00302902" w:rsidRPr="00D96C07">
        <w:t>, such as the use of a web-based format for use by participants who</w:t>
      </w:r>
      <w:r w:rsidR="00B73103" w:rsidRPr="00D96C07">
        <w:t xml:space="preserve"> move and cannot be interviewed in person.</w:t>
      </w:r>
    </w:p>
    <w:p w14:paraId="2669657A" w14:textId="77777777" w:rsidR="001B1DDA" w:rsidRPr="00D96C07" w:rsidRDefault="001B1DDA" w:rsidP="00A23708">
      <w:pPr>
        <w:pStyle w:val="L1-FlLSp12"/>
      </w:pPr>
    </w:p>
    <w:p w14:paraId="2669657B" w14:textId="77777777" w:rsidR="00A23708" w:rsidRPr="00D96C07" w:rsidRDefault="00A23708" w:rsidP="00A23708">
      <w:pPr>
        <w:pStyle w:val="L1-FlLSp12"/>
      </w:pPr>
    </w:p>
    <w:p w14:paraId="2669657C" w14:textId="77777777" w:rsidR="002F7ABC" w:rsidRPr="00D96C07" w:rsidRDefault="002F7ABC" w:rsidP="00A23708">
      <w:pPr>
        <w:pStyle w:val="Heading2"/>
      </w:pPr>
      <w:r w:rsidRPr="00D96C07">
        <w:t>A.3</w:t>
      </w:r>
      <w:r w:rsidRPr="00D96C07">
        <w:tab/>
        <w:t>Use of Information Technology and Burden Reduction</w:t>
      </w:r>
    </w:p>
    <w:p w14:paraId="2669657D" w14:textId="77777777" w:rsidR="00B66CD9" w:rsidRPr="00D96C07" w:rsidRDefault="00B66CD9" w:rsidP="00A23708">
      <w:pPr>
        <w:pStyle w:val="L1-FlLSp12"/>
      </w:pPr>
      <w:r w:rsidRPr="00D96C07">
        <w:t xml:space="preserve">Appropriate technology will be used to keep </w:t>
      </w:r>
      <w:r w:rsidR="00124A32" w:rsidRPr="00D96C07">
        <w:t xml:space="preserve">participant </w:t>
      </w:r>
      <w:r w:rsidRPr="00D96C07">
        <w:t xml:space="preserve">burden to a minimum. </w:t>
      </w:r>
      <w:r w:rsidR="002426EF" w:rsidRPr="00D96C07">
        <w:t>C</w:t>
      </w:r>
      <w:r w:rsidR="00124A32" w:rsidRPr="00D96C07">
        <w:t xml:space="preserve">ognitive </w:t>
      </w:r>
      <w:r w:rsidR="0039134B" w:rsidRPr="00D96C07">
        <w:t>interview</w:t>
      </w:r>
      <w:r w:rsidR="002426EF" w:rsidRPr="00D96C07">
        <w:t>s and</w:t>
      </w:r>
      <w:r w:rsidR="00E00477" w:rsidRPr="00D96C07">
        <w:t xml:space="preserve"> </w:t>
      </w:r>
      <w:r w:rsidR="0039134B" w:rsidRPr="00D96C07">
        <w:t>focus group</w:t>
      </w:r>
      <w:r w:rsidR="002426EF" w:rsidRPr="00D96C07">
        <w:t>s</w:t>
      </w:r>
      <w:r w:rsidR="00124A32" w:rsidRPr="00D96C07">
        <w:t xml:space="preserve"> will </w:t>
      </w:r>
      <w:r w:rsidR="002426EF" w:rsidRPr="00D96C07">
        <w:t xml:space="preserve">both </w:t>
      </w:r>
      <w:r w:rsidR="00124A32" w:rsidRPr="00D96C07">
        <w:t xml:space="preserve">be </w:t>
      </w:r>
      <w:r w:rsidR="00E00477" w:rsidRPr="00D96C07">
        <w:t>conducted</w:t>
      </w:r>
      <w:r w:rsidR="00124A32" w:rsidRPr="00D96C07">
        <w:t xml:space="preserve"> by an interviewer</w:t>
      </w:r>
      <w:r w:rsidR="0039134B" w:rsidRPr="00D96C07">
        <w:t xml:space="preserve"> or moderator</w:t>
      </w:r>
      <w:r w:rsidR="003E112A" w:rsidRPr="00D96C07">
        <w:t>. H</w:t>
      </w:r>
      <w:r w:rsidR="00124A32" w:rsidRPr="00D96C07">
        <w:t>owever</w:t>
      </w:r>
      <w:r w:rsidR="00C17794" w:rsidRPr="00D96C07">
        <w:t>,</w:t>
      </w:r>
      <w:r w:rsidR="00124A32" w:rsidRPr="00D96C07">
        <w:t xml:space="preserve"> automated data collection methods </w:t>
      </w:r>
      <w:r w:rsidR="00DD4589" w:rsidRPr="00D96C07">
        <w:t>such as</w:t>
      </w:r>
      <w:r w:rsidR="00C17794" w:rsidRPr="00D96C07">
        <w:t xml:space="preserve"> computer assisted personal interviewing </w:t>
      </w:r>
      <w:r w:rsidR="0011137D" w:rsidRPr="00D96C07">
        <w:t xml:space="preserve">(CAPI) and </w:t>
      </w:r>
      <w:r w:rsidR="00C17794" w:rsidRPr="00D96C07">
        <w:t xml:space="preserve">audio computer </w:t>
      </w:r>
      <w:r w:rsidR="00C17794" w:rsidRPr="00D96C07">
        <w:lastRenderedPageBreak/>
        <w:t xml:space="preserve">assisted self-interviewing </w:t>
      </w:r>
      <w:r w:rsidR="0011137D" w:rsidRPr="00D96C07">
        <w:t xml:space="preserve">(ACASI), as well as web-based </w:t>
      </w:r>
      <w:r w:rsidR="00F2482E" w:rsidRPr="00D96C07">
        <w:t xml:space="preserve">cognitive </w:t>
      </w:r>
      <w:r w:rsidR="0011137D" w:rsidRPr="00D96C07">
        <w:t>interviews</w:t>
      </w:r>
      <w:r w:rsidR="00DD4589" w:rsidRPr="00D96C07">
        <w:t xml:space="preserve"> </w:t>
      </w:r>
      <w:r w:rsidR="009D11EA" w:rsidRPr="00D96C07">
        <w:t>and focus groups</w:t>
      </w:r>
      <w:r w:rsidR="00CA1DA2" w:rsidRPr="00D96C07">
        <w:t>,</w:t>
      </w:r>
      <w:r w:rsidR="009D11EA" w:rsidRPr="00D96C07">
        <w:t xml:space="preserve"> </w:t>
      </w:r>
      <w:r w:rsidR="00DD4589" w:rsidRPr="00D96C07">
        <w:t>may be used to reduce participant burden</w:t>
      </w:r>
      <w:r w:rsidR="0011137D" w:rsidRPr="00D96C07">
        <w:t>.</w:t>
      </w:r>
      <w:r w:rsidR="00A23708" w:rsidRPr="00D96C07">
        <w:t xml:space="preserve"> </w:t>
      </w:r>
      <w:r w:rsidR="00572560" w:rsidRPr="00D96C07">
        <w:t xml:space="preserve">In </w:t>
      </w:r>
      <w:r w:rsidRPr="00D96C07">
        <w:t>CAPI interviews</w:t>
      </w:r>
      <w:r w:rsidR="0079439D" w:rsidRPr="00D96C07">
        <w:t>,</w:t>
      </w:r>
      <w:r w:rsidR="00572560" w:rsidRPr="00D96C07">
        <w:t xml:space="preserve"> an</w:t>
      </w:r>
      <w:r w:rsidRPr="00D96C07">
        <w:t xml:space="preserve"> interviewer ask</w:t>
      </w:r>
      <w:r w:rsidR="00572560" w:rsidRPr="00D96C07">
        <w:t>s</w:t>
      </w:r>
      <w:r w:rsidRPr="00D96C07">
        <w:t xml:space="preserve"> </w:t>
      </w:r>
      <w:r w:rsidR="00D81315" w:rsidRPr="00D96C07">
        <w:t xml:space="preserve">a participant to answer </w:t>
      </w:r>
      <w:r w:rsidRPr="00D96C07">
        <w:t>questions and record</w:t>
      </w:r>
      <w:r w:rsidR="00572560" w:rsidRPr="00D96C07">
        <w:t>s</w:t>
      </w:r>
      <w:r w:rsidRPr="00D96C07">
        <w:t xml:space="preserve"> responses i</w:t>
      </w:r>
      <w:r w:rsidR="00572560" w:rsidRPr="00D96C07">
        <w:t>nto a laptop computer.</w:t>
      </w:r>
      <w:r w:rsidR="00A23708" w:rsidRPr="00D96C07">
        <w:t xml:space="preserve"> </w:t>
      </w:r>
      <w:r w:rsidR="00572560" w:rsidRPr="00D96C07">
        <w:t xml:space="preserve">In </w:t>
      </w:r>
      <w:r w:rsidRPr="00D96C07">
        <w:t>ACASI interviews</w:t>
      </w:r>
      <w:r w:rsidR="0079439D" w:rsidRPr="00D96C07">
        <w:t>,</w:t>
      </w:r>
      <w:r w:rsidRPr="00D96C07">
        <w:t xml:space="preserve"> </w:t>
      </w:r>
      <w:r w:rsidR="00572560" w:rsidRPr="00D96C07">
        <w:t>a</w:t>
      </w:r>
      <w:r w:rsidRPr="00D96C07">
        <w:t xml:space="preserve"> </w:t>
      </w:r>
      <w:r w:rsidR="000123DB" w:rsidRPr="00D96C07">
        <w:t>participant</w:t>
      </w:r>
      <w:r w:rsidRPr="00D96C07">
        <w:t xml:space="preserve"> us</w:t>
      </w:r>
      <w:r w:rsidR="00572560" w:rsidRPr="00D96C07">
        <w:t>es</w:t>
      </w:r>
      <w:r w:rsidRPr="00D96C07">
        <w:t xml:space="preserve"> a computer to answer questions on his/her own</w:t>
      </w:r>
      <w:r w:rsidR="00CA1DA2" w:rsidRPr="00D96C07">
        <w:t xml:space="preserve">; the method </w:t>
      </w:r>
      <w:r w:rsidR="00C17794" w:rsidRPr="00D96C07">
        <w:t xml:space="preserve">includes </w:t>
      </w:r>
      <w:r w:rsidRPr="00D96C07">
        <w:t>audio capabilities</w:t>
      </w:r>
      <w:r w:rsidR="00572560" w:rsidRPr="00D96C07">
        <w:t xml:space="preserve"> where interview items (</w:t>
      </w:r>
      <w:r w:rsidR="00DD4589" w:rsidRPr="00D96C07">
        <w:t xml:space="preserve">e.g., </w:t>
      </w:r>
      <w:r w:rsidR="00572560" w:rsidRPr="00D96C07">
        <w:t xml:space="preserve">questions, response categories, </w:t>
      </w:r>
      <w:r w:rsidR="00C17794" w:rsidRPr="00D96C07">
        <w:t>and instructions</w:t>
      </w:r>
      <w:r w:rsidR="00572560" w:rsidRPr="00D96C07">
        <w:t>) are read aloud.</w:t>
      </w:r>
      <w:r w:rsidR="00A23708" w:rsidRPr="00D96C07">
        <w:t xml:space="preserve"> </w:t>
      </w:r>
      <w:r w:rsidR="00572560" w:rsidRPr="00D96C07">
        <w:t xml:space="preserve">Both of these technologies reduce the burden on </w:t>
      </w:r>
      <w:r w:rsidR="000123DB" w:rsidRPr="00D96C07">
        <w:t>participants</w:t>
      </w:r>
      <w:r w:rsidR="00572560" w:rsidRPr="00D96C07">
        <w:t xml:space="preserve">, as both eliminate the need for </w:t>
      </w:r>
      <w:r w:rsidR="000123DB" w:rsidRPr="00D96C07">
        <w:t>participants</w:t>
      </w:r>
      <w:r w:rsidR="00572560" w:rsidRPr="00D96C07">
        <w:t xml:space="preserve"> to read interview items and write responses.</w:t>
      </w:r>
      <w:r w:rsidR="00A23708" w:rsidRPr="00D96C07">
        <w:t xml:space="preserve"> </w:t>
      </w:r>
      <w:r w:rsidR="002426EF" w:rsidRPr="00D96C07">
        <w:t>C</w:t>
      </w:r>
      <w:r w:rsidR="00DD4589" w:rsidRPr="00D96C07">
        <w:t xml:space="preserve">ognitive </w:t>
      </w:r>
      <w:r w:rsidR="0039134B" w:rsidRPr="00D96C07">
        <w:t>interview</w:t>
      </w:r>
      <w:r w:rsidR="002426EF" w:rsidRPr="00D96C07">
        <w:t>s</w:t>
      </w:r>
      <w:r w:rsidR="0039134B" w:rsidRPr="00D96C07">
        <w:t xml:space="preserve"> and focus group</w:t>
      </w:r>
      <w:r w:rsidR="00DD4589" w:rsidRPr="00D96C07">
        <w:t>s</w:t>
      </w:r>
      <w:r w:rsidR="002426EF" w:rsidRPr="00D96C07">
        <w:t xml:space="preserve"> about CAPI and ACASI </w:t>
      </w:r>
      <w:r w:rsidR="005B60A2" w:rsidRPr="00D96C07">
        <w:t xml:space="preserve">may </w:t>
      </w:r>
      <w:r w:rsidR="00DD4589" w:rsidRPr="00D96C07">
        <w:t>ask</w:t>
      </w:r>
      <w:r w:rsidR="005B60A2" w:rsidRPr="00D96C07">
        <w:t xml:space="preserve"> </w:t>
      </w:r>
      <w:r w:rsidR="000123DB" w:rsidRPr="00D96C07">
        <w:t>participants</w:t>
      </w:r>
      <w:r w:rsidR="005B60A2" w:rsidRPr="00D96C07">
        <w:t xml:space="preserve"> </w:t>
      </w:r>
      <w:r w:rsidR="00DD4589" w:rsidRPr="00D96C07">
        <w:t xml:space="preserve">about their </w:t>
      </w:r>
      <w:r w:rsidR="002426EF" w:rsidRPr="00D96C07">
        <w:t xml:space="preserve">general </w:t>
      </w:r>
      <w:r w:rsidR="005B60A2" w:rsidRPr="00D96C07">
        <w:t>experience</w:t>
      </w:r>
      <w:r w:rsidR="002426EF" w:rsidRPr="00D96C07">
        <w:t>s</w:t>
      </w:r>
      <w:r w:rsidR="005B60A2" w:rsidRPr="00D96C07">
        <w:t xml:space="preserve"> with the data collection method</w:t>
      </w:r>
      <w:r w:rsidR="002426EF" w:rsidRPr="00D96C07">
        <w:t xml:space="preserve">s, whether they preferred one method over the other and why, and </w:t>
      </w:r>
      <w:r w:rsidR="00DD4589" w:rsidRPr="00D96C07">
        <w:t xml:space="preserve">about </w:t>
      </w:r>
      <w:r w:rsidR="005B60A2" w:rsidRPr="00D96C07">
        <w:t>the</w:t>
      </w:r>
      <w:r w:rsidR="00DD4589" w:rsidRPr="00D96C07">
        <w:t>ir</w:t>
      </w:r>
      <w:r w:rsidR="00D81315" w:rsidRPr="00D96C07">
        <w:t xml:space="preserve"> understanding </w:t>
      </w:r>
      <w:r w:rsidR="005B60A2" w:rsidRPr="00D96C07">
        <w:t xml:space="preserve">of </w:t>
      </w:r>
      <w:r w:rsidR="00D81315" w:rsidRPr="00D96C07">
        <w:t xml:space="preserve">the </w:t>
      </w:r>
      <w:r w:rsidR="009D4839" w:rsidRPr="00D96C07">
        <w:t xml:space="preserve">study </w:t>
      </w:r>
      <w:r w:rsidR="005B60A2" w:rsidRPr="00D96C07">
        <w:t>question</w:t>
      </w:r>
      <w:r w:rsidR="00D81315" w:rsidRPr="00D96C07">
        <w:t>s</w:t>
      </w:r>
      <w:r w:rsidR="005B60A2" w:rsidRPr="00D96C07">
        <w:t xml:space="preserve"> being </w:t>
      </w:r>
      <w:r w:rsidR="00DD4589" w:rsidRPr="00D96C07">
        <w:t>tested</w:t>
      </w:r>
      <w:r w:rsidR="005B60A2" w:rsidRPr="00D96C07">
        <w:t>.</w:t>
      </w:r>
    </w:p>
    <w:p w14:paraId="2669657E" w14:textId="77777777" w:rsidR="00B66CD9" w:rsidRPr="00D96C07" w:rsidRDefault="00B66CD9" w:rsidP="00A23708">
      <w:pPr>
        <w:pStyle w:val="L1-FlLSp12"/>
      </w:pPr>
    </w:p>
    <w:p w14:paraId="2669657F" w14:textId="77777777" w:rsidR="00EE5EDB" w:rsidRPr="00D96C07" w:rsidRDefault="00DD4589" w:rsidP="00A23708">
      <w:pPr>
        <w:pStyle w:val="L1-FlLSp12"/>
      </w:pPr>
      <w:r w:rsidRPr="00D96C07">
        <w:t>I</w:t>
      </w:r>
      <w:r w:rsidR="00572560" w:rsidRPr="00D96C07">
        <w:t>f</w:t>
      </w:r>
      <w:r w:rsidRPr="00D96C07">
        <w:t xml:space="preserve"> </w:t>
      </w:r>
      <w:r w:rsidR="00572560" w:rsidRPr="00D96C07">
        <w:t xml:space="preserve">needed, </w:t>
      </w:r>
      <w:r w:rsidRPr="00D96C07">
        <w:t xml:space="preserve">interviewers </w:t>
      </w:r>
      <w:r w:rsidR="0039134B" w:rsidRPr="00D96C07">
        <w:t xml:space="preserve">and moderators </w:t>
      </w:r>
      <w:r w:rsidRPr="00D96C07">
        <w:t xml:space="preserve">may also </w:t>
      </w:r>
      <w:r w:rsidR="00C17794" w:rsidRPr="00D96C07">
        <w:t>use</w:t>
      </w:r>
      <w:r w:rsidRPr="00D96C07">
        <w:t xml:space="preserve"> </w:t>
      </w:r>
      <w:r w:rsidR="00572560" w:rsidRPr="00D96C07">
        <w:t>h</w:t>
      </w:r>
      <w:r w:rsidR="00C13D14" w:rsidRPr="00D96C07">
        <w:t>ard-copy f</w:t>
      </w:r>
      <w:r w:rsidR="0011137D" w:rsidRPr="00D96C07">
        <w:t xml:space="preserve">orms and questionnaires </w:t>
      </w:r>
      <w:r w:rsidRPr="00D96C07">
        <w:t xml:space="preserve">when conducting cognitive </w:t>
      </w:r>
      <w:r w:rsidR="003D6E59" w:rsidRPr="00D96C07">
        <w:t>interviews</w:t>
      </w:r>
      <w:r w:rsidR="0039134B" w:rsidRPr="00D96C07">
        <w:t xml:space="preserve"> and focus group</w:t>
      </w:r>
      <w:r w:rsidRPr="00D96C07">
        <w:t>s</w:t>
      </w:r>
      <w:r w:rsidR="00EE5EDB" w:rsidRPr="00D96C07">
        <w:t xml:space="preserve"> with participants</w:t>
      </w:r>
      <w:r w:rsidR="00B1372B" w:rsidRPr="00D96C07">
        <w:t xml:space="preserve">. </w:t>
      </w:r>
      <w:r w:rsidRPr="00D96C07">
        <w:t xml:space="preserve">These </w:t>
      </w:r>
      <w:r w:rsidR="00352250" w:rsidRPr="00D96C07">
        <w:t xml:space="preserve">hardcopy materials </w:t>
      </w:r>
      <w:r w:rsidR="0011137D" w:rsidRPr="00D96C07">
        <w:t>will be developed in user-friendly formats to reduce the time needed for completion</w:t>
      </w:r>
      <w:r w:rsidRPr="00D96C07">
        <w:t xml:space="preserve"> by participants</w:t>
      </w:r>
      <w:r w:rsidR="0011137D" w:rsidRPr="00D96C07">
        <w:t>.</w:t>
      </w:r>
      <w:r w:rsidR="00A23708" w:rsidRPr="00D96C07">
        <w:t xml:space="preserve"> </w:t>
      </w:r>
    </w:p>
    <w:p w14:paraId="26696580" w14:textId="77777777" w:rsidR="00EE5EDB" w:rsidRPr="00D96C07" w:rsidRDefault="00EE5EDB" w:rsidP="00A23708">
      <w:pPr>
        <w:pStyle w:val="L1-FlLSp12"/>
      </w:pPr>
    </w:p>
    <w:p w14:paraId="26696581" w14:textId="77777777" w:rsidR="0011137D" w:rsidRPr="00D96C07" w:rsidRDefault="0055140F" w:rsidP="00A23708">
      <w:pPr>
        <w:pStyle w:val="L1-FlLSp12"/>
      </w:pPr>
      <w:r w:rsidRPr="00D96C07">
        <w:t xml:space="preserve">The PATH </w:t>
      </w:r>
      <w:r w:rsidR="008F7090" w:rsidRPr="00D96C07">
        <w:t>Study</w:t>
      </w:r>
      <w:r w:rsidRPr="00D96C07">
        <w:t xml:space="preserve"> instruments</w:t>
      </w:r>
      <w:r w:rsidR="009A37AD" w:rsidRPr="00D96C07">
        <w:t>,</w:t>
      </w:r>
      <w:r w:rsidRPr="00D96C07">
        <w:t xml:space="preserve"> </w:t>
      </w:r>
      <w:r w:rsidR="009A37AD" w:rsidRPr="00D96C07">
        <w:t>consent forms</w:t>
      </w:r>
      <w:r w:rsidR="00CD4B06" w:rsidRPr="00D96C07">
        <w:t>,</w:t>
      </w:r>
      <w:r w:rsidRPr="00D96C07">
        <w:t xml:space="preserve"> </w:t>
      </w:r>
      <w:r w:rsidR="00CA1DA2" w:rsidRPr="00D96C07">
        <w:t xml:space="preserve">and other materials </w:t>
      </w:r>
      <w:r w:rsidRPr="00D96C07">
        <w:t xml:space="preserve">will be available in </w:t>
      </w:r>
      <w:r w:rsidR="00E00477" w:rsidRPr="00D96C07">
        <w:t xml:space="preserve">both English and </w:t>
      </w:r>
      <w:r w:rsidR="00616680" w:rsidRPr="00D96C07">
        <w:t>Spanish</w:t>
      </w:r>
      <w:r w:rsidRPr="00D96C07">
        <w:t>.</w:t>
      </w:r>
      <w:r w:rsidR="00A23708" w:rsidRPr="00D96C07">
        <w:t xml:space="preserve"> </w:t>
      </w:r>
      <w:r w:rsidRPr="00D96C07">
        <w:t xml:space="preserve">As appropriate, cognitive </w:t>
      </w:r>
      <w:r w:rsidR="003D6E59" w:rsidRPr="00D96C07">
        <w:t>interviews</w:t>
      </w:r>
      <w:r w:rsidR="0039134B" w:rsidRPr="00D96C07">
        <w:t xml:space="preserve"> and focus group</w:t>
      </w:r>
      <w:r w:rsidRPr="00D96C07">
        <w:t xml:space="preserve">s may be conducted on </w:t>
      </w:r>
      <w:r w:rsidR="00616680" w:rsidRPr="00D96C07">
        <w:t>Spanish</w:t>
      </w:r>
      <w:r w:rsidR="00D07867" w:rsidRPr="00D96C07">
        <w:t xml:space="preserve"> versions of the instruments</w:t>
      </w:r>
      <w:r w:rsidR="009A37AD" w:rsidRPr="00D96C07">
        <w:t>,</w:t>
      </w:r>
      <w:r w:rsidR="0079439D" w:rsidRPr="00D96C07">
        <w:t xml:space="preserve"> </w:t>
      </w:r>
      <w:r w:rsidR="009A37AD" w:rsidRPr="00D96C07">
        <w:t>consent forms</w:t>
      </w:r>
      <w:r w:rsidR="00CA1DA2" w:rsidRPr="00D96C07">
        <w:t>, and other materials</w:t>
      </w:r>
      <w:r w:rsidR="00D07867" w:rsidRPr="00D96C07">
        <w:t>.</w:t>
      </w:r>
      <w:r w:rsidR="00EE5EDB" w:rsidRPr="00D96C07">
        <w:t xml:space="preserve"> I</w:t>
      </w:r>
      <w:r w:rsidR="000E0A2E" w:rsidRPr="00D96C07">
        <w:t>n such instances</w:t>
      </w:r>
      <w:r w:rsidR="00EE5EDB" w:rsidRPr="00D96C07">
        <w:t xml:space="preserve">, the </w:t>
      </w:r>
      <w:r w:rsidR="00616680" w:rsidRPr="00D96C07">
        <w:t>Spanish</w:t>
      </w:r>
      <w:r w:rsidR="00EE5EDB" w:rsidRPr="00D96C07">
        <w:t xml:space="preserve"> </w:t>
      </w:r>
      <w:r w:rsidR="00CB3843" w:rsidRPr="00D96C07">
        <w:t xml:space="preserve">versions </w:t>
      </w:r>
      <w:r w:rsidR="00EE5EDB" w:rsidRPr="00D96C07">
        <w:t xml:space="preserve">to be tested will be included in the </w:t>
      </w:r>
      <w:r w:rsidR="00E00477" w:rsidRPr="00D96C07">
        <w:t xml:space="preserve">substudy </w:t>
      </w:r>
      <w:r w:rsidR="00EE5EDB" w:rsidRPr="00D96C07">
        <w:t xml:space="preserve">request submitted </w:t>
      </w:r>
      <w:r w:rsidR="00CB3843" w:rsidRPr="00D96C07">
        <w:t xml:space="preserve">to OMB </w:t>
      </w:r>
      <w:r w:rsidR="00EE5EDB" w:rsidRPr="00D96C07">
        <w:t xml:space="preserve">under this </w:t>
      </w:r>
      <w:r w:rsidR="00AF5E73" w:rsidRPr="00D96C07">
        <w:t>Generic Clearance</w:t>
      </w:r>
      <w:r w:rsidR="00EE5EDB" w:rsidRPr="00D96C07">
        <w:t xml:space="preserve">. </w:t>
      </w:r>
    </w:p>
    <w:p w14:paraId="26696582" w14:textId="77777777" w:rsidR="00111A25" w:rsidRPr="00D96C07" w:rsidRDefault="00111A25" w:rsidP="00A23708">
      <w:pPr>
        <w:pStyle w:val="L1-FlLSp12"/>
      </w:pPr>
    </w:p>
    <w:p w14:paraId="26696583" w14:textId="77777777" w:rsidR="00A23708" w:rsidRPr="00D96C07" w:rsidRDefault="00A23708" w:rsidP="00A23708">
      <w:pPr>
        <w:pStyle w:val="L1-FlLSp12"/>
      </w:pPr>
    </w:p>
    <w:p w14:paraId="26696584" w14:textId="77777777" w:rsidR="002F7ABC" w:rsidRPr="00D96C07" w:rsidRDefault="002F7ABC" w:rsidP="00A23708">
      <w:pPr>
        <w:pStyle w:val="Heading2"/>
      </w:pPr>
      <w:r w:rsidRPr="00D96C07">
        <w:t>A.4</w:t>
      </w:r>
      <w:r w:rsidRPr="00D96C07">
        <w:tab/>
        <w:t>Efforts to Identify Duplication and Use of Similar Information</w:t>
      </w:r>
    </w:p>
    <w:p w14:paraId="26696585" w14:textId="77777777" w:rsidR="00A70FFC" w:rsidRDefault="00CB3843" w:rsidP="00A23708">
      <w:pPr>
        <w:pStyle w:val="L1-FlLSp12"/>
      </w:pPr>
      <w:r w:rsidRPr="00D96C07">
        <w:t>C</w:t>
      </w:r>
      <w:r w:rsidR="00C13D14" w:rsidRPr="00D96C07">
        <w:t xml:space="preserve">ognitive </w:t>
      </w:r>
      <w:r w:rsidR="003D6E59" w:rsidRPr="00D96C07">
        <w:t>interviews</w:t>
      </w:r>
      <w:r w:rsidR="0039134B" w:rsidRPr="00D96C07">
        <w:t xml:space="preserve"> and focus group</w:t>
      </w:r>
      <w:r w:rsidR="00C13D14" w:rsidRPr="00D96C07">
        <w:t>s</w:t>
      </w:r>
      <w:r w:rsidRPr="00D96C07">
        <w:t xml:space="preserve"> conducted</w:t>
      </w:r>
      <w:r w:rsidR="00C13D14" w:rsidRPr="00D96C07">
        <w:t xml:space="preserve"> under this </w:t>
      </w:r>
      <w:r w:rsidR="00AF5E73" w:rsidRPr="00D96C07">
        <w:t>Generic Clearance</w:t>
      </w:r>
      <w:r w:rsidR="00C13D14" w:rsidRPr="00D96C07">
        <w:t xml:space="preserve"> </w:t>
      </w:r>
      <w:r w:rsidRPr="00D96C07">
        <w:t xml:space="preserve">will </w:t>
      </w:r>
      <w:r w:rsidR="00FD0217" w:rsidRPr="00D96C07">
        <w:t>not duplicat</w:t>
      </w:r>
      <w:r w:rsidRPr="00D96C07">
        <w:t>e</w:t>
      </w:r>
      <w:r w:rsidR="00FD0217" w:rsidRPr="00D96C07">
        <w:t xml:space="preserve"> </w:t>
      </w:r>
      <w:r w:rsidR="00C13D14" w:rsidRPr="00D96C07">
        <w:t xml:space="preserve">other instrument development </w:t>
      </w:r>
      <w:r w:rsidRPr="00D96C07">
        <w:t>activities by</w:t>
      </w:r>
      <w:r w:rsidR="00C13D14" w:rsidRPr="00D96C07">
        <w:t xml:space="preserve"> the PATH </w:t>
      </w:r>
      <w:r w:rsidR="008F7090" w:rsidRPr="00D96C07">
        <w:t>Study</w:t>
      </w:r>
      <w:r w:rsidR="00182655" w:rsidRPr="00D96C07">
        <w:t xml:space="preserve"> or </w:t>
      </w:r>
      <w:r w:rsidRPr="00D96C07">
        <w:t>by</w:t>
      </w:r>
      <w:r w:rsidR="003806B4" w:rsidRPr="00D96C07">
        <w:t xml:space="preserve"> </w:t>
      </w:r>
      <w:r w:rsidR="00182655" w:rsidRPr="00D96C07">
        <w:t>other studies</w:t>
      </w:r>
      <w:r w:rsidR="006E784E" w:rsidRPr="00D96C07">
        <w:t>, such as may be conducted by programs in sister agencies of the U.S. Department of Health and Human Services</w:t>
      </w:r>
      <w:r w:rsidR="009D11EA" w:rsidRPr="00D96C07">
        <w:t xml:space="preserve"> (HHS)</w:t>
      </w:r>
      <w:r w:rsidR="006E784E" w:rsidRPr="00D96C07">
        <w:t>.</w:t>
      </w:r>
      <w:r w:rsidR="00A23708" w:rsidRPr="00D96C07">
        <w:t xml:space="preserve"> </w:t>
      </w:r>
      <w:r w:rsidRPr="00D96C07">
        <w:t xml:space="preserve">Rather, </w:t>
      </w:r>
      <w:r w:rsidR="00074A39">
        <w:t>each substudy will be for the purpose of addressing a specific informational need of the PATH Study.</w:t>
      </w:r>
      <w:r w:rsidR="00D6187D" w:rsidRPr="00D96C07">
        <w:t xml:space="preserve"> </w:t>
      </w:r>
      <w:r w:rsidR="00A70FFC" w:rsidRPr="00D96C07">
        <w:t xml:space="preserve">During the planning and development of a substudy for submission under this </w:t>
      </w:r>
      <w:r w:rsidR="00AF5E73" w:rsidRPr="00D96C07">
        <w:t>Generic Clearance</w:t>
      </w:r>
      <w:r w:rsidR="00A70FFC" w:rsidRPr="00D96C07">
        <w:t xml:space="preserve">, </w:t>
      </w:r>
      <w:r w:rsidR="006F28F7" w:rsidRPr="00D96C07">
        <w:t xml:space="preserve">the PATH Study will </w:t>
      </w:r>
      <w:r w:rsidR="00A70FFC" w:rsidRPr="00D96C07">
        <w:t xml:space="preserve">first </w:t>
      </w:r>
      <w:r w:rsidR="006F28F7" w:rsidRPr="00D96C07">
        <w:t xml:space="preserve">review the literature </w:t>
      </w:r>
      <w:r w:rsidR="00A70FFC" w:rsidRPr="00D96C07">
        <w:t>for</w:t>
      </w:r>
      <w:r w:rsidR="006F28F7" w:rsidRPr="00D96C07">
        <w:t xml:space="preserve"> information that may </w:t>
      </w:r>
      <w:r w:rsidR="00A70FFC" w:rsidRPr="00D96C07">
        <w:t>be relevant to ensure that the planned substudy fills a specific need, addresses unique questions, and will not be</w:t>
      </w:r>
      <w:r w:rsidR="006F28F7" w:rsidRPr="00D96C07">
        <w:t xml:space="preserve"> duplicati</w:t>
      </w:r>
      <w:r w:rsidR="00A70FFC" w:rsidRPr="00D96C07">
        <w:t>ve of existing efforts</w:t>
      </w:r>
      <w:r w:rsidR="00D6187D" w:rsidRPr="00D96C07">
        <w:t xml:space="preserve">. </w:t>
      </w:r>
      <w:r w:rsidR="009D11EA" w:rsidRPr="00D96C07">
        <w:t xml:space="preserve">In addition, </w:t>
      </w:r>
      <w:r w:rsidR="008E50B5">
        <w:t xml:space="preserve">to reduce duplication and associated participant burden, the PATH Study team will invite </w:t>
      </w:r>
      <w:r w:rsidR="00862D6A">
        <w:t>program leads on tobacco studies</w:t>
      </w:r>
      <w:r w:rsidR="008E50B5">
        <w:t xml:space="preserve"> from sister HHS agencies to review the draft plans and protocols </w:t>
      </w:r>
      <w:r w:rsidR="009C09E5">
        <w:t xml:space="preserve">for each substudy </w:t>
      </w:r>
      <w:r w:rsidR="008E50B5">
        <w:t xml:space="preserve">in advance of </w:t>
      </w:r>
      <w:r w:rsidR="009C09E5">
        <w:t xml:space="preserve">submitting the substudy request </w:t>
      </w:r>
      <w:r w:rsidR="008E50B5">
        <w:t xml:space="preserve">to OMB. </w:t>
      </w:r>
    </w:p>
    <w:p w14:paraId="26696586" w14:textId="77777777" w:rsidR="008E50B5" w:rsidRDefault="008E50B5" w:rsidP="00A23708">
      <w:pPr>
        <w:pStyle w:val="L1-FlLSp12"/>
      </w:pPr>
    </w:p>
    <w:p w14:paraId="26696587" w14:textId="77777777" w:rsidR="00A23708" w:rsidRPr="00D96C07" w:rsidRDefault="003806B4" w:rsidP="00A23708">
      <w:pPr>
        <w:pStyle w:val="L1-FlLSp12"/>
      </w:pPr>
      <w:r w:rsidRPr="00D96C07">
        <w:lastRenderedPageBreak/>
        <w:t>The</w:t>
      </w:r>
      <w:r w:rsidR="00182655" w:rsidRPr="00D96C07">
        <w:t xml:space="preserve"> PATH </w:t>
      </w:r>
      <w:r w:rsidR="008F7090" w:rsidRPr="00D96C07">
        <w:t>Study</w:t>
      </w:r>
      <w:r w:rsidR="00A70FFC" w:rsidRPr="00D96C07">
        <w:t>’s</w:t>
      </w:r>
      <w:r w:rsidR="00182655" w:rsidRPr="00D96C07">
        <w:t xml:space="preserve"> </w:t>
      </w:r>
      <w:r w:rsidR="009A37AD" w:rsidRPr="00D96C07">
        <w:t xml:space="preserve">data collection </w:t>
      </w:r>
      <w:r w:rsidR="00A70FFC" w:rsidRPr="00D96C07">
        <w:t xml:space="preserve">instruments, </w:t>
      </w:r>
      <w:r w:rsidR="00CA1DA2" w:rsidRPr="00D96C07">
        <w:t xml:space="preserve">consent forms, other </w:t>
      </w:r>
      <w:r w:rsidR="00A70FFC" w:rsidRPr="00D96C07">
        <w:t>materials</w:t>
      </w:r>
      <w:r w:rsidR="00182655" w:rsidRPr="00D96C07">
        <w:t xml:space="preserve"> are </w:t>
      </w:r>
      <w:r w:rsidR="00A70FFC" w:rsidRPr="00D96C07">
        <w:t xml:space="preserve">relatively </w:t>
      </w:r>
      <w:r w:rsidR="00182655" w:rsidRPr="00D96C07">
        <w:t>new</w:t>
      </w:r>
      <w:r w:rsidR="009D11EA" w:rsidRPr="00D96C07">
        <w:t>:</w:t>
      </w:r>
      <w:r w:rsidR="00A70FFC" w:rsidRPr="00D96C07">
        <w:t xml:space="preserve"> Wave 1 was completed in December 2014</w:t>
      </w:r>
      <w:r w:rsidR="00C22EDB" w:rsidRPr="00D96C07">
        <w:t>,</w:t>
      </w:r>
      <w:r w:rsidR="00A70FFC" w:rsidRPr="00D96C07">
        <w:t xml:space="preserve"> and Wave 2 is underway as of </w:t>
      </w:r>
      <w:r w:rsidR="00862D6A">
        <w:t>mid-2015.</w:t>
      </w:r>
      <w:r w:rsidR="00A23708" w:rsidRPr="00D96C07">
        <w:t xml:space="preserve"> </w:t>
      </w:r>
      <w:r w:rsidR="009C09E5">
        <w:t>Many c</w:t>
      </w:r>
      <w:r w:rsidR="009D11EA" w:rsidRPr="00D96C07">
        <w:t xml:space="preserve">ontent areas (e.g., emerging tobacco product use) </w:t>
      </w:r>
      <w:r w:rsidR="00862D6A">
        <w:t xml:space="preserve">that are important to the PATH Study </w:t>
      </w:r>
      <w:r w:rsidR="009D11EA" w:rsidRPr="00D96C07">
        <w:t xml:space="preserve">are </w:t>
      </w:r>
      <w:r w:rsidR="00C22EDB" w:rsidRPr="00D96C07">
        <w:t xml:space="preserve">largely </w:t>
      </w:r>
      <w:r w:rsidR="009D11EA" w:rsidRPr="00D96C07">
        <w:t>unknown</w:t>
      </w:r>
      <w:r w:rsidR="00862D6A">
        <w:t>. F</w:t>
      </w:r>
      <w:r w:rsidR="009D11EA" w:rsidRPr="00D96C07">
        <w:t xml:space="preserve">ocus groups and cognitive </w:t>
      </w:r>
      <w:r w:rsidR="00C22EDB" w:rsidRPr="00D96C07">
        <w:t xml:space="preserve">interviews </w:t>
      </w:r>
      <w:r w:rsidR="009E436C">
        <w:t xml:space="preserve">are useful methods </w:t>
      </w:r>
      <w:r w:rsidR="009C09E5">
        <w:t>for</w:t>
      </w:r>
      <w:r w:rsidR="009D11EA" w:rsidRPr="00D96C07">
        <w:t xml:space="preserve"> obtain</w:t>
      </w:r>
      <w:r w:rsidR="009C09E5">
        <w:t>ing</w:t>
      </w:r>
      <w:r w:rsidR="009D11EA" w:rsidRPr="00D96C07">
        <w:t xml:space="preserve"> information on novel tobacco themes and questions</w:t>
      </w:r>
      <w:r w:rsidR="0070323C">
        <w:t>,</w:t>
      </w:r>
      <w:r w:rsidR="009E436C">
        <w:t xml:space="preserve"> and </w:t>
      </w:r>
      <w:r w:rsidR="0070323C">
        <w:t xml:space="preserve">they </w:t>
      </w:r>
      <w:r w:rsidR="009D11EA" w:rsidRPr="00D96C07">
        <w:t xml:space="preserve">aid </w:t>
      </w:r>
      <w:r w:rsidR="009E436C">
        <w:t xml:space="preserve">in </w:t>
      </w:r>
      <w:r w:rsidR="009D11EA" w:rsidRPr="00D96C07">
        <w:t xml:space="preserve">the development and refinement of </w:t>
      </w:r>
      <w:r w:rsidR="009E436C">
        <w:t xml:space="preserve">assessment </w:t>
      </w:r>
      <w:r w:rsidR="009D11EA" w:rsidRPr="00D96C07">
        <w:t>instruments and materials.</w:t>
      </w:r>
      <w:r w:rsidR="00F37B13" w:rsidRPr="00D96C07">
        <w:t xml:space="preserve"> They </w:t>
      </w:r>
      <w:r w:rsidR="001B1DDA" w:rsidRPr="00D96C07">
        <w:t xml:space="preserve">also </w:t>
      </w:r>
      <w:r w:rsidR="00F37B13" w:rsidRPr="00D96C07">
        <w:t xml:space="preserve">are useful </w:t>
      </w:r>
      <w:r w:rsidR="002426EF" w:rsidRPr="00D96C07">
        <w:t xml:space="preserve">for detecting </w:t>
      </w:r>
      <w:r w:rsidR="008555E7" w:rsidRPr="00D96C07">
        <w:t xml:space="preserve">questionnaire flaws </w:t>
      </w:r>
      <w:r w:rsidR="002426EF" w:rsidRPr="00D96C07">
        <w:t xml:space="preserve">associated with </w:t>
      </w:r>
      <w:r w:rsidR="008555E7" w:rsidRPr="00D96C07">
        <w:t>non-sampling error</w:t>
      </w:r>
      <w:r w:rsidR="002426EF" w:rsidRPr="00D96C07">
        <w:t xml:space="preserve">, </w:t>
      </w:r>
      <w:r w:rsidR="008555E7" w:rsidRPr="00D96C07">
        <w:t>such as</w:t>
      </w:r>
      <w:r w:rsidR="00FD0217" w:rsidRPr="00D96C07">
        <w:t xml:space="preserve"> </w:t>
      </w:r>
      <w:r w:rsidR="00EB0A7E" w:rsidRPr="00D96C07">
        <w:t xml:space="preserve">ambiguous </w:t>
      </w:r>
      <w:r w:rsidR="00FD0217" w:rsidRPr="00D96C07">
        <w:t xml:space="preserve">items within </w:t>
      </w:r>
      <w:r w:rsidR="008555E7" w:rsidRPr="00D96C07">
        <w:t>the</w:t>
      </w:r>
      <w:r w:rsidR="0073568C" w:rsidRPr="00D96C07">
        <w:t xml:space="preserve"> </w:t>
      </w:r>
      <w:r w:rsidR="00FD0217" w:rsidRPr="00D96C07">
        <w:t>instrument</w:t>
      </w:r>
      <w:r w:rsidR="0073568C" w:rsidRPr="00D96C07">
        <w:t>.</w:t>
      </w:r>
      <w:r w:rsidR="002B1DFD" w:rsidRPr="00D96C07">
        <w:t xml:space="preserve"> </w:t>
      </w:r>
    </w:p>
    <w:p w14:paraId="26696588" w14:textId="77777777" w:rsidR="00C13D14" w:rsidRPr="00D96C07" w:rsidRDefault="00C13D14" w:rsidP="00A23708">
      <w:pPr>
        <w:pStyle w:val="L1-FlLSp12"/>
      </w:pPr>
    </w:p>
    <w:p w14:paraId="26696589" w14:textId="77777777" w:rsidR="00A23708" w:rsidRPr="00D96C07" w:rsidRDefault="00A23708" w:rsidP="00A23708">
      <w:pPr>
        <w:pStyle w:val="L1-FlLSp12"/>
      </w:pPr>
    </w:p>
    <w:p w14:paraId="2669658A" w14:textId="77777777" w:rsidR="002F7ABC" w:rsidRPr="00D96C07" w:rsidRDefault="002F7ABC" w:rsidP="00A23708">
      <w:pPr>
        <w:pStyle w:val="Heading2"/>
      </w:pPr>
      <w:r w:rsidRPr="00D96C07">
        <w:t>A.5</w:t>
      </w:r>
      <w:r w:rsidRPr="00D96C07">
        <w:tab/>
        <w:t xml:space="preserve">Impact on Small Businesses </w:t>
      </w:r>
      <w:r w:rsidR="00DE245D" w:rsidRPr="00D96C07">
        <w:t>or</w:t>
      </w:r>
      <w:r w:rsidRPr="00D96C07">
        <w:t xml:space="preserve"> Other Small Entities</w:t>
      </w:r>
    </w:p>
    <w:p w14:paraId="2669658B" w14:textId="77777777" w:rsidR="0011137D" w:rsidRPr="00D96C07" w:rsidRDefault="0011137D" w:rsidP="00A23708">
      <w:pPr>
        <w:pStyle w:val="L1-FlLSp12"/>
      </w:pPr>
      <w:r w:rsidRPr="00D96C07">
        <w:t>There will be no impact on small businesses or other small entities. Small business entities or other small organizations will not be involved in the study.</w:t>
      </w:r>
    </w:p>
    <w:p w14:paraId="2669658C" w14:textId="77777777" w:rsidR="002F7ABC" w:rsidRPr="00D96C07" w:rsidRDefault="002F7ABC" w:rsidP="00A23708">
      <w:pPr>
        <w:pStyle w:val="L1-FlLSp12"/>
      </w:pPr>
    </w:p>
    <w:p w14:paraId="2669658D" w14:textId="77777777" w:rsidR="00A23708" w:rsidRPr="00D96C07" w:rsidRDefault="00A23708" w:rsidP="00A23708">
      <w:pPr>
        <w:pStyle w:val="L1-FlLSp12"/>
      </w:pPr>
    </w:p>
    <w:p w14:paraId="2669658E" w14:textId="77777777" w:rsidR="00D81BAE" w:rsidRPr="00D96C07" w:rsidRDefault="002F7ABC" w:rsidP="00A23708">
      <w:pPr>
        <w:pStyle w:val="Heading2"/>
        <w:rPr>
          <w:rFonts w:ascii="Garamond" w:hAnsi="Garamond"/>
        </w:rPr>
      </w:pPr>
      <w:r w:rsidRPr="00D96C07">
        <w:t>A.6</w:t>
      </w:r>
      <w:r w:rsidRPr="00D96C07">
        <w:tab/>
        <w:t>Consequences of Collecting the Information Less Frequently</w:t>
      </w:r>
    </w:p>
    <w:p w14:paraId="2669658F" w14:textId="77777777" w:rsidR="00BD387E" w:rsidRPr="00D96C07" w:rsidRDefault="006C1A6F" w:rsidP="00A23708">
      <w:pPr>
        <w:pStyle w:val="L1-FlLSp12"/>
      </w:pPr>
      <w:r w:rsidRPr="00D96C07">
        <w:t xml:space="preserve">Substudies under this </w:t>
      </w:r>
      <w:r w:rsidR="00AF5E73" w:rsidRPr="00D96C07">
        <w:t>Generic Clearance</w:t>
      </w:r>
      <w:r w:rsidRPr="00D96C07">
        <w:t xml:space="preserve"> w</w:t>
      </w:r>
      <w:r w:rsidR="009E436C">
        <w:t>ill</w:t>
      </w:r>
      <w:r w:rsidRPr="00D96C07">
        <w:t xml:space="preserve"> </w:t>
      </w:r>
      <w:r w:rsidR="00C22EDB" w:rsidRPr="00D96C07">
        <w:t xml:space="preserve">facilitate </w:t>
      </w:r>
      <w:r w:rsidRPr="00D96C07">
        <w:t xml:space="preserve">the development and improvement of </w:t>
      </w:r>
      <w:r w:rsidR="00255325" w:rsidRPr="00D96C07">
        <w:t xml:space="preserve">data collection instruments </w:t>
      </w:r>
      <w:r w:rsidRPr="00D96C07">
        <w:t>and materials for use by t</w:t>
      </w:r>
      <w:r w:rsidR="00255325" w:rsidRPr="00D96C07">
        <w:t xml:space="preserve">he PATH </w:t>
      </w:r>
      <w:r w:rsidR="008F7090" w:rsidRPr="00D96C07">
        <w:t>Study</w:t>
      </w:r>
      <w:r w:rsidRPr="00D96C07">
        <w:t>. It is important to test and refine such materials with demographically diverse respondents to make sure they are unambiguous, comprehensible, and processed in a similar way by everyone. In this way, the PATH Study can achieve the degree of standardization</w:t>
      </w:r>
      <w:r w:rsidR="00BD387E" w:rsidRPr="00D96C07">
        <w:t xml:space="preserve"> necessary </w:t>
      </w:r>
      <w:r w:rsidRPr="00D96C07">
        <w:t xml:space="preserve">in its data collection instruments </w:t>
      </w:r>
      <w:r w:rsidR="00BD387E" w:rsidRPr="00D96C07">
        <w:t xml:space="preserve">to support meaningful data analyses, including comparing within-person changes and between-person differences within the cohort and </w:t>
      </w:r>
      <w:r w:rsidRPr="00D96C07">
        <w:t>at the population level</w:t>
      </w:r>
      <w:r w:rsidR="00BD387E" w:rsidRPr="00D96C07">
        <w:t>,</w:t>
      </w:r>
      <w:r w:rsidRPr="00D96C07">
        <w:t xml:space="preserve"> </w:t>
      </w:r>
      <w:r w:rsidR="00BD387E" w:rsidRPr="00D96C07">
        <w:t>over time.</w:t>
      </w:r>
    </w:p>
    <w:p w14:paraId="26696590" w14:textId="77777777" w:rsidR="00BD387E" w:rsidRPr="00D96C07" w:rsidRDefault="00BD387E" w:rsidP="00A23708">
      <w:pPr>
        <w:pStyle w:val="L1-FlLSp12"/>
      </w:pPr>
    </w:p>
    <w:p w14:paraId="26696591" w14:textId="433E82D1" w:rsidR="00002023" w:rsidRPr="00D96C07" w:rsidRDefault="001B16FC" w:rsidP="00A23708">
      <w:pPr>
        <w:pStyle w:val="L1-FlLSp12"/>
      </w:pPr>
      <w:r w:rsidRPr="00D96C07">
        <w:t>The consequences of c</w:t>
      </w:r>
      <w:r w:rsidR="00BD387E" w:rsidRPr="00D96C07">
        <w:t xml:space="preserve">ollecting information under this </w:t>
      </w:r>
      <w:r w:rsidR="00AF5E73" w:rsidRPr="00D96C07">
        <w:t>Generic Clearance</w:t>
      </w:r>
      <w:r w:rsidR="00BD387E" w:rsidRPr="00D96C07">
        <w:t xml:space="preserve"> </w:t>
      </w:r>
      <w:r w:rsidRPr="00D96C07">
        <w:t>less frequently</w:t>
      </w:r>
      <w:r w:rsidR="00BD387E" w:rsidRPr="00D96C07">
        <w:t xml:space="preserve"> w</w:t>
      </w:r>
      <w:r w:rsidR="009E436C">
        <w:t xml:space="preserve">ill </w:t>
      </w:r>
      <w:r w:rsidR="00BD387E" w:rsidRPr="00D96C07">
        <w:t xml:space="preserve">be to </w:t>
      </w:r>
      <w:r w:rsidR="00575CF0">
        <w:t>increase the risk of</w:t>
      </w:r>
      <w:r w:rsidRPr="00D96C07">
        <w:t xml:space="preserve"> non-sampling errors </w:t>
      </w:r>
      <w:r w:rsidR="00BD387E" w:rsidRPr="00D96C07">
        <w:t xml:space="preserve">associated with questionnaire items that may be interpreted by different respondents in different ways. </w:t>
      </w:r>
      <w:r w:rsidR="00575CF0">
        <w:t xml:space="preserve">These types of errors are preventable </w:t>
      </w:r>
      <w:r w:rsidR="005068AB">
        <w:t>when f</w:t>
      </w:r>
      <w:r w:rsidR="00575CF0">
        <w:t>ocus groups and cognitive interview</w:t>
      </w:r>
      <w:r w:rsidR="005068AB">
        <w:t>s are used to</w:t>
      </w:r>
      <w:r w:rsidR="00575CF0">
        <w:t xml:space="preserve"> assess such items </w:t>
      </w:r>
      <w:r w:rsidR="005068AB">
        <w:t xml:space="preserve">prior to incorporating them into </w:t>
      </w:r>
      <w:r w:rsidR="00575CF0">
        <w:t>the instrument</w:t>
      </w:r>
      <w:r w:rsidR="00453FF8">
        <w:t>s</w:t>
      </w:r>
      <w:r w:rsidR="005068AB">
        <w:t xml:space="preserve"> for the main study</w:t>
      </w:r>
      <w:r w:rsidR="00575CF0">
        <w:t>. Given th</w:t>
      </w:r>
      <w:r w:rsidR="005068AB">
        <w:t xml:space="preserve">e </w:t>
      </w:r>
      <w:r w:rsidR="00BD387E" w:rsidRPr="00D96C07">
        <w:t xml:space="preserve">potential </w:t>
      </w:r>
      <w:r w:rsidR="005068AB">
        <w:t xml:space="preserve">that </w:t>
      </w:r>
      <w:r w:rsidR="00AB70FF">
        <w:t xml:space="preserve">non-sampling </w:t>
      </w:r>
      <w:r w:rsidR="005068AB">
        <w:t xml:space="preserve">errors have </w:t>
      </w:r>
      <w:r w:rsidR="00BD387E" w:rsidRPr="00D96C07">
        <w:t xml:space="preserve">to </w:t>
      </w:r>
      <w:r w:rsidR="005068AB">
        <w:t>impact the accuracy, utility, and</w:t>
      </w:r>
      <w:r w:rsidR="00BD387E" w:rsidRPr="00D96C07">
        <w:t xml:space="preserve"> comparability of </w:t>
      </w:r>
      <w:r w:rsidR="005068AB">
        <w:t xml:space="preserve">data collected </w:t>
      </w:r>
      <w:r w:rsidR="00AB70FF">
        <w:t xml:space="preserve">from </w:t>
      </w:r>
      <w:r w:rsidR="005068AB">
        <w:t xml:space="preserve">the large cohort, the PATH Study </w:t>
      </w:r>
      <w:r w:rsidR="00453FF8">
        <w:t xml:space="preserve">seeks </w:t>
      </w:r>
      <w:r w:rsidR="005068AB">
        <w:t xml:space="preserve">to minimize their likelihood </w:t>
      </w:r>
      <w:r w:rsidR="00494471">
        <w:t>by conducting focus groups and cognitive interviewing early in the instrument development process. These methods are particularly important for the PATH Study</w:t>
      </w:r>
      <w:r w:rsidR="00453FF8">
        <w:t>,</w:t>
      </w:r>
      <w:r w:rsidR="00494471">
        <w:t xml:space="preserve"> because it needs to develop new items to measure previously unmeasured behaviors or concepts, such as those related to </w:t>
      </w:r>
      <w:r w:rsidR="00002023" w:rsidRPr="00D96C07">
        <w:t xml:space="preserve">emerging tobacco products, and to do so in time to inform the </w:t>
      </w:r>
      <w:r w:rsidR="006E784E" w:rsidRPr="00D96C07">
        <w:t xml:space="preserve">PATH Study’s </w:t>
      </w:r>
      <w:r w:rsidR="00002023" w:rsidRPr="00D96C07">
        <w:t>instruments for its next wave of data collection.</w:t>
      </w:r>
    </w:p>
    <w:p w14:paraId="26696592" w14:textId="77777777" w:rsidR="00002023" w:rsidRPr="00D96C07" w:rsidRDefault="00002023" w:rsidP="00A23708">
      <w:pPr>
        <w:pStyle w:val="L1-FlLSp12"/>
      </w:pPr>
    </w:p>
    <w:p w14:paraId="26696593" w14:textId="77777777" w:rsidR="00255325" w:rsidRPr="00D96C07" w:rsidRDefault="00592871" w:rsidP="00A23708">
      <w:pPr>
        <w:pStyle w:val="L1-FlLSp12"/>
      </w:pPr>
      <w:r w:rsidRPr="00D96C07">
        <w:t xml:space="preserve">As mentioned in </w:t>
      </w:r>
      <w:r w:rsidR="00352250" w:rsidRPr="00D96C07">
        <w:t>S</w:t>
      </w:r>
      <w:r w:rsidRPr="00D96C07">
        <w:t>ection A.12, cognitive interviews</w:t>
      </w:r>
      <w:r w:rsidR="00C90EE2" w:rsidRPr="00D96C07">
        <w:t xml:space="preserve"> and focus groups</w:t>
      </w:r>
      <w:r w:rsidRPr="00D96C07">
        <w:t xml:space="preserve"> will be conducted with approximately </w:t>
      </w:r>
      <w:r w:rsidR="003D6E59" w:rsidRPr="00D96C07">
        <w:t>1,200</w:t>
      </w:r>
      <w:r w:rsidRPr="00D96C07">
        <w:t xml:space="preserve"> individuals annually.</w:t>
      </w:r>
    </w:p>
    <w:p w14:paraId="26696594" w14:textId="77777777" w:rsidR="00592871" w:rsidRPr="00D96C07" w:rsidRDefault="00592871" w:rsidP="00A23708">
      <w:pPr>
        <w:pStyle w:val="L1-FlLSp12"/>
      </w:pPr>
    </w:p>
    <w:p w14:paraId="26696595" w14:textId="77777777" w:rsidR="00A23708" w:rsidRPr="00D96C07" w:rsidRDefault="00A23708" w:rsidP="00A23708">
      <w:pPr>
        <w:pStyle w:val="L1-FlLSp12"/>
      </w:pPr>
    </w:p>
    <w:p w14:paraId="26696596" w14:textId="77777777" w:rsidR="002F7ABC" w:rsidRPr="00D96C07" w:rsidRDefault="002F7ABC" w:rsidP="00A23708">
      <w:pPr>
        <w:pStyle w:val="Heading2"/>
      </w:pPr>
      <w:r w:rsidRPr="00D96C07">
        <w:t>A.7</w:t>
      </w:r>
      <w:r w:rsidRPr="00D96C07">
        <w:tab/>
        <w:t>Special Circumstances Relating to the Guidelines of 5 CFR 1320.5</w:t>
      </w:r>
    </w:p>
    <w:p w14:paraId="26696597" w14:textId="77777777" w:rsidR="002F7ABC" w:rsidRPr="00D96C07" w:rsidRDefault="002F7ABC" w:rsidP="00A23708">
      <w:pPr>
        <w:pStyle w:val="L1-FlLSp12"/>
      </w:pPr>
      <w:r w:rsidRPr="00D96C07">
        <w:t>This project fully complies with the guidelines of 5 C</w:t>
      </w:r>
      <w:r w:rsidR="00831C63" w:rsidRPr="00D96C07">
        <w:t>F</w:t>
      </w:r>
      <w:r w:rsidRPr="00D96C07">
        <w:t>R 1320.5.</w:t>
      </w:r>
    </w:p>
    <w:p w14:paraId="26696598" w14:textId="77777777" w:rsidR="002F7ABC" w:rsidRPr="00D96C07" w:rsidRDefault="002F7ABC" w:rsidP="00A23708">
      <w:pPr>
        <w:pStyle w:val="L1-FlLSp12"/>
      </w:pPr>
    </w:p>
    <w:p w14:paraId="26696599" w14:textId="77777777" w:rsidR="00A23708" w:rsidRPr="00D96C07" w:rsidRDefault="00A23708" w:rsidP="00A23708">
      <w:pPr>
        <w:pStyle w:val="L1-FlLSp12"/>
      </w:pPr>
    </w:p>
    <w:p w14:paraId="2669659A" w14:textId="77777777" w:rsidR="002F7ABC" w:rsidRPr="00D96C07" w:rsidRDefault="002F7ABC" w:rsidP="00A23708">
      <w:pPr>
        <w:pStyle w:val="Heading2"/>
      </w:pPr>
      <w:r w:rsidRPr="00D96C07">
        <w:t>A.8</w:t>
      </w:r>
      <w:r w:rsidRPr="00D96C07">
        <w:tab/>
        <w:t>Comments in Response to the Federal Register Notice and Efforts to Consult Outside Agency</w:t>
      </w:r>
    </w:p>
    <w:p w14:paraId="2669659B" w14:textId="6ABB9D68" w:rsidR="004D631D" w:rsidRPr="00D96C07" w:rsidRDefault="004D631D" w:rsidP="004D631D">
      <w:pPr>
        <w:pStyle w:val="L1-FlLSp12"/>
      </w:pPr>
      <w:r w:rsidRPr="00D96C07">
        <w:t>The 60-day Federal Register Notice, required by 5 CFR 1320.8 (d), soliciting comments on the information collection prior to submission to the OMB, was published on</w:t>
      </w:r>
      <w:r w:rsidR="004D660B">
        <w:t xml:space="preserve"> June 30</w:t>
      </w:r>
      <w:r w:rsidRPr="00D96C07">
        <w:t>, 201</w:t>
      </w:r>
      <w:r w:rsidR="004060F4" w:rsidRPr="00D96C07">
        <w:t>5</w:t>
      </w:r>
      <w:r w:rsidRPr="00D96C07">
        <w:t xml:space="preserve"> in the Federal Register (Vol. </w:t>
      </w:r>
      <w:r w:rsidR="004D660B">
        <w:t>80</w:t>
      </w:r>
      <w:r w:rsidRPr="00D96C07">
        <w:t xml:space="preserve">, No. </w:t>
      </w:r>
      <w:r w:rsidR="004D660B">
        <w:t>125</w:t>
      </w:r>
      <w:r w:rsidR="00C22EDB" w:rsidRPr="00D96C07">
        <w:t xml:space="preserve">, </w:t>
      </w:r>
      <w:r w:rsidRPr="00D96C07">
        <w:t>p</w:t>
      </w:r>
      <w:r w:rsidR="004D660B">
        <w:t>p</w:t>
      </w:r>
      <w:r w:rsidRPr="00D96C07">
        <w:t xml:space="preserve">. </w:t>
      </w:r>
      <w:r w:rsidR="004D660B">
        <w:t>37276 - 37277</w:t>
      </w:r>
      <w:r w:rsidRPr="00D96C07">
        <w:t>).</w:t>
      </w:r>
    </w:p>
    <w:p w14:paraId="2669659C" w14:textId="77777777" w:rsidR="002F7ABC" w:rsidRPr="00D96C07" w:rsidRDefault="002F7ABC" w:rsidP="00A23708">
      <w:pPr>
        <w:pStyle w:val="L1-FlLSp12"/>
      </w:pPr>
    </w:p>
    <w:p w14:paraId="2669659D" w14:textId="77777777" w:rsidR="0052737E" w:rsidRPr="00D96C07" w:rsidRDefault="002E635A" w:rsidP="00EE5EDB">
      <w:pPr>
        <w:pStyle w:val="L1-FlLSp12"/>
      </w:pPr>
      <w:r w:rsidRPr="00D96C07">
        <w:t xml:space="preserve">Researchers who have special interest and expertise in the </w:t>
      </w:r>
      <w:r w:rsidR="002426EF" w:rsidRPr="00D96C07">
        <w:t>issues addressed by</w:t>
      </w:r>
      <w:r w:rsidR="008D7262" w:rsidRPr="00D96C07">
        <w:t xml:space="preserve"> the PATH </w:t>
      </w:r>
      <w:r w:rsidR="008F7090" w:rsidRPr="00D96C07">
        <w:t>Study</w:t>
      </w:r>
      <w:r w:rsidR="008D7262" w:rsidRPr="00D96C07">
        <w:t xml:space="preserve"> </w:t>
      </w:r>
      <w:r w:rsidR="002426EF" w:rsidRPr="00D96C07">
        <w:t xml:space="preserve">will be invited to provide their expertise in the development of </w:t>
      </w:r>
      <w:r w:rsidR="00271AD6" w:rsidRPr="00D96C07">
        <w:t>substudies</w:t>
      </w:r>
      <w:r w:rsidR="002426EF" w:rsidRPr="00D96C07">
        <w:t xml:space="preserve"> submitted under this Generic Clearance. In addition, NIDA's </w:t>
      </w:r>
      <w:r w:rsidR="009279CB" w:rsidRPr="00D96C07">
        <w:t>contractor</w:t>
      </w:r>
      <w:r w:rsidR="00946781" w:rsidRPr="00D96C07">
        <w:t xml:space="preserve"> </w:t>
      </w:r>
      <w:r w:rsidR="002426EF" w:rsidRPr="00D96C07">
        <w:t xml:space="preserve">for </w:t>
      </w:r>
      <w:r w:rsidR="00946781" w:rsidRPr="00D96C07">
        <w:t xml:space="preserve">the PATH </w:t>
      </w:r>
      <w:r w:rsidR="008F7090" w:rsidRPr="00D96C07">
        <w:t>Study</w:t>
      </w:r>
      <w:r w:rsidR="002426EF" w:rsidRPr="00D96C07">
        <w:t xml:space="preserve"> has highly-experienced methodologists and specialists in </w:t>
      </w:r>
      <w:r w:rsidRPr="00D96C07">
        <w:t xml:space="preserve">cognitive </w:t>
      </w:r>
      <w:r w:rsidR="00C90EE2" w:rsidRPr="00D96C07">
        <w:t>interview</w:t>
      </w:r>
      <w:r w:rsidR="002426EF" w:rsidRPr="00D96C07">
        <w:t xml:space="preserve">s and </w:t>
      </w:r>
      <w:r w:rsidR="00C90EE2" w:rsidRPr="00D96C07">
        <w:t>focus group</w:t>
      </w:r>
      <w:r w:rsidRPr="00D96C07">
        <w:t>s</w:t>
      </w:r>
      <w:r w:rsidR="002426EF" w:rsidRPr="00D96C07">
        <w:t>. Members</w:t>
      </w:r>
      <w:r w:rsidR="00E76C25" w:rsidRPr="00D96C07">
        <w:t xml:space="preserve"> of the PATH </w:t>
      </w:r>
      <w:r w:rsidR="008F7090" w:rsidRPr="00D96C07">
        <w:t>Study</w:t>
      </w:r>
      <w:r w:rsidR="00E76C25" w:rsidRPr="00D96C07">
        <w:t xml:space="preserve"> instrument development workgroup </w:t>
      </w:r>
      <w:r w:rsidR="002426EF" w:rsidRPr="00D96C07">
        <w:t>will also</w:t>
      </w:r>
      <w:r w:rsidR="00E76C25" w:rsidRPr="00D96C07">
        <w:t xml:space="preserve"> </w:t>
      </w:r>
      <w:r w:rsidR="00974DDD" w:rsidRPr="00D96C07">
        <w:t>be consulted</w:t>
      </w:r>
      <w:r w:rsidR="00E76C25" w:rsidRPr="00D96C07">
        <w:t xml:space="preserve"> </w:t>
      </w:r>
      <w:r w:rsidR="0052737E" w:rsidRPr="00D96C07">
        <w:t xml:space="preserve">to </w:t>
      </w:r>
      <w:r w:rsidR="002426EF" w:rsidRPr="00D96C07">
        <w:t xml:space="preserve">ensure </w:t>
      </w:r>
      <w:r w:rsidR="0052737E" w:rsidRPr="00D96C07">
        <w:t xml:space="preserve">continuity between the main study and </w:t>
      </w:r>
      <w:r w:rsidR="00C90EE2" w:rsidRPr="00D96C07">
        <w:t xml:space="preserve">the </w:t>
      </w:r>
      <w:r w:rsidR="002426EF" w:rsidRPr="00D96C07">
        <w:t>specific substudy</w:t>
      </w:r>
      <w:r w:rsidR="00EE5EDB" w:rsidRPr="00D96C07">
        <w:t xml:space="preserve">. </w:t>
      </w:r>
      <w:r w:rsidR="00904DD5" w:rsidRPr="00D96C07">
        <w:t xml:space="preserve">A list of potential consultants is provided in Attachment </w:t>
      </w:r>
      <w:r w:rsidR="001B1DDA" w:rsidRPr="00D96C07">
        <w:t>2</w:t>
      </w:r>
      <w:r w:rsidR="00904DD5" w:rsidRPr="00D96C07">
        <w:t>.</w:t>
      </w:r>
    </w:p>
    <w:p w14:paraId="2669659E" w14:textId="77777777" w:rsidR="0052737E" w:rsidRPr="00D96C07" w:rsidRDefault="0052737E" w:rsidP="00A23708">
      <w:pPr>
        <w:pStyle w:val="L1-FlLSp12"/>
      </w:pPr>
    </w:p>
    <w:p w14:paraId="2669659F" w14:textId="77777777" w:rsidR="001B1DDA" w:rsidRPr="00D96C07" w:rsidRDefault="001B1DDA" w:rsidP="00A23708">
      <w:pPr>
        <w:pStyle w:val="L1-FlLSp12"/>
      </w:pPr>
    </w:p>
    <w:p w14:paraId="266965A0" w14:textId="77777777" w:rsidR="008F5FA1" w:rsidRPr="00D96C07" w:rsidRDefault="008F5FA1" w:rsidP="00A23708">
      <w:pPr>
        <w:pStyle w:val="Heading2"/>
      </w:pPr>
      <w:r w:rsidRPr="00D96C07">
        <w:t>A.9</w:t>
      </w:r>
      <w:r w:rsidRPr="00D96C07">
        <w:tab/>
        <w:t>Explanation of Any Payment or Gift to Respondents</w:t>
      </w:r>
    </w:p>
    <w:p w14:paraId="266965A1" w14:textId="77777777" w:rsidR="00085720" w:rsidRPr="00D96C07" w:rsidRDefault="00922B17" w:rsidP="00085720">
      <w:pPr>
        <w:pStyle w:val="L1-FlLSp12"/>
      </w:pPr>
      <w:r w:rsidRPr="00D96C07">
        <w:t xml:space="preserve">Substudies planned under this </w:t>
      </w:r>
      <w:r w:rsidR="00AF5E73" w:rsidRPr="00D96C07">
        <w:t>Generic Clearance</w:t>
      </w:r>
      <w:r w:rsidRPr="00D96C07">
        <w:t xml:space="preserve"> w</w:t>
      </w:r>
      <w:r w:rsidR="004D2EF3" w:rsidRPr="00D96C07">
        <w:t>ill</w:t>
      </w:r>
      <w:r w:rsidRPr="00D96C07">
        <w:t xml:space="preserve"> offer </w:t>
      </w:r>
      <w:r w:rsidR="00085720" w:rsidRPr="00D96C07">
        <w:t xml:space="preserve">an incentive </w:t>
      </w:r>
      <w:r w:rsidRPr="00D96C07">
        <w:t xml:space="preserve">to participants </w:t>
      </w:r>
      <w:r w:rsidR="004D2EF3" w:rsidRPr="00D96C07">
        <w:t xml:space="preserve">to thank them for their participation and cover any costs they incur for transportation and parking. </w:t>
      </w:r>
      <w:r w:rsidR="003A26E1" w:rsidRPr="00D96C07">
        <w:t xml:space="preserve">The </w:t>
      </w:r>
      <w:r w:rsidR="00085720" w:rsidRPr="00D96C07">
        <w:t xml:space="preserve">incentive amounts </w:t>
      </w:r>
      <w:r w:rsidR="003A26E1" w:rsidRPr="00D96C07">
        <w:t xml:space="preserve">will vary </w:t>
      </w:r>
      <w:r w:rsidR="00085720" w:rsidRPr="00D96C07">
        <w:t xml:space="preserve">for </w:t>
      </w:r>
      <w:r w:rsidR="003A26E1" w:rsidRPr="00D96C07">
        <w:t xml:space="preserve">cognitive </w:t>
      </w:r>
      <w:r w:rsidR="00F560F9" w:rsidRPr="00D96C07">
        <w:t>interview</w:t>
      </w:r>
      <w:r w:rsidR="002426EF" w:rsidRPr="00D96C07">
        <w:t xml:space="preserve">s </w:t>
      </w:r>
      <w:r w:rsidR="00F560F9" w:rsidRPr="00D96C07">
        <w:t>and focus group</w:t>
      </w:r>
      <w:r w:rsidR="00085720" w:rsidRPr="00D96C07">
        <w:t>s</w:t>
      </w:r>
      <w:r w:rsidR="004D2EF3" w:rsidRPr="00D96C07">
        <w:t>,</w:t>
      </w:r>
      <w:r w:rsidR="003A26E1" w:rsidRPr="00D96C07">
        <w:t xml:space="preserve"> </w:t>
      </w:r>
      <w:r w:rsidR="00A02F3A" w:rsidRPr="00D96C07">
        <w:t xml:space="preserve">depending on the </w:t>
      </w:r>
      <w:r w:rsidR="003A26E1" w:rsidRPr="00D96C07">
        <w:t xml:space="preserve">level of </w:t>
      </w:r>
      <w:r w:rsidR="00A02F3A" w:rsidRPr="00D96C07">
        <w:t>difficulty in recruiting participants</w:t>
      </w:r>
      <w:r w:rsidR="009F662C" w:rsidRPr="00D96C07">
        <w:t xml:space="preserve"> for each request</w:t>
      </w:r>
      <w:r w:rsidR="004060F4" w:rsidRPr="00D96C07">
        <w:t>, with the standard amount equal to $40</w:t>
      </w:r>
      <w:r w:rsidR="00B1372B" w:rsidRPr="00D96C07">
        <w:t xml:space="preserve">. </w:t>
      </w:r>
      <w:r w:rsidR="00B53F2A" w:rsidRPr="00D96C07">
        <w:t>Proposed incentive amounts a</w:t>
      </w:r>
      <w:r w:rsidR="00085720" w:rsidRPr="00D96C07">
        <w:t xml:space="preserve">nd justification for </w:t>
      </w:r>
      <w:r w:rsidR="00B53F2A" w:rsidRPr="00D96C07">
        <w:t>them</w:t>
      </w:r>
      <w:r w:rsidR="00085720" w:rsidRPr="00D96C07">
        <w:t xml:space="preserve"> will be included in each </w:t>
      </w:r>
      <w:r w:rsidR="00DE274C" w:rsidRPr="00D96C07">
        <w:t xml:space="preserve">request submitted under this </w:t>
      </w:r>
      <w:r w:rsidR="00CA1DA2" w:rsidRPr="00D96C07">
        <w:t>Generic Request</w:t>
      </w:r>
      <w:r w:rsidR="00085720" w:rsidRPr="00D96C07">
        <w:t>.</w:t>
      </w:r>
      <w:r w:rsidR="00B53F2A" w:rsidRPr="00D96C07">
        <w:t xml:space="preserve"> </w:t>
      </w:r>
      <w:r w:rsidR="0032108D" w:rsidRPr="00D96C07">
        <w:t xml:space="preserve">Unless otherwise noted in a </w:t>
      </w:r>
      <w:r w:rsidR="003A26E1" w:rsidRPr="00D96C07">
        <w:t xml:space="preserve">given </w:t>
      </w:r>
      <w:r w:rsidR="0032108D" w:rsidRPr="00D96C07">
        <w:t xml:space="preserve">request, all incentives will be </w:t>
      </w:r>
      <w:r w:rsidR="003A26E1" w:rsidRPr="00D96C07">
        <w:t xml:space="preserve">provided </w:t>
      </w:r>
      <w:r w:rsidR="0032108D" w:rsidRPr="00D96C07">
        <w:t>in cash.</w:t>
      </w:r>
    </w:p>
    <w:p w14:paraId="266965A2" w14:textId="77777777" w:rsidR="005D2AF8" w:rsidRPr="00D96C07" w:rsidRDefault="005D2AF8" w:rsidP="00085720">
      <w:pPr>
        <w:pStyle w:val="L1-FlLSp12"/>
      </w:pPr>
    </w:p>
    <w:p w14:paraId="266965A3" w14:textId="77777777" w:rsidR="00A23708" w:rsidRPr="00D96C07" w:rsidRDefault="00A23708" w:rsidP="00A23708">
      <w:pPr>
        <w:pStyle w:val="L1-FlLSp12"/>
      </w:pPr>
    </w:p>
    <w:p w14:paraId="266965A4" w14:textId="77777777" w:rsidR="008F5FA1" w:rsidRPr="00D96C07" w:rsidRDefault="008F5FA1" w:rsidP="00A23708">
      <w:pPr>
        <w:pStyle w:val="Heading2"/>
      </w:pPr>
      <w:r w:rsidRPr="00D96C07">
        <w:lastRenderedPageBreak/>
        <w:t>A.10</w:t>
      </w:r>
      <w:r w:rsidRPr="00D96C07">
        <w:tab/>
        <w:t>Assurances of Confidentiality Provided to Respondents</w:t>
      </w:r>
    </w:p>
    <w:p w14:paraId="266965A5" w14:textId="77777777" w:rsidR="00D02E1A" w:rsidRPr="00D96C07" w:rsidRDefault="00D712B1" w:rsidP="00D02E1A">
      <w:pPr>
        <w:pStyle w:val="L1-FlLSp12"/>
      </w:pPr>
      <w:r w:rsidRPr="00D96C07">
        <w:t xml:space="preserve">The NIH Privacy Act Officer has reviewed the information contained herein and determined that the Privacy Act applies to data collected under this </w:t>
      </w:r>
      <w:r w:rsidR="00AF5E73" w:rsidRPr="00D96C07">
        <w:t>Generic Clearance</w:t>
      </w:r>
      <w:r w:rsidR="00B1372B" w:rsidRPr="00D96C07">
        <w:t xml:space="preserve">. </w:t>
      </w:r>
      <w:r w:rsidR="00D02E1A" w:rsidRPr="00D96C07">
        <w:t xml:space="preserve">Information collected </w:t>
      </w:r>
      <w:r w:rsidR="00D777B3" w:rsidRPr="00D96C07">
        <w:t xml:space="preserve">under this </w:t>
      </w:r>
      <w:r w:rsidR="00AF5E73" w:rsidRPr="00D96C07">
        <w:t>Generic Clearance</w:t>
      </w:r>
      <w:r w:rsidR="00D02E1A" w:rsidRPr="00D96C07">
        <w:t xml:space="preserve"> is covered by NIH Privacy Act SORN 09-25-0200, “Clinical, Basic, and Population-based Research Studies of the National Institutes of Health (NIH), HHS/NIH/OD” published in the Federal Register on September 26, 2002 (67 FR 60776) (Attachment </w:t>
      </w:r>
      <w:r w:rsidR="001B1DDA" w:rsidRPr="00D96C07">
        <w:t>3</w:t>
      </w:r>
      <w:r w:rsidR="00D02E1A" w:rsidRPr="00D96C07">
        <w:t xml:space="preserve">). </w:t>
      </w:r>
    </w:p>
    <w:p w14:paraId="266965A6" w14:textId="77777777" w:rsidR="00D02E1A" w:rsidRPr="00D96C07" w:rsidRDefault="00D02E1A" w:rsidP="00A23708">
      <w:pPr>
        <w:pStyle w:val="L1-FlLSp12"/>
      </w:pPr>
    </w:p>
    <w:p w14:paraId="266965A7" w14:textId="77777777" w:rsidR="00A23708" w:rsidRPr="00D96C07" w:rsidRDefault="007C7DF0" w:rsidP="00A23708">
      <w:pPr>
        <w:pStyle w:val="L1-FlLSp12"/>
      </w:pPr>
      <w:r w:rsidRPr="00D96C07">
        <w:t xml:space="preserve">All data collection materials and instruments to be tested under this </w:t>
      </w:r>
      <w:r w:rsidR="00AF5E73" w:rsidRPr="00D96C07">
        <w:t>Generic Clearance</w:t>
      </w:r>
      <w:r w:rsidRPr="00D96C07">
        <w:t xml:space="preserve"> will </w:t>
      </w:r>
      <w:r w:rsidR="00A96E5F" w:rsidRPr="00D96C07">
        <w:t xml:space="preserve">be </w:t>
      </w:r>
      <w:r w:rsidRPr="00D96C07">
        <w:t xml:space="preserve">reviewed and approved by the </w:t>
      </w:r>
      <w:r w:rsidR="009279CB" w:rsidRPr="00D96C07">
        <w:t xml:space="preserve">prime contractor’s </w:t>
      </w:r>
      <w:r w:rsidRPr="00D96C07">
        <w:t xml:space="preserve">Institutional Review Board (IRB) to ensure </w:t>
      </w:r>
      <w:r w:rsidR="002E635A" w:rsidRPr="00D96C07">
        <w:t xml:space="preserve">that human subjects are protected. </w:t>
      </w:r>
      <w:r w:rsidRPr="00D96C07">
        <w:t xml:space="preserve">The </w:t>
      </w:r>
      <w:r w:rsidR="002E635A" w:rsidRPr="00D96C07">
        <w:t xml:space="preserve">IRB review and approval process will be completed before </w:t>
      </w:r>
      <w:r w:rsidRPr="00D96C07">
        <w:t xml:space="preserve">any </w:t>
      </w:r>
      <w:r w:rsidR="002E635A" w:rsidRPr="00D96C07">
        <w:t>contact</w:t>
      </w:r>
      <w:r w:rsidR="00A96E5F" w:rsidRPr="00D96C07">
        <w:t>s</w:t>
      </w:r>
      <w:r w:rsidR="002E635A" w:rsidRPr="00D96C07">
        <w:t xml:space="preserve"> with human subjects</w:t>
      </w:r>
      <w:r w:rsidR="00B1372B" w:rsidRPr="00D96C07">
        <w:t xml:space="preserve">. </w:t>
      </w:r>
    </w:p>
    <w:p w14:paraId="266965A8" w14:textId="77777777" w:rsidR="007C7DF0" w:rsidRPr="00D96C07" w:rsidRDefault="007C7DF0" w:rsidP="00A23708">
      <w:pPr>
        <w:pStyle w:val="L1-FlLSp12"/>
      </w:pPr>
    </w:p>
    <w:p w14:paraId="266965A9" w14:textId="794A8487" w:rsidR="00A37623" w:rsidRPr="00D96C07" w:rsidRDefault="002426EF" w:rsidP="00A23708">
      <w:pPr>
        <w:pStyle w:val="L1-FlLSp12"/>
      </w:pPr>
      <w:r w:rsidRPr="00D96C07">
        <w:t xml:space="preserve">Each </w:t>
      </w:r>
      <w:r w:rsidR="004A6157" w:rsidRPr="00D96C07">
        <w:t>s</w:t>
      </w:r>
      <w:r w:rsidRPr="00D96C07">
        <w:t xml:space="preserve">ubstudy </w:t>
      </w:r>
      <w:r w:rsidR="009E436C">
        <w:t xml:space="preserve">request </w:t>
      </w:r>
      <w:r w:rsidR="007C7DF0" w:rsidRPr="00D96C07">
        <w:t xml:space="preserve"> under this </w:t>
      </w:r>
      <w:r w:rsidR="00AF5E73" w:rsidRPr="00D96C07">
        <w:t>Generic Clearance</w:t>
      </w:r>
      <w:r w:rsidR="002E635A" w:rsidRPr="00D96C07">
        <w:t xml:space="preserve"> will</w:t>
      </w:r>
      <w:r w:rsidR="007C7DF0" w:rsidRPr="00D96C07">
        <w:t xml:space="preserve"> include</w:t>
      </w:r>
      <w:r w:rsidR="00881C5C">
        <w:t xml:space="preserve"> </w:t>
      </w:r>
      <w:r w:rsidR="002E635A" w:rsidRPr="00D96C07">
        <w:t xml:space="preserve">a consent form and a plan for ensuring that </w:t>
      </w:r>
      <w:r w:rsidR="001D10E9" w:rsidRPr="00D96C07">
        <w:t xml:space="preserve">personally identifiable information (PII) </w:t>
      </w:r>
      <w:r w:rsidR="000850FC" w:rsidRPr="00D96C07">
        <w:t>is</w:t>
      </w:r>
      <w:r w:rsidR="002E635A" w:rsidRPr="00D96C07">
        <w:t xml:space="preserve"> not retained as part of the research. </w:t>
      </w:r>
      <w:r w:rsidR="00F560F9" w:rsidRPr="00D96C07">
        <w:t xml:space="preserve">All </w:t>
      </w:r>
      <w:r w:rsidR="004A6157" w:rsidRPr="00D96C07">
        <w:t>s</w:t>
      </w:r>
      <w:r w:rsidRPr="00D96C07">
        <w:t xml:space="preserve">ubstudy </w:t>
      </w:r>
      <w:r w:rsidR="002E635A" w:rsidRPr="00D96C07">
        <w:t xml:space="preserve">staff </w:t>
      </w:r>
      <w:r w:rsidR="009324B1" w:rsidRPr="00D96C07">
        <w:t xml:space="preserve">will be </w:t>
      </w:r>
      <w:r w:rsidR="002E635A" w:rsidRPr="00D96C07">
        <w:t>responsible for safeguarding schedules, consent documents, audiotapes and videotapes, questionnaires, and cash incentives to participants.</w:t>
      </w:r>
      <w:r w:rsidR="00A23708" w:rsidRPr="00D96C07">
        <w:t xml:space="preserve"> </w:t>
      </w:r>
      <w:r w:rsidR="007C7DF0" w:rsidRPr="00D96C07">
        <w:t>These staff will be</w:t>
      </w:r>
      <w:r w:rsidR="007C7DF0" w:rsidRPr="00D96C07">
        <w:rPr>
          <w:snapToGrid w:val="0"/>
        </w:rPr>
        <w:t xml:space="preserve"> well</w:t>
      </w:r>
      <w:r w:rsidR="007C70C0">
        <w:rPr>
          <w:snapToGrid w:val="0"/>
        </w:rPr>
        <w:t xml:space="preserve"> </w:t>
      </w:r>
      <w:r w:rsidR="007C7DF0" w:rsidRPr="00D96C07">
        <w:rPr>
          <w:snapToGrid w:val="0"/>
        </w:rPr>
        <w:t xml:space="preserve">trained in </w:t>
      </w:r>
      <w:r w:rsidR="0032108D" w:rsidRPr="00D96C07">
        <w:rPr>
          <w:snapToGrid w:val="0"/>
        </w:rPr>
        <w:t xml:space="preserve">the PATH </w:t>
      </w:r>
      <w:r w:rsidR="008F7090" w:rsidRPr="00D96C07">
        <w:rPr>
          <w:snapToGrid w:val="0"/>
        </w:rPr>
        <w:t>Study</w:t>
      </w:r>
      <w:r w:rsidR="0032108D" w:rsidRPr="00D96C07">
        <w:rPr>
          <w:snapToGrid w:val="0"/>
        </w:rPr>
        <w:t xml:space="preserve"> </w:t>
      </w:r>
      <w:r w:rsidR="007C7DF0" w:rsidRPr="00D96C07">
        <w:rPr>
          <w:snapToGrid w:val="0"/>
        </w:rPr>
        <w:t xml:space="preserve">data security procedures and </w:t>
      </w:r>
      <w:r w:rsidR="00A37623" w:rsidRPr="00D96C07">
        <w:rPr>
          <w:snapToGrid w:val="0"/>
        </w:rPr>
        <w:t xml:space="preserve">in </w:t>
      </w:r>
      <w:r w:rsidR="007C7DF0" w:rsidRPr="00D96C07">
        <w:rPr>
          <w:snapToGrid w:val="0"/>
        </w:rPr>
        <w:t>confidentiality and privacy issues and procedures.</w:t>
      </w:r>
      <w:r w:rsidR="0032108D" w:rsidRPr="00D96C07">
        <w:rPr>
          <w:snapToGrid w:val="0"/>
        </w:rPr>
        <w:t xml:space="preserve"> C</w:t>
      </w:r>
      <w:r w:rsidR="007C7DF0" w:rsidRPr="00D96C07">
        <w:rPr>
          <w:snapToGrid w:val="0"/>
        </w:rPr>
        <w:t xml:space="preserve">ognitive interviewers </w:t>
      </w:r>
      <w:r w:rsidR="00F560F9" w:rsidRPr="00D96C07">
        <w:rPr>
          <w:snapToGrid w:val="0"/>
        </w:rPr>
        <w:t xml:space="preserve">and focus group moderators </w:t>
      </w:r>
      <w:r w:rsidR="007C7DF0" w:rsidRPr="00D96C07">
        <w:rPr>
          <w:snapToGrid w:val="0"/>
        </w:rPr>
        <w:t>will be required to sign a pledge of confidentiality (</w:t>
      </w:r>
      <w:r w:rsidR="00985351" w:rsidRPr="00D96C07">
        <w:rPr>
          <w:snapToGrid w:val="0"/>
        </w:rPr>
        <w:t xml:space="preserve">Attachment </w:t>
      </w:r>
      <w:r w:rsidR="001B1DDA" w:rsidRPr="00D96C07">
        <w:rPr>
          <w:snapToGrid w:val="0"/>
        </w:rPr>
        <w:t>4</w:t>
      </w:r>
      <w:r w:rsidR="007C7DF0" w:rsidRPr="00D96C07">
        <w:rPr>
          <w:snapToGrid w:val="0"/>
        </w:rPr>
        <w:t>) and to complete training on standards and ethics in survey research</w:t>
      </w:r>
      <w:r w:rsidR="00A37623" w:rsidRPr="00D96C07">
        <w:rPr>
          <w:snapToGrid w:val="0"/>
        </w:rPr>
        <w:t>, including the</w:t>
      </w:r>
      <w:r w:rsidR="007C7DF0" w:rsidRPr="00D96C07">
        <w:rPr>
          <w:snapToGrid w:val="0"/>
        </w:rPr>
        <w:t xml:space="preserve"> </w:t>
      </w:r>
      <w:r w:rsidR="00A37623" w:rsidRPr="00D96C07">
        <w:rPr>
          <w:snapToGrid w:val="0"/>
        </w:rPr>
        <w:t xml:space="preserve">importance of </w:t>
      </w:r>
      <w:r w:rsidR="007C7DF0" w:rsidRPr="00D96C07">
        <w:rPr>
          <w:snapToGrid w:val="0"/>
        </w:rPr>
        <w:t>confidentiality and informed consen</w:t>
      </w:r>
      <w:r w:rsidR="0032108D" w:rsidRPr="00D96C07">
        <w:rPr>
          <w:snapToGrid w:val="0"/>
        </w:rPr>
        <w:t>t</w:t>
      </w:r>
      <w:r w:rsidR="007C7DF0" w:rsidRPr="00D96C07">
        <w:rPr>
          <w:snapToGrid w:val="0"/>
        </w:rPr>
        <w:t xml:space="preserve">. </w:t>
      </w:r>
      <w:r w:rsidR="007C7DF0" w:rsidRPr="00D96C07">
        <w:t>Staff will also be trained on study-specific procedures for maintaining participant privacy and the confidentiality of data.</w:t>
      </w:r>
      <w:r w:rsidR="0032108D" w:rsidRPr="00D96C07">
        <w:t xml:space="preserve"> These trainings </w:t>
      </w:r>
      <w:r w:rsidR="00A37623" w:rsidRPr="00D96C07">
        <w:t xml:space="preserve">are required before conducting </w:t>
      </w:r>
      <w:r w:rsidR="0032108D" w:rsidRPr="00D96C07">
        <w:t>any cognitive interview</w:t>
      </w:r>
      <w:r w:rsidRPr="00D96C07">
        <w:t xml:space="preserve">s </w:t>
      </w:r>
      <w:r w:rsidR="00F560F9" w:rsidRPr="00D96C07">
        <w:t>or focus group</w:t>
      </w:r>
      <w:r w:rsidRPr="00D96C07">
        <w:t>s.</w:t>
      </w:r>
    </w:p>
    <w:p w14:paraId="266965AA" w14:textId="77777777" w:rsidR="00A37623" w:rsidRPr="00D96C07" w:rsidRDefault="00A37623" w:rsidP="00A23708">
      <w:pPr>
        <w:pStyle w:val="L1-FlLSp12"/>
      </w:pPr>
    </w:p>
    <w:p w14:paraId="266965AB" w14:textId="77777777" w:rsidR="001D10E9" w:rsidRPr="00D96C07" w:rsidRDefault="001D10E9" w:rsidP="001D10E9">
      <w:pPr>
        <w:pStyle w:val="L1-FlLSp12"/>
      </w:pPr>
      <w:r w:rsidRPr="00D96C07">
        <w:t>PII, including names and contact information, will be collected only for the purposes of subject recruitment for</w:t>
      </w:r>
      <w:r w:rsidR="002426EF" w:rsidRPr="00D96C07">
        <w:t xml:space="preserve"> cognitive interviews or focus groups</w:t>
      </w:r>
      <w:r w:rsidR="00610889" w:rsidRPr="00D96C07">
        <w:t>, to document informed consent</w:t>
      </w:r>
      <w:r w:rsidR="002426EF" w:rsidRPr="00D96C07">
        <w:t>,</w:t>
      </w:r>
      <w:r w:rsidR="00610889" w:rsidRPr="00D96C07">
        <w:t xml:space="preserve"> </w:t>
      </w:r>
      <w:r w:rsidRPr="00D96C07">
        <w:t>and to record any incentives received on receipts. PII will not be associated with information or data collected during a cognitive interview</w:t>
      </w:r>
      <w:r w:rsidR="00B5529F" w:rsidRPr="00D96C07">
        <w:t xml:space="preserve"> or focus group</w:t>
      </w:r>
      <w:r w:rsidR="002F79B6" w:rsidRPr="00D96C07">
        <w:t xml:space="preserve">. </w:t>
      </w:r>
      <w:r w:rsidRPr="00D96C07">
        <w:t xml:space="preserve">Cognitive </w:t>
      </w:r>
      <w:r w:rsidR="003D6E59" w:rsidRPr="00D96C07">
        <w:t>interviews</w:t>
      </w:r>
      <w:r w:rsidRPr="00D96C07">
        <w:t xml:space="preserve"> </w:t>
      </w:r>
      <w:r w:rsidR="00B5529F" w:rsidRPr="00D96C07">
        <w:t xml:space="preserve">and focus group </w:t>
      </w:r>
      <w:r w:rsidRPr="00D96C07">
        <w:t>data records will only include</w:t>
      </w:r>
      <w:r w:rsidR="00DB2E25" w:rsidRPr="00D96C07">
        <w:t xml:space="preserve"> participant identifier (</w:t>
      </w:r>
      <w:r w:rsidR="000C73DB" w:rsidRPr="00D96C07">
        <w:t>ID</w:t>
      </w:r>
      <w:r w:rsidR="00DB2E25" w:rsidRPr="00D96C07">
        <w:t>) numbers;</w:t>
      </w:r>
      <w:r w:rsidRPr="00D96C07">
        <w:t xml:space="preserve"> and these data will only be </w:t>
      </w:r>
      <w:r w:rsidR="000850FC" w:rsidRPr="00D96C07">
        <w:t xml:space="preserve">retrievable </w:t>
      </w:r>
      <w:r w:rsidRPr="00D96C07">
        <w:t xml:space="preserve">by participant </w:t>
      </w:r>
      <w:r w:rsidR="000C73DB" w:rsidRPr="00D96C07">
        <w:t>ID</w:t>
      </w:r>
      <w:r w:rsidRPr="00D96C07">
        <w:t>, not by any PII</w:t>
      </w:r>
      <w:r w:rsidR="00B1372B" w:rsidRPr="00D96C07">
        <w:t xml:space="preserve">. </w:t>
      </w:r>
      <w:r w:rsidRPr="00D96C07">
        <w:t xml:space="preserve">A crosswalk linking PII with participant </w:t>
      </w:r>
      <w:r w:rsidR="000C73DB" w:rsidRPr="00D96C07">
        <w:t>ID</w:t>
      </w:r>
      <w:r w:rsidRPr="00D96C07">
        <w:t xml:space="preserve"> numbers will be kept electronically in a password</w:t>
      </w:r>
      <w:r w:rsidR="000850FC" w:rsidRPr="00D96C07">
        <w:t>-</w:t>
      </w:r>
      <w:r w:rsidRPr="00D96C07">
        <w:t>protected file accessible only to the recruiter and task lead</w:t>
      </w:r>
      <w:r w:rsidR="00B1372B" w:rsidRPr="00D96C07">
        <w:t xml:space="preserve">. </w:t>
      </w:r>
      <w:r w:rsidRPr="00D96C07">
        <w:t xml:space="preserve">This crosswalk will be used only for recruiting purposes and to schedule cognitive interview </w:t>
      </w:r>
      <w:r w:rsidR="00B5529F" w:rsidRPr="00D96C07">
        <w:t xml:space="preserve">and focus group </w:t>
      </w:r>
      <w:r w:rsidRPr="00D96C07">
        <w:t xml:space="preserve">sessions. </w:t>
      </w:r>
    </w:p>
    <w:p w14:paraId="266965AC" w14:textId="77777777" w:rsidR="001D10E9" w:rsidRPr="00D96C07" w:rsidRDefault="001D10E9" w:rsidP="00A23708">
      <w:pPr>
        <w:pStyle w:val="L1-FlLSp12"/>
      </w:pPr>
    </w:p>
    <w:p w14:paraId="266965AD" w14:textId="77777777" w:rsidR="0032108D" w:rsidRPr="00D96C07" w:rsidRDefault="002E635A" w:rsidP="00A23708">
      <w:pPr>
        <w:pStyle w:val="L1-FlLSp12"/>
      </w:pPr>
      <w:r w:rsidRPr="00D96C07">
        <w:t>Upon completion of a cognitive interview</w:t>
      </w:r>
      <w:r w:rsidR="00B5529F" w:rsidRPr="00D96C07">
        <w:t xml:space="preserve"> or focus group</w:t>
      </w:r>
      <w:r w:rsidRPr="00D96C07">
        <w:t xml:space="preserve">, the </w:t>
      </w:r>
      <w:r w:rsidR="007C7DF0" w:rsidRPr="00D96C07">
        <w:t>data</w:t>
      </w:r>
      <w:r w:rsidRPr="00D96C07">
        <w:t>, any notes written on other pieces of paper, and the interview</w:t>
      </w:r>
      <w:r w:rsidR="00B5529F" w:rsidRPr="00D96C07">
        <w:t xml:space="preserve"> or group</w:t>
      </w:r>
      <w:r w:rsidRPr="00D96C07">
        <w:t xml:space="preserve"> recording</w:t>
      </w:r>
      <w:r w:rsidR="007C7DF0" w:rsidRPr="00D96C07">
        <w:t xml:space="preserve"> (if created) will be stored in a locked</w:t>
      </w:r>
      <w:r w:rsidR="0032108D" w:rsidRPr="00D96C07">
        <w:t xml:space="preserve"> file</w:t>
      </w:r>
      <w:r w:rsidR="007C7DF0" w:rsidRPr="00D96C07">
        <w:t xml:space="preserve"> cabinet</w:t>
      </w:r>
      <w:r w:rsidR="0032108D" w:rsidRPr="00D96C07">
        <w:t xml:space="preserve"> (for hard copy forms) </w:t>
      </w:r>
      <w:r w:rsidR="000850FC" w:rsidRPr="00D96C07">
        <w:t>or electronically in a password-</w:t>
      </w:r>
      <w:r w:rsidR="0032108D" w:rsidRPr="00D96C07">
        <w:t>protected file (for electronic files)</w:t>
      </w:r>
      <w:r w:rsidR="007C7DF0" w:rsidRPr="00D96C07">
        <w:t>.</w:t>
      </w:r>
      <w:r w:rsidR="00A23708" w:rsidRPr="00D96C07">
        <w:t xml:space="preserve"> </w:t>
      </w:r>
      <w:r w:rsidR="007C7DF0" w:rsidRPr="00D96C07">
        <w:t xml:space="preserve">As </w:t>
      </w:r>
      <w:r w:rsidR="007C7DF0" w:rsidRPr="00D96C07">
        <w:lastRenderedPageBreak/>
        <w:t>needed, r</w:t>
      </w:r>
      <w:r w:rsidRPr="00D96C07">
        <w:t xml:space="preserve">ecordings </w:t>
      </w:r>
      <w:r w:rsidR="0032108D" w:rsidRPr="00D96C07">
        <w:t xml:space="preserve">may </w:t>
      </w:r>
      <w:r w:rsidR="009C216B" w:rsidRPr="00D96C07">
        <w:t xml:space="preserve">be </w:t>
      </w:r>
      <w:r w:rsidRPr="00D96C07">
        <w:t>labeled by participant</w:t>
      </w:r>
      <w:r w:rsidR="00B5529F" w:rsidRPr="00D96C07">
        <w:t xml:space="preserve"> or group</w:t>
      </w:r>
      <w:r w:rsidRPr="00D96C07">
        <w:t xml:space="preserve"> identifier number, date, time, and project title.</w:t>
      </w:r>
      <w:r w:rsidR="00A23708" w:rsidRPr="00D96C07">
        <w:t xml:space="preserve"> </w:t>
      </w:r>
      <w:r w:rsidRPr="00D96C07">
        <w:t xml:space="preserve">No other identifying information </w:t>
      </w:r>
      <w:r w:rsidR="009C216B" w:rsidRPr="00D96C07">
        <w:t xml:space="preserve">will be </w:t>
      </w:r>
      <w:r w:rsidRPr="00D96C07">
        <w:t>labeled on the recording.</w:t>
      </w:r>
      <w:r w:rsidR="00A23708" w:rsidRPr="00D96C07">
        <w:t xml:space="preserve"> </w:t>
      </w:r>
      <w:r w:rsidRPr="00D96C07">
        <w:t xml:space="preserve">No participant names or other identifying information </w:t>
      </w:r>
      <w:r w:rsidR="009C216B" w:rsidRPr="00D96C07">
        <w:t xml:space="preserve">will be </w:t>
      </w:r>
      <w:r w:rsidRPr="00D96C07">
        <w:t xml:space="preserve">included in any reports, publications, or presentations of </w:t>
      </w:r>
      <w:r w:rsidR="007C7DF0" w:rsidRPr="00D96C07">
        <w:t xml:space="preserve">cognitive </w:t>
      </w:r>
      <w:r w:rsidRPr="00D96C07">
        <w:t>interview</w:t>
      </w:r>
      <w:r w:rsidR="00196707" w:rsidRPr="00D96C07">
        <w:t xml:space="preserve"> or focus group</w:t>
      </w:r>
      <w:r w:rsidRPr="00D96C07">
        <w:t xml:space="preserve"> results</w:t>
      </w:r>
      <w:r w:rsidR="00B1372B" w:rsidRPr="00D96C07">
        <w:t xml:space="preserve">. </w:t>
      </w:r>
      <w:r w:rsidR="0032108D" w:rsidRPr="00D96C07">
        <w:t>All data, recruitment forms, incentive forms, and crosswalk</w:t>
      </w:r>
      <w:r w:rsidR="00C22EDB" w:rsidRPr="00D96C07">
        <w:t>s</w:t>
      </w:r>
      <w:r w:rsidR="0032108D" w:rsidRPr="00D96C07">
        <w:t xml:space="preserve"> that link participant </w:t>
      </w:r>
      <w:r w:rsidR="000850FC" w:rsidRPr="00D96C07">
        <w:t>ID</w:t>
      </w:r>
      <w:r w:rsidR="0032108D" w:rsidRPr="00D96C07">
        <w:t xml:space="preserve"> with PII will be kept until a recommendation report is written</w:t>
      </w:r>
      <w:r w:rsidR="00C22EDB" w:rsidRPr="00D96C07">
        <w:t>,</w:t>
      </w:r>
      <w:r w:rsidR="0032108D" w:rsidRPr="00D96C07">
        <w:t xml:space="preserve"> and </w:t>
      </w:r>
      <w:r w:rsidR="00C22EDB" w:rsidRPr="00D96C07">
        <w:t xml:space="preserve">they </w:t>
      </w:r>
      <w:r w:rsidR="0032108D" w:rsidRPr="00D96C07">
        <w:t>will be destroyed 6 months after the report is completed.</w:t>
      </w:r>
    </w:p>
    <w:p w14:paraId="266965AE" w14:textId="77777777" w:rsidR="00FB70EE" w:rsidRPr="00D96C07" w:rsidRDefault="00FB70EE" w:rsidP="00A23708">
      <w:pPr>
        <w:pStyle w:val="L1-FlLSp12"/>
      </w:pPr>
    </w:p>
    <w:p w14:paraId="266965AF" w14:textId="77777777" w:rsidR="00A23708" w:rsidRPr="00D96C07" w:rsidRDefault="00A23708" w:rsidP="00A23708">
      <w:pPr>
        <w:pStyle w:val="L1-FlLSp12"/>
      </w:pPr>
    </w:p>
    <w:p w14:paraId="266965B0" w14:textId="77777777" w:rsidR="008F5FA1" w:rsidRPr="00D96C07" w:rsidRDefault="008F5FA1" w:rsidP="00A23708">
      <w:pPr>
        <w:pStyle w:val="Heading2"/>
      </w:pPr>
      <w:r w:rsidRPr="00D96C07">
        <w:t>A.11</w:t>
      </w:r>
      <w:r w:rsidRPr="00D96C07">
        <w:tab/>
        <w:t>Justification for Sensitive Questions</w:t>
      </w:r>
    </w:p>
    <w:p w14:paraId="266965B1" w14:textId="77777777" w:rsidR="00EF4702" w:rsidRPr="00D96C07" w:rsidRDefault="003B1A58" w:rsidP="00A23708">
      <w:pPr>
        <w:pStyle w:val="L1-FlLSp12"/>
      </w:pPr>
      <w:r w:rsidRPr="00D96C07">
        <w:t>M</w:t>
      </w:r>
      <w:r w:rsidR="009E436C">
        <w:t xml:space="preserve">ost </w:t>
      </w:r>
      <w:r w:rsidR="008555E7" w:rsidRPr="00D96C07">
        <w:t xml:space="preserve">of the </w:t>
      </w:r>
      <w:r w:rsidR="0011137D" w:rsidRPr="00D96C07">
        <w:t xml:space="preserve">questions contained in the PATH </w:t>
      </w:r>
      <w:r w:rsidR="008F7090" w:rsidRPr="00D96C07">
        <w:t>Study</w:t>
      </w:r>
      <w:r w:rsidR="007C7DF0" w:rsidRPr="00D96C07">
        <w:t xml:space="preserve"> materials</w:t>
      </w:r>
      <w:r w:rsidR="00EF4702" w:rsidRPr="00D96C07">
        <w:t xml:space="preserve"> and </w:t>
      </w:r>
      <w:r w:rsidR="00D81BAE" w:rsidRPr="00D96C07">
        <w:t xml:space="preserve">instruments </w:t>
      </w:r>
      <w:r w:rsidR="008555E7" w:rsidRPr="00D96C07">
        <w:t xml:space="preserve">are not sensitive in nature, </w:t>
      </w:r>
      <w:r w:rsidRPr="00D96C07">
        <w:t xml:space="preserve">however, </w:t>
      </w:r>
      <w:r w:rsidR="00EF4702" w:rsidRPr="00D96C07">
        <w:t>i</w:t>
      </w:r>
      <w:r w:rsidR="008555E7" w:rsidRPr="00D96C07">
        <w:t>tem sensitivity cannot always be predicted</w:t>
      </w:r>
      <w:r w:rsidR="00B1372B" w:rsidRPr="00D96C07">
        <w:t xml:space="preserve">. </w:t>
      </w:r>
      <w:r w:rsidR="008555E7" w:rsidRPr="00D96C07">
        <w:t xml:space="preserve">An important purpose of </w:t>
      </w:r>
      <w:r w:rsidR="002426EF" w:rsidRPr="00D96C07">
        <w:t>conducting cognitive interviews and focus groups about</w:t>
      </w:r>
      <w:r w:rsidR="008555E7" w:rsidRPr="00D96C07">
        <w:t xml:space="preserve"> </w:t>
      </w:r>
      <w:r w:rsidR="002426EF" w:rsidRPr="00D96C07">
        <w:t xml:space="preserve">potential </w:t>
      </w:r>
      <w:r w:rsidR="008555E7" w:rsidRPr="00D96C07">
        <w:t xml:space="preserve">questionnaire items </w:t>
      </w:r>
      <w:r w:rsidR="002426EF" w:rsidRPr="00D96C07">
        <w:t>and materials</w:t>
      </w:r>
      <w:r w:rsidR="008555E7" w:rsidRPr="00D96C07">
        <w:t xml:space="preserve"> is to assess their level of sensitivity</w:t>
      </w:r>
      <w:r w:rsidR="0073568C" w:rsidRPr="00D96C07">
        <w:t xml:space="preserve">. </w:t>
      </w:r>
    </w:p>
    <w:p w14:paraId="266965B2" w14:textId="77777777" w:rsidR="00EF4702" w:rsidRPr="00D96C07" w:rsidRDefault="00EF4702" w:rsidP="00A23708">
      <w:pPr>
        <w:pStyle w:val="L1-FlLSp12"/>
      </w:pPr>
    </w:p>
    <w:p w14:paraId="266965B3" w14:textId="77777777" w:rsidR="00981E3D" w:rsidRPr="00D96C07" w:rsidRDefault="0051108D" w:rsidP="00A23708">
      <w:pPr>
        <w:pStyle w:val="L1-FlLSp12"/>
      </w:pPr>
      <w:r w:rsidRPr="00D96C07">
        <w:t xml:space="preserve">The </w:t>
      </w:r>
      <w:r w:rsidR="00D81BAE" w:rsidRPr="00D96C07">
        <w:t xml:space="preserve">PATH </w:t>
      </w:r>
      <w:r w:rsidR="008F7090" w:rsidRPr="00D96C07">
        <w:t>Study</w:t>
      </w:r>
      <w:r w:rsidRPr="00D96C07">
        <w:t xml:space="preserve">'s </w:t>
      </w:r>
      <w:r w:rsidR="00D81BAE" w:rsidRPr="00D96C07">
        <w:t xml:space="preserve">instruments include questions </w:t>
      </w:r>
      <w:r w:rsidR="008555E7" w:rsidRPr="00D96C07">
        <w:t>on</w:t>
      </w:r>
      <w:r w:rsidR="00D81BAE" w:rsidRPr="00D96C07">
        <w:t xml:space="preserve"> tobacco use; psychological problems</w:t>
      </w:r>
      <w:r w:rsidR="0073568C" w:rsidRPr="00D96C07">
        <w:t xml:space="preserve"> and conditions</w:t>
      </w:r>
      <w:r w:rsidR="00D81BAE" w:rsidRPr="00D96C07">
        <w:t>;</w:t>
      </w:r>
      <w:r w:rsidR="00725FF6" w:rsidRPr="00D96C07">
        <w:t xml:space="preserve"> substance abuse; income; and sexual identity, orientation, and attraction. These questions </w:t>
      </w:r>
      <w:r w:rsidRPr="00D96C07">
        <w:t xml:space="preserve">relate to important </w:t>
      </w:r>
      <w:r w:rsidR="00725FF6" w:rsidRPr="00D96C07">
        <w:t xml:space="preserve">outcomes </w:t>
      </w:r>
      <w:r w:rsidRPr="00D96C07">
        <w:t>and</w:t>
      </w:r>
      <w:r w:rsidR="00725FF6" w:rsidRPr="00D96C07">
        <w:t xml:space="preserve"> correlates of tobacco use and health and are included in both the adult and youth </w:t>
      </w:r>
      <w:r w:rsidR="009D4839" w:rsidRPr="00D96C07">
        <w:t>instruments</w:t>
      </w:r>
      <w:r w:rsidR="00D81BAE" w:rsidRPr="00D96C07">
        <w:t>.</w:t>
      </w:r>
      <w:r w:rsidR="00A23708" w:rsidRPr="00D96C07">
        <w:t xml:space="preserve"> </w:t>
      </w:r>
      <w:r w:rsidR="001C233D" w:rsidRPr="00D96C07">
        <w:t xml:space="preserve">Cognitive </w:t>
      </w:r>
      <w:r w:rsidR="003D6E59" w:rsidRPr="00D96C07">
        <w:t>interviews</w:t>
      </w:r>
      <w:r w:rsidRPr="00D96C07">
        <w:t xml:space="preserve"> </w:t>
      </w:r>
      <w:r w:rsidR="00B074BF" w:rsidRPr="00D96C07">
        <w:t>and focus group</w:t>
      </w:r>
      <w:r w:rsidR="001C233D" w:rsidRPr="00D96C07">
        <w:t xml:space="preserve">s will </w:t>
      </w:r>
      <w:r w:rsidR="002B6CAD" w:rsidRPr="00D96C07">
        <w:t xml:space="preserve">help to </w:t>
      </w:r>
      <w:r w:rsidR="00725FF6" w:rsidRPr="00D96C07">
        <w:t>identify</w:t>
      </w:r>
      <w:r w:rsidR="001C233D" w:rsidRPr="00D96C07">
        <w:t xml:space="preserve"> </w:t>
      </w:r>
      <w:r w:rsidRPr="00D96C07">
        <w:t xml:space="preserve">questionnaire </w:t>
      </w:r>
      <w:r w:rsidR="001C233D" w:rsidRPr="00D96C07">
        <w:t>items that</w:t>
      </w:r>
      <w:r w:rsidR="008555E7" w:rsidRPr="00D96C07">
        <w:t xml:space="preserve"> </w:t>
      </w:r>
      <w:r w:rsidR="000123DB" w:rsidRPr="00D96C07">
        <w:t>participants</w:t>
      </w:r>
      <w:r w:rsidR="00981E3D" w:rsidRPr="00D96C07">
        <w:t xml:space="preserve"> </w:t>
      </w:r>
      <w:r w:rsidR="008555E7" w:rsidRPr="00D96C07">
        <w:t xml:space="preserve">may </w:t>
      </w:r>
      <w:r w:rsidR="00981E3D" w:rsidRPr="00D96C07">
        <w:t>find sensitive</w:t>
      </w:r>
      <w:r w:rsidR="00517430" w:rsidRPr="00D96C07">
        <w:t xml:space="preserve"> </w:t>
      </w:r>
      <w:r w:rsidR="00725FF6" w:rsidRPr="00D96C07">
        <w:t>or not want to answer</w:t>
      </w:r>
      <w:r w:rsidR="00881C5C">
        <w:t>,</w:t>
      </w:r>
      <w:r w:rsidR="00A36479">
        <w:t xml:space="preserve"> and may suggest </w:t>
      </w:r>
      <w:r w:rsidR="00401C19" w:rsidRPr="00D96C07">
        <w:t xml:space="preserve"> </w:t>
      </w:r>
      <w:r w:rsidRPr="00D96C07">
        <w:t>other</w:t>
      </w:r>
      <w:r w:rsidR="00401C19" w:rsidRPr="00D96C07">
        <w:t xml:space="preserve"> ways to</w:t>
      </w:r>
      <w:r w:rsidR="00981E3D" w:rsidRPr="00D96C07">
        <w:t xml:space="preserve"> ask </w:t>
      </w:r>
      <w:r w:rsidR="00725FF6" w:rsidRPr="00D96C07">
        <w:t>such</w:t>
      </w:r>
      <w:r w:rsidR="00401C19" w:rsidRPr="00D96C07">
        <w:t xml:space="preserve"> question</w:t>
      </w:r>
      <w:r w:rsidR="0073568C" w:rsidRPr="00D96C07">
        <w:t>s</w:t>
      </w:r>
      <w:r w:rsidR="001C233D" w:rsidRPr="00D96C07">
        <w:t xml:space="preserve"> </w:t>
      </w:r>
      <w:r w:rsidR="00A36479">
        <w:t>that minimize potential sensitivity without affecting the accuracy of responses.</w:t>
      </w:r>
    </w:p>
    <w:p w14:paraId="266965B4" w14:textId="77777777" w:rsidR="001C233D" w:rsidRPr="00D96C07" w:rsidRDefault="001C233D" w:rsidP="00A23708">
      <w:pPr>
        <w:pStyle w:val="L1-FlLSp12"/>
      </w:pPr>
    </w:p>
    <w:p w14:paraId="266965B5" w14:textId="77777777" w:rsidR="00D81BAE" w:rsidRPr="00D96C07" w:rsidRDefault="00981E3D" w:rsidP="00A23708">
      <w:pPr>
        <w:pStyle w:val="L1-FlLSp12"/>
      </w:pPr>
      <w:r w:rsidRPr="00D96C07">
        <w:t xml:space="preserve">As part of the informed consent process, </w:t>
      </w:r>
      <w:r w:rsidR="000123DB" w:rsidRPr="00D96C07">
        <w:t>participants</w:t>
      </w:r>
      <w:r w:rsidRPr="00D96C07">
        <w:t xml:space="preserve"> will be told that their participation is voluntary, they may choose to not answer any question, and </w:t>
      </w:r>
      <w:r w:rsidR="00294487" w:rsidRPr="00D96C07">
        <w:t xml:space="preserve">they </w:t>
      </w:r>
      <w:r w:rsidRPr="00D96C07">
        <w:t xml:space="preserve">may </w:t>
      </w:r>
      <w:r w:rsidR="00BF27AE" w:rsidRPr="00D96C07">
        <w:t xml:space="preserve">stop participation in </w:t>
      </w:r>
      <w:r w:rsidRPr="00D96C07">
        <w:t xml:space="preserve">the cognitive </w:t>
      </w:r>
      <w:r w:rsidR="004763AD" w:rsidRPr="00D96C07">
        <w:t xml:space="preserve">interview or focus group </w:t>
      </w:r>
      <w:r w:rsidRPr="00D96C07">
        <w:t>session at any time.</w:t>
      </w:r>
      <w:r w:rsidR="00A23708" w:rsidRPr="00D96C07">
        <w:t xml:space="preserve"> </w:t>
      </w:r>
      <w:r w:rsidRPr="00D96C07">
        <w:t>A</w:t>
      </w:r>
      <w:r w:rsidR="00EA2B3F" w:rsidRPr="00D96C07">
        <w:t>dditionally, a</w:t>
      </w:r>
      <w:r w:rsidRPr="00D96C07">
        <w:t xml:space="preserve">ll data collection materials and instruments will be reviewed and approved by the </w:t>
      </w:r>
      <w:r w:rsidR="009279CB" w:rsidRPr="00D96C07">
        <w:t xml:space="preserve">prime contractor’s </w:t>
      </w:r>
      <w:r w:rsidR="007C7DF0" w:rsidRPr="00D96C07">
        <w:t xml:space="preserve">IRB </w:t>
      </w:r>
      <w:r w:rsidRPr="00D96C07">
        <w:t xml:space="preserve">prior </w:t>
      </w:r>
      <w:r w:rsidR="00251CFE" w:rsidRPr="00D96C07">
        <w:t>to the session</w:t>
      </w:r>
      <w:r w:rsidR="00271AD6" w:rsidRPr="00D96C07">
        <w:t>.</w:t>
      </w:r>
    </w:p>
    <w:p w14:paraId="266965B6" w14:textId="77777777" w:rsidR="00D81BAE" w:rsidRPr="00D96C07" w:rsidRDefault="00D81BAE" w:rsidP="00A23708">
      <w:pPr>
        <w:pStyle w:val="L1-FlLSp12"/>
      </w:pPr>
    </w:p>
    <w:p w14:paraId="266965B7" w14:textId="77777777" w:rsidR="00D24673" w:rsidRPr="00D96C07" w:rsidRDefault="00D24673" w:rsidP="00A23708">
      <w:pPr>
        <w:pStyle w:val="L1-FlLSp12"/>
      </w:pPr>
    </w:p>
    <w:p w14:paraId="266965B8" w14:textId="77777777" w:rsidR="002E59EB" w:rsidRPr="00D96C07" w:rsidRDefault="002E59EB" w:rsidP="00D87967">
      <w:pPr>
        <w:pStyle w:val="Heading2"/>
        <w:ind w:left="0" w:firstLine="0"/>
      </w:pPr>
      <w:r w:rsidRPr="00D96C07">
        <w:t>A.1</w:t>
      </w:r>
      <w:r w:rsidR="00F97985" w:rsidRPr="00D96C07">
        <w:t>2</w:t>
      </w:r>
      <w:r w:rsidRPr="00D96C07">
        <w:tab/>
      </w:r>
      <w:r w:rsidR="00F97985" w:rsidRPr="00D96C07">
        <w:t xml:space="preserve">Estimates of </w:t>
      </w:r>
      <w:r w:rsidR="0032592E" w:rsidRPr="00D96C07">
        <w:t xml:space="preserve">Annualized </w:t>
      </w:r>
      <w:r w:rsidR="00F97985" w:rsidRPr="00D96C07">
        <w:t>Burden Hour</w:t>
      </w:r>
      <w:r w:rsidR="0032592E" w:rsidRPr="00D96C07">
        <w:t xml:space="preserve">s and </w:t>
      </w:r>
      <w:r w:rsidR="00F97985" w:rsidRPr="00D96C07">
        <w:t>Costs</w:t>
      </w:r>
    </w:p>
    <w:p w14:paraId="266965BA" w14:textId="60E1BE05" w:rsidR="001B1DDA" w:rsidRPr="001E7BA8" w:rsidRDefault="000A42A9" w:rsidP="0040350C">
      <w:pPr>
        <w:spacing w:after="200" w:line="276" w:lineRule="auto"/>
        <w:rPr>
          <w:b/>
          <w:sz w:val="20"/>
        </w:rPr>
      </w:pPr>
      <w:r w:rsidRPr="00B834F0">
        <w:rPr>
          <w:szCs w:val="24"/>
        </w:rPr>
        <w:t>Table 1 presents the a</w:t>
      </w:r>
      <w:r w:rsidR="001F7658" w:rsidRPr="00B834F0">
        <w:rPr>
          <w:szCs w:val="24"/>
        </w:rPr>
        <w:t xml:space="preserve">verage </w:t>
      </w:r>
      <w:r w:rsidR="007B799C" w:rsidRPr="00B834F0">
        <w:rPr>
          <w:szCs w:val="24"/>
        </w:rPr>
        <w:t xml:space="preserve">annual </w:t>
      </w:r>
      <w:r w:rsidR="001F7658" w:rsidRPr="00B834F0">
        <w:rPr>
          <w:szCs w:val="24"/>
        </w:rPr>
        <w:t>h</w:t>
      </w:r>
      <w:r w:rsidR="00F97985" w:rsidRPr="00B834F0">
        <w:rPr>
          <w:szCs w:val="24"/>
        </w:rPr>
        <w:t xml:space="preserve">our burden for </w:t>
      </w:r>
      <w:r w:rsidRPr="00B834F0">
        <w:rPr>
          <w:szCs w:val="24"/>
        </w:rPr>
        <w:t xml:space="preserve">(1) screening respondents to participate in cognitive interviews or focus groups, and (2) </w:t>
      </w:r>
      <w:r w:rsidR="00251CFE" w:rsidRPr="00B834F0">
        <w:rPr>
          <w:szCs w:val="24"/>
        </w:rPr>
        <w:t>participation in a cognitive interview or focus group session</w:t>
      </w:r>
      <w:r w:rsidR="00CD4B06" w:rsidRPr="00B834F0">
        <w:rPr>
          <w:szCs w:val="24"/>
        </w:rPr>
        <w:t>.</w:t>
      </w:r>
      <w:r w:rsidR="001B1DDA" w:rsidRPr="00B834F0">
        <w:rPr>
          <w:szCs w:val="24"/>
        </w:rPr>
        <w:t xml:space="preserve"> </w:t>
      </w:r>
      <w:r w:rsidR="00CD4B06" w:rsidRPr="00B834F0">
        <w:rPr>
          <w:szCs w:val="24"/>
        </w:rPr>
        <w:t>W</w:t>
      </w:r>
      <w:r w:rsidR="001B1DDA" w:rsidRPr="00B834F0">
        <w:rPr>
          <w:szCs w:val="24"/>
        </w:rPr>
        <w:t xml:space="preserve">ith </w:t>
      </w:r>
      <w:r w:rsidR="00391E38" w:rsidRPr="00B834F0">
        <w:rPr>
          <w:szCs w:val="24"/>
        </w:rPr>
        <w:t xml:space="preserve">the </w:t>
      </w:r>
      <w:r w:rsidR="001B1DDA" w:rsidRPr="00B834F0">
        <w:rPr>
          <w:szCs w:val="24"/>
        </w:rPr>
        <w:t xml:space="preserve">exception of </w:t>
      </w:r>
      <w:r w:rsidR="00391E38" w:rsidRPr="00B834F0">
        <w:rPr>
          <w:szCs w:val="24"/>
        </w:rPr>
        <w:t xml:space="preserve">using </w:t>
      </w:r>
      <w:r w:rsidR="00C22EDB" w:rsidRPr="00B834F0">
        <w:rPr>
          <w:szCs w:val="24"/>
        </w:rPr>
        <w:t xml:space="preserve">only </w:t>
      </w:r>
      <w:r w:rsidR="00391E38" w:rsidRPr="00B834F0">
        <w:rPr>
          <w:szCs w:val="24"/>
        </w:rPr>
        <w:t xml:space="preserve">focus groups to examine the concepts to be measured, depending on the specific purpose of a substudy, cognitive interviews or focus groups could be used </w:t>
      </w:r>
      <w:r w:rsidR="00391E38" w:rsidRPr="00B834F0">
        <w:rPr>
          <w:szCs w:val="24"/>
        </w:rPr>
        <w:lastRenderedPageBreak/>
        <w:t xml:space="preserve">to support development of the PATH Study consent and assent forms, </w:t>
      </w:r>
      <w:r w:rsidR="00D6187D" w:rsidRPr="00B834F0">
        <w:rPr>
          <w:szCs w:val="24"/>
        </w:rPr>
        <w:t xml:space="preserve">other forms and materials, </w:t>
      </w:r>
      <w:r w:rsidR="00391E38" w:rsidRPr="00B834F0">
        <w:rPr>
          <w:szCs w:val="24"/>
        </w:rPr>
        <w:t>and instruments</w:t>
      </w:r>
      <w:r w:rsidR="00D6187D" w:rsidRPr="00B834F0">
        <w:rPr>
          <w:szCs w:val="24"/>
        </w:rPr>
        <w:t xml:space="preserve">. </w:t>
      </w:r>
    </w:p>
    <w:p w14:paraId="266965BB" w14:textId="77777777" w:rsidR="0032592E" w:rsidRPr="00BA2749" w:rsidRDefault="0032592E" w:rsidP="00BA2749">
      <w:pPr>
        <w:pStyle w:val="TT-TableTitle"/>
        <w:rPr>
          <w:lang w:val="x-none" w:eastAsia="x-none"/>
        </w:rPr>
      </w:pPr>
      <w:r w:rsidRPr="00881C5C">
        <w:rPr>
          <w:lang w:val="x-none" w:eastAsia="x-none"/>
        </w:rPr>
        <w:t xml:space="preserve">Table </w:t>
      </w:r>
      <w:r w:rsidR="00402842" w:rsidRPr="00BA2749">
        <w:rPr>
          <w:lang w:val="x-none" w:eastAsia="x-none"/>
        </w:rPr>
        <w:t>1</w:t>
      </w:r>
      <w:r w:rsidR="00BE31C0" w:rsidRPr="00881C5C">
        <w:rPr>
          <w:lang w:val="x-none" w:eastAsia="x-none"/>
        </w:rPr>
        <w:t>.</w:t>
      </w:r>
      <w:r w:rsidR="00CB09AD">
        <w:rPr>
          <w:lang w:eastAsia="x-none"/>
        </w:rPr>
        <w:tab/>
      </w:r>
      <w:r w:rsidR="00BE31C0" w:rsidRPr="00881C5C">
        <w:rPr>
          <w:lang w:val="x-none" w:eastAsia="x-none"/>
        </w:rPr>
        <w:t xml:space="preserve">Hour burden estimates for </w:t>
      </w:r>
      <w:r w:rsidR="00402842" w:rsidRPr="00BA2749">
        <w:rPr>
          <w:lang w:val="x-none" w:eastAsia="x-none"/>
        </w:rPr>
        <w:t xml:space="preserve">screening respondents, and </w:t>
      </w:r>
      <w:r w:rsidR="00251CFE" w:rsidRPr="00881C5C">
        <w:rPr>
          <w:lang w:val="x-none" w:eastAsia="x-none"/>
        </w:rPr>
        <w:t>participating in cognitive interviews or focus groups</w:t>
      </w:r>
    </w:p>
    <w:p w14:paraId="266965BC" w14:textId="77777777" w:rsidR="00881C5C" w:rsidRPr="00881C5C" w:rsidRDefault="00881C5C" w:rsidP="00881C5C">
      <w:pPr>
        <w:pStyle w:val="TT-TableTitle"/>
        <w:ind w:left="0" w:firstLine="0"/>
        <w:rPr>
          <w:lang w:eastAsia="x-none"/>
        </w:rPr>
      </w:pPr>
    </w:p>
    <w:tbl>
      <w:tblPr>
        <w:tblStyle w:val="TableWestatStandardFormat"/>
        <w:tblW w:w="4693" w:type="pct"/>
        <w:tblLayout w:type="fixed"/>
        <w:tblLook w:val="04A0" w:firstRow="1" w:lastRow="0" w:firstColumn="1" w:lastColumn="0" w:noHBand="0" w:noVBand="1"/>
      </w:tblPr>
      <w:tblGrid>
        <w:gridCol w:w="2720"/>
        <w:gridCol w:w="1348"/>
        <w:gridCol w:w="34"/>
        <w:gridCol w:w="1499"/>
        <w:gridCol w:w="1274"/>
        <w:gridCol w:w="1149"/>
        <w:gridCol w:w="964"/>
      </w:tblGrid>
      <w:tr w:rsidR="00E92610" w:rsidRPr="009232E9" w14:paraId="266965C3" w14:textId="77777777" w:rsidTr="009B4352">
        <w:trPr>
          <w:cnfStyle w:val="100000000000" w:firstRow="1" w:lastRow="0" w:firstColumn="0" w:lastColumn="0" w:oddVBand="0" w:evenVBand="0" w:oddHBand="0" w:evenHBand="0" w:firstRowFirstColumn="0" w:firstRowLastColumn="0" w:lastRowFirstColumn="0" w:lastRowLastColumn="0"/>
          <w:cantSplit/>
        </w:trPr>
        <w:tc>
          <w:tcPr>
            <w:tcW w:w="1513" w:type="pct"/>
            <w:shd w:val="clear" w:color="auto" w:fill="95B3D7" w:themeFill="accent1" w:themeFillTint="99"/>
            <w:vAlign w:val="top"/>
            <w:hideMark/>
          </w:tcPr>
          <w:p w14:paraId="266965BD" w14:textId="77777777" w:rsidR="00E92610" w:rsidRPr="009232E9" w:rsidRDefault="00402842" w:rsidP="004A6625">
            <w:pPr>
              <w:pStyle w:val="TH-TableHeading"/>
              <w:jc w:val="left"/>
            </w:pPr>
            <w:r>
              <w:t>Activity Name</w:t>
            </w:r>
          </w:p>
        </w:tc>
        <w:tc>
          <w:tcPr>
            <w:tcW w:w="769" w:type="pct"/>
            <w:gridSpan w:val="2"/>
            <w:shd w:val="clear" w:color="auto" w:fill="95B3D7" w:themeFill="accent1" w:themeFillTint="99"/>
            <w:vAlign w:val="top"/>
            <w:hideMark/>
          </w:tcPr>
          <w:p w14:paraId="266965BE" w14:textId="77777777" w:rsidR="00E92610" w:rsidRPr="009232E9" w:rsidRDefault="002C4F56" w:rsidP="004A6625">
            <w:pPr>
              <w:pStyle w:val="TH-TableHeading"/>
              <w:jc w:val="left"/>
            </w:pPr>
            <w:r>
              <w:t>Type of Respondent</w:t>
            </w:r>
          </w:p>
        </w:tc>
        <w:tc>
          <w:tcPr>
            <w:tcW w:w="834" w:type="pct"/>
            <w:shd w:val="clear" w:color="auto" w:fill="95B3D7" w:themeFill="accent1" w:themeFillTint="99"/>
            <w:vAlign w:val="top"/>
            <w:hideMark/>
          </w:tcPr>
          <w:p w14:paraId="266965BF" w14:textId="77777777" w:rsidR="00E92610" w:rsidRPr="009232E9" w:rsidRDefault="00E92610" w:rsidP="004A6625">
            <w:pPr>
              <w:pStyle w:val="TH-TableHeading"/>
              <w:jc w:val="left"/>
            </w:pPr>
            <w:r w:rsidRPr="009232E9">
              <w:t>Number of Respondents</w:t>
            </w:r>
          </w:p>
        </w:tc>
        <w:tc>
          <w:tcPr>
            <w:tcW w:w="709" w:type="pct"/>
            <w:shd w:val="clear" w:color="auto" w:fill="95B3D7" w:themeFill="accent1" w:themeFillTint="99"/>
            <w:vAlign w:val="top"/>
            <w:hideMark/>
          </w:tcPr>
          <w:p w14:paraId="266965C0" w14:textId="743CC8A6" w:rsidR="00E92610" w:rsidRPr="009232E9" w:rsidRDefault="008C46CF" w:rsidP="00A248FA">
            <w:pPr>
              <w:pStyle w:val="TH-TableHeading"/>
              <w:jc w:val="left"/>
            </w:pPr>
            <w:r>
              <w:t xml:space="preserve">Number of </w:t>
            </w:r>
            <w:r w:rsidR="00E92610" w:rsidRPr="009232E9">
              <w:t xml:space="preserve">Responses </w:t>
            </w:r>
            <w:r>
              <w:t>p</w:t>
            </w:r>
            <w:r w:rsidR="00E92610" w:rsidRPr="009232E9">
              <w:t>er Respondent</w:t>
            </w:r>
          </w:p>
        </w:tc>
        <w:tc>
          <w:tcPr>
            <w:tcW w:w="639" w:type="pct"/>
            <w:shd w:val="clear" w:color="auto" w:fill="95B3D7" w:themeFill="accent1" w:themeFillTint="99"/>
            <w:vAlign w:val="top"/>
            <w:hideMark/>
          </w:tcPr>
          <w:p w14:paraId="266965C1" w14:textId="77777777" w:rsidR="00E92610" w:rsidRPr="009232E9" w:rsidRDefault="001E7BA8" w:rsidP="004A6625">
            <w:pPr>
              <w:pStyle w:val="TH-TableHeading"/>
              <w:jc w:val="left"/>
            </w:pPr>
            <w:r w:rsidRPr="009232E9">
              <w:t>Average Burden Per Response (in hours)</w:t>
            </w:r>
          </w:p>
        </w:tc>
        <w:tc>
          <w:tcPr>
            <w:tcW w:w="536" w:type="pct"/>
            <w:shd w:val="clear" w:color="auto" w:fill="95B3D7" w:themeFill="accent1" w:themeFillTint="99"/>
            <w:vAlign w:val="top"/>
            <w:hideMark/>
          </w:tcPr>
          <w:p w14:paraId="266965C2" w14:textId="77777777" w:rsidR="00E92610" w:rsidRPr="009232E9" w:rsidRDefault="008C46CF" w:rsidP="004A6625">
            <w:pPr>
              <w:pStyle w:val="TH-TableHeading"/>
              <w:jc w:val="left"/>
            </w:pPr>
            <w:r>
              <w:t xml:space="preserve">Total </w:t>
            </w:r>
            <w:r w:rsidR="00E92610" w:rsidRPr="009232E9">
              <w:t>Annual Burden</w:t>
            </w:r>
            <w:r>
              <w:t xml:space="preserve"> Hours</w:t>
            </w:r>
          </w:p>
        </w:tc>
      </w:tr>
      <w:tr w:rsidR="00A24F63" w:rsidRPr="009232E9" w14:paraId="6755D18B" w14:textId="77777777" w:rsidTr="00A24F63">
        <w:trPr>
          <w:cantSplit/>
        </w:trPr>
        <w:tc>
          <w:tcPr>
            <w:tcW w:w="1513" w:type="pct"/>
            <w:tcBorders>
              <w:bottom w:val="single" w:sz="4" w:space="0" w:color="auto"/>
            </w:tcBorders>
            <w:noWrap/>
          </w:tcPr>
          <w:p w14:paraId="1606B87E" w14:textId="384553FB" w:rsidR="00A24F63" w:rsidRPr="009232E9" w:rsidRDefault="00A24F63" w:rsidP="00A24F63">
            <w:pPr>
              <w:pStyle w:val="TX-TableText"/>
            </w:pPr>
            <w:r>
              <w:t xml:space="preserve">Completing eligibility screener </w:t>
            </w:r>
          </w:p>
        </w:tc>
        <w:tc>
          <w:tcPr>
            <w:tcW w:w="750" w:type="pct"/>
            <w:tcBorders>
              <w:bottom w:val="single" w:sz="4" w:space="0" w:color="auto"/>
            </w:tcBorders>
            <w:vAlign w:val="center"/>
          </w:tcPr>
          <w:p w14:paraId="1AE08022" w14:textId="77777777" w:rsidR="00A24F63" w:rsidRDefault="00A24F63" w:rsidP="00583863">
            <w:pPr>
              <w:pStyle w:val="TX-TableText"/>
              <w:jc w:val="center"/>
            </w:pPr>
            <w:r>
              <w:t>Youth</w:t>
            </w:r>
          </w:p>
          <w:p w14:paraId="31A06155" w14:textId="77777777" w:rsidR="00A24F63" w:rsidRPr="009232E9" w:rsidRDefault="00A24F63" w:rsidP="00583863">
            <w:pPr>
              <w:pStyle w:val="TX-TableText"/>
              <w:jc w:val="center"/>
            </w:pPr>
            <w:r w:rsidRPr="009232E9">
              <w:t>Adult</w:t>
            </w:r>
            <w:r>
              <w:t>s</w:t>
            </w:r>
          </w:p>
        </w:tc>
        <w:tc>
          <w:tcPr>
            <w:tcW w:w="853" w:type="pct"/>
            <w:gridSpan w:val="2"/>
            <w:tcBorders>
              <w:bottom w:val="single" w:sz="4" w:space="0" w:color="auto"/>
            </w:tcBorders>
            <w:noWrap/>
            <w:vAlign w:val="center"/>
          </w:tcPr>
          <w:p w14:paraId="70C2D091" w14:textId="56B394A8" w:rsidR="00A24F63" w:rsidRDefault="00A24F63" w:rsidP="00583863">
            <w:pPr>
              <w:pStyle w:val="TX-TableText"/>
              <w:jc w:val="center"/>
              <w:rPr>
                <w:rFonts w:cs="Calibri"/>
                <w:color w:val="000000"/>
              </w:rPr>
            </w:pPr>
            <w:r>
              <w:rPr>
                <w:rFonts w:cs="Calibri"/>
                <w:color w:val="000000"/>
              </w:rPr>
              <w:t>1,600</w:t>
            </w:r>
          </w:p>
          <w:p w14:paraId="7CC850F2" w14:textId="425ACE04" w:rsidR="00A24F63" w:rsidRPr="009232E9" w:rsidRDefault="00A24F63" w:rsidP="00583863">
            <w:pPr>
              <w:pStyle w:val="TX-TableText"/>
              <w:jc w:val="center"/>
              <w:rPr>
                <w:rFonts w:cs="Calibri"/>
                <w:color w:val="000000"/>
              </w:rPr>
            </w:pPr>
            <w:r w:rsidRPr="009232E9">
              <w:rPr>
                <w:rFonts w:cs="Calibri"/>
                <w:color w:val="000000"/>
              </w:rPr>
              <w:t>2</w:t>
            </w:r>
            <w:r>
              <w:rPr>
                <w:rFonts w:cs="Calibri"/>
                <w:color w:val="000000"/>
              </w:rPr>
              <w:t>,4</w:t>
            </w:r>
            <w:r w:rsidRPr="009232E9">
              <w:rPr>
                <w:rFonts w:cs="Calibri"/>
                <w:color w:val="000000"/>
              </w:rPr>
              <w:t>00</w:t>
            </w:r>
          </w:p>
        </w:tc>
        <w:tc>
          <w:tcPr>
            <w:tcW w:w="709" w:type="pct"/>
            <w:tcBorders>
              <w:bottom w:val="single" w:sz="4" w:space="0" w:color="auto"/>
            </w:tcBorders>
            <w:noWrap/>
            <w:vAlign w:val="center"/>
          </w:tcPr>
          <w:p w14:paraId="2BD640F0" w14:textId="77777777" w:rsidR="00A24F63" w:rsidRDefault="00A24F63" w:rsidP="00583863">
            <w:pPr>
              <w:pStyle w:val="TX-TableText"/>
              <w:jc w:val="center"/>
            </w:pPr>
            <w:r>
              <w:t>1</w:t>
            </w:r>
          </w:p>
          <w:p w14:paraId="5585F5C0" w14:textId="77777777" w:rsidR="00A24F63" w:rsidRPr="009232E9" w:rsidRDefault="00A24F63" w:rsidP="00583863">
            <w:pPr>
              <w:pStyle w:val="TX-TableText"/>
              <w:jc w:val="center"/>
            </w:pPr>
            <w:r w:rsidRPr="009232E9">
              <w:t>1</w:t>
            </w:r>
          </w:p>
        </w:tc>
        <w:tc>
          <w:tcPr>
            <w:tcW w:w="639" w:type="pct"/>
            <w:tcBorders>
              <w:bottom w:val="single" w:sz="4" w:space="0" w:color="auto"/>
            </w:tcBorders>
            <w:noWrap/>
            <w:vAlign w:val="center"/>
          </w:tcPr>
          <w:p w14:paraId="0F31BA4B" w14:textId="45D2D85F" w:rsidR="00A24F63" w:rsidRDefault="00A24F63" w:rsidP="00583863">
            <w:pPr>
              <w:pStyle w:val="TX-TableText"/>
              <w:jc w:val="center"/>
            </w:pPr>
            <w:r>
              <w:t>10/60</w:t>
            </w:r>
          </w:p>
          <w:p w14:paraId="01C4862C" w14:textId="1DD6FD42" w:rsidR="00A24F63" w:rsidRPr="009232E9" w:rsidRDefault="00A24F63" w:rsidP="00583863">
            <w:pPr>
              <w:pStyle w:val="TX-TableText"/>
              <w:jc w:val="center"/>
            </w:pPr>
            <w:r>
              <w:t>1</w:t>
            </w:r>
            <w:r w:rsidRPr="009232E9">
              <w:t>0/60</w:t>
            </w:r>
          </w:p>
        </w:tc>
        <w:tc>
          <w:tcPr>
            <w:tcW w:w="536" w:type="pct"/>
            <w:tcBorders>
              <w:bottom w:val="single" w:sz="4" w:space="0" w:color="auto"/>
            </w:tcBorders>
            <w:noWrap/>
            <w:vAlign w:val="center"/>
          </w:tcPr>
          <w:p w14:paraId="6B5BFEED" w14:textId="36C88E83" w:rsidR="00A24F63" w:rsidRDefault="00A24F63" w:rsidP="00583863">
            <w:pPr>
              <w:pStyle w:val="TX-TableText"/>
              <w:jc w:val="center"/>
              <w:rPr>
                <w:rFonts w:cs="Calibri"/>
                <w:color w:val="000000"/>
              </w:rPr>
            </w:pPr>
            <w:r>
              <w:rPr>
                <w:rFonts w:cs="Calibri"/>
                <w:color w:val="000000"/>
              </w:rPr>
              <w:t>267</w:t>
            </w:r>
          </w:p>
          <w:p w14:paraId="434FCC1A" w14:textId="4C15362E" w:rsidR="00A24F63" w:rsidRPr="009232E9" w:rsidRDefault="00A24F63" w:rsidP="00583863">
            <w:pPr>
              <w:pStyle w:val="TX-TableText"/>
              <w:jc w:val="center"/>
              <w:rPr>
                <w:rFonts w:cs="Calibri"/>
                <w:color w:val="000000"/>
              </w:rPr>
            </w:pPr>
            <w:r>
              <w:rPr>
                <w:rFonts w:cs="Calibri"/>
                <w:color w:val="000000"/>
              </w:rPr>
              <w:t>4</w:t>
            </w:r>
            <w:r w:rsidRPr="009232E9">
              <w:rPr>
                <w:rFonts w:cs="Calibri"/>
                <w:color w:val="000000"/>
              </w:rPr>
              <w:t>00</w:t>
            </w:r>
          </w:p>
        </w:tc>
      </w:tr>
      <w:tr w:rsidR="001B1DDA" w:rsidRPr="009232E9" w14:paraId="266965D8" w14:textId="77777777" w:rsidTr="00A24F63">
        <w:trPr>
          <w:cantSplit/>
        </w:trPr>
        <w:tc>
          <w:tcPr>
            <w:tcW w:w="1513" w:type="pct"/>
            <w:tcBorders>
              <w:bottom w:val="single" w:sz="4" w:space="0" w:color="auto"/>
            </w:tcBorders>
            <w:noWrap/>
          </w:tcPr>
          <w:p w14:paraId="266965D2" w14:textId="77777777" w:rsidR="001B1DDA" w:rsidRPr="009232E9" w:rsidRDefault="00402842" w:rsidP="00402842">
            <w:pPr>
              <w:pStyle w:val="TX-TableText"/>
            </w:pPr>
            <w:r>
              <w:t>Examining c</w:t>
            </w:r>
            <w:r w:rsidR="001B1DDA" w:rsidRPr="009232E9">
              <w:t xml:space="preserve">oncepts to be </w:t>
            </w:r>
            <w:r w:rsidR="00F87A8D">
              <w:t xml:space="preserve">measured in PATH Study </w:t>
            </w:r>
          </w:p>
        </w:tc>
        <w:tc>
          <w:tcPr>
            <w:tcW w:w="750" w:type="pct"/>
            <w:tcBorders>
              <w:bottom w:val="single" w:sz="4" w:space="0" w:color="auto"/>
            </w:tcBorders>
            <w:vAlign w:val="center"/>
          </w:tcPr>
          <w:p w14:paraId="3ACB2A13" w14:textId="77777777" w:rsidR="00AB70FF" w:rsidRDefault="00AB70FF" w:rsidP="001B1DDA">
            <w:pPr>
              <w:pStyle w:val="TX-TableText"/>
              <w:jc w:val="center"/>
            </w:pPr>
            <w:r>
              <w:t>Youth</w:t>
            </w:r>
          </w:p>
          <w:p w14:paraId="266965D3" w14:textId="77777777" w:rsidR="001B1DDA" w:rsidRPr="009232E9" w:rsidRDefault="001B1DDA" w:rsidP="001B1DDA">
            <w:pPr>
              <w:pStyle w:val="TX-TableText"/>
              <w:jc w:val="center"/>
            </w:pPr>
            <w:r w:rsidRPr="009232E9">
              <w:t>Adult</w:t>
            </w:r>
            <w:r w:rsidR="00D43D87">
              <w:t>s</w:t>
            </w:r>
          </w:p>
        </w:tc>
        <w:tc>
          <w:tcPr>
            <w:tcW w:w="853" w:type="pct"/>
            <w:gridSpan w:val="2"/>
            <w:tcBorders>
              <w:bottom w:val="single" w:sz="4" w:space="0" w:color="auto"/>
            </w:tcBorders>
            <w:noWrap/>
            <w:vAlign w:val="center"/>
          </w:tcPr>
          <w:p w14:paraId="43449DE2" w14:textId="77777777" w:rsidR="00AB70FF" w:rsidRDefault="00AB70FF" w:rsidP="001B1DDA">
            <w:pPr>
              <w:pStyle w:val="TX-TableText"/>
              <w:jc w:val="center"/>
              <w:rPr>
                <w:rFonts w:cs="Calibri"/>
                <w:color w:val="000000"/>
              </w:rPr>
            </w:pPr>
            <w:r>
              <w:rPr>
                <w:rFonts w:cs="Calibri"/>
                <w:color w:val="000000"/>
              </w:rPr>
              <w:t>100</w:t>
            </w:r>
          </w:p>
          <w:p w14:paraId="266965D4" w14:textId="77777777" w:rsidR="001B1DDA" w:rsidRPr="009232E9" w:rsidRDefault="001B1DDA" w:rsidP="001B1DDA">
            <w:pPr>
              <w:pStyle w:val="TX-TableText"/>
              <w:jc w:val="center"/>
              <w:rPr>
                <w:rFonts w:cs="Calibri"/>
                <w:color w:val="000000"/>
              </w:rPr>
            </w:pPr>
            <w:r w:rsidRPr="009232E9">
              <w:rPr>
                <w:rFonts w:cs="Calibri"/>
                <w:color w:val="000000"/>
              </w:rPr>
              <w:t>200</w:t>
            </w:r>
          </w:p>
        </w:tc>
        <w:tc>
          <w:tcPr>
            <w:tcW w:w="709" w:type="pct"/>
            <w:tcBorders>
              <w:bottom w:val="single" w:sz="4" w:space="0" w:color="auto"/>
            </w:tcBorders>
            <w:noWrap/>
            <w:vAlign w:val="center"/>
          </w:tcPr>
          <w:p w14:paraId="5D637B40" w14:textId="77777777" w:rsidR="00AB70FF" w:rsidRDefault="00AB70FF" w:rsidP="001B1DDA">
            <w:pPr>
              <w:pStyle w:val="TX-TableText"/>
              <w:jc w:val="center"/>
            </w:pPr>
            <w:r>
              <w:t>1</w:t>
            </w:r>
          </w:p>
          <w:p w14:paraId="266965D5" w14:textId="77777777" w:rsidR="001B1DDA" w:rsidRPr="009232E9" w:rsidRDefault="001B1DDA" w:rsidP="001B1DDA">
            <w:pPr>
              <w:pStyle w:val="TX-TableText"/>
              <w:jc w:val="center"/>
            </w:pPr>
            <w:r w:rsidRPr="009232E9">
              <w:t>1</w:t>
            </w:r>
          </w:p>
        </w:tc>
        <w:tc>
          <w:tcPr>
            <w:tcW w:w="639" w:type="pct"/>
            <w:tcBorders>
              <w:bottom w:val="single" w:sz="4" w:space="0" w:color="auto"/>
            </w:tcBorders>
            <w:noWrap/>
            <w:vAlign w:val="center"/>
          </w:tcPr>
          <w:p w14:paraId="063E2DAD" w14:textId="77777777" w:rsidR="00AB70FF" w:rsidRDefault="00AB70FF" w:rsidP="0041249F">
            <w:pPr>
              <w:pStyle w:val="TX-TableText"/>
              <w:jc w:val="center"/>
            </w:pPr>
            <w:r>
              <w:t>90/60</w:t>
            </w:r>
          </w:p>
          <w:p w14:paraId="266965D6" w14:textId="77777777" w:rsidR="001B1DDA" w:rsidRPr="009232E9" w:rsidRDefault="00A36479" w:rsidP="0041249F">
            <w:pPr>
              <w:pStyle w:val="TX-TableText"/>
              <w:jc w:val="center"/>
            </w:pPr>
            <w:r w:rsidRPr="009232E9">
              <w:t>90/60</w:t>
            </w:r>
          </w:p>
        </w:tc>
        <w:tc>
          <w:tcPr>
            <w:tcW w:w="536" w:type="pct"/>
            <w:tcBorders>
              <w:bottom w:val="single" w:sz="4" w:space="0" w:color="auto"/>
            </w:tcBorders>
            <w:noWrap/>
            <w:vAlign w:val="center"/>
          </w:tcPr>
          <w:p w14:paraId="520EBB9F" w14:textId="77777777" w:rsidR="00AB70FF" w:rsidRDefault="00AB70FF" w:rsidP="00AB70FF">
            <w:pPr>
              <w:pStyle w:val="TX-TableText"/>
              <w:jc w:val="center"/>
              <w:rPr>
                <w:rFonts w:cs="Calibri"/>
                <w:color w:val="000000"/>
              </w:rPr>
            </w:pPr>
            <w:r>
              <w:rPr>
                <w:rFonts w:cs="Calibri"/>
                <w:color w:val="000000"/>
              </w:rPr>
              <w:t>150</w:t>
            </w:r>
          </w:p>
          <w:p w14:paraId="266965D7" w14:textId="6A51B56F" w:rsidR="001B1DDA" w:rsidRPr="009232E9" w:rsidRDefault="001B1DDA" w:rsidP="00AB70FF">
            <w:pPr>
              <w:pStyle w:val="TX-TableText"/>
              <w:jc w:val="center"/>
              <w:rPr>
                <w:rFonts w:cs="Calibri"/>
                <w:color w:val="000000"/>
              </w:rPr>
            </w:pPr>
            <w:r w:rsidRPr="009232E9">
              <w:rPr>
                <w:rFonts w:cs="Calibri"/>
                <w:color w:val="000000"/>
              </w:rPr>
              <w:t>300</w:t>
            </w:r>
          </w:p>
        </w:tc>
      </w:tr>
      <w:tr w:rsidR="008C46CF" w:rsidRPr="009232E9" w14:paraId="266965DF" w14:textId="77777777" w:rsidTr="00A24F63">
        <w:trPr>
          <w:cantSplit/>
          <w:trHeight w:val="467"/>
        </w:trPr>
        <w:tc>
          <w:tcPr>
            <w:tcW w:w="1513" w:type="pct"/>
            <w:tcBorders>
              <w:top w:val="single" w:sz="4" w:space="0" w:color="auto"/>
              <w:bottom w:val="single" w:sz="4" w:space="0" w:color="auto"/>
            </w:tcBorders>
            <w:noWrap/>
          </w:tcPr>
          <w:p w14:paraId="266965D9" w14:textId="1A409C61" w:rsidR="008C46CF" w:rsidRPr="009232E9" w:rsidRDefault="00402842" w:rsidP="008C46CF">
            <w:pPr>
              <w:pStyle w:val="TX-TableText"/>
            </w:pPr>
            <w:r>
              <w:t xml:space="preserve">Examining </w:t>
            </w:r>
            <w:r w:rsidR="00BA2749">
              <w:t>a</w:t>
            </w:r>
            <w:r w:rsidR="008C46CF" w:rsidRPr="009232E9">
              <w:t xml:space="preserve">ssent forms for participation </w:t>
            </w:r>
            <w:r w:rsidR="00F87A8D">
              <w:t>in PATH Study</w:t>
            </w:r>
          </w:p>
        </w:tc>
        <w:tc>
          <w:tcPr>
            <w:tcW w:w="750" w:type="pct"/>
            <w:tcBorders>
              <w:top w:val="single" w:sz="4" w:space="0" w:color="auto"/>
              <w:bottom w:val="single" w:sz="4" w:space="0" w:color="auto"/>
            </w:tcBorders>
            <w:vAlign w:val="center"/>
          </w:tcPr>
          <w:p w14:paraId="266965DA" w14:textId="77777777" w:rsidR="008C46CF" w:rsidRPr="009232E9" w:rsidRDefault="008C46CF" w:rsidP="00271AD6">
            <w:pPr>
              <w:pStyle w:val="TX-TableText"/>
              <w:jc w:val="center"/>
            </w:pPr>
            <w:r w:rsidRPr="009232E9">
              <w:t>Youth</w:t>
            </w:r>
          </w:p>
        </w:tc>
        <w:tc>
          <w:tcPr>
            <w:tcW w:w="853" w:type="pct"/>
            <w:gridSpan w:val="2"/>
            <w:tcBorders>
              <w:top w:val="single" w:sz="4" w:space="0" w:color="auto"/>
              <w:bottom w:val="single" w:sz="4" w:space="0" w:color="auto"/>
            </w:tcBorders>
            <w:noWrap/>
            <w:vAlign w:val="center"/>
          </w:tcPr>
          <w:p w14:paraId="266965DB" w14:textId="77777777" w:rsidR="008C46CF" w:rsidRPr="009232E9" w:rsidRDefault="008C46CF" w:rsidP="00271AD6">
            <w:pPr>
              <w:pStyle w:val="TX-TableText"/>
              <w:jc w:val="center"/>
            </w:pPr>
            <w:r w:rsidRPr="009232E9">
              <w:rPr>
                <w:rFonts w:cs="Calibri"/>
                <w:color w:val="000000"/>
              </w:rPr>
              <w:t>200</w:t>
            </w:r>
          </w:p>
        </w:tc>
        <w:tc>
          <w:tcPr>
            <w:tcW w:w="709" w:type="pct"/>
            <w:tcBorders>
              <w:top w:val="single" w:sz="4" w:space="0" w:color="auto"/>
              <w:bottom w:val="single" w:sz="4" w:space="0" w:color="auto"/>
            </w:tcBorders>
            <w:noWrap/>
            <w:vAlign w:val="center"/>
          </w:tcPr>
          <w:p w14:paraId="266965DC" w14:textId="77777777" w:rsidR="008C46CF" w:rsidRPr="009232E9" w:rsidRDefault="008C46CF" w:rsidP="00271AD6">
            <w:pPr>
              <w:pStyle w:val="TX-TableText"/>
              <w:jc w:val="center"/>
            </w:pPr>
            <w:r w:rsidRPr="009232E9">
              <w:t>1</w:t>
            </w:r>
          </w:p>
        </w:tc>
        <w:tc>
          <w:tcPr>
            <w:tcW w:w="639" w:type="pct"/>
            <w:tcBorders>
              <w:top w:val="single" w:sz="4" w:space="0" w:color="auto"/>
              <w:bottom w:val="single" w:sz="4" w:space="0" w:color="auto"/>
            </w:tcBorders>
            <w:noWrap/>
            <w:vAlign w:val="center"/>
          </w:tcPr>
          <w:p w14:paraId="266965DD" w14:textId="77777777" w:rsidR="008C46CF" w:rsidRPr="009232E9" w:rsidRDefault="008C46CF" w:rsidP="00271AD6">
            <w:pPr>
              <w:pStyle w:val="TX-TableText"/>
              <w:jc w:val="center"/>
            </w:pPr>
            <w:r w:rsidRPr="009232E9">
              <w:t>90/60</w:t>
            </w:r>
          </w:p>
        </w:tc>
        <w:tc>
          <w:tcPr>
            <w:tcW w:w="536" w:type="pct"/>
            <w:tcBorders>
              <w:top w:val="single" w:sz="4" w:space="0" w:color="auto"/>
              <w:bottom w:val="single" w:sz="4" w:space="0" w:color="auto"/>
            </w:tcBorders>
            <w:noWrap/>
            <w:vAlign w:val="center"/>
          </w:tcPr>
          <w:p w14:paraId="266965DE" w14:textId="77777777" w:rsidR="008C46CF" w:rsidRPr="009232E9" w:rsidRDefault="008C46CF" w:rsidP="00271AD6">
            <w:pPr>
              <w:pStyle w:val="TX-TableText"/>
              <w:jc w:val="center"/>
            </w:pPr>
            <w:r w:rsidRPr="009232E9">
              <w:rPr>
                <w:rFonts w:cs="Calibri"/>
                <w:color w:val="000000"/>
              </w:rPr>
              <w:t>300</w:t>
            </w:r>
          </w:p>
        </w:tc>
      </w:tr>
      <w:tr w:rsidR="008C46CF" w:rsidRPr="009232E9" w14:paraId="266965E6" w14:textId="77777777" w:rsidTr="00A24F63">
        <w:trPr>
          <w:cantSplit/>
        </w:trPr>
        <w:tc>
          <w:tcPr>
            <w:tcW w:w="1513" w:type="pct"/>
            <w:tcBorders>
              <w:top w:val="single" w:sz="4" w:space="0" w:color="auto"/>
              <w:bottom w:val="single" w:sz="4" w:space="0" w:color="auto"/>
            </w:tcBorders>
            <w:noWrap/>
          </w:tcPr>
          <w:p w14:paraId="266965E0" w14:textId="77777777" w:rsidR="008C46CF" w:rsidRPr="009232E9" w:rsidRDefault="00402842" w:rsidP="00271AD6">
            <w:pPr>
              <w:pStyle w:val="TX-TableText"/>
            </w:pPr>
            <w:r>
              <w:t xml:space="preserve">Examining </w:t>
            </w:r>
            <w:r w:rsidR="00BA2749">
              <w:t>c</w:t>
            </w:r>
            <w:r w:rsidR="008C46CF" w:rsidRPr="009232E9">
              <w:t>onsent forms for participation</w:t>
            </w:r>
            <w:r w:rsidR="00F87A8D">
              <w:t xml:space="preserve"> in PATH Study</w:t>
            </w:r>
          </w:p>
        </w:tc>
        <w:tc>
          <w:tcPr>
            <w:tcW w:w="750" w:type="pct"/>
            <w:tcBorders>
              <w:top w:val="single" w:sz="4" w:space="0" w:color="auto"/>
              <w:bottom w:val="single" w:sz="4" w:space="0" w:color="auto"/>
            </w:tcBorders>
            <w:vAlign w:val="center"/>
          </w:tcPr>
          <w:p w14:paraId="266965E1" w14:textId="77777777" w:rsidR="008C46CF" w:rsidRPr="009232E9" w:rsidRDefault="008C46CF" w:rsidP="00271AD6">
            <w:pPr>
              <w:pStyle w:val="TX-TableText"/>
              <w:jc w:val="center"/>
            </w:pPr>
            <w:r w:rsidRPr="009232E9">
              <w:t>Adult</w:t>
            </w:r>
            <w:r w:rsidR="00D43D87">
              <w:t>s</w:t>
            </w:r>
          </w:p>
        </w:tc>
        <w:tc>
          <w:tcPr>
            <w:tcW w:w="853" w:type="pct"/>
            <w:gridSpan w:val="2"/>
            <w:tcBorders>
              <w:top w:val="single" w:sz="4" w:space="0" w:color="auto"/>
              <w:bottom w:val="single" w:sz="4" w:space="0" w:color="auto"/>
            </w:tcBorders>
            <w:noWrap/>
            <w:vAlign w:val="center"/>
          </w:tcPr>
          <w:p w14:paraId="266965E2" w14:textId="77777777" w:rsidR="008C46CF" w:rsidRPr="009232E9" w:rsidRDefault="008C46CF" w:rsidP="00271AD6">
            <w:pPr>
              <w:pStyle w:val="TX-TableText"/>
              <w:jc w:val="center"/>
            </w:pPr>
            <w:r w:rsidRPr="009232E9">
              <w:rPr>
                <w:rFonts w:cs="Calibri"/>
                <w:color w:val="000000"/>
              </w:rPr>
              <w:t>200</w:t>
            </w:r>
          </w:p>
        </w:tc>
        <w:tc>
          <w:tcPr>
            <w:tcW w:w="709" w:type="pct"/>
            <w:tcBorders>
              <w:top w:val="single" w:sz="4" w:space="0" w:color="auto"/>
              <w:bottom w:val="single" w:sz="4" w:space="0" w:color="auto"/>
            </w:tcBorders>
            <w:noWrap/>
            <w:vAlign w:val="center"/>
          </w:tcPr>
          <w:p w14:paraId="266965E3" w14:textId="77777777" w:rsidR="008C46CF" w:rsidRPr="009232E9" w:rsidRDefault="008C46CF" w:rsidP="00271AD6">
            <w:pPr>
              <w:pStyle w:val="TX-TableText"/>
              <w:jc w:val="center"/>
            </w:pPr>
            <w:r w:rsidRPr="009232E9">
              <w:t>1</w:t>
            </w:r>
          </w:p>
        </w:tc>
        <w:tc>
          <w:tcPr>
            <w:tcW w:w="639" w:type="pct"/>
            <w:tcBorders>
              <w:top w:val="single" w:sz="4" w:space="0" w:color="auto"/>
              <w:bottom w:val="single" w:sz="4" w:space="0" w:color="auto"/>
            </w:tcBorders>
            <w:noWrap/>
            <w:vAlign w:val="center"/>
          </w:tcPr>
          <w:p w14:paraId="266965E4" w14:textId="77777777" w:rsidR="008C46CF" w:rsidRPr="009232E9" w:rsidRDefault="008C46CF" w:rsidP="00271AD6">
            <w:pPr>
              <w:pStyle w:val="TX-TableText"/>
              <w:jc w:val="center"/>
            </w:pPr>
            <w:r>
              <w:t>90/60</w:t>
            </w:r>
          </w:p>
        </w:tc>
        <w:tc>
          <w:tcPr>
            <w:tcW w:w="536" w:type="pct"/>
            <w:tcBorders>
              <w:top w:val="single" w:sz="4" w:space="0" w:color="auto"/>
              <w:bottom w:val="single" w:sz="4" w:space="0" w:color="auto"/>
            </w:tcBorders>
            <w:noWrap/>
            <w:vAlign w:val="center"/>
          </w:tcPr>
          <w:p w14:paraId="266965E5" w14:textId="77777777" w:rsidR="008C46CF" w:rsidRPr="009232E9" w:rsidRDefault="008C46CF" w:rsidP="00271AD6">
            <w:pPr>
              <w:pStyle w:val="TX-TableText"/>
              <w:jc w:val="center"/>
            </w:pPr>
            <w:r w:rsidRPr="009232E9">
              <w:rPr>
                <w:rFonts w:cs="Calibri"/>
                <w:color w:val="000000"/>
              </w:rPr>
              <w:t>300</w:t>
            </w:r>
          </w:p>
        </w:tc>
      </w:tr>
      <w:tr w:rsidR="00E62A25" w:rsidRPr="009232E9" w14:paraId="266965ED" w14:textId="77777777" w:rsidTr="00A24F63">
        <w:trPr>
          <w:cantSplit/>
        </w:trPr>
        <w:tc>
          <w:tcPr>
            <w:tcW w:w="1513" w:type="pct"/>
            <w:tcBorders>
              <w:bottom w:val="single" w:sz="4" w:space="0" w:color="auto"/>
            </w:tcBorders>
            <w:noWrap/>
          </w:tcPr>
          <w:p w14:paraId="266965E7" w14:textId="77777777" w:rsidR="00E62A25" w:rsidRPr="009232E9" w:rsidRDefault="00BA2749" w:rsidP="00D24673">
            <w:pPr>
              <w:pStyle w:val="TX-TableText"/>
            </w:pPr>
            <w:r>
              <w:t>Examining o</w:t>
            </w:r>
            <w:r w:rsidR="00D24673" w:rsidRPr="009232E9">
              <w:t>ther f</w:t>
            </w:r>
            <w:r w:rsidR="00E62A25" w:rsidRPr="009232E9">
              <w:t xml:space="preserve">orms </w:t>
            </w:r>
            <w:r w:rsidR="00D6187D" w:rsidRPr="009232E9">
              <w:t xml:space="preserve">and materials </w:t>
            </w:r>
            <w:r w:rsidR="00E62A25" w:rsidRPr="009232E9">
              <w:t xml:space="preserve">to </w:t>
            </w:r>
            <w:r w:rsidR="00BE6E35" w:rsidRPr="009232E9">
              <w:t>s</w:t>
            </w:r>
            <w:r w:rsidR="00E62A25" w:rsidRPr="009232E9">
              <w:t xml:space="preserve">upport </w:t>
            </w:r>
            <w:r w:rsidR="00F87A8D">
              <w:t xml:space="preserve">PATH Study </w:t>
            </w:r>
            <w:r w:rsidR="00BE6E35" w:rsidRPr="009232E9">
              <w:t>data c</w:t>
            </w:r>
            <w:r w:rsidR="00E62A25" w:rsidRPr="009232E9">
              <w:t>ollection*</w:t>
            </w:r>
          </w:p>
        </w:tc>
        <w:tc>
          <w:tcPr>
            <w:tcW w:w="750" w:type="pct"/>
            <w:tcBorders>
              <w:bottom w:val="single" w:sz="4" w:space="0" w:color="auto"/>
            </w:tcBorders>
            <w:vAlign w:val="center"/>
          </w:tcPr>
          <w:p w14:paraId="266965E8" w14:textId="77777777" w:rsidR="00E62A25" w:rsidRPr="009232E9" w:rsidRDefault="00E62A25" w:rsidP="001B1DDA">
            <w:pPr>
              <w:pStyle w:val="TX-TableText"/>
              <w:jc w:val="center"/>
            </w:pPr>
            <w:r w:rsidRPr="009232E9">
              <w:t>Adult</w:t>
            </w:r>
            <w:r w:rsidR="00D43D87">
              <w:t>s</w:t>
            </w:r>
          </w:p>
        </w:tc>
        <w:tc>
          <w:tcPr>
            <w:tcW w:w="853" w:type="pct"/>
            <w:gridSpan w:val="2"/>
            <w:tcBorders>
              <w:bottom w:val="single" w:sz="4" w:space="0" w:color="auto"/>
            </w:tcBorders>
            <w:noWrap/>
            <w:vAlign w:val="center"/>
          </w:tcPr>
          <w:p w14:paraId="266965E9" w14:textId="77777777" w:rsidR="00E62A25" w:rsidRPr="009232E9" w:rsidRDefault="00E62A25" w:rsidP="001B1DDA">
            <w:pPr>
              <w:pStyle w:val="TX-TableText"/>
              <w:jc w:val="center"/>
            </w:pPr>
            <w:r w:rsidRPr="009232E9">
              <w:rPr>
                <w:rFonts w:cs="Calibri"/>
                <w:color w:val="000000"/>
              </w:rPr>
              <w:t>200</w:t>
            </w:r>
          </w:p>
        </w:tc>
        <w:tc>
          <w:tcPr>
            <w:tcW w:w="709" w:type="pct"/>
            <w:tcBorders>
              <w:bottom w:val="single" w:sz="4" w:space="0" w:color="auto"/>
            </w:tcBorders>
            <w:noWrap/>
            <w:vAlign w:val="center"/>
          </w:tcPr>
          <w:p w14:paraId="266965EA" w14:textId="77777777" w:rsidR="00E62A25" w:rsidRPr="009232E9" w:rsidRDefault="00E62A25" w:rsidP="001B1DDA">
            <w:pPr>
              <w:pStyle w:val="TX-TableText"/>
              <w:jc w:val="center"/>
            </w:pPr>
            <w:r w:rsidRPr="009232E9">
              <w:t>1</w:t>
            </w:r>
          </w:p>
        </w:tc>
        <w:tc>
          <w:tcPr>
            <w:tcW w:w="639" w:type="pct"/>
            <w:tcBorders>
              <w:bottom w:val="single" w:sz="4" w:space="0" w:color="auto"/>
            </w:tcBorders>
            <w:noWrap/>
            <w:vAlign w:val="center"/>
          </w:tcPr>
          <w:p w14:paraId="266965EB" w14:textId="77777777" w:rsidR="00E62A25" w:rsidRPr="009232E9" w:rsidRDefault="0041249F" w:rsidP="001B1DDA">
            <w:pPr>
              <w:pStyle w:val="TX-TableText"/>
              <w:jc w:val="center"/>
            </w:pPr>
            <w:r w:rsidRPr="009232E9">
              <w:t>90/60</w:t>
            </w:r>
          </w:p>
        </w:tc>
        <w:tc>
          <w:tcPr>
            <w:tcW w:w="536" w:type="pct"/>
            <w:tcBorders>
              <w:bottom w:val="single" w:sz="4" w:space="0" w:color="auto"/>
            </w:tcBorders>
            <w:noWrap/>
            <w:vAlign w:val="center"/>
          </w:tcPr>
          <w:p w14:paraId="266965EC" w14:textId="77777777" w:rsidR="00E62A25" w:rsidRPr="009232E9" w:rsidRDefault="00E62A25" w:rsidP="001B1DDA">
            <w:pPr>
              <w:pStyle w:val="TX-TableText"/>
              <w:jc w:val="center"/>
            </w:pPr>
            <w:r w:rsidRPr="009232E9">
              <w:rPr>
                <w:rFonts w:cs="Calibri"/>
                <w:color w:val="000000"/>
              </w:rPr>
              <w:t>300</w:t>
            </w:r>
          </w:p>
        </w:tc>
      </w:tr>
      <w:tr w:rsidR="00E62A25" w:rsidRPr="009232E9" w14:paraId="266965F4" w14:textId="77777777" w:rsidTr="00A24F63">
        <w:trPr>
          <w:cantSplit/>
        </w:trPr>
        <w:tc>
          <w:tcPr>
            <w:tcW w:w="1513" w:type="pct"/>
            <w:vMerge w:val="restart"/>
            <w:tcBorders>
              <w:top w:val="single" w:sz="4" w:space="0" w:color="auto"/>
              <w:bottom w:val="nil"/>
            </w:tcBorders>
          </w:tcPr>
          <w:p w14:paraId="266965EE" w14:textId="77777777" w:rsidR="00E62A25" w:rsidRPr="009232E9" w:rsidRDefault="00BA2749" w:rsidP="00F87A8D">
            <w:pPr>
              <w:pStyle w:val="TX-TableText"/>
            </w:pPr>
            <w:r>
              <w:t xml:space="preserve">Examining </w:t>
            </w:r>
            <w:r w:rsidR="00F87A8D">
              <w:t>PATH Study q</w:t>
            </w:r>
            <w:r w:rsidR="00E62A25" w:rsidRPr="009232E9">
              <w:t>uestionnaire</w:t>
            </w:r>
            <w:r w:rsidR="00F87A8D">
              <w:t>s</w:t>
            </w:r>
          </w:p>
        </w:tc>
        <w:tc>
          <w:tcPr>
            <w:tcW w:w="750" w:type="pct"/>
            <w:tcBorders>
              <w:top w:val="single" w:sz="4" w:space="0" w:color="auto"/>
              <w:bottom w:val="nil"/>
            </w:tcBorders>
            <w:vAlign w:val="center"/>
          </w:tcPr>
          <w:p w14:paraId="266965EF" w14:textId="77777777" w:rsidR="00E62A25" w:rsidRPr="009232E9" w:rsidRDefault="00E62A25" w:rsidP="001B1DDA">
            <w:pPr>
              <w:pStyle w:val="TX-TableText"/>
              <w:jc w:val="center"/>
            </w:pPr>
            <w:r w:rsidRPr="009232E9">
              <w:t>Youth</w:t>
            </w:r>
          </w:p>
        </w:tc>
        <w:tc>
          <w:tcPr>
            <w:tcW w:w="853" w:type="pct"/>
            <w:gridSpan w:val="2"/>
            <w:tcBorders>
              <w:top w:val="single" w:sz="4" w:space="0" w:color="auto"/>
              <w:bottom w:val="nil"/>
            </w:tcBorders>
            <w:noWrap/>
            <w:vAlign w:val="center"/>
          </w:tcPr>
          <w:p w14:paraId="266965F0" w14:textId="77777777" w:rsidR="00E62A25" w:rsidRPr="009232E9" w:rsidRDefault="00E62A25" w:rsidP="001B1DDA">
            <w:pPr>
              <w:pStyle w:val="TX-TableText"/>
              <w:jc w:val="center"/>
            </w:pPr>
            <w:r w:rsidRPr="009232E9">
              <w:rPr>
                <w:rFonts w:cs="Calibri"/>
                <w:color w:val="000000"/>
              </w:rPr>
              <w:t>100</w:t>
            </w:r>
          </w:p>
        </w:tc>
        <w:tc>
          <w:tcPr>
            <w:tcW w:w="709" w:type="pct"/>
            <w:tcBorders>
              <w:top w:val="single" w:sz="4" w:space="0" w:color="auto"/>
              <w:bottom w:val="nil"/>
            </w:tcBorders>
            <w:noWrap/>
            <w:vAlign w:val="center"/>
          </w:tcPr>
          <w:p w14:paraId="266965F1" w14:textId="77777777" w:rsidR="00E62A25" w:rsidRPr="009232E9" w:rsidRDefault="00E62A25" w:rsidP="001B1DDA">
            <w:pPr>
              <w:pStyle w:val="TX-TableText"/>
              <w:jc w:val="center"/>
            </w:pPr>
            <w:r w:rsidRPr="009232E9">
              <w:t>1</w:t>
            </w:r>
          </w:p>
        </w:tc>
        <w:tc>
          <w:tcPr>
            <w:tcW w:w="639" w:type="pct"/>
            <w:tcBorders>
              <w:top w:val="single" w:sz="4" w:space="0" w:color="auto"/>
              <w:bottom w:val="nil"/>
            </w:tcBorders>
            <w:noWrap/>
            <w:vAlign w:val="center"/>
          </w:tcPr>
          <w:p w14:paraId="266965F2" w14:textId="77777777" w:rsidR="00E62A25" w:rsidRPr="009232E9" w:rsidRDefault="008C46CF" w:rsidP="001B1DDA">
            <w:pPr>
              <w:pStyle w:val="TX-TableText"/>
              <w:jc w:val="center"/>
            </w:pPr>
            <w:r>
              <w:t>90/60</w:t>
            </w:r>
          </w:p>
        </w:tc>
        <w:tc>
          <w:tcPr>
            <w:tcW w:w="536" w:type="pct"/>
            <w:tcBorders>
              <w:top w:val="single" w:sz="4" w:space="0" w:color="auto"/>
              <w:bottom w:val="nil"/>
            </w:tcBorders>
            <w:noWrap/>
            <w:vAlign w:val="center"/>
          </w:tcPr>
          <w:p w14:paraId="266965F3" w14:textId="77777777" w:rsidR="00E62A25" w:rsidRPr="009232E9" w:rsidRDefault="00E62A25" w:rsidP="001B1DDA">
            <w:pPr>
              <w:pStyle w:val="TX-TableText"/>
              <w:jc w:val="center"/>
            </w:pPr>
            <w:r w:rsidRPr="009232E9">
              <w:rPr>
                <w:rFonts w:cs="Calibri"/>
                <w:color w:val="000000"/>
              </w:rPr>
              <w:t>150</w:t>
            </w:r>
          </w:p>
        </w:tc>
      </w:tr>
      <w:tr w:rsidR="00E62A25" w:rsidRPr="009232E9" w14:paraId="266965FB" w14:textId="77777777" w:rsidTr="00A24F63">
        <w:trPr>
          <w:cantSplit/>
        </w:trPr>
        <w:tc>
          <w:tcPr>
            <w:tcW w:w="1513" w:type="pct"/>
            <w:vMerge/>
            <w:tcBorders>
              <w:top w:val="nil"/>
              <w:bottom w:val="single" w:sz="4" w:space="0" w:color="auto"/>
            </w:tcBorders>
          </w:tcPr>
          <w:p w14:paraId="266965F5" w14:textId="77777777" w:rsidR="00E62A25" w:rsidRPr="009232E9" w:rsidRDefault="00E62A25" w:rsidP="00BE31C0">
            <w:pPr>
              <w:pStyle w:val="TX-TableText"/>
            </w:pPr>
          </w:p>
        </w:tc>
        <w:tc>
          <w:tcPr>
            <w:tcW w:w="750" w:type="pct"/>
            <w:tcBorders>
              <w:top w:val="nil"/>
              <w:bottom w:val="single" w:sz="4" w:space="0" w:color="auto"/>
            </w:tcBorders>
            <w:vAlign w:val="center"/>
          </w:tcPr>
          <w:p w14:paraId="266965F6" w14:textId="77777777" w:rsidR="00E62A25" w:rsidRPr="009232E9" w:rsidRDefault="00E62A25" w:rsidP="001B1DDA">
            <w:pPr>
              <w:pStyle w:val="TX-TableText"/>
              <w:jc w:val="center"/>
            </w:pPr>
            <w:r w:rsidRPr="009232E9">
              <w:t>Adult</w:t>
            </w:r>
            <w:r w:rsidR="00D43D87">
              <w:t>s</w:t>
            </w:r>
          </w:p>
        </w:tc>
        <w:tc>
          <w:tcPr>
            <w:tcW w:w="853" w:type="pct"/>
            <w:gridSpan w:val="2"/>
            <w:tcBorders>
              <w:top w:val="nil"/>
              <w:bottom w:val="single" w:sz="4" w:space="0" w:color="auto"/>
            </w:tcBorders>
            <w:noWrap/>
            <w:vAlign w:val="center"/>
          </w:tcPr>
          <w:p w14:paraId="266965F7" w14:textId="77777777" w:rsidR="00E62A25" w:rsidRPr="009232E9" w:rsidRDefault="00E62A25" w:rsidP="001B1DDA">
            <w:pPr>
              <w:pStyle w:val="TX-TableText"/>
              <w:jc w:val="center"/>
            </w:pPr>
            <w:r w:rsidRPr="009232E9">
              <w:rPr>
                <w:rFonts w:cs="Calibri"/>
                <w:color w:val="000000"/>
              </w:rPr>
              <w:t>300</w:t>
            </w:r>
          </w:p>
        </w:tc>
        <w:tc>
          <w:tcPr>
            <w:tcW w:w="709" w:type="pct"/>
            <w:tcBorders>
              <w:top w:val="nil"/>
              <w:bottom w:val="single" w:sz="4" w:space="0" w:color="auto"/>
            </w:tcBorders>
            <w:noWrap/>
            <w:vAlign w:val="center"/>
          </w:tcPr>
          <w:p w14:paraId="266965F8" w14:textId="77777777" w:rsidR="00E62A25" w:rsidRPr="009232E9" w:rsidRDefault="00E62A25" w:rsidP="001B1DDA">
            <w:pPr>
              <w:pStyle w:val="TX-TableText"/>
              <w:jc w:val="center"/>
            </w:pPr>
            <w:r w:rsidRPr="009232E9">
              <w:t>1</w:t>
            </w:r>
          </w:p>
        </w:tc>
        <w:tc>
          <w:tcPr>
            <w:tcW w:w="639" w:type="pct"/>
            <w:tcBorders>
              <w:top w:val="nil"/>
              <w:bottom w:val="single" w:sz="4" w:space="0" w:color="auto"/>
            </w:tcBorders>
            <w:noWrap/>
            <w:vAlign w:val="center"/>
          </w:tcPr>
          <w:p w14:paraId="266965F9" w14:textId="77777777" w:rsidR="00E62A25" w:rsidRPr="009232E9" w:rsidRDefault="0041249F" w:rsidP="001B1DDA">
            <w:pPr>
              <w:pStyle w:val="TX-TableText"/>
              <w:jc w:val="center"/>
            </w:pPr>
            <w:r w:rsidRPr="009232E9">
              <w:t>90/60</w:t>
            </w:r>
          </w:p>
        </w:tc>
        <w:tc>
          <w:tcPr>
            <w:tcW w:w="536" w:type="pct"/>
            <w:tcBorders>
              <w:top w:val="nil"/>
              <w:bottom w:val="single" w:sz="4" w:space="0" w:color="auto"/>
            </w:tcBorders>
            <w:noWrap/>
            <w:vAlign w:val="center"/>
          </w:tcPr>
          <w:p w14:paraId="266965FA" w14:textId="77777777" w:rsidR="00E62A25" w:rsidRPr="009232E9" w:rsidRDefault="00E62A25" w:rsidP="001B1DDA">
            <w:pPr>
              <w:pStyle w:val="TX-TableText"/>
              <w:jc w:val="center"/>
            </w:pPr>
            <w:r w:rsidRPr="009232E9">
              <w:rPr>
                <w:rFonts w:cs="Calibri"/>
                <w:color w:val="000000"/>
              </w:rPr>
              <w:t>450</w:t>
            </w:r>
          </w:p>
        </w:tc>
      </w:tr>
      <w:tr w:rsidR="00E62A25" w:rsidRPr="009232E9" w14:paraId="26696602" w14:textId="77777777" w:rsidTr="00A24F63">
        <w:trPr>
          <w:cantSplit/>
        </w:trPr>
        <w:tc>
          <w:tcPr>
            <w:tcW w:w="1513" w:type="pct"/>
            <w:tcBorders>
              <w:top w:val="single" w:sz="4" w:space="0" w:color="auto"/>
              <w:bottom w:val="single" w:sz="4" w:space="0" w:color="auto"/>
            </w:tcBorders>
          </w:tcPr>
          <w:p w14:paraId="266965FC" w14:textId="77777777" w:rsidR="00E62A25" w:rsidRPr="009232E9" w:rsidRDefault="009232E9" w:rsidP="00BE31C0">
            <w:pPr>
              <w:pStyle w:val="TX-TableText"/>
            </w:pPr>
            <w:r w:rsidRPr="009232E9">
              <w:t>Total</w:t>
            </w:r>
          </w:p>
        </w:tc>
        <w:tc>
          <w:tcPr>
            <w:tcW w:w="750" w:type="pct"/>
            <w:tcBorders>
              <w:top w:val="single" w:sz="4" w:space="0" w:color="auto"/>
              <w:bottom w:val="single" w:sz="4" w:space="0" w:color="auto"/>
            </w:tcBorders>
            <w:vAlign w:val="center"/>
          </w:tcPr>
          <w:p w14:paraId="266965FD" w14:textId="77777777" w:rsidR="00E62A25" w:rsidRPr="009232E9" w:rsidRDefault="00E62A25" w:rsidP="001B1DDA">
            <w:pPr>
              <w:pStyle w:val="TX-TableText"/>
              <w:jc w:val="center"/>
            </w:pPr>
          </w:p>
        </w:tc>
        <w:tc>
          <w:tcPr>
            <w:tcW w:w="853" w:type="pct"/>
            <w:gridSpan w:val="2"/>
            <w:tcBorders>
              <w:top w:val="single" w:sz="4" w:space="0" w:color="auto"/>
              <w:bottom w:val="single" w:sz="4" w:space="0" w:color="auto"/>
            </w:tcBorders>
            <w:noWrap/>
            <w:vAlign w:val="center"/>
          </w:tcPr>
          <w:p w14:paraId="266965FE" w14:textId="77777777" w:rsidR="00E62A25" w:rsidRPr="009232E9" w:rsidRDefault="00E62A25" w:rsidP="00391E38">
            <w:pPr>
              <w:pStyle w:val="TX-TableText"/>
              <w:jc w:val="center"/>
            </w:pPr>
          </w:p>
        </w:tc>
        <w:tc>
          <w:tcPr>
            <w:tcW w:w="709" w:type="pct"/>
            <w:tcBorders>
              <w:top w:val="single" w:sz="4" w:space="0" w:color="auto"/>
              <w:bottom w:val="single" w:sz="4" w:space="0" w:color="auto"/>
            </w:tcBorders>
            <w:noWrap/>
            <w:vAlign w:val="center"/>
          </w:tcPr>
          <w:p w14:paraId="266965FF" w14:textId="1103C26B" w:rsidR="00E62A25" w:rsidRPr="009232E9" w:rsidRDefault="00AD520B" w:rsidP="001B1DDA">
            <w:pPr>
              <w:pStyle w:val="TX-TableText"/>
              <w:jc w:val="center"/>
            </w:pPr>
            <w:r w:rsidRPr="00AD520B">
              <w:t>5,300</w:t>
            </w:r>
          </w:p>
        </w:tc>
        <w:tc>
          <w:tcPr>
            <w:tcW w:w="639" w:type="pct"/>
            <w:tcBorders>
              <w:top w:val="single" w:sz="4" w:space="0" w:color="auto"/>
              <w:bottom w:val="single" w:sz="4" w:space="0" w:color="auto"/>
            </w:tcBorders>
            <w:noWrap/>
            <w:vAlign w:val="center"/>
          </w:tcPr>
          <w:p w14:paraId="26696600" w14:textId="77777777" w:rsidR="00E62A25" w:rsidRPr="009232E9" w:rsidRDefault="00E62A25" w:rsidP="001B1DDA">
            <w:pPr>
              <w:pStyle w:val="TX-TableText"/>
              <w:jc w:val="center"/>
            </w:pPr>
          </w:p>
        </w:tc>
        <w:tc>
          <w:tcPr>
            <w:tcW w:w="536" w:type="pct"/>
            <w:tcBorders>
              <w:top w:val="single" w:sz="4" w:space="0" w:color="auto"/>
              <w:bottom w:val="single" w:sz="4" w:space="0" w:color="auto"/>
            </w:tcBorders>
            <w:noWrap/>
            <w:vAlign w:val="center"/>
          </w:tcPr>
          <w:p w14:paraId="26696601" w14:textId="62B78830" w:rsidR="00E62A25" w:rsidRPr="009232E9" w:rsidRDefault="00AB70FF" w:rsidP="005F60F7">
            <w:pPr>
              <w:pStyle w:val="TX-TableText"/>
              <w:jc w:val="center"/>
            </w:pPr>
            <w:r>
              <w:rPr>
                <w:rFonts w:cs="Calibri"/>
                <w:color w:val="000000"/>
              </w:rPr>
              <w:t>2,</w:t>
            </w:r>
            <w:r w:rsidR="005F60F7">
              <w:rPr>
                <w:rFonts w:cs="Calibri"/>
                <w:color w:val="000000"/>
              </w:rPr>
              <w:t>6</w:t>
            </w:r>
            <w:r w:rsidR="00813C4B">
              <w:rPr>
                <w:rFonts w:cs="Calibri"/>
                <w:color w:val="000000"/>
              </w:rPr>
              <w:t>17</w:t>
            </w:r>
          </w:p>
        </w:tc>
      </w:tr>
    </w:tbl>
    <w:p w14:paraId="26696603" w14:textId="77777777" w:rsidR="00E92610" w:rsidRDefault="00E92610" w:rsidP="00A23708">
      <w:pPr>
        <w:pStyle w:val="L1-FlLSp12"/>
        <w:rPr>
          <w:rFonts w:ascii="Franklin Gothic Medium" w:hAnsi="Franklin Gothic Medium"/>
          <w:sz w:val="20"/>
        </w:rPr>
      </w:pPr>
      <w:r w:rsidRPr="009232E9">
        <w:rPr>
          <w:rFonts w:ascii="Franklin Gothic Medium" w:hAnsi="Franklin Gothic Medium"/>
          <w:sz w:val="20"/>
        </w:rPr>
        <w:t>* For example,</w:t>
      </w:r>
      <w:r w:rsidR="00251CFE" w:rsidRPr="009232E9">
        <w:rPr>
          <w:rFonts w:ascii="Franklin Gothic Medium" w:hAnsi="Franklin Gothic Medium"/>
          <w:sz w:val="20"/>
        </w:rPr>
        <w:t xml:space="preserve"> </w:t>
      </w:r>
      <w:r w:rsidRPr="009232E9">
        <w:rPr>
          <w:rFonts w:ascii="Franklin Gothic Medium" w:hAnsi="Franklin Gothic Medium"/>
          <w:sz w:val="20"/>
        </w:rPr>
        <w:t xml:space="preserve">letters, brochures, </w:t>
      </w:r>
      <w:r w:rsidR="00251CFE" w:rsidRPr="009232E9">
        <w:rPr>
          <w:rFonts w:ascii="Franklin Gothic Medium" w:hAnsi="Franklin Gothic Medium"/>
          <w:sz w:val="20"/>
        </w:rPr>
        <w:t xml:space="preserve">or </w:t>
      </w:r>
      <w:r w:rsidRPr="009232E9">
        <w:rPr>
          <w:rFonts w:ascii="Franklin Gothic Medium" w:hAnsi="Franklin Gothic Medium"/>
          <w:sz w:val="20"/>
        </w:rPr>
        <w:t>instructions for collection of biospecimens.</w:t>
      </w:r>
    </w:p>
    <w:p w14:paraId="055CD209" w14:textId="77777777" w:rsidR="00B62118" w:rsidRPr="009232E9" w:rsidRDefault="00B62118" w:rsidP="00A23708">
      <w:pPr>
        <w:pStyle w:val="L1-FlLSp12"/>
        <w:rPr>
          <w:rFonts w:ascii="Franklin Gothic Medium" w:hAnsi="Franklin Gothic Medium"/>
          <w:sz w:val="20"/>
        </w:rPr>
      </w:pPr>
    </w:p>
    <w:p w14:paraId="26696605" w14:textId="65D38D55" w:rsidR="00D909EB" w:rsidRDefault="00D909EB" w:rsidP="00A24F63">
      <w:pPr>
        <w:pStyle w:val="L1-FlLSp12"/>
        <w:spacing w:after="120"/>
      </w:pPr>
      <w:r w:rsidRPr="0010771A">
        <w:t xml:space="preserve">The average annual participant burden </w:t>
      </w:r>
      <w:r w:rsidR="00BE31C0" w:rsidRPr="0010771A">
        <w:t xml:space="preserve">for both the screening and </w:t>
      </w:r>
      <w:r w:rsidR="00C724E8" w:rsidRPr="0010771A">
        <w:t xml:space="preserve">participation </w:t>
      </w:r>
      <w:r w:rsidR="00271AD6" w:rsidRPr="0010771A">
        <w:t>of respondents</w:t>
      </w:r>
      <w:r w:rsidR="00C724E8" w:rsidRPr="0010771A">
        <w:t xml:space="preserve"> in cognitive interview</w:t>
      </w:r>
      <w:r w:rsidR="00251CFE" w:rsidRPr="0010771A">
        <w:t xml:space="preserve">s </w:t>
      </w:r>
      <w:r w:rsidR="00C724E8" w:rsidRPr="0010771A">
        <w:t xml:space="preserve">or focus groups planned under this </w:t>
      </w:r>
      <w:r w:rsidR="00AF5E73" w:rsidRPr="0010771A">
        <w:t>Generic Clearance</w:t>
      </w:r>
      <w:r w:rsidR="00BE31C0" w:rsidRPr="0010771A">
        <w:t xml:space="preserve"> </w:t>
      </w:r>
      <w:r w:rsidRPr="0010771A">
        <w:t xml:space="preserve">is estimated to be </w:t>
      </w:r>
      <w:r w:rsidR="005F60F7">
        <w:t>2,617</w:t>
      </w:r>
      <w:r w:rsidRPr="0010771A">
        <w:t xml:space="preserve"> hours, </w:t>
      </w:r>
      <w:r w:rsidR="007B799C" w:rsidRPr="0010771A">
        <w:t>and</w:t>
      </w:r>
      <w:r w:rsidRPr="0010771A">
        <w:t xml:space="preserve"> a total of </w:t>
      </w:r>
      <w:r w:rsidR="005F60F7">
        <w:t>7,851</w:t>
      </w:r>
      <w:r w:rsidRPr="0010771A">
        <w:t xml:space="preserve"> hours over </w:t>
      </w:r>
      <w:r w:rsidR="007B799C" w:rsidRPr="0010771A">
        <w:t xml:space="preserve">the </w:t>
      </w:r>
      <w:r w:rsidR="00D24E2B" w:rsidRPr="0010771A">
        <w:t>3</w:t>
      </w:r>
      <w:r w:rsidRPr="0010771A">
        <w:t>-year approval period.</w:t>
      </w:r>
      <w:r w:rsidR="00A23708" w:rsidRPr="0010771A">
        <w:t xml:space="preserve"> </w:t>
      </w:r>
      <w:r w:rsidRPr="0010771A">
        <w:t>The</w:t>
      </w:r>
      <w:r w:rsidR="003B5973" w:rsidRPr="0010771A">
        <w:t xml:space="preserve">se estimates </w:t>
      </w:r>
      <w:r w:rsidR="00251CFE" w:rsidRPr="0010771A">
        <w:t>cover the time for recruitment</w:t>
      </w:r>
      <w:r w:rsidR="00C22EDB" w:rsidRPr="0010771A">
        <w:t>,</w:t>
      </w:r>
      <w:r w:rsidR="003B5973" w:rsidRPr="0010771A">
        <w:t xml:space="preserve"> </w:t>
      </w:r>
      <w:r w:rsidR="00251CFE" w:rsidRPr="0010771A">
        <w:t>s</w:t>
      </w:r>
      <w:r w:rsidR="003B5973" w:rsidRPr="0010771A">
        <w:t>creening</w:t>
      </w:r>
      <w:r w:rsidR="00C22EDB" w:rsidRPr="0010771A">
        <w:t>,</w:t>
      </w:r>
      <w:r w:rsidR="00251CFE" w:rsidRPr="0010771A">
        <w:t xml:space="preserve"> cognitive interviews or focus groups</w:t>
      </w:r>
      <w:r w:rsidR="00C22EDB" w:rsidRPr="0010771A">
        <w:t>,</w:t>
      </w:r>
      <w:r w:rsidR="003B5973" w:rsidRPr="0010771A">
        <w:t xml:space="preserve"> </w:t>
      </w:r>
      <w:r w:rsidR="00251CFE" w:rsidRPr="0010771A">
        <w:t>and debriefing sessions following a cognitive interview or focus group.</w:t>
      </w:r>
      <w:r w:rsidR="00A23708" w:rsidRPr="0010771A">
        <w:t xml:space="preserve"> </w:t>
      </w:r>
    </w:p>
    <w:p w14:paraId="3337A3A1" w14:textId="77777777" w:rsidR="00A24F63" w:rsidRPr="0010771A" w:rsidRDefault="00A24F63" w:rsidP="00A24F63">
      <w:pPr>
        <w:pStyle w:val="L1-FlLSp12"/>
      </w:pPr>
    </w:p>
    <w:p w14:paraId="26696607" w14:textId="5F42DAA0" w:rsidR="0096507A" w:rsidRDefault="000A42A9" w:rsidP="00A248FA">
      <w:pPr>
        <w:pStyle w:val="L1-FlLSp12"/>
        <w:spacing w:after="120"/>
      </w:pPr>
      <w:r>
        <w:t xml:space="preserve">Table </w:t>
      </w:r>
      <w:r w:rsidR="0096507A">
        <w:t xml:space="preserve">2 </w:t>
      </w:r>
      <w:r>
        <w:t>presents the a</w:t>
      </w:r>
      <w:r w:rsidR="00D909EB" w:rsidRPr="00D96C07">
        <w:t>nnualized cost to</w:t>
      </w:r>
      <w:r w:rsidR="0096507A">
        <w:t>: (1)</w:t>
      </w:r>
      <w:r w:rsidR="00D909EB" w:rsidRPr="00D96C07">
        <w:t xml:space="preserve"> </w:t>
      </w:r>
      <w:r w:rsidR="00251CFE" w:rsidRPr="00D96C07">
        <w:t>screen</w:t>
      </w:r>
      <w:r w:rsidR="00E971AD" w:rsidRPr="00D96C07">
        <w:t xml:space="preserve"> participa</w:t>
      </w:r>
      <w:r w:rsidR="00251CFE" w:rsidRPr="00D96C07">
        <w:t>nts</w:t>
      </w:r>
      <w:r w:rsidR="00E971AD" w:rsidRPr="00D96C07">
        <w:t xml:space="preserve"> for</w:t>
      </w:r>
      <w:r w:rsidR="00D909EB" w:rsidRPr="00D96C07">
        <w:t xml:space="preserve"> </w:t>
      </w:r>
      <w:r w:rsidR="00751F34" w:rsidRPr="00D96C07">
        <w:t xml:space="preserve">cognitive interviews and focus groups under this </w:t>
      </w:r>
      <w:r w:rsidR="00AF5E73" w:rsidRPr="00D96C07">
        <w:t>Generic Clearance</w:t>
      </w:r>
      <w:r w:rsidR="0096507A">
        <w:t xml:space="preserve">, and (2) </w:t>
      </w:r>
      <w:r w:rsidR="00E971AD" w:rsidRPr="00D96C07">
        <w:t>participa</w:t>
      </w:r>
      <w:r w:rsidR="00251CFE" w:rsidRPr="00D96C07">
        <w:t>te in cognitive interviews or focus groups</w:t>
      </w:r>
      <w:r w:rsidR="00665A6C" w:rsidRPr="00D96C07">
        <w:t>.</w:t>
      </w:r>
    </w:p>
    <w:p w14:paraId="22CA2416" w14:textId="77777777" w:rsidR="00A248FA" w:rsidRPr="00D96C07" w:rsidRDefault="00A248FA" w:rsidP="00A248FA">
      <w:pPr>
        <w:pStyle w:val="L1-FlLSp12"/>
        <w:spacing w:after="120"/>
      </w:pPr>
    </w:p>
    <w:p w14:paraId="26696608" w14:textId="77777777" w:rsidR="00D909EB" w:rsidRPr="00D96C07" w:rsidRDefault="00D24673" w:rsidP="00D24673">
      <w:pPr>
        <w:spacing w:line="240" w:lineRule="auto"/>
      </w:pPr>
      <w:r w:rsidRPr="00D96C07">
        <w:br w:type="page"/>
      </w:r>
    </w:p>
    <w:p w14:paraId="26696609" w14:textId="77777777" w:rsidR="00E92610" w:rsidRPr="00BA2749" w:rsidRDefault="0032592E" w:rsidP="00BA2749">
      <w:pPr>
        <w:pStyle w:val="TT-TableTitle"/>
        <w:rPr>
          <w:lang w:val="x-none" w:eastAsia="x-none"/>
        </w:rPr>
      </w:pPr>
      <w:r w:rsidRPr="00881C5C">
        <w:rPr>
          <w:lang w:val="x-none" w:eastAsia="x-none"/>
        </w:rPr>
        <w:lastRenderedPageBreak/>
        <w:t xml:space="preserve">Table </w:t>
      </w:r>
      <w:r w:rsidR="00BA2749" w:rsidRPr="00BA2749">
        <w:rPr>
          <w:lang w:val="x-none" w:eastAsia="x-none"/>
        </w:rPr>
        <w:t>2</w:t>
      </w:r>
      <w:r w:rsidR="00E971AD" w:rsidRPr="00881C5C">
        <w:rPr>
          <w:lang w:val="x-none" w:eastAsia="x-none"/>
        </w:rPr>
        <w:t>.</w:t>
      </w:r>
      <w:r w:rsidR="006C0A30">
        <w:rPr>
          <w:lang w:eastAsia="x-none"/>
        </w:rPr>
        <w:tab/>
      </w:r>
      <w:r w:rsidR="00E971AD" w:rsidRPr="00881C5C">
        <w:rPr>
          <w:lang w:val="x-none" w:eastAsia="x-none"/>
        </w:rPr>
        <w:t xml:space="preserve">Annualized cost to respondents for </w:t>
      </w:r>
      <w:r w:rsidR="00BA2749" w:rsidRPr="00BA2749">
        <w:rPr>
          <w:lang w:val="x-none" w:eastAsia="x-none"/>
        </w:rPr>
        <w:t>screening respondents</w:t>
      </w:r>
      <w:r w:rsidR="00BA2749" w:rsidRPr="006C0A30">
        <w:rPr>
          <w:lang w:val="x-none" w:eastAsia="x-none"/>
        </w:rPr>
        <w:t>,</w:t>
      </w:r>
      <w:r w:rsidR="00BA2749" w:rsidRPr="00BA2749">
        <w:rPr>
          <w:lang w:val="x-none" w:eastAsia="x-none"/>
        </w:rPr>
        <w:t xml:space="preserve"> and </w:t>
      </w:r>
      <w:r w:rsidR="003D6E59" w:rsidRPr="00881C5C">
        <w:rPr>
          <w:lang w:val="x-none" w:eastAsia="x-none"/>
        </w:rPr>
        <w:t>participating in cognitive interviews or focus groups</w:t>
      </w:r>
    </w:p>
    <w:p w14:paraId="2669660A" w14:textId="77777777" w:rsidR="00881C5C" w:rsidRPr="00881C5C" w:rsidRDefault="00881C5C" w:rsidP="00881C5C">
      <w:pPr>
        <w:pStyle w:val="TT-TableTitle"/>
        <w:ind w:left="0" w:firstLine="0"/>
        <w:rPr>
          <w:lang w:eastAsia="x-none"/>
        </w:rPr>
      </w:pPr>
    </w:p>
    <w:tbl>
      <w:tblPr>
        <w:tblStyle w:val="TableWestatStandardFormat"/>
        <w:tblW w:w="5122" w:type="pct"/>
        <w:tblInd w:w="-162" w:type="dxa"/>
        <w:tblLayout w:type="fixed"/>
        <w:tblLook w:val="04A0" w:firstRow="1" w:lastRow="0" w:firstColumn="1" w:lastColumn="0" w:noHBand="0" w:noVBand="1"/>
      </w:tblPr>
      <w:tblGrid>
        <w:gridCol w:w="1621"/>
        <w:gridCol w:w="1352"/>
        <w:gridCol w:w="1350"/>
        <w:gridCol w:w="1267"/>
        <w:gridCol w:w="1250"/>
        <w:gridCol w:w="12"/>
        <w:gridCol w:w="889"/>
        <w:gridCol w:w="10"/>
        <w:gridCol w:w="800"/>
        <w:gridCol w:w="90"/>
        <w:gridCol w:w="1169"/>
      </w:tblGrid>
      <w:tr w:rsidR="006C0A30" w:rsidRPr="009232E9" w14:paraId="26696613" w14:textId="77777777" w:rsidTr="009B4352">
        <w:trPr>
          <w:cnfStyle w:val="100000000000" w:firstRow="1" w:lastRow="0" w:firstColumn="0" w:lastColumn="0" w:oddVBand="0" w:evenVBand="0" w:oddHBand="0" w:evenHBand="0" w:firstRowFirstColumn="0" w:firstRowLastColumn="0" w:lastRowFirstColumn="0" w:lastRowLastColumn="0"/>
        </w:trPr>
        <w:tc>
          <w:tcPr>
            <w:tcW w:w="826" w:type="pct"/>
            <w:shd w:val="clear" w:color="auto" w:fill="95B3D7" w:themeFill="accent1" w:themeFillTint="99"/>
          </w:tcPr>
          <w:p w14:paraId="2669660B" w14:textId="77777777" w:rsidR="00E92610" w:rsidRPr="009232E9" w:rsidRDefault="000A42A9" w:rsidP="000A42A9">
            <w:pPr>
              <w:pStyle w:val="TH-TableHeading"/>
              <w:tabs>
                <w:tab w:val="clear" w:pos="1152"/>
                <w:tab w:val="left" w:pos="0"/>
              </w:tabs>
              <w:jc w:val="left"/>
            </w:pPr>
            <w:r>
              <w:t>Activity Name</w:t>
            </w:r>
          </w:p>
        </w:tc>
        <w:tc>
          <w:tcPr>
            <w:tcW w:w="689" w:type="pct"/>
            <w:shd w:val="clear" w:color="auto" w:fill="95B3D7" w:themeFill="accent1" w:themeFillTint="99"/>
          </w:tcPr>
          <w:p w14:paraId="2669660C" w14:textId="77777777" w:rsidR="00E92610" w:rsidRPr="009232E9" w:rsidRDefault="00E92610" w:rsidP="002C4F56">
            <w:pPr>
              <w:pStyle w:val="TH-TableHeading"/>
              <w:jc w:val="left"/>
            </w:pPr>
            <w:r w:rsidRPr="009232E9">
              <w:t>Type of Respondent</w:t>
            </w:r>
          </w:p>
        </w:tc>
        <w:tc>
          <w:tcPr>
            <w:tcW w:w="688" w:type="pct"/>
            <w:shd w:val="clear" w:color="auto" w:fill="95B3D7" w:themeFill="accent1" w:themeFillTint="99"/>
          </w:tcPr>
          <w:p w14:paraId="2669660D" w14:textId="77777777" w:rsidR="00E92610" w:rsidRPr="009232E9" w:rsidRDefault="00E92610" w:rsidP="000A42A9">
            <w:pPr>
              <w:pStyle w:val="TH-TableHeading"/>
              <w:jc w:val="left"/>
            </w:pPr>
            <w:r w:rsidRPr="009232E9">
              <w:t>Number of Respondents</w:t>
            </w:r>
          </w:p>
        </w:tc>
        <w:tc>
          <w:tcPr>
            <w:tcW w:w="646" w:type="pct"/>
            <w:shd w:val="clear" w:color="auto" w:fill="95B3D7" w:themeFill="accent1" w:themeFillTint="99"/>
          </w:tcPr>
          <w:p w14:paraId="2669660E" w14:textId="77777777" w:rsidR="00E92610" w:rsidRPr="009232E9" w:rsidRDefault="008C46CF" w:rsidP="000A42A9">
            <w:pPr>
              <w:pStyle w:val="TH-TableHeading"/>
              <w:jc w:val="left"/>
            </w:pPr>
            <w:r>
              <w:t xml:space="preserve">Number of </w:t>
            </w:r>
            <w:r w:rsidR="00E92610" w:rsidRPr="009232E9">
              <w:t>Response</w:t>
            </w:r>
            <w:r>
              <w:t>s per Respondent</w:t>
            </w:r>
          </w:p>
        </w:tc>
        <w:tc>
          <w:tcPr>
            <w:tcW w:w="643" w:type="pct"/>
            <w:gridSpan w:val="2"/>
            <w:shd w:val="clear" w:color="auto" w:fill="95B3D7" w:themeFill="accent1" w:themeFillTint="99"/>
          </w:tcPr>
          <w:p w14:paraId="2669660F" w14:textId="77777777" w:rsidR="00E92610" w:rsidRPr="009232E9" w:rsidRDefault="00E92610" w:rsidP="000A42A9">
            <w:pPr>
              <w:pStyle w:val="TH-TableHeading"/>
              <w:jc w:val="left"/>
            </w:pPr>
            <w:r w:rsidRPr="009232E9">
              <w:t xml:space="preserve">Average </w:t>
            </w:r>
            <w:r w:rsidR="00881C5C" w:rsidRPr="009232E9">
              <w:t xml:space="preserve">Burden </w:t>
            </w:r>
            <w:r w:rsidRPr="009232E9">
              <w:t>per Respon</w:t>
            </w:r>
            <w:r w:rsidR="00881C5C" w:rsidRPr="009232E9">
              <w:t>se (in hours)</w:t>
            </w:r>
          </w:p>
        </w:tc>
        <w:tc>
          <w:tcPr>
            <w:tcW w:w="458" w:type="pct"/>
            <w:gridSpan w:val="2"/>
            <w:shd w:val="clear" w:color="auto" w:fill="95B3D7" w:themeFill="accent1" w:themeFillTint="99"/>
          </w:tcPr>
          <w:p w14:paraId="26696610" w14:textId="77777777" w:rsidR="00E92610" w:rsidRPr="009232E9" w:rsidRDefault="008C46CF" w:rsidP="000A42A9">
            <w:pPr>
              <w:pStyle w:val="TH-TableHeading"/>
              <w:jc w:val="left"/>
            </w:pPr>
            <w:r>
              <w:t xml:space="preserve">Total </w:t>
            </w:r>
            <w:r w:rsidR="00E92610" w:rsidRPr="009232E9">
              <w:t>Annual Burden</w:t>
            </w:r>
            <w:r>
              <w:t xml:space="preserve"> Hours</w:t>
            </w:r>
          </w:p>
        </w:tc>
        <w:tc>
          <w:tcPr>
            <w:tcW w:w="408" w:type="pct"/>
            <w:shd w:val="clear" w:color="auto" w:fill="95B3D7" w:themeFill="accent1" w:themeFillTint="99"/>
          </w:tcPr>
          <w:p w14:paraId="26696611" w14:textId="77777777" w:rsidR="00E92610" w:rsidRPr="009232E9" w:rsidRDefault="00E92610" w:rsidP="000A42A9">
            <w:pPr>
              <w:pStyle w:val="TH-TableHeading"/>
              <w:jc w:val="left"/>
            </w:pPr>
            <w:r w:rsidRPr="009232E9">
              <w:t>Hourly Wage Rate</w:t>
            </w:r>
          </w:p>
        </w:tc>
        <w:tc>
          <w:tcPr>
            <w:tcW w:w="642" w:type="pct"/>
            <w:gridSpan w:val="2"/>
            <w:shd w:val="clear" w:color="auto" w:fill="95B3D7" w:themeFill="accent1" w:themeFillTint="99"/>
          </w:tcPr>
          <w:p w14:paraId="26696612" w14:textId="77777777" w:rsidR="00E92610" w:rsidRPr="009232E9" w:rsidRDefault="00E92610" w:rsidP="000A42A9">
            <w:pPr>
              <w:pStyle w:val="TH-TableHeading"/>
              <w:jc w:val="left"/>
            </w:pPr>
            <w:r w:rsidRPr="009232E9">
              <w:t>Respondent Cost</w:t>
            </w:r>
          </w:p>
        </w:tc>
      </w:tr>
      <w:tr w:rsidR="006C0A30" w:rsidRPr="009232E9" w14:paraId="2669661C" w14:textId="77777777" w:rsidTr="006C0A30">
        <w:trPr>
          <w:trHeight w:val="350"/>
        </w:trPr>
        <w:tc>
          <w:tcPr>
            <w:tcW w:w="826" w:type="pct"/>
            <w:vMerge w:val="restart"/>
            <w:tcBorders>
              <w:top w:val="single" w:sz="4" w:space="0" w:color="auto"/>
              <w:bottom w:val="nil"/>
            </w:tcBorders>
            <w:vAlign w:val="center"/>
          </w:tcPr>
          <w:p w14:paraId="26696614" w14:textId="77777777" w:rsidR="00BA2749" w:rsidRPr="009232E9" w:rsidRDefault="00BA2749" w:rsidP="00E74210">
            <w:pPr>
              <w:pStyle w:val="TX-TableText"/>
              <w:spacing w:before="120"/>
            </w:pPr>
            <w:r>
              <w:t>Completing eligibility s</w:t>
            </w:r>
            <w:r w:rsidRPr="009232E9">
              <w:t>creener</w:t>
            </w:r>
          </w:p>
        </w:tc>
        <w:tc>
          <w:tcPr>
            <w:tcW w:w="689" w:type="pct"/>
            <w:tcBorders>
              <w:top w:val="single" w:sz="4" w:space="0" w:color="auto"/>
              <w:bottom w:val="nil"/>
            </w:tcBorders>
          </w:tcPr>
          <w:p w14:paraId="26696615" w14:textId="28045FDF" w:rsidR="00E74210" w:rsidRPr="009232E9" w:rsidRDefault="00BA2749" w:rsidP="00E74210">
            <w:pPr>
              <w:pStyle w:val="TX-TableText"/>
              <w:spacing w:before="120"/>
              <w:jc w:val="center"/>
            </w:pPr>
            <w:r w:rsidRPr="009232E9">
              <w:t>Yout</w:t>
            </w:r>
            <w:r w:rsidR="00E74210">
              <w:t>h</w:t>
            </w:r>
          </w:p>
        </w:tc>
        <w:tc>
          <w:tcPr>
            <w:tcW w:w="688" w:type="pct"/>
            <w:tcBorders>
              <w:top w:val="single" w:sz="4" w:space="0" w:color="auto"/>
              <w:bottom w:val="nil"/>
            </w:tcBorders>
            <w:vAlign w:val="center"/>
          </w:tcPr>
          <w:p w14:paraId="26696616" w14:textId="7FE1DFD3" w:rsidR="00BA2749" w:rsidRPr="00A24F63" w:rsidRDefault="00BA2749" w:rsidP="00A24F63">
            <w:pPr>
              <w:pStyle w:val="TX-TableText"/>
              <w:tabs>
                <w:tab w:val="decimal" w:pos="799"/>
              </w:tabs>
              <w:spacing w:before="120"/>
              <w:jc w:val="center"/>
              <w:rPr>
                <w:rFonts w:cs="Calibri"/>
                <w:color w:val="000000"/>
              </w:rPr>
            </w:pPr>
            <w:r w:rsidRPr="00A24F63">
              <w:rPr>
                <w:rFonts w:cs="Calibri"/>
                <w:color w:val="000000"/>
              </w:rPr>
              <w:t>1,</w:t>
            </w:r>
            <w:r w:rsidR="00F00CB1" w:rsidRPr="00A24F63">
              <w:rPr>
                <w:rFonts w:cs="Calibri"/>
                <w:color w:val="000000"/>
              </w:rPr>
              <w:t>6</w:t>
            </w:r>
            <w:r w:rsidRPr="00A24F63">
              <w:rPr>
                <w:rFonts w:cs="Calibri"/>
                <w:color w:val="000000"/>
              </w:rPr>
              <w:t>00</w:t>
            </w:r>
          </w:p>
        </w:tc>
        <w:tc>
          <w:tcPr>
            <w:tcW w:w="646" w:type="pct"/>
            <w:tcBorders>
              <w:top w:val="single" w:sz="4" w:space="0" w:color="auto"/>
              <w:bottom w:val="nil"/>
            </w:tcBorders>
            <w:vAlign w:val="center"/>
          </w:tcPr>
          <w:p w14:paraId="26696617" w14:textId="77777777" w:rsidR="00BA2749" w:rsidRPr="009232E9" w:rsidRDefault="00BA2749" w:rsidP="00A24F63">
            <w:pPr>
              <w:pStyle w:val="TX-TableText"/>
              <w:tabs>
                <w:tab w:val="decimal" w:pos="460"/>
              </w:tabs>
              <w:spacing w:before="120"/>
              <w:jc w:val="center"/>
            </w:pPr>
            <w:r w:rsidRPr="009232E9">
              <w:t>1</w:t>
            </w:r>
          </w:p>
        </w:tc>
        <w:tc>
          <w:tcPr>
            <w:tcW w:w="637" w:type="pct"/>
            <w:tcBorders>
              <w:top w:val="single" w:sz="4" w:space="0" w:color="auto"/>
              <w:bottom w:val="nil"/>
            </w:tcBorders>
            <w:vAlign w:val="center"/>
          </w:tcPr>
          <w:p w14:paraId="26696618" w14:textId="77777777" w:rsidR="00BA2749" w:rsidRPr="009232E9" w:rsidRDefault="00BA2749" w:rsidP="00A24F63">
            <w:pPr>
              <w:pStyle w:val="TX-TableText"/>
              <w:spacing w:before="120"/>
              <w:jc w:val="center"/>
            </w:pPr>
            <w:r w:rsidRPr="009232E9">
              <w:t>10/60</w:t>
            </w:r>
          </w:p>
        </w:tc>
        <w:tc>
          <w:tcPr>
            <w:tcW w:w="459" w:type="pct"/>
            <w:gridSpan w:val="2"/>
            <w:tcBorders>
              <w:top w:val="single" w:sz="4" w:space="0" w:color="auto"/>
              <w:bottom w:val="nil"/>
            </w:tcBorders>
            <w:vAlign w:val="center"/>
          </w:tcPr>
          <w:p w14:paraId="26696619" w14:textId="17549BB7" w:rsidR="00BA2749" w:rsidRPr="00A24F63" w:rsidRDefault="00F00CB1" w:rsidP="00A24F63">
            <w:pPr>
              <w:pStyle w:val="TX-TableText"/>
              <w:tabs>
                <w:tab w:val="decimal" w:pos="502"/>
              </w:tabs>
              <w:spacing w:before="120"/>
              <w:jc w:val="center"/>
              <w:rPr>
                <w:rFonts w:cs="Calibri"/>
                <w:color w:val="000000"/>
              </w:rPr>
            </w:pPr>
            <w:r w:rsidRPr="00A24F63">
              <w:rPr>
                <w:rFonts w:cs="Calibri"/>
                <w:color w:val="000000"/>
              </w:rPr>
              <w:t>267</w:t>
            </w:r>
          </w:p>
        </w:tc>
        <w:tc>
          <w:tcPr>
            <w:tcW w:w="459" w:type="pct"/>
            <w:gridSpan w:val="3"/>
            <w:tcBorders>
              <w:top w:val="single" w:sz="4" w:space="0" w:color="auto"/>
              <w:bottom w:val="nil"/>
            </w:tcBorders>
            <w:vAlign w:val="center"/>
          </w:tcPr>
          <w:p w14:paraId="2669661A" w14:textId="77777777" w:rsidR="00BA2749" w:rsidRPr="009232E9" w:rsidRDefault="00BA2749" w:rsidP="00E74210">
            <w:pPr>
              <w:pStyle w:val="TX-TableText"/>
              <w:spacing w:before="120"/>
              <w:jc w:val="right"/>
            </w:pPr>
            <w:r w:rsidRPr="009232E9">
              <w:t>$4.25</w:t>
            </w:r>
          </w:p>
        </w:tc>
        <w:tc>
          <w:tcPr>
            <w:tcW w:w="596" w:type="pct"/>
            <w:tcBorders>
              <w:top w:val="single" w:sz="4" w:space="0" w:color="auto"/>
              <w:bottom w:val="nil"/>
            </w:tcBorders>
            <w:vAlign w:val="center"/>
          </w:tcPr>
          <w:p w14:paraId="2669661B" w14:textId="1B808E78" w:rsidR="00BA2749" w:rsidRPr="009232E9" w:rsidRDefault="00BA2749" w:rsidP="00E74210">
            <w:pPr>
              <w:pStyle w:val="TX-TableText"/>
              <w:spacing w:before="120"/>
              <w:jc w:val="right"/>
            </w:pPr>
            <w:r w:rsidRPr="00E74210">
              <w:t>$</w:t>
            </w:r>
            <w:r w:rsidR="00F00CB1" w:rsidRPr="00E74210">
              <w:t>1,135</w:t>
            </w:r>
          </w:p>
        </w:tc>
      </w:tr>
      <w:tr w:rsidR="006C0A30" w:rsidRPr="009232E9" w14:paraId="26696625" w14:textId="77777777" w:rsidTr="006C0A30">
        <w:trPr>
          <w:trHeight w:val="350"/>
        </w:trPr>
        <w:tc>
          <w:tcPr>
            <w:tcW w:w="826" w:type="pct"/>
            <w:vMerge/>
            <w:tcBorders>
              <w:top w:val="nil"/>
              <w:bottom w:val="single" w:sz="4" w:space="0" w:color="auto"/>
            </w:tcBorders>
          </w:tcPr>
          <w:p w14:paraId="2669661D" w14:textId="77777777" w:rsidR="00BA2749" w:rsidRPr="009232E9" w:rsidRDefault="00BA2749" w:rsidP="00E74210">
            <w:pPr>
              <w:pStyle w:val="TX-TableText"/>
              <w:spacing w:before="120"/>
            </w:pPr>
          </w:p>
        </w:tc>
        <w:tc>
          <w:tcPr>
            <w:tcW w:w="689" w:type="pct"/>
            <w:tcBorders>
              <w:top w:val="nil"/>
              <w:bottom w:val="single" w:sz="4" w:space="0" w:color="auto"/>
            </w:tcBorders>
          </w:tcPr>
          <w:p w14:paraId="2669661E" w14:textId="77777777" w:rsidR="00BA2749" w:rsidRPr="009232E9" w:rsidRDefault="00BA2749" w:rsidP="00E74210">
            <w:pPr>
              <w:pStyle w:val="TX-TableText"/>
              <w:spacing w:before="120"/>
              <w:jc w:val="center"/>
            </w:pPr>
            <w:r w:rsidRPr="009232E9">
              <w:t>Adult</w:t>
            </w:r>
            <w:r w:rsidR="00D43D87">
              <w:t>s</w:t>
            </w:r>
          </w:p>
        </w:tc>
        <w:tc>
          <w:tcPr>
            <w:tcW w:w="688" w:type="pct"/>
            <w:tcBorders>
              <w:top w:val="nil"/>
              <w:bottom w:val="single" w:sz="4" w:space="0" w:color="auto"/>
            </w:tcBorders>
            <w:vAlign w:val="center"/>
          </w:tcPr>
          <w:p w14:paraId="2669661F" w14:textId="77777777" w:rsidR="00BA2749" w:rsidRPr="00A24F63" w:rsidRDefault="00BA2749" w:rsidP="00A24F63">
            <w:pPr>
              <w:pStyle w:val="TX-TableText"/>
              <w:tabs>
                <w:tab w:val="decimal" w:pos="799"/>
              </w:tabs>
              <w:spacing w:before="120"/>
              <w:jc w:val="center"/>
              <w:rPr>
                <w:rFonts w:cs="Calibri"/>
                <w:color w:val="000000"/>
              </w:rPr>
            </w:pPr>
            <w:r w:rsidRPr="00A24F63">
              <w:rPr>
                <w:rFonts w:cs="Calibri"/>
                <w:color w:val="000000"/>
              </w:rPr>
              <w:t>2,400</w:t>
            </w:r>
          </w:p>
        </w:tc>
        <w:tc>
          <w:tcPr>
            <w:tcW w:w="646" w:type="pct"/>
            <w:tcBorders>
              <w:top w:val="nil"/>
              <w:bottom w:val="single" w:sz="4" w:space="0" w:color="auto"/>
            </w:tcBorders>
            <w:vAlign w:val="center"/>
          </w:tcPr>
          <w:p w14:paraId="26696620" w14:textId="77777777" w:rsidR="00BA2749" w:rsidRPr="009232E9" w:rsidRDefault="00BA2749" w:rsidP="00A24F63">
            <w:pPr>
              <w:pStyle w:val="TX-TableText"/>
              <w:tabs>
                <w:tab w:val="decimal" w:pos="460"/>
              </w:tabs>
              <w:spacing w:before="120"/>
              <w:jc w:val="center"/>
            </w:pPr>
            <w:r w:rsidRPr="009232E9">
              <w:t>1</w:t>
            </w:r>
          </w:p>
        </w:tc>
        <w:tc>
          <w:tcPr>
            <w:tcW w:w="637" w:type="pct"/>
            <w:tcBorders>
              <w:top w:val="nil"/>
              <w:bottom w:val="single" w:sz="4" w:space="0" w:color="auto"/>
            </w:tcBorders>
            <w:vAlign w:val="center"/>
          </w:tcPr>
          <w:p w14:paraId="26696621" w14:textId="77777777" w:rsidR="00BA2749" w:rsidRPr="009232E9" w:rsidRDefault="00BA2749" w:rsidP="00A24F63">
            <w:pPr>
              <w:pStyle w:val="TX-TableText"/>
              <w:spacing w:before="120"/>
              <w:jc w:val="center"/>
            </w:pPr>
            <w:r w:rsidRPr="009232E9">
              <w:t>10/60</w:t>
            </w:r>
          </w:p>
        </w:tc>
        <w:tc>
          <w:tcPr>
            <w:tcW w:w="459" w:type="pct"/>
            <w:gridSpan w:val="2"/>
            <w:tcBorders>
              <w:top w:val="nil"/>
              <w:bottom w:val="single" w:sz="4" w:space="0" w:color="auto"/>
            </w:tcBorders>
            <w:vAlign w:val="center"/>
          </w:tcPr>
          <w:p w14:paraId="26696622" w14:textId="77777777" w:rsidR="00BA2749" w:rsidRPr="00A24F63" w:rsidRDefault="00BA2749" w:rsidP="00A24F63">
            <w:pPr>
              <w:pStyle w:val="TX-TableText"/>
              <w:tabs>
                <w:tab w:val="decimal" w:pos="502"/>
              </w:tabs>
              <w:spacing w:before="120"/>
              <w:jc w:val="center"/>
              <w:rPr>
                <w:rFonts w:cs="Calibri"/>
                <w:color w:val="000000"/>
              </w:rPr>
            </w:pPr>
            <w:r w:rsidRPr="00A24F63">
              <w:rPr>
                <w:rFonts w:cs="Calibri"/>
                <w:color w:val="000000"/>
              </w:rPr>
              <w:t>400</w:t>
            </w:r>
          </w:p>
        </w:tc>
        <w:tc>
          <w:tcPr>
            <w:tcW w:w="459" w:type="pct"/>
            <w:gridSpan w:val="3"/>
            <w:tcBorders>
              <w:top w:val="nil"/>
              <w:bottom w:val="single" w:sz="4" w:space="0" w:color="auto"/>
            </w:tcBorders>
            <w:vAlign w:val="center"/>
          </w:tcPr>
          <w:p w14:paraId="26696623" w14:textId="77777777" w:rsidR="00BA2749" w:rsidRPr="009232E9" w:rsidRDefault="00BA2749" w:rsidP="00E74210">
            <w:pPr>
              <w:pStyle w:val="TX-TableText"/>
              <w:spacing w:before="120"/>
              <w:jc w:val="right"/>
            </w:pPr>
            <w:r w:rsidRPr="009232E9">
              <w:t>$17.09</w:t>
            </w:r>
          </w:p>
        </w:tc>
        <w:tc>
          <w:tcPr>
            <w:tcW w:w="596" w:type="pct"/>
            <w:tcBorders>
              <w:top w:val="nil"/>
              <w:bottom w:val="single" w:sz="4" w:space="0" w:color="auto"/>
            </w:tcBorders>
            <w:vAlign w:val="center"/>
          </w:tcPr>
          <w:p w14:paraId="26696624" w14:textId="77777777" w:rsidR="00BA2749" w:rsidRPr="009232E9" w:rsidRDefault="00BA2749" w:rsidP="00E74210">
            <w:pPr>
              <w:pStyle w:val="TX-TableText"/>
              <w:spacing w:before="120"/>
              <w:jc w:val="right"/>
            </w:pPr>
            <w:r w:rsidRPr="00E74210">
              <w:t>$6,836</w:t>
            </w:r>
          </w:p>
        </w:tc>
      </w:tr>
      <w:tr w:rsidR="006C0A30" w:rsidRPr="009232E9" w14:paraId="2669662E" w14:textId="77777777" w:rsidTr="006C0A30">
        <w:trPr>
          <w:trHeight w:val="350"/>
        </w:trPr>
        <w:tc>
          <w:tcPr>
            <w:tcW w:w="826" w:type="pct"/>
            <w:tcBorders>
              <w:bottom w:val="single" w:sz="4" w:space="0" w:color="auto"/>
            </w:tcBorders>
          </w:tcPr>
          <w:p w14:paraId="26696626" w14:textId="19E1BC8E" w:rsidR="00BA2749" w:rsidRPr="009232E9" w:rsidRDefault="00BA2749" w:rsidP="00F87A8D">
            <w:pPr>
              <w:pStyle w:val="TX-TableText"/>
              <w:spacing w:before="120"/>
            </w:pPr>
            <w:r>
              <w:t>Examining c</w:t>
            </w:r>
            <w:r w:rsidRPr="009232E9">
              <w:t xml:space="preserve">oncepts to be </w:t>
            </w:r>
            <w:r>
              <w:t xml:space="preserve">measured in PATH Study </w:t>
            </w:r>
          </w:p>
        </w:tc>
        <w:tc>
          <w:tcPr>
            <w:tcW w:w="689" w:type="pct"/>
            <w:tcBorders>
              <w:bottom w:val="single" w:sz="4" w:space="0" w:color="auto"/>
            </w:tcBorders>
            <w:vAlign w:val="center"/>
          </w:tcPr>
          <w:p w14:paraId="46E32A16" w14:textId="77777777" w:rsidR="00F00CB1" w:rsidRDefault="00F00CB1" w:rsidP="00697847">
            <w:pPr>
              <w:pStyle w:val="TX-TableText"/>
              <w:spacing w:before="120"/>
              <w:jc w:val="center"/>
            </w:pPr>
            <w:r>
              <w:t>Youth</w:t>
            </w:r>
          </w:p>
          <w:p w14:paraId="26696627" w14:textId="77777777" w:rsidR="00BA2749" w:rsidRPr="009232E9" w:rsidRDefault="00BA2749" w:rsidP="00697847">
            <w:pPr>
              <w:pStyle w:val="TX-TableText"/>
              <w:spacing w:before="120"/>
              <w:jc w:val="center"/>
            </w:pPr>
            <w:r w:rsidRPr="009232E9">
              <w:t>Adult</w:t>
            </w:r>
            <w:r w:rsidR="00D43D87">
              <w:t>s</w:t>
            </w:r>
          </w:p>
        </w:tc>
        <w:tc>
          <w:tcPr>
            <w:tcW w:w="688" w:type="pct"/>
            <w:tcBorders>
              <w:bottom w:val="single" w:sz="4" w:space="0" w:color="auto"/>
            </w:tcBorders>
            <w:vAlign w:val="center"/>
          </w:tcPr>
          <w:p w14:paraId="0B5337A1" w14:textId="77777777" w:rsidR="00F00CB1" w:rsidRDefault="00F00CB1" w:rsidP="00697847">
            <w:pPr>
              <w:pStyle w:val="TX-TableText"/>
              <w:tabs>
                <w:tab w:val="decimal" w:pos="799"/>
              </w:tabs>
              <w:spacing w:before="120"/>
              <w:jc w:val="center"/>
              <w:rPr>
                <w:rFonts w:cs="Calibri"/>
                <w:color w:val="000000"/>
              </w:rPr>
            </w:pPr>
            <w:r>
              <w:rPr>
                <w:rFonts w:cs="Calibri"/>
                <w:color w:val="000000"/>
              </w:rPr>
              <w:t>100</w:t>
            </w:r>
          </w:p>
          <w:p w14:paraId="26696628" w14:textId="77777777" w:rsidR="00BA2749" w:rsidRPr="009232E9" w:rsidRDefault="00BA2749" w:rsidP="00697847">
            <w:pPr>
              <w:pStyle w:val="TX-TableText"/>
              <w:tabs>
                <w:tab w:val="decimal" w:pos="799"/>
              </w:tabs>
              <w:spacing w:before="120"/>
              <w:jc w:val="center"/>
              <w:rPr>
                <w:rFonts w:cs="Calibri"/>
                <w:color w:val="000000"/>
              </w:rPr>
            </w:pPr>
            <w:r w:rsidRPr="009232E9">
              <w:rPr>
                <w:rFonts w:cs="Calibri"/>
                <w:color w:val="000000"/>
              </w:rPr>
              <w:t>200</w:t>
            </w:r>
          </w:p>
        </w:tc>
        <w:tc>
          <w:tcPr>
            <w:tcW w:w="646" w:type="pct"/>
            <w:tcBorders>
              <w:bottom w:val="single" w:sz="4" w:space="0" w:color="auto"/>
            </w:tcBorders>
            <w:vAlign w:val="center"/>
          </w:tcPr>
          <w:p w14:paraId="4DD27483" w14:textId="77777777" w:rsidR="00F00CB1" w:rsidRDefault="00F00CB1" w:rsidP="00697847">
            <w:pPr>
              <w:pStyle w:val="TX-TableText"/>
              <w:tabs>
                <w:tab w:val="decimal" w:pos="460"/>
              </w:tabs>
              <w:spacing w:before="120"/>
              <w:jc w:val="center"/>
            </w:pPr>
            <w:r>
              <w:t>1</w:t>
            </w:r>
          </w:p>
          <w:p w14:paraId="26696629" w14:textId="77777777" w:rsidR="00BA2749" w:rsidRPr="009232E9" w:rsidRDefault="00BA2749" w:rsidP="00697847">
            <w:pPr>
              <w:pStyle w:val="TX-TableText"/>
              <w:tabs>
                <w:tab w:val="decimal" w:pos="460"/>
              </w:tabs>
              <w:spacing w:before="120"/>
              <w:jc w:val="center"/>
            </w:pPr>
            <w:r w:rsidRPr="009232E9">
              <w:t>1</w:t>
            </w:r>
          </w:p>
        </w:tc>
        <w:tc>
          <w:tcPr>
            <w:tcW w:w="637" w:type="pct"/>
            <w:tcBorders>
              <w:bottom w:val="single" w:sz="4" w:space="0" w:color="auto"/>
            </w:tcBorders>
            <w:vAlign w:val="center"/>
          </w:tcPr>
          <w:p w14:paraId="4DE7B250" w14:textId="77777777" w:rsidR="00F00CB1" w:rsidRDefault="00F00CB1" w:rsidP="008C46CF">
            <w:pPr>
              <w:pStyle w:val="TX-TableText"/>
              <w:spacing w:before="120"/>
              <w:jc w:val="center"/>
            </w:pPr>
            <w:r>
              <w:t>90/60</w:t>
            </w:r>
          </w:p>
          <w:p w14:paraId="2669662A" w14:textId="77777777" w:rsidR="00BA2749" w:rsidRPr="009232E9" w:rsidRDefault="00BA2749" w:rsidP="008C46CF">
            <w:pPr>
              <w:pStyle w:val="TX-TableText"/>
              <w:spacing w:before="120"/>
              <w:jc w:val="center"/>
            </w:pPr>
            <w:r>
              <w:t>9</w:t>
            </w:r>
            <w:r w:rsidRPr="009232E9">
              <w:t>0/60</w:t>
            </w:r>
          </w:p>
        </w:tc>
        <w:tc>
          <w:tcPr>
            <w:tcW w:w="459" w:type="pct"/>
            <w:gridSpan w:val="2"/>
            <w:tcBorders>
              <w:bottom w:val="single" w:sz="4" w:space="0" w:color="auto"/>
            </w:tcBorders>
            <w:vAlign w:val="center"/>
          </w:tcPr>
          <w:p w14:paraId="2C84361D" w14:textId="77777777" w:rsidR="00F00CB1" w:rsidRDefault="00F00CB1" w:rsidP="00697847">
            <w:pPr>
              <w:pStyle w:val="TX-TableText"/>
              <w:tabs>
                <w:tab w:val="decimal" w:pos="502"/>
              </w:tabs>
              <w:spacing w:before="120"/>
              <w:jc w:val="center"/>
              <w:rPr>
                <w:rFonts w:cs="Calibri"/>
                <w:color w:val="000000"/>
              </w:rPr>
            </w:pPr>
            <w:r>
              <w:rPr>
                <w:rFonts w:cs="Calibri"/>
                <w:color w:val="000000"/>
              </w:rPr>
              <w:t>150</w:t>
            </w:r>
          </w:p>
          <w:p w14:paraId="2669662B" w14:textId="5EA2A8AF" w:rsidR="00BA2749" w:rsidRPr="009232E9" w:rsidRDefault="00BA2749" w:rsidP="00F00CB1">
            <w:pPr>
              <w:pStyle w:val="TX-TableText"/>
              <w:tabs>
                <w:tab w:val="decimal" w:pos="502"/>
              </w:tabs>
              <w:spacing w:before="120"/>
              <w:jc w:val="center"/>
              <w:rPr>
                <w:rFonts w:cs="Calibri"/>
                <w:color w:val="000000"/>
              </w:rPr>
            </w:pPr>
            <w:r w:rsidRPr="009232E9">
              <w:rPr>
                <w:rFonts w:cs="Calibri"/>
                <w:color w:val="000000"/>
              </w:rPr>
              <w:t>300</w:t>
            </w:r>
          </w:p>
        </w:tc>
        <w:tc>
          <w:tcPr>
            <w:tcW w:w="459" w:type="pct"/>
            <w:gridSpan w:val="3"/>
            <w:tcBorders>
              <w:bottom w:val="single" w:sz="4" w:space="0" w:color="auto"/>
            </w:tcBorders>
            <w:vAlign w:val="center"/>
          </w:tcPr>
          <w:p w14:paraId="5672F00E" w14:textId="77777777" w:rsidR="00F00CB1" w:rsidRDefault="00F00CB1" w:rsidP="00697847">
            <w:pPr>
              <w:pStyle w:val="TX-TableText"/>
              <w:tabs>
                <w:tab w:val="decimal" w:pos="339"/>
              </w:tabs>
              <w:spacing w:before="120"/>
              <w:jc w:val="center"/>
            </w:pPr>
            <w:r>
              <w:t>$4.25</w:t>
            </w:r>
          </w:p>
          <w:p w14:paraId="2669662C" w14:textId="77777777" w:rsidR="00BA2749" w:rsidRPr="009232E9" w:rsidRDefault="00BA2749" w:rsidP="00697847">
            <w:pPr>
              <w:pStyle w:val="TX-TableText"/>
              <w:tabs>
                <w:tab w:val="decimal" w:pos="339"/>
              </w:tabs>
              <w:spacing w:before="120"/>
              <w:jc w:val="center"/>
            </w:pPr>
            <w:r w:rsidRPr="009232E9">
              <w:t>$17.09</w:t>
            </w:r>
          </w:p>
        </w:tc>
        <w:tc>
          <w:tcPr>
            <w:tcW w:w="596" w:type="pct"/>
            <w:tcBorders>
              <w:bottom w:val="single" w:sz="4" w:space="0" w:color="auto"/>
            </w:tcBorders>
            <w:vAlign w:val="center"/>
          </w:tcPr>
          <w:p w14:paraId="76206B6D" w14:textId="54C62D3B" w:rsidR="00F00CB1" w:rsidRDefault="00F00CB1" w:rsidP="00697847">
            <w:pPr>
              <w:pStyle w:val="TX-TableText"/>
              <w:tabs>
                <w:tab w:val="decimal" w:pos="828"/>
              </w:tabs>
              <w:spacing w:before="120"/>
              <w:jc w:val="center"/>
              <w:rPr>
                <w:rFonts w:cs="Calibri"/>
                <w:color w:val="000000"/>
              </w:rPr>
            </w:pPr>
            <w:r>
              <w:rPr>
                <w:rFonts w:cs="Calibri"/>
                <w:color w:val="000000"/>
              </w:rPr>
              <w:t>$638</w:t>
            </w:r>
          </w:p>
          <w:p w14:paraId="2669662D" w14:textId="212E3903" w:rsidR="00BA2749" w:rsidRPr="009232E9" w:rsidRDefault="00BA2749" w:rsidP="00F00CB1">
            <w:pPr>
              <w:pStyle w:val="TX-TableText"/>
              <w:tabs>
                <w:tab w:val="decimal" w:pos="828"/>
              </w:tabs>
              <w:spacing w:before="120"/>
              <w:jc w:val="center"/>
              <w:rPr>
                <w:rFonts w:cs="Calibri"/>
                <w:color w:val="000000"/>
              </w:rPr>
            </w:pPr>
            <w:r w:rsidRPr="009232E9">
              <w:rPr>
                <w:rFonts w:cs="Calibri"/>
                <w:color w:val="000000"/>
              </w:rPr>
              <w:t>$5,127</w:t>
            </w:r>
          </w:p>
        </w:tc>
      </w:tr>
      <w:tr w:rsidR="006C0A30" w:rsidRPr="009232E9" w14:paraId="26696637" w14:textId="77777777" w:rsidTr="006C0A30">
        <w:trPr>
          <w:trHeight w:val="350"/>
        </w:trPr>
        <w:tc>
          <w:tcPr>
            <w:tcW w:w="826" w:type="pct"/>
            <w:tcBorders>
              <w:top w:val="single" w:sz="4" w:space="0" w:color="auto"/>
              <w:bottom w:val="single" w:sz="4" w:space="0" w:color="auto"/>
            </w:tcBorders>
          </w:tcPr>
          <w:p w14:paraId="2669662F" w14:textId="127037FC" w:rsidR="00BA2749" w:rsidRPr="009232E9" w:rsidRDefault="00BA2749" w:rsidP="008C46CF">
            <w:pPr>
              <w:pStyle w:val="TX-TableText"/>
              <w:spacing w:before="120"/>
            </w:pPr>
            <w:r>
              <w:t>Examining a</w:t>
            </w:r>
            <w:r w:rsidRPr="009232E9">
              <w:t xml:space="preserve">ssent forms for participation </w:t>
            </w:r>
            <w:r>
              <w:t>in PATH Study</w:t>
            </w:r>
          </w:p>
        </w:tc>
        <w:tc>
          <w:tcPr>
            <w:tcW w:w="689" w:type="pct"/>
            <w:tcBorders>
              <w:top w:val="single" w:sz="4" w:space="0" w:color="auto"/>
              <w:bottom w:val="single" w:sz="4" w:space="0" w:color="auto"/>
            </w:tcBorders>
            <w:vAlign w:val="center"/>
          </w:tcPr>
          <w:p w14:paraId="26696630" w14:textId="77777777" w:rsidR="00BA2749" w:rsidRPr="009232E9" w:rsidRDefault="00BA2749" w:rsidP="00271AD6">
            <w:pPr>
              <w:pStyle w:val="TX-TableText"/>
              <w:spacing w:before="120"/>
              <w:jc w:val="center"/>
            </w:pPr>
            <w:r w:rsidRPr="009232E9">
              <w:t>Youth</w:t>
            </w:r>
          </w:p>
        </w:tc>
        <w:tc>
          <w:tcPr>
            <w:tcW w:w="688" w:type="pct"/>
            <w:tcBorders>
              <w:top w:val="single" w:sz="4" w:space="0" w:color="auto"/>
              <w:bottom w:val="single" w:sz="4" w:space="0" w:color="auto"/>
            </w:tcBorders>
            <w:vAlign w:val="center"/>
          </w:tcPr>
          <w:p w14:paraId="26696631" w14:textId="77777777" w:rsidR="00BA2749" w:rsidRPr="009232E9" w:rsidRDefault="00BA2749" w:rsidP="00271AD6">
            <w:pPr>
              <w:pStyle w:val="TX-TableText"/>
              <w:tabs>
                <w:tab w:val="decimal" w:pos="799"/>
              </w:tabs>
              <w:spacing w:before="120"/>
              <w:jc w:val="center"/>
            </w:pPr>
            <w:r w:rsidRPr="009232E9">
              <w:rPr>
                <w:rFonts w:cs="Calibri"/>
                <w:color w:val="000000"/>
              </w:rPr>
              <w:t>200</w:t>
            </w:r>
          </w:p>
        </w:tc>
        <w:tc>
          <w:tcPr>
            <w:tcW w:w="646" w:type="pct"/>
            <w:tcBorders>
              <w:top w:val="single" w:sz="4" w:space="0" w:color="auto"/>
              <w:bottom w:val="single" w:sz="4" w:space="0" w:color="auto"/>
            </w:tcBorders>
            <w:vAlign w:val="center"/>
          </w:tcPr>
          <w:p w14:paraId="26696632" w14:textId="77777777" w:rsidR="00BA2749" w:rsidRPr="009232E9" w:rsidRDefault="00BA2749" w:rsidP="00271AD6">
            <w:pPr>
              <w:pStyle w:val="TX-TableText"/>
              <w:tabs>
                <w:tab w:val="decimal" w:pos="460"/>
              </w:tabs>
              <w:spacing w:before="120"/>
              <w:jc w:val="center"/>
            </w:pPr>
            <w:r w:rsidRPr="009232E9">
              <w:t>1</w:t>
            </w:r>
          </w:p>
        </w:tc>
        <w:tc>
          <w:tcPr>
            <w:tcW w:w="637" w:type="pct"/>
            <w:tcBorders>
              <w:top w:val="single" w:sz="4" w:space="0" w:color="auto"/>
              <w:bottom w:val="single" w:sz="4" w:space="0" w:color="auto"/>
            </w:tcBorders>
            <w:vAlign w:val="center"/>
          </w:tcPr>
          <w:p w14:paraId="26696633" w14:textId="77777777" w:rsidR="00BA2749" w:rsidRPr="009232E9" w:rsidRDefault="00BA2749" w:rsidP="008C46CF">
            <w:pPr>
              <w:pStyle w:val="TX-TableText"/>
              <w:tabs>
                <w:tab w:val="decimal" w:pos="0"/>
              </w:tabs>
              <w:spacing w:before="120"/>
              <w:jc w:val="center"/>
            </w:pPr>
            <w:r>
              <w:t>9</w:t>
            </w:r>
            <w:r w:rsidRPr="009232E9">
              <w:t>0/60</w:t>
            </w:r>
          </w:p>
        </w:tc>
        <w:tc>
          <w:tcPr>
            <w:tcW w:w="459" w:type="pct"/>
            <w:gridSpan w:val="2"/>
            <w:tcBorders>
              <w:top w:val="single" w:sz="4" w:space="0" w:color="auto"/>
              <w:bottom w:val="single" w:sz="4" w:space="0" w:color="auto"/>
            </w:tcBorders>
            <w:vAlign w:val="center"/>
          </w:tcPr>
          <w:p w14:paraId="26696634" w14:textId="77777777" w:rsidR="00BA2749" w:rsidRPr="009232E9" w:rsidRDefault="00BA2749" w:rsidP="00271AD6">
            <w:pPr>
              <w:pStyle w:val="TX-TableText"/>
              <w:tabs>
                <w:tab w:val="decimal" w:pos="502"/>
              </w:tabs>
              <w:spacing w:before="120"/>
              <w:jc w:val="center"/>
            </w:pPr>
            <w:r w:rsidRPr="009232E9">
              <w:rPr>
                <w:rFonts w:cs="Calibri"/>
                <w:color w:val="000000"/>
              </w:rPr>
              <w:t>300</w:t>
            </w:r>
          </w:p>
        </w:tc>
        <w:tc>
          <w:tcPr>
            <w:tcW w:w="459" w:type="pct"/>
            <w:gridSpan w:val="3"/>
            <w:tcBorders>
              <w:top w:val="single" w:sz="4" w:space="0" w:color="auto"/>
              <w:bottom w:val="single" w:sz="4" w:space="0" w:color="auto"/>
            </w:tcBorders>
            <w:vAlign w:val="center"/>
          </w:tcPr>
          <w:p w14:paraId="26696635" w14:textId="77777777" w:rsidR="00BA2749" w:rsidRPr="009232E9" w:rsidRDefault="00BA2749" w:rsidP="00271AD6">
            <w:pPr>
              <w:pStyle w:val="TX-TableText"/>
              <w:tabs>
                <w:tab w:val="decimal" w:pos="339"/>
              </w:tabs>
              <w:spacing w:before="120"/>
              <w:jc w:val="center"/>
            </w:pPr>
            <w:r w:rsidRPr="009232E9">
              <w:t>$4.25</w:t>
            </w:r>
          </w:p>
        </w:tc>
        <w:tc>
          <w:tcPr>
            <w:tcW w:w="596" w:type="pct"/>
            <w:tcBorders>
              <w:top w:val="single" w:sz="4" w:space="0" w:color="auto"/>
              <w:bottom w:val="single" w:sz="4" w:space="0" w:color="auto"/>
            </w:tcBorders>
            <w:vAlign w:val="center"/>
          </w:tcPr>
          <w:p w14:paraId="26696636" w14:textId="77777777" w:rsidR="00BA2749" w:rsidRPr="009232E9" w:rsidRDefault="00BA2749" w:rsidP="00271AD6">
            <w:pPr>
              <w:pStyle w:val="TX-TableText"/>
              <w:tabs>
                <w:tab w:val="decimal" w:pos="828"/>
              </w:tabs>
              <w:spacing w:before="120"/>
              <w:jc w:val="center"/>
            </w:pPr>
            <w:r w:rsidRPr="009232E9">
              <w:rPr>
                <w:rFonts w:cs="Calibri"/>
                <w:color w:val="000000"/>
              </w:rPr>
              <w:t>$1,275</w:t>
            </w:r>
          </w:p>
        </w:tc>
      </w:tr>
      <w:tr w:rsidR="006C0A30" w:rsidRPr="009232E9" w14:paraId="26696640" w14:textId="77777777" w:rsidTr="006C0A30">
        <w:trPr>
          <w:trHeight w:val="350"/>
        </w:trPr>
        <w:tc>
          <w:tcPr>
            <w:tcW w:w="826" w:type="pct"/>
            <w:tcBorders>
              <w:top w:val="single" w:sz="4" w:space="0" w:color="auto"/>
              <w:bottom w:val="single" w:sz="4" w:space="0" w:color="auto"/>
            </w:tcBorders>
          </w:tcPr>
          <w:p w14:paraId="26696638" w14:textId="77777777" w:rsidR="00BA2749" w:rsidRPr="009232E9" w:rsidRDefault="00BA2749" w:rsidP="00271AD6">
            <w:pPr>
              <w:pStyle w:val="TX-TableText"/>
            </w:pPr>
            <w:r>
              <w:t>Examining c</w:t>
            </w:r>
            <w:r w:rsidRPr="009232E9">
              <w:t>onsent forms for participation</w:t>
            </w:r>
            <w:r>
              <w:t xml:space="preserve"> in PATH Study</w:t>
            </w:r>
          </w:p>
        </w:tc>
        <w:tc>
          <w:tcPr>
            <w:tcW w:w="689" w:type="pct"/>
            <w:tcBorders>
              <w:top w:val="single" w:sz="4" w:space="0" w:color="auto"/>
              <w:bottom w:val="single" w:sz="4" w:space="0" w:color="auto"/>
            </w:tcBorders>
            <w:vAlign w:val="center"/>
          </w:tcPr>
          <w:p w14:paraId="26696639" w14:textId="77777777" w:rsidR="00BA2749" w:rsidRPr="009232E9" w:rsidRDefault="00BA2749" w:rsidP="00271AD6">
            <w:pPr>
              <w:pStyle w:val="TX-TableText"/>
              <w:jc w:val="center"/>
            </w:pPr>
            <w:r w:rsidRPr="009232E9">
              <w:t>Adult</w:t>
            </w:r>
            <w:r w:rsidR="00D43D87">
              <w:t>s</w:t>
            </w:r>
          </w:p>
        </w:tc>
        <w:tc>
          <w:tcPr>
            <w:tcW w:w="688" w:type="pct"/>
            <w:tcBorders>
              <w:top w:val="single" w:sz="4" w:space="0" w:color="auto"/>
              <w:bottom w:val="single" w:sz="4" w:space="0" w:color="auto"/>
            </w:tcBorders>
            <w:vAlign w:val="center"/>
          </w:tcPr>
          <w:p w14:paraId="2669663A" w14:textId="77777777" w:rsidR="00BA2749" w:rsidRPr="009232E9" w:rsidRDefault="00BA2749" w:rsidP="00271AD6">
            <w:pPr>
              <w:pStyle w:val="TX-TableText"/>
              <w:tabs>
                <w:tab w:val="decimal" w:pos="799"/>
              </w:tabs>
              <w:jc w:val="center"/>
            </w:pPr>
            <w:r w:rsidRPr="009232E9">
              <w:rPr>
                <w:rFonts w:cs="Calibri"/>
                <w:color w:val="000000"/>
              </w:rPr>
              <w:t>200</w:t>
            </w:r>
          </w:p>
        </w:tc>
        <w:tc>
          <w:tcPr>
            <w:tcW w:w="646" w:type="pct"/>
            <w:tcBorders>
              <w:top w:val="single" w:sz="4" w:space="0" w:color="auto"/>
              <w:bottom w:val="single" w:sz="4" w:space="0" w:color="auto"/>
            </w:tcBorders>
            <w:vAlign w:val="center"/>
          </w:tcPr>
          <w:p w14:paraId="2669663B" w14:textId="77777777" w:rsidR="00BA2749" w:rsidRPr="009232E9" w:rsidRDefault="00BA2749" w:rsidP="00271AD6">
            <w:pPr>
              <w:pStyle w:val="TX-TableText"/>
              <w:tabs>
                <w:tab w:val="decimal" w:pos="460"/>
              </w:tabs>
              <w:jc w:val="center"/>
            </w:pPr>
            <w:r w:rsidRPr="009232E9">
              <w:t>1</w:t>
            </w:r>
          </w:p>
        </w:tc>
        <w:tc>
          <w:tcPr>
            <w:tcW w:w="637" w:type="pct"/>
            <w:tcBorders>
              <w:top w:val="single" w:sz="4" w:space="0" w:color="auto"/>
              <w:bottom w:val="single" w:sz="4" w:space="0" w:color="auto"/>
            </w:tcBorders>
            <w:vAlign w:val="center"/>
          </w:tcPr>
          <w:p w14:paraId="2669663C" w14:textId="77777777" w:rsidR="00BA2749" w:rsidRPr="009232E9" w:rsidRDefault="00BA2749" w:rsidP="00271AD6">
            <w:pPr>
              <w:pStyle w:val="TX-TableText"/>
              <w:tabs>
                <w:tab w:val="decimal" w:pos="0"/>
              </w:tabs>
              <w:jc w:val="center"/>
            </w:pPr>
            <w:r>
              <w:t>9</w:t>
            </w:r>
            <w:r w:rsidRPr="009232E9">
              <w:t>0/60</w:t>
            </w:r>
          </w:p>
        </w:tc>
        <w:tc>
          <w:tcPr>
            <w:tcW w:w="459" w:type="pct"/>
            <w:gridSpan w:val="2"/>
            <w:tcBorders>
              <w:top w:val="single" w:sz="4" w:space="0" w:color="auto"/>
              <w:bottom w:val="single" w:sz="4" w:space="0" w:color="auto"/>
            </w:tcBorders>
            <w:vAlign w:val="center"/>
          </w:tcPr>
          <w:p w14:paraId="2669663D" w14:textId="77777777" w:rsidR="00BA2749" w:rsidRPr="009232E9" w:rsidRDefault="00BA2749" w:rsidP="00271AD6">
            <w:pPr>
              <w:pStyle w:val="TX-TableText"/>
              <w:tabs>
                <w:tab w:val="decimal" w:pos="502"/>
              </w:tabs>
              <w:jc w:val="center"/>
            </w:pPr>
            <w:r w:rsidRPr="009232E9">
              <w:rPr>
                <w:rFonts w:cs="Calibri"/>
                <w:color w:val="000000"/>
              </w:rPr>
              <w:t>300</w:t>
            </w:r>
          </w:p>
        </w:tc>
        <w:tc>
          <w:tcPr>
            <w:tcW w:w="459" w:type="pct"/>
            <w:gridSpan w:val="3"/>
            <w:tcBorders>
              <w:top w:val="single" w:sz="4" w:space="0" w:color="auto"/>
              <w:bottom w:val="single" w:sz="4" w:space="0" w:color="auto"/>
            </w:tcBorders>
            <w:vAlign w:val="center"/>
          </w:tcPr>
          <w:p w14:paraId="2669663E" w14:textId="77777777" w:rsidR="00BA2749" w:rsidRPr="009232E9" w:rsidRDefault="00BA2749" w:rsidP="00271AD6">
            <w:pPr>
              <w:pStyle w:val="TX-TableText"/>
              <w:tabs>
                <w:tab w:val="decimal" w:pos="339"/>
              </w:tabs>
              <w:jc w:val="center"/>
            </w:pPr>
            <w:r w:rsidRPr="009232E9">
              <w:t>$17.09</w:t>
            </w:r>
          </w:p>
        </w:tc>
        <w:tc>
          <w:tcPr>
            <w:tcW w:w="596" w:type="pct"/>
            <w:tcBorders>
              <w:top w:val="single" w:sz="4" w:space="0" w:color="auto"/>
              <w:bottom w:val="single" w:sz="4" w:space="0" w:color="auto"/>
            </w:tcBorders>
            <w:vAlign w:val="center"/>
          </w:tcPr>
          <w:p w14:paraId="2669663F" w14:textId="77777777" w:rsidR="00BA2749" w:rsidRPr="009232E9" w:rsidRDefault="00BA2749" w:rsidP="00271AD6">
            <w:pPr>
              <w:pStyle w:val="TX-TableText"/>
              <w:tabs>
                <w:tab w:val="decimal" w:pos="828"/>
              </w:tabs>
              <w:jc w:val="center"/>
            </w:pPr>
            <w:r w:rsidRPr="009232E9">
              <w:rPr>
                <w:rFonts w:cs="Calibri"/>
                <w:color w:val="000000"/>
              </w:rPr>
              <w:t>$5,127</w:t>
            </w:r>
          </w:p>
        </w:tc>
      </w:tr>
      <w:tr w:rsidR="006C0A30" w:rsidRPr="009232E9" w14:paraId="26696649" w14:textId="77777777" w:rsidTr="006C0A30">
        <w:trPr>
          <w:trHeight w:val="350"/>
        </w:trPr>
        <w:tc>
          <w:tcPr>
            <w:tcW w:w="826" w:type="pct"/>
            <w:tcBorders>
              <w:bottom w:val="single" w:sz="4" w:space="0" w:color="auto"/>
            </w:tcBorders>
          </w:tcPr>
          <w:p w14:paraId="26696641" w14:textId="77777777" w:rsidR="00BA2749" w:rsidRPr="009232E9" w:rsidRDefault="00BA2749" w:rsidP="00D24673">
            <w:pPr>
              <w:pStyle w:val="TX-TableText"/>
              <w:spacing w:before="120"/>
            </w:pPr>
            <w:r>
              <w:t>Examining o</w:t>
            </w:r>
            <w:r w:rsidRPr="009232E9">
              <w:t xml:space="preserve">ther forms and materials to support </w:t>
            </w:r>
            <w:r>
              <w:t xml:space="preserve">PATH Study </w:t>
            </w:r>
            <w:r w:rsidRPr="009232E9">
              <w:t>data collection*</w:t>
            </w:r>
          </w:p>
        </w:tc>
        <w:tc>
          <w:tcPr>
            <w:tcW w:w="689" w:type="pct"/>
            <w:tcBorders>
              <w:bottom w:val="single" w:sz="4" w:space="0" w:color="auto"/>
            </w:tcBorders>
            <w:vAlign w:val="center"/>
          </w:tcPr>
          <w:p w14:paraId="26696642" w14:textId="77777777" w:rsidR="00BA2749" w:rsidRPr="009232E9" w:rsidRDefault="00BA2749" w:rsidP="00697847">
            <w:pPr>
              <w:pStyle w:val="TX-TableText"/>
              <w:spacing w:before="120"/>
              <w:jc w:val="center"/>
            </w:pPr>
            <w:r w:rsidRPr="009232E9">
              <w:t>Adult</w:t>
            </w:r>
            <w:r w:rsidR="00D43D87">
              <w:t>s</w:t>
            </w:r>
          </w:p>
        </w:tc>
        <w:tc>
          <w:tcPr>
            <w:tcW w:w="688" w:type="pct"/>
            <w:tcBorders>
              <w:bottom w:val="single" w:sz="4" w:space="0" w:color="auto"/>
            </w:tcBorders>
            <w:vAlign w:val="center"/>
          </w:tcPr>
          <w:p w14:paraId="26696643" w14:textId="77777777" w:rsidR="00BA2749" w:rsidRPr="009232E9" w:rsidRDefault="00BA2749" w:rsidP="00697847">
            <w:pPr>
              <w:pStyle w:val="TX-TableText"/>
              <w:tabs>
                <w:tab w:val="decimal" w:pos="799"/>
              </w:tabs>
              <w:spacing w:before="120"/>
              <w:jc w:val="center"/>
            </w:pPr>
            <w:r w:rsidRPr="009232E9">
              <w:rPr>
                <w:rFonts w:cs="Calibri"/>
                <w:color w:val="000000"/>
              </w:rPr>
              <w:t>200</w:t>
            </w:r>
          </w:p>
        </w:tc>
        <w:tc>
          <w:tcPr>
            <w:tcW w:w="646" w:type="pct"/>
            <w:tcBorders>
              <w:bottom w:val="single" w:sz="4" w:space="0" w:color="auto"/>
            </w:tcBorders>
            <w:vAlign w:val="center"/>
          </w:tcPr>
          <w:p w14:paraId="26696644" w14:textId="77777777" w:rsidR="00BA2749" w:rsidRPr="009232E9" w:rsidRDefault="00BA2749" w:rsidP="00697847">
            <w:pPr>
              <w:pStyle w:val="TX-TableText"/>
              <w:tabs>
                <w:tab w:val="decimal" w:pos="460"/>
              </w:tabs>
              <w:spacing w:before="120"/>
              <w:jc w:val="center"/>
            </w:pPr>
            <w:r w:rsidRPr="009232E9">
              <w:t>1</w:t>
            </w:r>
          </w:p>
        </w:tc>
        <w:tc>
          <w:tcPr>
            <w:tcW w:w="637" w:type="pct"/>
            <w:tcBorders>
              <w:bottom w:val="single" w:sz="4" w:space="0" w:color="auto"/>
            </w:tcBorders>
            <w:vAlign w:val="center"/>
          </w:tcPr>
          <w:p w14:paraId="26696645" w14:textId="77777777" w:rsidR="00BA2749" w:rsidRPr="009232E9" w:rsidRDefault="00BA2749" w:rsidP="00697847">
            <w:pPr>
              <w:pStyle w:val="TX-TableText"/>
              <w:spacing w:before="120"/>
              <w:jc w:val="center"/>
            </w:pPr>
            <w:r>
              <w:t>9</w:t>
            </w:r>
            <w:r w:rsidRPr="009232E9">
              <w:t>0/60</w:t>
            </w:r>
          </w:p>
        </w:tc>
        <w:tc>
          <w:tcPr>
            <w:tcW w:w="459" w:type="pct"/>
            <w:gridSpan w:val="2"/>
            <w:tcBorders>
              <w:bottom w:val="single" w:sz="4" w:space="0" w:color="auto"/>
            </w:tcBorders>
            <w:vAlign w:val="center"/>
          </w:tcPr>
          <w:p w14:paraId="26696646" w14:textId="77777777" w:rsidR="00BA2749" w:rsidRPr="009232E9" w:rsidRDefault="00BA2749" w:rsidP="00697847">
            <w:pPr>
              <w:pStyle w:val="TX-TableText"/>
              <w:tabs>
                <w:tab w:val="decimal" w:pos="502"/>
              </w:tabs>
              <w:spacing w:before="120"/>
              <w:jc w:val="center"/>
            </w:pPr>
            <w:r w:rsidRPr="009232E9">
              <w:rPr>
                <w:rFonts w:cs="Calibri"/>
                <w:color w:val="000000"/>
              </w:rPr>
              <w:t>300</w:t>
            </w:r>
          </w:p>
        </w:tc>
        <w:tc>
          <w:tcPr>
            <w:tcW w:w="459" w:type="pct"/>
            <w:gridSpan w:val="3"/>
            <w:tcBorders>
              <w:bottom w:val="single" w:sz="4" w:space="0" w:color="auto"/>
            </w:tcBorders>
            <w:vAlign w:val="center"/>
          </w:tcPr>
          <w:p w14:paraId="26696647" w14:textId="77777777" w:rsidR="00BA2749" w:rsidRPr="009232E9" w:rsidRDefault="00BA2749" w:rsidP="00697847">
            <w:pPr>
              <w:pStyle w:val="TX-TableText"/>
              <w:tabs>
                <w:tab w:val="decimal" w:pos="339"/>
              </w:tabs>
              <w:spacing w:before="120"/>
              <w:jc w:val="center"/>
            </w:pPr>
            <w:r w:rsidRPr="009232E9">
              <w:t>$17.09</w:t>
            </w:r>
          </w:p>
        </w:tc>
        <w:tc>
          <w:tcPr>
            <w:tcW w:w="596" w:type="pct"/>
            <w:tcBorders>
              <w:bottom w:val="single" w:sz="4" w:space="0" w:color="auto"/>
            </w:tcBorders>
            <w:vAlign w:val="center"/>
          </w:tcPr>
          <w:p w14:paraId="26696648" w14:textId="77777777" w:rsidR="00BA2749" w:rsidRPr="009232E9" w:rsidRDefault="00BA2749" w:rsidP="00697847">
            <w:pPr>
              <w:pStyle w:val="TX-TableText"/>
              <w:tabs>
                <w:tab w:val="decimal" w:pos="828"/>
              </w:tabs>
              <w:spacing w:before="120"/>
              <w:jc w:val="center"/>
            </w:pPr>
            <w:r w:rsidRPr="009232E9">
              <w:rPr>
                <w:rFonts w:cs="Calibri"/>
                <w:color w:val="000000"/>
              </w:rPr>
              <w:t>$5,127</w:t>
            </w:r>
          </w:p>
        </w:tc>
      </w:tr>
      <w:tr w:rsidR="006C0A30" w:rsidRPr="009232E9" w14:paraId="26696652" w14:textId="77777777" w:rsidTr="006C0A30">
        <w:trPr>
          <w:trHeight w:val="350"/>
        </w:trPr>
        <w:tc>
          <w:tcPr>
            <w:tcW w:w="826" w:type="pct"/>
            <w:vMerge w:val="restart"/>
            <w:tcBorders>
              <w:top w:val="single" w:sz="4" w:space="0" w:color="auto"/>
              <w:bottom w:val="nil"/>
            </w:tcBorders>
          </w:tcPr>
          <w:p w14:paraId="2669664A" w14:textId="77777777" w:rsidR="00BA2749" w:rsidRPr="009232E9" w:rsidRDefault="00BA2749" w:rsidP="00BE6E35">
            <w:pPr>
              <w:pStyle w:val="TX-TableText"/>
              <w:spacing w:before="120"/>
            </w:pPr>
            <w:r>
              <w:t>Examining PATH Study q</w:t>
            </w:r>
            <w:r w:rsidRPr="009232E9">
              <w:t>uestionnaire</w:t>
            </w:r>
            <w:r>
              <w:t>s</w:t>
            </w:r>
          </w:p>
        </w:tc>
        <w:tc>
          <w:tcPr>
            <w:tcW w:w="689" w:type="pct"/>
            <w:tcBorders>
              <w:top w:val="single" w:sz="4" w:space="0" w:color="auto"/>
              <w:bottom w:val="nil"/>
            </w:tcBorders>
            <w:vAlign w:val="center"/>
          </w:tcPr>
          <w:p w14:paraId="2669664B" w14:textId="77777777" w:rsidR="00BA2749" w:rsidRPr="009232E9" w:rsidRDefault="00BA2749" w:rsidP="00697847">
            <w:pPr>
              <w:pStyle w:val="TX-TableText"/>
              <w:spacing w:before="120"/>
              <w:jc w:val="center"/>
            </w:pPr>
            <w:r w:rsidRPr="009232E9">
              <w:t>Youth</w:t>
            </w:r>
          </w:p>
        </w:tc>
        <w:tc>
          <w:tcPr>
            <w:tcW w:w="688" w:type="pct"/>
            <w:tcBorders>
              <w:top w:val="single" w:sz="4" w:space="0" w:color="auto"/>
              <w:bottom w:val="nil"/>
            </w:tcBorders>
            <w:vAlign w:val="center"/>
          </w:tcPr>
          <w:p w14:paraId="2669664C" w14:textId="77777777" w:rsidR="00BA2749" w:rsidRPr="009232E9" w:rsidRDefault="00BA2749" w:rsidP="00697847">
            <w:pPr>
              <w:pStyle w:val="TX-TableText"/>
              <w:tabs>
                <w:tab w:val="decimal" w:pos="799"/>
              </w:tabs>
              <w:spacing w:before="120"/>
              <w:jc w:val="center"/>
            </w:pPr>
            <w:r w:rsidRPr="009232E9">
              <w:rPr>
                <w:rFonts w:cs="Calibri"/>
                <w:color w:val="000000"/>
              </w:rPr>
              <w:t>100</w:t>
            </w:r>
          </w:p>
        </w:tc>
        <w:tc>
          <w:tcPr>
            <w:tcW w:w="646" w:type="pct"/>
            <w:tcBorders>
              <w:top w:val="single" w:sz="4" w:space="0" w:color="auto"/>
              <w:bottom w:val="nil"/>
            </w:tcBorders>
            <w:vAlign w:val="center"/>
          </w:tcPr>
          <w:p w14:paraId="2669664D" w14:textId="77777777" w:rsidR="00BA2749" w:rsidRPr="009232E9" w:rsidRDefault="00BA2749" w:rsidP="00697847">
            <w:pPr>
              <w:pStyle w:val="TX-TableText"/>
              <w:tabs>
                <w:tab w:val="decimal" w:pos="460"/>
              </w:tabs>
              <w:spacing w:before="120"/>
              <w:jc w:val="center"/>
            </w:pPr>
            <w:r w:rsidRPr="009232E9">
              <w:t>1</w:t>
            </w:r>
          </w:p>
        </w:tc>
        <w:tc>
          <w:tcPr>
            <w:tcW w:w="637" w:type="pct"/>
            <w:tcBorders>
              <w:top w:val="single" w:sz="4" w:space="0" w:color="auto"/>
              <w:bottom w:val="nil"/>
            </w:tcBorders>
            <w:vAlign w:val="center"/>
          </w:tcPr>
          <w:p w14:paraId="2669664E" w14:textId="77777777" w:rsidR="00BA2749" w:rsidRPr="009232E9" w:rsidRDefault="00BA2749" w:rsidP="00697847">
            <w:pPr>
              <w:pStyle w:val="TX-TableText"/>
              <w:tabs>
                <w:tab w:val="decimal" w:pos="0"/>
              </w:tabs>
              <w:spacing w:before="120"/>
              <w:jc w:val="center"/>
            </w:pPr>
            <w:r>
              <w:t>9</w:t>
            </w:r>
            <w:r w:rsidRPr="009232E9">
              <w:t>0/60</w:t>
            </w:r>
          </w:p>
        </w:tc>
        <w:tc>
          <w:tcPr>
            <w:tcW w:w="459" w:type="pct"/>
            <w:gridSpan w:val="2"/>
            <w:tcBorders>
              <w:top w:val="single" w:sz="4" w:space="0" w:color="auto"/>
              <w:bottom w:val="nil"/>
            </w:tcBorders>
            <w:vAlign w:val="center"/>
          </w:tcPr>
          <w:p w14:paraId="2669664F" w14:textId="77777777" w:rsidR="00BA2749" w:rsidRPr="009232E9" w:rsidRDefault="00BA2749" w:rsidP="00697847">
            <w:pPr>
              <w:pStyle w:val="TX-TableText"/>
              <w:tabs>
                <w:tab w:val="decimal" w:pos="502"/>
              </w:tabs>
              <w:spacing w:before="120"/>
              <w:jc w:val="center"/>
            </w:pPr>
            <w:r w:rsidRPr="009232E9">
              <w:rPr>
                <w:rFonts w:cs="Calibri"/>
                <w:color w:val="000000"/>
              </w:rPr>
              <w:t>150</w:t>
            </w:r>
          </w:p>
        </w:tc>
        <w:tc>
          <w:tcPr>
            <w:tcW w:w="459" w:type="pct"/>
            <w:gridSpan w:val="3"/>
            <w:tcBorders>
              <w:top w:val="single" w:sz="4" w:space="0" w:color="auto"/>
              <w:bottom w:val="nil"/>
            </w:tcBorders>
            <w:vAlign w:val="center"/>
          </w:tcPr>
          <w:p w14:paraId="26696650" w14:textId="77777777" w:rsidR="00BA2749" w:rsidRPr="009232E9" w:rsidRDefault="00BA2749" w:rsidP="00697847">
            <w:pPr>
              <w:pStyle w:val="TX-TableText"/>
              <w:tabs>
                <w:tab w:val="decimal" w:pos="339"/>
              </w:tabs>
              <w:spacing w:before="120"/>
              <w:jc w:val="center"/>
            </w:pPr>
            <w:r w:rsidRPr="009232E9">
              <w:t>$4.25</w:t>
            </w:r>
          </w:p>
        </w:tc>
        <w:tc>
          <w:tcPr>
            <w:tcW w:w="596" w:type="pct"/>
            <w:tcBorders>
              <w:top w:val="single" w:sz="4" w:space="0" w:color="auto"/>
              <w:bottom w:val="nil"/>
            </w:tcBorders>
            <w:vAlign w:val="center"/>
          </w:tcPr>
          <w:p w14:paraId="26696651" w14:textId="77777777" w:rsidR="00BA2749" w:rsidRPr="009232E9" w:rsidRDefault="00BA2749" w:rsidP="00697847">
            <w:pPr>
              <w:pStyle w:val="TX-TableText"/>
              <w:tabs>
                <w:tab w:val="decimal" w:pos="828"/>
              </w:tabs>
              <w:spacing w:before="120"/>
              <w:jc w:val="center"/>
            </w:pPr>
            <w:r w:rsidRPr="009232E9">
              <w:rPr>
                <w:rFonts w:cs="Calibri"/>
                <w:color w:val="000000"/>
              </w:rPr>
              <w:t>$638</w:t>
            </w:r>
          </w:p>
        </w:tc>
      </w:tr>
      <w:tr w:rsidR="006C0A30" w:rsidRPr="009232E9" w14:paraId="2669665B" w14:textId="77777777" w:rsidTr="006C0A30">
        <w:trPr>
          <w:trHeight w:val="350"/>
        </w:trPr>
        <w:tc>
          <w:tcPr>
            <w:tcW w:w="826" w:type="pct"/>
            <w:vMerge/>
            <w:tcBorders>
              <w:top w:val="nil"/>
              <w:bottom w:val="single" w:sz="4" w:space="0" w:color="auto"/>
            </w:tcBorders>
          </w:tcPr>
          <w:p w14:paraId="26696653" w14:textId="77777777" w:rsidR="00492EF7" w:rsidRPr="009232E9" w:rsidRDefault="00492EF7" w:rsidP="00E92610">
            <w:pPr>
              <w:pStyle w:val="TX-TableText"/>
            </w:pPr>
          </w:p>
        </w:tc>
        <w:tc>
          <w:tcPr>
            <w:tcW w:w="689" w:type="pct"/>
            <w:tcBorders>
              <w:top w:val="nil"/>
              <w:bottom w:val="single" w:sz="4" w:space="0" w:color="auto"/>
            </w:tcBorders>
            <w:vAlign w:val="center"/>
          </w:tcPr>
          <w:p w14:paraId="26696654" w14:textId="77777777" w:rsidR="00492EF7" w:rsidRPr="009232E9" w:rsidRDefault="00492EF7" w:rsidP="00697847">
            <w:pPr>
              <w:pStyle w:val="TX-TableText"/>
              <w:jc w:val="center"/>
            </w:pPr>
            <w:r w:rsidRPr="009232E9">
              <w:t>Adult</w:t>
            </w:r>
            <w:r w:rsidR="00D43D87">
              <w:t>s</w:t>
            </w:r>
          </w:p>
        </w:tc>
        <w:tc>
          <w:tcPr>
            <w:tcW w:w="688" w:type="pct"/>
            <w:tcBorders>
              <w:top w:val="nil"/>
              <w:bottom w:val="single" w:sz="4" w:space="0" w:color="auto"/>
            </w:tcBorders>
            <w:vAlign w:val="center"/>
          </w:tcPr>
          <w:p w14:paraId="26696655" w14:textId="77777777" w:rsidR="00492EF7" w:rsidRPr="009232E9" w:rsidRDefault="00492EF7" w:rsidP="00697847">
            <w:pPr>
              <w:pStyle w:val="TX-TableText"/>
              <w:tabs>
                <w:tab w:val="decimal" w:pos="799"/>
              </w:tabs>
              <w:jc w:val="center"/>
            </w:pPr>
            <w:r w:rsidRPr="009232E9">
              <w:rPr>
                <w:rFonts w:cs="Calibri"/>
                <w:color w:val="000000"/>
              </w:rPr>
              <w:t>300</w:t>
            </w:r>
          </w:p>
        </w:tc>
        <w:tc>
          <w:tcPr>
            <w:tcW w:w="646" w:type="pct"/>
            <w:tcBorders>
              <w:top w:val="nil"/>
              <w:bottom w:val="single" w:sz="4" w:space="0" w:color="auto"/>
            </w:tcBorders>
            <w:vAlign w:val="center"/>
          </w:tcPr>
          <w:p w14:paraId="26696656" w14:textId="77777777" w:rsidR="00492EF7" w:rsidRPr="009232E9" w:rsidRDefault="00492EF7" w:rsidP="00697847">
            <w:pPr>
              <w:pStyle w:val="TX-TableText"/>
              <w:tabs>
                <w:tab w:val="decimal" w:pos="460"/>
              </w:tabs>
              <w:jc w:val="center"/>
            </w:pPr>
            <w:r w:rsidRPr="009232E9">
              <w:t>1</w:t>
            </w:r>
          </w:p>
        </w:tc>
        <w:tc>
          <w:tcPr>
            <w:tcW w:w="637" w:type="pct"/>
            <w:tcBorders>
              <w:top w:val="nil"/>
              <w:bottom w:val="single" w:sz="4" w:space="0" w:color="auto"/>
            </w:tcBorders>
            <w:vAlign w:val="center"/>
          </w:tcPr>
          <w:p w14:paraId="26696657" w14:textId="77777777" w:rsidR="00492EF7" w:rsidRPr="009232E9" w:rsidRDefault="008C46CF" w:rsidP="00697847">
            <w:pPr>
              <w:pStyle w:val="TX-TableText"/>
              <w:tabs>
                <w:tab w:val="decimal" w:pos="0"/>
              </w:tabs>
              <w:jc w:val="center"/>
            </w:pPr>
            <w:r>
              <w:t>9</w:t>
            </w:r>
            <w:r w:rsidR="00492EF7" w:rsidRPr="009232E9">
              <w:t>0/60</w:t>
            </w:r>
          </w:p>
        </w:tc>
        <w:tc>
          <w:tcPr>
            <w:tcW w:w="459" w:type="pct"/>
            <w:gridSpan w:val="2"/>
            <w:tcBorders>
              <w:top w:val="nil"/>
              <w:bottom w:val="single" w:sz="4" w:space="0" w:color="auto"/>
            </w:tcBorders>
            <w:vAlign w:val="center"/>
          </w:tcPr>
          <w:p w14:paraId="26696658" w14:textId="77777777" w:rsidR="00492EF7" w:rsidRPr="009232E9" w:rsidRDefault="00492EF7" w:rsidP="00697847">
            <w:pPr>
              <w:pStyle w:val="TX-TableText"/>
              <w:tabs>
                <w:tab w:val="decimal" w:pos="502"/>
              </w:tabs>
              <w:jc w:val="center"/>
            </w:pPr>
            <w:r w:rsidRPr="009232E9">
              <w:rPr>
                <w:rFonts w:cs="Calibri"/>
                <w:color w:val="000000"/>
              </w:rPr>
              <w:t>450</w:t>
            </w:r>
          </w:p>
        </w:tc>
        <w:tc>
          <w:tcPr>
            <w:tcW w:w="459" w:type="pct"/>
            <w:gridSpan w:val="3"/>
            <w:tcBorders>
              <w:top w:val="nil"/>
              <w:bottom w:val="single" w:sz="4" w:space="0" w:color="auto"/>
            </w:tcBorders>
            <w:vAlign w:val="center"/>
          </w:tcPr>
          <w:p w14:paraId="26696659" w14:textId="77777777" w:rsidR="00492EF7" w:rsidRPr="009232E9" w:rsidRDefault="00492EF7" w:rsidP="00697847">
            <w:pPr>
              <w:pStyle w:val="TX-TableText"/>
              <w:tabs>
                <w:tab w:val="decimal" w:pos="339"/>
              </w:tabs>
              <w:jc w:val="center"/>
            </w:pPr>
            <w:r w:rsidRPr="009232E9">
              <w:t>$</w:t>
            </w:r>
            <w:r w:rsidR="007F1296" w:rsidRPr="009232E9">
              <w:t>17.09</w:t>
            </w:r>
          </w:p>
        </w:tc>
        <w:tc>
          <w:tcPr>
            <w:tcW w:w="596" w:type="pct"/>
            <w:tcBorders>
              <w:top w:val="nil"/>
              <w:bottom w:val="single" w:sz="4" w:space="0" w:color="auto"/>
            </w:tcBorders>
            <w:vAlign w:val="center"/>
          </w:tcPr>
          <w:p w14:paraId="2669665A" w14:textId="77777777" w:rsidR="00492EF7" w:rsidRPr="009232E9" w:rsidRDefault="00492EF7" w:rsidP="00697847">
            <w:pPr>
              <w:pStyle w:val="TX-TableText"/>
              <w:tabs>
                <w:tab w:val="decimal" w:pos="828"/>
              </w:tabs>
              <w:jc w:val="center"/>
            </w:pPr>
            <w:r w:rsidRPr="009232E9">
              <w:rPr>
                <w:rFonts w:cs="Calibri"/>
                <w:color w:val="000000"/>
              </w:rPr>
              <w:t>$</w:t>
            </w:r>
            <w:r w:rsidR="00FF25B8" w:rsidRPr="009232E9">
              <w:rPr>
                <w:rFonts w:cs="Calibri"/>
                <w:color w:val="000000"/>
              </w:rPr>
              <w:t>7,691</w:t>
            </w:r>
          </w:p>
        </w:tc>
      </w:tr>
      <w:tr w:rsidR="006C0A30" w:rsidRPr="009232E9" w14:paraId="26696664" w14:textId="77777777" w:rsidTr="006C0A30">
        <w:trPr>
          <w:trHeight w:val="350"/>
        </w:trPr>
        <w:tc>
          <w:tcPr>
            <w:tcW w:w="826" w:type="pct"/>
            <w:tcBorders>
              <w:top w:val="single" w:sz="4" w:space="0" w:color="auto"/>
              <w:bottom w:val="single" w:sz="4" w:space="0" w:color="auto"/>
            </w:tcBorders>
          </w:tcPr>
          <w:p w14:paraId="2669665C" w14:textId="77777777" w:rsidR="00492EF7" w:rsidRPr="009232E9" w:rsidRDefault="009232E9" w:rsidP="00E92610">
            <w:pPr>
              <w:pStyle w:val="TX-TableText"/>
              <w:spacing w:before="120"/>
            </w:pPr>
            <w:r w:rsidRPr="009232E9">
              <w:t>Total</w:t>
            </w:r>
          </w:p>
        </w:tc>
        <w:tc>
          <w:tcPr>
            <w:tcW w:w="689" w:type="pct"/>
            <w:tcBorders>
              <w:top w:val="single" w:sz="4" w:space="0" w:color="auto"/>
              <w:bottom w:val="single" w:sz="4" w:space="0" w:color="auto"/>
            </w:tcBorders>
            <w:vAlign w:val="center"/>
          </w:tcPr>
          <w:p w14:paraId="2669665D" w14:textId="77777777" w:rsidR="00492EF7" w:rsidRPr="009232E9" w:rsidRDefault="00492EF7" w:rsidP="00697847">
            <w:pPr>
              <w:pStyle w:val="TX-TableText"/>
              <w:spacing w:before="120"/>
              <w:jc w:val="center"/>
            </w:pPr>
          </w:p>
        </w:tc>
        <w:tc>
          <w:tcPr>
            <w:tcW w:w="688" w:type="pct"/>
            <w:tcBorders>
              <w:top w:val="single" w:sz="4" w:space="0" w:color="auto"/>
              <w:bottom w:val="single" w:sz="4" w:space="0" w:color="auto"/>
            </w:tcBorders>
            <w:vAlign w:val="center"/>
          </w:tcPr>
          <w:p w14:paraId="2669665E" w14:textId="77777777" w:rsidR="00492EF7" w:rsidRPr="009232E9" w:rsidRDefault="00492EF7" w:rsidP="00D6187D">
            <w:pPr>
              <w:pStyle w:val="TX-TableText"/>
              <w:tabs>
                <w:tab w:val="decimal" w:pos="799"/>
              </w:tabs>
              <w:spacing w:before="120"/>
              <w:jc w:val="center"/>
            </w:pPr>
          </w:p>
        </w:tc>
        <w:tc>
          <w:tcPr>
            <w:tcW w:w="646" w:type="pct"/>
            <w:tcBorders>
              <w:top w:val="single" w:sz="4" w:space="0" w:color="auto"/>
              <w:bottom w:val="single" w:sz="4" w:space="0" w:color="auto"/>
            </w:tcBorders>
            <w:vAlign w:val="center"/>
          </w:tcPr>
          <w:p w14:paraId="2669665F" w14:textId="77777777" w:rsidR="00492EF7" w:rsidRPr="009232E9" w:rsidRDefault="00492EF7" w:rsidP="00697847">
            <w:pPr>
              <w:pStyle w:val="TX-TableText"/>
              <w:tabs>
                <w:tab w:val="decimal" w:pos="460"/>
              </w:tabs>
              <w:spacing w:before="120"/>
              <w:jc w:val="center"/>
            </w:pPr>
          </w:p>
        </w:tc>
        <w:tc>
          <w:tcPr>
            <w:tcW w:w="637" w:type="pct"/>
            <w:tcBorders>
              <w:top w:val="single" w:sz="4" w:space="0" w:color="auto"/>
              <w:bottom w:val="single" w:sz="4" w:space="0" w:color="auto"/>
            </w:tcBorders>
            <w:vAlign w:val="center"/>
          </w:tcPr>
          <w:p w14:paraId="26696660" w14:textId="77777777" w:rsidR="00492EF7" w:rsidRPr="009232E9" w:rsidRDefault="00492EF7" w:rsidP="00697847">
            <w:pPr>
              <w:pStyle w:val="TX-TableText"/>
              <w:tabs>
                <w:tab w:val="decimal" w:pos="0"/>
              </w:tabs>
              <w:spacing w:before="120"/>
              <w:jc w:val="center"/>
            </w:pPr>
          </w:p>
        </w:tc>
        <w:tc>
          <w:tcPr>
            <w:tcW w:w="459" w:type="pct"/>
            <w:gridSpan w:val="2"/>
            <w:tcBorders>
              <w:top w:val="single" w:sz="4" w:space="0" w:color="auto"/>
              <w:bottom w:val="single" w:sz="4" w:space="0" w:color="auto"/>
            </w:tcBorders>
            <w:vAlign w:val="center"/>
          </w:tcPr>
          <w:p w14:paraId="26696661" w14:textId="77777777" w:rsidR="00492EF7" w:rsidRPr="009232E9" w:rsidRDefault="00492EF7" w:rsidP="00D6187D">
            <w:pPr>
              <w:pStyle w:val="TX-TableText"/>
              <w:tabs>
                <w:tab w:val="decimal" w:pos="502"/>
              </w:tabs>
              <w:spacing w:before="120"/>
              <w:jc w:val="center"/>
            </w:pPr>
          </w:p>
        </w:tc>
        <w:tc>
          <w:tcPr>
            <w:tcW w:w="459" w:type="pct"/>
            <w:gridSpan w:val="3"/>
            <w:tcBorders>
              <w:top w:val="single" w:sz="4" w:space="0" w:color="auto"/>
              <w:bottom w:val="single" w:sz="4" w:space="0" w:color="auto"/>
            </w:tcBorders>
            <w:vAlign w:val="center"/>
          </w:tcPr>
          <w:p w14:paraId="26696662" w14:textId="77777777" w:rsidR="00492EF7" w:rsidRPr="009232E9" w:rsidRDefault="00492EF7" w:rsidP="00697847">
            <w:pPr>
              <w:pStyle w:val="TX-TableText"/>
              <w:tabs>
                <w:tab w:val="decimal" w:pos="339"/>
              </w:tabs>
              <w:spacing w:before="120"/>
              <w:jc w:val="center"/>
            </w:pPr>
          </w:p>
        </w:tc>
        <w:tc>
          <w:tcPr>
            <w:tcW w:w="596" w:type="pct"/>
            <w:tcBorders>
              <w:top w:val="single" w:sz="4" w:space="0" w:color="auto"/>
              <w:bottom w:val="single" w:sz="4" w:space="0" w:color="auto"/>
            </w:tcBorders>
            <w:vAlign w:val="center"/>
          </w:tcPr>
          <w:p w14:paraId="26696663" w14:textId="59A045A8" w:rsidR="00492EF7" w:rsidRPr="009232E9" w:rsidRDefault="00492EF7" w:rsidP="00F51059">
            <w:pPr>
              <w:pStyle w:val="TX-TableText"/>
              <w:tabs>
                <w:tab w:val="decimal" w:pos="828"/>
              </w:tabs>
              <w:spacing w:before="120"/>
              <w:jc w:val="center"/>
            </w:pPr>
            <w:r w:rsidRPr="009232E9">
              <w:rPr>
                <w:rFonts w:cs="Calibri"/>
                <w:color w:val="000000"/>
              </w:rPr>
              <w:t>$</w:t>
            </w:r>
            <w:r w:rsidR="00F51059">
              <w:rPr>
                <w:rFonts w:cs="Calibri"/>
                <w:color w:val="000000"/>
              </w:rPr>
              <w:t>33,594</w:t>
            </w:r>
          </w:p>
        </w:tc>
      </w:tr>
    </w:tbl>
    <w:p w14:paraId="26696665" w14:textId="77777777" w:rsidR="004E6690" w:rsidRPr="009232E9" w:rsidRDefault="004E6690" w:rsidP="004E6690">
      <w:pPr>
        <w:pStyle w:val="L1-FlLSp12"/>
        <w:rPr>
          <w:rFonts w:ascii="Franklin Gothic Medium" w:hAnsi="Franklin Gothic Medium"/>
          <w:sz w:val="20"/>
        </w:rPr>
      </w:pPr>
      <w:r w:rsidRPr="009232E9">
        <w:rPr>
          <w:rFonts w:ascii="Franklin Gothic Medium" w:hAnsi="Franklin Gothic Medium"/>
          <w:sz w:val="20"/>
        </w:rPr>
        <w:t xml:space="preserve">* For example, </w:t>
      </w:r>
      <w:r w:rsidR="00391E38" w:rsidRPr="009232E9">
        <w:rPr>
          <w:rFonts w:ascii="Franklin Gothic Medium" w:hAnsi="Franklin Gothic Medium"/>
          <w:sz w:val="20"/>
        </w:rPr>
        <w:t xml:space="preserve">letters, brochures, or </w:t>
      </w:r>
      <w:r w:rsidRPr="009232E9">
        <w:rPr>
          <w:rFonts w:ascii="Franklin Gothic Medium" w:hAnsi="Franklin Gothic Medium"/>
          <w:sz w:val="20"/>
        </w:rPr>
        <w:t>instructions for collection of biospecimens.</w:t>
      </w:r>
    </w:p>
    <w:p w14:paraId="26696666" w14:textId="77777777" w:rsidR="0095550A" w:rsidRPr="00D96C07" w:rsidRDefault="0095550A" w:rsidP="00A23708">
      <w:pPr>
        <w:pStyle w:val="L1-FlLSp12"/>
      </w:pPr>
    </w:p>
    <w:p w14:paraId="26696667" w14:textId="77777777" w:rsidR="00A23708" w:rsidRPr="00D96C07" w:rsidRDefault="00C22EDB" w:rsidP="00A23708">
      <w:pPr>
        <w:pStyle w:val="L1-FlLSp12"/>
      </w:pPr>
      <w:r w:rsidRPr="00D96C07">
        <w:t>E</w:t>
      </w:r>
      <w:r w:rsidR="006C72BD" w:rsidRPr="00D96C07">
        <w:t xml:space="preserve">stimates for </w:t>
      </w:r>
      <w:r w:rsidRPr="00D96C07">
        <w:t xml:space="preserve">adult </w:t>
      </w:r>
      <w:r w:rsidR="006C72BD" w:rsidRPr="00D96C07">
        <w:t>hourly wage</w:t>
      </w:r>
      <w:r w:rsidRPr="00D96C07">
        <w:t>s</w:t>
      </w:r>
      <w:r w:rsidR="006C72BD" w:rsidRPr="00D96C07">
        <w:t xml:space="preserve"> </w:t>
      </w:r>
      <w:r w:rsidR="007B799C" w:rsidRPr="00D96C07">
        <w:t>are</w:t>
      </w:r>
      <w:r w:rsidR="006C72BD" w:rsidRPr="00D96C07">
        <w:t xml:space="preserve"> based on the national median hourly estimate for all occupations reported in the Bureau of Labor Statistics’ Occupational Employment Statistics, May </w:t>
      </w:r>
      <w:r w:rsidR="007F1296" w:rsidRPr="00D96C07">
        <w:t>2104</w:t>
      </w:r>
      <w:r w:rsidR="006C72BD" w:rsidRPr="00D96C07">
        <w:t xml:space="preserve"> National Occupational Employment and Wage Estimates United States.</w:t>
      </w:r>
      <w:r w:rsidR="00A23708" w:rsidRPr="00D96C07">
        <w:t xml:space="preserve"> </w:t>
      </w:r>
      <w:r w:rsidR="00CD4B06" w:rsidRPr="00D96C07">
        <w:t>(</w:t>
      </w:r>
      <w:r w:rsidR="006C72BD" w:rsidRPr="00D96C07">
        <w:t xml:space="preserve">See </w:t>
      </w:r>
      <w:hyperlink r:id="rId11" w:history="1">
        <w:r w:rsidR="006C72BD" w:rsidRPr="00D96C07">
          <w:rPr>
            <w:rStyle w:val="Hyperlink"/>
          </w:rPr>
          <w:t>http://www.bls.gov/oes/current/oes_nat.htm</w:t>
        </w:r>
      </w:hyperlink>
      <w:r w:rsidR="006C72BD" w:rsidRPr="00D96C07">
        <w:t>.</w:t>
      </w:r>
      <w:r w:rsidR="00CD4B06" w:rsidRPr="00D96C07">
        <w:t>)</w:t>
      </w:r>
      <w:r w:rsidR="00A23708" w:rsidRPr="00D96C07">
        <w:t xml:space="preserve"> </w:t>
      </w:r>
      <w:r w:rsidR="006C72BD" w:rsidRPr="00D96C07">
        <w:t>Estimates for youth hourly wages are based on the federal minimum wage.</w:t>
      </w:r>
      <w:r w:rsidR="00A23708" w:rsidRPr="00D96C07">
        <w:t xml:space="preserve"> </w:t>
      </w:r>
      <w:r w:rsidR="00CD4B06" w:rsidRPr="00D96C07">
        <w:t>(</w:t>
      </w:r>
      <w:r w:rsidR="006C72BD" w:rsidRPr="00D96C07">
        <w:t xml:space="preserve">See </w:t>
      </w:r>
      <w:hyperlink r:id="rId12" w:history="1">
        <w:r w:rsidR="006C72BD" w:rsidRPr="00D96C07">
          <w:rPr>
            <w:rStyle w:val="Hyperlink"/>
          </w:rPr>
          <w:t>http://www.dol.gov/dol/topic/wages/minimumwage.htm</w:t>
        </w:r>
      </w:hyperlink>
      <w:r w:rsidR="006C72BD" w:rsidRPr="00D96C07">
        <w:t>.</w:t>
      </w:r>
      <w:r w:rsidR="00CD4B06" w:rsidRPr="00D96C07">
        <w:t>)</w:t>
      </w:r>
    </w:p>
    <w:p w14:paraId="26696668" w14:textId="77777777" w:rsidR="006C72BD" w:rsidRPr="00D96C07" w:rsidRDefault="006C72BD" w:rsidP="00A23708">
      <w:pPr>
        <w:pStyle w:val="L1-FlLSp12"/>
      </w:pPr>
    </w:p>
    <w:p w14:paraId="26696669" w14:textId="77777777" w:rsidR="00697847" w:rsidRPr="00D96C07" w:rsidRDefault="00697847" w:rsidP="00A23708">
      <w:pPr>
        <w:pStyle w:val="L1-FlLSp12"/>
      </w:pPr>
    </w:p>
    <w:p w14:paraId="2669666A" w14:textId="77777777" w:rsidR="00F97985" w:rsidRPr="00D96C07" w:rsidRDefault="00F97985" w:rsidP="00A23708">
      <w:pPr>
        <w:pStyle w:val="Heading2"/>
      </w:pPr>
      <w:r w:rsidRPr="00D96C07">
        <w:lastRenderedPageBreak/>
        <w:t>A.13</w:t>
      </w:r>
      <w:r w:rsidRPr="00D96C07">
        <w:tab/>
        <w:t xml:space="preserve">Estimate of Other Total Annual Cost Burden </w:t>
      </w:r>
      <w:r w:rsidR="00DE245D" w:rsidRPr="00D96C07">
        <w:t xml:space="preserve">to Respondents </w:t>
      </w:r>
      <w:r w:rsidRPr="00D96C07">
        <w:t>or Record Keepers</w:t>
      </w:r>
    </w:p>
    <w:p w14:paraId="2669666B" w14:textId="77777777" w:rsidR="00F97985" w:rsidRPr="00D96C07" w:rsidRDefault="00F97985" w:rsidP="00A23708">
      <w:pPr>
        <w:pStyle w:val="L1-FlLSp12"/>
      </w:pPr>
      <w:r w:rsidRPr="00D96C07">
        <w:t xml:space="preserve">There is no other annual cost burden to respondents or </w:t>
      </w:r>
      <w:r w:rsidR="00665A6C" w:rsidRPr="00D96C07">
        <w:t>r</w:t>
      </w:r>
      <w:r w:rsidRPr="00D96C07">
        <w:t xml:space="preserve">ecord </w:t>
      </w:r>
      <w:r w:rsidR="00665A6C" w:rsidRPr="00D96C07">
        <w:t>k</w:t>
      </w:r>
      <w:r w:rsidRPr="00D96C07">
        <w:t xml:space="preserve">eepers in </w:t>
      </w:r>
      <w:r w:rsidR="004A6157" w:rsidRPr="00D96C07">
        <w:t>substud</w:t>
      </w:r>
      <w:r w:rsidR="00AF5E73" w:rsidRPr="00D96C07">
        <w:t>ies</w:t>
      </w:r>
      <w:r w:rsidR="00D37A63" w:rsidRPr="00D96C07">
        <w:t xml:space="preserve"> planned under this </w:t>
      </w:r>
      <w:r w:rsidR="00AF5E73" w:rsidRPr="00D96C07">
        <w:t>Generic Clearance</w:t>
      </w:r>
      <w:r w:rsidR="00D37A63" w:rsidRPr="00D96C07">
        <w:t>, nor are there any</w:t>
      </w:r>
      <w:r w:rsidRPr="00D96C07">
        <w:t xml:space="preserve"> capital, operation</w:t>
      </w:r>
      <w:r w:rsidR="00665A6C" w:rsidRPr="00D96C07">
        <w:t>,</w:t>
      </w:r>
      <w:r w:rsidRPr="00D96C07">
        <w:t xml:space="preserve"> or maintenance costs</w:t>
      </w:r>
      <w:r w:rsidR="00D37A63" w:rsidRPr="00D96C07">
        <w:t>.</w:t>
      </w:r>
    </w:p>
    <w:p w14:paraId="2669666C" w14:textId="77777777" w:rsidR="000E5E5F" w:rsidRPr="00D96C07" w:rsidRDefault="000E5E5F" w:rsidP="00A23708">
      <w:pPr>
        <w:pStyle w:val="L1-FlLSp12"/>
      </w:pPr>
    </w:p>
    <w:p w14:paraId="2669666D" w14:textId="77777777" w:rsidR="000E5E5F" w:rsidRPr="00D96C07" w:rsidRDefault="000E5E5F" w:rsidP="00A23708">
      <w:pPr>
        <w:pStyle w:val="L1-FlLSp12"/>
      </w:pPr>
    </w:p>
    <w:p w14:paraId="2669666E" w14:textId="77777777" w:rsidR="00F97985" w:rsidRPr="00D96C07" w:rsidRDefault="00F97985" w:rsidP="00A23708">
      <w:pPr>
        <w:pStyle w:val="Heading2"/>
      </w:pPr>
      <w:r w:rsidRPr="00D96C07">
        <w:t>A.14</w:t>
      </w:r>
      <w:r w:rsidRPr="00D96C07">
        <w:tab/>
        <w:t>Annualized Cost to the Federal Government</w:t>
      </w:r>
    </w:p>
    <w:p w14:paraId="2669666F" w14:textId="677F16FC" w:rsidR="0089352B" w:rsidRPr="00D96C07" w:rsidRDefault="006555A9" w:rsidP="0089352B">
      <w:pPr>
        <w:pStyle w:val="L1-FlLSp12"/>
      </w:pPr>
      <w:r w:rsidRPr="00D96C07">
        <w:t xml:space="preserve">The PATH </w:t>
      </w:r>
      <w:r w:rsidR="008F7090" w:rsidRPr="00D96C07">
        <w:t>Study</w:t>
      </w:r>
      <w:r w:rsidRPr="00D96C07">
        <w:t xml:space="preserve"> </w:t>
      </w:r>
      <w:r w:rsidR="004D660B">
        <w:t xml:space="preserve">is conducted by </w:t>
      </w:r>
      <w:r w:rsidR="00FC597E">
        <w:t xml:space="preserve">a </w:t>
      </w:r>
      <w:r w:rsidR="004D660B">
        <w:t xml:space="preserve">contractor with oversight, management, scientific direction, and analyses by federal and contractor staff at NIH/NIDA and FDA. The PATH Study </w:t>
      </w:r>
      <w:r w:rsidRPr="00D96C07">
        <w:t>contract is funded by FDA through an Interagency Agreement to NIH/NIDA using tobacco user fees assessed under the authority of the FSPTCA (PL 111-31, June 22, 2009)</w:t>
      </w:r>
      <w:r w:rsidR="00B1372B" w:rsidRPr="00D96C07">
        <w:t xml:space="preserve">. </w:t>
      </w:r>
      <w:r w:rsidRPr="00D96C07">
        <w:t>C</w:t>
      </w:r>
      <w:r w:rsidR="00A05A28" w:rsidRPr="00D96C07">
        <w:t>ontractor expenses for conducting cognitive</w:t>
      </w:r>
      <w:r w:rsidR="004763AD" w:rsidRPr="00D96C07">
        <w:t xml:space="preserve"> interview</w:t>
      </w:r>
      <w:r w:rsidR="00251CFE" w:rsidRPr="00D96C07">
        <w:t>s</w:t>
      </w:r>
      <w:r w:rsidR="004763AD" w:rsidRPr="00D96C07">
        <w:t xml:space="preserve"> and focus group</w:t>
      </w:r>
      <w:r w:rsidR="00A05A28" w:rsidRPr="00D96C07">
        <w:t xml:space="preserve"> </w:t>
      </w:r>
      <w:r w:rsidR="00251CFE" w:rsidRPr="00D96C07">
        <w:t>s</w:t>
      </w:r>
      <w:r w:rsidR="00AF5E73" w:rsidRPr="00D96C07">
        <w:t>ubstudies</w:t>
      </w:r>
      <w:r w:rsidR="00C808AD" w:rsidRPr="00D96C07">
        <w:t xml:space="preserve"> under this </w:t>
      </w:r>
      <w:r w:rsidR="00AF5E73" w:rsidRPr="00D96C07">
        <w:t xml:space="preserve">Generic </w:t>
      </w:r>
      <w:r w:rsidR="00271AD6" w:rsidRPr="00D96C07">
        <w:t>Clearance are</w:t>
      </w:r>
      <w:r w:rsidR="00A05A28" w:rsidRPr="00D96C07">
        <w:t xml:space="preserve"> </w:t>
      </w:r>
      <w:r w:rsidR="002347B0" w:rsidRPr="00D96C07">
        <w:t>for</w:t>
      </w:r>
      <w:r w:rsidR="0089352B" w:rsidRPr="00D96C07">
        <w:t xml:space="preserve"> the design and development of the procedures and protocols</w:t>
      </w:r>
      <w:r w:rsidR="00665A6C" w:rsidRPr="00D96C07">
        <w:t>,</w:t>
      </w:r>
      <w:r w:rsidR="0089352B" w:rsidRPr="00D96C07">
        <w:t xml:space="preserve"> interviewer </w:t>
      </w:r>
      <w:r w:rsidR="004763AD" w:rsidRPr="00D96C07">
        <w:t xml:space="preserve">and moderator </w:t>
      </w:r>
      <w:r w:rsidR="0089352B" w:rsidRPr="00D96C07">
        <w:t>training</w:t>
      </w:r>
      <w:r w:rsidR="00665A6C" w:rsidRPr="00D96C07">
        <w:t>,</w:t>
      </w:r>
      <w:r w:rsidR="0089352B" w:rsidRPr="00D96C07">
        <w:t xml:space="preserve"> </w:t>
      </w:r>
      <w:r w:rsidR="000123DB" w:rsidRPr="00D96C07">
        <w:t>participant</w:t>
      </w:r>
      <w:r w:rsidR="0089352B" w:rsidRPr="00D96C07">
        <w:t xml:space="preserve"> recruitment</w:t>
      </w:r>
      <w:r w:rsidR="00665A6C" w:rsidRPr="00D96C07">
        <w:t>,</w:t>
      </w:r>
      <w:r w:rsidR="0089352B" w:rsidRPr="00D96C07">
        <w:t xml:space="preserve"> preparation of needed forms and materials</w:t>
      </w:r>
      <w:r w:rsidR="00665A6C" w:rsidRPr="00D96C07">
        <w:t>,</w:t>
      </w:r>
      <w:r w:rsidR="0089352B" w:rsidRPr="00D96C07">
        <w:t xml:space="preserve"> provision of facilities and recording equipment</w:t>
      </w:r>
      <w:r w:rsidR="00665A6C" w:rsidRPr="00D96C07">
        <w:t>,</w:t>
      </w:r>
      <w:r w:rsidR="0089352B" w:rsidRPr="00D96C07">
        <w:t xml:space="preserve"> </w:t>
      </w:r>
      <w:r w:rsidR="00C22EDB" w:rsidRPr="00D96C07">
        <w:t xml:space="preserve">cognitive </w:t>
      </w:r>
      <w:r w:rsidR="0089352B" w:rsidRPr="00D96C07">
        <w:t>interview</w:t>
      </w:r>
      <w:r w:rsidR="00C22EDB" w:rsidRPr="00D96C07">
        <w:t xml:space="preserve"> and focus group</w:t>
      </w:r>
      <w:r w:rsidR="00CD4B06" w:rsidRPr="00D96C07">
        <w:t xml:space="preserve"> sessions</w:t>
      </w:r>
      <w:r w:rsidR="00665A6C" w:rsidRPr="00D96C07">
        <w:t>,</w:t>
      </w:r>
      <w:r w:rsidR="0089352B" w:rsidRPr="00D96C07">
        <w:t xml:space="preserve"> </w:t>
      </w:r>
      <w:r w:rsidR="001B16FC" w:rsidRPr="00D96C07">
        <w:t xml:space="preserve">incentives, </w:t>
      </w:r>
      <w:r w:rsidR="0089352B" w:rsidRPr="00D96C07">
        <w:t>analysis of results</w:t>
      </w:r>
      <w:r w:rsidR="00665A6C" w:rsidRPr="00D96C07">
        <w:t>,</w:t>
      </w:r>
      <w:r w:rsidR="0089352B" w:rsidRPr="00D96C07">
        <w:t xml:space="preserve"> reporting of results</w:t>
      </w:r>
      <w:r w:rsidR="00665A6C" w:rsidRPr="00D96C07">
        <w:t>,</w:t>
      </w:r>
      <w:r w:rsidR="0089352B" w:rsidRPr="00D96C07">
        <w:t xml:space="preserve"> and </w:t>
      </w:r>
      <w:r w:rsidR="00B42CAE" w:rsidRPr="00D96C07">
        <w:t xml:space="preserve">recommendations </w:t>
      </w:r>
      <w:r w:rsidR="0089352B" w:rsidRPr="00D96C07">
        <w:t>for revisions to instruments or materials based on those results.</w:t>
      </w:r>
      <w:r w:rsidR="000E5E5F" w:rsidRPr="00D96C07">
        <w:t xml:space="preserve"> </w:t>
      </w:r>
      <w:r w:rsidR="009F6B4A">
        <w:t xml:space="preserve">Estimates in Table </w:t>
      </w:r>
      <w:r w:rsidR="00E4533C">
        <w:t xml:space="preserve">3 </w:t>
      </w:r>
      <w:r w:rsidR="009F6B4A">
        <w:t xml:space="preserve">are presented as the annualized cost to the U.S. Government for </w:t>
      </w:r>
      <w:r w:rsidR="00916701">
        <w:t>substudies under this Generic Clearance</w:t>
      </w:r>
      <w:r w:rsidR="009F6B4A">
        <w:t>.</w:t>
      </w:r>
      <w:r w:rsidR="009F6B4A" w:rsidRPr="009F6B4A">
        <w:t xml:space="preserve"> </w:t>
      </w:r>
      <w:r w:rsidR="009F6B4A" w:rsidRPr="00D96C07">
        <w:t xml:space="preserve">The contract cost for </w:t>
      </w:r>
      <w:r w:rsidR="00916701">
        <w:t xml:space="preserve">those </w:t>
      </w:r>
      <w:r w:rsidR="009F6B4A" w:rsidRPr="00D96C07">
        <w:t>substudies is a subset of the cost of the entire PATH Study and not in addition to it.</w:t>
      </w:r>
    </w:p>
    <w:p w14:paraId="26696670" w14:textId="77777777" w:rsidR="00A05A28" w:rsidRDefault="00A05A28" w:rsidP="0089352B">
      <w:pPr>
        <w:pStyle w:val="L1-FlLSp12"/>
      </w:pPr>
    </w:p>
    <w:p w14:paraId="26696671" w14:textId="5DCA5FC8" w:rsidR="004D660B" w:rsidRPr="004D660B" w:rsidRDefault="004D660B" w:rsidP="004D660B">
      <w:pPr>
        <w:keepNext/>
        <w:tabs>
          <w:tab w:val="left" w:pos="1440"/>
        </w:tabs>
        <w:outlineLvl w:val="0"/>
        <w:rPr>
          <w:rFonts w:ascii="Franklin Gothic Medium" w:hAnsi="Franklin Gothic Medium"/>
          <w:sz w:val="22"/>
          <w:lang w:val="x-none" w:eastAsia="x-none"/>
        </w:rPr>
      </w:pPr>
      <w:r w:rsidRPr="004D660B">
        <w:rPr>
          <w:rFonts w:ascii="Franklin Gothic Medium" w:hAnsi="Franklin Gothic Medium"/>
          <w:sz w:val="22"/>
          <w:lang w:val="x-none" w:eastAsia="x-none"/>
        </w:rPr>
        <w:t xml:space="preserve">Table </w:t>
      </w:r>
      <w:r w:rsidR="00E4533C">
        <w:rPr>
          <w:rFonts w:ascii="Franklin Gothic Medium" w:hAnsi="Franklin Gothic Medium"/>
          <w:sz w:val="22"/>
          <w:lang w:eastAsia="x-none"/>
        </w:rPr>
        <w:t>3</w:t>
      </w:r>
      <w:r w:rsidRPr="004D660B">
        <w:rPr>
          <w:rFonts w:ascii="Franklin Gothic Medium" w:hAnsi="Franklin Gothic Medium"/>
          <w:sz w:val="22"/>
          <w:lang w:val="x-none" w:eastAsia="x-none"/>
        </w:rPr>
        <w:t>.</w:t>
      </w:r>
      <w:r w:rsidRPr="004D660B">
        <w:rPr>
          <w:rFonts w:ascii="Franklin Gothic Medium" w:hAnsi="Franklin Gothic Medium"/>
          <w:sz w:val="22"/>
          <w:lang w:val="x-none" w:eastAsia="x-none"/>
        </w:rPr>
        <w:tab/>
        <w:t>Annuali</w:t>
      </w:r>
      <w:r w:rsidR="00E72196">
        <w:rPr>
          <w:rFonts w:ascii="Franklin Gothic Medium" w:hAnsi="Franklin Gothic Medium"/>
          <w:sz w:val="22"/>
          <w:lang w:val="x-none" w:eastAsia="x-none"/>
        </w:rPr>
        <w:t xml:space="preserve">zed cost to the Government for </w:t>
      </w:r>
      <w:r w:rsidR="00E72196">
        <w:rPr>
          <w:rFonts w:ascii="Franklin Gothic Medium" w:hAnsi="Franklin Gothic Medium"/>
          <w:sz w:val="22"/>
          <w:lang w:eastAsia="x-none"/>
        </w:rPr>
        <w:t>I</w:t>
      </w:r>
      <w:r w:rsidR="00E72196">
        <w:rPr>
          <w:rFonts w:ascii="Franklin Gothic Medium" w:hAnsi="Franklin Gothic Medium"/>
          <w:sz w:val="22"/>
          <w:lang w:val="x-none" w:eastAsia="x-none"/>
        </w:rPr>
        <w:t xml:space="preserve">nformation </w:t>
      </w:r>
      <w:r w:rsidR="00E72196">
        <w:rPr>
          <w:rFonts w:ascii="Franklin Gothic Medium" w:hAnsi="Franklin Gothic Medium"/>
          <w:sz w:val="22"/>
          <w:lang w:eastAsia="x-none"/>
        </w:rPr>
        <w:t>C</w:t>
      </w:r>
      <w:r w:rsidRPr="004D660B">
        <w:rPr>
          <w:rFonts w:ascii="Franklin Gothic Medium" w:hAnsi="Franklin Gothic Medium"/>
          <w:sz w:val="22"/>
          <w:lang w:val="x-none" w:eastAsia="x-none"/>
        </w:rPr>
        <w:t>ollection</w:t>
      </w:r>
    </w:p>
    <w:p w14:paraId="26696672" w14:textId="77777777" w:rsidR="004D660B" w:rsidRPr="004D660B" w:rsidRDefault="004D660B" w:rsidP="004D660B">
      <w:pPr>
        <w:keepNext/>
        <w:tabs>
          <w:tab w:val="left" w:pos="1440"/>
        </w:tabs>
        <w:ind w:left="1440" w:hanging="1440"/>
        <w:outlineLvl w:val="0"/>
        <w:rPr>
          <w:rFonts w:ascii="Franklin Gothic Medium" w:hAnsi="Franklin Gothic Medium"/>
          <w:sz w:val="22"/>
          <w:lang w:val="x-none" w:eastAsia="x-none"/>
        </w:rPr>
      </w:pPr>
    </w:p>
    <w:tbl>
      <w:tblPr>
        <w:tblW w:w="0" w:type="auto"/>
        <w:tblCellMar>
          <w:left w:w="0" w:type="dxa"/>
          <w:right w:w="0" w:type="dxa"/>
        </w:tblCellMar>
        <w:tblLook w:val="04A0" w:firstRow="1" w:lastRow="0" w:firstColumn="1" w:lastColumn="0" w:noHBand="0" w:noVBand="1"/>
      </w:tblPr>
      <w:tblGrid>
        <w:gridCol w:w="2733"/>
        <w:gridCol w:w="1418"/>
        <w:gridCol w:w="1260"/>
        <w:gridCol w:w="1363"/>
        <w:gridCol w:w="1346"/>
        <w:gridCol w:w="1348"/>
      </w:tblGrid>
      <w:tr w:rsidR="0012241A" w:rsidRPr="00C75707" w14:paraId="28D85D10" w14:textId="77777777" w:rsidTr="0012241A">
        <w:trPr>
          <w:trHeight w:val="475"/>
        </w:trPr>
        <w:tc>
          <w:tcPr>
            <w:tcW w:w="2733" w:type="dxa"/>
            <w:tcBorders>
              <w:top w:val="single" w:sz="8" w:space="0" w:color="auto"/>
              <w:left w:val="nil"/>
              <w:bottom w:val="single" w:sz="8" w:space="0" w:color="auto"/>
              <w:right w:val="nil"/>
            </w:tcBorders>
            <w:shd w:val="clear" w:color="auto" w:fill="95B3D7"/>
            <w:noWrap/>
            <w:tcMar>
              <w:top w:w="0" w:type="dxa"/>
              <w:left w:w="108" w:type="dxa"/>
              <w:bottom w:w="0" w:type="dxa"/>
              <w:right w:w="108" w:type="dxa"/>
            </w:tcMar>
            <w:hideMark/>
          </w:tcPr>
          <w:p w14:paraId="5A227CEF" w14:textId="77777777" w:rsidR="0012241A" w:rsidRPr="00C75707" w:rsidRDefault="0012241A" w:rsidP="00C75707">
            <w:pPr>
              <w:keepNext/>
              <w:rPr>
                <w:rFonts w:ascii="Franklin Gothic Medium" w:eastAsia="Calibri" w:hAnsi="Franklin Gothic Medium"/>
                <w:b/>
                <w:bCs/>
                <w:sz w:val="20"/>
              </w:rPr>
            </w:pPr>
            <w:r w:rsidRPr="00C75707">
              <w:rPr>
                <w:rFonts w:ascii="Franklin Gothic Medium" w:eastAsia="Calibri" w:hAnsi="Franklin Gothic Medium"/>
                <w:b/>
                <w:bCs/>
                <w:sz w:val="20"/>
              </w:rPr>
              <w:t>Staff</w:t>
            </w:r>
          </w:p>
        </w:tc>
        <w:tc>
          <w:tcPr>
            <w:tcW w:w="1418" w:type="dxa"/>
            <w:tcBorders>
              <w:top w:val="single" w:sz="8" w:space="0" w:color="auto"/>
              <w:left w:val="nil"/>
              <w:bottom w:val="single" w:sz="8" w:space="0" w:color="auto"/>
              <w:right w:val="nil"/>
            </w:tcBorders>
            <w:shd w:val="clear" w:color="auto" w:fill="95B3D7"/>
            <w:hideMark/>
          </w:tcPr>
          <w:p w14:paraId="781FC712" w14:textId="77777777" w:rsidR="0012241A" w:rsidRPr="00C75707" w:rsidRDefault="0012241A" w:rsidP="00C75707">
            <w:pPr>
              <w:keepNext/>
              <w:rPr>
                <w:rFonts w:ascii="Franklin Gothic Medium" w:eastAsia="Calibri" w:hAnsi="Franklin Gothic Medium"/>
                <w:b/>
                <w:bCs/>
                <w:sz w:val="20"/>
              </w:rPr>
            </w:pPr>
            <w:r w:rsidRPr="00C75707">
              <w:rPr>
                <w:rFonts w:ascii="Franklin Gothic Medium" w:eastAsia="Calibri" w:hAnsi="Franklin Gothic Medium"/>
                <w:b/>
                <w:bCs/>
                <w:sz w:val="20"/>
              </w:rPr>
              <w:t>Grade/Step</w:t>
            </w:r>
          </w:p>
        </w:tc>
        <w:tc>
          <w:tcPr>
            <w:tcW w:w="1260" w:type="dxa"/>
            <w:tcBorders>
              <w:top w:val="single" w:sz="8" w:space="0" w:color="auto"/>
              <w:left w:val="nil"/>
              <w:bottom w:val="single" w:sz="8" w:space="0" w:color="auto"/>
              <w:right w:val="nil"/>
            </w:tcBorders>
            <w:shd w:val="clear" w:color="auto" w:fill="95B3D7"/>
            <w:tcMar>
              <w:top w:w="0" w:type="dxa"/>
              <w:left w:w="108" w:type="dxa"/>
              <w:bottom w:w="0" w:type="dxa"/>
              <w:right w:w="108" w:type="dxa"/>
            </w:tcMar>
            <w:hideMark/>
          </w:tcPr>
          <w:p w14:paraId="7624ED1B" w14:textId="77777777" w:rsidR="0012241A" w:rsidRPr="00C75707" w:rsidRDefault="0012241A" w:rsidP="00C75707">
            <w:pPr>
              <w:keepNext/>
              <w:jc w:val="center"/>
              <w:rPr>
                <w:rFonts w:ascii="Franklin Gothic Medium" w:eastAsia="Calibri" w:hAnsi="Franklin Gothic Medium"/>
                <w:b/>
                <w:bCs/>
                <w:sz w:val="20"/>
              </w:rPr>
            </w:pPr>
            <w:r w:rsidRPr="00C75707">
              <w:rPr>
                <w:rFonts w:ascii="Franklin Gothic Medium" w:eastAsia="Calibri" w:hAnsi="Franklin Gothic Medium"/>
                <w:b/>
                <w:bCs/>
                <w:sz w:val="20"/>
              </w:rPr>
              <w:t>Salary</w:t>
            </w:r>
          </w:p>
        </w:tc>
        <w:tc>
          <w:tcPr>
            <w:tcW w:w="1363" w:type="dxa"/>
            <w:tcBorders>
              <w:top w:val="single" w:sz="8" w:space="0" w:color="auto"/>
              <w:left w:val="nil"/>
              <w:bottom w:val="single" w:sz="8" w:space="0" w:color="auto"/>
              <w:right w:val="nil"/>
            </w:tcBorders>
            <w:shd w:val="clear" w:color="auto" w:fill="95B3D7"/>
            <w:tcMar>
              <w:top w:w="0" w:type="dxa"/>
              <w:left w:w="108" w:type="dxa"/>
              <w:bottom w:w="0" w:type="dxa"/>
              <w:right w:w="108" w:type="dxa"/>
            </w:tcMar>
            <w:hideMark/>
          </w:tcPr>
          <w:p w14:paraId="01A9107C" w14:textId="77777777" w:rsidR="0012241A" w:rsidRPr="00C75707" w:rsidRDefault="0012241A" w:rsidP="00C75707">
            <w:pPr>
              <w:keepNext/>
              <w:rPr>
                <w:rFonts w:ascii="Franklin Gothic Medium" w:eastAsia="Calibri" w:hAnsi="Franklin Gothic Medium"/>
                <w:b/>
                <w:bCs/>
                <w:sz w:val="20"/>
              </w:rPr>
            </w:pPr>
            <w:r w:rsidRPr="00C75707">
              <w:rPr>
                <w:rFonts w:ascii="Franklin Gothic Medium" w:eastAsia="Calibri" w:hAnsi="Franklin Gothic Medium"/>
                <w:b/>
                <w:bCs/>
                <w:sz w:val="20"/>
              </w:rPr>
              <w:t>% of Effort</w:t>
            </w:r>
          </w:p>
        </w:tc>
        <w:tc>
          <w:tcPr>
            <w:tcW w:w="1346" w:type="dxa"/>
            <w:tcBorders>
              <w:top w:val="single" w:sz="8" w:space="0" w:color="auto"/>
              <w:left w:val="nil"/>
              <w:bottom w:val="single" w:sz="8" w:space="0" w:color="auto"/>
              <w:right w:val="nil"/>
            </w:tcBorders>
            <w:shd w:val="clear" w:color="auto" w:fill="95B3D7"/>
          </w:tcPr>
          <w:p w14:paraId="4CB17FFF" w14:textId="2F7C0982" w:rsidR="0012241A" w:rsidRPr="00C75707" w:rsidRDefault="0012241A" w:rsidP="00C75707">
            <w:pPr>
              <w:keepNext/>
              <w:rPr>
                <w:rFonts w:ascii="Franklin Gothic Medium" w:eastAsia="Calibri" w:hAnsi="Franklin Gothic Medium"/>
                <w:b/>
                <w:bCs/>
                <w:sz w:val="20"/>
              </w:rPr>
            </w:pPr>
            <w:r>
              <w:rPr>
                <w:rFonts w:ascii="Franklin Gothic Medium" w:eastAsia="Calibri" w:hAnsi="Franklin Gothic Medium"/>
                <w:b/>
                <w:bCs/>
                <w:sz w:val="20"/>
              </w:rPr>
              <w:t>Fringe (if applicable)</w:t>
            </w:r>
          </w:p>
        </w:tc>
        <w:tc>
          <w:tcPr>
            <w:tcW w:w="1348" w:type="dxa"/>
            <w:tcBorders>
              <w:top w:val="single" w:sz="8" w:space="0" w:color="auto"/>
              <w:left w:val="nil"/>
              <w:bottom w:val="single" w:sz="8" w:space="0" w:color="auto"/>
              <w:right w:val="nil"/>
            </w:tcBorders>
            <w:shd w:val="clear" w:color="auto" w:fill="95B3D7"/>
            <w:hideMark/>
          </w:tcPr>
          <w:p w14:paraId="4DEA1945" w14:textId="3516F493" w:rsidR="0012241A" w:rsidRPr="00C75707" w:rsidRDefault="0012241A" w:rsidP="00C75707">
            <w:pPr>
              <w:keepNext/>
              <w:rPr>
                <w:rFonts w:ascii="Franklin Gothic Medium" w:eastAsia="Calibri" w:hAnsi="Franklin Gothic Medium"/>
                <w:b/>
                <w:bCs/>
                <w:sz w:val="20"/>
              </w:rPr>
            </w:pPr>
            <w:r w:rsidRPr="00C75707">
              <w:rPr>
                <w:rFonts w:ascii="Franklin Gothic Medium" w:eastAsia="Calibri" w:hAnsi="Franklin Gothic Medium"/>
                <w:b/>
                <w:bCs/>
                <w:sz w:val="20"/>
              </w:rPr>
              <w:t>Total Cost to Government</w:t>
            </w:r>
          </w:p>
        </w:tc>
      </w:tr>
      <w:tr w:rsidR="0012241A" w:rsidRPr="00C75707" w14:paraId="6873282F" w14:textId="77777777" w:rsidTr="0012241A">
        <w:trPr>
          <w:trHeight w:val="300"/>
        </w:trPr>
        <w:tc>
          <w:tcPr>
            <w:tcW w:w="2733" w:type="dxa"/>
            <w:tcBorders>
              <w:top w:val="nil"/>
              <w:left w:val="nil"/>
              <w:bottom w:val="single" w:sz="8" w:space="0" w:color="auto"/>
              <w:right w:val="nil"/>
            </w:tcBorders>
            <w:noWrap/>
            <w:tcMar>
              <w:top w:w="0" w:type="dxa"/>
              <w:left w:w="108" w:type="dxa"/>
              <w:bottom w:w="0" w:type="dxa"/>
              <w:right w:w="108" w:type="dxa"/>
            </w:tcMar>
            <w:vAlign w:val="bottom"/>
            <w:hideMark/>
          </w:tcPr>
          <w:p w14:paraId="0F76EA75" w14:textId="77777777" w:rsidR="0012241A" w:rsidRPr="00C75707" w:rsidRDefault="0012241A" w:rsidP="00C75707">
            <w:pPr>
              <w:spacing w:line="240" w:lineRule="auto"/>
              <w:rPr>
                <w:rFonts w:ascii="Franklin Gothic Medium" w:eastAsia="Calibri" w:hAnsi="Franklin Gothic Medium"/>
                <w:b/>
                <w:bCs/>
                <w:color w:val="000000"/>
                <w:sz w:val="20"/>
                <w:highlight w:val="yellow"/>
                <w:lang w:eastAsia="ja-JP"/>
              </w:rPr>
            </w:pPr>
            <w:r w:rsidRPr="00C75707">
              <w:rPr>
                <w:rFonts w:ascii="Franklin Gothic Medium" w:eastAsia="Calibri" w:hAnsi="Franklin Gothic Medium"/>
                <w:b/>
                <w:bCs/>
                <w:color w:val="000000"/>
                <w:sz w:val="20"/>
              </w:rPr>
              <w:t>Federal oversight</w:t>
            </w:r>
          </w:p>
        </w:tc>
        <w:tc>
          <w:tcPr>
            <w:tcW w:w="1418" w:type="dxa"/>
            <w:tcBorders>
              <w:top w:val="nil"/>
              <w:left w:val="nil"/>
              <w:bottom w:val="single" w:sz="8" w:space="0" w:color="auto"/>
              <w:right w:val="nil"/>
            </w:tcBorders>
            <w:shd w:val="clear" w:color="auto" w:fill="BFBFBF"/>
            <w:hideMark/>
          </w:tcPr>
          <w:p w14:paraId="600D5475" w14:textId="77777777" w:rsidR="0012241A" w:rsidRPr="00C75707" w:rsidRDefault="0012241A" w:rsidP="00C75707">
            <w:pPr>
              <w:spacing w:line="240" w:lineRule="auto"/>
              <w:rPr>
                <w:rFonts w:ascii="Times New Roman" w:hAnsi="Times New Roman"/>
                <w:sz w:val="20"/>
              </w:rPr>
            </w:pPr>
          </w:p>
        </w:tc>
        <w:tc>
          <w:tcPr>
            <w:tcW w:w="1260" w:type="dxa"/>
            <w:tcBorders>
              <w:top w:val="nil"/>
              <w:left w:val="nil"/>
              <w:bottom w:val="single" w:sz="8" w:space="0" w:color="auto"/>
              <w:right w:val="nil"/>
            </w:tcBorders>
            <w:shd w:val="clear" w:color="auto" w:fill="BFBFBF"/>
            <w:noWrap/>
            <w:tcMar>
              <w:top w:w="0" w:type="dxa"/>
              <w:left w:w="108" w:type="dxa"/>
              <w:bottom w:w="0" w:type="dxa"/>
              <w:right w:w="108" w:type="dxa"/>
            </w:tcMar>
            <w:vAlign w:val="bottom"/>
            <w:hideMark/>
          </w:tcPr>
          <w:p w14:paraId="7A6DF10E" w14:textId="77777777" w:rsidR="0012241A" w:rsidRPr="00C75707" w:rsidRDefault="0012241A" w:rsidP="00C75707">
            <w:pPr>
              <w:spacing w:line="240" w:lineRule="auto"/>
              <w:rPr>
                <w:rFonts w:ascii="Times New Roman" w:hAnsi="Times New Roman"/>
                <w:sz w:val="20"/>
              </w:rPr>
            </w:pPr>
          </w:p>
        </w:tc>
        <w:tc>
          <w:tcPr>
            <w:tcW w:w="1363" w:type="dxa"/>
            <w:tcBorders>
              <w:top w:val="nil"/>
              <w:left w:val="nil"/>
              <w:bottom w:val="single" w:sz="8" w:space="0" w:color="auto"/>
              <w:right w:val="nil"/>
            </w:tcBorders>
            <w:shd w:val="clear" w:color="auto" w:fill="BFBFBF"/>
            <w:noWrap/>
            <w:tcMar>
              <w:top w:w="0" w:type="dxa"/>
              <w:left w:w="108" w:type="dxa"/>
              <w:bottom w:w="0" w:type="dxa"/>
              <w:right w:w="108" w:type="dxa"/>
            </w:tcMar>
            <w:vAlign w:val="bottom"/>
            <w:hideMark/>
          </w:tcPr>
          <w:p w14:paraId="66C59D25" w14:textId="77777777" w:rsidR="0012241A" w:rsidRPr="00C75707" w:rsidRDefault="0012241A" w:rsidP="00C75707">
            <w:pPr>
              <w:spacing w:line="240" w:lineRule="auto"/>
              <w:rPr>
                <w:rFonts w:ascii="Times New Roman" w:hAnsi="Times New Roman"/>
                <w:sz w:val="20"/>
              </w:rPr>
            </w:pPr>
          </w:p>
        </w:tc>
        <w:tc>
          <w:tcPr>
            <w:tcW w:w="1346" w:type="dxa"/>
            <w:tcBorders>
              <w:top w:val="nil"/>
              <w:left w:val="nil"/>
              <w:bottom w:val="single" w:sz="8" w:space="0" w:color="auto"/>
              <w:right w:val="nil"/>
            </w:tcBorders>
            <w:shd w:val="clear" w:color="auto" w:fill="BFBFBF"/>
          </w:tcPr>
          <w:p w14:paraId="1495FC36" w14:textId="77777777" w:rsidR="0012241A" w:rsidRPr="00C75707" w:rsidRDefault="0012241A" w:rsidP="00C75707">
            <w:pPr>
              <w:spacing w:line="240" w:lineRule="auto"/>
              <w:rPr>
                <w:rFonts w:ascii="Times New Roman" w:hAnsi="Times New Roman"/>
                <w:sz w:val="20"/>
              </w:rPr>
            </w:pPr>
          </w:p>
        </w:tc>
        <w:tc>
          <w:tcPr>
            <w:tcW w:w="1348" w:type="dxa"/>
            <w:tcBorders>
              <w:top w:val="nil"/>
              <w:left w:val="nil"/>
              <w:bottom w:val="single" w:sz="8" w:space="0" w:color="auto"/>
              <w:right w:val="nil"/>
            </w:tcBorders>
            <w:shd w:val="clear" w:color="auto" w:fill="BFBFBF"/>
            <w:hideMark/>
          </w:tcPr>
          <w:p w14:paraId="462A8668" w14:textId="5088363F" w:rsidR="0012241A" w:rsidRPr="00C75707" w:rsidRDefault="0012241A" w:rsidP="00C75707">
            <w:pPr>
              <w:spacing w:line="240" w:lineRule="auto"/>
              <w:rPr>
                <w:rFonts w:ascii="Times New Roman" w:hAnsi="Times New Roman"/>
                <w:sz w:val="20"/>
              </w:rPr>
            </w:pPr>
          </w:p>
        </w:tc>
      </w:tr>
      <w:tr w:rsidR="0012241A" w:rsidRPr="00C75707" w14:paraId="492AF28D" w14:textId="77777777" w:rsidTr="00E322F7">
        <w:trPr>
          <w:trHeight w:val="300"/>
        </w:trPr>
        <w:tc>
          <w:tcPr>
            <w:tcW w:w="2733" w:type="dxa"/>
            <w:tcBorders>
              <w:top w:val="nil"/>
              <w:left w:val="nil"/>
              <w:bottom w:val="single" w:sz="8" w:space="0" w:color="auto"/>
              <w:right w:val="nil"/>
            </w:tcBorders>
            <w:noWrap/>
            <w:tcMar>
              <w:top w:w="0" w:type="dxa"/>
              <w:left w:w="108" w:type="dxa"/>
              <w:bottom w:w="0" w:type="dxa"/>
              <w:right w:w="108" w:type="dxa"/>
            </w:tcMar>
            <w:vAlign w:val="bottom"/>
            <w:hideMark/>
          </w:tcPr>
          <w:p w14:paraId="24D97C33" w14:textId="77777777" w:rsidR="0012241A" w:rsidRPr="00C75707" w:rsidRDefault="0012241A" w:rsidP="00C75707">
            <w:pPr>
              <w:spacing w:line="240" w:lineRule="auto"/>
              <w:rPr>
                <w:rFonts w:ascii="Franklin Gothic Medium" w:eastAsia="Calibri" w:hAnsi="Franklin Gothic Medium"/>
                <w:sz w:val="20"/>
                <w:lang w:eastAsia="ja-JP"/>
              </w:rPr>
            </w:pPr>
            <w:r w:rsidRPr="00C75707">
              <w:rPr>
                <w:rFonts w:ascii="Franklin Gothic Medium" w:eastAsia="Calibri" w:hAnsi="Franklin Gothic Medium"/>
                <w:sz w:val="20"/>
                <w:lang w:eastAsia="ja-JP"/>
              </w:rPr>
              <w:t>NIH Project Oversight Officer</w:t>
            </w:r>
          </w:p>
        </w:tc>
        <w:tc>
          <w:tcPr>
            <w:tcW w:w="1418" w:type="dxa"/>
            <w:tcBorders>
              <w:top w:val="nil"/>
              <w:left w:val="nil"/>
              <w:bottom w:val="single" w:sz="8" w:space="0" w:color="auto"/>
              <w:right w:val="nil"/>
            </w:tcBorders>
            <w:vAlign w:val="bottom"/>
            <w:hideMark/>
          </w:tcPr>
          <w:p w14:paraId="467E844C" w14:textId="77777777" w:rsidR="0012241A" w:rsidRPr="00C75707" w:rsidRDefault="0012241A" w:rsidP="0012241A">
            <w:pPr>
              <w:spacing w:line="240" w:lineRule="auto"/>
              <w:jc w:val="center"/>
              <w:rPr>
                <w:rFonts w:ascii="Franklin Gothic Medium" w:eastAsia="Calibri" w:hAnsi="Franklin Gothic Medium"/>
                <w:sz w:val="20"/>
                <w:lang w:eastAsia="ja-JP"/>
              </w:rPr>
            </w:pPr>
            <w:r w:rsidRPr="00C75707">
              <w:rPr>
                <w:rFonts w:ascii="Franklin Gothic Medium" w:eastAsia="Calibri" w:hAnsi="Franklin Gothic Medium"/>
                <w:sz w:val="20"/>
                <w:lang w:eastAsia="ja-JP"/>
              </w:rPr>
              <w:t>13/10</w:t>
            </w:r>
          </w:p>
        </w:tc>
        <w:tc>
          <w:tcPr>
            <w:tcW w:w="1260" w:type="dxa"/>
            <w:tcBorders>
              <w:top w:val="nil"/>
              <w:left w:val="nil"/>
              <w:bottom w:val="single" w:sz="8" w:space="0" w:color="auto"/>
              <w:right w:val="nil"/>
            </w:tcBorders>
            <w:noWrap/>
            <w:tcMar>
              <w:top w:w="0" w:type="dxa"/>
              <w:left w:w="108" w:type="dxa"/>
              <w:bottom w:w="0" w:type="dxa"/>
              <w:right w:w="108" w:type="dxa"/>
            </w:tcMar>
            <w:vAlign w:val="bottom"/>
            <w:hideMark/>
          </w:tcPr>
          <w:p w14:paraId="7EA6344B" w14:textId="77777777" w:rsidR="0012241A" w:rsidRPr="00C75707" w:rsidRDefault="0012241A" w:rsidP="00E322F7">
            <w:pPr>
              <w:spacing w:line="240" w:lineRule="auto"/>
              <w:jc w:val="right"/>
              <w:rPr>
                <w:rFonts w:ascii="Franklin Gothic Medium" w:eastAsia="Calibri" w:hAnsi="Franklin Gothic Medium"/>
                <w:sz w:val="20"/>
                <w:lang w:eastAsia="ja-JP"/>
              </w:rPr>
            </w:pPr>
            <w:r w:rsidRPr="00C75707">
              <w:rPr>
                <w:rFonts w:ascii="Franklin Gothic Medium" w:eastAsia="Calibri" w:hAnsi="Franklin Gothic Medium"/>
                <w:sz w:val="20"/>
                <w:lang w:eastAsia="ja-JP"/>
              </w:rPr>
              <w:t>$112,000</w:t>
            </w:r>
          </w:p>
        </w:tc>
        <w:tc>
          <w:tcPr>
            <w:tcW w:w="1363" w:type="dxa"/>
            <w:tcBorders>
              <w:top w:val="nil"/>
              <w:left w:val="nil"/>
              <w:bottom w:val="single" w:sz="8" w:space="0" w:color="auto"/>
              <w:right w:val="nil"/>
            </w:tcBorders>
            <w:noWrap/>
            <w:tcMar>
              <w:top w:w="0" w:type="dxa"/>
              <w:left w:w="108" w:type="dxa"/>
              <w:bottom w:w="0" w:type="dxa"/>
              <w:right w:w="108" w:type="dxa"/>
            </w:tcMar>
            <w:vAlign w:val="bottom"/>
            <w:hideMark/>
          </w:tcPr>
          <w:p w14:paraId="49311589" w14:textId="77777777" w:rsidR="0012241A" w:rsidRPr="00C75707" w:rsidRDefault="0012241A" w:rsidP="0012241A">
            <w:pPr>
              <w:spacing w:line="240" w:lineRule="auto"/>
              <w:jc w:val="center"/>
              <w:rPr>
                <w:rFonts w:ascii="Franklin Gothic Medium" w:eastAsia="Calibri" w:hAnsi="Franklin Gothic Medium"/>
                <w:sz w:val="20"/>
                <w:lang w:eastAsia="ja-JP"/>
              </w:rPr>
            </w:pPr>
            <w:r w:rsidRPr="00C75707">
              <w:rPr>
                <w:rFonts w:ascii="Franklin Gothic Medium" w:eastAsia="Calibri" w:hAnsi="Franklin Gothic Medium"/>
                <w:sz w:val="20"/>
                <w:lang w:eastAsia="ja-JP"/>
              </w:rPr>
              <w:t>51.8%</w:t>
            </w:r>
          </w:p>
        </w:tc>
        <w:tc>
          <w:tcPr>
            <w:tcW w:w="1346" w:type="dxa"/>
            <w:tcBorders>
              <w:top w:val="nil"/>
              <w:left w:val="nil"/>
              <w:bottom w:val="single" w:sz="8" w:space="0" w:color="auto"/>
              <w:right w:val="nil"/>
            </w:tcBorders>
            <w:vAlign w:val="bottom"/>
          </w:tcPr>
          <w:p w14:paraId="70A3247C" w14:textId="77777777" w:rsidR="0012241A" w:rsidRPr="00C75707" w:rsidRDefault="0012241A" w:rsidP="0012241A">
            <w:pPr>
              <w:spacing w:line="240" w:lineRule="auto"/>
              <w:jc w:val="center"/>
              <w:rPr>
                <w:rFonts w:ascii="Franklin Gothic Medium" w:eastAsia="Calibri" w:hAnsi="Franklin Gothic Medium"/>
                <w:sz w:val="20"/>
                <w:lang w:eastAsia="ja-JP"/>
              </w:rPr>
            </w:pPr>
          </w:p>
        </w:tc>
        <w:tc>
          <w:tcPr>
            <w:tcW w:w="1348" w:type="dxa"/>
            <w:tcBorders>
              <w:top w:val="nil"/>
              <w:left w:val="nil"/>
              <w:bottom w:val="single" w:sz="8" w:space="0" w:color="auto"/>
              <w:right w:val="nil"/>
            </w:tcBorders>
            <w:vAlign w:val="bottom"/>
            <w:hideMark/>
          </w:tcPr>
          <w:p w14:paraId="7B13FF02" w14:textId="58F9579E" w:rsidR="0012241A" w:rsidRPr="00C75707" w:rsidRDefault="0012241A" w:rsidP="00E322F7">
            <w:pPr>
              <w:spacing w:line="240" w:lineRule="auto"/>
              <w:jc w:val="right"/>
              <w:rPr>
                <w:rFonts w:ascii="Franklin Gothic Medium" w:eastAsia="Calibri" w:hAnsi="Franklin Gothic Medium"/>
                <w:sz w:val="20"/>
                <w:lang w:eastAsia="ja-JP"/>
              </w:rPr>
            </w:pPr>
            <w:r w:rsidRPr="00C75707">
              <w:rPr>
                <w:rFonts w:ascii="Franklin Gothic Medium" w:eastAsia="Calibri" w:hAnsi="Franklin Gothic Medium"/>
                <w:sz w:val="20"/>
                <w:lang w:eastAsia="ja-JP"/>
              </w:rPr>
              <w:t>$58,000</w:t>
            </w:r>
          </w:p>
        </w:tc>
      </w:tr>
      <w:tr w:rsidR="0012241A" w:rsidRPr="00C75707" w14:paraId="56721BE5" w14:textId="77777777" w:rsidTr="00E322F7">
        <w:trPr>
          <w:trHeight w:val="300"/>
        </w:trPr>
        <w:tc>
          <w:tcPr>
            <w:tcW w:w="2733" w:type="dxa"/>
            <w:tcBorders>
              <w:top w:val="nil"/>
              <w:left w:val="nil"/>
              <w:bottom w:val="single" w:sz="8" w:space="0" w:color="auto"/>
              <w:right w:val="nil"/>
            </w:tcBorders>
            <w:noWrap/>
            <w:tcMar>
              <w:top w:w="0" w:type="dxa"/>
              <w:left w:w="108" w:type="dxa"/>
              <w:bottom w:w="0" w:type="dxa"/>
              <w:right w:w="108" w:type="dxa"/>
            </w:tcMar>
            <w:vAlign w:val="bottom"/>
            <w:hideMark/>
          </w:tcPr>
          <w:p w14:paraId="0FA7EA9C" w14:textId="77777777" w:rsidR="0012241A" w:rsidRPr="00C75707" w:rsidRDefault="0012241A" w:rsidP="00C75707">
            <w:pPr>
              <w:spacing w:line="240" w:lineRule="auto"/>
              <w:rPr>
                <w:rFonts w:ascii="Franklin Gothic Medium" w:eastAsia="Calibri" w:hAnsi="Franklin Gothic Medium"/>
                <w:b/>
                <w:bCs/>
                <w:sz w:val="20"/>
                <w:lang w:eastAsia="ja-JP"/>
              </w:rPr>
            </w:pPr>
            <w:r w:rsidRPr="00C75707">
              <w:rPr>
                <w:rFonts w:ascii="Franklin Gothic Medium" w:eastAsia="Calibri" w:hAnsi="Franklin Gothic Medium"/>
                <w:b/>
                <w:bCs/>
                <w:sz w:val="20"/>
              </w:rPr>
              <w:t>Contractor cost</w:t>
            </w:r>
          </w:p>
        </w:tc>
        <w:tc>
          <w:tcPr>
            <w:tcW w:w="1418" w:type="dxa"/>
            <w:tcBorders>
              <w:top w:val="nil"/>
              <w:left w:val="nil"/>
              <w:bottom w:val="single" w:sz="8" w:space="0" w:color="auto"/>
              <w:right w:val="nil"/>
            </w:tcBorders>
            <w:shd w:val="clear" w:color="auto" w:fill="D9D9D9"/>
            <w:vAlign w:val="bottom"/>
          </w:tcPr>
          <w:p w14:paraId="37E01EEA" w14:textId="77777777" w:rsidR="0012241A" w:rsidRPr="00C75707" w:rsidRDefault="0012241A" w:rsidP="0012241A">
            <w:pPr>
              <w:spacing w:line="240" w:lineRule="auto"/>
              <w:jc w:val="center"/>
              <w:rPr>
                <w:rFonts w:ascii="Times New Roman" w:hAnsi="Times New Roman"/>
                <w:sz w:val="20"/>
              </w:rPr>
            </w:pPr>
          </w:p>
        </w:tc>
        <w:tc>
          <w:tcPr>
            <w:tcW w:w="1260" w:type="dxa"/>
            <w:tcBorders>
              <w:top w:val="nil"/>
              <w:left w:val="nil"/>
              <w:bottom w:val="single" w:sz="8" w:space="0" w:color="auto"/>
              <w:right w:val="nil"/>
            </w:tcBorders>
            <w:shd w:val="clear" w:color="auto" w:fill="D9D9D9"/>
            <w:noWrap/>
            <w:tcMar>
              <w:top w:w="0" w:type="dxa"/>
              <w:left w:w="108" w:type="dxa"/>
              <w:bottom w:w="0" w:type="dxa"/>
              <w:right w:w="108" w:type="dxa"/>
            </w:tcMar>
            <w:vAlign w:val="bottom"/>
            <w:hideMark/>
          </w:tcPr>
          <w:p w14:paraId="2C0ED259" w14:textId="77777777" w:rsidR="0012241A" w:rsidRPr="00C75707" w:rsidRDefault="0012241A" w:rsidP="00E322F7">
            <w:pPr>
              <w:spacing w:line="240" w:lineRule="auto"/>
              <w:jc w:val="right"/>
              <w:rPr>
                <w:rFonts w:ascii="Times New Roman" w:hAnsi="Times New Roman"/>
                <w:sz w:val="20"/>
              </w:rPr>
            </w:pPr>
          </w:p>
        </w:tc>
        <w:tc>
          <w:tcPr>
            <w:tcW w:w="1363" w:type="dxa"/>
            <w:tcBorders>
              <w:top w:val="nil"/>
              <w:left w:val="nil"/>
              <w:bottom w:val="single" w:sz="8" w:space="0" w:color="auto"/>
              <w:right w:val="nil"/>
            </w:tcBorders>
            <w:shd w:val="clear" w:color="auto" w:fill="D9D9D9"/>
            <w:noWrap/>
            <w:tcMar>
              <w:top w:w="0" w:type="dxa"/>
              <w:left w:w="108" w:type="dxa"/>
              <w:bottom w:w="0" w:type="dxa"/>
              <w:right w:w="108" w:type="dxa"/>
            </w:tcMar>
            <w:vAlign w:val="bottom"/>
            <w:hideMark/>
          </w:tcPr>
          <w:p w14:paraId="4FA863EB" w14:textId="77777777" w:rsidR="0012241A" w:rsidRPr="00C75707" w:rsidRDefault="0012241A" w:rsidP="0012241A">
            <w:pPr>
              <w:spacing w:line="240" w:lineRule="auto"/>
              <w:jc w:val="center"/>
              <w:rPr>
                <w:rFonts w:ascii="Times New Roman" w:hAnsi="Times New Roman"/>
                <w:sz w:val="20"/>
              </w:rPr>
            </w:pPr>
          </w:p>
        </w:tc>
        <w:tc>
          <w:tcPr>
            <w:tcW w:w="1346" w:type="dxa"/>
            <w:tcBorders>
              <w:top w:val="nil"/>
              <w:left w:val="nil"/>
              <w:bottom w:val="single" w:sz="8" w:space="0" w:color="auto"/>
              <w:right w:val="nil"/>
            </w:tcBorders>
            <w:shd w:val="clear" w:color="auto" w:fill="D9D9D9"/>
            <w:vAlign w:val="bottom"/>
          </w:tcPr>
          <w:p w14:paraId="5EF4E07D" w14:textId="77777777" w:rsidR="0012241A" w:rsidRPr="00C75707" w:rsidRDefault="0012241A" w:rsidP="0012241A">
            <w:pPr>
              <w:spacing w:line="240" w:lineRule="auto"/>
              <w:jc w:val="center"/>
              <w:rPr>
                <w:rFonts w:ascii="Times New Roman" w:hAnsi="Times New Roman"/>
                <w:sz w:val="20"/>
              </w:rPr>
            </w:pPr>
          </w:p>
        </w:tc>
        <w:tc>
          <w:tcPr>
            <w:tcW w:w="1348" w:type="dxa"/>
            <w:tcBorders>
              <w:top w:val="nil"/>
              <w:left w:val="nil"/>
              <w:bottom w:val="single" w:sz="8" w:space="0" w:color="auto"/>
              <w:right w:val="nil"/>
            </w:tcBorders>
            <w:shd w:val="clear" w:color="auto" w:fill="D9D9D9"/>
            <w:vAlign w:val="bottom"/>
            <w:hideMark/>
          </w:tcPr>
          <w:p w14:paraId="0A0E0212" w14:textId="3DBB8BF4" w:rsidR="0012241A" w:rsidRPr="00C75707" w:rsidRDefault="0012241A" w:rsidP="00E322F7">
            <w:pPr>
              <w:spacing w:line="240" w:lineRule="auto"/>
              <w:jc w:val="right"/>
              <w:rPr>
                <w:rFonts w:ascii="Times New Roman" w:hAnsi="Times New Roman"/>
                <w:sz w:val="20"/>
              </w:rPr>
            </w:pPr>
          </w:p>
        </w:tc>
      </w:tr>
      <w:tr w:rsidR="0012241A" w:rsidRPr="00C75707" w14:paraId="379A2024" w14:textId="77777777" w:rsidTr="0010551F">
        <w:trPr>
          <w:trHeight w:val="300"/>
        </w:trPr>
        <w:tc>
          <w:tcPr>
            <w:tcW w:w="2733" w:type="dxa"/>
            <w:tcBorders>
              <w:top w:val="nil"/>
              <w:left w:val="nil"/>
              <w:bottom w:val="single" w:sz="8" w:space="0" w:color="auto"/>
              <w:right w:val="nil"/>
            </w:tcBorders>
            <w:noWrap/>
            <w:tcMar>
              <w:top w:w="0" w:type="dxa"/>
              <w:left w:w="108" w:type="dxa"/>
              <w:bottom w:w="0" w:type="dxa"/>
              <w:right w:w="108" w:type="dxa"/>
            </w:tcMar>
            <w:vAlign w:val="bottom"/>
            <w:hideMark/>
          </w:tcPr>
          <w:p w14:paraId="72A4F23C" w14:textId="77777777" w:rsidR="0012241A" w:rsidRPr="00C75707" w:rsidRDefault="0012241A" w:rsidP="00C75707">
            <w:pPr>
              <w:spacing w:line="240" w:lineRule="auto"/>
              <w:rPr>
                <w:rFonts w:ascii="Franklin Gothic Medium" w:eastAsia="Calibri" w:hAnsi="Franklin Gothic Medium"/>
                <w:sz w:val="20"/>
                <w:lang w:eastAsia="ja-JP"/>
              </w:rPr>
            </w:pPr>
            <w:r w:rsidRPr="00C75707">
              <w:rPr>
                <w:rFonts w:ascii="Franklin Gothic Medium" w:eastAsia="Calibri" w:hAnsi="Franklin Gothic Medium"/>
                <w:sz w:val="20"/>
                <w:lang w:eastAsia="ja-JP"/>
              </w:rPr>
              <w:t xml:space="preserve">    Personnel (5)</w:t>
            </w:r>
          </w:p>
        </w:tc>
        <w:tc>
          <w:tcPr>
            <w:tcW w:w="1418" w:type="dxa"/>
            <w:tcBorders>
              <w:top w:val="nil"/>
              <w:left w:val="nil"/>
              <w:bottom w:val="single" w:sz="8" w:space="0" w:color="auto"/>
              <w:right w:val="nil"/>
            </w:tcBorders>
            <w:vAlign w:val="bottom"/>
          </w:tcPr>
          <w:p w14:paraId="3CEDE407" w14:textId="77777777" w:rsidR="0012241A" w:rsidRPr="00C75707" w:rsidRDefault="0012241A" w:rsidP="0012241A">
            <w:pPr>
              <w:spacing w:line="240" w:lineRule="auto"/>
              <w:jc w:val="center"/>
              <w:rPr>
                <w:rFonts w:ascii="Franklin Gothic Medium" w:eastAsia="Calibri" w:hAnsi="Franklin Gothic Medium"/>
                <w:sz w:val="20"/>
                <w:lang w:eastAsia="ja-JP"/>
              </w:rPr>
            </w:pPr>
          </w:p>
        </w:tc>
        <w:tc>
          <w:tcPr>
            <w:tcW w:w="1260" w:type="dxa"/>
            <w:tcBorders>
              <w:top w:val="nil"/>
              <w:left w:val="nil"/>
              <w:bottom w:val="single" w:sz="8" w:space="0" w:color="auto"/>
              <w:right w:val="nil"/>
            </w:tcBorders>
            <w:noWrap/>
            <w:tcMar>
              <w:top w:w="0" w:type="dxa"/>
              <w:left w:w="108" w:type="dxa"/>
              <w:bottom w:w="0" w:type="dxa"/>
              <w:right w:w="108" w:type="dxa"/>
            </w:tcMar>
            <w:vAlign w:val="bottom"/>
            <w:hideMark/>
          </w:tcPr>
          <w:p w14:paraId="0D51C088" w14:textId="77777777" w:rsidR="0012241A" w:rsidRPr="00C75707" w:rsidRDefault="0012241A" w:rsidP="00E322F7">
            <w:pPr>
              <w:spacing w:line="240" w:lineRule="auto"/>
              <w:jc w:val="right"/>
              <w:rPr>
                <w:rFonts w:ascii="Franklin Gothic Medium" w:eastAsia="Calibri" w:hAnsi="Franklin Gothic Medium"/>
                <w:sz w:val="20"/>
                <w:lang w:eastAsia="ja-JP"/>
              </w:rPr>
            </w:pPr>
            <w:r w:rsidRPr="00C75707">
              <w:rPr>
                <w:rFonts w:ascii="Franklin Gothic Medium" w:eastAsia="Calibri" w:hAnsi="Franklin Gothic Medium"/>
                <w:sz w:val="20"/>
                <w:lang w:eastAsia="ja-JP"/>
              </w:rPr>
              <w:t>$87,000</w:t>
            </w:r>
          </w:p>
        </w:tc>
        <w:tc>
          <w:tcPr>
            <w:tcW w:w="1363" w:type="dxa"/>
            <w:tcBorders>
              <w:top w:val="nil"/>
              <w:left w:val="nil"/>
              <w:bottom w:val="single" w:sz="8" w:space="0" w:color="auto"/>
              <w:right w:val="nil"/>
            </w:tcBorders>
            <w:noWrap/>
            <w:tcMar>
              <w:top w:w="0" w:type="dxa"/>
              <w:left w:w="108" w:type="dxa"/>
              <w:bottom w:w="0" w:type="dxa"/>
              <w:right w:w="108" w:type="dxa"/>
            </w:tcMar>
            <w:vAlign w:val="bottom"/>
            <w:hideMark/>
          </w:tcPr>
          <w:p w14:paraId="1453C8AC" w14:textId="77777777" w:rsidR="0012241A" w:rsidRPr="00C75707" w:rsidRDefault="0012241A" w:rsidP="0012241A">
            <w:pPr>
              <w:spacing w:line="240" w:lineRule="auto"/>
              <w:jc w:val="center"/>
              <w:rPr>
                <w:rFonts w:ascii="Franklin Gothic Medium" w:eastAsia="Calibri" w:hAnsi="Franklin Gothic Medium"/>
                <w:sz w:val="20"/>
                <w:lang w:eastAsia="ja-JP"/>
              </w:rPr>
            </w:pPr>
            <w:r w:rsidRPr="00C75707">
              <w:rPr>
                <w:rFonts w:ascii="Franklin Gothic Medium" w:eastAsia="Calibri" w:hAnsi="Franklin Gothic Medium"/>
                <w:sz w:val="20"/>
                <w:lang w:eastAsia="ja-JP"/>
              </w:rPr>
              <w:t>63.6%</w:t>
            </w:r>
          </w:p>
        </w:tc>
        <w:tc>
          <w:tcPr>
            <w:tcW w:w="1346" w:type="dxa"/>
            <w:tcBorders>
              <w:top w:val="nil"/>
              <w:left w:val="nil"/>
              <w:bottom w:val="single" w:sz="8" w:space="0" w:color="auto"/>
              <w:right w:val="nil"/>
            </w:tcBorders>
            <w:vAlign w:val="bottom"/>
          </w:tcPr>
          <w:p w14:paraId="1D430A92" w14:textId="3E699EC8" w:rsidR="0012241A" w:rsidRPr="00C75707" w:rsidRDefault="0012241A" w:rsidP="0010551F">
            <w:pPr>
              <w:spacing w:line="240" w:lineRule="auto"/>
              <w:jc w:val="center"/>
              <w:rPr>
                <w:rFonts w:ascii="Franklin Gothic Medium" w:eastAsia="Calibri" w:hAnsi="Franklin Gothic Medium"/>
                <w:sz w:val="20"/>
                <w:lang w:eastAsia="ja-JP"/>
              </w:rPr>
            </w:pPr>
            <w:r>
              <w:rPr>
                <w:rFonts w:ascii="Franklin Gothic Medium" w:eastAsia="Calibri" w:hAnsi="Franklin Gothic Medium"/>
                <w:sz w:val="20"/>
                <w:lang w:eastAsia="ja-JP"/>
              </w:rPr>
              <w:t>$</w:t>
            </w:r>
            <w:r w:rsidR="0010551F">
              <w:rPr>
                <w:rFonts w:ascii="Franklin Gothic Medium" w:eastAsia="Calibri" w:hAnsi="Franklin Gothic Medium"/>
                <w:sz w:val="20"/>
                <w:lang w:eastAsia="ja-JP"/>
              </w:rPr>
              <w:t>57,000</w:t>
            </w:r>
          </w:p>
        </w:tc>
        <w:tc>
          <w:tcPr>
            <w:tcW w:w="1348" w:type="dxa"/>
            <w:tcBorders>
              <w:top w:val="nil"/>
              <w:left w:val="nil"/>
              <w:bottom w:val="single" w:sz="8" w:space="0" w:color="auto"/>
              <w:right w:val="nil"/>
            </w:tcBorders>
            <w:vAlign w:val="bottom"/>
            <w:hideMark/>
          </w:tcPr>
          <w:p w14:paraId="6D4628DA" w14:textId="2EEF0E85" w:rsidR="0012241A" w:rsidRPr="00C75707" w:rsidRDefault="0012241A" w:rsidP="0010551F">
            <w:pPr>
              <w:spacing w:line="240" w:lineRule="auto"/>
              <w:jc w:val="right"/>
              <w:rPr>
                <w:rFonts w:ascii="Franklin Gothic Medium" w:eastAsia="Calibri" w:hAnsi="Franklin Gothic Medium"/>
                <w:sz w:val="20"/>
                <w:lang w:eastAsia="ja-JP"/>
              </w:rPr>
            </w:pPr>
            <w:r w:rsidRPr="00C75707">
              <w:rPr>
                <w:rFonts w:ascii="Franklin Gothic Medium" w:eastAsia="Calibri" w:hAnsi="Franklin Gothic Medium"/>
                <w:sz w:val="20"/>
                <w:lang w:eastAsia="ja-JP"/>
              </w:rPr>
              <w:t>$</w:t>
            </w:r>
            <w:r w:rsidR="003D5917">
              <w:rPr>
                <w:rFonts w:ascii="Franklin Gothic Medium" w:eastAsia="Calibri" w:hAnsi="Franklin Gothic Medium"/>
                <w:sz w:val="20"/>
                <w:lang w:eastAsia="ja-JP"/>
              </w:rPr>
              <w:t>56</w:t>
            </w:r>
            <w:r w:rsidR="0010551F">
              <w:rPr>
                <w:rFonts w:ascii="Franklin Gothic Medium" w:eastAsia="Calibri" w:hAnsi="Franklin Gothic Medium"/>
                <w:sz w:val="20"/>
                <w:lang w:eastAsia="ja-JP"/>
              </w:rPr>
              <w:t>2</w:t>
            </w:r>
            <w:r w:rsidR="003D5917">
              <w:rPr>
                <w:rFonts w:ascii="Franklin Gothic Medium" w:eastAsia="Calibri" w:hAnsi="Franklin Gothic Medium"/>
                <w:sz w:val="20"/>
                <w:lang w:eastAsia="ja-JP"/>
              </w:rPr>
              <w:t>,000</w:t>
            </w:r>
          </w:p>
        </w:tc>
      </w:tr>
      <w:tr w:rsidR="0012241A" w:rsidRPr="00C75707" w14:paraId="3E146F67" w14:textId="77777777" w:rsidTr="00E322F7">
        <w:trPr>
          <w:trHeight w:val="300"/>
        </w:trPr>
        <w:tc>
          <w:tcPr>
            <w:tcW w:w="2733" w:type="dxa"/>
            <w:tcBorders>
              <w:top w:val="nil"/>
              <w:left w:val="nil"/>
              <w:bottom w:val="single" w:sz="8" w:space="0" w:color="auto"/>
              <w:right w:val="nil"/>
            </w:tcBorders>
            <w:noWrap/>
            <w:tcMar>
              <w:top w:w="0" w:type="dxa"/>
              <w:left w:w="108" w:type="dxa"/>
              <w:bottom w:w="0" w:type="dxa"/>
              <w:right w:w="108" w:type="dxa"/>
            </w:tcMar>
            <w:vAlign w:val="bottom"/>
          </w:tcPr>
          <w:p w14:paraId="2ECFE2F7" w14:textId="48DD89EB" w:rsidR="0012241A" w:rsidRPr="00C75707" w:rsidRDefault="0012241A" w:rsidP="003D5917">
            <w:pPr>
              <w:spacing w:line="240" w:lineRule="auto"/>
              <w:rPr>
                <w:rFonts w:ascii="Franklin Gothic Medium" w:eastAsia="Calibri" w:hAnsi="Franklin Gothic Medium"/>
                <w:sz w:val="20"/>
                <w:lang w:eastAsia="ja-JP"/>
              </w:rPr>
            </w:pPr>
            <w:r w:rsidRPr="00C75707">
              <w:rPr>
                <w:rFonts w:ascii="Franklin Gothic Medium" w:eastAsia="Calibri" w:hAnsi="Franklin Gothic Medium"/>
                <w:sz w:val="20"/>
                <w:lang w:eastAsia="ja-JP"/>
              </w:rPr>
              <w:t xml:space="preserve">    Other </w:t>
            </w:r>
            <w:r>
              <w:rPr>
                <w:rFonts w:ascii="Franklin Gothic Medium" w:eastAsia="Calibri" w:hAnsi="Franklin Gothic Medium"/>
                <w:sz w:val="20"/>
                <w:lang w:eastAsia="ja-JP"/>
              </w:rPr>
              <w:t>c</w:t>
            </w:r>
            <w:r w:rsidRPr="00C75707">
              <w:rPr>
                <w:rFonts w:ascii="Franklin Gothic Medium" w:eastAsia="Calibri" w:hAnsi="Franklin Gothic Medium"/>
                <w:sz w:val="20"/>
                <w:lang w:eastAsia="ja-JP"/>
              </w:rPr>
              <w:t>osts</w:t>
            </w:r>
          </w:p>
        </w:tc>
        <w:tc>
          <w:tcPr>
            <w:tcW w:w="1418" w:type="dxa"/>
            <w:tcBorders>
              <w:top w:val="nil"/>
              <w:left w:val="nil"/>
              <w:bottom w:val="single" w:sz="8" w:space="0" w:color="auto"/>
              <w:right w:val="nil"/>
            </w:tcBorders>
            <w:vAlign w:val="bottom"/>
          </w:tcPr>
          <w:p w14:paraId="7842E80E" w14:textId="77777777" w:rsidR="0012241A" w:rsidRPr="00C75707" w:rsidRDefault="0012241A" w:rsidP="0012241A">
            <w:pPr>
              <w:spacing w:line="240" w:lineRule="auto"/>
              <w:jc w:val="center"/>
              <w:rPr>
                <w:rFonts w:ascii="Franklin Gothic Medium" w:eastAsia="Calibri" w:hAnsi="Franklin Gothic Medium"/>
                <w:sz w:val="20"/>
                <w:lang w:eastAsia="ja-JP"/>
              </w:rPr>
            </w:pPr>
          </w:p>
        </w:tc>
        <w:tc>
          <w:tcPr>
            <w:tcW w:w="1260" w:type="dxa"/>
            <w:tcBorders>
              <w:top w:val="nil"/>
              <w:left w:val="nil"/>
              <w:bottom w:val="single" w:sz="8" w:space="0" w:color="auto"/>
              <w:right w:val="nil"/>
            </w:tcBorders>
            <w:noWrap/>
            <w:tcMar>
              <w:top w:w="0" w:type="dxa"/>
              <w:left w:w="108" w:type="dxa"/>
              <w:bottom w:w="0" w:type="dxa"/>
              <w:right w:w="108" w:type="dxa"/>
            </w:tcMar>
            <w:vAlign w:val="bottom"/>
          </w:tcPr>
          <w:p w14:paraId="39CD687B" w14:textId="77777777" w:rsidR="0012241A" w:rsidRPr="00C75707" w:rsidRDefault="0012241A" w:rsidP="00E322F7">
            <w:pPr>
              <w:spacing w:line="240" w:lineRule="auto"/>
              <w:jc w:val="right"/>
              <w:rPr>
                <w:rFonts w:ascii="Franklin Gothic Medium" w:eastAsia="Calibri" w:hAnsi="Franklin Gothic Medium"/>
                <w:sz w:val="20"/>
                <w:lang w:eastAsia="ja-JP"/>
              </w:rPr>
            </w:pPr>
          </w:p>
        </w:tc>
        <w:tc>
          <w:tcPr>
            <w:tcW w:w="1363" w:type="dxa"/>
            <w:tcBorders>
              <w:top w:val="nil"/>
              <w:left w:val="nil"/>
              <w:bottom w:val="single" w:sz="8" w:space="0" w:color="auto"/>
              <w:right w:val="nil"/>
            </w:tcBorders>
            <w:noWrap/>
            <w:tcMar>
              <w:top w:w="0" w:type="dxa"/>
              <w:left w:w="108" w:type="dxa"/>
              <w:bottom w:w="0" w:type="dxa"/>
              <w:right w:w="108" w:type="dxa"/>
            </w:tcMar>
            <w:vAlign w:val="bottom"/>
          </w:tcPr>
          <w:p w14:paraId="182E1938" w14:textId="77777777" w:rsidR="0012241A" w:rsidRPr="00C75707" w:rsidRDefault="0012241A" w:rsidP="0012241A">
            <w:pPr>
              <w:spacing w:line="240" w:lineRule="auto"/>
              <w:jc w:val="center"/>
              <w:rPr>
                <w:rFonts w:ascii="Franklin Gothic Medium" w:eastAsia="Calibri" w:hAnsi="Franklin Gothic Medium"/>
                <w:sz w:val="20"/>
                <w:lang w:eastAsia="ja-JP"/>
              </w:rPr>
            </w:pPr>
          </w:p>
        </w:tc>
        <w:tc>
          <w:tcPr>
            <w:tcW w:w="1346" w:type="dxa"/>
            <w:tcBorders>
              <w:top w:val="nil"/>
              <w:left w:val="nil"/>
              <w:bottom w:val="single" w:sz="8" w:space="0" w:color="auto"/>
              <w:right w:val="nil"/>
            </w:tcBorders>
            <w:vAlign w:val="bottom"/>
          </w:tcPr>
          <w:p w14:paraId="09B554B6" w14:textId="77777777" w:rsidR="0012241A" w:rsidRPr="00C75707" w:rsidRDefault="0012241A" w:rsidP="0012241A">
            <w:pPr>
              <w:spacing w:line="240" w:lineRule="auto"/>
              <w:jc w:val="center"/>
              <w:rPr>
                <w:rFonts w:ascii="Franklin Gothic Medium" w:eastAsia="Calibri" w:hAnsi="Franklin Gothic Medium"/>
                <w:sz w:val="20"/>
                <w:lang w:eastAsia="ja-JP"/>
              </w:rPr>
            </w:pPr>
          </w:p>
        </w:tc>
        <w:tc>
          <w:tcPr>
            <w:tcW w:w="1348" w:type="dxa"/>
            <w:tcBorders>
              <w:top w:val="nil"/>
              <w:left w:val="nil"/>
              <w:bottom w:val="single" w:sz="8" w:space="0" w:color="auto"/>
              <w:right w:val="nil"/>
            </w:tcBorders>
            <w:vAlign w:val="bottom"/>
          </w:tcPr>
          <w:p w14:paraId="3B8A275A" w14:textId="7CAFC376" w:rsidR="0012241A" w:rsidRPr="00C75707" w:rsidRDefault="0012241A" w:rsidP="00E322F7">
            <w:pPr>
              <w:spacing w:line="240" w:lineRule="auto"/>
              <w:jc w:val="right"/>
              <w:rPr>
                <w:rFonts w:ascii="Franklin Gothic Medium" w:eastAsia="Calibri" w:hAnsi="Franklin Gothic Medium"/>
                <w:sz w:val="20"/>
                <w:lang w:eastAsia="ja-JP"/>
              </w:rPr>
            </w:pPr>
            <w:r>
              <w:rPr>
                <w:rFonts w:ascii="Franklin Gothic Medium" w:eastAsia="Calibri" w:hAnsi="Franklin Gothic Medium"/>
                <w:sz w:val="20"/>
                <w:lang w:eastAsia="ja-JP"/>
              </w:rPr>
              <w:t>$</w:t>
            </w:r>
            <w:r w:rsidR="0010551F">
              <w:rPr>
                <w:rFonts w:ascii="Franklin Gothic Medium" w:eastAsia="Calibri" w:hAnsi="Franklin Gothic Medium"/>
                <w:sz w:val="20"/>
                <w:lang w:eastAsia="ja-JP"/>
              </w:rPr>
              <w:t>398</w:t>
            </w:r>
            <w:r w:rsidR="003D5917">
              <w:rPr>
                <w:rFonts w:ascii="Franklin Gothic Medium" w:eastAsia="Calibri" w:hAnsi="Franklin Gothic Medium"/>
                <w:sz w:val="20"/>
                <w:lang w:eastAsia="ja-JP"/>
              </w:rPr>
              <w:t>,000</w:t>
            </w:r>
          </w:p>
        </w:tc>
      </w:tr>
      <w:tr w:rsidR="0012241A" w:rsidRPr="00C75707" w14:paraId="7F4AAC28" w14:textId="77777777" w:rsidTr="00E322F7">
        <w:trPr>
          <w:trHeight w:val="300"/>
        </w:trPr>
        <w:tc>
          <w:tcPr>
            <w:tcW w:w="2733" w:type="dxa"/>
            <w:tcBorders>
              <w:top w:val="nil"/>
              <w:left w:val="nil"/>
              <w:bottom w:val="single" w:sz="8" w:space="0" w:color="auto"/>
              <w:right w:val="nil"/>
            </w:tcBorders>
            <w:noWrap/>
            <w:tcMar>
              <w:top w:w="0" w:type="dxa"/>
              <w:left w:w="108" w:type="dxa"/>
              <w:bottom w:w="0" w:type="dxa"/>
              <w:right w:w="108" w:type="dxa"/>
            </w:tcMar>
            <w:vAlign w:val="bottom"/>
            <w:hideMark/>
          </w:tcPr>
          <w:p w14:paraId="06469D42" w14:textId="77777777" w:rsidR="0012241A" w:rsidRPr="00C75707" w:rsidRDefault="0012241A" w:rsidP="00C75707">
            <w:pPr>
              <w:spacing w:line="240" w:lineRule="auto"/>
              <w:rPr>
                <w:rFonts w:ascii="Franklin Gothic Medium" w:eastAsia="Calibri" w:hAnsi="Franklin Gothic Medium"/>
                <w:b/>
                <w:sz w:val="20"/>
                <w:lang w:eastAsia="ja-JP"/>
              </w:rPr>
            </w:pPr>
            <w:r w:rsidRPr="00C75707">
              <w:rPr>
                <w:rFonts w:ascii="Franklin Gothic Medium" w:eastAsia="Calibri" w:hAnsi="Franklin Gothic Medium"/>
                <w:b/>
                <w:sz w:val="20"/>
                <w:lang w:eastAsia="ja-JP"/>
              </w:rPr>
              <w:t>Total</w:t>
            </w:r>
          </w:p>
        </w:tc>
        <w:tc>
          <w:tcPr>
            <w:tcW w:w="1418" w:type="dxa"/>
            <w:tcBorders>
              <w:top w:val="nil"/>
              <w:left w:val="nil"/>
              <w:bottom w:val="single" w:sz="8" w:space="0" w:color="auto"/>
              <w:right w:val="nil"/>
            </w:tcBorders>
            <w:vAlign w:val="bottom"/>
          </w:tcPr>
          <w:p w14:paraId="5E0B9882" w14:textId="77777777" w:rsidR="0012241A" w:rsidRPr="00C75707" w:rsidRDefault="0012241A" w:rsidP="0012241A">
            <w:pPr>
              <w:spacing w:line="240" w:lineRule="auto"/>
              <w:jc w:val="center"/>
              <w:rPr>
                <w:rFonts w:ascii="Franklin Gothic Medium" w:eastAsia="Calibri" w:hAnsi="Franklin Gothic Medium"/>
                <w:sz w:val="20"/>
                <w:lang w:eastAsia="ja-JP"/>
              </w:rPr>
            </w:pPr>
          </w:p>
        </w:tc>
        <w:tc>
          <w:tcPr>
            <w:tcW w:w="1260" w:type="dxa"/>
            <w:tcBorders>
              <w:top w:val="nil"/>
              <w:left w:val="nil"/>
              <w:bottom w:val="single" w:sz="8" w:space="0" w:color="auto"/>
              <w:right w:val="nil"/>
            </w:tcBorders>
            <w:noWrap/>
            <w:tcMar>
              <w:top w:w="0" w:type="dxa"/>
              <w:left w:w="108" w:type="dxa"/>
              <w:bottom w:w="0" w:type="dxa"/>
              <w:right w:w="108" w:type="dxa"/>
            </w:tcMar>
            <w:vAlign w:val="bottom"/>
            <w:hideMark/>
          </w:tcPr>
          <w:p w14:paraId="7DE6A184" w14:textId="77777777" w:rsidR="0012241A" w:rsidRPr="00C75707" w:rsidRDefault="0012241A" w:rsidP="00E322F7">
            <w:pPr>
              <w:spacing w:line="240" w:lineRule="auto"/>
              <w:jc w:val="right"/>
              <w:rPr>
                <w:rFonts w:ascii="Franklin Gothic Medium" w:eastAsia="Calibri" w:hAnsi="Franklin Gothic Medium"/>
                <w:sz w:val="20"/>
                <w:lang w:eastAsia="ja-JP"/>
              </w:rPr>
            </w:pPr>
          </w:p>
        </w:tc>
        <w:tc>
          <w:tcPr>
            <w:tcW w:w="1363" w:type="dxa"/>
            <w:tcBorders>
              <w:top w:val="nil"/>
              <w:left w:val="nil"/>
              <w:bottom w:val="single" w:sz="8" w:space="0" w:color="auto"/>
              <w:right w:val="nil"/>
            </w:tcBorders>
            <w:noWrap/>
            <w:tcMar>
              <w:top w:w="0" w:type="dxa"/>
              <w:left w:w="108" w:type="dxa"/>
              <w:bottom w:w="0" w:type="dxa"/>
              <w:right w:w="108" w:type="dxa"/>
            </w:tcMar>
            <w:vAlign w:val="bottom"/>
            <w:hideMark/>
          </w:tcPr>
          <w:p w14:paraId="13CF538B" w14:textId="77777777" w:rsidR="0012241A" w:rsidRPr="00C75707" w:rsidRDefault="0012241A" w:rsidP="0012241A">
            <w:pPr>
              <w:spacing w:line="240" w:lineRule="auto"/>
              <w:jc w:val="center"/>
              <w:rPr>
                <w:rFonts w:ascii="Franklin Gothic Medium" w:eastAsia="Calibri" w:hAnsi="Franklin Gothic Medium"/>
                <w:sz w:val="20"/>
                <w:lang w:eastAsia="ja-JP"/>
              </w:rPr>
            </w:pPr>
          </w:p>
        </w:tc>
        <w:tc>
          <w:tcPr>
            <w:tcW w:w="1346" w:type="dxa"/>
            <w:tcBorders>
              <w:top w:val="nil"/>
              <w:left w:val="nil"/>
              <w:bottom w:val="single" w:sz="8" w:space="0" w:color="auto"/>
              <w:right w:val="nil"/>
            </w:tcBorders>
            <w:vAlign w:val="bottom"/>
          </w:tcPr>
          <w:p w14:paraId="38AEEDF3" w14:textId="77777777" w:rsidR="0012241A" w:rsidRPr="00C75707" w:rsidRDefault="0012241A" w:rsidP="0012241A">
            <w:pPr>
              <w:spacing w:line="240" w:lineRule="auto"/>
              <w:jc w:val="center"/>
              <w:rPr>
                <w:rFonts w:ascii="Franklin Gothic Medium" w:eastAsia="Calibri" w:hAnsi="Franklin Gothic Medium"/>
                <w:sz w:val="20"/>
                <w:lang w:eastAsia="ja-JP"/>
              </w:rPr>
            </w:pPr>
          </w:p>
        </w:tc>
        <w:tc>
          <w:tcPr>
            <w:tcW w:w="1348" w:type="dxa"/>
            <w:tcBorders>
              <w:top w:val="nil"/>
              <w:left w:val="nil"/>
              <w:bottom w:val="single" w:sz="8" w:space="0" w:color="auto"/>
              <w:right w:val="nil"/>
            </w:tcBorders>
            <w:vAlign w:val="bottom"/>
            <w:hideMark/>
          </w:tcPr>
          <w:p w14:paraId="13C4C873" w14:textId="7FDC1217" w:rsidR="0012241A" w:rsidRPr="00C75707" w:rsidRDefault="0012241A" w:rsidP="00E322F7">
            <w:pPr>
              <w:spacing w:line="240" w:lineRule="auto"/>
              <w:jc w:val="right"/>
              <w:rPr>
                <w:rFonts w:ascii="Franklin Gothic Medium" w:eastAsia="Calibri" w:hAnsi="Franklin Gothic Medium"/>
                <w:sz w:val="20"/>
                <w:lang w:eastAsia="ja-JP"/>
              </w:rPr>
            </w:pPr>
            <w:r w:rsidRPr="00C75707">
              <w:rPr>
                <w:rFonts w:ascii="Franklin Gothic Medium" w:eastAsia="Calibri" w:hAnsi="Franklin Gothic Medium"/>
                <w:sz w:val="20"/>
                <w:lang w:eastAsia="ja-JP"/>
              </w:rPr>
              <w:t>$1,018,000</w:t>
            </w:r>
          </w:p>
        </w:tc>
      </w:tr>
    </w:tbl>
    <w:p w14:paraId="26696689" w14:textId="77777777" w:rsidR="00A23708" w:rsidRDefault="00A23708" w:rsidP="00A23708">
      <w:pPr>
        <w:pStyle w:val="L1-FlLSp12"/>
      </w:pPr>
    </w:p>
    <w:p w14:paraId="134587D8" w14:textId="77777777" w:rsidR="009D20DE" w:rsidRPr="00D96C07" w:rsidRDefault="009D20DE" w:rsidP="00A23708">
      <w:pPr>
        <w:pStyle w:val="L1-FlLSp12"/>
      </w:pPr>
    </w:p>
    <w:p w14:paraId="2669668A" w14:textId="77777777" w:rsidR="00446941" w:rsidRPr="00D96C07" w:rsidRDefault="00446941" w:rsidP="00A23708">
      <w:pPr>
        <w:pStyle w:val="Heading2"/>
      </w:pPr>
      <w:r w:rsidRPr="00D96C07">
        <w:lastRenderedPageBreak/>
        <w:t>A.15</w:t>
      </w:r>
      <w:r w:rsidRPr="00D96C07">
        <w:tab/>
        <w:t xml:space="preserve">Explanation for Program Changes or </w:t>
      </w:r>
      <w:r w:rsidR="002843D6" w:rsidRPr="00D96C07">
        <w:t>Adjustments</w:t>
      </w:r>
    </w:p>
    <w:p w14:paraId="59CE9E3F" w14:textId="5867B20A" w:rsidR="006340B1" w:rsidRDefault="00F87A8D" w:rsidP="00900904">
      <w:pPr>
        <w:pStyle w:val="L1-FlLSp12"/>
      </w:pPr>
      <w:r w:rsidRPr="00F87A8D">
        <w:t xml:space="preserve">This is a revision request (OMB 0925-0663, expires 11/30/2015) for the Population Assessment of Tobacco and Health (PATH) Study to conduct cognitive interviews and focus groups, to support the development of the Study’s questionnaires and other materials. There is an increase of </w:t>
      </w:r>
      <w:r w:rsidR="00535B31">
        <w:t>617</w:t>
      </w:r>
      <w:r w:rsidRPr="00F87A8D">
        <w:t xml:space="preserve"> estimated burden hours between the generic clearance approved by OMB in 2012 (2,000) and the current revision request (</w:t>
      </w:r>
      <w:r w:rsidR="00535B31">
        <w:t>2,617</w:t>
      </w:r>
      <w:r w:rsidRPr="00F87A8D">
        <w:t>). Factors accounting for th</w:t>
      </w:r>
      <w:r w:rsidR="00F312BF">
        <w:t>e</w:t>
      </w:r>
      <w:r w:rsidRPr="00F87A8D">
        <w:t xml:space="preserve"> increase include the</w:t>
      </w:r>
      <w:r w:rsidR="00A248FA">
        <w:t xml:space="preserve"> addition of</w:t>
      </w:r>
      <w:r w:rsidRPr="00F87A8D">
        <w:t>: (1)</w:t>
      </w:r>
      <w:r w:rsidR="00A248FA" w:rsidRPr="00A248FA">
        <w:t xml:space="preserve"> focus groups, to complement cognitive interviewing as a method that will be used by substudies submitted under this Generic Clearance (see </w:t>
      </w:r>
      <w:r w:rsidR="00CE4631">
        <w:t xml:space="preserve">Sections </w:t>
      </w:r>
      <w:r w:rsidR="00A248FA" w:rsidRPr="00A248FA">
        <w:t>A.1 and A.2)</w:t>
      </w:r>
      <w:r w:rsidR="00895DC1">
        <w:t>;</w:t>
      </w:r>
      <w:r w:rsidRPr="00F87A8D">
        <w:t xml:space="preserve"> and (2) screening for respondents </w:t>
      </w:r>
      <w:r w:rsidR="00895DC1">
        <w:t xml:space="preserve">to participate in </w:t>
      </w:r>
      <w:r w:rsidR="00A248FA">
        <w:t>the focus groups</w:t>
      </w:r>
      <w:r w:rsidRPr="00F87A8D">
        <w:t xml:space="preserve">. </w:t>
      </w:r>
      <w:r w:rsidR="00AB3578">
        <w:t xml:space="preserve"> </w:t>
      </w:r>
    </w:p>
    <w:p w14:paraId="1D260486" w14:textId="77777777" w:rsidR="0041348A" w:rsidRDefault="0041348A" w:rsidP="00900904">
      <w:pPr>
        <w:pStyle w:val="L1-FlLSp12"/>
      </w:pPr>
    </w:p>
    <w:p w14:paraId="5DFB39DB" w14:textId="5D674B91" w:rsidR="00394AF4" w:rsidRPr="009713F6" w:rsidRDefault="00394AF4" w:rsidP="00900904">
      <w:pPr>
        <w:pStyle w:val="L1-FlLSp12"/>
        <w:rPr>
          <w:rFonts w:eastAsiaTheme="minorHAnsi"/>
          <w:szCs w:val="24"/>
          <w:highlight w:val="yellow"/>
        </w:rPr>
      </w:pPr>
      <w:r w:rsidRPr="009713F6">
        <w:rPr>
          <w:rFonts w:eastAsiaTheme="minorHAnsi"/>
          <w:szCs w:val="24"/>
          <w:highlight w:val="yellow"/>
        </w:rPr>
        <w:t xml:space="preserve">As noted, the purpose of this Generic Clearance is to conduct cognitive interviews and focus groups to inform the development of the PATH Study’s questionnaires for use in the next and future waves of data collection. </w:t>
      </w:r>
      <w:r w:rsidR="00A2257D" w:rsidRPr="009713F6">
        <w:rPr>
          <w:rFonts w:eastAsiaTheme="minorHAnsi"/>
          <w:szCs w:val="24"/>
          <w:highlight w:val="yellow"/>
        </w:rPr>
        <w:t>T</w:t>
      </w:r>
      <w:r w:rsidRPr="009713F6">
        <w:rPr>
          <w:rFonts w:eastAsiaTheme="minorHAnsi"/>
          <w:szCs w:val="24"/>
          <w:highlight w:val="yellow"/>
        </w:rPr>
        <w:t xml:space="preserve">his was not possible when the new Generic Clearance (0925-0663) was approved by OMB on November 27, 2012 because its timeline lagged behind the development of the questionnaires for the PATH Study’s next two waves of data collection, i.e., Wave 1 and Wave 2. </w:t>
      </w:r>
    </w:p>
    <w:p w14:paraId="455E6659" w14:textId="77777777" w:rsidR="0041348A" w:rsidRPr="009713F6" w:rsidRDefault="005F1520" w:rsidP="0041348A">
      <w:pPr>
        <w:spacing w:line="360" w:lineRule="atLeast"/>
        <w:rPr>
          <w:highlight w:val="yellow"/>
        </w:rPr>
      </w:pPr>
      <w:r w:rsidRPr="009713F6">
        <w:rPr>
          <w:highlight w:val="yellow"/>
        </w:rPr>
        <w:t>Therefore,</w:t>
      </w:r>
      <w:r w:rsidR="00A2257D" w:rsidRPr="009713F6">
        <w:rPr>
          <w:highlight w:val="yellow"/>
        </w:rPr>
        <w:t xml:space="preserve"> </w:t>
      </w:r>
      <w:r w:rsidR="006E3373" w:rsidRPr="009713F6">
        <w:rPr>
          <w:highlight w:val="yellow"/>
        </w:rPr>
        <w:t xml:space="preserve">an additional factor that accounts for the increase in </w:t>
      </w:r>
      <w:r w:rsidR="009440AC" w:rsidRPr="009713F6">
        <w:rPr>
          <w:highlight w:val="yellow"/>
        </w:rPr>
        <w:t>estimated burden in this revision</w:t>
      </w:r>
      <w:r w:rsidR="0047357A" w:rsidRPr="009713F6">
        <w:rPr>
          <w:highlight w:val="yellow"/>
        </w:rPr>
        <w:t xml:space="preserve"> request </w:t>
      </w:r>
      <w:r w:rsidR="009440AC" w:rsidRPr="009713F6">
        <w:rPr>
          <w:highlight w:val="yellow"/>
        </w:rPr>
        <w:t xml:space="preserve">is that it </w:t>
      </w:r>
      <w:r w:rsidR="000767AB" w:rsidRPr="009713F6">
        <w:rPr>
          <w:highlight w:val="yellow"/>
        </w:rPr>
        <w:t xml:space="preserve">repeats some of the </w:t>
      </w:r>
      <w:r w:rsidR="00A2257D" w:rsidRPr="009713F6">
        <w:rPr>
          <w:highlight w:val="yellow"/>
        </w:rPr>
        <w:t xml:space="preserve">previously listed </w:t>
      </w:r>
      <w:r w:rsidR="000767AB" w:rsidRPr="009713F6">
        <w:rPr>
          <w:highlight w:val="yellow"/>
        </w:rPr>
        <w:t xml:space="preserve">substudies </w:t>
      </w:r>
      <w:r w:rsidR="00A2257D" w:rsidRPr="009713F6">
        <w:rPr>
          <w:highlight w:val="yellow"/>
        </w:rPr>
        <w:t>in the 2012 burden table</w:t>
      </w:r>
      <w:r w:rsidR="000767AB" w:rsidRPr="009713F6">
        <w:rPr>
          <w:highlight w:val="yellow"/>
        </w:rPr>
        <w:t>,</w:t>
      </w:r>
      <w:r w:rsidR="00A2257D" w:rsidRPr="009713F6">
        <w:rPr>
          <w:highlight w:val="yellow"/>
        </w:rPr>
        <w:t xml:space="preserve"> such as a substudy related to the consent and assent protocol. </w:t>
      </w:r>
    </w:p>
    <w:p w14:paraId="0713E9DC" w14:textId="77777777" w:rsidR="0041348A" w:rsidRPr="009713F6" w:rsidRDefault="0041348A" w:rsidP="0041348A">
      <w:pPr>
        <w:spacing w:line="360" w:lineRule="atLeast"/>
        <w:rPr>
          <w:highlight w:val="yellow"/>
        </w:rPr>
      </w:pPr>
    </w:p>
    <w:p w14:paraId="0DFC68A0" w14:textId="518937CD" w:rsidR="00394AF4" w:rsidRPr="00A936A9" w:rsidRDefault="00394AF4" w:rsidP="0041348A">
      <w:pPr>
        <w:spacing w:line="360" w:lineRule="atLeast"/>
        <w:rPr>
          <w:szCs w:val="24"/>
        </w:rPr>
      </w:pPr>
      <w:r w:rsidRPr="009713F6">
        <w:rPr>
          <w:szCs w:val="24"/>
          <w:highlight w:val="yellow"/>
        </w:rPr>
        <w:t>NIDA and FDA are planning to conduct the substudies listed in this Generic Clearance, including those that are repeated from the 2012 burden table, in time to implement their findings in the development of questionnaires for use in the next wave and future waves of data collection with the PATH Study cohort. These substudies will involve adults and youth, males and females, and speakers in both Spanish and English to address the wording and refinement of questionnaire items, biospecimen collection protocols, and youth assent and parental and adult consent forms.</w:t>
      </w:r>
    </w:p>
    <w:p w14:paraId="2669668C" w14:textId="77777777" w:rsidR="00446941" w:rsidRPr="00A936A9" w:rsidRDefault="00446941" w:rsidP="00A23708">
      <w:pPr>
        <w:pStyle w:val="L1-FlLSp12"/>
      </w:pPr>
    </w:p>
    <w:p w14:paraId="2669668D" w14:textId="77777777" w:rsidR="00A23708" w:rsidRPr="00A936A9" w:rsidRDefault="00A23708" w:rsidP="00A23708">
      <w:pPr>
        <w:pStyle w:val="L1-FlLSp12"/>
      </w:pPr>
    </w:p>
    <w:p w14:paraId="2669668E" w14:textId="77777777" w:rsidR="00A23708" w:rsidRPr="00A936A9" w:rsidRDefault="00446941" w:rsidP="00A23708">
      <w:pPr>
        <w:pStyle w:val="Heading2"/>
      </w:pPr>
      <w:r w:rsidRPr="00A936A9">
        <w:t>A.16</w:t>
      </w:r>
      <w:r w:rsidRPr="00A936A9">
        <w:tab/>
        <w:t>Plans for Tabulation and Publication and Project Time Schedule</w:t>
      </w:r>
    </w:p>
    <w:p w14:paraId="2669668F" w14:textId="77777777" w:rsidR="00A23708" w:rsidRPr="00D96C07" w:rsidRDefault="002E635A" w:rsidP="00A23708">
      <w:pPr>
        <w:pStyle w:val="L1-FlLSp12"/>
      </w:pPr>
      <w:r w:rsidRPr="00A936A9">
        <w:t xml:space="preserve">This </w:t>
      </w:r>
      <w:r w:rsidR="00BB422E" w:rsidRPr="00A936A9">
        <w:t xml:space="preserve">revision request seeks </w:t>
      </w:r>
      <w:r w:rsidR="00AA3075" w:rsidRPr="00A936A9">
        <w:t xml:space="preserve">OMB </w:t>
      </w:r>
      <w:r w:rsidR="00BB422E" w:rsidRPr="00A936A9">
        <w:t xml:space="preserve">approval of the </w:t>
      </w:r>
      <w:r w:rsidR="00AA3075" w:rsidRPr="00A936A9">
        <w:t xml:space="preserve">PATH Study's </w:t>
      </w:r>
      <w:r w:rsidR="00BB422E" w:rsidRPr="00A936A9">
        <w:t xml:space="preserve">current </w:t>
      </w:r>
      <w:r w:rsidR="00AF5E73" w:rsidRPr="00A936A9">
        <w:t>Generic Clearance</w:t>
      </w:r>
      <w:r w:rsidR="00BB422E" w:rsidRPr="00A936A9">
        <w:t xml:space="preserve"> (0925-0663</w:t>
      </w:r>
      <w:r w:rsidR="00AA3075" w:rsidRPr="00A936A9">
        <w:t>; expiration 11/30/2015</w:t>
      </w:r>
      <w:r w:rsidR="00BB422E" w:rsidRPr="00A936A9">
        <w:t>)</w:t>
      </w:r>
      <w:r w:rsidR="00251CFE" w:rsidRPr="00A936A9">
        <w:t xml:space="preserve"> for </w:t>
      </w:r>
      <w:r w:rsidR="00CD4B06" w:rsidRPr="00A936A9">
        <w:t xml:space="preserve">3 </w:t>
      </w:r>
      <w:r w:rsidR="00251CFE" w:rsidRPr="00A936A9">
        <w:t>years</w:t>
      </w:r>
      <w:r w:rsidR="00BB422E" w:rsidRPr="00A936A9">
        <w:t xml:space="preserve">. </w:t>
      </w:r>
      <w:r w:rsidR="004A6625" w:rsidRPr="00A936A9">
        <w:t xml:space="preserve">The </w:t>
      </w:r>
      <w:r w:rsidR="00251CFE" w:rsidRPr="00A936A9">
        <w:t>s</w:t>
      </w:r>
      <w:r w:rsidR="00AF5E73" w:rsidRPr="00A936A9">
        <w:t>ubstudies</w:t>
      </w:r>
      <w:r w:rsidR="00BB422E" w:rsidRPr="00A936A9">
        <w:t xml:space="preserve"> under this </w:t>
      </w:r>
      <w:r w:rsidR="00AF5E73" w:rsidRPr="00A936A9">
        <w:t xml:space="preserve">Generic </w:t>
      </w:r>
      <w:r w:rsidR="00271AD6" w:rsidRPr="00A936A9">
        <w:t>Clearance will</w:t>
      </w:r>
      <w:r w:rsidRPr="00A936A9">
        <w:t xml:space="preserve"> </w:t>
      </w:r>
      <w:r w:rsidR="00AA3075" w:rsidRPr="00A936A9">
        <w:t xml:space="preserve">collect </w:t>
      </w:r>
      <w:r w:rsidR="004A6625" w:rsidRPr="00A936A9">
        <w:t xml:space="preserve">data through </w:t>
      </w:r>
      <w:r w:rsidR="00AA3075" w:rsidRPr="00A936A9">
        <w:t>cognitive interviews and focus groups for qualitative data analysis. Specialists in conducting cognitive interview</w:t>
      </w:r>
      <w:r w:rsidR="00B2258E" w:rsidRPr="00A936A9">
        <w:t>s</w:t>
      </w:r>
      <w:r w:rsidR="00AA3075" w:rsidRPr="00A936A9">
        <w:t xml:space="preserve"> and focus groups </w:t>
      </w:r>
      <w:r w:rsidR="001F2C23" w:rsidRPr="00A936A9">
        <w:t xml:space="preserve">will </w:t>
      </w:r>
      <w:r w:rsidRPr="00A936A9">
        <w:t xml:space="preserve">use detailed notes and transcriptions from the interviews </w:t>
      </w:r>
      <w:r w:rsidR="004763AD" w:rsidRPr="00A936A9">
        <w:t xml:space="preserve">and groups </w:t>
      </w:r>
      <w:r w:rsidRPr="00A936A9">
        <w:t xml:space="preserve">to conduct </w:t>
      </w:r>
      <w:r w:rsidR="001F2C23" w:rsidRPr="00A936A9">
        <w:t xml:space="preserve">qualitative </w:t>
      </w:r>
      <w:r w:rsidR="00AA3075" w:rsidRPr="00A936A9">
        <w:t xml:space="preserve">data </w:t>
      </w:r>
      <w:r w:rsidRPr="00A936A9">
        <w:t>analyses</w:t>
      </w:r>
      <w:r w:rsidR="00AA3075" w:rsidRPr="00A936A9">
        <w:t xml:space="preserve"> </w:t>
      </w:r>
      <w:r w:rsidR="000620F0" w:rsidRPr="00A936A9">
        <w:t xml:space="preserve">and </w:t>
      </w:r>
      <w:r w:rsidR="00AA3075" w:rsidRPr="00A936A9">
        <w:t xml:space="preserve">inform the development of the </w:t>
      </w:r>
      <w:r w:rsidR="00AA3075" w:rsidRPr="00A936A9">
        <w:lastRenderedPageBreak/>
        <w:t>PATH Study's instruments and materials</w:t>
      </w:r>
      <w:r w:rsidRPr="00A936A9">
        <w:t>.</w:t>
      </w:r>
      <w:r w:rsidR="00A23708" w:rsidRPr="00A936A9">
        <w:t xml:space="preserve"> </w:t>
      </w:r>
      <w:r w:rsidR="00271AD6" w:rsidRPr="00A936A9">
        <w:t>Substudies</w:t>
      </w:r>
      <w:r w:rsidR="00584001" w:rsidRPr="00A936A9">
        <w:t xml:space="preserve"> to conduct c</w:t>
      </w:r>
      <w:r w:rsidR="001F2C23" w:rsidRPr="00A936A9">
        <w:t xml:space="preserve">ognitive </w:t>
      </w:r>
      <w:r w:rsidR="003D6E59" w:rsidRPr="00A936A9">
        <w:t>interviews</w:t>
      </w:r>
      <w:r w:rsidR="004763AD" w:rsidRPr="00A936A9">
        <w:t xml:space="preserve"> and focus group</w:t>
      </w:r>
      <w:r w:rsidR="00584001" w:rsidRPr="00A936A9">
        <w:t>s</w:t>
      </w:r>
      <w:r w:rsidR="001F2C23" w:rsidRPr="00A936A9">
        <w:t xml:space="preserve"> </w:t>
      </w:r>
      <w:r w:rsidR="00584001" w:rsidRPr="00A936A9">
        <w:t xml:space="preserve">are planned on an annual basis over the 3-year period of this </w:t>
      </w:r>
      <w:r w:rsidR="00AF5E73" w:rsidRPr="00A936A9">
        <w:t>Generic Clearance</w:t>
      </w:r>
      <w:r w:rsidR="00584001" w:rsidRPr="00A936A9">
        <w:t>.</w:t>
      </w:r>
    </w:p>
    <w:p w14:paraId="26696690" w14:textId="77777777" w:rsidR="003D4CDF" w:rsidRPr="00D96C07" w:rsidRDefault="003D4CDF" w:rsidP="00A23708">
      <w:pPr>
        <w:pStyle w:val="L1-FlLSp12"/>
      </w:pPr>
    </w:p>
    <w:p w14:paraId="26696691" w14:textId="77777777" w:rsidR="00A23708" w:rsidRPr="00D96C07" w:rsidRDefault="00A23708" w:rsidP="00A23708">
      <w:pPr>
        <w:pStyle w:val="L1-FlLSp12"/>
      </w:pPr>
    </w:p>
    <w:p w14:paraId="26696692" w14:textId="77777777" w:rsidR="003D214C" w:rsidRPr="00D96C07" w:rsidRDefault="003D214C" w:rsidP="00A23708">
      <w:pPr>
        <w:pStyle w:val="Heading2"/>
      </w:pPr>
      <w:r w:rsidRPr="00D96C07">
        <w:t>A.17</w:t>
      </w:r>
      <w:r w:rsidRPr="00D96C07">
        <w:tab/>
        <w:t>Reason</w:t>
      </w:r>
      <w:r w:rsidR="00DE245D" w:rsidRPr="00D96C07">
        <w:t>(s)</w:t>
      </w:r>
      <w:r w:rsidRPr="00D96C07">
        <w:t xml:space="preserve"> Display of OMB Expiration Date is Inappropriate</w:t>
      </w:r>
    </w:p>
    <w:p w14:paraId="26696693" w14:textId="77777777" w:rsidR="003D214C" w:rsidRPr="00D96C07" w:rsidRDefault="003D214C" w:rsidP="00A23708">
      <w:pPr>
        <w:pStyle w:val="L1-FlLSp12"/>
      </w:pPr>
      <w:r w:rsidRPr="00D96C07">
        <w:t>This data collection activity does not seek approval</w:t>
      </w:r>
      <w:r w:rsidR="00FB70EE" w:rsidRPr="00D96C07">
        <w:t xml:space="preserve"> to</w:t>
      </w:r>
      <w:r w:rsidRPr="00D96C07">
        <w:t xml:space="preserve"> not display the expiration date for OMB.</w:t>
      </w:r>
    </w:p>
    <w:p w14:paraId="26696694" w14:textId="77777777" w:rsidR="003D214C" w:rsidRPr="00D96C07" w:rsidRDefault="003D214C" w:rsidP="00A23708">
      <w:pPr>
        <w:pStyle w:val="L1-FlLSp12"/>
      </w:pPr>
    </w:p>
    <w:p w14:paraId="26696695" w14:textId="77777777" w:rsidR="00A23708" w:rsidRPr="00D96C07" w:rsidRDefault="00A23708" w:rsidP="00A23708">
      <w:pPr>
        <w:pStyle w:val="L1-FlLSp12"/>
      </w:pPr>
    </w:p>
    <w:p w14:paraId="26696696" w14:textId="77777777" w:rsidR="003D214C" w:rsidRPr="00D96C07" w:rsidRDefault="003D214C" w:rsidP="00A23708">
      <w:pPr>
        <w:pStyle w:val="Heading2"/>
      </w:pPr>
      <w:r w:rsidRPr="00D96C07">
        <w:t>A.18</w:t>
      </w:r>
      <w:r w:rsidRPr="00D96C07">
        <w:tab/>
        <w:t>Exceptions to Certification for Paperwork Reduction Act Submissions</w:t>
      </w:r>
    </w:p>
    <w:p w14:paraId="26696697" w14:textId="77777777" w:rsidR="003D214C" w:rsidRPr="00D96C07" w:rsidRDefault="003D214C" w:rsidP="00A23708">
      <w:pPr>
        <w:pStyle w:val="L1-FlLSp12"/>
      </w:pPr>
      <w:r w:rsidRPr="00D96C07">
        <w:t>This data collection activity does not seek any exception to the certification statement associated with 5 CFR.1320.9, Certification for Paperwork Reduction Act Submissions.</w:t>
      </w:r>
    </w:p>
    <w:p w14:paraId="26696698" w14:textId="77777777" w:rsidR="004A6157" w:rsidRPr="00D96C07" w:rsidRDefault="004A6157" w:rsidP="00A23708">
      <w:pPr>
        <w:pStyle w:val="L1-FlLSp12"/>
      </w:pPr>
    </w:p>
    <w:p w14:paraId="26696699" w14:textId="77777777" w:rsidR="003D6E59" w:rsidRPr="00D96C07" w:rsidRDefault="003D6E59">
      <w:pPr>
        <w:spacing w:line="240" w:lineRule="auto"/>
      </w:pPr>
      <w:r w:rsidRPr="00D96C07">
        <w:br w:type="page"/>
      </w:r>
    </w:p>
    <w:p w14:paraId="2669669B" w14:textId="77777777" w:rsidR="00AD213C" w:rsidRPr="00D96C07" w:rsidRDefault="00AD213C" w:rsidP="00AD213C">
      <w:pPr>
        <w:pStyle w:val="C1-CtrBoldHd"/>
      </w:pPr>
      <w:r w:rsidRPr="00D96C07">
        <w:lastRenderedPageBreak/>
        <w:t>References</w:t>
      </w:r>
    </w:p>
    <w:p w14:paraId="6D639180" w14:textId="538A7D6F" w:rsidR="00453FF8" w:rsidRDefault="00453FF8" w:rsidP="00AD213C">
      <w:pPr>
        <w:pStyle w:val="N0-FlLftBullet"/>
      </w:pPr>
      <w:r w:rsidRPr="00453FF8">
        <w:t>Powell, R.</w:t>
      </w:r>
      <w:r w:rsidR="00535B31">
        <w:t xml:space="preserve"> </w:t>
      </w:r>
      <w:r w:rsidRPr="00453FF8">
        <w:t>A. &amp; Single, H.</w:t>
      </w:r>
      <w:r w:rsidR="00535B31">
        <w:t xml:space="preserve"> </w:t>
      </w:r>
      <w:r w:rsidRPr="00453FF8">
        <w:t xml:space="preserve">M. (1996). Focus </w:t>
      </w:r>
      <w:r>
        <w:t>g</w:t>
      </w:r>
      <w:r w:rsidRPr="00453FF8">
        <w:t xml:space="preserve">roups. </w:t>
      </w:r>
      <w:r w:rsidRPr="00453FF8">
        <w:rPr>
          <w:i/>
        </w:rPr>
        <w:t>International Journal of Quality in Health Care, 8</w:t>
      </w:r>
      <w:r w:rsidRPr="00453FF8">
        <w:t xml:space="preserve"> (5), 499-504.</w:t>
      </w:r>
    </w:p>
    <w:p w14:paraId="2669669C" w14:textId="1FD1D376" w:rsidR="00AD213C" w:rsidRDefault="00AD213C" w:rsidP="00AD213C">
      <w:pPr>
        <w:pStyle w:val="N0-FlLftBullet"/>
      </w:pPr>
      <w:r w:rsidRPr="00D96C07">
        <w:t xml:space="preserve">Willis, G. B. (2015). </w:t>
      </w:r>
      <w:r w:rsidRPr="00D96C07">
        <w:rPr>
          <w:i/>
        </w:rPr>
        <w:t>Analysis of the cognitive interview in questionnaire design.</w:t>
      </w:r>
      <w:r w:rsidRPr="00D96C07">
        <w:t xml:space="preserve"> Oxford University Press.</w:t>
      </w:r>
    </w:p>
    <w:p w14:paraId="6A595F9E" w14:textId="77777777" w:rsidR="00B55009" w:rsidRPr="002D04F4" w:rsidRDefault="00B55009" w:rsidP="00AD213C">
      <w:pPr>
        <w:pStyle w:val="N0-FlLftBullet"/>
      </w:pPr>
    </w:p>
    <w:sectPr w:rsidR="00B55009" w:rsidRPr="002D04F4" w:rsidSect="00A23708">
      <w:footerReference w:type="default" r:id="rId13"/>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3D6EF" w14:textId="77777777" w:rsidR="00101C49" w:rsidRDefault="00101C49" w:rsidP="002F7ABC">
      <w:r>
        <w:separator/>
      </w:r>
    </w:p>
  </w:endnote>
  <w:endnote w:type="continuationSeparator" w:id="0">
    <w:p w14:paraId="46BDD663" w14:textId="77777777" w:rsidR="00101C49" w:rsidRDefault="00101C49" w:rsidP="002F7ABC">
      <w:r>
        <w:continuationSeparator/>
      </w:r>
    </w:p>
  </w:endnote>
  <w:endnote w:type="continuationNotice" w:id="1">
    <w:p w14:paraId="6DE8B65D" w14:textId="77777777" w:rsidR="00101C49" w:rsidRDefault="00101C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966A4" w14:textId="77777777" w:rsidR="00024785" w:rsidRDefault="00024785" w:rsidP="004A6157">
    <w:pPr>
      <w:pStyle w:val="Footer"/>
      <w:rPr>
        <w:sz w:val="20"/>
      </w:rPr>
    </w:pPr>
    <w:r w:rsidRPr="00C37D06">
      <w:rPr>
        <w:sz w:val="20"/>
      </w:rPr>
      <w:t>PATH Study</w:t>
    </w:r>
    <w:r>
      <w:rPr>
        <w:sz w:val="20"/>
      </w:rPr>
      <w:t xml:space="preserve">: </w:t>
    </w:r>
    <w:r w:rsidRPr="00C37D06">
      <w:rPr>
        <w:sz w:val="20"/>
      </w:rPr>
      <w:t>Generic</w:t>
    </w:r>
    <w:r>
      <w:rPr>
        <w:sz w:val="20"/>
      </w:rPr>
      <w:t xml:space="preserve"> Clearance for</w:t>
    </w:r>
    <w:r w:rsidRPr="00C37D06">
      <w:rPr>
        <w:sz w:val="20"/>
      </w:rPr>
      <w:t xml:space="preserve"> Cognitive </w:t>
    </w:r>
    <w:r>
      <w:rPr>
        <w:sz w:val="20"/>
      </w:rPr>
      <w:t xml:space="preserve">Interviews and Focus Groups, </w:t>
    </w:r>
    <w:r w:rsidRPr="00C37D06">
      <w:rPr>
        <w:sz w:val="20"/>
      </w:rPr>
      <w:t>Supporting Statement A</w:t>
    </w:r>
  </w:p>
  <w:p w14:paraId="266966A5" w14:textId="77777777" w:rsidR="00024785" w:rsidRPr="00E97984" w:rsidRDefault="00024785" w:rsidP="004A2EFE">
    <w:pPr>
      <w:pStyle w:val="C2-CtrSglSp"/>
    </w:pPr>
    <w:r>
      <w:fldChar w:fldCharType="begin"/>
    </w:r>
    <w:r>
      <w:instrText xml:space="preserve"> PAGE   \* MERGEFORMAT </w:instrText>
    </w:r>
    <w:r>
      <w:fldChar w:fldCharType="separate"/>
    </w:r>
    <w:r w:rsidR="001727D8">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966A6" w14:textId="77777777" w:rsidR="00024785" w:rsidRDefault="00024785" w:rsidP="00A23708">
    <w:pPr>
      <w:pStyle w:val="Footer"/>
      <w:rPr>
        <w:sz w:val="20"/>
      </w:rPr>
    </w:pPr>
    <w:r w:rsidRPr="00C37D06">
      <w:rPr>
        <w:sz w:val="20"/>
      </w:rPr>
      <w:t>PATH Study</w:t>
    </w:r>
    <w:r>
      <w:rPr>
        <w:sz w:val="20"/>
      </w:rPr>
      <w:t xml:space="preserve">: </w:t>
    </w:r>
    <w:r w:rsidRPr="00C37D06">
      <w:rPr>
        <w:sz w:val="20"/>
      </w:rPr>
      <w:t>Generic</w:t>
    </w:r>
    <w:r>
      <w:rPr>
        <w:sz w:val="20"/>
      </w:rPr>
      <w:t xml:space="preserve"> Clearance for</w:t>
    </w:r>
    <w:r w:rsidRPr="00C37D06">
      <w:rPr>
        <w:sz w:val="20"/>
      </w:rPr>
      <w:t xml:space="preserve"> Cognitive </w:t>
    </w:r>
    <w:r>
      <w:rPr>
        <w:sz w:val="20"/>
      </w:rPr>
      <w:t xml:space="preserve">Interviews and Focus Groups, </w:t>
    </w:r>
    <w:r w:rsidRPr="00C37D06">
      <w:rPr>
        <w:sz w:val="20"/>
      </w:rPr>
      <w:t>Supporting Statement A</w:t>
    </w:r>
  </w:p>
  <w:p w14:paraId="266966A7" w14:textId="77777777" w:rsidR="00024785" w:rsidRPr="00E97984" w:rsidRDefault="00024785" w:rsidP="00A23708">
    <w:pPr>
      <w:pStyle w:val="C2-CtrSglSp"/>
    </w:pPr>
    <w:r>
      <w:fldChar w:fldCharType="begin"/>
    </w:r>
    <w:r>
      <w:instrText xml:space="preserve"> PAGE   \* MERGEFORMAT </w:instrText>
    </w:r>
    <w:r>
      <w:fldChar w:fldCharType="separate"/>
    </w:r>
    <w:r w:rsidR="001727D8">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47CD5" w14:textId="77777777" w:rsidR="00101C49" w:rsidRDefault="00101C49" w:rsidP="002F7ABC">
      <w:r>
        <w:separator/>
      </w:r>
    </w:p>
  </w:footnote>
  <w:footnote w:type="continuationSeparator" w:id="0">
    <w:p w14:paraId="4E94D12B" w14:textId="77777777" w:rsidR="00101C49" w:rsidRDefault="00101C49" w:rsidP="002F7ABC">
      <w:r>
        <w:continuationSeparator/>
      </w:r>
    </w:p>
  </w:footnote>
  <w:footnote w:type="continuationNotice" w:id="1">
    <w:p w14:paraId="4F594DAD" w14:textId="77777777" w:rsidR="00101C49" w:rsidRDefault="00101C49">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4753"/>
    <w:multiLevelType w:val="hybridMultilevel"/>
    <w:tmpl w:val="D8E09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1325D9"/>
    <w:multiLevelType w:val="hybridMultilevel"/>
    <w:tmpl w:val="423202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nsid w:val="36DD6BDD"/>
    <w:multiLevelType w:val="hybridMultilevel"/>
    <w:tmpl w:val="E35E42F6"/>
    <w:lvl w:ilvl="0" w:tplc="D5023B42">
      <w:start w:val="1"/>
      <w:numFmt w:val="decimal"/>
      <w:lvlText w:val="%1."/>
      <w:lvlJc w:val="left"/>
      <w:pPr>
        <w:ind w:left="720" w:hanging="360"/>
      </w:pPr>
      <w:rPr>
        <w:rFonts w:cs="Times New Roman"/>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86E1400"/>
    <w:multiLevelType w:val="hybridMultilevel"/>
    <w:tmpl w:val="01661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1B1435"/>
    <w:multiLevelType w:val="hybridMultilevel"/>
    <w:tmpl w:val="40E4C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E847E5C"/>
    <w:multiLevelType w:val="hybridMultilevel"/>
    <w:tmpl w:val="C28AB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EC43018"/>
    <w:multiLevelType w:val="hybridMultilevel"/>
    <w:tmpl w:val="8904F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E030D65"/>
    <w:multiLevelType w:val="hybridMultilevel"/>
    <w:tmpl w:val="DE2A6D86"/>
    <w:lvl w:ilvl="0" w:tplc="20B645B0">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BE07E6"/>
    <w:multiLevelType w:val="hybridMultilevel"/>
    <w:tmpl w:val="4DB0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0606C8"/>
    <w:multiLevelType w:val="hybridMultilevel"/>
    <w:tmpl w:val="0F164634"/>
    <w:lvl w:ilvl="0" w:tplc="C1C8933E">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78AC335B"/>
    <w:multiLevelType w:val="hybridMultilevel"/>
    <w:tmpl w:val="B9102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8EB1DDC"/>
    <w:multiLevelType w:val="hybridMultilevel"/>
    <w:tmpl w:val="0F164634"/>
    <w:lvl w:ilvl="0" w:tplc="C1C8933E">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7C8A03BE"/>
    <w:multiLevelType w:val="hybridMultilevel"/>
    <w:tmpl w:val="9112E4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num w:numId="1">
    <w:abstractNumId w:val="1"/>
  </w:num>
  <w:num w:numId="2">
    <w:abstractNumId w:val="15"/>
  </w:num>
  <w:num w:numId="3">
    <w:abstractNumId w:val="14"/>
  </w:num>
  <w:num w:numId="4">
    <w:abstractNumId w:val="13"/>
  </w:num>
  <w:num w:numId="5">
    <w:abstractNumId w:val="3"/>
  </w:num>
  <w:num w:numId="6">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0"/>
  </w:num>
  <w:num w:numId="9">
    <w:abstractNumId w:val="11"/>
  </w:num>
  <w:num w:numId="10">
    <w:abstractNumId w:val="6"/>
  </w:num>
  <w:num w:numId="11">
    <w:abstractNumId w:val="5"/>
  </w:num>
  <w:num w:numId="12">
    <w:abstractNumId w:val="0"/>
  </w:num>
  <w:num w:numId="13">
    <w:abstractNumId w:val="9"/>
  </w:num>
  <w:num w:numId="14">
    <w:abstractNumId w:val="7"/>
  </w:num>
  <w:num w:numId="15">
    <w:abstractNumId w:val="12"/>
  </w:num>
  <w:num w:numId="16">
    <w:abstractNumId w:val="1"/>
  </w:num>
  <w:num w:numId="17">
    <w:abstractNumId w:val="4"/>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FA1"/>
    <w:rsid w:val="00002023"/>
    <w:rsid w:val="00002144"/>
    <w:rsid w:val="00004020"/>
    <w:rsid w:val="00006F9D"/>
    <w:rsid w:val="000123DB"/>
    <w:rsid w:val="00017EE7"/>
    <w:rsid w:val="00024785"/>
    <w:rsid w:val="00027C3F"/>
    <w:rsid w:val="00034EFB"/>
    <w:rsid w:val="00035036"/>
    <w:rsid w:val="00036001"/>
    <w:rsid w:val="00037A2F"/>
    <w:rsid w:val="00043C94"/>
    <w:rsid w:val="00046BDD"/>
    <w:rsid w:val="00046C5D"/>
    <w:rsid w:val="00047492"/>
    <w:rsid w:val="0005097C"/>
    <w:rsid w:val="0005113B"/>
    <w:rsid w:val="0005129E"/>
    <w:rsid w:val="00053ACA"/>
    <w:rsid w:val="00054230"/>
    <w:rsid w:val="00054B59"/>
    <w:rsid w:val="00060177"/>
    <w:rsid w:val="000620F0"/>
    <w:rsid w:val="000627EF"/>
    <w:rsid w:val="00062B15"/>
    <w:rsid w:val="000633CF"/>
    <w:rsid w:val="00064B17"/>
    <w:rsid w:val="00066DFC"/>
    <w:rsid w:val="00070267"/>
    <w:rsid w:val="00070C51"/>
    <w:rsid w:val="00072913"/>
    <w:rsid w:val="00074A39"/>
    <w:rsid w:val="00076171"/>
    <w:rsid w:val="000761E7"/>
    <w:rsid w:val="000767AB"/>
    <w:rsid w:val="000767B9"/>
    <w:rsid w:val="00076D7E"/>
    <w:rsid w:val="000850FC"/>
    <w:rsid w:val="00085720"/>
    <w:rsid w:val="00086684"/>
    <w:rsid w:val="000913E5"/>
    <w:rsid w:val="00091717"/>
    <w:rsid w:val="00091C91"/>
    <w:rsid w:val="0009229E"/>
    <w:rsid w:val="00093A2B"/>
    <w:rsid w:val="000941A2"/>
    <w:rsid w:val="00095656"/>
    <w:rsid w:val="00095878"/>
    <w:rsid w:val="000A3B9B"/>
    <w:rsid w:val="000A3CD9"/>
    <w:rsid w:val="000A4253"/>
    <w:rsid w:val="000A42A9"/>
    <w:rsid w:val="000A59A7"/>
    <w:rsid w:val="000B050D"/>
    <w:rsid w:val="000B21E7"/>
    <w:rsid w:val="000C1F7E"/>
    <w:rsid w:val="000C3ABC"/>
    <w:rsid w:val="000C73DB"/>
    <w:rsid w:val="000C77A0"/>
    <w:rsid w:val="000D06C8"/>
    <w:rsid w:val="000D396B"/>
    <w:rsid w:val="000D4C76"/>
    <w:rsid w:val="000D6882"/>
    <w:rsid w:val="000E0684"/>
    <w:rsid w:val="000E0A2E"/>
    <w:rsid w:val="000E12A4"/>
    <w:rsid w:val="000E26EB"/>
    <w:rsid w:val="000E28E6"/>
    <w:rsid w:val="000E549D"/>
    <w:rsid w:val="000E5E5F"/>
    <w:rsid w:val="000F03E2"/>
    <w:rsid w:val="000F0D35"/>
    <w:rsid w:val="000F193F"/>
    <w:rsid w:val="00100A74"/>
    <w:rsid w:val="00101C49"/>
    <w:rsid w:val="0010551F"/>
    <w:rsid w:val="0010771A"/>
    <w:rsid w:val="00107B2D"/>
    <w:rsid w:val="001111E1"/>
    <w:rsid w:val="0011137D"/>
    <w:rsid w:val="00111A25"/>
    <w:rsid w:val="0011301C"/>
    <w:rsid w:val="00114797"/>
    <w:rsid w:val="00117171"/>
    <w:rsid w:val="001219AD"/>
    <w:rsid w:val="0012241A"/>
    <w:rsid w:val="00124A32"/>
    <w:rsid w:val="00125056"/>
    <w:rsid w:val="001268CB"/>
    <w:rsid w:val="001273F6"/>
    <w:rsid w:val="001276D3"/>
    <w:rsid w:val="00133E9C"/>
    <w:rsid w:val="00134FFF"/>
    <w:rsid w:val="001370CE"/>
    <w:rsid w:val="00142876"/>
    <w:rsid w:val="0014554F"/>
    <w:rsid w:val="00156F0A"/>
    <w:rsid w:val="00157B91"/>
    <w:rsid w:val="00160881"/>
    <w:rsid w:val="00162E65"/>
    <w:rsid w:val="00163EAD"/>
    <w:rsid w:val="001644F7"/>
    <w:rsid w:val="0016453D"/>
    <w:rsid w:val="001657E4"/>
    <w:rsid w:val="001727D8"/>
    <w:rsid w:val="00182655"/>
    <w:rsid w:val="00183498"/>
    <w:rsid w:val="001863C8"/>
    <w:rsid w:val="0019015D"/>
    <w:rsid w:val="00196707"/>
    <w:rsid w:val="001A18BD"/>
    <w:rsid w:val="001A20EE"/>
    <w:rsid w:val="001B16FC"/>
    <w:rsid w:val="001B1DDA"/>
    <w:rsid w:val="001B3FC7"/>
    <w:rsid w:val="001B53C1"/>
    <w:rsid w:val="001B77E5"/>
    <w:rsid w:val="001C233D"/>
    <w:rsid w:val="001C5F16"/>
    <w:rsid w:val="001C76F2"/>
    <w:rsid w:val="001C7CFF"/>
    <w:rsid w:val="001D10E9"/>
    <w:rsid w:val="001D2657"/>
    <w:rsid w:val="001D34EA"/>
    <w:rsid w:val="001E376A"/>
    <w:rsid w:val="001E5816"/>
    <w:rsid w:val="001E7BA8"/>
    <w:rsid w:val="001F0F8E"/>
    <w:rsid w:val="001F2C23"/>
    <w:rsid w:val="001F4695"/>
    <w:rsid w:val="001F54B9"/>
    <w:rsid w:val="001F56AB"/>
    <w:rsid w:val="001F56EB"/>
    <w:rsid w:val="001F7658"/>
    <w:rsid w:val="00202486"/>
    <w:rsid w:val="0021040A"/>
    <w:rsid w:val="00214885"/>
    <w:rsid w:val="00214AFA"/>
    <w:rsid w:val="00217B66"/>
    <w:rsid w:val="00222E5F"/>
    <w:rsid w:val="0022716A"/>
    <w:rsid w:val="002325F2"/>
    <w:rsid w:val="002347B0"/>
    <w:rsid w:val="002348EE"/>
    <w:rsid w:val="00236908"/>
    <w:rsid w:val="0023735E"/>
    <w:rsid w:val="002426EF"/>
    <w:rsid w:val="0024288B"/>
    <w:rsid w:val="002431CB"/>
    <w:rsid w:val="00246907"/>
    <w:rsid w:val="00251CFE"/>
    <w:rsid w:val="00254115"/>
    <w:rsid w:val="00255325"/>
    <w:rsid w:val="00255F1A"/>
    <w:rsid w:val="00263ECE"/>
    <w:rsid w:val="002649C4"/>
    <w:rsid w:val="0026554B"/>
    <w:rsid w:val="00265A8C"/>
    <w:rsid w:val="0026670D"/>
    <w:rsid w:val="002676FC"/>
    <w:rsid w:val="00270B45"/>
    <w:rsid w:val="00271AD6"/>
    <w:rsid w:val="002721D0"/>
    <w:rsid w:val="002771B7"/>
    <w:rsid w:val="002800D0"/>
    <w:rsid w:val="002808ED"/>
    <w:rsid w:val="00280E16"/>
    <w:rsid w:val="00281851"/>
    <w:rsid w:val="00284001"/>
    <w:rsid w:val="002843D6"/>
    <w:rsid w:val="0028471F"/>
    <w:rsid w:val="00286CC2"/>
    <w:rsid w:val="00294487"/>
    <w:rsid w:val="00297038"/>
    <w:rsid w:val="002A198B"/>
    <w:rsid w:val="002A1B5D"/>
    <w:rsid w:val="002A2104"/>
    <w:rsid w:val="002A266D"/>
    <w:rsid w:val="002B1DFD"/>
    <w:rsid w:val="002B4545"/>
    <w:rsid w:val="002B6CAD"/>
    <w:rsid w:val="002B7279"/>
    <w:rsid w:val="002B75F2"/>
    <w:rsid w:val="002B76DE"/>
    <w:rsid w:val="002C0B2A"/>
    <w:rsid w:val="002C4F56"/>
    <w:rsid w:val="002C6BFF"/>
    <w:rsid w:val="002D04F4"/>
    <w:rsid w:val="002E2936"/>
    <w:rsid w:val="002E3CE9"/>
    <w:rsid w:val="002E520E"/>
    <w:rsid w:val="002E59EB"/>
    <w:rsid w:val="002E635A"/>
    <w:rsid w:val="002F41E9"/>
    <w:rsid w:val="002F6208"/>
    <w:rsid w:val="002F79B6"/>
    <w:rsid w:val="002F7ABC"/>
    <w:rsid w:val="00302902"/>
    <w:rsid w:val="00311C28"/>
    <w:rsid w:val="00311DE0"/>
    <w:rsid w:val="0031285F"/>
    <w:rsid w:val="00313031"/>
    <w:rsid w:val="00315CD6"/>
    <w:rsid w:val="00317BDA"/>
    <w:rsid w:val="00317F5E"/>
    <w:rsid w:val="0032108D"/>
    <w:rsid w:val="00323051"/>
    <w:rsid w:val="003232DD"/>
    <w:rsid w:val="003251D3"/>
    <w:rsid w:val="003254A8"/>
    <w:rsid w:val="0032592E"/>
    <w:rsid w:val="00326984"/>
    <w:rsid w:val="003300B3"/>
    <w:rsid w:val="003327BF"/>
    <w:rsid w:val="003342BA"/>
    <w:rsid w:val="0033450C"/>
    <w:rsid w:val="00334C04"/>
    <w:rsid w:val="0034041C"/>
    <w:rsid w:val="003410DB"/>
    <w:rsid w:val="00342EA3"/>
    <w:rsid w:val="00343736"/>
    <w:rsid w:val="00344C26"/>
    <w:rsid w:val="003474A5"/>
    <w:rsid w:val="00351A46"/>
    <w:rsid w:val="00352250"/>
    <w:rsid w:val="00352EFF"/>
    <w:rsid w:val="003552E7"/>
    <w:rsid w:val="00356DA8"/>
    <w:rsid w:val="00357891"/>
    <w:rsid w:val="00363F5D"/>
    <w:rsid w:val="00364F01"/>
    <w:rsid w:val="00365C41"/>
    <w:rsid w:val="003713B0"/>
    <w:rsid w:val="00374672"/>
    <w:rsid w:val="00376092"/>
    <w:rsid w:val="003806B4"/>
    <w:rsid w:val="00384399"/>
    <w:rsid w:val="0039134B"/>
    <w:rsid w:val="0039166F"/>
    <w:rsid w:val="00391E38"/>
    <w:rsid w:val="0039240A"/>
    <w:rsid w:val="00394AF4"/>
    <w:rsid w:val="00395AEE"/>
    <w:rsid w:val="00396B5B"/>
    <w:rsid w:val="00397F89"/>
    <w:rsid w:val="003A034C"/>
    <w:rsid w:val="003A1A85"/>
    <w:rsid w:val="003A21AC"/>
    <w:rsid w:val="003A26E1"/>
    <w:rsid w:val="003A3981"/>
    <w:rsid w:val="003A4FBE"/>
    <w:rsid w:val="003A67D7"/>
    <w:rsid w:val="003A6EFA"/>
    <w:rsid w:val="003A7DCC"/>
    <w:rsid w:val="003A7F5A"/>
    <w:rsid w:val="003B130C"/>
    <w:rsid w:val="003B1A58"/>
    <w:rsid w:val="003B2512"/>
    <w:rsid w:val="003B5973"/>
    <w:rsid w:val="003B72D1"/>
    <w:rsid w:val="003C10F6"/>
    <w:rsid w:val="003C1460"/>
    <w:rsid w:val="003C69E4"/>
    <w:rsid w:val="003C7BB4"/>
    <w:rsid w:val="003D214C"/>
    <w:rsid w:val="003D24F1"/>
    <w:rsid w:val="003D4CDF"/>
    <w:rsid w:val="003D5917"/>
    <w:rsid w:val="003D6B78"/>
    <w:rsid w:val="003D6E59"/>
    <w:rsid w:val="003E0BDC"/>
    <w:rsid w:val="003E112A"/>
    <w:rsid w:val="003E2154"/>
    <w:rsid w:val="003E227A"/>
    <w:rsid w:val="003F3DB4"/>
    <w:rsid w:val="00401C19"/>
    <w:rsid w:val="00402842"/>
    <w:rsid w:val="0040350C"/>
    <w:rsid w:val="004060F4"/>
    <w:rsid w:val="00406DE5"/>
    <w:rsid w:val="00410FD2"/>
    <w:rsid w:val="0041249F"/>
    <w:rsid w:val="0041348A"/>
    <w:rsid w:val="004140C0"/>
    <w:rsid w:val="00415395"/>
    <w:rsid w:val="0042241A"/>
    <w:rsid w:val="00423AC9"/>
    <w:rsid w:val="004245D3"/>
    <w:rsid w:val="00425C81"/>
    <w:rsid w:val="00427B2E"/>
    <w:rsid w:val="00427FF1"/>
    <w:rsid w:val="004307FC"/>
    <w:rsid w:val="00433571"/>
    <w:rsid w:val="00434930"/>
    <w:rsid w:val="00435380"/>
    <w:rsid w:val="0043614F"/>
    <w:rsid w:val="00436175"/>
    <w:rsid w:val="00441BDB"/>
    <w:rsid w:val="00442640"/>
    <w:rsid w:val="004454CF"/>
    <w:rsid w:val="004461B3"/>
    <w:rsid w:val="00446941"/>
    <w:rsid w:val="00446B15"/>
    <w:rsid w:val="00446CF8"/>
    <w:rsid w:val="00447C05"/>
    <w:rsid w:val="004512D9"/>
    <w:rsid w:val="004517E8"/>
    <w:rsid w:val="00452E28"/>
    <w:rsid w:val="00453FF8"/>
    <w:rsid w:val="00455B86"/>
    <w:rsid w:val="00456DB0"/>
    <w:rsid w:val="00457497"/>
    <w:rsid w:val="00465969"/>
    <w:rsid w:val="00466B9A"/>
    <w:rsid w:val="0046744B"/>
    <w:rsid w:val="0047014B"/>
    <w:rsid w:val="00471D2D"/>
    <w:rsid w:val="004724A3"/>
    <w:rsid w:val="0047357A"/>
    <w:rsid w:val="00473D6E"/>
    <w:rsid w:val="004763AD"/>
    <w:rsid w:val="00477FD5"/>
    <w:rsid w:val="00482A45"/>
    <w:rsid w:val="00486945"/>
    <w:rsid w:val="0048785B"/>
    <w:rsid w:val="00492EF7"/>
    <w:rsid w:val="0049375D"/>
    <w:rsid w:val="00494471"/>
    <w:rsid w:val="00494A84"/>
    <w:rsid w:val="00497058"/>
    <w:rsid w:val="004A09D7"/>
    <w:rsid w:val="004A1F5E"/>
    <w:rsid w:val="004A2211"/>
    <w:rsid w:val="004A2EFE"/>
    <w:rsid w:val="004A6157"/>
    <w:rsid w:val="004A6625"/>
    <w:rsid w:val="004B0321"/>
    <w:rsid w:val="004B2D20"/>
    <w:rsid w:val="004B7CEC"/>
    <w:rsid w:val="004C46B0"/>
    <w:rsid w:val="004C6788"/>
    <w:rsid w:val="004D22E8"/>
    <w:rsid w:val="004D2EF3"/>
    <w:rsid w:val="004D631D"/>
    <w:rsid w:val="004D660B"/>
    <w:rsid w:val="004E4BD7"/>
    <w:rsid w:val="004E57F4"/>
    <w:rsid w:val="004E6690"/>
    <w:rsid w:val="004E66B8"/>
    <w:rsid w:val="004E7025"/>
    <w:rsid w:val="004F032D"/>
    <w:rsid w:val="004F1134"/>
    <w:rsid w:val="004F266B"/>
    <w:rsid w:val="004F6367"/>
    <w:rsid w:val="005020F9"/>
    <w:rsid w:val="005068AB"/>
    <w:rsid w:val="0051108D"/>
    <w:rsid w:val="005132E4"/>
    <w:rsid w:val="00515005"/>
    <w:rsid w:val="00517430"/>
    <w:rsid w:val="005213B3"/>
    <w:rsid w:val="005214A2"/>
    <w:rsid w:val="005215AA"/>
    <w:rsid w:val="005215C8"/>
    <w:rsid w:val="00525AFC"/>
    <w:rsid w:val="0052737E"/>
    <w:rsid w:val="0053066B"/>
    <w:rsid w:val="00533FC0"/>
    <w:rsid w:val="00535B31"/>
    <w:rsid w:val="00541BA7"/>
    <w:rsid w:val="0054315E"/>
    <w:rsid w:val="0055140F"/>
    <w:rsid w:val="00552555"/>
    <w:rsid w:val="005533E0"/>
    <w:rsid w:val="005630DA"/>
    <w:rsid w:val="00567E1F"/>
    <w:rsid w:val="005717FC"/>
    <w:rsid w:val="00572149"/>
    <w:rsid w:val="0057226C"/>
    <w:rsid w:val="00572560"/>
    <w:rsid w:val="005741E8"/>
    <w:rsid w:val="00575CF0"/>
    <w:rsid w:val="005810F5"/>
    <w:rsid w:val="00584001"/>
    <w:rsid w:val="005907B6"/>
    <w:rsid w:val="00591331"/>
    <w:rsid w:val="0059194E"/>
    <w:rsid w:val="00591E74"/>
    <w:rsid w:val="00592871"/>
    <w:rsid w:val="005A2F65"/>
    <w:rsid w:val="005A4F2E"/>
    <w:rsid w:val="005A5784"/>
    <w:rsid w:val="005A61C8"/>
    <w:rsid w:val="005B2061"/>
    <w:rsid w:val="005B3D78"/>
    <w:rsid w:val="005B60A2"/>
    <w:rsid w:val="005C13ED"/>
    <w:rsid w:val="005C1433"/>
    <w:rsid w:val="005C33FB"/>
    <w:rsid w:val="005C3617"/>
    <w:rsid w:val="005C3F37"/>
    <w:rsid w:val="005C453D"/>
    <w:rsid w:val="005C6BF1"/>
    <w:rsid w:val="005C7B61"/>
    <w:rsid w:val="005D2AF8"/>
    <w:rsid w:val="005D47ED"/>
    <w:rsid w:val="005E0A33"/>
    <w:rsid w:val="005E0F2F"/>
    <w:rsid w:val="005E536D"/>
    <w:rsid w:val="005F1520"/>
    <w:rsid w:val="005F53C4"/>
    <w:rsid w:val="005F60F7"/>
    <w:rsid w:val="00606B52"/>
    <w:rsid w:val="00610889"/>
    <w:rsid w:val="00616680"/>
    <w:rsid w:val="00625D51"/>
    <w:rsid w:val="00632366"/>
    <w:rsid w:val="006340B1"/>
    <w:rsid w:val="006417BA"/>
    <w:rsid w:val="00643242"/>
    <w:rsid w:val="00646AF6"/>
    <w:rsid w:val="00650CB6"/>
    <w:rsid w:val="00651003"/>
    <w:rsid w:val="0065129A"/>
    <w:rsid w:val="006555A9"/>
    <w:rsid w:val="006556A5"/>
    <w:rsid w:val="00657C2F"/>
    <w:rsid w:val="00661556"/>
    <w:rsid w:val="006621C2"/>
    <w:rsid w:val="00664E20"/>
    <w:rsid w:val="006657C8"/>
    <w:rsid w:val="00665A6C"/>
    <w:rsid w:val="00667272"/>
    <w:rsid w:val="0066746D"/>
    <w:rsid w:val="00673C8B"/>
    <w:rsid w:val="0067466D"/>
    <w:rsid w:val="0067574B"/>
    <w:rsid w:val="00684BF3"/>
    <w:rsid w:val="00685587"/>
    <w:rsid w:val="0068691F"/>
    <w:rsid w:val="00687647"/>
    <w:rsid w:val="0069387E"/>
    <w:rsid w:val="00697847"/>
    <w:rsid w:val="006A0C4D"/>
    <w:rsid w:val="006A1CC4"/>
    <w:rsid w:val="006A55DA"/>
    <w:rsid w:val="006A615D"/>
    <w:rsid w:val="006A6C6E"/>
    <w:rsid w:val="006B350D"/>
    <w:rsid w:val="006C03CC"/>
    <w:rsid w:val="006C0A30"/>
    <w:rsid w:val="006C1A6F"/>
    <w:rsid w:val="006C31DC"/>
    <w:rsid w:val="006C53CD"/>
    <w:rsid w:val="006C72BD"/>
    <w:rsid w:val="006D02B2"/>
    <w:rsid w:val="006E3373"/>
    <w:rsid w:val="006E784E"/>
    <w:rsid w:val="006E78FE"/>
    <w:rsid w:val="006F1D1F"/>
    <w:rsid w:val="006F28F7"/>
    <w:rsid w:val="006F4387"/>
    <w:rsid w:val="0070323C"/>
    <w:rsid w:val="00704086"/>
    <w:rsid w:val="00704E75"/>
    <w:rsid w:val="00707288"/>
    <w:rsid w:val="007123EA"/>
    <w:rsid w:val="0071395A"/>
    <w:rsid w:val="007143BD"/>
    <w:rsid w:val="00715576"/>
    <w:rsid w:val="007236C2"/>
    <w:rsid w:val="00724FDC"/>
    <w:rsid w:val="00725FF6"/>
    <w:rsid w:val="00731BA1"/>
    <w:rsid w:val="00733213"/>
    <w:rsid w:val="0073568C"/>
    <w:rsid w:val="00737CFB"/>
    <w:rsid w:val="00737EDB"/>
    <w:rsid w:val="00741155"/>
    <w:rsid w:val="0074116B"/>
    <w:rsid w:val="0074743B"/>
    <w:rsid w:val="007512BB"/>
    <w:rsid w:val="0075154A"/>
    <w:rsid w:val="00751F34"/>
    <w:rsid w:val="00755638"/>
    <w:rsid w:val="00757AA1"/>
    <w:rsid w:val="00760531"/>
    <w:rsid w:val="00760EDF"/>
    <w:rsid w:val="00760FF2"/>
    <w:rsid w:val="00761DEF"/>
    <w:rsid w:val="00762648"/>
    <w:rsid w:val="0077071D"/>
    <w:rsid w:val="00776532"/>
    <w:rsid w:val="00790A2F"/>
    <w:rsid w:val="00792991"/>
    <w:rsid w:val="0079439D"/>
    <w:rsid w:val="00794A18"/>
    <w:rsid w:val="00795EC6"/>
    <w:rsid w:val="007A6D41"/>
    <w:rsid w:val="007B2E18"/>
    <w:rsid w:val="007B4519"/>
    <w:rsid w:val="007B50C0"/>
    <w:rsid w:val="007B799C"/>
    <w:rsid w:val="007C0BC3"/>
    <w:rsid w:val="007C2ABC"/>
    <w:rsid w:val="007C4180"/>
    <w:rsid w:val="007C6A69"/>
    <w:rsid w:val="007C70C0"/>
    <w:rsid w:val="007C7AC3"/>
    <w:rsid w:val="007C7DF0"/>
    <w:rsid w:val="007D3AEF"/>
    <w:rsid w:val="007E1A50"/>
    <w:rsid w:val="007E27F4"/>
    <w:rsid w:val="007E7C13"/>
    <w:rsid w:val="007F1296"/>
    <w:rsid w:val="007F2A8C"/>
    <w:rsid w:val="008005E8"/>
    <w:rsid w:val="00802D5B"/>
    <w:rsid w:val="00807398"/>
    <w:rsid w:val="00813C4B"/>
    <w:rsid w:val="00816E88"/>
    <w:rsid w:val="00820942"/>
    <w:rsid w:val="0082407A"/>
    <w:rsid w:val="00826EEE"/>
    <w:rsid w:val="008308F0"/>
    <w:rsid w:val="00831C63"/>
    <w:rsid w:val="008326E2"/>
    <w:rsid w:val="00832764"/>
    <w:rsid w:val="00832A78"/>
    <w:rsid w:val="008367B5"/>
    <w:rsid w:val="00840081"/>
    <w:rsid w:val="008432E0"/>
    <w:rsid w:val="00843401"/>
    <w:rsid w:val="008439FF"/>
    <w:rsid w:val="00847037"/>
    <w:rsid w:val="00852C3F"/>
    <w:rsid w:val="00854895"/>
    <w:rsid w:val="008555E7"/>
    <w:rsid w:val="00855F85"/>
    <w:rsid w:val="0085619F"/>
    <w:rsid w:val="00857664"/>
    <w:rsid w:val="00862D6A"/>
    <w:rsid w:val="00865057"/>
    <w:rsid w:val="0086674F"/>
    <w:rsid w:val="0087162A"/>
    <w:rsid w:val="00873892"/>
    <w:rsid w:val="00877933"/>
    <w:rsid w:val="00880BFD"/>
    <w:rsid w:val="00881C5C"/>
    <w:rsid w:val="00881CBE"/>
    <w:rsid w:val="00882750"/>
    <w:rsid w:val="008835E0"/>
    <w:rsid w:val="008843FD"/>
    <w:rsid w:val="0088591D"/>
    <w:rsid w:val="0089352B"/>
    <w:rsid w:val="0089460F"/>
    <w:rsid w:val="00895DC1"/>
    <w:rsid w:val="008A284D"/>
    <w:rsid w:val="008A31F0"/>
    <w:rsid w:val="008B0B7D"/>
    <w:rsid w:val="008B1807"/>
    <w:rsid w:val="008C1B38"/>
    <w:rsid w:val="008C46CF"/>
    <w:rsid w:val="008C6C18"/>
    <w:rsid w:val="008D065A"/>
    <w:rsid w:val="008D33DE"/>
    <w:rsid w:val="008D7262"/>
    <w:rsid w:val="008E002E"/>
    <w:rsid w:val="008E50B5"/>
    <w:rsid w:val="008E533E"/>
    <w:rsid w:val="008E5D57"/>
    <w:rsid w:val="008F16E5"/>
    <w:rsid w:val="008F2B07"/>
    <w:rsid w:val="008F5FA1"/>
    <w:rsid w:val="008F6D67"/>
    <w:rsid w:val="008F6E89"/>
    <w:rsid w:val="008F7090"/>
    <w:rsid w:val="00900904"/>
    <w:rsid w:val="00904DD5"/>
    <w:rsid w:val="00907D71"/>
    <w:rsid w:val="00916701"/>
    <w:rsid w:val="00916783"/>
    <w:rsid w:val="00922B17"/>
    <w:rsid w:val="009232E9"/>
    <w:rsid w:val="009253A0"/>
    <w:rsid w:val="0092558C"/>
    <w:rsid w:val="009279CB"/>
    <w:rsid w:val="009324B1"/>
    <w:rsid w:val="00934F6E"/>
    <w:rsid w:val="00936597"/>
    <w:rsid w:val="009368D9"/>
    <w:rsid w:val="00936DBF"/>
    <w:rsid w:val="009419B7"/>
    <w:rsid w:val="009440AC"/>
    <w:rsid w:val="00946781"/>
    <w:rsid w:val="00947C9C"/>
    <w:rsid w:val="00951B7E"/>
    <w:rsid w:val="0095353F"/>
    <w:rsid w:val="0095550A"/>
    <w:rsid w:val="0096129D"/>
    <w:rsid w:val="00964099"/>
    <w:rsid w:val="0096507A"/>
    <w:rsid w:val="00966E75"/>
    <w:rsid w:val="009713F6"/>
    <w:rsid w:val="009714D6"/>
    <w:rsid w:val="00972E12"/>
    <w:rsid w:val="009740A4"/>
    <w:rsid w:val="00974DDD"/>
    <w:rsid w:val="009779FE"/>
    <w:rsid w:val="009815F1"/>
    <w:rsid w:val="00981E3D"/>
    <w:rsid w:val="00985351"/>
    <w:rsid w:val="009868B9"/>
    <w:rsid w:val="00987689"/>
    <w:rsid w:val="00994D04"/>
    <w:rsid w:val="00996E98"/>
    <w:rsid w:val="00996EE8"/>
    <w:rsid w:val="00997EEA"/>
    <w:rsid w:val="009A36F7"/>
    <w:rsid w:val="009A37AD"/>
    <w:rsid w:val="009B417A"/>
    <w:rsid w:val="009B4352"/>
    <w:rsid w:val="009B7E63"/>
    <w:rsid w:val="009C09E5"/>
    <w:rsid w:val="009C216B"/>
    <w:rsid w:val="009C39E6"/>
    <w:rsid w:val="009D11EA"/>
    <w:rsid w:val="009D1F44"/>
    <w:rsid w:val="009D2092"/>
    <w:rsid w:val="009D20DE"/>
    <w:rsid w:val="009D2C05"/>
    <w:rsid w:val="009D4667"/>
    <w:rsid w:val="009D4839"/>
    <w:rsid w:val="009E2993"/>
    <w:rsid w:val="009E436C"/>
    <w:rsid w:val="009E7D48"/>
    <w:rsid w:val="009F6174"/>
    <w:rsid w:val="009F662C"/>
    <w:rsid w:val="009F6B4A"/>
    <w:rsid w:val="00A025DC"/>
    <w:rsid w:val="00A02F3A"/>
    <w:rsid w:val="00A033F2"/>
    <w:rsid w:val="00A03BCC"/>
    <w:rsid w:val="00A0413E"/>
    <w:rsid w:val="00A05A28"/>
    <w:rsid w:val="00A060B6"/>
    <w:rsid w:val="00A14081"/>
    <w:rsid w:val="00A14801"/>
    <w:rsid w:val="00A14E82"/>
    <w:rsid w:val="00A21AE1"/>
    <w:rsid w:val="00A21E9C"/>
    <w:rsid w:val="00A2257D"/>
    <w:rsid w:val="00A226F7"/>
    <w:rsid w:val="00A23708"/>
    <w:rsid w:val="00A24186"/>
    <w:rsid w:val="00A248FA"/>
    <w:rsid w:val="00A24F63"/>
    <w:rsid w:val="00A36479"/>
    <w:rsid w:val="00A36AE3"/>
    <w:rsid w:val="00A36DCB"/>
    <w:rsid w:val="00A37623"/>
    <w:rsid w:val="00A37B24"/>
    <w:rsid w:val="00A42B87"/>
    <w:rsid w:val="00A42CDD"/>
    <w:rsid w:val="00A44113"/>
    <w:rsid w:val="00A445EE"/>
    <w:rsid w:val="00A46A8E"/>
    <w:rsid w:val="00A50911"/>
    <w:rsid w:val="00A51C1D"/>
    <w:rsid w:val="00A51C97"/>
    <w:rsid w:val="00A55080"/>
    <w:rsid w:val="00A56B0E"/>
    <w:rsid w:val="00A62301"/>
    <w:rsid w:val="00A637FF"/>
    <w:rsid w:val="00A639F2"/>
    <w:rsid w:val="00A70FFC"/>
    <w:rsid w:val="00A7154E"/>
    <w:rsid w:val="00A75450"/>
    <w:rsid w:val="00A76CAC"/>
    <w:rsid w:val="00A77C76"/>
    <w:rsid w:val="00A82E41"/>
    <w:rsid w:val="00A936A9"/>
    <w:rsid w:val="00A95051"/>
    <w:rsid w:val="00A96E5F"/>
    <w:rsid w:val="00AA19E3"/>
    <w:rsid w:val="00AA1EB8"/>
    <w:rsid w:val="00AA3075"/>
    <w:rsid w:val="00AA319B"/>
    <w:rsid w:val="00AA36EA"/>
    <w:rsid w:val="00AA6151"/>
    <w:rsid w:val="00AA7D85"/>
    <w:rsid w:val="00AA7DEE"/>
    <w:rsid w:val="00AB05ED"/>
    <w:rsid w:val="00AB2830"/>
    <w:rsid w:val="00AB3578"/>
    <w:rsid w:val="00AB4CB3"/>
    <w:rsid w:val="00AB70FF"/>
    <w:rsid w:val="00AC0209"/>
    <w:rsid w:val="00AC2311"/>
    <w:rsid w:val="00AC467C"/>
    <w:rsid w:val="00AD213C"/>
    <w:rsid w:val="00AD2F3D"/>
    <w:rsid w:val="00AD3810"/>
    <w:rsid w:val="00AD520B"/>
    <w:rsid w:val="00AD63BE"/>
    <w:rsid w:val="00AE0673"/>
    <w:rsid w:val="00AE1F7C"/>
    <w:rsid w:val="00AE5D85"/>
    <w:rsid w:val="00AF051F"/>
    <w:rsid w:val="00AF5469"/>
    <w:rsid w:val="00AF5E25"/>
    <w:rsid w:val="00AF5E73"/>
    <w:rsid w:val="00AF602C"/>
    <w:rsid w:val="00B005F4"/>
    <w:rsid w:val="00B05F95"/>
    <w:rsid w:val="00B07118"/>
    <w:rsid w:val="00B074BF"/>
    <w:rsid w:val="00B11355"/>
    <w:rsid w:val="00B13680"/>
    <w:rsid w:val="00B1372B"/>
    <w:rsid w:val="00B1559C"/>
    <w:rsid w:val="00B2258E"/>
    <w:rsid w:val="00B24DD3"/>
    <w:rsid w:val="00B26361"/>
    <w:rsid w:val="00B3008E"/>
    <w:rsid w:val="00B330AF"/>
    <w:rsid w:val="00B339BF"/>
    <w:rsid w:val="00B3613A"/>
    <w:rsid w:val="00B42CAE"/>
    <w:rsid w:val="00B4410D"/>
    <w:rsid w:val="00B4517E"/>
    <w:rsid w:val="00B451B3"/>
    <w:rsid w:val="00B51FBF"/>
    <w:rsid w:val="00B526F7"/>
    <w:rsid w:val="00B52E5C"/>
    <w:rsid w:val="00B53F2A"/>
    <w:rsid w:val="00B55009"/>
    <w:rsid w:val="00B5529F"/>
    <w:rsid w:val="00B568F2"/>
    <w:rsid w:val="00B60292"/>
    <w:rsid w:val="00B61DF9"/>
    <w:rsid w:val="00B62118"/>
    <w:rsid w:val="00B669D3"/>
    <w:rsid w:val="00B66CD9"/>
    <w:rsid w:val="00B66D1A"/>
    <w:rsid w:val="00B725FE"/>
    <w:rsid w:val="00B7271A"/>
    <w:rsid w:val="00B72F24"/>
    <w:rsid w:val="00B73103"/>
    <w:rsid w:val="00B73181"/>
    <w:rsid w:val="00B734E7"/>
    <w:rsid w:val="00B7350F"/>
    <w:rsid w:val="00B74874"/>
    <w:rsid w:val="00B74A75"/>
    <w:rsid w:val="00B75100"/>
    <w:rsid w:val="00B75A3D"/>
    <w:rsid w:val="00B77C58"/>
    <w:rsid w:val="00B834F0"/>
    <w:rsid w:val="00B92901"/>
    <w:rsid w:val="00B92E02"/>
    <w:rsid w:val="00B93B08"/>
    <w:rsid w:val="00BA2749"/>
    <w:rsid w:val="00BA29CB"/>
    <w:rsid w:val="00BA2B32"/>
    <w:rsid w:val="00BA504D"/>
    <w:rsid w:val="00BA7CB6"/>
    <w:rsid w:val="00BB0091"/>
    <w:rsid w:val="00BB073E"/>
    <w:rsid w:val="00BB3AB0"/>
    <w:rsid w:val="00BB3B52"/>
    <w:rsid w:val="00BB422E"/>
    <w:rsid w:val="00BB62B0"/>
    <w:rsid w:val="00BC2E8F"/>
    <w:rsid w:val="00BD1C5B"/>
    <w:rsid w:val="00BD2F1B"/>
    <w:rsid w:val="00BD387E"/>
    <w:rsid w:val="00BE31C0"/>
    <w:rsid w:val="00BE4057"/>
    <w:rsid w:val="00BE6E35"/>
    <w:rsid w:val="00BF2049"/>
    <w:rsid w:val="00BF279D"/>
    <w:rsid w:val="00BF27AE"/>
    <w:rsid w:val="00BF7870"/>
    <w:rsid w:val="00C11908"/>
    <w:rsid w:val="00C1358B"/>
    <w:rsid w:val="00C13D14"/>
    <w:rsid w:val="00C17794"/>
    <w:rsid w:val="00C17814"/>
    <w:rsid w:val="00C17F0F"/>
    <w:rsid w:val="00C22EDB"/>
    <w:rsid w:val="00C230A4"/>
    <w:rsid w:val="00C278D1"/>
    <w:rsid w:val="00C3073F"/>
    <w:rsid w:val="00C33A25"/>
    <w:rsid w:val="00C36CF5"/>
    <w:rsid w:val="00C37D06"/>
    <w:rsid w:val="00C430F5"/>
    <w:rsid w:val="00C51EA9"/>
    <w:rsid w:val="00C56174"/>
    <w:rsid w:val="00C572AA"/>
    <w:rsid w:val="00C574E5"/>
    <w:rsid w:val="00C666A9"/>
    <w:rsid w:val="00C67A76"/>
    <w:rsid w:val="00C70186"/>
    <w:rsid w:val="00C70519"/>
    <w:rsid w:val="00C71FEF"/>
    <w:rsid w:val="00C724E8"/>
    <w:rsid w:val="00C732E2"/>
    <w:rsid w:val="00C75707"/>
    <w:rsid w:val="00C76A18"/>
    <w:rsid w:val="00C808AD"/>
    <w:rsid w:val="00C80A95"/>
    <w:rsid w:val="00C81C28"/>
    <w:rsid w:val="00C82C56"/>
    <w:rsid w:val="00C83029"/>
    <w:rsid w:val="00C835C2"/>
    <w:rsid w:val="00C8595C"/>
    <w:rsid w:val="00C87702"/>
    <w:rsid w:val="00C90EE2"/>
    <w:rsid w:val="00CA1DA2"/>
    <w:rsid w:val="00CA2156"/>
    <w:rsid w:val="00CA4E93"/>
    <w:rsid w:val="00CA6C89"/>
    <w:rsid w:val="00CB01A2"/>
    <w:rsid w:val="00CB09AD"/>
    <w:rsid w:val="00CB0A25"/>
    <w:rsid w:val="00CB265E"/>
    <w:rsid w:val="00CB3843"/>
    <w:rsid w:val="00CB50EA"/>
    <w:rsid w:val="00CB7BF1"/>
    <w:rsid w:val="00CC2B5A"/>
    <w:rsid w:val="00CC5E17"/>
    <w:rsid w:val="00CC75E4"/>
    <w:rsid w:val="00CC78E7"/>
    <w:rsid w:val="00CD253F"/>
    <w:rsid w:val="00CD3E19"/>
    <w:rsid w:val="00CD48B7"/>
    <w:rsid w:val="00CD4B06"/>
    <w:rsid w:val="00CD5641"/>
    <w:rsid w:val="00CD59E7"/>
    <w:rsid w:val="00CE2EB8"/>
    <w:rsid w:val="00CE3455"/>
    <w:rsid w:val="00CE4631"/>
    <w:rsid w:val="00CE689E"/>
    <w:rsid w:val="00CE7352"/>
    <w:rsid w:val="00CF00AC"/>
    <w:rsid w:val="00CF15ED"/>
    <w:rsid w:val="00CF2A68"/>
    <w:rsid w:val="00D02E1A"/>
    <w:rsid w:val="00D02E33"/>
    <w:rsid w:val="00D05D73"/>
    <w:rsid w:val="00D07867"/>
    <w:rsid w:val="00D1166B"/>
    <w:rsid w:val="00D13B0E"/>
    <w:rsid w:val="00D21122"/>
    <w:rsid w:val="00D238D7"/>
    <w:rsid w:val="00D24673"/>
    <w:rsid w:val="00D24E2B"/>
    <w:rsid w:val="00D25B77"/>
    <w:rsid w:val="00D266C6"/>
    <w:rsid w:val="00D30EDF"/>
    <w:rsid w:val="00D33A70"/>
    <w:rsid w:val="00D35FF8"/>
    <w:rsid w:val="00D3608C"/>
    <w:rsid w:val="00D37547"/>
    <w:rsid w:val="00D37A63"/>
    <w:rsid w:val="00D42988"/>
    <w:rsid w:val="00D43D87"/>
    <w:rsid w:val="00D47A3E"/>
    <w:rsid w:val="00D552AE"/>
    <w:rsid w:val="00D56981"/>
    <w:rsid w:val="00D60701"/>
    <w:rsid w:val="00D6187D"/>
    <w:rsid w:val="00D63BFB"/>
    <w:rsid w:val="00D64DEF"/>
    <w:rsid w:val="00D7084F"/>
    <w:rsid w:val="00D70E50"/>
    <w:rsid w:val="00D712B1"/>
    <w:rsid w:val="00D777B3"/>
    <w:rsid w:val="00D81315"/>
    <w:rsid w:val="00D81BAE"/>
    <w:rsid w:val="00D844A9"/>
    <w:rsid w:val="00D87967"/>
    <w:rsid w:val="00D909EB"/>
    <w:rsid w:val="00D90C5D"/>
    <w:rsid w:val="00D90F1A"/>
    <w:rsid w:val="00D91053"/>
    <w:rsid w:val="00D96C07"/>
    <w:rsid w:val="00DA02FE"/>
    <w:rsid w:val="00DA45AE"/>
    <w:rsid w:val="00DA4FD5"/>
    <w:rsid w:val="00DA78D8"/>
    <w:rsid w:val="00DA7EB1"/>
    <w:rsid w:val="00DB11D1"/>
    <w:rsid w:val="00DB2E25"/>
    <w:rsid w:val="00DB795D"/>
    <w:rsid w:val="00DC1107"/>
    <w:rsid w:val="00DC1F67"/>
    <w:rsid w:val="00DC24D2"/>
    <w:rsid w:val="00DC3181"/>
    <w:rsid w:val="00DC3654"/>
    <w:rsid w:val="00DD0D37"/>
    <w:rsid w:val="00DD2312"/>
    <w:rsid w:val="00DD4589"/>
    <w:rsid w:val="00DD4A2B"/>
    <w:rsid w:val="00DD6C86"/>
    <w:rsid w:val="00DD7D90"/>
    <w:rsid w:val="00DE245D"/>
    <w:rsid w:val="00DE274C"/>
    <w:rsid w:val="00DE27A5"/>
    <w:rsid w:val="00DE2C35"/>
    <w:rsid w:val="00DE2C81"/>
    <w:rsid w:val="00DE38DB"/>
    <w:rsid w:val="00DF369C"/>
    <w:rsid w:val="00E00477"/>
    <w:rsid w:val="00E10D6B"/>
    <w:rsid w:val="00E12EA3"/>
    <w:rsid w:val="00E13C1D"/>
    <w:rsid w:val="00E15646"/>
    <w:rsid w:val="00E17BCF"/>
    <w:rsid w:val="00E17EF4"/>
    <w:rsid w:val="00E21241"/>
    <w:rsid w:val="00E25859"/>
    <w:rsid w:val="00E30592"/>
    <w:rsid w:val="00E322F7"/>
    <w:rsid w:val="00E36579"/>
    <w:rsid w:val="00E3741A"/>
    <w:rsid w:val="00E413B5"/>
    <w:rsid w:val="00E431B2"/>
    <w:rsid w:val="00E4533C"/>
    <w:rsid w:val="00E51AA2"/>
    <w:rsid w:val="00E55D17"/>
    <w:rsid w:val="00E55E45"/>
    <w:rsid w:val="00E560A7"/>
    <w:rsid w:val="00E57AF7"/>
    <w:rsid w:val="00E62A25"/>
    <w:rsid w:val="00E63324"/>
    <w:rsid w:val="00E65704"/>
    <w:rsid w:val="00E675CC"/>
    <w:rsid w:val="00E72196"/>
    <w:rsid w:val="00E7359E"/>
    <w:rsid w:val="00E74210"/>
    <w:rsid w:val="00E75155"/>
    <w:rsid w:val="00E76C25"/>
    <w:rsid w:val="00E77FE9"/>
    <w:rsid w:val="00E82B2C"/>
    <w:rsid w:val="00E92610"/>
    <w:rsid w:val="00E926C0"/>
    <w:rsid w:val="00E93C65"/>
    <w:rsid w:val="00E971AD"/>
    <w:rsid w:val="00E977EB"/>
    <w:rsid w:val="00E97ADD"/>
    <w:rsid w:val="00EA2B3F"/>
    <w:rsid w:val="00EA3D9C"/>
    <w:rsid w:val="00EA7F86"/>
    <w:rsid w:val="00EB0A7E"/>
    <w:rsid w:val="00EB4B6E"/>
    <w:rsid w:val="00EC108F"/>
    <w:rsid w:val="00EC31CB"/>
    <w:rsid w:val="00EC54B6"/>
    <w:rsid w:val="00EC6909"/>
    <w:rsid w:val="00ED0E21"/>
    <w:rsid w:val="00ED3AEC"/>
    <w:rsid w:val="00ED7992"/>
    <w:rsid w:val="00EE0103"/>
    <w:rsid w:val="00EE21B7"/>
    <w:rsid w:val="00EE5EDB"/>
    <w:rsid w:val="00EE62D8"/>
    <w:rsid w:val="00EE6B9C"/>
    <w:rsid w:val="00EF107B"/>
    <w:rsid w:val="00EF1EC0"/>
    <w:rsid w:val="00EF35E4"/>
    <w:rsid w:val="00EF4702"/>
    <w:rsid w:val="00F00CB1"/>
    <w:rsid w:val="00F014D4"/>
    <w:rsid w:val="00F047F8"/>
    <w:rsid w:val="00F06D1F"/>
    <w:rsid w:val="00F10568"/>
    <w:rsid w:val="00F1070F"/>
    <w:rsid w:val="00F115E2"/>
    <w:rsid w:val="00F11E92"/>
    <w:rsid w:val="00F1238F"/>
    <w:rsid w:val="00F173D3"/>
    <w:rsid w:val="00F20415"/>
    <w:rsid w:val="00F2482E"/>
    <w:rsid w:val="00F24B15"/>
    <w:rsid w:val="00F24D79"/>
    <w:rsid w:val="00F271B4"/>
    <w:rsid w:val="00F3016C"/>
    <w:rsid w:val="00F312BF"/>
    <w:rsid w:val="00F361EE"/>
    <w:rsid w:val="00F37B13"/>
    <w:rsid w:val="00F458B0"/>
    <w:rsid w:val="00F45922"/>
    <w:rsid w:val="00F51059"/>
    <w:rsid w:val="00F5503A"/>
    <w:rsid w:val="00F55425"/>
    <w:rsid w:val="00F55EA3"/>
    <w:rsid w:val="00F560F9"/>
    <w:rsid w:val="00F61ACC"/>
    <w:rsid w:val="00F62722"/>
    <w:rsid w:val="00F62F89"/>
    <w:rsid w:val="00F6322B"/>
    <w:rsid w:val="00F63A75"/>
    <w:rsid w:val="00F65A91"/>
    <w:rsid w:val="00F676E7"/>
    <w:rsid w:val="00F67827"/>
    <w:rsid w:val="00F7015D"/>
    <w:rsid w:val="00F708CA"/>
    <w:rsid w:val="00F74F5F"/>
    <w:rsid w:val="00F821E7"/>
    <w:rsid w:val="00F83A41"/>
    <w:rsid w:val="00F86E0F"/>
    <w:rsid w:val="00F87A8D"/>
    <w:rsid w:val="00F90E9C"/>
    <w:rsid w:val="00F92837"/>
    <w:rsid w:val="00F938B0"/>
    <w:rsid w:val="00F93E51"/>
    <w:rsid w:val="00F97453"/>
    <w:rsid w:val="00F97985"/>
    <w:rsid w:val="00FA6794"/>
    <w:rsid w:val="00FB0318"/>
    <w:rsid w:val="00FB3884"/>
    <w:rsid w:val="00FB5C1A"/>
    <w:rsid w:val="00FB70EE"/>
    <w:rsid w:val="00FC55C3"/>
    <w:rsid w:val="00FC597E"/>
    <w:rsid w:val="00FD0217"/>
    <w:rsid w:val="00FD0AF0"/>
    <w:rsid w:val="00FD1B3A"/>
    <w:rsid w:val="00FE1998"/>
    <w:rsid w:val="00FE2481"/>
    <w:rsid w:val="00FE27BA"/>
    <w:rsid w:val="00FE2A5B"/>
    <w:rsid w:val="00FE4101"/>
    <w:rsid w:val="00FF079D"/>
    <w:rsid w:val="00FF25B8"/>
    <w:rsid w:val="00FF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9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708"/>
    <w:pPr>
      <w:spacing w:line="240" w:lineRule="atLeast"/>
    </w:pPr>
    <w:rPr>
      <w:rFonts w:ascii="Garamond" w:eastAsia="Times New Roman" w:hAnsi="Garamond"/>
      <w:sz w:val="24"/>
    </w:rPr>
  </w:style>
  <w:style w:type="paragraph" w:styleId="Heading1">
    <w:name w:val="heading 1"/>
    <w:aliases w:val="H1-Sec.Head"/>
    <w:basedOn w:val="Normal"/>
    <w:next w:val="L1-FlLSp12"/>
    <w:link w:val="Heading1Char"/>
    <w:qFormat/>
    <w:rsid w:val="00A23708"/>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A23708"/>
    <w:pPr>
      <w:outlineLvl w:val="1"/>
    </w:pPr>
    <w:rPr>
      <w:sz w:val="28"/>
    </w:rPr>
  </w:style>
  <w:style w:type="paragraph" w:styleId="Heading3">
    <w:name w:val="heading 3"/>
    <w:aliases w:val="H3-Sec. Head"/>
    <w:basedOn w:val="Heading1"/>
    <w:next w:val="L1-FlLSp12"/>
    <w:link w:val="Heading3Char"/>
    <w:qFormat/>
    <w:rsid w:val="00A23708"/>
    <w:pPr>
      <w:outlineLvl w:val="2"/>
    </w:pPr>
    <w:rPr>
      <w:color w:val="auto"/>
      <w:sz w:val="24"/>
    </w:rPr>
  </w:style>
  <w:style w:type="paragraph" w:styleId="Heading4">
    <w:name w:val="heading 4"/>
    <w:aliases w:val="H4 Sec.Heading"/>
    <w:basedOn w:val="Heading1"/>
    <w:next w:val="L1-FlLSp12"/>
    <w:link w:val="Heading4Char"/>
    <w:qFormat/>
    <w:rsid w:val="00A23708"/>
    <w:pPr>
      <w:outlineLvl w:val="3"/>
    </w:pPr>
    <w:rPr>
      <w:i/>
      <w:color w:val="auto"/>
      <w:sz w:val="24"/>
    </w:rPr>
  </w:style>
  <w:style w:type="paragraph" w:styleId="Heading5">
    <w:name w:val="heading 5"/>
    <w:basedOn w:val="Normal"/>
    <w:next w:val="Normal"/>
    <w:link w:val="Heading5Char"/>
    <w:qFormat/>
    <w:rsid w:val="00A23708"/>
    <w:pPr>
      <w:keepLines/>
      <w:spacing w:before="360" w:line="360" w:lineRule="atLeast"/>
      <w:jc w:val="center"/>
      <w:outlineLvl w:val="4"/>
    </w:pPr>
  </w:style>
  <w:style w:type="paragraph" w:styleId="Heading6">
    <w:name w:val="heading 6"/>
    <w:basedOn w:val="Normal"/>
    <w:next w:val="Normal"/>
    <w:link w:val="Heading6Char"/>
    <w:qFormat/>
    <w:rsid w:val="00A23708"/>
    <w:pPr>
      <w:keepNext/>
      <w:spacing w:before="240"/>
      <w:jc w:val="center"/>
      <w:outlineLvl w:val="5"/>
    </w:pPr>
    <w:rPr>
      <w:b/>
      <w:caps/>
    </w:rPr>
  </w:style>
  <w:style w:type="paragraph" w:styleId="Heading7">
    <w:name w:val="heading 7"/>
    <w:basedOn w:val="Normal"/>
    <w:next w:val="Normal"/>
    <w:link w:val="Heading7Char"/>
    <w:qFormat/>
    <w:rsid w:val="00A2370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Sec. Head Char"/>
    <w:link w:val="Heading3"/>
    <w:rsid w:val="008F5FA1"/>
    <w:rPr>
      <w:rFonts w:ascii="Franklin Gothic Medium" w:eastAsia="Times New Roman" w:hAnsi="Franklin Gothic Medium"/>
      <w:b/>
      <w:sz w:val="24"/>
    </w:rPr>
  </w:style>
  <w:style w:type="character" w:customStyle="1" w:styleId="Heading1Char">
    <w:name w:val="Heading 1 Char"/>
    <w:aliases w:val="H1-Sec.Head Char"/>
    <w:link w:val="Heading1"/>
    <w:rsid w:val="008F5FA1"/>
    <w:rPr>
      <w:rFonts w:ascii="Franklin Gothic Medium" w:eastAsia="Times New Roman" w:hAnsi="Franklin Gothic Medium"/>
      <w:b/>
      <w:color w:val="324162"/>
      <w:sz w:val="32"/>
    </w:rPr>
  </w:style>
  <w:style w:type="paragraph" w:customStyle="1" w:styleId="L1-FlLSp12">
    <w:name w:val="L1-FlL Sp&amp;1/2"/>
    <w:basedOn w:val="Normal"/>
    <w:link w:val="L1-FlLSp12Char"/>
    <w:rsid w:val="00A23708"/>
    <w:pPr>
      <w:tabs>
        <w:tab w:val="left" w:pos="1152"/>
      </w:tabs>
      <w:spacing w:line="360" w:lineRule="atLeast"/>
    </w:pPr>
  </w:style>
  <w:style w:type="paragraph" w:customStyle="1" w:styleId="TT-TableTitle">
    <w:name w:val="TT-Table Title"/>
    <w:basedOn w:val="Heading1"/>
    <w:link w:val="TT-TableTitleChar"/>
    <w:rsid w:val="00A23708"/>
    <w:pPr>
      <w:tabs>
        <w:tab w:val="clear" w:pos="1152"/>
        <w:tab w:val="left" w:pos="1440"/>
      </w:tabs>
      <w:spacing w:after="0" w:line="240" w:lineRule="atLeast"/>
      <w:ind w:left="1440" w:hanging="1440"/>
    </w:pPr>
    <w:rPr>
      <w:b w:val="0"/>
      <w:color w:val="auto"/>
      <w:sz w:val="22"/>
    </w:rPr>
  </w:style>
  <w:style w:type="paragraph" w:customStyle="1" w:styleId="TF-TblFN">
    <w:name w:val="TF-Tbl FN"/>
    <w:basedOn w:val="FootnoteText"/>
    <w:rsid w:val="00A23708"/>
    <w:rPr>
      <w:rFonts w:ascii="Franklin Gothic Medium" w:hAnsi="Franklin Gothic Medium"/>
      <w:sz w:val="18"/>
    </w:rPr>
  </w:style>
  <w:style w:type="paragraph" w:customStyle="1" w:styleId="TH-TableHeading">
    <w:name w:val="TH-Table Heading"/>
    <w:basedOn w:val="Heading1"/>
    <w:rsid w:val="00A23708"/>
    <w:pPr>
      <w:spacing w:after="0" w:line="240" w:lineRule="atLeast"/>
      <w:ind w:left="0" w:firstLine="0"/>
      <w:jc w:val="center"/>
    </w:pPr>
    <w:rPr>
      <w:color w:val="auto"/>
      <w:sz w:val="20"/>
    </w:rPr>
  </w:style>
  <w:style w:type="paragraph" w:customStyle="1" w:styleId="TX-TableText">
    <w:name w:val="TX-Table Text"/>
    <w:basedOn w:val="Normal"/>
    <w:rsid w:val="00A23708"/>
    <w:rPr>
      <w:rFonts w:ascii="Franklin Gothic Medium" w:hAnsi="Franklin Gothic Medium"/>
      <w:sz w:val="20"/>
    </w:rPr>
  </w:style>
  <w:style w:type="character" w:customStyle="1" w:styleId="TT-TableTitleChar">
    <w:name w:val="TT-Table Title Char"/>
    <w:link w:val="TT-TableTitle"/>
    <w:rsid w:val="008F5FA1"/>
    <w:rPr>
      <w:rFonts w:ascii="Franklin Gothic Medium" w:eastAsia="Times New Roman" w:hAnsi="Franklin Gothic Medium"/>
      <w:sz w:val="22"/>
    </w:rPr>
  </w:style>
  <w:style w:type="character" w:customStyle="1" w:styleId="L1-FlLSp12Char">
    <w:name w:val="L1-FlL Sp&amp;1/2 Char"/>
    <w:link w:val="L1-FlLSp12"/>
    <w:rsid w:val="008F5FA1"/>
    <w:rPr>
      <w:rFonts w:ascii="Garamond" w:eastAsia="Times New Roman" w:hAnsi="Garamond"/>
      <w:sz w:val="24"/>
    </w:rPr>
  </w:style>
  <w:style w:type="paragraph" w:styleId="FootnoteText">
    <w:name w:val="footnote text"/>
    <w:aliases w:val="F1"/>
    <w:link w:val="FootnoteTextChar"/>
    <w:rsid w:val="00A23708"/>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link w:val="FootnoteText"/>
    <w:rsid w:val="008F5FA1"/>
    <w:rPr>
      <w:rFonts w:ascii="Garamond" w:eastAsia="Times New Roman" w:hAnsi="Garamond"/>
      <w:sz w:val="16"/>
    </w:rPr>
  </w:style>
  <w:style w:type="paragraph" w:customStyle="1" w:styleId="N1-1stBullet">
    <w:name w:val="N1-1st Bullet"/>
    <w:basedOn w:val="Normal"/>
    <w:rsid w:val="00A23708"/>
    <w:pPr>
      <w:numPr>
        <w:numId w:val="16"/>
      </w:numPr>
      <w:spacing w:after="240"/>
    </w:pPr>
  </w:style>
  <w:style w:type="paragraph" w:customStyle="1" w:styleId="N7-3Block">
    <w:name w:val="N7-3&quot; Block"/>
    <w:basedOn w:val="Normal"/>
    <w:rsid w:val="00A23708"/>
    <w:pPr>
      <w:tabs>
        <w:tab w:val="left" w:pos="1152"/>
      </w:tabs>
      <w:ind w:left="1152" w:right="1152"/>
    </w:pPr>
  </w:style>
  <w:style w:type="character" w:customStyle="1" w:styleId="Heading2Char">
    <w:name w:val="Heading 2 Char"/>
    <w:aliases w:val="H2-Sec. Head Char"/>
    <w:link w:val="Heading2"/>
    <w:rsid w:val="002F7ABC"/>
    <w:rPr>
      <w:rFonts w:ascii="Franklin Gothic Medium" w:eastAsia="Times New Roman" w:hAnsi="Franklin Gothic Medium"/>
      <w:b/>
      <w:color w:val="324162"/>
      <w:sz w:val="28"/>
    </w:rPr>
  </w:style>
  <w:style w:type="paragraph" w:styleId="Header">
    <w:name w:val="header"/>
    <w:basedOn w:val="Normal"/>
    <w:link w:val="HeaderChar"/>
    <w:rsid w:val="00A23708"/>
    <w:rPr>
      <w:sz w:val="16"/>
    </w:rPr>
  </w:style>
  <w:style w:type="character" w:customStyle="1" w:styleId="HeaderChar">
    <w:name w:val="Header Char"/>
    <w:link w:val="Header"/>
    <w:rsid w:val="002F7ABC"/>
    <w:rPr>
      <w:rFonts w:ascii="Garamond" w:eastAsia="Times New Roman" w:hAnsi="Garamond"/>
      <w:sz w:val="16"/>
    </w:rPr>
  </w:style>
  <w:style w:type="paragraph" w:customStyle="1" w:styleId="C1-CtrBoldHd">
    <w:name w:val="C1-Ctr BoldHd"/>
    <w:rsid w:val="00A23708"/>
    <w:pPr>
      <w:keepNext/>
      <w:spacing w:after="720" w:line="240" w:lineRule="atLeast"/>
      <w:jc w:val="center"/>
    </w:pPr>
    <w:rPr>
      <w:rFonts w:ascii="Franklin Gothic Medium" w:eastAsia="Times New Roman" w:hAnsi="Franklin Gothic Medium"/>
      <w:b/>
      <w:color w:val="324162"/>
      <w:sz w:val="28"/>
    </w:rPr>
  </w:style>
  <w:style w:type="paragraph" w:customStyle="1" w:styleId="C2-CtrSglSp">
    <w:name w:val="C2-Ctr Sgl Sp"/>
    <w:basedOn w:val="Normal"/>
    <w:rsid w:val="00A23708"/>
    <w:pPr>
      <w:keepLines/>
      <w:jc w:val="center"/>
    </w:pPr>
  </w:style>
  <w:style w:type="paragraph" w:customStyle="1" w:styleId="CT-ContractInformation">
    <w:name w:val="CT-Contract Information"/>
    <w:basedOn w:val="Normal"/>
    <w:rsid w:val="00A23708"/>
    <w:pPr>
      <w:tabs>
        <w:tab w:val="left" w:pos="2232"/>
      </w:tabs>
      <w:spacing w:line="240" w:lineRule="exact"/>
    </w:pPr>
    <w:rPr>
      <w:vanish/>
    </w:rPr>
  </w:style>
  <w:style w:type="character" w:styleId="Hyperlink">
    <w:name w:val="Hyperlink"/>
    <w:uiPriority w:val="99"/>
    <w:unhideWhenUsed/>
    <w:rsid w:val="006C72BD"/>
    <w:rPr>
      <w:color w:val="0000FF"/>
      <w:u w:val="single"/>
    </w:rPr>
  </w:style>
  <w:style w:type="paragraph" w:customStyle="1" w:styleId="E1-Equation">
    <w:name w:val="E1-Equation"/>
    <w:basedOn w:val="Normal"/>
    <w:rsid w:val="00A23708"/>
    <w:pPr>
      <w:tabs>
        <w:tab w:val="center" w:pos="4680"/>
        <w:tab w:val="right" w:pos="9360"/>
      </w:tabs>
    </w:pPr>
  </w:style>
  <w:style w:type="paragraph" w:customStyle="1" w:styleId="E2-Equation">
    <w:name w:val="E2-Equation"/>
    <w:basedOn w:val="Normal"/>
    <w:rsid w:val="00A23708"/>
    <w:pPr>
      <w:tabs>
        <w:tab w:val="right" w:pos="1152"/>
        <w:tab w:val="center" w:pos="1440"/>
        <w:tab w:val="left" w:pos="1728"/>
      </w:tabs>
      <w:ind w:left="1728" w:hanging="1728"/>
    </w:pPr>
  </w:style>
  <w:style w:type="paragraph" w:styleId="Footer">
    <w:name w:val="footer"/>
    <w:basedOn w:val="Normal"/>
    <w:link w:val="FooterChar"/>
    <w:rsid w:val="00A23708"/>
  </w:style>
  <w:style w:type="character" w:customStyle="1" w:styleId="FooterChar">
    <w:name w:val="Footer Char"/>
    <w:basedOn w:val="DefaultParagraphFont"/>
    <w:link w:val="Footer"/>
    <w:rsid w:val="00A23708"/>
    <w:rPr>
      <w:rFonts w:ascii="Garamond" w:eastAsia="Times New Roman" w:hAnsi="Garamond"/>
      <w:sz w:val="24"/>
    </w:rPr>
  </w:style>
  <w:style w:type="table" w:customStyle="1" w:styleId="TableWestatStandardFormat">
    <w:name w:val="Table Westat Standard Format"/>
    <w:basedOn w:val="TableNormal"/>
    <w:rsid w:val="00A23708"/>
    <w:rPr>
      <w:rFonts w:ascii="Franklin Gothic Medium" w:eastAsia="Times New Roman"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Header-1">
    <w:name w:val="Header-1"/>
    <w:basedOn w:val="Heading1"/>
    <w:rsid w:val="00A23708"/>
    <w:pPr>
      <w:tabs>
        <w:tab w:val="clear" w:pos="1152"/>
      </w:tabs>
      <w:spacing w:after="0" w:line="240" w:lineRule="atLeast"/>
      <w:jc w:val="right"/>
    </w:pPr>
    <w:rPr>
      <w:sz w:val="20"/>
    </w:rPr>
  </w:style>
  <w:style w:type="paragraph" w:styleId="NoSpacing">
    <w:name w:val="No Spacing"/>
    <w:uiPriority w:val="1"/>
    <w:qFormat/>
    <w:rsid w:val="00A025DC"/>
    <w:rPr>
      <w:rFonts w:ascii="Calibri" w:hAnsi="Calibri"/>
      <w:sz w:val="22"/>
      <w:szCs w:val="22"/>
      <w:lang w:bidi="en-US"/>
    </w:rPr>
  </w:style>
  <w:style w:type="paragraph" w:customStyle="1" w:styleId="C3-CtrSp12">
    <w:name w:val="C3-Ctr Sp&amp;1/2"/>
    <w:basedOn w:val="Normal"/>
    <w:rsid w:val="00A23708"/>
    <w:pPr>
      <w:keepLines/>
      <w:spacing w:line="360" w:lineRule="atLeast"/>
      <w:jc w:val="center"/>
    </w:pPr>
  </w:style>
  <w:style w:type="paragraph" w:customStyle="1" w:styleId="Heading0">
    <w:name w:val="Heading 0"/>
    <w:aliases w:val="H0-Chap Head"/>
    <w:basedOn w:val="Heading1"/>
    <w:rsid w:val="00A23708"/>
    <w:pPr>
      <w:tabs>
        <w:tab w:val="clear" w:pos="1152"/>
      </w:tabs>
      <w:spacing w:after="0"/>
      <w:ind w:left="0" w:firstLine="0"/>
      <w:jc w:val="right"/>
    </w:pPr>
    <w:rPr>
      <w:sz w:val="40"/>
    </w:rPr>
  </w:style>
  <w:style w:type="character" w:customStyle="1" w:styleId="Heading4Char">
    <w:name w:val="Heading 4 Char"/>
    <w:aliases w:val="H4 Sec.Heading Char"/>
    <w:basedOn w:val="DefaultParagraphFont"/>
    <w:link w:val="Heading4"/>
    <w:rsid w:val="00A23708"/>
    <w:rPr>
      <w:rFonts w:ascii="Franklin Gothic Medium" w:eastAsia="Times New Roman" w:hAnsi="Franklin Gothic Medium"/>
      <w:b/>
      <w:i/>
      <w:sz w:val="24"/>
    </w:rPr>
  </w:style>
  <w:style w:type="character" w:customStyle="1" w:styleId="Heading5Char">
    <w:name w:val="Heading 5 Char"/>
    <w:basedOn w:val="DefaultParagraphFont"/>
    <w:link w:val="Heading5"/>
    <w:rsid w:val="00A23708"/>
    <w:rPr>
      <w:rFonts w:ascii="Garamond" w:eastAsia="Times New Roman" w:hAnsi="Garamond"/>
      <w:sz w:val="24"/>
    </w:rPr>
  </w:style>
  <w:style w:type="character" w:customStyle="1" w:styleId="Heading6Char">
    <w:name w:val="Heading 6 Char"/>
    <w:basedOn w:val="DefaultParagraphFont"/>
    <w:link w:val="Heading6"/>
    <w:rsid w:val="00A23708"/>
    <w:rPr>
      <w:rFonts w:ascii="Garamond" w:eastAsia="Times New Roman" w:hAnsi="Garamond"/>
      <w:b/>
      <w:caps/>
      <w:sz w:val="24"/>
    </w:rPr>
  </w:style>
  <w:style w:type="character" w:customStyle="1" w:styleId="Heading7Char">
    <w:name w:val="Heading 7 Char"/>
    <w:basedOn w:val="DefaultParagraphFont"/>
    <w:link w:val="Heading7"/>
    <w:rsid w:val="00A23708"/>
    <w:rPr>
      <w:rFonts w:ascii="Garamond" w:eastAsia="Times New Roman" w:hAnsi="Garamond"/>
      <w:sz w:val="24"/>
    </w:rPr>
  </w:style>
  <w:style w:type="paragraph" w:customStyle="1" w:styleId="N0-FlLftBullet">
    <w:name w:val="N0-Fl Lft Bullet"/>
    <w:basedOn w:val="Normal"/>
    <w:rsid w:val="00A23708"/>
    <w:pPr>
      <w:tabs>
        <w:tab w:val="left" w:pos="576"/>
      </w:tabs>
      <w:spacing w:after="240"/>
      <w:ind w:left="576" w:hanging="576"/>
    </w:pPr>
  </w:style>
  <w:style w:type="paragraph" w:customStyle="1" w:styleId="N2-2ndBullet">
    <w:name w:val="N2-2nd Bullet"/>
    <w:basedOn w:val="Normal"/>
    <w:rsid w:val="00A23708"/>
    <w:pPr>
      <w:numPr>
        <w:numId w:val="17"/>
      </w:numPr>
      <w:spacing w:after="240"/>
    </w:pPr>
  </w:style>
  <w:style w:type="paragraph" w:customStyle="1" w:styleId="N3-3rdBullet">
    <w:name w:val="N3-3rd Bullet"/>
    <w:basedOn w:val="Normal"/>
    <w:rsid w:val="00A23708"/>
    <w:pPr>
      <w:numPr>
        <w:numId w:val="18"/>
      </w:numPr>
      <w:spacing w:after="240"/>
    </w:pPr>
  </w:style>
  <w:style w:type="paragraph" w:customStyle="1" w:styleId="N4-4thBullet">
    <w:name w:val="N4-4th Bullet"/>
    <w:basedOn w:val="Normal"/>
    <w:rsid w:val="00A23708"/>
    <w:pPr>
      <w:numPr>
        <w:numId w:val="19"/>
      </w:numPr>
      <w:spacing w:after="240"/>
    </w:pPr>
  </w:style>
  <w:style w:type="paragraph" w:customStyle="1" w:styleId="Default">
    <w:name w:val="Default"/>
    <w:rsid w:val="0011137D"/>
    <w:pPr>
      <w:autoSpaceDE w:val="0"/>
      <w:autoSpaceDN w:val="0"/>
      <w:adjustRightInd w:val="0"/>
    </w:pPr>
    <w:rPr>
      <w:color w:val="000000"/>
      <w:sz w:val="24"/>
      <w:szCs w:val="24"/>
    </w:rPr>
  </w:style>
  <w:style w:type="paragraph" w:customStyle="1" w:styleId="N5-5thBullet">
    <w:name w:val="N5-5th Bullet"/>
    <w:basedOn w:val="Normal"/>
    <w:rsid w:val="00A23708"/>
    <w:pPr>
      <w:tabs>
        <w:tab w:val="left" w:pos="3456"/>
      </w:tabs>
      <w:spacing w:after="240"/>
      <w:ind w:left="3456" w:hanging="576"/>
    </w:pPr>
  </w:style>
  <w:style w:type="paragraph" w:customStyle="1" w:styleId="N6-DateInd">
    <w:name w:val="N6-Date Ind."/>
    <w:basedOn w:val="Normal"/>
    <w:rsid w:val="00A23708"/>
    <w:pPr>
      <w:tabs>
        <w:tab w:val="left" w:pos="4910"/>
      </w:tabs>
      <w:ind w:left="4910"/>
    </w:pPr>
  </w:style>
  <w:style w:type="paragraph" w:customStyle="1" w:styleId="N8-QxQBlock">
    <w:name w:val="N8-QxQ Block"/>
    <w:basedOn w:val="Normal"/>
    <w:rsid w:val="00A23708"/>
    <w:pPr>
      <w:tabs>
        <w:tab w:val="left" w:pos="1152"/>
      </w:tabs>
      <w:spacing w:after="360" w:line="360" w:lineRule="atLeast"/>
      <w:ind w:left="1152" w:hanging="1152"/>
    </w:pPr>
  </w:style>
  <w:style w:type="paragraph" w:customStyle="1" w:styleId="P1-StandPara">
    <w:name w:val="P1-Stand Para"/>
    <w:basedOn w:val="Normal"/>
    <w:rsid w:val="00A23708"/>
    <w:pPr>
      <w:spacing w:line="360" w:lineRule="atLeast"/>
      <w:ind w:firstLine="1152"/>
    </w:pPr>
  </w:style>
  <w:style w:type="paragraph" w:styleId="Revision">
    <w:name w:val="Revision"/>
    <w:hidden/>
    <w:uiPriority w:val="99"/>
    <w:semiHidden/>
    <w:rsid w:val="00B73103"/>
    <w:rPr>
      <w:sz w:val="24"/>
      <w:szCs w:val="24"/>
    </w:rPr>
  </w:style>
  <w:style w:type="character" w:styleId="PageNumber">
    <w:name w:val="page number"/>
    <w:basedOn w:val="DefaultParagraphFont"/>
    <w:rsid w:val="00A23708"/>
  </w:style>
  <w:style w:type="paragraph" w:customStyle="1" w:styleId="Q1-BestFinQ">
    <w:name w:val="Q1-Best/Fin Q"/>
    <w:basedOn w:val="Heading1"/>
    <w:rsid w:val="00A23708"/>
    <w:pPr>
      <w:spacing w:line="240" w:lineRule="atLeast"/>
      <w:jc w:val="both"/>
    </w:pPr>
    <w:rPr>
      <w:color w:val="auto"/>
      <w:sz w:val="24"/>
    </w:rPr>
  </w:style>
  <w:style w:type="paragraph" w:customStyle="1" w:styleId="SL-FlLftSgl">
    <w:name w:val="SL-Fl Lft Sgl"/>
    <w:basedOn w:val="Normal"/>
    <w:rsid w:val="00A23708"/>
  </w:style>
  <w:style w:type="paragraph" w:customStyle="1" w:styleId="R0-FLLftSglBoldItalic">
    <w:name w:val="R0-FL Lft Sgl Bold Italic"/>
    <w:basedOn w:val="Heading1"/>
    <w:rsid w:val="00A23708"/>
    <w:pPr>
      <w:tabs>
        <w:tab w:val="clear" w:pos="1152"/>
      </w:tabs>
      <w:spacing w:after="0" w:line="240" w:lineRule="atLeast"/>
      <w:ind w:left="0" w:firstLine="0"/>
    </w:pPr>
    <w:rPr>
      <w:rFonts w:cs="Times New Roman Bold"/>
      <w:b w:val="0"/>
      <w:i/>
      <w:color w:val="auto"/>
      <w:sz w:val="24"/>
    </w:rPr>
  </w:style>
  <w:style w:type="paragraph" w:customStyle="1" w:styleId="R1-ResPara">
    <w:name w:val="R1-Res. Para"/>
    <w:rsid w:val="00A23708"/>
    <w:pPr>
      <w:spacing w:line="240" w:lineRule="atLeast"/>
      <w:ind w:left="288"/>
    </w:pPr>
    <w:rPr>
      <w:rFonts w:ascii="Garamond" w:eastAsia="Times New Roman" w:hAnsi="Garamond"/>
      <w:sz w:val="24"/>
    </w:rPr>
  </w:style>
  <w:style w:type="paragraph" w:customStyle="1" w:styleId="R2-ResBullet">
    <w:name w:val="R2-Res Bullet"/>
    <w:basedOn w:val="Normal"/>
    <w:rsid w:val="00A23708"/>
    <w:pPr>
      <w:tabs>
        <w:tab w:val="left" w:pos="720"/>
      </w:tabs>
      <w:ind w:left="720" w:hanging="432"/>
    </w:pPr>
  </w:style>
  <w:style w:type="paragraph" w:customStyle="1" w:styleId="RF-Reference">
    <w:name w:val="RF-Reference"/>
    <w:basedOn w:val="Normal"/>
    <w:rsid w:val="00A23708"/>
    <w:pPr>
      <w:spacing w:line="240" w:lineRule="exact"/>
      <w:ind w:left="216" w:hanging="216"/>
    </w:pPr>
  </w:style>
  <w:style w:type="paragraph" w:customStyle="1" w:styleId="RH-SglSpHead">
    <w:name w:val="RH-Sgl Sp Head"/>
    <w:basedOn w:val="Heading1"/>
    <w:next w:val="Normal"/>
    <w:rsid w:val="00A23708"/>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A23708"/>
    <w:pPr>
      <w:tabs>
        <w:tab w:val="clear" w:pos="1152"/>
      </w:tabs>
      <w:spacing w:after="0" w:line="240" w:lineRule="atLeast"/>
      <w:ind w:left="0" w:firstLine="0"/>
    </w:pPr>
    <w:rPr>
      <w:sz w:val="24"/>
    </w:rPr>
  </w:style>
  <w:style w:type="paragraph" w:customStyle="1" w:styleId="SH-SglSpHead">
    <w:name w:val="SH-Sgl Sp Head"/>
    <w:basedOn w:val="Heading1"/>
    <w:rsid w:val="00A23708"/>
    <w:pPr>
      <w:tabs>
        <w:tab w:val="clear" w:pos="1152"/>
        <w:tab w:val="left" w:pos="576"/>
      </w:tabs>
      <w:spacing w:line="240" w:lineRule="atLeast"/>
      <w:ind w:left="576" w:hanging="576"/>
    </w:pPr>
    <w:rPr>
      <w:b w:val="0"/>
      <w:sz w:val="24"/>
    </w:rPr>
  </w:style>
  <w:style w:type="paragraph" w:customStyle="1" w:styleId="SP-SglSpPara">
    <w:name w:val="SP-Sgl Sp Para"/>
    <w:basedOn w:val="Normal"/>
    <w:rsid w:val="00A23708"/>
    <w:pPr>
      <w:tabs>
        <w:tab w:val="left" w:pos="576"/>
      </w:tabs>
      <w:ind w:firstLine="576"/>
    </w:pPr>
  </w:style>
  <w:style w:type="paragraph" w:customStyle="1" w:styleId="SU-FlLftUndln">
    <w:name w:val="SU-Fl Lft Undln"/>
    <w:basedOn w:val="Normal"/>
    <w:rsid w:val="00A23708"/>
    <w:pPr>
      <w:keepNext/>
      <w:spacing w:line="240" w:lineRule="exact"/>
    </w:pPr>
    <w:rPr>
      <w:u w:val="single"/>
    </w:rPr>
  </w:style>
  <w:style w:type="paragraph" w:customStyle="1" w:styleId="T0-ChapPgHd">
    <w:name w:val="T0-Chap/Pg Hd"/>
    <w:basedOn w:val="Normal"/>
    <w:rsid w:val="00A23708"/>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A23708"/>
    <w:pPr>
      <w:pBdr>
        <w:bottom w:val="single" w:sz="24" w:space="1" w:color="AFBED7"/>
      </w:pBdr>
      <w:tabs>
        <w:tab w:val="clear" w:pos="1152"/>
      </w:tabs>
      <w:spacing w:after="720"/>
      <w:ind w:left="6869" w:firstLine="0"/>
      <w:jc w:val="center"/>
    </w:pPr>
  </w:style>
  <w:style w:type="paragraph" w:styleId="TOC1">
    <w:name w:val="toc 1"/>
    <w:basedOn w:val="Normal"/>
    <w:semiHidden/>
    <w:rsid w:val="00A23708"/>
    <w:pPr>
      <w:tabs>
        <w:tab w:val="left" w:pos="1440"/>
        <w:tab w:val="right" w:leader="dot" w:pos="8208"/>
        <w:tab w:val="left" w:pos="8640"/>
      </w:tabs>
      <w:ind w:left="1440" w:right="1800" w:hanging="1152"/>
    </w:pPr>
  </w:style>
  <w:style w:type="paragraph" w:styleId="TOC2">
    <w:name w:val="toc 2"/>
    <w:basedOn w:val="Normal"/>
    <w:uiPriority w:val="39"/>
    <w:rsid w:val="00A23708"/>
    <w:pPr>
      <w:tabs>
        <w:tab w:val="left" w:pos="2160"/>
        <w:tab w:val="right" w:leader="dot" w:pos="8208"/>
        <w:tab w:val="left" w:pos="8640"/>
      </w:tabs>
      <w:ind w:left="2160" w:right="1800" w:hanging="720"/>
    </w:pPr>
    <w:rPr>
      <w:szCs w:val="22"/>
    </w:rPr>
  </w:style>
  <w:style w:type="paragraph" w:styleId="TOC3">
    <w:name w:val="toc 3"/>
    <w:basedOn w:val="Normal"/>
    <w:uiPriority w:val="39"/>
    <w:rsid w:val="00A23708"/>
    <w:pPr>
      <w:tabs>
        <w:tab w:val="left" w:pos="3024"/>
        <w:tab w:val="right" w:leader="dot" w:pos="8208"/>
        <w:tab w:val="left" w:pos="8640"/>
      </w:tabs>
      <w:ind w:left="3024" w:right="1800" w:hanging="864"/>
    </w:pPr>
  </w:style>
  <w:style w:type="paragraph" w:styleId="TOC4">
    <w:name w:val="toc 4"/>
    <w:basedOn w:val="Normal"/>
    <w:semiHidden/>
    <w:rsid w:val="00A23708"/>
    <w:pPr>
      <w:tabs>
        <w:tab w:val="left" w:pos="3888"/>
        <w:tab w:val="right" w:leader="dot" w:pos="8208"/>
        <w:tab w:val="left" w:pos="8640"/>
      </w:tabs>
      <w:ind w:left="3888" w:right="1800" w:hanging="864"/>
    </w:pPr>
  </w:style>
  <w:style w:type="paragraph" w:styleId="TOC5">
    <w:name w:val="toc 5"/>
    <w:basedOn w:val="Normal"/>
    <w:semiHidden/>
    <w:rsid w:val="00A23708"/>
    <w:pPr>
      <w:tabs>
        <w:tab w:val="left" w:pos="1440"/>
        <w:tab w:val="right" w:leader="dot" w:pos="8208"/>
        <w:tab w:val="left" w:pos="8640"/>
      </w:tabs>
      <w:ind w:left="1440" w:right="1800" w:hanging="1152"/>
    </w:pPr>
  </w:style>
  <w:style w:type="paragraph" w:styleId="TOC6">
    <w:name w:val="toc 6"/>
    <w:semiHidden/>
    <w:rsid w:val="00A23708"/>
    <w:pPr>
      <w:tabs>
        <w:tab w:val="right" w:leader="dot" w:pos="8208"/>
        <w:tab w:val="left" w:pos="8640"/>
      </w:tabs>
      <w:ind w:left="288"/>
    </w:pPr>
    <w:rPr>
      <w:rFonts w:ascii="Garamond" w:eastAsia="Times New Roman" w:hAnsi="Garamond"/>
      <w:sz w:val="24"/>
      <w:szCs w:val="22"/>
    </w:rPr>
  </w:style>
  <w:style w:type="paragraph" w:styleId="TOC7">
    <w:name w:val="toc 7"/>
    <w:semiHidden/>
    <w:rsid w:val="00A23708"/>
    <w:pPr>
      <w:tabs>
        <w:tab w:val="right" w:leader="dot" w:pos="8208"/>
        <w:tab w:val="left" w:pos="8640"/>
      </w:tabs>
      <w:ind w:left="1440"/>
    </w:pPr>
    <w:rPr>
      <w:rFonts w:ascii="Garamond" w:eastAsia="Times New Roman" w:hAnsi="Garamond"/>
      <w:sz w:val="24"/>
      <w:szCs w:val="22"/>
    </w:rPr>
  </w:style>
  <w:style w:type="paragraph" w:styleId="TOC8">
    <w:name w:val="toc 8"/>
    <w:semiHidden/>
    <w:rsid w:val="00A23708"/>
    <w:pPr>
      <w:tabs>
        <w:tab w:val="right" w:leader="dot" w:pos="8208"/>
        <w:tab w:val="left" w:pos="8640"/>
      </w:tabs>
      <w:ind w:left="2160"/>
    </w:pPr>
    <w:rPr>
      <w:rFonts w:ascii="Garamond" w:eastAsia="Times New Roman" w:hAnsi="Garamond"/>
      <w:sz w:val="24"/>
      <w:szCs w:val="22"/>
    </w:rPr>
  </w:style>
  <w:style w:type="paragraph" w:styleId="TOC9">
    <w:name w:val="toc 9"/>
    <w:semiHidden/>
    <w:rsid w:val="00A23708"/>
    <w:pPr>
      <w:tabs>
        <w:tab w:val="right" w:leader="dot" w:pos="8208"/>
        <w:tab w:val="left" w:pos="8640"/>
      </w:tabs>
      <w:ind w:left="3024"/>
    </w:pPr>
    <w:rPr>
      <w:rFonts w:ascii="Garamond" w:eastAsia="Times New Roman" w:hAnsi="Garamond"/>
      <w:sz w:val="24"/>
      <w:szCs w:val="22"/>
    </w:rPr>
  </w:style>
  <w:style w:type="character" w:styleId="CommentReference">
    <w:name w:val="annotation reference"/>
    <w:basedOn w:val="DefaultParagraphFont"/>
    <w:uiPriority w:val="99"/>
    <w:semiHidden/>
    <w:unhideWhenUsed/>
    <w:rsid w:val="00CD59E7"/>
    <w:rPr>
      <w:sz w:val="16"/>
      <w:szCs w:val="16"/>
    </w:rPr>
  </w:style>
  <w:style w:type="paragraph" w:styleId="CommentText">
    <w:name w:val="annotation text"/>
    <w:basedOn w:val="Normal"/>
    <w:link w:val="CommentTextChar"/>
    <w:uiPriority w:val="99"/>
    <w:unhideWhenUsed/>
    <w:rsid w:val="00CD59E7"/>
    <w:pPr>
      <w:spacing w:line="240" w:lineRule="auto"/>
    </w:pPr>
    <w:rPr>
      <w:sz w:val="20"/>
    </w:rPr>
  </w:style>
  <w:style w:type="character" w:customStyle="1" w:styleId="CommentTextChar">
    <w:name w:val="Comment Text Char"/>
    <w:basedOn w:val="DefaultParagraphFont"/>
    <w:link w:val="CommentText"/>
    <w:uiPriority w:val="99"/>
    <w:rsid w:val="00CD59E7"/>
    <w:rPr>
      <w:rFonts w:ascii="Garamond" w:eastAsia="Times New Roman" w:hAnsi="Garamond"/>
    </w:rPr>
  </w:style>
  <w:style w:type="paragraph" w:styleId="CommentSubject">
    <w:name w:val="annotation subject"/>
    <w:basedOn w:val="CommentText"/>
    <w:next w:val="CommentText"/>
    <w:link w:val="CommentSubjectChar"/>
    <w:uiPriority w:val="99"/>
    <w:semiHidden/>
    <w:unhideWhenUsed/>
    <w:rsid w:val="00CD59E7"/>
    <w:rPr>
      <w:b/>
      <w:bCs/>
    </w:rPr>
  </w:style>
  <w:style w:type="character" w:customStyle="1" w:styleId="CommentSubjectChar">
    <w:name w:val="Comment Subject Char"/>
    <w:basedOn w:val="CommentTextChar"/>
    <w:link w:val="CommentSubject"/>
    <w:uiPriority w:val="99"/>
    <w:semiHidden/>
    <w:rsid w:val="00CD59E7"/>
    <w:rPr>
      <w:rFonts w:ascii="Garamond" w:eastAsia="Times New Roman" w:hAnsi="Garamond"/>
      <w:b/>
      <w:bCs/>
    </w:rPr>
  </w:style>
  <w:style w:type="paragraph" w:styleId="BalloonText">
    <w:name w:val="Balloon Text"/>
    <w:basedOn w:val="Normal"/>
    <w:link w:val="BalloonTextChar"/>
    <w:uiPriority w:val="99"/>
    <w:semiHidden/>
    <w:unhideWhenUsed/>
    <w:rsid w:val="00CD59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9E7"/>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7F129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708"/>
    <w:pPr>
      <w:spacing w:line="240" w:lineRule="atLeast"/>
    </w:pPr>
    <w:rPr>
      <w:rFonts w:ascii="Garamond" w:eastAsia="Times New Roman" w:hAnsi="Garamond"/>
      <w:sz w:val="24"/>
    </w:rPr>
  </w:style>
  <w:style w:type="paragraph" w:styleId="Heading1">
    <w:name w:val="heading 1"/>
    <w:aliases w:val="H1-Sec.Head"/>
    <w:basedOn w:val="Normal"/>
    <w:next w:val="L1-FlLSp12"/>
    <w:link w:val="Heading1Char"/>
    <w:qFormat/>
    <w:rsid w:val="00A23708"/>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A23708"/>
    <w:pPr>
      <w:outlineLvl w:val="1"/>
    </w:pPr>
    <w:rPr>
      <w:sz w:val="28"/>
    </w:rPr>
  </w:style>
  <w:style w:type="paragraph" w:styleId="Heading3">
    <w:name w:val="heading 3"/>
    <w:aliases w:val="H3-Sec. Head"/>
    <w:basedOn w:val="Heading1"/>
    <w:next w:val="L1-FlLSp12"/>
    <w:link w:val="Heading3Char"/>
    <w:qFormat/>
    <w:rsid w:val="00A23708"/>
    <w:pPr>
      <w:outlineLvl w:val="2"/>
    </w:pPr>
    <w:rPr>
      <w:color w:val="auto"/>
      <w:sz w:val="24"/>
    </w:rPr>
  </w:style>
  <w:style w:type="paragraph" w:styleId="Heading4">
    <w:name w:val="heading 4"/>
    <w:aliases w:val="H4 Sec.Heading"/>
    <w:basedOn w:val="Heading1"/>
    <w:next w:val="L1-FlLSp12"/>
    <w:link w:val="Heading4Char"/>
    <w:qFormat/>
    <w:rsid w:val="00A23708"/>
    <w:pPr>
      <w:outlineLvl w:val="3"/>
    </w:pPr>
    <w:rPr>
      <w:i/>
      <w:color w:val="auto"/>
      <w:sz w:val="24"/>
    </w:rPr>
  </w:style>
  <w:style w:type="paragraph" w:styleId="Heading5">
    <w:name w:val="heading 5"/>
    <w:basedOn w:val="Normal"/>
    <w:next w:val="Normal"/>
    <w:link w:val="Heading5Char"/>
    <w:qFormat/>
    <w:rsid w:val="00A23708"/>
    <w:pPr>
      <w:keepLines/>
      <w:spacing w:before="360" w:line="360" w:lineRule="atLeast"/>
      <w:jc w:val="center"/>
      <w:outlineLvl w:val="4"/>
    </w:pPr>
  </w:style>
  <w:style w:type="paragraph" w:styleId="Heading6">
    <w:name w:val="heading 6"/>
    <w:basedOn w:val="Normal"/>
    <w:next w:val="Normal"/>
    <w:link w:val="Heading6Char"/>
    <w:qFormat/>
    <w:rsid w:val="00A23708"/>
    <w:pPr>
      <w:keepNext/>
      <w:spacing w:before="240"/>
      <w:jc w:val="center"/>
      <w:outlineLvl w:val="5"/>
    </w:pPr>
    <w:rPr>
      <w:b/>
      <w:caps/>
    </w:rPr>
  </w:style>
  <w:style w:type="paragraph" w:styleId="Heading7">
    <w:name w:val="heading 7"/>
    <w:basedOn w:val="Normal"/>
    <w:next w:val="Normal"/>
    <w:link w:val="Heading7Char"/>
    <w:qFormat/>
    <w:rsid w:val="00A2370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Sec. Head Char"/>
    <w:link w:val="Heading3"/>
    <w:rsid w:val="008F5FA1"/>
    <w:rPr>
      <w:rFonts w:ascii="Franklin Gothic Medium" w:eastAsia="Times New Roman" w:hAnsi="Franklin Gothic Medium"/>
      <w:b/>
      <w:sz w:val="24"/>
    </w:rPr>
  </w:style>
  <w:style w:type="character" w:customStyle="1" w:styleId="Heading1Char">
    <w:name w:val="Heading 1 Char"/>
    <w:aliases w:val="H1-Sec.Head Char"/>
    <w:link w:val="Heading1"/>
    <w:rsid w:val="008F5FA1"/>
    <w:rPr>
      <w:rFonts w:ascii="Franklin Gothic Medium" w:eastAsia="Times New Roman" w:hAnsi="Franklin Gothic Medium"/>
      <w:b/>
      <w:color w:val="324162"/>
      <w:sz w:val="32"/>
    </w:rPr>
  </w:style>
  <w:style w:type="paragraph" w:customStyle="1" w:styleId="L1-FlLSp12">
    <w:name w:val="L1-FlL Sp&amp;1/2"/>
    <w:basedOn w:val="Normal"/>
    <w:link w:val="L1-FlLSp12Char"/>
    <w:rsid w:val="00A23708"/>
    <w:pPr>
      <w:tabs>
        <w:tab w:val="left" w:pos="1152"/>
      </w:tabs>
      <w:spacing w:line="360" w:lineRule="atLeast"/>
    </w:pPr>
  </w:style>
  <w:style w:type="paragraph" w:customStyle="1" w:styleId="TT-TableTitle">
    <w:name w:val="TT-Table Title"/>
    <w:basedOn w:val="Heading1"/>
    <w:link w:val="TT-TableTitleChar"/>
    <w:rsid w:val="00A23708"/>
    <w:pPr>
      <w:tabs>
        <w:tab w:val="clear" w:pos="1152"/>
        <w:tab w:val="left" w:pos="1440"/>
      </w:tabs>
      <w:spacing w:after="0" w:line="240" w:lineRule="atLeast"/>
      <w:ind w:left="1440" w:hanging="1440"/>
    </w:pPr>
    <w:rPr>
      <w:b w:val="0"/>
      <w:color w:val="auto"/>
      <w:sz w:val="22"/>
    </w:rPr>
  </w:style>
  <w:style w:type="paragraph" w:customStyle="1" w:styleId="TF-TblFN">
    <w:name w:val="TF-Tbl FN"/>
    <w:basedOn w:val="FootnoteText"/>
    <w:rsid w:val="00A23708"/>
    <w:rPr>
      <w:rFonts w:ascii="Franklin Gothic Medium" w:hAnsi="Franklin Gothic Medium"/>
      <w:sz w:val="18"/>
    </w:rPr>
  </w:style>
  <w:style w:type="paragraph" w:customStyle="1" w:styleId="TH-TableHeading">
    <w:name w:val="TH-Table Heading"/>
    <w:basedOn w:val="Heading1"/>
    <w:rsid w:val="00A23708"/>
    <w:pPr>
      <w:spacing w:after="0" w:line="240" w:lineRule="atLeast"/>
      <w:ind w:left="0" w:firstLine="0"/>
      <w:jc w:val="center"/>
    </w:pPr>
    <w:rPr>
      <w:color w:val="auto"/>
      <w:sz w:val="20"/>
    </w:rPr>
  </w:style>
  <w:style w:type="paragraph" w:customStyle="1" w:styleId="TX-TableText">
    <w:name w:val="TX-Table Text"/>
    <w:basedOn w:val="Normal"/>
    <w:rsid w:val="00A23708"/>
    <w:rPr>
      <w:rFonts w:ascii="Franklin Gothic Medium" w:hAnsi="Franklin Gothic Medium"/>
      <w:sz w:val="20"/>
    </w:rPr>
  </w:style>
  <w:style w:type="character" w:customStyle="1" w:styleId="TT-TableTitleChar">
    <w:name w:val="TT-Table Title Char"/>
    <w:link w:val="TT-TableTitle"/>
    <w:rsid w:val="008F5FA1"/>
    <w:rPr>
      <w:rFonts w:ascii="Franklin Gothic Medium" w:eastAsia="Times New Roman" w:hAnsi="Franklin Gothic Medium"/>
      <w:sz w:val="22"/>
    </w:rPr>
  </w:style>
  <w:style w:type="character" w:customStyle="1" w:styleId="L1-FlLSp12Char">
    <w:name w:val="L1-FlL Sp&amp;1/2 Char"/>
    <w:link w:val="L1-FlLSp12"/>
    <w:rsid w:val="008F5FA1"/>
    <w:rPr>
      <w:rFonts w:ascii="Garamond" w:eastAsia="Times New Roman" w:hAnsi="Garamond"/>
      <w:sz w:val="24"/>
    </w:rPr>
  </w:style>
  <w:style w:type="paragraph" w:styleId="FootnoteText">
    <w:name w:val="footnote text"/>
    <w:aliases w:val="F1"/>
    <w:link w:val="FootnoteTextChar"/>
    <w:rsid w:val="00A23708"/>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link w:val="FootnoteText"/>
    <w:rsid w:val="008F5FA1"/>
    <w:rPr>
      <w:rFonts w:ascii="Garamond" w:eastAsia="Times New Roman" w:hAnsi="Garamond"/>
      <w:sz w:val="16"/>
    </w:rPr>
  </w:style>
  <w:style w:type="paragraph" w:customStyle="1" w:styleId="N1-1stBullet">
    <w:name w:val="N1-1st Bullet"/>
    <w:basedOn w:val="Normal"/>
    <w:rsid w:val="00A23708"/>
    <w:pPr>
      <w:numPr>
        <w:numId w:val="16"/>
      </w:numPr>
      <w:spacing w:after="240"/>
    </w:pPr>
  </w:style>
  <w:style w:type="paragraph" w:customStyle="1" w:styleId="N7-3Block">
    <w:name w:val="N7-3&quot; Block"/>
    <w:basedOn w:val="Normal"/>
    <w:rsid w:val="00A23708"/>
    <w:pPr>
      <w:tabs>
        <w:tab w:val="left" w:pos="1152"/>
      </w:tabs>
      <w:ind w:left="1152" w:right="1152"/>
    </w:pPr>
  </w:style>
  <w:style w:type="character" w:customStyle="1" w:styleId="Heading2Char">
    <w:name w:val="Heading 2 Char"/>
    <w:aliases w:val="H2-Sec. Head Char"/>
    <w:link w:val="Heading2"/>
    <w:rsid w:val="002F7ABC"/>
    <w:rPr>
      <w:rFonts w:ascii="Franklin Gothic Medium" w:eastAsia="Times New Roman" w:hAnsi="Franklin Gothic Medium"/>
      <w:b/>
      <w:color w:val="324162"/>
      <w:sz w:val="28"/>
    </w:rPr>
  </w:style>
  <w:style w:type="paragraph" w:styleId="Header">
    <w:name w:val="header"/>
    <w:basedOn w:val="Normal"/>
    <w:link w:val="HeaderChar"/>
    <w:rsid w:val="00A23708"/>
    <w:rPr>
      <w:sz w:val="16"/>
    </w:rPr>
  </w:style>
  <w:style w:type="character" w:customStyle="1" w:styleId="HeaderChar">
    <w:name w:val="Header Char"/>
    <w:link w:val="Header"/>
    <w:rsid w:val="002F7ABC"/>
    <w:rPr>
      <w:rFonts w:ascii="Garamond" w:eastAsia="Times New Roman" w:hAnsi="Garamond"/>
      <w:sz w:val="16"/>
    </w:rPr>
  </w:style>
  <w:style w:type="paragraph" w:customStyle="1" w:styleId="C1-CtrBoldHd">
    <w:name w:val="C1-Ctr BoldHd"/>
    <w:rsid w:val="00A23708"/>
    <w:pPr>
      <w:keepNext/>
      <w:spacing w:after="720" w:line="240" w:lineRule="atLeast"/>
      <w:jc w:val="center"/>
    </w:pPr>
    <w:rPr>
      <w:rFonts w:ascii="Franklin Gothic Medium" w:eastAsia="Times New Roman" w:hAnsi="Franklin Gothic Medium"/>
      <w:b/>
      <w:color w:val="324162"/>
      <w:sz w:val="28"/>
    </w:rPr>
  </w:style>
  <w:style w:type="paragraph" w:customStyle="1" w:styleId="C2-CtrSglSp">
    <w:name w:val="C2-Ctr Sgl Sp"/>
    <w:basedOn w:val="Normal"/>
    <w:rsid w:val="00A23708"/>
    <w:pPr>
      <w:keepLines/>
      <w:jc w:val="center"/>
    </w:pPr>
  </w:style>
  <w:style w:type="paragraph" w:customStyle="1" w:styleId="CT-ContractInformation">
    <w:name w:val="CT-Contract Information"/>
    <w:basedOn w:val="Normal"/>
    <w:rsid w:val="00A23708"/>
    <w:pPr>
      <w:tabs>
        <w:tab w:val="left" w:pos="2232"/>
      </w:tabs>
      <w:spacing w:line="240" w:lineRule="exact"/>
    </w:pPr>
    <w:rPr>
      <w:vanish/>
    </w:rPr>
  </w:style>
  <w:style w:type="character" w:styleId="Hyperlink">
    <w:name w:val="Hyperlink"/>
    <w:uiPriority w:val="99"/>
    <w:unhideWhenUsed/>
    <w:rsid w:val="006C72BD"/>
    <w:rPr>
      <w:color w:val="0000FF"/>
      <w:u w:val="single"/>
    </w:rPr>
  </w:style>
  <w:style w:type="paragraph" w:customStyle="1" w:styleId="E1-Equation">
    <w:name w:val="E1-Equation"/>
    <w:basedOn w:val="Normal"/>
    <w:rsid w:val="00A23708"/>
    <w:pPr>
      <w:tabs>
        <w:tab w:val="center" w:pos="4680"/>
        <w:tab w:val="right" w:pos="9360"/>
      </w:tabs>
    </w:pPr>
  </w:style>
  <w:style w:type="paragraph" w:customStyle="1" w:styleId="E2-Equation">
    <w:name w:val="E2-Equation"/>
    <w:basedOn w:val="Normal"/>
    <w:rsid w:val="00A23708"/>
    <w:pPr>
      <w:tabs>
        <w:tab w:val="right" w:pos="1152"/>
        <w:tab w:val="center" w:pos="1440"/>
        <w:tab w:val="left" w:pos="1728"/>
      </w:tabs>
      <w:ind w:left="1728" w:hanging="1728"/>
    </w:pPr>
  </w:style>
  <w:style w:type="paragraph" w:styleId="Footer">
    <w:name w:val="footer"/>
    <w:basedOn w:val="Normal"/>
    <w:link w:val="FooterChar"/>
    <w:rsid w:val="00A23708"/>
  </w:style>
  <w:style w:type="character" w:customStyle="1" w:styleId="FooterChar">
    <w:name w:val="Footer Char"/>
    <w:basedOn w:val="DefaultParagraphFont"/>
    <w:link w:val="Footer"/>
    <w:rsid w:val="00A23708"/>
    <w:rPr>
      <w:rFonts w:ascii="Garamond" w:eastAsia="Times New Roman" w:hAnsi="Garamond"/>
      <w:sz w:val="24"/>
    </w:rPr>
  </w:style>
  <w:style w:type="table" w:customStyle="1" w:styleId="TableWestatStandardFormat">
    <w:name w:val="Table Westat Standard Format"/>
    <w:basedOn w:val="TableNormal"/>
    <w:rsid w:val="00A23708"/>
    <w:rPr>
      <w:rFonts w:ascii="Franklin Gothic Medium" w:eastAsia="Times New Roman"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Header-1">
    <w:name w:val="Header-1"/>
    <w:basedOn w:val="Heading1"/>
    <w:rsid w:val="00A23708"/>
    <w:pPr>
      <w:tabs>
        <w:tab w:val="clear" w:pos="1152"/>
      </w:tabs>
      <w:spacing w:after="0" w:line="240" w:lineRule="atLeast"/>
      <w:jc w:val="right"/>
    </w:pPr>
    <w:rPr>
      <w:sz w:val="20"/>
    </w:rPr>
  </w:style>
  <w:style w:type="paragraph" w:styleId="NoSpacing">
    <w:name w:val="No Spacing"/>
    <w:uiPriority w:val="1"/>
    <w:qFormat/>
    <w:rsid w:val="00A025DC"/>
    <w:rPr>
      <w:rFonts w:ascii="Calibri" w:hAnsi="Calibri"/>
      <w:sz w:val="22"/>
      <w:szCs w:val="22"/>
      <w:lang w:bidi="en-US"/>
    </w:rPr>
  </w:style>
  <w:style w:type="paragraph" w:customStyle="1" w:styleId="C3-CtrSp12">
    <w:name w:val="C3-Ctr Sp&amp;1/2"/>
    <w:basedOn w:val="Normal"/>
    <w:rsid w:val="00A23708"/>
    <w:pPr>
      <w:keepLines/>
      <w:spacing w:line="360" w:lineRule="atLeast"/>
      <w:jc w:val="center"/>
    </w:pPr>
  </w:style>
  <w:style w:type="paragraph" w:customStyle="1" w:styleId="Heading0">
    <w:name w:val="Heading 0"/>
    <w:aliases w:val="H0-Chap Head"/>
    <w:basedOn w:val="Heading1"/>
    <w:rsid w:val="00A23708"/>
    <w:pPr>
      <w:tabs>
        <w:tab w:val="clear" w:pos="1152"/>
      </w:tabs>
      <w:spacing w:after="0"/>
      <w:ind w:left="0" w:firstLine="0"/>
      <w:jc w:val="right"/>
    </w:pPr>
    <w:rPr>
      <w:sz w:val="40"/>
    </w:rPr>
  </w:style>
  <w:style w:type="character" w:customStyle="1" w:styleId="Heading4Char">
    <w:name w:val="Heading 4 Char"/>
    <w:aliases w:val="H4 Sec.Heading Char"/>
    <w:basedOn w:val="DefaultParagraphFont"/>
    <w:link w:val="Heading4"/>
    <w:rsid w:val="00A23708"/>
    <w:rPr>
      <w:rFonts w:ascii="Franklin Gothic Medium" w:eastAsia="Times New Roman" w:hAnsi="Franklin Gothic Medium"/>
      <w:b/>
      <w:i/>
      <w:sz w:val="24"/>
    </w:rPr>
  </w:style>
  <w:style w:type="character" w:customStyle="1" w:styleId="Heading5Char">
    <w:name w:val="Heading 5 Char"/>
    <w:basedOn w:val="DefaultParagraphFont"/>
    <w:link w:val="Heading5"/>
    <w:rsid w:val="00A23708"/>
    <w:rPr>
      <w:rFonts w:ascii="Garamond" w:eastAsia="Times New Roman" w:hAnsi="Garamond"/>
      <w:sz w:val="24"/>
    </w:rPr>
  </w:style>
  <w:style w:type="character" w:customStyle="1" w:styleId="Heading6Char">
    <w:name w:val="Heading 6 Char"/>
    <w:basedOn w:val="DefaultParagraphFont"/>
    <w:link w:val="Heading6"/>
    <w:rsid w:val="00A23708"/>
    <w:rPr>
      <w:rFonts w:ascii="Garamond" w:eastAsia="Times New Roman" w:hAnsi="Garamond"/>
      <w:b/>
      <w:caps/>
      <w:sz w:val="24"/>
    </w:rPr>
  </w:style>
  <w:style w:type="character" w:customStyle="1" w:styleId="Heading7Char">
    <w:name w:val="Heading 7 Char"/>
    <w:basedOn w:val="DefaultParagraphFont"/>
    <w:link w:val="Heading7"/>
    <w:rsid w:val="00A23708"/>
    <w:rPr>
      <w:rFonts w:ascii="Garamond" w:eastAsia="Times New Roman" w:hAnsi="Garamond"/>
      <w:sz w:val="24"/>
    </w:rPr>
  </w:style>
  <w:style w:type="paragraph" w:customStyle="1" w:styleId="N0-FlLftBullet">
    <w:name w:val="N0-Fl Lft Bullet"/>
    <w:basedOn w:val="Normal"/>
    <w:rsid w:val="00A23708"/>
    <w:pPr>
      <w:tabs>
        <w:tab w:val="left" w:pos="576"/>
      </w:tabs>
      <w:spacing w:after="240"/>
      <w:ind w:left="576" w:hanging="576"/>
    </w:pPr>
  </w:style>
  <w:style w:type="paragraph" w:customStyle="1" w:styleId="N2-2ndBullet">
    <w:name w:val="N2-2nd Bullet"/>
    <w:basedOn w:val="Normal"/>
    <w:rsid w:val="00A23708"/>
    <w:pPr>
      <w:numPr>
        <w:numId w:val="17"/>
      </w:numPr>
      <w:spacing w:after="240"/>
    </w:pPr>
  </w:style>
  <w:style w:type="paragraph" w:customStyle="1" w:styleId="N3-3rdBullet">
    <w:name w:val="N3-3rd Bullet"/>
    <w:basedOn w:val="Normal"/>
    <w:rsid w:val="00A23708"/>
    <w:pPr>
      <w:numPr>
        <w:numId w:val="18"/>
      </w:numPr>
      <w:spacing w:after="240"/>
    </w:pPr>
  </w:style>
  <w:style w:type="paragraph" w:customStyle="1" w:styleId="N4-4thBullet">
    <w:name w:val="N4-4th Bullet"/>
    <w:basedOn w:val="Normal"/>
    <w:rsid w:val="00A23708"/>
    <w:pPr>
      <w:numPr>
        <w:numId w:val="19"/>
      </w:numPr>
      <w:spacing w:after="240"/>
    </w:pPr>
  </w:style>
  <w:style w:type="paragraph" w:customStyle="1" w:styleId="Default">
    <w:name w:val="Default"/>
    <w:rsid w:val="0011137D"/>
    <w:pPr>
      <w:autoSpaceDE w:val="0"/>
      <w:autoSpaceDN w:val="0"/>
      <w:adjustRightInd w:val="0"/>
    </w:pPr>
    <w:rPr>
      <w:color w:val="000000"/>
      <w:sz w:val="24"/>
      <w:szCs w:val="24"/>
    </w:rPr>
  </w:style>
  <w:style w:type="paragraph" w:customStyle="1" w:styleId="N5-5thBullet">
    <w:name w:val="N5-5th Bullet"/>
    <w:basedOn w:val="Normal"/>
    <w:rsid w:val="00A23708"/>
    <w:pPr>
      <w:tabs>
        <w:tab w:val="left" w:pos="3456"/>
      </w:tabs>
      <w:spacing w:after="240"/>
      <w:ind w:left="3456" w:hanging="576"/>
    </w:pPr>
  </w:style>
  <w:style w:type="paragraph" w:customStyle="1" w:styleId="N6-DateInd">
    <w:name w:val="N6-Date Ind."/>
    <w:basedOn w:val="Normal"/>
    <w:rsid w:val="00A23708"/>
    <w:pPr>
      <w:tabs>
        <w:tab w:val="left" w:pos="4910"/>
      </w:tabs>
      <w:ind w:left="4910"/>
    </w:pPr>
  </w:style>
  <w:style w:type="paragraph" w:customStyle="1" w:styleId="N8-QxQBlock">
    <w:name w:val="N8-QxQ Block"/>
    <w:basedOn w:val="Normal"/>
    <w:rsid w:val="00A23708"/>
    <w:pPr>
      <w:tabs>
        <w:tab w:val="left" w:pos="1152"/>
      </w:tabs>
      <w:spacing w:after="360" w:line="360" w:lineRule="atLeast"/>
      <w:ind w:left="1152" w:hanging="1152"/>
    </w:pPr>
  </w:style>
  <w:style w:type="paragraph" w:customStyle="1" w:styleId="P1-StandPara">
    <w:name w:val="P1-Stand Para"/>
    <w:basedOn w:val="Normal"/>
    <w:rsid w:val="00A23708"/>
    <w:pPr>
      <w:spacing w:line="360" w:lineRule="atLeast"/>
      <w:ind w:firstLine="1152"/>
    </w:pPr>
  </w:style>
  <w:style w:type="paragraph" w:styleId="Revision">
    <w:name w:val="Revision"/>
    <w:hidden/>
    <w:uiPriority w:val="99"/>
    <w:semiHidden/>
    <w:rsid w:val="00B73103"/>
    <w:rPr>
      <w:sz w:val="24"/>
      <w:szCs w:val="24"/>
    </w:rPr>
  </w:style>
  <w:style w:type="character" w:styleId="PageNumber">
    <w:name w:val="page number"/>
    <w:basedOn w:val="DefaultParagraphFont"/>
    <w:rsid w:val="00A23708"/>
  </w:style>
  <w:style w:type="paragraph" w:customStyle="1" w:styleId="Q1-BestFinQ">
    <w:name w:val="Q1-Best/Fin Q"/>
    <w:basedOn w:val="Heading1"/>
    <w:rsid w:val="00A23708"/>
    <w:pPr>
      <w:spacing w:line="240" w:lineRule="atLeast"/>
      <w:jc w:val="both"/>
    </w:pPr>
    <w:rPr>
      <w:color w:val="auto"/>
      <w:sz w:val="24"/>
    </w:rPr>
  </w:style>
  <w:style w:type="paragraph" w:customStyle="1" w:styleId="SL-FlLftSgl">
    <w:name w:val="SL-Fl Lft Sgl"/>
    <w:basedOn w:val="Normal"/>
    <w:rsid w:val="00A23708"/>
  </w:style>
  <w:style w:type="paragraph" w:customStyle="1" w:styleId="R0-FLLftSglBoldItalic">
    <w:name w:val="R0-FL Lft Sgl Bold Italic"/>
    <w:basedOn w:val="Heading1"/>
    <w:rsid w:val="00A23708"/>
    <w:pPr>
      <w:tabs>
        <w:tab w:val="clear" w:pos="1152"/>
      </w:tabs>
      <w:spacing w:after="0" w:line="240" w:lineRule="atLeast"/>
      <w:ind w:left="0" w:firstLine="0"/>
    </w:pPr>
    <w:rPr>
      <w:rFonts w:cs="Times New Roman Bold"/>
      <w:b w:val="0"/>
      <w:i/>
      <w:color w:val="auto"/>
      <w:sz w:val="24"/>
    </w:rPr>
  </w:style>
  <w:style w:type="paragraph" w:customStyle="1" w:styleId="R1-ResPara">
    <w:name w:val="R1-Res. Para"/>
    <w:rsid w:val="00A23708"/>
    <w:pPr>
      <w:spacing w:line="240" w:lineRule="atLeast"/>
      <w:ind w:left="288"/>
    </w:pPr>
    <w:rPr>
      <w:rFonts w:ascii="Garamond" w:eastAsia="Times New Roman" w:hAnsi="Garamond"/>
      <w:sz w:val="24"/>
    </w:rPr>
  </w:style>
  <w:style w:type="paragraph" w:customStyle="1" w:styleId="R2-ResBullet">
    <w:name w:val="R2-Res Bullet"/>
    <w:basedOn w:val="Normal"/>
    <w:rsid w:val="00A23708"/>
    <w:pPr>
      <w:tabs>
        <w:tab w:val="left" w:pos="720"/>
      </w:tabs>
      <w:ind w:left="720" w:hanging="432"/>
    </w:pPr>
  </w:style>
  <w:style w:type="paragraph" w:customStyle="1" w:styleId="RF-Reference">
    <w:name w:val="RF-Reference"/>
    <w:basedOn w:val="Normal"/>
    <w:rsid w:val="00A23708"/>
    <w:pPr>
      <w:spacing w:line="240" w:lineRule="exact"/>
      <w:ind w:left="216" w:hanging="216"/>
    </w:pPr>
  </w:style>
  <w:style w:type="paragraph" w:customStyle="1" w:styleId="RH-SglSpHead">
    <w:name w:val="RH-Sgl Sp Head"/>
    <w:basedOn w:val="Heading1"/>
    <w:next w:val="Normal"/>
    <w:rsid w:val="00A23708"/>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A23708"/>
    <w:pPr>
      <w:tabs>
        <w:tab w:val="clear" w:pos="1152"/>
      </w:tabs>
      <w:spacing w:after="0" w:line="240" w:lineRule="atLeast"/>
      <w:ind w:left="0" w:firstLine="0"/>
    </w:pPr>
    <w:rPr>
      <w:sz w:val="24"/>
    </w:rPr>
  </w:style>
  <w:style w:type="paragraph" w:customStyle="1" w:styleId="SH-SglSpHead">
    <w:name w:val="SH-Sgl Sp Head"/>
    <w:basedOn w:val="Heading1"/>
    <w:rsid w:val="00A23708"/>
    <w:pPr>
      <w:tabs>
        <w:tab w:val="clear" w:pos="1152"/>
        <w:tab w:val="left" w:pos="576"/>
      </w:tabs>
      <w:spacing w:line="240" w:lineRule="atLeast"/>
      <w:ind w:left="576" w:hanging="576"/>
    </w:pPr>
    <w:rPr>
      <w:b w:val="0"/>
      <w:sz w:val="24"/>
    </w:rPr>
  </w:style>
  <w:style w:type="paragraph" w:customStyle="1" w:styleId="SP-SglSpPara">
    <w:name w:val="SP-Sgl Sp Para"/>
    <w:basedOn w:val="Normal"/>
    <w:rsid w:val="00A23708"/>
    <w:pPr>
      <w:tabs>
        <w:tab w:val="left" w:pos="576"/>
      </w:tabs>
      <w:ind w:firstLine="576"/>
    </w:pPr>
  </w:style>
  <w:style w:type="paragraph" w:customStyle="1" w:styleId="SU-FlLftUndln">
    <w:name w:val="SU-Fl Lft Undln"/>
    <w:basedOn w:val="Normal"/>
    <w:rsid w:val="00A23708"/>
    <w:pPr>
      <w:keepNext/>
      <w:spacing w:line="240" w:lineRule="exact"/>
    </w:pPr>
    <w:rPr>
      <w:u w:val="single"/>
    </w:rPr>
  </w:style>
  <w:style w:type="paragraph" w:customStyle="1" w:styleId="T0-ChapPgHd">
    <w:name w:val="T0-Chap/Pg Hd"/>
    <w:basedOn w:val="Normal"/>
    <w:rsid w:val="00A23708"/>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A23708"/>
    <w:pPr>
      <w:pBdr>
        <w:bottom w:val="single" w:sz="24" w:space="1" w:color="AFBED7"/>
      </w:pBdr>
      <w:tabs>
        <w:tab w:val="clear" w:pos="1152"/>
      </w:tabs>
      <w:spacing w:after="720"/>
      <w:ind w:left="6869" w:firstLine="0"/>
      <w:jc w:val="center"/>
    </w:pPr>
  </w:style>
  <w:style w:type="paragraph" w:styleId="TOC1">
    <w:name w:val="toc 1"/>
    <w:basedOn w:val="Normal"/>
    <w:semiHidden/>
    <w:rsid w:val="00A23708"/>
    <w:pPr>
      <w:tabs>
        <w:tab w:val="left" w:pos="1440"/>
        <w:tab w:val="right" w:leader="dot" w:pos="8208"/>
        <w:tab w:val="left" w:pos="8640"/>
      </w:tabs>
      <w:ind w:left="1440" w:right="1800" w:hanging="1152"/>
    </w:pPr>
  </w:style>
  <w:style w:type="paragraph" w:styleId="TOC2">
    <w:name w:val="toc 2"/>
    <w:basedOn w:val="Normal"/>
    <w:uiPriority w:val="39"/>
    <w:rsid w:val="00A23708"/>
    <w:pPr>
      <w:tabs>
        <w:tab w:val="left" w:pos="2160"/>
        <w:tab w:val="right" w:leader="dot" w:pos="8208"/>
        <w:tab w:val="left" w:pos="8640"/>
      </w:tabs>
      <w:ind w:left="2160" w:right="1800" w:hanging="720"/>
    </w:pPr>
    <w:rPr>
      <w:szCs w:val="22"/>
    </w:rPr>
  </w:style>
  <w:style w:type="paragraph" w:styleId="TOC3">
    <w:name w:val="toc 3"/>
    <w:basedOn w:val="Normal"/>
    <w:uiPriority w:val="39"/>
    <w:rsid w:val="00A23708"/>
    <w:pPr>
      <w:tabs>
        <w:tab w:val="left" w:pos="3024"/>
        <w:tab w:val="right" w:leader="dot" w:pos="8208"/>
        <w:tab w:val="left" w:pos="8640"/>
      </w:tabs>
      <w:ind w:left="3024" w:right="1800" w:hanging="864"/>
    </w:pPr>
  </w:style>
  <w:style w:type="paragraph" w:styleId="TOC4">
    <w:name w:val="toc 4"/>
    <w:basedOn w:val="Normal"/>
    <w:semiHidden/>
    <w:rsid w:val="00A23708"/>
    <w:pPr>
      <w:tabs>
        <w:tab w:val="left" w:pos="3888"/>
        <w:tab w:val="right" w:leader="dot" w:pos="8208"/>
        <w:tab w:val="left" w:pos="8640"/>
      </w:tabs>
      <w:ind w:left="3888" w:right="1800" w:hanging="864"/>
    </w:pPr>
  </w:style>
  <w:style w:type="paragraph" w:styleId="TOC5">
    <w:name w:val="toc 5"/>
    <w:basedOn w:val="Normal"/>
    <w:semiHidden/>
    <w:rsid w:val="00A23708"/>
    <w:pPr>
      <w:tabs>
        <w:tab w:val="left" w:pos="1440"/>
        <w:tab w:val="right" w:leader="dot" w:pos="8208"/>
        <w:tab w:val="left" w:pos="8640"/>
      </w:tabs>
      <w:ind w:left="1440" w:right="1800" w:hanging="1152"/>
    </w:pPr>
  </w:style>
  <w:style w:type="paragraph" w:styleId="TOC6">
    <w:name w:val="toc 6"/>
    <w:semiHidden/>
    <w:rsid w:val="00A23708"/>
    <w:pPr>
      <w:tabs>
        <w:tab w:val="right" w:leader="dot" w:pos="8208"/>
        <w:tab w:val="left" w:pos="8640"/>
      </w:tabs>
      <w:ind w:left="288"/>
    </w:pPr>
    <w:rPr>
      <w:rFonts w:ascii="Garamond" w:eastAsia="Times New Roman" w:hAnsi="Garamond"/>
      <w:sz w:val="24"/>
      <w:szCs w:val="22"/>
    </w:rPr>
  </w:style>
  <w:style w:type="paragraph" w:styleId="TOC7">
    <w:name w:val="toc 7"/>
    <w:semiHidden/>
    <w:rsid w:val="00A23708"/>
    <w:pPr>
      <w:tabs>
        <w:tab w:val="right" w:leader="dot" w:pos="8208"/>
        <w:tab w:val="left" w:pos="8640"/>
      </w:tabs>
      <w:ind w:left="1440"/>
    </w:pPr>
    <w:rPr>
      <w:rFonts w:ascii="Garamond" w:eastAsia="Times New Roman" w:hAnsi="Garamond"/>
      <w:sz w:val="24"/>
      <w:szCs w:val="22"/>
    </w:rPr>
  </w:style>
  <w:style w:type="paragraph" w:styleId="TOC8">
    <w:name w:val="toc 8"/>
    <w:semiHidden/>
    <w:rsid w:val="00A23708"/>
    <w:pPr>
      <w:tabs>
        <w:tab w:val="right" w:leader="dot" w:pos="8208"/>
        <w:tab w:val="left" w:pos="8640"/>
      </w:tabs>
      <w:ind w:left="2160"/>
    </w:pPr>
    <w:rPr>
      <w:rFonts w:ascii="Garamond" w:eastAsia="Times New Roman" w:hAnsi="Garamond"/>
      <w:sz w:val="24"/>
      <w:szCs w:val="22"/>
    </w:rPr>
  </w:style>
  <w:style w:type="paragraph" w:styleId="TOC9">
    <w:name w:val="toc 9"/>
    <w:semiHidden/>
    <w:rsid w:val="00A23708"/>
    <w:pPr>
      <w:tabs>
        <w:tab w:val="right" w:leader="dot" w:pos="8208"/>
        <w:tab w:val="left" w:pos="8640"/>
      </w:tabs>
      <w:ind w:left="3024"/>
    </w:pPr>
    <w:rPr>
      <w:rFonts w:ascii="Garamond" w:eastAsia="Times New Roman" w:hAnsi="Garamond"/>
      <w:sz w:val="24"/>
      <w:szCs w:val="22"/>
    </w:rPr>
  </w:style>
  <w:style w:type="character" w:styleId="CommentReference">
    <w:name w:val="annotation reference"/>
    <w:basedOn w:val="DefaultParagraphFont"/>
    <w:uiPriority w:val="99"/>
    <w:semiHidden/>
    <w:unhideWhenUsed/>
    <w:rsid w:val="00CD59E7"/>
    <w:rPr>
      <w:sz w:val="16"/>
      <w:szCs w:val="16"/>
    </w:rPr>
  </w:style>
  <w:style w:type="paragraph" w:styleId="CommentText">
    <w:name w:val="annotation text"/>
    <w:basedOn w:val="Normal"/>
    <w:link w:val="CommentTextChar"/>
    <w:uiPriority w:val="99"/>
    <w:unhideWhenUsed/>
    <w:rsid w:val="00CD59E7"/>
    <w:pPr>
      <w:spacing w:line="240" w:lineRule="auto"/>
    </w:pPr>
    <w:rPr>
      <w:sz w:val="20"/>
    </w:rPr>
  </w:style>
  <w:style w:type="character" w:customStyle="1" w:styleId="CommentTextChar">
    <w:name w:val="Comment Text Char"/>
    <w:basedOn w:val="DefaultParagraphFont"/>
    <w:link w:val="CommentText"/>
    <w:uiPriority w:val="99"/>
    <w:rsid w:val="00CD59E7"/>
    <w:rPr>
      <w:rFonts w:ascii="Garamond" w:eastAsia="Times New Roman" w:hAnsi="Garamond"/>
    </w:rPr>
  </w:style>
  <w:style w:type="paragraph" w:styleId="CommentSubject">
    <w:name w:val="annotation subject"/>
    <w:basedOn w:val="CommentText"/>
    <w:next w:val="CommentText"/>
    <w:link w:val="CommentSubjectChar"/>
    <w:uiPriority w:val="99"/>
    <w:semiHidden/>
    <w:unhideWhenUsed/>
    <w:rsid w:val="00CD59E7"/>
    <w:rPr>
      <w:b/>
      <w:bCs/>
    </w:rPr>
  </w:style>
  <w:style w:type="character" w:customStyle="1" w:styleId="CommentSubjectChar">
    <w:name w:val="Comment Subject Char"/>
    <w:basedOn w:val="CommentTextChar"/>
    <w:link w:val="CommentSubject"/>
    <w:uiPriority w:val="99"/>
    <w:semiHidden/>
    <w:rsid w:val="00CD59E7"/>
    <w:rPr>
      <w:rFonts w:ascii="Garamond" w:eastAsia="Times New Roman" w:hAnsi="Garamond"/>
      <w:b/>
      <w:bCs/>
    </w:rPr>
  </w:style>
  <w:style w:type="paragraph" w:styleId="BalloonText">
    <w:name w:val="Balloon Text"/>
    <w:basedOn w:val="Normal"/>
    <w:link w:val="BalloonTextChar"/>
    <w:uiPriority w:val="99"/>
    <w:semiHidden/>
    <w:unhideWhenUsed/>
    <w:rsid w:val="00CD59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9E7"/>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7F12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9248">
      <w:bodyDiv w:val="1"/>
      <w:marLeft w:val="0"/>
      <w:marRight w:val="0"/>
      <w:marTop w:val="0"/>
      <w:marBottom w:val="0"/>
      <w:divBdr>
        <w:top w:val="none" w:sz="0" w:space="0" w:color="auto"/>
        <w:left w:val="none" w:sz="0" w:space="0" w:color="auto"/>
        <w:bottom w:val="none" w:sz="0" w:space="0" w:color="auto"/>
        <w:right w:val="none" w:sz="0" w:space="0" w:color="auto"/>
      </w:divBdr>
    </w:div>
    <w:div w:id="60953179">
      <w:bodyDiv w:val="1"/>
      <w:marLeft w:val="0"/>
      <w:marRight w:val="0"/>
      <w:marTop w:val="0"/>
      <w:marBottom w:val="0"/>
      <w:divBdr>
        <w:top w:val="none" w:sz="0" w:space="0" w:color="auto"/>
        <w:left w:val="none" w:sz="0" w:space="0" w:color="auto"/>
        <w:bottom w:val="none" w:sz="0" w:space="0" w:color="auto"/>
        <w:right w:val="none" w:sz="0" w:space="0" w:color="auto"/>
      </w:divBdr>
    </w:div>
    <w:div w:id="95834280">
      <w:bodyDiv w:val="1"/>
      <w:marLeft w:val="0"/>
      <w:marRight w:val="0"/>
      <w:marTop w:val="0"/>
      <w:marBottom w:val="0"/>
      <w:divBdr>
        <w:top w:val="none" w:sz="0" w:space="0" w:color="auto"/>
        <w:left w:val="none" w:sz="0" w:space="0" w:color="auto"/>
        <w:bottom w:val="none" w:sz="0" w:space="0" w:color="auto"/>
        <w:right w:val="none" w:sz="0" w:space="0" w:color="auto"/>
      </w:divBdr>
    </w:div>
    <w:div w:id="101071054">
      <w:bodyDiv w:val="1"/>
      <w:marLeft w:val="0"/>
      <w:marRight w:val="0"/>
      <w:marTop w:val="0"/>
      <w:marBottom w:val="0"/>
      <w:divBdr>
        <w:top w:val="none" w:sz="0" w:space="0" w:color="auto"/>
        <w:left w:val="none" w:sz="0" w:space="0" w:color="auto"/>
        <w:bottom w:val="none" w:sz="0" w:space="0" w:color="auto"/>
        <w:right w:val="none" w:sz="0" w:space="0" w:color="auto"/>
      </w:divBdr>
    </w:div>
    <w:div w:id="153227751">
      <w:bodyDiv w:val="1"/>
      <w:marLeft w:val="0"/>
      <w:marRight w:val="0"/>
      <w:marTop w:val="0"/>
      <w:marBottom w:val="0"/>
      <w:divBdr>
        <w:top w:val="none" w:sz="0" w:space="0" w:color="auto"/>
        <w:left w:val="none" w:sz="0" w:space="0" w:color="auto"/>
        <w:bottom w:val="none" w:sz="0" w:space="0" w:color="auto"/>
        <w:right w:val="none" w:sz="0" w:space="0" w:color="auto"/>
      </w:divBdr>
    </w:div>
    <w:div w:id="153685007">
      <w:bodyDiv w:val="1"/>
      <w:marLeft w:val="0"/>
      <w:marRight w:val="0"/>
      <w:marTop w:val="0"/>
      <w:marBottom w:val="0"/>
      <w:divBdr>
        <w:top w:val="none" w:sz="0" w:space="0" w:color="auto"/>
        <w:left w:val="none" w:sz="0" w:space="0" w:color="auto"/>
        <w:bottom w:val="none" w:sz="0" w:space="0" w:color="auto"/>
        <w:right w:val="none" w:sz="0" w:space="0" w:color="auto"/>
      </w:divBdr>
    </w:div>
    <w:div w:id="203830189">
      <w:bodyDiv w:val="1"/>
      <w:marLeft w:val="0"/>
      <w:marRight w:val="0"/>
      <w:marTop w:val="0"/>
      <w:marBottom w:val="0"/>
      <w:divBdr>
        <w:top w:val="none" w:sz="0" w:space="0" w:color="auto"/>
        <w:left w:val="none" w:sz="0" w:space="0" w:color="auto"/>
        <w:bottom w:val="none" w:sz="0" w:space="0" w:color="auto"/>
        <w:right w:val="none" w:sz="0" w:space="0" w:color="auto"/>
      </w:divBdr>
    </w:div>
    <w:div w:id="322316426">
      <w:bodyDiv w:val="1"/>
      <w:marLeft w:val="0"/>
      <w:marRight w:val="0"/>
      <w:marTop w:val="0"/>
      <w:marBottom w:val="0"/>
      <w:divBdr>
        <w:top w:val="none" w:sz="0" w:space="0" w:color="auto"/>
        <w:left w:val="none" w:sz="0" w:space="0" w:color="auto"/>
        <w:bottom w:val="none" w:sz="0" w:space="0" w:color="auto"/>
        <w:right w:val="none" w:sz="0" w:space="0" w:color="auto"/>
      </w:divBdr>
    </w:div>
    <w:div w:id="393309675">
      <w:bodyDiv w:val="1"/>
      <w:marLeft w:val="0"/>
      <w:marRight w:val="0"/>
      <w:marTop w:val="0"/>
      <w:marBottom w:val="0"/>
      <w:divBdr>
        <w:top w:val="none" w:sz="0" w:space="0" w:color="auto"/>
        <w:left w:val="none" w:sz="0" w:space="0" w:color="auto"/>
        <w:bottom w:val="none" w:sz="0" w:space="0" w:color="auto"/>
        <w:right w:val="none" w:sz="0" w:space="0" w:color="auto"/>
      </w:divBdr>
    </w:div>
    <w:div w:id="399986456">
      <w:bodyDiv w:val="1"/>
      <w:marLeft w:val="0"/>
      <w:marRight w:val="0"/>
      <w:marTop w:val="0"/>
      <w:marBottom w:val="0"/>
      <w:divBdr>
        <w:top w:val="none" w:sz="0" w:space="0" w:color="auto"/>
        <w:left w:val="none" w:sz="0" w:space="0" w:color="auto"/>
        <w:bottom w:val="none" w:sz="0" w:space="0" w:color="auto"/>
        <w:right w:val="none" w:sz="0" w:space="0" w:color="auto"/>
      </w:divBdr>
    </w:div>
    <w:div w:id="561991552">
      <w:bodyDiv w:val="1"/>
      <w:marLeft w:val="0"/>
      <w:marRight w:val="0"/>
      <w:marTop w:val="0"/>
      <w:marBottom w:val="0"/>
      <w:divBdr>
        <w:top w:val="none" w:sz="0" w:space="0" w:color="auto"/>
        <w:left w:val="none" w:sz="0" w:space="0" w:color="auto"/>
        <w:bottom w:val="none" w:sz="0" w:space="0" w:color="auto"/>
        <w:right w:val="none" w:sz="0" w:space="0" w:color="auto"/>
      </w:divBdr>
    </w:div>
    <w:div w:id="567425700">
      <w:bodyDiv w:val="1"/>
      <w:marLeft w:val="0"/>
      <w:marRight w:val="0"/>
      <w:marTop w:val="0"/>
      <w:marBottom w:val="0"/>
      <w:divBdr>
        <w:top w:val="none" w:sz="0" w:space="0" w:color="auto"/>
        <w:left w:val="none" w:sz="0" w:space="0" w:color="auto"/>
        <w:bottom w:val="none" w:sz="0" w:space="0" w:color="auto"/>
        <w:right w:val="none" w:sz="0" w:space="0" w:color="auto"/>
      </w:divBdr>
    </w:div>
    <w:div w:id="875384418">
      <w:bodyDiv w:val="1"/>
      <w:marLeft w:val="0"/>
      <w:marRight w:val="0"/>
      <w:marTop w:val="0"/>
      <w:marBottom w:val="0"/>
      <w:divBdr>
        <w:top w:val="none" w:sz="0" w:space="0" w:color="auto"/>
        <w:left w:val="none" w:sz="0" w:space="0" w:color="auto"/>
        <w:bottom w:val="none" w:sz="0" w:space="0" w:color="auto"/>
        <w:right w:val="none" w:sz="0" w:space="0" w:color="auto"/>
      </w:divBdr>
    </w:div>
    <w:div w:id="913009456">
      <w:bodyDiv w:val="1"/>
      <w:marLeft w:val="0"/>
      <w:marRight w:val="0"/>
      <w:marTop w:val="0"/>
      <w:marBottom w:val="0"/>
      <w:divBdr>
        <w:top w:val="none" w:sz="0" w:space="0" w:color="auto"/>
        <w:left w:val="none" w:sz="0" w:space="0" w:color="auto"/>
        <w:bottom w:val="none" w:sz="0" w:space="0" w:color="auto"/>
        <w:right w:val="none" w:sz="0" w:space="0" w:color="auto"/>
      </w:divBdr>
    </w:div>
    <w:div w:id="913859326">
      <w:bodyDiv w:val="1"/>
      <w:marLeft w:val="0"/>
      <w:marRight w:val="0"/>
      <w:marTop w:val="0"/>
      <w:marBottom w:val="0"/>
      <w:divBdr>
        <w:top w:val="none" w:sz="0" w:space="0" w:color="auto"/>
        <w:left w:val="none" w:sz="0" w:space="0" w:color="auto"/>
        <w:bottom w:val="none" w:sz="0" w:space="0" w:color="auto"/>
        <w:right w:val="none" w:sz="0" w:space="0" w:color="auto"/>
      </w:divBdr>
    </w:div>
    <w:div w:id="1019434305">
      <w:bodyDiv w:val="1"/>
      <w:marLeft w:val="0"/>
      <w:marRight w:val="0"/>
      <w:marTop w:val="0"/>
      <w:marBottom w:val="0"/>
      <w:divBdr>
        <w:top w:val="none" w:sz="0" w:space="0" w:color="auto"/>
        <w:left w:val="none" w:sz="0" w:space="0" w:color="auto"/>
        <w:bottom w:val="none" w:sz="0" w:space="0" w:color="auto"/>
        <w:right w:val="none" w:sz="0" w:space="0" w:color="auto"/>
      </w:divBdr>
    </w:div>
    <w:div w:id="1046754463">
      <w:bodyDiv w:val="1"/>
      <w:marLeft w:val="0"/>
      <w:marRight w:val="0"/>
      <w:marTop w:val="0"/>
      <w:marBottom w:val="0"/>
      <w:divBdr>
        <w:top w:val="none" w:sz="0" w:space="0" w:color="auto"/>
        <w:left w:val="none" w:sz="0" w:space="0" w:color="auto"/>
        <w:bottom w:val="none" w:sz="0" w:space="0" w:color="auto"/>
        <w:right w:val="none" w:sz="0" w:space="0" w:color="auto"/>
      </w:divBdr>
    </w:div>
    <w:div w:id="1060323170">
      <w:bodyDiv w:val="1"/>
      <w:marLeft w:val="0"/>
      <w:marRight w:val="0"/>
      <w:marTop w:val="0"/>
      <w:marBottom w:val="0"/>
      <w:divBdr>
        <w:top w:val="none" w:sz="0" w:space="0" w:color="auto"/>
        <w:left w:val="none" w:sz="0" w:space="0" w:color="auto"/>
        <w:bottom w:val="none" w:sz="0" w:space="0" w:color="auto"/>
        <w:right w:val="none" w:sz="0" w:space="0" w:color="auto"/>
      </w:divBdr>
    </w:div>
    <w:div w:id="1115755183">
      <w:bodyDiv w:val="1"/>
      <w:marLeft w:val="0"/>
      <w:marRight w:val="0"/>
      <w:marTop w:val="0"/>
      <w:marBottom w:val="0"/>
      <w:divBdr>
        <w:top w:val="none" w:sz="0" w:space="0" w:color="auto"/>
        <w:left w:val="none" w:sz="0" w:space="0" w:color="auto"/>
        <w:bottom w:val="none" w:sz="0" w:space="0" w:color="auto"/>
        <w:right w:val="none" w:sz="0" w:space="0" w:color="auto"/>
      </w:divBdr>
    </w:div>
    <w:div w:id="1221669963">
      <w:bodyDiv w:val="1"/>
      <w:marLeft w:val="0"/>
      <w:marRight w:val="0"/>
      <w:marTop w:val="0"/>
      <w:marBottom w:val="0"/>
      <w:divBdr>
        <w:top w:val="none" w:sz="0" w:space="0" w:color="auto"/>
        <w:left w:val="none" w:sz="0" w:space="0" w:color="auto"/>
        <w:bottom w:val="none" w:sz="0" w:space="0" w:color="auto"/>
        <w:right w:val="none" w:sz="0" w:space="0" w:color="auto"/>
      </w:divBdr>
    </w:div>
    <w:div w:id="1282346610">
      <w:bodyDiv w:val="1"/>
      <w:marLeft w:val="0"/>
      <w:marRight w:val="0"/>
      <w:marTop w:val="0"/>
      <w:marBottom w:val="0"/>
      <w:divBdr>
        <w:top w:val="none" w:sz="0" w:space="0" w:color="auto"/>
        <w:left w:val="none" w:sz="0" w:space="0" w:color="auto"/>
        <w:bottom w:val="none" w:sz="0" w:space="0" w:color="auto"/>
        <w:right w:val="none" w:sz="0" w:space="0" w:color="auto"/>
      </w:divBdr>
    </w:div>
    <w:div w:id="1310209958">
      <w:bodyDiv w:val="1"/>
      <w:marLeft w:val="0"/>
      <w:marRight w:val="0"/>
      <w:marTop w:val="0"/>
      <w:marBottom w:val="0"/>
      <w:divBdr>
        <w:top w:val="none" w:sz="0" w:space="0" w:color="auto"/>
        <w:left w:val="none" w:sz="0" w:space="0" w:color="auto"/>
        <w:bottom w:val="none" w:sz="0" w:space="0" w:color="auto"/>
        <w:right w:val="none" w:sz="0" w:space="0" w:color="auto"/>
      </w:divBdr>
      <w:divsChild>
        <w:div w:id="1847134521">
          <w:marLeft w:val="0"/>
          <w:marRight w:val="0"/>
          <w:marTop w:val="0"/>
          <w:marBottom w:val="0"/>
          <w:divBdr>
            <w:top w:val="none" w:sz="0" w:space="0" w:color="auto"/>
            <w:left w:val="none" w:sz="0" w:space="0" w:color="auto"/>
            <w:bottom w:val="none" w:sz="0" w:space="0" w:color="auto"/>
            <w:right w:val="none" w:sz="0" w:space="0" w:color="auto"/>
          </w:divBdr>
        </w:div>
      </w:divsChild>
    </w:div>
    <w:div w:id="1443186119">
      <w:bodyDiv w:val="1"/>
      <w:marLeft w:val="0"/>
      <w:marRight w:val="0"/>
      <w:marTop w:val="0"/>
      <w:marBottom w:val="0"/>
      <w:divBdr>
        <w:top w:val="none" w:sz="0" w:space="0" w:color="auto"/>
        <w:left w:val="none" w:sz="0" w:space="0" w:color="auto"/>
        <w:bottom w:val="none" w:sz="0" w:space="0" w:color="auto"/>
        <w:right w:val="none" w:sz="0" w:space="0" w:color="auto"/>
      </w:divBdr>
    </w:div>
    <w:div w:id="1461073044">
      <w:bodyDiv w:val="1"/>
      <w:marLeft w:val="0"/>
      <w:marRight w:val="0"/>
      <w:marTop w:val="0"/>
      <w:marBottom w:val="0"/>
      <w:divBdr>
        <w:top w:val="none" w:sz="0" w:space="0" w:color="auto"/>
        <w:left w:val="none" w:sz="0" w:space="0" w:color="auto"/>
        <w:bottom w:val="none" w:sz="0" w:space="0" w:color="auto"/>
        <w:right w:val="none" w:sz="0" w:space="0" w:color="auto"/>
      </w:divBdr>
    </w:div>
    <w:div w:id="1601987242">
      <w:bodyDiv w:val="1"/>
      <w:marLeft w:val="0"/>
      <w:marRight w:val="0"/>
      <w:marTop w:val="0"/>
      <w:marBottom w:val="0"/>
      <w:divBdr>
        <w:top w:val="none" w:sz="0" w:space="0" w:color="auto"/>
        <w:left w:val="none" w:sz="0" w:space="0" w:color="auto"/>
        <w:bottom w:val="none" w:sz="0" w:space="0" w:color="auto"/>
        <w:right w:val="none" w:sz="0" w:space="0" w:color="auto"/>
      </w:divBdr>
    </w:div>
    <w:div w:id="1819876065">
      <w:bodyDiv w:val="1"/>
      <w:marLeft w:val="0"/>
      <w:marRight w:val="0"/>
      <w:marTop w:val="0"/>
      <w:marBottom w:val="0"/>
      <w:divBdr>
        <w:top w:val="none" w:sz="0" w:space="0" w:color="auto"/>
        <w:left w:val="none" w:sz="0" w:space="0" w:color="auto"/>
        <w:bottom w:val="none" w:sz="0" w:space="0" w:color="auto"/>
        <w:right w:val="none" w:sz="0" w:space="0" w:color="auto"/>
      </w:divBdr>
    </w:div>
    <w:div w:id="1924491768">
      <w:bodyDiv w:val="1"/>
      <w:marLeft w:val="0"/>
      <w:marRight w:val="0"/>
      <w:marTop w:val="0"/>
      <w:marBottom w:val="0"/>
      <w:divBdr>
        <w:top w:val="none" w:sz="0" w:space="0" w:color="auto"/>
        <w:left w:val="none" w:sz="0" w:space="0" w:color="auto"/>
        <w:bottom w:val="none" w:sz="0" w:space="0" w:color="auto"/>
        <w:right w:val="none" w:sz="0" w:space="0" w:color="auto"/>
      </w:divBdr>
    </w:div>
    <w:div w:id="196014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ol.gov/dol/topic/wages/minimumwage.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ATHprojectofficer@mail.nih.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D5ACE-C878-4187-96D9-4498FCC22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4183</Words>
  <Characters>23846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27974</CharactersWithSpaces>
  <SharedDoc>false</SharedDoc>
  <HLinks>
    <vt:vector size="18" baseType="variant">
      <vt:variant>
        <vt:i4>3932204</vt:i4>
      </vt:variant>
      <vt:variant>
        <vt:i4>6</vt:i4>
      </vt:variant>
      <vt:variant>
        <vt:i4>0</vt:i4>
      </vt:variant>
      <vt:variant>
        <vt:i4>5</vt:i4>
      </vt:variant>
      <vt:variant>
        <vt:lpwstr>http://www.dol.gov/dol/topic/wages/minimumwage.htm</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2097224</vt:i4>
      </vt:variant>
      <vt:variant>
        <vt:i4>0</vt:i4>
      </vt:variant>
      <vt:variant>
        <vt:i4>0</vt:i4>
      </vt:variant>
      <vt:variant>
        <vt:i4>5</vt:i4>
      </vt:variant>
      <vt:variant>
        <vt:lpwstr>http://www.whitehouse.gov/omb/inforeg/pmc_survey_guidance_2006.pdf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2016-03-10T14:48:00Z</dcterms:created>
  <dcterms:modified xsi:type="dcterms:W3CDTF">2016-03-10T14:48:00Z</dcterms:modified>
</cp:coreProperties>
</file>