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7FDE0" w14:textId="77777777" w:rsidR="005C3DC2" w:rsidRDefault="005C3DC2" w:rsidP="00140E2F">
      <w:pPr>
        <w:ind w:firstLine="720"/>
      </w:pPr>
    </w:p>
    <w:p w14:paraId="1C035DF5" w14:textId="77777777" w:rsidR="005C3DC2" w:rsidRDefault="005C3DC2" w:rsidP="00140E2F">
      <w:pPr>
        <w:ind w:firstLine="720"/>
      </w:pPr>
    </w:p>
    <w:p w14:paraId="483842D7" w14:textId="77777777" w:rsidR="005C3DC2" w:rsidRDefault="005C3DC2" w:rsidP="00140E2F">
      <w:pPr>
        <w:ind w:firstLine="720"/>
      </w:pPr>
    </w:p>
    <w:p w14:paraId="31690CD8" w14:textId="77777777" w:rsidR="005C3DC2" w:rsidRPr="00CA02BF" w:rsidRDefault="005C3DC2" w:rsidP="00140E2F">
      <w:pPr>
        <w:ind w:firstLine="720"/>
        <w:jc w:val="center"/>
        <w:rPr>
          <w:sz w:val="32"/>
          <w:szCs w:val="32"/>
        </w:rPr>
      </w:pPr>
      <w:r w:rsidRPr="00CA02BF">
        <w:rPr>
          <w:sz w:val="32"/>
          <w:szCs w:val="32"/>
        </w:rPr>
        <w:t>Supporting Statement A for</w:t>
      </w:r>
    </w:p>
    <w:p w14:paraId="261E9309" w14:textId="77777777" w:rsidR="005C3DC2" w:rsidRDefault="005C3DC2" w:rsidP="00140E2F">
      <w:pPr>
        <w:ind w:firstLine="720"/>
        <w:jc w:val="center"/>
        <w:rPr>
          <w:sz w:val="28"/>
          <w:szCs w:val="28"/>
        </w:rPr>
      </w:pPr>
    </w:p>
    <w:p w14:paraId="7DFB8E91" w14:textId="77777777" w:rsidR="00680E77" w:rsidRDefault="00680E77" w:rsidP="00140E2F">
      <w:pPr>
        <w:ind w:firstLine="720"/>
        <w:jc w:val="center"/>
        <w:rPr>
          <w:sz w:val="28"/>
          <w:szCs w:val="28"/>
        </w:rPr>
      </w:pPr>
    </w:p>
    <w:p w14:paraId="369949C3" w14:textId="77777777" w:rsidR="00CA02BF" w:rsidRDefault="00CA02BF" w:rsidP="00140E2F">
      <w:pPr>
        <w:ind w:firstLine="720"/>
        <w:jc w:val="center"/>
        <w:rPr>
          <w:sz w:val="28"/>
          <w:szCs w:val="28"/>
        </w:rPr>
      </w:pPr>
    </w:p>
    <w:p w14:paraId="31AF85B3" w14:textId="77777777" w:rsidR="00CA02BF" w:rsidRDefault="00CA02BF" w:rsidP="00140E2F">
      <w:pPr>
        <w:ind w:firstLine="720"/>
        <w:jc w:val="center"/>
        <w:rPr>
          <w:sz w:val="28"/>
          <w:szCs w:val="28"/>
        </w:rPr>
      </w:pPr>
    </w:p>
    <w:p w14:paraId="35A8DEEC" w14:textId="77777777" w:rsidR="00CA02BF" w:rsidRPr="00985328" w:rsidRDefault="00CA02BF" w:rsidP="00140E2F">
      <w:pPr>
        <w:ind w:firstLine="720"/>
        <w:jc w:val="center"/>
        <w:rPr>
          <w:sz w:val="32"/>
          <w:szCs w:val="32"/>
        </w:rPr>
      </w:pPr>
    </w:p>
    <w:p w14:paraId="2A7CD4BC" w14:textId="77777777" w:rsidR="005C3DC2" w:rsidRPr="00985328" w:rsidRDefault="003900CE" w:rsidP="00140E2F">
      <w:pPr>
        <w:ind w:firstLine="720"/>
        <w:jc w:val="center"/>
        <w:rPr>
          <w:sz w:val="32"/>
          <w:szCs w:val="32"/>
        </w:rPr>
      </w:pPr>
      <w:r w:rsidRPr="00985328">
        <w:rPr>
          <w:sz w:val="32"/>
          <w:szCs w:val="32"/>
        </w:rPr>
        <w:t xml:space="preserve">National Institute of Mental </w:t>
      </w:r>
      <w:r w:rsidR="00812BD6" w:rsidRPr="00985328">
        <w:rPr>
          <w:sz w:val="32"/>
          <w:szCs w:val="32"/>
        </w:rPr>
        <w:t>Health (</w:t>
      </w:r>
      <w:r w:rsidRPr="00985328">
        <w:rPr>
          <w:sz w:val="32"/>
          <w:szCs w:val="32"/>
        </w:rPr>
        <w:t>NIMH)</w:t>
      </w:r>
    </w:p>
    <w:p w14:paraId="11F9F156" w14:textId="77777777" w:rsidR="003900CE" w:rsidRPr="00985328" w:rsidRDefault="003900CE" w:rsidP="00140E2F">
      <w:pPr>
        <w:ind w:firstLine="720"/>
        <w:jc w:val="center"/>
        <w:rPr>
          <w:sz w:val="32"/>
          <w:szCs w:val="32"/>
        </w:rPr>
      </w:pPr>
      <w:r w:rsidRPr="00985328">
        <w:rPr>
          <w:sz w:val="32"/>
          <w:szCs w:val="32"/>
        </w:rPr>
        <w:t xml:space="preserve">Recruitment Milestone Reporting </w:t>
      </w:r>
      <w:r w:rsidR="00985328" w:rsidRPr="00985328">
        <w:rPr>
          <w:sz w:val="32"/>
          <w:szCs w:val="32"/>
        </w:rPr>
        <w:t xml:space="preserve">(RMR) </w:t>
      </w:r>
      <w:r w:rsidRPr="00985328">
        <w:rPr>
          <w:sz w:val="32"/>
          <w:szCs w:val="32"/>
        </w:rPr>
        <w:t>System</w:t>
      </w:r>
    </w:p>
    <w:p w14:paraId="3CAC3D32" w14:textId="77777777" w:rsidR="00967AAE" w:rsidRDefault="00967AAE" w:rsidP="00140E2F">
      <w:pPr>
        <w:ind w:firstLine="720"/>
        <w:jc w:val="center"/>
        <w:rPr>
          <w:sz w:val="32"/>
          <w:szCs w:val="32"/>
        </w:rPr>
      </w:pPr>
    </w:p>
    <w:p w14:paraId="36B46F8C" w14:textId="77777777" w:rsidR="00967AAE" w:rsidRDefault="00967AAE" w:rsidP="00140E2F">
      <w:pPr>
        <w:ind w:firstLine="720"/>
        <w:jc w:val="center"/>
        <w:rPr>
          <w:sz w:val="32"/>
          <w:szCs w:val="32"/>
        </w:rPr>
      </w:pPr>
    </w:p>
    <w:p w14:paraId="4328132B" w14:textId="77777777" w:rsidR="00967AAE" w:rsidRDefault="00967AAE" w:rsidP="00140E2F">
      <w:pPr>
        <w:ind w:firstLine="720"/>
        <w:jc w:val="center"/>
        <w:rPr>
          <w:sz w:val="32"/>
          <w:szCs w:val="32"/>
        </w:rPr>
      </w:pPr>
    </w:p>
    <w:p w14:paraId="73743322" w14:textId="5E455500" w:rsidR="00967AAE" w:rsidRDefault="001A5068" w:rsidP="00140E2F">
      <w:pPr>
        <w:ind w:firstLine="720"/>
        <w:jc w:val="center"/>
        <w:rPr>
          <w:sz w:val="32"/>
          <w:szCs w:val="32"/>
        </w:rPr>
      </w:pPr>
      <w:r w:rsidRPr="007D50B6">
        <w:rPr>
          <w:sz w:val="32"/>
          <w:szCs w:val="32"/>
          <w:highlight w:val="yellow"/>
        </w:rPr>
        <w:t xml:space="preserve">Revised </w:t>
      </w:r>
      <w:r w:rsidR="00571108" w:rsidRPr="0026075C">
        <w:rPr>
          <w:sz w:val="32"/>
          <w:szCs w:val="32"/>
          <w:highlight w:val="yellow"/>
        </w:rPr>
        <w:t>March 2016</w:t>
      </w:r>
    </w:p>
    <w:p w14:paraId="4BDA8960" w14:textId="77777777" w:rsidR="005C0E24" w:rsidRDefault="005C0E24" w:rsidP="00140E2F">
      <w:pPr>
        <w:ind w:firstLine="720"/>
        <w:jc w:val="center"/>
        <w:rPr>
          <w:sz w:val="32"/>
          <w:szCs w:val="32"/>
        </w:rPr>
      </w:pPr>
      <w:r w:rsidRPr="00AB3690">
        <w:rPr>
          <w:sz w:val="32"/>
          <w:szCs w:val="32"/>
        </w:rPr>
        <w:t>OMB No. 0925-0697</w:t>
      </w:r>
    </w:p>
    <w:p w14:paraId="19D5029E" w14:textId="77777777" w:rsidR="00967AAE" w:rsidRDefault="00967AAE" w:rsidP="00140E2F">
      <w:pPr>
        <w:ind w:firstLine="720"/>
        <w:rPr>
          <w:sz w:val="32"/>
          <w:szCs w:val="32"/>
        </w:rPr>
      </w:pPr>
      <w:r>
        <w:rPr>
          <w:sz w:val="32"/>
          <w:szCs w:val="32"/>
        </w:rPr>
        <w:t xml:space="preserve">         </w:t>
      </w:r>
    </w:p>
    <w:p w14:paraId="1BD2199A" w14:textId="77777777" w:rsidR="00967AAE" w:rsidRDefault="00967AAE" w:rsidP="00140E2F">
      <w:pPr>
        <w:ind w:firstLine="720"/>
        <w:rPr>
          <w:sz w:val="32"/>
          <w:szCs w:val="32"/>
        </w:rPr>
      </w:pPr>
    </w:p>
    <w:p w14:paraId="662CF73E" w14:textId="77777777" w:rsidR="00967AAE" w:rsidRDefault="00967AAE" w:rsidP="00140E2F">
      <w:pPr>
        <w:rPr>
          <w:color w:val="FF0000"/>
          <w:sz w:val="32"/>
          <w:szCs w:val="32"/>
        </w:rPr>
      </w:pPr>
      <w:r>
        <w:t xml:space="preserve">       </w:t>
      </w:r>
    </w:p>
    <w:p w14:paraId="6615FE9B" w14:textId="77777777" w:rsidR="00EF5CAC" w:rsidRPr="00967AAE" w:rsidRDefault="00EF5CAC" w:rsidP="00967AAE">
      <w:pPr>
        <w:rPr>
          <w:color w:val="FF0000"/>
          <w:sz w:val="32"/>
          <w:szCs w:val="32"/>
        </w:rPr>
      </w:pPr>
      <w:r>
        <w:rPr>
          <w:color w:val="FF0000"/>
          <w:sz w:val="32"/>
          <w:szCs w:val="32"/>
        </w:rPr>
        <w:t xml:space="preserve">                        </w:t>
      </w:r>
    </w:p>
    <w:p w14:paraId="74D56E86" w14:textId="77777777" w:rsidR="00967AAE" w:rsidRPr="00967AAE" w:rsidRDefault="00967AAE" w:rsidP="00967AAE">
      <w:pPr>
        <w:rPr>
          <w:color w:val="0000FF"/>
          <w:sz w:val="32"/>
          <w:szCs w:val="32"/>
        </w:rPr>
      </w:pPr>
    </w:p>
    <w:p w14:paraId="3AFE124D" w14:textId="77777777" w:rsidR="005C3DC2" w:rsidRPr="00680E77" w:rsidRDefault="005C3DC2" w:rsidP="005C3DC2">
      <w:pPr>
        <w:rPr>
          <w:color w:val="FF0000"/>
          <w:sz w:val="32"/>
          <w:szCs w:val="32"/>
        </w:rPr>
      </w:pPr>
    </w:p>
    <w:p w14:paraId="4010E4F8" w14:textId="77777777" w:rsidR="005C3DC2" w:rsidRDefault="005C3DC2" w:rsidP="005C3DC2">
      <w:pPr>
        <w:rPr>
          <w:color w:val="0000FF"/>
          <w:sz w:val="32"/>
          <w:szCs w:val="32"/>
        </w:rPr>
      </w:pPr>
    </w:p>
    <w:p w14:paraId="632CE57E" w14:textId="77777777" w:rsidR="005C3DC2" w:rsidRDefault="005C3DC2" w:rsidP="005C3DC2">
      <w:pPr>
        <w:rPr>
          <w:color w:val="0000FF"/>
          <w:sz w:val="32"/>
          <w:szCs w:val="32"/>
        </w:rPr>
      </w:pPr>
    </w:p>
    <w:p w14:paraId="4C6D0616" w14:textId="77777777" w:rsidR="005C3DC2" w:rsidRDefault="005C3DC2" w:rsidP="005C3DC2">
      <w:pPr>
        <w:rPr>
          <w:color w:val="0000FF"/>
          <w:sz w:val="32"/>
          <w:szCs w:val="32"/>
        </w:rPr>
      </w:pPr>
    </w:p>
    <w:p w14:paraId="0D8F68BD" w14:textId="77777777" w:rsidR="005C3DC2" w:rsidRDefault="005C3DC2" w:rsidP="005C3DC2">
      <w:pPr>
        <w:rPr>
          <w:color w:val="0000FF"/>
          <w:sz w:val="32"/>
          <w:szCs w:val="32"/>
        </w:rPr>
      </w:pPr>
    </w:p>
    <w:p w14:paraId="51B1DFF8" w14:textId="77777777" w:rsidR="005C3DC2" w:rsidRDefault="005C3DC2" w:rsidP="005C3DC2">
      <w:pPr>
        <w:rPr>
          <w:color w:val="0000FF"/>
          <w:sz w:val="32"/>
          <w:szCs w:val="32"/>
        </w:rPr>
      </w:pPr>
    </w:p>
    <w:p w14:paraId="2FEA079C" w14:textId="77777777" w:rsidR="005C3DC2" w:rsidRDefault="005C3DC2" w:rsidP="005C3DC2">
      <w:pPr>
        <w:rPr>
          <w:sz w:val="32"/>
          <w:szCs w:val="32"/>
        </w:rPr>
      </w:pPr>
      <w:r>
        <w:rPr>
          <w:sz w:val="32"/>
          <w:szCs w:val="32"/>
        </w:rPr>
        <w:t>Name:</w:t>
      </w:r>
      <w:r w:rsidR="005A372C">
        <w:rPr>
          <w:sz w:val="32"/>
          <w:szCs w:val="32"/>
        </w:rPr>
        <w:t xml:space="preserve"> </w:t>
      </w:r>
      <w:r w:rsidR="00AD2B05">
        <w:rPr>
          <w:sz w:val="32"/>
          <w:szCs w:val="32"/>
        </w:rPr>
        <w:tab/>
      </w:r>
      <w:r w:rsidR="00AD2B05">
        <w:rPr>
          <w:sz w:val="32"/>
          <w:szCs w:val="32"/>
        </w:rPr>
        <w:tab/>
      </w:r>
      <w:r w:rsidR="00140E2F" w:rsidRPr="007D50B6">
        <w:rPr>
          <w:sz w:val="32"/>
          <w:szCs w:val="32"/>
          <w:highlight w:val="yellow"/>
        </w:rPr>
        <w:t>Melba Rojas</w:t>
      </w:r>
    </w:p>
    <w:p w14:paraId="4032AF55" w14:textId="77777777" w:rsidR="007D50B6" w:rsidRDefault="005C3DC2" w:rsidP="005C3DC2">
      <w:pPr>
        <w:rPr>
          <w:sz w:val="32"/>
          <w:szCs w:val="32"/>
        </w:rPr>
      </w:pPr>
      <w:r>
        <w:rPr>
          <w:sz w:val="32"/>
          <w:szCs w:val="32"/>
        </w:rPr>
        <w:t>Address:</w:t>
      </w:r>
      <w:r w:rsidR="005A372C">
        <w:rPr>
          <w:sz w:val="32"/>
          <w:szCs w:val="32"/>
        </w:rPr>
        <w:t xml:space="preserve"> </w:t>
      </w:r>
      <w:r w:rsidR="00AD2B05">
        <w:rPr>
          <w:sz w:val="32"/>
          <w:szCs w:val="32"/>
        </w:rPr>
        <w:tab/>
      </w:r>
      <w:r w:rsidR="00AD2B05">
        <w:rPr>
          <w:sz w:val="32"/>
          <w:szCs w:val="32"/>
        </w:rPr>
        <w:tab/>
      </w:r>
      <w:r w:rsidR="007D50B6">
        <w:rPr>
          <w:sz w:val="32"/>
          <w:szCs w:val="32"/>
        </w:rPr>
        <w:t xml:space="preserve">Office of Science Policy, Planning and </w:t>
      </w:r>
      <w:r w:rsidR="007D50B6">
        <w:rPr>
          <w:sz w:val="32"/>
          <w:szCs w:val="32"/>
        </w:rPr>
        <w:tab/>
      </w:r>
      <w:r w:rsidR="007D50B6">
        <w:rPr>
          <w:sz w:val="32"/>
          <w:szCs w:val="32"/>
        </w:rPr>
        <w:tab/>
      </w:r>
      <w:r w:rsidR="007D50B6">
        <w:rPr>
          <w:sz w:val="32"/>
          <w:szCs w:val="32"/>
        </w:rPr>
        <w:tab/>
      </w:r>
      <w:r w:rsidR="007D50B6">
        <w:rPr>
          <w:sz w:val="32"/>
          <w:szCs w:val="32"/>
        </w:rPr>
        <w:tab/>
      </w:r>
      <w:r w:rsidR="007D50B6">
        <w:rPr>
          <w:sz w:val="32"/>
          <w:szCs w:val="32"/>
        </w:rPr>
        <w:tab/>
      </w:r>
      <w:r w:rsidR="007D50B6">
        <w:rPr>
          <w:sz w:val="32"/>
          <w:szCs w:val="32"/>
        </w:rPr>
        <w:tab/>
        <w:t>Communications, NIMH</w:t>
      </w:r>
    </w:p>
    <w:p w14:paraId="737D2A8A" w14:textId="77777777" w:rsidR="00AD2B05" w:rsidRDefault="007D50B6" w:rsidP="005C3DC2">
      <w:pPr>
        <w:rPr>
          <w:sz w:val="32"/>
          <w:szCs w:val="32"/>
        </w:rPr>
      </w:pPr>
      <w:r>
        <w:rPr>
          <w:sz w:val="32"/>
          <w:szCs w:val="32"/>
        </w:rPr>
        <w:tab/>
      </w:r>
      <w:r>
        <w:rPr>
          <w:sz w:val="32"/>
          <w:szCs w:val="32"/>
        </w:rPr>
        <w:tab/>
      </w:r>
      <w:r>
        <w:rPr>
          <w:sz w:val="32"/>
          <w:szCs w:val="32"/>
        </w:rPr>
        <w:tab/>
      </w:r>
      <w:r w:rsidR="005A372C">
        <w:rPr>
          <w:sz w:val="32"/>
          <w:szCs w:val="32"/>
        </w:rPr>
        <w:t>6001 Executive Blvd, MSC 9667</w:t>
      </w:r>
    </w:p>
    <w:p w14:paraId="23D5E818" w14:textId="77777777" w:rsidR="005C3DC2" w:rsidRDefault="00AD2B05" w:rsidP="005C3DC2">
      <w:pPr>
        <w:rPr>
          <w:sz w:val="32"/>
          <w:szCs w:val="32"/>
        </w:rPr>
      </w:pPr>
      <w:r>
        <w:rPr>
          <w:sz w:val="32"/>
          <w:szCs w:val="32"/>
        </w:rPr>
        <w:tab/>
      </w:r>
      <w:r>
        <w:rPr>
          <w:sz w:val="32"/>
          <w:szCs w:val="32"/>
        </w:rPr>
        <w:tab/>
      </w:r>
      <w:r w:rsidR="005A372C">
        <w:rPr>
          <w:sz w:val="32"/>
          <w:szCs w:val="32"/>
        </w:rPr>
        <w:tab/>
      </w:r>
      <w:r>
        <w:rPr>
          <w:sz w:val="32"/>
          <w:szCs w:val="32"/>
        </w:rPr>
        <w:t>Bethesda, Maryland 20892</w:t>
      </w:r>
    </w:p>
    <w:p w14:paraId="6035B337" w14:textId="77777777" w:rsidR="005C3DC2" w:rsidRDefault="005C3DC2" w:rsidP="005C3DC2">
      <w:pPr>
        <w:rPr>
          <w:sz w:val="32"/>
          <w:szCs w:val="32"/>
        </w:rPr>
      </w:pPr>
      <w:r>
        <w:rPr>
          <w:sz w:val="32"/>
          <w:szCs w:val="32"/>
        </w:rPr>
        <w:t>Telephone:</w:t>
      </w:r>
      <w:r w:rsidR="00AD2B05">
        <w:rPr>
          <w:sz w:val="32"/>
          <w:szCs w:val="32"/>
        </w:rPr>
        <w:tab/>
      </w:r>
      <w:r w:rsidR="00AD2B05">
        <w:rPr>
          <w:sz w:val="32"/>
          <w:szCs w:val="32"/>
        </w:rPr>
        <w:tab/>
      </w:r>
      <w:r w:rsidR="005A372C" w:rsidRPr="007D50B6">
        <w:rPr>
          <w:sz w:val="32"/>
          <w:szCs w:val="32"/>
          <w:highlight w:val="yellow"/>
        </w:rPr>
        <w:t>301-</w:t>
      </w:r>
      <w:r w:rsidR="007D50B6" w:rsidRPr="007D50B6">
        <w:rPr>
          <w:sz w:val="32"/>
          <w:szCs w:val="32"/>
          <w:highlight w:val="yellow"/>
        </w:rPr>
        <w:t>443-4335</w:t>
      </w:r>
    </w:p>
    <w:p w14:paraId="07291E4C" w14:textId="77777777" w:rsidR="002A5B21" w:rsidRDefault="002A5B21" w:rsidP="005C3DC2">
      <w:pPr>
        <w:rPr>
          <w:sz w:val="32"/>
          <w:szCs w:val="32"/>
        </w:rPr>
      </w:pPr>
      <w:r>
        <w:rPr>
          <w:sz w:val="32"/>
          <w:szCs w:val="32"/>
        </w:rPr>
        <w:t>Email:</w:t>
      </w:r>
      <w:r w:rsidR="005A372C">
        <w:rPr>
          <w:sz w:val="32"/>
          <w:szCs w:val="32"/>
        </w:rPr>
        <w:t xml:space="preserve"> </w:t>
      </w:r>
      <w:r w:rsidR="00AD2B05">
        <w:rPr>
          <w:sz w:val="32"/>
          <w:szCs w:val="32"/>
        </w:rPr>
        <w:tab/>
      </w:r>
      <w:r w:rsidR="00AD2B05">
        <w:rPr>
          <w:sz w:val="32"/>
          <w:szCs w:val="32"/>
        </w:rPr>
        <w:tab/>
      </w:r>
      <w:r w:rsidR="00140E2F" w:rsidRPr="007D50B6">
        <w:rPr>
          <w:sz w:val="32"/>
          <w:szCs w:val="32"/>
          <w:highlight w:val="yellow"/>
        </w:rPr>
        <w:t>melba.rojas@nih.gov</w:t>
      </w:r>
    </w:p>
    <w:p w14:paraId="4F7C10DE" w14:textId="77777777" w:rsidR="005C3DC2" w:rsidRDefault="005C3DC2" w:rsidP="005C3DC2">
      <w:pPr>
        <w:rPr>
          <w:sz w:val="32"/>
          <w:szCs w:val="32"/>
        </w:rPr>
      </w:pPr>
    </w:p>
    <w:p w14:paraId="659FE485" w14:textId="77777777" w:rsidR="005C3DC2" w:rsidRDefault="005C3DC2" w:rsidP="005C3DC2">
      <w:pPr>
        <w:rPr>
          <w:sz w:val="32"/>
          <w:szCs w:val="32"/>
        </w:rPr>
      </w:pPr>
    </w:p>
    <w:p w14:paraId="420EB448" w14:textId="77777777" w:rsidR="005C3DC2" w:rsidRDefault="005C3DC2" w:rsidP="005C3DC2">
      <w:pPr>
        <w:rPr>
          <w:sz w:val="32"/>
          <w:szCs w:val="32"/>
        </w:rPr>
      </w:pPr>
    </w:p>
    <w:p w14:paraId="4927128F" w14:textId="77777777" w:rsidR="00EF5CAC" w:rsidRDefault="00EF5CAC" w:rsidP="00253C78">
      <w:pPr>
        <w:tabs>
          <w:tab w:val="left" w:pos="3510"/>
        </w:tabs>
        <w:jc w:val="center"/>
      </w:pPr>
    </w:p>
    <w:p w14:paraId="7AFFE112" w14:textId="77777777" w:rsidR="00253C78" w:rsidRPr="00C37610" w:rsidRDefault="00253C78" w:rsidP="00253C78">
      <w:pPr>
        <w:tabs>
          <w:tab w:val="left" w:pos="3510"/>
        </w:tabs>
        <w:jc w:val="center"/>
      </w:pPr>
      <w:r w:rsidRPr="00C37610">
        <w:t>Table of contents</w:t>
      </w:r>
    </w:p>
    <w:p w14:paraId="456A69AC" w14:textId="77777777" w:rsidR="00253C78" w:rsidRPr="005B07A6" w:rsidRDefault="00253C78" w:rsidP="00253C78">
      <w:pPr>
        <w:pStyle w:val="TOC1"/>
      </w:pPr>
      <w:r w:rsidRPr="005B07A6">
        <w:fldChar w:fldCharType="begin"/>
      </w:r>
      <w:r w:rsidRPr="005B07A6">
        <w:instrText xml:space="preserve"> TOC \o "1-2" \u </w:instrText>
      </w:r>
      <w:r w:rsidRPr="005B07A6">
        <w:fldChar w:fldCharType="separate"/>
      </w:r>
      <w:r w:rsidRPr="005B07A6">
        <w:t>A.</w:t>
      </w:r>
      <w:r>
        <w:tab/>
      </w:r>
      <w:r w:rsidRPr="005B07A6">
        <w:t>JUSTIFICATION</w:t>
      </w:r>
      <w:r w:rsidRPr="005B07A6">
        <w:tab/>
      </w:r>
    </w:p>
    <w:p w14:paraId="1E64C82C" w14:textId="77777777" w:rsidR="00253C78" w:rsidRPr="005B07A6" w:rsidRDefault="00253C78" w:rsidP="00253C78">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p>
    <w:p w14:paraId="1B600DEA" w14:textId="77777777" w:rsidR="00253C78" w:rsidRPr="005B07A6" w:rsidRDefault="00253C78" w:rsidP="00253C78">
      <w:pPr>
        <w:pStyle w:val="TOC2"/>
        <w:rPr>
          <w:noProof/>
          <w:sz w:val="24"/>
          <w:szCs w:val="24"/>
        </w:rPr>
      </w:pPr>
      <w:r w:rsidRPr="005B07A6">
        <w:rPr>
          <w:noProof/>
          <w:sz w:val="24"/>
          <w:szCs w:val="24"/>
        </w:rPr>
        <w:t>A.2.</w:t>
      </w:r>
      <w:r w:rsidRPr="005B07A6">
        <w:rPr>
          <w:noProof/>
          <w:sz w:val="24"/>
          <w:szCs w:val="24"/>
        </w:rPr>
        <w:tab/>
        <w:t>Purpose and Use of the Information C</w:t>
      </w:r>
      <w:r w:rsidR="006A6C83">
        <w:rPr>
          <w:noProof/>
          <w:sz w:val="24"/>
          <w:szCs w:val="24"/>
        </w:rPr>
        <w:t>ollection</w:t>
      </w:r>
      <w:r w:rsidRPr="005B07A6">
        <w:rPr>
          <w:noProof/>
          <w:sz w:val="24"/>
          <w:szCs w:val="24"/>
        </w:rPr>
        <w:tab/>
      </w:r>
    </w:p>
    <w:p w14:paraId="4F0279E3" w14:textId="77777777" w:rsidR="00253C78" w:rsidRPr="005B07A6" w:rsidRDefault="00253C78" w:rsidP="00253C78">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p>
    <w:p w14:paraId="2D0AD5EE" w14:textId="77777777" w:rsidR="00253C78" w:rsidRPr="005B07A6" w:rsidRDefault="00253C78" w:rsidP="00253C78">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p>
    <w:p w14:paraId="13BDC47C" w14:textId="77777777" w:rsidR="00253C78" w:rsidRPr="005B07A6" w:rsidRDefault="00253C78" w:rsidP="00253C78">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p>
    <w:p w14:paraId="72278549" w14:textId="77777777" w:rsidR="00253C78" w:rsidRPr="005B07A6" w:rsidRDefault="00253C78" w:rsidP="00253C78">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p>
    <w:p w14:paraId="71314338" w14:textId="77777777" w:rsidR="00253C78" w:rsidRPr="005B07A6" w:rsidRDefault="00253C78" w:rsidP="00253C78">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p>
    <w:p w14:paraId="09ECA55F" w14:textId="77777777" w:rsidR="00253C78" w:rsidRPr="005B07A6" w:rsidRDefault="00253C78" w:rsidP="00253C78">
      <w:pPr>
        <w:pStyle w:val="TOC2"/>
        <w:rPr>
          <w:noProof/>
          <w:sz w:val="24"/>
          <w:szCs w:val="24"/>
        </w:rPr>
      </w:pPr>
      <w:r w:rsidRPr="005B07A6">
        <w:rPr>
          <w:noProof/>
          <w:sz w:val="24"/>
          <w:szCs w:val="24"/>
        </w:rPr>
        <w:t>A.8</w:t>
      </w:r>
      <w:r w:rsidRPr="005B07A6">
        <w:rPr>
          <w:noProof/>
          <w:sz w:val="24"/>
          <w:szCs w:val="24"/>
        </w:rPr>
        <w:tab/>
        <w:t>Comments in Response to the Federal Register Notice and Efforts to Consult Outside Agency</w:t>
      </w:r>
      <w:r w:rsidRPr="005B07A6">
        <w:rPr>
          <w:noProof/>
          <w:sz w:val="24"/>
          <w:szCs w:val="24"/>
        </w:rPr>
        <w:tab/>
      </w:r>
    </w:p>
    <w:p w14:paraId="5690E1E3" w14:textId="77777777" w:rsidR="00253C78" w:rsidRPr="005B07A6" w:rsidRDefault="00253C78" w:rsidP="00253C78">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p>
    <w:p w14:paraId="0F369A09" w14:textId="77777777" w:rsidR="00253C78" w:rsidRPr="005B07A6" w:rsidRDefault="00253C78" w:rsidP="00253C78">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p>
    <w:p w14:paraId="3CBFF335" w14:textId="77777777" w:rsidR="00253C78" w:rsidRPr="005B07A6" w:rsidRDefault="00253C78" w:rsidP="00253C78">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p>
    <w:p w14:paraId="2AE20AFA" w14:textId="77777777" w:rsidR="00253C78" w:rsidRPr="005B07A6" w:rsidRDefault="00253C78" w:rsidP="00253C78">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p>
    <w:p w14:paraId="3CCBE0AD" w14:textId="77777777" w:rsidR="00253C78" w:rsidRPr="005B07A6" w:rsidRDefault="00253C78" w:rsidP="00253C78">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14:paraId="74772E1A" w14:textId="77777777" w:rsidR="00253C78" w:rsidRPr="005B07A6" w:rsidRDefault="00253C78" w:rsidP="00253C78">
      <w:pPr>
        <w:pStyle w:val="TOC2"/>
        <w:rPr>
          <w:noProof/>
          <w:sz w:val="24"/>
          <w:szCs w:val="24"/>
        </w:rPr>
      </w:pPr>
      <w:r w:rsidRPr="005B07A6">
        <w:rPr>
          <w:noProof/>
          <w:sz w:val="24"/>
          <w:szCs w:val="24"/>
        </w:rPr>
        <w:tab/>
        <w:t xml:space="preserve"> keepers</w:t>
      </w:r>
      <w:r w:rsidRPr="005B07A6">
        <w:rPr>
          <w:noProof/>
          <w:sz w:val="24"/>
          <w:szCs w:val="24"/>
        </w:rPr>
        <w:tab/>
      </w:r>
    </w:p>
    <w:p w14:paraId="1B3092CF" w14:textId="77777777" w:rsidR="00253C78" w:rsidRPr="005B07A6" w:rsidRDefault="00253C78" w:rsidP="00253C78">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p>
    <w:p w14:paraId="317CD050" w14:textId="77777777" w:rsidR="00253C78" w:rsidRPr="005B07A6" w:rsidRDefault="00253C78" w:rsidP="00253C78">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p>
    <w:p w14:paraId="1C5060FC" w14:textId="77777777" w:rsidR="00253C78" w:rsidRPr="005B07A6" w:rsidRDefault="00253C78" w:rsidP="00253C78">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p>
    <w:p w14:paraId="52A567CE" w14:textId="77777777" w:rsidR="00253C78" w:rsidRPr="005B07A6" w:rsidRDefault="00253C78" w:rsidP="00253C78">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p>
    <w:p w14:paraId="2E8C35E2" w14:textId="77777777" w:rsidR="00253C78" w:rsidRPr="005B07A6" w:rsidRDefault="00253C78" w:rsidP="00253C78">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p>
    <w:p w14:paraId="53FBF618" w14:textId="77777777" w:rsidR="005C3DC2" w:rsidRDefault="00253C78" w:rsidP="00253C78">
      <w:pPr>
        <w:rPr>
          <w:caps/>
          <w:noProof/>
        </w:rPr>
      </w:pPr>
      <w:r w:rsidRPr="005B07A6">
        <w:rPr>
          <w:caps/>
          <w:noProof/>
        </w:rPr>
        <w:fldChar w:fldCharType="end"/>
      </w:r>
    </w:p>
    <w:p w14:paraId="041CCC24" w14:textId="77777777" w:rsidR="00680E77" w:rsidRDefault="00680E77" w:rsidP="00253C78">
      <w:pPr>
        <w:rPr>
          <w:caps/>
          <w:noProof/>
        </w:rPr>
      </w:pPr>
    </w:p>
    <w:p w14:paraId="5FD03740" w14:textId="77777777" w:rsidR="00680E77" w:rsidRDefault="00680E77" w:rsidP="00253C78">
      <w:pPr>
        <w:rPr>
          <w:caps/>
          <w:noProof/>
        </w:rPr>
      </w:pPr>
    </w:p>
    <w:p w14:paraId="51E4789A" w14:textId="77777777" w:rsidR="00680E77" w:rsidRDefault="00680E77" w:rsidP="00253C78">
      <w:pPr>
        <w:rPr>
          <w:caps/>
          <w:noProof/>
        </w:rPr>
      </w:pPr>
    </w:p>
    <w:p w14:paraId="44F38A6E" w14:textId="77777777" w:rsidR="00680E77" w:rsidRDefault="00680E77" w:rsidP="00253C78">
      <w:pPr>
        <w:rPr>
          <w:caps/>
          <w:noProof/>
        </w:rPr>
      </w:pPr>
    </w:p>
    <w:p w14:paraId="4E1279AC" w14:textId="77777777" w:rsidR="00680E77" w:rsidRDefault="00680E77" w:rsidP="00253C78">
      <w:pPr>
        <w:rPr>
          <w:caps/>
          <w:noProof/>
        </w:rPr>
      </w:pPr>
    </w:p>
    <w:p w14:paraId="35D2A1EA" w14:textId="77777777" w:rsidR="00680E77" w:rsidRDefault="00680E77" w:rsidP="00253C78">
      <w:pPr>
        <w:rPr>
          <w:caps/>
          <w:noProof/>
        </w:rPr>
      </w:pPr>
    </w:p>
    <w:p w14:paraId="6C9A4D18" w14:textId="77777777" w:rsidR="00680E77" w:rsidRDefault="00680E77" w:rsidP="00253C78">
      <w:pPr>
        <w:rPr>
          <w:caps/>
          <w:noProof/>
        </w:rPr>
      </w:pPr>
    </w:p>
    <w:p w14:paraId="768C8FAC" w14:textId="77777777" w:rsidR="00680E77" w:rsidRDefault="00680E77" w:rsidP="00253C78">
      <w:pPr>
        <w:rPr>
          <w:caps/>
          <w:noProof/>
        </w:rPr>
      </w:pPr>
    </w:p>
    <w:p w14:paraId="0970A05D" w14:textId="77777777" w:rsidR="004A70E1" w:rsidRDefault="004A70E1" w:rsidP="00253C78">
      <w:pPr>
        <w:rPr>
          <w:b/>
          <w:caps/>
          <w:noProof/>
          <w:color w:val="FF0000"/>
          <w:sz w:val="20"/>
        </w:rPr>
      </w:pPr>
    </w:p>
    <w:p w14:paraId="40C4D266" w14:textId="77777777" w:rsidR="002D2CA0" w:rsidRDefault="002D2CA0" w:rsidP="004A70E1">
      <w:pPr>
        <w:pStyle w:val="P1-StandPara"/>
        <w:ind w:right="-216" w:firstLine="0"/>
        <w:jc w:val="center"/>
        <w:rPr>
          <w:b/>
          <w:caps/>
          <w:noProof/>
          <w:color w:val="FF0000"/>
          <w:sz w:val="24"/>
          <w:szCs w:val="24"/>
        </w:rPr>
      </w:pPr>
    </w:p>
    <w:p w14:paraId="59C858E3" w14:textId="77777777" w:rsidR="002D2CA0" w:rsidRDefault="002D2CA0" w:rsidP="004A70E1">
      <w:pPr>
        <w:pStyle w:val="P1-StandPara"/>
        <w:ind w:right="-216" w:firstLine="0"/>
        <w:jc w:val="center"/>
        <w:rPr>
          <w:b/>
          <w:caps/>
          <w:noProof/>
          <w:color w:val="FF0000"/>
          <w:sz w:val="24"/>
          <w:szCs w:val="24"/>
        </w:rPr>
      </w:pPr>
    </w:p>
    <w:p w14:paraId="7606E164" w14:textId="77777777" w:rsidR="004A70E1" w:rsidRDefault="004A70E1" w:rsidP="004A70E1">
      <w:pPr>
        <w:pStyle w:val="P1-StandPara"/>
        <w:ind w:right="-216" w:firstLine="0"/>
        <w:jc w:val="center"/>
        <w:rPr>
          <w:sz w:val="24"/>
          <w:szCs w:val="24"/>
        </w:rPr>
      </w:pPr>
      <w:r w:rsidRPr="007A7F6E">
        <w:rPr>
          <w:b/>
          <w:caps/>
          <w:noProof/>
          <w:sz w:val="24"/>
          <w:szCs w:val="24"/>
        </w:rPr>
        <w:t>List of Attachments</w:t>
      </w:r>
      <w:r w:rsidRPr="007A7F6E">
        <w:rPr>
          <w:sz w:val="24"/>
          <w:szCs w:val="24"/>
        </w:rPr>
        <w:t>:</w:t>
      </w:r>
    </w:p>
    <w:p w14:paraId="0101ACDF" w14:textId="77777777" w:rsidR="004A5EFB" w:rsidRDefault="004A5EFB" w:rsidP="004A5EFB">
      <w:pPr>
        <w:pStyle w:val="P1-StandPara"/>
        <w:numPr>
          <w:ilvl w:val="0"/>
          <w:numId w:val="5"/>
        </w:numPr>
        <w:ind w:right="-216"/>
        <w:rPr>
          <w:sz w:val="24"/>
          <w:szCs w:val="24"/>
        </w:rPr>
      </w:pPr>
      <w:r>
        <w:rPr>
          <w:sz w:val="24"/>
          <w:szCs w:val="24"/>
        </w:rPr>
        <w:t>Attachment 1: Screenshot</w:t>
      </w:r>
      <w:r w:rsidR="00585D5D">
        <w:rPr>
          <w:sz w:val="24"/>
          <w:szCs w:val="24"/>
        </w:rPr>
        <w:t>s</w:t>
      </w:r>
      <w:r>
        <w:rPr>
          <w:sz w:val="24"/>
          <w:szCs w:val="24"/>
        </w:rPr>
        <w:t xml:space="preserve"> of Recruitment Milestone Reporting (RMR) Database </w:t>
      </w:r>
    </w:p>
    <w:p w14:paraId="38519DEF" w14:textId="77777777" w:rsidR="00996CBF" w:rsidRDefault="00996CBF" w:rsidP="004A5EFB">
      <w:pPr>
        <w:pStyle w:val="P1-StandPara"/>
        <w:numPr>
          <w:ilvl w:val="0"/>
          <w:numId w:val="5"/>
        </w:numPr>
        <w:ind w:right="-216"/>
        <w:rPr>
          <w:sz w:val="24"/>
          <w:szCs w:val="24"/>
        </w:rPr>
      </w:pPr>
      <w:r w:rsidRPr="00CC21AD">
        <w:rPr>
          <w:sz w:val="24"/>
          <w:szCs w:val="24"/>
        </w:rPr>
        <w:t xml:space="preserve">Attachment </w:t>
      </w:r>
      <w:r w:rsidR="00180549" w:rsidRPr="00CC21AD">
        <w:rPr>
          <w:sz w:val="24"/>
          <w:szCs w:val="24"/>
        </w:rPr>
        <w:t>2</w:t>
      </w:r>
      <w:r w:rsidRPr="00CC21AD">
        <w:rPr>
          <w:sz w:val="24"/>
          <w:szCs w:val="24"/>
        </w:rPr>
        <w:t>: Summary of Public Comments Received</w:t>
      </w:r>
    </w:p>
    <w:p w14:paraId="2E24B923" w14:textId="77777777" w:rsidR="00D53DA4" w:rsidRDefault="00D53DA4" w:rsidP="004A5EFB">
      <w:pPr>
        <w:pStyle w:val="P1-StandPara"/>
        <w:numPr>
          <w:ilvl w:val="0"/>
          <w:numId w:val="5"/>
        </w:numPr>
        <w:ind w:right="-216"/>
        <w:rPr>
          <w:sz w:val="24"/>
          <w:szCs w:val="24"/>
        </w:rPr>
      </w:pPr>
      <w:r>
        <w:rPr>
          <w:sz w:val="24"/>
          <w:szCs w:val="24"/>
        </w:rPr>
        <w:t>Attachment 3: Published 30-day Notice</w:t>
      </w:r>
    </w:p>
    <w:p w14:paraId="29E7F3EF" w14:textId="497FEB35" w:rsidR="00B57383" w:rsidRPr="0004235E" w:rsidRDefault="00B57383" w:rsidP="004A5EFB">
      <w:pPr>
        <w:pStyle w:val="P1-StandPara"/>
        <w:numPr>
          <w:ilvl w:val="0"/>
          <w:numId w:val="5"/>
        </w:numPr>
        <w:ind w:right="-216"/>
        <w:rPr>
          <w:sz w:val="24"/>
          <w:szCs w:val="24"/>
          <w:highlight w:val="yellow"/>
        </w:rPr>
      </w:pPr>
      <w:r w:rsidRPr="0004235E">
        <w:rPr>
          <w:sz w:val="24"/>
          <w:szCs w:val="24"/>
          <w:highlight w:val="yellow"/>
        </w:rPr>
        <w:t xml:space="preserve">Attachment 4: </w:t>
      </w:r>
      <w:r w:rsidR="00A73808" w:rsidRPr="0004235E">
        <w:rPr>
          <w:sz w:val="24"/>
          <w:szCs w:val="24"/>
          <w:highlight w:val="yellow"/>
        </w:rPr>
        <w:t>NIMH Policy for the Recruitment of Participants in Clinical Research</w:t>
      </w:r>
    </w:p>
    <w:p w14:paraId="51DF3474" w14:textId="77777777" w:rsidR="005A372C" w:rsidRDefault="005A372C" w:rsidP="004A70E1">
      <w:pPr>
        <w:pStyle w:val="P1-StandPara"/>
        <w:tabs>
          <w:tab w:val="num" w:pos="1080"/>
        </w:tabs>
        <w:spacing w:line="240" w:lineRule="auto"/>
        <w:ind w:left="1080" w:right="-216" w:hanging="360"/>
        <w:jc w:val="right"/>
        <w:rPr>
          <w:color w:val="FF0000"/>
          <w:sz w:val="24"/>
          <w:szCs w:val="24"/>
          <w:lang w:val="fr-FR"/>
        </w:rPr>
      </w:pPr>
    </w:p>
    <w:p w14:paraId="7AEC1D94" w14:textId="77777777" w:rsidR="005A372C" w:rsidRDefault="005A372C" w:rsidP="004A70E1">
      <w:pPr>
        <w:pStyle w:val="P1-StandPara"/>
        <w:tabs>
          <w:tab w:val="num" w:pos="1080"/>
        </w:tabs>
        <w:spacing w:line="240" w:lineRule="auto"/>
        <w:ind w:left="1080" w:right="-216" w:hanging="360"/>
        <w:jc w:val="right"/>
        <w:rPr>
          <w:color w:val="FF0000"/>
          <w:sz w:val="24"/>
          <w:szCs w:val="24"/>
          <w:lang w:val="fr-FR"/>
        </w:rPr>
      </w:pPr>
    </w:p>
    <w:p w14:paraId="4F37B5FE" w14:textId="77777777" w:rsidR="005A372C" w:rsidRDefault="005A372C" w:rsidP="004A70E1">
      <w:pPr>
        <w:pStyle w:val="P1-StandPara"/>
        <w:tabs>
          <w:tab w:val="num" w:pos="1080"/>
        </w:tabs>
        <w:spacing w:line="240" w:lineRule="auto"/>
        <w:ind w:left="1080" w:right="-216" w:hanging="360"/>
        <w:jc w:val="right"/>
        <w:rPr>
          <w:color w:val="FF0000"/>
          <w:sz w:val="24"/>
          <w:szCs w:val="24"/>
          <w:lang w:val="fr-FR"/>
        </w:rPr>
      </w:pPr>
    </w:p>
    <w:p w14:paraId="274DBB73" w14:textId="77777777" w:rsidR="005A372C" w:rsidRDefault="005A372C" w:rsidP="004A70E1">
      <w:pPr>
        <w:pStyle w:val="P1-StandPara"/>
        <w:tabs>
          <w:tab w:val="num" w:pos="1080"/>
        </w:tabs>
        <w:spacing w:line="240" w:lineRule="auto"/>
        <w:ind w:left="1080" w:right="-216" w:hanging="360"/>
        <w:jc w:val="right"/>
        <w:rPr>
          <w:color w:val="FF0000"/>
          <w:sz w:val="24"/>
          <w:szCs w:val="24"/>
          <w:lang w:val="fr-FR"/>
        </w:rPr>
      </w:pPr>
    </w:p>
    <w:p w14:paraId="6C1CED03" w14:textId="77777777" w:rsidR="005A372C" w:rsidRDefault="005A372C" w:rsidP="004A70E1">
      <w:pPr>
        <w:pStyle w:val="P1-StandPara"/>
        <w:tabs>
          <w:tab w:val="num" w:pos="1080"/>
        </w:tabs>
        <w:spacing w:line="240" w:lineRule="auto"/>
        <w:ind w:left="1080" w:right="-216" w:hanging="360"/>
        <w:jc w:val="right"/>
        <w:rPr>
          <w:color w:val="FF0000"/>
          <w:sz w:val="24"/>
          <w:szCs w:val="24"/>
          <w:lang w:val="fr-FR"/>
        </w:rPr>
      </w:pPr>
    </w:p>
    <w:p w14:paraId="2CBD7BCF" w14:textId="77777777" w:rsidR="005A372C" w:rsidRDefault="005A372C" w:rsidP="004A70E1">
      <w:pPr>
        <w:pStyle w:val="P1-StandPara"/>
        <w:tabs>
          <w:tab w:val="num" w:pos="1080"/>
        </w:tabs>
        <w:spacing w:line="240" w:lineRule="auto"/>
        <w:ind w:left="1080" w:right="-216" w:hanging="360"/>
        <w:jc w:val="right"/>
        <w:rPr>
          <w:color w:val="FF0000"/>
          <w:sz w:val="24"/>
          <w:szCs w:val="24"/>
          <w:lang w:val="fr-FR"/>
        </w:rPr>
      </w:pPr>
    </w:p>
    <w:p w14:paraId="7C438771" w14:textId="77777777" w:rsidR="00380465" w:rsidRDefault="00380465" w:rsidP="004A70E1">
      <w:pPr>
        <w:pStyle w:val="P1-StandPara"/>
        <w:tabs>
          <w:tab w:val="num" w:pos="1080"/>
        </w:tabs>
        <w:spacing w:line="240" w:lineRule="auto"/>
        <w:ind w:left="1080" w:right="-216" w:hanging="360"/>
        <w:jc w:val="right"/>
        <w:rPr>
          <w:color w:val="FF0000"/>
          <w:sz w:val="24"/>
          <w:szCs w:val="24"/>
          <w:lang w:val="fr-FR"/>
        </w:rPr>
      </w:pPr>
    </w:p>
    <w:p w14:paraId="45AFF2AF" w14:textId="77777777" w:rsidR="00380465" w:rsidRDefault="00380465" w:rsidP="004A70E1">
      <w:pPr>
        <w:pStyle w:val="P1-StandPara"/>
        <w:tabs>
          <w:tab w:val="num" w:pos="1080"/>
        </w:tabs>
        <w:spacing w:line="240" w:lineRule="auto"/>
        <w:ind w:left="1080" w:right="-216" w:hanging="360"/>
        <w:jc w:val="right"/>
        <w:rPr>
          <w:color w:val="FF0000"/>
          <w:sz w:val="24"/>
          <w:szCs w:val="24"/>
          <w:lang w:val="fr-FR"/>
        </w:rPr>
      </w:pPr>
    </w:p>
    <w:p w14:paraId="09FE0E5A" w14:textId="77777777" w:rsidR="00380465" w:rsidRDefault="00380465" w:rsidP="004A70E1">
      <w:pPr>
        <w:pStyle w:val="P1-StandPara"/>
        <w:tabs>
          <w:tab w:val="num" w:pos="1080"/>
        </w:tabs>
        <w:spacing w:line="240" w:lineRule="auto"/>
        <w:ind w:left="1080" w:right="-216" w:hanging="360"/>
        <w:jc w:val="right"/>
        <w:rPr>
          <w:color w:val="FF0000"/>
          <w:sz w:val="24"/>
          <w:szCs w:val="24"/>
          <w:lang w:val="fr-FR"/>
        </w:rPr>
      </w:pPr>
    </w:p>
    <w:p w14:paraId="72793FF3" w14:textId="77777777" w:rsidR="00380465" w:rsidRPr="00B079F2" w:rsidRDefault="00380465" w:rsidP="004A70E1">
      <w:pPr>
        <w:pStyle w:val="P1-StandPara"/>
        <w:tabs>
          <w:tab w:val="num" w:pos="1080"/>
        </w:tabs>
        <w:spacing w:line="240" w:lineRule="auto"/>
        <w:ind w:left="1080" w:right="-216" w:hanging="360"/>
        <w:jc w:val="right"/>
        <w:rPr>
          <w:color w:val="FF0000"/>
          <w:sz w:val="24"/>
          <w:szCs w:val="24"/>
          <w:lang w:val="fr-FR"/>
        </w:rPr>
      </w:pPr>
    </w:p>
    <w:p w14:paraId="30974264" w14:textId="77777777" w:rsidR="00400E0B" w:rsidRDefault="00400E0B" w:rsidP="00400E0B">
      <w:pPr>
        <w:pStyle w:val="P1-StandPara"/>
        <w:tabs>
          <w:tab w:val="left" w:pos="720"/>
          <w:tab w:val="right" w:leader="dot" w:pos="9504"/>
        </w:tabs>
        <w:spacing w:before="120" w:after="120"/>
        <w:ind w:left="720" w:firstLine="0"/>
        <w:rPr>
          <w:b/>
          <w:sz w:val="24"/>
          <w:szCs w:val="24"/>
        </w:rPr>
      </w:pPr>
    </w:p>
    <w:p w14:paraId="35DACC92" w14:textId="77777777" w:rsidR="00400E0B" w:rsidRDefault="00400E0B" w:rsidP="00400E0B">
      <w:pPr>
        <w:pStyle w:val="P1-StandPara"/>
        <w:tabs>
          <w:tab w:val="left" w:pos="720"/>
          <w:tab w:val="right" w:leader="dot" w:pos="9504"/>
        </w:tabs>
        <w:spacing w:before="120" w:after="120"/>
        <w:ind w:left="720" w:firstLine="0"/>
        <w:rPr>
          <w:b/>
          <w:sz w:val="24"/>
          <w:szCs w:val="24"/>
        </w:rPr>
      </w:pPr>
    </w:p>
    <w:p w14:paraId="25E6D981" w14:textId="77777777" w:rsidR="00400E0B" w:rsidRDefault="00400E0B" w:rsidP="00400E0B">
      <w:pPr>
        <w:pStyle w:val="P1-StandPara"/>
        <w:tabs>
          <w:tab w:val="left" w:pos="720"/>
          <w:tab w:val="right" w:leader="dot" w:pos="9504"/>
        </w:tabs>
        <w:spacing w:before="120" w:after="120"/>
        <w:ind w:left="720" w:firstLine="0"/>
        <w:rPr>
          <w:b/>
          <w:sz w:val="24"/>
          <w:szCs w:val="24"/>
        </w:rPr>
      </w:pPr>
    </w:p>
    <w:p w14:paraId="2432E2E3" w14:textId="77777777" w:rsidR="00400E0B" w:rsidRDefault="00400E0B" w:rsidP="00400E0B">
      <w:pPr>
        <w:pStyle w:val="P1-StandPara"/>
        <w:tabs>
          <w:tab w:val="left" w:pos="720"/>
          <w:tab w:val="right" w:leader="dot" w:pos="9504"/>
        </w:tabs>
        <w:spacing w:before="120" w:after="120"/>
        <w:ind w:left="720" w:firstLine="0"/>
        <w:rPr>
          <w:b/>
          <w:sz w:val="24"/>
          <w:szCs w:val="24"/>
        </w:rPr>
      </w:pPr>
    </w:p>
    <w:p w14:paraId="4F36DAB5" w14:textId="77777777" w:rsidR="00400E0B" w:rsidRDefault="00400E0B" w:rsidP="00400E0B">
      <w:pPr>
        <w:pStyle w:val="P1-StandPara"/>
        <w:tabs>
          <w:tab w:val="left" w:pos="720"/>
          <w:tab w:val="right" w:leader="dot" w:pos="9504"/>
        </w:tabs>
        <w:spacing w:before="120" w:after="120"/>
        <w:ind w:left="720" w:firstLine="0"/>
        <w:rPr>
          <w:b/>
          <w:sz w:val="24"/>
          <w:szCs w:val="24"/>
        </w:rPr>
      </w:pPr>
    </w:p>
    <w:p w14:paraId="06712D18" w14:textId="77777777" w:rsidR="00400E0B" w:rsidRDefault="00400E0B" w:rsidP="00400E0B">
      <w:pPr>
        <w:pStyle w:val="P1-StandPara"/>
        <w:tabs>
          <w:tab w:val="left" w:pos="720"/>
          <w:tab w:val="right" w:leader="dot" w:pos="9504"/>
        </w:tabs>
        <w:spacing w:before="120" w:after="120"/>
        <w:ind w:left="720" w:firstLine="0"/>
        <w:rPr>
          <w:b/>
          <w:sz w:val="24"/>
          <w:szCs w:val="24"/>
        </w:rPr>
      </w:pPr>
    </w:p>
    <w:p w14:paraId="3EDBB54E" w14:textId="77777777" w:rsidR="00400E0B" w:rsidRDefault="00400E0B" w:rsidP="00400E0B">
      <w:pPr>
        <w:pStyle w:val="P1-StandPara"/>
        <w:tabs>
          <w:tab w:val="left" w:pos="720"/>
          <w:tab w:val="right" w:leader="dot" w:pos="9504"/>
        </w:tabs>
        <w:spacing w:before="120" w:after="120"/>
        <w:ind w:left="720" w:firstLine="0"/>
        <w:rPr>
          <w:b/>
          <w:sz w:val="24"/>
          <w:szCs w:val="24"/>
        </w:rPr>
      </w:pPr>
    </w:p>
    <w:p w14:paraId="0DC74509" w14:textId="77777777" w:rsidR="00400E0B" w:rsidRDefault="00400E0B" w:rsidP="00400E0B">
      <w:pPr>
        <w:pStyle w:val="P1-StandPara"/>
        <w:tabs>
          <w:tab w:val="left" w:pos="720"/>
          <w:tab w:val="right" w:leader="dot" w:pos="9504"/>
        </w:tabs>
        <w:spacing w:before="120" w:after="120"/>
        <w:ind w:left="720" w:firstLine="0"/>
        <w:rPr>
          <w:b/>
          <w:sz w:val="24"/>
          <w:szCs w:val="24"/>
        </w:rPr>
      </w:pPr>
    </w:p>
    <w:p w14:paraId="30B019A0" w14:textId="77777777" w:rsidR="00400E0B" w:rsidRDefault="00400E0B" w:rsidP="00400E0B">
      <w:pPr>
        <w:pStyle w:val="P1-StandPara"/>
        <w:tabs>
          <w:tab w:val="left" w:pos="720"/>
          <w:tab w:val="right" w:leader="dot" w:pos="9504"/>
        </w:tabs>
        <w:spacing w:before="120" w:after="120"/>
        <w:ind w:left="720" w:firstLine="0"/>
        <w:rPr>
          <w:b/>
          <w:sz w:val="24"/>
          <w:szCs w:val="24"/>
        </w:rPr>
      </w:pPr>
    </w:p>
    <w:p w14:paraId="6ED3E12B" w14:textId="77777777" w:rsidR="00400E0B" w:rsidRDefault="00400E0B" w:rsidP="00400E0B">
      <w:pPr>
        <w:pStyle w:val="P1-StandPara"/>
        <w:tabs>
          <w:tab w:val="left" w:pos="720"/>
          <w:tab w:val="right" w:leader="dot" w:pos="9504"/>
        </w:tabs>
        <w:spacing w:before="120" w:after="120"/>
        <w:ind w:left="720" w:firstLine="0"/>
        <w:rPr>
          <w:b/>
          <w:sz w:val="24"/>
          <w:szCs w:val="24"/>
        </w:rPr>
      </w:pPr>
    </w:p>
    <w:p w14:paraId="51722ADA" w14:textId="77777777" w:rsidR="00400E0B" w:rsidRDefault="00400E0B" w:rsidP="00400E0B">
      <w:pPr>
        <w:pStyle w:val="P1-StandPara"/>
        <w:tabs>
          <w:tab w:val="left" w:pos="720"/>
          <w:tab w:val="right" w:leader="dot" w:pos="9504"/>
        </w:tabs>
        <w:spacing w:before="120" w:after="120"/>
        <w:ind w:left="1080" w:firstLine="0"/>
        <w:rPr>
          <w:b/>
          <w:sz w:val="24"/>
          <w:szCs w:val="24"/>
        </w:rPr>
      </w:pPr>
    </w:p>
    <w:p w14:paraId="23E2CD2E" w14:textId="77777777" w:rsidR="00400E0B" w:rsidRDefault="00400E0B" w:rsidP="00400E0B">
      <w:pPr>
        <w:pStyle w:val="P1-StandPara"/>
        <w:tabs>
          <w:tab w:val="left" w:pos="720"/>
          <w:tab w:val="right" w:leader="dot" w:pos="9504"/>
        </w:tabs>
        <w:spacing w:before="120" w:after="120"/>
        <w:ind w:left="1080" w:firstLine="0"/>
        <w:rPr>
          <w:b/>
          <w:sz w:val="24"/>
          <w:szCs w:val="24"/>
        </w:rPr>
      </w:pPr>
    </w:p>
    <w:p w14:paraId="4EE62B56" w14:textId="77777777" w:rsidR="00400E0B" w:rsidRPr="000108AC" w:rsidRDefault="00400E0B" w:rsidP="00400E0B">
      <w:pPr>
        <w:pStyle w:val="P1-StandPara"/>
        <w:tabs>
          <w:tab w:val="left" w:pos="720"/>
          <w:tab w:val="right" w:leader="dot" w:pos="9504"/>
        </w:tabs>
        <w:spacing w:before="120" w:after="120"/>
        <w:ind w:firstLine="0"/>
        <w:rPr>
          <w:b/>
          <w:sz w:val="24"/>
          <w:szCs w:val="24"/>
          <w:highlight w:val="yellow"/>
        </w:rPr>
      </w:pPr>
      <w:r w:rsidRPr="000108AC">
        <w:rPr>
          <w:b/>
          <w:sz w:val="24"/>
          <w:szCs w:val="24"/>
          <w:highlight w:val="yellow"/>
        </w:rPr>
        <w:t xml:space="preserve">A. </w:t>
      </w:r>
      <w:r w:rsidRPr="000108AC">
        <w:rPr>
          <w:b/>
          <w:sz w:val="24"/>
          <w:szCs w:val="24"/>
          <w:highlight w:val="yellow"/>
        </w:rPr>
        <w:tab/>
        <w:t>Justification</w:t>
      </w:r>
    </w:p>
    <w:p w14:paraId="6F1962F9" w14:textId="77777777" w:rsidR="006544DA" w:rsidRDefault="00CE1F36" w:rsidP="00400E0B">
      <w:pPr>
        <w:pStyle w:val="P1-StandPara"/>
        <w:tabs>
          <w:tab w:val="left" w:pos="720"/>
          <w:tab w:val="right" w:leader="dot" w:pos="9504"/>
        </w:tabs>
        <w:spacing w:before="120" w:after="120"/>
        <w:rPr>
          <w:sz w:val="24"/>
          <w:szCs w:val="24"/>
          <w:highlight w:val="yellow"/>
        </w:rPr>
      </w:pPr>
      <w:r w:rsidRPr="00CE1F36">
        <w:rPr>
          <w:sz w:val="24"/>
          <w:szCs w:val="24"/>
          <w:highlight w:val="yellow"/>
        </w:rPr>
        <w:t xml:space="preserve">This revision request confirms a change in </w:t>
      </w:r>
      <w:r>
        <w:rPr>
          <w:sz w:val="24"/>
          <w:szCs w:val="24"/>
          <w:highlight w:val="yellow"/>
        </w:rPr>
        <w:t xml:space="preserve">the </w:t>
      </w:r>
      <w:r w:rsidRPr="00CE1F36">
        <w:rPr>
          <w:sz w:val="24"/>
          <w:szCs w:val="24"/>
          <w:highlight w:val="yellow"/>
        </w:rPr>
        <w:t>Recruitment Milestones Reporting System</w:t>
      </w:r>
      <w:r w:rsidRPr="00CE1F36">
        <w:rPr>
          <w:sz w:val="24"/>
          <w:szCs w:val="24"/>
        </w:rPr>
        <w:t xml:space="preserve"> </w:t>
      </w:r>
      <w:r w:rsidRPr="00CE1F36">
        <w:rPr>
          <w:sz w:val="24"/>
          <w:szCs w:val="24"/>
          <w:highlight w:val="yellow"/>
        </w:rPr>
        <w:t xml:space="preserve">(RMR) reporting requirements. </w:t>
      </w:r>
      <w:r w:rsidR="00400E0B" w:rsidRPr="00CE1F36">
        <w:rPr>
          <w:sz w:val="24"/>
          <w:szCs w:val="24"/>
          <w:highlight w:val="yellow"/>
        </w:rPr>
        <w:t xml:space="preserve">The </w:t>
      </w:r>
      <w:r w:rsidR="00400E0B" w:rsidRPr="000108AC">
        <w:rPr>
          <w:sz w:val="24"/>
          <w:szCs w:val="24"/>
          <w:highlight w:val="yellow"/>
        </w:rPr>
        <w:t>National Institute of Mental Health (NIMH) Recruitment Milestones Reporting System (RMR) is a tool developed by the NIMH to enable automated reporting and approval of enrollment milestones for clinical research studies</w:t>
      </w:r>
      <w:r w:rsidR="008A058E" w:rsidRPr="000108AC">
        <w:rPr>
          <w:sz w:val="24"/>
          <w:szCs w:val="24"/>
          <w:highlight w:val="yellow"/>
        </w:rPr>
        <w:t xml:space="preserve">, and to ensure NIMH-sponsored investigators develop realistic recruitment milestones and that these targets are met throughout the course of the clinical research.  </w:t>
      </w:r>
      <w:r w:rsidR="00497866" w:rsidRPr="000108AC">
        <w:rPr>
          <w:sz w:val="24"/>
          <w:szCs w:val="24"/>
          <w:highlight w:val="yellow"/>
        </w:rPr>
        <w:t xml:space="preserve">The system is currently approved for use under OMB No. 0925-0697, Expiration Date 05/31/2017. </w:t>
      </w:r>
      <w:r w:rsidR="00400E0B" w:rsidRPr="000108AC">
        <w:rPr>
          <w:sz w:val="24"/>
          <w:szCs w:val="24"/>
          <w:highlight w:val="yellow"/>
        </w:rPr>
        <w:t>The system is designed to monitor the recruitment of participants in all NIMH-sponsored clinical trials, regardless of size, as well as other clinical research studies that plan to enroll 150 or more h</w:t>
      </w:r>
      <w:r w:rsidR="00FB6B3D" w:rsidRPr="000108AC">
        <w:rPr>
          <w:sz w:val="24"/>
          <w:szCs w:val="24"/>
          <w:highlight w:val="yellow"/>
        </w:rPr>
        <w:t xml:space="preserve">uman subjects in a single study, and </w:t>
      </w:r>
      <w:r w:rsidR="00400E0B" w:rsidRPr="000108AC">
        <w:rPr>
          <w:sz w:val="24"/>
          <w:szCs w:val="24"/>
          <w:highlight w:val="yellow"/>
        </w:rPr>
        <w:t>allows NIMH</w:t>
      </w:r>
      <w:r w:rsidR="00497866" w:rsidRPr="000108AC">
        <w:rPr>
          <w:sz w:val="24"/>
          <w:szCs w:val="24"/>
          <w:highlight w:val="yellow"/>
        </w:rPr>
        <w:t xml:space="preserve"> program </w:t>
      </w:r>
      <w:r w:rsidR="00400E0B" w:rsidRPr="000108AC">
        <w:rPr>
          <w:sz w:val="24"/>
          <w:szCs w:val="24"/>
          <w:highlight w:val="yellow"/>
        </w:rPr>
        <w:t>staff to monitor more effectively the recruitment of participants</w:t>
      </w:r>
      <w:r w:rsidR="008A058E" w:rsidRPr="000108AC">
        <w:rPr>
          <w:sz w:val="24"/>
          <w:szCs w:val="24"/>
          <w:highlight w:val="yellow"/>
        </w:rPr>
        <w:t xml:space="preserve">.  </w:t>
      </w:r>
    </w:p>
    <w:p w14:paraId="3BF6D767" w14:textId="77777777" w:rsidR="006544DA" w:rsidRPr="000D37CC" w:rsidRDefault="00400E0B" w:rsidP="0004235E">
      <w:pPr>
        <w:spacing w:line="480" w:lineRule="auto"/>
        <w:ind w:firstLine="720"/>
      </w:pPr>
      <w:r w:rsidRPr="000D37CC">
        <w:rPr>
          <w:highlight w:val="yellow"/>
        </w:rPr>
        <w:t>Clinical studies can have difficulty recruiting, and accurate and timely reporting is the best way to ensure recruitment goals are met within the expected timeframe.</w:t>
      </w:r>
      <w:r w:rsidRPr="0004235E">
        <w:rPr>
          <w:highlight w:val="yellow"/>
        </w:rPr>
        <w:t xml:space="preserve">  </w:t>
      </w:r>
      <w:r w:rsidR="006544DA" w:rsidRPr="0026075C">
        <w:rPr>
          <w:highlight w:val="yellow"/>
        </w:rPr>
        <w:t>Reaching recruitment goals enables studies to answer scientific questions with sufficient power</w:t>
      </w:r>
      <w:r w:rsidR="0026075C">
        <w:rPr>
          <w:highlight w:val="yellow"/>
        </w:rPr>
        <w:t xml:space="preserve"> (i.e., by having data from an adequate number of study participants)</w:t>
      </w:r>
      <w:r w:rsidR="006544DA" w:rsidRPr="0026075C">
        <w:rPr>
          <w:highlight w:val="yellow"/>
        </w:rPr>
        <w:t>, generalize results to the appropriate target population, and disseminate those results to providers and the general public.  Ultimately, timely completion of recruitment ensures that scientific advances (e.g. treatments) are available to the public as quickly as possible.</w:t>
      </w:r>
    </w:p>
    <w:p w14:paraId="07B2684F" w14:textId="77777777" w:rsidR="00BF4042" w:rsidRPr="00C37610" w:rsidRDefault="00BF4042" w:rsidP="00BF4042">
      <w:pPr>
        <w:pStyle w:val="P1-StandPara"/>
        <w:tabs>
          <w:tab w:val="left" w:pos="720"/>
          <w:tab w:val="right" w:leader="dot" w:pos="9504"/>
        </w:tabs>
        <w:spacing w:before="120" w:after="120"/>
        <w:ind w:firstLine="0"/>
        <w:rPr>
          <w:b/>
          <w:sz w:val="24"/>
          <w:szCs w:val="24"/>
        </w:rPr>
      </w:pPr>
      <w:r w:rsidRPr="00C37610">
        <w:rPr>
          <w:b/>
          <w:sz w:val="24"/>
          <w:szCs w:val="24"/>
        </w:rPr>
        <w:t>A.1</w:t>
      </w:r>
      <w:r w:rsidRPr="00C37610">
        <w:rPr>
          <w:b/>
          <w:sz w:val="24"/>
          <w:szCs w:val="24"/>
        </w:rPr>
        <w:tab/>
        <w:t>Circumstances Making the Collection of Information Necessary</w:t>
      </w:r>
    </w:p>
    <w:p w14:paraId="625842AA" w14:textId="6E809C7C" w:rsidR="00D13EBA" w:rsidRDefault="0059666C" w:rsidP="0026075C">
      <w:pPr>
        <w:spacing w:line="480" w:lineRule="auto"/>
        <w:ind w:firstLine="720"/>
      </w:pPr>
      <w:r w:rsidRPr="00AF3E03">
        <w:lastRenderedPageBreak/>
        <w:t xml:space="preserve">In order for </w:t>
      </w:r>
      <w:r w:rsidR="00D660DA" w:rsidRPr="00AF3E03">
        <w:t xml:space="preserve">NIMH </w:t>
      </w:r>
      <w:r w:rsidRPr="00AF3E03">
        <w:t xml:space="preserve">clinical research </w:t>
      </w:r>
      <w:r w:rsidR="00D660DA" w:rsidRPr="00AF3E03">
        <w:t xml:space="preserve">to meet </w:t>
      </w:r>
      <w:r w:rsidR="008D1371">
        <w:t>its overall</w:t>
      </w:r>
      <w:r w:rsidR="00D660DA" w:rsidRPr="00AF3E03">
        <w:t xml:space="preserve"> objectives </w:t>
      </w:r>
      <w:r w:rsidRPr="00AF3E03">
        <w:t xml:space="preserve">it is </w:t>
      </w:r>
      <w:r w:rsidR="00D660DA" w:rsidRPr="00AF3E03">
        <w:t xml:space="preserve">critical that </w:t>
      </w:r>
      <w:r w:rsidR="008D1371">
        <w:t>each study</w:t>
      </w:r>
      <w:r w:rsidR="00D660DA" w:rsidRPr="00AF3E03">
        <w:t xml:space="preserve"> meet </w:t>
      </w:r>
      <w:r w:rsidR="008D1371">
        <w:t xml:space="preserve">agreed upon </w:t>
      </w:r>
      <w:r w:rsidR="00D660DA" w:rsidRPr="00AF3E03">
        <w:t xml:space="preserve">recruitment </w:t>
      </w:r>
      <w:r w:rsidR="0026075C" w:rsidRPr="00AF3E03">
        <w:t>goals.</w:t>
      </w:r>
      <w:r w:rsidR="0026075C" w:rsidRPr="0026075C">
        <w:rPr>
          <w:color w:val="000000"/>
          <w:highlight w:val="yellow"/>
          <w:shd w:val="clear" w:color="auto" w:fill="FFFFFF"/>
        </w:rPr>
        <w:t xml:space="preserve"> In</w:t>
      </w:r>
      <w:r w:rsidR="00F43E44" w:rsidRPr="0026075C">
        <w:rPr>
          <w:color w:val="000000"/>
          <w:highlight w:val="yellow"/>
          <w:shd w:val="clear" w:color="auto" w:fill="FFFFFF"/>
        </w:rPr>
        <w:t xml:space="preserve"> 2010, the Institute of Medicine (IOM) published a report on the National Cancer Institute’s (NCI) approach to clinical trials,</w:t>
      </w:r>
      <w:r w:rsidR="00F43E44" w:rsidRPr="0026075C">
        <w:rPr>
          <w:rStyle w:val="apple-converted-space"/>
          <w:color w:val="000000"/>
          <w:highlight w:val="yellow"/>
          <w:shd w:val="clear" w:color="auto" w:fill="FFFFFF"/>
        </w:rPr>
        <w:t> </w:t>
      </w:r>
      <w:r w:rsidR="00F43E44" w:rsidRPr="0026075C">
        <w:rPr>
          <w:rStyle w:val="Emphasis"/>
          <w:highlight w:val="yellow"/>
          <w:shd w:val="clear" w:color="auto" w:fill="FFFFFF"/>
        </w:rPr>
        <w:t>A National Cancer Clinical Trials System for the 21st Century: Reinvigorating the NCI Cooperative Group Program</w:t>
      </w:r>
      <w:r w:rsidR="00AF3E03" w:rsidRPr="0026075C">
        <w:rPr>
          <w:highlight w:val="yellow"/>
          <w:shd w:val="clear" w:color="auto" w:fill="FFFFFF"/>
        </w:rPr>
        <w:t>.</w:t>
      </w:r>
      <w:r w:rsidR="00AF3E03" w:rsidRPr="0026075C">
        <w:rPr>
          <w:color w:val="000000"/>
          <w:highlight w:val="yellow"/>
          <w:shd w:val="clear" w:color="auto" w:fill="FFFFFF"/>
        </w:rPr>
        <w:t xml:space="preserve">  </w:t>
      </w:r>
      <w:r w:rsidR="00F43E44" w:rsidRPr="0026075C">
        <w:rPr>
          <w:color w:val="000000"/>
          <w:highlight w:val="yellow"/>
          <w:shd w:val="clear" w:color="auto" w:fill="FFFFFF"/>
        </w:rPr>
        <w:t>This report noted the slow pace of completion of NCI clinical trials</w:t>
      </w:r>
      <w:r w:rsidR="00D13EBA" w:rsidRPr="0026075C">
        <w:rPr>
          <w:color w:val="000000"/>
          <w:highlight w:val="yellow"/>
          <w:shd w:val="clear" w:color="auto" w:fill="FFFFFF"/>
        </w:rPr>
        <w:t xml:space="preserve"> as a concern</w:t>
      </w:r>
      <w:r w:rsidR="00F43E44" w:rsidRPr="0026075C">
        <w:rPr>
          <w:color w:val="000000"/>
          <w:highlight w:val="yellow"/>
          <w:shd w:val="clear" w:color="auto" w:fill="FFFFFF"/>
        </w:rPr>
        <w:t xml:space="preserve">.  </w:t>
      </w:r>
      <w:r w:rsidR="00F4517B" w:rsidRPr="0026075C">
        <w:rPr>
          <w:highlight w:val="yellow"/>
        </w:rPr>
        <w:t xml:space="preserve">A </w:t>
      </w:r>
      <w:r w:rsidR="00FA4467" w:rsidRPr="0026075C">
        <w:rPr>
          <w:highlight w:val="yellow"/>
        </w:rPr>
        <w:t xml:space="preserve">2013 </w:t>
      </w:r>
      <w:r w:rsidR="00F4517B" w:rsidRPr="0026075C">
        <w:rPr>
          <w:highlight w:val="yellow"/>
        </w:rPr>
        <w:t>report in the British Medical Journal showed that fewer than half of NIH-funded trials resulted in papers published in peer-reviewed journals within 30 months of trial completion, and a third still had no published results after a median of 51</w:t>
      </w:r>
      <w:r w:rsidR="00FA4467" w:rsidRPr="0026075C">
        <w:rPr>
          <w:highlight w:val="yellow"/>
        </w:rPr>
        <w:t xml:space="preserve"> months.</w:t>
      </w:r>
      <w:r w:rsidR="006544DA" w:rsidRPr="0026075C">
        <w:rPr>
          <w:rStyle w:val="FootnoteReference"/>
          <w:highlight w:val="yellow"/>
        </w:rPr>
        <w:footnoteReference w:id="2"/>
      </w:r>
      <w:r w:rsidR="00AF3E03" w:rsidRPr="0026075C">
        <w:rPr>
          <w:highlight w:val="yellow"/>
        </w:rPr>
        <w:t xml:space="preserve">  P</w:t>
      </w:r>
      <w:r w:rsidR="00D13EBA" w:rsidRPr="0026075C">
        <w:rPr>
          <w:highlight w:val="yellow"/>
        </w:rPr>
        <w:t>roblems with slow completion and publication of results apply to NIMH clinical trials as well.</w:t>
      </w:r>
      <w:r w:rsidR="00AF3E03" w:rsidRPr="0026075C">
        <w:rPr>
          <w:highlight w:val="yellow"/>
        </w:rPr>
        <w:t xml:space="preserve">  </w:t>
      </w:r>
      <w:r w:rsidR="00D13EBA" w:rsidRPr="0026075C">
        <w:rPr>
          <w:highlight w:val="yellow"/>
        </w:rPr>
        <w:t xml:space="preserve">For NIMH </w:t>
      </w:r>
      <w:r w:rsidR="008D1371">
        <w:rPr>
          <w:highlight w:val="yellow"/>
        </w:rPr>
        <w:t xml:space="preserve">clinical </w:t>
      </w:r>
      <w:r w:rsidR="00D13EBA" w:rsidRPr="0026075C">
        <w:rPr>
          <w:highlight w:val="yellow"/>
        </w:rPr>
        <w:t xml:space="preserve">trials, the median time to enroll the first subject is approximately 10 months after the Notice of Grant Award, when funding is released. For trials that began in </w:t>
      </w:r>
      <w:r w:rsidR="00AF3E03" w:rsidRPr="0026075C">
        <w:rPr>
          <w:highlight w:val="yellow"/>
        </w:rPr>
        <w:t xml:space="preserve">FY </w:t>
      </w:r>
      <w:r w:rsidR="00D13EBA" w:rsidRPr="0026075C">
        <w:rPr>
          <w:highlight w:val="yellow"/>
        </w:rPr>
        <w:t>2013, about 30% of trials did not report enrolling subjects in their first year, which is associated with delayed completion of trials.  Of the trials completed in 2014</w:t>
      </w:r>
      <w:r w:rsidR="00AF3E03" w:rsidRPr="0026075C">
        <w:rPr>
          <w:highlight w:val="yellow"/>
        </w:rPr>
        <w:t>, 83%</w:t>
      </w:r>
      <w:r w:rsidR="00D13EBA" w:rsidRPr="0026075C">
        <w:rPr>
          <w:highlight w:val="yellow"/>
        </w:rPr>
        <w:t xml:space="preserve"> were completed while in a no cost extension (NCE), meaning that most trials were not completed in the original funding period. Even though no additional public funds are awarded during the NCE, the delay in completing a clinical trial means a delay in providing results to the public.</w:t>
      </w:r>
      <w:r w:rsidR="00D13EBA" w:rsidRPr="0026075C">
        <w:rPr>
          <w:rStyle w:val="FootnoteReference"/>
          <w:highlight w:val="yellow"/>
        </w:rPr>
        <w:footnoteReference w:id="3"/>
      </w:r>
      <w:r w:rsidR="00020E54" w:rsidRPr="0026075C">
        <w:rPr>
          <w:highlight w:val="yellow"/>
        </w:rPr>
        <w:t xml:space="preserve">  </w:t>
      </w:r>
      <w:r w:rsidR="00B57383">
        <w:rPr>
          <w:highlight w:val="yellow"/>
        </w:rPr>
        <w:t xml:space="preserve">Clinical research studies have difficulty recruiting participants for many reasons.  </w:t>
      </w:r>
      <w:r w:rsidR="00B57383" w:rsidRPr="0004235E">
        <w:rPr>
          <w:highlight w:val="yellow"/>
        </w:rPr>
        <w:t xml:space="preserve">An analysis of FY 2015 NIMH studies with recruitment challenges found lack of available participants, low response rates, higher than expected screening failures, recruitment site issues, institution transfers, IRB approval delays, changes to the study design and assessments, and staffing issues as the primary reasons for </w:t>
      </w:r>
      <w:r w:rsidR="00B57383" w:rsidRPr="0004235E">
        <w:rPr>
          <w:highlight w:val="yellow"/>
        </w:rPr>
        <w:lastRenderedPageBreak/>
        <w:t xml:space="preserve">recruitment delays. </w:t>
      </w:r>
      <w:r w:rsidR="00020E54" w:rsidRPr="0026075C">
        <w:rPr>
          <w:highlight w:val="yellow"/>
        </w:rPr>
        <w:t>These problems affect both large and small trials; an NIMH analysis of FY 2014 trials found no significant differences in meeting recruitment goals between large and small studies.  As small</w:t>
      </w:r>
      <w:r w:rsidR="00A235FB" w:rsidRPr="0026075C">
        <w:rPr>
          <w:highlight w:val="yellow"/>
        </w:rPr>
        <w:t>er</w:t>
      </w:r>
      <w:r w:rsidR="00020E54" w:rsidRPr="0026075C">
        <w:rPr>
          <w:highlight w:val="yellow"/>
        </w:rPr>
        <w:t xml:space="preserve"> trials provide information about</w:t>
      </w:r>
      <w:r w:rsidR="00A235FB" w:rsidRPr="0026075C">
        <w:rPr>
          <w:highlight w:val="yellow"/>
        </w:rPr>
        <w:t xml:space="preserve"> </w:t>
      </w:r>
      <w:r w:rsidR="00020E54" w:rsidRPr="0026075C">
        <w:rPr>
          <w:highlight w:val="yellow"/>
        </w:rPr>
        <w:t>safety</w:t>
      </w:r>
      <w:r w:rsidR="00A235FB" w:rsidRPr="0026075C">
        <w:rPr>
          <w:highlight w:val="yellow"/>
        </w:rPr>
        <w:t xml:space="preserve">, efficacy, </w:t>
      </w:r>
      <w:r w:rsidR="00020E54" w:rsidRPr="0026075C">
        <w:rPr>
          <w:highlight w:val="yellow"/>
        </w:rPr>
        <w:t>and feasibility of performing a larger study, i</w:t>
      </w:r>
      <w:r w:rsidR="00A235FB" w:rsidRPr="0026075C">
        <w:rPr>
          <w:highlight w:val="yellow"/>
        </w:rPr>
        <w:t xml:space="preserve">t is critical that these trials have sufficient participants to </w:t>
      </w:r>
      <w:r w:rsidR="006C16F9" w:rsidRPr="0026075C">
        <w:rPr>
          <w:highlight w:val="yellow"/>
        </w:rPr>
        <w:t>inform later studies and determine if investment in a larger trial is appropriate.</w:t>
      </w:r>
    </w:p>
    <w:p w14:paraId="6F0254CA" w14:textId="42DF4ED7" w:rsidR="00BF4042" w:rsidRDefault="00C01334" w:rsidP="0004235E">
      <w:pPr>
        <w:spacing w:line="480" w:lineRule="auto"/>
        <w:ind w:firstLine="720"/>
      </w:pPr>
      <w:r w:rsidRPr="0004235E">
        <w:rPr>
          <w:highlight w:val="yellow"/>
        </w:rPr>
        <w:t xml:space="preserve">The </w:t>
      </w:r>
      <w:hyperlink r:id="rId9" w:history="1">
        <w:r w:rsidR="00B57383" w:rsidRPr="0004235E">
          <w:rPr>
            <w:rStyle w:val="Hyperlink"/>
            <w:highlight w:val="yellow"/>
          </w:rPr>
          <w:t>NIMH Policy for the Recruitment of Participants in Clinical Research</w:t>
        </w:r>
      </w:hyperlink>
      <w:r w:rsidR="008D1371" w:rsidRPr="0004235E">
        <w:rPr>
          <w:highlight w:val="yellow"/>
        </w:rPr>
        <w:t xml:space="preserve"> </w:t>
      </w:r>
      <w:r w:rsidR="001E2FE6" w:rsidRPr="0004235E">
        <w:rPr>
          <w:highlight w:val="yellow"/>
        </w:rPr>
        <w:t xml:space="preserve">(see Attachment 4) </w:t>
      </w:r>
      <w:r w:rsidR="008D1371" w:rsidRPr="0004235E">
        <w:rPr>
          <w:highlight w:val="yellow"/>
        </w:rPr>
        <w:t xml:space="preserve">allows NIMH </w:t>
      </w:r>
      <w:r w:rsidR="00B57383" w:rsidRPr="0004235E">
        <w:rPr>
          <w:highlight w:val="yellow"/>
        </w:rPr>
        <w:t xml:space="preserve">Program Officials and other NIMH staff </w:t>
      </w:r>
      <w:r w:rsidR="008D1371" w:rsidRPr="0004235E">
        <w:rPr>
          <w:highlight w:val="yellow"/>
        </w:rPr>
        <w:t xml:space="preserve">to </w:t>
      </w:r>
      <w:r w:rsidR="00380465" w:rsidRPr="0004235E">
        <w:rPr>
          <w:highlight w:val="yellow"/>
        </w:rPr>
        <w:t>monitor</w:t>
      </w:r>
      <w:r w:rsidR="00380465" w:rsidRPr="003A1AE5">
        <w:t xml:space="preserve"> the recruitment of participants in </w:t>
      </w:r>
      <w:r w:rsidR="00887899" w:rsidRPr="00400E0B">
        <w:t xml:space="preserve">all extramural </w:t>
      </w:r>
      <w:r w:rsidR="00380465" w:rsidRPr="00400E0B">
        <w:t xml:space="preserve">NIMH-sponsored clinical </w:t>
      </w:r>
      <w:r w:rsidR="00887899" w:rsidRPr="00400E0B">
        <w:t xml:space="preserve">trials, </w:t>
      </w:r>
      <w:r w:rsidR="00996CBF" w:rsidRPr="00400E0B">
        <w:t xml:space="preserve">regardless of size, </w:t>
      </w:r>
      <w:r w:rsidR="00887899" w:rsidRPr="00400E0B">
        <w:t xml:space="preserve">as well as other clinical </w:t>
      </w:r>
      <w:r w:rsidR="00380465" w:rsidRPr="00400E0B">
        <w:t xml:space="preserve">research studies that plan to enroll </w:t>
      </w:r>
      <w:r w:rsidR="00380465" w:rsidRPr="00400E0B">
        <w:rPr>
          <w:i/>
        </w:rPr>
        <w:t>150 or more human subjects</w:t>
      </w:r>
      <w:r w:rsidR="00380465" w:rsidRPr="00400E0B">
        <w:t xml:space="preserve"> in a single study.</w:t>
      </w:r>
      <w:r w:rsidR="00380465">
        <w:t xml:space="preserve">  </w:t>
      </w:r>
      <w:r w:rsidR="008D1371">
        <w:t xml:space="preserve">The </w:t>
      </w:r>
      <w:r w:rsidR="008A058E">
        <w:t>RMR</w:t>
      </w:r>
      <w:r w:rsidR="008D1371">
        <w:t xml:space="preserve"> system</w:t>
      </w:r>
      <w:r w:rsidR="008A058E" w:rsidRPr="008A058E">
        <w:t xml:space="preserve"> allows </w:t>
      </w:r>
      <w:r w:rsidR="008A058E">
        <w:t>i</w:t>
      </w:r>
      <w:r w:rsidR="008A058E" w:rsidRPr="008A058E">
        <w:t xml:space="preserve">nvestigators </w:t>
      </w:r>
      <w:r w:rsidR="008A058E">
        <w:t xml:space="preserve">to </w:t>
      </w:r>
      <w:r w:rsidR="008A058E" w:rsidRPr="008A058E">
        <w:t>develop a recruitment plan that includes tri-yearly milestones for recruitment of the total study population, and for recruitment of racial and ethnic minority participants</w:t>
      </w:r>
      <w:r w:rsidR="008D1371">
        <w:t xml:space="preserve"> as required by NI</w:t>
      </w:r>
      <w:r w:rsidR="00B57383">
        <w:t>M</w:t>
      </w:r>
      <w:r w:rsidR="008D1371">
        <w:t>H policy</w:t>
      </w:r>
      <w:r w:rsidR="008A058E" w:rsidRPr="008A058E">
        <w:t>.  Once recruitment is scheduled to begin, investigators report actual progress on recruitment milestones three times per year</w:t>
      </w:r>
      <w:r w:rsidR="008A058E">
        <w:t xml:space="preserve"> (</w:t>
      </w:r>
      <w:r w:rsidR="008A058E" w:rsidRPr="008A058E">
        <w:t>by April 1, August 1, and December 1</w:t>
      </w:r>
      <w:r w:rsidR="008A058E">
        <w:t>)</w:t>
      </w:r>
      <w:r w:rsidR="00497866">
        <w:t xml:space="preserve">, and investigators </w:t>
      </w:r>
      <w:r w:rsidR="00497866" w:rsidRPr="008A058E">
        <w:t xml:space="preserve">who fail to meet their </w:t>
      </w:r>
      <w:r w:rsidR="00497866">
        <w:t>milestones m</w:t>
      </w:r>
      <w:r w:rsidR="00497866" w:rsidRPr="008A058E">
        <w:t>ay be requested to submit interim monthly reports.</w:t>
      </w:r>
      <w:r w:rsidR="00A73808">
        <w:t xml:space="preserve"> </w:t>
      </w:r>
      <w:r w:rsidR="00A73808" w:rsidRPr="0004235E">
        <w:rPr>
          <w:highlight w:val="yellow"/>
        </w:rPr>
        <w:t>The NIMH Program Official is responsible for the programmatic, scientific, and/or technical aspects of a grant, contract, or cooperative agreement.  The Program Official evaluates study progress and provides oversight of study recruitment as part of his/her duties.  Regular monitoring of recruitment allows the Program Official to determine if the study is meeting its goals, if intervention is needed, and if further funding is warranted.  In calendar year 2014, Program Officials requested monthly monitoring for 43 studies that were not meeting recruitment goals.  As of November 2015, over half of these studies met recruitment goals and/or increased the rate of recruitment of participants into the study.</w:t>
      </w:r>
      <w:r w:rsidR="00497866" w:rsidRPr="008A058E">
        <w:t xml:space="preserve">  </w:t>
      </w:r>
      <w:r w:rsidR="008A058E" w:rsidRPr="008A058E">
        <w:t xml:space="preserve"> </w:t>
      </w:r>
    </w:p>
    <w:p w14:paraId="477BABD7" w14:textId="77777777" w:rsidR="006E557B" w:rsidRPr="00D61E21" w:rsidRDefault="006E557B" w:rsidP="006E557B">
      <w:pPr>
        <w:pStyle w:val="Heading2"/>
        <w:spacing w:after="0" w:line="480" w:lineRule="auto"/>
        <w:ind w:left="0" w:firstLine="0"/>
        <w:rPr>
          <w:sz w:val="24"/>
          <w:szCs w:val="24"/>
        </w:rPr>
      </w:pPr>
      <w:bookmarkStart w:id="0" w:name="_Toc443881743"/>
      <w:bookmarkStart w:id="1" w:name="_Toc451592232"/>
      <w:bookmarkStart w:id="2" w:name="_Toc5610273"/>
      <w:bookmarkStart w:id="3" w:name="_Toc99178779"/>
      <w:r>
        <w:rPr>
          <w:sz w:val="24"/>
          <w:szCs w:val="24"/>
        </w:rPr>
        <w:lastRenderedPageBreak/>
        <w:t xml:space="preserve">A.2    </w:t>
      </w:r>
      <w:r w:rsidRPr="00D61E21">
        <w:rPr>
          <w:sz w:val="24"/>
          <w:szCs w:val="24"/>
        </w:rPr>
        <w:t>Purpose and Use of the Information</w:t>
      </w:r>
      <w:bookmarkEnd w:id="0"/>
      <w:bookmarkEnd w:id="1"/>
      <w:bookmarkEnd w:id="2"/>
      <w:bookmarkEnd w:id="3"/>
      <w:r w:rsidRPr="00D61E21">
        <w:rPr>
          <w:sz w:val="24"/>
          <w:szCs w:val="24"/>
        </w:rPr>
        <w:t xml:space="preserve"> Collection</w:t>
      </w:r>
    </w:p>
    <w:p w14:paraId="6E7C2481" w14:textId="2731188C" w:rsidR="00F4517B" w:rsidRDefault="00B9503E" w:rsidP="00500F49">
      <w:pPr>
        <w:spacing w:line="480" w:lineRule="auto"/>
      </w:pPr>
      <w:r w:rsidRPr="001056F9">
        <w:rPr>
          <w:highlight w:val="yellow"/>
        </w:rPr>
        <w:t xml:space="preserve">Reporting of recruitment </w:t>
      </w:r>
      <w:r w:rsidRPr="00585D5D">
        <w:rPr>
          <w:highlight w:val="yellow"/>
        </w:rPr>
        <w:t xml:space="preserve">milestones in the RMR </w:t>
      </w:r>
      <w:r w:rsidR="008D1371">
        <w:rPr>
          <w:highlight w:val="yellow"/>
        </w:rPr>
        <w:t xml:space="preserve">system </w:t>
      </w:r>
      <w:r w:rsidRPr="00585D5D">
        <w:rPr>
          <w:highlight w:val="yellow"/>
        </w:rPr>
        <w:t xml:space="preserve">applies to participants in all extramural NIMH-sponsored clinical trials, regardless of size, as well as other </w:t>
      </w:r>
      <w:r w:rsidR="00AD41F7">
        <w:rPr>
          <w:highlight w:val="yellow"/>
        </w:rPr>
        <w:t>NI</w:t>
      </w:r>
      <w:r w:rsidR="00A73808">
        <w:rPr>
          <w:highlight w:val="yellow"/>
        </w:rPr>
        <w:t>M</w:t>
      </w:r>
      <w:r w:rsidR="00AD41F7">
        <w:rPr>
          <w:highlight w:val="yellow"/>
        </w:rPr>
        <w:t xml:space="preserve">H extramural-funded </w:t>
      </w:r>
      <w:r w:rsidRPr="00585D5D">
        <w:rPr>
          <w:highlight w:val="yellow"/>
        </w:rPr>
        <w:t xml:space="preserve">clinical research studies that plan to enroll </w:t>
      </w:r>
      <w:r w:rsidRPr="00585D5D">
        <w:rPr>
          <w:i/>
          <w:highlight w:val="yellow"/>
        </w:rPr>
        <w:t>150 or more human subjects</w:t>
      </w:r>
      <w:r w:rsidRPr="00585D5D">
        <w:rPr>
          <w:highlight w:val="yellow"/>
        </w:rPr>
        <w:t xml:space="preserve"> in a single study</w:t>
      </w:r>
      <w:r w:rsidR="00FF3706">
        <w:rPr>
          <w:highlight w:val="yellow"/>
        </w:rPr>
        <w:t>. I</w:t>
      </w:r>
      <w:r w:rsidR="001056F9" w:rsidRPr="001056F9">
        <w:rPr>
          <w:highlight w:val="yellow"/>
        </w:rPr>
        <w:t xml:space="preserve">nvestigators who fail to meet their </w:t>
      </w:r>
      <w:r>
        <w:rPr>
          <w:highlight w:val="yellow"/>
        </w:rPr>
        <w:t xml:space="preserve">recruitment </w:t>
      </w:r>
      <w:r w:rsidR="001056F9" w:rsidRPr="001056F9">
        <w:rPr>
          <w:highlight w:val="yellow"/>
        </w:rPr>
        <w:t xml:space="preserve">milestones may be requested to submit interim monthly reports.  </w:t>
      </w:r>
      <w:r w:rsidR="00CB2C8C">
        <w:rPr>
          <w:highlight w:val="yellow"/>
        </w:rPr>
        <w:t xml:space="preserve">Generally, NIMH will consider studies to have failed to meet recruitment milestones if less than 50% of </w:t>
      </w:r>
      <w:r w:rsidR="0029404C">
        <w:rPr>
          <w:highlight w:val="yellow"/>
        </w:rPr>
        <w:t xml:space="preserve">total </w:t>
      </w:r>
      <w:r w:rsidR="00652FD4">
        <w:rPr>
          <w:highlight w:val="yellow"/>
        </w:rPr>
        <w:t xml:space="preserve">cumulative </w:t>
      </w:r>
      <w:r w:rsidR="00CB2C8C">
        <w:rPr>
          <w:highlight w:val="yellow"/>
        </w:rPr>
        <w:t xml:space="preserve">target milestones are achieved </w:t>
      </w:r>
      <w:r w:rsidR="00CB2C8C" w:rsidRPr="00071CEF">
        <w:rPr>
          <w:highlight w:val="yellow"/>
        </w:rPr>
        <w:t xml:space="preserve">at any point beyond the first year of recruitment, or if less than 75% of </w:t>
      </w:r>
      <w:r w:rsidR="0029404C">
        <w:rPr>
          <w:highlight w:val="yellow"/>
        </w:rPr>
        <w:t>total</w:t>
      </w:r>
      <w:r w:rsidR="00652FD4">
        <w:rPr>
          <w:highlight w:val="yellow"/>
        </w:rPr>
        <w:t xml:space="preserve"> cumulative</w:t>
      </w:r>
      <w:r w:rsidR="0029404C">
        <w:rPr>
          <w:highlight w:val="yellow"/>
        </w:rPr>
        <w:t xml:space="preserve"> </w:t>
      </w:r>
      <w:r w:rsidR="00CB2C8C" w:rsidRPr="00071CEF">
        <w:rPr>
          <w:highlight w:val="yellow"/>
        </w:rPr>
        <w:t>recrui</w:t>
      </w:r>
      <w:r w:rsidR="00CB2C8C" w:rsidRPr="00BF2EB7">
        <w:rPr>
          <w:highlight w:val="yellow"/>
        </w:rPr>
        <w:t>tment milestones are achieved with less than 18 months remaining in the proposed project period.</w:t>
      </w:r>
      <w:r w:rsidR="00CB2C8C" w:rsidRPr="0026075C">
        <w:rPr>
          <w:highlight w:val="yellow"/>
        </w:rPr>
        <w:t xml:space="preserve">  </w:t>
      </w:r>
      <w:r w:rsidR="00E84D86">
        <w:rPr>
          <w:highlight w:val="yellow"/>
        </w:rPr>
        <w:t>NIMH program staff may waive the requirement for monthly reporting at their discretion (e.g. for</w:t>
      </w:r>
      <w:r w:rsidR="000A7A7C" w:rsidRPr="0026075C">
        <w:rPr>
          <w:highlight w:val="yellow"/>
        </w:rPr>
        <w:t xml:space="preserve"> smaller studies subject to more variability in the percent target achieved</w:t>
      </w:r>
      <w:r w:rsidR="00E84D86">
        <w:rPr>
          <w:highlight w:val="yellow"/>
        </w:rPr>
        <w:t>).</w:t>
      </w:r>
      <w:r w:rsidR="000A7A7C">
        <w:t xml:space="preserve"> </w:t>
      </w:r>
      <w:r w:rsidR="00CB2C8C" w:rsidRPr="00071CEF">
        <w:rPr>
          <w:highlight w:val="yellow"/>
        </w:rPr>
        <w:t xml:space="preserve">To ensure studies remain on track, monthly reporting will be required for </w:t>
      </w:r>
      <w:r w:rsidR="001022A4">
        <w:rPr>
          <w:highlight w:val="yellow"/>
        </w:rPr>
        <w:t>four</w:t>
      </w:r>
      <w:r w:rsidR="0026075C">
        <w:rPr>
          <w:highlight w:val="yellow"/>
        </w:rPr>
        <w:t xml:space="preserve"> (4)</w:t>
      </w:r>
      <w:r w:rsidR="001022A4">
        <w:rPr>
          <w:highlight w:val="yellow"/>
        </w:rPr>
        <w:t xml:space="preserve"> </w:t>
      </w:r>
      <w:r w:rsidR="0026075C">
        <w:rPr>
          <w:highlight w:val="yellow"/>
        </w:rPr>
        <w:t xml:space="preserve">months </w:t>
      </w:r>
      <w:r w:rsidR="00444226">
        <w:rPr>
          <w:highlight w:val="yellow"/>
        </w:rPr>
        <w:t>after the study shows evidence that recruitment is achieving 85% of their reported milestones</w:t>
      </w:r>
      <w:r w:rsidR="00E84D86">
        <w:rPr>
          <w:highlight w:val="yellow"/>
        </w:rPr>
        <w:t>,</w:t>
      </w:r>
      <w:r w:rsidR="001022A4">
        <w:rPr>
          <w:highlight w:val="yellow"/>
        </w:rPr>
        <w:t xml:space="preserve"> or until study completion (whichever occurs first)</w:t>
      </w:r>
      <w:r w:rsidR="00CB2C8C" w:rsidRPr="00071CEF">
        <w:rPr>
          <w:highlight w:val="yellow"/>
        </w:rPr>
        <w:t>.</w:t>
      </w:r>
      <w:r w:rsidR="00CB2C8C">
        <w:t xml:space="preserve"> </w:t>
      </w:r>
    </w:p>
    <w:p w14:paraId="2B915B0E" w14:textId="5F578477" w:rsidR="00DE3886" w:rsidRDefault="00D45C45" w:rsidP="0004235E">
      <w:pPr>
        <w:spacing w:line="480" w:lineRule="auto"/>
        <w:ind w:firstLine="720"/>
      </w:pPr>
      <w:r w:rsidRPr="0004235E">
        <w:rPr>
          <w:highlight w:val="yellow"/>
        </w:rPr>
        <w:t>The primary use of th</w:t>
      </w:r>
      <w:r w:rsidR="00A7404A" w:rsidRPr="0004235E">
        <w:rPr>
          <w:highlight w:val="yellow"/>
        </w:rPr>
        <w:t xml:space="preserve">e information </w:t>
      </w:r>
      <w:r w:rsidR="0026075C" w:rsidRPr="0004235E">
        <w:rPr>
          <w:highlight w:val="yellow"/>
        </w:rPr>
        <w:t>collected is</w:t>
      </w:r>
      <w:r w:rsidRPr="0004235E">
        <w:rPr>
          <w:highlight w:val="yellow"/>
        </w:rPr>
        <w:t xml:space="preserve"> to ensure that realistic recruitment </w:t>
      </w:r>
      <w:r w:rsidR="00996CBF" w:rsidRPr="0004235E">
        <w:rPr>
          <w:highlight w:val="yellow"/>
        </w:rPr>
        <w:t>milestones</w:t>
      </w:r>
      <w:r w:rsidRPr="0004235E">
        <w:rPr>
          <w:highlight w:val="yellow"/>
        </w:rPr>
        <w:t xml:space="preserve"> are established from the onset of a project, and that these </w:t>
      </w:r>
      <w:r w:rsidR="00996CBF" w:rsidRPr="0004235E">
        <w:rPr>
          <w:highlight w:val="yellow"/>
        </w:rPr>
        <w:t>milestones</w:t>
      </w:r>
      <w:r w:rsidRPr="0004235E">
        <w:rPr>
          <w:highlight w:val="yellow"/>
        </w:rPr>
        <w:t xml:space="preserve"> are met throughout the course </w:t>
      </w:r>
      <w:r w:rsidR="008A058E" w:rsidRPr="0004235E">
        <w:rPr>
          <w:highlight w:val="yellow"/>
        </w:rPr>
        <w:t>o</w:t>
      </w:r>
      <w:r w:rsidRPr="0004235E">
        <w:rPr>
          <w:highlight w:val="yellow"/>
        </w:rPr>
        <w:t>f research.  By ensuring timely recruitment into clinical research studies, NIMH can reduce the need to extend timelines or supplement funds in order to complete the research project, potentially increas</w:t>
      </w:r>
      <w:r w:rsidR="001F46A2" w:rsidRPr="0004235E">
        <w:rPr>
          <w:highlight w:val="yellow"/>
        </w:rPr>
        <w:t>ing</w:t>
      </w:r>
      <w:r w:rsidRPr="0004235E">
        <w:rPr>
          <w:highlight w:val="yellow"/>
        </w:rPr>
        <w:t xml:space="preserve"> efficiency in </w:t>
      </w:r>
      <w:r w:rsidR="001F46A2" w:rsidRPr="0004235E">
        <w:rPr>
          <w:highlight w:val="yellow"/>
        </w:rPr>
        <w:t>the</w:t>
      </w:r>
      <w:r w:rsidRPr="0004235E">
        <w:rPr>
          <w:highlight w:val="yellow"/>
        </w:rPr>
        <w:t xml:space="preserve"> funding process</w:t>
      </w:r>
      <w:r w:rsidR="001F46A2" w:rsidRPr="0004235E">
        <w:rPr>
          <w:highlight w:val="yellow"/>
        </w:rPr>
        <w:t xml:space="preserve"> and expediting the availability of treatments for mental illness</w:t>
      </w:r>
      <w:r w:rsidR="00A7404A" w:rsidRPr="0004235E">
        <w:rPr>
          <w:highlight w:val="yellow"/>
        </w:rPr>
        <w:t>es</w:t>
      </w:r>
      <w:r w:rsidRPr="0004235E">
        <w:rPr>
          <w:highlight w:val="yellow"/>
        </w:rPr>
        <w:t>.</w:t>
      </w:r>
      <w:r w:rsidR="00497866" w:rsidRPr="0004235E">
        <w:rPr>
          <w:highlight w:val="yellow"/>
        </w:rPr>
        <w:t xml:space="preserve"> </w:t>
      </w:r>
      <w:r w:rsidR="001F46A2" w:rsidRPr="0004235E">
        <w:rPr>
          <w:highlight w:val="yellow"/>
        </w:rPr>
        <w:t xml:space="preserve">NIMH program </w:t>
      </w:r>
      <w:r w:rsidR="0026075C" w:rsidRPr="0004235E">
        <w:rPr>
          <w:highlight w:val="yellow"/>
        </w:rPr>
        <w:t>staff use</w:t>
      </w:r>
      <w:r w:rsidR="001F46A2" w:rsidRPr="0004235E">
        <w:rPr>
          <w:highlight w:val="yellow"/>
        </w:rPr>
        <w:t xml:space="preserve"> the information collected by the </w:t>
      </w:r>
      <w:r w:rsidR="00497866" w:rsidRPr="0004235E">
        <w:rPr>
          <w:highlight w:val="yellow"/>
        </w:rPr>
        <w:t xml:space="preserve">RMR </w:t>
      </w:r>
      <w:r w:rsidR="00A7404A" w:rsidRPr="0004235E">
        <w:rPr>
          <w:highlight w:val="yellow"/>
        </w:rPr>
        <w:t xml:space="preserve">system </w:t>
      </w:r>
      <w:r w:rsidR="00BE43DD" w:rsidRPr="0004235E">
        <w:rPr>
          <w:highlight w:val="yellow"/>
        </w:rPr>
        <w:t xml:space="preserve">to evaluate </w:t>
      </w:r>
      <w:r w:rsidR="001F46A2" w:rsidRPr="0004235E">
        <w:rPr>
          <w:highlight w:val="yellow"/>
        </w:rPr>
        <w:t>the feasibility of the r</w:t>
      </w:r>
      <w:r w:rsidR="00BE43DD" w:rsidRPr="0004235E">
        <w:rPr>
          <w:highlight w:val="yellow"/>
        </w:rPr>
        <w:t xml:space="preserve">ecruitment </w:t>
      </w:r>
      <w:r w:rsidR="00996CBF" w:rsidRPr="0004235E">
        <w:rPr>
          <w:highlight w:val="yellow"/>
        </w:rPr>
        <w:t>milestones</w:t>
      </w:r>
      <w:r w:rsidR="00BE43DD" w:rsidRPr="0004235E">
        <w:rPr>
          <w:highlight w:val="yellow"/>
        </w:rPr>
        <w:t xml:space="preserve"> and timeline,</w:t>
      </w:r>
      <w:r w:rsidR="001F46A2" w:rsidRPr="0004235E">
        <w:rPr>
          <w:highlight w:val="yellow"/>
        </w:rPr>
        <w:t xml:space="preserve"> the appropriateness of the distribution of subjects to the research questi</w:t>
      </w:r>
      <w:r w:rsidR="00BE43DD" w:rsidRPr="0004235E">
        <w:rPr>
          <w:highlight w:val="yellow"/>
        </w:rPr>
        <w:t>on,</w:t>
      </w:r>
      <w:r w:rsidR="001F46A2" w:rsidRPr="0004235E">
        <w:rPr>
          <w:highlight w:val="yellow"/>
        </w:rPr>
        <w:t xml:space="preserve"> and</w:t>
      </w:r>
      <w:r w:rsidR="00BE43DD" w:rsidRPr="0004235E">
        <w:rPr>
          <w:highlight w:val="yellow"/>
        </w:rPr>
        <w:t xml:space="preserve"> </w:t>
      </w:r>
      <w:r w:rsidR="001F46A2" w:rsidRPr="0004235E">
        <w:rPr>
          <w:highlight w:val="yellow"/>
        </w:rPr>
        <w:t>the acceptability of actual recruitment progress.</w:t>
      </w:r>
      <w:r w:rsidR="006521FB" w:rsidRPr="0004235E">
        <w:rPr>
          <w:highlight w:val="yellow"/>
        </w:rPr>
        <w:t xml:space="preserve"> When an investigator submits the proposed recruitment milestone </w:t>
      </w:r>
      <w:r w:rsidR="006521FB" w:rsidRPr="0004235E">
        <w:rPr>
          <w:highlight w:val="yellow"/>
        </w:rPr>
        <w:lastRenderedPageBreak/>
        <w:t>targets, the Program Official uses professional judgement to evaluate the plan for feasibility and acceptability as described above in Section A.1.  If the plan is both feasible and acceptable, the Program Official approves the plan.</w:t>
      </w:r>
      <w:r w:rsidR="001F46A2" w:rsidRPr="0004235E">
        <w:rPr>
          <w:highlight w:val="yellow"/>
        </w:rPr>
        <w:t xml:space="preserve">  </w:t>
      </w:r>
      <w:r w:rsidR="00C94276" w:rsidRPr="001E2FE6">
        <w:rPr>
          <w:highlight w:val="yellow"/>
        </w:rPr>
        <w:t xml:space="preserve">If the proposed recruitment plan does not appear to be feasible or appropriate, </w:t>
      </w:r>
      <w:r w:rsidR="006521FB" w:rsidRPr="001E2FE6">
        <w:rPr>
          <w:highlight w:val="yellow"/>
        </w:rPr>
        <w:t xml:space="preserve">the </w:t>
      </w:r>
      <w:r w:rsidR="00C94276" w:rsidRPr="001E2FE6">
        <w:rPr>
          <w:highlight w:val="yellow"/>
        </w:rPr>
        <w:t xml:space="preserve">NIMH </w:t>
      </w:r>
      <w:r w:rsidR="006521FB" w:rsidRPr="001E2FE6">
        <w:rPr>
          <w:highlight w:val="yellow"/>
        </w:rPr>
        <w:t>P</w:t>
      </w:r>
      <w:r w:rsidR="00C94276" w:rsidRPr="001E2FE6">
        <w:rPr>
          <w:highlight w:val="yellow"/>
        </w:rPr>
        <w:t xml:space="preserve">rogram </w:t>
      </w:r>
      <w:r w:rsidR="006521FB" w:rsidRPr="001E2FE6">
        <w:rPr>
          <w:highlight w:val="yellow"/>
        </w:rPr>
        <w:t xml:space="preserve">Official </w:t>
      </w:r>
      <w:r w:rsidR="00C94276" w:rsidRPr="001E2FE6">
        <w:rPr>
          <w:highlight w:val="yellow"/>
        </w:rPr>
        <w:t>contact</w:t>
      </w:r>
      <w:r w:rsidR="006521FB" w:rsidRPr="001E2FE6">
        <w:rPr>
          <w:highlight w:val="yellow"/>
        </w:rPr>
        <w:t>s</w:t>
      </w:r>
      <w:r w:rsidR="00C94276" w:rsidRPr="001E2FE6">
        <w:rPr>
          <w:highlight w:val="yellow"/>
        </w:rPr>
        <w:t xml:space="preserve"> the investigator prior to award to discuss potential modifications, allowing issues to be addressed as early as possible.</w:t>
      </w:r>
      <w:r w:rsidR="006521FB" w:rsidRPr="006D3776">
        <w:rPr>
          <w:highlight w:val="yellow"/>
        </w:rPr>
        <w:t xml:space="preserve"> The Program Official evaluates </w:t>
      </w:r>
      <w:r w:rsidR="006521FB" w:rsidRPr="004842EB">
        <w:rPr>
          <w:highlight w:val="yellow"/>
        </w:rPr>
        <w:t>recruitment progress tri-annually.  When progress is acceptable, the Program Offic</w:t>
      </w:r>
      <w:r w:rsidR="006521FB" w:rsidRPr="001E2FE6">
        <w:rPr>
          <w:highlight w:val="yellow"/>
        </w:rPr>
        <w:t>ial approves the progress.  At any time, if recruitment falls significantly below the milestones projected by the PI/recipient and agreed to by NIMH, NIMH will determine viable options depending on the severity and duration of the recruitment shortfalls. Generally, the Program Official will first advise the PI/recipient to correct the deficiencies</w:t>
      </w:r>
      <w:r w:rsidR="006521FB" w:rsidRPr="007C6C15">
        <w:t>.</w:t>
      </w:r>
      <w:r w:rsidR="006C16F9" w:rsidRPr="0026075C">
        <w:rPr>
          <w:highlight w:val="yellow"/>
        </w:rPr>
        <w:t xml:space="preserve">  </w:t>
      </w:r>
      <w:r w:rsidR="00B3181C" w:rsidRPr="0026075C">
        <w:rPr>
          <w:highlight w:val="yellow"/>
        </w:rPr>
        <w:t xml:space="preserve">When studies are identified as </w:t>
      </w:r>
      <w:r w:rsidR="00A7404A">
        <w:rPr>
          <w:highlight w:val="yellow"/>
        </w:rPr>
        <w:t xml:space="preserve">being </w:t>
      </w:r>
      <w:r w:rsidR="00B3181C" w:rsidRPr="0026075C">
        <w:rPr>
          <w:highlight w:val="yellow"/>
        </w:rPr>
        <w:t>at high risk of not completing</w:t>
      </w:r>
      <w:r w:rsidR="006C16F9" w:rsidRPr="0026075C">
        <w:rPr>
          <w:highlight w:val="yellow"/>
        </w:rPr>
        <w:t xml:space="preserve"> (currently less than 5% of NIMH studies</w:t>
      </w:r>
      <w:r w:rsidR="00454331">
        <w:rPr>
          <w:highlight w:val="yellow"/>
        </w:rPr>
        <w:t xml:space="preserve"> </w:t>
      </w:r>
      <w:r w:rsidR="001E2FE6">
        <w:rPr>
          <w:highlight w:val="yellow"/>
        </w:rPr>
        <w:t>with</w:t>
      </w:r>
      <w:r w:rsidR="00454331">
        <w:rPr>
          <w:highlight w:val="yellow"/>
        </w:rPr>
        <w:t xml:space="preserve"> 150 or more </w:t>
      </w:r>
      <w:r w:rsidR="001E2FE6">
        <w:rPr>
          <w:highlight w:val="yellow"/>
        </w:rPr>
        <w:t xml:space="preserve">participants </w:t>
      </w:r>
      <w:r w:rsidR="00A7404A">
        <w:rPr>
          <w:highlight w:val="yellow"/>
        </w:rPr>
        <w:t>are at high risk</w:t>
      </w:r>
      <w:r w:rsidR="006C16F9" w:rsidRPr="0026075C">
        <w:rPr>
          <w:highlight w:val="yellow"/>
        </w:rPr>
        <w:t>)</w:t>
      </w:r>
      <w:r w:rsidR="00B3181C" w:rsidRPr="0026075C">
        <w:rPr>
          <w:highlight w:val="yellow"/>
        </w:rPr>
        <w:t>, monthly reports allow NIMH staff to evaluate if changes to the recruitment plan are effective and if completion of the study is feasib</w:t>
      </w:r>
      <w:r w:rsidR="00B3181C" w:rsidRPr="001E2FE6">
        <w:rPr>
          <w:highlight w:val="yellow"/>
        </w:rPr>
        <w:t>le.</w:t>
      </w:r>
      <w:r w:rsidR="00E1132F" w:rsidRPr="0004235E">
        <w:rPr>
          <w:highlight w:val="yellow"/>
        </w:rPr>
        <w:t xml:space="preserve"> If studies identified as high risk achieve their total recruitment milestones, monthly reporting will no longer be required </w:t>
      </w:r>
      <w:r w:rsidR="001E2FE6">
        <w:rPr>
          <w:highlight w:val="yellow"/>
        </w:rPr>
        <w:t xml:space="preserve">beyond </w:t>
      </w:r>
      <w:r w:rsidR="00E1132F" w:rsidRPr="0004235E">
        <w:rPr>
          <w:highlight w:val="yellow"/>
        </w:rPr>
        <w:t>four months after achieving at least 85% of their total recruitment milestones.  If the PI/recipient fails to correct the deficiencies, NIMH will take further action, in accordance with Public Health Service policy</w:t>
      </w:r>
      <w:r w:rsidR="00E1132F" w:rsidRPr="0004235E">
        <w:rPr>
          <w:rStyle w:val="FootnoteReference"/>
          <w:highlight w:val="yellow"/>
        </w:rPr>
        <w:footnoteReference w:id="4"/>
      </w:r>
      <w:r w:rsidR="00E1132F" w:rsidRPr="0004235E">
        <w:rPr>
          <w:highlight w:val="yellow"/>
        </w:rPr>
        <w:t xml:space="preserve"> (i.e., suspension, termination, or withholding of support).</w:t>
      </w:r>
      <w:r w:rsidR="00E1132F">
        <w:t xml:space="preserve"> </w:t>
      </w:r>
      <w:r w:rsidR="00B3181C">
        <w:t xml:space="preserve">  </w:t>
      </w:r>
      <w:r w:rsidR="00FD27FE" w:rsidRPr="008A058E">
        <w:t xml:space="preserve">Staff in the Grants Management Branch or the Contracts Management Branch will ensure the information </w:t>
      </w:r>
      <w:r w:rsidR="00A7404A">
        <w:t xml:space="preserve">collected </w:t>
      </w:r>
      <w:r w:rsidR="00FD27FE" w:rsidRPr="008A058E">
        <w:t xml:space="preserve">is included in official files and </w:t>
      </w:r>
      <w:r w:rsidR="00A7404A">
        <w:t xml:space="preserve">will </w:t>
      </w:r>
      <w:r w:rsidR="00FD27FE" w:rsidRPr="008A058E">
        <w:t xml:space="preserve">work with program staff to determine the terms and conditions of the award.  </w:t>
      </w:r>
      <w:r w:rsidR="001F46A2" w:rsidRPr="008A058E">
        <w:t xml:space="preserve">Staff in the </w:t>
      </w:r>
      <w:r w:rsidR="00497866">
        <w:t xml:space="preserve">NIMH Office of the </w:t>
      </w:r>
      <w:r w:rsidR="00585D5D">
        <w:t>Director</w:t>
      </w:r>
      <w:r w:rsidR="00497866">
        <w:t xml:space="preserve"> </w:t>
      </w:r>
      <w:r w:rsidR="001F46A2" w:rsidRPr="008A058E">
        <w:t>and</w:t>
      </w:r>
      <w:r w:rsidR="00497866">
        <w:t xml:space="preserve"> </w:t>
      </w:r>
      <w:r w:rsidR="00A7404A">
        <w:t>other appropriate NIMH</w:t>
      </w:r>
      <w:r w:rsidR="00497866">
        <w:t xml:space="preserve"> offices </w:t>
      </w:r>
      <w:r w:rsidR="001F46A2" w:rsidRPr="008A058E">
        <w:t xml:space="preserve">will use the information to identify </w:t>
      </w:r>
      <w:r w:rsidR="00FD27FE" w:rsidRPr="008A058E">
        <w:t xml:space="preserve">studies or </w:t>
      </w:r>
      <w:r w:rsidR="001F46A2" w:rsidRPr="008A058E">
        <w:t xml:space="preserve">research areas in </w:t>
      </w:r>
      <w:r w:rsidR="001F46A2" w:rsidRPr="008A058E">
        <w:lastRenderedPageBreak/>
        <w:t xml:space="preserve">which recruitment is a potential concern, and </w:t>
      </w:r>
      <w:r w:rsidR="00BE43DD" w:rsidRPr="008A058E">
        <w:t xml:space="preserve">monitor the effectiveness of </w:t>
      </w:r>
      <w:r w:rsidR="00497866">
        <w:t>r</w:t>
      </w:r>
      <w:r w:rsidR="00605B22" w:rsidRPr="008A058E">
        <w:t xml:space="preserve">ecruitment </w:t>
      </w:r>
      <w:r w:rsidR="00497866">
        <w:t>m</w:t>
      </w:r>
      <w:r w:rsidR="00605B22" w:rsidRPr="008A058E">
        <w:t xml:space="preserve">ilestone </w:t>
      </w:r>
      <w:r w:rsidR="00497866">
        <w:t>r</w:t>
      </w:r>
      <w:r w:rsidR="00605B22" w:rsidRPr="008A058E">
        <w:t>eporting.</w:t>
      </w:r>
      <w:r w:rsidR="00605B22">
        <w:t xml:space="preserve"> </w:t>
      </w:r>
    </w:p>
    <w:p w14:paraId="025EFB09" w14:textId="77777777" w:rsidR="006E557B" w:rsidRPr="00D61E21" w:rsidRDefault="006E557B" w:rsidP="006E557B">
      <w:pPr>
        <w:pStyle w:val="Heading2"/>
        <w:spacing w:after="0" w:line="480" w:lineRule="auto"/>
        <w:ind w:left="0" w:firstLine="0"/>
        <w:rPr>
          <w:sz w:val="24"/>
          <w:szCs w:val="24"/>
        </w:rPr>
      </w:pPr>
      <w:bookmarkStart w:id="4" w:name="_Toc443881744"/>
      <w:bookmarkStart w:id="5" w:name="_Toc451592233"/>
      <w:bookmarkStart w:id="6" w:name="_Toc5610274"/>
      <w:bookmarkStart w:id="7" w:name="_Toc99178780"/>
      <w:r>
        <w:rPr>
          <w:sz w:val="24"/>
          <w:szCs w:val="24"/>
        </w:rPr>
        <w:t xml:space="preserve">A.3     </w:t>
      </w:r>
      <w:r w:rsidRPr="00D61E21">
        <w:rPr>
          <w:sz w:val="24"/>
          <w:szCs w:val="24"/>
        </w:rPr>
        <w:t>Use of Information Technology and Burden Reduction</w:t>
      </w:r>
      <w:bookmarkEnd w:id="4"/>
      <w:bookmarkEnd w:id="5"/>
      <w:bookmarkEnd w:id="6"/>
      <w:bookmarkEnd w:id="7"/>
    </w:p>
    <w:p w14:paraId="10D13EAC" w14:textId="77777777" w:rsidR="006E557B" w:rsidRDefault="003E39DA" w:rsidP="00747B70">
      <w:pPr>
        <w:spacing w:line="480" w:lineRule="auto"/>
        <w:rPr>
          <w:color w:val="FF0000"/>
        </w:rPr>
      </w:pPr>
      <w:r w:rsidRPr="006A2742">
        <w:t>All information is submitted via the internet and collected in the electronic RMR software application.</w:t>
      </w:r>
      <w:r w:rsidR="00BE43DD" w:rsidRPr="006A2742">
        <w:t xml:space="preserve">  </w:t>
      </w:r>
      <w:r w:rsidR="00FD27FE" w:rsidRPr="006A2742">
        <w:t>This method of collection is</w:t>
      </w:r>
      <w:r w:rsidRPr="006A2742">
        <w:t xml:space="preserve"> considered to be the least burden</w:t>
      </w:r>
      <w:r w:rsidR="00497866">
        <w:t>some</w:t>
      </w:r>
      <w:r w:rsidRPr="006A2742">
        <w:t xml:space="preserve"> to the investigator.  A Privacy </w:t>
      </w:r>
      <w:r w:rsidR="002B1716">
        <w:t>Impact</w:t>
      </w:r>
      <w:r w:rsidRPr="006A2742">
        <w:t xml:space="preserve"> Assessment </w:t>
      </w:r>
      <w:r w:rsidR="00FD27FE" w:rsidRPr="006A2742">
        <w:t>was completed</w:t>
      </w:r>
      <w:r w:rsidRPr="006A2742">
        <w:t xml:space="preserve"> for the database</w:t>
      </w:r>
      <w:r w:rsidR="008A058E">
        <w:t>.</w:t>
      </w:r>
    </w:p>
    <w:p w14:paraId="465DFB04" w14:textId="77777777" w:rsidR="006E557B" w:rsidRPr="00D61E21" w:rsidRDefault="006E557B" w:rsidP="006E557B">
      <w:pPr>
        <w:pStyle w:val="Heading2"/>
        <w:spacing w:after="0" w:line="480" w:lineRule="auto"/>
        <w:ind w:left="720" w:hanging="720"/>
        <w:rPr>
          <w:sz w:val="24"/>
          <w:szCs w:val="24"/>
        </w:rPr>
      </w:pPr>
      <w:bookmarkStart w:id="8" w:name="_Toc443881745"/>
      <w:bookmarkStart w:id="9" w:name="_Toc451592234"/>
      <w:bookmarkStart w:id="10" w:name="_Toc5610275"/>
      <w:bookmarkStart w:id="11" w:name="_Toc99178781"/>
      <w:r>
        <w:rPr>
          <w:sz w:val="24"/>
          <w:szCs w:val="24"/>
        </w:rPr>
        <w:t>A.4</w:t>
      </w:r>
      <w:r w:rsidRPr="00D61E21">
        <w:rPr>
          <w:sz w:val="24"/>
          <w:szCs w:val="24"/>
        </w:rPr>
        <w:tab/>
        <w:t>Efforts to Identify Duplication and Use of Similar Information</w:t>
      </w:r>
      <w:bookmarkEnd w:id="8"/>
      <w:bookmarkEnd w:id="9"/>
      <w:bookmarkEnd w:id="10"/>
      <w:bookmarkEnd w:id="11"/>
    </w:p>
    <w:p w14:paraId="1E73B194" w14:textId="77777777" w:rsidR="008E659D" w:rsidRDefault="008E659D" w:rsidP="00EF2EA6">
      <w:pPr>
        <w:spacing w:line="480" w:lineRule="auto"/>
      </w:pPr>
      <w:r>
        <w:t>NIMH staff examined NIH and NIMH data sources to determine if existing information was available.  NIH investigators currently provide an overall recruitment target, along with a breakdown by sex/gender, race, and ethnicity, as part of the application/proposal for a grant, cooperative agreement, or contract.  This information is provided using the SF 424</w:t>
      </w:r>
      <w:r w:rsidR="00BE43DD">
        <w:t xml:space="preserve"> or </w:t>
      </w:r>
      <w:r>
        <w:t>PHS 398 Targeted/Planned Enrollment Table.  In addition, investigators report their actual recruitment, including the sex/gender, race, and ethnicity of subjects, in annual progress reports (PHS 2590).</w:t>
      </w:r>
    </w:p>
    <w:p w14:paraId="57704E89" w14:textId="77777777" w:rsidR="00B41EC6" w:rsidRDefault="003E39DA" w:rsidP="00EF2EA6">
      <w:pPr>
        <w:spacing w:line="480" w:lineRule="auto"/>
      </w:pPr>
      <w:r>
        <w:t>NIMH staff determined that currently collected</w:t>
      </w:r>
      <w:r w:rsidR="008E659D">
        <w:t xml:space="preserve"> information is insufficient to </w:t>
      </w:r>
      <w:r>
        <w:t>meet recruitment monitoring needs</w:t>
      </w:r>
      <w:r w:rsidR="008E659D">
        <w:t>, due to the lack of a stated timeline for recruitment and the infrequency of reporting.  In order to identify recruitment challenges and recommend early corrective action, NIMH staff must know the pr</w:t>
      </w:r>
      <w:r>
        <w:t>oposed timeline for recruitment and receive frequent reports on progress towards recruitment milestones.</w:t>
      </w:r>
    </w:p>
    <w:p w14:paraId="0A81BA76" w14:textId="77777777" w:rsidR="00B41EC6" w:rsidRDefault="00B41EC6" w:rsidP="00B41EC6">
      <w:pPr>
        <w:pStyle w:val="Heading2"/>
        <w:spacing w:after="0" w:line="480" w:lineRule="auto"/>
        <w:ind w:left="720" w:hanging="720"/>
        <w:rPr>
          <w:sz w:val="24"/>
          <w:szCs w:val="24"/>
        </w:rPr>
      </w:pPr>
      <w:bookmarkStart w:id="12" w:name="_Toc443881746"/>
      <w:bookmarkStart w:id="13" w:name="_Toc451592235"/>
      <w:bookmarkStart w:id="14" w:name="_Toc5610276"/>
      <w:bookmarkStart w:id="15" w:name="_Toc99178782"/>
      <w:r>
        <w:rPr>
          <w:sz w:val="24"/>
          <w:szCs w:val="24"/>
        </w:rPr>
        <w:t>A.5</w:t>
      </w:r>
      <w:r w:rsidRPr="00D61E21">
        <w:rPr>
          <w:sz w:val="24"/>
          <w:szCs w:val="24"/>
        </w:rPr>
        <w:tab/>
        <w:t>Impact on Small Businesses or Other Small Entities</w:t>
      </w:r>
      <w:bookmarkEnd w:id="12"/>
      <w:bookmarkEnd w:id="13"/>
      <w:bookmarkEnd w:id="14"/>
      <w:bookmarkEnd w:id="15"/>
    </w:p>
    <w:p w14:paraId="2DDAE86E" w14:textId="77777777" w:rsidR="00B41EC6" w:rsidRDefault="00FB51B4" w:rsidP="00EF2EA6">
      <w:pPr>
        <w:spacing w:line="480" w:lineRule="auto"/>
      </w:pPr>
      <w:r>
        <w:t xml:space="preserve">Principal Investigators of NIMH </w:t>
      </w:r>
      <w:r w:rsidR="00887899" w:rsidRPr="00585D5D">
        <w:t>clinical trials</w:t>
      </w:r>
      <w:r w:rsidR="00996CBF" w:rsidRPr="00585D5D">
        <w:t>, regardless of size,</w:t>
      </w:r>
      <w:r w:rsidR="00887899" w:rsidRPr="00585D5D">
        <w:t xml:space="preserve"> and NIMH clinical research</w:t>
      </w:r>
      <w:r w:rsidR="00887899">
        <w:t xml:space="preserve"> </w:t>
      </w:r>
      <w:r>
        <w:t xml:space="preserve">studies </w:t>
      </w:r>
      <w:r w:rsidR="00DE7111">
        <w:t>planning</w:t>
      </w:r>
      <w:r>
        <w:t xml:space="preserve"> to recruit 150 or more subjects will be required to submit</w:t>
      </w:r>
      <w:r w:rsidR="00BE43DD">
        <w:t xml:space="preserve"> recruitment milestones and</w:t>
      </w:r>
      <w:r>
        <w:t xml:space="preserve"> tri-annual recruitm</w:t>
      </w:r>
      <w:r w:rsidR="003E39DA">
        <w:t xml:space="preserve">ent milestone </w:t>
      </w:r>
      <w:r w:rsidR="00BE43DD">
        <w:t xml:space="preserve">progress </w:t>
      </w:r>
      <w:r w:rsidR="003E39DA">
        <w:t xml:space="preserve">reports.  While most of these investigators are at universities and large research organizations, </w:t>
      </w:r>
      <w:r w:rsidR="00DE7111">
        <w:t xml:space="preserve">a small number of these investigators are at small </w:t>
      </w:r>
      <w:r w:rsidR="00DE7111">
        <w:lastRenderedPageBreak/>
        <w:t>businesses or other small entities.  To minimize burden on investigators, including those at small businesses and other small entities, the information requested is the minimum required for the purpose of monitoring recruitment.</w:t>
      </w:r>
    </w:p>
    <w:p w14:paraId="42139A34" w14:textId="77777777" w:rsidR="00B41EC6" w:rsidRPr="00D61E21" w:rsidRDefault="00B41EC6" w:rsidP="00B41EC6">
      <w:pPr>
        <w:pStyle w:val="Heading2"/>
        <w:spacing w:after="0" w:line="480" w:lineRule="auto"/>
        <w:ind w:left="720" w:hanging="720"/>
        <w:rPr>
          <w:sz w:val="24"/>
          <w:szCs w:val="24"/>
        </w:rPr>
      </w:pPr>
      <w:bookmarkStart w:id="16" w:name="_Toc443881747"/>
      <w:bookmarkStart w:id="17" w:name="_Toc451592236"/>
      <w:bookmarkStart w:id="18" w:name="_Toc5610277"/>
      <w:bookmarkStart w:id="19" w:name="_Toc99178783"/>
      <w:r>
        <w:rPr>
          <w:sz w:val="24"/>
          <w:szCs w:val="24"/>
        </w:rPr>
        <w:t>A.6</w:t>
      </w:r>
      <w:r w:rsidRPr="00D61E21">
        <w:rPr>
          <w:sz w:val="24"/>
          <w:szCs w:val="24"/>
        </w:rPr>
        <w:tab/>
        <w:t>Consequences of Collecting the Information Less Frequently</w:t>
      </w:r>
      <w:bookmarkEnd w:id="16"/>
      <w:bookmarkEnd w:id="17"/>
      <w:bookmarkEnd w:id="18"/>
      <w:bookmarkEnd w:id="19"/>
    </w:p>
    <w:p w14:paraId="050F995B" w14:textId="77777777" w:rsidR="00B41EC6" w:rsidRDefault="002B228F" w:rsidP="00EF2EA6">
      <w:pPr>
        <w:spacing w:line="480" w:lineRule="auto"/>
      </w:pPr>
      <w:r>
        <w:t>Recruitment Milestone Reporting requires NIMH investigators to submit planned recruitment milestones prior to funding, as well as tri-annual reports of actual recruitment progress for the duration of recruitment</w:t>
      </w:r>
      <w:r w:rsidRPr="00585D5D">
        <w:t xml:space="preserve">.  </w:t>
      </w:r>
      <w:r w:rsidR="00887899" w:rsidRPr="00585D5D">
        <w:t>Investigators who fail to meet their milestones may be requested to submit interim monthly reports.</w:t>
      </w:r>
      <w:r w:rsidR="00887899">
        <w:t xml:space="preserve">  </w:t>
      </w:r>
      <w:r>
        <w:t>NIMH staff determined that tri-annual reporting is the minimum required to ensure effective recruitment monitoring</w:t>
      </w:r>
      <w:r w:rsidR="00887899">
        <w:t xml:space="preserve">, </w:t>
      </w:r>
      <w:r w:rsidR="00887899" w:rsidRPr="00585D5D">
        <w:t xml:space="preserve">and studies with identified recruitment challenges require a minimum </w:t>
      </w:r>
      <w:r w:rsidR="0029639F" w:rsidRPr="00585D5D">
        <w:t>monthly reporting frequency</w:t>
      </w:r>
      <w:r w:rsidR="00887899" w:rsidRPr="00585D5D">
        <w:t xml:space="preserve"> for effective monitoring</w:t>
      </w:r>
      <w:r w:rsidRPr="00585D5D">
        <w:t>.</w:t>
      </w:r>
      <w:r>
        <w:t xml:space="preserve">  Less frequent reporting would delay identification of studies with recruitment challenges, </w:t>
      </w:r>
      <w:r w:rsidR="00887899" w:rsidRPr="00585D5D">
        <w:t>as well as</w:t>
      </w:r>
      <w:r w:rsidR="000A19DE" w:rsidRPr="00585D5D">
        <w:t xml:space="preserve"> </w:t>
      </w:r>
      <w:r w:rsidRPr="00585D5D">
        <w:t>delay technical assistance</w:t>
      </w:r>
      <w:r>
        <w:t xml:space="preserve"> and corrective action.  Delaying corrective action could result in the inability of the study to meet its objectives within the expected timeframe, including lack of statistical power to answer the research question, and lack of generalizability of the results to the target population.</w:t>
      </w:r>
      <w:r w:rsidR="0029639F">
        <w:t xml:space="preserve">  </w:t>
      </w:r>
      <w:r w:rsidR="0029639F" w:rsidRPr="00585D5D">
        <w:t>Ultimately, failure of the study to meet its objectives within the expected timeframe could result in the delayed availability of treatments to the public.</w:t>
      </w:r>
    </w:p>
    <w:p w14:paraId="427AF114" w14:textId="77777777" w:rsidR="00B41EC6" w:rsidRPr="00D61E21" w:rsidRDefault="00B41EC6" w:rsidP="0016182C">
      <w:pPr>
        <w:pStyle w:val="Heading2"/>
        <w:spacing w:after="0" w:line="480" w:lineRule="auto"/>
        <w:ind w:left="0" w:firstLine="0"/>
        <w:rPr>
          <w:sz w:val="24"/>
          <w:szCs w:val="24"/>
        </w:rPr>
      </w:pPr>
      <w:bookmarkStart w:id="20" w:name="_Toc443881748"/>
      <w:bookmarkStart w:id="21" w:name="_Toc451592237"/>
      <w:bookmarkStart w:id="22" w:name="_Toc5610278"/>
      <w:bookmarkStart w:id="23" w:name="_Toc99178784"/>
      <w:r>
        <w:rPr>
          <w:sz w:val="24"/>
          <w:szCs w:val="24"/>
        </w:rPr>
        <w:t>A.7</w:t>
      </w:r>
      <w:r w:rsidR="006A2742">
        <w:rPr>
          <w:sz w:val="24"/>
          <w:szCs w:val="24"/>
        </w:rPr>
        <w:t xml:space="preserve">     </w:t>
      </w:r>
      <w:r w:rsidR="00EF2EA6">
        <w:rPr>
          <w:sz w:val="24"/>
          <w:szCs w:val="24"/>
        </w:rPr>
        <w:t xml:space="preserve"> </w:t>
      </w:r>
      <w:r w:rsidRPr="00D61E21">
        <w:rPr>
          <w:sz w:val="24"/>
          <w:szCs w:val="24"/>
        </w:rPr>
        <w:t>Special Circumstances Relating to the Guidelines of 5 CFR 1320.5</w:t>
      </w:r>
      <w:bookmarkEnd w:id="20"/>
      <w:bookmarkEnd w:id="21"/>
      <w:bookmarkEnd w:id="22"/>
      <w:bookmarkEnd w:id="23"/>
    </w:p>
    <w:p w14:paraId="017F6EE0" w14:textId="77777777" w:rsidR="002D2D30" w:rsidRPr="00B41EC6" w:rsidRDefault="002B228F" w:rsidP="00B41EC6">
      <w:pPr>
        <w:pStyle w:val="a"/>
        <w:tabs>
          <w:tab w:val="left" w:pos="720"/>
        </w:tabs>
        <w:ind w:hanging="720"/>
        <w:rPr>
          <w:szCs w:val="24"/>
        </w:rPr>
      </w:pPr>
      <w:r>
        <w:rPr>
          <w:szCs w:val="24"/>
        </w:rPr>
        <w:t>There are no special circumstances</w:t>
      </w:r>
      <w:r w:rsidR="00585D5D">
        <w:rPr>
          <w:szCs w:val="24"/>
        </w:rPr>
        <w:t xml:space="preserve"> relating to the guidelines of 5 CFR 1320.5</w:t>
      </w:r>
      <w:r>
        <w:rPr>
          <w:szCs w:val="24"/>
        </w:rPr>
        <w:t>.</w:t>
      </w:r>
    </w:p>
    <w:p w14:paraId="10CD3C5A" w14:textId="77777777" w:rsidR="00A71760" w:rsidRDefault="00A71760" w:rsidP="00B41EC6"/>
    <w:p w14:paraId="2C910C49" w14:textId="77777777" w:rsidR="0005035B" w:rsidRPr="00D61E21" w:rsidRDefault="0005035B" w:rsidP="00500F49">
      <w:pPr>
        <w:pStyle w:val="Heading2"/>
        <w:spacing w:after="0" w:line="360" w:lineRule="auto"/>
        <w:ind w:left="720" w:hanging="720"/>
        <w:rPr>
          <w:sz w:val="24"/>
          <w:szCs w:val="24"/>
        </w:rPr>
      </w:pPr>
      <w:bookmarkStart w:id="24" w:name="_Toc443881749"/>
      <w:bookmarkStart w:id="25" w:name="_Toc451592238"/>
      <w:bookmarkStart w:id="26" w:name="_Toc5610279"/>
      <w:bookmarkStart w:id="27" w:name="_Toc99178785"/>
      <w:r>
        <w:rPr>
          <w:sz w:val="24"/>
          <w:szCs w:val="24"/>
        </w:rPr>
        <w:t>A.8</w:t>
      </w:r>
      <w:r w:rsidR="00585D5D">
        <w:rPr>
          <w:sz w:val="24"/>
          <w:szCs w:val="24"/>
        </w:rPr>
        <w:t>.1</w:t>
      </w:r>
      <w:r w:rsidRPr="00D61E21">
        <w:rPr>
          <w:sz w:val="24"/>
          <w:szCs w:val="24"/>
        </w:rPr>
        <w:tab/>
        <w:t xml:space="preserve">Comments in Response to the Federal Register Notice </w:t>
      </w:r>
      <w:bookmarkEnd w:id="24"/>
      <w:bookmarkEnd w:id="25"/>
      <w:bookmarkEnd w:id="26"/>
      <w:bookmarkEnd w:id="27"/>
    </w:p>
    <w:p w14:paraId="5391055A" w14:textId="77777777" w:rsidR="00DE3886" w:rsidRDefault="00DE3886" w:rsidP="00AF08A7"/>
    <w:p w14:paraId="7D87320F" w14:textId="77777777" w:rsidR="0006282F" w:rsidRPr="00AE0BDA" w:rsidRDefault="00D04659" w:rsidP="00707CFE">
      <w:pPr>
        <w:spacing w:line="480" w:lineRule="auto"/>
        <w:rPr>
          <w:color w:val="000000"/>
          <w:highlight w:val="yellow"/>
        </w:rPr>
      </w:pPr>
      <w:r w:rsidRPr="00AE0BDA">
        <w:rPr>
          <w:color w:val="000000"/>
          <w:highlight w:val="yellow"/>
        </w:rPr>
        <w:t xml:space="preserve">A Federal Register Notice </w:t>
      </w:r>
      <w:r w:rsidR="00AE0BDA">
        <w:rPr>
          <w:color w:val="000000"/>
          <w:highlight w:val="yellow"/>
        </w:rPr>
        <w:t xml:space="preserve">for this revision request </w:t>
      </w:r>
      <w:r w:rsidRPr="00AE0BDA">
        <w:rPr>
          <w:color w:val="000000"/>
          <w:highlight w:val="yellow"/>
        </w:rPr>
        <w:t xml:space="preserve">was published on </w:t>
      </w:r>
      <w:r w:rsidR="00707CFE" w:rsidRPr="00AE0BDA">
        <w:rPr>
          <w:color w:val="000000"/>
          <w:highlight w:val="yellow"/>
        </w:rPr>
        <w:t>June 1, 2015</w:t>
      </w:r>
      <w:r w:rsidRPr="00AE0BDA">
        <w:rPr>
          <w:color w:val="000000"/>
          <w:highlight w:val="yellow"/>
        </w:rPr>
        <w:t xml:space="preserve">, Vol </w:t>
      </w:r>
      <w:r w:rsidR="00707CFE" w:rsidRPr="00AE0BDA">
        <w:rPr>
          <w:color w:val="000000"/>
          <w:highlight w:val="yellow"/>
        </w:rPr>
        <w:t>80</w:t>
      </w:r>
      <w:r w:rsidRPr="00AE0BDA">
        <w:rPr>
          <w:color w:val="000000"/>
          <w:highlight w:val="yellow"/>
        </w:rPr>
        <w:t xml:space="preserve"> FR </w:t>
      </w:r>
      <w:r w:rsidR="00707CFE" w:rsidRPr="00AE0BDA">
        <w:rPr>
          <w:color w:val="000000"/>
          <w:highlight w:val="yellow"/>
        </w:rPr>
        <w:t>31053</w:t>
      </w:r>
      <w:r w:rsidRPr="00AE0BDA">
        <w:rPr>
          <w:color w:val="000000"/>
          <w:highlight w:val="yellow"/>
        </w:rPr>
        <w:t xml:space="preserve"> (</w:t>
      </w:r>
      <w:hyperlink r:id="rId10" w:history="1">
        <w:r w:rsidR="00707CFE" w:rsidRPr="00AE0BDA">
          <w:rPr>
            <w:rStyle w:val="Hyperlink"/>
            <w:highlight w:val="yellow"/>
          </w:rPr>
          <w:t>https://www.federalregister.gov/articles/2015/06/01/2015-13112/proposed-collection-60-day-comment-request-national-institute-of-mental-health-recruitment-and</w:t>
        </w:r>
      </w:hyperlink>
      <w:r w:rsidR="00707CFE" w:rsidRPr="00AE0BDA">
        <w:rPr>
          <w:color w:val="000000"/>
          <w:highlight w:val="yellow"/>
        </w:rPr>
        <w:t xml:space="preserve">). </w:t>
      </w:r>
      <w:r w:rsidR="00996CBF" w:rsidRPr="00AE0BDA">
        <w:rPr>
          <w:color w:val="000000"/>
          <w:highlight w:val="yellow"/>
        </w:rPr>
        <w:t xml:space="preserve">Four </w:t>
      </w:r>
      <w:r w:rsidR="005E2F56" w:rsidRPr="00AE0BDA">
        <w:rPr>
          <w:color w:val="000000"/>
          <w:highlight w:val="yellow"/>
        </w:rPr>
        <w:t xml:space="preserve">(4) </w:t>
      </w:r>
      <w:r w:rsidR="00996CBF" w:rsidRPr="00AE0BDA">
        <w:rPr>
          <w:color w:val="000000"/>
          <w:highlight w:val="yellow"/>
        </w:rPr>
        <w:t>public comments were received</w:t>
      </w:r>
      <w:r w:rsidR="005E2F56" w:rsidRPr="00AE0BDA">
        <w:rPr>
          <w:color w:val="000000"/>
          <w:highlight w:val="yellow"/>
        </w:rPr>
        <w:t xml:space="preserve"> – see Attachment </w:t>
      </w:r>
      <w:r w:rsidR="00FB6B3D">
        <w:rPr>
          <w:color w:val="000000"/>
          <w:highlight w:val="yellow"/>
        </w:rPr>
        <w:t>2</w:t>
      </w:r>
      <w:r w:rsidR="005E2F56" w:rsidRPr="00AE0BDA">
        <w:rPr>
          <w:color w:val="000000"/>
          <w:highlight w:val="yellow"/>
        </w:rPr>
        <w:t xml:space="preserve"> for a summary of the comments.</w:t>
      </w:r>
    </w:p>
    <w:p w14:paraId="4698624F" w14:textId="7B956A74" w:rsidR="00F4517B" w:rsidRDefault="00FB6B3D" w:rsidP="006373ED">
      <w:pPr>
        <w:spacing w:line="480" w:lineRule="auto"/>
        <w:rPr>
          <w:color w:val="000000"/>
          <w:highlight w:val="yellow"/>
        </w:rPr>
      </w:pPr>
      <w:r>
        <w:rPr>
          <w:color w:val="000000"/>
          <w:highlight w:val="yellow"/>
        </w:rPr>
        <w:lastRenderedPageBreak/>
        <w:t xml:space="preserve">NIMH </w:t>
      </w:r>
      <w:r w:rsidR="001F3DCF" w:rsidRPr="00AE0BDA">
        <w:rPr>
          <w:color w:val="000000"/>
          <w:highlight w:val="yellow"/>
        </w:rPr>
        <w:t xml:space="preserve">carefully considered </w:t>
      </w:r>
      <w:r w:rsidR="00EF5C03" w:rsidRPr="00AE0BDA">
        <w:rPr>
          <w:color w:val="000000"/>
          <w:highlight w:val="yellow"/>
        </w:rPr>
        <w:t xml:space="preserve">all </w:t>
      </w:r>
      <w:r w:rsidR="001F3DCF" w:rsidRPr="00AE0BDA">
        <w:rPr>
          <w:color w:val="000000"/>
          <w:highlight w:val="yellow"/>
        </w:rPr>
        <w:t>comments</w:t>
      </w:r>
      <w:r w:rsidR="00EF5C03" w:rsidRPr="00AE0BDA">
        <w:rPr>
          <w:color w:val="000000"/>
          <w:highlight w:val="yellow"/>
        </w:rPr>
        <w:t xml:space="preserve"> received</w:t>
      </w:r>
      <w:r w:rsidR="001F3DCF" w:rsidRPr="00AE0BDA">
        <w:rPr>
          <w:color w:val="000000"/>
          <w:highlight w:val="yellow"/>
        </w:rPr>
        <w:t xml:space="preserve">.  </w:t>
      </w:r>
      <w:r w:rsidR="00EF5C03" w:rsidRPr="00AE0BDA">
        <w:rPr>
          <w:color w:val="000000"/>
          <w:highlight w:val="yellow"/>
        </w:rPr>
        <w:t>Comments include</w:t>
      </w:r>
      <w:r w:rsidR="00461873" w:rsidRPr="00AE0BDA">
        <w:rPr>
          <w:color w:val="000000"/>
          <w:highlight w:val="yellow"/>
        </w:rPr>
        <w:t xml:space="preserve"> concerns about the clarity of the announcement, the utility of the information </w:t>
      </w:r>
      <w:r w:rsidR="0015785B" w:rsidRPr="00AE0BDA">
        <w:rPr>
          <w:color w:val="000000"/>
          <w:highlight w:val="yellow"/>
        </w:rPr>
        <w:t>collected, the frequency</w:t>
      </w:r>
      <w:r w:rsidR="00461873" w:rsidRPr="00AE0BDA">
        <w:rPr>
          <w:color w:val="000000"/>
          <w:highlight w:val="yellow"/>
        </w:rPr>
        <w:t xml:space="preserve"> of tri-annual and monthly reporting</w:t>
      </w:r>
      <w:r w:rsidR="001B69C0">
        <w:rPr>
          <w:color w:val="000000"/>
          <w:highlight w:val="yellow"/>
        </w:rPr>
        <w:t xml:space="preserve">, </w:t>
      </w:r>
      <w:r w:rsidR="003D0118">
        <w:rPr>
          <w:color w:val="000000"/>
          <w:highlight w:val="yellow"/>
        </w:rPr>
        <w:t xml:space="preserve">and </w:t>
      </w:r>
      <w:r w:rsidR="001B69C0">
        <w:rPr>
          <w:color w:val="000000"/>
          <w:highlight w:val="yellow"/>
        </w:rPr>
        <w:t xml:space="preserve">the need for educational materials and </w:t>
      </w:r>
      <w:r w:rsidR="0026075C">
        <w:rPr>
          <w:color w:val="000000"/>
          <w:highlight w:val="yellow"/>
        </w:rPr>
        <w:t xml:space="preserve">technical </w:t>
      </w:r>
      <w:r w:rsidR="001B69C0">
        <w:rPr>
          <w:color w:val="000000"/>
          <w:highlight w:val="yellow"/>
        </w:rPr>
        <w:t>support</w:t>
      </w:r>
      <w:r w:rsidR="00461873" w:rsidRPr="00AE0BDA">
        <w:rPr>
          <w:color w:val="000000"/>
          <w:highlight w:val="yellow"/>
        </w:rPr>
        <w:t xml:space="preserve">.  </w:t>
      </w:r>
    </w:p>
    <w:p w14:paraId="5F004A16" w14:textId="21E38F3C" w:rsidR="00415757" w:rsidRDefault="00F4517B" w:rsidP="0026075C">
      <w:pPr>
        <w:spacing w:line="480" w:lineRule="auto"/>
        <w:ind w:firstLine="720"/>
        <w:rPr>
          <w:color w:val="000000"/>
          <w:highlight w:val="yellow"/>
        </w:rPr>
      </w:pPr>
      <w:r>
        <w:rPr>
          <w:color w:val="000000"/>
          <w:highlight w:val="yellow"/>
        </w:rPr>
        <w:t>To address the</w:t>
      </w:r>
      <w:r w:rsidR="001B69C0">
        <w:rPr>
          <w:color w:val="000000"/>
          <w:highlight w:val="yellow"/>
        </w:rPr>
        <w:t xml:space="preserve"> clarity of the announcement</w:t>
      </w:r>
      <w:r>
        <w:rPr>
          <w:color w:val="000000"/>
          <w:highlight w:val="yellow"/>
        </w:rPr>
        <w:t xml:space="preserve">, </w:t>
      </w:r>
      <w:r w:rsidR="001F3DCF" w:rsidRPr="00AE0BDA">
        <w:rPr>
          <w:color w:val="000000"/>
          <w:highlight w:val="yellow"/>
        </w:rPr>
        <w:t xml:space="preserve">NIMH has </w:t>
      </w:r>
      <w:r w:rsidR="00442CC7">
        <w:rPr>
          <w:color w:val="000000"/>
          <w:highlight w:val="yellow"/>
        </w:rPr>
        <w:t xml:space="preserve">revised </w:t>
      </w:r>
      <w:r w:rsidR="001F3DCF" w:rsidRPr="00AE0BDA">
        <w:rPr>
          <w:color w:val="000000"/>
          <w:highlight w:val="yellow"/>
        </w:rPr>
        <w:t>the languag</w:t>
      </w:r>
      <w:r w:rsidR="0015785B" w:rsidRPr="00AE0BDA">
        <w:rPr>
          <w:color w:val="000000"/>
          <w:highlight w:val="yellow"/>
        </w:rPr>
        <w:t xml:space="preserve">e in this notice to </w:t>
      </w:r>
      <w:r w:rsidR="00606BB1">
        <w:rPr>
          <w:color w:val="000000"/>
          <w:highlight w:val="yellow"/>
        </w:rPr>
        <w:t xml:space="preserve">confirm </w:t>
      </w:r>
      <w:r w:rsidR="00EF5C03" w:rsidRPr="00AE0BDA">
        <w:rPr>
          <w:color w:val="000000"/>
          <w:highlight w:val="yellow"/>
        </w:rPr>
        <w:t xml:space="preserve">that the proposed collection includes all </w:t>
      </w:r>
      <w:r w:rsidR="00AD41F7">
        <w:rPr>
          <w:color w:val="000000"/>
          <w:highlight w:val="yellow"/>
        </w:rPr>
        <w:t>NI</w:t>
      </w:r>
      <w:r w:rsidR="006D3776">
        <w:rPr>
          <w:color w:val="000000"/>
          <w:highlight w:val="yellow"/>
        </w:rPr>
        <w:t>M</w:t>
      </w:r>
      <w:r w:rsidR="00AD41F7">
        <w:rPr>
          <w:color w:val="000000"/>
          <w:highlight w:val="yellow"/>
        </w:rPr>
        <w:t xml:space="preserve">H-funded </w:t>
      </w:r>
      <w:r w:rsidR="00EF5C03" w:rsidRPr="00AE0BDA">
        <w:rPr>
          <w:color w:val="000000"/>
          <w:highlight w:val="yellow"/>
        </w:rPr>
        <w:t>clinical trials, regardless of size</w:t>
      </w:r>
      <w:r w:rsidR="003D0118">
        <w:rPr>
          <w:color w:val="000000"/>
          <w:highlight w:val="yellow"/>
        </w:rPr>
        <w:t xml:space="preserve">.  </w:t>
      </w:r>
      <w:r>
        <w:rPr>
          <w:color w:val="000000"/>
          <w:highlight w:val="yellow"/>
        </w:rPr>
        <w:t xml:space="preserve">To address </w:t>
      </w:r>
      <w:r w:rsidR="001B69C0">
        <w:rPr>
          <w:color w:val="000000"/>
          <w:highlight w:val="yellow"/>
        </w:rPr>
        <w:t>concerns about the utility of the information collected</w:t>
      </w:r>
      <w:r w:rsidR="006C16F9">
        <w:rPr>
          <w:color w:val="000000"/>
          <w:highlight w:val="yellow"/>
        </w:rPr>
        <w:t xml:space="preserve">, NIMH has </w:t>
      </w:r>
      <w:r w:rsidR="0026075C">
        <w:rPr>
          <w:color w:val="000000"/>
          <w:highlight w:val="yellow"/>
        </w:rPr>
        <w:t>included additional</w:t>
      </w:r>
      <w:r w:rsidR="006C16F9">
        <w:rPr>
          <w:color w:val="000000"/>
          <w:highlight w:val="yellow"/>
        </w:rPr>
        <w:t xml:space="preserve"> information about the circumstances requiring reporting, as well as the purpose and use of the information</w:t>
      </w:r>
      <w:r w:rsidR="00AE0BDA">
        <w:rPr>
          <w:color w:val="000000"/>
          <w:highlight w:val="yellow"/>
        </w:rPr>
        <w:t xml:space="preserve">, </w:t>
      </w:r>
      <w:r w:rsidR="006C16F9">
        <w:rPr>
          <w:color w:val="000000"/>
          <w:highlight w:val="yellow"/>
        </w:rPr>
        <w:t>in Sections A</w:t>
      </w:r>
      <w:r w:rsidR="00E2593E">
        <w:rPr>
          <w:color w:val="000000"/>
          <w:highlight w:val="yellow"/>
        </w:rPr>
        <w:t>.</w:t>
      </w:r>
      <w:r w:rsidR="006C16F9">
        <w:rPr>
          <w:color w:val="000000"/>
          <w:highlight w:val="yellow"/>
        </w:rPr>
        <w:t>1 and A</w:t>
      </w:r>
      <w:r w:rsidR="00E2593E">
        <w:rPr>
          <w:color w:val="000000"/>
          <w:highlight w:val="yellow"/>
        </w:rPr>
        <w:t>.</w:t>
      </w:r>
      <w:r w:rsidR="006C16F9">
        <w:rPr>
          <w:color w:val="000000"/>
          <w:highlight w:val="yellow"/>
        </w:rPr>
        <w:t xml:space="preserve">2 above.  </w:t>
      </w:r>
      <w:r w:rsidR="00415757">
        <w:rPr>
          <w:color w:val="000000"/>
          <w:highlight w:val="yellow"/>
        </w:rPr>
        <w:t>Additional explanation of the utility of reporting for small trials is in Section A</w:t>
      </w:r>
      <w:r w:rsidR="00E2593E">
        <w:rPr>
          <w:color w:val="000000"/>
          <w:highlight w:val="yellow"/>
        </w:rPr>
        <w:t>.</w:t>
      </w:r>
      <w:r w:rsidR="00415757">
        <w:rPr>
          <w:color w:val="000000"/>
          <w:highlight w:val="yellow"/>
        </w:rPr>
        <w:t xml:space="preserve">1 above.  </w:t>
      </w:r>
      <w:r w:rsidR="00E93093">
        <w:rPr>
          <w:color w:val="000000"/>
          <w:highlight w:val="yellow"/>
        </w:rPr>
        <w:t>Both large and small trials are required to maintain records of enrollment due to I</w:t>
      </w:r>
      <w:r w:rsidR="00A7404A">
        <w:rPr>
          <w:color w:val="000000"/>
          <w:highlight w:val="yellow"/>
        </w:rPr>
        <w:t xml:space="preserve">nstitutional </w:t>
      </w:r>
      <w:r w:rsidR="00E93093">
        <w:rPr>
          <w:color w:val="000000"/>
          <w:highlight w:val="yellow"/>
        </w:rPr>
        <w:t>R</w:t>
      </w:r>
      <w:r w:rsidR="00A7404A">
        <w:rPr>
          <w:color w:val="000000"/>
          <w:highlight w:val="yellow"/>
        </w:rPr>
        <w:t xml:space="preserve">eview </w:t>
      </w:r>
      <w:r w:rsidR="00E93093">
        <w:rPr>
          <w:color w:val="000000"/>
          <w:highlight w:val="yellow"/>
        </w:rPr>
        <w:t>B</w:t>
      </w:r>
      <w:r w:rsidR="004E3F36">
        <w:rPr>
          <w:color w:val="000000"/>
          <w:highlight w:val="yellow"/>
        </w:rPr>
        <w:t>oard</w:t>
      </w:r>
      <w:r w:rsidR="00E93093">
        <w:rPr>
          <w:color w:val="000000"/>
          <w:highlight w:val="yellow"/>
        </w:rPr>
        <w:t xml:space="preserve"> and NIH requirements.  Therefore, it is not expected that the burden of reporting for smaller trials will be greater than the burden for larger trials.  NIMH Program Officials</w:t>
      </w:r>
      <w:r w:rsidR="006D3776" w:rsidRPr="006D3776">
        <w:rPr>
          <w:color w:val="000000"/>
          <w:highlight w:val="yellow"/>
        </w:rPr>
        <w:t xml:space="preserve"> </w:t>
      </w:r>
      <w:r w:rsidR="006D3776">
        <w:rPr>
          <w:color w:val="000000"/>
          <w:highlight w:val="yellow"/>
        </w:rPr>
        <w:t>may waive the requirement for monthly reporting at their discretion</w:t>
      </w:r>
      <w:r w:rsidR="00E93093">
        <w:rPr>
          <w:color w:val="000000"/>
          <w:highlight w:val="yellow"/>
        </w:rPr>
        <w:t>, as explained in Section A</w:t>
      </w:r>
      <w:r w:rsidR="00E2593E">
        <w:rPr>
          <w:color w:val="000000"/>
          <w:highlight w:val="yellow"/>
        </w:rPr>
        <w:t>.</w:t>
      </w:r>
      <w:r w:rsidR="00E93093">
        <w:rPr>
          <w:color w:val="000000"/>
          <w:highlight w:val="yellow"/>
        </w:rPr>
        <w:t>2 above.</w:t>
      </w:r>
    </w:p>
    <w:p w14:paraId="29272295" w14:textId="31FAC3E5" w:rsidR="001B69C0" w:rsidRDefault="0066179C" w:rsidP="0004235E">
      <w:pPr>
        <w:spacing w:line="480" w:lineRule="auto"/>
        <w:ind w:firstLine="720"/>
        <w:rPr>
          <w:color w:val="000000"/>
        </w:rPr>
      </w:pPr>
      <w:r>
        <w:rPr>
          <w:color w:val="000000"/>
          <w:highlight w:val="yellow"/>
        </w:rPr>
        <w:t>To</w:t>
      </w:r>
      <w:r w:rsidR="001B69C0">
        <w:rPr>
          <w:color w:val="000000"/>
          <w:highlight w:val="yellow"/>
        </w:rPr>
        <w:t xml:space="preserve"> address concerns about the frequency of reporting</w:t>
      </w:r>
      <w:r>
        <w:rPr>
          <w:color w:val="000000"/>
          <w:highlight w:val="yellow"/>
        </w:rPr>
        <w:t>, NIMH</w:t>
      </w:r>
      <w:r w:rsidR="00AE0BDA">
        <w:rPr>
          <w:color w:val="000000"/>
          <w:highlight w:val="yellow"/>
        </w:rPr>
        <w:t xml:space="preserve"> confirm</w:t>
      </w:r>
      <w:r>
        <w:rPr>
          <w:color w:val="000000"/>
          <w:highlight w:val="yellow"/>
        </w:rPr>
        <w:t>s</w:t>
      </w:r>
      <w:r w:rsidR="00AE0BDA">
        <w:rPr>
          <w:color w:val="000000"/>
          <w:highlight w:val="yellow"/>
        </w:rPr>
        <w:t xml:space="preserve"> </w:t>
      </w:r>
      <w:r w:rsidR="0015785B" w:rsidRPr="00AE0BDA">
        <w:rPr>
          <w:color w:val="000000"/>
          <w:highlight w:val="yellow"/>
        </w:rPr>
        <w:t xml:space="preserve">tri-annual reporting to be the minimum necessary to provide effective recruitment monitoring.  When studies fall significantly behind their recruitment goals, monthly reporting is necessary in order to ensure the study can be completed within the proposed budget and timeframe.  </w:t>
      </w:r>
      <w:r w:rsidR="00AE0BDA" w:rsidRPr="00AE0BDA">
        <w:rPr>
          <w:color w:val="000000"/>
          <w:highlight w:val="yellow"/>
        </w:rPr>
        <w:t xml:space="preserve">Without intervention, studies may fail to recruit enough subjects to answer the scientific questions, resulting in delays in the availability of knowledge and treatments to the public; lack of generalizability of the information to the appropriate population; inappropriate exposure to risk for study participants; and inefficient use of resources.  </w:t>
      </w:r>
      <w:r w:rsidR="001B69C0">
        <w:rPr>
          <w:color w:val="000000"/>
          <w:highlight w:val="yellow"/>
        </w:rPr>
        <w:t xml:space="preserve">NIMH has also clarified the criteria that will be used to determine if a study requires monthly reporting.  </w:t>
      </w:r>
      <w:r w:rsidR="004842EB">
        <w:rPr>
          <w:color w:val="000000"/>
          <w:highlight w:val="yellow"/>
        </w:rPr>
        <w:t xml:space="preserve">As explained in Section A.2, studies will require monthly reporting </w:t>
      </w:r>
      <w:r w:rsidR="004842EB">
        <w:rPr>
          <w:highlight w:val="yellow"/>
        </w:rPr>
        <w:t xml:space="preserve">if less than 50% of target milestones are achieved </w:t>
      </w:r>
      <w:r w:rsidR="004842EB" w:rsidRPr="00071CEF">
        <w:rPr>
          <w:highlight w:val="yellow"/>
        </w:rPr>
        <w:t xml:space="preserve">at any </w:t>
      </w:r>
      <w:r w:rsidR="004842EB" w:rsidRPr="00071CEF">
        <w:rPr>
          <w:highlight w:val="yellow"/>
        </w:rPr>
        <w:lastRenderedPageBreak/>
        <w:t>point beyond the first year of recruitment, or if less than 75% of recruitment milestones are achieved with less than 18 months remaining in the proposed project period</w:t>
      </w:r>
      <w:r w:rsidR="004842EB">
        <w:rPr>
          <w:highlight w:val="yellow"/>
        </w:rPr>
        <w:t>.  Because studies generally take time to achieve a steady rate of recruitment</w:t>
      </w:r>
      <w:r w:rsidR="001B69C0">
        <w:rPr>
          <w:color w:val="000000"/>
          <w:highlight w:val="yellow"/>
        </w:rPr>
        <w:t>, monthly reporting will not be required in the first year of a study</w:t>
      </w:r>
      <w:r w:rsidR="00BF2EB7">
        <w:rPr>
          <w:color w:val="000000"/>
          <w:highlight w:val="yellow"/>
        </w:rPr>
        <w:t xml:space="preserve">, with </w:t>
      </w:r>
      <w:r w:rsidR="0026075C">
        <w:rPr>
          <w:color w:val="000000"/>
          <w:highlight w:val="yellow"/>
        </w:rPr>
        <w:t>the exception</w:t>
      </w:r>
      <w:r w:rsidR="001B69C0">
        <w:rPr>
          <w:color w:val="000000"/>
          <w:highlight w:val="yellow"/>
        </w:rPr>
        <w:t xml:space="preserve"> </w:t>
      </w:r>
      <w:r w:rsidR="00BF2EB7">
        <w:rPr>
          <w:color w:val="000000"/>
          <w:highlight w:val="yellow"/>
        </w:rPr>
        <w:t>of</w:t>
      </w:r>
      <w:r w:rsidR="001B69C0">
        <w:rPr>
          <w:color w:val="000000"/>
          <w:highlight w:val="yellow"/>
        </w:rPr>
        <w:t xml:space="preserve"> </w:t>
      </w:r>
      <w:r w:rsidR="00BF2EB7">
        <w:rPr>
          <w:color w:val="000000"/>
          <w:highlight w:val="yellow"/>
        </w:rPr>
        <w:t xml:space="preserve">short duration </w:t>
      </w:r>
      <w:r w:rsidR="001B69C0">
        <w:rPr>
          <w:color w:val="000000"/>
          <w:highlight w:val="yellow"/>
        </w:rPr>
        <w:t xml:space="preserve">studies that have less than 18 months remaining when they fail to meet recruitment goals.  </w:t>
      </w:r>
      <w:r w:rsidR="0015785B" w:rsidRPr="00AE0BDA">
        <w:rPr>
          <w:color w:val="000000"/>
          <w:highlight w:val="yellow"/>
        </w:rPr>
        <w:t>Based on current study performance</w:t>
      </w:r>
      <w:r w:rsidR="00454331">
        <w:rPr>
          <w:color w:val="000000"/>
          <w:highlight w:val="yellow"/>
        </w:rPr>
        <w:t xml:space="preserve"> of clinical </w:t>
      </w:r>
      <w:r w:rsidR="004842EB">
        <w:rPr>
          <w:color w:val="000000"/>
          <w:highlight w:val="yellow"/>
        </w:rPr>
        <w:t>research studies</w:t>
      </w:r>
      <w:r w:rsidR="00454331">
        <w:rPr>
          <w:color w:val="000000"/>
          <w:highlight w:val="yellow"/>
        </w:rPr>
        <w:t xml:space="preserve"> with 150 or more participants</w:t>
      </w:r>
      <w:r w:rsidR="0015785B" w:rsidRPr="00AE0BDA">
        <w:rPr>
          <w:color w:val="000000"/>
          <w:highlight w:val="yellow"/>
        </w:rPr>
        <w:t>, NIMH expects less than 5% of respondents will require monthly reporting.</w:t>
      </w:r>
      <w:r w:rsidR="006373ED" w:rsidRPr="00AE0BDA">
        <w:rPr>
          <w:color w:val="000000"/>
          <w:highlight w:val="yellow"/>
        </w:rPr>
        <w:t xml:space="preserve"> </w:t>
      </w:r>
      <w:r w:rsidR="00262C81">
        <w:rPr>
          <w:color w:val="000000"/>
          <w:highlight w:val="yellow"/>
        </w:rPr>
        <w:t xml:space="preserve">To address concerns about </w:t>
      </w:r>
      <w:r w:rsidR="0026075C">
        <w:rPr>
          <w:color w:val="000000"/>
          <w:highlight w:val="yellow"/>
        </w:rPr>
        <w:t xml:space="preserve">the need for educational materials and support, </w:t>
      </w:r>
      <w:r w:rsidR="00262C81" w:rsidRPr="00D62B72">
        <w:rPr>
          <w:color w:val="000000"/>
          <w:highlight w:val="yellow"/>
        </w:rPr>
        <w:t>NIMH has developed a “Points to Consider about Recruitment and Retention While Preparing a Clinical Research Study”</w:t>
      </w:r>
      <w:r w:rsidR="00262C81">
        <w:rPr>
          <w:color w:val="000000"/>
          <w:highlight w:val="yellow"/>
        </w:rPr>
        <w:t xml:space="preserve"> </w:t>
      </w:r>
      <w:r w:rsidR="00262C81" w:rsidRPr="00D62B72">
        <w:rPr>
          <w:color w:val="000000"/>
          <w:highlight w:val="yellow"/>
        </w:rPr>
        <w:t xml:space="preserve">document </w:t>
      </w:r>
      <w:r w:rsidR="00262C81">
        <w:rPr>
          <w:color w:val="000000"/>
          <w:highlight w:val="yellow"/>
        </w:rPr>
        <w:t xml:space="preserve">which is </w:t>
      </w:r>
      <w:r w:rsidR="00262C81" w:rsidRPr="00D62B72">
        <w:rPr>
          <w:color w:val="000000"/>
          <w:highlight w:val="yellow"/>
        </w:rPr>
        <w:t>available on the NIMH website (</w:t>
      </w:r>
      <w:hyperlink r:id="rId11" w:history="1">
        <w:r w:rsidR="007D315F" w:rsidRPr="00CD400F">
          <w:rPr>
            <w:rStyle w:val="Hyperlink"/>
            <w:highlight w:val="yellow"/>
          </w:rPr>
          <w:t>http://www.nimh.nih.gov/funding/grant-writing-and-application-process/recruitment-points-to-consider-6-1-05_34848.pdf</w:t>
        </w:r>
      </w:hyperlink>
      <w:r w:rsidR="0005778C" w:rsidRPr="00D62B72">
        <w:rPr>
          <w:color w:val="000000"/>
          <w:highlight w:val="yellow"/>
        </w:rPr>
        <w:t>)</w:t>
      </w:r>
      <w:r w:rsidR="007D315F">
        <w:rPr>
          <w:color w:val="000000"/>
          <w:highlight w:val="yellow"/>
        </w:rPr>
        <w:t xml:space="preserve">. </w:t>
      </w:r>
      <w:r w:rsidR="00262C81" w:rsidRPr="003530EC">
        <w:rPr>
          <w:color w:val="000000"/>
          <w:highlight w:val="yellow"/>
        </w:rPr>
        <w:t xml:space="preserve">In addition, </w:t>
      </w:r>
      <w:r w:rsidR="00262C81">
        <w:rPr>
          <w:color w:val="000000"/>
          <w:highlight w:val="yellow"/>
        </w:rPr>
        <w:t>t</w:t>
      </w:r>
      <w:r w:rsidR="003D0118" w:rsidRPr="0026075C">
        <w:rPr>
          <w:color w:val="000000"/>
          <w:highlight w:val="yellow"/>
        </w:rPr>
        <w:t xml:space="preserve">echnical assistance </w:t>
      </w:r>
      <w:r w:rsidR="00262C81">
        <w:rPr>
          <w:color w:val="000000"/>
          <w:highlight w:val="yellow"/>
        </w:rPr>
        <w:t xml:space="preserve">to aid investigators </w:t>
      </w:r>
      <w:r w:rsidR="0026075C">
        <w:rPr>
          <w:color w:val="000000"/>
          <w:highlight w:val="yellow"/>
        </w:rPr>
        <w:t xml:space="preserve">with </w:t>
      </w:r>
      <w:r w:rsidR="0026075C" w:rsidRPr="0026075C">
        <w:rPr>
          <w:color w:val="000000"/>
          <w:highlight w:val="yellow"/>
        </w:rPr>
        <w:t>developing</w:t>
      </w:r>
      <w:r w:rsidR="003D0118" w:rsidRPr="0026075C">
        <w:rPr>
          <w:color w:val="000000"/>
          <w:highlight w:val="yellow"/>
        </w:rPr>
        <w:t xml:space="preserve"> a recruitment plan is available from NIMH Program Officers.  </w:t>
      </w:r>
      <w:r w:rsidR="003D0118">
        <w:rPr>
          <w:color w:val="000000"/>
        </w:rPr>
        <w:t xml:space="preserve"> </w:t>
      </w:r>
    </w:p>
    <w:p w14:paraId="5D6679E1" w14:textId="77777777" w:rsidR="00AE0BDA" w:rsidRPr="00D61E21" w:rsidRDefault="00AE0BDA" w:rsidP="00AE0BDA">
      <w:pPr>
        <w:pStyle w:val="Heading2"/>
        <w:spacing w:after="0" w:line="360" w:lineRule="auto"/>
        <w:ind w:left="720" w:hanging="720"/>
        <w:rPr>
          <w:sz w:val="24"/>
          <w:szCs w:val="24"/>
        </w:rPr>
      </w:pPr>
      <w:r>
        <w:rPr>
          <w:sz w:val="24"/>
          <w:szCs w:val="24"/>
        </w:rPr>
        <w:t>A.8.2</w:t>
      </w:r>
      <w:r>
        <w:rPr>
          <w:sz w:val="24"/>
          <w:szCs w:val="24"/>
        </w:rPr>
        <w:tab/>
      </w:r>
      <w:r w:rsidRPr="00D61E21">
        <w:rPr>
          <w:sz w:val="24"/>
          <w:szCs w:val="24"/>
        </w:rPr>
        <w:t>Efforts to Consult Outside Agency</w:t>
      </w:r>
    </w:p>
    <w:p w14:paraId="3F5E9F14" w14:textId="77777777" w:rsidR="00AF08A7" w:rsidRDefault="00AE0BDA" w:rsidP="00747B70">
      <w:pPr>
        <w:spacing w:line="480" w:lineRule="auto"/>
      </w:pPr>
      <w:r>
        <w:t>Revisions to the RMR</w:t>
      </w:r>
      <w:r w:rsidR="008D1371">
        <w:t xml:space="preserve"> system</w:t>
      </w:r>
      <w:r>
        <w:t xml:space="preserve"> were an internal NIMH policy change;</w:t>
      </w:r>
      <w:r w:rsidR="008E03B8">
        <w:t xml:space="preserve"> therefore, there was no consultation</w:t>
      </w:r>
      <w:r w:rsidR="004C1CA8">
        <w:t xml:space="preserve"> with an outside agency</w:t>
      </w:r>
      <w:r w:rsidR="008E03B8">
        <w:t xml:space="preserve">. </w:t>
      </w:r>
    </w:p>
    <w:p w14:paraId="2C09A326" w14:textId="77777777" w:rsidR="0005035B" w:rsidRPr="00EF2EA6" w:rsidRDefault="0005035B" w:rsidP="0005035B">
      <w:pPr>
        <w:pStyle w:val="Heading2"/>
        <w:spacing w:after="0" w:line="480" w:lineRule="auto"/>
        <w:ind w:left="720" w:hanging="720"/>
        <w:rPr>
          <w:sz w:val="24"/>
          <w:szCs w:val="24"/>
        </w:rPr>
      </w:pPr>
      <w:bookmarkStart w:id="28" w:name="_Toc443881750"/>
      <w:bookmarkStart w:id="29" w:name="_Toc451592239"/>
      <w:bookmarkStart w:id="30" w:name="_Toc5610280"/>
      <w:bookmarkStart w:id="31" w:name="_Toc99178786"/>
      <w:r>
        <w:rPr>
          <w:sz w:val="24"/>
          <w:szCs w:val="24"/>
        </w:rPr>
        <w:t>A.9</w:t>
      </w:r>
      <w:r w:rsidRPr="00EF2EA6">
        <w:rPr>
          <w:sz w:val="24"/>
          <w:szCs w:val="24"/>
        </w:rPr>
        <w:tab/>
        <w:t>Explanation of Any Payment of Gift to Respondents</w:t>
      </w:r>
      <w:bookmarkEnd w:id="28"/>
      <w:bookmarkEnd w:id="29"/>
      <w:bookmarkEnd w:id="30"/>
      <w:bookmarkEnd w:id="31"/>
    </w:p>
    <w:p w14:paraId="08C4BD54" w14:textId="77777777" w:rsidR="0005035B" w:rsidRPr="00EF2EA6" w:rsidRDefault="002B228F" w:rsidP="00253C78">
      <w:r w:rsidRPr="00EF2EA6">
        <w:t>No payment or gifts will be made to respondents.</w:t>
      </w:r>
    </w:p>
    <w:p w14:paraId="7E9FEECB" w14:textId="77777777" w:rsidR="0005035B" w:rsidRDefault="0005035B" w:rsidP="00253C78">
      <w:pPr>
        <w:rPr>
          <w:color w:val="FF0000"/>
          <w:sz w:val="32"/>
          <w:szCs w:val="32"/>
        </w:rPr>
      </w:pPr>
    </w:p>
    <w:p w14:paraId="5898D330" w14:textId="77777777" w:rsidR="0005035B" w:rsidRPr="00D61E21" w:rsidRDefault="0005035B" w:rsidP="0005035B">
      <w:pPr>
        <w:pStyle w:val="Heading2"/>
        <w:spacing w:after="0" w:line="480" w:lineRule="auto"/>
        <w:ind w:left="720" w:hanging="720"/>
        <w:rPr>
          <w:sz w:val="24"/>
          <w:szCs w:val="24"/>
        </w:rPr>
      </w:pPr>
      <w:bookmarkStart w:id="32" w:name="_Toc443881751"/>
      <w:bookmarkStart w:id="33" w:name="_Toc451592240"/>
      <w:bookmarkStart w:id="34" w:name="_Toc5610281"/>
      <w:bookmarkStart w:id="35" w:name="_Toc99178787"/>
      <w:r>
        <w:rPr>
          <w:sz w:val="24"/>
          <w:szCs w:val="24"/>
        </w:rPr>
        <w:t>A.10</w:t>
      </w:r>
      <w:r w:rsidR="00253792">
        <w:rPr>
          <w:sz w:val="24"/>
          <w:szCs w:val="24"/>
        </w:rPr>
        <w:tab/>
      </w:r>
      <w:r w:rsidRPr="00D61E21">
        <w:rPr>
          <w:sz w:val="24"/>
          <w:szCs w:val="24"/>
        </w:rPr>
        <w:t>Assurance of Confidentiality Provided to Respondents</w:t>
      </w:r>
      <w:bookmarkEnd w:id="32"/>
      <w:bookmarkEnd w:id="33"/>
      <w:bookmarkEnd w:id="34"/>
      <w:bookmarkEnd w:id="35"/>
    </w:p>
    <w:p w14:paraId="79EAB26C" w14:textId="77777777" w:rsidR="008E03B8" w:rsidRDefault="008E03B8" w:rsidP="008E03B8">
      <w:pPr>
        <w:spacing w:line="480" w:lineRule="auto"/>
      </w:pPr>
      <w:r>
        <w:t>The legal authority to collect this information is granted under 42 U.S.C Sections 232, 281 and 285 of the Public Health Service Act</w:t>
      </w:r>
      <w:r w:rsidRPr="0080440D">
        <w:rPr>
          <w:sz w:val="22"/>
          <w:szCs w:val="22"/>
        </w:rPr>
        <w:t xml:space="preserve">.  </w:t>
      </w:r>
      <w:r>
        <w:t xml:space="preserve">These records will be maintained in accordance with the Privacy Act System of Record Notice 09-25-0036, </w:t>
      </w:r>
      <w:r w:rsidRPr="002E703B">
        <w:rPr>
          <w:color w:val="000000"/>
        </w:rPr>
        <w:t>(</w:t>
      </w:r>
      <w:hyperlink r:id="rId12" w:history="1">
        <w:r>
          <w:rPr>
            <w:rStyle w:val="Hyperlink"/>
          </w:rPr>
          <w:t>http://oma.od.nih.gov/public/ms/privacy/pafiles/0036.htm</w:t>
        </w:r>
      </w:hyperlink>
      <w:r w:rsidRPr="002E703B">
        <w:rPr>
          <w:color w:val="000000"/>
        </w:rPr>
        <w:t>) covering “</w:t>
      </w:r>
      <w:r w:rsidRPr="00A34441">
        <w:rPr>
          <w:color w:val="000000"/>
        </w:rPr>
        <w:t xml:space="preserve">Extramural Awards and Chartered Advisory Committees (IMPAC 2), Contract Information (DCIS), and Cooperative </w:t>
      </w:r>
      <w:r w:rsidRPr="00A34441">
        <w:rPr>
          <w:color w:val="000000"/>
        </w:rPr>
        <w:lastRenderedPageBreak/>
        <w:t>Agr</w:t>
      </w:r>
      <w:r>
        <w:rPr>
          <w:color w:val="000000"/>
        </w:rPr>
        <w:t>eement Information, HHS/NIH</w:t>
      </w:r>
      <w:r w:rsidRPr="002E703B">
        <w:rPr>
          <w:color w:val="000000"/>
        </w:rPr>
        <w:t xml:space="preserve">.” </w:t>
      </w:r>
      <w:r>
        <w:rPr>
          <w:color w:val="000000"/>
        </w:rPr>
        <w:t>The NIH System of Record Notice was previously published in the Federal register on September 26, 2002, Volume 67, No 187, page 60742.</w:t>
      </w:r>
      <w:r>
        <w:t xml:space="preserve"> </w:t>
      </w:r>
    </w:p>
    <w:p w14:paraId="3BCBDF35" w14:textId="77777777" w:rsidR="0005035B" w:rsidRPr="00D61E21" w:rsidRDefault="0005035B" w:rsidP="001C142B">
      <w:pPr>
        <w:pStyle w:val="Heading2"/>
        <w:spacing w:after="0" w:line="480" w:lineRule="auto"/>
        <w:ind w:left="0" w:firstLine="0"/>
        <w:rPr>
          <w:sz w:val="24"/>
          <w:szCs w:val="24"/>
        </w:rPr>
      </w:pPr>
      <w:bookmarkStart w:id="36" w:name="_Toc443881752"/>
      <w:bookmarkStart w:id="37" w:name="_Toc451592241"/>
      <w:bookmarkStart w:id="38" w:name="_Toc5610282"/>
      <w:bookmarkStart w:id="39" w:name="_Toc99178788"/>
      <w:r>
        <w:rPr>
          <w:sz w:val="24"/>
          <w:szCs w:val="24"/>
        </w:rPr>
        <w:t>A.11</w:t>
      </w:r>
      <w:r w:rsidR="00ED0823">
        <w:rPr>
          <w:sz w:val="24"/>
          <w:szCs w:val="24"/>
        </w:rPr>
        <w:t xml:space="preserve">     </w:t>
      </w:r>
      <w:r w:rsidRPr="00D61E21">
        <w:rPr>
          <w:sz w:val="24"/>
          <w:szCs w:val="24"/>
        </w:rPr>
        <w:t>Justification for Sensitive Questions</w:t>
      </w:r>
      <w:bookmarkEnd w:id="36"/>
      <w:bookmarkEnd w:id="37"/>
      <w:bookmarkEnd w:id="38"/>
      <w:bookmarkEnd w:id="39"/>
    </w:p>
    <w:p w14:paraId="173EC567" w14:textId="77777777" w:rsidR="009A5F6B" w:rsidRDefault="002B228F" w:rsidP="00747B70">
      <w:pPr>
        <w:spacing w:line="480" w:lineRule="auto"/>
      </w:pPr>
      <w:r>
        <w:t xml:space="preserve">No sensitive questions will be asked and no </w:t>
      </w:r>
      <w:r w:rsidR="009A5F6B">
        <w:t>Personally Identifiable Information (PII) will be collected.</w:t>
      </w:r>
    </w:p>
    <w:p w14:paraId="5E27CF64" w14:textId="77777777" w:rsidR="004E0025" w:rsidRDefault="007C16BD" w:rsidP="004E0025">
      <w:pPr>
        <w:pStyle w:val="Heading2"/>
        <w:tabs>
          <w:tab w:val="clear" w:pos="1152"/>
          <w:tab w:val="left" w:pos="450"/>
        </w:tabs>
        <w:spacing w:after="0" w:line="480" w:lineRule="auto"/>
        <w:ind w:left="720" w:hanging="720"/>
        <w:jc w:val="left"/>
        <w:rPr>
          <w:sz w:val="24"/>
          <w:szCs w:val="24"/>
        </w:rPr>
      </w:pPr>
      <w:r>
        <w:rPr>
          <w:sz w:val="24"/>
          <w:szCs w:val="24"/>
        </w:rPr>
        <w:t>A.12</w:t>
      </w:r>
      <w:r w:rsidR="007B5C21">
        <w:rPr>
          <w:sz w:val="24"/>
          <w:szCs w:val="24"/>
        </w:rPr>
        <w:t>.1</w:t>
      </w:r>
      <w:r w:rsidR="00253792">
        <w:rPr>
          <w:sz w:val="24"/>
          <w:szCs w:val="24"/>
        </w:rPr>
        <w:tab/>
      </w:r>
      <w:r w:rsidRPr="00D61E21">
        <w:rPr>
          <w:sz w:val="24"/>
          <w:szCs w:val="24"/>
        </w:rPr>
        <w:t xml:space="preserve">Estimates of </w:t>
      </w:r>
      <w:r w:rsidR="007B5C21">
        <w:rPr>
          <w:sz w:val="24"/>
          <w:szCs w:val="24"/>
        </w:rPr>
        <w:t xml:space="preserve">Annualized </w:t>
      </w:r>
      <w:r w:rsidRPr="00D61E21">
        <w:rPr>
          <w:sz w:val="24"/>
          <w:szCs w:val="24"/>
        </w:rPr>
        <w:t xml:space="preserve">Burden </w:t>
      </w:r>
      <w:r w:rsidR="007B5C21">
        <w:rPr>
          <w:sz w:val="24"/>
          <w:szCs w:val="24"/>
        </w:rPr>
        <w:t>Hours</w:t>
      </w:r>
    </w:p>
    <w:p w14:paraId="4EA6FF1C" w14:textId="1796F6B1" w:rsidR="003229E0" w:rsidRPr="003229E0" w:rsidRDefault="003229E0" w:rsidP="003229E0">
      <w:pPr>
        <w:pStyle w:val="P1-StandPara"/>
      </w:pPr>
      <w:r w:rsidRPr="005702C0">
        <w:rPr>
          <w:highlight w:val="yellow"/>
        </w:rPr>
        <w:t>There is a slight decrease in the total annual burden hours for this revision request</w:t>
      </w:r>
      <w:r w:rsidR="005702C0">
        <w:rPr>
          <w:highlight w:val="yellow"/>
        </w:rPr>
        <w:t xml:space="preserve"> due </w:t>
      </w:r>
      <w:r w:rsidRPr="005702C0">
        <w:rPr>
          <w:highlight w:val="yellow"/>
        </w:rPr>
        <w:t xml:space="preserve">to a </w:t>
      </w:r>
      <w:r w:rsidR="005702C0" w:rsidRPr="005702C0">
        <w:rPr>
          <w:highlight w:val="yellow"/>
        </w:rPr>
        <w:t>typographical error</w:t>
      </w:r>
      <w:r w:rsidRPr="005702C0">
        <w:rPr>
          <w:highlight w:val="yellow"/>
        </w:rPr>
        <w:t xml:space="preserve"> on the </w:t>
      </w:r>
      <w:r w:rsidR="005702C0">
        <w:rPr>
          <w:highlight w:val="yellow"/>
        </w:rPr>
        <w:t xml:space="preserve">burden table </w:t>
      </w:r>
      <w:r w:rsidR="007E3B03">
        <w:rPr>
          <w:highlight w:val="yellow"/>
        </w:rPr>
        <w:t xml:space="preserve">in </w:t>
      </w:r>
      <w:r w:rsidRPr="005702C0">
        <w:rPr>
          <w:highlight w:val="yellow"/>
        </w:rPr>
        <w:t>the initial RMR application filed in 2014 (which lists 75/60 as the average burden per response</w:t>
      </w:r>
      <w:r w:rsidR="005702C0" w:rsidRPr="005702C0">
        <w:rPr>
          <w:highlight w:val="yellow"/>
        </w:rPr>
        <w:t xml:space="preserve">, intended to mean </w:t>
      </w:r>
      <w:r w:rsidR="008036F3">
        <w:rPr>
          <w:highlight w:val="yellow"/>
        </w:rPr>
        <w:t>75% o</w:t>
      </w:r>
      <w:r w:rsidR="005702C0" w:rsidRPr="005702C0">
        <w:rPr>
          <w:highlight w:val="yellow"/>
        </w:rPr>
        <w:t>f 1 hour</w:t>
      </w:r>
      <w:r w:rsidRPr="005702C0">
        <w:rPr>
          <w:highlight w:val="yellow"/>
        </w:rPr>
        <w:t>). T</w:t>
      </w:r>
      <w:r w:rsidR="005702C0" w:rsidRPr="005702C0">
        <w:rPr>
          <w:highlight w:val="yellow"/>
        </w:rPr>
        <w:t xml:space="preserve">he average burden </w:t>
      </w:r>
      <w:r w:rsidR="005702C0">
        <w:rPr>
          <w:highlight w:val="yellow"/>
        </w:rPr>
        <w:t>per response is 4</w:t>
      </w:r>
      <w:bookmarkStart w:id="40" w:name="_GoBack"/>
      <w:bookmarkEnd w:id="40"/>
      <w:r w:rsidRPr="005702C0">
        <w:rPr>
          <w:highlight w:val="yellow"/>
        </w:rPr>
        <w:t>5 minutes</w:t>
      </w:r>
      <w:r w:rsidR="005702C0" w:rsidRPr="005702C0">
        <w:rPr>
          <w:highlight w:val="yellow"/>
        </w:rPr>
        <w:t>.</w:t>
      </w:r>
      <w:r>
        <w:t xml:space="preserve"> </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456"/>
        <w:gridCol w:w="1718"/>
        <w:gridCol w:w="1619"/>
        <w:gridCol w:w="1527"/>
        <w:gridCol w:w="2122"/>
      </w:tblGrid>
      <w:tr w:rsidR="009C765C" w:rsidRPr="005D5794" w14:paraId="5FD41013" w14:textId="77777777" w:rsidTr="009C765C">
        <w:tc>
          <w:tcPr>
            <w:tcW w:w="10530" w:type="dxa"/>
            <w:gridSpan w:val="6"/>
            <w:vAlign w:val="center"/>
          </w:tcPr>
          <w:p w14:paraId="384C1A67" w14:textId="77777777" w:rsidR="009C765C" w:rsidRDefault="009C765C" w:rsidP="009C765C">
            <w:pPr>
              <w:ind w:left="720"/>
              <w:jc w:val="center"/>
              <w:rPr>
                <w:b/>
              </w:rPr>
            </w:pPr>
          </w:p>
          <w:p w14:paraId="5A9DAA8C" w14:textId="77777777" w:rsidR="009C765C" w:rsidRPr="009C765C" w:rsidRDefault="009C765C" w:rsidP="009C765C">
            <w:pPr>
              <w:ind w:left="720"/>
              <w:jc w:val="center"/>
            </w:pPr>
            <w:r w:rsidRPr="009C765C">
              <w:t>Estimated Annualized Burden Hours</w:t>
            </w:r>
          </w:p>
          <w:p w14:paraId="6DA4A17C" w14:textId="77777777" w:rsidR="009C765C" w:rsidRPr="00303F3C" w:rsidRDefault="009C765C" w:rsidP="009C765C">
            <w:pPr>
              <w:ind w:left="720"/>
              <w:jc w:val="center"/>
              <w:rPr>
                <w:b/>
              </w:rPr>
            </w:pPr>
          </w:p>
        </w:tc>
      </w:tr>
      <w:tr w:rsidR="009C765C" w:rsidRPr="009C765C" w14:paraId="0730D5E4" w14:textId="77777777" w:rsidTr="00253792">
        <w:tc>
          <w:tcPr>
            <w:tcW w:w="2088" w:type="dxa"/>
          </w:tcPr>
          <w:p w14:paraId="657996AC" w14:textId="77777777" w:rsidR="009C765C" w:rsidRPr="009C765C" w:rsidRDefault="009C765C" w:rsidP="00CC21AD">
            <w:pPr>
              <w:jc w:val="center"/>
            </w:pPr>
            <w:r w:rsidRPr="009C765C">
              <w:t>Form Name</w:t>
            </w:r>
          </w:p>
        </w:tc>
        <w:tc>
          <w:tcPr>
            <w:tcW w:w="1456" w:type="dxa"/>
          </w:tcPr>
          <w:p w14:paraId="0496224C" w14:textId="77777777" w:rsidR="009C765C" w:rsidRPr="009C765C" w:rsidRDefault="009C765C" w:rsidP="00CC21AD">
            <w:pPr>
              <w:jc w:val="center"/>
            </w:pPr>
            <w:r w:rsidRPr="009C765C">
              <w:t>Type of Respondent</w:t>
            </w:r>
          </w:p>
        </w:tc>
        <w:tc>
          <w:tcPr>
            <w:tcW w:w="1718" w:type="dxa"/>
          </w:tcPr>
          <w:p w14:paraId="0EAE80F9" w14:textId="77777777" w:rsidR="009C765C" w:rsidRPr="009C765C" w:rsidRDefault="009C765C" w:rsidP="00CC21AD">
            <w:pPr>
              <w:jc w:val="center"/>
            </w:pPr>
            <w:r w:rsidRPr="009C765C">
              <w:t>Number of Respondents</w:t>
            </w:r>
          </w:p>
        </w:tc>
        <w:tc>
          <w:tcPr>
            <w:tcW w:w="1619" w:type="dxa"/>
          </w:tcPr>
          <w:p w14:paraId="57968F3F" w14:textId="77777777" w:rsidR="009C765C" w:rsidRPr="009C765C" w:rsidRDefault="009C765C" w:rsidP="00CC21AD">
            <w:pPr>
              <w:jc w:val="center"/>
            </w:pPr>
            <w:r w:rsidRPr="009C765C">
              <w:t>Number of Responses per Respondent</w:t>
            </w:r>
          </w:p>
        </w:tc>
        <w:tc>
          <w:tcPr>
            <w:tcW w:w="1527" w:type="dxa"/>
          </w:tcPr>
          <w:p w14:paraId="460245F8" w14:textId="77777777" w:rsidR="009C765C" w:rsidRPr="009C765C" w:rsidRDefault="009C765C" w:rsidP="00CC21AD">
            <w:pPr>
              <w:jc w:val="center"/>
            </w:pPr>
            <w:r w:rsidRPr="009C765C">
              <w:t>Average burden per response (in hours)</w:t>
            </w:r>
          </w:p>
        </w:tc>
        <w:tc>
          <w:tcPr>
            <w:tcW w:w="2122" w:type="dxa"/>
          </w:tcPr>
          <w:p w14:paraId="60430C04" w14:textId="77777777" w:rsidR="009C765C" w:rsidRPr="009C765C" w:rsidRDefault="009C765C" w:rsidP="00CC21AD">
            <w:pPr>
              <w:jc w:val="center"/>
            </w:pPr>
            <w:r w:rsidRPr="009C765C">
              <w:t>Total Annual Burden Hours</w:t>
            </w:r>
          </w:p>
        </w:tc>
      </w:tr>
      <w:tr w:rsidR="009C765C" w:rsidRPr="005D5794" w14:paraId="7D6DA7A9" w14:textId="77777777" w:rsidTr="00253792">
        <w:tc>
          <w:tcPr>
            <w:tcW w:w="2088" w:type="dxa"/>
          </w:tcPr>
          <w:p w14:paraId="778A3689" w14:textId="77777777" w:rsidR="009C765C" w:rsidRPr="009C765C" w:rsidRDefault="009C765C" w:rsidP="000160AA">
            <w:r>
              <w:t xml:space="preserve">Tri-yearly </w:t>
            </w:r>
            <w:r w:rsidRPr="009C765C">
              <w:t>NIMH Recruitment Milestone Reporting (RMR)</w:t>
            </w:r>
          </w:p>
        </w:tc>
        <w:tc>
          <w:tcPr>
            <w:tcW w:w="1456" w:type="dxa"/>
          </w:tcPr>
          <w:p w14:paraId="0C5B1424" w14:textId="77777777" w:rsidR="009C765C" w:rsidRPr="009C765C" w:rsidRDefault="009C765C" w:rsidP="009C765C">
            <w:pPr>
              <w:jc w:val="center"/>
            </w:pPr>
            <w:r>
              <w:t xml:space="preserve">NIMH Principal Investigators </w:t>
            </w:r>
          </w:p>
        </w:tc>
        <w:tc>
          <w:tcPr>
            <w:tcW w:w="1718" w:type="dxa"/>
          </w:tcPr>
          <w:p w14:paraId="1D2071FC" w14:textId="77777777" w:rsidR="009C765C" w:rsidRPr="009C765C" w:rsidRDefault="009C765C" w:rsidP="00391DF5">
            <w:pPr>
              <w:jc w:val="center"/>
            </w:pPr>
            <w:r w:rsidRPr="009C765C">
              <w:t>900</w:t>
            </w:r>
          </w:p>
        </w:tc>
        <w:tc>
          <w:tcPr>
            <w:tcW w:w="1619" w:type="dxa"/>
          </w:tcPr>
          <w:p w14:paraId="00C1A046" w14:textId="77777777" w:rsidR="009C765C" w:rsidRPr="009C765C" w:rsidRDefault="009C765C" w:rsidP="00391DF5">
            <w:pPr>
              <w:jc w:val="center"/>
            </w:pPr>
            <w:r w:rsidRPr="009C765C">
              <w:t>3</w:t>
            </w:r>
          </w:p>
        </w:tc>
        <w:tc>
          <w:tcPr>
            <w:tcW w:w="1527" w:type="dxa"/>
          </w:tcPr>
          <w:p w14:paraId="1F2E5B19" w14:textId="77777777" w:rsidR="009C765C" w:rsidRPr="009C765C" w:rsidRDefault="009C765C" w:rsidP="00391DF5">
            <w:pPr>
              <w:jc w:val="center"/>
            </w:pPr>
            <w:r w:rsidRPr="009C765C">
              <w:t>45/60</w:t>
            </w:r>
          </w:p>
        </w:tc>
        <w:tc>
          <w:tcPr>
            <w:tcW w:w="2122" w:type="dxa"/>
          </w:tcPr>
          <w:p w14:paraId="5069945E" w14:textId="77777777" w:rsidR="009C765C" w:rsidRPr="009C765C" w:rsidRDefault="009C765C" w:rsidP="00391DF5">
            <w:pPr>
              <w:jc w:val="center"/>
            </w:pPr>
            <w:r w:rsidRPr="009C765C">
              <w:t>2025</w:t>
            </w:r>
          </w:p>
        </w:tc>
      </w:tr>
      <w:tr w:rsidR="009C765C" w:rsidRPr="005D5794" w14:paraId="4A939DC1" w14:textId="77777777" w:rsidTr="00253792">
        <w:tc>
          <w:tcPr>
            <w:tcW w:w="2088" w:type="dxa"/>
          </w:tcPr>
          <w:p w14:paraId="72C5E7E4" w14:textId="77777777" w:rsidR="009C765C" w:rsidRPr="009C765C" w:rsidRDefault="009C765C" w:rsidP="000160AA">
            <w:r>
              <w:t xml:space="preserve">Monthly </w:t>
            </w:r>
            <w:r w:rsidRPr="009C765C">
              <w:t xml:space="preserve">NIMH Recruitment Milestone Reporting (RMR) </w:t>
            </w:r>
          </w:p>
        </w:tc>
        <w:tc>
          <w:tcPr>
            <w:tcW w:w="1456" w:type="dxa"/>
          </w:tcPr>
          <w:p w14:paraId="2D5E0C71" w14:textId="77777777" w:rsidR="009C765C" w:rsidRPr="009C765C" w:rsidRDefault="009C765C" w:rsidP="009C765C">
            <w:pPr>
              <w:jc w:val="center"/>
            </w:pPr>
            <w:r>
              <w:t>NIMH Principal Investigators</w:t>
            </w:r>
          </w:p>
        </w:tc>
        <w:tc>
          <w:tcPr>
            <w:tcW w:w="1718" w:type="dxa"/>
          </w:tcPr>
          <w:p w14:paraId="0C101336" w14:textId="77777777" w:rsidR="009C765C" w:rsidRPr="009C765C" w:rsidRDefault="009C765C" w:rsidP="00391DF5">
            <w:pPr>
              <w:jc w:val="center"/>
            </w:pPr>
            <w:r w:rsidRPr="009C765C">
              <w:t>4</w:t>
            </w:r>
            <w:r w:rsidR="00F11451">
              <w:t>0</w:t>
            </w:r>
          </w:p>
        </w:tc>
        <w:tc>
          <w:tcPr>
            <w:tcW w:w="1619" w:type="dxa"/>
          </w:tcPr>
          <w:p w14:paraId="5FBDAF05" w14:textId="77777777" w:rsidR="009C765C" w:rsidRPr="009C765C" w:rsidRDefault="009C765C" w:rsidP="00391DF5">
            <w:pPr>
              <w:jc w:val="center"/>
            </w:pPr>
            <w:r w:rsidRPr="009C765C">
              <w:t>9</w:t>
            </w:r>
          </w:p>
        </w:tc>
        <w:tc>
          <w:tcPr>
            <w:tcW w:w="1527" w:type="dxa"/>
          </w:tcPr>
          <w:p w14:paraId="0AF039B2" w14:textId="77777777" w:rsidR="009C765C" w:rsidRPr="009C765C" w:rsidRDefault="009C765C" w:rsidP="00391DF5">
            <w:pPr>
              <w:jc w:val="center"/>
            </w:pPr>
            <w:r w:rsidRPr="009C765C">
              <w:t>45/60</w:t>
            </w:r>
          </w:p>
        </w:tc>
        <w:tc>
          <w:tcPr>
            <w:tcW w:w="2122" w:type="dxa"/>
          </w:tcPr>
          <w:p w14:paraId="3CE22433" w14:textId="77777777" w:rsidR="009C765C" w:rsidRPr="009C765C" w:rsidRDefault="007F36CC" w:rsidP="00391DF5">
            <w:pPr>
              <w:jc w:val="center"/>
            </w:pPr>
            <w:r>
              <w:t>270</w:t>
            </w:r>
          </w:p>
        </w:tc>
      </w:tr>
      <w:tr w:rsidR="009C765C" w:rsidRPr="005D5794" w14:paraId="5084DD6E" w14:textId="77777777" w:rsidTr="00253792">
        <w:tc>
          <w:tcPr>
            <w:tcW w:w="2088" w:type="dxa"/>
          </w:tcPr>
          <w:p w14:paraId="1C17DE2A" w14:textId="77777777" w:rsidR="009C765C" w:rsidRPr="00CC21AD" w:rsidRDefault="009C765C" w:rsidP="000160AA">
            <w:r w:rsidRPr="00CC21AD">
              <w:t xml:space="preserve">Total </w:t>
            </w:r>
          </w:p>
        </w:tc>
        <w:tc>
          <w:tcPr>
            <w:tcW w:w="1456" w:type="dxa"/>
          </w:tcPr>
          <w:p w14:paraId="5AB2BE0F" w14:textId="77777777" w:rsidR="009C765C" w:rsidRPr="00CC21AD" w:rsidRDefault="009C765C" w:rsidP="00391DF5">
            <w:pPr>
              <w:jc w:val="center"/>
            </w:pPr>
          </w:p>
        </w:tc>
        <w:tc>
          <w:tcPr>
            <w:tcW w:w="1718" w:type="dxa"/>
          </w:tcPr>
          <w:p w14:paraId="16322642" w14:textId="77777777" w:rsidR="009C765C" w:rsidRPr="00CC21AD" w:rsidRDefault="009C765C" w:rsidP="00391DF5">
            <w:pPr>
              <w:jc w:val="center"/>
            </w:pPr>
            <w:r w:rsidRPr="00CC21AD">
              <w:t>94</w:t>
            </w:r>
            <w:r w:rsidR="00F11451">
              <w:t>0</w:t>
            </w:r>
          </w:p>
        </w:tc>
        <w:tc>
          <w:tcPr>
            <w:tcW w:w="1619" w:type="dxa"/>
          </w:tcPr>
          <w:p w14:paraId="1CF27F88" w14:textId="77777777" w:rsidR="009C765C" w:rsidRPr="00CC21AD" w:rsidRDefault="00A25961" w:rsidP="00391DF5">
            <w:pPr>
              <w:jc w:val="center"/>
            </w:pPr>
            <w:r>
              <w:t>3,060</w:t>
            </w:r>
          </w:p>
        </w:tc>
        <w:tc>
          <w:tcPr>
            <w:tcW w:w="1527" w:type="dxa"/>
          </w:tcPr>
          <w:p w14:paraId="1E1337CF" w14:textId="77777777" w:rsidR="009C765C" w:rsidRPr="00CC21AD" w:rsidRDefault="00FB6B3D" w:rsidP="007F36CC">
            <w:pPr>
              <w:jc w:val="center"/>
            </w:pPr>
            <w:r>
              <w:t>45/60</w:t>
            </w:r>
          </w:p>
        </w:tc>
        <w:tc>
          <w:tcPr>
            <w:tcW w:w="2122" w:type="dxa"/>
          </w:tcPr>
          <w:p w14:paraId="6250CAE7" w14:textId="77777777" w:rsidR="009C765C" w:rsidRPr="00CC21AD" w:rsidRDefault="007F36CC" w:rsidP="00886CF6">
            <w:pPr>
              <w:jc w:val="center"/>
            </w:pPr>
            <w:r>
              <w:t>2295</w:t>
            </w:r>
          </w:p>
        </w:tc>
      </w:tr>
    </w:tbl>
    <w:p w14:paraId="142F92D0" w14:textId="77777777" w:rsidR="002261CA" w:rsidRDefault="002261CA" w:rsidP="00456066">
      <w:pPr>
        <w:pStyle w:val="Heading2"/>
        <w:tabs>
          <w:tab w:val="clear" w:pos="1152"/>
          <w:tab w:val="left" w:pos="720"/>
        </w:tabs>
        <w:spacing w:after="0" w:line="240" w:lineRule="auto"/>
        <w:ind w:left="0" w:firstLine="0"/>
        <w:rPr>
          <w:sz w:val="24"/>
          <w:szCs w:val="24"/>
        </w:rPr>
      </w:pPr>
      <w:bookmarkStart w:id="41" w:name="_Toc443881756"/>
      <w:bookmarkStart w:id="42" w:name="_Toc451592243"/>
      <w:bookmarkStart w:id="43" w:name="_Toc5610284"/>
      <w:bookmarkStart w:id="44" w:name="_Toc99178790"/>
    </w:p>
    <w:p w14:paraId="002004D7" w14:textId="77777777" w:rsidR="007B5C21" w:rsidRDefault="007B5C21" w:rsidP="007B5C21">
      <w:pPr>
        <w:pStyle w:val="P1-StandPara"/>
      </w:pPr>
    </w:p>
    <w:p w14:paraId="67666653" w14:textId="77777777" w:rsidR="007B5C21" w:rsidRDefault="007B5C21" w:rsidP="007B5C21">
      <w:pPr>
        <w:pStyle w:val="Heading2"/>
        <w:tabs>
          <w:tab w:val="clear" w:pos="1152"/>
          <w:tab w:val="left" w:pos="450"/>
        </w:tabs>
        <w:spacing w:after="0" w:line="480" w:lineRule="auto"/>
        <w:ind w:left="720" w:hanging="720"/>
        <w:jc w:val="left"/>
        <w:rPr>
          <w:sz w:val="24"/>
          <w:szCs w:val="24"/>
        </w:rPr>
      </w:pPr>
      <w:r>
        <w:rPr>
          <w:sz w:val="24"/>
          <w:szCs w:val="24"/>
        </w:rPr>
        <w:t>A.12</w:t>
      </w:r>
      <w:r w:rsidR="009C765C">
        <w:rPr>
          <w:sz w:val="24"/>
          <w:szCs w:val="24"/>
        </w:rPr>
        <w:t>.2</w:t>
      </w:r>
      <w:r w:rsidR="009C765C">
        <w:rPr>
          <w:sz w:val="24"/>
          <w:szCs w:val="24"/>
        </w:rPr>
        <w:tab/>
        <w:t>Annualized Cost to Respondents</w:t>
      </w:r>
    </w:p>
    <w:p w14:paraId="5E705D29" w14:textId="77777777" w:rsidR="009C765C" w:rsidRPr="001307A2" w:rsidRDefault="009C765C" w:rsidP="009C765C">
      <w:pPr>
        <w:spacing w:line="360" w:lineRule="auto"/>
        <w:rPr>
          <w:i/>
          <w:iCs/>
        </w:rPr>
      </w:pPr>
      <w:r w:rsidRPr="001307A2">
        <w:rPr>
          <w:highlight w:val="yellow"/>
        </w:rPr>
        <w:t xml:space="preserve">The </w:t>
      </w:r>
      <w:r w:rsidR="001307A2" w:rsidRPr="001307A2">
        <w:rPr>
          <w:highlight w:val="yellow"/>
        </w:rPr>
        <w:t>United States Department of Labor Bureau of Labor Statistics (May 2014) National Occupational Employment and Wages by Major Occupational Group is being referenced (</w:t>
      </w:r>
      <w:r w:rsidR="001307A2" w:rsidRPr="001307A2">
        <w:rPr>
          <w:i/>
          <w:highlight w:val="yellow"/>
        </w:rPr>
        <w:t>Life, Physical and Social Science Occupations</w:t>
      </w:r>
      <w:r w:rsidR="001307A2" w:rsidRPr="001307A2">
        <w:rPr>
          <w:highlight w:val="yellow"/>
        </w:rPr>
        <w:t>)</w:t>
      </w:r>
      <w:r w:rsidR="001307A2" w:rsidRPr="001307A2">
        <w:rPr>
          <w:i/>
          <w:iCs/>
          <w:highlight w:val="yellow"/>
        </w:rPr>
        <w:t xml:space="preserve"> – </w:t>
      </w:r>
      <w:r w:rsidR="001307A2" w:rsidRPr="001307A2">
        <w:rPr>
          <w:iCs/>
          <w:highlight w:val="yellow"/>
        </w:rPr>
        <w:t xml:space="preserve">see </w:t>
      </w:r>
      <w:hyperlink r:id="rId13" w:anchor="19-0000" w:history="1">
        <w:r w:rsidR="001307A2" w:rsidRPr="001307A2">
          <w:rPr>
            <w:rStyle w:val="Hyperlink"/>
            <w:iCs/>
            <w:highlight w:val="yellow"/>
          </w:rPr>
          <w:t>http://www.bls.gov/oes/current/oes_nat.htm#19-0000</w:t>
        </w:r>
      </w:hyperlink>
      <w:r w:rsidR="001307A2" w:rsidRPr="001307A2">
        <w:rPr>
          <w:i/>
          <w:iCs/>
          <w:highlight w:val="yellow"/>
        </w:rPr>
        <w:t>.</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763"/>
        <w:gridCol w:w="1479"/>
        <w:gridCol w:w="1590"/>
        <w:gridCol w:w="3580"/>
      </w:tblGrid>
      <w:tr w:rsidR="009C765C" w:rsidRPr="005D5794" w14:paraId="7EC98A74" w14:textId="77777777" w:rsidTr="009C765C">
        <w:tc>
          <w:tcPr>
            <w:tcW w:w="10530" w:type="dxa"/>
            <w:gridSpan w:val="5"/>
            <w:vAlign w:val="center"/>
          </w:tcPr>
          <w:p w14:paraId="17B2E269" w14:textId="77777777" w:rsidR="009C765C" w:rsidRPr="00CC21AD" w:rsidRDefault="009C765C" w:rsidP="009C765C">
            <w:pPr>
              <w:ind w:left="720"/>
              <w:jc w:val="center"/>
            </w:pPr>
          </w:p>
          <w:p w14:paraId="44A49AEE" w14:textId="77777777" w:rsidR="009C765C" w:rsidRDefault="009C765C" w:rsidP="009C765C">
            <w:pPr>
              <w:ind w:left="720"/>
              <w:jc w:val="center"/>
              <w:rPr>
                <w:b/>
              </w:rPr>
            </w:pPr>
            <w:r w:rsidRPr="00CC21AD">
              <w:t>Annualized Cost to the Respondents</w:t>
            </w:r>
          </w:p>
          <w:p w14:paraId="79D86C8E" w14:textId="77777777" w:rsidR="009C765C" w:rsidRPr="00303F3C" w:rsidRDefault="009C765C" w:rsidP="009C765C">
            <w:pPr>
              <w:ind w:left="720"/>
              <w:jc w:val="center"/>
              <w:rPr>
                <w:b/>
              </w:rPr>
            </w:pPr>
          </w:p>
        </w:tc>
      </w:tr>
      <w:tr w:rsidR="009C765C" w:rsidRPr="005D5794" w14:paraId="09618BF6" w14:textId="77777777" w:rsidTr="009C765C">
        <w:tc>
          <w:tcPr>
            <w:tcW w:w="2118" w:type="dxa"/>
          </w:tcPr>
          <w:p w14:paraId="14D1828C" w14:textId="77777777" w:rsidR="009C765C" w:rsidRPr="00CC21AD" w:rsidRDefault="009C765C" w:rsidP="00CC21AD">
            <w:pPr>
              <w:jc w:val="center"/>
            </w:pPr>
            <w:r w:rsidRPr="00CC21AD">
              <w:t>Type of Respondent</w:t>
            </w:r>
          </w:p>
        </w:tc>
        <w:tc>
          <w:tcPr>
            <w:tcW w:w="1763" w:type="dxa"/>
          </w:tcPr>
          <w:p w14:paraId="4489F8D2" w14:textId="77777777" w:rsidR="009C765C" w:rsidRPr="00CC21AD" w:rsidRDefault="009C765C" w:rsidP="00CC21AD">
            <w:pPr>
              <w:jc w:val="center"/>
            </w:pPr>
            <w:r w:rsidRPr="00CC21AD">
              <w:t>Number of Respondents</w:t>
            </w:r>
          </w:p>
        </w:tc>
        <w:tc>
          <w:tcPr>
            <w:tcW w:w="1479" w:type="dxa"/>
          </w:tcPr>
          <w:p w14:paraId="7C1B6076" w14:textId="77777777" w:rsidR="009C765C" w:rsidRPr="00CC21AD" w:rsidRDefault="009C765C" w:rsidP="00CC21AD">
            <w:pPr>
              <w:jc w:val="center"/>
            </w:pPr>
            <w:r w:rsidRPr="00CC21AD">
              <w:t>Average Burden per Response (in hours)</w:t>
            </w:r>
          </w:p>
        </w:tc>
        <w:tc>
          <w:tcPr>
            <w:tcW w:w="1590" w:type="dxa"/>
          </w:tcPr>
          <w:p w14:paraId="41507658" w14:textId="77777777" w:rsidR="009C765C" w:rsidRPr="00CC21AD" w:rsidRDefault="009C765C" w:rsidP="00CC21AD">
            <w:pPr>
              <w:jc w:val="center"/>
            </w:pPr>
            <w:r w:rsidRPr="00CC21AD">
              <w:t>Hourly Wage Rate*</w:t>
            </w:r>
          </w:p>
        </w:tc>
        <w:tc>
          <w:tcPr>
            <w:tcW w:w="3580" w:type="dxa"/>
          </w:tcPr>
          <w:p w14:paraId="46D8E1F7" w14:textId="77777777" w:rsidR="009C765C" w:rsidRPr="00CC21AD" w:rsidRDefault="009C765C" w:rsidP="00CC21AD">
            <w:pPr>
              <w:jc w:val="center"/>
            </w:pPr>
            <w:r w:rsidRPr="00CC21AD">
              <w:t>Respondent Cost</w:t>
            </w:r>
          </w:p>
        </w:tc>
      </w:tr>
      <w:tr w:rsidR="009C765C" w:rsidRPr="005D5794" w14:paraId="3743D7BD" w14:textId="77777777" w:rsidTr="00886CF6">
        <w:tc>
          <w:tcPr>
            <w:tcW w:w="2118" w:type="dxa"/>
          </w:tcPr>
          <w:p w14:paraId="7E431DED" w14:textId="77777777" w:rsidR="009C765C" w:rsidRPr="005D5794" w:rsidRDefault="009C765C" w:rsidP="009C765C">
            <w:r>
              <w:t>NIMH Principal Investigators</w:t>
            </w:r>
          </w:p>
        </w:tc>
        <w:tc>
          <w:tcPr>
            <w:tcW w:w="1763" w:type="dxa"/>
            <w:vAlign w:val="center"/>
          </w:tcPr>
          <w:p w14:paraId="6FE00AD3" w14:textId="77777777" w:rsidR="009C765C" w:rsidRPr="005D5794" w:rsidRDefault="009C765C" w:rsidP="00886CF6">
            <w:pPr>
              <w:jc w:val="center"/>
            </w:pPr>
            <w:r>
              <w:t>94</w:t>
            </w:r>
            <w:r w:rsidR="007F36CC">
              <w:t>0</w:t>
            </w:r>
          </w:p>
        </w:tc>
        <w:tc>
          <w:tcPr>
            <w:tcW w:w="1479" w:type="dxa"/>
            <w:vAlign w:val="center"/>
          </w:tcPr>
          <w:p w14:paraId="010C38EB" w14:textId="77777777" w:rsidR="009C765C" w:rsidRDefault="009C765C" w:rsidP="00886CF6">
            <w:pPr>
              <w:jc w:val="center"/>
            </w:pPr>
            <w:r>
              <w:t>45/60</w:t>
            </w:r>
          </w:p>
        </w:tc>
        <w:tc>
          <w:tcPr>
            <w:tcW w:w="1590" w:type="dxa"/>
            <w:vAlign w:val="center"/>
          </w:tcPr>
          <w:p w14:paraId="4CF03103" w14:textId="77777777" w:rsidR="009C765C" w:rsidRPr="005D5794" w:rsidRDefault="009C765C" w:rsidP="00886CF6">
            <w:pPr>
              <w:jc w:val="center"/>
            </w:pPr>
            <w:r>
              <w:t>$</w:t>
            </w:r>
            <w:r w:rsidR="00FB6B3D">
              <w:t>33.69</w:t>
            </w:r>
          </w:p>
        </w:tc>
        <w:tc>
          <w:tcPr>
            <w:tcW w:w="3580" w:type="dxa"/>
            <w:vAlign w:val="center"/>
          </w:tcPr>
          <w:p w14:paraId="35952F49" w14:textId="77777777" w:rsidR="009C765C" w:rsidRPr="005D5794" w:rsidRDefault="009C765C" w:rsidP="00FB6B3D">
            <w:pPr>
              <w:jc w:val="center"/>
            </w:pPr>
            <w:r>
              <w:t>$</w:t>
            </w:r>
            <w:r w:rsidR="00FB6B3D">
              <w:t>23,751</w:t>
            </w:r>
          </w:p>
        </w:tc>
      </w:tr>
    </w:tbl>
    <w:p w14:paraId="40B84DCB" w14:textId="77777777" w:rsidR="007B5C21" w:rsidRPr="007C16BD" w:rsidRDefault="007B5C21" w:rsidP="007B5C21">
      <w:pPr>
        <w:rPr>
          <w:smallCaps/>
          <w:color w:val="FF0000"/>
        </w:rPr>
      </w:pPr>
    </w:p>
    <w:p w14:paraId="798D404E" w14:textId="77777777" w:rsidR="007B5C21" w:rsidRPr="007B5C21" w:rsidRDefault="007B5C21" w:rsidP="007B5C21">
      <w:pPr>
        <w:pStyle w:val="P1-StandPara"/>
      </w:pPr>
    </w:p>
    <w:p w14:paraId="3AE8EF31" w14:textId="77777777" w:rsidR="002261CA" w:rsidRDefault="0093431F" w:rsidP="00456066">
      <w:pPr>
        <w:pStyle w:val="Heading2"/>
        <w:tabs>
          <w:tab w:val="clear" w:pos="1152"/>
          <w:tab w:val="left" w:pos="720"/>
        </w:tabs>
        <w:spacing w:after="0" w:line="240" w:lineRule="auto"/>
        <w:ind w:left="0" w:firstLine="0"/>
        <w:rPr>
          <w:b w:val="0"/>
        </w:rPr>
      </w:pPr>
      <w:r>
        <w:rPr>
          <w:sz w:val="24"/>
          <w:szCs w:val="24"/>
        </w:rPr>
        <w:t>A.13</w:t>
      </w:r>
      <w:r w:rsidRPr="00D61E21">
        <w:rPr>
          <w:sz w:val="24"/>
          <w:szCs w:val="24"/>
        </w:rPr>
        <w:tab/>
        <w:t>Estimate of Other Total Annual Cost</w:t>
      </w:r>
      <w:r w:rsidR="00BC4E67">
        <w:rPr>
          <w:sz w:val="24"/>
          <w:szCs w:val="24"/>
        </w:rPr>
        <w:t xml:space="preserve"> Burden to Respondents or Record </w:t>
      </w:r>
      <w:r>
        <w:rPr>
          <w:sz w:val="24"/>
          <w:szCs w:val="24"/>
        </w:rPr>
        <w:t>K</w:t>
      </w:r>
      <w:r w:rsidRPr="00D61E21">
        <w:rPr>
          <w:sz w:val="24"/>
          <w:szCs w:val="24"/>
        </w:rPr>
        <w:t>eepers</w:t>
      </w:r>
      <w:bookmarkEnd w:id="41"/>
      <w:bookmarkEnd w:id="42"/>
      <w:bookmarkEnd w:id="43"/>
      <w:bookmarkEnd w:id="44"/>
    </w:p>
    <w:p w14:paraId="152CF236" w14:textId="77777777" w:rsidR="00456066" w:rsidRDefault="00456066" w:rsidP="00AD478A">
      <w:pPr>
        <w:pStyle w:val="Heading2"/>
        <w:tabs>
          <w:tab w:val="clear" w:pos="1152"/>
          <w:tab w:val="left" w:pos="720"/>
        </w:tabs>
        <w:spacing w:after="0" w:line="360" w:lineRule="auto"/>
        <w:ind w:left="0" w:firstLine="0"/>
        <w:rPr>
          <w:b w:val="0"/>
        </w:rPr>
      </w:pPr>
    </w:p>
    <w:p w14:paraId="7854B910" w14:textId="77777777" w:rsidR="00D45691" w:rsidRPr="00AD478A" w:rsidRDefault="009F2EB4" w:rsidP="00AD478A">
      <w:pPr>
        <w:pStyle w:val="Heading2"/>
        <w:tabs>
          <w:tab w:val="clear" w:pos="1152"/>
          <w:tab w:val="left" w:pos="720"/>
        </w:tabs>
        <w:spacing w:after="0" w:line="360" w:lineRule="auto"/>
        <w:ind w:left="0" w:firstLine="0"/>
        <w:rPr>
          <w:b w:val="0"/>
        </w:rPr>
      </w:pPr>
      <w:r w:rsidRPr="00AD478A">
        <w:rPr>
          <w:b w:val="0"/>
        </w:rPr>
        <w:t xml:space="preserve">There are no additional costs other than the respondents’ burden given in </w:t>
      </w:r>
      <w:r w:rsidR="001056F9">
        <w:rPr>
          <w:b w:val="0"/>
        </w:rPr>
        <w:t xml:space="preserve">section </w:t>
      </w:r>
      <w:r w:rsidRPr="00AD478A">
        <w:rPr>
          <w:b w:val="0"/>
        </w:rPr>
        <w:t>A12</w:t>
      </w:r>
      <w:r w:rsidR="00D45691" w:rsidRPr="00AD478A">
        <w:rPr>
          <w:b w:val="0"/>
        </w:rPr>
        <w:t>.</w:t>
      </w:r>
    </w:p>
    <w:p w14:paraId="654C8489" w14:textId="77777777" w:rsidR="00E36A07" w:rsidRPr="00E36A07" w:rsidRDefault="00E36A07" w:rsidP="00E36A07">
      <w:pPr>
        <w:rPr>
          <w:color w:val="FF0000"/>
        </w:rPr>
      </w:pPr>
      <w:bookmarkStart w:id="45" w:name="_Toc443881757"/>
      <w:bookmarkStart w:id="46" w:name="_Toc451592244"/>
      <w:bookmarkStart w:id="47" w:name="_Toc5610285"/>
      <w:bookmarkStart w:id="48" w:name="_Toc99178791"/>
    </w:p>
    <w:p w14:paraId="438560FF" w14:textId="77777777" w:rsidR="007F36CC" w:rsidRDefault="00E36A07" w:rsidP="007F36CC">
      <w:pPr>
        <w:pStyle w:val="Heading2"/>
        <w:tabs>
          <w:tab w:val="clear" w:pos="1152"/>
          <w:tab w:val="left" w:pos="720"/>
        </w:tabs>
        <w:spacing w:after="0" w:line="480" w:lineRule="auto"/>
        <w:ind w:left="0" w:firstLine="0"/>
        <w:rPr>
          <w:sz w:val="24"/>
          <w:szCs w:val="24"/>
        </w:rPr>
      </w:pPr>
      <w:r>
        <w:rPr>
          <w:sz w:val="24"/>
          <w:szCs w:val="24"/>
        </w:rPr>
        <w:t>A.</w:t>
      </w:r>
      <w:r w:rsidRPr="00D61E21">
        <w:rPr>
          <w:sz w:val="24"/>
          <w:szCs w:val="24"/>
        </w:rPr>
        <w:t>14</w:t>
      </w:r>
      <w:r w:rsidRPr="00D61E21">
        <w:rPr>
          <w:sz w:val="24"/>
          <w:szCs w:val="24"/>
        </w:rPr>
        <w:tab/>
        <w:t>Annualized Cost to the Federal Government</w:t>
      </w:r>
      <w:bookmarkEnd w:id="45"/>
      <w:bookmarkEnd w:id="46"/>
      <w:bookmarkEnd w:id="47"/>
      <w:bookmarkEnd w:id="48"/>
    </w:p>
    <w:tbl>
      <w:tblPr>
        <w:tblW w:w="9522" w:type="dxa"/>
        <w:tblInd w:w="-465"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253792" w:rsidRPr="00886CF6" w14:paraId="6B3DBAC1" w14:textId="77777777" w:rsidTr="00442CC7">
        <w:trPr>
          <w:trHeight w:val="628"/>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EE6FFAF" w14:textId="77777777" w:rsidR="00253792" w:rsidRPr="00886CF6" w:rsidRDefault="00253792" w:rsidP="00442CC7">
            <w:pPr>
              <w:jc w:val="center"/>
              <w:rPr>
                <w:rFonts w:eastAsia="Calibri"/>
                <w:bCs/>
                <w:color w:val="000000"/>
              </w:rPr>
            </w:pPr>
            <w:r w:rsidRPr="00886CF6">
              <w:rPr>
                <w:bCs/>
                <w:color w:val="000000"/>
              </w:rPr>
              <w:t>Staff</w:t>
            </w:r>
          </w:p>
        </w:tc>
        <w:tc>
          <w:tcPr>
            <w:tcW w:w="1440" w:type="dxa"/>
            <w:tcBorders>
              <w:top w:val="single" w:sz="8" w:space="0" w:color="auto"/>
              <w:left w:val="nil"/>
              <w:bottom w:val="single" w:sz="8" w:space="0" w:color="auto"/>
              <w:right w:val="single" w:sz="8" w:space="0" w:color="auto"/>
            </w:tcBorders>
            <w:shd w:val="clear" w:color="auto" w:fill="auto"/>
            <w:vAlign w:val="center"/>
          </w:tcPr>
          <w:p w14:paraId="2EEBCFBE" w14:textId="77777777" w:rsidR="00253792" w:rsidRPr="00886CF6" w:rsidRDefault="00253792" w:rsidP="00442CC7">
            <w:pPr>
              <w:jc w:val="center"/>
              <w:rPr>
                <w:rFonts w:eastAsia="Calibri"/>
                <w:bCs/>
                <w:color w:val="000000"/>
              </w:rPr>
            </w:pPr>
            <w:r w:rsidRPr="00886CF6">
              <w:rPr>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8D668B" w14:textId="77777777" w:rsidR="00253792" w:rsidRPr="00886CF6" w:rsidRDefault="00253792" w:rsidP="00442CC7">
            <w:pPr>
              <w:jc w:val="center"/>
              <w:rPr>
                <w:rFonts w:eastAsia="Calibri"/>
                <w:bCs/>
              </w:rPr>
            </w:pPr>
            <w:r w:rsidRPr="00886CF6">
              <w:rPr>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A3B703" w14:textId="77777777" w:rsidR="00253792" w:rsidRPr="00886CF6" w:rsidRDefault="00253792" w:rsidP="00442CC7">
            <w:pPr>
              <w:jc w:val="center"/>
              <w:rPr>
                <w:rFonts w:eastAsia="Calibri"/>
                <w:bCs/>
              </w:rPr>
            </w:pPr>
            <w:r w:rsidRPr="00886CF6">
              <w:rPr>
                <w:bCs/>
              </w:rPr>
              <w:t>% of Effort</w:t>
            </w:r>
          </w:p>
        </w:tc>
        <w:tc>
          <w:tcPr>
            <w:tcW w:w="1363" w:type="dxa"/>
            <w:tcBorders>
              <w:top w:val="single" w:sz="8" w:space="0" w:color="auto"/>
              <w:left w:val="nil"/>
              <w:bottom w:val="single" w:sz="8" w:space="0" w:color="auto"/>
              <w:right w:val="single" w:sz="8" w:space="0" w:color="auto"/>
            </w:tcBorders>
            <w:shd w:val="clear" w:color="auto" w:fill="auto"/>
            <w:vAlign w:val="center"/>
          </w:tcPr>
          <w:p w14:paraId="01B0EA1A" w14:textId="77777777" w:rsidR="00253792" w:rsidRPr="00886CF6" w:rsidRDefault="00253792" w:rsidP="00442CC7">
            <w:pPr>
              <w:jc w:val="center"/>
              <w:rPr>
                <w:bCs/>
              </w:rPr>
            </w:pPr>
            <w:r w:rsidRPr="00886CF6">
              <w:rPr>
                <w:bCs/>
              </w:rPr>
              <w:t>Fringe (if applicable)</w:t>
            </w:r>
          </w:p>
        </w:tc>
        <w:tc>
          <w:tcPr>
            <w:tcW w:w="1363" w:type="dxa"/>
            <w:tcBorders>
              <w:top w:val="single" w:sz="8" w:space="0" w:color="auto"/>
              <w:left w:val="nil"/>
              <w:bottom w:val="single" w:sz="8" w:space="0" w:color="auto"/>
              <w:right w:val="single" w:sz="8" w:space="0" w:color="auto"/>
            </w:tcBorders>
            <w:shd w:val="clear" w:color="auto" w:fill="auto"/>
            <w:vAlign w:val="center"/>
          </w:tcPr>
          <w:p w14:paraId="7B118C3B" w14:textId="77777777" w:rsidR="00253792" w:rsidRPr="00886CF6" w:rsidRDefault="00253792" w:rsidP="00442CC7">
            <w:pPr>
              <w:jc w:val="center"/>
              <w:rPr>
                <w:bCs/>
              </w:rPr>
            </w:pPr>
            <w:r w:rsidRPr="00886CF6">
              <w:rPr>
                <w:bCs/>
              </w:rPr>
              <w:t>Total Cost to Gov’t</w:t>
            </w:r>
          </w:p>
        </w:tc>
      </w:tr>
      <w:tr w:rsidR="00253792" w:rsidRPr="00886CF6" w14:paraId="5EF454A4" w14:textId="77777777" w:rsidTr="00886CF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A327088" w14:textId="77777777" w:rsidR="00253792" w:rsidRPr="00886CF6" w:rsidRDefault="00253792" w:rsidP="00FE0649">
            <w:pPr>
              <w:rPr>
                <w:rFonts w:eastAsia="Calibri"/>
                <w:color w:val="000000"/>
                <w:highlight w:val="yellow"/>
                <w:u w:val="single"/>
              </w:rPr>
            </w:pPr>
            <w:r w:rsidRPr="00886CF6">
              <w:rPr>
                <w:rFonts w:eastAsia="Calibri"/>
                <w:color w:val="000000"/>
                <w:u w:val="single"/>
              </w:rPr>
              <w:t>Federal Oversight</w:t>
            </w:r>
          </w:p>
        </w:tc>
        <w:tc>
          <w:tcPr>
            <w:tcW w:w="1440" w:type="dxa"/>
            <w:tcBorders>
              <w:top w:val="nil"/>
              <w:left w:val="nil"/>
              <w:bottom w:val="single" w:sz="8" w:space="0" w:color="auto"/>
              <w:right w:val="single" w:sz="8" w:space="0" w:color="auto"/>
            </w:tcBorders>
          </w:tcPr>
          <w:p w14:paraId="3C13D2F8" w14:textId="77777777" w:rsidR="00253792" w:rsidRPr="00886CF6" w:rsidRDefault="00253792" w:rsidP="00886CF6">
            <w:pPr>
              <w:jc w:val="center"/>
              <w:rPr>
                <w:rFonts w:eastAsia="Calibri"/>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tcPr>
          <w:p w14:paraId="5F914B75" w14:textId="77777777" w:rsidR="00253792" w:rsidRPr="00886CF6" w:rsidRDefault="00253792" w:rsidP="00886CF6">
            <w:pPr>
              <w:jc w:val="cente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6408BFC3" w14:textId="77777777" w:rsidR="00253792" w:rsidRPr="00886CF6" w:rsidRDefault="00253792" w:rsidP="00886CF6">
            <w:pPr>
              <w:jc w:val="center"/>
            </w:pPr>
          </w:p>
        </w:tc>
        <w:tc>
          <w:tcPr>
            <w:tcW w:w="1363" w:type="dxa"/>
            <w:tcBorders>
              <w:top w:val="nil"/>
              <w:left w:val="nil"/>
              <w:bottom w:val="single" w:sz="8" w:space="0" w:color="auto"/>
              <w:right w:val="single" w:sz="8" w:space="0" w:color="auto"/>
            </w:tcBorders>
            <w:shd w:val="clear" w:color="auto" w:fill="BFBFBF" w:themeFill="background1" w:themeFillShade="BF"/>
          </w:tcPr>
          <w:p w14:paraId="3EB18A22" w14:textId="77777777" w:rsidR="00253792" w:rsidRPr="00886CF6" w:rsidRDefault="00253792" w:rsidP="00886CF6">
            <w:pPr>
              <w:jc w:val="center"/>
            </w:pPr>
          </w:p>
        </w:tc>
        <w:tc>
          <w:tcPr>
            <w:tcW w:w="1363" w:type="dxa"/>
            <w:tcBorders>
              <w:top w:val="nil"/>
              <w:left w:val="nil"/>
              <w:bottom w:val="single" w:sz="8" w:space="0" w:color="auto"/>
              <w:right w:val="single" w:sz="8" w:space="0" w:color="auto"/>
            </w:tcBorders>
          </w:tcPr>
          <w:p w14:paraId="3C0D2294" w14:textId="77777777" w:rsidR="00253792" w:rsidRPr="00886CF6" w:rsidRDefault="00253792" w:rsidP="00886CF6">
            <w:pPr>
              <w:jc w:val="center"/>
            </w:pPr>
          </w:p>
        </w:tc>
      </w:tr>
      <w:tr w:rsidR="00253792" w:rsidRPr="00886CF6" w14:paraId="7503286C" w14:textId="77777777" w:rsidTr="00886CF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5FFF5A" w14:textId="77777777" w:rsidR="00253792" w:rsidRPr="00886CF6" w:rsidRDefault="00253792" w:rsidP="00FE0649">
            <w:pPr>
              <w:rPr>
                <w:rFonts w:eastAsia="Calibri"/>
              </w:rPr>
            </w:pPr>
            <w:r w:rsidRPr="00886CF6">
              <w:rPr>
                <w:rFonts w:eastAsia="Calibri"/>
              </w:rPr>
              <w:t>RMR Administrator</w:t>
            </w:r>
          </w:p>
        </w:tc>
        <w:tc>
          <w:tcPr>
            <w:tcW w:w="1440" w:type="dxa"/>
            <w:tcBorders>
              <w:top w:val="nil"/>
              <w:left w:val="nil"/>
              <w:bottom w:val="single" w:sz="8" w:space="0" w:color="auto"/>
              <w:right w:val="single" w:sz="8" w:space="0" w:color="auto"/>
            </w:tcBorders>
          </w:tcPr>
          <w:p w14:paraId="23D40F7E" w14:textId="77777777" w:rsidR="00253792" w:rsidRPr="00886CF6" w:rsidRDefault="00253792" w:rsidP="00886CF6">
            <w:pPr>
              <w:jc w:val="center"/>
              <w:rPr>
                <w:rFonts w:eastAsia="Calibri"/>
              </w:rPr>
            </w:pPr>
            <w:r w:rsidRPr="00886CF6">
              <w:rPr>
                <w:rFonts w:eastAsia="Calibri"/>
              </w:rPr>
              <w:t>GS-1</w:t>
            </w:r>
            <w:r w:rsidR="00FB6B3D">
              <w:rPr>
                <w:rFonts w:eastAsia="Calibri"/>
              </w:rPr>
              <w:t>3</w:t>
            </w:r>
            <w:r w:rsidR="003C00C8">
              <w:rPr>
                <w:rFonts w:eastAsia="Calibri"/>
              </w:rPr>
              <w:t>-1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tcPr>
          <w:p w14:paraId="1963088D" w14:textId="77777777" w:rsidR="00253792" w:rsidRPr="00886CF6" w:rsidRDefault="007F36CC" w:rsidP="00FB6B3D">
            <w:pPr>
              <w:jc w:val="center"/>
              <w:rPr>
                <w:rFonts w:eastAsia="Calibri"/>
              </w:rPr>
            </w:pPr>
            <w:r>
              <w:rPr>
                <w:rFonts w:eastAsia="Calibri"/>
              </w:rPr>
              <w:t>$</w:t>
            </w:r>
            <w:r w:rsidR="00FB6B3D">
              <w:rPr>
                <w:rFonts w:eastAsia="Calibri"/>
              </w:rPr>
              <w:t>90,823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074BD069" w14:textId="77777777" w:rsidR="00253792" w:rsidRPr="00886CF6" w:rsidRDefault="00253792" w:rsidP="00886CF6">
            <w:pPr>
              <w:jc w:val="center"/>
              <w:rPr>
                <w:rFonts w:eastAsia="Calibri"/>
              </w:rPr>
            </w:pPr>
            <w:r w:rsidRPr="00886CF6">
              <w:rPr>
                <w:rFonts w:eastAsia="Calibri"/>
              </w:rPr>
              <w:t>20%</w:t>
            </w:r>
          </w:p>
        </w:tc>
        <w:tc>
          <w:tcPr>
            <w:tcW w:w="1363" w:type="dxa"/>
            <w:tcBorders>
              <w:top w:val="nil"/>
              <w:left w:val="nil"/>
              <w:bottom w:val="single" w:sz="8" w:space="0" w:color="auto"/>
              <w:right w:val="single" w:sz="8" w:space="0" w:color="auto"/>
            </w:tcBorders>
            <w:shd w:val="clear" w:color="auto" w:fill="BFBFBF" w:themeFill="background1" w:themeFillShade="BF"/>
          </w:tcPr>
          <w:p w14:paraId="0286EEB1" w14:textId="77777777" w:rsidR="00253792" w:rsidRPr="00886CF6" w:rsidRDefault="00253792" w:rsidP="00886CF6">
            <w:pPr>
              <w:jc w:val="center"/>
            </w:pPr>
          </w:p>
        </w:tc>
        <w:tc>
          <w:tcPr>
            <w:tcW w:w="1363" w:type="dxa"/>
            <w:tcBorders>
              <w:top w:val="nil"/>
              <w:left w:val="nil"/>
              <w:bottom w:val="single" w:sz="8" w:space="0" w:color="auto"/>
              <w:right w:val="single" w:sz="8" w:space="0" w:color="auto"/>
            </w:tcBorders>
          </w:tcPr>
          <w:p w14:paraId="0D7FA5AA" w14:textId="77777777" w:rsidR="00253792" w:rsidRPr="00886CF6" w:rsidRDefault="00253792" w:rsidP="00FB6B3D">
            <w:pPr>
              <w:jc w:val="center"/>
            </w:pPr>
            <w:r w:rsidRPr="00886CF6">
              <w:t>$</w:t>
            </w:r>
            <w:r w:rsidR="00FB6B3D">
              <w:t>18,165</w:t>
            </w:r>
          </w:p>
        </w:tc>
      </w:tr>
      <w:tr w:rsidR="00253792" w:rsidRPr="00886CF6" w14:paraId="6622BC31" w14:textId="77777777" w:rsidTr="00D4332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532BAE3" w14:textId="77777777" w:rsidR="00253792" w:rsidRPr="00886CF6" w:rsidRDefault="00253792" w:rsidP="00FE0649">
            <w:pPr>
              <w:rPr>
                <w:rFonts w:eastAsia="Calibri"/>
              </w:rPr>
            </w:pPr>
            <w:r w:rsidRPr="00886CF6">
              <w:rPr>
                <w:rFonts w:eastAsia="Calibri"/>
              </w:rPr>
              <w:t>RMR IT Project Manager</w:t>
            </w:r>
          </w:p>
        </w:tc>
        <w:tc>
          <w:tcPr>
            <w:tcW w:w="1440" w:type="dxa"/>
            <w:tcBorders>
              <w:top w:val="nil"/>
              <w:left w:val="nil"/>
              <w:bottom w:val="single" w:sz="8" w:space="0" w:color="auto"/>
              <w:right w:val="single" w:sz="8" w:space="0" w:color="auto"/>
            </w:tcBorders>
          </w:tcPr>
          <w:p w14:paraId="56384F7C" w14:textId="77777777" w:rsidR="00253792" w:rsidRPr="00886CF6" w:rsidRDefault="00253792" w:rsidP="00886CF6">
            <w:pPr>
              <w:jc w:val="center"/>
              <w:rPr>
                <w:rFonts w:eastAsia="Calibri"/>
              </w:rPr>
            </w:pPr>
            <w:r w:rsidRPr="00886CF6">
              <w:rPr>
                <w:rFonts w:eastAsia="Calibri"/>
              </w:rPr>
              <w:t>GS-14</w:t>
            </w:r>
            <w:r w:rsidR="003C00C8">
              <w:rPr>
                <w:rFonts w:eastAsia="Calibri"/>
              </w:rPr>
              <w:t>-10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tcPr>
          <w:p w14:paraId="494E2AA7" w14:textId="77777777" w:rsidR="00253792" w:rsidRPr="00886CF6" w:rsidRDefault="00253792" w:rsidP="00466053">
            <w:pPr>
              <w:jc w:val="center"/>
              <w:rPr>
                <w:rFonts w:eastAsia="Calibri"/>
              </w:rPr>
            </w:pPr>
            <w:r w:rsidRPr="00886CF6">
              <w:rPr>
                <w:rFonts w:eastAsia="Calibri"/>
              </w:rPr>
              <w:t>$1</w:t>
            </w:r>
            <w:r w:rsidR="00466053">
              <w:rPr>
                <w:rFonts w:eastAsia="Calibri"/>
              </w:rPr>
              <w:t>39,523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56C72401" w14:textId="77777777" w:rsidR="00253792" w:rsidRPr="00886CF6" w:rsidRDefault="00253792" w:rsidP="00886CF6">
            <w:pPr>
              <w:jc w:val="center"/>
              <w:rPr>
                <w:rFonts w:eastAsia="Calibri"/>
              </w:rPr>
            </w:pPr>
            <w:r w:rsidRPr="00886CF6">
              <w:rPr>
                <w:rFonts w:eastAsia="Calibri"/>
              </w:rPr>
              <w:t>.5%</w:t>
            </w:r>
          </w:p>
        </w:tc>
        <w:tc>
          <w:tcPr>
            <w:tcW w:w="1363" w:type="dxa"/>
            <w:tcBorders>
              <w:top w:val="nil"/>
              <w:left w:val="nil"/>
              <w:bottom w:val="single" w:sz="8" w:space="0" w:color="auto"/>
              <w:right w:val="single" w:sz="8" w:space="0" w:color="auto"/>
            </w:tcBorders>
            <w:shd w:val="clear" w:color="auto" w:fill="BFBFBF" w:themeFill="background1" w:themeFillShade="BF"/>
          </w:tcPr>
          <w:p w14:paraId="30BD2450" w14:textId="77777777" w:rsidR="00253792" w:rsidRPr="00886CF6" w:rsidRDefault="00253792" w:rsidP="00886CF6">
            <w:pPr>
              <w:jc w:val="center"/>
            </w:pPr>
          </w:p>
        </w:tc>
        <w:tc>
          <w:tcPr>
            <w:tcW w:w="1363" w:type="dxa"/>
            <w:tcBorders>
              <w:top w:val="nil"/>
              <w:left w:val="nil"/>
              <w:bottom w:val="single" w:sz="8" w:space="0" w:color="auto"/>
              <w:right w:val="single" w:sz="8" w:space="0" w:color="auto"/>
            </w:tcBorders>
          </w:tcPr>
          <w:p w14:paraId="6326E4C1" w14:textId="77777777" w:rsidR="00253792" w:rsidRPr="00886CF6" w:rsidRDefault="00253792" w:rsidP="00886CF6">
            <w:pPr>
              <w:jc w:val="center"/>
            </w:pPr>
            <w:r w:rsidRPr="00886CF6">
              <w:t>$</w:t>
            </w:r>
            <w:r w:rsidR="00466053">
              <w:t>698</w:t>
            </w:r>
          </w:p>
        </w:tc>
      </w:tr>
      <w:tr w:rsidR="00253792" w:rsidRPr="00886CF6" w14:paraId="7544CC47" w14:textId="77777777" w:rsidTr="00886CF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D9A9C36" w14:textId="77777777" w:rsidR="00253792" w:rsidRPr="00886CF6" w:rsidRDefault="00253792" w:rsidP="00FE0649">
            <w:pPr>
              <w:rPr>
                <w:rFonts w:eastAsia="Calibri"/>
              </w:rPr>
            </w:pPr>
          </w:p>
        </w:tc>
        <w:tc>
          <w:tcPr>
            <w:tcW w:w="1440" w:type="dxa"/>
            <w:tcBorders>
              <w:top w:val="nil"/>
              <w:left w:val="nil"/>
              <w:bottom w:val="single" w:sz="8" w:space="0" w:color="auto"/>
              <w:right w:val="single" w:sz="8" w:space="0" w:color="auto"/>
            </w:tcBorders>
          </w:tcPr>
          <w:p w14:paraId="0F67997D" w14:textId="77777777" w:rsidR="00253792" w:rsidRPr="00886CF6" w:rsidRDefault="00253792" w:rsidP="00886CF6">
            <w:pPr>
              <w:jc w:val="center"/>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tcPr>
          <w:p w14:paraId="14780A08" w14:textId="77777777" w:rsidR="00253792" w:rsidRPr="00886CF6" w:rsidRDefault="00253792" w:rsidP="00886CF6">
            <w:pPr>
              <w:jc w:val="center"/>
              <w:rPr>
                <w:rFonts w:eastAsia="Calibr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5C25A288" w14:textId="77777777" w:rsidR="00253792" w:rsidRPr="00886CF6" w:rsidRDefault="00253792" w:rsidP="00886CF6">
            <w:pPr>
              <w:jc w:val="cente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AD91C24" w14:textId="77777777" w:rsidR="00253792" w:rsidRPr="00886CF6" w:rsidRDefault="00253792" w:rsidP="00886CF6">
            <w:pPr>
              <w:jc w:val="center"/>
            </w:pPr>
          </w:p>
        </w:tc>
        <w:tc>
          <w:tcPr>
            <w:tcW w:w="1363" w:type="dxa"/>
            <w:tcBorders>
              <w:top w:val="nil"/>
              <w:left w:val="nil"/>
              <w:bottom w:val="single" w:sz="8" w:space="0" w:color="auto"/>
              <w:right w:val="single" w:sz="8" w:space="0" w:color="auto"/>
            </w:tcBorders>
          </w:tcPr>
          <w:p w14:paraId="661957A9" w14:textId="77777777" w:rsidR="00253792" w:rsidRPr="00886CF6" w:rsidRDefault="00253792" w:rsidP="00886CF6">
            <w:pPr>
              <w:jc w:val="center"/>
            </w:pPr>
          </w:p>
        </w:tc>
      </w:tr>
      <w:tr w:rsidR="00253792" w:rsidRPr="00886CF6" w14:paraId="484E6F8B" w14:textId="77777777" w:rsidTr="00886CF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5DB07C" w14:textId="77777777" w:rsidR="00253792" w:rsidRPr="00886CF6" w:rsidRDefault="00253792" w:rsidP="00FE0649">
            <w:pPr>
              <w:rPr>
                <w:rFonts w:eastAsia="Calibri"/>
                <w:u w:val="single"/>
              </w:rPr>
            </w:pPr>
            <w:r w:rsidRPr="00886CF6">
              <w:rPr>
                <w:rFonts w:eastAsia="Calibri"/>
                <w:u w:val="single"/>
              </w:rPr>
              <w:t>Contractor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04486615" w14:textId="77777777" w:rsidR="00253792" w:rsidRPr="00886CF6" w:rsidRDefault="00253792" w:rsidP="00886CF6">
            <w:pPr>
              <w:jc w:val="center"/>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tcPr>
          <w:p w14:paraId="6880EFCB" w14:textId="77777777" w:rsidR="00253792" w:rsidRPr="00886CF6" w:rsidRDefault="00253792" w:rsidP="00886CF6">
            <w:pPr>
              <w:jc w:val="center"/>
              <w:rPr>
                <w:rFonts w:eastAsia="Calibr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357C397B" w14:textId="77777777" w:rsidR="00253792" w:rsidRPr="00886CF6" w:rsidRDefault="00253792" w:rsidP="00886CF6">
            <w:pPr>
              <w:jc w:val="center"/>
              <w:rPr>
                <w:rFonts w:eastAsia="Calibri"/>
              </w:rPr>
            </w:pPr>
          </w:p>
        </w:tc>
        <w:tc>
          <w:tcPr>
            <w:tcW w:w="1363" w:type="dxa"/>
            <w:tcBorders>
              <w:top w:val="nil"/>
              <w:left w:val="nil"/>
              <w:bottom w:val="single" w:sz="8" w:space="0" w:color="auto"/>
              <w:right w:val="single" w:sz="8" w:space="0" w:color="auto"/>
            </w:tcBorders>
          </w:tcPr>
          <w:p w14:paraId="79B5EB63" w14:textId="77777777" w:rsidR="00253792" w:rsidRPr="00886CF6" w:rsidRDefault="00253792" w:rsidP="00886CF6">
            <w:pPr>
              <w:jc w:val="center"/>
            </w:pPr>
          </w:p>
        </w:tc>
        <w:tc>
          <w:tcPr>
            <w:tcW w:w="1363" w:type="dxa"/>
            <w:tcBorders>
              <w:top w:val="nil"/>
              <w:left w:val="nil"/>
              <w:bottom w:val="single" w:sz="8" w:space="0" w:color="auto"/>
              <w:right w:val="single" w:sz="8" w:space="0" w:color="auto"/>
            </w:tcBorders>
          </w:tcPr>
          <w:p w14:paraId="53142EA6" w14:textId="77777777" w:rsidR="00253792" w:rsidRPr="00886CF6" w:rsidRDefault="00253792" w:rsidP="00886CF6">
            <w:pPr>
              <w:jc w:val="center"/>
            </w:pPr>
          </w:p>
        </w:tc>
      </w:tr>
      <w:tr w:rsidR="00253792" w:rsidRPr="00886CF6" w14:paraId="23FD640F" w14:textId="77777777" w:rsidTr="00886CF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1A0E27" w14:textId="77777777" w:rsidR="00253792" w:rsidRPr="00886CF6" w:rsidRDefault="00253792" w:rsidP="00FE0649">
            <w:pPr>
              <w:rPr>
                <w:rFonts w:eastAsia="Calibri"/>
              </w:rPr>
            </w:pPr>
            <w:r w:rsidRPr="00886CF6">
              <w:rPr>
                <w:rFonts w:eastAsia="Calibri"/>
              </w:rPr>
              <w:t>RMR IT Developer</w:t>
            </w:r>
          </w:p>
        </w:tc>
        <w:tc>
          <w:tcPr>
            <w:tcW w:w="1440" w:type="dxa"/>
            <w:tcBorders>
              <w:top w:val="nil"/>
              <w:left w:val="nil"/>
              <w:bottom w:val="single" w:sz="8" w:space="0" w:color="auto"/>
              <w:right w:val="single" w:sz="8" w:space="0" w:color="auto"/>
            </w:tcBorders>
          </w:tcPr>
          <w:p w14:paraId="769D9BCC" w14:textId="77777777" w:rsidR="00253792" w:rsidRPr="00886CF6" w:rsidRDefault="00253792" w:rsidP="00886CF6">
            <w:pPr>
              <w:jc w:val="center"/>
              <w:rPr>
                <w:rFonts w:eastAsia="Calibri"/>
              </w:rPr>
            </w:pPr>
            <w:r w:rsidRPr="00886CF6">
              <w:rPr>
                <w:rFonts w:eastAsia="Calibri"/>
              </w:rPr>
              <w:t>N/A</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tcPr>
          <w:p w14:paraId="176ED2B4" w14:textId="77777777" w:rsidR="00253792" w:rsidRPr="00886CF6" w:rsidRDefault="00253792" w:rsidP="00886CF6">
            <w:pPr>
              <w:jc w:val="center"/>
              <w:rPr>
                <w:rFonts w:eastAsia="Calibri"/>
              </w:rPr>
            </w:pPr>
            <w:r w:rsidRPr="00886CF6">
              <w:rPr>
                <w:rFonts w:eastAsia="Calibri"/>
              </w:rPr>
              <w:t>$160,919</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119604F5" w14:textId="77777777" w:rsidR="00253792" w:rsidRPr="00886CF6" w:rsidRDefault="00253792" w:rsidP="00886CF6">
            <w:pPr>
              <w:jc w:val="center"/>
              <w:rPr>
                <w:rFonts w:eastAsia="Calibri"/>
              </w:rPr>
            </w:pPr>
            <w:r w:rsidRPr="00886CF6">
              <w:rPr>
                <w:rFonts w:eastAsia="Calibri"/>
              </w:rPr>
              <w:t>15%</w:t>
            </w:r>
          </w:p>
        </w:tc>
        <w:tc>
          <w:tcPr>
            <w:tcW w:w="1363" w:type="dxa"/>
            <w:tcBorders>
              <w:top w:val="nil"/>
              <w:left w:val="nil"/>
              <w:bottom w:val="single" w:sz="8" w:space="0" w:color="auto"/>
              <w:right w:val="single" w:sz="8" w:space="0" w:color="auto"/>
            </w:tcBorders>
          </w:tcPr>
          <w:p w14:paraId="4348DC02" w14:textId="77777777" w:rsidR="00253792" w:rsidRPr="00886CF6" w:rsidRDefault="00253792" w:rsidP="00886CF6">
            <w:pPr>
              <w:jc w:val="center"/>
            </w:pPr>
          </w:p>
        </w:tc>
        <w:tc>
          <w:tcPr>
            <w:tcW w:w="1363" w:type="dxa"/>
            <w:tcBorders>
              <w:top w:val="nil"/>
              <w:left w:val="nil"/>
              <w:bottom w:val="single" w:sz="8" w:space="0" w:color="auto"/>
              <w:right w:val="single" w:sz="8" w:space="0" w:color="auto"/>
            </w:tcBorders>
          </w:tcPr>
          <w:p w14:paraId="5D2D0A9F" w14:textId="77777777" w:rsidR="00253792" w:rsidRPr="00886CF6" w:rsidRDefault="00253792" w:rsidP="00886CF6">
            <w:pPr>
              <w:jc w:val="center"/>
            </w:pPr>
            <w:r w:rsidRPr="00886CF6">
              <w:t>$2,413</w:t>
            </w:r>
          </w:p>
        </w:tc>
      </w:tr>
      <w:tr w:rsidR="00253792" w:rsidRPr="00886CF6" w14:paraId="7BFFA30B" w14:textId="77777777" w:rsidTr="00886CF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F45550" w14:textId="77777777" w:rsidR="00253792" w:rsidRPr="00886CF6" w:rsidRDefault="00253792" w:rsidP="00FE0649">
            <w:pPr>
              <w:rPr>
                <w:rFonts w:eastAsia="Calibri"/>
              </w:rPr>
            </w:pPr>
          </w:p>
        </w:tc>
        <w:tc>
          <w:tcPr>
            <w:tcW w:w="1440" w:type="dxa"/>
            <w:tcBorders>
              <w:top w:val="nil"/>
              <w:left w:val="nil"/>
              <w:bottom w:val="single" w:sz="8" w:space="0" w:color="auto"/>
              <w:right w:val="single" w:sz="8" w:space="0" w:color="auto"/>
            </w:tcBorders>
            <w:shd w:val="clear" w:color="auto" w:fill="auto"/>
          </w:tcPr>
          <w:p w14:paraId="1A79AAF1" w14:textId="77777777" w:rsidR="00253792" w:rsidRPr="00886CF6" w:rsidRDefault="00253792" w:rsidP="00886CF6">
            <w:pPr>
              <w:jc w:val="center"/>
              <w:rPr>
                <w:rFonts w:eastAsia="Calibri"/>
              </w:rPr>
            </w:pP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489FA0F7" w14:textId="77777777" w:rsidR="00253792" w:rsidRPr="00886CF6" w:rsidRDefault="00253792" w:rsidP="00886CF6">
            <w:pPr>
              <w:jc w:val="center"/>
              <w:rPr>
                <w:rFonts w:eastAsia="Calibri"/>
              </w:rPr>
            </w:pPr>
          </w:p>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2EEEED29" w14:textId="77777777" w:rsidR="00253792" w:rsidRPr="00886CF6" w:rsidRDefault="00253792" w:rsidP="00886CF6">
            <w:pPr>
              <w:jc w:val="center"/>
              <w:rPr>
                <w:rFonts w:eastAsia="Calibri"/>
              </w:rPr>
            </w:pPr>
          </w:p>
        </w:tc>
        <w:tc>
          <w:tcPr>
            <w:tcW w:w="1363" w:type="dxa"/>
            <w:tcBorders>
              <w:top w:val="nil"/>
              <w:left w:val="nil"/>
              <w:bottom w:val="single" w:sz="8" w:space="0" w:color="auto"/>
              <w:right w:val="single" w:sz="8" w:space="0" w:color="auto"/>
            </w:tcBorders>
            <w:shd w:val="clear" w:color="auto" w:fill="auto"/>
          </w:tcPr>
          <w:p w14:paraId="1F0D1809" w14:textId="77777777" w:rsidR="00253792" w:rsidRPr="00886CF6" w:rsidRDefault="00253792" w:rsidP="00886CF6">
            <w:pPr>
              <w:jc w:val="center"/>
            </w:pPr>
          </w:p>
        </w:tc>
        <w:tc>
          <w:tcPr>
            <w:tcW w:w="1363" w:type="dxa"/>
            <w:tcBorders>
              <w:top w:val="nil"/>
              <w:left w:val="nil"/>
              <w:bottom w:val="single" w:sz="8" w:space="0" w:color="auto"/>
              <w:right w:val="single" w:sz="8" w:space="0" w:color="auto"/>
            </w:tcBorders>
          </w:tcPr>
          <w:p w14:paraId="545FD873" w14:textId="77777777" w:rsidR="00253792" w:rsidRPr="00886CF6" w:rsidRDefault="00253792" w:rsidP="00886CF6">
            <w:pPr>
              <w:jc w:val="center"/>
            </w:pPr>
          </w:p>
        </w:tc>
      </w:tr>
      <w:tr w:rsidR="00253792" w:rsidRPr="00886CF6" w14:paraId="5B1DBD5F" w14:textId="77777777" w:rsidTr="00886CF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91ED316" w14:textId="77777777" w:rsidR="00253792" w:rsidRPr="00886CF6" w:rsidRDefault="00253792" w:rsidP="00FE0649">
            <w:pPr>
              <w:rPr>
                <w:rFonts w:eastAsia="Calibri"/>
              </w:rPr>
            </w:pPr>
            <w:r w:rsidRPr="00886CF6">
              <w:rPr>
                <w:rFonts w:eastAsia="Calibri"/>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14:paraId="4E94B0A8" w14:textId="77777777" w:rsidR="00253792" w:rsidRPr="00886CF6" w:rsidRDefault="00253792" w:rsidP="00886CF6">
            <w:pPr>
              <w:jc w:val="center"/>
              <w:rPr>
                <w:rFonts w:eastAsia="Calibri"/>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394A09AE" w14:textId="77777777" w:rsidR="00253792" w:rsidRPr="00886CF6" w:rsidRDefault="00253792" w:rsidP="00886CF6">
            <w:pPr>
              <w:jc w:val="cente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68621A38" w14:textId="77777777" w:rsidR="00253792" w:rsidRPr="00886CF6" w:rsidRDefault="00253792" w:rsidP="00886CF6">
            <w:pPr>
              <w:jc w:val="cente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tcPr>
          <w:p w14:paraId="1694D786" w14:textId="77777777" w:rsidR="00253792" w:rsidRPr="00886CF6" w:rsidRDefault="00253792" w:rsidP="00886CF6">
            <w:pPr>
              <w:jc w:val="center"/>
            </w:pPr>
          </w:p>
        </w:tc>
        <w:tc>
          <w:tcPr>
            <w:tcW w:w="1363" w:type="dxa"/>
            <w:tcBorders>
              <w:top w:val="nil"/>
              <w:left w:val="nil"/>
              <w:bottom w:val="single" w:sz="8" w:space="0" w:color="auto"/>
              <w:right w:val="single" w:sz="8" w:space="0" w:color="auto"/>
            </w:tcBorders>
          </w:tcPr>
          <w:p w14:paraId="671CE8D9" w14:textId="77777777" w:rsidR="00253792" w:rsidRPr="00886CF6" w:rsidRDefault="00253792" w:rsidP="00886CF6">
            <w:pPr>
              <w:jc w:val="center"/>
            </w:pPr>
          </w:p>
        </w:tc>
      </w:tr>
      <w:tr w:rsidR="00253792" w:rsidRPr="00886CF6" w14:paraId="36A7E96B" w14:textId="77777777" w:rsidTr="00886CF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EF6DEF9" w14:textId="77777777" w:rsidR="00253792" w:rsidRPr="00886CF6" w:rsidRDefault="00253792" w:rsidP="00FE0649">
            <w:pPr>
              <w:rPr>
                <w:rFonts w:eastAsia="Calibri"/>
                <w:color w:val="1F497D"/>
                <w:highlight w:val="yellow"/>
              </w:rPr>
            </w:pPr>
            <w:r w:rsidRPr="00886CF6">
              <w:rPr>
                <w:rFonts w:eastAsia="Calibri"/>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7FD4BACA" w14:textId="77777777" w:rsidR="00253792" w:rsidRPr="00886CF6" w:rsidRDefault="00253792" w:rsidP="00886CF6">
            <w:pPr>
              <w:jc w:val="center"/>
              <w:rPr>
                <w:rFonts w:eastAsia="Calibri"/>
                <w:color w:val="000000"/>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1F0ECA66" w14:textId="77777777" w:rsidR="00253792" w:rsidRPr="00886CF6" w:rsidRDefault="00253792" w:rsidP="00886CF6">
            <w:pPr>
              <w:jc w:val="cente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15777E01" w14:textId="77777777" w:rsidR="00253792" w:rsidRPr="00886CF6" w:rsidRDefault="00253792" w:rsidP="00886CF6">
            <w:pPr>
              <w:jc w:val="cente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429A2C3" w14:textId="77777777" w:rsidR="00253792" w:rsidRPr="00886CF6" w:rsidRDefault="00253792" w:rsidP="00886CF6">
            <w:pPr>
              <w:jc w:val="center"/>
              <w:rPr>
                <w:rFonts w:eastAsia="Calibri"/>
              </w:rPr>
            </w:pPr>
          </w:p>
        </w:tc>
        <w:tc>
          <w:tcPr>
            <w:tcW w:w="1363" w:type="dxa"/>
            <w:tcBorders>
              <w:top w:val="nil"/>
              <w:left w:val="nil"/>
              <w:bottom w:val="single" w:sz="8" w:space="0" w:color="auto"/>
              <w:right w:val="single" w:sz="8" w:space="0" w:color="auto"/>
            </w:tcBorders>
          </w:tcPr>
          <w:p w14:paraId="6C55E7BB" w14:textId="77777777" w:rsidR="00253792" w:rsidRPr="00886CF6" w:rsidRDefault="00253792" w:rsidP="00886CF6">
            <w:pPr>
              <w:jc w:val="center"/>
              <w:rPr>
                <w:rFonts w:eastAsia="Calibri"/>
              </w:rPr>
            </w:pPr>
          </w:p>
        </w:tc>
      </w:tr>
      <w:tr w:rsidR="00253792" w:rsidRPr="00886CF6" w14:paraId="259E7F7A" w14:textId="77777777" w:rsidTr="00886CF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B28AB5" w14:textId="77777777" w:rsidR="00253792" w:rsidRPr="00886CF6" w:rsidRDefault="00253792" w:rsidP="00FE0649">
            <w:pPr>
              <w:rPr>
                <w:rFonts w:eastAsia="Calibri"/>
                <w:bCs/>
                <w:color w:val="000000"/>
              </w:rPr>
            </w:pPr>
          </w:p>
        </w:tc>
        <w:tc>
          <w:tcPr>
            <w:tcW w:w="1440" w:type="dxa"/>
            <w:tcBorders>
              <w:top w:val="nil"/>
              <w:left w:val="nil"/>
              <w:bottom w:val="single" w:sz="8" w:space="0" w:color="auto"/>
              <w:right w:val="single" w:sz="8" w:space="0" w:color="auto"/>
            </w:tcBorders>
            <w:shd w:val="clear" w:color="auto" w:fill="BFBFBF" w:themeFill="background1" w:themeFillShade="BF"/>
          </w:tcPr>
          <w:p w14:paraId="76801D9D" w14:textId="77777777" w:rsidR="00253792" w:rsidRPr="00886CF6" w:rsidRDefault="00253792" w:rsidP="00886CF6">
            <w:pPr>
              <w:jc w:val="center"/>
              <w:rPr>
                <w:rFonts w:eastAsia="Calibri"/>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2BFD0466" w14:textId="77777777" w:rsidR="00253792" w:rsidRPr="00886CF6" w:rsidRDefault="00253792" w:rsidP="00886CF6">
            <w:pPr>
              <w:jc w:val="cente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249E9A58" w14:textId="77777777" w:rsidR="00253792" w:rsidRPr="00886CF6" w:rsidRDefault="00253792" w:rsidP="00886CF6">
            <w:pPr>
              <w:jc w:val="center"/>
              <w:rPr>
                <w:rFonts w:eastAsia="Calibri"/>
                <w:b/>
              </w:rPr>
            </w:pPr>
          </w:p>
        </w:tc>
        <w:tc>
          <w:tcPr>
            <w:tcW w:w="1363" w:type="dxa"/>
            <w:tcBorders>
              <w:top w:val="nil"/>
              <w:left w:val="nil"/>
              <w:bottom w:val="single" w:sz="8" w:space="0" w:color="auto"/>
              <w:right w:val="single" w:sz="8" w:space="0" w:color="auto"/>
            </w:tcBorders>
            <w:shd w:val="clear" w:color="auto" w:fill="BFBFBF" w:themeFill="background1" w:themeFillShade="BF"/>
          </w:tcPr>
          <w:p w14:paraId="7393DAE9" w14:textId="77777777" w:rsidR="00253792" w:rsidRPr="00886CF6" w:rsidRDefault="00253792" w:rsidP="00886CF6">
            <w:pPr>
              <w:jc w:val="center"/>
              <w:rPr>
                <w:b/>
              </w:rPr>
            </w:pPr>
          </w:p>
        </w:tc>
        <w:tc>
          <w:tcPr>
            <w:tcW w:w="1363" w:type="dxa"/>
            <w:tcBorders>
              <w:top w:val="nil"/>
              <w:left w:val="nil"/>
              <w:bottom w:val="single" w:sz="8" w:space="0" w:color="auto"/>
              <w:right w:val="single" w:sz="8" w:space="0" w:color="auto"/>
            </w:tcBorders>
          </w:tcPr>
          <w:p w14:paraId="0A421EA6" w14:textId="77777777" w:rsidR="00253792" w:rsidRPr="00886CF6" w:rsidRDefault="00253792" w:rsidP="00886CF6">
            <w:pPr>
              <w:jc w:val="center"/>
              <w:rPr>
                <w:b/>
              </w:rPr>
            </w:pPr>
          </w:p>
        </w:tc>
      </w:tr>
      <w:tr w:rsidR="00253792" w:rsidRPr="00886CF6" w14:paraId="0C2C38F9" w14:textId="77777777" w:rsidTr="00886CF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8D3580" w14:textId="77777777" w:rsidR="00253792" w:rsidRPr="00886CF6" w:rsidRDefault="00886CF6" w:rsidP="00FE0649">
            <w:pPr>
              <w:rPr>
                <w:b/>
              </w:rPr>
            </w:pPr>
            <w:r w:rsidRPr="00886CF6">
              <w:rPr>
                <w:b/>
              </w:rPr>
              <w:t>Total Annualized Cost</w:t>
            </w:r>
          </w:p>
        </w:tc>
        <w:tc>
          <w:tcPr>
            <w:tcW w:w="1440" w:type="dxa"/>
            <w:tcBorders>
              <w:top w:val="nil"/>
              <w:left w:val="nil"/>
              <w:bottom w:val="single" w:sz="8" w:space="0" w:color="auto"/>
              <w:right w:val="single" w:sz="8" w:space="0" w:color="auto"/>
            </w:tcBorders>
          </w:tcPr>
          <w:p w14:paraId="604A4298" w14:textId="77777777" w:rsidR="00253792" w:rsidRPr="00886CF6" w:rsidRDefault="00253792" w:rsidP="00886CF6">
            <w:pPr>
              <w:jc w:val="center"/>
              <w:rPr>
                <w:rFonts w:eastAsia="Calibri"/>
                <w:b/>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14:paraId="1BE9ABEB" w14:textId="77777777" w:rsidR="00253792" w:rsidRPr="00886CF6" w:rsidRDefault="00253792" w:rsidP="00886CF6">
            <w:pPr>
              <w:jc w:val="center"/>
              <w:rPr>
                <w:b/>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hideMark/>
          </w:tcPr>
          <w:p w14:paraId="6E752305" w14:textId="77777777" w:rsidR="00253792" w:rsidRPr="00886CF6" w:rsidRDefault="00253792" w:rsidP="00886CF6">
            <w:pPr>
              <w:jc w:val="center"/>
              <w:rPr>
                <w:b/>
              </w:rPr>
            </w:pPr>
          </w:p>
        </w:tc>
        <w:tc>
          <w:tcPr>
            <w:tcW w:w="1363" w:type="dxa"/>
            <w:tcBorders>
              <w:top w:val="nil"/>
              <w:left w:val="nil"/>
              <w:bottom w:val="single" w:sz="8" w:space="0" w:color="auto"/>
              <w:right w:val="single" w:sz="8" w:space="0" w:color="auto"/>
            </w:tcBorders>
          </w:tcPr>
          <w:p w14:paraId="1ECD700D" w14:textId="77777777" w:rsidR="00253792" w:rsidRPr="00886CF6" w:rsidRDefault="00253792" w:rsidP="00886CF6">
            <w:pPr>
              <w:jc w:val="center"/>
              <w:rPr>
                <w:b/>
              </w:rPr>
            </w:pPr>
          </w:p>
        </w:tc>
        <w:tc>
          <w:tcPr>
            <w:tcW w:w="1363" w:type="dxa"/>
            <w:tcBorders>
              <w:top w:val="nil"/>
              <w:left w:val="nil"/>
              <w:bottom w:val="single" w:sz="8" w:space="0" w:color="auto"/>
              <w:right w:val="single" w:sz="8" w:space="0" w:color="auto"/>
            </w:tcBorders>
          </w:tcPr>
          <w:p w14:paraId="4A507884" w14:textId="77777777" w:rsidR="00253792" w:rsidRPr="00886CF6" w:rsidRDefault="00886CF6" w:rsidP="00FB6B3D">
            <w:pPr>
              <w:jc w:val="center"/>
              <w:rPr>
                <w:b/>
              </w:rPr>
            </w:pPr>
            <w:r w:rsidRPr="00886CF6">
              <w:rPr>
                <w:b/>
              </w:rPr>
              <w:t>$</w:t>
            </w:r>
            <w:r w:rsidR="00466053">
              <w:rPr>
                <w:b/>
              </w:rPr>
              <w:t>21,276</w:t>
            </w:r>
          </w:p>
        </w:tc>
      </w:tr>
    </w:tbl>
    <w:p w14:paraId="179253D8" w14:textId="77777777" w:rsidR="00E36A07" w:rsidRDefault="00E36A07" w:rsidP="00411E30">
      <w:pPr>
        <w:pStyle w:val="Heading2"/>
        <w:tabs>
          <w:tab w:val="clear" w:pos="1152"/>
          <w:tab w:val="left" w:pos="720"/>
        </w:tabs>
        <w:spacing w:after="0" w:line="480" w:lineRule="auto"/>
        <w:ind w:left="0" w:firstLine="0"/>
        <w:rPr>
          <w:i/>
        </w:rPr>
      </w:pPr>
      <w:r w:rsidRPr="00D61E21">
        <w:rPr>
          <w:sz w:val="24"/>
          <w:szCs w:val="24"/>
        </w:rPr>
        <w:t xml:space="preserve"> </w:t>
      </w:r>
      <w:r w:rsidR="009219B7">
        <w:rPr>
          <w:i/>
        </w:rPr>
        <w:t xml:space="preserve"> </w:t>
      </w:r>
    </w:p>
    <w:p w14:paraId="63A73F76" w14:textId="77777777" w:rsidR="00140E2F" w:rsidRPr="00BC4E67" w:rsidRDefault="00140E2F" w:rsidP="0093431F">
      <w:pPr>
        <w:rPr>
          <w:b/>
          <w:color w:val="FF0000"/>
        </w:rPr>
      </w:pPr>
    </w:p>
    <w:p w14:paraId="223A8256" w14:textId="77777777" w:rsidR="00E36A07" w:rsidRPr="00D61E21" w:rsidRDefault="00E36A07" w:rsidP="00E36A07">
      <w:pPr>
        <w:pStyle w:val="Heading2"/>
        <w:tabs>
          <w:tab w:val="clear" w:pos="1152"/>
          <w:tab w:val="left" w:pos="720"/>
        </w:tabs>
        <w:spacing w:after="0" w:line="480" w:lineRule="auto"/>
        <w:ind w:left="0" w:firstLine="0"/>
        <w:rPr>
          <w:sz w:val="24"/>
          <w:szCs w:val="24"/>
        </w:rPr>
      </w:pPr>
      <w:bookmarkStart w:id="49" w:name="_Toc443881758"/>
      <w:bookmarkStart w:id="50" w:name="_Toc451592245"/>
      <w:bookmarkStart w:id="51" w:name="_Toc5610286"/>
      <w:bookmarkStart w:id="52" w:name="_Toc99178792"/>
      <w:r>
        <w:rPr>
          <w:sz w:val="24"/>
          <w:szCs w:val="24"/>
        </w:rPr>
        <w:t>A.</w:t>
      </w:r>
      <w:r w:rsidRPr="00D61E21">
        <w:rPr>
          <w:sz w:val="24"/>
          <w:szCs w:val="24"/>
        </w:rPr>
        <w:t>15</w:t>
      </w:r>
      <w:r w:rsidRPr="00D61E21">
        <w:rPr>
          <w:sz w:val="24"/>
          <w:szCs w:val="24"/>
        </w:rPr>
        <w:tab/>
        <w:t>Explanation for Program Changes or Adjustments</w:t>
      </w:r>
      <w:bookmarkEnd w:id="49"/>
      <w:bookmarkEnd w:id="50"/>
      <w:bookmarkEnd w:id="51"/>
      <w:bookmarkEnd w:id="52"/>
    </w:p>
    <w:p w14:paraId="39A6E95F" w14:textId="4D6C9FEE" w:rsidR="006348FB" w:rsidRDefault="00CE1F36" w:rsidP="00886CF6">
      <w:pPr>
        <w:spacing w:line="360" w:lineRule="auto"/>
      </w:pPr>
      <w:r w:rsidRPr="00CE1F36">
        <w:rPr>
          <w:highlight w:val="yellow"/>
        </w:rPr>
        <w:t xml:space="preserve">This program change constitutes a revision request in RMR requirements. </w:t>
      </w:r>
      <w:r w:rsidR="00B9503E" w:rsidRPr="00CE1F36">
        <w:rPr>
          <w:highlight w:val="yellow"/>
        </w:rPr>
        <w:t>Currently</w:t>
      </w:r>
      <w:r w:rsidR="00B9503E">
        <w:rPr>
          <w:highlight w:val="yellow"/>
        </w:rPr>
        <w:t xml:space="preserve">, NIMH-sponsored clinical trials with less than 150 enrolled human subjects are not required to report </w:t>
      </w:r>
      <w:r w:rsidR="00262C81">
        <w:rPr>
          <w:highlight w:val="yellow"/>
        </w:rPr>
        <w:t xml:space="preserve">in </w:t>
      </w:r>
      <w:r w:rsidR="00B9503E">
        <w:rPr>
          <w:highlight w:val="yellow"/>
        </w:rPr>
        <w:t>the RMR</w:t>
      </w:r>
      <w:r w:rsidR="00A7404A">
        <w:rPr>
          <w:highlight w:val="yellow"/>
        </w:rPr>
        <w:t xml:space="preserve"> system</w:t>
      </w:r>
      <w:r w:rsidR="00B9503E">
        <w:rPr>
          <w:highlight w:val="yellow"/>
        </w:rPr>
        <w:t xml:space="preserve">. </w:t>
      </w:r>
      <w:r w:rsidR="00AF3E03">
        <w:rPr>
          <w:highlight w:val="yellow"/>
        </w:rPr>
        <w:t xml:space="preserve">This revision of </w:t>
      </w:r>
      <w:r w:rsidR="00BF2EB7" w:rsidRPr="00585D5D">
        <w:rPr>
          <w:highlight w:val="yellow"/>
        </w:rPr>
        <w:t>recruitment milestones</w:t>
      </w:r>
      <w:r w:rsidR="00BF2EB7" w:rsidDel="00AF3E03">
        <w:rPr>
          <w:highlight w:val="yellow"/>
        </w:rPr>
        <w:t xml:space="preserve"> </w:t>
      </w:r>
      <w:r w:rsidR="0026075C">
        <w:rPr>
          <w:highlight w:val="yellow"/>
        </w:rPr>
        <w:t>r</w:t>
      </w:r>
      <w:r w:rsidR="0026075C" w:rsidRPr="00585D5D">
        <w:rPr>
          <w:highlight w:val="yellow"/>
        </w:rPr>
        <w:t>eporting in</w:t>
      </w:r>
      <w:r w:rsidR="00886CF6" w:rsidRPr="00585D5D">
        <w:rPr>
          <w:highlight w:val="yellow"/>
        </w:rPr>
        <w:t xml:space="preserve"> the RMR </w:t>
      </w:r>
      <w:r w:rsidR="00442CC7">
        <w:rPr>
          <w:highlight w:val="yellow"/>
        </w:rPr>
        <w:t xml:space="preserve">system </w:t>
      </w:r>
      <w:r w:rsidR="00886CF6" w:rsidRPr="00585D5D">
        <w:rPr>
          <w:highlight w:val="yellow"/>
        </w:rPr>
        <w:t xml:space="preserve">applies to participants in all extramural NIMH-sponsored clinical trials, </w:t>
      </w:r>
      <w:r w:rsidR="00886CF6" w:rsidRPr="00E2593E">
        <w:rPr>
          <w:highlight w:val="yellow"/>
        </w:rPr>
        <w:t>regardless of size,</w:t>
      </w:r>
      <w:r w:rsidR="00886CF6" w:rsidRPr="00585D5D">
        <w:rPr>
          <w:highlight w:val="yellow"/>
        </w:rPr>
        <w:t xml:space="preserve"> as well as other clinical research studies that plan to enroll </w:t>
      </w:r>
      <w:r w:rsidR="00886CF6" w:rsidRPr="0004235E">
        <w:rPr>
          <w:highlight w:val="yellow"/>
        </w:rPr>
        <w:t>150 or more human subjects</w:t>
      </w:r>
      <w:r w:rsidR="00886CF6" w:rsidRPr="00585D5D">
        <w:rPr>
          <w:highlight w:val="yellow"/>
        </w:rPr>
        <w:t xml:space="preserve"> in a single study</w:t>
      </w:r>
      <w:r w:rsidR="00606BB1">
        <w:rPr>
          <w:highlight w:val="yellow"/>
        </w:rPr>
        <w:t xml:space="preserve">. </w:t>
      </w:r>
      <w:r w:rsidR="00606BB1">
        <w:rPr>
          <w:highlight w:val="yellow"/>
        </w:rPr>
        <w:lastRenderedPageBreak/>
        <w:t>I</w:t>
      </w:r>
      <w:r w:rsidR="00886CF6" w:rsidRPr="00585D5D">
        <w:rPr>
          <w:highlight w:val="yellow"/>
        </w:rPr>
        <w:t>nvestigators who fail to meet the</w:t>
      </w:r>
      <w:r w:rsidR="00606BB1">
        <w:rPr>
          <w:highlight w:val="yellow"/>
        </w:rPr>
        <w:t>ir milestones</w:t>
      </w:r>
      <w:r w:rsidR="00886CF6" w:rsidRPr="00585D5D">
        <w:rPr>
          <w:highlight w:val="yellow"/>
        </w:rPr>
        <w:t xml:space="preserve"> may be requested to submit interim month</w:t>
      </w:r>
      <w:r w:rsidR="00886CF6" w:rsidRPr="006348FB">
        <w:rPr>
          <w:highlight w:val="yellow"/>
        </w:rPr>
        <w:t xml:space="preserve">ly reports. </w:t>
      </w:r>
      <w:r w:rsidR="00664F1E">
        <w:rPr>
          <w:highlight w:val="yellow"/>
        </w:rPr>
        <w:t xml:space="preserve">Generally, NIMH will consider studies to have failed to meet recruitment milestones if less than 50% of target milestones are achieved </w:t>
      </w:r>
      <w:r w:rsidR="00664F1E" w:rsidRPr="00071CEF">
        <w:rPr>
          <w:highlight w:val="yellow"/>
        </w:rPr>
        <w:t>at any point beyond the first year of recruitment, or if less than 75% of recruitment milestones are achieved with less than 18 months remaining in the proposed project period.</w:t>
      </w:r>
      <w:r w:rsidR="00664F1E">
        <w:t xml:space="preserve"> </w:t>
      </w:r>
      <w:r w:rsidR="004842EB">
        <w:t xml:space="preserve"> </w:t>
      </w:r>
      <w:r w:rsidR="004842EB">
        <w:rPr>
          <w:highlight w:val="yellow"/>
        </w:rPr>
        <w:t>NIMH program staff may waive the requirement for monthly reporting at their discretion (e.g. for</w:t>
      </w:r>
      <w:r w:rsidR="004842EB" w:rsidRPr="0026075C">
        <w:rPr>
          <w:highlight w:val="yellow"/>
        </w:rPr>
        <w:t xml:space="preserve"> smaller studies subject to more variability in the percent target achieved</w:t>
      </w:r>
      <w:r w:rsidR="004842EB">
        <w:rPr>
          <w:highlight w:val="yellow"/>
        </w:rPr>
        <w:t>).</w:t>
      </w:r>
      <w:r w:rsidR="00664F1E">
        <w:t xml:space="preserve"> </w:t>
      </w:r>
      <w:r w:rsidR="0026075C" w:rsidRPr="00071CEF">
        <w:rPr>
          <w:highlight w:val="yellow"/>
        </w:rPr>
        <w:t>To ensure studies remain on track, monthly reporting will be required for</w:t>
      </w:r>
      <w:r w:rsidR="0026075C" w:rsidRPr="0026075C">
        <w:rPr>
          <w:highlight w:val="yellow"/>
        </w:rPr>
        <w:t xml:space="preserve"> </w:t>
      </w:r>
      <w:r w:rsidR="0026075C">
        <w:rPr>
          <w:highlight w:val="yellow"/>
        </w:rPr>
        <w:t xml:space="preserve">four (4) months </w:t>
      </w:r>
      <w:r w:rsidR="0026075C" w:rsidRPr="00071CEF">
        <w:rPr>
          <w:highlight w:val="yellow"/>
        </w:rPr>
        <w:t xml:space="preserve">following the </w:t>
      </w:r>
      <w:r w:rsidR="004842EB">
        <w:rPr>
          <w:highlight w:val="yellow"/>
        </w:rPr>
        <w:t>achievement of at least 85% of total recruitment milestones</w:t>
      </w:r>
      <w:r w:rsidR="0026075C">
        <w:rPr>
          <w:highlight w:val="yellow"/>
        </w:rPr>
        <w:t xml:space="preserve"> or until study completion (whichever occurs first). A</w:t>
      </w:r>
      <w:r w:rsidR="0026075C" w:rsidRPr="006348FB">
        <w:rPr>
          <w:highlight w:val="yellow"/>
        </w:rPr>
        <w:t xml:space="preserve"> table showing the reporting timeline is below.</w:t>
      </w:r>
    </w:p>
    <w:p w14:paraId="5353A9F7" w14:textId="77777777" w:rsidR="006348FB" w:rsidRDefault="006348FB" w:rsidP="00886CF6">
      <w:pPr>
        <w:spacing w:line="360" w:lineRule="auto"/>
      </w:pPr>
    </w:p>
    <w:tbl>
      <w:tblPr>
        <w:tblW w:w="0" w:type="auto"/>
        <w:jc w:val="center"/>
        <w:tblCellMar>
          <w:left w:w="0" w:type="dxa"/>
          <w:right w:w="0" w:type="dxa"/>
        </w:tblCellMar>
        <w:tblLook w:val="04A0" w:firstRow="1" w:lastRow="0" w:firstColumn="1" w:lastColumn="0" w:noHBand="0" w:noVBand="1"/>
      </w:tblPr>
      <w:tblGrid>
        <w:gridCol w:w="3352"/>
        <w:gridCol w:w="4287"/>
      </w:tblGrid>
      <w:tr w:rsidR="006348FB" w14:paraId="5E8E4B91" w14:textId="77777777" w:rsidTr="006348FB">
        <w:trPr>
          <w:cantSplit/>
          <w:trHeight w:val="403"/>
          <w:jc w:val="center"/>
        </w:trPr>
        <w:tc>
          <w:tcPr>
            <w:tcW w:w="7639" w:type="dxa"/>
            <w:gridSpan w:val="2"/>
            <w:tcBorders>
              <w:top w:val="single" w:sz="18" w:space="0" w:color="auto"/>
              <w:left w:val="single" w:sz="18" w:space="0" w:color="auto"/>
              <w:bottom w:val="nil"/>
              <w:right w:val="single" w:sz="18" w:space="0" w:color="auto"/>
            </w:tcBorders>
            <w:shd w:val="clear" w:color="auto" w:fill="CCCCCC"/>
            <w:tcMar>
              <w:top w:w="0" w:type="dxa"/>
              <w:left w:w="120" w:type="dxa"/>
              <w:bottom w:w="0" w:type="dxa"/>
              <w:right w:w="120" w:type="dxa"/>
            </w:tcMar>
          </w:tcPr>
          <w:p w14:paraId="4BAC5B5F" w14:textId="77777777" w:rsidR="006348FB" w:rsidRDefault="006348FB" w:rsidP="00147D39">
            <w:pPr>
              <w:spacing w:line="276" w:lineRule="auto"/>
              <w:jc w:val="center"/>
              <w:rPr>
                <w:b/>
                <w:bCs/>
              </w:rPr>
            </w:pPr>
          </w:p>
          <w:p w14:paraId="2E3A21E8" w14:textId="77777777" w:rsidR="006348FB" w:rsidRDefault="006348FB" w:rsidP="00147D39">
            <w:pPr>
              <w:spacing w:line="276" w:lineRule="auto"/>
              <w:jc w:val="center"/>
            </w:pPr>
            <w:r>
              <w:rPr>
                <w:b/>
                <w:bCs/>
              </w:rPr>
              <w:t>NIMH Recruitment Milestone Reporting Timeline</w:t>
            </w:r>
          </w:p>
          <w:p w14:paraId="07338552" w14:textId="77777777" w:rsidR="006348FB" w:rsidRDefault="006348FB" w:rsidP="00147D39">
            <w:pPr>
              <w:spacing w:line="276" w:lineRule="auto"/>
              <w:jc w:val="center"/>
            </w:pPr>
          </w:p>
        </w:tc>
      </w:tr>
      <w:tr w:rsidR="006348FB" w14:paraId="176A9BA2" w14:textId="77777777" w:rsidTr="006348FB">
        <w:trPr>
          <w:cantSplit/>
          <w:trHeight w:val="403"/>
          <w:jc w:val="center"/>
        </w:trPr>
        <w:tc>
          <w:tcPr>
            <w:tcW w:w="3352" w:type="dxa"/>
            <w:tcBorders>
              <w:top w:val="single" w:sz="8" w:space="0" w:color="auto"/>
              <w:left w:val="single" w:sz="18" w:space="0" w:color="auto"/>
              <w:bottom w:val="nil"/>
              <w:right w:val="nil"/>
            </w:tcBorders>
            <w:shd w:val="clear" w:color="auto" w:fill="F2F2F2"/>
            <w:tcMar>
              <w:top w:w="0" w:type="dxa"/>
              <w:left w:w="120" w:type="dxa"/>
              <w:bottom w:w="0" w:type="dxa"/>
              <w:right w:w="120" w:type="dxa"/>
            </w:tcMar>
            <w:hideMark/>
          </w:tcPr>
          <w:p w14:paraId="13F5DD09" w14:textId="77777777" w:rsidR="006348FB" w:rsidRDefault="006348FB" w:rsidP="00147D39">
            <w:pPr>
              <w:spacing w:line="276" w:lineRule="auto"/>
            </w:pPr>
            <w:r>
              <w:rPr>
                <w:b/>
                <w:bCs/>
              </w:rPr>
              <w:t>                Activity</w:t>
            </w:r>
          </w:p>
        </w:tc>
        <w:tc>
          <w:tcPr>
            <w:tcW w:w="4287" w:type="dxa"/>
            <w:tcBorders>
              <w:top w:val="single" w:sz="8" w:space="0" w:color="auto"/>
              <w:left w:val="single" w:sz="8" w:space="0" w:color="auto"/>
              <w:bottom w:val="nil"/>
              <w:right w:val="single" w:sz="18" w:space="0" w:color="auto"/>
            </w:tcBorders>
            <w:shd w:val="clear" w:color="auto" w:fill="F2F2F2"/>
            <w:tcMar>
              <w:top w:w="0" w:type="dxa"/>
              <w:left w:w="120" w:type="dxa"/>
              <w:bottom w:w="0" w:type="dxa"/>
              <w:right w:w="120" w:type="dxa"/>
            </w:tcMar>
            <w:hideMark/>
          </w:tcPr>
          <w:p w14:paraId="5A2D5033" w14:textId="77777777" w:rsidR="006348FB" w:rsidRDefault="006348FB" w:rsidP="00147D39">
            <w:pPr>
              <w:spacing w:line="276" w:lineRule="auto"/>
            </w:pPr>
            <w:r>
              <w:rPr>
                <w:b/>
                <w:bCs/>
              </w:rPr>
              <w:t>                Time Schedule</w:t>
            </w:r>
          </w:p>
        </w:tc>
      </w:tr>
      <w:tr w:rsidR="006348FB" w14:paraId="11B8E754" w14:textId="77777777" w:rsidTr="006348FB">
        <w:trPr>
          <w:cantSplit/>
          <w:trHeight w:val="403"/>
          <w:jc w:val="center"/>
        </w:trPr>
        <w:tc>
          <w:tcPr>
            <w:tcW w:w="3352" w:type="dxa"/>
            <w:tcBorders>
              <w:top w:val="single" w:sz="8" w:space="0" w:color="auto"/>
              <w:left w:val="single" w:sz="18" w:space="0" w:color="auto"/>
              <w:bottom w:val="nil"/>
              <w:right w:val="nil"/>
            </w:tcBorders>
            <w:shd w:val="clear" w:color="auto" w:fill="FFFFFF"/>
            <w:tcMar>
              <w:top w:w="0" w:type="dxa"/>
              <w:left w:w="120" w:type="dxa"/>
              <w:bottom w:w="0" w:type="dxa"/>
              <w:right w:w="120" w:type="dxa"/>
            </w:tcMar>
            <w:hideMark/>
          </w:tcPr>
          <w:p w14:paraId="6FE146ED" w14:textId="77777777" w:rsidR="006348FB" w:rsidRDefault="006348FB" w:rsidP="00147D39">
            <w:pPr>
              <w:spacing w:line="276" w:lineRule="auto"/>
            </w:pPr>
            <w:r>
              <w:t>Program Officer requests  submission of recruitment milestones as part of just-in-time requests of grant, cooperative agreement, or contract</w:t>
            </w:r>
          </w:p>
        </w:tc>
        <w:tc>
          <w:tcPr>
            <w:tcW w:w="4287" w:type="dxa"/>
            <w:tcBorders>
              <w:top w:val="single" w:sz="8" w:space="0" w:color="auto"/>
              <w:left w:val="single" w:sz="8" w:space="0" w:color="auto"/>
              <w:bottom w:val="nil"/>
              <w:right w:val="single" w:sz="18" w:space="0" w:color="auto"/>
            </w:tcBorders>
            <w:shd w:val="clear" w:color="auto" w:fill="FFFFFF"/>
            <w:tcMar>
              <w:top w:w="0" w:type="dxa"/>
              <w:left w:w="120" w:type="dxa"/>
              <w:bottom w:w="0" w:type="dxa"/>
              <w:right w:w="120" w:type="dxa"/>
            </w:tcMar>
            <w:hideMark/>
          </w:tcPr>
          <w:p w14:paraId="306AF154" w14:textId="77777777" w:rsidR="006348FB" w:rsidRDefault="006348FB" w:rsidP="00147D39">
            <w:pPr>
              <w:spacing w:line="276" w:lineRule="auto"/>
            </w:pPr>
            <w:r>
              <w:t xml:space="preserve">2-3 months prior to award </w:t>
            </w:r>
          </w:p>
        </w:tc>
      </w:tr>
      <w:tr w:rsidR="006348FB" w14:paraId="01162AD8" w14:textId="77777777" w:rsidTr="006348FB">
        <w:trPr>
          <w:cantSplit/>
          <w:trHeight w:val="403"/>
          <w:jc w:val="center"/>
        </w:trPr>
        <w:tc>
          <w:tcPr>
            <w:tcW w:w="3352" w:type="dxa"/>
            <w:tcBorders>
              <w:top w:val="single" w:sz="8" w:space="0" w:color="auto"/>
              <w:left w:val="single" w:sz="18" w:space="0" w:color="auto"/>
              <w:bottom w:val="nil"/>
              <w:right w:val="nil"/>
            </w:tcBorders>
            <w:shd w:val="clear" w:color="auto" w:fill="FFFFFF"/>
            <w:tcMar>
              <w:top w:w="0" w:type="dxa"/>
              <w:left w:w="120" w:type="dxa"/>
              <w:bottom w:w="0" w:type="dxa"/>
              <w:right w:w="120" w:type="dxa"/>
            </w:tcMar>
            <w:hideMark/>
          </w:tcPr>
          <w:p w14:paraId="7D8F43C0" w14:textId="77777777" w:rsidR="006348FB" w:rsidRDefault="006348FB" w:rsidP="00147D39">
            <w:pPr>
              <w:spacing w:line="276" w:lineRule="auto"/>
            </w:pPr>
            <w:r>
              <w:t>Deadline for submission of recruitment milestones of grant, cooperative agreement, or contract</w:t>
            </w:r>
          </w:p>
        </w:tc>
        <w:tc>
          <w:tcPr>
            <w:tcW w:w="4287" w:type="dxa"/>
            <w:tcBorders>
              <w:top w:val="single" w:sz="8" w:space="0" w:color="auto"/>
              <w:left w:val="single" w:sz="8" w:space="0" w:color="auto"/>
              <w:bottom w:val="nil"/>
              <w:right w:val="single" w:sz="18" w:space="0" w:color="auto"/>
            </w:tcBorders>
            <w:shd w:val="clear" w:color="auto" w:fill="FFFFFF"/>
            <w:tcMar>
              <w:top w:w="0" w:type="dxa"/>
              <w:left w:w="120" w:type="dxa"/>
              <w:bottom w:w="0" w:type="dxa"/>
              <w:right w:w="120" w:type="dxa"/>
            </w:tcMar>
            <w:hideMark/>
          </w:tcPr>
          <w:p w14:paraId="7C270C77" w14:textId="77777777" w:rsidR="006348FB" w:rsidRDefault="006348FB" w:rsidP="00147D39">
            <w:pPr>
              <w:spacing w:line="276" w:lineRule="auto"/>
            </w:pPr>
            <w:r>
              <w:t>Prior to award date</w:t>
            </w:r>
          </w:p>
        </w:tc>
      </w:tr>
      <w:tr w:rsidR="006348FB" w14:paraId="70C2CE47" w14:textId="77777777" w:rsidTr="006348FB">
        <w:trPr>
          <w:cantSplit/>
          <w:trHeight w:val="403"/>
          <w:jc w:val="center"/>
        </w:trPr>
        <w:tc>
          <w:tcPr>
            <w:tcW w:w="3352" w:type="dxa"/>
            <w:tcBorders>
              <w:top w:val="single" w:sz="8" w:space="0" w:color="auto"/>
              <w:left w:val="single" w:sz="18" w:space="0" w:color="auto"/>
              <w:bottom w:val="single" w:sz="8" w:space="0" w:color="auto"/>
              <w:right w:val="nil"/>
            </w:tcBorders>
            <w:shd w:val="clear" w:color="auto" w:fill="FFFFFF"/>
            <w:tcMar>
              <w:top w:w="0" w:type="dxa"/>
              <w:left w:w="120" w:type="dxa"/>
              <w:bottom w:w="0" w:type="dxa"/>
              <w:right w:w="120" w:type="dxa"/>
            </w:tcMar>
            <w:hideMark/>
          </w:tcPr>
          <w:p w14:paraId="4A764C74" w14:textId="77777777" w:rsidR="006348FB" w:rsidRDefault="006348FB" w:rsidP="00147D39">
            <w:pPr>
              <w:spacing w:line="276" w:lineRule="auto"/>
            </w:pPr>
            <w:r>
              <w:t>Investigator submits tri-annual recruitment progress reports for the duration of recruitment cycle</w:t>
            </w:r>
          </w:p>
        </w:tc>
        <w:tc>
          <w:tcPr>
            <w:tcW w:w="4287" w:type="dxa"/>
            <w:tcBorders>
              <w:top w:val="single" w:sz="8" w:space="0" w:color="auto"/>
              <w:left w:val="single" w:sz="8" w:space="0" w:color="auto"/>
              <w:bottom w:val="nil"/>
              <w:right w:val="single" w:sz="18" w:space="0" w:color="auto"/>
            </w:tcBorders>
            <w:shd w:val="clear" w:color="auto" w:fill="FFFFFF"/>
            <w:tcMar>
              <w:top w:w="0" w:type="dxa"/>
              <w:left w:w="120" w:type="dxa"/>
              <w:bottom w:w="0" w:type="dxa"/>
              <w:right w:w="120" w:type="dxa"/>
            </w:tcMar>
            <w:hideMark/>
          </w:tcPr>
          <w:p w14:paraId="375FC985" w14:textId="77777777" w:rsidR="006348FB" w:rsidRDefault="006348FB" w:rsidP="00147D39">
            <w:pPr>
              <w:spacing w:line="276" w:lineRule="auto"/>
            </w:pPr>
            <w:r>
              <w:t xml:space="preserve">April  1, August  1, and December  1 </w:t>
            </w:r>
          </w:p>
        </w:tc>
      </w:tr>
      <w:tr w:rsidR="006348FB" w14:paraId="63B6105E" w14:textId="77777777" w:rsidTr="006348FB">
        <w:trPr>
          <w:cantSplit/>
          <w:trHeight w:val="403"/>
          <w:jc w:val="center"/>
        </w:trPr>
        <w:tc>
          <w:tcPr>
            <w:tcW w:w="3352" w:type="dxa"/>
            <w:tcBorders>
              <w:top w:val="single" w:sz="8" w:space="0" w:color="auto"/>
              <w:left w:val="single" w:sz="18" w:space="0" w:color="auto"/>
              <w:bottom w:val="single" w:sz="8" w:space="0" w:color="auto"/>
              <w:right w:val="single" w:sz="4" w:space="0" w:color="auto"/>
            </w:tcBorders>
            <w:shd w:val="clear" w:color="auto" w:fill="FFFFFF"/>
            <w:tcMar>
              <w:top w:w="0" w:type="dxa"/>
              <w:left w:w="120" w:type="dxa"/>
              <w:bottom w:w="0" w:type="dxa"/>
              <w:right w:w="120" w:type="dxa"/>
            </w:tcMar>
            <w:hideMark/>
          </w:tcPr>
          <w:p w14:paraId="7C706743" w14:textId="77777777" w:rsidR="006348FB" w:rsidRPr="006348FB" w:rsidRDefault="006348FB" w:rsidP="00147D39">
            <w:pPr>
              <w:spacing w:line="276" w:lineRule="auto"/>
            </w:pPr>
            <w:r w:rsidRPr="006348FB">
              <w:t>Tri-annual recruitment milestone reports provided to NIMH Director and NIMH Division Directors</w:t>
            </w:r>
          </w:p>
        </w:tc>
        <w:tc>
          <w:tcPr>
            <w:tcW w:w="4287" w:type="dxa"/>
            <w:tcBorders>
              <w:top w:val="single" w:sz="8" w:space="0" w:color="auto"/>
              <w:left w:val="single" w:sz="4" w:space="0" w:color="auto"/>
              <w:bottom w:val="single" w:sz="8" w:space="0" w:color="auto"/>
              <w:right w:val="single" w:sz="18" w:space="0" w:color="auto"/>
            </w:tcBorders>
            <w:shd w:val="clear" w:color="auto" w:fill="FFFFFF"/>
            <w:tcMar>
              <w:top w:w="0" w:type="dxa"/>
              <w:left w:w="120" w:type="dxa"/>
              <w:bottom w:w="0" w:type="dxa"/>
              <w:right w:w="120" w:type="dxa"/>
            </w:tcMar>
          </w:tcPr>
          <w:p w14:paraId="7F365DB6" w14:textId="77777777" w:rsidR="006348FB" w:rsidRPr="006348FB" w:rsidRDefault="006348FB" w:rsidP="00147D39">
            <w:pPr>
              <w:spacing w:line="276" w:lineRule="auto"/>
            </w:pPr>
            <w:r w:rsidRPr="006348FB">
              <w:t>Mid-April, mid-August, and mid-December</w:t>
            </w:r>
          </w:p>
        </w:tc>
      </w:tr>
      <w:tr w:rsidR="006348FB" w14:paraId="19BC64EF" w14:textId="77777777" w:rsidTr="006348FB">
        <w:trPr>
          <w:cantSplit/>
          <w:trHeight w:val="403"/>
          <w:jc w:val="center"/>
        </w:trPr>
        <w:tc>
          <w:tcPr>
            <w:tcW w:w="3352" w:type="dxa"/>
            <w:tcBorders>
              <w:top w:val="single" w:sz="8" w:space="0" w:color="auto"/>
              <w:left w:val="single" w:sz="18" w:space="0" w:color="auto"/>
              <w:bottom w:val="single" w:sz="18" w:space="0" w:color="auto"/>
              <w:right w:val="single" w:sz="4" w:space="0" w:color="auto"/>
            </w:tcBorders>
            <w:shd w:val="clear" w:color="auto" w:fill="FFFFFF"/>
            <w:tcMar>
              <w:top w:w="0" w:type="dxa"/>
              <w:left w:w="120" w:type="dxa"/>
              <w:bottom w:w="0" w:type="dxa"/>
              <w:right w:w="120" w:type="dxa"/>
            </w:tcMar>
          </w:tcPr>
          <w:p w14:paraId="5A9ECCB9" w14:textId="77777777" w:rsidR="006348FB" w:rsidRPr="006348FB" w:rsidRDefault="006348FB" w:rsidP="006348FB">
            <w:pPr>
              <w:spacing w:line="276" w:lineRule="auto"/>
            </w:pPr>
            <w:r>
              <w:t>Investigators failing to meet  recruitment milestones submit interim reports</w:t>
            </w:r>
          </w:p>
        </w:tc>
        <w:tc>
          <w:tcPr>
            <w:tcW w:w="4287" w:type="dxa"/>
            <w:tcBorders>
              <w:top w:val="single" w:sz="8" w:space="0" w:color="auto"/>
              <w:left w:val="single" w:sz="4" w:space="0" w:color="auto"/>
              <w:bottom w:val="single" w:sz="18" w:space="0" w:color="auto"/>
              <w:right w:val="single" w:sz="18" w:space="0" w:color="auto"/>
            </w:tcBorders>
            <w:shd w:val="clear" w:color="auto" w:fill="FFFFFF"/>
            <w:tcMar>
              <w:top w:w="0" w:type="dxa"/>
              <w:left w:w="120" w:type="dxa"/>
              <w:bottom w:w="0" w:type="dxa"/>
              <w:right w:w="120" w:type="dxa"/>
            </w:tcMar>
          </w:tcPr>
          <w:p w14:paraId="1920C899" w14:textId="77777777" w:rsidR="006348FB" w:rsidRPr="006348FB" w:rsidRDefault="006348FB" w:rsidP="00147D39">
            <w:pPr>
              <w:spacing w:line="276" w:lineRule="auto"/>
            </w:pPr>
            <w:r>
              <w:t>Monthly</w:t>
            </w:r>
          </w:p>
        </w:tc>
      </w:tr>
    </w:tbl>
    <w:p w14:paraId="6B78E602" w14:textId="77777777" w:rsidR="00872FE6" w:rsidRDefault="00872FE6" w:rsidP="00886CF6">
      <w:pPr>
        <w:spacing w:line="360" w:lineRule="auto"/>
      </w:pPr>
    </w:p>
    <w:p w14:paraId="181CDBFB" w14:textId="77777777" w:rsidR="00886CF6" w:rsidRDefault="00886CF6" w:rsidP="002208BA"/>
    <w:p w14:paraId="262FEC66" w14:textId="77777777" w:rsidR="002208BA" w:rsidRDefault="00807E31" w:rsidP="00EF2EA6">
      <w:pPr>
        <w:pStyle w:val="Heading2"/>
        <w:tabs>
          <w:tab w:val="clear" w:pos="1152"/>
          <w:tab w:val="left" w:pos="720"/>
        </w:tabs>
        <w:spacing w:after="0" w:line="480" w:lineRule="auto"/>
        <w:ind w:left="0" w:firstLine="0"/>
        <w:rPr>
          <w:sz w:val="24"/>
          <w:szCs w:val="24"/>
        </w:rPr>
      </w:pPr>
      <w:bookmarkStart w:id="53" w:name="_Toc443881759"/>
      <w:bookmarkStart w:id="54" w:name="_Toc451592246"/>
      <w:bookmarkStart w:id="55" w:name="_Toc5610287"/>
      <w:bookmarkStart w:id="56" w:name="_Toc99178793"/>
      <w:r>
        <w:rPr>
          <w:sz w:val="24"/>
          <w:szCs w:val="24"/>
        </w:rPr>
        <w:t>A.</w:t>
      </w:r>
      <w:r w:rsidRPr="00D61E21">
        <w:rPr>
          <w:sz w:val="24"/>
          <w:szCs w:val="24"/>
        </w:rPr>
        <w:t>16</w:t>
      </w:r>
      <w:r w:rsidRPr="00D61E21">
        <w:rPr>
          <w:sz w:val="24"/>
          <w:szCs w:val="24"/>
        </w:rPr>
        <w:tab/>
        <w:t>Plans for Tabulation and Publication and Project Time Schedule</w:t>
      </w:r>
      <w:bookmarkEnd w:id="53"/>
      <w:bookmarkEnd w:id="54"/>
      <w:bookmarkEnd w:id="55"/>
      <w:bookmarkEnd w:id="56"/>
    </w:p>
    <w:p w14:paraId="178CD215" w14:textId="77777777" w:rsidR="00872FE6" w:rsidRDefault="00872FE6" w:rsidP="00747B70">
      <w:pPr>
        <w:spacing w:line="480" w:lineRule="auto"/>
        <w:rPr>
          <w:color w:val="000000"/>
        </w:rPr>
      </w:pPr>
      <w:r>
        <w:rPr>
          <w:color w:val="000000"/>
        </w:rPr>
        <w:t xml:space="preserve">There is no specific plan to publish the data collected from this form.  These data are for internal monitoring purposes. </w:t>
      </w:r>
    </w:p>
    <w:p w14:paraId="10643EFB" w14:textId="77777777" w:rsidR="00807E31" w:rsidRPr="00D61E21" w:rsidRDefault="00807E31" w:rsidP="00807E31">
      <w:pPr>
        <w:pStyle w:val="Heading2"/>
        <w:tabs>
          <w:tab w:val="clear" w:pos="1152"/>
          <w:tab w:val="left" w:pos="720"/>
        </w:tabs>
        <w:spacing w:after="0" w:line="480" w:lineRule="auto"/>
        <w:ind w:left="0" w:firstLine="0"/>
        <w:rPr>
          <w:sz w:val="24"/>
          <w:szCs w:val="24"/>
        </w:rPr>
      </w:pPr>
      <w:bookmarkStart w:id="57" w:name="_Toc443881760"/>
      <w:bookmarkStart w:id="58" w:name="_Toc451592247"/>
      <w:bookmarkStart w:id="59" w:name="_Toc5610288"/>
      <w:bookmarkStart w:id="60" w:name="_Toc99178794"/>
      <w:r>
        <w:rPr>
          <w:sz w:val="24"/>
          <w:szCs w:val="24"/>
        </w:rPr>
        <w:t>A.</w:t>
      </w:r>
      <w:r w:rsidRPr="00D61E21">
        <w:rPr>
          <w:sz w:val="24"/>
          <w:szCs w:val="24"/>
        </w:rPr>
        <w:t>17</w:t>
      </w:r>
      <w:r w:rsidRPr="00D61E21">
        <w:rPr>
          <w:sz w:val="24"/>
          <w:szCs w:val="24"/>
        </w:rPr>
        <w:tab/>
        <w:t>Reason(s) Display of OMB Expiration Date is Inappropriate</w:t>
      </w:r>
      <w:bookmarkEnd w:id="57"/>
      <w:bookmarkEnd w:id="58"/>
      <w:bookmarkEnd w:id="59"/>
      <w:bookmarkEnd w:id="60"/>
    </w:p>
    <w:p w14:paraId="70D0E45E" w14:textId="77777777" w:rsidR="002208BA" w:rsidRDefault="006C601A" w:rsidP="007F36CC">
      <w:pPr>
        <w:spacing w:line="360" w:lineRule="auto"/>
      </w:pPr>
      <w:r>
        <w:t>The OMB expiration date</w:t>
      </w:r>
      <w:r w:rsidR="006348FB">
        <w:t xml:space="preserve"> currently </w:t>
      </w:r>
      <w:r>
        <w:t>displayed in the system</w:t>
      </w:r>
      <w:r w:rsidR="00534275">
        <w:t xml:space="preserve"> is </w:t>
      </w:r>
      <w:r w:rsidR="006348FB">
        <w:t>accurate</w:t>
      </w:r>
      <w:r w:rsidR="00534275">
        <w:t>.</w:t>
      </w:r>
    </w:p>
    <w:p w14:paraId="18D5EB67" w14:textId="77777777" w:rsidR="00411E30" w:rsidRPr="002208BA" w:rsidRDefault="00411E30" w:rsidP="00411E30">
      <w:pPr>
        <w:rPr>
          <w:vanish/>
        </w:rPr>
      </w:pPr>
    </w:p>
    <w:p w14:paraId="61B48EA1" w14:textId="77777777" w:rsidR="00807E31" w:rsidRPr="008F048F" w:rsidRDefault="00807E31" w:rsidP="00807E31">
      <w:pPr>
        <w:rPr>
          <w:color w:val="FF0000"/>
        </w:rPr>
      </w:pPr>
    </w:p>
    <w:p w14:paraId="66D0A9E0" w14:textId="77777777" w:rsidR="00807E31" w:rsidRPr="00EF2EA6" w:rsidRDefault="00807E31" w:rsidP="00807E31">
      <w:pPr>
        <w:pStyle w:val="Heading2"/>
        <w:tabs>
          <w:tab w:val="clear" w:pos="1152"/>
          <w:tab w:val="left" w:pos="720"/>
        </w:tabs>
        <w:spacing w:after="0" w:line="480" w:lineRule="auto"/>
        <w:ind w:left="0" w:firstLine="0"/>
        <w:rPr>
          <w:sz w:val="24"/>
          <w:szCs w:val="24"/>
        </w:rPr>
      </w:pPr>
      <w:bookmarkStart w:id="61" w:name="_Toc443881761"/>
      <w:bookmarkStart w:id="62" w:name="_Toc451592248"/>
      <w:bookmarkStart w:id="63" w:name="_Toc5610289"/>
      <w:bookmarkStart w:id="64" w:name="_Toc99178795"/>
      <w:r w:rsidRPr="00EF2EA6">
        <w:rPr>
          <w:sz w:val="24"/>
          <w:szCs w:val="24"/>
        </w:rPr>
        <w:t>A.18</w:t>
      </w:r>
      <w:r w:rsidRPr="00EF2EA6">
        <w:rPr>
          <w:sz w:val="24"/>
          <w:szCs w:val="24"/>
        </w:rPr>
        <w:tab/>
        <w:t>Exceptions to Certification for Paperwork Reduction Act Submissions</w:t>
      </w:r>
      <w:bookmarkEnd w:id="61"/>
      <w:bookmarkEnd w:id="62"/>
      <w:bookmarkEnd w:id="63"/>
      <w:bookmarkEnd w:id="64"/>
    </w:p>
    <w:p w14:paraId="6E11EC16" w14:textId="77777777" w:rsidR="002208BA" w:rsidRPr="002208BA" w:rsidRDefault="006C601A" w:rsidP="002208BA">
      <w:pPr>
        <w:rPr>
          <w:vanish/>
        </w:rPr>
      </w:pPr>
      <w:r>
        <w:t>These exceptions do not apply to this revision request.</w:t>
      </w:r>
    </w:p>
    <w:p w14:paraId="409AEF8B" w14:textId="77777777" w:rsidR="0093431F" w:rsidRPr="0005035B" w:rsidRDefault="0093431F" w:rsidP="00411E30">
      <w:pPr>
        <w:rPr>
          <w:color w:val="FF0000"/>
          <w:sz w:val="32"/>
          <w:szCs w:val="32"/>
        </w:rPr>
      </w:pPr>
    </w:p>
    <w:sectPr w:rsidR="0093431F" w:rsidRPr="0005035B" w:rsidSect="00140E2F">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549DC3" w15:done="0"/>
  <w15:commentEx w15:paraId="6FDEFB5E" w15:done="0"/>
  <w15:commentEx w15:paraId="0E2EE9A1" w15:done="0"/>
  <w15:commentEx w15:paraId="25B32AC1" w15:done="0"/>
  <w15:commentEx w15:paraId="29F6B910" w15:done="0"/>
  <w15:commentEx w15:paraId="0899D7AC" w15:done="0"/>
  <w15:commentEx w15:paraId="51F90546" w15:done="0"/>
  <w15:commentEx w15:paraId="6BF0D917" w15:done="0"/>
  <w15:commentEx w15:paraId="74535D18" w15:done="0"/>
  <w15:commentEx w15:paraId="6500F2CE" w15:done="0"/>
  <w15:commentEx w15:paraId="5557B8D6" w15:done="0"/>
  <w15:commentEx w15:paraId="59BB510A" w15:done="0"/>
  <w15:commentEx w15:paraId="00BD1079" w15:done="0"/>
  <w15:commentEx w15:paraId="6ABEF272" w15:done="0"/>
  <w15:commentEx w15:paraId="241B83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B752C" w14:textId="77777777" w:rsidR="00D06D7D" w:rsidRDefault="00D06D7D">
      <w:r>
        <w:separator/>
      </w:r>
    </w:p>
  </w:endnote>
  <w:endnote w:type="continuationSeparator" w:id="0">
    <w:p w14:paraId="1D082038" w14:textId="77777777" w:rsidR="00D06D7D" w:rsidRDefault="00D06D7D">
      <w:r>
        <w:continuationSeparator/>
      </w:r>
    </w:p>
  </w:endnote>
  <w:endnote w:type="continuationNotice" w:id="1">
    <w:p w14:paraId="40EA0650" w14:textId="77777777" w:rsidR="00D06D7D" w:rsidRDefault="00D06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D551F" w14:textId="77777777" w:rsidR="00845114" w:rsidRDefault="00845114"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774713" w14:textId="77777777" w:rsidR="00845114" w:rsidRDefault="008451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A0BCF" w14:textId="77777777" w:rsidR="00845114" w:rsidRDefault="00845114"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1FC5">
      <w:rPr>
        <w:rStyle w:val="PageNumber"/>
        <w:noProof/>
      </w:rPr>
      <w:t>14</w:t>
    </w:r>
    <w:r>
      <w:rPr>
        <w:rStyle w:val="PageNumber"/>
      </w:rPr>
      <w:fldChar w:fldCharType="end"/>
    </w:r>
  </w:p>
  <w:p w14:paraId="7673C862" w14:textId="77777777" w:rsidR="00845114" w:rsidRDefault="00845114"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84AAF" w14:textId="77777777" w:rsidR="00D06D7D" w:rsidRDefault="00D06D7D">
      <w:r>
        <w:separator/>
      </w:r>
    </w:p>
  </w:footnote>
  <w:footnote w:type="continuationSeparator" w:id="0">
    <w:p w14:paraId="25F0D227" w14:textId="77777777" w:rsidR="00D06D7D" w:rsidRDefault="00D06D7D">
      <w:r>
        <w:continuationSeparator/>
      </w:r>
    </w:p>
  </w:footnote>
  <w:footnote w:type="continuationNotice" w:id="1">
    <w:p w14:paraId="74EDA93F" w14:textId="77777777" w:rsidR="00D06D7D" w:rsidRDefault="00D06D7D"/>
  </w:footnote>
  <w:footnote w:id="2">
    <w:p w14:paraId="12E48263" w14:textId="77777777" w:rsidR="006544DA" w:rsidRDefault="006544DA" w:rsidP="0004235E">
      <w:pPr>
        <w:pStyle w:val="FootnoteText"/>
        <w:rPr>
          <w:color w:val="000000"/>
          <w:sz w:val="18"/>
          <w:szCs w:val="18"/>
          <w:shd w:val="clear" w:color="auto" w:fill="FFFFFF"/>
        </w:rPr>
      </w:pPr>
      <w:r w:rsidRPr="0004235E">
        <w:rPr>
          <w:rStyle w:val="FootnoteReference"/>
          <w:sz w:val="18"/>
          <w:szCs w:val="18"/>
        </w:rPr>
        <w:footnoteRef/>
      </w:r>
      <w:r w:rsidRPr="0004235E">
        <w:rPr>
          <w:sz w:val="18"/>
          <w:szCs w:val="18"/>
        </w:rPr>
        <w:t xml:space="preserve"> </w:t>
      </w:r>
      <w:r w:rsidRPr="0004235E">
        <w:rPr>
          <w:color w:val="000000"/>
          <w:sz w:val="18"/>
          <w:szCs w:val="18"/>
          <w:shd w:val="clear" w:color="auto" w:fill="FFFFFF"/>
        </w:rPr>
        <w:t>5. Ross JS et al.</w:t>
      </w:r>
      <w:r w:rsidRPr="0004235E">
        <w:rPr>
          <w:rStyle w:val="apple-converted-space"/>
          <w:color w:val="000000"/>
          <w:sz w:val="18"/>
          <w:szCs w:val="18"/>
          <w:shd w:val="clear" w:color="auto" w:fill="FFFFFF"/>
        </w:rPr>
        <w:t> </w:t>
      </w:r>
      <w:hyperlink r:id="rId1" w:history="1">
        <w:r w:rsidRPr="0004235E">
          <w:rPr>
            <w:rStyle w:val="Hyperlink"/>
            <w:color w:val="005395"/>
            <w:sz w:val="18"/>
            <w:szCs w:val="18"/>
            <w:shd w:val="clear" w:color="auto" w:fill="FFFFFF"/>
          </w:rPr>
          <w:t>Publication of NIH funded trials registered in ClinicalTrials.gov: Cross sectional analysis </w:t>
        </w:r>
      </w:hyperlink>
      <w:r w:rsidRPr="0004235E">
        <w:rPr>
          <w:color w:val="000000"/>
          <w:sz w:val="18"/>
          <w:szCs w:val="18"/>
          <w:shd w:val="clear" w:color="auto" w:fill="FFFFFF"/>
        </w:rPr>
        <w:t>. BMJ. 2012 Jan 3; 344: d7292.</w:t>
      </w:r>
    </w:p>
    <w:p w14:paraId="2082AD0F" w14:textId="77777777" w:rsidR="0004235E" w:rsidRPr="0004235E" w:rsidRDefault="0004235E" w:rsidP="0004235E">
      <w:pPr>
        <w:pStyle w:val="FootnoteText"/>
        <w:rPr>
          <w:sz w:val="18"/>
          <w:szCs w:val="18"/>
        </w:rPr>
      </w:pPr>
    </w:p>
  </w:footnote>
  <w:footnote w:id="3">
    <w:p w14:paraId="636AD01A" w14:textId="77777777" w:rsidR="00D13EBA" w:rsidRPr="0004235E" w:rsidRDefault="00D13EBA" w:rsidP="0004235E">
      <w:pPr>
        <w:shd w:val="clear" w:color="auto" w:fill="FFFFFF"/>
        <w:rPr>
          <w:color w:val="000000"/>
          <w:sz w:val="18"/>
          <w:szCs w:val="18"/>
        </w:rPr>
      </w:pPr>
      <w:r w:rsidRPr="0004235E">
        <w:rPr>
          <w:rStyle w:val="FootnoteReference"/>
          <w:sz w:val="18"/>
          <w:szCs w:val="18"/>
        </w:rPr>
        <w:footnoteRef/>
      </w:r>
      <w:r w:rsidRPr="0004235E">
        <w:rPr>
          <w:sz w:val="18"/>
          <w:szCs w:val="18"/>
        </w:rPr>
        <w:t xml:space="preserve"> </w:t>
      </w:r>
      <w:r w:rsidRPr="0004235E">
        <w:rPr>
          <w:color w:val="000000"/>
          <w:sz w:val="18"/>
          <w:szCs w:val="18"/>
        </w:rPr>
        <w:t>Gogtay N and Insel T. NIMH Clinical Trials: Portfolio, Progress to Date, and the Road Forward</w:t>
      </w:r>
      <w:hyperlink r:id="rId2" w:history="1">
        <w:r w:rsidRPr="0004235E">
          <w:rPr>
            <w:rStyle w:val="Hyperlink"/>
            <w:color w:val="005395"/>
            <w:sz w:val="18"/>
            <w:szCs w:val="18"/>
          </w:rPr>
          <w:t>.</w:t>
        </w:r>
      </w:hyperlink>
      <w:r w:rsidRPr="0004235E">
        <w:rPr>
          <w:rStyle w:val="apple-converted-space"/>
          <w:color w:val="000000"/>
          <w:sz w:val="18"/>
          <w:szCs w:val="18"/>
        </w:rPr>
        <w:t> </w:t>
      </w:r>
      <w:hyperlink r:id="rId3" w:history="1">
        <w:r w:rsidRPr="0004235E">
          <w:rPr>
            <w:rStyle w:val="Hyperlink"/>
            <w:color w:val="005395"/>
            <w:sz w:val="18"/>
            <w:szCs w:val="18"/>
          </w:rPr>
          <w:t>National Institute of Mental Health</w:t>
        </w:r>
      </w:hyperlink>
      <w:r w:rsidRPr="0004235E">
        <w:rPr>
          <w:color w:val="000000"/>
          <w:sz w:val="18"/>
          <w:szCs w:val="18"/>
        </w:rPr>
        <w:t>. 2015.</w:t>
      </w:r>
    </w:p>
    <w:p w14:paraId="13BE61DF" w14:textId="77777777" w:rsidR="00D13EBA" w:rsidRDefault="00D13EBA">
      <w:pPr>
        <w:pStyle w:val="FootnoteText"/>
      </w:pPr>
    </w:p>
  </w:footnote>
  <w:footnote w:id="4">
    <w:p w14:paraId="2D80D58D" w14:textId="53C4EDDE" w:rsidR="00E1132F" w:rsidRPr="0004235E" w:rsidRDefault="00E1132F" w:rsidP="00E1132F">
      <w:pPr>
        <w:pStyle w:val="FootnoteText"/>
        <w:rPr>
          <w:sz w:val="18"/>
          <w:szCs w:val="18"/>
        </w:rPr>
      </w:pPr>
      <w:r w:rsidRPr="0004235E">
        <w:rPr>
          <w:rStyle w:val="FootnoteReference"/>
          <w:sz w:val="18"/>
          <w:szCs w:val="18"/>
        </w:rPr>
        <w:footnoteRef/>
      </w:r>
      <w:r w:rsidRPr="0004235E">
        <w:rPr>
          <w:sz w:val="18"/>
          <w:szCs w:val="18"/>
        </w:rPr>
        <w:t xml:space="preserve"> See NIH Grants Policy Statement Part 2, Subpart A, 8.5.2 at </w:t>
      </w:r>
      <w:hyperlink r:id="rId4" w:history="1">
        <w:r w:rsidRPr="0004235E">
          <w:rPr>
            <w:rStyle w:val="Hyperlink"/>
            <w:sz w:val="18"/>
            <w:szCs w:val="18"/>
          </w:rPr>
          <w:t>http://grants.nih.gov/grants/policy/nihgps_2013/nihgps_ch8.htm</w:t>
        </w:r>
      </w:hyperlink>
      <w:r w:rsidRPr="0004235E">
        <w:rPr>
          <w:sz w:val="18"/>
          <w:szCs w:val="18"/>
        </w:rPr>
        <w:t xml:space="preserve"> and Federal Aquisition Regulations Part 49 at </w:t>
      </w:r>
      <w:hyperlink r:id="rId5" w:history="1">
        <w:r w:rsidRPr="0004235E">
          <w:rPr>
            <w:rStyle w:val="Hyperlink"/>
            <w:sz w:val="18"/>
            <w:szCs w:val="18"/>
          </w:rPr>
          <w:t>https://www.acquisition.gov/sites/default/files/current/far/html/FARTOCP49.html</w:t>
        </w:r>
      </w:hyperlink>
      <w:r w:rsidRPr="0004235E">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320D3" w14:textId="77777777" w:rsidR="000D37CC" w:rsidRDefault="000D3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6540F"/>
    <w:multiLevelType w:val="hybridMultilevel"/>
    <w:tmpl w:val="FBC2C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02BBF"/>
    <w:multiLevelType w:val="hybridMultilevel"/>
    <w:tmpl w:val="7F5A1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D0F4F"/>
    <w:multiLevelType w:val="hybridMultilevel"/>
    <w:tmpl w:val="043A6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143BE"/>
    <w:multiLevelType w:val="hybridMultilevel"/>
    <w:tmpl w:val="F028B64C"/>
    <w:lvl w:ilvl="0" w:tplc="86921AD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A6D028F"/>
    <w:multiLevelType w:val="hybridMultilevel"/>
    <w:tmpl w:val="C0E6D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6">
    <w:nsid w:val="5A442D96"/>
    <w:multiLevelType w:val="hybridMultilevel"/>
    <w:tmpl w:val="043A6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917559D"/>
    <w:multiLevelType w:val="hybridMultilevel"/>
    <w:tmpl w:val="46E2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B65CCC"/>
    <w:multiLevelType w:val="hybridMultilevel"/>
    <w:tmpl w:val="7C88FD30"/>
    <w:lvl w:ilvl="0" w:tplc="71427A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1B70D9"/>
    <w:multiLevelType w:val="multilevel"/>
    <w:tmpl w:val="118E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6"/>
  </w:num>
  <w:num w:numId="5">
    <w:abstractNumId w:val="8"/>
  </w:num>
  <w:num w:numId="6">
    <w:abstractNumId w:val="1"/>
  </w:num>
  <w:num w:numId="7">
    <w:abstractNumId w:val="4"/>
  </w:num>
  <w:num w:numId="8">
    <w:abstractNumId w:val="9"/>
  </w:num>
  <w:num w:numId="9">
    <w:abstractNumId w:val="0"/>
  </w:num>
  <w:num w:numId="10">
    <w:abstractNumId w:val="2"/>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108AC"/>
    <w:rsid w:val="000160AA"/>
    <w:rsid w:val="00020E54"/>
    <w:rsid w:val="00024FB8"/>
    <w:rsid w:val="0004120C"/>
    <w:rsid w:val="00041715"/>
    <w:rsid w:val="0004235E"/>
    <w:rsid w:val="00044437"/>
    <w:rsid w:val="0005035B"/>
    <w:rsid w:val="00053D8D"/>
    <w:rsid w:val="00057115"/>
    <w:rsid w:val="0005778C"/>
    <w:rsid w:val="0006282F"/>
    <w:rsid w:val="00067402"/>
    <w:rsid w:val="00071B80"/>
    <w:rsid w:val="000747A7"/>
    <w:rsid w:val="000A19DE"/>
    <w:rsid w:val="000A7A7C"/>
    <w:rsid w:val="000D1A72"/>
    <w:rsid w:val="000D37CC"/>
    <w:rsid w:val="000F2345"/>
    <w:rsid w:val="0010062E"/>
    <w:rsid w:val="001022A4"/>
    <w:rsid w:val="001023FD"/>
    <w:rsid w:val="001056F9"/>
    <w:rsid w:val="00107250"/>
    <w:rsid w:val="00107FC3"/>
    <w:rsid w:val="001307A2"/>
    <w:rsid w:val="0013116C"/>
    <w:rsid w:val="00140E2F"/>
    <w:rsid w:val="00150E31"/>
    <w:rsid w:val="001527A2"/>
    <w:rsid w:val="0015785B"/>
    <w:rsid w:val="001602E9"/>
    <w:rsid w:val="0016182C"/>
    <w:rsid w:val="00177B27"/>
    <w:rsid w:val="00180549"/>
    <w:rsid w:val="001A5068"/>
    <w:rsid w:val="001B1C1F"/>
    <w:rsid w:val="001B5EF9"/>
    <w:rsid w:val="001B69C0"/>
    <w:rsid w:val="001C142B"/>
    <w:rsid w:val="001C7C4A"/>
    <w:rsid w:val="001D248E"/>
    <w:rsid w:val="001D270D"/>
    <w:rsid w:val="001E2C04"/>
    <w:rsid w:val="001E2FE6"/>
    <w:rsid w:val="001F3DCF"/>
    <w:rsid w:val="001F46A2"/>
    <w:rsid w:val="00215843"/>
    <w:rsid w:val="002208BA"/>
    <w:rsid w:val="002261CA"/>
    <w:rsid w:val="0024029C"/>
    <w:rsid w:val="00250FE7"/>
    <w:rsid w:val="002534D1"/>
    <w:rsid w:val="00253792"/>
    <w:rsid w:val="00253C78"/>
    <w:rsid w:val="0026021E"/>
    <w:rsid w:val="0026075C"/>
    <w:rsid w:val="00262C81"/>
    <w:rsid w:val="00272C13"/>
    <w:rsid w:val="0029404C"/>
    <w:rsid w:val="00295C5D"/>
    <w:rsid w:val="0029639F"/>
    <w:rsid w:val="002A5B21"/>
    <w:rsid w:val="002B1716"/>
    <w:rsid w:val="002B228F"/>
    <w:rsid w:val="002B705F"/>
    <w:rsid w:val="002C3B65"/>
    <w:rsid w:val="002D1EFA"/>
    <w:rsid w:val="002D2CA0"/>
    <w:rsid w:val="002D2D30"/>
    <w:rsid w:val="002D3C5C"/>
    <w:rsid w:val="002E1650"/>
    <w:rsid w:val="002F384B"/>
    <w:rsid w:val="00310A91"/>
    <w:rsid w:val="00317EE2"/>
    <w:rsid w:val="003209BA"/>
    <w:rsid w:val="003229E0"/>
    <w:rsid w:val="00326840"/>
    <w:rsid w:val="003353F4"/>
    <w:rsid w:val="00337016"/>
    <w:rsid w:val="0034445A"/>
    <w:rsid w:val="0036048D"/>
    <w:rsid w:val="00371EE3"/>
    <w:rsid w:val="003750DE"/>
    <w:rsid w:val="003803F1"/>
    <w:rsid w:val="00380465"/>
    <w:rsid w:val="0038462D"/>
    <w:rsid w:val="00386070"/>
    <w:rsid w:val="003900CE"/>
    <w:rsid w:val="00391DF5"/>
    <w:rsid w:val="003A4FDB"/>
    <w:rsid w:val="003B3547"/>
    <w:rsid w:val="003B71AB"/>
    <w:rsid w:val="003C00C8"/>
    <w:rsid w:val="003D0118"/>
    <w:rsid w:val="003D41E6"/>
    <w:rsid w:val="003E39DA"/>
    <w:rsid w:val="003E5D3E"/>
    <w:rsid w:val="003F3F3A"/>
    <w:rsid w:val="00400E0B"/>
    <w:rsid w:val="00411E30"/>
    <w:rsid w:val="004134B5"/>
    <w:rsid w:val="00415757"/>
    <w:rsid w:val="00415879"/>
    <w:rsid w:val="0041772B"/>
    <w:rsid w:val="00425D35"/>
    <w:rsid w:val="00442CC7"/>
    <w:rsid w:val="00444226"/>
    <w:rsid w:val="00454331"/>
    <w:rsid w:val="00454340"/>
    <w:rsid w:val="00456066"/>
    <w:rsid w:val="00460BCD"/>
    <w:rsid w:val="00461873"/>
    <w:rsid w:val="00466053"/>
    <w:rsid w:val="00467F6E"/>
    <w:rsid w:val="004842EB"/>
    <w:rsid w:val="00497866"/>
    <w:rsid w:val="004A5EFB"/>
    <w:rsid w:val="004A70E1"/>
    <w:rsid w:val="004C16AD"/>
    <w:rsid w:val="004C1CA8"/>
    <w:rsid w:val="004E0025"/>
    <w:rsid w:val="004E2A0A"/>
    <w:rsid w:val="004E3F36"/>
    <w:rsid w:val="004E74B8"/>
    <w:rsid w:val="004F76BD"/>
    <w:rsid w:val="00500A07"/>
    <w:rsid w:val="00500F49"/>
    <w:rsid w:val="00534275"/>
    <w:rsid w:val="00540448"/>
    <w:rsid w:val="00545105"/>
    <w:rsid w:val="00563174"/>
    <w:rsid w:val="0056480D"/>
    <w:rsid w:val="005702C0"/>
    <w:rsid w:val="00571108"/>
    <w:rsid w:val="00585D5D"/>
    <w:rsid w:val="0059666C"/>
    <w:rsid w:val="005974BD"/>
    <w:rsid w:val="00597681"/>
    <w:rsid w:val="005A372C"/>
    <w:rsid w:val="005C0E24"/>
    <w:rsid w:val="005C3DC2"/>
    <w:rsid w:val="005D3103"/>
    <w:rsid w:val="005E2F56"/>
    <w:rsid w:val="005E35D6"/>
    <w:rsid w:val="005E6052"/>
    <w:rsid w:val="005F7ED9"/>
    <w:rsid w:val="00605B22"/>
    <w:rsid w:val="00606BB1"/>
    <w:rsid w:val="006348FB"/>
    <w:rsid w:val="006373ED"/>
    <w:rsid w:val="0064288D"/>
    <w:rsid w:val="006521FB"/>
    <w:rsid w:val="00652FD4"/>
    <w:rsid w:val="006544DA"/>
    <w:rsid w:val="0066179C"/>
    <w:rsid w:val="00664F1E"/>
    <w:rsid w:val="00680E77"/>
    <w:rsid w:val="006A2742"/>
    <w:rsid w:val="006A6C83"/>
    <w:rsid w:val="006B1D0A"/>
    <w:rsid w:val="006C16F9"/>
    <w:rsid w:val="006C601A"/>
    <w:rsid w:val="006D1BCC"/>
    <w:rsid w:val="006D3776"/>
    <w:rsid w:val="006E557B"/>
    <w:rsid w:val="006E6091"/>
    <w:rsid w:val="007014BB"/>
    <w:rsid w:val="00707CFE"/>
    <w:rsid w:val="00721A8B"/>
    <w:rsid w:val="00724549"/>
    <w:rsid w:val="007248B2"/>
    <w:rsid w:val="007268D4"/>
    <w:rsid w:val="00730CD6"/>
    <w:rsid w:val="00733E14"/>
    <w:rsid w:val="00737BA2"/>
    <w:rsid w:val="00741EE3"/>
    <w:rsid w:val="00747B70"/>
    <w:rsid w:val="00754A40"/>
    <w:rsid w:val="007754C2"/>
    <w:rsid w:val="007A33EC"/>
    <w:rsid w:val="007A7F6E"/>
    <w:rsid w:val="007B5C21"/>
    <w:rsid w:val="007B63DE"/>
    <w:rsid w:val="007C16BD"/>
    <w:rsid w:val="007C21F6"/>
    <w:rsid w:val="007D315F"/>
    <w:rsid w:val="007D50B6"/>
    <w:rsid w:val="007D6C34"/>
    <w:rsid w:val="007E3B03"/>
    <w:rsid w:val="007F20ED"/>
    <w:rsid w:val="007F36CC"/>
    <w:rsid w:val="008036F3"/>
    <w:rsid w:val="0080440D"/>
    <w:rsid w:val="00804975"/>
    <w:rsid w:val="00807E31"/>
    <w:rsid w:val="00812BD6"/>
    <w:rsid w:val="00835A43"/>
    <w:rsid w:val="00845114"/>
    <w:rsid w:val="008474E3"/>
    <w:rsid w:val="00851FC5"/>
    <w:rsid w:val="00855DFF"/>
    <w:rsid w:val="0085671F"/>
    <w:rsid w:val="00856E5B"/>
    <w:rsid w:val="00857370"/>
    <w:rsid w:val="00866B76"/>
    <w:rsid w:val="00872FE6"/>
    <w:rsid w:val="00873E09"/>
    <w:rsid w:val="00874E0D"/>
    <w:rsid w:val="008823E9"/>
    <w:rsid w:val="00885B3F"/>
    <w:rsid w:val="00886CF6"/>
    <w:rsid w:val="00887899"/>
    <w:rsid w:val="008A058E"/>
    <w:rsid w:val="008C310E"/>
    <w:rsid w:val="008D1371"/>
    <w:rsid w:val="008E03B8"/>
    <w:rsid w:val="008E14B4"/>
    <w:rsid w:val="008E659D"/>
    <w:rsid w:val="008F048F"/>
    <w:rsid w:val="008F1456"/>
    <w:rsid w:val="009219B7"/>
    <w:rsid w:val="0093431F"/>
    <w:rsid w:val="00934CBB"/>
    <w:rsid w:val="00946C63"/>
    <w:rsid w:val="00955093"/>
    <w:rsid w:val="00963180"/>
    <w:rsid w:val="00965CF3"/>
    <w:rsid w:val="00967AAE"/>
    <w:rsid w:val="009814EE"/>
    <w:rsid w:val="00985328"/>
    <w:rsid w:val="009965F7"/>
    <w:rsid w:val="00996CBF"/>
    <w:rsid w:val="009A5F6B"/>
    <w:rsid w:val="009B01FB"/>
    <w:rsid w:val="009C16DF"/>
    <w:rsid w:val="009C1AD8"/>
    <w:rsid w:val="009C2538"/>
    <w:rsid w:val="009C39E2"/>
    <w:rsid w:val="009C73BD"/>
    <w:rsid w:val="009C765C"/>
    <w:rsid w:val="009D2B7C"/>
    <w:rsid w:val="009E4967"/>
    <w:rsid w:val="009F101F"/>
    <w:rsid w:val="009F2EB4"/>
    <w:rsid w:val="00A10AC6"/>
    <w:rsid w:val="00A235FB"/>
    <w:rsid w:val="00A25961"/>
    <w:rsid w:val="00A30AED"/>
    <w:rsid w:val="00A71760"/>
    <w:rsid w:val="00A73808"/>
    <w:rsid w:val="00A7404A"/>
    <w:rsid w:val="00A86850"/>
    <w:rsid w:val="00A9546B"/>
    <w:rsid w:val="00AA0A3B"/>
    <w:rsid w:val="00AA1CDD"/>
    <w:rsid w:val="00AA6920"/>
    <w:rsid w:val="00AB3690"/>
    <w:rsid w:val="00AC589F"/>
    <w:rsid w:val="00AC5F21"/>
    <w:rsid w:val="00AD10B7"/>
    <w:rsid w:val="00AD2B05"/>
    <w:rsid w:val="00AD41F7"/>
    <w:rsid w:val="00AD478A"/>
    <w:rsid w:val="00AE0BDA"/>
    <w:rsid w:val="00AF08A7"/>
    <w:rsid w:val="00AF3E03"/>
    <w:rsid w:val="00AF791A"/>
    <w:rsid w:val="00B06047"/>
    <w:rsid w:val="00B079F2"/>
    <w:rsid w:val="00B1149A"/>
    <w:rsid w:val="00B15D7F"/>
    <w:rsid w:val="00B23421"/>
    <w:rsid w:val="00B3181C"/>
    <w:rsid w:val="00B36C68"/>
    <w:rsid w:val="00B41EC6"/>
    <w:rsid w:val="00B47151"/>
    <w:rsid w:val="00B56401"/>
    <w:rsid w:val="00B57383"/>
    <w:rsid w:val="00B64816"/>
    <w:rsid w:val="00B672F4"/>
    <w:rsid w:val="00B9503E"/>
    <w:rsid w:val="00B96A56"/>
    <w:rsid w:val="00BC4E67"/>
    <w:rsid w:val="00BC796F"/>
    <w:rsid w:val="00BD6179"/>
    <w:rsid w:val="00BD7B73"/>
    <w:rsid w:val="00BE43DD"/>
    <w:rsid w:val="00BE6D0F"/>
    <w:rsid w:val="00BE73EE"/>
    <w:rsid w:val="00BF2EB7"/>
    <w:rsid w:val="00BF4042"/>
    <w:rsid w:val="00BF4ED9"/>
    <w:rsid w:val="00C01334"/>
    <w:rsid w:val="00C11AB6"/>
    <w:rsid w:val="00C379E5"/>
    <w:rsid w:val="00C4197E"/>
    <w:rsid w:val="00C67AA0"/>
    <w:rsid w:val="00C72A82"/>
    <w:rsid w:val="00C76F4E"/>
    <w:rsid w:val="00C87EAA"/>
    <w:rsid w:val="00C94276"/>
    <w:rsid w:val="00C94EE3"/>
    <w:rsid w:val="00CA02BF"/>
    <w:rsid w:val="00CA5E71"/>
    <w:rsid w:val="00CA6F97"/>
    <w:rsid w:val="00CB2127"/>
    <w:rsid w:val="00CB2C8C"/>
    <w:rsid w:val="00CB480E"/>
    <w:rsid w:val="00CC21AD"/>
    <w:rsid w:val="00CD51A6"/>
    <w:rsid w:val="00CD679B"/>
    <w:rsid w:val="00CE1F36"/>
    <w:rsid w:val="00CF54CD"/>
    <w:rsid w:val="00CF55FF"/>
    <w:rsid w:val="00D04659"/>
    <w:rsid w:val="00D0566D"/>
    <w:rsid w:val="00D05880"/>
    <w:rsid w:val="00D06D7D"/>
    <w:rsid w:val="00D13EBA"/>
    <w:rsid w:val="00D23882"/>
    <w:rsid w:val="00D415CD"/>
    <w:rsid w:val="00D43324"/>
    <w:rsid w:val="00D45691"/>
    <w:rsid w:val="00D45C45"/>
    <w:rsid w:val="00D5053E"/>
    <w:rsid w:val="00D5082F"/>
    <w:rsid w:val="00D53DA4"/>
    <w:rsid w:val="00D576BA"/>
    <w:rsid w:val="00D63DFC"/>
    <w:rsid w:val="00D660DA"/>
    <w:rsid w:val="00D723EE"/>
    <w:rsid w:val="00D77BF7"/>
    <w:rsid w:val="00D82837"/>
    <w:rsid w:val="00D86254"/>
    <w:rsid w:val="00DC00F8"/>
    <w:rsid w:val="00DE3886"/>
    <w:rsid w:val="00DE7111"/>
    <w:rsid w:val="00DF0C00"/>
    <w:rsid w:val="00E02C6A"/>
    <w:rsid w:val="00E1132F"/>
    <w:rsid w:val="00E23C7E"/>
    <w:rsid w:val="00E24B3F"/>
    <w:rsid w:val="00E2593E"/>
    <w:rsid w:val="00E32FDD"/>
    <w:rsid w:val="00E36A07"/>
    <w:rsid w:val="00E53025"/>
    <w:rsid w:val="00E57F66"/>
    <w:rsid w:val="00E700F5"/>
    <w:rsid w:val="00E73064"/>
    <w:rsid w:val="00E847A9"/>
    <w:rsid w:val="00E84D86"/>
    <w:rsid w:val="00E93093"/>
    <w:rsid w:val="00EC500D"/>
    <w:rsid w:val="00ED0823"/>
    <w:rsid w:val="00EF2EA6"/>
    <w:rsid w:val="00EF5C03"/>
    <w:rsid w:val="00EF5CAC"/>
    <w:rsid w:val="00EF71F5"/>
    <w:rsid w:val="00F11451"/>
    <w:rsid w:val="00F23A50"/>
    <w:rsid w:val="00F268C5"/>
    <w:rsid w:val="00F43E44"/>
    <w:rsid w:val="00F4517B"/>
    <w:rsid w:val="00F460A8"/>
    <w:rsid w:val="00F46BF0"/>
    <w:rsid w:val="00F56A60"/>
    <w:rsid w:val="00F60A62"/>
    <w:rsid w:val="00F62334"/>
    <w:rsid w:val="00F917CD"/>
    <w:rsid w:val="00FA4467"/>
    <w:rsid w:val="00FB51B4"/>
    <w:rsid w:val="00FB6B3D"/>
    <w:rsid w:val="00FD11FD"/>
    <w:rsid w:val="00FD27FE"/>
    <w:rsid w:val="00FF3706"/>
    <w:rsid w:val="00FF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sz w:val="20"/>
      <w:szCs w:val="20"/>
      <w:lang w:val="x-none" w:eastAsia="x-none"/>
    </w:rPr>
  </w:style>
  <w:style w:type="character" w:customStyle="1" w:styleId="PlainTextChar">
    <w:name w:val="Plain Text Char"/>
    <w:link w:val="PlainText"/>
    <w:uiPriority w:val="99"/>
    <w:rsid w:val="00F23A50"/>
    <w:rPr>
      <w:rFonts w:ascii="Courier New" w:eastAsia="Calibri" w:hAnsi="Courier New" w:cs="Courier New"/>
    </w:rPr>
  </w:style>
  <w:style w:type="paragraph" w:styleId="BalloonText">
    <w:name w:val="Balloon Text"/>
    <w:basedOn w:val="Normal"/>
    <w:link w:val="BalloonTextChar"/>
    <w:rsid w:val="003900CE"/>
    <w:rPr>
      <w:rFonts w:ascii="Tahoma" w:hAnsi="Tahoma"/>
      <w:sz w:val="16"/>
      <w:szCs w:val="16"/>
      <w:lang w:val="x-none" w:eastAsia="x-none"/>
    </w:rPr>
  </w:style>
  <w:style w:type="character" w:customStyle="1" w:styleId="BalloonTextChar">
    <w:name w:val="Balloon Text Char"/>
    <w:link w:val="BalloonText"/>
    <w:rsid w:val="003900CE"/>
    <w:rPr>
      <w:rFonts w:ascii="Tahoma" w:hAnsi="Tahoma" w:cs="Tahoma"/>
      <w:sz w:val="16"/>
      <w:szCs w:val="16"/>
    </w:rPr>
  </w:style>
  <w:style w:type="character" w:styleId="CommentReference">
    <w:name w:val="annotation reference"/>
    <w:rsid w:val="005A372C"/>
    <w:rPr>
      <w:sz w:val="16"/>
      <w:szCs w:val="16"/>
    </w:rPr>
  </w:style>
  <w:style w:type="paragraph" w:styleId="CommentText">
    <w:name w:val="annotation text"/>
    <w:basedOn w:val="Normal"/>
    <w:link w:val="CommentTextChar"/>
    <w:rsid w:val="005A372C"/>
    <w:rPr>
      <w:sz w:val="20"/>
      <w:szCs w:val="20"/>
    </w:rPr>
  </w:style>
  <w:style w:type="character" w:customStyle="1" w:styleId="CommentTextChar">
    <w:name w:val="Comment Text Char"/>
    <w:basedOn w:val="DefaultParagraphFont"/>
    <w:link w:val="CommentText"/>
    <w:rsid w:val="005A372C"/>
  </w:style>
  <w:style w:type="paragraph" w:styleId="CommentSubject">
    <w:name w:val="annotation subject"/>
    <w:basedOn w:val="CommentText"/>
    <w:next w:val="CommentText"/>
    <w:link w:val="CommentSubjectChar"/>
    <w:rsid w:val="005A372C"/>
    <w:rPr>
      <w:b/>
      <w:bCs/>
      <w:lang w:val="x-none" w:eastAsia="x-none"/>
    </w:rPr>
  </w:style>
  <w:style w:type="character" w:customStyle="1" w:styleId="CommentSubjectChar">
    <w:name w:val="Comment Subject Char"/>
    <w:link w:val="CommentSubject"/>
    <w:rsid w:val="005A372C"/>
    <w:rPr>
      <w:b/>
      <w:bCs/>
    </w:rPr>
  </w:style>
  <w:style w:type="paragraph" w:styleId="Revision">
    <w:name w:val="Revision"/>
    <w:hidden/>
    <w:uiPriority w:val="99"/>
    <w:semiHidden/>
    <w:rsid w:val="005A372C"/>
    <w:rPr>
      <w:sz w:val="24"/>
      <w:szCs w:val="24"/>
    </w:rPr>
  </w:style>
  <w:style w:type="character" w:styleId="FollowedHyperlink">
    <w:name w:val="FollowedHyperlink"/>
    <w:rsid w:val="00415879"/>
    <w:rPr>
      <w:color w:val="800080"/>
      <w:u w:val="single"/>
    </w:rPr>
  </w:style>
  <w:style w:type="paragraph" w:styleId="FootnoteText">
    <w:name w:val="footnote text"/>
    <w:basedOn w:val="Normal"/>
    <w:link w:val="FootnoteTextChar"/>
    <w:rsid w:val="006544DA"/>
    <w:rPr>
      <w:sz w:val="20"/>
      <w:szCs w:val="20"/>
    </w:rPr>
  </w:style>
  <w:style w:type="character" w:customStyle="1" w:styleId="FootnoteTextChar">
    <w:name w:val="Footnote Text Char"/>
    <w:basedOn w:val="DefaultParagraphFont"/>
    <w:link w:val="FootnoteText"/>
    <w:rsid w:val="006544DA"/>
  </w:style>
  <w:style w:type="character" w:styleId="FootnoteReference">
    <w:name w:val="footnote reference"/>
    <w:basedOn w:val="DefaultParagraphFont"/>
    <w:rsid w:val="006544DA"/>
    <w:rPr>
      <w:vertAlign w:val="superscript"/>
    </w:rPr>
  </w:style>
  <w:style w:type="character" w:customStyle="1" w:styleId="apple-converted-space">
    <w:name w:val="apple-converted-space"/>
    <w:basedOn w:val="DefaultParagraphFont"/>
    <w:rsid w:val="006544DA"/>
  </w:style>
  <w:style w:type="character" w:styleId="Emphasis">
    <w:name w:val="Emphasis"/>
    <w:basedOn w:val="DefaultParagraphFont"/>
    <w:uiPriority w:val="20"/>
    <w:qFormat/>
    <w:rsid w:val="00F43E44"/>
    <w:rPr>
      <w:i/>
      <w:iCs/>
    </w:rPr>
  </w:style>
  <w:style w:type="paragraph" w:styleId="Header">
    <w:name w:val="header"/>
    <w:basedOn w:val="Normal"/>
    <w:link w:val="HeaderChar"/>
    <w:rsid w:val="000D37CC"/>
    <w:pPr>
      <w:tabs>
        <w:tab w:val="center" w:pos="4680"/>
        <w:tab w:val="right" w:pos="9360"/>
      </w:tabs>
    </w:pPr>
  </w:style>
  <w:style w:type="character" w:customStyle="1" w:styleId="HeaderChar">
    <w:name w:val="Header Char"/>
    <w:basedOn w:val="DefaultParagraphFont"/>
    <w:link w:val="Header"/>
    <w:rsid w:val="000D37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sz w:val="20"/>
      <w:szCs w:val="20"/>
      <w:lang w:val="x-none" w:eastAsia="x-none"/>
    </w:rPr>
  </w:style>
  <w:style w:type="character" w:customStyle="1" w:styleId="PlainTextChar">
    <w:name w:val="Plain Text Char"/>
    <w:link w:val="PlainText"/>
    <w:uiPriority w:val="99"/>
    <w:rsid w:val="00F23A50"/>
    <w:rPr>
      <w:rFonts w:ascii="Courier New" w:eastAsia="Calibri" w:hAnsi="Courier New" w:cs="Courier New"/>
    </w:rPr>
  </w:style>
  <w:style w:type="paragraph" w:styleId="BalloonText">
    <w:name w:val="Balloon Text"/>
    <w:basedOn w:val="Normal"/>
    <w:link w:val="BalloonTextChar"/>
    <w:rsid w:val="003900CE"/>
    <w:rPr>
      <w:rFonts w:ascii="Tahoma" w:hAnsi="Tahoma"/>
      <w:sz w:val="16"/>
      <w:szCs w:val="16"/>
      <w:lang w:val="x-none" w:eastAsia="x-none"/>
    </w:rPr>
  </w:style>
  <w:style w:type="character" w:customStyle="1" w:styleId="BalloonTextChar">
    <w:name w:val="Balloon Text Char"/>
    <w:link w:val="BalloonText"/>
    <w:rsid w:val="003900CE"/>
    <w:rPr>
      <w:rFonts w:ascii="Tahoma" w:hAnsi="Tahoma" w:cs="Tahoma"/>
      <w:sz w:val="16"/>
      <w:szCs w:val="16"/>
    </w:rPr>
  </w:style>
  <w:style w:type="character" w:styleId="CommentReference">
    <w:name w:val="annotation reference"/>
    <w:rsid w:val="005A372C"/>
    <w:rPr>
      <w:sz w:val="16"/>
      <w:szCs w:val="16"/>
    </w:rPr>
  </w:style>
  <w:style w:type="paragraph" w:styleId="CommentText">
    <w:name w:val="annotation text"/>
    <w:basedOn w:val="Normal"/>
    <w:link w:val="CommentTextChar"/>
    <w:rsid w:val="005A372C"/>
    <w:rPr>
      <w:sz w:val="20"/>
      <w:szCs w:val="20"/>
    </w:rPr>
  </w:style>
  <w:style w:type="character" w:customStyle="1" w:styleId="CommentTextChar">
    <w:name w:val="Comment Text Char"/>
    <w:basedOn w:val="DefaultParagraphFont"/>
    <w:link w:val="CommentText"/>
    <w:rsid w:val="005A372C"/>
  </w:style>
  <w:style w:type="paragraph" w:styleId="CommentSubject">
    <w:name w:val="annotation subject"/>
    <w:basedOn w:val="CommentText"/>
    <w:next w:val="CommentText"/>
    <w:link w:val="CommentSubjectChar"/>
    <w:rsid w:val="005A372C"/>
    <w:rPr>
      <w:b/>
      <w:bCs/>
      <w:lang w:val="x-none" w:eastAsia="x-none"/>
    </w:rPr>
  </w:style>
  <w:style w:type="character" w:customStyle="1" w:styleId="CommentSubjectChar">
    <w:name w:val="Comment Subject Char"/>
    <w:link w:val="CommentSubject"/>
    <w:rsid w:val="005A372C"/>
    <w:rPr>
      <w:b/>
      <w:bCs/>
    </w:rPr>
  </w:style>
  <w:style w:type="paragraph" w:styleId="Revision">
    <w:name w:val="Revision"/>
    <w:hidden/>
    <w:uiPriority w:val="99"/>
    <w:semiHidden/>
    <w:rsid w:val="005A372C"/>
    <w:rPr>
      <w:sz w:val="24"/>
      <w:szCs w:val="24"/>
    </w:rPr>
  </w:style>
  <w:style w:type="character" w:styleId="FollowedHyperlink">
    <w:name w:val="FollowedHyperlink"/>
    <w:rsid w:val="00415879"/>
    <w:rPr>
      <w:color w:val="800080"/>
      <w:u w:val="single"/>
    </w:rPr>
  </w:style>
  <w:style w:type="paragraph" w:styleId="FootnoteText">
    <w:name w:val="footnote text"/>
    <w:basedOn w:val="Normal"/>
    <w:link w:val="FootnoteTextChar"/>
    <w:rsid w:val="006544DA"/>
    <w:rPr>
      <w:sz w:val="20"/>
      <w:szCs w:val="20"/>
    </w:rPr>
  </w:style>
  <w:style w:type="character" w:customStyle="1" w:styleId="FootnoteTextChar">
    <w:name w:val="Footnote Text Char"/>
    <w:basedOn w:val="DefaultParagraphFont"/>
    <w:link w:val="FootnoteText"/>
    <w:rsid w:val="006544DA"/>
  </w:style>
  <w:style w:type="character" w:styleId="FootnoteReference">
    <w:name w:val="footnote reference"/>
    <w:basedOn w:val="DefaultParagraphFont"/>
    <w:rsid w:val="006544DA"/>
    <w:rPr>
      <w:vertAlign w:val="superscript"/>
    </w:rPr>
  </w:style>
  <w:style w:type="character" w:customStyle="1" w:styleId="apple-converted-space">
    <w:name w:val="apple-converted-space"/>
    <w:basedOn w:val="DefaultParagraphFont"/>
    <w:rsid w:val="006544DA"/>
  </w:style>
  <w:style w:type="character" w:styleId="Emphasis">
    <w:name w:val="Emphasis"/>
    <w:basedOn w:val="DefaultParagraphFont"/>
    <w:uiPriority w:val="20"/>
    <w:qFormat/>
    <w:rsid w:val="00F43E44"/>
    <w:rPr>
      <w:i/>
      <w:iCs/>
    </w:rPr>
  </w:style>
  <w:style w:type="paragraph" w:styleId="Header">
    <w:name w:val="header"/>
    <w:basedOn w:val="Normal"/>
    <w:link w:val="HeaderChar"/>
    <w:rsid w:val="000D37CC"/>
    <w:pPr>
      <w:tabs>
        <w:tab w:val="center" w:pos="4680"/>
        <w:tab w:val="right" w:pos="9360"/>
      </w:tabs>
    </w:pPr>
  </w:style>
  <w:style w:type="character" w:customStyle="1" w:styleId="HeaderChar">
    <w:name w:val="Header Char"/>
    <w:basedOn w:val="DefaultParagraphFont"/>
    <w:link w:val="Header"/>
    <w:rsid w:val="000D37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1964">
      <w:bodyDiv w:val="1"/>
      <w:marLeft w:val="0"/>
      <w:marRight w:val="0"/>
      <w:marTop w:val="0"/>
      <w:marBottom w:val="0"/>
      <w:divBdr>
        <w:top w:val="none" w:sz="0" w:space="0" w:color="auto"/>
        <w:left w:val="none" w:sz="0" w:space="0" w:color="auto"/>
        <w:bottom w:val="none" w:sz="0" w:space="0" w:color="auto"/>
        <w:right w:val="none" w:sz="0" w:space="0" w:color="auto"/>
      </w:divBdr>
    </w:div>
    <w:div w:id="62678114">
      <w:bodyDiv w:val="1"/>
      <w:marLeft w:val="0"/>
      <w:marRight w:val="0"/>
      <w:marTop w:val="0"/>
      <w:marBottom w:val="0"/>
      <w:divBdr>
        <w:top w:val="none" w:sz="0" w:space="0" w:color="auto"/>
        <w:left w:val="none" w:sz="0" w:space="0" w:color="auto"/>
        <w:bottom w:val="none" w:sz="0" w:space="0" w:color="auto"/>
        <w:right w:val="none" w:sz="0" w:space="0" w:color="auto"/>
      </w:divBdr>
    </w:div>
    <w:div w:id="465901097">
      <w:bodyDiv w:val="1"/>
      <w:marLeft w:val="0"/>
      <w:marRight w:val="0"/>
      <w:marTop w:val="0"/>
      <w:marBottom w:val="0"/>
      <w:divBdr>
        <w:top w:val="none" w:sz="0" w:space="0" w:color="auto"/>
        <w:left w:val="none" w:sz="0" w:space="0" w:color="auto"/>
        <w:bottom w:val="none" w:sz="0" w:space="0" w:color="auto"/>
        <w:right w:val="none" w:sz="0" w:space="0" w:color="auto"/>
      </w:divBdr>
    </w:div>
    <w:div w:id="476412708">
      <w:bodyDiv w:val="1"/>
      <w:marLeft w:val="0"/>
      <w:marRight w:val="0"/>
      <w:marTop w:val="0"/>
      <w:marBottom w:val="0"/>
      <w:divBdr>
        <w:top w:val="none" w:sz="0" w:space="0" w:color="auto"/>
        <w:left w:val="none" w:sz="0" w:space="0" w:color="auto"/>
        <w:bottom w:val="none" w:sz="0" w:space="0" w:color="auto"/>
        <w:right w:val="none" w:sz="0" w:space="0" w:color="auto"/>
      </w:divBdr>
    </w:div>
    <w:div w:id="490946362">
      <w:bodyDiv w:val="1"/>
      <w:marLeft w:val="0"/>
      <w:marRight w:val="0"/>
      <w:marTop w:val="0"/>
      <w:marBottom w:val="0"/>
      <w:divBdr>
        <w:top w:val="none" w:sz="0" w:space="0" w:color="auto"/>
        <w:left w:val="none" w:sz="0" w:space="0" w:color="auto"/>
        <w:bottom w:val="none" w:sz="0" w:space="0" w:color="auto"/>
        <w:right w:val="none" w:sz="0" w:space="0" w:color="auto"/>
      </w:divBdr>
    </w:div>
    <w:div w:id="585380530">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188057903">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ma.od.nih.gov/public/ms/privacy/pafiles/0036.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mh.nih.gov/funding/grant-writing-and-application-process/recruitment-points-to-consider-6-1-05_34848.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federalregister.gov/articles/2015/06/01/2015-13112/proposed-collection-60-day-comment-request-national-institute-of-mental-health-recruitment-and"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nimh.nih.gov/funding/grant-writing-and-application-process/terms-and-conditions-for-recruitment-of-participants-in-clinical-research.s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imh.nih.gov/funding/opportunities-announcements/clinical-trials-foas/nimh-clinical-trials-portfolio-progress-to-date-and-the-road-forward.shtml" TargetMode="External"/><Relationship Id="rId2" Type="http://schemas.openxmlformats.org/officeDocument/2006/relationships/hyperlink" Target="http://www.nimh.nih.gov/funding/opportunities-announcements/clinical-trials-foas/nimh-clinical-trials-portfolio-progress-to-date-and-the-road-forward.shtml" TargetMode="External"/><Relationship Id="rId1" Type="http://schemas.openxmlformats.org/officeDocument/2006/relationships/hyperlink" Target="http://www.ncbi.nlm.nih.gov/pubmed/?term=oss%2C+J.S+.et+al.%2C+T.+Tse%2C+D.A.+Zarin%2C+H.+Xu%2C+L.+Zhou%2C+and+H.M.+Krumholz%2C+Publication+of+NIH+funded+trials+registered+in+ClinicalTrials.gov%3A+cr" TargetMode="External"/><Relationship Id="rId5" Type="http://schemas.openxmlformats.org/officeDocument/2006/relationships/hyperlink" Target="https://www.acquisition.gov/sites/default/files/current/far/html/FARTOCP49.html" TargetMode="External"/><Relationship Id="rId4" Type="http://schemas.openxmlformats.org/officeDocument/2006/relationships/hyperlink" Target="http://grants.nih.gov/grants/policy/nihgps_2013/nihgps_ch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4ABBE-2F21-458E-8C8C-5CFFBE9A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3700</Words>
  <Characters>21091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NIMH HQ</Company>
  <LinksUpToDate>false</LinksUpToDate>
  <CharactersWithSpaces>24742</CharactersWithSpaces>
  <SharedDoc>false</SharedDoc>
  <HLinks>
    <vt:vector size="24" baseType="variant">
      <vt:variant>
        <vt:i4>1704030</vt:i4>
      </vt:variant>
      <vt:variant>
        <vt:i4>12</vt:i4>
      </vt:variant>
      <vt:variant>
        <vt:i4>0</vt:i4>
      </vt:variant>
      <vt:variant>
        <vt:i4>5</vt:i4>
      </vt:variant>
      <vt:variant>
        <vt:lpwstr>http://chcoc.gov/transmittals/TransmittalDetails.aspx?TransmittalID=5952</vt:lpwstr>
      </vt:variant>
      <vt:variant>
        <vt:lpwstr/>
      </vt:variant>
      <vt:variant>
        <vt:i4>5374031</vt:i4>
      </vt:variant>
      <vt:variant>
        <vt:i4>9</vt:i4>
      </vt:variant>
      <vt:variant>
        <vt:i4>0</vt:i4>
      </vt:variant>
      <vt:variant>
        <vt:i4>5</vt:i4>
      </vt:variant>
      <vt:variant>
        <vt:lpwstr>http://oma.od.nih.gov/public/ms/privacy/pafiles/0036.htm</vt:lpwstr>
      </vt:variant>
      <vt:variant>
        <vt:lpwstr/>
      </vt:variant>
      <vt:variant>
        <vt:i4>7209079</vt:i4>
      </vt:variant>
      <vt:variant>
        <vt:i4>6</vt:i4>
      </vt:variant>
      <vt:variant>
        <vt:i4>0</vt:i4>
      </vt:variant>
      <vt:variant>
        <vt:i4>5</vt:i4>
      </vt:variant>
      <vt:variant>
        <vt:lpwstr>http://www.nimh.nih.gov/funding/grant-writing-and-application-process/recruitment-points-to-consider-6-1-05.pdf</vt:lpwstr>
      </vt:variant>
      <vt:variant>
        <vt:lpwstr/>
      </vt:variant>
      <vt:variant>
        <vt:i4>4194323</vt:i4>
      </vt:variant>
      <vt:variant>
        <vt:i4>3</vt:i4>
      </vt:variant>
      <vt:variant>
        <vt:i4>0</vt:i4>
      </vt:variant>
      <vt:variant>
        <vt:i4>5</vt:i4>
      </vt:variant>
      <vt:variant>
        <vt:lpwstr>https://www.federalregister.gov/articles/2013/08/02/2013-18600/proposed-collection-60-day-comment-request-national-institute-of-mental-health-recruitment-and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Currie, Mikia (NIH/OD) [E]</cp:lastModifiedBy>
  <cp:revision>2</cp:revision>
  <dcterms:created xsi:type="dcterms:W3CDTF">2016-03-18T19:04:00Z</dcterms:created>
  <dcterms:modified xsi:type="dcterms:W3CDTF">2016-03-18T19:04:00Z</dcterms:modified>
</cp:coreProperties>
</file>