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16AF9" w:rsidRPr="006E2FDA" w:rsidRDefault="00161F6C">
      <w:pPr>
        <w:pStyle w:val="jims"/>
        <w:tabs>
          <w:tab w:val="left" w:pos="6840"/>
        </w:tabs>
        <w:spacing w:line="240" w:lineRule="auto"/>
        <w:rPr>
          <w:rFonts w:ascii="Times New Roman" w:hAnsi="Times New Roman"/>
          <w:noProof/>
          <w:sz w:val="24"/>
          <w:szCs w:val="24"/>
        </w:rPr>
      </w:pPr>
      <w:r>
        <w:rPr>
          <w:rFonts w:ascii="Times New Roman" w:hAnsi="Times New Roman"/>
          <w:noProof/>
          <w:sz w:val="24"/>
          <w:szCs w:val="24"/>
        </w:rPr>
        <mc:AlternateContent>
          <mc:Choice Requires="wps">
            <w:drawing>
              <wp:anchor distT="0" distB="0" distL="114300" distR="114300" simplePos="0" relativeHeight="251656704" behindDoc="0" locked="0" layoutInCell="0" allowOverlap="1" wp14:anchorId="452DE77D" wp14:editId="0D16930F">
                <wp:simplePos x="0" y="0"/>
                <wp:positionH relativeFrom="column">
                  <wp:posOffset>4709160</wp:posOffset>
                </wp:positionH>
                <wp:positionV relativeFrom="paragraph">
                  <wp:posOffset>457200</wp:posOffset>
                </wp:positionV>
                <wp:extent cx="1737360" cy="640080"/>
                <wp:effectExtent l="0" t="0" r="15240" b="762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B46" w:rsidRDefault="004B5B46">
                            <w:pPr>
                              <w:rPr>
                                <w:rFonts w:ascii="Arial" w:hAnsi="Arial"/>
                                <w:sz w:val="18"/>
                              </w:rPr>
                            </w:pPr>
                            <w:r>
                              <w:rPr>
                                <w:rFonts w:ascii="Arial" w:hAnsi="Arial"/>
                                <w:sz w:val="18"/>
                              </w:rPr>
                              <w:t>National Institute on Drug Abuse</w:t>
                            </w:r>
                          </w:p>
                          <w:p w:rsidR="004B5B46" w:rsidRDefault="004B5B46">
                            <w:pPr>
                              <w:rPr>
                                <w:rFonts w:ascii="Arial" w:hAnsi="Arial"/>
                                <w:sz w:val="18"/>
                              </w:rPr>
                            </w:pPr>
                            <w:r>
                              <w:rPr>
                                <w:rFonts w:ascii="Arial" w:hAnsi="Arial"/>
                                <w:sz w:val="18"/>
                              </w:rPr>
                              <w:t>6001 Executive Boulevard</w:t>
                            </w:r>
                          </w:p>
                          <w:p w:rsidR="004B5B46" w:rsidRDefault="004B5B46">
                            <w:pPr>
                              <w:rPr>
                                <w:rFonts w:ascii="Arial" w:hAnsi="Arial"/>
                                <w:sz w:val="18"/>
                              </w:rPr>
                            </w:pPr>
                            <w:r>
                              <w:rPr>
                                <w:rFonts w:ascii="Arial" w:hAnsi="Arial"/>
                                <w:sz w:val="18"/>
                              </w:rPr>
                              <w:t>Room 5160, MSC 9589</w:t>
                            </w:r>
                          </w:p>
                          <w:p w:rsidR="004B5B46" w:rsidRDefault="004B5B46">
                            <w:pPr>
                              <w:rPr>
                                <w:rFonts w:ascii="Arial" w:hAnsi="Arial"/>
                                <w:sz w:val="18"/>
                              </w:rPr>
                            </w:pPr>
                            <w:r>
                              <w:rPr>
                                <w:rFonts w:ascii="Arial" w:hAnsi="Arial"/>
                                <w:sz w:val="18"/>
                              </w:rPr>
                              <w:t>Bethesda, Maryland 20892-9589</w:t>
                            </w:r>
                          </w:p>
                          <w:p w:rsidR="004B5B46" w:rsidRDefault="004B5B46">
                            <w:pPr>
                              <w:rPr>
                                <w:rFonts w:ascii="Arial" w:hAnsi="Arial"/>
                                <w:sz w:val="18"/>
                              </w:rPr>
                            </w:pPr>
                            <w:r>
                              <w:rPr>
                                <w:rFonts w:ascii="Arial" w:hAnsi="Arial"/>
                                <w:sz w:val="18"/>
                              </w:rPr>
                              <w:t>(301) 443-6504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70.8pt;margin-top:36pt;width:136.8pt;height:5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" o:allowincell="f" filled="f" stroked="f">
                <v:textbox inset="0,0,0,0">
                  <w:txbxContent>
                    <w:p w:rsidR="004B5B46" w:rsidRDefault="004B5B46">
                      <w:pPr>
                        <w:rPr>
                          <w:rFonts w:ascii="Arial" w:hAnsi="Arial"/>
                          <w:sz w:val="18"/>
                        </w:rPr>
                      </w:pPr>
                      <w:r>
                        <w:rPr>
                          <w:rFonts w:ascii="Arial" w:hAnsi="Arial"/>
                          <w:sz w:val="18"/>
                        </w:rPr>
                        <w:t>National Institute on Drug Abuse</w:t>
                      </w:r>
                    </w:p>
                    <w:p w:rsidR="004B5B46" w:rsidRDefault="004B5B46">
                      <w:pPr>
                        <w:rPr>
                          <w:rFonts w:ascii="Arial" w:hAnsi="Arial"/>
                          <w:sz w:val="18"/>
                        </w:rPr>
                      </w:pPr>
                      <w:r>
                        <w:rPr>
                          <w:rFonts w:ascii="Arial" w:hAnsi="Arial"/>
                          <w:sz w:val="18"/>
                        </w:rPr>
                        <w:t>6001 Executive Boulevard</w:t>
                      </w:r>
                    </w:p>
                    <w:p w:rsidR="004B5B46" w:rsidRDefault="004B5B46">
                      <w:pPr>
                        <w:rPr>
                          <w:rFonts w:ascii="Arial" w:hAnsi="Arial"/>
                          <w:sz w:val="18"/>
                        </w:rPr>
                      </w:pPr>
                      <w:r>
                        <w:rPr>
                          <w:rFonts w:ascii="Arial" w:hAnsi="Arial"/>
                          <w:sz w:val="18"/>
                        </w:rPr>
                        <w:t>Room 5160, MSC 9589</w:t>
                      </w:r>
                    </w:p>
                    <w:p w:rsidR="004B5B46" w:rsidRDefault="004B5B46">
                      <w:pPr>
                        <w:rPr>
                          <w:rFonts w:ascii="Arial" w:hAnsi="Arial"/>
                          <w:sz w:val="18"/>
                        </w:rPr>
                      </w:pPr>
                      <w:r>
                        <w:rPr>
                          <w:rFonts w:ascii="Arial" w:hAnsi="Arial"/>
                          <w:sz w:val="18"/>
                        </w:rPr>
                        <w:t>Bethesda, Maryland 20892-9589</w:t>
                      </w:r>
                    </w:p>
                    <w:p w:rsidR="004B5B46" w:rsidRDefault="004B5B46">
                      <w:pPr>
                        <w:rPr>
                          <w:rFonts w:ascii="Arial" w:hAnsi="Arial"/>
                          <w:sz w:val="18"/>
                        </w:rPr>
                      </w:pPr>
                      <w:r>
                        <w:rPr>
                          <w:rFonts w:ascii="Arial" w:hAnsi="Arial"/>
                          <w:sz w:val="18"/>
                        </w:rPr>
                        <w:t>(301) 443-6504</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59776" behindDoc="0" locked="0" layoutInCell="0" allowOverlap="1" wp14:anchorId="36146876" wp14:editId="47F851AE">
                <wp:simplePos x="0" y="0"/>
                <wp:positionH relativeFrom="column">
                  <wp:posOffset>137160</wp:posOffset>
                </wp:positionH>
                <wp:positionV relativeFrom="paragraph">
                  <wp:posOffset>457200</wp:posOffset>
                </wp:positionV>
                <wp:extent cx="3749040" cy="27432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B46" w:rsidRDefault="004B5B46">
                            <w:pPr>
                              <w:rPr>
                                <w:rFonts w:ascii="Arial" w:hAnsi="Arial"/>
                                <w:sz w:val="18"/>
                              </w:rPr>
                            </w:pPr>
                            <w:r>
                              <w:rPr>
                                <w:rFonts w:ascii="Arial" w:hAnsi="Arial"/>
                                <w:b/>
                                <w:smallCaps/>
                                <w:sz w:val="18"/>
                              </w:rPr>
                              <w:t>Division of Epidemiology, Services, and Prevention Research</w:t>
                            </w:r>
                          </w:p>
                          <w:p w:rsidR="004B5B46" w:rsidRDefault="004B5B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0.8pt;margin-top:36pt;width:295.2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" o:allowincell="f" filled="f" stroked="f">
                <v:textbox>
                  <w:txbxContent>
                    <w:p w:rsidR="004B5B46" w:rsidRDefault="004B5B46">
                      <w:pPr>
                        <w:rPr>
                          <w:rFonts w:ascii="Arial" w:hAnsi="Arial"/>
                          <w:sz w:val="18"/>
                        </w:rPr>
                      </w:pPr>
                      <w:r>
                        <w:rPr>
                          <w:rFonts w:ascii="Arial" w:hAnsi="Arial"/>
                          <w:b/>
                          <w:smallCaps/>
                          <w:sz w:val="18"/>
                        </w:rPr>
                        <w:t>Division of Epidemiology, Services, and Prevention Research</w:t>
                      </w:r>
                    </w:p>
                    <w:p w:rsidR="004B5B46" w:rsidRDefault="004B5B46"/>
                  </w:txbxContent>
                </v:textbox>
              </v:shape>
            </w:pict>
          </mc:Fallback>
        </mc:AlternateContent>
      </w:r>
      <w:r w:rsidR="008C365B" w:rsidRPr="006E2FDA">
        <w:rPr>
          <w:rFonts w:ascii="Times New Roman" w:hAnsi="Times New Roman"/>
          <w:noProof/>
          <w:sz w:val="24"/>
          <w:szCs w:val="24"/>
        </w:rPr>
        <w:drawing>
          <wp:anchor distT="0" distB="0" distL="114300" distR="114300" simplePos="0" relativeHeight="251658752" behindDoc="0" locked="0" layoutInCell="0" allowOverlap="1" wp14:anchorId="1C625FBF" wp14:editId="04FFEC92">
            <wp:simplePos x="0" y="0"/>
            <wp:positionH relativeFrom="column">
              <wp:posOffset>-960120</wp:posOffset>
            </wp:positionH>
            <wp:positionV relativeFrom="paragraph">
              <wp:posOffset>-274320</wp:posOffset>
            </wp:positionV>
            <wp:extent cx="1188720" cy="78867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8720" cy="788670"/>
                    </a:xfrm>
                    <a:prstGeom prst="rect">
                      <a:avLst/>
                    </a:prstGeom>
                    <a:noFill/>
                  </pic:spPr>
                </pic:pic>
              </a:graphicData>
            </a:graphic>
          </wp:anchor>
        </w:drawing>
      </w:r>
      <w:r>
        <w:rPr>
          <w:rFonts w:ascii="Times New Roman" w:hAnsi="Times New Roman"/>
          <w:noProof/>
          <w:sz w:val="24"/>
          <w:szCs w:val="24"/>
        </w:rPr>
        <mc:AlternateContent>
          <mc:Choice Requires="wps">
            <w:drawing>
              <wp:anchor distT="0" distB="0" distL="114300" distR="114300" simplePos="0" relativeHeight="251655680" behindDoc="0" locked="0" layoutInCell="0" allowOverlap="1" wp14:anchorId="692349C5" wp14:editId="09D1F545">
                <wp:simplePos x="0" y="0"/>
                <wp:positionH relativeFrom="column">
                  <wp:posOffset>137160</wp:posOffset>
                </wp:positionH>
                <wp:positionV relativeFrom="paragraph">
                  <wp:posOffset>0</wp:posOffset>
                </wp:positionV>
                <wp:extent cx="6309360" cy="274320"/>
                <wp:effectExtent l="0" t="0" r="0" b="1143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B46" w:rsidRDefault="004B5B46">
                            <w:pPr>
                              <w:tabs>
                                <w:tab w:val="left" w:pos="6840"/>
                                <w:tab w:val="left" w:pos="7020"/>
                              </w:tabs>
                              <w:rPr>
                                <w:rFonts w:ascii="Arial" w:hAnsi="Arial"/>
                                <w:sz w:val="18"/>
                              </w:rPr>
                            </w:pPr>
                            <w:r>
                              <w:rPr>
                                <w:b/>
                                <w:sz w:val="22"/>
                              </w:rPr>
                              <w:t>DEPARTMENT OF HEALTH &amp; HUMAN SERVICES</w:t>
                            </w:r>
                            <w:r>
                              <w:rPr>
                                <w:b/>
                                <w:sz w:val="22"/>
                              </w:rPr>
                              <w:tab/>
                            </w:r>
                            <w:r>
                              <w:rPr>
                                <w:b/>
                                <w:sz w:val="22"/>
                              </w:rPr>
                              <w:tab/>
                            </w:r>
                            <w:r>
                              <w:rPr>
                                <w:b/>
                                <w:sz w:val="18"/>
                              </w:rPr>
                              <w:t xml:space="preserve"> </w:t>
                            </w:r>
                            <w:r>
                              <w:rPr>
                                <w:rFonts w:ascii="Arial" w:hAnsi="Arial"/>
                                <w:sz w:val="18"/>
                              </w:rPr>
                              <w:t>Public Health Service</w:t>
                            </w:r>
                          </w:p>
                          <w:p w:rsidR="004B5B46" w:rsidRDefault="004B5B46">
                            <w:pPr>
                              <w:tabs>
                                <w:tab w:val="left" w:pos="6840"/>
                                <w:tab w:val="left" w:pos="7020"/>
                              </w:tabs>
                              <w:rPr>
                                <w:b/>
                                <w:sz w:val="18"/>
                              </w:rPr>
                            </w:pPr>
                            <w:r>
                              <w:rPr>
                                <w:rFonts w:ascii="Arial" w:hAnsi="Arial"/>
                                <w:sz w:val="16"/>
                              </w:rPr>
                              <w:tab/>
                            </w:r>
                            <w:r>
                              <w:rPr>
                                <w:rFonts w:ascii="Arial" w:hAnsi="Arial"/>
                                <w:sz w:val="16"/>
                              </w:rPr>
                              <w:tab/>
                              <w:t xml:space="preserve"> </w:t>
                            </w:r>
                            <w:r>
                              <w:rPr>
                                <w:rFonts w:ascii="Arial" w:hAnsi="Arial"/>
                                <w:sz w:val="18"/>
                              </w:rPr>
                              <w:t>National Institutes of Health</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10.8pt;margin-top:0;width:496.8pt;height:2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" o:allowincell="f" filled="f" stroked="f">
                <v:textbox inset=",0,,0">
                  <w:txbxContent>
                    <w:p w:rsidR="004B5B46" w:rsidRDefault="004B5B46">
                      <w:pPr>
                        <w:tabs>
                          <w:tab w:val="left" w:pos="6840"/>
                          <w:tab w:val="left" w:pos="7020"/>
                        </w:tabs>
                        <w:rPr>
                          <w:rFonts w:ascii="Arial" w:hAnsi="Arial"/>
                          <w:sz w:val="18"/>
                        </w:rPr>
                      </w:pPr>
                      <w:r>
                        <w:rPr>
                          <w:b/>
                          <w:sz w:val="22"/>
                        </w:rPr>
                        <w:t>DEPARTMENT OF HEALTH &amp; HUMAN SERVICES</w:t>
                      </w:r>
                      <w:r>
                        <w:rPr>
                          <w:b/>
                          <w:sz w:val="22"/>
                        </w:rPr>
                        <w:tab/>
                      </w:r>
                      <w:r>
                        <w:rPr>
                          <w:b/>
                          <w:sz w:val="22"/>
                        </w:rPr>
                        <w:tab/>
                      </w:r>
                      <w:r>
                        <w:rPr>
                          <w:b/>
                          <w:sz w:val="18"/>
                        </w:rPr>
                        <w:t xml:space="preserve"> </w:t>
                      </w:r>
                      <w:r>
                        <w:rPr>
                          <w:rFonts w:ascii="Arial" w:hAnsi="Arial"/>
                          <w:sz w:val="18"/>
                        </w:rPr>
                        <w:t>Public Health Service</w:t>
                      </w:r>
                    </w:p>
                    <w:p w:rsidR="004B5B46" w:rsidRDefault="004B5B46">
                      <w:pPr>
                        <w:tabs>
                          <w:tab w:val="left" w:pos="6840"/>
                          <w:tab w:val="left" w:pos="7020"/>
                        </w:tabs>
                        <w:rPr>
                          <w:b/>
                          <w:sz w:val="18"/>
                        </w:rPr>
                      </w:pPr>
                      <w:r>
                        <w:rPr>
                          <w:rFonts w:ascii="Arial" w:hAnsi="Arial"/>
                          <w:sz w:val="16"/>
                        </w:rPr>
                        <w:tab/>
                      </w:r>
                      <w:r>
                        <w:rPr>
                          <w:rFonts w:ascii="Arial" w:hAnsi="Arial"/>
                          <w:sz w:val="16"/>
                        </w:rPr>
                        <w:tab/>
                        <w:t xml:space="preserve"> </w:t>
                      </w:r>
                      <w:r>
                        <w:rPr>
                          <w:rFonts w:ascii="Arial" w:hAnsi="Arial"/>
                          <w:sz w:val="18"/>
                        </w:rPr>
                        <w:t>National Institutes of Health</w:t>
                      </w:r>
                    </w:p>
                  </w:txbxContent>
                </v:textbox>
              </v:shape>
            </w:pict>
          </mc:Fallback>
        </mc:AlternateContent>
      </w:r>
      <w:r>
        <w:rPr>
          <w:rFonts w:ascii="Times New Roman" w:hAnsi="Times New Roman"/>
          <w:noProof/>
          <w:sz w:val="24"/>
          <w:szCs w:val="24"/>
        </w:rPr>
        <mc:AlternateContent>
          <mc:Choice Requires="wps">
            <w:drawing>
              <wp:anchor distT="4294967293" distB="4294967293" distL="114300" distR="114300" simplePos="0" relativeHeight="251657728" behindDoc="0" locked="0" layoutInCell="0" allowOverlap="1" wp14:anchorId="56BAFE5B" wp14:editId="5EBCBBEE">
                <wp:simplePos x="0" y="0"/>
                <wp:positionH relativeFrom="column">
                  <wp:posOffset>228600</wp:posOffset>
                </wp:positionH>
                <wp:positionV relativeFrom="paragraph">
                  <wp:posOffset>365759</wp:posOffset>
                </wp:positionV>
                <wp:extent cx="6217920" cy="0"/>
                <wp:effectExtent l="0" t="0" r="11430" b="1905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pt,28.8pt" to="507.6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" o:allowincell="f" strokecolor="#333"/>
            </w:pict>
          </mc:Fallback>
        </mc:AlternateContent>
      </w:r>
    </w:p>
    <w:p w:rsidR="00316AF9" w:rsidRPr="006E2FDA" w:rsidRDefault="00316AF9">
      <w:pPr>
        <w:rPr>
          <w:sz w:val="24"/>
          <w:szCs w:val="24"/>
        </w:rPr>
      </w:pPr>
    </w:p>
    <w:p w:rsidR="00316AF9" w:rsidRPr="006E2FDA" w:rsidRDefault="00316AF9">
      <w:pPr>
        <w:rPr>
          <w:sz w:val="24"/>
          <w:szCs w:val="24"/>
        </w:rPr>
      </w:pPr>
    </w:p>
    <w:p w:rsidR="00316AF9" w:rsidRPr="006E2FDA" w:rsidRDefault="00316AF9">
      <w:pPr>
        <w:rPr>
          <w:sz w:val="24"/>
          <w:szCs w:val="24"/>
        </w:rPr>
      </w:pPr>
    </w:p>
    <w:p w:rsidR="00316AF9" w:rsidRPr="006E2FDA" w:rsidRDefault="003E1E2F" w:rsidP="00DA7921">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sz w:val="24"/>
          <w:szCs w:val="24"/>
        </w:rPr>
      </w:pPr>
      <w:r w:rsidRPr="006E2FDA">
        <w:rPr>
          <w:sz w:val="24"/>
          <w:szCs w:val="24"/>
        </w:rPr>
        <w:t>DATE:</w:t>
      </w:r>
      <w:r w:rsidR="009569D1">
        <w:rPr>
          <w:sz w:val="24"/>
          <w:szCs w:val="24"/>
        </w:rPr>
        <w:t xml:space="preserve"> </w:t>
      </w:r>
      <w:r w:rsidR="009569D1" w:rsidRPr="00DA7921">
        <w:rPr>
          <w:sz w:val="24"/>
          <w:szCs w:val="24"/>
        </w:rPr>
        <w:tab/>
      </w:r>
      <w:r w:rsidR="004B5B46">
        <w:rPr>
          <w:sz w:val="24"/>
          <w:szCs w:val="24"/>
        </w:rPr>
        <w:t xml:space="preserve">September </w:t>
      </w:r>
      <w:r w:rsidR="0068647F">
        <w:rPr>
          <w:sz w:val="24"/>
          <w:szCs w:val="24"/>
        </w:rPr>
        <w:t>1</w:t>
      </w:r>
      <w:r w:rsidR="007C4369">
        <w:rPr>
          <w:sz w:val="24"/>
          <w:szCs w:val="24"/>
        </w:rPr>
        <w:t>5</w:t>
      </w:r>
      <w:r w:rsidR="00D7493F" w:rsidRPr="003B2AC4">
        <w:rPr>
          <w:sz w:val="24"/>
          <w:szCs w:val="24"/>
        </w:rPr>
        <w:t>,</w:t>
      </w:r>
      <w:r w:rsidR="00C965E0" w:rsidRPr="003B2AC4">
        <w:rPr>
          <w:sz w:val="24"/>
          <w:szCs w:val="24"/>
        </w:rPr>
        <w:t xml:space="preserve"> </w:t>
      </w:r>
      <w:r w:rsidR="006B50C3" w:rsidRPr="003B2AC4">
        <w:rPr>
          <w:sz w:val="24"/>
          <w:szCs w:val="24"/>
        </w:rPr>
        <w:t>201</w:t>
      </w:r>
      <w:r w:rsidR="00756B80">
        <w:rPr>
          <w:sz w:val="24"/>
          <w:szCs w:val="24"/>
        </w:rPr>
        <w:t>5</w:t>
      </w:r>
    </w:p>
    <w:p w:rsidR="003E1E2F" w:rsidRPr="006E2FDA" w:rsidRDefault="003E1E2F">
      <w:pPr>
        <w:pStyle w:val="jims"/>
        <w:spacing w:line="240" w:lineRule="auto"/>
        <w:rPr>
          <w:rFonts w:ascii="Times New Roman" w:hAnsi="Times New Roman"/>
          <w:sz w:val="24"/>
          <w:szCs w:val="24"/>
        </w:rPr>
      </w:pPr>
    </w:p>
    <w:p w:rsidR="00C1394E" w:rsidRPr="006E2FDA" w:rsidRDefault="00A12DB8" w:rsidP="00C1394E">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color w:val="000000"/>
          <w:sz w:val="24"/>
          <w:szCs w:val="24"/>
        </w:rPr>
      </w:pPr>
      <w:r w:rsidRPr="006E2FDA">
        <w:rPr>
          <w:sz w:val="24"/>
          <w:szCs w:val="24"/>
        </w:rPr>
        <w:t>TO:</w:t>
      </w:r>
      <w:r w:rsidR="00C1394E" w:rsidRPr="006E2FDA">
        <w:rPr>
          <w:color w:val="000000"/>
          <w:sz w:val="24"/>
          <w:szCs w:val="24"/>
        </w:rPr>
        <w:t xml:space="preserve"> </w:t>
      </w:r>
      <w:r w:rsidR="00C1394E" w:rsidRPr="006E2FDA">
        <w:rPr>
          <w:color w:val="000000"/>
          <w:sz w:val="24"/>
          <w:szCs w:val="24"/>
        </w:rPr>
        <w:tab/>
      </w:r>
      <w:r w:rsidR="00C1394E" w:rsidRPr="006E2FDA">
        <w:rPr>
          <w:color w:val="000000"/>
          <w:sz w:val="24"/>
          <w:szCs w:val="24"/>
        </w:rPr>
        <w:tab/>
        <w:t>Office of Management and Budget (OMB)</w:t>
      </w:r>
      <w:r w:rsidR="00C1394E" w:rsidRPr="006E2FDA">
        <w:rPr>
          <w:color w:val="000000"/>
          <w:sz w:val="24"/>
          <w:szCs w:val="24"/>
        </w:rPr>
        <w:tab/>
      </w:r>
    </w:p>
    <w:p w:rsidR="00C1394E" w:rsidRPr="006E2FDA" w:rsidRDefault="00C1394E" w:rsidP="00C1394E">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57" w:right="173"/>
        <w:rPr>
          <w:color w:val="000000"/>
          <w:sz w:val="24"/>
          <w:szCs w:val="24"/>
        </w:rPr>
      </w:pPr>
    </w:p>
    <w:p w:rsidR="00C1394E" w:rsidRPr="006E2FDA" w:rsidRDefault="00C1394E" w:rsidP="00BF76A5">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color w:val="000000"/>
          <w:sz w:val="24"/>
          <w:szCs w:val="24"/>
        </w:rPr>
      </w:pPr>
      <w:r w:rsidRPr="006E2FDA">
        <w:rPr>
          <w:color w:val="000000"/>
          <w:sz w:val="24"/>
          <w:szCs w:val="24"/>
        </w:rPr>
        <w:t>Through:</w:t>
      </w:r>
      <w:r w:rsidRPr="006E2FDA">
        <w:rPr>
          <w:color w:val="000000"/>
          <w:sz w:val="24"/>
          <w:szCs w:val="24"/>
        </w:rPr>
        <w:tab/>
        <w:t>Report Clearance Officer, HHS</w:t>
      </w:r>
    </w:p>
    <w:p w:rsidR="00C1394E" w:rsidRPr="006E2FDA" w:rsidRDefault="00C1394E" w:rsidP="00C1394E">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57" w:right="173"/>
        <w:rPr>
          <w:color w:val="000000"/>
          <w:sz w:val="24"/>
          <w:szCs w:val="24"/>
        </w:rPr>
      </w:pPr>
      <w:r w:rsidRPr="006E2FDA">
        <w:rPr>
          <w:color w:val="000000"/>
          <w:sz w:val="24"/>
          <w:szCs w:val="24"/>
        </w:rPr>
        <w:tab/>
      </w:r>
      <w:r w:rsidRPr="006E2FDA">
        <w:rPr>
          <w:color w:val="000000"/>
          <w:sz w:val="24"/>
          <w:szCs w:val="24"/>
        </w:rPr>
        <w:tab/>
      </w:r>
      <w:r w:rsidR="00BF76A5" w:rsidRPr="006E2FDA">
        <w:rPr>
          <w:color w:val="000000"/>
          <w:sz w:val="24"/>
          <w:szCs w:val="24"/>
        </w:rPr>
        <w:t>Project Clearance Chief</w:t>
      </w:r>
      <w:r w:rsidRPr="006E2FDA">
        <w:rPr>
          <w:color w:val="000000"/>
          <w:sz w:val="24"/>
          <w:szCs w:val="24"/>
        </w:rPr>
        <w:t>, NIH</w:t>
      </w:r>
    </w:p>
    <w:p w:rsidR="00A12DB8" w:rsidRPr="006E2FDA" w:rsidRDefault="00A12DB8" w:rsidP="00C1394E">
      <w:pPr>
        <w:pStyle w:val="jims"/>
        <w:spacing w:line="240" w:lineRule="auto"/>
        <w:ind w:left="1440" w:hanging="1440"/>
        <w:rPr>
          <w:rFonts w:ascii="Times New Roman" w:hAnsi="Times New Roman"/>
          <w:sz w:val="24"/>
          <w:szCs w:val="24"/>
        </w:rPr>
      </w:pPr>
      <w:r w:rsidRPr="006E2FDA">
        <w:rPr>
          <w:rFonts w:ascii="Times New Roman" w:hAnsi="Times New Roman"/>
          <w:sz w:val="24"/>
          <w:szCs w:val="24"/>
        </w:rPr>
        <w:tab/>
      </w:r>
      <w:r w:rsidR="00224D70">
        <w:rPr>
          <w:rFonts w:ascii="Times New Roman" w:hAnsi="Times New Roman"/>
          <w:sz w:val="24"/>
          <w:szCs w:val="24"/>
        </w:rPr>
        <w:t>Project Clearance Liaison, NIDA</w:t>
      </w:r>
    </w:p>
    <w:p w:rsidR="00C1394E" w:rsidRPr="006E2FDA" w:rsidRDefault="00C1394E" w:rsidP="00C1394E">
      <w:pPr>
        <w:pStyle w:val="jims"/>
        <w:spacing w:line="240" w:lineRule="auto"/>
        <w:ind w:left="1440" w:hanging="1440"/>
        <w:rPr>
          <w:rFonts w:ascii="Times New Roman" w:hAnsi="Times New Roman"/>
          <w:sz w:val="24"/>
          <w:szCs w:val="24"/>
        </w:rPr>
      </w:pPr>
    </w:p>
    <w:p w:rsidR="00C1394E" w:rsidRPr="006E2FDA" w:rsidRDefault="00BF76A5" w:rsidP="00C1394E">
      <w:pPr>
        <w:pStyle w:val="jims"/>
        <w:spacing w:line="240" w:lineRule="auto"/>
        <w:ind w:left="1440" w:hanging="1440"/>
        <w:rPr>
          <w:rFonts w:ascii="Times New Roman" w:hAnsi="Times New Roman"/>
          <w:sz w:val="24"/>
          <w:szCs w:val="24"/>
        </w:rPr>
      </w:pPr>
      <w:r w:rsidRPr="006E2FDA">
        <w:rPr>
          <w:rFonts w:ascii="Times New Roman" w:hAnsi="Times New Roman"/>
          <w:sz w:val="24"/>
          <w:szCs w:val="24"/>
        </w:rPr>
        <w:t>From:</w:t>
      </w:r>
      <w:r w:rsidRPr="006E2FDA">
        <w:rPr>
          <w:rFonts w:ascii="Times New Roman" w:hAnsi="Times New Roman"/>
          <w:sz w:val="24"/>
          <w:szCs w:val="24"/>
        </w:rPr>
        <w:tab/>
        <w:t xml:space="preserve">Kevin P. Conway, Ph.D., </w:t>
      </w:r>
      <w:r w:rsidR="004F67AB" w:rsidRPr="006E2FDA">
        <w:rPr>
          <w:rFonts w:ascii="Times New Roman" w:hAnsi="Times New Roman"/>
          <w:sz w:val="24"/>
          <w:szCs w:val="24"/>
        </w:rPr>
        <w:t>NIDA</w:t>
      </w:r>
    </w:p>
    <w:p w:rsidR="00BF76A5" w:rsidRPr="006E2FDA" w:rsidRDefault="00BF76A5" w:rsidP="00C1394E">
      <w:pPr>
        <w:pStyle w:val="jims"/>
        <w:spacing w:line="240" w:lineRule="auto"/>
        <w:ind w:left="1440" w:hanging="1440"/>
        <w:rPr>
          <w:rFonts w:ascii="Times New Roman" w:hAnsi="Times New Roman"/>
          <w:sz w:val="24"/>
          <w:szCs w:val="24"/>
        </w:rPr>
      </w:pPr>
    </w:p>
    <w:p w:rsidR="00416064" w:rsidRPr="00913074" w:rsidRDefault="00C51EED" w:rsidP="007B6C04">
      <w:pPr>
        <w:pStyle w:val="jims"/>
        <w:spacing w:line="240" w:lineRule="auto"/>
        <w:ind w:left="1440" w:hanging="1440"/>
        <w:rPr>
          <w:rFonts w:ascii="Times New Roman" w:hAnsi="Times New Roman"/>
          <w:sz w:val="24"/>
          <w:szCs w:val="24"/>
        </w:rPr>
      </w:pPr>
      <w:r w:rsidRPr="006E2FDA">
        <w:rPr>
          <w:rFonts w:ascii="Times New Roman" w:hAnsi="Times New Roman"/>
          <w:sz w:val="24"/>
          <w:szCs w:val="24"/>
        </w:rPr>
        <w:t xml:space="preserve">SUBJ: </w:t>
      </w:r>
      <w:r w:rsidR="00A12DB8" w:rsidRPr="006E2FDA">
        <w:rPr>
          <w:rFonts w:ascii="Times New Roman" w:hAnsi="Times New Roman"/>
          <w:sz w:val="24"/>
          <w:szCs w:val="24"/>
        </w:rPr>
        <w:tab/>
      </w:r>
      <w:r w:rsidR="00913074">
        <w:rPr>
          <w:rFonts w:ascii="Times New Roman" w:hAnsi="Times New Roman"/>
          <w:sz w:val="24"/>
          <w:szCs w:val="24"/>
        </w:rPr>
        <w:t xml:space="preserve">Non-Substantive </w:t>
      </w:r>
      <w:r w:rsidR="004B5B46" w:rsidRPr="00913074">
        <w:rPr>
          <w:rFonts w:ascii="Times New Roman" w:hAnsi="Times New Roman"/>
          <w:sz w:val="24"/>
          <w:szCs w:val="24"/>
        </w:rPr>
        <w:t xml:space="preserve">Change Request on </w:t>
      </w:r>
      <w:r w:rsidR="00913074">
        <w:rPr>
          <w:rFonts w:ascii="Times New Roman" w:hAnsi="Times New Roman"/>
          <w:sz w:val="24"/>
          <w:szCs w:val="24"/>
        </w:rPr>
        <w:t xml:space="preserve">the </w:t>
      </w:r>
      <w:r w:rsidR="004B5B46" w:rsidRPr="00913074">
        <w:rPr>
          <w:rFonts w:ascii="Times New Roman" w:hAnsi="Times New Roman"/>
          <w:sz w:val="24"/>
          <w:szCs w:val="24"/>
        </w:rPr>
        <w:t xml:space="preserve">Proposed </w:t>
      </w:r>
      <w:r w:rsidR="00913074">
        <w:rPr>
          <w:rFonts w:ascii="Times New Roman" w:hAnsi="Times New Roman"/>
          <w:sz w:val="24"/>
          <w:szCs w:val="24"/>
        </w:rPr>
        <w:t xml:space="preserve">Statistical </w:t>
      </w:r>
      <w:r w:rsidR="004B5B46" w:rsidRPr="00913074">
        <w:rPr>
          <w:rFonts w:ascii="Times New Roman" w:hAnsi="Times New Roman"/>
          <w:sz w:val="24"/>
          <w:szCs w:val="24"/>
        </w:rPr>
        <w:t xml:space="preserve">Approach to </w:t>
      </w:r>
      <w:r w:rsidR="00323496">
        <w:rPr>
          <w:rFonts w:ascii="Times New Roman" w:hAnsi="Times New Roman"/>
          <w:sz w:val="24"/>
          <w:szCs w:val="24"/>
        </w:rPr>
        <w:t>B</w:t>
      </w:r>
      <w:r w:rsidR="00871C45" w:rsidRPr="00913074">
        <w:rPr>
          <w:rFonts w:ascii="Times New Roman" w:hAnsi="Times New Roman"/>
          <w:sz w:val="24"/>
          <w:szCs w:val="24"/>
        </w:rPr>
        <w:t xml:space="preserve">e Applied to </w:t>
      </w:r>
      <w:r w:rsidR="004B5B46" w:rsidRPr="00913074">
        <w:rPr>
          <w:rFonts w:ascii="Times New Roman" w:hAnsi="Times New Roman"/>
          <w:sz w:val="24"/>
          <w:szCs w:val="24"/>
        </w:rPr>
        <w:t xml:space="preserve">Biospecimen Data </w:t>
      </w:r>
      <w:r w:rsidR="00A16B39" w:rsidRPr="00913074">
        <w:rPr>
          <w:rFonts w:ascii="Times New Roman" w:hAnsi="Times New Roman"/>
          <w:sz w:val="24"/>
          <w:szCs w:val="24"/>
        </w:rPr>
        <w:t xml:space="preserve">for </w:t>
      </w:r>
      <w:r w:rsidR="000F6A2E" w:rsidRPr="00913074">
        <w:rPr>
          <w:rFonts w:ascii="Times New Roman" w:hAnsi="Times New Roman"/>
          <w:sz w:val="24"/>
          <w:szCs w:val="24"/>
        </w:rPr>
        <w:t xml:space="preserve">Wave 1 of </w:t>
      </w:r>
      <w:r w:rsidR="00A16B39" w:rsidRPr="00913074">
        <w:rPr>
          <w:rFonts w:ascii="Times New Roman" w:hAnsi="Times New Roman"/>
          <w:sz w:val="24"/>
          <w:szCs w:val="24"/>
        </w:rPr>
        <w:t xml:space="preserve">the Population Assessment of Tobacco and Health (PATH) Study (OMB No. 0925-0664, </w:t>
      </w:r>
      <w:r w:rsidR="004B5B46" w:rsidRPr="00913074">
        <w:rPr>
          <w:rFonts w:ascii="Times New Roman" w:hAnsi="Times New Roman"/>
          <w:sz w:val="24"/>
          <w:szCs w:val="24"/>
        </w:rPr>
        <w:t>Expiration Date 8</w:t>
      </w:r>
      <w:r w:rsidR="00A16B39" w:rsidRPr="00913074">
        <w:rPr>
          <w:rFonts w:ascii="Times New Roman" w:hAnsi="Times New Roman"/>
          <w:sz w:val="24"/>
          <w:szCs w:val="24"/>
        </w:rPr>
        <w:t>/3</w:t>
      </w:r>
      <w:r w:rsidR="004B5B46" w:rsidRPr="00913074">
        <w:rPr>
          <w:rFonts w:ascii="Times New Roman" w:hAnsi="Times New Roman"/>
          <w:sz w:val="24"/>
          <w:szCs w:val="24"/>
        </w:rPr>
        <w:t>1</w:t>
      </w:r>
      <w:r w:rsidR="00A16B39" w:rsidRPr="00913074">
        <w:rPr>
          <w:rFonts w:ascii="Times New Roman" w:hAnsi="Times New Roman"/>
          <w:sz w:val="24"/>
          <w:szCs w:val="24"/>
        </w:rPr>
        <w:t>/201</w:t>
      </w:r>
      <w:r w:rsidR="004B5B46" w:rsidRPr="00913074">
        <w:rPr>
          <w:rFonts w:ascii="Times New Roman" w:hAnsi="Times New Roman"/>
          <w:sz w:val="24"/>
          <w:szCs w:val="24"/>
        </w:rPr>
        <w:t>8</w:t>
      </w:r>
      <w:r w:rsidR="00A16B39" w:rsidRPr="00913074">
        <w:rPr>
          <w:rFonts w:ascii="Times New Roman" w:hAnsi="Times New Roman"/>
          <w:sz w:val="24"/>
          <w:szCs w:val="24"/>
        </w:rPr>
        <w:t>)</w:t>
      </w:r>
    </w:p>
    <w:p w:rsidR="007B6C04" w:rsidRPr="00913074" w:rsidRDefault="007B6C04">
      <w:pPr>
        <w:pStyle w:val="jims"/>
        <w:spacing w:line="240" w:lineRule="auto"/>
        <w:rPr>
          <w:rFonts w:ascii="Times New Roman" w:hAnsi="Times New Roman"/>
          <w:sz w:val="24"/>
          <w:szCs w:val="24"/>
        </w:rPr>
      </w:pPr>
    </w:p>
    <w:p w:rsidR="004B5B46" w:rsidRPr="0016631E" w:rsidRDefault="004B5B46" w:rsidP="004B5B46">
      <w:pPr>
        <w:spacing w:after="200" w:line="276" w:lineRule="auto"/>
        <w:rPr>
          <w:rFonts w:eastAsiaTheme="minorHAnsi"/>
          <w:sz w:val="24"/>
          <w:szCs w:val="24"/>
        </w:rPr>
      </w:pPr>
      <w:r w:rsidRPr="0068647F">
        <w:rPr>
          <w:rFonts w:eastAsiaTheme="minorHAnsi"/>
          <w:sz w:val="24"/>
          <w:szCs w:val="24"/>
        </w:rPr>
        <w:t xml:space="preserve">The National </w:t>
      </w:r>
      <w:r w:rsidRPr="0016631E">
        <w:rPr>
          <w:rFonts w:eastAsiaTheme="minorHAnsi"/>
          <w:sz w:val="24"/>
          <w:szCs w:val="24"/>
        </w:rPr>
        <w:t>Institute on Drug Abuse (NIDA)</w:t>
      </w:r>
      <w:r w:rsidR="00CA07BE" w:rsidRPr="0016631E">
        <w:rPr>
          <w:rFonts w:eastAsiaTheme="minorHAnsi"/>
          <w:sz w:val="24"/>
          <w:szCs w:val="24"/>
        </w:rPr>
        <w:t xml:space="preserve">, </w:t>
      </w:r>
      <w:r w:rsidR="00CA07BE" w:rsidRPr="00AE42C5">
        <w:rPr>
          <w:sz w:val="24"/>
          <w:szCs w:val="24"/>
        </w:rPr>
        <w:t>in collaboration</w:t>
      </w:r>
      <w:r w:rsidR="00913074">
        <w:rPr>
          <w:sz w:val="24"/>
          <w:szCs w:val="24"/>
        </w:rPr>
        <w:t xml:space="preserve"> </w:t>
      </w:r>
      <w:r w:rsidR="00CA07BE" w:rsidRPr="00AE42C5">
        <w:rPr>
          <w:sz w:val="24"/>
          <w:szCs w:val="24"/>
        </w:rPr>
        <w:t xml:space="preserve">with its partner the Food and Drug Administration (FDA), </w:t>
      </w:r>
      <w:r w:rsidRPr="0016631E">
        <w:rPr>
          <w:rFonts w:eastAsiaTheme="minorHAnsi"/>
          <w:sz w:val="24"/>
          <w:szCs w:val="24"/>
        </w:rPr>
        <w:t>request</w:t>
      </w:r>
      <w:r w:rsidR="000F6A2E" w:rsidRPr="0016631E">
        <w:rPr>
          <w:rFonts w:eastAsiaTheme="minorHAnsi"/>
          <w:sz w:val="24"/>
          <w:szCs w:val="24"/>
        </w:rPr>
        <w:t>s</w:t>
      </w:r>
      <w:r w:rsidRPr="0016631E">
        <w:rPr>
          <w:rFonts w:eastAsiaTheme="minorHAnsi"/>
          <w:sz w:val="24"/>
          <w:szCs w:val="24"/>
        </w:rPr>
        <w:t xml:space="preserve"> </w:t>
      </w:r>
      <w:r w:rsidR="000D659C" w:rsidRPr="0016631E">
        <w:rPr>
          <w:rFonts w:eastAsiaTheme="minorHAnsi"/>
          <w:sz w:val="24"/>
          <w:szCs w:val="24"/>
        </w:rPr>
        <w:t xml:space="preserve">OMB </w:t>
      </w:r>
      <w:r w:rsidRPr="0016631E">
        <w:rPr>
          <w:rFonts w:eastAsiaTheme="minorHAnsi"/>
          <w:sz w:val="24"/>
          <w:szCs w:val="24"/>
        </w:rPr>
        <w:t>approval of the statistical approach</w:t>
      </w:r>
      <w:r w:rsidR="002E72FA">
        <w:rPr>
          <w:rFonts w:eastAsiaTheme="minorHAnsi"/>
          <w:sz w:val="24"/>
          <w:szCs w:val="24"/>
        </w:rPr>
        <w:t>, described</w:t>
      </w:r>
      <w:r w:rsidR="00323496">
        <w:rPr>
          <w:rFonts w:eastAsiaTheme="minorHAnsi"/>
          <w:sz w:val="24"/>
          <w:szCs w:val="24"/>
        </w:rPr>
        <w:t xml:space="preserve"> in this memo</w:t>
      </w:r>
      <w:r w:rsidR="002E72FA">
        <w:rPr>
          <w:rFonts w:eastAsiaTheme="minorHAnsi"/>
          <w:sz w:val="24"/>
          <w:szCs w:val="24"/>
        </w:rPr>
        <w:t>,</w:t>
      </w:r>
      <w:r w:rsidRPr="0016631E">
        <w:rPr>
          <w:rFonts w:eastAsiaTheme="minorHAnsi"/>
          <w:sz w:val="24"/>
          <w:szCs w:val="24"/>
        </w:rPr>
        <w:t xml:space="preserve"> to be applied to the biospecimen data </w:t>
      </w:r>
      <w:r w:rsidR="00913074">
        <w:rPr>
          <w:rFonts w:eastAsiaTheme="minorHAnsi"/>
          <w:sz w:val="24"/>
          <w:szCs w:val="24"/>
        </w:rPr>
        <w:t>from</w:t>
      </w:r>
      <w:r w:rsidRPr="0016631E">
        <w:rPr>
          <w:rFonts w:eastAsiaTheme="minorHAnsi"/>
          <w:sz w:val="24"/>
          <w:szCs w:val="24"/>
        </w:rPr>
        <w:t xml:space="preserve"> Wave 1 of the Population Assessment of Tobacco and Health (PATH) Study. This </w:t>
      </w:r>
      <w:r w:rsidR="00913074">
        <w:rPr>
          <w:rFonts w:eastAsiaTheme="minorHAnsi"/>
          <w:sz w:val="24"/>
          <w:szCs w:val="24"/>
        </w:rPr>
        <w:t xml:space="preserve">change request is submitted for </w:t>
      </w:r>
      <w:r w:rsidR="002E72FA">
        <w:rPr>
          <w:rFonts w:eastAsiaTheme="minorHAnsi"/>
          <w:sz w:val="24"/>
          <w:szCs w:val="24"/>
        </w:rPr>
        <w:t>OMB</w:t>
      </w:r>
      <w:r w:rsidR="00913074">
        <w:rPr>
          <w:rFonts w:eastAsiaTheme="minorHAnsi"/>
          <w:sz w:val="24"/>
          <w:szCs w:val="24"/>
        </w:rPr>
        <w:t xml:space="preserve"> consideration and approval in accordance with the</w:t>
      </w:r>
      <w:r w:rsidRPr="0016631E">
        <w:rPr>
          <w:rFonts w:eastAsiaTheme="minorHAnsi"/>
          <w:sz w:val="24"/>
          <w:szCs w:val="24"/>
        </w:rPr>
        <w:t xml:space="preserve"> terms of clearance for Wave 1:</w:t>
      </w:r>
    </w:p>
    <w:p w:rsidR="004B5B46" w:rsidRPr="0068647F" w:rsidRDefault="004B5B46" w:rsidP="004B5B46">
      <w:pPr>
        <w:spacing w:after="200" w:line="276" w:lineRule="auto"/>
        <w:ind w:left="720" w:right="630"/>
        <w:rPr>
          <w:rFonts w:eastAsiaTheme="minorHAnsi"/>
          <w:b/>
          <w:sz w:val="24"/>
          <w:szCs w:val="24"/>
        </w:rPr>
      </w:pPr>
      <w:r w:rsidRPr="0068647F">
        <w:rPr>
          <w:rFonts w:eastAsiaTheme="minorHAnsi"/>
          <w:sz w:val="24"/>
          <w:szCs w:val="24"/>
        </w:rPr>
        <w:t>“Results based on the bio-specimen</w:t>
      </w:r>
      <w:r w:rsidR="002E72FA">
        <w:rPr>
          <w:rFonts w:eastAsiaTheme="minorHAnsi"/>
          <w:sz w:val="24"/>
          <w:szCs w:val="24"/>
        </w:rPr>
        <w:t xml:space="preserve"> </w:t>
      </w:r>
      <w:r w:rsidRPr="0068647F">
        <w:rPr>
          <w:rFonts w:eastAsiaTheme="minorHAnsi"/>
          <w:sz w:val="24"/>
          <w:szCs w:val="24"/>
        </w:rPr>
        <w:t>data cannot [be] publicly disseminated until OMB approves a change request under the PRA that explains the statistical approach to be applied to the biospecimen data to address potential non-response bias from lower consent and cooperation rates with this aspect of the study.”</w:t>
      </w:r>
    </w:p>
    <w:p w:rsidR="00871C45" w:rsidRPr="0068647F" w:rsidRDefault="00871C45" w:rsidP="004B5B46">
      <w:pPr>
        <w:spacing w:after="200" w:line="276" w:lineRule="auto"/>
        <w:rPr>
          <w:rFonts w:eastAsiaTheme="minorHAnsi"/>
          <w:b/>
          <w:sz w:val="24"/>
          <w:szCs w:val="24"/>
        </w:rPr>
      </w:pPr>
      <w:r w:rsidRPr="0068647F">
        <w:rPr>
          <w:rFonts w:eastAsiaTheme="minorHAnsi"/>
          <w:b/>
          <w:sz w:val="24"/>
          <w:szCs w:val="24"/>
        </w:rPr>
        <w:t>Background</w:t>
      </w:r>
    </w:p>
    <w:p w:rsidR="003F2948" w:rsidRDefault="00871C45" w:rsidP="003B48FC">
      <w:pPr>
        <w:spacing w:after="200" w:line="276" w:lineRule="auto"/>
        <w:rPr>
          <w:rFonts w:eastAsiaTheme="minorHAnsi"/>
          <w:sz w:val="24"/>
          <w:szCs w:val="24"/>
        </w:rPr>
      </w:pPr>
      <w:r w:rsidRPr="0068647F">
        <w:rPr>
          <w:rFonts w:eastAsiaTheme="minorHAnsi"/>
          <w:sz w:val="24"/>
          <w:szCs w:val="24"/>
        </w:rPr>
        <w:t xml:space="preserve">The </w:t>
      </w:r>
      <w:r w:rsidRPr="0016631E">
        <w:rPr>
          <w:rFonts w:eastAsiaTheme="minorHAnsi"/>
          <w:sz w:val="24"/>
          <w:szCs w:val="24"/>
        </w:rPr>
        <w:t xml:space="preserve">PATH Study is </w:t>
      </w:r>
      <w:r w:rsidR="00913074" w:rsidRPr="002903AA">
        <w:rPr>
          <w:rFonts w:eastAsiaTheme="minorHAnsi"/>
          <w:sz w:val="24"/>
          <w:szCs w:val="24"/>
        </w:rPr>
        <w:t xml:space="preserve">nearing </w:t>
      </w:r>
      <w:r w:rsidRPr="0016631E">
        <w:rPr>
          <w:rFonts w:eastAsiaTheme="minorHAnsi"/>
          <w:sz w:val="24"/>
          <w:szCs w:val="24"/>
        </w:rPr>
        <w:t>completi</w:t>
      </w:r>
      <w:r w:rsidR="00913074" w:rsidRPr="002903AA">
        <w:rPr>
          <w:rFonts w:eastAsiaTheme="minorHAnsi"/>
          <w:sz w:val="24"/>
          <w:szCs w:val="24"/>
        </w:rPr>
        <w:t>on of its</w:t>
      </w:r>
      <w:r w:rsidRPr="0016631E">
        <w:rPr>
          <w:rFonts w:eastAsiaTheme="minorHAnsi"/>
          <w:sz w:val="24"/>
          <w:szCs w:val="24"/>
        </w:rPr>
        <w:t xml:space="preserve"> second wave of data and biospecimen collection </w:t>
      </w:r>
      <w:r w:rsidR="009C75FD" w:rsidRPr="0016631E">
        <w:rPr>
          <w:rFonts w:eastAsiaTheme="minorHAnsi"/>
          <w:sz w:val="24"/>
          <w:szCs w:val="24"/>
        </w:rPr>
        <w:t xml:space="preserve">and preparing </w:t>
      </w:r>
      <w:r w:rsidR="000B6C27" w:rsidRPr="0016631E">
        <w:rPr>
          <w:rFonts w:eastAsiaTheme="minorHAnsi"/>
          <w:sz w:val="24"/>
          <w:szCs w:val="24"/>
        </w:rPr>
        <w:t xml:space="preserve">to launch </w:t>
      </w:r>
      <w:r w:rsidR="009C75FD" w:rsidRPr="0016631E">
        <w:rPr>
          <w:rFonts w:eastAsiaTheme="minorHAnsi"/>
          <w:sz w:val="24"/>
          <w:szCs w:val="24"/>
        </w:rPr>
        <w:t xml:space="preserve">its </w:t>
      </w:r>
      <w:r w:rsidR="000B6C27" w:rsidRPr="0016631E">
        <w:rPr>
          <w:rFonts w:eastAsiaTheme="minorHAnsi"/>
          <w:sz w:val="24"/>
          <w:szCs w:val="24"/>
        </w:rPr>
        <w:t>third wave</w:t>
      </w:r>
      <w:r w:rsidR="009C75FD" w:rsidRPr="0016631E">
        <w:rPr>
          <w:rFonts w:eastAsiaTheme="minorHAnsi"/>
          <w:sz w:val="24"/>
          <w:szCs w:val="24"/>
        </w:rPr>
        <w:t>.</w:t>
      </w:r>
      <w:r w:rsidR="009C75FD" w:rsidRPr="0068647F">
        <w:rPr>
          <w:rFonts w:eastAsiaTheme="minorHAnsi"/>
          <w:sz w:val="24"/>
          <w:szCs w:val="24"/>
        </w:rPr>
        <w:t xml:space="preserve"> </w:t>
      </w:r>
      <w:r w:rsidR="002A4735" w:rsidRPr="002903AA">
        <w:rPr>
          <w:rFonts w:eastAsiaTheme="minorHAnsi"/>
          <w:sz w:val="24"/>
          <w:szCs w:val="24"/>
        </w:rPr>
        <w:t>T</w:t>
      </w:r>
      <w:r w:rsidR="002E72FA" w:rsidRPr="00861D2A">
        <w:rPr>
          <w:rFonts w:eastAsiaTheme="minorHAnsi"/>
          <w:sz w:val="24"/>
          <w:szCs w:val="24"/>
        </w:rPr>
        <w:t xml:space="preserve">he </w:t>
      </w:r>
      <w:r w:rsidR="00495671" w:rsidRPr="00861D2A">
        <w:rPr>
          <w:rFonts w:eastAsiaTheme="minorHAnsi"/>
          <w:sz w:val="24"/>
          <w:szCs w:val="24"/>
        </w:rPr>
        <w:t>methods used</w:t>
      </w:r>
      <w:r w:rsidR="002C3FC2" w:rsidRPr="00861D2A">
        <w:rPr>
          <w:rFonts w:eastAsiaTheme="minorHAnsi"/>
          <w:sz w:val="24"/>
          <w:szCs w:val="24"/>
        </w:rPr>
        <w:t xml:space="preserve"> by the PATH Study </w:t>
      </w:r>
      <w:r w:rsidR="00495671" w:rsidRPr="00861D2A">
        <w:rPr>
          <w:rFonts w:eastAsiaTheme="minorHAnsi"/>
          <w:sz w:val="24"/>
          <w:szCs w:val="24"/>
        </w:rPr>
        <w:t xml:space="preserve">for data collection are similar </w:t>
      </w:r>
      <w:r w:rsidR="002C3FC2" w:rsidRPr="00861D2A">
        <w:rPr>
          <w:rFonts w:eastAsiaTheme="minorHAnsi"/>
          <w:sz w:val="24"/>
          <w:szCs w:val="24"/>
        </w:rPr>
        <w:t>for</w:t>
      </w:r>
      <w:r w:rsidR="00495671" w:rsidRPr="00861D2A">
        <w:rPr>
          <w:rFonts w:eastAsiaTheme="minorHAnsi"/>
          <w:sz w:val="24"/>
          <w:szCs w:val="24"/>
        </w:rPr>
        <w:t xml:space="preserve"> each wave</w:t>
      </w:r>
      <w:r w:rsidR="002A4735" w:rsidRPr="00861D2A">
        <w:rPr>
          <w:rFonts w:eastAsiaTheme="minorHAnsi"/>
          <w:sz w:val="24"/>
          <w:szCs w:val="24"/>
        </w:rPr>
        <w:t>, and include</w:t>
      </w:r>
      <w:r w:rsidRPr="0068647F">
        <w:rPr>
          <w:rFonts w:eastAsiaTheme="minorHAnsi"/>
          <w:sz w:val="24"/>
          <w:szCs w:val="24"/>
        </w:rPr>
        <w:t xml:space="preserve"> </w:t>
      </w:r>
      <w:r w:rsidR="00022518" w:rsidRPr="0068647F">
        <w:rPr>
          <w:rFonts w:eastAsiaTheme="minorHAnsi"/>
          <w:sz w:val="24"/>
          <w:szCs w:val="24"/>
        </w:rPr>
        <w:t xml:space="preserve">computer-assisted interviews </w:t>
      </w:r>
      <w:r w:rsidRPr="0068647F">
        <w:rPr>
          <w:rFonts w:eastAsiaTheme="minorHAnsi"/>
          <w:sz w:val="24"/>
          <w:szCs w:val="24"/>
        </w:rPr>
        <w:t xml:space="preserve">with </w:t>
      </w:r>
      <w:r w:rsidR="009C75FD" w:rsidRPr="0068647F">
        <w:rPr>
          <w:rFonts w:eastAsiaTheme="minorHAnsi"/>
          <w:sz w:val="24"/>
          <w:szCs w:val="24"/>
        </w:rPr>
        <w:t xml:space="preserve">probability samples of adults </w:t>
      </w:r>
      <w:r w:rsidRPr="0068647F">
        <w:rPr>
          <w:rFonts w:eastAsiaTheme="minorHAnsi"/>
          <w:sz w:val="24"/>
          <w:szCs w:val="24"/>
        </w:rPr>
        <w:t xml:space="preserve">(18 years and older) </w:t>
      </w:r>
      <w:r w:rsidR="0086735C" w:rsidRPr="0068647F">
        <w:rPr>
          <w:rFonts w:eastAsiaTheme="minorHAnsi"/>
          <w:sz w:val="24"/>
          <w:szCs w:val="24"/>
        </w:rPr>
        <w:t xml:space="preserve">and </w:t>
      </w:r>
      <w:r w:rsidRPr="0068647F">
        <w:rPr>
          <w:rFonts w:eastAsiaTheme="minorHAnsi"/>
          <w:sz w:val="24"/>
          <w:szCs w:val="24"/>
        </w:rPr>
        <w:t xml:space="preserve">youth </w:t>
      </w:r>
      <w:r w:rsidR="0086735C" w:rsidRPr="0068647F">
        <w:rPr>
          <w:rFonts w:eastAsiaTheme="minorHAnsi"/>
          <w:sz w:val="24"/>
          <w:szCs w:val="24"/>
        </w:rPr>
        <w:t>(</w:t>
      </w:r>
      <w:r w:rsidRPr="0068647F">
        <w:rPr>
          <w:rFonts w:eastAsiaTheme="minorHAnsi"/>
          <w:sz w:val="24"/>
          <w:szCs w:val="24"/>
        </w:rPr>
        <w:t>12 to 17 year</w:t>
      </w:r>
      <w:r w:rsidR="0086735C" w:rsidRPr="0068647F">
        <w:rPr>
          <w:rFonts w:eastAsiaTheme="minorHAnsi"/>
          <w:sz w:val="24"/>
          <w:szCs w:val="24"/>
        </w:rPr>
        <w:t>s</w:t>
      </w:r>
      <w:r w:rsidRPr="0068647F">
        <w:rPr>
          <w:rFonts w:eastAsiaTheme="minorHAnsi"/>
          <w:sz w:val="24"/>
          <w:szCs w:val="24"/>
        </w:rPr>
        <w:t xml:space="preserve"> old) on topics pertaining to tobacco use </w:t>
      </w:r>
      <w:r w:rsidR="005813A0" w:rsidRPr="002903AA">
        <w:rPr>
          <w:rFonts w:eastAsiaTheme="minorHAnsi"/>
          <w:sz w:val="24"/>
          <w:szCs w:val="24"/>
        </w:rPr>
        <w:t xml:space="preserve">behavior </w:t>
      </w:r>
      <w:r w:rsidRPr="007E0F7C">
        <w:rPr>
          <w:rFonts w:eastAsiaTheme="minorHAnsi"/>
          <w:sz w:val="24"/>
          <w:szCs w:val="24"/>
        </w:rPr>
        <w:t xml:space="preserve">and health </w:t>
      </w:r>
      <w:r w:rsidR="00022518" w:rsidRPr="007E0F7C">
        <w:rPr>
          <w:sz w:val="24"/>
          <w:szCs w:val="24"/>
        </w:rPr>
        <w:t>(</w:t>
      </w:r>
      <w:r w:rsidR="000A4B98" w:rsidRPr="007E0F7C">
        <w:rPr>
          <w:sz w:val="24"/>
          <w:szCs w:val="24"/>
        </w:rPr>
        <w:t>e.g.,</w:t>
      </w:r>
      <w:r w:rsidR="00022518" w:rsidRPr="007E0F7C">
        <w:rPr>
          <w:sz w:val="24"/>
          <w:szCs w:val="24"/>
        </w:rPr>
        <w:t xml:space="preserve"> </w:t>
      </w:r>
      <w:r w:rsidR="00022518" w:rsidRPr="007E0F7C">
        <w:rPr>
          <w:rFonts w:eastAsiaTheme="minorHAnsi"/>
          <w:sz w:val="24"/>
          <w:szCs w:val="24"/>
        </w:rPr>
        <w:t>tobacco-use patterns; risk perceptions and attitudes regarding harmful constituents</w:t>
      </w:r>
      <w:r w:rsidR="005813A0" w:rsidRPr="002903AA">
        <w:rPr>
          <w:rFonts w:eastAsiaTheme="minorHAnsi"/>
          <w:sz w:val="24"/>
          <w:szCs w:val="24"/>
        </w:rPr>
        <w:t xml:space="preserve">; </w:t>
      </w:r>
      <w:r w:rsidR="005813A0" w:rsidRPr="00861D2A">
        <w:rPr>
          <w:rFonts w:eastAsiaTheme="minorHAnsi"/>
          <w:sz w:val="24"/>
          <w:szCs w:val="24"/>
        </w:rPr>
        <w:t>and use of</w:t>
      </w:r>
      <w:r w:rsidR="00022518" w:rsidRPr="007E0F7C">
        <w:rPr>
          <w:rFonts w:eastAsiaTheme="minorHAnsi"/>
          <w:sz w:val="24"/>
          <w:szCs w:val="24"/>
        </w:rPr>
        <w:t xml:space="preserve"> new and emerging tobacco products)</w:t>
      </w:r>
      <w:r w:rsidR="009258CF" w:rsidRPr="007E0F7C">
        <w:rPr>
          <w:rFonts w:eastAsiaTheme="minorHAnsi"/>
          <w:sz w:val="24"/>
          <w:szCs w:val="24"/>
        </w:rPr>
        <w:t xml:space="preserve">. </w:t>
      </w:r>
      <w:r w:rsidR="005813A0" w:rsidRPr="002903AA">
        <w:rPr>
          <w:rFonts w:eastAsiaTheme="minorHAnsi"/>
          <w:sz w:val="24"/>
          <w:szCs w:val="24"/>
        </w:rPr>
        <w:t>Biospecimen</w:t>
      </w:r>
      <w:r w:rsidR="00495671" w:rsidRPr="00861D2A">
        <w:rPr>
          <w:rFonts w:eastAsiaTheme="minorHAnsi"/>
          <w:sz w:val="24"/>
          <w:szCs w:val="24"/>
        </w:rPr>
        <w:t xml:space="preserve"> collection </w:t>
      </w:r>
      <w:r w:rsidR="00E8682F" w:rsidRPr="00861D2A">
        <w:rPr>
          <w:rFonts w:eastAsiaTheme="minorHAnsi"/>
          <w:sz w:val="24"/>
          <w:szCs w:val="24"/>
        </w:rPr>
        <w:t>from consenting adults</w:t>
      </w:r>
      <w:r w:rsidR="00015B2C">
        <w:rPr>
          <w:rFonts w:eastAsiaTheme="minorHAnsi"/>
          <w:sz w:val="24"/>
          <w:szCs w:val="24"/>
        </w:rPr>
        <w:t xml:space="preserve"> </w:t>
      </w:r>
      <w:r w:rsidR="000B5B0B">
        <w:rPr>
          <w:rFonts w:eastAsiaTheme="minorHAnsi"/>
          <w:sz w:val="24"/>
          <w:szCs w:val="24"/>
        </w:rPr>
        <w:t xml:space="preserve">in Wave 1 </w:t>
      </w:r>
      <w:r w:rsidR="00E8682F" w:rsidRPr="002903AA">
        <w:rPr>
          <w:rFonts w:eastAsiaTheme="minorHAnsi"/>
          <w:sz w:val="24"/>
          <w:szCs w:val="24"/>
        </w:rPr>
        <w:t>include</w:t>
      </w:r>
      <w:r w:rsidR="003F2948">
        <w:rPr>
          <w:rFonts w:eastAsiaTheme="minorHAnsi"/>
          <w:sz w:val="24"/>
          <w:szCs w:val="24"/>
        </w:rPr>
        <w:t>d</w:t>
      </w:r>
      <w:r w:rsidR="00E8682F" w:rsidRPr="00861D2A">
        <w:rPr>
          <w:rFonts w:eastAsiaTheme="minorHAnsi"/>
          <w:sz w:val="24"/>
          <w:szCs w:val="24"/>
        </w:rPr>
        <w:t xml:space="preserve"> </w:t>
      </w:r>
      <w:r w:rsidR="00370DFA">
        <w:rPr>
          <w:rFonts w:eastAsiaTheme="minorHAnsi"/>
          <w:sz w:val="24"/>
          <w:szCs w:val="24"/>
        </w:rPr>
        <w:t xml:space="preserve">the collection of </w:t>
      </w:r>
      <w:r w:rsidR="00E8682F" w:rsidRPr="00861D2A">
        <w:rPr>
          <w:rFonts w:eastAsiaTheme="minorHAnsi"/>
          <w:sz w:val="24"/>
          <w:szCs w:val="24"/>
        </w:rPr>
        <w:t>urine</w:t>
      </w:r>
      <w:r w:rsidR="002C3FC2" w:rsidRPr="00861D2A">
        <w:rPr>
          <w:rFonts w:eastAsiaTheme="minorHAnsi"/>
          <w:sz w:val="24"/>
          <w:szCs w:val="24"/>
        </w:rPr>
        <w:t>,</w:t>
      </w:r>
      <w:r w:rsidR="00E8682F" w:rsidRPr="00861D2A">
        <w:rPr>
          <w:rFonts w:eastAsiaTheme="minorHAnsi"/>
          <w:sz w:val="24"/>
          <w:szCs w:val="24"/>
        </w:rPr>
        <w:t xml:space="preserve"> </w:t>
      </w:r>
      <w:r w:rsidR="00E8682F" w:rsidRPr="0068647F">
        <w:rPr>
          <w:rFonts w:eastAsiaTheme="minorHAnsi"/>
          <w:sz w:val="24"/>
          <w:szCs w:val="24"/>
        </w:rPr>
        <w:t>blood</w:t>
      </w:r>
      <w:r w:rsidR="002C3FC2" w:rsidRPr="0068647F">
        <w:rPr>
          <w:rFonts w:eastAsiaTheme="minorHAnsi"/>
          <w:sz w:val="24"/>
          <w:szCs w:val="24"/>
        </w:rPr>
        <w:t>,</w:t>
      </w:r>
      <w:r w:rsidR="00E8682F" w:rsidRPr="0068647F">
        <w:rPr>
          <w:rFonts w:eastAsiaTheme="minorHAnsi"/>
          <w:sz w:val="24"/>
          <w:szCs w:val="24"/>
        </w:rPr>
        <w:t xml:space="preserve"> and buccal cell samples</w:t>
      </w:r>
      <w:r w:rsidR="000B5B0B">
        <w:rPr>
          <w:rFonts w:eastAsiaTheme="minorHAnsi"/>
          <w:sz w:val="24"/>
          <w:szCs w:val="24"/>
        </w:rPr>
        <w:t xml:space="preserve">. </w:t>
      </w:r>
      <w:r w:rsidR="000B5B0B">
        <w:rPr>
          <w:rFonts w:eastAsiaTheme="minorHAnsi"/>
          <w:sz w:val="24"/>
          <w:szCs w:val="24"/>
        </w:rPr>
        <w:lastRenderedPageBreak/>
        <w:t>B</w:t>
      </w:r>
      <w:r w:rsidR="002C3FC2" w:rsidRPr="0068647F">
        <w:rPr>
          <w:rFonts w:eastAsiaTheme="minorHAnsi"/>
          <w:sz w:val="24"/>
          <w:szCs w:val="24"/>
        </w:rPr>
        <w:t>uccal cell</w:t>
      </w:r>
      <w:r w:rsidR="00A139F4">
        <w:rPr>
          <w:rFonts w:eastAsiaTheme="minorHAnsi"/>
          <w:sz w:val="24"/>
          <w:szCs w:val="24"/>
        </w:rPr>
        <w:t xml:space="preserve">s </w:t>
      </w:r>
      <w:r w:rsidR="002C3FC2" w:rsidRPr="0068647F">
        <w:rPr>
          <w:rFonts w:eastAsiaTheme="minorHAnsi"/>
          <w:sz w:val="24"/>
          <w:szCs w:val="24"/>
        </w:rPr>
        <w:t xml:space="preserve">were </w:t>
      </w:r>
      <w:r w:rsidR="00A139F4">
        <w:rPr>
          <w:rFonts w:eastAsiaTheme="minorHAnsi"/>
          <w:sz w:val="24"/>
          <w:szCs w:val="24"/>
        </w:rPr>
        <w:t>only c</w:t>
      </w:r>
      <w:r w:rsidR="002C3FC2" w:rsidRPr="0068647F">
        <w:rPr>
          <w:rFonts w:eastAsiaTheme="minorHAnsi"/>
          <w:sz w:val="24"/>
          <w:szCs w:val="24"/>
        </w:rPr>
        <w:t xml:space="preserve">ollected </w:t>
      </w:r>
      <w:r w:rsidR="00E8682F" w:rsidRPr="0068647F">
        <w:rPr>
          <w:rFonts w:eastAsiaTheme="minorHAnsi"/>
          <w:sz w:val="24"/>
          <w:szCs w:val="24"/>
        </w:rPr>
        <w:t xml:space="preserve">from the start of Wave 1 until </w:t>
      </w:r>
      <w:r w:rsidR="0086735C" w:rsidRPr="0068647F">
        <w:rPr>
          <w:rFonts w:eastAsiaTheme="minorHAnsi"/>
          <w:sz w:val="24"/>
          <w:szCs w:val="24"/>
        </w:rPr>
        <w:t>May 18, 20</w:t>
      </w:r>
      <w:r w:rsidR="000D659C" w:rsidRPr="0068647F">
        <w:rPr>
          <w:rFonts w:eastAsiaTheme="minorHAnsi"/>
          <w:sz w:val="24"/>
          <w:szCs w:val="24"/>
        </w:rPr>
        <w:t>1</w:t>
      </w:r>
      <w:r w:rsidR="0086735C" w:rsidRPr="0068647F">
        <w:rPr>
          <w:rFonts w:eastAsiaTheme="minorHAnsi"/>
          <w:sz w:val="24"/>
          <w:szCs w:val="24"/>
        </w:rPr>
        <w:t>4</w:t>
      </w:r>
      <w:r w:rsidR="000B5B0B">
        <w:rPr>
          <w:rFonts w:eastAsiaTheme="minorHAnsi"/>
          <w:sz w:val="24"/>
          <w:szCs w:val="24"/>
        </w:rPr>
        <w:t>.</w:t>
      </w:r>
      <w:r w:rsidR="0086735C" w:rsidRPr="0068647F">
        <w:rPr>
          <w:rStyle w:val="FootnoteReference"/>
          <w:rFonts w:eastAsiaTheme="minorHAnsi"/>
          <w:sz w:val="24"/>
          <w:szCs w:val="24"/>
        </w:rPr>
        <w:footnoteReference w:id="1"/>
      </w:r>
      <w:r w:rsidR="000B5B0B">
        <w:rPr>
          <w:rFonts w:eastAsiaTheme="minorHAnsi"/>
          <w:sz w:val="24"/>
          <w:szCs w:val="24"/>
        </w:rPr>
        <w:t xml:space="preserve"> </w:t>
      </w:r>
      <w:r w:rsidR="0057475D" w:rsidRPr="0068647F">
        <w:rPr>
          <w:rFonts w:eastAsiaTheme="minorHAnsi"/>
          <w:sz w:val="24"/>
          <w:szCs w:val="24"/>
        </w:rPr>
        <w:t>All</w:t>
      </w:r>
      <w:r w:rsidR="00E8682F" w:rsidRPr="0068647F">
        <w:rPr>
          <w:rFonts w:eastAsiaTheme="minorHAnsi"/>
          <w:sz w:val="24"/>
          <w:szCs w:val="24"/>
        </w:rPr>
        <w:t xml:space="preserve"> biospecimens are </w:t>
      </w:r>
      <w:r w:rsidR="002E72FA" w:rsidRPr="0068647F">
        <w:rPr>
          <w:rFonts w:eastAsiaTheme="minorHAnsi"/>
          <w:sz w:val="24"/>
          <w:szCs w:val="24"/>
        </w:rPr>
        <w:t xml:space="preserve">safely </w:t>
      </w:r>
      <w:r w:rsidR="002E72FA" w:rsidRPr="009274C9">
        <w:rPr>
          <w:rFonts w:eastAsiaTheme="minorHAnsi"/>
          <w:sz w:val="24"/>
          <w:szCs w:val="24"/>
        </w:rPr>
        <w:t xml:space="preserve">stored in </w:t>
      </w:r>
      <w:r w:rsidR="00C40A83" w:rsidRPr="009274C9">
        <w:rPr>
          <w:rFonts w:eastAsiaTheme="minorHAnsi"/>
          <w:sz w:val="24"/>
          <w:szCs w:val="24"/>
        </w:rPr>
        <w:t>a biorepository</w:t>
      </w:r>
      <w:r w:rsidR="002E72FA" w:rsidRPr="009274C9">
        <w:rPr>
          <w:rFonts w:eastAsiaTheme="minorHAnsi"/>
          <w:sz w:val="24"/>
          <w:szCs w:val="24"/>
        </w:rPr>
        <w:t>, which also ships selected samples</w:t>
      </w:r>
      <w:r w:rsidR="0057475D" w:rsidRPr="009274C9">
        <w:rPr>
          <w:rFonts w:eastAsiaTheme="minorHAnsi"/>
          <w:sz w:val="24"/>
          <w:szCs w:val="24"/>
        </w:rPr>
        <w:t xml:space="preserve"> </w:t>
      </w:r>
      <w:r w:rsidR="00E8682F" w:rsidRPr="009274C9">
        <w:rPr>
          <w:rFonts w:eastAsiaTheme="minorHAnsi"/>
          <w:sz w:val="24"/>
          <w:szCs w:val="24"/>
        </w:rPr>
        <w:t xml:space="preserve">to </w:t>
      </w:r>
      <w:r w:rsidR="0057475D" w:rsidRPr="009274C9">
        <w:rPr>
          <w:rFonts w:eastAsiaTheme="minorHAnsi"/>
          <w:sz w:val="24"/>
          <w:szCs w:val="24"/>
        </w:rPr>
        <w:t xml:space="preserve">one or more specialized </w:t>
      </w:r>
      <w:r w:rsidR="00E8682F" w:rsidRPr="009274C9">
        <w:rPr>
          <w:rFonts w:eastAsiaTheme="minorHAnsi"/>
          <w:sz w:val="24"/>
          <w:szCs w:val="24"/>
        </w:rPr>
        <w:t xml:space="preserve">analytic laboratories for </w:t>
      </w:r>
      <w:r w:rsidR="00C40A83" w:rsidRPr="009274C9">
        <w:rPr>
          <w:rFonts w:eastAsiaTheme="minorHAnsi"/>
          <w:sz w:val="24"/>
          <w:szCs w:val="24"/>
        </w:rPr>
        <w:t>analysis</w:t>
      </w:r>
      <w:r w:rsidR="005F792F">
        <w:rPr>
          <w:rFonts w:eastAsiaTheme="minorHAnsi"/>
          <w:sz w:val="24"/>
          <w:szCs w:val="24"/>
        </w:rPr>
        <w:t>;</w:t>
      </w:r>
      <w:r w:rsidR="005F792F" w:rsidRPr="005F792F">
        <w:rPr>
          <w:rFonts w:eastAsiaTheme="minorHAnsi"/>
          <w:sz w:val="24"/>
          <w:szCs w:val="24"/>
        </w:rPr>
        <w:t xml:space="preserve"> </w:t>
      </w:r>
      <w:r w:rsidR="005F792F" w:rsidRPr="00251244">
        <w:rPr>
          <w:rFonts w:eastAsiaTheme="minorHAnsi"/>
          <w:sz w:val="24"/>
          <w:szCs w:val="24"/>
        </w:rPr>
        <w:t xml:space="preserve">any unused specimens are shipped by the laboratory back to the </w:t>
      </w:r>
      <w:r w:rsidR="00323496">
        <w:rPr>
          <w:rFonts w:eastAsiaTheme="minorHAnsi"/>
          <w:sz w:val="24"/>
          <w:szCs w:val="24"/>
        </w:rPr>
        <w:t>bio</w:t>
      </w:r>
      <w:r w:rsidR="005F792F" w:rsidRPr="00251244">
        <w:rPr>
          <w:rFonts w:eastAsiaTheme="minorHAnsi"/>
          <w:sz w:val="24"/>
          <w:szCs w:val="24"/>
        </w:rPr>
        <w:t xml:space="preserve">repository. </w:t>
      </w:r>
      <w:r w:rsidR="0057475D" w:rsidRPr="009274C9">
        <w:rPr>
          <w:rFonts w:eastAsiaTheme="minorHAnsi"/>
          <w:sz w:val="24"/>
          <w:szCs w:val="24"/>
        </w:rPr>
        <w:t xml:space="preserve">Results from the analytic laboratories </w:t>
      </w:r>
      <w:r w:rsidR="00D10FE2" w:rsidRPr="009274C9">
        <w:rPr>
          <w:rFonts w:eastAsiaTheme="minorHAnsi"/>
          <w:sz w:val="24"/>
          <w:szCs w:val="24"/>
        </w:rPr>
        <w:t xml:space="preserve">(i.e., biospecimen data) </w:t>
      </w:r>
      <w:r w:rsidR="0057475D" w:rsidRPr="009274C9">
        <w:rPr>
          <w:rFonts w:eastAsiaTheme="minorHAnsi"/>
          <w:sz w:val="24"/>
          <w:szCs w:val="24"/>
        </w:rPr>
        <w:t>are the</w:t>
      </w:r>
      <w:r w:rsidR="005F792F">
        <w:rPr>
          <w:rFonts w:eastAsiaTheme="minorHAnsi"/>
          <w:sz w:val="24"/>
          <w:szCs w:val="24"/>
        </w:rPr>
        <w:t>n</w:t>
      </w:r>
      <w:r w:rsidR="0057475D" w:rsidRPr="009274C9">
        <w:rPr>
          <w:rFonts w:eastAsiaTheme="minorHAnsi"/>
          <w:sz w:val="24"/>
          <w:szCs w:val="24"/>
        </w:rPr>
        <w:t xml:space="preserve"> transmitted to the Contractor to link with interview/clinical data</w:t>
      </w:r>
      <w:r w:rsidR="005F792F">
        <w:rPr>
          <w:rFonts w:eastAsiaTheme="minorHAnsi"/>
          <w:sz w:val="24"/>
          <w:szCs w:val="24"/>
        </w:rPr>
        <w:t>.</w:t>
      </w:r>
      <w:r w:rsidR="0057475D" w:rsidRPr="009274C9">
        <w:rPr>
          <w:rFonts w:eastAsiaTheme="minorHAnsi"/>
          <w:sz w:val="24"/>
          <w:szCs w:val="24"/>
        </w:rPr>
        <w:t xml:space="preserve"> </w:t>
      </w:r>
    </w:p>
    <w:p w:rsidR="003B48FC" w:rsidRPr="0016631E" w:rsidRDefault="00561C37" w:rsidP="003B48FC">
      <w:pPr>
        <w:spacing w:after="200" w:line="276" w:lineRule="auto"/>
        <w:rPr>
          <w:rFonts w:eastAsiaTheme="minorHAnsi"/>
          <w:sz w:val="24"/>
          <w:szCs w:val="24"/>
        </w:rPr>
      </w:pPr>
      <w:r w:rsidRPr="009274C9">
        <w:rPr>
          <w:rFonts w:eastAsiaTheme="minorHAnsi"/>
          <w:sz w:val="24"/>
          <w:szCs w:val="24"/>
        </w:rPr>
        <w:t xml:space="preserve">The statistical approach to be applied to the Wave 1 biospecimen data </w:t>
      </w:r>
      <w:r w:rsidRPr="0042045C">
        <w:rPr>
          <w:rFonts w:eastAsiaTheme="minorHAnsi"/>
          <w:sz w:val="24"/>
          <w:szCs w:val="24"/>
        </w:rPr>
        <w:t>builds on the</w:t>
      </w:r>
      <w:r w:rsidRPr="009274C9">
        <w:rPr>
          <w:rFonts w:eastAsiaTheme="minorHAnsi"/>
          <w:sz w:val="24"/>
          <w:szCs w:val="24"/>
        </w:rPr>
        <w:t xml:space="preserve"> approach</w:t>
      </w:r>
      <w:r w:rsidR="003B48FC" w:rsidRPr="009274C9">
        <w:rPr>
          <w:rFonts w:eastAsiaTheme="minorHAnsi"/>
          <w:sz w:val="24"/>
          <w:szCs w:val="24"/>
        </w:rPr>
        <w:t xml:space="preserve"> used </w:t>
      </w:r>
      <w:r w:rsidRPr="009274C9">
        <w:rPr>
          <w:rFonts w:eastAsiaTheme="minorHAnsi"/>
          <w:sz w:val="24"/>
          <w:szCs w:val="24"/>
        </w:rPr>
        <w:t xml:space="preserve">to </w:t>
      </w:r>
      <w:r w:rsidRPr="0016631E">
        <w:rPr>
          <w:rFonts w:eastAsiaTheme="minorHAnsi"/>
          <w:sz w:val="24"/>
          <w:szCs w:val="24"/>
        </w:rPr>
        <w:t xml:space="preserve">address potential nonresponse bias </w:t>
      </w:r>
      <w:r w:rsidR="003B48FC" w:rsidRPr="0016631E">
        <w:rPr>
          <w:rFonts w:eastAsiaTheme="minorHAnsi"/>
          <w:sz w:val="24"/>
          <w:szCs w:val="24"/>
        </w:rPr>
        <w:t>for</w:t>
      </w:r>
      <w:r w:rsidRPr="0016631E">
        <w:rPr>
          <w:rFonts w:eastAsiaTheme="minorHAnsi"/>
          <w:sz w:val="24"/>
          <w:szCs w:val="24"/>
        </w:rPr>
        <w:t xml:space="preserve"> the </w:t>
      </w:r>
      <w:r w:rsidR="003B48FC" w:rsidRPr="0016631E">
        <w:rPr>
          <w:rFonts w:eastAsiaTheme="minorHAnsi"/>
          <w:sz w:val="24"/>
          <w:szCs w:val="24"/>
        </w:rPr>
        <w:t xml:space="preserve">Wave 1 </w:t>
      </w:r>
      <w:r w:rsidRPr="0016631E">
        <w:rPr>
          <w:rFonts w:eastAsiaTheme="minorHAnsi"/>
          <w:sz w:val="24"/>
          <w:szCs w:val="24"/>
        </w:rPr>
        <w:t xml:space="preserve">interview data. </w:t>
      </w:r>
      <w:r w:rsidR="00761105" w:rsidRPr="0016631E">
        <w:rPr>
          <w:rFonts w:eastAsiaTheme="minorHAnsi"/>
          <w:sz w:val="24"/>
          <w:szCs w:val="24"/>
        </w:rPr>
        <w:t xml:space="preserve">NIDA presented </w:t>
      </w:r>
      <w:r w:rsidR="003B48FC" w:rsidRPr="0016631E">
        <w:rPr>
          <w:rFonts w:eastAsiaTheme="minorHAnsi"/>
          <w:sz w:val="24"/>
          <w:szCs w:val="24"/>
        </w:rPr>
        <w:t>this approach for the interview data in the PATH Study’s Wave 2 Interim Report</w:t>
      </w:r>
      <w:r w:rsidR="00323496">
        <w:rPr>
          <w:rFonts w:eastAsiaTheme="minorHAnsi"/>
          <w:sz w:val="24"/>
          <w:szCs w:val="24"/>
        </w:rPr>
        <w:t xml:space="preserve"> (</w:t>
      </w:r>
      <w:r w:rsidR="002D5DFA">
        <w:rPr>
          <w:rFonts w:eastAsiaTheme="minorHAnsi"/>
          <w:sz w:val="24"/>
          <w:szCs w:val="24"/>
        </w:rPr>
        <w:t xml:space="preserve">Attachment 21 of the PATH Study’s Wave </w:t>
      </w:r>
      <w:r w:rsidR="001D592D">
        <w:rPr>
          <w:rFonts w:eastAsiaTheme="minorHAnsi"/>
          <w:sz w:val="24"/>
          <w:szCs w:val="24"/>
        </w:rPr>
        <w:t>3</w:t>
      </w:r>
      <w:r w:rsidR="002D5DFA">
        <w:rPr>
          <w:rFonts w:eastAsiaTheme="minorHAnsi"/>
          <w:sz w:val="24"/>
          <w:szCs w:val="24"/>
        </w:rPr>
        <w:t xml:space="preserve"> Revision Request,</w:t>
      </w:r>
      <w:r w:rsidR="005D41DD">
        <w:rPr>
          <w:rFonts w:eastAsiaTheme="minorHAnsi"/>
          <w:sz w:val="24"/>
          <w:szCs w:val="24"/>
        </w:rPr>
        <w:t xml:space="preserve"> submitted to OMB in </w:t>
      </w:r>
      <w:r w:rsidR="002D5DFA">
        <w:rPr>
          <w:rFonts w:eastAsiaTheme="minorHAnsi"/>
          <w:sz w:val="24"/>
          <w:szCs w:val="24"/>
        </w:rPr>
        <w:t>June</w:t>
      </w:r>
      <w:r w:rsidR="005D41DD">
        <w:rPr>
          <w:rFonts w:eastAsiaTheme="minorHAnsi"/>
          <w:sz w:val="24"/>
          <w:szCs w:val="24"/>
        </w:rPr>
        <w:t>, 2015</w:t>
      </w:r>
      <w:r w:rsidR="002D5DFA">
        <w:rPr>
          <w:rFonts w:eastAsiaTheme="minorHAnsi"/>
          <w:sz w:val="24"/>
          <w:szCs w:val="24"/>
        </w:rPr>
        <w:t>)</w:t>
      </w:r>
      <w:r w:rsidR="005D41DD">
        <w:rPr>
          <w:rFonts w:eastAsiaTheme="minorHAnsi"/>
          <w:sz w:val="24"/>
          <w:szCs w:val="24"/>
        </w:rPr>
        <w:t>.</w:t>
      </w:r>
    </w:p>
    <w:p w:rsidR="00323496" w:rsidRDefault="004B5B46">
      <w:pPr>
        <w:spacing w:after="200" w:line="276" w:lineRule="auto"/>
        <w:rPr>
          <w:rFonts w:eastAsiaTheme="minorHAnsi"/>
          <w:sz w:val="24"/>
          <w:szCs w:val="24"/>
        </w:rPr>
      </w:pPr>
      <w:r w:rsidRPr="009274C9">
        <w:rPr>
          <w:rFonts w:eastAsiaTheme="minorHAnsi"/>
          <w:b/>
          <w:sz w:val="24"/>
          <w:szCs w:val="24"/>
        </w:rPr>
        <w:t xml:space="preserve">Overview of </w:t>
      </w:r>
      <w:r w:rsidR="00D10FE2">
        <w:rPr>
          <w:rFonts w:eastAsiaTheme="minorHAnsi"/>
          <w:b/>
          <w:sz w:val="24"/>
          <w:szCs w:val="24"/>
        </w:rPr>
        <w:t xml:space="preserve">the </w:t>
      </w:r>
      <w:r w:rsidRPr="009274C9">
        <w:rPr>
          <w:rFonts w:eastAsiaTheme="minorHAnsi"/>
          <w:b/>
          <w:sz w:val="24"/>
          <w:szCs w:val="24"/>
        </w:rPr>
        <w:t>Approach</w:t>
      </w:r>
    </w:p>
    <w:p w:rsidR="004B5B46" w:rsidRPr="009274C9" w:rsidRDefault="008945C3">
      <w:pPr>
        <w:spacing w:after="200" w:line="276" w:lineRule="auto"/>
        <w:rPr>
          <w:rFonts w:eastAsiaTheme="minorHAnsi"/>
          <w:sz w:val="24"/>
          <w:szCs w:val="24"/>
        </w:rPr>
      </w:pPr>
      <w:r w:rsidRPr="0016631E">
        <w:rPr>
          <w:rFonts w:eastAsiaTheme="minorHAnsi"/>
          <w:sz w:val="24"/>
          <w:szCs w:val="24"/>
        </w:rPr>
        <w:t xml:space="preserve">As </w:t>
      </w:r>
      <w:r w:rsidR="00373B3C" w:rsidRPr="0016631E">
        <w:rPr>
          <w:rFonts w:eastAsiaTheme="minorHAnsi"/>
          <w:sz w:val="24"/>
          <w:szCs w:val="24"/>
        </w:rPr>
        <w:t xml:space="preserve">described in </w:t>
      </w:r>
      <w:r w:rsidRPr="0016631E">
        <w:rPr>
          <w:rFonts w:eastAsiaTheme="minorHAnsi"/>
          <w:sz w:val="24"/>
          <w:szCs w:val="24"/>
        </w:rPr>
        <w:t>t</w:t>
      </w:r>
      <w:r w:rsidR="004B5B46" w:rsidRPr="0016631E">
        <w:rPr>
          <w:rFonts w:eastAsiaTheme="minorHAnsi"/>
          <w:sz w:val="24"/>
          <w:szCs w:val="24"/>
        </w:rPr>
        <w:t xml:space="preserve">he PATH </w:t>
      </w:r>
      <w:r w:rsidR="004B5B46" w:rsidRPr="009274C9">
        <w:rPr>
          <w:rFonts w:eastAsiaTheme="minorHAnsi"/>
          <w:sz w:val="24"/>
          <w:szCs w:val="24"/>
        </w:rPr>
        <w:t>Study's Wave 2 Interim Report</w:t>
      </w:r>
      <w:r w:rsidR="00323496">
        <w:rPr>
          <w:rFonts w:eastAsiaTheme="minorHAnsi"/>
          <w:sz w:val="24"/>
          <w:szCs w:val="24"/>
        </w:rPr>
        <w:t>,</w:t>
      </w:r>
      <w:r w:rsidR="004B5B46" w:rsidRPr="009274C9">
        <w:rPr>
          <w:rFonts w:eastAsiaTheme="minorHAnsi"/>
          <w:sz w:val="24"/>
          <w:szCs w:val="24"/>
        </w:rPr>
        <w:t xml:space="preserve"> </w:t>
      </w:r>
      <w:r w:rsidR="004B5B46" w:rsidRPr="0016631E">
        <w:rPr>
          <w:rFonts w:eastAsiaTheme="minorHAnsi"/>
          <w:sz w:val="24"/>
          <w:szCs w:val="24"/>
        </w:rPr>
        <w:t>th</w:t>
      </w:r>
      <w:r w:rsidR="004B5B46" w:rsidRPr="009274C9">
        <w:rPr>
          <w:rFonts w:eastAsiaTheme="minorHAnsi"/>
          <w:sz w:val="24"/>
          <w:szCs w:val="24"/>
        </w:rPr>
        <w:t xml:space="preserve">e Wave 1 adult weights for the </w:t>
      </w:r>
      <w:r w:rsidR="004B5B46" w:rsidRPr="0016631E">
        <w:rPr>
          <w:rFonts w:eastAsiaTheme="minorHAnsi"/>
          <w:sz w:val="24"/>
          <w:szCs w:val="24"/>
        </w:rPr>
        <w:t xml:space="preserve">interview data were calibrated </w:t>
      </w:r>
      <w:r w:rsidR="00B149D8" w:rsidRPr="00062367">
        <w:rPr>
          <w:rFonts w:eastAsiaTheme="minorHAnsi"/>
          <w:sz w:val="24"/>
          <w:szCs w:val="24"/>
        </w:rPr>
        <w:t xml:space="preserve">through the process of </w:t>
      </w:r>
      <w:r w:rsidR="004B5B46" w:rsidRPr="00062367">
        <w:rPr>
          <w:rFonts w:eastAsiaTheme="minorHAnsi"/>
          <w:sz w:val="24"/>
          <w:szCs w:val="24"/>
        </w:rPr>
        <w:t>raking</w:t>
      </w:r>
      <w:r w:rsidR="001E7AF0" w:rsidRPr="00062367">
        <w:rPr>
          <w:rFonts w:eastAsiaTheme="minorHAnsi"/>
          <w:sz w:val="24"/>
          <w:szCs w:val="24"/>
        </w:rPr>
        <w:t xml:space="preserve"> </w:t>
      </w:r>
      <w:r w:rsidR="004B5B46" w:rsidRPr="009274C9">
        <w:rPr>
          <w:rFonts w:eastAsiaTheme="minorHAnsi"/>
          <w:sz w:val="24"/>
          <w:szCs w:val="24"/>
        </w:rPr>
        <w:t>to population estimates for demographic characteristics from the American Community Survey.</w:t>
      </w:r>
      <w:r w:rsidR="004B5B46" w:rsidRPr="009274C9">
        <w:rPr>
          <w:rFonts w:eastAsiaTheme="minorHAnsi"/>
          <w:sz w:val="24"/>
          <w:szCs w:val="24"/>
          <w:vertAlign w:val="superscript"/>
        </w:rPr>
        <w:footnoteReference w:id="2"/>
      </w:r>
      <w:r w:rsidR="004B5B46" w:rsidRPr="009274C9">
        <w:rPr>
          <w:rFonts w:eastAsiaTheme="minorHAnsi"/>
          <w:sz w:val="24"/>
          <w:szCs w:val="24"/>
        </w:rPr>
        <w:t xml:space="preserve"> The </w:t>
      </w:r>
      <w:r w:rsidR="00CB3561">
        <w:rPr>
          <w:rFonts w:eastAsiaTheme="minorHAnsi"/>
          <w:sz w:val="24"/>
          <w:szCs w:val="24"/>
        </w:rPr>
        <w:t>adult raked weights</w:t>
      </w:r>
      <w:r w:rsidR="00CB3561" w:rsidRPr="009274C9">
        <w:rPr>
          <w:rFonts w:eastAsiaTheme="minorHAnsi"/>
          <w:sz w:val="24"/>
          <w:szCs w:val="24"/>
        </w:rPr>
        <w:t xml:space="preserve"> </w:t>
      </w:r>
      <w:r w:rsidR="004B5B46" w:rsidRPr="009274C9">
        <w:rPr>
          <w:rFonts w:eastAsiaTheme="minorHAnsi"/>
          <w:sz w:val="24"/>
          <w:szCs w:val="24"/>
        </w:rPr>
        <w:t xml:space="preserve">adjusted for potential nonresponse bias associated with the household screener and adult interviews for these demographic characteristics. Section 2.3 of the Wave 2 Interim Report indicates that the raked weights reduced differences between estimates from the PATH Study and independent estimates from the American Community Survey. </w:t>
      </w:r>
    </w:p>
    <w:p w:rsidR="002903AA" w:rsidRPr="0094316C" w:rsidRDefault="002903AA" w:rsidP="002903AA">
      <w:pPr>
        <w:spacing w:after="200" w:line="276" w:lineRule="auto"/>
        <w:rPr>
          <w:rFonts w:eastAsiaTheme="minorHAnsi"/>
          <w:sz w:val="24"/>
          <w:szCs w:val="24"/>
        </w:rPr>
      </w:pPr>
      <w:r w:rsidRPr="009274C9">
        <w:rPr>
          <w:rFonts w:eastAsiaTheme="minorHAnsi"/>
          <w:sz w:val="24"/>
          <w:szCs w:val="24"/>
        </w:rPr>
        <w:t xml:space="preserve">Starting with the Wave 1 adult raked weights described in the </w:t>
      </w:r>
      <w:r w:rsidR="00323496">
        <w:rPr>
          <w:rFonts w:eastAsiaTheme="minorHAnsi"/>
          <w:sz w:val="24"/>
          <w:szCs w:val="24"/>
        </w:rPr>
        <w:t xml:space="preserve">Wave 2 </w:t>
      </w:r>
      <w:r w:rsidRPr="009274C9">
        <w:rPr>
          <w:rFonts w:eastAsiaTheme="minorHAnsi"/>
          <w:sz w:val="24"/>
          <w:szCs w:val="24"/>
        </w:rPr>
        <w:t>Interim Report, the potential nonresponse bias from the biospecimen collection will be addressed through two steps of weighting adjustments.</w:t>
      </w:r>
    </w:p>
    <w:p w:rsidR="002903AA" w:rsidRPr="0094316C" w:rsidRDefault="002903AA" w:rsidP="002903AA">
      <w:pPr>
        <w:pStyle w:val="ListParagraph"/>
        <w:numPr>
          <w:ilvl w:val="0"/>
          <w:numId w:val="31"/>
        </w:numPr>
        <w:spacing w:after="200" w:line="276" w:lineRule="auto"/>
        <w:rPr>
          <w:rFonts w:ascii="Times New Roman" w:hAnsi="Times New Roman"/>
          <w:sz w:val="24"/>
          <w:szCs w:val="24"/>
        </w:rPr>
      </w:pPr>
      <w:r w:rsidRPr="0094316C">
        <w:rPr>
          <w:rFonts w:ascii="Times New Roman" w:hAnsi="Times New Roman"/>
          <w:sz w:val="24"/>
          <w:szCs w:val="24"/>
        </w:rPr>
        <w:t>Adjust the final Wave 1 adult raked weights (ARKWT) of adults who provided biospecimens, so they compensate for similar adults who did not provide biospecimens. This step addresses the potential bias from the consent and cooperation for providing biospecimens, and will be done separately for each biospecimen (urine, blood, and buccal cells).</w:t>
      </w:r>
    </w:p>
    <w:p w:rsidR="002903AA" w:rsidRPr="0094316C" w:rsidRDefault="002903AA" w:rsidP="002903AA">
      <w:pPr>
        <w:pStyle w:val="ListParagraph"/>
        <w:numPr>
          <w:ilvl w:val="0"/>
          <w:numId w:val="31"/>
        </w:numPr>
        <w:spacing w:after="200" w:line="276" w:lineRule="auto"/>
        <w:rPr>
          <w:rFonts w:ascii="Times New Roman" w:hAnsi="Times New Roman"/>
          <w:sz w:val="24"/>
          <w:szCs w:val="24"/>
        </w:rPr>
      </w:pPr>
      <w:r w:rsidRPr="0094316C">
        <w:rPr>
          <w:rFonts w:ascii="Times New Roman" w:hAnsi="Times New Roman"/>
          <w:sz w:val="24"/>
          <w:szCs w:val="24"/>
        </w:rPr>
        <w:t>Account for the probability subsampling of biospecimens for laboratory analyses. This step will be performed for each probability sample selected for laboratory analysis.</w:t>
      </w:r>
    </w:p>
    <w:p w:rsidR="004B5B46" w:rsidRPr="00B35DBB" w:rsidRDefault="004B5B46" w:rsidP="004B5B46">
      <w:pPr>
        <w:spacing w:after="200" w:line="276" w:lineRule="auto"/>
        <w:rPr>
          <w:rFonts w:eastAsiaTheme="minorHAnsi"/>
          <w:sz w:val="24"/>
          <w:szCs w:val="24"/>
        </w:rPr>
      </w:pPr>
      <w:r w:rsidRPr="00B35DBB">
        <w:rPr>
          <w:rFonts w:eastAsiaTheme="minorHAnsi"/>
          <w:sz w:val="24"/>
          <w:szCs w:val="24"/>
        </w:rPr>
        <w:t>The two steps for biospecimen weighting will account for potential differences between the full set of Wave 1 adult interview respondents and the set of Wave 1 adults with analyzed biospecimens.</w:t>
      </w:r>
    </w:p>
    <w:p w:rsidR="004B5B46" w:rsidRPr="00E337FC" w:rsidRDefault="00460E9E" w:rsidP="004B5B46">
      <w:pPr>
        <w:spacing w:after="200" w:line="276" w:lineRule="auto"/>
        <w:rPr>
          <w:rFonts w:eastAsiaTheme="minorHAnsi"/>
          <w:sz w:val="24"/>
          <w:szCs w:val="24"/>
        </w:rPr>
      </w:pPr>
      <w:r w:rsidRPr="003F115E">
        <w:rPr>
          <w:rFonts w:eastAsiaTheme="minorHAnsi"/>
          <w:sz w:val="24"/>
          <w:szCs w:val="24"/>
        </w:rPr>
        <w:lastRenderedPageBreak/>
        <w:t>Step 1 addresses t</w:t>
      </w:r>
      <w:r w:rsidR="004B5B46" w:rsidRPr="003F115E">
        <w:rPr>
          <w:rFonts w:eastAsiaTheme="minorHAnsi"/>
          <w:sz w:val="24"/>
          <w:szCs w:val="24"/>
        </w:rPr>
        <w:t xml:space="preserve">he potential for nonresponse bias </w:t>
      </w:r>
      <w:r w:rsidRPr="003F115E">
        <w:rPr>
          <w:rFonts w:eastAsiaTheme="minorHAnsi"/>
          <w:sz w:val="24"/>
          <w:szCs w:val="24"/>
        </w:rPr>
        <w:t xml:space="preserve">resulting </w:t>
      </w:r>
      <w:r w:rsidR="004B5B46" w:rsidRPr="003F115E">
        <w:rPr>
          <w:rFonts w:eastAsiaTheme="minorHAnsi"/>
          <w:sz w:val="24"/>
          <w:szCs w:val="24"/>
        </w:rPr>
        <w:t>from the fact that not all of the eligible</w:t>
      </w:r>
      <w:r w:rsidR="000A4B98" w:rsidRPr="003F115E">
        <w:rPr>
          <w:rFonts w:eastAsiaTheme="minorHAnsi"/>
          <w:sz w:val="24"/>
          <w:szCs w:val="24"/>
        </w:rPr>
        <w:t xml:space="preserve"> adults provided biospecimens. </w:t>
      </w:r>
      <w:r w:rsidR="004B5B46" w:rsidRPr="003F115E">
        <w:rPr>
          <w:rFonts w:eastAsiaTheme="minorHAnsi"/>
          <w:sz w:val="24"/>
          <w:szCs w:val="24"/>
        </w:rPr>
        <w:t xml:space="preserve">Of the 32,320 adults who </w:t>
      </w:r>
      <w:r w:rsidR="004B5B46" w:rsidRPr="004E330E">
        <w:rPr>
          <w:rFonts w:eastAsiaTheme="minorHAnsi"/>
          <w:sz w:val="24"/>
          <w:szCs w:val="24"/>
        </w:rPr>
        <w:t xml:space="preserve">completed the </w:t>
      </w:r>
      <w:r w:rsidR="00C06A51" w:rsidRPr="004E330E">
        <w:rPr>
          <w:rFonts w:eastAsiaTheme="minorHAnsi"/>
          <w:sz w:val="24"/>
          <w:szCs w:val="24"/>
        </w:rPr>
        <w:t xml:space="preserve">Wave 1 </w:t>
      </w:r>
      <w:r w:rsidR="004B5B46" w:rsidRPr="004E330E">
        <w:rPr>
          <w:rFonts w:eastAsiaTheme="minorHAnsi"/>
          <w:sz w:val="24"/>
          <w:szCs w:val="24"/>
        </w:rPr>
        <w:t>adult questionnaire, 21,801 (67.5</w:t>
      </w:r>
      <w:r w:rsidR="000A4B98" w:rsidRPr="004E330E">
        <w:rPr>
          <w:rFonts w:eastAsiaTheme="minorHAnsi"/>
          <w:sz w:val="24"/>
          <w:szCs w:val="24"/>
        </w:rPr>
        <w:t>%</w:t>
      </w:r>
      <w:r w:rsidR="004B5B46" w:rsidRPr="004E330E">
        <w:rPr>
          <w:rFonts w:eastAsiaTheme="minorHAnsi"/>
          <w:sz w:val="24"/>
          <w:szCs w:val="24"/>
        </w:rPr>
        <w:t>) provided urine specimens</w:t>
      </w:r>
      <w:r w:rsidR="00C06A51" w:rsidRPr="004E330E">
        <w:rPr>
          <w:rFonts w:eastAsiaTheme="minorHAnsi"/>
          <w:sz w:val="24"/>
          <w:szCs w:val="24"/>
        </w:rPr>
        <w:t xml:space="preserve"> and</w:t>
      </w:r>
      <w:r w:rsidR="004B5B46" w:rsidRPr="004E330E">
        <w:rPr>
          <w:rFonts w:eastAsiaTheme="minorHAnsi"/>
          <w:sz w:val="24"/>
          <w:szCs w:val="24"/>
        </w:rPr>
        <w:t xml:space="preserve"> 14,520 (44.9</w:t>
      </w:r>
      <w:r w:rsidR="000A4B98" w:rsidRPr="004E330E">
        <w:rPr>
          <w:rFonts w:eastAsiaTheme="minorHAnsi"/>
          <w:sz w:val="24"/>
          <w:szCs w:val="24"/>
        </w:rPr>
        <w:t>%</w:t>
      </w:r>
      <w:r w:rsidR="004B5B46" w:rsidRPr="004E330E">
        <w:rPr>
          <w:rFonts w:eastAsiaTheme="minorHAnsi"/>
          <w:sz w:val="24"/>
          <w:szCs w:val="24"/>
        </w:rPr>
        <w:t>) provided bl</w:t>
      </w:r>
      <w:r w:rsidR="00091716" w:rsidRPr="004E330E">
        <w:rPr>
          <w:rFonts w:eastAsiaTheme="minorHAnsi"/>
          <w:sz w:val="24"/>
          <w:szCs w:val="24"/>
        </w:rPr>
        <w:t>ood specimens</w:t>
      </w:r>
      <w:r w:rsidR="00C06A51" w:rsidRPr="004E330E">
        <w:rPr>
          <w:rFonts w:eastAsiaTheme="minorHAnsi"/>
          <w:sz w:val="24"/>
          <w:szCs w:val="24"/>
        </w:rPr>
        <w:t xml:space="preserve">. Through May 18, 2014, when collection of </w:t>
      </w:r>
      <w:r w:rsidR="002903AA">
        <w:rPr>
          <w:rFonts w:eastAsiaTheme="minorHAnsi"/>
          <w:sz w:val="24"/>
          <w:szCs w:val="24"/>
        </w:rPr>
        <w:t>buccal cell specimens was</w:t>
      </w:r>
      <w:r w:rsidR="00C06A51" w:rsidRPr="004E330E">
        <w:rPr>
          <w:rFonts w:eastAsiaTheme="minorHAnsi"/>
          <w:sz w:val="24"/>
          <w:szCs w:val="24"/>
        </w:rPr>
        <w:t xml:space="preserve"> discontinued,</w:t>
      </w:r>
      <w:r w:rsidR="002903AA">
        <w:rPr>
          <w:rFonts w:eastAsiaTheme="minorHAnsi"/>
          <w:sz w:val="24"/>
          <w:szCs w:val="24"/>
        </w:rPr>
        <w:t xml:space="preserve"> </w:t>
      </w:r>
      <w:r w:rsidR="00B149D8" w:rsidRPr="004E330E">
        <w:rPr>
          <w:rFonts w:eastAsiaTheme="minorHAnsi"/>
          <w:sz w:val="24"/>
          <w:szCs w:val="24"/>
        </w:rPr>
        <w:t xml:space="preserve">12,543 (71.6%) of 17,508 </w:t>
      </w:r>
      <w:r w:rsidR="008F7530">
        <w:rPr>
          <w:rFonts w:eastAsiaTheme="minorHAnsi"/>
          <w:sz w:val="24"/>
          <w:szCs w:val="24"/>
        </w:rPr>
        <w:t xml:space="preserve">interview respondents </w:t>
      </w:r>
      <w:r w:rsidR="002903AA">
        <w:rPr>
          <w:rFonts w:eastAsiaTheme="minorHAnsi"/>
          <w:sz w:val="24"/>
          <w:szCs w:val="24"/>
        </w:rPr>
        <w:t xml:space="preserve">in Wave 1 </w:t>
      </w:r>
      <w:r w:rsidR="004B5B46" w:rsidRPr="004E330E">
        <w:rPr>
          <w:rFonts w:eastAsiaTheme="minorHAnsi"/>
          <w:sz w:val="24"/>
          <w:szCs w:val="24"/>
        </w:rPr>
        <w:t xml:space="preserve">provided buccal </w:t>
      </w:r>
      <w:r w:rsidR="004B5B46" w:rsidRPr="00E337FC">
        <w:rPr>
          <w:rFonts w:eastAsiaTheme="minorHAnsi"/>
          <w:sz w:val="24"/>
          <w:szCs w:val="24"/>
        </w:rPr>
        <w:t>cell specimens.</w:t>
      </w:r>
      <w:r w:rsidR="004B5B46" w:rsidRPr="00E337FC">
        <w:rPr>
          <w:rFonts w:eastAsiaTheme="minorHAnsi"/>
          <w:sz w:val="24"/>
          <w:szCs w:val="24"/>
          <w:vertAlign w:val="superscript"/>
        </w:rPr>
        <w:footnoteReference w:id="3"/>
      </w:r>
    </w:p>
    <w:p w:rsidR="004B5B46" w:rsidRPr="00EE0CA3" w:rsidRDefault="00460E9E" w:rsidP="004B5B46">
      <w:pPr>
        <w:spacing w:after="200" w:line="276" w:lineRule="auto"/>
        <w:rPr>
          <w:rFonts w:eastAsiaTheme="minorHAnsi"/>
          <w:sz w:val="24"/>
          <w:szCs w:val="24"/>
        </w:rPr>
      </w:pPr>
      <w:r w:rsidRPr="00E568F0">
        <w:rPr>
          <w:rFonts w:eastAsiaTheme="minorHAnsi"/>
          <w:sz w:val="24"/>
          <w:szCs w:val="24"/>
        </w:rPr>
        <w:t xml:space="preserve">Step 2 addresses the selection of </w:t>
      </w:r>
      <w:r w:rsidR="004B5B46" w:rsidRPr="00E568F0">
        <w:rPr>
          <w:rFonts w:eastAsiaTheme="minorHAnsi"/>
          <w:sz w:val="24"/>
          <w:szCs w:val="24"/>
        </w:rPr>
        <w:t>biospecimen</w:t>
      </w:r>
      <w:r w:rsidR="00C06A51" w:rsidRPr="00E568F0">
        <w:rPr>
          <w:rFonts w:eastAsiaTheme="minorHAnsi"/>
          <w:sz w:val="24"/>
          <w:szCs w:val="24"/>
        </w:rPr>
        <w:t>s</w:t>
      </w:r>
      <w:r w:rsidR="004B5B46" w:rsidRPr="00E568F0">
        <w:rPr>
          <w:rFonts w:eastAsiaTheme="minorHAnsi"/>
          <w:sz w:val="24"/>
          <w:szCs w:val="24"/>
        </w:rPr>
        <w:t xml:space="preserve"> for laboratory analysis. A probability subsample of biospecimens has been selected from specified groups of the population for laboratory analyses. However, laboratory analyses </w:t>
      </w:r>
      <w:r w:rsidR="00BF02F9" w:rsidRPr="00E568F0">
        <w:rPr>
          <w:rFonts w:eastAsiaTheme="minorHAnsi"/>
          <w:sz w:val="24"/>
          <w:szCs w:val="24"/>
        </w:rPr>
        <w:t>of</w:t>
      </w:r>
      <w:r w:rsidR="004B5B46" w:rsidRPr="00E568F0">
        <w:rPr>
          <w:rFonts w:eastAsiaTheme="minorHAnsi"/>
          <w:sz w:val="24"/>
          <w:szCs w:val="24"/>
        </w:rPr>
        <w:t xml:space="preserve"> </w:t>
      </w:r>
      <w:r w:rsidR="00BF02F9" w:rsidRPr="00E568F0">
        <w:rPr>
          <w:rFonts w:eastAsiaTheme="minorHAnsi"/>
          <w:sz w:val="24"/>
          <w:szCs w:val="24"/>
        </w:rPr>
        <w:t xml:space="preserve">other </w:t>
      </w:r>
      <w:r w:rsidR="00323D51" w:rsidRPr="00E568F0">
        <w:rPr>
          <w:rFonts w:eastAsiaTheme="minorHAnsi"/>
          <w:sz w:val="24"/>
          <w:szCs w:val="24"/>
        </w:rPr>
        <w:t xml:space="preserve">Wave 1 </w:t>
      </w:r>
      <w:r w:rsidR="004B5B46" w:rsidRPr="00E568F0">
        <w:rPr>
          <w:rFonts w:eastAsiaTheme="minorHAnsi"/>
          <w:sz w:val="24"/>
          <w:szCs w:val="24"/>
        </w:rPr>
        <w:t xml:space="preserve">biospecimens, or different subsets of biospecimens, could be performed in the future. </w:t>
      </w:r>
      <w:r w:rsidR="008F7530" w:rsidRPr="00EE0CA3">
        <w:rPr>
          <w:rFonts w:eastAsiaTheme="minorHAnsi"/>
          <w:sz w:val="24"/>
          <w:szCs w:val="24"/>
        </w:rPr>
        <w:t xml:space="preserve">This weighting plan </w:t>
      </w:r>
      <w:r w:rsidR="008F7530">
        <w:rPr>
          <w:rFonts w:eastAsiaTheme="minorHAnsi"/>
          <w:sz w:val="24"/>
          <w:szCs w:val="24"/>
        </w:rPr>
        <w:t>can be applied</w:t>
      </w:r>
      <w:r w:rsidR="008F7530" w:rsidRPr="00EE0CA3">
        <w:rPr>
          <w:rFonts w:eastAsiaTheme="minorHAnsi"/>
          <w:sz w:val="24"/>
          <w:szCs w:val="24"/>
        </w:rPr>
        <w:t xml:space="preserve"> to an immediate set of biospecimen data from this round of analysis of selected Wave 1 samples</w:t>
      </w:r>
      <w:r w:rsidR="00323496">
        <w:rPr>
          <w:rFonts w:eastAsiaTheme="minorHAnsi"/>
          <w:sz w:val="24"/>
          <w:szCs w:val="24"/>
        </w:rPr>
        <w:t xml:space="preserve">, and </w:t>
      </w:r>
      <w:r w:rsidR="008F7530" w:rsidRPr="00EE0CA3">
        <w:rPr>
          <w:rFonts w:eastAsiaTheme="minorHAnsi"/>
          <w:sz w:val="24"/>
          <w:szCs w:val="24"/>
        </w:rPr>
        <w:t>to any future probability subsamples of biospecimens.</w:t>
      </w:r>
    </w:p>
    <w:p w:rsidR="009258CF" w:rsidRPr="00092E47" w:rsidRDefault="004B5B46" w:rsidP="004B5B46">
      <w:pPr>
        <w:spacing w:after="200" w:line="276" w:lineRule="auto"/>
        <w:rPr>
          <w:rFonts w:eastAsiaTheme="minorHAnsi"/>
          <w:sz w:val="24"/>
          <w:szCs w:val="24"/>
        </w:rPr>
      </w:pPr>
      <w:r w:rsidRPr="00EE0CA3">
        <w:rPr>
          <w:rFonts w:eastAsiaTheme="minorHAnsi"/>
          <w:sz w:val="24"/>
          <w:szCs w:val="24"/>
        </w:rPr>
        <w:t>For the purpose of subsampling biospecimens for laboratory</w:t>
      </w:r>
      <w:r w:rsidRPr="00092E47">
        <w:rPr>
          <w:rFonts w:eastAsiaTheme="minorHAnsi"/>
          <w:sz w:val="24"/>
          <w:szCs w:val="24"/>
        </w:rPr>
        <w:t xml:space="preserve"> a</w:t>
      </w:r>
      <w:r w:rsidR="00091716" w:rsidRPr="00092E47">
        <w:rPr>
          <w:rFonts w:eastAsiaTheme="minorHAnsi"/>
          <w:sz w:val="24"/>
          <w:szCs w:val="24"/>
        </w:rPr>
        <w:t>nalyses</w:t>
      </w:r>
      <w:r w:rsidR="00B518E8">
        <w:rPr>
          <w:rFonts w:eastAsiaTheme="minorHAnsi"/>
          <w:sz w:val="24"/>
          <w:szCs w:val="24"/>
        </w:rPr>
        <w:t xml:space="preserve"> in Wave 1, </w:t>
      </w:r>
      <w:r w:rsidR="00091716" w:rsidRPr="00092E47">
        <w:rPr>
          <w:rFonts w:eastAsiaTheme="minorHAnsi"/>
          <w:sz w:val="24"/>
          <w:szCs w:val="24"/>
        </w:rPr>
        <w:t xml:space="preserve">adult participants </w:t>
      </w:r>
      <w:r w:rsidRPr="00092E47">
        <w:rPr>
          <w:rFonts w:eastAsiaTheme="minorHAnsi"/>
          <w:sz w:val="24"/>
          <w:szCs w:val="24"/>
        </w:rPr>
        <w:t xml:space="preserve">were grouped by tobacco product use </w:t>
      </w:r>
      <w:r w:rsidR="002D5DFA">
        <w:rPr>
          <w:rFonts w:eastAsiaTheme="minorHAnsi"/>
          <w:sz w:val="24"/>
          <w:szCs w:val="24"/>
        </w:rPr>
        <w:t>into 9 groups</w:t>
      </w:r>
      <w:r w:rsidR="008F77AC">
        <w:rPr>
          <w:rFonts w:eastAsiaTheme="minorHAnsi"/>
          <w:sz w:val="24"/>
          <w:szCs w:val="24"/>
        </w:rPr>
        <w:t>:</w:t>
      </w:r>
      <w:r w:rsidRPr="00092E47">
        <w:rPr>
          <w:rFonts w:eastAsiaTheme="minorHAnsi"/>
          <w:sz w:val="24"/>
          <w:szCs w:val="24"/>
        </w:rPr>
        <w:t xml:space="preserve"> (1) current exclusive established users of cigarettes</w:t>
      </w:r>
      <w:r w:rsidR="00C81EEA">
        <w:rPr>
          <w:rFonts w:eastAsiaTheme="minorHAnsi"/>
          <w:sz w:val="24"/>
          <w:szCs w:val="24"/>
        </w:rPr>
        <w:t>;</w:t>
      </w:r>
      <w:r w:rsidRPr="00092E47">
        <w:rPr>
          <w:rFonts w:eastAsiaTheme="minorHAnsi"/>
          <w:sz w:val="24"/>
          <w:szCs w:val="24"/>
        </w:rPr>
        <w:t xml:space="preserve"> (2) current established users of other tobacco products</w:t>
      </w:r>
      <w:r w:rsidR="00C81EEA">
        <w:rPr>
          <w:rFonts w:eastAsiaTheme="minorHAnsi"/>
          <w:sz w:val="24"/>
          <w:szCs w:val="24"/>
        </w:rPr>
        <w:t>;</w:t>
      </w:r>
      <w:r w:rsidRPr="00092E47">
        <w:rPr>
          <w:rFonts w:eastAsiaTheme="minorHAnsi"/>
          <w:sz w:val="24"/>
          <w:szCs w:val="24"/>
        </w:rPr>
        <w:t xml:space="preserve"> (3) current experimental, but not established, users of any tobacco product</w:t>
      </w:r>
      <w:r w:rsidR="00C81EEA">
        <w:rPr>
          <w:rFonts w:eastAsiaTheme="minorHAnsi"/>
          <w:sz w:val="24"/>
          <w:szCs w:val="24"/>
        </w:rPr>
        <w:t>;</w:t>
      </w:r>
      <w:r w:rsidRPr="00092E47">
        <w:rPr>
          <w:rFonts w:eastAsiaTheme="minorHAnsi"/>
          <w:sz w:val="24"/>
          <w:szCs w:val="24"/>
        </w:rPr>
        <w:t xml:space="preserve"> (4) former established users of any product whose last use was within the past 12 months</w:t>
      </w:r>
      <w:r w:rsidR="00C81EEA">
        <w:rPr>
          <w:rFonts w:eastAsiaTheme="minorHAnsi"/>
          <w:sz w:val="24"/>
          <w:szCs w:val="24"/>
        </w:rPr>
        <w:t>;</w:t>
      </w:r>
      <w:r w:rsidRPr="00092E47">
        <w:rPr>
          <w:rFonts w:eastAsiaTheme="minorHAnsi"/>
          <w:sz w:val="24"/>
          <w:szCs w:val="24"/>
        </w:rPr>
        <w:t xml:space="preserve"> (5) never users</w:t>
      </w:r>
      <w:r w:rsidR="00C81EEA">
        <w:rPr>
          <w:rFonts w:eastAsiaTheme="minorHAnsi"/>
          <w:sz w:val="24"/>
          <w:szCs w:val="24"/>
        </w:rPr>
        <w:t>;</w:t>
      </w:r>
      <w:r w:rsidRPr="00092E47">
        <w:rPr>
          <w:rFonts w:eastAsiaTheme="minorHAnsi"/>
          <w:sz w:val="24"/>
          <w:szCs w:val="24"/>
        </w:rPr>
        <w:t xml:space="preserve"> (6) current established users of cigarettes who are experimental, but not established, users of at least one other tobacco product</w:t>
      </w:r>
      <w:r w:rsidR="00C81EEA">
        <w:rPr>
          <w:rFonts w:eastAsiaTheme="minorHAnsi"/>
          <w:sz w:val="24"/>
          <w:szCs w:val="24"/>
        </w:rPr>
        <w:t>;</w:t>
      </w:r>
      <w:r w:rsidRPr="00092E47">
        <w:rPr>
          <w:rFonts w:eastAsiaTheme="minorHAnsi"/>
          <w:sz w:val="24"/>
          <w:szCs w:val="24"/>
        </w:rPr>
        <w:t xml:space="preserve"> (7) former, but not current, experimental users of any tobacco product who were also never established users and whose last use was at any time in the past</w:t>
      </w:r>
      <w:r w:rsidR="00C81EEA">
        <w:rPr>
          <w:rFonts w:eastAsiaTheme="minorHAnsi"/>
          <w:sz w:val="24"/>
          <w:szCs w:val="24"/>
        </w:rPr>
        <w:t>;</w:t>
      </w:r>
      <w:r w:rsidRPr="00092E47">
        <w:rPr>
          <w:rFonts w:eastAsiaTheme="minorHAnsi"/>
          <w:sz w:val="24"/>
          <w:szCs w:val="24"/>
        </w:rPr>
        <w:t xml:space="preserve"> (8) former established users of any product whose last use was more than 12 months ago</w:t>
      </w:r>
      <w:r w:rsidR="00C81EEA">
        <w:rPr>
          <w:rFonts w:eastAsiaTheme="minorHAnsi"/>
          <w:sz w:val="24"/>
          <w:szCs w:val="24"/>
        </w:rPr>
        <w:t>;</w:t>
      </w:r>
      <w:r w:rsidRPr="00092E47">
        <w:rPr>
          <w:rFonts w:eastAsiaTheme="minorHAnsi"/>
          <w:sz w:val="24"/>
          <w:szCs w:val="24"/>
        </w:rPr>
        <w:t xml:space="preserve"> and (9) adults not in groups 1 to 8. A probability sample of adults has been selected from the first 5 </w:t>
      </w:r>
      <w:r w:rsidR="002D5DFA">
        <w:rPr>
          <w:rFonts w:eastAsiaTheme="minorHAnsi"/>
          <w:sz w:val="24"/>
          <w:szCs w:val="24"/>
        </w:rPr>
        <w:t xml:space="preserve">tobacco product use </w:t>
      </w:r>
      <w:r w:rsidRPr="00092E47">
        <w:rPr>
          <w:rFonts w:eastAsiaTheme="minorHAnsi"/>
          <w:sz w:val="24"/>
          <w:szCs w:val="24"/>
        </w:rPr>
        <w:t xml:space="preserve">groups </w:t>
      </w:r>
      <w:r w:rsidR="008F77AC">
        <w:rPr>
          <w:rFonts w:eastAsiaTheme="minorHAnsi"/>
          <w:sz w:val="24"/>
          <w:szCs w:val="24"/>
        </w:rPr>
        <w:t>to form the</w:t>
      </w:r>
      <w:r w:rsidRPr="00092E47">
        <w:rPr>
          <w:rFonts w:eastAsiaTheme="minorHAnsi"/>
          <w:sz w:val="24"/>
          <w:szCs w:val="24"/>
        </w:rPr>
        <w:t xml:space="preserve"> “core sample” </w:t>
      </w:r>
      <w:r w:rsidR="00777F47">
        <w:rPr>
          <w:rFonts w:eastAsiaTheme="minorHAnsi"/>
          <w:sz w:val="24"/>
          <w:szCs w:val="24"/>
        </w:rPr>
        <w:t>for laboratory analysis.</w:t>
      </w:r>
    </w:p>
    <w:p w:rsidR="004B5B46" w:rsidRPr="000914DB" w:rsidRDefault="0046397C" w:rsidP="004B5B46">
      <w:pPr>
        <w:spacing w:after="200" w:line="276" w:lineRule="auto"/>
        <w:rPr>
          <w:rFonts w:eastAsiaTheme="minorHAnsi"/>
          <w:b/>
          <w:sz w:val="24"/>
          <w:szCs w:val="24"/>
        </w:rPr>
      </w:pPr>
      <w:r w:rsidRPr="000914DB">
        <w:rPr>
          <w:rFonts w:eastAsiaTheme="minorHAnsi"/>
          <w:b/>
          <w:sz w:val="24"/>
          <w:szCs w:val="24"/>
        </w:rPr>
        <w:t>Implementation of</w:t>
      </w:r>
      <w:r w:rsidR="00460E9E" w:rsidRPr="000914DB">
        <w:rPr>
          <w:rFonts w:eastAsiaTheme="minorHAnsi"/>
          <w:b/>
          <w:sz w:val="24"/>
          <w:szCs w:val="24"/>
        </w:rPr>
        <w:t xml:space="preserve"> the Approach</w:t>
      </w:r>
    </w:p>
    <w:p w:rsidR="002D5DFA" w:rsidRDefault="002754AC" w:rsidP="004B5B46">
      <w:pPr>
        <w:spacing w:after="200" w:line="276" w:lineRule="auto"/>
        <w:rPr>
          <w:rFonts w:eastAsiaTheme="minorHAnsi"/>
          <w:sz w:val="24"/>
          <w:szCs w:val="24"/>
        </w:rPr>
      </w:pPr>
      <w:r w:rsidRPr="00797B15">
        <w:rPr>
          <w:rFonts w:eastAsiaTheme="minorHAnsi"/>
          <w:sz w:val="24"/>
          <w:szCs w:val="24"/>
        </w:rPr>
        <w:t>Step 1 for the Wave 1 biospecimen data will yield t</w:t>
      </w:r>
      <w:r w:rsidR="004B5B46" w:rsidRPr="00797B15">
        <w:rPr>
          <w:rFonts w:eastAsiaTheme="minorHAnsi"/>
          <w:sz w:val="24"/>
          <w:szCs w:val="24"/>
        </w:rPr>
        <w:t>hree separate sets of biospecimen weights: one set for adults who provided urine specimens, one set for adults who provided blood specimens, and one set for adults who provided buccal cells.</w:t>
      </w:r>
      <w:r w:rsidR="004B5B46" w:rsidRPr="00797B15">
        <w:rPr>
          <w:rFonts w:eastAsiaTheme="minorHAnsi"/>
          <w:sz w:val="24"/>
          <w:szCs w:val="24"/>
          <w:vertAlign w:val="superscript"/>
        </w:rPr>
        <w:footnoteReference w:id="4"/>
      </w:r>
      <w:r w:rsidR="004B5B46" w:rsidRPr="00797B15">
        <w:rPr>
          <w:rFonts w:eastAsiaTheme="minorHAnsi"/>
          <w:sz w:val="24"/>
          <w:szCs w:val="24"/>
        </w:rPr>
        <w:t xml:space="preserve"> Following standard statistical procedures (United Nations, 2005; Brick, 2013), weighting class methods will be used to adjust ARKWT for the adults who provided each type of biospecimen so that the adjusted weights account for the persons who did not provide biospecimens. </w:t>
      </w:r>
    </w:p>
    <w:p w:rsidR="004B5B46" w:rsidRPr="00797B15" w:rsidRDefault="00DD3A0B" w:rsidP="004B5B46">
      <w:pPr>
        <w:spacing w:after="200" w:line="276" w:lineRule="auto"/>
        <w:rPr>
          <w:rFonts w:eastAsiaTheme="minorHAnsi"/>
          <w:sz w:val="24"/>
          <w:szCs w:val="24"/>
        </w:rPr>
      </w:pPr>
      <w:r>
        <w:rPr>
          <w:rFonts w:eastAsiaTheme="minorHAnsi"/>
          <w:sz w:val="24"/>
          <w:szCs w:val="24"/>
        </w:rPr>
        <w:t>Separately for each biospecimen, n</w:t>
      </w:r>
      <w:r w:rsidRPr="00797B15">
        <w:rPr>
          <w:rFonts w:eastAsiaTheme="minorHAnsi"/>
          <w:sz w:val="24"/>
          <w:szCs w:val="24"/>
        </w:rPr>
        <w:t xml:space="preserve">onresponse </w:t>
      </w:r>
      <w:r w:rsidR="004B5B46" w:rsidRPr="00797B15">
        <w:rPr>
          <w:rFonts w:eastAsiaTheme="minorHAnsi"/>
          <w:sz w:val="24"/>
          <w:szCs w:val="24"/>
        </w:rPr>
        <w:t xml:space="preserve">adjustment cells will be formed using variables from Wave 1, including age, race, ethnicity, sex, employment status, health status and related characteristics, education level, household composition, census block characteristics, and the 9 tobacco product use groups. In each adjustment cell, the ARKWTs of the adults who provided </w:t>
      </w:r>
      <w:r w:rsidR="004B5B46" w:rsidRPr="00797B15">
        <w:rPr>
          <w:rFonts w:eastAsiaTheme="minorHAnsi"/>
          <w:sz w:val="24"/>
          <w:szCs w:val="24"/>
        </w:rPr>
        <w:lastRenderedPageBreak/>
        <w:t xml:space="preserve">the </w:t>
      </w:r>
      <w:r w:rsidR="004B5B46" w:rsidRPr="00DD3A0B">
        <w:rPr>
          <w:rFonts w:eastAsiaTheme="minorHAnsi"/>
          <w:sz w:val="24"/>
          <w:szCs w:val="24"/>
        </w:rPr>
        <w:t xml:space="preserve">biospecimen </w:t>
      </w:r>
      <w:r w:rsidR="004B5B46" w:rsidRPr="00797B15">
        <w:rPr>
          <w:rFonts w:eastAsiaTheme="minorHAnsi"/>
          <w:sz w:val="24"/>
          <w:szCs w:val="24"/>
        </w:rPr>
        <w:t>will be multiplied by (sum of ARKWT for all adults in the cell who were asked to provide the biospecimen)</w:t>
      </w:r>
      <w:r w:rsidR="00EE091A">
        <w:rPr>
          <w:rFonts w:eastAsiaTheme="minorHAnsi"/>
          <w:sz w:val="24"/>
          <w:szCs w:val="24"/>
        </w:rPr>
        <w:t xml:space="preserve"> </w:t>
      </w:r>
      <w:r w:rsidR="00282787" w:rsidRPr="00797B15">
        <w:rPr>
          <w:rFonts w:eastAsiaTheme="minorHAnsi"/>
          <w:sz w:val="24"/>
          <w:szCs w:val="24"/>
        </w:rPr>
        <w:t>/ (</w:t>
      </w:r>
      <w:r w:rsidR="004B5B46" w:rsidRPr="00797B15">
        <w:rPr>
          <w:rFonts w:eastAsiaTheme="minorHAnsi"/>
          <w:sz w:val="24"/>
          <w:szCs w:val="24"/>
        </w:rPr>
        <w:t>sum of ARKWT for adults who provided the biospecimen in the cell). Additionally, the weights will be raked to the sum of the Wave 1 adult interview weights (ARKWT) for the 9 tobacco product use groups,</w:t>
      </w:r>
      <w:r w:rsidR="004B5B46" w:rsidRPr="00797B15">
        <w:rPr>
          <w:rFonts w:eastAsiaTheme="minorHAnsi"/>
          <w:sz w:val="24"/>
          <w:szCs w:val="24"/>
          <w:vertAlign w:val="superscript"/>
        </w:rPr>
        <w:footnoteReference w:id="5"/>
      </w:r>
      <w:r w:rsidR="004B5B46" w:rsidRPr="00797B15">
        <w:rPr>
          <w:rFonts w:eastAsiaTheme="minorHAnsi"/>
          <w:sz w:val="24"/>
          <w:szCs w:val="24"/>
        </w:rPr>
        <w:t xml:space="preserve"> age group, and sex.</w:t>
      </w:r>
    </w:p>
    <w:p w:rsidR="004B5B46" w:rsidRPr="00AD4AC8" w:rsidRDefault="004B5B46" w:rsidP="004B5B46">
      <w:pPr>
        <w:spacing w:after="200" w:line="276" w:lineRule="auto"/>
        <w:rPr>
          <w:rFonts w:eastAsiaTheme="minorHAnsi"/>
          <w:sz w:val="24"/>
          <w:szCs w:val="24"/>
        </w:rPr>
      </w:pPr>
      <w:r w:rsidRPr="00797B15">
        <w:rPr>
          <w:rFonts w:eastAsiaTheme="minorHAnsi"/>
          <w:sz w:val="24"/>
          <w:szCs w:val="24"/>
        </w:rPr>
        <w:t xml:space="preserve">The result of </w:t>
      </w:r>
      <w:r w:rsidR="00091716" w:rsidRPr="00797B15">
        <w:rPr>
          <w:rFonts w:eastAsiaTheme="minorHAnsi"/>
          <w:sz w:val="24"/>
          <w:szCs w:val="24"/>
        </w:rPr>
        <w:t>S</w:t>
      </w:r>
      <w:r w:rsidRPr="00797B15">
        <w:rPr>
          <w:rFonts w:eastAsiaTheme="minorHAnsi"/>
          <w:sz w:val="24"/>
          <w:szCs w:val="24"/>
        </w:rPr>
        <w:t xml:space="preserve">tep </w:t>
      </w:r>
      <w:r w:rsidR="00091716" w:rsidRPr="00797B15">
        <w:rPr>
          <w:rFonts w:eastAsiaTheme="minorHAnsi"/>
          <w:sz w:val="24"/>
          <w:szCs w:val="24"/>
        </w:rPr>
        <w:t xml:space="preserve">1 </w:t>
      </w:r>
      <w:r w:rsidRPr="00797B15">
        <w:rPr>
          <w:rFonts w:eastAsiaTheme="minorHAnsi"/>
          <w:sz w:val="24"/>
          <w:szCs w:val="24"/>
        </w:rPr>
        <w:t xml:space="preserve">will be a set of weights for each biospecimen that sums to the total of the ARKWT weights for the entire Wave </w:t>
      </w:r>
      <w:r w:rsidRPr="0016631E">
        <w:rPr>
          <w:rFonts w:eastAsiaTheme="minorHAnsi"/>
          <w:sz w:val="24"/>
          <w:szCs w:val="24"/>
        </w:rPr>
        <w:t>1 adult sample. This step will adjust the weights to compensate for potential nonresponse bias arising from the cooperation rate</w:t>
      </w:r>
      <w:r w:rsidRPr="00AD4AC8">
        <w:rPr>
          <w:rFonts w:eastAsiaTheme="minorHAnsi"/>
          <w:sz w:val="24"/>
          <w:szCs w:val="24"/>
        </w:rPr>
        <w:t>s for providing biospecimens. The three sets of weights at the end of Step 1 will be used as the base weights for constructing weights for biospecimens that undergo laboratory analysis.</w:t>
      </w:r>
    </w:p>
    <w:p w:rsidR="004B5B46" w:rsidRPr="00AA2D29" w:rsidRDefault="002754AC" w:rsidP="004B5B46">
      <w:pPr>
        <w:spacing w:after="200" w:line="276" w:lineRule="auto"/>
        <w:rPr>
          <w:rFonts w:eastAsiaTheme="minorHAnsi"/>
          <w:sz w:val="24"/>
          <w:szCs w:val="24"/>
        </w:rPr>
      </w:pPr>
      <w:r w:rsidRPr="00AD4AC8">
        <w:rPr>
          <w:rFonts w:eastAsiaTheme="minorHAnsi"/>
          <w:sz w:val="24"/>
          <w:szCs w:val="24"/>
        </w:rPr>
        <w:t xml:space="preserve">In Step </w:t>
      </w:r>
      <w:r w:rsidR="004B5B46" w:rsidRPr="00AD4AC8">
        <w:rPr>
          <w:rFonts w:eastAsiaTheme="minorHAnsi"/>
          <w:sz w:val="24"/>
          <w:szCs w:val="24"/>
        </w:rPr>
        <w:t>2</w:t>
      </w:r>
      <w:r w:rsidRPr="00AD4AC8">
        <w:rPr>
          <w:rFonts w:eastAsiaTheme="minorHAnsi"/>
          <w:sz w:val="24"/>
          <w:szCs w:val="24"/>
        </w:rPr>
        <w:t>,</w:t>
      </w:r>
      <w:r w:rsidR="0046397C" w:rsidRPr="00AD4AC8">
        <w:rPr>
          <w:rFonts w:eastAsiaTheme="minorHAnsi"/>
          <w:sz w:val="24"/>
          <w:szCs w:val="24"/>
        </w:rPr>
        <w:t xml:space="preserve"> </w:t>
      </w:r>
      <w:r w:rsidRPr="00AD4AC8">
        <w:rPr>
          <w:rFonts w:eastAsiaTheme="minorHAnsi"/>
          <w:sz w:val="24"/>
          <w:szCs w:val="24"/>
        </w:rPr>
        <w:t>t</w:t>
      </w:r>
      <w:r w:rsidR="004B5B46" w:rsidRPr="00AD4AC8">
        <w:rPr>
          <w:rFonts w:eastAsiaTheme="minorHAnsi"/>
          <w:sz w:val="24"/>
          <w:szCs w:val="24"/>
        </w:rPr>
        <w:t xml:space="preserve">he biospecimen base weight for each biospecimen subsampled for laboratory analysis will be divided by the probability of selection for laboratory analysis. The sum of the </w:t>
      </w:r>
      <w:r w:rsidR="0046397C" w:rsidRPr="00AD4AC8">
        <w:rPr>
          <w:rFonts w:eastAsiaTheme="minorHAnsi"/>
          <w:sz w:val="24"/>
          <w:szCs w:val="24"/>
        </w:rPr>
        <w:t>S</w:t>
      </w:r>
      <w:r w:rsidR="004B5B46" w:rsidRPr="00AD4AC8">
        <w:rPr>
          <w:rFonts w:eastAsiaTheme="minorHAnsi"/>
          <w:sz w:val="24"/>
          <w:szCs w:val="24"/>
        </w:rPr>
        <w:t xml:space="preserve">tep 2 weights will be approximately equal to the sum of the ARKWT weights for adults who were eligible to be selected for laboratory analysis. For </w:t>
      </w:r>
      <w:r w:rsidR="004B5B46" w:rsidRPr="0016631E">
        <w:rPr>
          <w:rFonts w:eastAsiaTheme="minorHAnsi"/>
          <w:sz w:val="24"/>
          <w:szCs w:val="24"/>
        </w:rPr>
        <w:t xml:space="preserve">example, </w:t>
      </w:r>
      <w:r w:rsidR="00CA362F" w:rsidRPr="0016631E">
        <w:rPr>
          <w:rFonts w:eastAsiaTheme="minorHAnsi"/>
          <w:sz w:val="24"/>
          <w:szCs w:val="24"/>
        </w:rPr>
        <w:t xml:space="preserve">because </w:t>
      </w:r>
      <w:r w:rsidR="004B5B46" w:rsidRPr="0016631E">
        <w:rPr>
          <w:rFonts w:eastAsiaTheme="minorHAnsi"/>
          <w:sz w:val="24"/>
          <w:szCs w:val="24"/>
        </w:rPr>
        <w:t xml:space="preserve">the core sample </w:t>
      </w:r>
      <w:r w:rsidR="004B5B46" w:rsidRPr="00AA2D29">
        <w:rPr>
          <w:rFonts w:eastAsiaTheme="minorHAnsi"/>
          <w:sz w:val="24"/>
          <w:szCs w:val="24"/>
        </w:rPr>
        <w:t>was selected as a probability sample of the first 5 tobacco product use groups, the sum of the biospecimen weights for the core sample will approximately equal the sum of the ARKWT weights for the adults in the</w:t>
      </w:r>
      <w:r w:rsidR="00CA362F" w:rsidRPr="00AA2D29">
        <w:rPr>
          <w:rFonts w:eastAsiaTheme="minorHAnsi"/>
          <w:sz w:val="24"/>
          <w:szCs w:val="24"/>
        </w:rPr>
        <w:t>se</w:t>
      </w:r>
      <w:r w:rsidR="004B5B46" w:rsidRPr="00AA2D29">
        <w:rPr>
          <w:rFonts w:eastAsiaTheme="minorHAnsi"/>
          <w:sz w:val="24"/>
          <w:szCs w:val="24"/>
        </w:rPr>
        <w:t xml:space="preserve"> tobacco product use groups.</w:t>
      </w:r>
    </w:p>
    <w:p w:rsidR="00DF021E" w:rsidRPr="00595D8D" w:rsidRDefault="004B5B46" w:rsidP="00337A97">
      <w:pPr>
        <w:spacing w:after="200" w:line="276" w:lineRule="auto"/>
        <w:rPr>
          <w:rFonts w:eastAsiaTheme="minorHAnsi"/>
          <w:sz w:val="24"/>
          <w:szCs w:val="24"/>
        </w:rPr>
      </w:pPr>
      <w:r w:rsidRPr="00AA2D29">
        <w:rPr>
          <w:rFonts w:eastAsiaTheme="minorHAnsi"/>
          <w:sz w:val="24"/>
          <w:szCs w:val="24"/>
        </w:rPr>
        <w:t xml:space="preserve">Weighting </w:t>
      </w:r>
      <w:r w:rsidR="0046397C" w:rsidRPr="00AA2D29">
        <w:rPr>
          <w:rFonts w:eastAsiaTheme="minorHAnsi"/>
          <w:sz w:val="24"/>
          <w:szCs w:val="24"/>
        </w:rPr>
        <w:t>S</w:t>
      </w:r>
      <w:r w:rsidRPr="00AA2D29">
        <w:rPr>
          <w:rFonts w:eastAsiaTheme="minorHAnsi"/>
          <w:sz w:val="24"/>
          <w:szCs w:val="24"/>
        </w:rPr>
        <w:t xml:space="preserve">tep 1 is carried out </w:t>
      </w:r>
      <w:r w:rsidRPr="0016631E">
        <w:rPr>
          <w:rFonts w:eastAsiaTheme="minorHAnsi"/>
          <w:sz w:val="24"/>
          <w:szCs w:val="24"/>
        </w:rPr>
        <w:t xml:space="preserve">independently of </w:t>
      </w:r>
      <w:r w:rsidR="0046397C" w:rsidRPr="0016631E">
        <w:rPr>
          <w:rFonts w:eastAsiaTheme="minorHAnsi"/>
          <w:sz w:val="24"/>
          <w:szCs w:val="24"/>
        </w:rPr>
        <w:t>S</w:t>
      </w:r>
      <w:r w:rsidRPr="0016631E">
        <w:rPr>
          <w:rFonts w:eastAsiaTheme="minorHAnsi"/>
          <w:sz w:val="24"/>
          <w:szCs w:val="24"/>
        </w:rPr>
        <w:t>tep 2</w:t>
      </w:r>
      <w:r w:rsidR="00F77742" w:rsidRPr="0016631E">
        <w:rPr>
          <w:rFonts w:eastAsiaTheme="minorHAnsi"/>
          <w:sz w:val="24"/>
          <w:szCs w:val="24"/>
        </w:rPr>
        <w:t>. Therefore, Step 2 can be performed for different subsets of biospecimen data in the future</w:t>
      </w:r>
      <w:r w:rsidRPr="0016631E">
        <w:rPr>
          <w:rFonts w:eastAsiaTheme="minorHAnsi"/>
          <w:sz w:val="24"/>
          <w:szCs w:val="24"/>
        </w:rPr>
        <w:t xml:space="preserve">, </w:t>
      </w:r>
      <w:r w:rsidR="00337A97" w:rsidRPr="0016631E">
        <w:rPr>
          <w:rFonts w:eastAsiaTheme="minorHAnsi"/>
          <w:sz w:val="24"/>
          <w:szCs w:val="24"/>
        </w:rPr>
        <w:t>without a need to repeat the main</w:t>
      </w:r>
      <w:r w:rsidRPr="0016631E">
        <w:rPr>
          <w:rFonts w:eastAsiaTheme="minorHAnsi"/>
          <w:sz w:val="24"/>
          <w:szCs w:val="24"/>
        </w:rPr>
        <w:t xml:space="preserve"> nonresponse adjustment </w:t>
      </w:r>
      <w:r w:rsidR="00337A97" w:rsidRPr="0016631E">
        <w:rPr>
          <w:rFonts w:eastAsiaTheme="minorHAnsi"/>
          <w:sz w:val="24"/>
          <w:szCs w:val="24"/>
        </w:rPr>
        <w:t>from</w:t>
      </w:r>
      <w:r w:rsidRPr="0016631E">
        <w:rPr>
          <w:rFonts w:eastAsiaTheme="minorHAnsi"/>
          <w:sz w:val="24"/>
          <w:szCs w:val="24"/>
        </w:rPr>
        <w:t xml:space="preserve"> </w:t>
      </w:r>
      <w:r w:rsidR="0046397C" w:rsidRPr="0016631E">
        <w:rPr>
          <w:rFonts w:eastAsiaTheme="minorHAnsi"/>
          <w:sz w:val="24"/>
          <w:szCs w:val="24"/>
        </w:rPr>
        <w:t>S</w:t>
      </w:r>
      <w:r w:rsidRPr="0016631E">
        <w:rPr>
          <w:rFonts w:eastAsiaTheme="minorHAnsi"/>
          <w:sz w:val="24"/>
          <w:szCs w:val="24"/>
        </w:rPr>
        <w:t xml:space="preserve">tep 1. In addition, using the same set of nonresponse-adjusted weights at </w:t>
      </w:r>
      <w:r w:rsidR="0046397C" w:rsidRPr="0016631E">
        <w:rPr>
          <w:rFonts w:eastAsiaTheme="minorHAnsi"/>
          <w:sz w:val="24"/>
          <w:szCs w:val="24"/>
        </w:rPr>
        <w:t>S</w:t>
      </w:r>
      <w:r w:rsidRPr="0016631E">
        <w:rPr>
          <w:rFonts w:eastAsiaTheme="minorHAnsi"/>
          <w:sz w:val="24"/>
          <w:szCs w:val="24"/>
        </w:rPr>
        <w:t xml:space="preserve">tep 1 </w:t>
      </w:r>
      <w:r w:rsidR="00337A97" w:rsidRPr="0016631E">
        <w:rPr>
          <w:rFonts w:eastAsiaTheme="minorHAnsi"/>
          <w:sz w:val="24"/>
          <w:szCs w:val="24"/>
        </w:rPr>
        <w:t>will</w:t>
      </w:r>
      <w:r w:rsidRPr="0016631E">
        <w:rPr>
          <w:rFonts w:eastAsiaTheme="minorHAnsi"/>
          <w:sz w:val="24"/>
          <w:szCs w:val="24"/>
        </w:rPr>
        <w:t xml:space="preserve"> </w:t>
      </w:r>
      <w:r w:rsidR="00595D8D">
        <w:rPr>
          <w:rFonts w:eastAsiaTheme="minorHAnsi"/>
          <w:sz w:val="24"/>
          <w:szCs w:val="24"/>
        </w:rPr>
        <w:t xml:space="preserve">help </w:t>
      </w:r>
      <w:r w:rsidRPr="0016631E">
        <w:rPr>
          <w:rFonts w:eastAsiaTheme="minorHAnsi"/>
          <w:sz w:val="24"/>
          <w:szCs w:val="24"/>
        </w:rPr>
        <w:t xml:space="preserve">assure </w:t>
      </w:r>
      <w:r w:rsidRPr="00595D8D">
        <w:rPr>
          <w:rFonts w:eastAsiaTheme="minorHAnsi"/>
          <w:sz w:val="24"/>
          <w:szCs w:val="24"/>
        </w:rPr>
        <w:t>consistency across analyses of biospecimen subsamples</w:t>
      </w:r>
      <w:r w:rsidR="00CA362F">
        <w:rPr>
          <w:rFonts w:eastAsiaTheme="minorHAnsi"/>
          <w:sz w:val="24"/>
          <w:szCs w:val="24"/>
        </w:rPr>
        <w:t xml:space="preserve"> </w:t>
      </w:r>
      <w:r w:rsidRPr="00595D8D">
        <w:rPr>
          <w:rFonts w:eastAsiaTheme="minorHAnsi"/>
          <w:sz w:val="24"/>
          <w:szCs w:val="24"/>
        </w:rPr>
        <w:t xml:space="preserve">for Wave </w:t>
      </w:r>
      <w:r w:rsidR="00595D8D">
        <w:rPr>
          <w:rFonts w:eastAsiaTheme="minorHAnsi"/>
          <w:sz w:val="24"/>
          <w:szCs w:val="24"/>
        </w:rPr>
        <w:t>1 and subsequent waves.</w:t>
      </w:r>
    </w:p>
    <w:p w:rsidR="006C77D2" w:rsidRPr="00DA3DBC" w:rsidRDefault="00DF021E">
      <w:pPr>
        <w:spacing w:after="200" w:line="276" w:lineRule="auto"/>
        <w:rPr>
          <w:rFonts w:eastAsiaTheme="minorHAnsi"/>
          <w:sz w:val="24"/>
          <w:szCs w:val="24"/>
        </w:rPr>
      </w:pPr>
      <w:r w:rsidRPr="00595D8D">
        <w:rPr>
          <w:rFonts w:eastAsiaTheme="minorHAnsi"/>
          <w:sz w:val="24"/>
          <w:szCs w:val="24"/>
        </w:rPr>
        <w:t xml:space="preserve">In summary, this change request </w:t>
      </w:r>
      <w:r w:rsidR="006C77D2" w:rsidRPr="00595D8D">
        <w:rPr>
          <w:rFonts w:eastAsiaTheme="minorHAnsi"/>
          <w:sz w:val="24"/>
          <w:szCs w:val="24"/>
        </w:rPr>
        <w:t xml:space="preserve">is submitted for OMB approval of </w:t>
      </w:r>
      <w:r w:rsidRPr="00595D8D">
        <w:rPr>
          <w:rFonts w:eastAsiaTheme="minorHAnsi"/>
          <w:sz w:val="24"/>
          <w:szCs w:val="24"/>
        </w:rPr>
        <w:t xml:space="preserve">the statistical approach </w:t>
      </w:r>
      <w:r w:rsidR="006C77D2" w:rsidRPr="00595D8D">
        <w:rPr>
          <w:rFonts w:eastAsiaTheme="minorHAnsi"/>
          <w:sz w:val="24"/>
          <w:szCs w:val="24"/>
        </w:rPr>
        <w:t>to be applied to the PATH Study’s Wave 1 biospecimen data.</w:t>
      </w:r>
      <w:r w:rsidR="004D5221" w:rsidRPr="00595D8D">
        <w:rPr>
          <w:rFonts w:eastAsiaTheme="minorHAnsi"/>
          <w:sz w:val="24"/>
          <w:szCs w:val="24"/>
        </w:rPr>
        <w:t xml:space="preserve"> Upon approval by OMB, NIDA and FDA anticipate proceeding with public dissemination of the Wave 1 biospecimen data. This </w:t>
      </w:r>
      <w:r w:rsidR="006C77D2" w:rsidRPr="00595D8D">
        <w:rPr>
          <w:rFonts w:eastAsiaTheme="minorHAnsi"/>
          <w:sz w:val="24"/>
          <w:szCs w:val="24"/>
        </w:rPr>
        <w:t xml:space="preserve">approach </w:t>
      </w:r>
      <w:r w:rsidR="004D5221" w:rsidRPr="00595D8D">
        <w:rPr>
          <w:rFonts w:eastAsiaTheme="minorHAnsi"/>
          <w:sz w:val="24"/>
          <w:szCs w:val="24"/>
        </w:rPr>
        <w:t xml:space="preserve">is also expected to </w:t>
      </w:r>
      <w:r w:rsidR="006C77D2" w:rsidRPr="00595D8D">
        <w:rPr>
          <w:rFonts w:eastAsiaTheme="minorHAnsi"/>
          <w:sz w:val="24"/>
          <w:szCs w:val="24"/>
        </w:rPr>
        <w:t xml:space="preserve">serve as the </w:t>
      </w:r>
      <w:r w:rsidR="004D5221" w:rsidRPr="00595D8D">
        <w:rPr>
          <w:rFonts w:eastAsiaTheme="minorHAnsi"/>
          <w:sz w:val="24"/>
          <w:szCs w:val="24"/>
        </w:rPr>
        <w:t xml:space="preserve">basis </w:t>
      </w:r>
      <w:r w:rsidR="006C77D2" w:rsidRPr="00595D8D">
        <w:rPr>
          <w:rFonts w:eastAsiaTheme="minorHAnsi"/>
          <w:sz w:val="24"/>
          <w:szCs w:val="24"/>
        </w:rPr>
        <w:t xml:space="preserve">for meeting similar terms of clearance for </w:t>
      </w:r>
      <w:r w:rsidR="004D5221" w:rsidRPr="00595D8D">
        <w:rPr>
          <w:rFonts w:eastAsiaTheme="minorHAnsi"/>
          <w:sz w:val="24"/>
          <w:szCs w:val="24"/>
        </w:rPr>
        <w:t>both Wave 2 and Wave 3</w:t>
      </w:r>
      <w:r w:rsidR="006C77D2" w:rsidRPr="00595D8D">
        <w:rPr>
          <w:rFonts w:eastAsiaTheme="minorHAnsi"/>
          <w:sz w:val="24"/>
          <w:szCs w:val="24"/>
        </w:rPr>
        <w:t>.</w:t>
      </w:r>
    </w:p>
    <w:p w:rsidR="001D592D" w:rsidRDefault="001D592D" w:rsidP="004B5B46">
      <w:pPr>
        <w:spacing w:after="200" w:line="276" w:lineRule="auto"/>
        <w:rPr>
          <w:rFonts w:eastAsiaTheme="minorHAnsi"/>
          <w:b/>
          <w:sz w:val="24"/>
          <w:szCs w:val="24"/>
        </w:rPr>
      </w:pPr>
    </w:p>
    <w:p w:rsidR="004B5B46" w:rsidRPr="00D1080E" w:rsidRDefault="004B5B46" w:rsidP="004B5B46">
      <w:pPr>
        <w:spacing w:after="200" w:line="276" w:lineRule="auto"/>
        <w:rPr>
          <w:rFonts w:eastAsiaTheme="minorHAnsi"/>
          <w:b/>
          <w:sz w:val="24"/>
          <w:szCs w:val="24"/>
        </w:rPr>
      </w:pPr>
      <w:r w:rsidRPr="00D1080E">
        <w:rPr>
          <w:rFonts w:eastAsiaTheme="minorHAnsi"/>
          <w:b/>
          <w:sz w:val="24"/>
          <w:szCs w:val="24"/>
        </w:rPr>
        <w:t>References</w:t>
      </w:r>
    </w:p>
    <w:p w:rsidR="004B5B46" w:rsidRPr="00D1080E" w:rsidRDefault="004B5B46" w:rsidP="00D1080E">
      <w:pPr>
        <w:spacing w:after="240" w:line="240" w:lineRule="atLeast"/>
        <w:ind w:left="547" w:hanging="547"/>
        <w:jc w:val="both"/>
        <w:rPr>
          <w:rFonts w:eastAsia="SimSun"/>
          <w:sz w:val="24"/>
          <w:szCs w:val="24"/>
          <w:lang w:val="en-CA"/>
        </w:rPr>
      </w:pPr>
      <w:r w:rsidRPr="00D1080E">
        <w:rPr>
          <w:rFonts w:eastAsia="SimSun"/>
          <w:sz w:val="24"/>
          <w:szCs w:val="24"/>
          <w:lang w:val="en-CA"/>
        </w:rPr>
        <w:t xml:space="preserve">Brick, J.M. (2013). Unit </w:t>
      </w:r>
      <w:r w:rsidR="001D592D" w:rsidRPr="00D1080E">
        <w:rPr>
          <w:rFonts w:eastAsia="SimSun"/>
          <w:sz w:val="24"/>
          <w:szCs w:val="24"/>
          <w:lang w:val="en-CA"/>
        </w:rPr>
        <w:t>nonresponse and weighting adjustments</w:t>
      </w:r>
      <w:r w:rsidRPr="00D1080E">
        <w:rPr>
          <w:rFonts w:eastAsia="SimSun"/>
          <w:sz w:val="24"/>
          <w:szCs w:val="24"/>
          <w:lang w:val="en-CA"/>
        </w:rPr>
        <w:t xml:space="preserve">: A </w:t>
      </w:r>
      <w:r w:rsidR="001D592D" w:rsidRPr="00D1080E">
        <w:rPr>
          <w:rFonts w:eastAsia="SimSun"/>
          <w:sz w:val="24"/>
          <w:szCs w:val="24"/>
          <w:lang w:val="en-CA"/>
        </w:rPr>
        <w:t>critical review</w:t>
      </w:r>
      <w:r w:rsidRPr="00D1080E">
        <w:rPr>
          <w:rFonts w:eastAsia="SimSun"/>
          <w:sz w:val="24"/>
          <w:szCs w:val="24"/>
          <w:lang w:val="en-CA"/>
        </w:rPr>
        <w:t xml:space="preserve">. </w:t>
      </w:r>
      <w:r w:rsidRPr="00D1080E">
        <w:rPr>
          <w:rFonts w:eastAsia="SimSun"/>
          <w:i/>
          <w:sz w:val="24"/>
          <w:szCs w:val="24"/>
          <w:lang w:val="en-CA"/>
        </w:rPr>
        <w:t xml:space="preserve">Journal of Official Statistics, </w:t>
      </w:r>
      <w:r w:rsidRPr="00B75168">
        <w:rPr>
          <w:rFonts w:eastAsia="SimSun"/>
          <w:i/>
          <w:sz w:val="24"/>
          <w:szCs w:val="24"/>
          <w:lang w:val="en-CA"/>
        </w:rPr>
        <w:t>29</w:t>
      </w:r>
      <w:r w:rsidRPr="00D1080E">
        <w:rPr>
          <w:rFonts w:eastAsia="SimSun"/>
          <w:sz w:val="24"/>
          <w:szCs w:val="24"/>
          <w:lang w:val="en-CA"/>
        </w:rPr>
        <w:t>, 329-353.</w:t>
      </w:r>
    </w:p>
    <w:p w:rsidR="004B5B46" w:rsidRPr="000914DB" w:rsidRDefault="004B5B46" w:rsidP="000914DB">
      <w:pPr>
        <w:tabs>
          <w:tab w:val="left" w:pos="576"/>
        </w:tabs>
        <w:spacing w:after="240" w:line="240" w:lineRule="atLeast"/>
        <w:ind w:left="576" w:hanging="576"/>
        <w:rPr>
          <w:sz w:val="24"/>
          <w:szCs w:val="24"/>
        </w:rPr>
      </w:pPr>
      <w:proofErr w:type="gramStart"/>
      <w:r w:rsidRPr="000914DB">
        <w:rPr>
          <w:sz w:val="24"/>
          <w:szCs w:val="24"/>
        </w:rPr>
        <w:t>United Nations.</w:t>
      </w:r>
      <w:proofErr w:type="gramEnd"/>
      <w:r w:rsidRPr="000914DB">
        <w:rPr>
          <w:sz w:val="24"/>
          <w:szCs w:val="24"/>
        </w:rPr>
        <w:t xml:space="preserve"> (2005). </w:t>
      </w:r>
      <w:r w:rsidRPr="000914DB">
        <w:rPr>
          <w:i/>
          <w:sz w:val="24"/>
          <w:szCs w:val="24"/>
        </w:rPr>
        <w:t xml:space="preserve">Designing </w:t>
      </w:r>
      <w:r w:rsidR="001D592D" w:rsidRPr="000914DB">
        <w:rPr>
          <w:i/>
          <w:sz w:val="24"/>
          <w:szCs w:val="24"/>
        </w:rPr>
        <w:t>household survey samples</w:t>
      </w:r>
      <w:r w:rsidRPr="000914DB">
        <w:rPr>
          <w:i/>
          <w:sz w:val="24"/>
          <w:szCs w:val="24"/>
        </w:rPr>
        <w:t xml:space="preserve">: Practical </w:t>
      </w:r>
      <w:r w:rsidR="001D592D" w:rsidRPr="000914DB">
        <w:rPr>
          <w:i/>
          <w:sz w:val="24"/>
          <w:szCs w:val="24"/>
        </w:rPr>
        <w:t>guidelines</w:t>
      </w:r>
      <w:r w:rsidRPr="000914DB">
        <w:rPr>
          <w:i/>
          <w:sz w:val="24"/>
          <w:szCs w:val="24"/>
        </w:rPr>
        <w:t>.</w:t>
      </w:r>
      <w:r w:rsidRPr="000914DB">
        <w:rPr>
          <w:sz w:val="24"/>
          <w:szCs w:val="24"/>
        </w:rPr>
        <w:t xml:space="preserve"> United Nations Publication ST/ESA/STAT/SER.F/98, New York: United Nations. Available at </w:t>
      </w:r>
      <w:hyperlink r:id="rId10" w:history="1">
        <w:r w:rsidRPr="000914DB">
          <w:rPr>
            <w:color w:val="0000FF" w:themeColor="hyperlink"/>
            <w:sz w:val="24"/>
            <w:szCs w:val="24"/>
            <w:u w:val="single"/>
          </w:rPr>
          <w:t>http://unstats.un.org/unsd/demographic/sources/surveys/Handbook23June05.pdf</w:t>
        </w:r>
      </w:hyperlink>
    </w:p>
    <w:sectPr w:rsidR="004B5B46" w:rsidRPr="000914DB" w:rsidSect="00391ED1">
      <w:footerReference w:type="default" r:id="rId11"/>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B46" w:rsidRDefault="004B5B46" w:rsidP="00051AE1">
      <w:r>
        <w:separator/>
      </w:r>
    </w:p>
  </w:endnote>
  <w:endnote w:type="continuationSeparator" w:id="0">
    <w:p w:rsidR="004B5B46" w:rsidRDefault="004B5B46" w:rsidP="00051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echnical">
    <w:altName w:val="Kristen ITC"/>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793337"/>
      <w:docPartObj>
        <w:docPartGallery w:val="Page Numbers (Bottom of Page)"/>
        <w:docPartUnique/>
      </w:docPartObj>
    </w:sdtPr>
    <w:sdtEndPr>
      <w:rPr>
        <w:noProof/>
      </w:rPr>
    </w:sdtEndPr>
    <w:sdtContent>
      <w:p w:rsidR="004B5B46" w:rsidRDefault="004B5B46">
        <w:pPr>
          <w:pStyle w:val="Footer"/>
          <w:jc w:val="center"/>
        </w:pPr>
        <w:r>
          <w:fldChar w:fldCharType="begin"/>
        </w:r>
        <w:r>
          <w:instrText xml:space="preserve"> PAGE   \* MERGEFORMAT </w:instrText>
        </w:r>
        <w:r>
          <w:fldChar w:fldCharType="separate"/>
        </w:r>
        <w:r w:rsidR="009B7149">
          <w:rPr>
            <w:noProof/>
          </w:rPr>
          <w:t>1</w:t>
        </w:r>
        <w:r>
          <w:rPr>
            <w:noProof/>
          </w:rPr>
          <w:fldChar w:fldCharType="end"/>
        </w:r>
      </w:p>
    </w:sdtContent>
  </w:sdt>
  <w:p w:rsidR="004B5B46" w:rsidRDefault="004B5B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B46" w:rsidRDefault="004B5B46" w:rsidP="00051AE1">
      <w:r>
        <w:separator/>
      </w:r>
    </w:p>
  </w:footnote>
  <w:footnote w:type="continuationSeparator" w:id="0">
    <w:p w:rsidR="004B5B46" w:rsidRDefault="004B5B46" w:rsidP="00051AE1">
      <w:r>
        <w:continuationSeparator/>
      </w:r>
    </w:p>
  </w:footnote>
  <w:footnote w:id="1">
    <w:p w:rsidR="0086735C" w:rsidRPr="000914DB" w:rsidRDefault="0086735C">
      <w:pPr>
        <w:pStyle w:val="FootnoteText"/>
        <w:rPr>
          <w:rFonts w:ascii="Times New Roman" w:hAnsi="Times New Roman"/>
        </w:rPr>
      </w:pPr>
      <w:r w:rsidRPr="000914DB">
        <w:rPr>
          <w:rStyle w:val="FootnoteReference"/>
          <w:rFonts w:ascii="Times New Roman" w:hAnsi="Times New Roman"/>
        </w:rPr>
        <w:footnoteRef/>
      </w:r>
      <w:r w:rsidR="0094316C" w:rsidRPr="000914DB">
        <w:rPr>
          <w:rFonts w:ascii="Times New Roman" w:hAnsi="Times New Roman"/>
        </w:rPr>
        <w:t xml:space="preserve"> </w:t>
      </w:r>
      <w:r w:rsidR="002C3FC2" w:rsidRPr="000914DB">
        <w:rPr>
          <w:rFonts w:ascii="Times New Roman" w:hAnsi="Times New Roman"/>
        </w:rPr>
        <w:t xml:space="preserve">Due to both budgetary and scientific reasons, NIDA </w:t>
      </w:r>
      <w:r w:rsidR="001E7AF0" w:rsidRPr="000914DB">
        <w:rPr>
          <w:rFonts w:ascii="Times New Roman" w:hAnsi="Times New Roman"/>
        </w:rPr>
        <w:t xml:space="preserve">submitted a request to </w:t>
      </w:r>
      <w:r w:rsidR="002C3FC2" w:rsidRPr="000914DB">
        <w:rPr>
          <w:rFonts w:ascii="Times New Roman" w:hAnsi="Times New Roman"/>
        </w:rPr>
        <w:t xml:space="preserve">OMB </w:t>
      </w:r>
      <w:r w:rsidR="001E7AF0" w:rsidRPr="000914DB">
        <w:rPr>
          <w:rFonts w:ascii="Times New Roman" w:hAnsi="Times New Roman"/>
        </w:rPr>
        <w:t xml:space="preserve">for </w:t>
      </w:r>
      <w:r w:rsidR="002C3FC2" w:rsidRPr="000914DB">
        <w:rPr>
          <w:rFonts w:ascii="Times New Roman" w:hAnsi="Times New Roman"/>
        </w:rPr>
        <w:t>approval to discontinue collection of this biospecimen, effective May 18, 2014.</w:t>
      </w:r>
    </w:p>
  </w:footnote>
  <w:footnote w:id="2">
    <w:p w:rsidR="004B5B46" w:rsidRPr="0094316C" w:rsidRDefault="004B5B46" w:rsidP="004B5B46">
      <w:pPr>
        <w:pStyle w:val="FootnoteText"/>
        <w:rPr>
          <w:rFonts w:ascii="Times New Roman" w:hAnsi="Times New Roman"/>
        </w:rPr>
      </w:pPr>
      <w:r w:rsidRPr="000914DB">
        <w:rPr>
          <w:rStyle w:val="FootnoteReference"/>
          <w:rFonts w:ascii="Times New Roman" w:hAnsi="Times New Roman"/>
        </w:rPr>
        <w:footnoteRef/>
      </w:r>
      <w:r w:rsidRPr="000914DB">
        <w:rPr>
          <w:rFonts w:ascii="Times New Roman" w:hAnsi="Times New Roman"/>
        </w:rPr>
        <w:t xml:space="preserve"> The estimates for demographic characteristics corresponding to the target population of the PATH Study, which excluded</w:t>
      </w:r>
      <w:r w:rsidRPr="0094316C">
        <w:rPr>
          <w:rFonts w:ascii="Times New Roman" w:hAnsi="Times New Roman"/>
        </w:rPr>
        <w:t xml:space="preserve"> active military and persons in group quarters other than college dormitories, were computed from the 2013 1-year Public Use Microdata Sample of</w:t>
      </w:r>
      <w:r w:rsidR="005D41DD">
        <w:rPr>
          <w:rFonts w:ascii="Times New Roman" w:hAnsi="Times New Roman"/>
        </w:rPr>
        <w:t xml:space="preserve"> the American Community Survey.</w:t>
      </w:r>
    </w:p>
  </w:footnote>
  <w:footnote w:id="3">
    <w:p w:rsidR="004B5B46" w:rsidRPr="000914DB" w:rsidRDefault="004B5B46" w:rsidP="004B5B46">
      <w:pPr>
        <w:pStyle w:val="FootnoteText"/>
        <w:rPr>
          <w:rFonts w:ascii="Times New Roman" w:hAnsi="Times New Roman"/>
        </w:rPr>
      </w:pPr>
      <w:r w:rsidRPr="000914DB">
        <w:rPr>
          <w:rStyle w:val="FootnoteReference"/>
          <w:rFonts w:ascii="Times New Roman" w:hAnsi="Times New Roman"/>
        </w:rPr>
        <w:footnoteRef/>
      </w:r>
      <w:r w:rsidRPr="000914DB">
        <w:rPr>
          <w:rFonts w:ascii="Times New Roman" w:hAnsi="Times New Roman"/>
        </w:rPr>
        <w:t xml:space="preserve"> These represent 38.8</w:t>
      </w:r>
      <w:r w:rsidR="00091716" w:rsidRPr="000914DB">
        <w:rPr>
          <w:rFonts w:ascii="Times New Roman" w:hAnsi="Times New Roman"/>
        </w:rPr>
        <w:t xml:space="preserve"> percent</w:t>
      </w:r>
      <w:r w:rsidRPr="000914DB">
        <w:rPr>
          <w:rFonts w:ascii="Times New Roman" w:hAnsi="Times New Roman"/>
        </w:rPr>
        <w:t xml:space="preserve"> of al</w:t>
      </w:r>
      <w:r w:rsidR="000914DB" w:rsidRPr="000914DB">
        <w:rPr>
          <w:rFonts w:ascii="Times New Roman" w:hAnsi="Times New Roman"/>
        </w:rPr>
        <w:t>l adults interviewed in Wave 1.</w:t>
      </w:r>
    </w:p>
  </w:footnote>
  <w:footnote w:id="4">
    <w:p w:rsidR="004B5B46" w:rsidRPr="00E96836" w:rsidRDefault="004B5B46" w:rsidP="004B5B46">
      <w:pPr>
        <w:pStyle w:val="FootnoteText"/>
        <w:rPr>
          <w:rFonts w:ascii="Times New Roman" w:hAnsi="Times New Roman"/>
        </w:rPr>
      </w:pPr>
      <w:r w:rsidRPr="00E96836">
        <w:rPr>
          <w:rStyle w:val="FootnoteReference"/>
          <w:rFonts w:ascii="Times New Roman" w:hAnsi="Times New Roman"/>
        </w:rPr>
        <w:footnoteRef/>
      </w:r>
      <w:r w:rsidRPr="00E96836">
        <w:rPr>
          <w:rFonts w:ascii="Times New Roman" w:hAnsi="Times New Roman"/>
        </w:rPr>
        <w:t xml:space="preserve"> Although </w:t>
      </w:r>
      <w:r w:rsidR="0046397C" w:rsidRPr="00E96836">
        <w:rPr>
          <w:rFonts w:ascii="Times New Roman" w:hAnsi="Times New Roman"/>
        </w:rPr>
        <w:t xml:space="preserve">the PATH Study has </w:t>
      </w:r>
      <w:r w:rsidRPr="00E96836">
        <w:rPr>
          <w:rFonts w:ascii="Times New Roman" w:hAnsi="Times New Roman"/>
        </w:rPr>
        <w:t xml:space="preserve">no current plans to perform laboratory analyses of buccal cells, analyses </w:t>
      </w:r>
      <w:r w:rsidR="0046397C" w:rsidRPr="00E96836">
        <w:rPr>
          <w:rFonts w:ascii="Times New Roman" w:hAnsi="Times New Roman"/>
        </w:rPr>
        <w:t xml:space="preserve">may </w:t>
      </w:r>
      <w:r w:rsidRPr="00E96836">
        <w:rPr>
          <w:rFonts w:ascii="Times New Roman" w:hAnsi="Times New Roman"/>
        </w:rPr>
        <w:t>be desired in the future</w:t>
      </w:r>
      <w:r w:rsidR="0046397C" w:rsidRPr="00E96836">
        <w:rPr>
          <w:rFonts w:ascii="Times New Roman" w:hAnsi="Times New Roman"/>
        </w:rPr>
        <w:t>,</w:t>
      </w:r>
      <w:r w:rsidRPr="00E96836">
        <w:rPr>
          <w:rFonts w:ascii="Times New Roman" w:hAnsi="Times New Roman"/>
        </w:rPr>
        <w:t xml:space="preserve"> or the Study may resume collecting buccal cell samples in the future. Therefore, weights will be created in Step 1 for the adults who provided buccal cells, but the second step of weighting would only be carried out if the decision is made to perform laboratory analyses.</w:t>
      </w:r>
    </w:p>
  </w:footnote>
  <w:footnote w:id="5">
    <w:p w:rsidR="004B5B46" w:rsidRPr="0046397C" w:rsidRDefault="004B5B46" w:rsidP="004B5B46">
      <w:pPr>
        <w:pStyle w:val="FootnoteText"/>
        <w:rPr>
          <w:rFonts w:ascii="Garamond" w:hAnsi="Garamond"/>
        </w:rPr>
      </w:pPr>
      <w:r w:rsidRPr="00E96836">
        <w:rPr>
          <w:rStyle w:val="FootnoteReference"/>
          <w:rFonts w:ascii="Times New Roman" w:hAnsi="Times New Roman"/>
        </w:rPr>
        <w:footnoteRef/>
      </w:r>
      <w:r w:rsidRPr="00E96836">
        <w:rPr>
          <w:rFonts w:ascii="Times New Roman" w:hAnsi="Times New Roman"/>
        </w:rPr>
        <w:t xml:space="preserve"> Some tobacco product use groups may be combined if the sample sizes are small.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E5DCE"/>
    <w:multiLevelType w:val="hybridMultilevel"/>
    <w:tmpl w:val="3BEC4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8146FA"/>
    <w:multiLevelType w:val="hybridMultilevel"/>
    <w:tmpl w:val="61101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1D6D3C"/>
    <w:multiLevelType w:val="hybridMultilevel"/>
    <w:tmpl w:val="D616B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F020E"/>
    <w:multiLevelType w:val="hybridMultilevel"/>
    <w:tmpl w:val="DE9A7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5539E8"/>
    <w:multiLevelType w:val="hybridMultilevel"/>
    <w:tmpl w:val="C6AE9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159C0"/>
    <w:multiLevelType w:val="hybridMultilevel"/>
    <w:tmpl w:val="8E32768E"/>
    <w:lvl w:ilvl="0" w:tplc="E57ED5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5E0085"/>
    <w:multiLevelType w:val="hybridMultilevel"/>
    <w:tmpl w:val="4EF8F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71151C"/>
    <w:multiLevelType w:val="hybridMultilevel"/>
    <w:tmpl w:val="129EA3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357185"/>
    <w:multiLevelType w:val="hybridMultilevel"/>
    <w:tmpl w:val="8CF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90262"/>
    <w:multiLevelType w:val="hybridMultilevel"/>
    <w:tmpl w:val="FB9E61AC"/>
    <w:lvl w:ilvl="0" w:tplc="7214D3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8A3C90"/>
    <w:multiLevelType w:val="hybridMultilevel"/>
    <w:tmpl w:val="31469D9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
    <w:nsid w:val="2B3D0577"/>
    <w:multiLevelType w:val="hybridMultilevel"/>
    <w:tmpl w:val="99A85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422546"/>
    <w:multiLevelType w:val="hybridMultilevel"/>
    <w:tmpl w:val="63A08096"/>
    <w:lvl w:ilvl="0" w:tplc="B0A66058">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nsid w:val="2FDB1752"/>
    <w:multiLevelType w:val="hybridMultilevel"/>
    <w:tmpl w:val="E97AA6D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45F5FCE"/>
    <w:multiLevelType w:val="hybridMultilevel"/>
    <w:tmpl w:val="28D2818A"/>
    <w:lvl w:ilvl="0" w:tplc="2C6A4C7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901B80"/>
    <w:multiLevelType w:val="hybridMultilevel"/>
    <w:tmpl w:val="6BA4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7F2033"/>
    <w:multiLevelType w:val="hybridMultilevel"/>
    <w:tmpl w:val="E5102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D1C1D48"/>
    <w:multiLevelType w:val="hybridMultilevel"/>
    <w:tmpl w:val="1A4655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4C5C67"/>
    <w:multiLevelType w:val="hybridMultilevel"/>
    <w:tmpl w:val="1CAEADE4"/>
    <w:lvl w:ilvl="0" w:tplc="73667CD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3E33654D"/>
    <w:multiLevelType w:val="hybridMultilevel"/>
    <w:tmpl w:val="EFFEA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A7531CD"/>
    <w:multiLevelType w:val="hybridMultilevel"/>
    <w:tmpl w:val="94EED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304742"/>
    <w:multiLevelType w:val="hybridMultilevel"/>
    <w:tmpl w:val="1CAEADE4"/>
    <w:lvl w:ilvl="0" w:tplc="73667CD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56A30447"/>
    <w:multiLevelType w:val="hybridMultilevel"/>
    <w:tmpl w:val="CB96EB6A"/>
    <w:lvl w:ilvl="0" w:tplc="E27E779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366BF9"/>
    <w:multiLevelType w:val="hybridMultilevel"/>
    <w:tmpl w:val="DA42D01C"/>
    <w:lvl w:ilvl="0" w:tplc="9508C58E">
      <w:start w:val="4"/>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78147E"/>
    <w:multiLevelType w:val="hybridMultilevel"/>
    <w:tmpl w:val="D8107554"/>
    <w:lvl w:ilvl="0" w:tplc="B0A66058">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5E7086"/>
    <w:multiLevelType w:val="hybridMultilevel"/>
    <w:tmpl w:val="2428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A76AA9"/>
    <w:multiLevelType w:val="hybridMultilevel"/>
    <w:tmpl w:val="9B0EDB2E"/>
    <w:lvl w:ilvl="0" w:tplc="42B23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774E00"/>
    <w:multiLevelType w:val="hybridMultilevel"/>
    <w:tmpl w:val="B77A4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0460FFF"/>
    <w:multiLevelType w:val="hybridMultilevel"/>
    <w:tmpl w:val="C22C9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E069EB"/>
    <w:multiLevelType w:val="hybridMultilevel"/>
    <w:tmpl w:val="6D1AF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9534168"/>
    <w:multiLevelType w:val="hybridMultilevel"/>
    <w:tmpl w:val="F71CB2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BCB7E6A"/>
    <w:multiLevelType w:val="hybridMultilevel"/>
    <w:tmpl w:val="D59418E2"/>
    <w:lvl w:ilvl="0" w:tplc="B0A66058">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24"/>
  </w:num>
  <w:num w:numId="4">
    <w:abstractNumId w:val="31"/>
  </w:num>
  <w:num w:numId="5">
    <w:abstractNumId w:val="28"/>
  </w:num>
  <w:num w:numId="6">
    <w:abstractNumId w:val="3"/>
  </w:num>
  <w:num w:numId="7">
    <w:abstractNumId w:val="10"/>
  </w:num>
  <w:num w:numId="8">
    <w:abstractNumId w:val="19"/>
  </w:num>
  <w:num w:numId="9">
    <w:abstractNumId w:val="7"/>
  </w:num>
  <w:num w:numId="10">
    <w:abstractNumId w:val="16"/>
  </w:num>
  <w:num w:numId="11">
    <w:abstractNumId w:val="29"/>
  </w:num>
  <w:num w:numId="12">
    <w:abstractNumId w:val="30"/>
  </w:num>
  <w:num w:numId="13">
    <w:abstractNumId w:val="8"/>
  </w:num>
  <w:num w:numId="14">
    <w:abstractNumId w:val="15"/>
  </w:num>
  <w:num w:numId="15">
    <w:abstractNumId w:val="22"/>
  </w:num>
  <w:num w:numId="16">
    <w:abstractNumId w:val="14"/>
  </w:num>
  <w:num w:numId="17">
    <w:abstractNumId w:val="11"/>
  </w:num>
  <w:num w:numId="18">
    <w:abstractNumId w:val="5"/>
  </w:num>
  <w:num w:numId="19">
    <w:abstractNumId w:val="26"/>
  </w:num>
  <w:num w:numId="20">
    <w:abstractNumId w:val="2"/>
  </w:num>
  <w:num w:numId="21">
    <w:abstractNumId w:val="27"/>
  </w:num>
  <w:num w:numId="22">
    <w:abstractNumId w:val="23"/>
  </w:num>
  <w:num w:numId="23">
    <w:abstractNumId w:val="0"/>
  </w:num>
  <w:num w:numId="24">
    <w:abstractNumId w:val="6"/>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
  </w:num>
  <w:num w:numId="29">
    <w:abstractNumId w:val="25"/>
  </w:num>
  <w:num w:numId="30">
    <w:abstractNumId w:val="20"/>
  </w:num>
  <w:num w:numId="31">
    <w:abstractNumId w:val="4"/>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displayHorizontalDrawingGridEvery w:val="0"/>
  <w:displayVerticalDrawingGridEvery w:val="0"/>
  <w:doNotUseMarginsForDrawingGridOrigin/>
  <w:noPunctuationKerning/>
  <w:characterSpacingControl w:val="doNotCompress"/>
  <w:hdrShapeDefaults>
    <o:shapedefaults v:ext="edit" spidmax="6144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271"/>
    <w:rsid w:val="00010450"/>
    <w:rsid w:val="00015B2C"/>
    <w:rsid w:val="00022518"/>
    <w:rsid w:val="00024642"/>
    <w:rsid w:val="00027818"/>
    <w:rsid w:val="000306D3"/>
    <w:rsid w:val="00031D2E"/>
    <w:rsid w:val="00041732"/>
    <w:rsid w:val="000438E2"/>
    <w:rsid w:val="0005026E"/>
    <w:rsid w:val="00050D18"/>
    <w:rsid w:val="00051AE1"/>
    <w:rsid w:val="00056D6A"/>
    <w:rsid w:val="00062367"/>
    <w:rsid w:val="0006688F"/>
    <w:rsid w:val="000700AF"/>
    <w:rsid w:val="000774DE"/>
    <w:rsid w:val="00077C2E"/>
    <w:rsid w:val="00080D3F"/>
    <w:rsid w:val="000867E1"/>
    <w:rsid w:val="000914DB"/>
    <w:rsid w:val="00091716"/>
    <w:rsid w:val="0009225E"/>
    <w:rsid w:val="00092E47"/>
    <w:rsid w:val="000A4B98"/>
    <w:rsid w:val="000A4EB0"/>
    <w:rsid w:val="000B424A"/>
    <w:rsid w:val="000B5B0B"/>
    <w:rsid w:val="000B6C27"/>
    <w:rsid w:val="000C42D2"/>
    <w:rsid w:val="000C4B51"/>
    <w:rsid w:val="000C66E3"/>
    <w:rsid w:val="000C6D8D"/>
    <w:rsid w:val="000D04AB"/>
    <w:rsid w:val="000D0CDA"/>
    <w:rsid w:val="000D659C"/>
    <w:rsid w:val="000E625B"/>
    <w:rsid w:val="000F5FB6"/>
    <w:rsid w:val="000F6A2E"/>
    <w:rsid w:val="0011304B"/>
    <w:rsid w:val="001142CD"/>
    <w:rsid w:val="001300FA"/>
    <w:rsid w:val="00132358"/>
    <w:rsid w:val="00132F53"/>
    <w:rsid w:val="001360D7"/>
    <w:rsid w:val="00136343"/>
    <w:rsid w:val="0014767A"/>
    <w:rsid w:val="0014799E"/>
    <w:rsid w:val="001518D1"/>
    <w:rsid w:val="001562ED"/>
    <w:rsid w:val="00160F04"/>
    <w:rsid w:val="00161F6C"/>
    <w:rsid w:val="001631E7"/>
    <w:rsid w:val="0016631E"/>
    <w:rsid w:val="00172750"/>
    <w:rsid w:val="00177B87"/>
    <w:rsid w:val="0019191A"/>
    <w:rsid w:val="00193758"/>
    <w:rsid w:val="00194997"/>
    <w:rsid w:val="00196167"/>
    <w:rsid w:val="001A13BF"/>
    <w:rsid w:val="001A64B4"/>
    <w:rsid w:val="001B303D"/>
    <w:rsid w:val="001C06A4"/>
    <w:rsid w:val="001D1C39"/>
    <w:rsid w:val="001D592D"/>
    <w:rsid w:val="001D76C7"/>
    <w:rsid w:val="001E1415"/>
    <w:rsid w:val="001E6455"/>
    <w:rsid w:val="001E6B5E"/>
    <w:rsid w:val="001E7AF0"/>
    <w:rsid w:val="001F40C8"/>
    <w:rsid w:val="001F714B"/>
    <w:rsid w:val="002033AD"/>
    <w:rsid w:val="00206864"/>
    <w:rsid w:val="00206921"/>
    <w:rsid w:val="00206ADB"/>
    <w:rsid w:val="00224D70"/>
    <w:rsid w:val="0023133C"/>
    <w:rsid w:val="00232055"/>
    <w:rsid w:val="0023556E"/>
    <w:rsid w:val="002362EF"/>
    <w:rsid w:val="00236690"/>
    <w:rsid w:val="002368D6"/>
    <w:rsid w:val="002407AB"/>
    <w:rsid w:val="00244148"/>
    <w:rsid w:val="0024579C"/>
    <w:rsid w:val="00260FCC"/>
    <w:rsid w:val="00264E49"/>
    <w:rsid w:val="00273E66"/>
    <w:rsid w:val="00275153"/>
    <w:rsid w:val="002754AC"/>
    <w:rsid w:val="002778FC"/>
    <w:rsid w:val="00282787"/>
    <w:rsid w:val="00285F85"/>
    <w:rsid w:val="00286288"/>
    <w:rsid w:val="002864D2"/>
    <w:rsid w:val="00287012"/>
    <w:rsid w:val="00287812"/>
    <w:rsid w:val="002903AA"/>
    <w:rsid w:val="00291056"/>
    <w:rsid w:val="00294378"/>
    <w:rsid w:val="002A4735"/>
    <w:rsid w:val="002A4CBA"/>
    <w:rsid w:val="002A5398"/>
    <w:rsid w:val="002A7D81"/>
    <w:rsid w:val="002B22C2"/>
    <w:rsid w:val="002B5F8C"/>
    <w:rsid w:val="002B6C68"/>
    <w:rsid w:val="002C3FC2"/>
    <w:rsid w:val="002C4794"/>
    <w:rsid w:val="002D0DFA"/>
    <w:rsid w:val="002D3EAE"/>
    <w:rsid w:val="002D4599"/>
    <w:rsid w:val="002D5303"/>
    <w:rsid w:val="002D5DFA"/>
    <w:rsid w:val="002D61D2"/>
    <w:rsid w:val="002E1389"/>
    <w:rsid w:val="002E6D26"/>
    <w:rsid w:val="002E72FA"/>
    <w:rsid w:val="002E7AF2"/>
    <w:rsid w:val="003053D3"/>
    <w:rsid w:val="003053E9"/>
    <w:rsid w:val="00316AF9"/>
    <w:rsid w:val="00323496"/>
    <w:rsid w:val="00323D51"/>
    <w:rsid w:val="00327010"/>
    <w:rsid w:val="003304CA"/>
    <w:rsid w:val="00331BA7"/>
    <w:rsid w:val="00331C7C"/>
    <w:rsid w:val="00337A97"/>
    <w:rsid w:val="003405B0"/>
    <w:rsid w:val="00347BF6"/>
    <w:rsid w:val="00350436"/>
    <w:rsid w:val="00353EC1"/>
    <w:rsid w:val="00366645"/>
    <w:rsid w:val="00366953"/>
    <w:rsid w:val="003674C0"/>
    <w:rsid w:val="00370DFA"/>
    <w:rsid w:val="00373B3C"/>
    <w:rsid w:val="00374E33"/>
    <w:rsid w:val="003840D7"/>
    <w:rsid w:val="0038728D"/>
    <w:rsid w:val="00391ED1"/>
    <w:rsid w:val="0039387B"/>
    <w:rsid w:val="0039665F"/>
    <w:rsid w:val="003A0646"/>
    <w:rsid w:val="003A1ED0"/>
    <w:rsid w:val="003A3EC6"/>
    <w:rsid w:val="003B2AC4"/>
    <w:rsid w:val="003B3DFE"/>
    <w:rsid w:val="003B48FC"/>
    <w:rsid w:val="003C112A"/>
    <w:rsid w:val="003D1DC1"/>
    <w:rsid w:val="003E082E"/>
    <w:rsid w:val="003E1E2F"/>
    <w:rsid w:val="003E38B6"/>
    <w:rsid w:val="003E6E21"/>
    <w:rsid w:val="003E7B9A"/>
    <w:rsid w:val="003F0BF7"/>
    <w:rsid w:val="003F115E"/>
    <w:rsid w:val="003F266D"/>
    <w:rsid w:val="003F2948"/>
    <w:rsid w:val="003F4B75"/>
    <w:rsid w:val="003F52EC"/>
    <w:rsid w:val="004067BE"/>
    <w:rsid w:val="00413325"/>
    <w:rsid w:val="00416064"/>
    <w:rsid w:val="0042045C"/>
    <w:rsid w:val="0042171D"/>
    <w:rsid w:val="00425B80"/>
    <w:rsid w:val="00427351"/>
    <w:rsid w:val="00436BB5"/>
    <w:rsid w:val="004400DB"/>
    <w:rsid w:val="00443C71"/>
    <w:rsid w:val="00455F1D"/>
    <w:rsid w:val="00460E9E"/>
    <w:rsid w:val="00461E94"/>
    <w:rsid w:val="0046397C"/>
    <w:rsid w:val="00463A3F"/>
    <w:rsid w:val="004658DA"/>
    <w:rsid w:val="00471F91"/>
    <w:rsid w:val="004818B2"/>
    <w:rsid w:val="0048413B"/>
    <w:rsid w:val="00485CC5"/>
    <w:rsid w:val="00495671"/>
    <w:rsid w:val="004A5CE6"/>
    <w:rsid w:val="004B364E"/>
    <w:rsid w:val="004B567A"/>
    <w:rsid w:val="004B5B46"/>
    <w:rsid w:val="004B64EA"/>
    <w:rsid w:val="004C5422"/>
    <w:rsid w:val="004C625E"/>
    <w:rsid w:val="004D0069"/>
    <w:rsid w:val="004D2CB9"/>
    <w:rsid w:val="004D5221"/>
    <w:rsid w:val="004D5CB9"/>
    <w:rsid w:val="004D7DBC"/>
    <w:rsid w:val="004E330E"/>
    <w:rsid w:val="004F06E1"/>
    <w:rsid w:val="004F104C"/>
    <w:rsid w:val="004F67AB"/>
    <w:rsid w:val="004F6A4F"/>
    <w:rsid w:val="0050102D"/>
    <w:rsid w:val="005103C3"/>
    <w:rsid w:val="005144B1"/>
    <w:rsid w:val="005174E5"/>
    <w:rsid w:val="00520606"/>
    <w:rsid w:val="0052525C"/>
    <w:rsid w:val="005330AD"/>
    <w:rsid w:val="005351BF"/>
    <w:rsid w:val="00540BEF"/>
    <w:rsid w:val="00544D01"/>
    <w:rsid w:val="00546569"/>
    <w:rsid w:val="0054672F"/>
    <w:rsid w:val="00551E38"/>
    <w:rsid w:val="00561C37"/>
    <w:rsid w:val="005635A1"/>
    <w:rsid w:val="0056797E"/>
    <w:rsid w:val="00570C5C"/>
    <w:rsid w:val="00573CAD"/>
    <w:rsid w:val="0057475D"/>
    <w:rsid w:val="00576336"/>
    <w:rsid w:val="005813A0"/>
    <w:rsid w:val="0058414A"/>
    <w:rsid w:val="00584A2A"/>
    <w:rsid w:val="0059055E"/>
    <w:rsid w:val="00590931"/>
    <w:rsid w:val="00593D30"/>
    <w:rsid w:val="00595D8D"/>
    <w:rsid w:val="005A01F4"/>
    <w:rsid w:val="005A0253"/>
    <w:rsid w:val="005A19EF"/>
    <w:rsid w:val="005A27A3"/>
    <w:rsid w:val="005A3717"/>
    <w:rsid w:val="005A4D4D"/>
    <w:rsid w:val="005A603D"/>
    <w:rsid w:val="005A6654"/>
    <w:rsid w:val="005D11DF"/>
    <w:rsid w:val="005D41DD"/>
    <w:rsid w:val="005D6987"/>
    <w:rsid w:val="005D6B66"/>
    <w:rsid w:val="005D6F0A"/>
    <w:rsid w:val="005E5928"/>
    <w:rsid w:val="005F1869"/>
    <w:rsid w:val="005F36E9"/>
    <w:rsid w:val="005F5DAF"/>
    <w:rsid w:val="005F792F"/>
    <w:rsid w:val="006232BA"/>
    <w:rsid w:val="0062636A"/>
    <w:rsid w:val="00627AA4"/>
    <w:rsid w:val="00633420"/>
    <w:rsid w:val="0063782C"/>
    <w:rsid w:val="00647FB4"/>
    <w:rsid w:val="00653518"/>
    <w:rsid w:val="00660F2A"/>
    <w:rsid w:val="006610F7"/>
    <w:rsid w:val="0066462A"/>
    <w:rsid w:val="006664A5"/>
    <w:rsid w:val="006701C9"/>
    <w:rsid w:val="00671C1B"/>
    <w:rsid w:val="00671DED"/>
    <w:rsid w:val="00672B8B"/>
    <w:rsid w:val="00673CD3"/>
    <w:rsid w:val="00676640"/>
    <w:rsid w:val="0068647F"/>
    <w:rsid w:val="00690B7F"/>
    <w:rsid w:val="00694E68"/>
    <w:rsid w:val="00697FDE"/>
    <w:rsid w:val="006B180B"/>
    <w:rsid w:val="006B5010"/>
    <w:rsid w:val="006B50C3"/>
    <w:rsid w:val="006B7DEB"/>
    <w:rsid w:val="006C1BCC"/>
    <w:rsid w:val="006C22E8"/>
    <w:rsid w:val="006C77D2"/>
    <w:rsid w:val="006D46BA"/>
    <w:rsid w:val="006D4936"/>
    <w:rsid w:val="006D5F30"/>
    <w:rsid w:val="006E058A"/>
    <w:rsid w:val="006E1EC4"/>
    <w:rsid w:val="006E2FDA"/>
    <w:rsid w:val="006F002D"/>
    <w:rsid w:val="006F37DB"/>
    <w:rsid w:val="00703433"/>
    <w:rsid w:val="00703A37"/>
    <w:rsid w:val="00710DAE"/>
    <w:rsid w:val="007129A3"/>
    <w:rsid w:val="00730F3E"/>
    <w:rsid w:val="00731271"/>
    <w:rsid w:val="00734550"/>
    <w:rsid w:val="00734A08"/>
    <w:rsid w:val="00734C91"/>
    <w:rsid w:val="00754732"/>
    <w:rsid w:val="00756B80"/>
    <w:rsid w:val="00761105"/>
    <w:rsid w:val="007633D9"/>
    <w:rsid w:val="007670D5"/>
    <w:rsid w:val="00767AE2"/>
    <w:rsid w:val="00772A61"/>
    <w:rsid w:val="00775385"/>
    <w:rsid w:val="00775523"/>
    <w:rsid w:val="00777F47"/>
    <w:rsid w:val="00780D8E"/>
    <w:rsid w:val="0078666C"/>
    <w:rsid w:val="00786DDD"/>
    <w:rsid w:val="007927A8"/>
    <w:rsid w:val="00797B15"/>
    <w:rsid w:val="007B6C04"/>
    <w:rsid w:val="007B6E4F"/>
    <w:rsid w:val="007B76D7"/>
    <w:rsid w:val="007C36B0"/>
    <w:rsid w:val="007C4369"/>
    <w:rsid w:val="007C575A"/>
    <w:rsid w:val="007C5C0E"/>
    <w:rsid w:val="007D1225"/>
    <w:rsid w:val="007D2748"/>
    <w:rsid w:val="007E0AA5"/>
    <w:rsid w:val="007E0F7C"/>
    <w:rsid w:val="007E1A11"/>
    <w:rsid w:val="007E2CC2"/>
    <w:rsid w:val="007E5E92"/>
    <w:rsid w:val="007F11AB"/>
    <w:rsid w:val="00806624"/>
    <w:rsid w:val="00813B7A"/>
    <w:rsid w:val="00817C3C"/>
    <w:rsid w:val="00821C88"/>
    <w:rsid w:val="008271FD"/>
    <w:rsid w:val="0083076C"/>
    <w:rsid w:val="00837170"/>
    <w:rsid w:val="00841946"/>
    <w:rsid w:val="008603EE"/>
    <w:rsid w:val="0086054D"/>
    <w:rsid w:val="00861D2A"/>
    <w:rsid w:val="0086437C"/>
    <w:rsid w:val="0086735C"/>
    <w:rsid w:val="00871C45"/>
    <w:rsid w:val="00874380"/>
    <w:rsid w:val="00881244"/>
    <w:rsid w:val="00882E4F"/>
    <w:rsid w:val="008945C3"/>
    <w:rsid w:val="008A4DBF"/>
    <w:rsid w:val="008B28A3"/>
    <w:rsid w:val="008B4E2E"/>
    <w:rsid w:val="008B54E2"/>
    <w:rsid w:val="008C365B"/>
    <w:rsid w:val="008D2DC9"/>
    <w:rsid w:val="008D797B"/>
    <w:rsid w:val="008D79F1"/>
    <w:rsid w:val="008E0249"/>
    <w:rsid w:val="008E65C6"/>
    <w:rsid w:val="008F16CF"/>
    <w:rsid w:val="008F7530"/>
    <w:rsid w:val="008F77AC"/>
    <w:rsid w:val="00900BD6"/>
    <w:rsid w:val="00901CF1"/>
    <w:rsid w:val="00904A85"/>
    <w:rsid w:val="00904B35"/>
    <w:rsid w:val="00912D34"/>
    <w:rsid w:val="00913074"/>
    <w:rsid w:val="009131A9"/>
    <w:rsid w:val="009258CF"/>
    <w:rsid w:val="009274C9"/>
    <w:rsid w:val="00941806"/>
    <w:rsid w:val="00942656"/>
    <w:rsid w:val="0094316C"/>
    <w:rsid w:val="00944D4A"/>
    <w:rsid w:val="009569D1"/>
    <w:rsid w:val="00957B50"/>
    <w:rsid w:val="00957FD9"/>
    <w:rsid w:val="00966CAE"/>
    <w:rsid w:val="00971B97"/>
    <w:rsid w:val="0097281B"/>
    <w:rsid w:val="009753AE"/>
    <w:rsid w:val="00975C07"/>
    <w:rsid w:val="0098024B"/>
    <w:rsid w:val="00982970"/>
    <w:rsid w:val="00983115"/>
    <w:rsid w:val="00991121"/>
    <w:rsid w:val="009924DD"/>
    <w:rsid w:val="009B1504"/>
    <w:rsid w:val="009B1F6E"/>
    <w:rsid w:val="009B7149"/>
    <w:rsid w:val="009C1230"/>
    <w:rsid w:val="009C25CD"/>
    <w:rsid w:val="009C362B"/>
    <w:rsid w:val="009C7417"/>
    <w:rsid w:val="009C75FD"/>
    <w:rsid w:val="009D1970"/>
    <w:rsid w:val="009D2590"/>
    <w:rsid w:val="009D4077"/>
    <w:rsid w:val="009D6B9C"/>
    <w:rsid w:val="009E0822"/>
    <w:rsid w:val="009F4442"/>
    <w:rsid w:val="00A023DE"/>
    <w:rsid w:val="00A02853"/>
    <w:rsid w:val="00A06750"/>
    <w:rsid w:val="00A067F0"/>
    <w:rsid w:val="00A06FD2"/>
    <w:rsid w:val="00A120BA"/>
    <w:rsid w:val="00A12DB8"/>
    <w:rsid w:val="00A139F4"/>
    <w:rsid w:val="00A16B39"/>
    <w:rsid w:val="00A258CD"/>
    <w:rsid w:val="00A36A85"/>
    <w:rsid w:val="00A46328"/>
    <w:rsid w:val="00A62846"/>
    <w:rsid w:val="00A64CF7"/>
    <w:rsid w:val="00A66A75"/>
    <w:rsid w:val="00A718B7"/>
    <w:rsid w:val="00A77330"/>
    <w:rsid w:val="00A83CC8"/>
    <w:rsid w:val="00A85E7A"/>
    <w:rsid w:val="00A946D1"/>
    <w:rsid w:val="00A948E3"/>
    <w:rsid w:val="00AA130E"/>
    <w:rsid w:val="00AA2D29"/>
    <w:rsid w:val="00AA646A"/>
    <w:rsid w:val="00AB0D13"/>
    <w:rsid w:val="00AB6310"/>
    <w:rsid w:val="00AC0ED4"/>
    <w:rsid w:val="00AC2340"/>
    <w:rsid w:val="00AC55C7"/>
    <w:rsid w:val="00AC5E7A"/>
    <w:rsid w:val="00AD2EBA"/>
    <w:rsid w:val="00AD4AC8"/>
    <w:rsid w:val="00AD7182"/>
    <w:rsid w:val="00AD769D"/>
    <w:rsid w:val="00AD7CDC"/>
    <w:rsid w:val="00AE2577"/>
    <w:rsid w:val="00AE42C5"/>
    <w:rsid w:val="00AF1D6B"/>
    <w:rsid w:val="00B061A4"/>
    <w:rsid w:val="00B074B6"/>
    <w:rsid w:val="00B10E95"/>
    <w:rsid w:val="00B149D8"/>
    <w:rsid w:val="00B16FDA"/>
    <w:rsid w:val="00B21A87"/>
    <w:rsid w:val="00B25C61"/>
    <w:rsid w:val="00B25D3D"/>
    <w:rsid w:val="00B326EA"/>
    <w:rsid w:val="00B34B77"/>
    <w:rsid w:val="00B35DBB"/>
    <w:rsid w:val="00B36852"/>
    <w:rsid w:val="00B37C66"/>
    <w:rsid w:val="00B401D8"/>
    <w:rsid w:val="00B40504"/>
    <w:rsid w:val="00B46BD7"/>
    <w:rsid w:val="00B518E8"/>
    <w:rsid w:val="00B616D0"/>
    <w:rsid w:val="00B628F4"/>
    <w:rsid w:val="00B63BBD"/>
    <w:rsid w:val="00B64DD2"/>
    <w:rsid w:val="00B73156"/>
    <w:rsid w:val="00B75168"/>
    <w:rsid w:val="00B75F20"/>
    <w:rsid w:val="00B82373"/>
    <w:rsid w:val="00B932E7"/>
    <w:rsid w:val="00B9396F"/>
    <w:rsid w:val="00B944E4"/>
    <w:rsid w:val="00B9692C"/>
    <w:rsid w:val="00BB0C06"/>
    <w:rsid w:val="00BB4676"/>
    <w:rsid w:val="00BB5E6E"/>
    <w:rsid w:val="00BC1289"/>
    <w:rsid w:val="00BC2B01"/>
    <w:rsid w:val="00BE49BA"/>
    <w:rsid w:val="00BE65E0"/>
    <w:rsid w:val="00BE74DE"/>
    <w:rsid w:val="00BF02F9"/>
    <w:rsid w:val="00BF2FB6"/>
    <w:rsid w:val="00BF4F1E"/>
    <w:rsid w:val="00BF76A5"/>
    <w:rsid w:val="00C00154"/>
    <w:rsid w:val="00C01618"/>
    <w:rsid w:val="00C0218D"/>
    <w:rsid w:val="00C06A51"/>
    <w:rsid w:val="00C1394E"/>
    <w:rsid w:val="00C22527"/>
    <w:rsid w:val="00C31804"/>
    <w:rsid w:val="00C31C42"/>
    <w:rsid w:val="00C34D75"/>
    <w:rsid w:val="00C357F1"/>
    <w:rsid w:val="00C3581F"/>
    <w:rsid w:val="00C40A83"/>
    <w:rsid w:val="00C51EED"/>
    <w:rsid w:val="00C53C18"/>
    <w:rsid w:val="00C645D6"/>
    <w:rsid w:val="00C6737B"/>
    <w:rsid w:val="00C730E9"/>
    <w:rsid w:val="00C814A2"/>
    <w:rsid w:val="00C81EEA"/>
    <w:rsid w:val="00C84AE0"/>
    <w:rsid w:val="00C948B7"/>
    <w:rsid w:val="00C965E0"/>
    <w:rsid w:val="00CA07BE"/>
    <w:rsid w:val="00CA362F"/>
    <w:rsid w:val="00CA4F48"/>
    <w:rsid w:val="00CA5B13"/>
    <w:rsid w:val="00CB3197"/>
    <w:rsid w:val="00CB3561"/>
    <w:rsid w:val="00CB4ECE"/>
    <w:rsid w:val="00CB788F"/>
    <w:rsid w:val="00CC3A41"/>
    <w:rsid w:val="00CC62DE"/>
    <w:rsid w:val="00CD59D8"/>
    <w:rsid w:val="00CD6CF8"/>
    <w:rsid w:val="00CE4331"/>
    <w:rsid w:val="00CF07A5"/>
    <w:rsid w:val="00CF2679"/>
    <w:rsid w:val="00CF7758"/>
    <w:rsid w:val="00D013B0"/>
    <w:rsid w:val="00D01D36"/>
    <w:rsid w:val="00D04ABA"/>
    <w:rsid w:val="00D07679"/>
    <w:rsid w:val="00D1080E"/>
    <w:rsid w:val="00D10E39"/>
    <w:rsid w:val="00D10FE2"/>
    <w:rsid w:val="00D221BD"/>
    <w:rsid w:val="00D23193"/>
    <w:rsid w:val="00D27EF2"/>
    <w:rsid w:val="00D33351"/>
    <w:rsid w:val="00D41E29"/>
    <w:rsid w:val="00D421F6"/>
    <w:rsid w:val="00D42462"/>
    <w:rsid w:val="00D4427B"/>
    <w:rsid w:val="00D45E3C"/>
    <w:rsid w:val="00D47DDA"/>
    <w:rsid w:val="00D51FCE"/>
    <w:rsid w:val="00D5651B"/>
    <w:rsid w:val="00D737EA"/>
    <w:rsid w:val="00D7493F"/>
    <w:rsid w:val="00D75919"/>
    <w:rsid w:val="00D87243"/>
    <w:rsid w:val="00D87982"/>
    <w:rsid w:val="00D91B2B"/>
    <w:rsid w:val="00D93A42"/>
    <w:rsid w:val="00DA3DBC"/>
    <w:rsid w:val="00DA65F9"/>
    <w:rsid w:val="00DA7595"/>
    <w:rsid w:val="00DA7921"/>
    <w:rsid w:val="00DB0AF0"/>
    <w:rsid w:val="00DB3BB0"/>
    <w:rsid w:val="00DD3A0B"/>
    <w:rsid w:val="00DD4239"/>
    <w:rsid w:val="00DD4782"/>
    <w:rsid w:val="00DE2068"/>
    <w:rsid w:val="00DE4949"/>
    <w:rsid w:val="00DE4CA4"/>
    <w:rsid w:val="00DE5671"/>
    <w:rsid w:val="00DE7352"/>
    <w:rsid w:val="00DF021E"/>
    <w:rsid w:val="00DF5AB1"/>
    <w:rsid w:val="00DF7B16"/>
    <w:rsid w:val="00E010B7"/>
    <w:rsid w:val="00E054BB"/>
    <w:rsid w:val="00E05F24"/>
    <w:rsid w:val="00E077D7"/>
    <w:rsid w:val="00E1023C"/>
    <w:rsid w:val="00E10B19"/>
    <w:rsid w:val="00E3202D"/>
    <w:rsid w:val="00E33393"/>
    <w:rsid w:val="00E337FC"/>
    <w:rsid w:val="00E3468C"/>
    <w:rsid w:val="00E40FFE"/>
    <w:rsid w:val="00E43510"/>
    <w:rsid w:val="00E51D47"/>
    <w:rsid w:val="00E54EAE"/>
    <w:rsid w:val="00E55710"/>
    <w:rsid w:val="00E568F0"/>
    <w:rsid w:val="00E67287"/>
    <w:rsid w:val="00E8682F"/>
    <w:rsid w:val="00E92D15"/>
    <w:rsid w:val="00E96836"/>
    <w:rsid w:val="00EA5091"/>
    <w:rsid w:val="00EB18EF"/>
    <w:rsid w:val="00EB4677"/>
    <w:rsid w:val="00EC39DF"/>
    <w:rsid w:val="00EC4700"/>
    <w:rsid w:val="00EC5469"/>
    <w:rsid w:val="00EC6F16"/>
    <w:rsid w:val="00EE091A"/>
    <w:rsid w:val="00EE0CA3"/>
    <w:rsid w:val="00EE200B"/>
    <w:rsid w:val="00EE3B56"/>
    <w:rsid w:val="00EE4331"/>
    <w:rsid w:val="00EE4647"/>
    <w:rsid w:val="00EE69A6"/>
    <w:rsid w:val="00EF0BD7"/>
    <w:rsid w:val="00EF7251"/>
    <w:rsid w:val="00F0241F"/>
    <w:rsid w:val="00F02DE5"/>
    <w:rsid w:val="00F0685C"/>
    <w:rsid w:val="00F14366"/>
    <w:rsid w:val="00F146D8"/>
    <w:rsid w:val="00F244E0"/>
    <w:rsid w:val="00F2488A"/>
    <w:rsid w:val="00F27816"/>
    <w:rsid w:val="00F30C06"/>
    <w:rsid w:val="00F33330"/>
    <w:rsid w:val="00F3711B"/>
    <w:rsid w:val="00F40081"/>
    <w:rsid w:val="00F443FE"/>
    <w:rsid w:val="00F52566"/>
    <w:rsid w:val="00F5287D"/>
    <w:rsid w:val="00F53AF0"/>
    <w:rsid w:val="00F55A93"/>
    <w:rsid w:val="00F613EB"/>
    <w:rsid w:val="00F61AC4"/>
    <w:rsid w:val="00F61F2B"/>
    <w:rsid w:val="00F62197"/>
    <w:rsid w:val="00F63432"/>
    <w:rsid w:val="00F705E3"/>
    <w:rsid w:val="00F72CE7"/>
    <w:rsid w:val="00F77742"/>
    <w:rsid w:val="00F8670B"/>
    <w:rsid w:val="00F909A3"/>
    <w:rsid w:val="00FA0BCE"/>
    <w:rsid w:val="00FA18B0"/>
    <w:rsid w:val="00FA71B7"/>
    <w:rsid w:val="00FB11CA"/>
    <w:rsid w:val="00FB19B1"/>
    <w:rsid w:val="00FB3B6F"/>
    <w:rsid w:val="00FB4832"/>
    <w:rsid w:val="00FD0ABB"/>
    <w:rsid w:val="00FD17B6"/>
    <w:rsid w:val="00FD4E6B"/>
    <w:rsid w:val="00FF1F66"/>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rFonts w:ascii="Technical" w:hAnsi="Technical"/>
      <w:color w:val="0000FF"/>
      <w:kern w:val="28"/>
      <w:sz w:val="36"/>
      <w:u w:val="single"/>
    </w:rPr>
  </w:style>
  <w:style w:type="paragraph" w:styleId="Heading2">
    <w:name w:val="heading 2"/>
    <w:aliases w:val="H2-Sec. Head"/>
    <w:basedOn w:val="Normal"/>
    <w:next w:val="Normal"/>
    <w:link w:val="Heading2Char"/>
    <w:qFormat/>
    <w:pPr>
      <w:keepNext/>
      <w:outlineLvl w:val="1"/>
    </w:pPr>
    <w:rPr>
      <w:rFonts w:ascii="Arial" w:hAnsi="Arial"/>
      <w:b/>
      <w:color w:val="0000FF"/>
      <w:sz w:val="24"/>
    </w:rPr>
  </w:style>
  <w:style w:type="paragraph" w:styleId="Heading3">
    <w:name w:val="heading 3"/>
    <w:aliases w:val="H3-Sec. Head"/>
    <w:basedOn w:val="Normal"/>
    <w:next w:val="Normal"/>
    <w:link w:val="Heading3Char"/>
    <w:unhideWhenUsed/>
    <w:qFormat/>
    <w:rsid w:val="0050102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ims">
    <w:name w:val="jims"/>
    <w:basedOn w:val="Normal"/>
    <w:pPr>
      <w:spacing w:line="280" w:lineRule="atLeast"/>
    </w:pPr>
    <w:rPr>
      <w:rFonts w:ascii="Courier New" w:hAnsi="Courier New"/>
    </w:rPr>
  </w:style>
  <w:style w:type="paragraph" w:customStyle="1" w:styleId="DoubleIndentParagraph">
    <w:name w:val="DoubleIndentParagraph"/>
    <w:basedOn w:val="jims"/>
    <w:pPr>
      <w:spacing w:line="240" w:lineRule="auto"/>
      <w:ind w:left="720" w:right="720"/>
    </w:pPr>
    <w:rPr>
      <w:rFonts w:ascii="Arial" w:hAnsi="Arial"/>
    </w:rPr>
  </w:style>
  <w:style w:type="paragraph" w:styleId="FootnoteText">
    <w:name w:val="footnote text"/>
    <w:basedOn w:val="Normal"/>
    <w:link w:val="FootnoteTextChar"/>
    <w:uiPriority w:val="99"/>
    <w:semiHidden/>
    <w:rPr>
      <w:rFonts w:ascii="Courier New" w:hAnsi="Courier New"/>
    </w:rPr>
  </w:style>
  <w:style w:type="paragraph" w:styleId="ListParagraph">
    <w:name w:val="List Paragraph"/>
    <w:basedOn w:val="Normal"/>
    <w:uiPriority w:val="34"/>
    <w:qFormat/>
    <w:rsid w:val="002E1389"/>
    <w:pPr>
      <w:ind w:left="720"/>
    </w:pPr>
    <w:rPr>
      <w:rFonts w:ascii="Calibri" w:eastAsia="Calibri" w:hAnsi="Calibri"/>
      <w:sz w:val="22"/>
      <w:szCs w:val="22"/>
    </w:rPr>
  </w:style>
  <w:style w:type="character" w:customStyle="1" w:styleId="L1-FlLSp12Char">
    <w:name w:val="L1-FlL Sp&amp;1/2 Char"/>
    <w:link w:val="L1-FlLSp12"/>
    <w:locked/>
    <w:rsid w:val="002E1389"/>
    <w:rPr>
      <w:rFonts w:ascii="Garamond" w:hAnsi="Garamond"/>
      <w:lang w:eastAsia="x-none"/>
    </w:rPr>
  </w:style>
  <w:style w:type="paragraph" w:customStyle="1" w:styleId="L1-FlLSp12">
    <w:name w:val="L1-FlL Sp&amp;1/2"/>
    <w:basedOn w:val="Normal"/>
    <w:link w:val="L1-FlLSp12Char"/>
    <w:rsid w:val="002E1389"/>
    <w:pPr>
      <w:spacing w:line="360" w:lineRule="atLeast"/>
    </w:pPr>
    <w:rPr>
      <w:rFonts w:ascii="Garamond" w:hAnsi="Garamond"/>
      <w:lang w:eastAsia="x-none"/>
    </w:rPr>
  </w:style>
  <w:style w:type="paragraph" w:customStyle="1" w:styleId="TX-TableText">
    <w:name w:val="TX-Table Text"/>
    <w:basedOn w:val="Normal"/>
    <w:rsid w:val="002E1389"/>
    <w:pPr>
      <w:spacing w:line="240" w:lineRule="atLeast"/>
    </w:pPr>
    <w:rPr>
      <w:rFonts w:ascii="Franklin Gothic Medium" w:eastAsia="Calibri" w:hAnsi="Franklin Gothic Medium"/>
    </w:rPr>
  </w:style>
  <w:style w:type="paragraph" w:styleId="BalloonText">
    <w:name w:val="Balloon Text"/>
    <w:basedOn w:val="Normal"/>
    <w:link w:val="BalloonTextChar"/>
    <w:uiPriority w:val="99"/>
    <w:rsid w:val="00671DED"/>
    <w:rPr>
      <w:rFonts w:ascii="Tahoma" w:hAnsi="Tahoma" w:cs="Tahoma"/>
      <w:sz w:val="16"/>
      <w:szCs w:val="16"/>
    </w:rPr>
  </w:style>
  <w:style w:type="character" w:customStyle="1" w:styleId="BalloonTextChar">
    <w:name w:val="Balloon Text Char"/>
    <w:link w:val="BalloonText"/>
    <w:uiPriority w:val="99"/>
    <w:rsid w:val="00671DED"/>
    <w:rPr>
      <w:rFonts w:ascii="Tahoma" w:hAnsi="Tahoma" w:cs="Tahoma"/>
      <w:sz w:val="16"/>
      <w:szCs w:val="16"/>
    </w:rPr>
  </w:style>
  <w:style w:type="paragraph" w:styleId="Header">
    <w:name w:val="header"/>
    <w:basedOn w:val="Normal"/>
    <w:link w:val="HeaderChar"/>
    <w:uiPriority w:val="99"/>
    <w:rsid w:val="00051AE1"/>
    <w:pPr>
      <w:tabs>
        <w:tab w:val="center" w:pos="4680"/>
        <w:tab w:val="right" w:pos="9360"/>
      </w:tabs>
    </w:pPr>
  </w:style>
  <w:style w:type="character" w:customStyle="1" w:styleId="HeaderChar">
    <w:name w:val="Header Char"/>
    <w:basedOn w:val="DefaultParagraphFont"/>
    <w:link w:val="Header"/>
    <w:uiPriority w:val="99"/>
    <w:rsid w:val="00051AE1"/>
  </w:style>
  <w:style w:type="paragraph" w:styleId="Footer">
    <w:name w:val="footer"/>
    <w:basedOn w:val="Normal"/>
    <w:link w:val="FooterChar"/>
    <w:uiPriority w:val="99"/>
    <w:rsid w:val="00051AE1"/>
    <w:pPr>
      <w:tabs>
        <w:tab w:val="center" w:pos="4680"/>
        <w:tab w:val="right" w:pos="9360"/>
      </w:tabs>
    </w:pPr>
  </w:style>
  <w:style w:type="character" w:customStyle="1" w:styleId="FooterChar">
    <w:name w:val="Footer Char"/>
    <w:basedOn w:val="DefaultParagraphFont"/>
    <w:link w:val="Footer"/>
    <w:uiPriority w:val="99"/>
    <w:rsid w:val="00051AE1"/>
  </w:style>
  <w:style w:type="character" w:styleId="CommentReference">
    <w:name w:val="annotation reference"/>
    <w:basedOn w:val="DefaultParagraphFont"/>
    <w:uiPriority w:val="99"/>
    <w:rsid w:val="00874380"/>
    <w:rPr>
      <w:sz w:val="16"/>
      <w:szCs w:val="16"/>
    </w:rPr>
  </w:style>
  <w:style w:type="paragraph" w:styleId="CommentText">
    <w:name w:val="annotation text"/>
    <w:basedOn w:val="Normal"/>
    <w:link w:val="CommentTextChar"/>
    <w:uiPriority w:val="99"/>
    <w:rsid w:val="00874380"/>
  </w:style>
  <w:style w:type="character" w:customStyle="1" w:styleId="CommentTextChar">
    <w:name w:val="Comment Text Char"/>
    <w:basedOn w:val="DefaultParagraphFont"/>
    <w:link w:val="CommentText"/>
    <w:uiPriority w:val="99"/>
    <w:rsid w:val="00874380"/>
  </w:style>
  <w:style w:type="paragraph" w:styleId="CommentSubject">
    <w:name w:val="annotation subject"/>
    <w:basedOn w:val="CommentText"/>
    <w:next w:val="CommentText"/>
    <w:link w:val="CommentSubjectChar"/>
    <w:uiPriority w:val="99"/>
    <w:rsid w:val="00874380"/>
    <w:rPr>
      <w:b/>
      <w:bCs/>
    </w:rPr>
  </w:style>
  <w:style w:type="character" w:customStyle="1" w:styleId="CommentSubjectChar">
    <w:name w:val="Comment Subject Char"/>
    <w:basedOn w:val="CommentTextChar"/>
    <w:link w:val="CommentSubject"/>
    <w:uiPriority w:val="99"/>
    <w:rsid w:val="00874380"/>
    <w:rPr>
      <w:b/>
      <w:bCs/>
    </w:rPr>
  </w:style>
  <w:style w:type="table" w:styleId="TableGrid">
    <w:name w:val="Table Grid"/>
    <w:basedOn w:val="TableNormal"/>
    <w:uiPriority w:val="59"/>
    <w:rsid w:val="0023669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7758"/>
    <w:rPr>
      <w:color w:val="0000FF" w:themeColor="hyperlink"/>
      <w:u w:val="single"/>
    </w:rPr>
  </w:style>
  <w:style w:type="character" w:styleId="FootnoteReference">
    <w:name w:val="footnote reference"/>
    <w:basedOn w:val="DefaultParagraphFont"/>
    <w:uiPriority w:val="99"/>
    <w:unhideWhenUsed/>
    <w:rsid w:val="00C31804"/>
    <w:rPr>
      <w:vertAlign w:val="superscript"/>
    </w:rPr>
  </w:style>
  <w:style w:type="character" w:customStyle="1" w:styleId="FootnoteTextChar">
    <w:name w:val="Footnote Text Char"/>
    <w:basedOn w:val="DefaultParagraphFont"/>
    <w:link w:val="FootnoteText"/>
    <w:uiPriority w:val="99"/>
    <w:semiHidden/>
    <w:rsid w:val="00C31804"/>
    <w:rPr>
      <w:rFonts w:ascii="Courier New" w:hAnsi="Courier New"/>
    </w:rPr>
  </w:style>
  <w:style w:type="character" w:customStyle="1" w:styleId="Heading3Char">
    <w:name w:val="Heading 3 Char"/>
    <w:aliases w:val="H3-Sec. Head Char"/>
    <w:basedOn w:val="DefaultParagraphFont"/>
    <w:link w:val="Heading3"/>
    <w:rsid w:val="0050102D"/>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50102D"/>
  </w:style>
  <w:style w:type="character" w:customStyle="1" w:styleId="Heading2Char">
    <w:name w:val="Heading 2 Char"/>
    <w:aliases w:val="H2-Sec. Head Char"/>
    <w:basedOn w:val="DefaultParagraphFont"/>
    <w:link w:val="Heading2"/>
    <w:rsid w:val="0050102D"/>
    <w:rPr>
      <w:rFonts w:ascii="Arial" w:hAnsi="Arial"/>
      <w:b/>
      <w:color w:val="0000FF"/>
      <w:sz w:val="24"/>
    </w:rPr>
  </w:style>
  <w:style w:type="paragraph" w:customStyle="1" w:styleId="PN3">
    <w:name w:val="PN3"/>
    <w:basedOn w:val="Normal"/>
    <w:link w:val="PN3Char"/>
    <w:autoRedefine/>
    <w:qFormat/>
    <w:rsid w:val="0050102D"/>
    <w:pPr>
      <w:spacing w:before="20" w:after="20"/>
    </w:pPr>
    <w:rPr>
      <w:rFonts w:ascii="Arial" w:hAnsi="Arial" w:cs="Arial"/>
    </w:rPr>
  </w:style>
  <w:style w:type="paragraph" w:customStyle="1" w:styleId="PN5">
    <w:name w:val="PN5"/>
    <w:basedOn w:val="PN3"/>
    <w:autoRedefine/>
    <w:qFormat/>
    <w:rsid w:val="0050102D"/>
    <w:pPr>
      <w:contextualSpacing/>
      <w:jc w:val="center"/>
    </w:pPr>
    <w:rPr>
      <w:caps/>
    </w:rPr>
  </w:style>
  <w:style w:type="paragraph" w:customStyle="1" w:styleId="PN4">
    <w:name w:val="PN4"/>
    <w:basedOn w:val="Normal"/>
    <w:link w:val="PN4Char"/>
    <w:autoRedefine/>
    <w:qFormat/>
    <w:rsid w:val="0050102D"/>
    <w:pPr>
      <w:spacing w:before="100" w:after="40" w:line="276" w:lineRule="auto"/>
      <w:contextualSpacing/>
    </w:pPr>
    <w:rPr>
      <w:rFonts w:ascii="Arial" w:eastAsiaTheme="minorEastAsia" w:hAnsi="Arial" w:cs="Arial"/>
      <w:bCs/>
      <w:szCs w:val="16"/>
      <w:lang w:val="en-CA"/>
    </w:rPr>
  </w:style>
  <w:style w:type="character" w:customStyle="1" w:styleId="PN3Char">
    <w:name w:val="PN3 Char"/>
    <w:basedOn w:val="DefaultParagraphFont"/>
    <w:link w:val="PN3"/>
    <w:rsid w:val="0050102D"/>
    <w:rPr>
      <w:rFonts w:ascii="Arial" w:hAnsi="Arial" w:cs="Arial"/>
    </w:rPr>
  </w:style>
  <w:style w:type="character" w:customStyle="1" w:styleId="PN4Char">
    <w:name w:val="PN4 Char"/>
    <w:basedOn w:val="PN3Char"/>
    <w:link w:val="PN4"/>
    <w:rsid w:val="0050102D"/>
    <w:rPr>
      <w:rFonts w:ascii="Arial" w:eastAsiaTheme="minorEastAsia" w:hAnsi="Arial" w:cs="Arial"/>
      <w:bCs/>
      <w:szCs w:val="16"/>
      <w:lang w:val="en-CA"/>
    </w:rPr>
  </w:style>
  <w:style w:type="character" w:customStyle="1" w:styleId="Heading1Char">
    <w:name w:val="Heading 1 Char"/>
    <w:basedOn w:val="DefaultParagraphFont"/>
    <w:link w:val="Heading1"/>
    <w:uiPriority w:val="9"/>
    <w:rsid w:val="0050102D"/>
    <w:rPr>
      <w:rFonts w:ascii="Technical" w:hAnsi="Technical"/>
      <w:color w:val="0000FF"/>
      <w:kern w:val="28"/>
      <w:sz w:val="36"/>
      <w:u w:val="single"/>
    </w:rPr>
  </w:style>
  <w:style w:type="table" w:customStyle="1" w:styleId="TableGrid1">
    <w:name w:val="Table Grid1"/>
    <w:basedOn w:val="TableNormal"/>
    <w:next w:val="TableGrid"/>
    <w:uiPriority w:val="59"/>
    <w:rsid w:val="00501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B0D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rFonts w:ascii="Technical" w:hAnsi="Technical"/>
      <w:color w:val="0000FF"/>
      <w:kern w:val="28"/>
      <w:sz w:val="36"/>
      <w:u w:val="single"/>
    </w:rPr>
  </w:style>
  <w:style w:type="paragraph" w:styleId="Heading2">
    <w:name w:val="heading 2"/>
    <w:aliases w:val="H2-Sec. Head"/>
    <w:basedOn w:val="Normal"/>
    <w:next w:val="Normal"/>
    <w:link w:val="Heading2Char"/>
    <w:qFormat/>
    <w:pPr>
      <w:keepNext/>
      <w:outlineLvl w:val="1"/>
    </w:pPr>
    <w:rPr>
      <w:rFonts w:ascii="Arial" w:hAnsi="Arial"/>
      <w:b/>
      <w:color w:val="0000FF"/>
      <w:sz w:val="24"/>
    </w:rPr>
  </w:style>
  <w:style w:type="paragraph" w:styleId="Heading3">
    <w:name w:val="heading 3"/>
    <w:aliases w:val="H3-Sec. Head"/>
    <w:basedOn w:val="Normal"/>
    <w:next w:val="Normal"/>
    <w:link w:val="Heading3Char"/>
    <w:unhideWhenUsed/>
    <w:qFormat/>
    <w:rsid w:val="0050102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ims">
    <w:name w:val="jims"/>
    <w:basedOn w:val="Normal"/>
    <w:pPr>
      <w:spacing w:line="280" w:lineRule="atLeast"/>
    </w:pPr>
    <w:rPr>
      <w:rFonts w:ascii="Courier New" w:hAnsi="Courier New"/>
    </w:rPr>
  </w:style>
  <w:style w:type="paragraph" w:customStyle="1" w:styleId="DoubleIndentParagraph">
    <w:name w:val="DoubleIndentParagraph"/>
    <w:basedOn w:val="jims"/>
    <w:pPr>
      <w:spacing w:line="240" w:lineRule="auto"/>
      <w:ind w:left="720" w:right="720"/>
    </w:pPr>
    <w:rPr>
      <w:rFonts w:ascii="Arial" w:hAnsi="Arial"/>
    </w:rPr>
  </w:style>
  <w:style w:type="paragraph" w:styleId="FootnoteText">
    <w:name w:val="footnote text"/>
    <w:basedOn w:val="Normal"/>
    <w:link w:val="FootnoteTextChar"/>
    <w:uiPriority w:val="99"/>
    <w:semiHidden/>
    <w:rPr>
      <w:rFonts w:ascii="Courier New" w:hAnsi="Courier New"/>
    </w:rPr>
  </w:style>
  <w:style w:type="paragraph" w:styleId="ListParagraph">
    <w:name w:val="List Paragraph"/>
    <w:basedOn w:val="Normal"/>
    <w:uiPriority w:val="34"/>
    <w:qFormat/>
    <w:rsid w:val="002E1389"/>
    <w:pPr>
      <w:ind w:left="720"/>
    </w:pPr>
    <w:rPr>
      <w:rFonts w:ascii="Calibri" w:eastAsia="Calibri" w:hAnsi="Calibri"/>
      <w:sz w:val="22"/>
      <w:szCs w:val="22"/>
    </w:rPr>
  </w:style>
  <w:style w:type="character" w:customStyle="1" w:styleId="L1-FlLSp12Char">
    <w:name w:val="L1-FlL Sp&amp;1/2 Char"/>
    <w:link w:val="L1-FlLSp12"/>
    <w:locked/>
    <w:rsid w:val="002E1389"/>
    <w:rPr>
      <w:rFonts w:ascii="Garamond" w:hAnsi="Garamond"/>
      <w:lang w:eastAsia="x-none"/>
    </w:rPr>
  </w:style>
  <w:style w:type="paragraph" w:customStyle="1" w:styleId="L1-FlLSp12">
    <w:name w:val="L1-FlL Sp&amp;1/2"/>
    <w:basedOn w:val="Normal"/>
    <w:link w:val="L1-FlLSp12Char"/>
    <w:rsid w:val="002E1389"/>
    <w:pPr>
      <w:spacing w:line="360" w:lineRule="atLeast"/>
    </w:pPr>
    <w:rPr>
      <w:rFonts w:ascii="Garamond" w:hAnsi="Garamond"/>
      <w:lang w:eastAsia="x-none"/>
    </w:rPr>
  </w:style>
  <w:style w:type="paragraph" w:customStyle="1" w:styleId="TX-TableText">
    <w:name w:val="TX-Table Text"/>
    <w:basedOn w:val="Normal"/>
    <w:rsid w:val="002E1389"/>
    <w:pPr>
      <w:spacing w:line="240" w:lineRule="atLeast"/>
    </w:pPr>
    <w:rPr>
      <w:rFonts w:ascii="Franklin Gothic Medium" w:eastAsia="Calibri" w:hAnsi="Franklin Gothic Medium"/>
    </w:rPr>
  </w:style>
  <w:style w:type="paragraph" w:styleId="BalloonText">
    <w:name w:val="Balloon Text"/>
    <w:basedOn w:val="Normal"/>
    <w:link w:val="BalloonTextChar"/>
    <w:uiPriority w:val="99"/>
    <w:rsid w:val="00671DED"/>
    <w:rPr>
      <w:rFonts w:ascii="Tahoma" w:hAnsi="Tahoma" w:cs="Tahoma"/>
      <w:sz w:val="16"/>
      <w:szCs w:val="16"/>
    </w:rPr>
  </w:style>
  <w:style w:type="character" w:customStyle="1" w:styleId="BalloonTextChar">
    <w:name w:val="Balloon Text Char"/>
    <w:link w:val="BalloonText"/>
    <w:uiPriority w:val="99"/>
    <w:rsid w:val="00671DED"/>
    <w:rPr>
      <w:rFonts w:ascii="Tahoma" w:hAnsi="Tahoma" w:cs="Tahoma"/>
      <w:sz w:val="16"/>
      <w:szCs w:val="16"/>
    </w:rPr>
  </w:style>
  <w:style w:type="paragraph" w:styleId="Header">
    <w:name w:val="header"/>
    <w:basedOn w:val="Normal"/>
    <w:link w:val="HeaderChar"/>
    <w:uiPriority w:val="99"/>
    <w:rsid w:val="00051AE1"/>
    <w:pPr>
      <w:tabs>
        <w:tab w:val="center" w:pos="4680"/>
        <w:tab w:val="right" w:pos="9360"/>
      </w:tabs>
    </w:pPr>
  </w:style>
  <w:style w:type="character" w:customStyle="1" w:styleId="HeaderChar">
    <w:name w:val="Header Char"/>
    <w:basedOn w:val="DefaultParagraphFont"/>
    <w:link w:val="Header"/>
    <w:uiPriority w:val="99"/>
    <w:rsid w:val="00051AE1"/>
  </w:style>
  <w:style w:type="paragraph" w:styleId="Footer">
    <w:name w:val="footer"/>
    <w:basedOn w:val="Normal"/>
    <w:link w:val="FooterChar"/>
    <w:uiPriority w:val="99"/>
    <w:rsid w:val="00051AE1"/>
    <w:pPr>
      <w:tabs>
        <w:tab w:val="center" w:pos="4680"/>
        <w:tab w:val="right" w:pos="9360"/>
      </w:tabs>
    </w:pPr>
  </w:style>
  <w:style w:type="character" w:customStyle="1" w:styleId="FooterChar">
    <w:name w:val="Footer Char"/>
    <w:basedOn w:val="DefaultParagraphFont"/>
    <w:link w:val="Footer"/>
    <w:uiPriority w:val="99"/>
    <w:rsid w:val="00051AE1"/>
  </w:style>
  <w:style w:type="character" w:styleId="CommentReference">
    <w:name w:val="annotation reference"/>
    <w:basedOn w:val="DefaultParagraphFont"/>
    <w:uiPriority w:val="99"/>
    <w:rsid w:val="00874380"/>
    <w:rPr>
      <w:sz w:val="16"/>
      <w:szCs w:val="16"/>
    </w:rPr>
  </w:style>
  <w:style w:type="paragraph" w:styleId="CommentText">
    <w:name w:val="annotation text"/>
    <w:basedOn w:val="Normal"/>
    <w:link w:val="CommentTextChar"/>
    <w:uiPriority w:val="99"/>
    <w:rsid w:val="00874380"/>
  </w:style>
  <w:style w:type="character" w:customStyle="1" w:styleId="CommentTextChar">
    <w:name w:val="Comment Text Char"/>
    <w:basedOn w:val="DefaultParagraphFont"/>
    <w:link w:val="CommentText"/>
    <w:uiPriority w:val="99"/>
    <w:rsid w:val="00874380"/>
  </w:style>
  <w:style w:type="paragraph" w:styleId="CommentSubject">
    <w:name w:val="annotation subject"/>
    <w:basedOn w:val="CommentText"/>
    <w:next w:val="CommentText"/>
    <w:link w:val="CommentSubjectChar"/>
    <w:uiPriority w:val="99"/>
    <w:rsid w:val="00874380"/>
    <w:rPr>
      <w:b/>
      <w:bCs/>
    </w:rPr>
  </w:style>
  <w:style w:type="character" w:customStyle="1" w:styleId="CommentSubjectChar">
    <w:name w:val="Comment Subject Char"/>
    <w:basedOn w:val="CommentTextChar"/>
    <w:link w:val="CommentSubject"/>
    <w:uiPriority w:val="99"/>
    <w:rsid w:val="00874380"/>
    <w:rPr>
      <w:b/>
      <w:bCs/>
    </w:rPr>
  </w:style>
  <w:style w:type="table" w:styleId="TableGrid">
    <w:name w:val="Table Grid"/>
    <w:basedOn w:val="TableNormal"/>
    <w:uiPriority w:val="59"/>
    <w:rsid w:val="0023669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7758"/>
    <w:rPr>
      <w:color w:val="0000FF" w:themeColor="hyperlink"/>
      <w:u w:val="single"/>
    </w:rPr>
  </w:style>
  <w:style w:type="character" w:styleId="FootnoteReference">
    <w:name w:val="footnote reference"/>
    <w:basedOn w:val="DefaultParagraphFont"/>
    <w:uiPriority w:val="99"/>
    <w:unhideWhenUsed/>
    <w:rsid w:val="00C31804"/>
    <w:rPr>
      <w:vertAlign w:val="superscript"/>
    </w:rPr>
  </w:style>
  <w:style w:type="character" w:customStyle="1" w:styleId="FootnoteTextChar">
    <w:name w:val="Footnote Text Char"/>
    <w:basedOn w:val="DefaultParagraphFont"/>
    <w:link w:val="FootnoteText"/>
    <w:uiPriority w:val="99"/>
    <w:semiHidden/>
    <w:rsid w:val="00C31804"/>
    <w:rPr>
      <w:rFonts w:ascii="Courier New" w:hAnsi="Courier New"/>
    </w:rPr>
  </w:style>
  <w:style w:type="character" w:customStyle="1" w:styleId="Heading3Char">
    <w:name w:val="Heading 3 Char"/>
    <w:aliases w:val="H3-Sec. Head Char"/>
    <w:basedOn w:val="DefaultParagraphFont"/>
    <w:link w:val="Heading3"/>
    <w:rsid w:val="0050102D"/>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50102D"/>
  </w:style>
  <w:style w:type="character" w:customStyle="1" w:styleId="Heading2Char">
    <w:name w:val="Heading 2 Char"/>
    <w:aliases w:val="H2-Sec. Head Char"/>
    <w:basedOn w:val="DefaultParagraphFont"/>
    <w:link w:val="Heading2"/>
    <w:rsid w:val="0050102D"/>
    <w:rPr>
      <w:rFonts w:ascii="Arial" w:hAnsi="Arial"/>
      <w:b/>
      <w:color w:val="0000FF"/>
      <w:sz w:val="24"/>
    </w:rPr>
  </w:style>
  <w:style w:type="paragraph" w:customStyle="1" w:styleId="PN3">
    <w:name w:val="PN3"/>
    <w:basedOn w:val="Normal"/>
    <w:link w:val="PN3Char"/>
    <w:autoRedefine/>
    <w:qFormat/>
    <w:rsid w:val="0050102D"/>
    <w:pPr>
      <w:spacing w:before="20" w:after="20"/>
    </w:pPr>
    <w:rPr>
      <w:rFonts w:ascii="Arial" w:hAnsi="Arial" w:cs="Arial"/>
    </w:rPr>
  </w:style>
  <w:style w:type="paragraph" w:customStyle="1" w:styleId="PN5">
    <w:name w:val="PN5"/>
    <w:basedOn w:val="PN3"/>
    <w:autoRedefine/>
    <w:qFormat/>
    <w:rsid w:val="0050102D"/>
    <w:pPr>
      <w:contextualSpacing/>
      <w:jc w:val="center"/>
    </w:pPr>
    <w:rPr>
      <w:caps/>
    </w:rPr>
  </w:style>
  <w:style w:type="paragraph" w:customStyle="1" w:styleId="PN4">
    <w:name w:val="PN4"/>
    <w:basedOn w:val="Normal"/>
    <w:link w:val="PN4Char"/>
    <w:autoRedefine/>
    <w:qFormat/>
    <w:rsid w:val="0050102D"/>
    <w:pPr>
      <w:spacing w:before="100" w:after="40" w:line="276" w:lineRule="auto"/>
      <w:contextualSpacing/>
    </w:pPr>
    <w:rPr>
      <w:rFonts w:ascii="Arial" w:eastAsiaTheme="minorEastAsia" w:hAnsi="Arial" w:cs="Arial"/>
      <w:bCs/>
      <w:szCs w:val="16"/>
      <w:lang w:val="en-CA"/>
    </w:rPr>
  </w:style>
  <w:style w:type="character" w:customStyle="1" w:styleId="PN3Char">
    <w:name w:val="PN3 Char"/>
    <w:basedOn w:val="DefaultParagraphFont"/>
    <w:link w:val="PN3"/>
    <w:rsid w:val="0050102D"/>
    <w:rPr>
      <w:rFonts w:ascii="Arial" w:hAnsi="Arial" w:cs="Arial"/>
    </w:rPr>
  </w:style>
  <w:style w:type="character" w:customStyle="1" w:styleId="PN4Char">
    <w:name w:val="PN4 Char"/>
    <w:basedOn w:val="PN3Char"/>
    <w:link w:val="PN4"/>
    <w:rsid w:val="0050102D"/>
    <w:rPr>
      <w:rFonts w:ascii="Arial" w:eastAsiaTheme="minorEastAsia" w:hAnsi="Arial" w:cs="Arial"/>
      <w:bCs/>
      <w:szCs w:val="16"/>
      <w:lang w:val="en-CA"/>
    </w:rPr>
  </w:style>
  <w:style w:type="character" w:customStyle="1" w:styleId="Heading1Char">
    <w:name w:val="Heading 1 Char"/>
    <w:basedOn w:val="DefaultParagraphFont"/>
    <w:link w:val="Heading1"/>
    <w:uiPriority w:val="9"/>
    <w:rsid w:val="0050102D"/>
    <w:rPr>
      <w:rFonts w:ascii="Technical" w:hAnsi="Technical"/>
      <w:color w:val="0000FF"/>
      <w:kern w:val="28"/>
      <w:sz w:val="36"/>
      <w:u w:val="single"/>
    </w:rPr>
  </w:style>
  <w:style w:type="table" w:customStyle="1" w:styleId="TableGrid1">
    <w:name w:val="Table Grid1"/>
    <w:basedOn w:val="TableNormal"/>
    <w:next w:val="TableGrid"/>
    <w:uiPriority w:val="59"/>
    <w:rsid w:val="00501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B0D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173110">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974066216">
      <w:bodyDiv w:val="1"/>
      <w:marLeft w:val="0"/>
      <w:marRight w:val="0"/>
      <w:marTop w:val="0"/>
      <w:marBottom w:val="0"/>
      <w:divBdr>
        <w:top w:val="none" w:sz="0" w:space="0" w:color="auto"/>
        <w:left w:val="none" w:sz="0" w:space="0" w:color="auto"/>
        <w:bottom w:val="none" w:sz="0" w:space="0" w:color="auto"/>
        <w:right w:val="none" w:sz="0" w:space="0" w:color="auto"/>
      </w:divBdr>
    </w:div>
    <w:div w:id="1217426203">
      <w:bodyDiv w:val="1"/>
      <w:marLeft w:val="0"/>
      <w:marRight w:val="0"/>
      <w:marTop w:val="0"/>
      <w:marBottom w:val="0"/>
      <w:divBdr>
        <w:top w:val="none" w:sz="0" w:space="0" w:color="auto"/>
        <w:left w:val="none" w:sz="0" w:space="0" w:color="auto"/>
        <w:bottom w:val="none" w:sz="0" w:space="0" w:color="auto"/>
        <w:right w:val="none" w:sz="0" w:space="0" w:color="auto"/>
      </w:divBdr>
    </w:div>
    <w:div w:id="1244990048">
      <w:bodyDiv w:val="1"/>
      <w:marLeft w:val="0"/>
      <w:marRight w:val="0"/>
      <w:marTop w:val="0"/>
      <w:marBottom w:val="0"/>
      <w:divBdr>
        <w:top w:val="none" w:sz="0" w:space="0" w:color="auto"/>
        <w:left w:val="none" w:sz="0" w:space="0" w:color="auto"/>
        <w:bottom w:val="none" w:sz="0" w:space="0" w:color="auto"/>
        <w:right w:val="none" w:sz="0" w:space="0" w:color="auto"/>
      </w:divBdr>
    </w:div>
    <w:div w:id="1267083934">
      <w:bodyDiv w:val="1"/>
      <w:marLeft w:val="0"/>
      <w:marRight w:val="0"/>
      <w:marTop w:val="0"/>
      <w:marBottom w:val="0"/>
      <w:divBdr>
        <w:top w:val="none" w:sz="0" w:space="0" w:color="auto"/>
        <w:left w:val="none" w:sz="0" w:space="0" w:color="auto"/>
        <w:bottom w:val="none" w:sz="0" w:space="0" w:color="auto"/>
        <w:right w:val="none" w:sz="0" w:space="0" w:color="auto"/>
      </w:divBdr>
    </w:div>
    <w:div w:id="1283850422">
      <w:bodyDiv w:val="1"/>
      <w:marLeft w:val="0"/>
      <w:marRight w:val="0"/>
      <w:marTop w:val="0"/>
      <w:marBottom w:val="0"/>
      <w:divBdr>
        <w:top w:val="none" w:sz="0" w:space="0" w:color="auto"/>
        <w:left w:val="none" w:sz="0" w:space="0" w:color="auto"/>
        <w:bottom w:val="none" w:sz="0" w:space="0" w:color="auto"/>
        <w:right w:val="none" w:sz="0" w:space="0" w:color="auto"/>
      </w:divBdr>
    </w:div>
    <w:div w:id="1298218683">
      <w:bodyDiv w:val="1"/>
      <w:marLeft w:val="0"/>
      <w:marRight w:val="0"/>
      <w:marTop w:val="0"/>
      <w:marBottom w:val="0"/>
      <w:divBdr>
        <w:top w:val="none" w:sz="0" w:space="0" w:color="auto"/>
        <w:left w:val="none" w:sz="0" w:space="0" w:color="auto"/>
        <w:bottom w:val="none" w:sz="0" w:space="0" w:color="auto"/>
        <w:right w:val="none" w:sz="0" w:space="0" w:color="auto"/>
      </w:divBdr>
    </w:div>
    <w:div w:id="147718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unstats.un.org/unsd/demographic/sources/surveys/Handbook23June05.pdf"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66661-056A-4EBA-B2C4-3D58A10FD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1501</Words>
  <Characters>8273</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2015-10-05T15:21:00Z</dcterms:created>
  <dcterms:modified xsi:type="dcterms:W3CDTF">2015-10-05T15:21:00Z</dcterms:modified>
</cp:coreProperties>
</file>