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1AAC5" w14:textId="77777777" w:rsidR="004D3E5D" w:rsidRPr="007F7B1D" w:rsidRDefault="004D3E5D" w:rsidP="004D3E5D"/>
    <w:p w14:paraId="77911E68" w14:textId="77777777" w:rsidR="004D3E5D" w:rsidRPr="007F7B1D" w:rsidRDefault="004D3E5D" w:rsidP="004D3E5D"/>
    <w:p w14:paraId="154869A1" w14:textId="77777777" w:rsidR="004D3E5D" w:rsidRPr="007F7B1D" w:rsidRDefault="004D3E5D" w:rsidP="004D3E5D">
      <w:pPr>
        <w:rPr>
          <w:b/>
        </w:rPr>
      </w:pPr>
    </w:p>
    <w:p w14:paraId="1609040E" w14:textId="77777777" w:rsidR="004D3E5D" w:rsidRPr="007F7B1D" w:rsidRDefault="004D3E5D" w:rsidP="004D3E5D">
      <w:pPr>
        <w:rPr>
          <w:b/>
        </w:rPr>
      </w:pPr>
    </w:p>
    <w:p w14:paraId="72ED5A42" w14:textId="77777777" w:rsidR="004D3E5D" w:rsidRPr="007F7B1D" w:rsidRDefault="004D3E5D" w:rsidP="004D3E5D">
      <w:pPr>
        <w:rPr>
          <w:b/>
        </w:rPr>
      </w:pPr>
    </w:p>
    <w:p w14:paraId="16AC99A1" w14:textId="77777777" w:rsidR="004D3E5D" w:rsidRPr="007F7B1D" w:rsidRDefault="004D3E5D" w:rsidP="004D3E5D">
      <w:pPr>
        <w:rPr>
          <w:b/>
        </w:rPr>
      </w:pPr>
    </w:p>
    <w:p w14:paraId="768E6E81" w14:textId="77777777" w:rsidR="004D3E5D" w:rsidRPr="007F7B1D" w:rsidRDefault="004D3E5D" w:rsidP="004D3E5D">
      <w:pPr>
        <w:rPr>
          <w:b/>
        </w:rPr>
      </w:pPr>
    </w:p>
    <w:p w14:paraId="513253D5" w14:textId="77777777" w:rsidR="004D3E5D" w:rsidRPr="007F7B1D" w:rsidRDefault="004D3E5D" w:rsidP="004D3E5D">
      <w:pPr>
        <w:rPr>
          <w:b/>
        </w:rPr>
      </w:pPr>
    </w:p>
    <w:p w14:paraId="12C6EDB8" w14:textId="77777777" w:rsidR="004D3E5D" w:rsidRPr="007F7B1D" w:rsidRDefault="004D3E5D" w:rsidP="004D3E5D">
      <w:pPr>
        <w:rPr>
          <w:b/>
        </w:rPr>
      </w:pPr>
    </w:p>
    <w:p w14:paraId="749A6F6D" w14:textId="77777777" w:rsidR="004D3E5D" w:rsidRPr="007F7B1D" w:rsidRDefault="004D3E5D" w:rsidP="004D3E5D">
      <w:pPr>
        <w:rPr>
          <w:b/>
        </w:rPr>
      </w:pPr>
    </w:p>
    <w:p w14:paraId="63B1A2A7" w14:textId="77777777" w:rsidR="004D3E5D" w:rsidRPr="007F7B1D" w:rsidRDefault="004D3E5D" w:rsidP="004D3E5D">
      <w:pPr>
        <w:rPr>
          <w:b/>
        </w:rPr>
      </w:pPr>
    </w:p>
    <w:p w14:paraId="30B9DCD3" w14:textId="77777777" w:rsidR="004D3E5D" w:rsidRPr="007F7B1D" w:rsidRDefault="004D3E5D" w:rsidP="004D3E5D">
      <w:pPr>
        <w:rPr>
          <w:b/>
        </w:rPr>
      </w:pPr>
    </w:p>
    <w:p w14:paraId="655963AA" w14:textId="77777777" w:rsidR="004D3E5D" w:rsidRPr="007F7B1D" w:rsidRDefault="004D3E5D" w:rsidP="004D3E5D">
      <w:pPr>
        <w:rPr>
          <w:b/>
        </w:rPr>
      </w:pPr>
    </w:p>
    <w:p w14:paraId="315168DE" w14:textId="77777777" w:rsidR="004D3E5D" w:rsidRPr="007F7B1D" w:rsidRDefault="004D3E5D" w:rsidP="004D3E5D">
      <w:pPr>
        <w:rPr>
          <w:b/>
        </w:rPr>
      </w:pPr>
    </w:p>
    <w:p w14:paraId="1B30ED02" w14:textId="77777777" w:rsidR="004D3E5D" w:rsidRPr="007F7B1D" w:rsidRDefault="004D3E5D" w:rsidP="004D3E5D">
      <w:pPr>
        <w:rPr>
          <w:b/>
        </w:rPr>
      </w:pPr>
    </w:p>
    <w:p w14:paraId="3F012FD5" w14:textId="77777777" w:rsidR="004D3E5D" w:rsidRPr="007F7B1D" w:rsidRDefault="004D3E5D" w:rsidP="004D3E5D">
      <w:pPr>
        <w:rPr>
          <w:b/>
        </w:rPr>
      </w:pPr>
    </w:p>
    <w:p w14:paraId="2B94CA82" w14:textId="77777777" w:rsidR="004D3E5D" w:rsidRPr="007F7B1D" w:rsidRDefault="004D3E5D" w:rsidP="004D3E5D">
      <w:pPr>
        <w:rPr>
          <w:b/>
        </w:rPr>
      </w:pPr>
    </w:p>
    <w:p w14:paraId="0629A5B0" w14:textId="4B36208E" w:rsidR="004D3E5D" w:rsidRPr="007F7B1D" w:rsidRDefault="004D3E5D" w:rsidP="004D3E5D">
      <w:pPr>
        <w:jc w:val="center"/>
        <w:rPr>
          <w:b/>
        </w:rPr>
      </w:pPr>
      <w:r w:rsidRPr="007F7B1D">
        <w:rPr>
          <w:b/>
        </w:rPr>
        <w:t>Epidemiologic Study of Health Effects Associated With Low Pressure Events in Drinking Water Distribution Systems</w:t>
      </w:r>
      <w:r w:rsidR="00C66CB9">
        <w:rPr>
          <w:b/>
        </w:rPr>
        <w:t xml:space="preserve"> (0920-0960)</w:t>
      </w:r>
    </w:p>
    <w:p w14:paraId="06C5F6DB" w14:textId="77777777" w:rsidR="004D3E5D" w:rsidRPr="007F7B1D" w:rsidRDefault="004D3E5D" w:rsidP="004D3E5D">
      <w:pPr>
        <w:rPr>
          <w:b/>
        </w:rPr>
      </w:pPr>
    </w:p>
    <w:p w14:paraId="739BDF96" w14:textId="5C95C828" w:rsidR="004D3E5D" w:rsidRPr="007F7B1D" w:rsidRDefault="004D3E5D" w:rsidP="004D3E5D">
      <w:pPr>
        <w:rPr>
          <w:b/>
        </w:rPr>
      </w:pPr>
      <w:r w:rsidRPr="007F7B1D">
        <w:rPr>
          <w:b/>
        </w:rPr>
        <w:t xml:space="preserve">Request for </w:t>
      </w:r>
      <w:r w:rsidR="0087446D">
        <w:rPr>
          <w:b/>
        </w:rPr>
        <w:t>an Extension</w:t>
      </w:r>
      <w:r w:rsidRPr="007F7B1D">
        <w:rPr>
          <w:b/>
        </w:rPr>
        <w:t xml:space="preserve"> </w:t>
      </w:r>
      <w:r w:rsidR="00BB1E8E">
        <w:rPr>
          <w:b/>
        </w:rPr>
        <w:t>of Existing Collection of Information</w:t>
      </w:r>
    </w:p>
    <w:p w14:paraId="71E76CF8" w14:textId="08DBDF38" w:rsidR="004D3E5D" w:rsidRDefault="004D3E5D" w:rsidP="004D3E5D">
      <w:pPr>
        <w:rPr>
          <w:b/>
        </w:rPr>
      </w:pPr>
    </w:p>
    <w:p w14:paraId="760F27DB" w14:textId="47FD0284" w:rsidR="0087446D" w:rsidRPr="007F7B1D" w:rsidRDefault="00F54A0B" w:rsidP="004D3E5D">
      <w:pPr>
        <w:rPr>
          <w:b/>
        </w:rPr>
      </w:pPr>
      <w:r>
        <w:rPr>
          <w:b/>
        </w:rPr>
        <w:t>September 1, 2015</w:t>
      </w:r>
    </w:p>
    <w:p w14:paraId="564C4973" w14:textId="77777777" w:rsidR="004D3E5D" w:rsidRPr="007F7B1D" w:rsidRDefault="004D3E5D" w:rsidP="004D3E5D">
      <w:pPr>
        <w:rPr>
          <w:b/>
        </w:rPr>
      </w:pPr>
    </w:p>
    <w:p w14:paraId="47AA9539" w14:textId="77777777" w:rsidR="004D3E5D" w:rsidRPr="007F7B1D" w:rsidRDefault="004D3E5D" w:rsidP="004D3E5D">
      <w:pPr>
        <w:rPr>
          <w:b/>
        </w:rPr>
      </w:pPr>
    </w:p>
    <w:p w14:paraId="762B7A61" w14:textId="77777777" w:rsidR="004D3E5D" w:rsidRPr="007F7B1D" w:rsidRDefault="004D3E5D" w:rsidP="004D3E5D">
      <w:pPr>
        <w:rPr>
          <w:b/>
        </w:rPr>
      </w:pPr>
      <w:r w:rsidRPr="007F7B1D">
        <w:rPr>
          <w:b/>
        </w:rPr>
        <w:t>Contact:</w:t>
      </w:r>
    </w:p>
    <w:p w14:paraId="7D02D0CC" w14:textId="65C8C2F1" w:rsidR="004D3E5D" w:rsidRPr="007F7B1D" w:rsidRDefault="00613B5B" w:rsidP="004D3E5D">
      <w:r>
        <w:t>Katie Fullerton, MPH</w:t>
      </w:r>
      <w:r w:rsidR="004D3E5D" w:rsidRPr="007F7B1D">
        <w:br/>
        <w:t>Epidemiologist, Waterborne Disease Prevention Branch</w:t>
      </w:r>
      <w:r w:rsidR="004D3E5D" w:rsidRPr="007F7B1D">
        <w:br/>
        <w:t xml:space="preserve">National Center for Emerging and Zoonotic Infectious Diseases </w:t>
      </w:r>
      <w:r w:rsidR="004D3E5D" w:rsidRPr="007F7B1D">
        <w:br/>
        <w:t>Centers for Disease Control and Prevention</w:t>
      </w:r>
      <w:r w:rsidR="004D3E5D" w:rsidRPr="007F7B1D">
        <w:br/>
      </w:r>
      <w:r w:rsidR="004D3E5D" w:rsidRPr="007F7B1D">
        <w:lastRenderedPageBreak/>
        <w:t xml:space="preserve">Mailstop </w:t>
      </w:r>
      <w:r w:rsidR="004D3E5D">
        <w:t>C-09</w:t>
      </w:r>
      <w:bookmarkStart w:id="0" w:name="_GoBack"/>
      <w:bookmarkEnd w:id="0"/>
      <w:r w:rsidR="004D3E5D" w:rsidRPr="007F7B1D">
        <w:br/>
      </w:r>
      <w:r w:rsidR="004D3E5D">
        <w:t>1600 Clifton Rd.</w:t>
      </w:r>
      <w:r w:rsidR="004D3E5D" w:rsidRPr="007F7B1D">
        <w:t xml:space="preserve"> NE</w:t>
      </w:r>
      <w:r w:rsidR="004D3E5D" w:rsidRPr="007F7B1D">
        <w:br/>
        <w:t xml:space="preserve">Atlanta, GA </w:t>
      </w:r>
      <w:r w:rsidR="004D3E5D">
        <w:t>30333</w:t>
      </w:r>
      <w:r w:rsidR="004D3E5D" w:rsidRPr="007F7B1D">
        <w:t xml:space="preserve"> </w:t>
      </w:r>
    </w:p>
    <w:p w14:paraId="70112229" w14:textId="253DE364" w:rsidR="004D3E5D" w:rsidRPr="007F7B1D" w:rsidRDefault="004D3E5D" w:rsidP="004D3E5D">
      <w:r w:rsidRPr="007F7B1D">
        <w:t xml:space="preserve">Tel: </w:t>
      </w:r>
      <w:r>
        <w:t>404-718-4</w:t>
      </w:r>
      <w:r w:rsidR="00613B5B">
        <w:t>714</w:t>
      </w:r>
      <w:r w:rsidRPr="007F7B1D">
        <w:br/>
        <w:t xml:space="preserve">Fax: </w:t>
      </w:r>
      <w:r>
        <w:t>404-639-2205</w:t>
      </w:r>
      <w:r w:rsidRPr="007F7B1D">
        <w:br/>
        <w:t xml:space="preserve">E-mail: </w:t>
      </w:r>
      <w:hyperlink r:id="rId8" w:history="1">
        <w:r w:rsidR="00E83333" w:rsidRPr="00104DD0">
          <w:rPr>
            <w:rStyle w:val="Hyperlink"/>
          </w:rPr>
          <w:t>kgf9@cdc.gov</w:t>
        </w:r>
      </w:hyperlink>
    </w:p>
    <w:p w14:paraId="5C586911" w14:textId="77777777" w:rsidR="004D3E5D" w:rsidRPr="007F7B1D" w:rsidRDefault="004D3E5D" w:rsidP="004D3E5D">
      <w:pPr>
        <w:rPr>
          <w:b/>
        </w:rPr>
      </w:pPr>
    </w:p>
    <w:p w14:paraId="46C399DA" w14:textId="77777777" w:rsidR="004D3E5D" w:rsidRPr="007F7B1D" w:rsidRDefault="004D3E5D" w:rsidP="004D3E5D">
      <w:pPr>
        <w:rPr>
          <w:b/>
        </w:rPr>
      </w:pPr>
    </w:p>
    <w:p w14:paraId="58F21084" w14:textId="77777777" w:rsidR="004D3E5D" w:rsidRPr="007F7B1D" w:rsidRDefault="004D3E5D" w:rsidP="004D3E5D"/>
    <w:p w14:paraId="59708D5D" w14:textId="77777777" w:rsidR="004D3E5D" w:rsidRPr="007F7B1D" w:rsidRDefault="004D3E5D" w:rsidP="004D3E5D"/>
    <w:p w14:paraId="4DEC1AD3" w14:textId="77777777" w:rsidR="004D3E5D" w:rsidRPr="007F7B1D" w:rsidRDefault="004D3E5D" w:rsidP="004D3E5D"/>
    <w:p w14:paraId="75CDFC06" w14:textId="77777777" w:rsidR="004D3E5D" w:rsidRPr="007F7B1D" w:rsidRDefault="004D3E5D" w:rsidP="004D3E5D">
      <w:pPr>
        <w:rPr>
          <w:b/>
        </w:rPr>
      </w:pPr>
      <w:r w:rsidRPr="007F7B1D">
        <w:rPr>
          <w:b/>
        </w:rPr>
        <w:br w:type="page"/>
      </w:r>
    </w:p>
    <w:sdt>
      <w:sdtPr>
        <w:rPr>
          <w:rFonts w:ascii="Times New Roman" w:eastAsia="Times New Roman" w:hAnsi="Times New Roman" w:cs="Times New Roman"/>
          <w:bCs w:val="0"/>
          <w:color w:val="auto"/>
          <w:szCs w:val="22"/>
          <w:lang w:eastAsia="en-US"/>
        </w:rPr>
        <w:id w:val="90435730"/>
        <w:docPartObj>
          <w:docPartGallery w:val="Table of Contents"/>
          <w:docPartUnique/>
        </w:docPartObj>
      </w:sdtPr>
      <w:sdtEndPr>
        <w:rPr>
          <w:b/>
          <w:noProof/>
        </w:rPr>
      </w:sdtEndPr>
      <w:sdtContent>
        <w:p w14:paraId="4709D521" w14:textId="166F286D" w:rsidR="00D832B5" w:rsidRPr="00310534" w:rsidRDefault="00D832B5">
          <w:pPr>
            <w:pStyle w:val="TOCHeading"/>
            <w:rPr>
              <w:rFonts w:ascii="Times New Roman" w:hAnsi="Times New Roman" w:cs="Times New Roman"/>
              <w:b/>
              <w:color w:val="auto"/>
            </w:rPr>
          </w:pPr>
          <w:r w:rsidRPr="00310534">
            <w:rPr>
              <w:rFonts w:ascii="Times New Roman" w:hAnsi="Times New Roman" w:cs="Times New Roman"/>
              <w:b/>
              <w:color w:val="auto"/>
            </w:rPr>
            <w:t>Table of Contents: Part A</w:t>
          </w:r>
        </w:p>
        <w:p w14:paraId="44AF220B" w14:textId="77777777" w:rsidR="00EB30EE" w:rsidRDefault="00D832B5">
          <w:pPr>
            <w:pStyle w:val="TOC1"/>
            <w:rPr>
              <w:rFonts w:asciiTheme="minorHAnsi" w:eastAsiaTheme="minorEastAsia" w:hAnsiTheme="minorHAnsi" w:cstheme="minorBidi"/>
              <w:noProof/>
              <w:sz w:val="22"/>
            </w:rPr>
          </w:pPr>
          <w:r w:rsidRPr="00D832B5">
            <w:fldChar w:fldCharType="begin"/>
          </w:r>
          <w:r w:rsidRPr="00D832B5">
            <w:instrText xml:space="preserve"> TOC \o "1-3" \h \z \u </w:instrText>
          </w:r>
          <w:r w:rsidRPr="00D832B5">
            <w:fldChar w:fldCharType="separate"/>
          </w:r>
          <w:hyperlink w:anchor="_Toc427663556" w:history="1">
            <w:r w:rsidR="00EB30EE" w:rsidRPr="00A51859">
              <w:rPr>
                <w:rStyle w:val="Hyperlink"/>
                <w:noProof/>
              </w:rPr>
              <w:t>1.  Circumstances Making the Collection of Information Necessary</w:t>
            </w:r>
            <w:r w:rsidR="00EB30EE">
              <w:rPr>
                <w:noProof/>
                <w:webHidden/>
              </w:rPr>
              <w:tab/>
            </w:r>
            <w:r w:rsidR="00EB30EE">
              <w:rPr>
                <w:noProof/>
                <w:webHidden/>
              </w:rPr>
              <w:fldChar w:fldCharType="begin"/>
            </w:r>
            <w:r w:rsidR="00EB30EE">
              <w:rPr>
                <w:noProof/>
                <w:webHidden/>
              </w:rPr>
              <w:instrText xml:space="preserve"> PAGEREF _Toc427663556 \h </w:instrText>
            </w:r>
            <w:r w:rsidR="00EB30EE">
              <w:rPr>
                <w:noProof/>
                <w:webHidden/>
              </w:rPr>
            </w:r>
            <w:r w:rsidR="00EB30EE">
              <w:rPr>
                <w:noProof/>
                <w:webHidden/>
              </w:rPr>
              <w:fldChar w:fldCharType="separate"/>
            </w:r>
            <w:r w:rsidR="00C649DD">
              <w:rPr>
                <w:noProof/>
                <w:webHidden/>
              </w:rPr>
              <w:t>4</w:t>
            </w:r>
            <w:r w:rsidR="00EB30EE">
              <w:rPr>
                <w:noProof/>
                <w:webHidden/>
              </w:rPr>
              <w:fldChar w:fldCharType="end"/>
            </w:r>
          </w:hyperlink>
        </w:p>
        <w:p w14:paraId="0DB9DFD5" w14:textId="52494560" w:rsidR="00EB30EE" w:rsidRDefault="00E22B23">
          <w:pPr>
            <w:pStyle w:val="TOC1"/>
            <w:rPr>
              <w:rFonts w:asciiTheme="minorHAnsi" w:eastAsiaTheme="minorEastAsia" w:hAnsiTheme="minorHAnsi" w:cstheme="minorBidi"/>
              <w:noProof/>
              <w:sz w:val="22"/>
            </w:rPr>
          </w:pPr>
          <w:hyperlink w:anchor="_Toc427663557" w:history="1">
            <w:r w:rsidR="00EB30EE" w:rsidRPr="00A51859">
              <w:rPr>
                <w:rStyle w:val="Hyperlink"/>
                <w:noProof/>
              </w:rPr>
              <w:t>2.  Purpose and Use of Information Collection</w:t>
            </w:r>
            <w:r w:rsidR="00EB30EE">
              <w:rPr>
                <w:noProof/>
                <w:webHidden/>
              </w:rPr>
              <w:tab/>
            </w:r>
            <w:r w:rsidR="00EB30EE">
              <w:rPr>
                <w:noProof/>
                <w:webHidden/>
              </w:rPr>
              <w:fldChar w:fldCharType="begin"/>
            </w:r>
            <w:r w:rsidR="00EB30EE">
              <w:rPr>
                <w:noProof/>
                <w:webHidden/>
              </w:rPr>
              <w:instrText xml:space="preserve"> PAGEREF _Toc427663557 \h </w:instrText>
            </w:r>
            <w:r w:rsidR="00EB30EE">
              <w:rPr>
                <w:noProof/>
                <w:webHidden/>
              </w:rPr>
            </w:r>
            <w:r w:rsidR="00EB30EE">
              <w:rPr>
                <w:noProof/>
                <w:webHidden/>
              </w:rPr>
              <w:fldChar w:fldCharType="separate"/>
            </w:r>
            <w:r w:rsidR="00C649DD">
              <w:rPr>
                <w:noProof/>
                <w:webHidden/>
              </w:rPr>
              <w:t>5</w:t>
            </w:r>
            <w:r w:rsidR="00EB30EE">
              <w:rPr>
                <w:noProof/>
                <w:webHidden/>
              </w:rPr>
              <w:fldChar w:fldCharType="end"/>
            </w:r>
          </w:hyperlink>
        </w:p>
        <w:p w14:paraId="2ECCAE12" w14:textId="5FF749BE" w:rsidR="00EB30EE" w:rsidRDefault="00E22B23">
          <w:pPr>
            <w:pStyle w:val="TOC1"/>
            <w:rPr>
              <w:rFonts w:asciiTheme="minorHAnsi" w:eastAsiaTheme="minorEastAsia" w:hAnsiTheme="minorHAnsi" w:cstheme="minorBidi"/>
              <w:noProof/>
              <w:sz w:val="22"/>
            </w:rPr>
          </w:pPr>
          <w:hyperlink w:anchor="_Toc427663558" w:history="1">
            <w:r w:rsidR="00EB30EE" w:rsidRPr="00A51859">
              <w:rPr>
                <w:rStyle w:val="Hyperlink"/>
                <w:noProof/>
              </w:rPr>
              <w:t>3. Use of Improved Information Technology and Burden Reduction</w:t>
            </w:r>
            <w:r w:rsidR="00EB30EE">
              <w:rPr>
                <w:noProof/>
                <w:webHidden/>
              </w:rPr>
              <w:tab/>
            </w:r>
            <w:r w:rsidR="00EB30EE">
              <w:rPr>
                <w:noProof/>
                <w:webHidden/>
              </w:rPr>
              <w:fldChar w:fldCharType="begin"/>
            </w:r>
            <w:r w:rsidR="00EB30EE">
              <w:rPr>
                <w:noProof/>
                <w:webHidden/>
              </w:rPr>
              <w:instrText xml:space="preserve"> PAGEREF _Toc427663558 \h </w:instrText>
            </w:r>
            <w:r w:rsidR="00EB30EE">
              <w:rPr>
                <w:noProof/>
                <w:webHidden/>
              </w:rPr>
            </w:r>
            <w:r w:rsidR="00EB30EE">
              <w:rPr>
                <w:noProof/>
                <w:webHidden/>
              </w:rPr>
              <w:fldChar w:fldCharType="separate"/>
            </w:r>
            <w:r w:rsidR="00C649DD">
              <w:rPr>
                <w:noProof/>
                <w:webHidden/>
              </w:rPr>
              <w:t>7</w:t>
            </w:r>
            <w:r w:rsidR="00EB30EE">
              <w:rPr>
                <w:noProof/>
                <w:webHidden/>
              </w:rPr>
              <w:fldChar w:fldCharType="end"/>
            </w:r>
          </w:hyperlink>
        </w:p>
        <w:p w14:paraId="7D3EAB26" w14:textId="2CD4DE02" w:rsidR="00EB30EE" w:rsidRDefault="00E22B23">
          <w:pPr>
            <w:pStyle w:val="TOC1"/>
            <w:rPr>
              <w:rFonts w:asciiTheme="minorHAnsi" w:eastAsiaTheme="minorEastAsia" w:hAnsiTheme="minorHAnsi" w:cstheme="minorBidi"/>
              <w:noProof/>
              <w:sz w:val="22"/>
            </w:rPr>
          </w:pPr>
          <w:hyperlink w:anchor="_Toc427663559" w:history="1">
            <w:r w:rsidR="00EB30EE" w:rsidRPr="00A51859">
              <w:rPr>
                <w:rStyle w:val="Hyperlink"/>
                <w:noProof/>
              </w:rPr>
              <w:t>4. Efforts to Identify Duplication and Use of Similar Information</w:t>
            </w:r>
            <w:r w:rsidR="00EB30EE">
              <w:rPr>
                <w:noProof/>
                <w:webHidden/>
              </w:rPr>
              <w:tab/>
            </w:r>
            <w:r w:rsidR="00EB30EE">
              <w:rPr>
                <w:noProof/>
                <w:webHidden/>
              </w:rPr>
              <w:fldChar w:fldCharType="begin"/>
            </w:r>
            <w:r w:rsidR="00EB30EE">
              <w:rPr>
                <w:noProof/>
                <w:webHidden/>
              </w:rPr>
              <w:instrText xml:space="preserve"> PAGEREF _Toc427663559 \h </w:instrText>
            </w:r>
            <w:r w:rsidR="00EB30EE">
              <w:rPr>
                <w:noProof/>
                <w:webHidden/>
              </w:rPr>
            </w:r>
            <w:r w:rsidR="00EB30EE">
              <w:rPr>
                <w:noProof/>
                <w:webHidden/>
              </w:rPr>
              <w:fldChar w:fldCharType="separate"/>
            </w:r>
            <w:r w:rsidR="00C649DD">
              <w:rPr>
                <w:noProof/>
                <w:webHidden/>
              </w:rPr>
              <w:t>7</w:t>
            </w:r>
            <w:r w:rsidR="00EB30EE">
              <w:rPr>
                <w:noProof/>
                <w:webHidden/>
              </w:rPr>
              <w:fldChar w:fldCharType="end"/>
            </w:r>
          </w:hyperlink>
        </w:p>
        <w:p w14:paraId="6838BD00" w14:textId="7D55C059" w:rsidR="00EB30EE" w:rsidRDefault="00E22B23">
          <w:pPr>
            <w:pStyle w:val="TOC1"/>
            <w:rPr>
              <w:rFonts w:asciiTheme="minorHAnsi" w:eastAsiaTheme="minorEastAsia" w:hAnsiTheme="minorHAnsi" w:cstheme="minorBidi"/>
              <w:noProof/>
              <w:sz w:val="22"/>
            </w:rPr>
          </w:pPr>
          <w:hyperlink w:anchor="_Toc427663560" w:history="1">
            <w:r w:rsidR="00EB30EE" w:rsidRPr="00A51859">
              <w:rPr>
                <w:rStyle w:val="Hyperlink"/>
                <w:noProof/>
              </w:rPr>
              <w:t>5.  Impact on Small Businesses or Other Small Entities</w:t>
            </w:r>
            <w:r w:rsidR="00EB30EE">
              <w:rPr>
                <w:noProof/>
                <w:webHidden/>
              </w:rPr>
              <w:tab/>
            </w:r>
            <w:r w:rsidR="00EB30EE">
              <w:rPr>
                <w:noProof/>
                <w:webHidden/>
              </w:rPr>
              <w:fldChar w:fldCharType="begin"/>
            </w:r>
            <w:r w:rsidR="00EB30EE">
              <w:rPr>
                <w:noProof/>
                <w:webHidden/>
              </w:rPr>
              <w:instrText xml:space="preserve"> PAGEREF _Toc427663560 \h </w:instrText>
            </w:r>
            <w:r w:rsidR="00EB30EE">
              <w:rPr>
                <w:noProof/>
                <w:webHidden/>
              </w:rPr>
            </w:r>
            <w:r w:rsidR="00EB30EE">
              <w:rPr>
                <w:noProof/>
                <w:webHidden/>
              </w:rPr>
              <w:fldChar w:fldCharType="separate"/>
            </w:r>
            <w:r w:rsidR="00C649DD">
              <w:rPr>
                <w:noProof/>
                <w:webHidden/>
              </w:rPr>
              <w:t>8</w:t>
            </w:r>
            <w:r w:rsidR="00EB30EE">
              <w:rPr>
                <w:noProof/>
                <w:webHidden/>
              </w:rPr>
              <w:fldChar w:fldCharType="end"/>
            </w:r>
          </w:hyperlink>
        </w:p>
        <w:p w14:paraId="63B78DED" w14:textId="5DC11D6D" w:rsidR="00EB30EE" w:rsidRDefault="00E22B23">
          <w:pPr>
            <w:pStyle w:val="TOC1"/>
            <w:rPr>
              <w:rFonts w:asciiTheme="minorHAnsi" w:eastAsiaTheme="minorEastAsia" w:hAnsiTheme="minorHAnsi" w:cstheme="minorBidi"/>
              <w:noProof/>
              <w:sz w:val="22"/>
            </w:rPr>
          </w:pPr>
          <w:hyperlink w:anchor="_Toc427663561" w:history="1">
            <w:r w:rsidR="00EB30EE" w:rsidRPr="00A51859">
              <w:rPr>
                <w:rStyle w:val="Hyperlink"/>
                <w:noProof/>
              </w:rPr>
              <w:t>6. Consequences of Collecting the Information Less Frequently</w:t>
            </w:r>
            <w:r w:rsidR="00EB30EE">
              <w:rPr>
                <w:noProof/>
                <w:webHidden/>
              </w:rPr>
              <w:tab/>
            </w:r>
            <w:r w:rsidR="00EB30EE">
              <w:rPr>
                <w:noProof/>
                <w:webHidden/>
              </w:rPr>
              <w:fldChar w:fldCharType="begin"/>
            </w:r>
            <w:r w:rsidR="00EB30EE">
              <w:rPr>
                <w:noProof/>
                <w:webHidden/>
              </w:rPr>
              <w:instrText xml:space="preserve"> PAGEREF _Toc427663561 \h </w:instrText>
            </w:r>
            <w:r w:rsidR="00EB30EE">
              <w:rPr>
                <w:noProof/>
                <w:webHidden/>
              </w:rPr>
            </w:r>
            <w:r w:rsidR="00EB30EE">
              <w:rPr>
                <w:noProof/>
                <w:webHidden/>
              </w:rPr>
              <w:fldChar w:fldCharType="separate"/>
            </w:r>
            <w:r w:rsidR="00C649DD">
              <w:rPr>
                <w:noProof/>
                <w:webHidden/>
              </w:rPr>
              <w:t>8</w:t>
            </w:r>
            <w:r w:rsidR="00EB30EE">
              <w:rPr>
                <w:noProof/>
                <w:webHidden/>
              </w:rPr>
              <w:fldChar w:fldCharType="end"/>
            </w:r>
          </w:hyperlink>
        </w:p>
        <w:p w14:paraId="13CCB0A4" w14:textId="5492CB9E" w:rsidR="00EB30EE" w:rsidRDefault="00E22B23">
          <w:pPr>
            <w:pStyle w:val="TOC1"/>
            <w:rPr>
              <w:rFonts w:asciiTheme="minorHAnsi" w:eastAsiaTheme="minorEastAsia" w:hAnsiTheme="minorHAnsi" w:cstheme="minorBidi"/>
              <w:noProof/>
              <w:sz w:val="22"/>
            </w:rPr>
          </w:pPr>
          <w:hyperlink w:anchor="_Toc427663562" w:history="1">
            <w:r w:rsidR="00EB30EE" w:rsidRPr="00A51859">
              <w:rPr>
                <w:rStyle w:val="Hyperlink"/>
                <w:noProof/>
              </w:rPr>
              <w:t>7. Special Circumstances Relating to the Guidelines of 5 CFR 1320.5</w:t>
            </w:r>
            <w:r w:rsidR="00EB30EE">
              <w:rPr>
                <w:noProof/>
                <w:webHidden/>
              </w:rPr>
              <w:tab/>
            </w:r>
            <w:r w:rsidR="00EB30EE">
              <w:rPr>
                <w:noProof/>
                <w:webHidden/>
              </w:rPr>
              <w:fldChar w:fldCharType="begin"/>
            </w:r>
            <w:r w:rsidR="00EB30EE">
              <w:rPr>
                <w:noProof/>
                <w:webHidden/>
              </w:rPr>
              <w:instrText xml:space="preserve"> PAGEREF _Toc427663562 \h </w:instrText>
            </w:r>
            <w:r w:rsidR="00EB30EE">
              <w:rPr>
                <w:noProof/>
                <w:webHidden/>
              </w:rPr>
            </w:r>
            <w:r w:rsidR="00EB30EE">
              <w:rPr>
                <w:noProof/>
                <w:webHidden/>
              </w:rPr>
              <w:fldChar w:fldCharType="separate"/>
            </w:r>
            <w:r w:rsidR="00C649DD">
              <w:rPr>
                <w:noProof/>
                <w:webHidden/>
              </w:rPr>
              <w:t>8</w:t>
            </w:r>
            <w:r w:rsidR="00EB30EE">
              <w:rPr>
                <w:noProof/>
                <w:webHidden/>
              </w:rPr>
              <w:fldChar w:fldCharType="end"/>
            </w:r>
          </w:hyperlink>
        </w:p>
        <w:p w14:paraId="2EA13A80" w14:textId="1E9A5141" w:rsidR="00EB30EE" w:rsidRDefault="00E22B23">
          <w:pPr>
            <w:pStyle w:val="TOC1"/>
            <w:rPr>
              <w:rFonts w:asciiTheme="minorHAnsi" w:eastAsiaTheme="minorEastAsia" w:hAnsiTheme="minorHAnsi" w:cstheme="minorBidi"/>
              <w:noProof/>
              <w:sz w:val="22"/>
            </w:rPr>
          </w:pPr>
          <w:hyperlink w:anchor="_Toc427663563" w:history="1">
            <w:r w:rsidR="00EB30EE" w:rsidRPr="00A51859">
              <w:rPr>
                <w:rStyle w:val="Hyperlink"/>
                <w:noProof/>
              </w:rPr>
              <w:t>8. Comments in Response to the Federal Register Notice and Efforts to Consult Outside the Agency</w:t>
            </w:r>
            <w:r w:rsidR="00EB30EE">
              <w:rPr>
                <w:noProof/>
                <w:webHidden/>
              </w:rPr>
              <w:tab/>
            </w:r>
            <w:r w:rsidR="00EB30EE">
              <w:rPr>
                <w:noProof/>
                <w:webHidden/>
              </w:rPr>
              <w:fldChar w:fldCharType="begin"/>
            </w:r>
            <w:r w:rsidR="00EB30EE">
              <w:rPr>
                <w:noProof/>
                <w:webHidden/>
              </w:rPr>
              <w:instrText xml:space="preserve"> PAGEREF _Toc427663563 \h </w:instrText>
            </w:r>
            <w:r w:rsidR="00EB30EE">
              <w:rPr>
                <w:noProof/>
                <w:webHidden/>
              </w:rPr>
            </w:r>
            <w:r w:rsidR="00EB30EE">
              <w:rPr>
                <w:noProof/>
                <w:webHidden/>
              </w:rPr>
              <w:fldChar w:fldCharType="separate"/>
            </w:r>
            <w:r w:rsidR="00C649DD">
              <w:rPr>
                <w:noProof/>
                <w:webHidden/>
              </w:rPr>
              <w:t>8</w:t>
            </w:r>
            <w:r w:rsidR="00EB30EE">
              <w:rPr>
                <w:noProof/>
                <w:webHidden/>
              </w:rPr>
              <w:fldChar w:fldCharType="end"/>
            </w:r>
          </w:hyperlink>
        </w:p>
        <w:p w14:paraId="7A4E1FCE" w14:textId="212BF0D3" w:rsidR="00EB30EE" w:rsidRDefault="00E22B23">
          <w:pPr>
            <w:pStyle w:val="TOC1"/>
            <w:rPr>
              <w:rFonts w:asciiTheme="minorHAnsi" w:eastAsiaTheme="minorEastAsia" w:hAnsiTheme="minorHAnsi" w:cstheme="minorBidi"/>
              <w:noProof/>
              <w:sz w:val="22"/>
            </w:rPr>
          </w:pPr>
          <w:hyperlink w:anchor="_Toc427663564" w:history="1">
            <w:r w:rsidR="00EB30EE" w:rsidRPr="00A51859">
              <w:rPr>
                <w:rStyle w:val="Hyperlink"/>
                <w:noProof/>
              </w:rPr>
              <w:t>9.  Explanations of Any Payment or Gift to Respondents</w:t>
            </w:r>
            <w:r w:rsidR="00EB30EE">
              <w:rPr>
                <w:noProof/>
                <w:webHidden/>
              </w:rPr>
              <w:tab/>
            </w:r>
            <w:r w:rsidR="00EB30EE">
              <w:rPr>
                <w:noProof/>
                <w:webHidden/>
              </w:rPr>
              <w:fldChar w:fldCharType="begin"/>
            </w:r>
            <w:r w:rsidR="00EB30EE">
              <w:rPr>
                <w:noProof/>
                <w:webHidden/>
              </w:rPr>
              <w:instrText xml:space="preserve"> PAGEREF _Toc427663564 \h </w:instrText>
            </w:r>
            <w:r w:rsidR="00EB30EE">
              <w:rPr>
                <w:noProof/>
                <w:webHidden/>
              </w:rPr>
            </w:r>
            <w:r w:rsidR="00EB30EE">
              <w:rPr>
                <w:noProof/>
                <w:webHidden/>
              </w:rPr>
              <w:fldChar w:fldCharType="separate"/>
            </w:r>
            <w:r w:rsidR="00C649DD">
              <w:rPr>
                <w:noProof/>
                <w:webHidden/>
              </w:rPr>
              <w:t>9</w:t>
            </w:r>
            <w:r w:rsidR="00EB30EE">
              <w:rPr>
                <w:noProof/>
                <w:webHidden/>
              </w:rPr>
              <w:fldChar w:fldCharType="end"/>
            </w:r>
          </w:hyperlink>
        </w:p>
        <w:p w14:paraId="222723D7" w14:textId="2DC289B3" w:rsidR="00EB30EE" w:rsidRDefault="00E22B23">
          <w:pPr>
            <w:pStyle w:val="TOC1"/>
            <w:rPr>
              <w:rFonts w:asciiTheme="minorHAnsi" w:eastAsiaTheme="minorEastAsia" w:hAnsiTheme="minorHAnsi" w:cstheme="minorBidi"/>
              <w:noProof/>
              <w:sz w:val="22"/>
            </w:rPr>
          </w:pPr>
          <w:hyperlink w:anchor="_Toc427663565" w:history="1">
            <w:r w:rsidR="00EB30EE" w:rsidRPr="00A51859">
              <w:rPr>
                <w:rStyle w:val="Hyperlink"/>
                <w:noProof/>
              </w:rPr>
              <w:t>10. Protection of the Privacy and  Confidentiality of Information Provided to Respondents</w:t>
            </w:r>
            <w:r w:rsidR="00EB30EE">
              <w:rPr>
                <w:noProof/>
                <w:webHidden/>
              </w:rPr>
              <w:tab/>
            </w:r>
            <w:r w:rsidR="00EB30EE">
              <w:rPr>
                <w:noProof/>
                <w:webHidden/>
              </w:rPr>
              <w:fldChar w:fldCharType="begin"/>
            </w:r>
            <w:r w:rsidR="00EB30EE">
              <w:rPr>
                <w:noProof/>
                <w:webHidden/>
              </w:rPr>
              <w:instrText xml:space="preserve"> PAGEREF _Toc427663565 \h </w:instrText>
            </w:r>
            <w:r w:rsidR="00EB30EE">
              <w:rPr>
                <w:noProof/>
                <w:webHidden/>
              </w:rPr>
            </w:r>
            <w:r w:rsidR="00EB30EE">
              <w:rPr>
                <w:noProof/>
                <w:webHidden/>
              </w:rPr>
              <w:fldChar w:fldCharType="separate"/>
            </w:r>
            <w:r w:rsidR="00C649DD">
              <w:rPr>
                <w:noProof/>
                <w:webHidden/>
              </w:rPr>
              <w:t>9</w:t>
            </w:r>
            <w:r w:rsidR="00EB30EE">
              <w:rPr>
                <w:noProof/>
                <w:webHidden/>
              </w:rPr>
              <w:fldChar w:fldCharType="end"/>
            </w:r>
          </w:hyperlink>
        </w:p>
        <w:p w14:paraId="5296A846" w14:textId="1B29509A" w:rsidR="00EB30EE" w:rsidRDefault="00E22B23">
          <w:pPr>
            <w:pStyle w:val="TOC1"/>
            <w:rPr>
              <w:rFonts w:asciiTheme="minorHAnsi" w:eastAsiaTheme="minorEastAsia" w:hAnsiTheme="minorHAnsi" w:cstheme="minorBidi"/>
              <w:noProof/>
              <w:sz w:val="22"/>
            </w:rPr>
          </w:pPr>
          <w:hyperlink w:anchor="_Toc427663566" w:history="1">
            <w:r w:rsidR="00EB30EE" w:rsidRPr="00A51859">
              <w:rPr>
                <w:rStyle w:val="Hyperlink"/>
                <w:noProof/>
              </w:rPr>
              <w:t>11.  Institutional Review Board (IRB) and Justification for Sensitive Questions</w:t>
            </w:r>
            <w:r w:rsidR="00EB30EE">
              <w:rPr>
                <w:noProof/>
                <w:webHidden/>
              </w:rPr>
              <w:tab/>
            </w:r>
            <w:r w:rsidR="00EB30EE">
              <w:rPr>
                <w:noProof/>
                <w:webHidden/>
              </w:rPr>
              <w:fldChar w:fldCharType="begin"/>
            </w:r>
            <w:r w:rsidR="00EB30EE">
              <w:rPr>
                <w:noProof/>
                <w:webHidden/>
              </w:rPr>
              <w:instrText xml:space="preserve"> PAGEREF _Toc427663566 \h </w:instrText>
            </w:r>
            <w:r w:rsidR="00EB30EE">
              <w:rPr>
                <w:noProof/>
                <w:webHidden/>
              </w:rPr>
            </w:r>
            <w:r w:rsidR="00EB30EE">
              <w:rPr>
                <w:noProof/>
                <w:webHidden/>
              </w:rPr>
              <w:fldChar w:fldCharType="separate"/>
            </w:r>
            <w:r w:rsidR="00C649DD">
              <w:rPr>
                <w:noProof/>
                <w:webHidden/>
              </w:rPr>
              <w:t>12</w:t>
            </w:r>
            <w:r w:rsidR="00EB30EE">
              <w:rPr>
                <w:noProof/>
                <w:webHidden/>
              </w:rPr>
              <w:fldChar w:fldCharType="end"/>
            </w:r>
          </w:hyperlink>
        </w:p>
        <w:p w14:paraId="78C275F8" w14:textId="1B05DCBE" w:rsidR="00EB30EE" w:rsidRDefault="00E22B23">
          <w:pPr>
            <w:pStyle w:val="TOC1"/>
            <w:rPr>
              <w:rFonts w:asciiTheme="minorHAnsi" w:eastAsiaTheme="minorEastAsia" w:hAnsiTheme="minorHAnsi" w:cstheme="minorBidi"/>
              <w:noProof/>
              <w:sz w:val="22"/>
            </w:rPr>
          </w:pPr>
          <w:hyperlink w:anchor="_Toc427663567" w:history="1">
            <w:r w:rsidR="00EB30EE" w:rsidRPr="00A51859">
              <w:rPr>
                <w:rStyle w:val="Hyperlink"/>
                <w:noProof/>
              </w:rPr>
              <w:t>12. Estimates of Annualized Burden Hours and Costs</w:t>
            </w:r>
            <w:r w:rsidR="00EB30EE">
              <w:rPr>
                <w:noProof/>
                <w:webHidden/>
              </w:rPr>
              <w:tab/>
            </w:r>
            <w:r w:rsidR="00EB30EE">
              <w:rPr>
                <w:noProof/>
                <w:webHidden/>
              </w:rPr>
              <w:fldChar w:fldCharType="begin"/>
            </w:r>
            <w:r w:rsidR="00EB30EE">
              <w:rPr>
                <w:noProof/>
                <w:webHidden/>
              </w:rPr>
              <w:instrText xml:space="preserve"> PAGEREF _Toc427663567 \h </w:instrText>
            </w:r>
            <w:r w:rsidR="00EB30EE">
              <w:rPr>
                <w:noProof/>
                <w:webHidden/>
              </w:rPr>
            </w:r>
            <w:r w:rsidR="00EB30EE">
              <w:rPr>
                <w:noProof/>
                <w:webHidden/>
              </w:rPr>
              <w:fldChar w:fldCharType="separate"/>
            </w:r>
            <w:r w:rsidR="00C649DD">
              <w:rPr>
                <w:noProof/>
                <w:webHidden/>
              </w:rPr>
              <w:t>12</w:t>
            </w:r>
            <w:r w:rsidR="00EB30EE">
              <w:rPr>
                <w:noProof/>
                <w:webHidden/>
              </w:rPr>
              <w:fldChar w:fldCharType="end"/>
            </w:r>
          </w:hyperlink>
        </w:p>
        <w:p w14:paraId="5734A48D" w14:textId="4AF232B9" w:rsidR="00EB30EE" w:rsidRDefault="00E22B23">
          <w:pPr>
            <w:pStyle w:val="TOC1"/>
            <w:rPr>
              <w:rFonts w:asciiTheme="minorHAnsi" w:eastAsiaTheme="minorEastAsia" w:hAnsiTheme="minorHAnsi" w:cstheme="minorBidi"/>
              <w:noProof/>
              <w:sz w:val="22"/>
            </w:rPr>
          </w:pPr>
          <w:hyperlink w:anchor="_Toc427663568" w:history="1">
            <w:r w:rsidR="00EB30EE" w:rsidRPr="00A51859">
              <w:rPr>
                <w:rStyle w:val="Hyperlink"/>
                <w:noProof/>
              </w:rPr>
              <w:t>13. Estimates of Other Total Annual Cost Burden to Respondents or Record Keepers</w:t>
            </w:r>
            <w:r w:rsidR="00EB30EE">
              <w:rPr>
                <w:noProof/>
                <w:webHidden/>
              </w:rPr>
              <w:tab/>
            </w:r>
            <w:r w:rsidR="00EB30EE">
              <w:rPr>
                <w:noProof/>
                <w:webHidden/>
              </w:rPr>
              <w:fldChar w:fldCharType="begin"/>
            </w:r>
            <w:r w:rsidR="00EB30EE">
              <w:rPr>
                <w:noProof/>
                <w:webHidden/>
              </w:rPr>
              <w:instrText xml:space="preserve"> PAGEREF _Toc427663568 \h </w:instrText>
            </w:r>
            <w:r w:rsidR="00EB30EE">
              <w:rPr>
                <w:noProof/>
                <w:webHidden/>
              </w:rPr>
            </w:r>
            <w:r w:rsidR="00EB30EE">
              <w:rPr>
                <w:noProof/>
                <w:webHidden/>
              </w:rPr>
              <w:fldChar w:fldCharType="separate"/>
            </w:r>
            <w:r w:rsidR="00C649DD">
              <w:rPr>
                <w:noProof/>
                <w:webHidden/>
              </w:rPr>
              <w:t>16</w:t>
            </w:r>
            <w:r w:rsidR="00EB30EE">
              <w:rPr>
                <w:noProof/>
                <w:webHidden/>
              </w:rPr>
              <w:fldChar w:fldCharType="end"/>
            </w:r>
          </w:hyperlink>
        </w:p>
        <w:p w14:paraId="1999A000" w14:textId="4890CAE8" w:rsidR="00EB30EE" w:rsidRDefault="00E22B23">
          <w:pPr>
            <w:pStyle w:val="TOC1"/>
            <w:rPr>
              <w:rFonts w:asciiTheme="minorHAnsi" w:eastAsiaTheme="minorEastAsia" w:hAnsiTheme="minorHAnsi" w:cstheme="minorBidi"/>
              <w:noProof/>
              <w:sz w:val="22"/>
            </w:rPr>
          </w:pPr>
          <w:hyperlink w:anchor="_Toc427663569" w:history="1">
            <w:r w:rsidR="00EB30EE" w:rsidRPr="00A51859">
              <w:rPr>
                <w:rStyle w:val="Hyperlink"/>
                <w:noProof/>
              </w:rPr>
              <w:t>14. Annualized Cost to the Government</w:t>
            </w:r>
            <w:r w:rsidR="00EB30EE">
              <w:rPr>
                <w:noProof/>
                <w:webHidden/>
              </w:rPr>
              <w:tab/>
            </w:r>
            <w:r w:rsidR="00EB30EE">
              <w:rPr>
                <w:noProof/>
                <w:webHidden/>
              </w:rPr>
              <w:fldChar w:fldCharType="begin"/>
            </w:r>
            <w:r w:rsidR="00EB30EE">
              <w:rPr>
                <w:noProof/>
                <w:webHidden/>
              </w:rPr>
              <w:instrText xml:space="preserve"> PAGEREF _Toc427663569 \h </w:instrText>
            </w:r>
            <w:r w:rsidR="00EB30EE">
              <w:rPr>
                <w:noProof/>
                <w:webHidden/>
              </w:rPr>
            </w:r>
            <w:r w:rsidR="00EB30EE">
              <w:rPr>
                <w:noProof/>
                <w:webHidden/>
              </w:rPr>
              <w:fldChar w:fldCharType="separate"/>
            </w:r>
            <w:r w:rsidR="00C649DD">
              <w:rPr>
                <w:noProof/>
                <w:webHidden/>
              </w:rPr>
              <w:t>16</w:t>
            </w:r>
            <w:r w:rsidR="00EB30EE">
              <w:rPr>
                <w:noProof/>
                <w:webHidden/>
              </w:rPr>
              <w:fldChar w:fldCharType="end"/>
            </w:r>
          </w:hyperlink>
        </w:p>
        <w:p w14:paraId="0BD445A8" w14:textId="4975C5A8" w:rsidR="00D832B5" w:rsidRPr="00310534" w:rsidRDefault="00D832B5" w:rsidP="00D832B5">
          <w:r w:rsidRPr="00D832B5">
            <w:rPr>
              <w:b/>
              <w:bCs/>
              <w:noProof/>
            </w:rPr>
            <w:fldChar w:fldCharType="end"/>
          </w:r>
        </w:p>
      </w:sdtContent>
    </w:sdt>
    <w:p w14:paraId="3D9DC1A1" w14:textId="77777777" w:rsidR="00D832B5" w:rsidRDefault="00D832B5" w:rsidP="00D832B5">
      <w:pPr>
        <w:rPr>
          <w:b/>
          <w:szCs w:val="24"/>
        </w:rPr>
      </w:pPr>
    </w:p>
    <w:p w14:paraId="3F3E1CB0" w14:textId="77777777" w:rsidR="00D832B5" w:rsidRDefault="00D832B5" w:rsidP="00D832B5">
      <w:pPr>
        <w:rPr>
          <w:b/>
          <w:szCs w:val="24"/>
        </w:rPr>
      </w:pPr>
    </w:p>
    <w:p w14:paraId="35D298A4" w14:textId="77777777" w:rsidR="00D832B5" w:rsidRPr="00003C8B" w:rsidRDefault="00D832B5" w:rsidP="00D832B5">
      <w:pPr>
        <w:rPr>
          <w:b/>
          <w:szCs w:val="24"/>
        </w:rPr>
      </w:pPr>
      <w:r w:rsidRPr="00003C8B">
        <w:rPr>
          <w:b/>
          <w:szCs w:val="24"/>
        </w:rPr>
        <w:t xml:space="preserve">List of Reference Attachments </w:t>
      </w:r>
    </w:p>
    <w:p w14:paraId="3DEBB46C" w14:textId="77777777" w:rsidR="00177672" w:rsidRDefault="00D832B5" w:rsidP="004022CC">
      <w:pPr>
        <w:pStyle w:val="ListParagraph"/>
        <w:numPr>
          <w:ilvl w:val="0"/>
          <w:numId w:val="26"/>
        </w:numPr>
        <w:spacing w:after="200" w:line="276" w:lineRule="auto"/>
      </w:pPr>
      <w:r w:rsidRPr="00003C8B">
        <w:t>Authorizing Legislation</w:t>
      </w:r>
    </w:p>
    <w:p w14:paraId="29D3D2C9" w14:textId="167567E8" w:rsidR="00D832B5" w:rsidRPr="006737F8" w:rsidRDefault="00D832B5" w:rsidP="004022CC">
      <w:pPr>
        <w:pStyle w:val="ListParagraph"/>
        <w:numPr>
          <w:ilvl w:val="0"/>
          <w:numId w:val="26"/>
        </w:numPr>
        <w:spacing w:after="200" w:line="276" w:lineRule="auto"/>
      </w:pPr>
      <w:r w:rsidRPr="00003C8B">
        <w:t>60 day Federal Register Notice</w:t>
      </w:r>
    </w:p>
    <w:p w14:paraId="3E4A4329" w14:textId="77777777" w:rsidR="00D832B5" w:rsidRDefault="00D832B5" w:rsidP="00CE794C">
      <w:pPr>
        <w:pStyle w:val="ListParagraph"/>
        <w:numPr>
          <w:ilvl w:val="0"/>
          <w:numId w:val="26"/>
        </w:numPr>
        <w:spacing w:line="276" w:lineRule="auto"/>
      </w:pPr>
      <w:r w:rsidRPr="00003C8B">
        <w:t>Pilot Evaluation Logical Framework</w:t>
      </w:r>
    </w:p>
    <w:p w14:paraId="2F8E5098" w14:textId="567A37BA" w:rsidR="00CE794C" w:rsidRDefault="00CE794C" w:rsidP="00CE794C">
      <w:pPr>
        <w:pStyle w:val="ListParagraph"/>
        <w:numPr>
          <w:ilvl w:val="0"/>
          <w:numId w:val="26"/>
        </w:numPr>
        <w:spacing w:line="276" w:lineRule="auto"/>
      </w:pPr>
      <w:r>
        <w:t>Pilot Summary and Evaluation Report</w:t>
      </w:r>
    </w:p>
    <w:p w14:paraId="01B6A23A" w14:textId="4631DACF" w:rsidR="00CE794C" w:rsidRDefault="00CE794C" w:rsidP="00CE794C">
      <w:pPr>
        <w:spacing w:line="276" w:lineRule="auto"/>
        <w:ind w:left="360"/>
        <w:contextualSpacing/>
      </w:pPr>
      <w:r>
        <w:t>E.1. Utility Press Release</w:t>
      </w:r>
    </w:p>
    <w:p w14:paraId="29B8BE4E" w14:textId="11CB0FB8" w:rsidR="00CE794C" w:rsidRDefault="00CE794C" w:rsidP="00CE794C">
      <w:pPr>
        <w:spacing w:line="276" w:lineRule="auto"/>
        <w:ind w:left="360"/>
        <w:contextualSpacing/>
      </w:pPr>
      <w:r>
        <w:t>E.2. Utility Radio PSA</w:t>
      </w:r>
    </w:p>
    <w:p w14:paraId="01A41EC1" w14:textId="7D0601B7" w:rsidR="00CE794C" w:rsidRDefault="00CE794C" w:rsidP="00CE794C">
      <w:pPr>
        <w:spacing w:line="276" w:lineRule="auto"/>
        <w:ind w:left="360"/>
        <w:contextualSpacing/>
      </w:pPr>
      <w:r>
        <w:t>E.3. Utility Newsletter Paragraph</w:t>
      </w:r>
    </w:p>
    <w:p w14:paraId="103C86A4" w14:textId="233FE19A" w:rsidR="00CE794C" w:rsidRDefault="00CE794C" w:rsidP="00CE794C">
      <w:pPr>
        <w:spacing w:line="276" w:lineRule="auto"/>
        <w:ind w:left="360"/>
        <w:contextualSpacing/>
      </w:pPr>
      <w:r>
        <w:t>E.4. Utility Social Media Posts</w:t>
      </w:r>
    </w:p>
    <w:p w14:paraId="5063E473" w14:textId="7DF05DA0" w:rsidR="00CE794C" w:rsidRDefault="00CE794C" w:rsidP="00CE794C">
      <w:pPr>
        <w:spacing w:line="276" w:lineRule="auto"/>
        <w:ind w:left="360"/>
        <w:contextualSpacing/>
      </w:pPr>
      <w:r>
        <w:t>E.5. Utility Promotional Postcard</w:t>
      </w:r>
    </w:p>
    <w:p w14:paraId="64BE91E8" w14:textId="2C069649" w:rsidR="00CE794C" w:rsidRDefault="00CE794C" w:rsidP="00CE794C">
      <w:pPr>
        <w:spacing w:line="276" w:lineRule="auto"/>
        <w:ind w:left="360"/>
        <w:contextualSpacing/>
      </w:pPr>
      <w:r>
        <w:t>E.6. Utility Customer Fact Sheet</w:t>
      </w:r>
    </w:p>
    <w:p w14:paraId="13C02D2A" w14:textId="4E91520A" w:rsidR="00CE794C" w:rsidRPr="00003C8B" w:rsidRDefault="00CE794C" w:rsidP="00CE794C">
      <w:pPr>
        <w:spacing w:line="276" w:lineRule="auto"/>
        <w:ind w:left="360"/>
        <w:contextualSpacing/>
      </w:pPr>
      <w:r>
        <w:t>E.7. Utility Water Sample Fact Sheet</w:t>
      </w:r>
    </w:p>
    <w:p w14:paraId="72F33EA9" w14:textId="6574A869" w:rsidR="004F1E3A" w:rsidRPr="00003C8B" w:rsidRDefault="004F1E3A" w:rsidP="00CE794C">
      <w:pPr>
        <w:pStyle w:val="ListParagraph"/>
        <w:numPr>
          <w:ilvl w:val="0"/>
          <w:numId w:val="28"/>
        </w:numPr>
        <w:spacing w:line="276" w:lineRule="auto"/>
      </w:pPr>
      <w:r w:rsidRPr="00003C8B">
        <w:t xml:space="preserve">Advance </w:t>
      </w:r>
      <w:r>
        <w:t>Letter</w:t>
      </w:r>
      <w:r w:rsidRPr="00003C8B">
        <w:t xml:space="preserve"> </w:t>
      </w:r>
    </w:p>
    <w:p w14:paraId="78B7C164" w14:textId="77777777" w:rsidR="004F1E3A" w:rsidRDefault="004F1E3A" w:rsidP="00CE794C">
      <w:pPr>
        <w:pStyle w:val="ListParagraph"/>
        <w:numPr>
          <w:ilvl w:val="0"/>
          <w:numId w:val="28"/>
        </w:numPr>
        <w:spacing w:after="200" w:line="276" w:lineRule="auto"/>
      </w:pPr>
      <w:r w:rsidRPr="00003C8B">
        <w:t>Cover Letter – Paper</w:t>
      </w:r>
    </w:p>
    <w:p w14:paraId="1423BFDE" w14:textId="519E70F4" w:rsidR="004F1E3A" w:rsidRPr="00003C8B" w:rsidRDefault="004F1E3A" w:rsidP="00CE794C">
      <w:pPr>
        <w:pStyle w:val="ListParagraph"/>
        <w:numPr>
          <w:ilvl w:val="0"/>
          <w:numId w:val="28"/>
        </w:numPr>
        <w:spacing w:after="200" w:line="276" w:lineRule="auto"/>
      </w:pPr>
      <w:r w:rsidRPr="00003C8B">
        <w:t xml:space="preserve">Cover Letter – E-mail </w:t>
      </w:r>
    </w:p>
    <w:p w14:paraId="3C831E07" w14:textId="77777777" w:rsidR="004F1E3A" w:rsidRPr="00003C8B" w:rsidRDefault="004F1E3A" w:rsidP="00CE794C">
      <w:pPr>
        <w:pStyle w:val="ListParagraph"/>
        <w:numPr>
          <w:ilvl w:val="0"/>
          <w:numId w:val="28"/>
        </w:numPr>
        <w:spacing w:after="200" w:line="276" w:lineRule="auto"/>
      </w:pPr>
      <w:r w:rsidRPr="00003C8B">
        <w:t>Consent Brochure</w:t>
      </w:r>
    </w:p>
    <w:p w14:paraId="0D23C066" w14:textId="79D75039" w:rsidR="004F1E3A" w:rsidRPr="00003C8B" w:rsidRDefault="004F1E3A" w:rsidP="00CE794C">
      <w:pPr>
        <w:pStyle w:val="ListParagraph"/>
        <w:numPr>
          <w:ilvl w:val="0"/>
          <w:numId w:val="28"/>
        </w:numPr>
        <w:spacing w:after="200" w:line="276" w:lineRule="auto"/>
      </w:pPr>
      <w:r w:rsidRPr="00003C8B">
        <w:t>Household</w:t>
      </w:r>
      <w:r w:rsidR="00177672">
        <w:t xml:space="preserve"> Survey</w:t>
      </w:r>
      <w:r w:rsidRPr="00003C8B">
        <w:t xml:space="preserve"> </w:t>
      </w:r>
      <w:r w:rsidR="00177672" w:rsidRPr="00003C8B">
        <w:t>–</w:t>
      </w:r>
      <w:r w:rsidR="00177672">
        <w:t xml:space="preserve"> </w:t>
      </w:r>
      <w:r w:rsidR="00177672" w:rsidRPr="00003C8B">
        <w:t xml:space="preserve">Paper </w:t>
      </w:r>
    </w:p>
    <w:p w14:paraId="2F98B1F8" w14:textId="5C8B8532" w:rsidR="004F1E3A" w:rsidRPr="00003C8B" w:rsidRDefault="004F1E3A" w:rsidP="00CE794C">
      <w:pPr>
        <w:pStyle w:val="ListParagraph"/>
        <w:numPr>
          <w:ilvl w:val="0"/>
          <w:numId w:val="28"/>
        </w:numPr>
        <w:spacing w:after="200" w:line="276" w:lineRule="auto"/>
      </w:pPr>
      <w:r w:rsidRPr="00003C8B">
        <w:t>Household</w:t>
      </w:r>
      <w:r w:rsidR="00177672">
        <w:t xml:space="preserve"> Survey </w:t>
      </w:r>
      <w:r w:rsidR="00177672" w:rsidRPr="00003C8B">
        <w:t>–</w:t>
      </w:r>
      <w:r w:rsidR="00177672">
        <w:t xml:space="preserve"> W</w:t>
      </w:r>
      <w:r w:rsidRPr="00003C8B">
        <w:t>eb – Screen Shots</w:t>
      </w:r>
    </w:p>
    <w:p w14:paraId="0FF03151" w14:textId="77777777" w:rsidR="004F1E3A" w:rsidRPr="00003C8B" w:rsidRDefault="004F1E3A" w:rsidP="00CE794C">
      <w:pPr>
        <w:pStyle w:val="ListParagraph"/>
        <w:numPr>
          <w:ilvl w:val="0"/>
          <w:numId w:val="28"/>
        </w:numPr>
        <w:spacing w:after="200" w:line="276" w:lineRule="auto"/>
      </w:pPr>
      <w:r w:rsidRPr="00003C8B">
        <w:t>Thank you/Reminder Letter</w:t>
      </w:r>
    </w:p>
    <w:p w14:paraId="0CA0A913" w14:textId="2CA34EC4" w:rsidR="004F1E3A" w:rsidRDefault="004F1E3A" w:rsidP="00CE794C">
      <w:pPr>
        <w:pStyle w:val="ListParagraph"/>
        <w:numPr>
          <w:ilvl w:val="0"/>
          <w:numId w:val="28"/>
        </w:numPr>
        <w:spacing w:after="200" w:line="276" w:lineRule="auto"/>
      </w:pPr>
      <w:r w:rsidRPr="00003C8B">
        <w:t>Replacement Survey Cover Letter</w:t>
      </w:r>
      <w:r>
        <w:t xml:space="preserve"> </w:t>
      </w:r>
      <w:r w:rsidRPr="00003C8B">
        <w:t>– Paper</w:t>
      </w:r>
    </w:p>
    <w:p w14:paraId="3F48D4E8" w14:textId="080F3454" w:rsidR="004F1E3A" w:rsidRDefault="004F1E3A" w:rsidP="00CE794C">
      <w:pPr>
        <w:pStyle w:val="ListParagraph"/>
        <w:numPr>
          <w:ilvl w:val="0"/>
          <w:numId w:val="28"/>
        </w:numPr>
        <w:spacing w:after="200" w:line="276" w:lineRule="auto"/>
      </w:pPr>
      <w:r>
        <w:t xml:space="preserve">Replacement Survey Cover Letter </w:t>
      </w:r>
      <w:r w:rsidRPr="00003C8B">
        <w:t>– E-mail</w:t>
      </w:r>
    </w:p>
    <w:p w14:paraId="50DF9955" w14:textId="22052B18" w:rsidR="004F1E3A" w:rsidRPr="00003C8B" w:rsidRDefault="004F1E3A" w:rsidP="00CE794C">
      <w:pPr>
        <w:pStyle w:val="ListParagraph"/>
        <w:numPr>
          <w:ilvl w:val="0"/>
          <w:numId w:val="28"/>
        </w:numPr>
        <w:spacing w:after="200" w:line="276" w:lineRule="auto"/>
      </w:pPr>
      <w:r w:rsidRPr="00003C8B">
        <w:t>Reminder Phone Script</w:t>
      </w:r>
    </w:p>
    <w:p w14:paraId="301FE485" w14:textId="3C40A8A6" w:rsidR="004F1E3A" w:rsidRDefault="004F1E3A" w:rsidP="00CE794C">
      <w:pPr>
        <w:pStyle w:val="ListParagraph"/>
        <w:numPr>
          <w:ilvl w:val="0"/>
          <w:numId w:val="28"/>
        </w:numPr>
        <w:spacing w:after="200" w:line="276" w:lineRule="auto"/>
      </w:pPr>
      <w:r w:rsidRPr="00003C8B">
        <w:t>Final Appeal Letter</w:t>
      </w:r>
    </w:p>
    <w:p w14:paraId="78BD1F2B" w14:textId="77777777" w:rsidR="00D832B5" w:rsidRPr="00003C8B" w:rsidRDefault="00D832B5" w:rsidP="00CE794C">
      <w:pPr>
        <w:pStyle w:val="ListParagraph"/>
        <w:numPr>
          <w:ilvl w:val="0"/>
          <w:numId w:val="28"/>
        </w:numPr>
        <w:spacing w:after="200" w:line="276" w:lineRule="auto"/>
      </w:pPr>
      <w:r w:rsidRPr="00003C8B">
        <w:t>IRB Approval Continuation</w:t>
      </w:r>
    </w:p>
    <w:p w14:paraId="5FDEC5C8" w14:textId="23331466" w:rsidR="00D832B5" w:rsidRPr="00003C8B" w:rsidRDefault="00D832B5" w:rsidP="00CE794C">
      <w:pPr>
        <w:pStyle w:val="ListParagraph"/>
        <w:numPr>
          <w:ilvl w:val="0"/>
          <w:numId w:val="28"/>
        </w:numPr>
        <w:spacing w:after="200" w:line="276" w:lineRule="auto"/>
      </w:pPr>
      <w:r w:rsidRPr="00003C8B">
        <w:t>L</w:t>
      </w:r>
      <w:r w:rsidR="002D53B4">
        <w:t>ow Pressure Event Form</w:t>
      </w:r>
    </w:p>
    <w:p w14:paraId="0056764E" w14:textId="2FD63F9F" w:rsidR="00D832B5" w:rsidRPr="00003C8B" w:rsidRDefault="00D832B5" w:rsidP="00CE794C">
      <w:pPr>
        <w:pStyle w:val="ListParagraph"/>
        <w:numPr>
          <w:ilvl w:val="0"/>
          <w:numId w:val="28"/>
        </w:numPr>
        <w:spacing w:after="200" w:line="276" w:lineRule="auto"/>
      </w:pPr>
      <w:r w:rsidRPr="00003C8B">
        <w:t>Utilit</w:t>
      </w:r>
      <w:r w:rsidR="002D53B4">
        <w:t xml:space="preserve">y Customer Information </w:t>
      </w:r>
    </w:p>
    <w:p w14:paraId="7A4A572E" w14:textId="644E02EF" w:rsidR="004D3E5D" w:rsidRPr="007F7B1D" w:rsidRDefault="004D3E5D" w:rsidP="004D3E5D">
      <w:pPr>
        <w:rPr>
          <w:b/>
        </w:rPr>
      </w:pPr>
      <w:r w:rsidRPr="007F7B1D">
        <w:rPr>
          <w:b/>
        </w:rPr>
        <w:lastRenderedPageBreak/>
        <w:t>Epidemiologic Study of Health Effects Associated With Low Pressure Events in Drinking Water Distribution Systems</w:t>
      </w:r>
    </w:p>
    <w:p w14:paraId="10FF7A39" w14:textId="303B7830" w:rsidR="004D3E5D" w:rsidRPr="007F7B1D" w:rsidRDefault="00C212B5" w:rsidP="004D3E5D">
      <w:r>
        <w:rPr>
          <w:noProof/>
        </w:rPr>
        <mc:AlternateContent>
          <mc:Choice Requires="wps">
            <w:drawing>
              <wp:anchor distT="45720" distB="45720" distL="114300" distR="114300" simplePos="0" relativeHeight="251659264" behindDoc="0" locked="0" layoutInCell="1" allowOverlap="1" wp14:anchorId="5EEAFF1E" wp14:editId="32DA18A3">
                <wp:simplePos x="0" y="0"/>
                <wp:positionH relativeFrom="margin">
                  <wp:align>right</wp:align>
                </wp:positionH>
                <wp:positionV relativeFrom="paragraph">
                  <wp:posOffset>268605</wp:posOffset>
                </wp:positionV>
                <wp:extent cx="5457825" cy="5476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476875"/>
                        </a:xfrm>
                        <a:prstGeom prst="rect">
                          <a:avLst/>
                        </a:prstGeom>
                        <a:solidFill>
                          <a:srgbClr val="FFFFFF"/>
                        </a:solidFill>
                        <a:ln w="9525">
                          <a:solidFill>
                            <a:srgbClr val="000000"/>
                          </a:solidFill>
                          <a:miter lim="800000"/>
                          <a:headEnd/>
                          <a:tailEnd/>
                        </a:ln>
                      </wps:spPr>
                      <wps:txbx>
                        <w:txbxContent>
                          <w:p w14:paraId="4ACB6AAB" w14:textId="54494B68" w:rsidR="00E22B23" w:rsidRDefault="00E22B23">
                            <w:r w:rsidRPr="005168F6">
                              <w:rPr>
                                <w:b/>
                              </w:rPr>
                              <w:t>Goal of the Study:</w:t>
                            </w:r>
                            <w:r>
                              <w:t xml:space="preserve"> C</w:t>
                            </w:r>
                            <w:r w:rsidRPr="003B7890">
                              <w:t>onduct an epidemiologic study in</w:t>
                            </w:r>
                            <w:r>
                              <w:t xml:space="preserve"> five water utility service areas of</w:t>
                            </w:r>
                            <w:r w:rsidRPr="003B7890">
                              <w:t xml:space="preserve"> the U.S. to assess whether individuals </w:t>
                            </w:r>
                            <w:r>
                              <w:t xml:space="preserve">in sampled regions </w:t>
                            </w:r>
                            <w:r w:rsidRPr="003B7890">
                              <w:t xml:space="preserve">exposed to low pressure events </w:t>
                            </w:r>
                            <w:r>
                              <w:t xml:space="preserve">(e.g., main breaks) </w:t>
                            </w:r>
                            <w:r w:rsidRPr="003B7890">
                              <w:t>in the water distribution system are at an increased risk for acute gastrointestinal or respiratory illnesses</w:t>
                            </w:r>
                            <w:r>
                              <w:t>.</w:t>
                            </w:r>
                          </w:p>
                          <w:p w14:paraId="33A3A0E6" w14:textId="2DB9A06E" w:rsidR="00E22B23" w:rsidRDefault="00E22B23">
                            <w:r w:rsidRPr="005168F6">
                              <w:rPr>
                                <w:b/>
                              </w:rPr>
                              <w:t>Intended use of data:</w:t>
                            </w:r>
                            <w:r>
                              <w:t xml:space="preserve"> Data will be used to </w:t>
                            </w:r>
                            <w:r w:rsidRPr="007F7B1D">
                              <w:t xml:space="preserve">assess whether </w:t>
                            </w:r>
                            <w:r>
                              <w:t>individuals in areas exposed to low pressure events evaluated in this study</w:t>
                            </w:r>
                            <w:r w:rsidRPr="007F7B1D">
                              <w:t xml:space="preserve"> have an increased risk for </w:t>
                            </w:r>
                            <w:r>
                              <w:t>illness. Results will help health departments and water utilities build capacity to respond to low pressure events, quickly identify populations impacted by events, and appropriately implement boil water advisories.. Results will be summarized in scientific manuscript(s) and shared with public health and water industry stakeholders.</w:t>
                            </w:r>
                          </w:p>
                          <w:p w14:paraId="62617372" w14:textId="454C7400" w:rsidR="00E22B23" w:rsidRDefault="00E22B23">
                            <w:r w:rsidRPr="005168F6">
                              <w:rPr>
                                <w:b/>
                              </w:rPr>
                              <w:t>Methods for collection:</w:t>
                            </w:r>
                            <w:r>
                              <w:t xml:space="preserve"> Five </w:t>
                            </w:r>
                            <w:r w:rsidRPr="007F7B1D">
                              <w:t>water utilities will provide information about</w:t>
                            </w:r>
                            <w:r>
                              <w:t xml:space="preserve"> 65</w:t>
                            </w:r>
                            <w:r w:rsidRPr="007F7B1D">
                              <w:t xml:space="preserve"> low pressure events</w:t>
                            </w:r>
                            <w:r>
                              <w:t>. An</w:t>
                            </w:r>
                            <w:r w:rsidRPr="008D5786">
                              <w:t xml:space="preserve"> estimated </w:t>
                            </w:r>
                            <w:r>
                              <w:t xml:space="preserve">6,750 </w:t>
                            </w:r>
                            <w:r w:rsidRPr="008D5786">
                              <w:t xml:space="preserve">households </w:t>
                            </w:r>
                            <w:r w:rsidRPr="007F0AA1">
                              <w:t>will be invited to participate</w:t>
                            </w:r>
                            <w:r>
                              <w:t xml:space="preserve"> in the household survey;</w:t>
                            </w:r>
                            <w:r w:rsidRPr="007F0AA1">
                              <w:t xml:space="preserve"> </w:t>
                            </w:r>
                            <w:r>
                              <w:t>w</w:t>
                            </w:r>
                            <w:r w:rsidRPr="007F0AA1">
                              <w:t xml:space="preserve">e estimate that </w:t>
                            </w:r>
                            <w:r>
                              <w:t>4,050</w:t>
                            </w:r>
                            <w:r w:rsidRPr="007F0AA1">
                              <w:t xml:space="preserve"> </w:t>
                            </w:r>
                            <w:r w:rsidRPr="00A22306">
                              <w:t>surveys will be completed, providing data on 8,100 individuals.</w:t>
                            </w:r>
                          </w:p>
                          <w:p w14:paraId="640E766B" w14:textId="402E7675" w:rsidR="00E22B23" w:rsidRDefault="00E22B23">
                            <w:r w:rsidRPr="005168F6">
                              <w:rPr>
                                <w:b/>
                              </w:rPr>
                              <w:t>Subpopulation to be studied:</w:t>
                            </w:r>
                            <w:r>
                              <w:t xml:space="preserve"> Individuals living in h</w:t>
                            </w:r>
                            <w:r w:rsidRPr="007F7B1D">
                              <w:t xml:space="preserve">ouseholds that receive water from </w:t>
                            </w:r>
                            <w:r>
                              <w:t>five</w:t>
                            </w:r>
                            <w:r w:rsidRPr="007F7B1D">
                              <w:t xml:space="preserve"> water utilities</w:t>
                            </w:r>
                            <w:r>
                              <w:t xml:space="preserve">; </w:t>
                            </w:r>
                            <w:r w:rsidRPr="007F7B1D">
                              <w:t xml:space="preserve">water systems will be geographically diverse and will </w:t>
                            </w:r>
                            <w:r>
                              <w:t>include systems that use chlorine and monochloramine as their secondary disinfectants</w:t>
                            </w:r>
                            <w:r w:rsidRPr="007F7B1D">
                              <w:t>.</w:t>
                            </w:r>
                            <w:r>
                              <w:t xml:space="preserve"> </w:t>
                            </w:r>
                          </w:p>
                          <w:p w14:paraId="799B3920" w14:textId="51832BBD" w:rsidR="00E22B23" w:rsidRDefault="00E22B23" w:rsidP="009E4DBD">
                            <w:r w:rsidRPr="00645314">
                              <w:rPr>
                                <w:b/>
                              </w:rPr>
                              <w:t>How data will be analyzed:</w:t>
                            </w:r>
                            <w:r>
                              <w:t xml:space="preserve"> </w:t>
                            </w:r>
                            <w:r w:rsidRPr="007F7B1D">
                              <w:t xml:space="preserve">We will measure </w:t>
                            </w:r>
                            <w:r>
                              <w:t>symptoms associated with</w:t>
                            </w:r>
                            <w:r w:rsidRPr="007F7B1D">
                              <w:t xml:space="preserve"> AGI and ARI among exposed and unexposed individuals and calculate </w:t>
                            </w:r>
                            <w:r>
                              <w:t>odds</w:t>
                            </w:r>
                            <w:r w:rsidRPr="007F7B1D">
                              <w:t xml:space="preserve"> ratios (</w:t>
                            </w:r>
                            <w:r>
                              <w:t>O</w:t>
                            </w:r>
                            <w:r w:rsidRPr="007F7B1D">
                              <w:t xml:space="preserve">R), risk difference, and attributable </w:t>
                            </w:r>
                            <w:r>
                              <w:t xml:space="preserve">risk </w:t>
                            </w:r>
                            <w:r w:rsidRPr="007F7B1D">
                              <w:t xml:space="preserve">percent for </w:t>
                            </w:r>
                            <w:r>
                              <w:t xml:space="preserve">symptoms of </w:t>
                            </w:r>
                            <w:r w:rsidRPr="007F7B1D">
                              <w:t xml:space="preserve">AGI and ARI associated with </w:t>
                            </w:r>
                            <w:r>
                              <w:t xml:space="preserve">low pressure events. Conditional logistic regression will be implemented to appropriately evaluate the effect of event exposure within each event. We will also control for individual-level covariates, such as age and chronic medical conditions. Additionally, </w:t>
                            </w:r>
                            <w:r w:rsidRPr="007F7B1D">
                              <w:t xml:space="preserve">we plan to stratify our analyses by type of </w:t>
                            </w:r>
                            <w:r>
                              <w:t>secondary disinfectant</w:t>
                            </w:r>
                            <w:r w:rsidRPr="007F7B1D">
                              <w:t xml:space="preserve"> used</w:t>
                            </w:r>
                            <w:r>
                              <w:t xml:space="preserve">. </w:t>
                            </w:r>
                            <w:r w:rsidRPr="007F7B1D">
                              <w:t>Descriptive and inferential statistical analyses will be condu</w:t>
                            </w:r>
                            <w:r>
                              <w:t>cted using statistical software.</w:t>
                            </w:r>
                          </w:p>
                          <w:p w14:paraId="09877FCB" w14:textId="13D55143" w:rsidR="00E22B23" w:rsidRDefault="00E22B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AFF1E" id="_x0000_t202" coordsize="21600,21600" o:spt="202" path="m,l,21600r21600,l21600,xe">
                <v:stroke joinstyle="miter"/>
                <v:path gradientshapeok="t" o:connecttype="rect"/>
              </v:shapetype>
              <v:shape id="Text Box 2" o:spid="_x0000_s1026" type="#_x0000_t202" style="position:absolute;margin-left:378.55pt;margin-top:21.15pt;width:429.75pt;height:43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">
                <v:textbox>
                  <w:txbxContent>
                    <w:p w14:paraId="4ACB6AAB" w14:textId="54494B68" w:rsidR="00E22B23" w:rsidRDefault="00E22B23">
                      <w:r w:rsidRPr="005168F6">
                        <w:rPr>
                          <w:b/>
                        </w:rPr>
                        <w:t>Goal of the Study:</w:t>
                      </w:r>
                      <w:r>
                        <w:t xml:space="preserve"> C</w:t>
                      </w:r>
                      <w:r w:rsidRPr="003B7890">
                        <w:t>onduct an epidemiologic study in</w:t>
                      </w:r>
                      <w:r>
                        <w:t xml:space="preserve"> five water utility service areas of</w:t>
                      </w:r>
                      <w:r w:rsidRPr="003B7890">
                        <w:t xml:space="preserve"> the U.S. to assess whether individuals </w:t>
                      </w:r>
                      <w:r>
                        <w:t xml:space="preserve">in sampled regions </w:t>
                      </w:r>
                      <w:r w:rsidRPr="003B7890">
                        <w:t xml:space="preserve">exposed to low pressure events </w:t>
                      </w:r>
                      <w:r>
                        <w:t xml:space="preserve">(e.g., main breaks) </w:t>
                      </w:r>
                      <w:r w:rsidRPr="003B7890">
                        <w:t>in the water distribution system are at an increased risk for acute gastrointestinal or respiratory illnesses</w:t>
                      </w:r>
                      <w:r>
                        <w:t>.</w:t>
                      </w:r>
                    </w:p>
                    <w:p w14:paraId="33A3A0E6" w14:textId="2DB9A06E" w:rsidR="00E22B23" w:rsidRDefault="00E22B23">
                      <w:r w:rsidRPr="005168F6">
                        <w:rPr>
                          <w:b/>
                        </w:rPr>
                        <w:t>Intended use of data:</w:t>
                      </w:r>
                      <w:r>
                        <w:t xml:space="preserve"> Data will be used to </w:t>
                      </w:r>
                      <w:r w:rsidRPr="007F7B1D">
                        <w:t xml:space="preserve">assess whether </w:t>
                      </w:r>
                      <w:r>
                        <w:t>individuals in areas exposed to low pressure events evaluated in this study</w:t>
                      </w:r>
                      <w:r w:rsidRPr="007F7B1D">
                        <w:t xml:space="preserve"> have an increased risk for </w:t>
                      </w:r>
                      <w:r>
                        <w:t>illness. Results will help health departments and water utilities build capacity to respond to low pressure events, quickly identify populations impacted by events, and appropriately implement boil water advisories.. Results will be summarized in scientific manuscript(s) and shared with public health and water industry stakeholders.</w:t>
                      </w:r>
                    </w:p>
                    <w:p w14:paraId="62617372" w14:textId="454C7400" w:rsidR="00E22B23" w:rsidRDefault="00E22B23">
                      <w:r w:rsidRPr="005168F6">
                        <w:rPr>
                          <w:b/>
                        </w:rPr>
                        <w:t>Methods for collection:</w:t>
                      </w:r>
                      <w:r>
                        <w:t xml:space="preserve"> Five </w:t>
                      </w:r>
                      <w:r w:rsidRPr="007F7B1D">
                        <w:t>water utilities will provide information about</w:t>
                      </w:r>
                      <w:r>
                        <w:t xml:space="preserve"> 65</w:t>
                      </w:r>
                      <w:r w:rsidRPr="007F7B1D">
                        <w:t xml:space="preserve"> low pressure events</w:t>
                      </w:r>
                      <w:r>
                        <w:t>. An</w:t>
                      </w:r>
                      <w:r w:rsidRPr="008D5786">
                        <w:t xml:space="preserve"> estimated </w:t>
                      </w:r>
                      <w:r>
                        <w:t xml:space="preserve">6,750 </w:t>
                      </w:r>
                      <w:r w:rsidRPr="008D5786">
                        <w:t xml:space="preserve">households </w:t>
                      </w:r>
                      <w:r w:rsidRPr="007F0AA1">
                        <w:t>will be invited to participate</w:t>
                      </w:r>
                      <w:r>
                        <w:t xml:space="preserve"> in the household survey;</w:t>
                      </w:r>
                      <w:r w:rsidRPr="007F0AA1">
                        <w:t xml:space="preserve"> </w:t>
                      </w:r>
                      <w:r>
                        <w:t>w</w:t>
                      </w:r>
                      <w:r w:rsidRPr="007F0AA1">
                        <w:t xml:space="preserve">e estimate that </w:t>
                      </w:r>
                      <w:r>
                        <w:t>4,050</w:t>
                      </w:r>
                      <w:r w:rsidRPr="007F0AA1">
                        <w:t xml:space="preserve"> </w:t>
                      </w:r>
                      <w:r w:rsidRPr="00A22306">
                        <w:t>surveys will be completed, providing data on 8,100 individuals.</w:t>
                      </w:r>
                    </w:p>
                    <w:p w14:paraId="640E766B" w14:textId="402E7675" w:rsidR="00E22B23" w:rsidRDefault="00E22B23">
                      <w:r w:rsidRPr="005168F6">
                        <w:rPr>
                          <w:b/>
                        </w:rPr>
                        <w:t>Subpopulation to be studied:</w:t>
                      </w:r>
                      <w:r>
                        <w:t xml:space="preserve"> Individuals living in h</w:t>
                      </w:r>
                      <w:r w:rsidRPr="007F7B1D">
                        <w:t xml:space="preserve">ouseholds that receive water from </w:t>
                      </w:r>
                      <w:r>
                        <w:t>five</w:t>
                      </w:r>
                      <w:r w:rsidRPr="007F7B1D">
                        <w:t xml:space="preserve"> water utilities</w:t>
                      </w:r>
                      <w:r>
                        <w:t xml:space="preserve">; </w:t>
                      </w:r>
                      <w:r w:rsidRPr="007F7B1D">
                        <w:t xml:space="preserve">water systems will be geographically diverse and will </w:t>
                      </w:r>
                      <w:r>
                        <w:t>include systems that use chlorine and monochloramine as their secondary disinfectants</w:t>
                      </w:r>
                      <w:r w:rsidRPr="007F7B1D">
                        <w:t>.</w:t>
                      </w:r>
                      <w:r>
                        <w:t xml:space="preserve"> </w:t>
                      </w:r>
                    </w:p>
                    <w:p w14:paraId="799B3920" w14:textId="51832BBD" w:rsidR="00E22B23" w:rsidRDefault="00E22B23" w:rsidP="009E4DBD">
                      <w:r w:rsidRPr="00645314">
                        <w:rPr>
                          <w:b/>
                        </w:rPr>
                        <w:t>How data will be analyzed:</w:t>
                      </w:r>
                      <w:r>
                        <w:t xml:space="preserve"> </w:t>
                      </w:r>
                      <w:r w:rsidRPr="007F7B1D">
                        <w:t xml:space="preserve">We will measure </w:t>
                      </w:r>
                      <w:r>
                        <w:t>symptoms associated with</w:t>
                      </w:r>
                      <w:r w:rsidRPr="007F7B1D">
                        <w:t xml:space="preserve"> AGI and ARI among exposed and unexposed individuals and calculate </w:t>
                      </w:r>
                      <w:r>
                        <w:t>odds</w:t>
                      </w:r>
                      <w:r w:rsidRPr="007F7B1D">
                        <w:t xml:space="preserve"> ratios (</w:t>
                      </w:r>
                      <w:r>
                        <w:t>O</w:t>
                      </w:r>
                      <w:r w:rsidRPr="007F7B1D">
                        <w:t xml:space="preserve">R), risk difference, and attributable </w:t>
                      </w:r>
                      <w:r>
                        <w:t xml:space="preserve">risk </w:t>
                      </w:r>
                      <w:r w:rsidRPr="007F7B1D">
                        <w:t xml:space="preserve">percent for </w:t>
                      </w:r>
                      <w:r>
                        <w:t xml:space="preserve">symptoms of </w:t>
                      </w:r>
                      <w:r w:rsidRPr="007F7B1D">
                        <w:t xml:space="preserve">AGI and ARI associated with </w:t>
                      </w:r>
                      <w:r>
                        <w:t xml:space="preserve">low pressure events. Conditional logistic regression will be implemented to appropriately evaluate the effect of event exposure within each event. We will also control for individual-level covariates, such as age and chronic medical conditions. Additionally, </w:t>
                      </w:r>
                      <w:r w:rsidRPr="007F7B1D">
                        <w:t xml:space="preserve">we plan to stratify our analyses by type of </w:t>
                      </w:r>
                      <w:r>
                        <w:t>secondary disinfectant</w:t>
                      </w:r>
                      <w:r w:rsidRPr="007F7B1D">
                        <w:t xml:space="preserve"> used</w:t>
                      </w:r>
                      <w:r>
                        <w:t xml:space="preserve">. </w:t>
                      </w:r>
                      <w:r w:rsidRPr="007F7B1D">
                        <w:t>Descriptive and inferential statistical analyses will be condu</w:t>
                      </w:r>
                      <w:r>
                        <w:t>cted using statistical software.</w:t>
                      </w:r>
                    </w:p>
                    <w:p w14:paraId="09877FCB" w14:textId="13D55143" w:rsidR="00E22B23" w:rsidRDefault="00E22B23"/>
                  </w:txbxContent>
                </v:textbox>
                <w10:wrap type="square" anchorx="margin"/>
              </v:shape>
            </w:pict>
          </mc:Fallback>
        </mc:AlternateContent>
      </w:r>
    </w:p>
    <w:p w14:paraId="625A9114" w14:textId="27EC5311" w:rsidR="00C212B5" w:rsidRDefault="00C212B5" w:rsidP="004D3E5D"/>
    <w:p w14:paraId="3B2F42E6" w14:textId="2A53E3A9" w:rsidR="004D3E5D" w:rsidRPr="007F7B1D" w:rsidRDefault="00DE36A5" w:rsidP="004D3E5D">
      <w:r>
        <w:t>iii. Extension</w:t>
      </w:r>
    </w:p>
    <w:p w14:paraId="6E0311D9" w14:textId="77777777" w:rsidR="00F207A4" w:rsidRDefault="00F207A4" w:rsidP="004D3E5D">
      <w:pPr>
        <w:rPr>
          <w:b/>
          <w:u w:val="single"/>
        </w:rPr>
      </w:pPr>
    </w:p>
    <w:p w14:paraId="1F26331F" w14:textId="77777777" w:rsidR="004D3E5D" w:rsidRPr="007F7B1D" w:rsidRDefault="004D3E5D" w:rsidP="004D3E5D">
      <w:r w:rsidRPr="007F7B1D">
        <w:rPr>
          <w:b/>
          <w:u w:val="single"/>
        </w:rPr>
        <w:t>A. Justification</w:t>
      </w:r>
    </w:p>
    <w:p w14:paraId="1783DD45" w14:textId="77777777" w:rsidR="004D3E5D" w:rsidRPr="007F7B1D" w:rsidRDefault="004D3E5D" w:rsidP="004D3E5D"/>
    <w:p w14:paraId="38CC4B9A" w14:textId="2B91CC07" w:rsidR="004D3E5D" w:rsidRPr="003B7890" w:rsidRDefault="004D3E5D" w:rsidP="00D832B5">
      <w:pPr>
        <w:pStyle w:val="Heading1"/>
      </w:pPr>
      <w:bookmarkStart w:id="1" w:name="_Toc427663556"/>
      <w:r w:rsidRPr="00D832B5">
        <w:t xml:space="preserve">1.  </w:t>
      </w:r>
      <w:r w:rsidRPr="003B7890">
        <w:t>Circumstances Making the Collection of Information Necessary</w:t>
      </w:r>
      <w:bookmarkEnd w:id="1"/>
    </w:p>
    <w:p w14:paraId="3FCFC615" w14:textId="672A3831" w:rsidR="008A3D61" w:rsidRDefault="008A3D61" w:rsidP="00064692">
      <w:r w:rsidRPr="003B7890">
        <w:t>This is a request from CDC for a 30 month extension of existing data collection.</w:t>
      </w:r>
      <w:r w:rsidR="00CB1DA2" w:rsidRPr="003B7890">
        <w:t xml:space="preserve"> The purpose of this data collection is to conduct an epidemiologic study in the U.S. (similar to </w:t>
      </w:r>
      <w:r w:rsidR="0088407A" w:rsidRPr="003B7890">
        <w:t xml:space="preserve">a </w:t>
      </w:r>
      <w:r w:rsidR="00C31C19" w:rsidRPr="003B7890">
        <w:t>study</w:t>
      </w:r>
      <w:r w:rsidR="002037B7" w:rsidRPr="003B7890">
        <w:t xml:space="preserve"> conducted</w:t>
      </w:r>
      <w:r w:rsidR="00C31C19" w:rsidRPr="003B7890">
        <w:t xml:space="preserve"> in Norway </w:t>
      </w:r>
      <w:r w:rsidR="00CB1DA2" w:rsidRPr="003B7890">
        <w:fldChar w:fldCharType="begin"/>
      </w:r>
      <w:r w:rsidR="00CB1DA2" w:rsidRPr="003B7890">
        <w:instrText xml:space="preserve"> ADDIN EN.CITE &lt;EndNote&gt;&lt;Cite&gt;&lt;Author&gt;Nygard&lt;/Author&gt;&lt;Year&gt;2007&lt;/Year&gt;&lt;RecNum&gt;11&lt;/RecNum&gt;&lt;DisplayText&gt;(Nygard, Wahl et al. 2007)&lt;/DisplayText&gt;&lt;record&gt;&lt;rec-number&gt;11&lt;/rec-number&gt;&lt;foreign-keys&gt;&lt;key app="EN" db-id="stxs2vtwj9avpue5a9ixasf7taxrpwpxeta2"&gt;11&lt;/key&gt;&lt;/foreign-keys&gt;&lt;ref-type name="Journal Article"&gt;17&lt;/ref-type&gt;&lt;contributors&gt;&lt;authors&gt;&lt;author&gt;Nygard, K.&lt;/author&gt;&lt;author&gt;Wahl, E.&lt;/author&gt;&lt;author&gt;Krogh, T.&lt;/author&gt;&lt;author&gt;Tveit, O. A.&lt;/author&gt;&lt;author&gt;Bohleng, E.&lt;/author&gt;&lt;author&gt;Tverdal, A.&lt;/author&gt;&lt;author&gt;Aavitsland, P.&lt;/author&gt;&lt;/authors&gt;&lt;/contributors&gt;&lt;titles&gt;&lt;title&gt;Breaks and maintenance work in the water distribution systems and gastrointestinal illness: a cohort study&lt;/title&gt;&lt;secondary-title&gt;International Journal of Epidemiology&lt;/secondary-title&gt;&lt;/titles&gt;&lt;periodical&gt;&lt;full-title&gt;International Journal of Epidemiology&lt;/full-title&gt;&lt;/periodical&gt;&lt;pages&gt;873-880&lt;/pages&gt;&lt;volume&gt;36&lt;/volume&gt;&lt;number&gt;4&lt;/number&gt;&lt;dates&gt;&lt;year&gt;2007&lt;/year&gt;&lt;pub-dates&gt;&lt;date&gt;Aug&lt;/date&gt;&lt;/pub-dates&gt;&lt;/dates&gt;&lt;isbn&gt;0300-5771&lt;/isbn&gt;&lt;urls&gt;&lt;/urls&gt;&lt;language&gt;English&lt;/language&gt;&lt;/record&gt;&lt;/Cite&gt;&lt;/EndNote&gt;</w:instrText>
      </w:r>
      <w:r w:rsidR="00CB1DA2" w:rsidRPr="003B7890">
        <w:fldChar w:fldCharType="separate"/>
      </w:r>
      <w:r w:rsidR="00CB1DA2" w:rsidRPr="003B7890">
        <w:rPr>
          <w:noProof/>
        </w:rPr>
        <w:t>(</w:t>
      </w:r>
      <w:hyperlink w:anchor="_ENREF_12" w:tooltip="Nygard, 2007 #11" w:history="1">
        <w:r w:rsidR="00CB1DA2" w:rsidRPr="003B7890">
          <w:rPr>
            <w:noProof/>
          </w:rPr>
          <w:t>Nygard, Wahl et al. 2007</w:t>
        </w:r>
      </w:hyperlink>
      <w:r w:rsidR="00CB1DA2" w:rsidRPr="003B7890">
        <w:rPr>
          <w:noProof/>
        </w:rPr>
        <w:t>)</w:t>
      </w:r>
      <w:r w:rsidR="00CB1DA2" w:rsidRPr="003B7890">
        <w:fldChar w:fldCharType="end"/>
      </w:r>
      <w:r w:rsidR="00CB1DA2" w:rsidRPr="003B7890">
        <w:t>) to assess whether individuals exposed to low pressure events in the water distribution system are at an increased risk for acute gastrointestinal or respiratory illnesses</w:t>
      </w:r>
      <w:r w:rsidR="003502F3" w:rsidRPr="003B7890">
        <w:t>.</w:t>
      </w:r>
      <w:r w:rsidR="00CB1DA2" w:rsidRPr="003B7890">
        <w:t xml:space="preserve"> </w:t>
      </w:r>
      <w:r w:rsidRPr="003B7890">
        <w:t xml:space="preserve">Pursuant to the terms of clearance, a non-substantive change request was required after completion of </w:t>
      </w:r>
      <w:r w:rsidR="00A1400D" w:rsidRPr="003B7890">
        <w:t>a</w:t>
      </w:r>
      <w:r w:rsidRPr="003B7890">
        <w:t xml:space="preserve"> pilot study and was approved</w:t>
      </w:r>
      <w:r w:rsidR="0088407A" w:rsidRPr="003B7890">
        <w:t xml:space="preserve"> on</w:t>
      </w:r>
      <w:r w:rsidRPr="003B7890">
        <w:t xml:space="preserve"> 11/12/2014.</w:t>
      </w:r>
      <w:r w:rsidR="0088407A" w:rsidRPr="003B7890">
        <w:t xml:space="preserve"> Pilot study d</w:t>
      </w:r>
      <w:r w:rsidRPr="003B7890">
        <w:t>ata collection, analysis, an</w:t>
      </w:r>
      <w:r w:rsidR="0088407A" w:rsidRPr="003B7890">
        <w:t xml:space="preserve">d evaluation </w:t>
      </w:r>
      <w:r w:rsidRPr="003B7890">
        <w:t xml:space="preserve">took longer than expected, and there were delays in implementing data infrastructure and IT updates needed to scale-up the procedures for a multi-site study. To address this, we </w:t>
      </w:r>
      <w:r w:rsidR="00504623" w:rsidRPr="003B7890">
        <w:t xml:space="preserve">are asking </w:t>
      </w:r>
      <w:r w:rsidRPr="003B7890">
        <w:t xml:space="preserve">for a 30 month extension for </w:t>
      </w:r>
      <w:r w:rsidRPr="003B7890">
        <w:lastRenderedPageBreak/>
        <w:t xml:space="preserve">data collection. </w:t>
      </w:r>
      <w:r w:rsidRPr="003B7890">
        <w:rPr>
          <w:bCs/>
        </w:rPr>
        <w:t xml:space="preserve">The approved OMB expiration date is </w:t>
      </w:r>
      <w:r w:rsidRPr="003B7890">
        <w:rPr>
          <w:szCs w:val="24"/>
        </w:rPr>
        <w:t xml:space="preserve">03/31/2016, </w:t>
      </w:r>
      <w:r w:rsidRPr="003B7890">
        <w:rPr>
          <w:bCs/>
        </w:rPr>
        <w:t>but this will not allow enough time to complete the data collection</w:t>
      </w:r>
      <w:r w:rsidRPr="003B7890">
        <w:t>.</w:t>
      </w:r>
      <w:r w:rsidR="004E2903" w:rsidRPr="003B7890">
        <w:t xml:space="preserve"> Additionally, the extension would allow the study team to stagger the utility enrollment to help streamline data collection over</w:t>
      </w:r>
      <w:r w:rsidR="00165E95" w:rsidRPr="003B7890">
        <w:t xml:space="preserve"> all</w:t>
      </w:r>
      <w:r w:rsidR="004E2903" w:rsidRPr="003B7890">
        <w:t xml:space="preserve"> study events.</w:t>
      </w:r>
      <w:r w:rsidR="004E2903">
        <w:t xml:space="preserve"> </w:t>
      </w:r>
    </w:p>
    <w:p w14:paraId="20EEE933" w14:textId="77777777" w:rsidR="008A3D61" w:rsidRDefault="008A3D61" w:rsidP="00064692"/>
    <w:p w14:paraId="08750DA4" w14:textId="0C086A18" w:rsidR="008A3D61" w:rsidRDefault="008A3D61" w:rsidP="008A3D61">
      <w:r>
        <w:t xml:space="preserve">There are no </w:t>
      </w:r>
      <w:r w:rsidRPr="00B20337">
        <w:t xml:space="preserve">proposed changes to the methodology, respondents, </w:t>
      </w:r>
      <w:r>
        <w:t xml:space="preserve">or </w:t>
      </w:r>
      <w:r w:rsidRPr="00B20337">
        <w:t>information collection forms</w:t>
      </w:r>
      <w:r>
        <w:t xml:space="preserve"> in this extension request</w:t>
      </w:r>
      <w:r w:rsidRPr="00B20337">
        <w:t>.</w:t>
      </w:r>
      <w:r>
        <w:t xml:space="preserve"> </w:t>
      </w:r>
      <w:r w:rsidR="00DE36A5">
        <w:t xml:space="preserve">The site from the pilot volunteered to participate in the multi-site study, and </w:t>
      </w:r>
      <w:r w:rsidR="003A54BA">
        <w:t>four</w:t>
      </w:r>
      <w:r w:rsidR="00DE36A5">
        <w:t xml:space="preserve"> additional utilities have </w:t>
      </w:r>
      <w:r w:rsidR="00017DA3">
        <w:t>expressed interest in participating</w:t>
      </w:r>
      <w:r w:rsidR="00DE36A5">
        <w:t xml:space="preserve">. </w:t>
      </w:r>
      <w:r w:rsidR="006B08EA">
        <w:t xml:space="preserve">The </w:t>
      </w:r>
      <w:r w:rsidR="003A54BA">
        <w:t>five</w:t>
      </w:r>
      <w:r w:rsidR="006B08EA">
        <w:t xml:space="preserve"> utilities are </w:t>
      </w:r>
      <w:r w:rsidR="004373A9">
        <w:t>diverse in their geographic locations</w:t>
      </w:r>
      <w:r w:rsidR="009D68C0">
        <w:t>, size of population served,</w:t>
      </w:r>
      <w:r w:rsidR="004373A9">
        <w:t xml:space="preserve"> and </w:t>
      </w:r>
      <w:r w:rsidR="004E2903">
        <w:t>s</w:t>
      </w:r>
      <w:r w:rsidR="00CE0A41">
        <w:t>econdary disinfectant types (i.e., t</w:t>
      </w:r>
      <w:r w:rsidR="003A54BA">
        <w:t>wo</w:t>
      </w:r>
      <w:r w:rsidR="00CE0A41">
        <w:t xml:space="preserve"> use monochloramine and three use chlorine), which </w:t>
      </w:r>
      <w:r w:rsidR="003E62D3">
        <w:t>would</w:t>
      </w:r>
      <w:r w:rsidR="00CE0A41">
        <w:t xml:space="preserve"> </w:t>
      </w:r>
      <w:r w:rsidR="006362A9">
        <w:t>facilitate</w:t>
      </w:r>
      <w:r w:rsidR="00CE0A41">
        <w:t xml:space="preserve"> stratified analyses by disinfectant type</w:t>
      </w:r>
      <w:r w:rsidR="00CE2F4E">
        <w:t>, which is one of the team’s</w:t>
      </w:r>
      <w:r w:rsidR="00DE36A5">
        <w:t xml:space="preserve"> analysis goals</w:t>
      </w:r>
      <w:r w:rsidR="00CE0A41">
        <w:t>.</w:t>
      </w:r>
      <w:r>
        <w:t xml:space="preserve"> Annualized costs </w:t>
      </w:r>
      <w:r w:rsidR="00DF27AB">
        <w:t xml:space="preserve">to respondents </w:t>
      </w:r>
      <w:r>
        <w:t xml:space="preserve">were updated with May 2014 U.S. </w:t>
      </w:r>
      <w:r w:rsidRPr="0014255F">
        <w:t>Department of Labor’s national occupational empl</w:t>
      </w:r>
      <w:r>
        <w:t xml:space="preserve">oyment and wage estimates data to reflect changes to the mean hourly wages. </w:t>
      </w:r>
      <w:r w:rsidR="00DF27AB">
        <w:t>Annualized costs to the government were updated to reflect the 30 month extension request.</w:t>
      </w:r>
    </w:p>
    <w:p w14:paraId="11BD076F" w14:textId="77777777" w:rsidR="008A3D61" w:rsidRDefault="008A3D61" w:rsidP="008A3D61"/>
    <w:p w14:paraId="324B6B0D" w14:textId="513F6668" w:rsidR="004E2903" w:rsidRDefault="00CB1DA2" w:rsidP="00CB1DA2">
      <w:pPr>
        <w:autoSpaceDE w:val="0"/>
        <w:autoSpaceDN w:val="0"/>
        <w:adjustRightInd w:val="0"/>
      </w:pPr>
      <w:r>
        <w:t xml:space="preserve">The </w:t>
      </w:r>
      <w:r w:rsidR="00C31C19">
        <w:t xml:space="preserve">CDC </w:t>
      </w:r>
      <w:r>
        <w:t xml:space="preserve">study team </w:t>
      </w:r>
      <w:r w:rsidRPr="006A21E7">
        <w:t>finalize</w:t>
      </w:r>
      <w:r>
        <w:t>d</w:t>
      </w:r>
      <w:r w:rsidRPr="006A21E7">
        <w:t xml:space="preserve"> the study design, protocols, household survey, and other data collectio</w:t>
      </w:r>
      <w:r>
        <w:t>n instruments following</w:t>
      </w:r>
      <w:r w:rsidRPr="006A21E7">
        <w:t xml:space="preserve"> the com</w:t>
      </w:r>
      <w:r>
        <w:t>pletion and post-evaluation of the</w:t>
      </w:r>
      <w:r w:rsidRPr="006A21E7">
        <w:t xml:space="preserve"> pilot study</w:t>
      </w:r>
      <w:r w:rsidR="00017DA3">
        <w:t xml:space="preserve"> (see Attachment C for pilot evaluation logical framework</w:t>
      </w:r>
      <w:r w:rsidR="00F7185E">
        <w:t xml:space="preserve"> and Attachment D for pilot summary and evaluation report</w:t>
      </w:r>
      <w:r w:rsidR="00017DA3">
        <w:t>)</w:t>
      </w:r>
      <w:r w:rsidRPr="006A21E7">
        <w:t>.</w:t>
      </w:r>
      <w:r>
        <w:t xml:space="preserve"> </w:t>
      </w:r>
      <w:r w:rsidR="002731D5">
        <w:t xml:space="preserve">The team produced a pilot evaluation report (Gargano, Hill et al. 2014) to create awareness of the study within the water industry and </w:t>
      </w:r>
      <w:r w:rsidR="004E2903">
        <w:t xml:space="preserve">to </w:t>
      </w:r>
      <w:r w:rsidR="002731D5">
        <w:t>solicit utility participants for the multi-site study</w:t>
      </w:r>
      <w:r w:rsidR="00F7185E">
        <w:t xml:space="preserve"> (Attachment D)</w:t>
      </w:r>
      <w:r w:rsidR="002731D5">
        <w:t>.</w:t>
      </w:r>
      <w:r w:rsidR="007312BD">
        <w:t xml:space="preserve"> The team also presented </w:t>
      </w:r>
      <w:r w:rsidR="002731D5">
        <w:t>pilot results to water industry stakeholders at</w:t>
      </w:r>
      <w:r w:rsidR="007312BD">
        <w:t xml:space="preserve"> the American Water Works Association (AWWA) 2014 Water Quality Technology Conference (Hill, Gargano et al. 2014).</w:t>
      </w:r>
      <w:r w:rsidR="002731D5">
        <w:t xml:space="preserve"> </w:t>
      </w:r>
      <w:r>
        <w:t xml:space="preserve">The team </w:t>
      </w:r>
      <w:r w:rsidRPr="006A21E7">
        <w:t>obtain</w:t>
      </w:r>
      <w:r>
        <w:t>ed</w:t>
      </w:r>
      <w:r w:rsidRPr="006A21E7">
        <w:t xml:space="preserve"> necessary </w:t>
      </w:r>
      <w:r>
        <w:t xml:space="preserve">human </w:t>
      </w:r>
      <w:r>
        <w:lastRenderedPageBreak/>
        <w:t xml:space="preserve">subjects research approvals </w:t>
      </w:r>
      <w:r w:rsidRPr="006A21E7">
        <w:t>and negotiated the terms of the project funding contrac</w:t>
      </w:r>
      <w:r>
        <w:t xml:space="preserve">t </w:t>
      </w:r>
      <w:r w:rsidRPr="006A21E7">
        <w:t>to secure</w:t>
      </w:r>
      <w:r>
        <w:t xml:space="preserve"> the remaining </w:t>
      </w:r>
      <w:r w:rsidRPr="006A21E7">
        <w:t>external funds for the study.</w:t>
      </w:r>
      <w:r>
        <w:t xml:space="preserve"> Following full study OMB and IRB approval, the team </w:t>
      </w:r>
      <w:r w:rsidRPr="006A21E7">
        <w:t>develop</w:t>
      </w:r>
      <w:r>
        <w:t>ed</w:t>
      </w:r>
      <w:r w:rsidRPr="006A21E7">
        <w:t xml:space="preserve"> data infrastructure</w:t>
      </w:r>
      <w:r>
        <w:t xml:space="preserve"> and data management guidelines for the full study and </w:t>
      </w:r>
      <w:r w:rsidR="004373A9">
        <w:t>recruited</w:t>
      </w:r>
      <w:r>
        <w:t xml:space="preserve"> additional volunteer utility participants.</w:t>
      </w:r>
      <w:r w:rsidRPr="00CB1DA2">
        <w:t xml:space="preserve"> </w:t>
      </w:r>
    </w:p>
    <w:p w14:paraId="1815DA52" w14:textId="77777777" w:rsidR="00DE36A5" w:rsidRDefault="00DE36A5" w:rsidP="00CB1DA2">
      <w:pPr>
        <w:autoSpaceDE w:val="0"/>
        <w:autoSpaceDN w:val="0"/>
        <w:adjustRightInd w:val="0"/>
      </w:pPr>
    </w:p>
    <w:p w14:paraId="6679D545" w14:textId="230A0931" w:rsidR="00CB1DA2" w:rsidRPr="006A21E7" w:rsidRDefault="004E2903" w:rsidP="00CB1DA2">
      <w:pPr>
        <w:autoSpaceDE w:val="0"/>
        <w:autoSpaceDN w:val="0"/>
        <w:adjustRightInd w:val="0"/>
      </w:pPr>
      <w:r>
        <w:t>The study team launched the full study</w:t>
      </w:r>
      <w:r w:rsidR="003E62D3">
        <w:t xml:space="preserve"> in July 2015</w:t>
      </w:r>
      <w:r>
        <w:t xml:space="preserve"> and started data collection at the first utility </w:t>
      </w:r>
      <w:r w:rsidR="00007BA0">
        <w:t>site</w:t>
      </w:r>
      <w:r>
        <w:t>;</w:t>
      </w:r>
      <w:r w:rsidRPr="004E2903">
        <w:t xml:space="preserve"> </w:t>
      </w:r>
      <w:r>
        <w:t xml:space="preserve">utility </w:t>
      </w:r>
      <w:r w:rsidR="00007BA0">
        <w:t>enrollment</w:t>
      </w:r>
      <w:r w:rsidR="002761D7">
        <w:t xml:space="preserve"> </w:t>
      </w:r>
      <w:r w:rsidR="00ED737E">
        <w:t>is being</w:t>
      </w:r>
      <w:r w:rsidR="00007BA0">
        <w:t xml:space="preserve"> s</w:t>
      </w:r>
      <w:r>
        <w:t>taggered to streamline data collection.</w:t>
      </w:r>
      <w:r w:rsidR="007560E2">
        <w:t xml:space="preserve"> Six low pressure events have occurred at two utility sites. CDC has received completed surveys from 1</w:t>
      </w:r>
      <w:r w:rsidR="00E22B23">
        <w:t>27</w:t>
      </w:r>
      <w:r w:rsidR="007560E2">
        <w:t xml:space="preserve"> households in low</w:t>
      </w:r>
      <w:r w:rsidR="00E22B23">
        <w:t xml:space="preserve"> pressure (exposed) areas and 18</w:t>
      </w:r>
      <w:r w:rsidR="007560E2">
        <w:t>6 households in unexposed control areas, although survey administration is</w:t>
      </w:r>
      <w:r w:rsidR="0017432F">
        <w:t xml:space="preserve"> still</w:t>
      </w:r>
      <w:r w:rsidR="007560E2">
        <w:t xml:space="preserve"> ongoing for 4 of the 6 events</w:t>
      </w:r>
      <w:r w:rsidR="00ED737E">
        <w:t xml:space="preserve">. </w:t>
      </w:r>
      <w:r w:rsidR="008D5578">
        <w:t xml:space="preserve">The average response rates for the first four events is 40%, although data collection is still ongoing </w:t>
      </w:r>
      <w:r w:rsidR="00E47147">
        <w:t xml:space="preserve">for two of these events. </w:t>
      </w:r>
      <w:r w:rsidR="0017432F">
        <w:t>CDC brought a third utility site on board in January 2016 and will begin data collection at this site once an eligible main break or repair occurs.</w:t>
      </w:r>
      <w:r w:rsidR="001E682D">
        <w:t xml:space="preserve"> The fourth utility site is expected to begin data collection in Mar</w:t>
      </w:r>
      <w:r w:rsidR="00796B2A">
        <w:t>ch 2016, and the remaining site</w:t>
      </w:r>
      <w:r w:rsidR="001E682D">
        <w:t xml:space="preserve"> later in 2016.</w:t>
      </w:r>
      <w:r w:rsidR="0017432F">
        <w:t xml:space="preserve"> </w:t>
      </w:r>
      <w:r w:rsidR="00CB1DA2">
        <w:t>The study team d</w:t>
      </w:r>
      <w:r w:rsidR="00CB1DA2" w:rsidRPr="006A21E7">
        <w:t>evelop</w:t>
      </w:r>
      <w:r w:rsidR="00CB1DA2">
        <w:t>ed</w:t>
      </w:r>
      <w:r w:rsidR="00CB1DA2" w:rsidRPr="006A21E7">
        <w:t xml:space="preserve"> field protocols to guide water utility partners in the epidemiologic components of the study and conduct</w:t>
      </w:r>
      <w:r w:rsidR="00CB1DA2">
        <w:t>ed</w:t>
      </w:r>
      <w:r w:rsidR="00CB1DA2" w:rsidRPr="006A21E7">
        <w:t xml:space="preserve"> extensive training with utility personnel responsible for field and laboratory data collection</w:t>
      </w:r>
      <w:r w:rsidR="00E31903">
        <w:t xml:space="preserve"> at</w:t>
      </w:r>
      <w:r w:rsidR="002731D5">
        <w:t xml:space="preserve"> the </w:t>
      </w:r>
      <w:r w:rsidR="004373A9">
        <w:t>first</w:t>
      </w:r>
      <w:r w:rsidR="00007BA0">
        <w:t xml:space="preserve"> few</w:t>
      </w:r>
      <w:r w:rsidR="004373A9">
        <w:t xml:space="preserve"> sites</w:t>
      </w:r>
      <w:r w:rsidR="00CB1DA2" w:rsidRPr="006A21E7">
        <w:t xml:space="preserve">. </w:t>
      </w:r>
      <w:r w:rsidR="002731D5">
        <w:t>The study team also</w:t>
      </w:r>
      <w:r w:rsidR="003D5520">
        <w:t xml:space="preserve"> worked with the utility communications teams to</w:t>
      </w:r>
      <w:r w:rsidR="002731D5">
        <w:t xml:space="preserve"> draft </w:t>
      </w:r>
      <w:r w:rsidR="003D5520">
        <w:t xml:space="preserve">a </w:t>
      </w:r>
      <w:r w:rsidR="00DE36A5">
        <w:t>study p</w:t>
      </w:r>
      <w:r w:rsidR="00CB1DA2" w:rsidRPr="006A21E7">
        <w:t xml:space="preserve">romotional and community outreach </w:t>
      </w:r>
      <w:r w:rsidR="00DE36A5">
        <w:t>packet</w:t>
      </w:r>
      <w:r w:rsidR="00CB1DA2" w:rsidRPr="006A21E7">
        <w:t xml:space="preserve"> including </w:t>
      </w:r>
      <w:r w:rsidR="00DE36A5">
        <w:t xml:space="preserve">a </w:t>
      </w:r>
      <w:r w:rsidR="00CB1DA2" w:rsidRPr="006A21E7">
        <w:t>press r</w:t>
      </w:r>
      <w:r w:rsidR="00DE36A5">
        <w:t>elease</w:t>
      </w:r>
      <w:r w:rsidR="00E47147">
        <w:t xml:space="preserve"> (Attachment </w:t>
      </w:r>
      <w:r w:rsidR="00F7185E">
        <w:t>E</w:t>
      </w:r>
      <w:r w:rsidR="00F23601">
        <w:t>1</w:t>
      </w:r>
      <w:r w:rsidR="00E47147">
        <w:t>)</w:t>
      </w:r>
      <w:r w:rsidR="00CB1DA2" w:rsidRPr="006A21E7">
        <w:t>, radio PSA scripts</w:t>
      </w:r>
      <w:r w:rsidR="00E47147">
        <w:t xml:space="preserve"> (Attachment </w:t>
      </w:r>
      <w:r w:rsidR="00F7185E">
        <w:t>E</w:t>
      </w:r>
      <w:r w:rsidR="00F23601">
        <w:t>2</w:t>
      </w:r>
      <w:r w:rsidR="00E47147">
        <w:t>)</w:t>
      </w:r>
      <w:r w:rsidR="00CB1DA2" w:rsidRPr="006A21E7">
        <w:t>, newsletter text</w:t>
      </w:r>
      <w:r w:rsidR="00E47147">
        <w:t xml:space="preserve"> (Attachment </w:t>
      </w:r>
      <w:r w:rsidR="00F7185E">
        <w:t>E</w:t>
      </w:r>
      <w:r w:rsidR="00F23601">
        <w:t>3)</w:t>
      </w:r>
      <w:r w:rsidR="00CB1DA2" w:rsidRPr="006A21E7">
        <w:t>, social media posts</w:t>
      </w:r>
      <w:r w:rsidR="00F7185E">
        <w:t xml:space="preserve"> (Attachment E</w:t>
      </w:r>
      <w:r w:rsidR="00F23601">
        <w:t>4</w:t>
      </w:r>
      <w:r w:rsidR="00E47147">
        <w:t>)</w:t>
      </w:r>
      <w:r w:rsidR="00CB1DA2" w:rsidRPr="006A21E7">
        <w:t>, promotional postcards</w:t>
      </w:r>
      <w:r w:rsidR="00F23601">
        <w:t xml:space="preserve"> (Attachment </w:t>
      </w:r>
      <w:r w:rsidR="00F7185E">
        <w:t>E</w:t>
      </w:r>
      <w:r w:rsidR="00F23601">
        <w:t>5</w:t>
      </w:r>
      <w:r w:rsidR="00E47147">
        <w:t>)</w:t>
      </w:r>
      <w:r w:rsidR="00CB1DA2" w:rsidRPr="006A21E7">
        <w:t>, and fact sheets</w:t>
      </w:r>
      <w:r w:rsidR="00E47147">
        <w:t xml:space="preserve"> (Attachment </w:t>
      </w:r>
      <w:r w:rsidR="00F7185E">
        <w:t>E</w:t>
      </w:r>
      <w:r w:rsidR="00F23601">
        <w:t>6-7</w:t>
      </w:r>
      <w:r w:rsidR="00E47147">
        <w:t>)</w:t>
      </w:r>
      <w:r w:rsidR="003D5520">
        <w:t>. U</w:t>
      </w:r>
      <w:r w:rsidR="002731D5">
        <w:t xml:space="preserve">tility communications staff </w:t>
      </w:r>
      <w:r w:rsidR="003D5520">
        <w:t>distributed these</w:t>
      </w:r>
      <w:r w:rsidR="00B21C50">
        <w:t xml:space="preserve"> on utility letterheads</w:t>
      </w:r>
      <w:r w:rsidR="003D5520">
        <w:t xml:space="preserve"> </w:t>
      </w:r>
      <w:r w:rsidR="002731D5">
        <w:t>as a tool to</w:t>
      </w:r>
      <w:r w:rsidR="00007BA0">
        <w:t xml:space="preserve"> </w:t>
      </w:r>
      <w:r w:rsidR="002761D7">
        <w:t xml:space="preserve">help </w:t>
      </w:r>
      <w:r w:rsidR="00007BA0">
        <w:t>ensure customers of the study’s importance and legitimacy and to</w:t>
      </w:r>
      <w:r w:rsidR="002731D5">
        <w:t xml:space="preserve"> boost survey response</w:t>
      </w:r>
      <w:r w:rsidR="00CB1DA2" w:rsidRPr="006A21E7">
        <w:t xml:space="preserve">. </w:t>
      </w:r>
    </w:p>
    <w:p w14:paraId="587C5372" w14:textId="1C5252CA" w:rsidR="00CB1DA2" w:rsidRDefault="00CB1DA2" w:rsidP="008A3D61">
      <w:r>
        <w:t xml:space="preserve"> </w:t>
      </w:r>
    </w:p>
    <w:p w14:paraId="39122A0E" w14:textId="600CD6DF" w:rsidR="0083280D" w:rsidRDefault="008A3D61" w:rsidP="00DE36A5">
      <w:r>
        <w:rPr>
          <w:bCs/>
        </w:rPr>
        <w:lastRenderedPageBreak/>
        <w:t>No existing U.S.</w:t>
      </w:r>
      <w:r w:rsidRPr="00281CDB">
        <w:rPr>
          <w:bCs/>
        </w:rPr>
        <w:t xml:space="preserve"> data sources can be used to answer this research question. </w:t>
      </w:r>
      <w:r w:rsidRPr="00281CDB">
        <w:t xml:space="preserve">Systematic </w:t>
      </w:r>
      <w:r w:rsidR="00BF79C0">
        <w:t>data collection across many low pressure events</w:t>
      </w:r>
      <w:r w:rsidRPr="00281CDB">
        <w:t xml:space="preserve">, with a study design tailored </w:t>
      </w:r>
      <w:r w:rsidR="00BF79C0">
        <w:t>for the purpose of answering the</w:t>
      </w:r>
      <w:r w:rsidRPr="00281CDB">
        <w:t xml:space="preserve"> research question, is needed to ide</w:t>
      </w:r>
      <w:r w:rsidR="00BF79C0">
        <w:t>ntify the health impacts of low pressure events</w:t>
      </w:r>
      <w:r w:rsidRPr="00281CDB">
        <w:t xml:space="preserve">. </w:t>
      </w:r>
      <w:r w:rsidRPr="007F7B1D">
        <w:t>This study would be, to our knowledge, the first U.S. study to systematically examine the association between low pressure events and acute gastrointestinal and respiratory illnesses. Study findings will help the EPA, CDC, and other drinking water stakeholders prioritize and direct future research and policy efforts that address public health risks associated with drinking water distribution systems.</w:t>
      </w:r>
      <w:r>
        <w:t xml:space="preserve"> </w:t>
      </w:r>
      <w:r w:rsidR="0083280D" w:rsidRPr="008D5786">
        <w:rPr>
          <w:iCs/>
        </w:rPr>
        <w:t xml:space="preserve">This data </w:t>
      </w:r>
      <w:r w:rsidR="0083280D" w:rsidRPr="007F0AA1">
        <w:rPr>
          <w:iCs/>
        </w:rPr>
        <w:t>collection supports CDC’s research agenda goal of “Decreasing health risks from environmental exposures,”</w:t>
      </w:r>
      <w:r w:rsidR="0083280D" w:rsidRPr="008D5786">
        <w:rPr>
          <w:iCs/>
        </w:rPr>
        <w:t xml:space="preserve"> as waterborne illnesses are environmental exposure health risks. </w:t>
      </w:r>
      <w:r w:rsidR="0083280D" w:rsidRPr="008D5786">
        <w:t xml:space="preserve">Data collection authority is found in </w:t>
      </w:r>
      <w:r w:rsidR="0083280D" w:rsidRPr="007F0AA1">
        <w:t>Section 301 of the Public Health Service Act (42 U.S.C. 241) (</w:t>
      </w:r>
      <w:r w:rsidR="00692EE7">
        <w:t>Attachment</w:t>
      </w:r>
      <w:r w:rsidR="0083280D" w:rsidRPr="007F0AA1">
        <w:t xml:space="preserve"> A).</w:t>
      </w:r>
      <w:r w:rsidR="00692EE7">
        <w:t xml:space="preserve"> </w:t>
      </w:r>
    </w:p>
    <w:p w14:paraId="768BCA1D" w14:textId="77777777" w:rsidR="00C66CB9" w:rsidRDefault="00C66CB9" w:rsidP="00D832B5">
      <w:pPr>
        <w:pStyle w:val="Heading1"/>
      </w:pPr>
      <w:bookmarkStart w:id="2" w:name="_Toc427663557"/>
    </w:p>
    <w:p w14:paraId="579B8D85" w14:textId="1F980B32" w:rsidR="004D3E5D" w:rsidRPr="00D832B5" w:rsidRDefault="004D3E5D" w:rsidP="00D832B5">
      <w:pPr>
        <w:pStyle w:val="Heading1"/>
      </w:pPr>
      <w:r w:rsidRPr="00D832B5">
        <w:t>2.  Purpose and Use of Information Collection</w:t>
      </w:r>
      <w:bookmarkEnd w:id="2"/>
    </w:p>
    <w:p w14:paraId="19AF44F5" w14:textId="5CAD8A8B" w:rsidR="00ED6DE9" w:rsidRDefault="00ED6DE9" w:rsidP="004D3E5D">
      <w:r w:rsidRPr="00281CDB">
        <w:t>The pilot study demonstrated that the study procedures will yield high-quality data needed to answer the research questions</w:t>
      </w:r>
      <w:r w:rsidR="000B4BB8">
        <w:t xml:space="preserve"> (see Attachment D</w:t>
      </w:r>
      <w:r w:rsidR="00E70DCC">
        <w:t xml:space="preserve"> for pilot summary and evaluation report</w:t>
      </w:r>
      <w:r w:rsidR="00F7185E">
        <w:t>)</w:t>
      </w:r>
      <w:r w:rsidRPr="00281CDB">
        <w:t>. Continued data collection is needed to evaluate whether LPEs are associated with illness.</w:t>
      </w:r>
    </w:p>
    <w:p w14:paraId="73F53614" w14:textId="77777777" w:rsidR="00ED6DE9" w:rsidRDefault="00ED6DE9" w:rsidP="004D3E5D"/>
    <w:p w14:paraId="0590FA44" w14:textId="16D98309" w:rsidR="004D3E5D" w:rsidRPr="007F7B1D" w:rsidRDefault="004D3E5D" w:rsidP="004D3E5D">
      <w:r w:rsidRPr="007F7B1D">
        <w:t>Contamination of water in distribution systems is a risk factor for disease, accounting for approximately 15% of drinking water outbreaks in community water systems reported during 1971–2006</w:t>
      </w:r>
      <w:r>
        <w:t xml:space="preserve"> </w:t>
      </w:r>
      <w:r>
        <w:fldChar w:fldCharType="begin"/>
      </w:r>
      <w:r w:rsidR="00587ADA">
        <w:instrText xml:space="preserve"> ADDIN EN.CITE &lt;EndNote&gt;&lt;Cite&gt;&lt;Author&gt;Craun&lt;/Author&gt;&lt;Year&gt;2010&lt;/Year&gt;&lt;RecNum&gt;5&lt;/RecNum&gt;&lt;DisplayText&gt;(Craun, Brunkard et al. 2010)&lt;/DisplayText&gt;&lt;record&gt;&lt;rec-number&gt;5&lt;/rec-number&gt;&lt;foreign-keys&gt;&lt;key app="EN" db-id="stxs2vtwj9avpue5a9ixasf7taxrpwpxeta2"&gt;5&lt;/key&gt;&lt;/foreign-keys&gt;&lt;ref-type name="Journal Article"&gt;17&lt;/ref-type&gt;&lt;contributors&gt;&lt;authors&gt;&lt;author&gt;Craun, G. F.&lt;/author&gt;&lt;author&gt;Brunkard, J. M.&lt;/author&gt;&lt;author&gt;Yoder, J. S.&lt;/author&gt;&lt;author&gt;Roberts, V. A.&lt;/author&gt;&lt;author&gt;Carpenter, J.&lt;/author&gt;&lt;author&gt;Wade, T.&lt;/author&gt;&lt;author&gt;Calderon, R. L.&lt;/author&gt;&lt;author&gt;Roberts, J. M.&lt;/author&gt;&lt;author&gt;Beach, M. J.&lt;/author&gt;&lt;author&gt;Roy, S. L.&lt;/author&gt;&lt;/authors&gt;&lt;/contributors&gt;&lt;auth-address&gt;Gunther F. Craun &amp;amp; Associates, Staunton, Virginia, USA.&lt;/auth-address&gt;&lt;titles&gt;&lt;title&gt;Causes of outbreaks associated with drinking water in the United States from 1971 to 2006&lt;/title&gt;&lt;secondary-title&gt;Clin Microbiol Rev&lt;/secondary-title&gt;&lt;/titles&gt;&lt;periodical&gt;&lt;full-title&gt;Clin Microbiol Rev&lt;/full-title&gt;&lt;/periodical&gt;&lt;pages&gt;507-28&lt;/pages&gt;&lt;volume&gt;23&lt;/volume&gt;&lt;number&gt;3&lt;/number&gt;&lt;edition&gt;2010/07/09&lt;/edition&gt;&lt;keywords&gt;&lt;keyword&gt;Communicable Diseases/*epidemiology/*transmission&lt;/keyword&gt;&lt;keyword&gt;*Disease Outbreaks&lt;/keyword&gt;&lt;keyword&gt;*Disease Transmission, Infectious&lt;/keyword&gt;&lt;keyword&gt;Humans&lt;/keyword&gt;&lt;keyword&gt;Sentinel Surveillance&lt;/keyword&gt;&lt;keyword&gt;United States/epidemiology&lt;/keyword&gt;&lt;keyword&gt;Water/*parasitology&lt;/keyword&gt;&lt;keyword&gt;*Water Microbiology&lt;/keyword&gt;&lt;keyword&gt;Water Purification&lt;/keyword&gt;&lt;/keywords&gt;&lt;dates&gt;&lt;year&gt;2010&lt;/year&gt;&lt;pub-dates&gt;&lt;date&gt;Jul&lt;/date&gt;&lt;/pub-dates&gt;&lt;/dates&gt;&lt;isbn&gt;1098-6618 (Electronic)&amp;#xD;0893-8512 (Linking)&lt;/isbn&gt;&lt;accession-num&gt;20610821&lt;/accession-num&gt;&lt;urls&gt;&lt;related-urls&gt;&lt;url&gt;http://www.ncbi.nlm.nih.gov/entrez/query.fcgi?cmd=Retrieve&amp;amp;db=PubMed&amp;amp;dopt=Citation&amp;amp;list_uids=20610821&lt;/url&gt;&lt;/related-urls&gt;&lt;/urls&gt;&lt;custom2&gt;2901654&lt;/custom2&gt;&lt;electronic-resource-num&gt;23/3/507 [pii]&amp;#xD;10.1128/CMR.00077-09&lt;/electronic-resource-num&gt;&lt;language&gt;eng&lt;/language&gt;&lt;/record&gt;&lt;/Cite&gt;&lt;/EndNote&gt;</w:instrText>
      </w:r>
      <w:r>
        <w:fldChar w:fldCharType="separate"/>
      </w:r>
      <w:r>
        <w:rPr>
          <w:noProof/>
        </w:rPr>
        <w:t>(</w:t>
      </w:r>
      <w:hyperlink w:anchor="_ENREF_4" w:tooltip="Craun, 2010 #5" w:history="1">
        <w:r w:rsidR="007578BB">
          <w:rPr>
            <w:noProof/>
          </w:rPr>
          <w:t>Craun, Brunkard et al. 2010</w:t>
        </w:r>
      </w:hyperlink>
      <w:r>
        <w:rPr>
          <w:noProof/>
        </w:rPr>
        <w:t>)</w:t>
      </w:r>
      <w:r>
        <w:fldChar w:fldCharType="end"/>
      </w:r>
      <w:r w:rsidRPr="007F7B1D">
        <w:t>. Each year, approximately 2</w:t>
      </w:r>
      <w:r w:rsidR="00A71D2C">
        <w:t>4</w:t>
      </w:r>
      <w:r w:rsidRPr="007F7B1D">
        <w:t>0,000 water main breaks occur in the U.S.</w:t>
      </w:r>
      <w:r>
        <w:t xml:space="preserve"> </w:t>
      </w:r>
      <w:r>
        <w:fldChar w:fldCharType="begin"/>
      </w:r>
      <w:r w:rsidR="00587ADA">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fldChar w:fldCharType="separate"/>
      </w:r>
      <w:r>
        <w:rPr>
          <w:noProof/>
        </w:rPr>
        <w:t>(</w:t>
      </w:r>
      <w:hyperlink w:anchor="_ENREF_18" w:tooltip="U.S. Environmental Protection Agency, 2009 #1" w:history="1">
        <w:r w:rsidR="007578BB">
          <w:rPr>
            <w:noProof/>
          </w:rPr>
          <w:t>U.S. Environmental Protection Agency 2009</w:t>
        </w:r>
      </w:hyperlink>
      <w:r>
        <w:rPr>
          <w:noProof/>
        </w:rPr>
        <w:t>)</w:t>
      </w:r>
      <w:r>
        <w:fldChar w:fldCharType="end"/>
      </w:r>
      <w:r w:rsidRPr="007F7B1D">
        <w:t xml:space="preserve"> --occasionally boil water advisories are issued, but we do</w:t>
      </w:r>
      <w:r>
        <w:t xml:space="preserve"> </w:t>
      </w:r>
      <w:r w:rsidRPr="007F7B1D">
        <w:t>n</w:t>
      </w:r>
      <w:r>
        <w:t>o</w:t>
      </w:r>
      <w:r w:rsidRPr="007F7B1D">
        <w:t xml:space="preserve">t have good data to assess whether people are getting sick when water pipes break and </w:t>
      </w:r>
      <w:r w:rsidRPr="002D04D7">
        <w:t xml:space="preserve">pressure is lost. </w:t>
      </w:r>
      <w:r w:rsidRPr="007F0AA1">
        <w:t>Few</w:t>
      </w:r>
      <w:r w:rsidRPr="002D04D7">
        <w:t xml:space="preserve"> published studies </w:t>
      </w:r>
      <w:r w:rsidRPr="002D04D7">
        <w:lastRenderedPageBreak/>
        <w:t xml:space="preserve">have </w:t>
      </w:r>
      <w:r>
        <w:t>identified</w:t>
      </w:r>
      <w:r w:rsidRPr="002D04D7">
        <w:t xml:space="preserve"> the human health risk associated with low pressure events in drinking water distribution </w:t>
      </w:r>
      <w:r w:rsidRPr="007F0AA1">
        <w:t>systems</w:t>
      </w:r>
      <w:r>
        <w:t xml:space="preserve"> </w:t>
      </w:r>
      <w:r w:rsidRPr="007F0AA1">
        <w:fldChar w:fldCharType="begin">
          <w:fldData xml:space="preserve">PEVuZE5vdGU+PENpdGU+PEF1dGhvcj5FdGhlcmlkZ2U8L0F1dGhvcj48WWVhcj4yMDExPC9ZZWFy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</w:fldData>
        </w:fldChar>
      </w:r>
      <w:r w:rsidR="00587ADA">
        <w:instrText xml:space="preserve"> ADDIN EN.CITE </w:instrText>
      </w:r>
      <w:r w:rsidR="00587ADA">
        <w:fldChar w:fldCharType="begin">
          <w:fldData xml:space="preserve">PEVuZE5vdGU+PENpdGU+PEF1dGhvcj5FdGhlcmlkZ2U8L0F1dGhvcj48WWVhcj4yMDExPC9ZZWFy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</w:fldData>
        </w:fldChar>
      </w:r>
      <w:r w:rsidR="00587ADA">
        <w:instrText xml:space="preserve"> ADDIN EN.CITE.DATA </w:instrText>
      </w:r>
      <w:r w:rsidR="00587ADA">
        <w:fldChar w:fldCharType="end"/>
      </w:r>
      <w:r w:rsidRPr="007F0AA1">
        <w:fldChar w:fldCharType="separate"/>
      </w:r>
      <w:r w:rsidRPr="007F0AA1">
        <w:rPr>
          <w:noProof/>
        </w:rPr>
        <w:t>(</w:t>
      </w:r>
      <w:hyperlink w:anchor="_ENREF_14" w:tooltip="Payment, 1997 #9" w:history="1">
        <w:r w:rsidR="007578BB" w:rsidRPr="007F0AA1">
          <w:rPr>
            <w:noProof/>
          </w:rPr>
          <w:t>Payment, Siemiatycki et al. 1997</w:t>
        </w:r>
      </w:hyperlink>
      <w:r w:rsidRPr="007F0AA1">
        <w:rPr>
          <w:noProof/>
        </w:rPr>
        <w:t xml:space="preserve">; </w:t>
      </w:r>
      <w:hyperlink w:anchor="_ENREF_8" w:tooltip="Hunter, 2005 #24" w:history="1">
        <w:r w:rsidR="007578BB" w:rsidRPr="007F0AA1">
          <w:rPr>
            <w:noProof/>
          </w:rPr>
          <w:t>Hunter, Chalmers et al. 2005</w:t>
        </w:r>
      </w:hyperlink>
      <w:r w:rsidRPr="007F0AA1">
        <w:rPr>
          <w:noProof/>
        </w:rPr>
        <w:t xml:space="preserve">; </w:t>
      </w:r>
      <w:hyperlink w:anchor="_ENREF_12" w:tooltip="Nygard, 2007 #11" w:history="1">
        <w:r w:rsidR="007578BB" w:rsidRPr="007F0AA1">
          <w:rPr>
            <w:noProof/>
          </w:rPr>
          <w:t>Nygard, Wahl et al. 2007</w:t>
        </w:r>
      </w:hyperlink>
      <w:r w:rsidRPr="007F0AA1">
        <w:rPr>
          <w:noProof/>
        </w:rPr>
        <w:t xml:space="preserve">; </w:t>
      </w:r>
      <w:hyperlink w:anchor="_ENREF_6" w:tooltip="Etheridge, 2011 #23" w:history="1">
        <w:r w:rsidR="007578BB" w:rsidRPr="007F0AA1">
          <w:rPr>
            <w:noProof/>
          </w:rPr>
          <w:t>Etheridge 2011</w:t>
        </w:r>
      </w:hyperlink>
      <w:r w:rsidRPr="007F0AA1">
        <w:rPr>
          <w:noProof/>
        </w:rPr>
        <w:t>)</w:t>
      </w:r>
      <w:r w:rsidRPr="007F0AA1">
        <w:fldChar w:fldCharType="end"/>
      </w:r>
      <w:r>
        <w:t>.</w:t>
      </w:r>
      <w:r w:rsidRPr="002D04D7">
        <w:t xml:space="preserve"> </w:t>
      </w:r>
      <w:r w:rsidRPr="007F0AA1">
        <w:t>Two of these were prospective studies conducted outside the United States</w:t>
      </w:r>
      <w:r>
        <w:t xml:space="preserve"> </w:t>
      </w:r>
      <w:r w:rsidRPr="007F0AA1">
        <w:fldChar w:fldCharType="begin">
          <w:fldData xml:space="preserve">PEVuZE5vdGU+PENpdGU+PEF1dGhvcj5OeWdhcmQ8L0F1dGhvcj48WWVhcj4yMDA3PC9ZZWFyPjxS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==
</w:fldData>
        </w:fldChar>
      </w:r>
      <w:r w:rsidR="00587ADA">
        <w:instrText xml:space="preserve"> ADDIN EN.CITE </w:instrText>
      </w:r>
      <w:r w:rsidR="00587ADA">
        <w:fldChar w:fldCharType="begin">
          <w:fldData xml:space="preserve">PEVuZE5vdGU+PENpdGU+PEF1dGhvcj5OeWdhcmQ8L0F1dGhvcj48WWVhcj4yMDA3PC9ZZWFyPjxS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==
</w:fldData>
        </w:fldChar>
      </w:r>
      <w:r w:rsidR="00587ADA">
        <w:instrText xml:space="preserve"> ADDIN EN.CITE.DATA </w:instrText>
      </w:r>
      <w:r w:rsidR="00587ADA">
        <w:fldChar w:fldCharType="end"/>
      </w:r>
      <w:r w:rsidRPr="007F0AA1">
        <w:fldChar w:fldCharType="separate"/>
      </w:r>
      <w:r w:rsidRPr="007F0AA1">
        <w:rPr>
          <w:noProof/>
        </w:rPr>
        <w:t>(</w:t>
      </w:r>
      <w:hyperlink w:anchor="_ENREF_14" w:tooltip="Payment, 1997 #9" w:history="1">
        <w:r w:rsidR="007578BB" w:rsidRPr="007F0AA1">
          <w:rPr>
            <w:noProof/>
          </w:rPr>
          <w:t>Payment, Siemiatycki et al. 1997</w:t>
        </w:r>
      </w:hyperlink>
      <w:r w:rsidRPr="007F0AA1">
        <w:rPr>
          <w:noProof/>
        </w:rPr>
        <w:t xml:space="preserve">; </w:t>
      </w:r>
      <w:hyperlink w:anchor="_ENREF_12" w:tooltip="Nygard, 2007 #11" w:history="1">
        <w:r w:rsidR="007578BB" w:rsidRPr="007F0AA1">
          <w:rPr>
            <w:noProof/>
          </w:rPr>
          <w:t>Nygard, Wahl et al. 2007</w:t>
        </w:r>
      </w:hyperlink>
      <w:r w:rsidRPr="007F0AA1">
        <w:rPr>
          <w:noProof/>
        </w:rPr>
        <w:t>)</w:t>
      </w:r>
      <w:r w:rsidRPr="007F0AA1">
        <w:fldChar w:fldCharType="end"/>
      </w:r>
      <w:r w:rsidRPr="007F0AA1">
        <w:t>, and two were retrospective</w:t>
      </w:r>
      <w:r>
        <w:t xml:space="preserve"> studies that relied on self-report of low pressure as well as self-report of symptoms </w:t>
      </w:r>
      <w:r w:rsidRPr="007F0AA1">
        <w:fldChar w:fldCharType="begin">
          <w:fldData xml:space="preserve">PEVuZE5vdGU+PENpdGU+PEF1dGhvcj5FdGhlcmlkZ2U8L0F1dGhvcj48WWVhcj4yMDExPC9ZZWFy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eSBvZiBBbWVyaWNhPC9hYmJyLTE+PC9hbHQtcGVyaW9kaWNhbD48cGFnZXM+ZTMyLTQ8L3BhZ2Vz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</w:fldData>
        </w:fldChar>
      </w:r>
      <w:r w:rsidR="00587ADA">
        <w:instrText xml:space="preserve"> ADDIN EN.CITE </w:instrText>
      </w:r>
      <w:r w:rsidR="00587ADA">
        <w:fldChar w:fldCharType="begin">
          <w:fldData xml:space="preserve">PEVuZE5vdGU+PENpdGU+PEF1dGhvcj5FdGhlcmlkZ2U8L0F1dGhvcj48WWVhcj4yMDExPC9ZZWFy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eSBvZiBBbWVyaWNhPC9hYmJyLTE+PC9hbHQtcGVyaW9kaWNhbD48cGFnZXM+ZTMyLTQ8L3BhZ2Vz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</w:fldData>
        </w:fldChar>
      </w:r>
      <w:r w:rsidR="00587ADA">
        <w:instrText xml:space="preserve"> ADDIN EN.CITE.DATA </w:instrText>
      </w:r>
      <w:r w:rsidR="00587ADA">
        <w:fldChar w:fldCharType="end"/>
      </w:r>
      <w:r w:rsidRPr="007F0AA1">
        <w:fldChar w:fldCharType="separate"/>
      </w:r>
      <w:r w:rsidRPr="007F0AA1">
        <w:rPr>
          <w:noProof/>
        </w:rPr>
        <w:t>(</w:t>
      </w:r>
      <w:hyperlink w:anchor="_ENREF_8" w:tooltip="Hunter, 2005 #24" w:history="1">
        <w:r w:rsidR="007578BB" w:rsidRPr="007F0AA1">
          <w:rPr>
            <w:noProof/>
          </w:rPr>
          <w:t>Hunter, Chalmers et al. 2005</w:t>
        </w:r>
      </w:hyperlink>
      <w:r w:rsidRPr="007F0AA1">
        <w:rPr>
          <w:noProof/>
        </w:rPr>
        <w:t xml:space="preserve">; </w:t>
      </w:r>
      <w:hyperlink w:anchor="_ENREF_6" w:tooltip="Etheridge, 2011 #23" w:history="1">
        <w:r w:rsidR="007578BB" w:rsidRPr="007F0AA1">
          <w:rPr>
            <w:noProof/>
          </w:rPr>
          <w:t>Etheridge 2011</w:t>
        </w:r>
      </w:hyperlink>
      <w:r w:rsidRPr="007F0AA1">
        <w:rPr>
          <w:noProof/>
        </w:rPr>
        <w:t>)</w:t>
      </w:r>
      <w:r w:rsidRPr="007F0AA1">
        <w:fldChar w:fldCharType="end"/>
      </w:r>
      <w:r w:rsidRPr="007F0AA1">
        <w:t>. One</w:t>
      </w:r>
      <w:r w:rsidRPr="002D04D7">
        <w:t xml:space="preserve"> </w:t>
      </w:r>
      <w:r w:rsidRPr="007F0AA1">
        <w:t xml:space="preserve">retrospective </w:t>
      </w:r>
      <w:r w:rsidRPr="002D04D7">
        <w:t>study</w:t>
      </w:r>
      <w:r w:rsidRPr="007F0AA1">
        <w:t xml:space="preserve"> conducted in the United States,</w:t>
      </w:r>
      <w:r w:rsidRPr="002D04D7">
        <w:t xml:space="preserve"> </w:t>
      </w:r>
      <w:r w:rsidRPr="007F0AA1">
        <w:t>following a water emergency in Alabama,</w:t>
      </w:r>
      <w:r w:rsidRPr="002D04D7">
        <w:t xml:space="preserve"> </w:t>
      </w:r>
      <w:r w:rsidRPr="007F0AA1">
        <w:t>identified</w:t>
      </w:r>
      <w:r w:rsidRPr="002D04D7">
        <w:t xml:space="preserve"> significant dose-response </w:t>
      </w:r>
      <w:r w:rsidRPr="007F0AA1">
        <w:t>associations between</w:t>
      </w:r>
      <w:r w:rsidRPr="002D04D7">
        <w:t xml:space="preserve"> </w:t>
      </w:r>
      <w:r w:rsidRPr="007F0AA1">
        <w:t xml:space="preserve">number of days of </w:t>
      </w:r>
      <w:r w:rsidRPr="002D04D7">
        <w:t xml:space="preserve">low water pressure or loss of water service and </w:t>
      </w:r>
      <w:r w:rsidRPr="007F0AA1">
        <w:t xml:space="preserve">increased prevalence of </w:t>
      </w:r>
      <w:r w:rsidRPr="002D04D7">
        <w:t>self-reported AGI</w:t>
      </w:r>
      <w:r w:rsidRPr="007F0AA1">
        <w:t xml:space="preserve"> </w:t>
      </w:r>
      <w:r w:rsidRPr="007F0AA1">
        <w:fldChar w:fldCharType="begin"/>
      </w:r>
      <w:r w:rsidR="00587ADA">
        <w:instrText xml:space="preserve"> ADDIN EN.CITE &lt;EndNote&gt;&lt;Cite&gt;&lt;Author&gt;Etheridge&lt;/Author&gt;&lt;Year&gt;2011&lt;/Year&gt;&lt;RecNum&gt;23&lt;/RecNum&gt;&lt;DisplayText&gt;(Etheridge 2011)&lt;/DisplayText&gt;&lt;record&gt;&lt;rec-number&gt;23&lt;/rec-number&gt;&lt;foreign-keys&gt;&lt;key app="EN" db-id="stxs2vtwj9avpue5a9ixasf7taxrpwpxeta2"&gt;23&lt;/key&gt;&lt;/foreign-keys&gt;&lt;ref-type name="Report"&gt;27&lt;/ref-type&gt;&lt;contributors&gt;&lt;authors&gt;&lt;author&gt;Etheridge, B; Porter, T; Holiday, J; Underwood, R; Woernle, C; Zajac, L; Morrison, M; Brunkard, J; Miller, M; Otto, C; Hightower, A; Wolkon, A; Gargano, J; Freeland, A; EIS Officers&lt;/author&gt;&lt;/authors&gt;&lt;/contributors&gt;&lt;titles&gt;&lt;title&gt;Community Health Impact of Extended Loss of Water Service - Alabama, January 2010&lt;/title&gt;&lt;secondary-title&gt;Morbidity and Mortality Weekly Report&lt;/secondary-title&gt;&lt;short-title&gt;MMWR&lt;/short-title&gt;&lt;/titles&gt;&lt;pages&gt;161 - 166&lt;/pages&gt;&lt;volume&gt;60&lt;/volume&gt;&lt;dates&gt;&lt;year&gt;2011&lt;/year&gt;&lt;pub-dates&gt;&lt;date&gt;February 18, 2011&lt;/date&gt;&lt;/pub-dates&gt;&lt;/dates&gt;&lt;publisher&gt;Centers for Disease Control and Prevention&lt;/publisher&gt;&lt;isbn&gt;6&lt;/isbn&gt;&lt;urls&gt;&lt;/urls&gt;&lt;/record&gt;&lt;/Cite&gt;&lt;/EndNote&gt;</w:instrText>
      </w:r>
      <w:r w:rsidRPr="007F0AA1">
        <w:fldChar w:fldCharType="separate"/>
      </w:r>
      <w:r w:rsidRPr="007F0AA1">
        <w:rPr>
          <w:noProof/>
        </w:rPr>
        <w:t>(</w:t>
      </w:r>
      <w:hyperlink w:anchor="_ENREF_6" w:tooltip="Etheridge, 2011 #23" w:history="1">
        <w:r w:rsidR="007578BB" w:rsidRPr="007F0AA1">
          <w:rPr>
            <w:noProof/>
          </w:rPr>
          <w:t>Etheridge 2011</w:t>
        </w:r>
      </w:hyperlink>
      <w:r w:rsidRPr="007F0AA1">
        <w:rPr>
          <w:noProof/>
        </w:rPr>
        <w:t>)</w:t>
      </w:r>
      <w:r w:rsidRPr="007F0AA1">
        <w:fldChar w:fldCharType="end"/>
      </w:r>
      <w:r w:rsidRPr="002D04D7">
        <w:t>.</w:t>
      </w:r>
      <w:r>
        <w:t xml:space="preserve"> </w:t>
      </w:r>
    </w:p>
    <w:p w14:paraId="25DDB91A" w14:textId="77777777" w:rsidR="004D3E5D" w:rsidRPr="007F7B1D" w:rsidRDefault="004D3E5D" w:rsidP="004D3E5D"/>
    <w:p w14:paraId="4612EF57" w14:textId="0DB6953A" w:rsidR="00C52B65" w:rsidRDefault="004D3E5D" w:rsidP="004D3E5D">
      <w:r w:rsidRPr="007F7B1D">
        <w:t xml:space="preserve">The U.S. EPA estimates that we will need to invest approximately $300 billion over the next 20 years to upgrade and replace our aging drinking water infrastructure </w:t>
      </w:r>
      <w:r>
        <w:fldChar w:fldCharType="begin"/>
      </w:r>
      <w:r w:rsidR="00587ADA">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fldChar w:fldCharType="separate"/>
      </w:r>
      <w:r>
        <w:rPr>
          <w:noProof/>
        </w:rPr>
        <w:t>(</w:t>
      </w:r>
      <w:hyperlink w:anchor="_ENREF_18" w:tooltip="U.S. Environmental Protection Agency, 2009 #1" w:history="1">
        <w:r w:rsidR="007578BB">
          <w:rPr>
            <w:noProof/>
          </w:rPr>
          <w:t>U.S. Environmental Protection Agency 2009</w:t>
        </w:r>
      </w:hyperlink>
      <w:r>
        <w:rPr>
          <w:noProof/>
        </w:rPr>
        <w:t>)</w:t>
      </w:r>
      <w:r>
        <w:fldChar w:fldCharType="end"/>
      </w:r>
      <w:r w:rsidRPr="007F7B1D">
        <w:t xml:space="preserve">. In development of the Revised Total Coliform Rule (TCR) under which water quality in the distribution system is measured and regulated (as part of the Safe Drinking Water Act), EPA established a Research and Information Collection Partnership (RICP) to identify the highest priority research needs regarding drinking water distribution systems and to help determine whether regulatory action is needed to address distribution system risks </w:t>
      </w:r>
      <w:r>
        <w:fldChar w:fldCharType="begin"/>
      </w:r>
      <w:r w:rsidR="00587ADA">
        <w:instrText xml:space="preserve"> ADDIN EN.CITE &lt;EndNote&gt;&lt;Cite&gt;&lt;Author&gt;U.S. Environmental Protection Agency&lt;/Author&gt;&lt;Year&gt;2008&lt;/Year&gt;&lt;RecNum&gt;12&lt;/RecNum&gt;&lt;DisplayText&gt;(U.S. Environmental Protection Agency 2008)&lt;/DisplayText&gt;&lt;record&gt;&lt;rec-number&gt;12&lt;/rec-number&gt;&lt;foreign-keys&gt;&lt;key app="EN" db-id="stxs2vtwj9avpue5a9ixasf7taxrpwpxeta2"&gt;12&lt;/key&gt;&lt;/foreign-keys&gt;&lt;ref-type name="Web Page"&gt;12&lt;/ref-type&gt;&lt;contributors&gt;&lt;authors&gt;&lt;author&gt;U.S. Environmental Protection Agency,&lt;/author&gt;&lt;/authors&gt;&lt;/contributors&gt;&lt;titles&gt;&lt;title&gt;Total Coliform Rule/Distribution System (TCRDS) Federal Advisory Committee Agreement in Principle&lt;/title&gt;&lt;/titles&gt;&lt;volume&gt;2010&lt;/volume&gt;&lt;number&gt;December 6&lt;/number&gt;&lt;dates&gt;&lt;year&gt;2008&lt;/year&gt;&lt;/dates&gt;&lt;urls&gt;&lt;related-urls&gt;&lt;url&gt;http://www.epa.gov/safewater/disinfection/tcr/pdfs/tcrdsac/agreementinprinciple_tcrdsac_2008-09-18.pdf&lt;/url&gt;&lt;/related-urls&gt;&lt;/urls&gt;&lt;/record&gt;&lt;/Cite&gt;&lt;/EndNote&gt;</w:instrText>
      </w:r>
      <w:r>
        <w:fldChar w:fldCharType="separate"/>
      </w:r>
      <w:r>
        <w:rPr>
          <w:noProof/>
        </w:rPr>
        <w:t>(</w:t>
      </w:r>
      <w:hyperlink w:anchor="_ENREF_17" w:tooltip="U.S. Environmental Protection Agency, 2008 #12" w:history="1">
        <w:r w:rsidR="007578BB">
          <w:rPr>
            <w:noProof/>
          </w:rPr>
          <w:t>U.S. Environmental Protection Agency 2008</w:t>
        </w:r>
      </w:hyperlink>
      <w:r>
        <w:rPr>
          <w:noProof/>
        </w:rPr>
        <w:t>)</w:t>
      </w:r>
      <w:r>
        <w:fldChar w:fldCharType="end"/>
      </w:r>
      <w:r w:rsidRPr="007F7B1D">
        <w:t xml:space="preserve">. </w:t>
      </w:r>
      <w:r>
        <w:t>This</w:t>
      </w:r>
      <w:r w:rsidRPr="007F7B1D">
        <w:t xml:space="preserve"> study was selected as one of ten high priority areas for the drinking water sector </w:t>
      </w:r>
      <w:r>
        <w:fldChar w:fldCharType="begin"/>
      </w:r>
      <w:r w:rsidR="00587ADA">
        <w:instrText xml:space="preserve"> ADDIN EN.CITE &lt;EndNote&gt;&lt;Cite&gt;&lt;Author&gt;U.S. Environmental Protection Agency&lt;/Author&gt;&lt;Year&gt;2010&lt;/Year&gt;&lt;RecNum&gt;13&lt;/RecNum&gt;&lt;DisplayText&gt;(U.S. Environmental Protection Agency and Water Research Foundation 2010)&lt;/DisplayText&gt;&lt;record&gt;&lt;rec-number&gt;13&lt;/rec-number&gt;&lt;foreign-keys&gt;&lt;key app="EN" db-id="stxs2vtwj9avpue5a9ixasf7taxrpwpxeta2"&gt;13&lt;/key&gt;&lt;/foreign-keys&gt;&lt;ref-type name="Web Page"&gt;12&lt;/ref-type&gt;&lt;contributors&gt;&lt;authors&gt;&lt;author&gt;U.S. Environmental Protection Agency,&lt;/author&gt;&lt;author&gt;Water Research Foundation,&lt;/author&gt;&lt;/authors&gt;&lt;/contributors&gt;&lt;titles&gt;&lt;title&gt;Final Priorities of the Distribution System Research and Information Collection Partnership&lt;/title&gt;&lt;/titles&gt;&lt;volume&gt;2010&lt;/volume&gt;&lt;number&gt;September 3&lt;/number&gt;&lt;dates&gt;&lt;year&gt;2010&lt;/year&gt;&lt;/dates&gt;&lt;urls&gt;&lt;related-urls&gt;&lt;url&gt;http://www.epa.gov/safewater/disinfection/tcr/pdfs/tcrdsac/finpridsricp051010.pdf &lt;/url&gt;&lt;/related-urls&gt;&lt;/urls&gt;&lt;/record&gt;&lt;/Cite&gt;&lt;/EndNote&gt;</w:instrText>
      </w:r>
      <w:r>
        <w:fldChar w:fldCharType="separate"/>
      </w:r>
      <w:r>
        <w:rPr>
          <w:noProof/>
        </w:rPr>
        <w:t>(</w:t>
      </w:r>
      <w:hyperlink w:anchor="_ENREF_19" w:tooltip="U.S. Environmental Protection Agency, 2010 #13" w:history="1">
        <w:r w:rsidR="007578BB">
          <w:rPr>
            <w:noProof/>
          </w:rPr>
          <w:t>U.S. Environmental Protection Agency and Water Research Foundation 2010</w:t>
        </w:r>
      </w:hyperlink>
      <w:r>
        <w:rPr>
          <w:noProof/>
        </w:rPr>
        <w:t>)</w:t>
      </w:r>
      <w:r>
        <w:fldChar w:fldCharType="end"/>
      </w:r>
      <w:r w:rsidRPr="007F7B1D">
        <w:t>. CDC</w:t>
      </w:r>
      <w:r>
        <w:t>,</w:t>
      </w:r>
      <w:r w:rsidRPr="007F7B1D">
        <w:t xml:space="preserve"> EPA </w:t>
      </w:r>
      <w:r>
        <w:t xml:space="preserve">and the Water Research Foundation (WRF) </w:t>
      </w:r>
      <w:r w:rsidRPr="007F7B1D">
        <w:t>have provided financial support for the study</w:t>
      </w:r>
      <w:r>
        <w:t xml:space="preserve">, recognizing the importance of understanding the risk that low pressure events in </w:t>
      </w:r>
      <w:r>
        <w:lastRenderedPageBreak/>
        <w:t>the nation’s water distribution system infrastructure present for public health</w:t>
      </w:r>
      <w:r w:rsidRPr="007F7B1D">
        <w:t xml:space="preserve">. </w:t>
      </w:r>
      <w:r w:rsidR="00C52B65">
        <w:t xml:space="preserve">While no single study can provide all information needed to inform EPA regulations, and the proposed study cannot claim to fully represent all utilities in the U.S., the proposed study will supply the first systematically collected epidemiologic data on health effects from low pressure events </w:t>
      </w:r>
      <w:r w:rsidR="00721CFC">
        <w:t xml:space="preserve">as evaluated among selected households supplied by </w:t>
      </w:r>
      <w:r w:rsidR="00AE0A71">
        <w:t>five</w:t>
      </w:r>
      <w:r w:rsidR="00721CFC">
        <w:t xml:space="preserve"> water utilities </w:t>
      </w:r>
      <w:r w:rsidR="00C52B65">
        <w:t xml:space="preserve">in the U.S. </w:t>
      </w:r>
    </w:p>
    <w:p w14:paraId="5F74AEBA" w14:textId="77777777" w:rsidR="00C52B65" w:rsidRDefault="00C52B65" w:rsidP="004D3E5D"/>
    <w:p w14:paraId="1A5FF269" w14:textId="5BFB27EF" w:rsidR="004D3E5D" w:rsidRPr="007F7B1D" w:rsidRDefault="004D3E5D" w:rsidP="004D3E5D">
      <w:r w:rsidRPr="007F7B1D">
        <w:t xml:space="preserve">This study </w:t>
      </w:r>
      <w:r w:rsidR="00721CFC">
        <w:t xml:space="preserve">may </w:t>
      </w:r>
      <w:r w:rsidR="0024222A">
        <w:t xml:space="preserve">also supply data that </w:t>
      </w:r>
      <w:r w:rsidR="00721CFC">
        <w:t xml:space="preserve">may </w:t>
      </w:r>
      <w:r w:rsidR="0024222A">
        <w:t>contribute to</w:t>
      </w:r>
      <w:r w:rsidRPr="007F7B1D">
        <w:t xml:space="preserve"> a larger effort to estimate the burden of waterborne disease in the U.S., an activity which has been proposed in multiple agency budgets and is funded in part with </w:t>
      </w:r>
      <w:r w:rsidR="00055D3C">
        <w:t>full time equivalent (</w:t>
      </w:r>
      <w:r w:rsidRPr="007F7B1D">
        <w:t>FTE</w:t>
      </w:r>
      <w:r w:rsidR="00055D3C">
        <w:t>)</w:t>
      </w:r>
      <w:r w:rsidRPr="007F7B1D">
        <w:t xml:space="preserve"> and other programmatic support by the Waterborne Disease Prevention Branch </w:t>
      </w:r>
      <w:r>
        <w:t xml:space="preserve">within the Division of Foodborne, Waterborne and Environmental Diseases </w:t>
      </w:r>
      <w:r w:rsidRPr="007F7B1D">
        <w:t xml:space="preserve">at CDC. </w:t>
      </w:r>
      <w:r w:rsidR="0024222A">
        <w:t>These gaps include the association between low pressure events and illness (largely unknown in the U.S.), swimming frequency, and the amount of tap water consumed per day.</w:t>
      </w:r>
    </w:p>
    <w:p w14:paraId="6DE35BA4" w14:textId="77777777" w:rsidR="004D3E5D" w:rsidRPr="007F7B1D" w:rsidRDefault="004D3E5D" w:rsidP="004D3E5D"/>
    <w:p w14:paraId="463F96F1" w14:textId="5B3DBC2A" w:rsidR="004D3E5D" w:rsidRPr="007F7B1D" w:rsidRDefault="00EB3B56" w:rsidP="004D3E5D">
      <w:r>
        <w:t>The r</w:t>
      </w:r>
      <w:r w:rsidR="008B0F50">
        <w:t>esults from this</w:t>
      </w:r>
      <w:r>
        <w:t xml:space="preserve"> epidemiologic study may</w:t>
      </w:r>
      <w:r w:rsidR="008B0F50">
        <w:t xml:space="preserve"> </w:t>
      </w:r>
      <w:r w:rsidR="004D3E5D" w:rsidRPr="007F7B1D">
        <w:t xml:space="preserve">direct future research efforts that address public health risks associated with drinking water distribution systems. The results will also address EPA’s research goals by providing a characterization of the baseline risks of adverse health effects associated with low or negative pressure events in the distribution system and the potential for reduction in those risks associated with different water treatment types. The negative impact of not conducting this study is that policy-makers, government agencies and the water sector will not have the data and information they need on the potential health impact associated with low pressure events and other breakdowns in our nation’s drinking water infrastructure, which is critical to assess the safety and reliability of our </w:t>
      </w:r>
      <w:r w:rsidR="004D3E5D">
        <w:t xml:space="preserve">public </w:t>
      </w:r>
      <w:r w:rsidR="004D3E5D" w:rsidRPr="007F7B1D">
        <w:t xml:space="preserve">drinking water supply. </w:t>
      </w:r>
    </w:p>
    <w:p w14:paraId="7DCE0FE1" w14:textId="77777777" w:rsidR="004D3E5D" w:rsidRPr="007F7B1D" w:rsidRDefault="004D3E5D" w:rsidP="004D3E5D"/>
    <w:p w14:paraId="6544144F" w14:textId="4CEA98A0" w:rsidR="004D3E5D" w:rsidRPr="00D832B5" w:rsidRDefault="004D3E5D" w:rsidP="00D832B5">
      <w:pPr>
        <w:pStyle w:val="Heading1"/>
      </w:pPr>
      <w:bookmarkStart w:id="3" w:name="_Toc427663558"/>
      <w:r w:rsidRPr="00D832B5">
        <w:t>3. Use of Improved Information Technology and Burden Reduction</w:t>
      </w:r>
      <w:bookmarkEnd w:id="3"/>
    </w:p>
    <w:p w14:paraId="73369C81" w14:textId="6A688B18" w:rsidR="00D75A7F" w:rsidRPr="00281CDB" w:rsidRDefault="004D3E5D" w:rsidP="00D75A7F">
      <w:r w:rsidRPr="007F7B1D">
        <w:t xml:space="preserve">This data collection will involve </w:t>
      </w:r>
      <w:r>
        <w:t>two</w:t>
      </w:r>
      <w:r w:rsidRPr="007F7B1D">
        <w:t xml:space="preserve"> response options</w:t>
      </w:r>
      <w:r>
        <w:t xml:space="preserve"> </w:t>
      </w:r>
      <w:r w:rsidRPr="007F7B1D">
        <w:t>for survey participants: mail</w:t>
      </w:r>
      <w:r>
        <w:t xml:space="preserve"> </w:t>
      </w:r>
      <w:r w:rsidRPr="007F7B1D">
        <w:t xml:space="preserve">and internet. </w:t>
      </w:r>
      <w:r w:rsidR="00D75A7F">
        <w:t>During the pilot, t</w:t>
      </w:r>
      <w:r w:rsidR="00D75A7F" w:rsidRPr="00281CDB">
        <w:t xml:space="preserve">he majority of respondents chose to return the survey by postal mail (70%), using the provided return envelope. The data quality of the web surveys was higher than the paper surveys because data verification rules and question skip patterns were built into the survey interface. Since the web survey instructions and access information were printed on the survey materials, rather than sent electronically to customers, it might have been inconvenient for respondents to access a computer, type the link to the website, and log-in to take the survey. To encourage web survey participation and an increase in overall survey response rates, the study team will send the survey link electronically to customers that have email addresses on file. Additionally, the study team will add an outbound telephone call as a reminder and additional opportunity for survey participation before the final appeal </w:t>
      </w:r>
      <w:r w:rsidR="00FA3A59">
        <w:t xml:space="preserve">letter is sent (see Attachment </w:t>
      </w:r>
      <w:r w:rsidR="00A36952">
        <w:t>O</w:t>
      </w:r>
      <w:r w:rsidR="00D75A7F" w:rsidRPr="00281CDB">
        <w:t xml:space="preserve"> for telephone reminder script).</w:t>
      </w:r>
    </w:p>
    <w:p w14:paraId="53CF25FC" w14:textId="77777777" w:rsidR="004D3E5D" w:rsidRPr="007F7B1D" w:rsidRDefault="004D3E5D" w:rsidP="004D3E5D"/>
    <w:p w14:paraId="4CF126F6" w14:textId="18330559" w:rsidR="004D3E5D" w:rsidRPr="007F7B1D" w:rsidRDefault="00FA3A59" w:rsidP="004D3E5D">
      <w:r w:rsidRPr="007F7B1D">
        <w:t>All respondents will have the opportunity to respond via the internet</w:t>
      </w:r>
      <w:r>
        <w:t xml:space="preserve">. </w:t>
      </w:r>
      <w:r w:rsidR="004D3E5D" w:rsidRPr="007F7B1D">
        <w:t xml:space="preserve">A web-based version of the survey is being offered because it will: </w:t>
      </w:r>
    </w:p>
    <w:p w14:paraId="5A709337" w14:textId="77777777" w:rsidR="004D3E5D" w:rsidRPr="007F7B1D" w:rsidRDefault="004D3E5D" w:rsidP="004D3E5D">
      <w:pPr>
        <w:numPr>
          <w:ilvl w:val="0"/>
          <w:numId w:val="15"/>
        </w:numPr>
      </w:pPr>
      <w:r w:rsidRPr="007F7B1D">
        <w:t xml:space="preserve">Reduce the time burden on respondents as compared to other methods of survey completion because of the built in skip patterns and internal logic controls for efficiently routing the respondent to the relevant questions; </w:t>
      </w:r>
    </w:p>
    <w:p w14:paraId="2BCC9BBE" w14:textId="77777777" w:rsidR="004D3E5D" w:rsidRPr="007F7B1D" w:rsidRDefault="004D3E5D" w:rsidP="004D3E5D">
      <w:pPr>
        <w:numPr>
          <w:ilvl w:val="0"/>
          <w:numId w:val="15"/>
        </w:numPr>
      </w:pPr>
      <w:r w:rsidRPr="007F7B1D">
        <w:t xml:space="preserve">Employ a variety of prompts to encourage survey completion; </w:t>
      </w:r>
    </w:p>
    <w:p w14:paraId="637F9E0A" w14:textId="77777777" w:rsidR="004D3E5D" w:rsidRDefault="004D3E5D" w:rsidP="004D3E5D">
      <w:pPr>
        <w:numPr>
          <w:ilvl w:val="0"/>
          <w:numId w:val="15"/>
        </w:numPr>
      </w:pPr>
      <w:r w:rsidRPr="007F7B1D">
        <w:t>Have data entry validation to limit data entry errors and reduce data cleaning efforts</w:t>
      </w:r>
      <w:r>
        <w:t>;</w:t>
      </w:r>
      <w:r w:rsidRPr="007F7B1D">
        <w:t xml:space="preserve"> and </w:t>
      </w:r>
    </w:p>
    <w:p w14:paraId="31DED38E" w14:textId="77777777" w:rsidR="004D3E5D" w:rsidRPr="007F7B1D" w:rsidRDefault="004D3E5D" w:rsidP="004D3E5D">
      <w:pPr>
        <w:numPr>
          <w:ilvl w:val="0"/>
          <w:numId w:val="15"/>
        </w:numPr>
      </w:pPr>
      <w:r>
        <w:lastRenderedPageBreak/>
        <w:t>D</w:t>
      </w:r>
      <w:r w:rsidRPr="007F7B1D">
        <w:t>ata entry into the database is automatic thereby eliminating the need for manual data entry, which also limits data entry errors.</w:t>
      </w:r>
    </w:p>
    <w:p w14:paraId="4C66B3F8" w14:textId="77777777" w:rsidR="004D3E5D" w:rsidRPr="007F7B1D" w:rsidRDefault="004D3E5D" w:rsidP="004D3E5D"/>
    <w:p w14:paraId="1B131294" w14:textId="77777777" w:rsidR="004D3E5D" w:rsidRPr="007F7B1D" w:rsidRDefault="004D3E5D" w:rsidP="004D3E5D">
      <w:r w:rsidRPr="007F7B1D">
        <w:t>We expect</w:t>
      </w:r>
      <w:r>
        <w:t xml:space="preserve"> both versions of the survey to </w:t>
      </w:r>
      <w:r w:rsidRPr="007F7B1D">
        <w:t>take</w:t>
      </w:r>
      <w:r>
        <w:t xml:space="preserve"> approximately 12 minutes to complete.</w:t>
      </w:r>
      <w:r w:rsidRPr="007F7B1D">
        <w:t xml:space="preserve"> </w:t>
      </w:r>
    </w:p>
    <w:p w14:paraId="45BC774E" w14:textId="77777777" w:rsidR="004D3E5D" w:rsidRPr="007F7B1D" w:rsidRDefault="004D3E5D" w:rsidP="004D3E5D"/>
    <w:p w14:paraId="6A39C65F" w14:textId="77777777" w:rsidR="004D3E5D" w:rsidRPr="007F7B1D" w:rsidRDefault="004D3E5D" w:rsidP="004D3E5D">
      <w:r w:rsidRPr="007F7B1D">
        <w:t xml:space="preserve">Participation in this data collection is voluntary, individuals will be able to discontinue participation at any time point, and all efforts will be made to reduce the time burden on participants. </w:t>
      </w:r>
    </w:p>
    <w:p w14:paraId="457C1EF3" w14:textId="77777777" w:rsidR="004D3E5D" w:rsidRPr="007F7B1D" w:rsidRDefault="004D3E5D" w:rsidP="004D3E5D"/>
    <w:p w14:paraId="45BC3475" w14:textId="745D9586" w:rsidR="004D3E5D" w:rsidRPr="00D832B5" w:rsidRDefault="004D3E5D" w:rsidP="00D832B5">
      <w:pPr>
        <w:pStyle w:val="Heading1"/>
      </w:pPr>
      <w:bookmarkStart w:id="4" w:name="_Toc427663559"/>
      <w:r w:rsidRPr="00D832B5">
        <w:t>4. Efforts to Identify Duplication and Use of Similar Information</w:t>
      </w:r>
      <w:bookmarkEnd w:id="4"/>
    </w:p>
    <w:p w14:paraId="603540B9" w14:textId="50E2642B" w:rsidR="004D3E5D" w:rsidRPr="007F7B1D" w:rsidRDefault="00FA3A59" w:rsidP="004D3E5D">
      <w:r w:rsidRPr="00281CDB">
        <w:t>There are no similar data available</w:t>
      </w:r>
      <w:r w:rsidR="00C4338B">
        <w:t>,</w:t>
      </w:r>
      <w:r w:rsidRPr="00281CDB">
        <w:t xml:space="preserve"> and this study would not be a duplication of any studies currently being conducted in the U.S. </w:t>
      </w:r>
      <w:r w:rsidRPr="00281CDB">
        <w:rPr>
          <w:bCs/>
        </w:rPr>
        <w:t>No existing U.S. data sources can be used to answer this research question.</w:t>
      </w:r>
      <w:r>
        <w:rPr>
          <w:bCs/>
        </w:rPr>
        <w:t xml:space="preserve"> </w:t>
      </w:r>
      <w:r w:rsidR="004D3E5D" w:rsidRPr="007F7B1D">
        <w:t xml:space="preserve">During the past two decades, only a handful of epidemiologic studies looking at the risk for gastrointestinal illness associated with drinking water have been conducted globally (see Table </w:t>
      </w:r>
      <w:r w:rsidR="004D3E5D">
        <w:t>A</w:t>
      </w:r>
      <w:r w:rsidR="006105EB">
        <w:t>.</w:t>
      </w:r>
      <w:r w:rsidR="004D3E5D">
        <w:t>1.</w:t>
      </w:r>
      <w:r w:rsidR="0075133F">
        <w:t>2</w:t>
      </w:r>
      <w:r w:rsidR="004D3E5D" w:rsidRPr="007F7B1D">
        <w:t>)</w:t>
      </w:r>
      <w:r w:rsidR="004D3E5D">
        <w:t>.</w:t>
      </w:r>
      <w:r w:rsidR="004D3E5D" w:rsidRPr="007F7B1D">
        <w:t xml:space="preserve"> </w:t>
      </w:r>
      <w:r w:rsidR="004D3E5D">
        <w:t>T</w:t>
      </w:r>
      <w:r w:rsidR="004D3E5D" w:rsidRPr="007F7B1D">
        <w:t>wo of these studies look</w:t>
      </w:r>
      <w:r w:rsidR="004D3E5D">
        <w:t>ed</w:t>
      </w:r>
      <w:r w:rsidR="004D3E5D" w:rsidRPr="007F7B1D">
        <w:t xml:space="preserve"> at distribution system risks</w:t>
      </w:r>
      <w:r w:rsidR="004D3E5D">
        <w:t xml:space="preserve"> using a prospective study design, and</w:t>
      </w:r>
      <w:r w:rsidR="004D3E5D" w:rsidRPr="007F7B1D">
        <w:t xml:space="preserve"> neither of these studies were conducted in the U.S. Through consultation with other government agencies and </w:t>
      </w:r>
      <w:r w:rsidR="004D3E5D">
        <w:t xml:space="preserve">national and </w:t>
      </w:r>
      <w:r w:rsidR="004D3E5D" w:rsidRPr="007F7B1D">
        <w:t xml:space="preserve">international </w:t>
      </w:r>
      <w:r w:rsidR="004D3E5D">
        <w:t xml:space="preserve">water </w:t>
      </w:r>
      <w:r w:rsidR="004D3E5D" w:rsidRPr="007F7B1D">
        <w:t>experts, we feel confident that this type of study has not been conducted in the U.S. and would not be a duplication of efforts. Additionally, we have searched databases of scientific literature in the disciplines of public health, environmental engineering, and water microbiology (e.g., PubMed, Web of Science, Google Scholar), and attended national meetings (American Public Health Association, American Water</w:t>
      </w:r>
      <w:r w:rsidR="004D3E5D">
        <w:t xml:space="preserve"> W</w:t>
      </w:r>
      <w:r w:rsidR="004D3E5D" w:rsidRPr="007F7B1D">
        <w:t xml:space="preserve">orks Association, and American Backflow Prevention Association meetings </w:t>
      </w:r>
      <w:r w:rsidR="004D3E5D" w:rsidRPr="007F7B1D">
        <w:lastRenderedPageBreak/>
        <w:t xml:space="preserve">as well as EPA symposia) to attempt to identify similar epidemiological studies that may have been conducted in the U.S. and elsewhere. This study would be, to our knowledge, the first U.S. study to </w:t>
      </w:r>
      <w:r w:rsidR="004D3E5D">
        <w:t>prospectively</w:t>
      </w:r>
      <w:r w:rsidR="004D3E5D" w:rsidRPr="007F7B1D">
        <w:t xml:space="preserve"> examine the association between </w:t>
      </w:r>
      <w:r w:rsidR="004D3E5D">
        <w:t>low pressure events in the water distribution system and illness</w:t>
      </w:r>
      <w:r w:rsidR="004D3E5D" w:rsidRPr="007F7B1D">
        <w:t xml:space="preserve"> </w:t>
      </w:r>
      <w:r w:rsidR="004D3E5D">
        <w:t>(</w:t>
      </w:r>
      <w:r w:rsidR="004D3E5D" w:rsidRPr="007F7B1D">
        <w:t>AGI</w:t>
      </w:r>
      <w:r w:rsidR="004D3E5D">
        <w:t xml:space="preserve"> or ARI)</w:t>
      </w:r>
      <w:r w:rsidR="004D3E5D" w:rsidRPr="007F7B1D">
        <w:t xml:space="preserve">. </w:t>
      </w:r>
    </w:p>
    <w:p w14:paraId="7600D956" w14:textId="77777777" w:rsidR="004D3E5D" w:rsidRPr="007F7B1D" w:rsidRDefault="004D3E5D" w:rsidP="004D3E5D"/>
    <w:p w14:paraId="199EBA2C" w14:textId="373BFFD2" w:rsidR="004D3E5D" w:rsidRPr="007F7B1D" w:rsidRDefault="004D3E5D" w:rsidP="00D832B5">
      <w:pPr>
        <w:pStyle w:val="Heading1"/>
      </w:pPr>
      <w:bookmarkStart w:id="5" w:name="_Toc427663560"/>
      <w:r w:rsidRPr="007F7B1D">
        <w:t>5.  Impact on Small Businesses or Other Small Entities</w:t>
      </w:r>
      <w:bookmarkEnd w:id="5"/>
    </w:p>
    <w:p w14:paraId="7958DC42" w14:textId="6EC4A87B" w:rsidR="004D3E5D" w:rsidRPr="007F7B1D" w:rsidRDefault="00E73B0C" w:rsidP="004D3E5D">
      <w:r>
        <w:t xml:space="preserve">This data collection will not involve small businesses. </w:t>
      </w:r>
    </w:p>
    <w:p w14:paraId="6106CB9B" w14:textId="77777777" w:rsidR="004D3E5D" w:rsidRPr="007F7B1D" w:rsidRDefault="004D3E5D" w:rsidP="004D3E5D"/>
    <w:p w14:paraId="5CBDEE6C" w14:textId="29A0BD67" w:rsidR="004D3E5D" w:rsidRPr="007F7B1D" w:rsidRDefault="004D3E5D" w:rsidP="00D832B5">
      <w:pPr>
        <w:pStyle w:val="Heading1"/>
      </w:pPr>
      <w:bookmarkStart w:id="6" w:name="_Toc427663561"/>
      <w:r w:rsidRPr="007F7B1D">
        <w:t>6. Consequences of Collecting the Information Less Frequently</w:t>
      </w:r>
      <w:bookmarkEnd w:id="6"/>
    </w:p>
    <w:p w14:paraId="7D707B66" w14:textId="1FF918AA" w:rsidR="004D3E5D" w:rsidRPr="007F7B1D" w:rsidRDefault="004D3E5D" w:rsidP="004D3E5D">
      <w:r w:rsidRPr="007F7B1D">
        <w:t xml:space="preserve">Respondents will be asked to respond to this data collection only one time. </w:t>
      </w:r>
    </w:p>
    <w:p w14:paraId="5F3AF3E9" w14:textId="77777777" w:rsidR="004D3E5D" w:rsidRPr="007F7B1D" w:rsidRDefault="004D3E5D" w:rsidP="004D3E5D"/>
    <w:p w14:paraId="73AC1539" w14:textId="1D4CB2B2" w:rsidR="004D3E5D" w:rsidRPr="007F7B1D" w:rsidRDefault="004D3E5D" w:rsidP="00D832B5">
      <w:pPr>
        <w:pStyle w:val="Heading1"/>
      </w:pPr>
      <w:bookmarkStart w:id="7" w:name="_Toc427663562"/>
      <w:r w:rsidRPr="007F7B1D">
        <w:t>7. Special Circumstances Relating to the Guidelines of 5 CFR 1320.5</w:t>
      </w:r>
      <w:bookmarkEnd w:id="7"/>
    </w:p>
    <w:p w14:paraId="2BB714E8" w14:textId="77777777" w:rsidR="004D3E5D" w:rsidRPr="007F7B1D" w:rsidRDefault="004D3E5D" w:rsidP="004D3E5D">
      <w:r w:rsidRPr="007F7B1D">
        <w:t>This request fully complies with the regulation 5 CFR 1320.5.</w:t>
      </w:r>
    </w:p>
    <w:p w14:paraId="29A9E305" w14:textId="77777777" w:rsidR="004D3E5D" w:rsidRPr="007F7B1D" w:rsidRDefault="004D3E5D" w:rsidP="004D3E5D"/>
    <w:p w14:paraId="75770F61" w14:textId="060437B9" w:rsidR="004D3E5D" w:rsidRPr="007F7B1D" w:rsidRDefault="004D3E5D" w:rsidP="00D832B5">
      <w:pPr>
        <w:pStyle w:val="Heading1"/>
      </w:pPr>
      <w:bookmarkStart w:id="8" w:name="_Toc427663563"/>
      <w:r w:rsidRPr="007F7B1D">
        <w:t>8. Comments in Response to the Federal Register Notice and Efforts to Consult Outside the Agency</w:t>
      </w:r>
      <w:bookmarkEnd w:id="8"/>
    </w:p>
    <w:p w14:paraId="7395F0E6" w14:textId="77777777" w:rsidR="004D3E5D" w:rsidRPr="007F7B1D" w:rsidRDefault="004D3E5D" w:rsidP="004D3E5D"/>
    <w:p w14:paraId="5A47A0B6" w14:textId="5C2A5495" w:rsidR="004D3E5D" w:rsidRPr="007F7B1D" w:rsidRDefault="004D3E5D" w:rsidP="004D3E5D">
      <w:r w:rsidRPr="00342276">
        <w:rPr>
          <w:b/>
        </w:rPr>
        <w:t xml:space="preserve">A. </w:t>
      </w:r>
      <w:r w:rsidRPr="00342276">
        <w:t xml:space="preserve">A 60-day Federal Register Notice was published in the </w:t>
      </w:r>
      <w:r w:rsidRPr="00342276">
        <w:rPr>
          <w:i/>
          <w:iCs/>
        </w:rPr>
        <w:t xml:space="preserve">Federal Register </w:t>
      </w:r>
      <w:r w:rsidRPr="00342276">
        <w:t xml:space="preserve">on </w:t>
      </w:r>
      <w:r w:rsidR="00F54A0B">
        <w:t>08</w:t>
      </w:r>
      <w:r w:rsidR="00E73B0C">
        <w:t>/</w:t>
      </w:r>
      <w:r w:rsidR="00F54A0B">
        <w:t>28</w:t>
      </w:r>
      <w:r w:rsidR="00E73B0C">
        <w:t>/</w:t>
      </w:r>
      <w:r w:rsidR="00F54A0B">
        <w:t>2015, Vol 80, No. 167, p. 52287</w:t>
      </w:r>
      <w:r w:rsidRPr="009A18E0">
        <w:t>.</w:t>
      </w:r>
      <w:r w:rsidRPr="007F7B1D">
        <w:t xml:space="preserve"> </w:t>
      </w:r>
      <w:r w:rsidR="00E73B0C">
        <w:t xml:space="preserve">No comments were received. </w:t>
      </w:r>
      <w:r w:rsidR="000C4963">
        <w:t>(Appendix B).</w:t>
      </w:r>
    </w:p>
    <w:p w14:paraId="08ED5B62" w14:textId="77777777" w:rsidR="004D3E5D" w:rsidRPr="007F7B1D" w:rsidRDefault="004D3E5D" w:rsidP="004D3E5D"/>
    <w:p w14:paraId="14D77C58" w14:textId="77777777" w:rsidR="004D3E5D" w:rsidRDefault="004D3E5D" w:rsidP="004D3E5D">
      <w:r w:rsidRPr="007F7B1D">
        <w:rPr>
          <w:b/>
        </w:rPr>
        <w:t>B.</w:t>
      </w:r>
      <w:r w:rsidRPr="007F7B1D">
        <w:t xml:space="preserve"> Consultation outside the CDC began in </w:t>
      </w:r>
      <w:r>
        <w:t>2008</w:t>
      </w:r>
      <w:r w:rsidRPr="007F7B1D">
        <w:t xml:space="preserve"> with the following persons and is ongoing:</w:t>
      </w:r>
    </w:p>
    <w:p w14:paraId="29CA0939" w14:textId="77777777" w:rsidR="004D3E5D" w:rsidRPr="007F7B1D" w:rsidRDefault="004D3E5D" w:rsidP="004D3E5D"/>
    <w:p w14:paraId="46D08D99" w14:textId="77777777" w:rsidR="004D3E5D" w:rsidRPr="008C0394" w:rsidRDefault="004D3E5D" w:rsidP="004D3E5D">
      <w:pPr>
        <w:rPr>
          <w:b/>
          <w:i/>
          <w:szCs w:val="24"/>
        </w:rPr>
      </w:pPr>
      <w:r w:rsidRPr="00BF7502">
        <w:rPr>
          <w:b/>
          <w:i/>
          <w:szCs w:val="24"/>
        </w:rPr>
        <w:t xml:space="preserve">U.S. Environmental Protection Agency (EPA) </w:t>
      </w:r>
    </w:p>
    <w:p w14:paraId="49D501C5" w14:textId="77777777" w:rsidR="004D3E5D" w:rsidRDefault="004D3E5D" w:rsidP="004D3E5D">
      <w:pPr>
        <w:rPr>
          <w:szCs w:val="24"/>
        </w:rPr>
      </w:pPr>
      <w:r w:rsidRPr="008C0394">
        <w:rPr>
          <w:szCs w:val="24"/>
        </w:rPr>
        <w:t xml:space="preserve">Stig Regli </w:t>
      </w:r>
      <w:r>
        <w:rPr>
          <w:szCs w:val="24"/>
        </w:rPr>
        <w:t>(2008-2011)</w:t>
      </w:r>
    </w:p>
    <w:p w14:paraId="0BB1BE95" w14:textId="77777777" w:rsidR="004D3E5D" w:rsidRPr="008C0394" w:rsidRDefault="004D3E5D" w:rsidP="004D3E5D">
      <w:pPr>
        <w:rPr>
          <w:szCs w:val="24"/>
        </w:rPr>
      </w:pPr>
      <w:r>
        <w:rPr>
          <w:szCs w:val="24"/>
        </w:rPr>
        <w:t xml:space="preserve">Scientist, </w:t>
      </w:r>
      <w:r w:rsidRPr="008C0394">
        <w:rPr>
          <w:szCs w:val="24"/>
        </w:rPr>
        <w:t>Office of Ground Water and Drinking Water</w:t>
      </w:r>
    </w:p>
    <w:p w14:paraId="3CE90FB4" w14:textId="77777777" w:rsidR="004D3E5D" w:rsidRPr="008C0394" w:rsidRDefault="004D3E5D" w:rsidP="004D3E5D">
      <w:pPr>
        <w:pStyle w:val="PlainText"/>
        <w:rPr>
          <w:rFonts w:ascii="Times New Roman" w:hAnsi="Times New Roman"/>
          <w:sz w:val="24"/>
          <w:szCs w:val="24"/>
        </w:rPr>
      </w:pPr>
      <w:r>
        <w:rPr>
          <w:rFonts w:ascii="Times New Roman" w:hAnsi="Times New Roman"/>
          <w:sz w:val="24"/>
          <w:szCs w:val="24"/>
        </w:rPr>
        <w:t xml:space="preserve">Tel: </w:t>
      </w:r>
      <w:r w:rsidRPr="00BF7502">
        <w:rPr>
          <w:rFonts w:ascii="Times New Roman" w:hAnsi="Times New Roman"/>
          <w:sz w:val="24"/>
          <w:szCs w:val="24"/>
        </w:rPr>
        <w:t>202-564-5270</w:t>
      </w:r>
    </w:p>
    <w:p w14:paraId="540C415C" w14:textId="77777777" w:rsidR="004D3E5D" w:rsidRPr="008C0394" w:rsidRDefault="00F63EA7" w:rsidP="004D3E5D">
      <w:pPr>
        <w:pStyle w:val="PlainText"/>
        <w:rPr>
          <w:rFonts w:ascii="Times New Roman" w:hAnsi="Times New Roman"/>
          <w:sz w:val="24"/>
          <w:szCs w:val="24"/>
        </w:rPr>
      </w:pPr>
      <w:hyperlink r:id="rId9" w:history="1">
        <w:r w:rsidR="004D3E5D" w:rsidRPr="003B434D">
          <w:rPr>
            <w:rStyle w:val="Hyperlink"/>
            <w:rFonts w:ascii="Times New Roman" w:eastAsiaTheme="majorEastAsia" w:hAnsi="Times New Roman"/>
            <w:sz w:val="24"/>
            <w:szCs w:val="24"/>
          </w:rPr>
          <w:t>Regli.Stig@epa.gov</w:t>
        </w:r>
      </w:hyperlink>
    </w:p>
    <w:p w14:paraId="75343F82" w14:textId="77777777" w:rsidR="004D3E5D" w:rsidRPr="008C0394" w:rsidRDefault="004D3E5D" w:rsidP="004D3E5D">
      <w:pPr>
        <w:rPr>
          <w:szCs w:val="24"/>
        </w:rPr>
      </w:pPr>
    </w:p>
    <w:p w14:paraId="70755D4D" w14:textId="77777777" w:rsidR="004D3E5D" w:rsidRPr="008C0394" w:rsidRDefault="004D3E5D" w:rsidP="004D3E5D">
      <w:pPr>
        <w:rPr>
          <w:szCs w:val="24"/>
        </w:rPr>
      </w:pPr>
      <w:r w:rsidRPr="008C0394">
        <w:rPr>
          <w:szCs w:val="24"/>
        </w:rPr>
        <w:t>Nick Ashbolt</w:t>
      </w:r>
      <w:r>
        <w:rPr>
          <w:szCs w:val="24"/>
        </w:rPr>
        <w:t xml:space="preserve"> (2008-2010)</w:t>
      </w:r>
      <w:r w:rsidRPr="008C0394">
        <w:rPr>
          <w:szCs w:val="24"/>
        </w:rPr>
        <w:t xml:space="preserve"> </w:t>
      </w:r>
    </w:p>
    <w:p w14:paraId="61895592" w14:textId="77777777" w:rsidR="004D3E5D" w:rsidRPr="008C0394" w:rsidRDefault="004D3E5D" w:rsidP="004D3E5D">
      <w:pPr>
        <w:rPr>
          <w:szCs w:val="24"/>
        </w:rPr>
      </w:pPr>
      <w:r w:rsidRPr="00BF7502">
        <w:rPr>
          <w:szCs w:val="24"/>
        </w:rPr>
        <w:t>Title-42 Senior Research Microbiologist</w:t>
      </w:r>
      <w:r w:rsidRPr="00BF7502">
        <w:rPr>
          <w:szCs w:val="24"/>
        </w:rPr>
        <w:br/>
        <w:t>Off</w:t>
      </w:r>
      <w:r>
        <w:rPr>
          <w:szCs w:val="24"/>
        </w:rPr>
        <w:t xml:space="preserve">ice of Research and Development, </w:t>
      </w:r>
      <w:r w:rsidRPr="00BF7502">
        <w:rPr>
          <w:szCs w:val="24"/>
        </w:rPr>
        <w:t xml:space="preserve">National Exposure Research Laboratory </w:t>
      </w:r>
      <w:r w:rsidRPr="00BF7502">
        <w:rPr>
          <w:szCs w:val="24"/>
        </w:rPr>
        <w:br/>
        <w:t>Tel: 513-569 7318</w:t>
      </w:r>
      <w:r w:rsidRPr="00BF7502">
        <w:rPr>
          <w:szCs w:val="24"/>
        </w:rPr>
        <w:br/>
      </w:r>
      <w:hyperlink r:id="rId10" w:tgtFrame="blank" w:history="1">
        <w:r w:rsidRPr="00BF7502">
          <w:rPr>
            <w:rStyle w:val="Hyperlink"/>
            <w:szCs w:val="24"/>
          </w:rPr>
          <w:t>Ashbolt.Nick@epa.gov</w:t>
        </w:r>
      </w:hyperlink>
    </w:p>
    <w:p w14:paraId="6CA4B2F4" w14:textId="77777777" w:rsidR="004D3E5D" w:rsidRPr="008C0394" w:rsidRDefault="004D3E5D" w:rsidP="004D3E5D">
      <w:pPr>
        <w:rPr>
          <w:szCs w:val="24"/>
        </w:rPr>
      </w:pPr>
    </w:p>
    <w:p w14:paraId="05723095" w14:textId="77777777" w:rsidR="004D3E5D" w:rsidRPr="008C0394" w:rsidRDefault="004D3E5D" w:rsidP="004D3E5D">
      <w:pPr>
        <w:rPr>
          <w:szCs w:val="24"/>
        </w:rPr>
      </w:pPr>
      <w:r w:rsidRPr="008C0394">
        <w:rPr>
          <w:szCs w:val="24"/>
        </w:rPr>
        <w:t xml:space="preserve">Audrey Levine </w:t>
      </w:r>
      <w:r>
        <w:rPr>
          <w:szCs w:val="24"/>
        </w:rPr>
        <w:t>(2008-2010)</w:t>
      </w:r>
      <w:r w:rsidRPr="00BF7502">
        <w:rPr>
          <w:szCs w:val="24"/>
        </w:rPr>
        <w:br/>
        <w:t>National Program Director for Drinking Water Research</w:t>
      </w:r>
      <w:r w:rsidRPr="00BF7502">
        <w:rPr>
          <w:szCs w:val="24"/>
        </w:rPr>
        <w:br/>
        <w:t>USEPA-O</w:t>
      </w:r>
      <w:r>
        <w:rPr>
          <w:szCs w:val="24"/>
        </w:rPr>
        <w:t>ffice of Research and Development</w:t>
      </w:r>
      <w:r w:rsidRPr="00BF7502">
        <w:rPr>
          <w:szCs w:val="24"/>
        </w:rPr>
        <w:br/>
      </w:r>
      <w:r>
        <w:rPr>
          <w:szCs w:val="24"/>
        </w:rPr>
        <w:t xml:space="preserve">Tel: </w:t>
      </w:r>
      <w:r w:rsidRPr="00BF7502">
        <w:rPr>
          <w:szCs w:val="24"/>
        </w:rPr>
        <w:t>202-564-5284</w:t>
      </w:r>
    </w:p>
    <w:p w14:paraId="08BE7403" w14:textId="77777777" w:rsidR="004D3E5D" w:rsidRDefault="00F63EA7" w:rsidP="004D3E5D">
      <w:pPr>
        <w:rPr>
          <w:szCs w:val="24"/>
        </w:rPr>
      </w:pPr>
      <w:hyperlink r:id="rId11" w:history="1">
        <w:r w:rsidR="004D3E5D" w:rsidRPr="003B434D">
          <w:rPr>
            <w:rStyle w:val="Hyperlink"/>
            <w:szCs w:val="24"/>
          </w:rPr>
          <w:t>Levine.Audrey@epa.gov</w:t>
        </w:r>
      </w:hyperlink>
    </w:p>
    <w:p w14:paraId="0D754D31" w14:textId="77777777" w:rsidR="004D3E5D" w:rsidRPr="008C0394" w:rsidRDefault="004D3E5D" w:rsidP="004D3E5D">
      <w:pPr>
        <w:rPr>
          <w:szCs w:val="24"/>
        </w:rPr>
      </w:pPr>
    </w:p>
    <w:p w14:paraId="681F09D2" w14:textId="77777777" w:rsidR="004D3E5D" w:rsidRPr="008C0394" w:rsidRDefault="004D3E5D" w:rsidP="004D3E5D">
      <w:pPr>
        <w:rPr>
          <w:b/>
          <w:i/>
          <w:szCs w:val="24"/>
        </w:rPr>
      </w:pPr>
      <w:r w:rsidRPr="00BF7502">
        <w:rPr>
          <w:b/>
          <w:i/>
          <w:szCs w:val="24"/>
        </w:rPr>
        <w:t>Water Research Foundation</w:t>
      </w:r>
    </w:p>
    <w:p w14:paraId="09C89FE6" w14:textId="77777777" w:rsidR="004D3E5D" w:rsidRPr="0042409F" w:rsidRDefault="004D3E5D" w:rsidP="004D3E5D">
      <w:pPr>
        <w:rPr>
          <w:szCs w:val="24"/>
        </w:rPr>
      </w:pPr>
      <w:r w:rsidRPr="0042409F">
        <w:rPr>
          <w:szCs w:val="24"/>
        </w:rPr>
        <w:t>Frank Blaha (2009-2012)</w:t>
      </w:r>
    </w:p>
    <w:p w14:paraId="70AAEF87" w14:textId="77777777" w:rsidR="004D3E5D" w:rsidRPr="0042409F" w:rsidRDefault="004D3E5D" w:rsidP="004D3E5D">
      <w:pPr>
        <w:rPr>
          <w:rStyle w:val="Hyperlink"/>
          <w:szCs w:val="24"/>
        </w:rPr>
      </w:pPr>
      <w:r w:rsidRPr="007F0AA1">
        <w:rPr>
          <w:color w:val="0D0D0D"/>
          <w:szCs w:val="24"/>
        </w:rPr>
        <w:t>Senior Project Manager, Infrastructure</w:t>
      </w:r>
      <w:r w:rsidRPr="0042409F">
        <w:rPr>
          <w:color w:val="0D0D0D"/>
          <w:szCs w:val="24"/>
        </w:rPr>
        <w:br/>
      </w:r>
      <w:r w:rsidRPr="0042409F">
        <w:rPr>
          <w:bCs/>
          <w:color w:val="0D0D0D"/>
          <w:szCs w:val="24"/>
        </w:rPr>
        <w:t>Water Research Foundation (WaterRF)</w:t>
      </w:r>
      <w:r w:rsidRPr="0042409F">
        <w:rPr>
          <w:b/>
          <w:bCs/>
          <w:color w:val="0D0D0D"/>
          <w:szCs w:val="24"/>
        </w:rPr>
        <w:br/>
      </w:r>
      <w:r w:rsidRPr="0042409F">
        <w:rPr>
          <w:color w:val="0D0D0D"/>
          <w:szCs w:val="24"/>
        </w:rPr>
        <w:t>Phone: 303.347.6244</w:t>
      </w:r>
      <w:r w:rsidRPr="0042409F">
        <w:rPr>
          <w:color w:val="0D0D0D"/>
          <w:szCs w:val="24"/>
        </w:rPr>
        <w:br/>
      </w:r>
      <w:hyperlink r:id="rId12" w:history="1">
        <w:r w:rsidRPr="0042409F">
          <w:rPr>
            <w:rStyle w:val="Hyperlink"/>
            <w:szCs w:val="24"/>
          </w:rPr>
          <w:t>fblaha@WaterResearchFoundation.org</w:t>
        </w:r>
      </w:hyperlink>
    </w:p>
    <w:p w14:paraId="68B3F7FD" w14:textId="77777777" w:rsidR="004D3E5D" w:rsidRPr="0042409F" w:rsidRDefault="004D3E5D" w:rsidP="004D3E5D">
      <w:pPr>
        <w:rPr>
          <w:rStyle w:val="Hyperlink"/>
          <w:szCs w:val="24"/>
        </w:rPr>
      </w:pPr>
    </w:p>
    <w:p w14:paraId="5B3D9F1E" w14:textId="77777777" w:rsidR="004D3E5D" w:rsidRPr="007F0AA1" w:rsidRDefault="004D3E5D" w:rsidP="004D3E5D">
      <w:pPr>
        <w:rPr>
          <w:szCs w:val="24"/>
        </w:rPr>
      </w:pPr>
      <w:r w:rsidRPr="007F0AA1">
        <w:rPr>
          <w:szCs w:val="24"/>
        </w:rPr>
        <w:t>John Albert (2012)</w:t>
      </w:r>
    </w:p>
    <w:p w14:paraId="660E258D" w14:textId="77777777" w:rsidR="004D3E5D" w:rsidRDefault="004D3E5D" w:rsidP="004D3E5D">
      <w:pPr>
        <w:rPr>
          <w:color w:val="0D0D0D"/>
          <w:szCs w:val="24"/>
        </w:rPr>
      </w:pPr>
      <w:r w:rsidRPr="007F0AA1">
        <w:rPr>
          <w:color w:val="0D0D0D"/>
          <w:szCs w:val="24"/>
        </w:rPr>
        <w:t>Senior Account Manager</w:t>
      </w:r>
      <w:r w:rsidRPr="007F0AA1">
        <w:rPr>
          <w:color w:val="0D0D0D"/>
          <w:szCs w:val="24"/>
        </w:rPr>
        <w:br/>
      </w:r>
      <w:r w:rsidRPr="007F0AA1">
        <w:rPr>
          <w:bCs/>
          <w:color w:val="0D0D0D"/>
          <w:szCs w:val="24"/>
        </w:rPr>
        <w:t>Water Research Foundation (WaterRF)</w:t>
      </w:r>
      <w:r w:rsidRPr="007F0AA1">
        <w:rPr>
          <w:b/>
          <w:bCs/>
          <w:color w:val="0D0D0D"/>
          <w:szCs w:val="24"/>
        </w:rPr>
        <w:br/>
      </w:r>
      <w:r w:rsidRPr="007F0AA1">
        <w:rPr>
          <w:color w:val="0D0D0D"/>
          <w:szCs w:val="24"/>
        </w:rPr>
        <w:t>Phone: 303.734.3413</w:t>
      </w:r>
      <w:r w:rsidRPr="007F0AA1">
        <w:rPr>
          <w:color w:val="0D0D0D"/>
          <w:szCs w:val="24"/>
        </w:rPr>
        <w:br/>
      </w:r>
      <w:hyperlink r:id="rId13" w:history="1">
        <w:r w:rsidRPr="007F0AA1">
          <w:rPr>
            <w:rStyle w:val="Hyperlink"/>
            <w:szCs w:val="24"/>
          </w:rPr>
          <w:t>jalbert@WaterResearchFoundation.org</w:t>
        </w:r>
      </w:hyperlink>
    </w:p>
    <w:p w14:paraId="47C38264" w14:textId="77777777" w:rsidR="004D3E5D" w:rsidRDefault="004D3E5D" w:rsidP="004D3E5D">
      <w:pPr>
        <w:rPr>
          <w:color w:val="0D0D0D"/>
          <w:szCs w:val="24"/>
        </w:rPr>
      </w:pPr>
    </w:p>
    <w:p w14:paraId="326E0CF2" w14:textId="537CBA81" w:rsidR="004D3E5D" w:rsidRPr="00F14091" w:rsidRDefault="004D3E5D" w:rsidP="00D832B5">
      <w:pPr>
        <w:pStyle w:val="Heading1"/>
      </w:pPr>
      <w:bookmarkStart w:id="9" w:name="_Toc427663564"/>
      <w:r w:rsidRPr="00F14091">
        <w:t>9.  Explanations of Any Payment or Gift to Respondents</w:t>
      </w:r>
      <w:bookmarkEnd w:id="9"/>
    </w:p>
    <w:p w14:paraId="42F378DB" w14:textId="5BDDADA4" w:rsidR="004D3E5D" w:rsidRPr="007F7B1D" w:rsidRDefault="004D3E5D" w:rsidP="004D3E5D">
      <w:pPr>
        <w:tabs>
          <w:tab w:val="left" w:pos="810"/>
        </w:tabs>
      </w:pPr>
      <w:r w:rsidRPr="007F0AA1">
        <w:rPr>
          <w:szCs w:val="24"/>
        </w:rPr>
        <w:t>S</w:t>
      </w:r>
      <w:r w:rsidRPr="00B44F1D">
        <w:t xml:space="preserve">tudy participants will receive a refrigerator magnet calendar </w:t>
      </w:r>
      <w:r>
        <w:t xml:space="preserve">that includes information on emergency preparedness </w:t>
      </w:r>
      <w:r w:rsidRPr="00B44F1D">
        <w:t xml:space="preserve">from the CDC </w:t>
      </w:r>
      <w:r w:rsidRPr="007F0AA1">
        <w:lastRenderedPageBreak/>
        <w:t xml:space="preserve">with the initial survey mailing. </w:t>
      </w:r>
      <w:r w:rsidRPr="00B44F1D">
        <w:t xml:space="preserve">This magnet will highlight the </w:t>
      </w:r>
      <w:r w:rsidR="00B46D15">
        <w:t>two</w:t>
      </w:r>
      <w:r w:rsidR="00B46D15" w:rsidRPr="00B44F1D">
        <w:t xml:space="preserve"> </w:t>
      </w:r>
      <w:r w:rsidRPr="00B44F1D">
        <w:t>week period of interest for the study</w:t>
      </w:r>
      <w:r w:rsidRPr="007F0AA1">
        <w:t>, thus serving</w:t>
      </w:r>
      <w:r w:rsidRPr="00B44F1D">
        <w:t xml:space="preserve"> as a </w:t>
      </w:r>
      <w:r w:rsidRPr="007F0AA1">
        <w:t>visual aid to improve recall</w:t>
      </w:r>
      <w:r w:rsidRPr="00B44F1D">
        <w:t xml:space="preserve"> for participants.</w:t>
      </w:r>
      <w:r>
        <w:t xml:space="preserve"> The magnet can also be regarded as a token gift. Including a token gift has been shown to improve response rates in mailed surveys </w:t>
      </w:r>
      <w:r>
        <w:fldChar w:fldCharType="begin"/>
      </w:r>
      <w:r w:rsidR="00587ADA">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fldChar w:fldCharType="separate"/>
      </w:r>
      <w:r>
        <w:rPr>
          <w:noProof/>
        </w:rPr>
        <w:t>(</w:t>
      </w:r>
      <w:hyperlink w:anchor="_ENREF_5" w:tooltip="Dillman, 2007 #22" w:history="1">
        <w:r w:rsidR="007578BB">
          <w:rPr>
            <w:noProof/>
          </w:rPr>
          <w:t>Dillman 2007</w:t>
        </w:r>
      </w:hyperlink>
      <w:r>
        <w:rPr>
          <w:noProof/>
        </w:rPr>
        <w:t>)</w:t>
      </w:r>
      <w:r>
        <w:fldChar w:fldCharType="end"/>
      </w:r>
      <w:r>
        <w:t xml:space="preserve">.  </w:t>
      </w:r>
    </w:p>
    <w:p w14:paraId="11703457" w14:textId="77777777" w:rsidR="004D3E5D" w:rsidRPr="007F7B1D" w:rsidRDefault="004D3E5D" w:rsidP="004D3E5D"/>
    <w:p w14:paraId="1894ABB9" w14:textId="5EFBC9DE" w:rsidR="004D3E5D" w:rsidRPr="007F7B1D" w:rsidRDefault="004D3E5D" w:rsidP="00D832B5">
      <w:pPr>
        <w:pStyle w:val="Heading1"/>
      </w:pPr>
      <w:bookmarkStart w:id="10" w:name="_Toc427663565"/>
      <w:r w:rsidRPr="007F7B1D">
        <w:t xml:space="preserve">10. </w:t>
      </w:r>
      <w:r w:rsidR="00E73B0C">
        <w:t xml:space="preserve">Protection of the Privacy and </w:t>
      </w:r>
      <w:r w:rsidRPr="007F7B1D">
        <w:t xml:space="preserve">Confidentiality </w:t>
      </w:r>
      <w:r w:rsidR="00E73B0C">
        <w:t xml:space="preserve">of Information </w:t>
      </w:r>
      <w:r w:rsidRPr="007F7B1D">
        <w:t>Provided to Respondents</w:t>
      </w:r>
      <w:bookmarkEnd w:id="10"/>
    </w:p>
    <w:p w14:paraId="7744E0EE" w14:textId="77777777" w:rsidR="004C4BE2" w:rsidRDefault="004C4BE2" w:rsidP="004D3E5D">
      <w:pPr>
        <w:rPr>
          <w:u w:val="single"/>
        </w:rPr>
      </w:pPr>
    </w:p>
    <w:p w14:paraId="2876092B" w14:textId="77777777" w:rsidR="004C4BE2" w:rsidRPr="002761D7" w:rsidRDefault="004C4BE2" w:rsidP="004C4BE2">
      <w:pPr>
        <w:pStyle w:val="ListParagraph"/>
        <w:numPr>
          <w:ilvl w:val="0"/>
          <w:numId w:val="24"/>
        </w:numPr>
      </w:pPr>
      <w:r w:rsidRPr="002761D7">
        <w:t>Data collection is being extended</w:t>
      </w:r>
    </w:p>
    <w:p w14:paraId="534A7017" w14:textId="77777777" w:rsidR="004C4BE2" w:rsidRPr="002761D7" w:rsidRDefault="004C4BE2" w:rsidP="004C4BE2">
      <w:pPr>
        <w:pStyle w:val="ListParagraph"/>
        <w:numPr>
          <w:ilvl w:val="0"/>
          <w:numId w:val="24"/>
        </w:numPr>
      </w:pPr>
      <w:r w:rsidRPr="002761D7">
        <w:t>Water utility respondents might be local governments</w:t>
      </w:r>
    </w:p>
    <w:p w14:paraId="69BB0868" w14:textId="77777777" w:rsidR="004C4BE2" w:rsidRPr="002761D7" w:rsidRDefault="004C4BE2" w:rsidP="004C4BE2">
      <w:pPr>
        <w:pStyle w:val="ListParagraph"/>
        <w:numPr>
          <w:ilvl w:val="0"/>
          <w:numId w:val="24"/>
        </w:numPr>
      </w:pPr>
      <w:r>
        <w:t>Household s</w:t>
      </w:r>
      <w:r w:rsidRPr="002761D7">
        <w:t>urvey participants are not state and/or local governments</w:t>
      </w:r>
    </w:p>
    <w:p w14:paraId="473E66C1" w14:textId="77777777" w:rsidR="004C4BE2" w:rsidRDefault="004C4BE2" w:rsidP="004C4BE2">
      <w:pPr>
        <w:pStyle w:val="ListParagraph"/>
        <w:numPr>
          <w:ilvl w:val="0"/>
          <w:numId w:val="24"/>
        </w:numPr>
      </w:pPr>
      <w:r>
        <w:t>Postal survey r</w:t>
      </w:r>
      <w:r w:rsidRPr="008111BA">
        <w:t>esponses arrive at</w:t>
      </w:r>
      <w:r w:rsidRPr="002761D7">
        <w:t xml:space="preserve"> CDC with no identifiable information</w:t>
      </w:r>
      <w:r>
        <w:t xml:space="preserve"> </w:t>
      </w:r>
      <w:r w:rsidRPr="002761D7">
        <w:t>and in aggregate form</w:t>
      </w:r>
    </w:p>
    <w:p w14:paraId="3FF8E64F" w14:textId="77777777" w:rsidR="004C4BE2" w:rsidRPr="002761D7" w:rsidRDefault="004C4BE2" w:rsidP="004C4BE2">
      <w:pPr>
        <w:pStyle w:val="ListParagraph"/>
        <w:numPr>
          <w:ilvl w:val="0"/>
          <w:numId w:val="24"/>
        </w:numPr>
      </w:pPr>
      <w:r>
        <w:t>Web survey output datasets contain no identifiable information and responses are in aggregate form</w:t>
      </w:r>
    </w:p>
    <w:p w14:paraId="56EEC4D9" w14:textId="0E972893" w:rsidR="004C4BE2" w:rsidRDefault="004C4BE2" w:rsidP="004C4BE2">
      <w:pPr>
        <w:pStyle w:val="ListParagraph"/>
        <w:numPr>
          <w:ilvl w:val="0"/>
          <w:numId w:val="24"/>
        </w:numPr>
      </w:pPr>
      <w:r w:rsidRPr="002761D7">
        <w:t xml:space="preserve">Data management </w:t>
      </w:r>
      <w:r w:rsidRPr="002576DA">
        <w:rPr>
          <w:rFonts w:eastAsiaTheme="minorHAnsi"/>
          <w:color w:val="000000"/>
        </w:rPr>
        <w:t>procedures have not changed since previous approval, and the instruments have not been through extensive revisions</w:t>
      </w:r>
    </w:p>
    <w:p w14:paraId="57FC5250" w14:textId="77777777" w:rsidR="004C4BE2" w:rsidRPr="002761D7" w:rsidRDefault="004C4BE2" w:rsidP="004C4BE2">
      <w:pPr>
        <w:pStyle w:val="ListParagraph"/>
      </w:pPr>
    </w:p>
    <w:p w14:paraId="3F3F9E29" w14:textId="7D9D828B" w:rsidR="004D3E5D" w:rsidRDefault="004D3E5D" w:rsidP="004D3E5D">
      <w:r w:rsidRPr="007F7B1D">
        <w:rPr>
          <w:iCs/>
        </w:rPr>
        <w:t xml:space="preserve">The Privacy Act applies </w:t>
      </w:r>
      <w:r>
        <w:rPr>
          <w:iCs/>
        </w:rPr>
        <w:t xml:space="preserve">to this data collection </w:t>
      </w:r>
      <w:r w:rsidRPr="007F7B1D">
        <w:rPr>
          <w:iCs/>
        </w:rPr>
        <w:t xml:space="preserve">because personally identifying information (e.g., </w:t>
      </w:r>
      <w:r>
        <w:rPr>
          <w:iCs/>
        </w:rPr>
        <w:t>contact information</w:t>
      </w:r>
      <w:r w:rsidRPr="007F7B1D">
        <w:rPr>
          <w:iCs/>
        </w:rPr>
        <w:t xml:space="preserve">) will be requested and could potentially be linked to survey responses, although its intended use is (a) to randomly select study participants, (b) to identify exposed and unexposed households and (c) to calculate water distribution system-specific measures (e.g., water residence time, distance from location of low pressure event, etc.) of consented participating households. </w:t>
      </w:r>
      <w:r w:rsidRPr="007F7B1D">
        <w:t xml:space="preserve">The applicable </w:t>
      </w:r>
      <w:r>
        <w:t>S</w:t>
      </w:r>
      <w:r w:rsidRPr="007F7B1D">
        <w:t xml:space="preserve">ystem of </w:t>
      </w:r>
      <w:r>
        <w:t>R</w:t>
      </w:r>
      <w:r w:rsidRPr="007F7B1D">
        <w:t xml:space="preserve">ecords </w:t>
      </w:r>
      <w:r>
        <w:t xml:space="preserve">Notice </w:t>
      </w:r>
      <w:r w:rsidRPr="007F7B1D">
        <w:t xml:space="preserve">is </w:t>
      </w:r>
      <w:r>
        <w:t>09-20-0136</w:t>
      </w:r>
      <w:r w:rsidRPr="007F7B1D">
        <w:t xml:space="preserve">. </w:t>
      </w:r>
    </w:p>
    <w:p w14:paraId="06A3693C" w14:textId="77777777" w:rsidR="004D3E5D" w:rsidRPr="007F7B1D" w:rsidRDefault="004D3E5D" w:rsidP="004D3E5D"/>
    <w:p w14:paraId="4608CA36" w14:textId="6474B06D" w:rsidR="004D3E5D" w:rsidRPr="007F7B1D" w:rsidRDefault="004D3E5D" w:rsidP="004D3E5D">
      <w:r w:rsidRPr="007F7B1D">
        <w:t>To protect respondent privacy, the study team has put the following technical, physical, administrative and procedural safeguards in place:</w:t>
      </w:r>
    </w:p>
    <w:p w14:paraId="5A4241EC" w14:textId="61BC170D" w:rsidR="004D3E5D" w:rsidRPr="00204E55" w:rsidRDefault="004D3E5D" w:rsidP="004D3E5D">
      <w:pPr>
        <w:numPr>
          <w:ilvl w:val="0"/>
          <w:numId w:val="15"/>
        </w:numPr>
      </w:pPr>
      <w:r w:rsidRPr="00204E55">
        <w:t>Personal identification information (e.g., mailing address</w:t>
      </w:r>
      <w:r>
        <w:t xml:space="preserve"> and other contact information</w:t>
      </w:r>
      <w:r w:rsidRPr="00204E55">
        <w:t xml:space="preserve">) for each household is collected by water utility collaborators as part of their routine business </w:t>
      </w:r>
      <w:r>
        <w:t>operations (e.g., for billing and service purposes)</w:t>
      </w:r>
      <w:r w:rsidRPr="00204E55">
        <w:t>. Once a</w:t>
      </w:r>
      <w:r>
        <w:t>n</w:t>
      </w:r>
      <w:r w:rsidRPr="00204E55">
        <w:t xml:space="preserve"> LPE has been identified, the water utility will provide the CDC study team with a list</w:t>
      </w:r>
      <w:r w:rsidR="00DE3AE6">
        <w:t xml:space="preserve"> of</w:t>
      </w:r>
      <w:r w:rsidRPr="00204E55">
        <w:t xml:space="preserve"> addresses in the area potentially exposed to the LPE and a comparable</w:t>
      </w:r>
      <w:r w:rsidR="00DE3AE6">
        <w:t xml:space="preserve"> or larger</w:t>
      </w:r>
      <w:r w:rsidRPr="00204E55">
        <w:t xml:space="preserve"> number of addresses in an area not exposed to the LPE</w:t>
      </w:r>
      <w:r>
        <w:t>, through a secure</w:t>
      </w:r>
      <w:r w:rsidR="00055B55">
        <w:t>, encrypted</w:t>
      </w:r>
      <w:r>
        <w:t xml:space="preserve"> </w:t>
      </w:r>
      <w:r w:rsidR="003220F5">
        <w:t>file transfer protocol (FTP) site</w:t>
      </w:r>
      <w:r w:rsidRPr="00204E55">
        <w:t xml:space="preserve">. At CDC, mailing addresses will be </w:t>
      </w:r>
      <w:r w:rsidR="00B46D15">
        <w:t xml:space="preserve">uploaded </w:t>
      </w:r>
      <w:r w:rsidRPr="00204E55">
        <w:t xml:space="preserve">into the study </w:t>
      </w:r>
      <w:r w:rsidR="00B46D15">
        <w:t xml:space="preserve">participant management </w:t>
      </w:r>
      <w:r w:rsidRPr="00204E55">
        <w:t>database</w:t>
      </w:r>
      <w:r w:rsidR="00B46D15">
        <w:t>.</w:t>
      </w:r>
    </w:p>
    <w:p w14:paraId="3AE7DF70" w14:textId="55F0E655" w:rsidR="004D3E5D" w:rsidRPr="00204E55" w:rsidRDefault="00B46D15" w:rsidP="004D3E5D">
      <w:pPr>
        <w:numPr>
          <w:ilvl w:val="0"/>
          <w:numId w:val="15"/>
        </w:numPr>
      </w:pPr>
      <w:r>
        <w:t>A</w:t>
      </w:r>
      <w:r w:rsidR="004D3E5D" w:rsidRPr="00204E55">
        <w:t xml:space="preserve">ddress information will be deleted no later than two years after study completion. All addresses of households that were not selected to receive a survey will be deleted within two years of study completion. </w:t>
      </w:r>
      <w:r w:rsidR="003220F5">
        <w:t>P</w:t>
      </w:r>
      <w:r w:rsidR="004D3E5D" w:rsidRPr="00204E55">
        <w:t>ermanent data will be anonymous. Respondents will not and cannot be contacted for further follow-up.</w:t>
      </w:r>
    </w:p>
    <w:p w14:paraId="6C73AA52" w14:textId="77777777" w:rsidR="004D3E5D" w:rsidRPr="00204E55" w:rsidRDefault="004D3E5D" w:rsidP="004D3E5D">
      <w:pPr>
        <w:numPr>
          <w:ilvl w:val="0"/>
          <w:numId w:val="15"/>
        </w:numPr>
      </w:pPr>
      <w:r w:rsidRPr="00204E55">
        <w:t>We plan to report only anonymous, aggregate data.</w:t>
      </w:r>
      <w:r>
        <w:t xml:space="preserve"> </w:t>
      </w:r>
    </w:p>
    <w:p w14:paraId="2C59F571" w14:textId="47AD10E1" w:rsidR="004D3E5D" w:rsidRDefault="004D3E5D" w:rsidP="004D3E5D">
      <w:pPr>
        <w:numPr>
          <w:ilvl w:val="0"/>
          <w:numId w:val="15"/>
        </w:numPr>
      </w:pPr>
      <w:r w:rsidRPr="00204E55">
        <w:t xml:space="preserve">We have no plans to share participant personal identification information (e.g., address) and will keep individuals’ answers private and </w:t>
      </w:r>
      <w:r>
        <w:t>secure</w:t>
      </w:r>
      <w:r w:rsidRPr="00204E55">
        <w:t xml:space="preserve"> to the extent allowed by law. The measures to safeguard privacy are described to respondents in the informed consent process</w:t>
      </w:r>
      <w:r>
        <w:t xml:space="preserve"> (</w:t>
      </w:r>
      <w:r w:rsidR="00B46D15">
        <w:t xml:space="preserve">Attachment </w:t>
      </w:r>
      <w:r w:rsidR="002619B0">
        <w:t>I</w:t>
      </w:r>
      <w:r w:rsidRPr="008D6065">
        <w:t>).</w:t>
      </w:r>
    </w:p>
    <w:p w14:paraId="1CFBF9A9" w14:textId="5E9EAF72" w:rsidR="003D3809" w:rsidRPr="00204E55" w:rsidRDefault="007F0A74" w:rsidP="004D3E5D">
      <w:pPr>
        <w:numPr>
          <w:ilvl w:val="0"/>
          <w:numId w:val="15"/>
        </w:numPr>
      </w:pPr>
      <w:r>
        <w:t xml:space="preserve">A link with the </w:t>
      </w:r>
      <w:r w:rsidR="003D3809" w:rsidRPr="00281CDB">
        <w:t xml:space="preserve">CDC-generated user ID and password for access to the web-based questionnaire will now also be sent </w:t>
      </w:r>
      <w:r w:rsidR="003D3809" w:rsidRPr="00281CDB">
        <w:lastRenderedPageBreak/>
        <w:t>via e-mail, when customer</w:t>
      </w:r>
      <w:r w:rsidR="00E6430E">
        <w:t xml:space="preserve"> e-mail addresses are available</w:t>
      </w:r>
      <w:r w:rsidR="003D3809" w:rsidRPr="00281CDB">
        <w:t xml:space="preserve"> (see Attachment</w:t>
      </w:r>
      <w:r w:rsidR="00B46D15">
        <w:t>s</w:t>
      </w:r>
      <w:r w:rsidR="003D3809" w:rsidRPr="00281CDB">
        <w:t xml:space="preserve"> </w:t>
      </w:r>
      <w:r w:rsidR="002619B0">
        <w:t>H</w:t>
      </w:r>
      <w:r w:rsidR="003D3809" w:rsidRPr="00281CDB">
        <w:t xml:space="preserve"> </w:t>
      </w:r>
      <w:r w:rsidR="00B46D15">
        <w:t xml:space="preserve">and </w:t>
      </w:r>
      <w:r w:rsidR="002619B0">
        <w:t>N</w:t>
      </w:r>
      <w:r w:rsidR="00B46D15">
        <w:t xml:space="preserve"> </w:t>
      </w:r>
      <w:r w:rsidR="003D3809" w:rsidRPr="00281CDB">
        <w:t>for e-mail survey invitation)</w:t>
      </w:r>
      <w:r w:rsidR="00E6430E">
        <w:t>.</w:t>
      </w:r>
    </w:p>
    <w:p w14:paraId="1229A806" w14:textId="77777777" w:rsidR="004D3E5D" w:rsidRPr="00204E55" w:rsidRDefault="004D3E5D" w:rsidP="004D3E5D">
      <w:pPr>
        <w:numPr>
          <w:ilvl w:val="0"/>
          <w:numId w:val="15"/>
        </w:numPr>
      </w:pPr>
      <w:r w:rsidRPr="007F7B1D">
        <w:t xml:space="preserve">Access to the web-based questionnaire will be obtained through the use of a personal pass code that is sent to each household in the survey packet that includes the paper version of the questionnaire. The personal pass code allows only that specific household to access the website. </w:t>
      </w:r>
      <w:r>
        <w:t>No personal identification information will be collected in the web-based version of the questionnaire.</w:t>
      </w:r>
    </w:p>
    <w:p w14:paraId="631FBBF4" w14:textId="77777777" w:rsidR="004D3E5D" w:rsidRPr="00204E55" w:rsidRDefault="004D3E5D" w:rsidP="004D3E5D">
      <w:pPr>
        <w:numPr>
          <w:ilvl w:val="0"/>
          <w:numId w:val="15"/>
        </w:numPr>
      </w:pPr>
      <w:r w:rsidRPr="00204E55">
        <w:t xml:space="preserve">Personal identification information (e.g., mailing address) and </w:t>
      </w:r>
      <w:r w:rsidRPr="007F7B1D">
        <w:t xml:space="preserve">questionnaire </w:t>
      </w:r>
      <w:r w:rsidRPr="00204E55">
        <w:t>answers (including from the web-based</w:t>
      </w:r>
      <w:r w:rsidR="00711B75">
        <w:t xml:space="preserve"> and</w:t>
      </w:r>
      <w:r w:rsidRPr="00204E55">
        <w:t xml:space="preserve"> paper-based versions of the survey) will be stored on a CDC password-protected computer server. </w:t>
      </w:r>
      <w:r w:rsidRPr="007F7B1D">
        <w:t xml:space="preserve">Completed paper surveys will be stored in a locked office. Access to the electronic data and to the paper documents will only be granted to authorized personnel at CDC who are working on the study. </w:t>
      </w:r>
    </w:p>
    <w:p w14:paraId="537A6E4F" w14:textId="77777777" w:rsidR="004D3E5D" w:rsidRPr="007F7B1D" w:rsidRDefault="004D3E5D" w:rsidP="004D3E5D"/>
    <w:p w14:paraId="1AE6B168" w14:textId="77777777" w:rsidR="004D3E5D" w:rsidRPr="007F7B1D" w:rsidRDefault="004D3E5D" w:rsidP="004D3E5D">
      <w:r w:rsidRPr="007F7B1D">
        <w:t>CDC study staff who are contractors are subject to a non-disclosure agreement.</w:t>
      </w:r>
    </w:p>
    <w:p w14:paraId="1F309B0E" w14:textId="77777777" w:rsidR="004D3E5D" w:rsidRPr="007F7B1D" w:rsidRDefault="004D3E5D" w:rsidP="004D3E5D"/>
    <w:p w14:paraId="26B92B60" w14:textId="6DB5B5AE" w:rsidR="004D3E5D" w:rsidRPr="007F7B1D" w:rsidRDefault="004D3E5D" w:rsidP="004D3E5D">
      <w:r>
        <w:t xml:space="preserve">Return of a completed survey constitutes consent, as stated in the instructions on the cover of the survey booklet. </w:t>
      </w:r>
      <w:r w:rsidRPr="007F0AA1">
        <w:t>(</w:t>
      </w:r>
      <w:r w:rsidR="000B611A">
        <w:t xml:space="preserve">Attachments </w:t>
      </w:r>
      <w:r w:rsidR="003F30B2">
        <w:t>J</w:t>
      </w:r>
      <w:r w:rsidR="000B611A">
        <w:t xml:space="preserve"> and </w:t>
      </w:r>
      <w:r w:rsidR="003F30B2">
        <w:t>K</w:t>
      </w:r>
      <w:r w:rsidRPr="00D92C1C">
        <w:t>).</w:t>
      </w:r>
      <w:r w:rsidRPr="007F7B1D">
        <w:t xml:space="preserve"> </w:t>
      </w:r>
    </w:p>
    <w:p w14:paraId="28C1B9B3" w14:textId="77777777" w:rsidR="004D3E5D" w:rsidRPr="007F7B1D" w:rsidRDefault="004D3E5D" w:rsidP="004D3E5D"/>
    <w:p w14:paraId="2AFDC7DE" w14:textId="77777777" w:rsidR="004D3E5D" w:rsidRPr="007F7B1D" w:rsidRDefault="004D3E5D" w:rsidP="004D3E5D">
      <w:r w:rsidRPr="007F7B1D">
        <w:t xml:space="preserve">Participants are told that the information they provide will be treated in a secure manner and that no identifying information will be shared or appear on any reports. Specifically, the consent </w:t>
      </w:r>
      <w:r>
        <w:t>brochure</w:t>
      </w:r>
      <w:r w:rsidRPr="007F7B1D">
        <w:t xml:space="preserve"> states: </w:t>
      </w:r>
    </w:p>
    <w:p w14:paraId="64E96032" w14:textId="77777777" w:rsidR="004D3E5D" w:rsidRPr="0014255F" w:rsidRDefault="004D3E5D" w:rsidP="004D3E5D">
      <w:pPr>
        <w:ind w:left="720" w:right="720"/>
      </w:pPr>
      <w:r w:rsidRPr="00882196">
        <w:t>“</w:t>
      </w:r>
      <w:r w:rsidRPr="007F0AA1">
        <w:rPr>
          <w:color w:val="000000"/>
          <w:lang w:val="en"/>
        </w:rPr>
        <w:t xml:space="preserve">When the study is complete, your contact information will be removed from our files. No personal </w:t>
      </w:r>
      <w:r w:rsidRPr="007F0AA1">
        <w:rPr>
          <w:color w:val="000000"/>
          <w:lang w:val="en"/>
        </w:rPr>
        <w:lastRenderedPageBreak/>
        <w:t>information about you will appear on any report. Survey responses will be treated in a secure manner and will not be disclosed, unless otherwise compelled by law.</w:t>
      </w:r>
      <w:r w:rsidRPr="0014255F">
        <w:t>”</w:t>
      </w:r>
    </w:p>
    <w:p w14:paraId="681C421E" w14:textId="77777777" w:rsidR="004D3E5D" w:rsidRPr="007F7B1D" w:rsidRDefault="004D3E5D" w:rsidP="004D3E5D"/>
    <w:p w14:paraId="1F215E94" w14:textId="4725A479" w:rsidR="004D3E5D" w:rsidRPr="007F7B1D" w:rsidRDefault="004D3E5D" w:rsidP="004D3E5D">
      <w:r w:rsidRPr="007F7B1D">
        <w:t xml:space="preserve">Study participants are informed that participation is voluntary and </w:t>
      </w:r>
      <w:r>
        <w:t xml:space="preserve">that </w:t>
      </w:r>
      <w:r w:rsidRPr="007F7B1D">
        <w:t xml:space="preserve">they are not required to answer any specific questions. Specifically, the consent form states: </w:t>
      </w:r>
    </w:p>
    <w:p w14:paraId="7EEF9FE8" w14:textId="0A23A0E3" w:rsidR="004C4BE2" w:rsidRDefault="004D3E5D" w:rsidP="004D3E5D">
      <w:pPr>
        <w:ind w:left="720" w:right="720"/>
      </w:pPr>
      <w:r w:rsidRPr="007F7B1D">
        <w:t>“</w:t>
      </w:r>
      <w:r w:rsidRPr="00247341">
        <w:rPr>
          <w:rFonts w:asciiTheme="majorHAnsi" w:hAnsiTheme="majorHAnsi"/>
          <w:color w:val="000000"/>
          <w:lang w:val="en"/>
        </w:rPr>
        <w:t>There is no penalty i</w:t>
      </w:r>
      <w:r>
        <w:rPr>
          <w:rFonts w:asciiTheme="majorHAnsi" w:hAnsiTheme="majorHAnsi"/>
          <w:color w:val="000000"/>
          <w:lang w:val="en"/>
        </w:rPr>
        <w:t>f you decide not to participate</w:t>
      </w:r>
      <w:r w:rsidRPr="007F7B1D">
        <w:t>.</w:t>
      </w:r>
      <w:r w:rsidR="00967C58">
        <w:t xml:space="preserve"> However, we hope that you will choose to participate in this important study.</w:t>
      </w:r>
      <w:r w:rsidRPr="007F7B1D">
        <w:t>”</w:t>
      </w:r>
    </w:p>
    <w:p w14:paraId="083E437B" w14:textId="77777777" w:rsidR="004C4BE2" w:rsidRDefault="004C4BE2" w:rsidP="004D3E5D">
      <w:pPr>
        <w:ind w:left="720" w:right="720"/>
      </w:pPr>
    </w:p>
    <w:p w14:paraId="52EC563E" w14:textId="77777777" w:rsidR="004C4BE2" w:rsidRPr="007F7B1D" w:rsidRDefault="004C4BE2" w:rsidP="004C4BE2">
      <w:r w:rsidRPr="003B122C">
        <w:t xml:space="preserve">The only IIF that will be collected will be the </w:t>
      </w:r>
      <w:r w:rsidRPr="00AC50FD">
        <w:t>contact information of</w:t>
      </w:r>
      <w:r>
        <w:t xml:space="preserve"> potential study participants, which will be provided from utility billing records or publically available tax assessor information</w:t>
      </w:r>
      <w:r w:rsidRPr="007F7B1D">
        <w:t>; no other personally-identifiable information will be collected. Address information is necessary in order to identify households that are within the potentially exposed and unexposed areas</w:t>
      </w:r>
      <w:r>
        <w:t>, and names will only be used to personalize study correspondence</w:t>
      </w:r>
      <w:r w:rsidRPr="007F7B1D">
        <w:t xml:space="preserve">. Survey participants’ addresses will also be used to calculate water distribution system-specific variables, such as water residence time in the distribution system, distance from the address to the </w:t>
      </w:r>
      <w:r>
        <w:t>site of the break or repair</w:t>
      </w:r>
      <w:r w:rsidRPr="007F7B1D">
        <w:t xml:space="preserve"> and other factors. These data will only be made available to the study team. The collection of </w:t>
      </w:r>
      <w:r>
        <w:t>contact</w:t>
      </w:r>
      <w:r w:rsidRPr="007F7B1D">
        <w:t xml:space="preserve"> information is expected to have minimal impact on the respondents</w:t>
      </w:r>
      <w:r>
        <w:t>’</w:t>
      </w:r>
      <w:r w:rsidRPr="007F7B1D">
        <w:t xml:space="preserve"> privacy.  </w:t>
      </w:r>
    </w:p>
    <w:p w14:paraId="7E4F9CEE" w14:textId="77777777" w:rsidR="004C4BE2" w:rsidRPr="007F7B1D" w:rsidRDefault="004C4BE2" w:rsidP="004C4BE2"/>
    <w:p w14:paraId="098FE299" w14:textId="77777777" w:rsidR="004C4BE2" w:rsidRPr="004D0F03" w:rsidRDefault="004C4BE2" w:rsidP="004C4BE2">
      <w:pPr>
        <w:rPr>
          <w:color w:val="1F497D"/>
        </w:rPr>
      </w:pPr>
      <w:r w:rsidRPr="007F7B1D">
        <w:t>Information for this data collection will be obtained from the public in t</w:t>
      </w:r>
      <w:r>
        <w:t>wo</w:t>
      </w:r>
      <w:r w:rsidRPr="007F7B1D">
        <w:t xml:space="preserve"> ways: paper surveys filled out by study respondents and returned via postal mail to CDC study staff; and web-based surveys filled out by respondents who respond via a password-protected </w:t>
      </w:r>
      <w:r w:rsidRPr="007F7B1D">
        <w:lastRenderedPageBreak/>
        <w:t xml:space="preserve">website housed at CDC. Data from the paper surveys will be entered into a Microsoft Access (2007) database and data from the </w:t>
      </w:r>
      <w:r>
        <w:t>web</w:t>
      </w:r>
      <w:r w:rsidRPr="007F7B1D">
        <w:t>-based survey will be provided from the computer developers in a SAS</w:t>
      </w:r>
      <w:r>
        <w:t>®</w:t>
      </w:r>
      <w:r w:rsidRPr="007F7B1D">
        <w:t xml:space="preserve"> 9.</w:t>
      </w:r>
      <w:r>
        <w:t>3</w:t>
      </w:r>
      <w:r w:rsidRPr="007F7B1D">
        <w:t xml:space="preserve"> file. </w:t>
      </w:r>
    </w:p>
    <w:p w14:paraId="6FF4BB6E" w14:textId="77777777" w:rsidR="004C4BE2" w:rsidRPr="007F7B1D" w:rsidRDefault="004C4BE2" w:rsidP="004C4BE2"/>
    <w:p w14:paraId="1AC75F7A" w14:textId="77777777" w:rsidR="004C4BE2" w:rsidRPr="007F7B1D" w:rsidRDefault="004C4BE2" w:rsidP="004C4BE2">
      <w:r w:rsidRPr="007F7B1D">
        <w:t xml:space="preserve">Data will be collected by CDC staff and CDC contractors affiliated with the study. No other data collection partners will be involved. Data will be maintained for the lengths of time outlined in the sections below. </w:t>
      </w:r>
      <w:r>
        <w:t>Contact</w:t>
      </w:r>
      <w:r w:rsidRPr="007F7B1D">
        <w:t xml:space="preserve"> information</w:t>
      </w:r>
      <w:r>
        <w:t xml:space="preserve"> (which is the only Information in Identifiable Form (IIF) that will be collected during this study) </w:t>
      </w:r>
      <w:r w:rsidRPr="007F7B1D">
        <w:t>will be kept in a password-protected database separate from the survey information</w:t>
      </w:r>
      <w:r>
        <w:t xml:space="preserve"> and will be deleted and blacked out from paper records within two years of study completion.</w:t>
      </w:r>
      <w:r w:rsidRPr="007F7B1D">
        <w:t xml:space="preserve"> </w:t>
      </w:r>
    </w:p>
    <w:p w14:paraId="6DA6902D" w14:textId="77777777" w:rsidR="004C4BE2" w:rsidRPr="007F7B1D" w:rsidRDefault="004C4BE2" w:rsidP="004C4BE2"/>
    <w:p w14:paraId="5F2EADD4" w14:textId="77777777" w:rsidR="004C4BE2" w:rsidRPr="007F7B1D" w:rsidRDefault="004C4BE2" w:rsidP="004C4BE2">
      <w:r w:rsidRPr="003B122C">
        <w:t xml:space="preserve">The only </w:t>
      </w:r>
      <w:r w:rsidRPr="00AC50FD">
        <w:t xml:space="preserve">IIF that will be collected will be contact information for the study participants (i.e., </w:t>
      </w:r>
      <w:r>
        <w:t xml:space="preserve">name, </w:t>
      </w:r>
      <w:r w:rsidRPr="00AC50FD">
        <w:t>mailing address, phone number, e-mail if available).</w:t>
      </w:r>
      <w:r w:rsidRPr="007F7B1D">
        <w:t xml:space="preserve"> No dates of birth, social security numbers or other types of IIF will be collected. Within one week following an LPE, the water utilities will provide </w:t>
      </w:r>
      <w:r>
        <w:t>contact information</w:t>
      </w:r>
      <w:r w:rsidRPr="007F7B1D">
        <w:t xml:space="preserve"> of </w:t>
      </w:r>
      <w:r>
        <w:t xml:space="preserve">residential </w:t>
      </w:r>
      <w:r w:rsidRPr="007F7B1D">
        <w:t>customers</w:t>
      </w:r>
      <w:r>
        <w:t xml:space="preserve"> </w:t>
      </w:r>
      <w:r w:rsidRPr="007F7B1D">
        <w:t xml:space="preserve">(service connections) affected by the LPE and </w:t>
      </w:r>
      <w:r>
        <w:t>residential customers</w:t>
      </w:r>
      <w:r w:rsidRPr="007F7B1D">
        <w:t xml:space="preserve"> (service connections) in an area unaffected by the LPE (e.g., persons in a different pressure zone) to CDC study staff</w:t>
      </w:r>
      <w:r>
        <w:t>, using a secure, encrypted file transfer protocol (FTP) site</w:t>
      </w:r>
      <w:r w:rsidRPr="007F7B1D">
        <w:t xml:space="preserve">. From this address list, a random sample of exposed and unexposed households will be generated by CDC study staff. Households will only be surveyed once (either as a household exposed to an LPE or as an unexposed household). </w:t>
      </w:r>
    </w:p>
    <w:p w14:paraId="1CCF845F" w14:textId="77777777" w:rsidR="004C4BE2" w:rsidRPr="004B362F" w:rsidRDefault="004C4BE2" w:rsidP="004C4BE2"/>
    <w:p w14:paraId="6015E8A2" w14:textId="1B278FC7" w:rsidR="004C4BE2" w:rsidRPr="007F7B1D" w:rsidRDefault="004C4BE2" w:rsidP="004C4BE2">
      <w:r w:rsidRPr="007F7B1D">
        <w:lastRenderedPageBreak/>
        <w:t xml:space="preserve">Information will be collected from the public on </w:t>
      </w:r>
      <w:r>
        <w:t xml:space="preserve">water service and use and self-reported illnesses </w:t>
      </w:r>
      <w:r w:rsidRPr="007F7B1D">
        <w:t xml:space="preserve">(see </w:t>
      </w:r>
      <w:r>
        <w:t xml:space="preserve">Attachments </w:t>
      </w:r>
      <w:r w:rsidR="00E45099">
        <w:t>F</w:t>
      </w:r>
      <w:r>
        <w:t>-</w:t>
      </w:r>
      <w:r w:rsidR="00E45099">
        <w:t>P</w:t>
      </w:r>
      <w:r w:rsidRPr="007F7B1D">
        <w:t xml:space="preserve"> for survey instruments</w:t>
      </w:r>
      <w:r>
        <w:t xml:space="preserve"> and related documents</w:t>
      </w:r>
      <w:r w:rsidRPr="007F7B1D">
        <w:t xml:space="preserve">). </w:t>
      </w:r>
      <w:r>
        <w:t>I</w:t>
      </w:r>
      <w:r w:rsidRPr="007F7B1D">
        <w:t>nformation obtained through this data collection will include:</w:t>
      </w:r>
    </w:p>
    <w:p w14:paraId="438A6A90" w14:textId="77777777" w:rsidR="004C4BE2" w:rsidRDefault="004C4BE2" w:rsidP="004C4BE2">
      <w:pPr>
        <w:numPr>
          <w:ilvl w:val="0"/>
          <w:numId w:val="1"/>
        </w:numPr>
      </w:pPr>
      <w:r w:rsidRPr="007F7B1D">
        <w:t>Symptoms and duration of AGI</w:t>
      </w:r>
      <w:r>
        <w:t xml:space="preserve"> and ARI</w:t>
      </w:r>
      <w:r w:rsidRPr="007F7B1D">
        <w:t xml:space="preserve"> </w:t>
      </w:r>
    </w:p>
    <w:p w14:paraId="3026FCBE" w14:textId="77777777" w:rsidR="004C4BE2" w:rsidRPr="007F7B1D" w:rsidRDefault="004C4BE2" w:rsidP="004C4BE2">
      <w:pPr>
        <w:numPr>
          <w:ilvl w:val="0"/>
          <w:numId w:val="1"/>
        </w:numPr>
      </w:pPr>
      <w:r>
        <w:t xml:space="preserve">Impact of illnesses, including </w:t>
      </w:r>
      <w:r w:rsidRPr="007F7B1D">
        <w:t>hospitalization and loss of school/work</w:t>
      </w:r>
    </w:p>
    <w:p w14:paraId="62BAC41C" w14:textId="77777777" w:rsidR="004C4BE2" w:rsidRPr="007F7B1D" w:rsidRDefault="004C4BE2" w:rsidP="004C4BE2">
      <w:pPr>
        <w:numPr>
          <w:ilvl w:val="0"/>
          <w:numId w:val="1"/>
        </w:numPr>
      </w:pPr>
      <w:r w:rsidRPr="007F7B1D">
        <w:t xml:space="preserve">Presence of chronic </w:t>
      </w:r>
      <w:r>
        <w:t xml:space="preserve">health </w:t>
      </w:r>
      <w:r w:rsidRPr="007F7B1D">
        <w:t>condition with gastrointestinal or respiratory symptoms</w:t>
      </w:r>
    </w:p>
    <w:p w14:paraId="32026421" w14:textId="77777777" w:rsidR="004C4BE2" w:rsidRPr="007F7B1D" w:rsidRDefault="004C4BE2" w:rsidP="004C4BE2">
      <w:pPr>
        <w:numPr>
          <w:ilvl w:val="0"/>
          <w:numId w:val="1"/>
        </w:numPr>
      </w:pPr>
      <w:r>
        <w:t>Household w</w:t>
      </w:r>
      <w:r w:rsidRPr="007F7B1D">
        <w:t xml:space="preserve">ater </w:t>
      </w:r>
      <w:r>
        <w:t xml:space="preserve">service, use and </w:t>
      </w:r>
      <w:r w:rsidRPr="007F7B1D">
        <w:t xml:space="preserve">consumption (type of drinking water, number of glasses of tap water consumed per person/per day, </w:t>
      </w:r>
      <w:r>
        <w:t>change in taste, color, or odor of</w:t>
      </w:r>
      <w:r w:rsidRPr="007F7B1D">
        <w:t xml:space="preserve"> tap water)</w:t>
      </w:r>
    </w:p>
    <w:p w14:paraId="20C8066E" w14:textId="77777777" w:rsidR="004C4BE2" w:rsidRPr="007F7B1D" w:rsidRDefault="004C4BE2" w:rsidP="004C4BE2">
      <w:pPr>
        <w:numPr>
          <w:ilvl w:val="0"/>
          <w:numId w:val="1"/>
        </w:numPr>
      </w:pPr>
      <w:r w:rsidRPr="007F7B1D">
        <w:t xml:space="preserve">Recent international travel </w:t>
      </w:r>
    </w:p>
    <w:p w14:paraId="34AB6588" w14:textId="77777777" w:rsidR="004C4BE2" w:rsidRPr="007F7B1D" w:rsidRDefault="004C4BE2" w:rsidP="004C4BE2">
      <w:pPr>
        <w:numPr>
          <w:ilvl w:val="0"/>
          <w:numId w:val="1"/>
        </w:numPr>
      </w:pPr>
      <w:r w:rsidRPr="007F7B1D">
        <w:t xml:space="preserve">Children or adult household member </w:t>
      </w:r>
      <w:r>
        <w:t xml:space="preserve">attending or </w:t>
      </w:r>
      <w:r w:rsidRPr="007F7B1D">
        <w:t>employed at daycare</w:t>
      </w:r>
    </w:p>
    <w:p w14:paraId="2E62D565" w14:textId="77777777" w:rsidR="004C4BE2" w:rsidRPr="007F7B1D" w:rsidRDefault="004C4BE2" w:rsidP="004C4BE2">
      <w:pPr>
        <w:numPr>
          <w:ilvl w:val="0"/>
          <w:numId w:val="1"/>
        </w:numPr>
      </w:pPr>
      <w:r w:rsidRPr="007F7B1D">
        <w:t xml:space="preserve">Pets in </w:t>
      </w:r>
      <w:r>
        <w:t xml:space="preserve">the </w:t>
      </w:r>
      <w:r w:rsidRPr="007F7B1D">
        <w:t>household and other animal contact</w:t>
      </w:r>
    </w:p>
    <w:p w14:paraId="20A14601" w14:textId="77777777" w:rsidR="004C4BE2" w:rsidRDefault="004C4BE2" w:rsidP="004C4BE2">
      <w:pPr>
        <w:numPr>
          <w:ilvl w:val="0"/>
          <w:numId w:val="1"/>
        </w:numPr>
      </w:pPr>
      <w:r w:rsidRPr="007F7B1D">
        <w:t>Recreational water exposure</w:t>
      </w:r>
      <w:r w:rsidRPr="00C16579">
        <w:t xml:space="preserve"> </w:t>
      </w:r>
    </w:p>
    <w:p w14:paraId="660764AF" w14:textId="77777777" w:rsidR="004C4BE2" w:rsidRPr="007F7B1D" w:rsidRDefault="004C4BE2" w:rsidP="004C4BE2">
      <w:pPr>
        <w:numPr>
          <w:ilvl w:val="0"/>
          <w:numId w:val="1"/>
        </w:numPr>
      </w:pPr>
      <w:r w:rsidRPr="007F7B1D">
        <w:t xml:space="preserve">Basic demographics: age, race/ethnicity and sex </w:t>
      </w:r>
    </w:p>
    <w:p w14:paraId="44AE82FD" w14:textId="77777777" w:rsidR="004C4BE2" w:rsidRDefault="004C4BE2" w:rsidP="004C4BE2">
      <w:pPr>
        <w:autoSpaceDE w:val="0"/>
        <w:autoSpaceDN w:val="0"/>
        <w:adjustRightInd w:val="0"/>
        <w:ind w:left="720"/>
      </w:pPr>
    </w:p>
    <w:p w14:paraId="75E3EF96" w14:textId="77777777" w:rsidR="004C4BE2" w:rsidRDefault="004C4BE2" w:rsidP="004C4BE2">
      <w:pPr>
        <w:autoSpaceDE w:val="0"/>
        <w:autoSpaceDN w:val="0"/>
        <w:adjustRightInd w:val="0"/>
      </w:pPr>
      <w:r w:rsidRPr="00EA6141">
        <w:t>Our primary outcome measure will be self-reported AGI</w:t>
      </w:r>
      <w:r>
        <w:t>. AGI will be defined as an episode of vomiting or diarrhea (</w:t>
      </w:r>
      <w:r w:rsidRPr="00462B63">
        <w:rPr>
          <w:u w:val="single"/>
        </w:rPr>
        <w:t>&gt;</w:t>
      </w:r>
      <w:r>
        <w:t>3 loose stools in a 24-hour period) during the two</w:t>
      </w:r>
      <w:r w:rsidRPr="00184D07">
        <w:t xml:space="preserve"> weeks after the </w:t>
      </w:r>
      <w:r>
        <w:t>low pressure event</w:t>
      </w:r>
      <w:r w:rsidRPr="00184D07">
        <w:t xml:space="preserve"> (“t</w:t>
      </w:r>
      <w:r>
        <w:t>wo</w:t>
      </w:r>
      <w:r w:rsidRPr="00184D07">
        <w:t xml:space="preserve"> week period”).</w:t>
      </w:r>
      <w:r>
        <w:t xml:space="preserve"> Our secondary outcome will be self-reported ARI. ARI will be defined as at least two of the following: fever, </w:t>
      </w:r>
      <w:r w:rsidRPr="00AC5B2B">
        <w:t>sore throat</w:t>
      </w:r>
      <w:r>
        <w:t>,</w:t>
      </w:r>
      <w:r w:rsidRPr="00AC5B2B">
        <w:t xml:space="preserve"> runny nose, or cough</w:t>
      </w:r>
      <w:r>
        <w:t xml:space="preserve"> during the two week period of interest. </w:t>
      </w:r>
    </w:p>
    <w:p w14:paraId="446B38DD" w14:textId="77777777" w:rsidR="004C4BE2" w:rsidRPr="007F7B1D" w:rsidRDefault="004C4BE2" w:rsidP="004C4BE2"/>
    <w:p w14:paraId="60715B5D" w14:textId="77777777" w:rsidR="004C4BE2" w:rsidRPr="007F7B1D" w:rsidRDefault="004C4BE2" w:rsidP="004C4BE2">
      <w:r w:rsidRPr="007F7B1D">
        <w:lastRenderedPageBreak/>
        <w:t>Participants’ initials will be asked for on the questionnaire in order to facilitate individual-specific responses. Initials will only be maintained in the study database until data cleaning is complete, after which they will be destroyed. Where paper records exist (</w:t>
      </w:r>
      <w:r>
        <w:t>i.e</w:t>
      </w:r>
      <w:r w:rsidRPr="007F7B1D">
        <w:t xml:space="preserve">., paper surveys), initials will be blacked out within two years of data cleaning completion. </w:t>
      </w:r>
      <w:r>
        <w:t xml:space="preserve">Utility customer names will be used to facilitate communication, because personalized correspondence has been shown to improve survey response rates </w:t>
      </w:r>
      <w:r>
        <w:fldChar w:fldCharType="begin"/>
      </w:r>
      <w:r>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fldChar w:fldCharType="separate"/>
      </w:r>
      <w:r>
        <w:rPr>
          <w:noProof/>
        </w:rPr>
        <w:t>(</w:t>
      </w:r>
      <w:hyperlink w:anchor="_ENREF_5" w:tooltip="Dillman, 2007 #22" w:history="1">
        <w:r>
          <w:rPr>
            <w:noProof/>
          </w:rPr>
          <w:t>Dillman 2007</w:t>
        </w:r>
      </w:hyperlink>
      <w:r>
        <w:rPr>
          <w:noProof/>
        </w:rPr>
        <w:t>)</w:t>
      </w:r>
      <w:r>
        <w:fldChar w:fldCharType="end"/>
      </w:r>
      <w:r>
        <w:t xml:space="preserve">. </w:t>
      </w:r>
      <w:r w:rsidRPr="007F7B1D">
        <w:t xml:space="preserve">Address information is necessary in order to identify households that are within the potentially exposed and unexposed areas and will also be used to </w:t>
      </w:r>
      <w:r>
        <w:t xml:space="preserve">address correspondence and </w:t>
      </w:r>
      <w:r w:rsidRPr="007F7B1D">
        <w:t>estimate water distribution system-specific variables. Once these variables have been created, addresses will be deleted and blacked out from paper records within two years of data cleaning completion. Address information will be kept in a password-protected database</w:t>
      </w:r>
      <w:r>
        <w:t xml:space="preserve">. </w:t>
      </w:r>
      <w:r w:rsidRPr="007F7B1D">
        <w:t>Records of any address not selected to participate in the study will be deleted within two years of study completion.</w:t>
      </w:r>
    </w:p>
    <w:p w14:paraId="77CAD9E5" w14:textId="77777777" w:rsidR="004C4BE2" w:rsidRPr="007F7B1D" w:rsidRDefault="004C4BE2" w:rsidP="004C4BE2"/>
    <w:p w14:paraId="3813CAB7" w14:textId="3B8C781D" w:rsidR="004C4BE2" w:rsidRDefault="004C4BE2" w:rsidP="004C4BE2">
      <w:r w:rsidRPr="007F7B1D">
        <w:t>Should they choose to participate, survey respondents will have the opportunity to respond to the survey v</w:t>
      </w:r>
      <w:r>
        <w:t>ia the internet. No children (&lt;</w:t>
      </w:r>
      <w:r w:rsidRPr="007F7B1D">
        <w:t xml:space="preserve">18 years of age) will be asked to respond to the web-based (or postal version) of the survey. Regardless of which manner a person chooses to participate in the study, for households where children &lt;18 years of age are present, we will ask a parent or guardian to answer questions and provide information on behalf of the child. The consent </w:t>
      </w:r>
      <w:r>
        <w:t xml:space="preserve">brochure </w:t>
      </w:r>
      <w:r w:rsidRPr="007F7B1D">
        <w:t>specifies that only an adult</w:t>
      </w:r>
      <w:r>
        <w:t xml:space="preserve"> </w:t>
      </w:r>
      <w:r w:rsidRPr="007F7B1D">
        <w:t>(</w:t>
      </w:r>
      <w:r w:rsidRPr="007F7B1D">
        <w:rPr>
          <w:u w:val="single"/>
        </w:rPr>
        <w:t>&gt;</w:t>
      </w:r>
      <w:r w:rsidRPr="007F7B1D">
        <w:t xml:space="preserve">18 years of age) is eligible to complete the questionnaire (see </w:t>
      </w:r>
      <w:r>
        <w:t xml:space="preserve">Attachment </w:t>
      </w:r>
      <w:r w:rsidR="003F30B2">
        <w:t>I</w:t>
      </w:r>
      <w:r>
        <w:t xml:space="preserve">), and this information is reiterated in the survey booklet (see Attachments </w:t>
      </w:r>
      <w:r w:rsidR="003F30B2">
        <w:t>J</w:t>
      </w:r>
      <w:r>
        <w:t xml:space="preserve"> and </w:t>
      </w:r>
      <w:r w:rsidR="003F30B2">
        <w:t>K</w:t>
      </w:r>
      <w:r>
        <w:t>)</w:t>
      </w:r>
      <w:r w:rsidRPr="007F7B1D">
        <w:t>.</w:t>
      </w:r>
    </w:p>
    <w:p w14:paraId="5C8C66FE" w14:textId="77777777" w:rsidR="004D3E5D" w:rsidRPr="007F7B1D" w:rsidRDefault="004D3E5D" w:rsidP="004D3E5D">
      <w:pPr>
        <w:ind w:left="720" w:right="720"/>
      </w:pPr>
    </w:p>
    <w:p w14:paraId="11580155" w14:textId="4FE4B536" w:rsidR="004D3E5D" w:rsidRPr="007F7B1D" w:rsidRDefault="004D3E5D" w:rsidP="00D832B5">
      <w:pPr>
        <w:pStyle w:val="Heading1"/>
      </w:pPr>
      <w:bookmarkStart w:id="11" w:name="_Toc427663566"/>
      <w:r w:rsidRPr="007F7B1D">
        <w:lastRenderedPageBreak/>
        <w:t xml:space="preserve">11.  </w:t>
      </w:r>
      <w:r w:rsidR="00E73B0C">
        <w:t xml:space="preserve">Institutional Review Board (IRB) and </w:t>
      </w:r>
      <w:r w:rsidRPr="007F7B1D">
        <w:t>Justification for Sensitive Questions</w:t>
      </w:r>
      <w:bookmarkEnd w:id="11"/>
    </w:p>
    <w:p w14:paraId="15A401C6" w14:textId="16E8C043" w:rsidR="00E73B0C" w:rsidRPr="007F7B1D" w:rsidRDefault="00E73B0C" w:rsidP="00E73B0C">
      <w:r w:rsidRPr="007F7B1D">
        <w:t xml:space="preserve">This study has been approved by CDC’s IRB (see </w:t>
      </w:r>
      <w:r w:rsidRPr="00423EE0">
        <w:t>A</w:t>
      </w:r>
      <w:r>
        <w:t>ttachment</w:t>
      </w:r>
      <w:r w:rsidRPr="00423EE0">
        <w:t xml:space="preserve"> </w:t>
      </w:r>
      <w:r w:rsidR="007F1CC5">
        <w:t>Q</w:t>
      </w:r>
      <w:r w:rsidRPr="007F7B1D">
        <w:t xml:space="preserve">). </w:t>
      </w:r>
      <w:r w:rsidR="00F2578E" w:rsidRPr="00281CDB">
        <w:t>There are no sensitive questions being asked in this data collection</w:t>
      </w:r>
      <w:r w:rsidR="00FE6AF3">
        <w:t>.</w:t>
      </w:r>
      <w:r w:rsidR="00F2578E" w:rsidRPr="007F7B1D" w:rsidDel="00F2578E">
        <w:t xml:space="preserve"> </w:t>
      </w:r>
    </w:p>
    <w:p w14:paraId="4C98FE3C" w14:textId="77777777" w:rsidR="008A7463" w:rsidRDefault="008A7463" w:rsidP="00D832B5">
      <w:pPr>
        <w:pStyle w:val="Heading1"/>
      </w:pPr>
    </w:p>
    <w:p w14:paraId="584D451B" w14:textId="631CB8F8" w:rsidR="004D3E5D" w:rsidRPr="007F7B1D" w:rsidRDefault="004D3E5D" w:rsidP="00D832B5">
      <w:pPr>
        <w:pStyle w:val="Heading1"/>
      </w:pPr>
      <w:bookmarkStart w:id="12" w:name="_Toc427663567"/>
      <w:r w:rsidRPr="007F7B1D">
        <w:t>12. Estimates of Annualized Burden Hours and Costs</w:t>
      </w:r>
      <w:bookmarkEnd w:id="12"/>
    </w:p>
    <w:p w14:paraId="276103C3" w14:textId="77777777" w:rsidR="004D3E5D" w:rsidRPr="007F7B1D" w:rsidRDefault="004D3E5D" w:rsidP="004D3E5D"/>
    <w:p w14:paraId="4FDA1958" w14:textId="77777777" w:rsidR="004D3E5D" w:rsidRPr="007F7B1D" w:rsidRDefault="004D3E5D" w:rsidP="004D3E5D">
      <w:pPr>
        <w:numPr>
          <w:ilvl w:val="0"/>
          <w:numId w:val="2"/>
        </w:numPr>
      </w:pPr>
      <w:r w:rsidRPr="007F7B1D">
        <w:rPr>
          <w:b/>
        </w:rPr>
        <w:t xml:space="preserve">Annualized Burden to Respondents  </w:t>
      </w:r>
    </w:p>
    <w:p w14:paraId="7D0B2613" w14:textId="739B6326" w:rsidR="004B46DB" w:rsidRDefault="00664B25" w:rsidP="004D3E5D">
      <w:r>
        <w:t>We anticipate a response rate of approximately 60%. Previous</w:t>
      </w:r>
      <w:r w:rsidR="004D3E5D">
        <w:t xml:space="preserve"> recent mailed surveys conducted in the U.S. pertaining to drinking water</w:t>
      </w:r>
      <w:r w:rsidR="00540347">
        <w:t xml:space="preserve"> </w:t>
      </w:r>
      <w:r>
        <w:t>have achieved response rates of approximately 40%; however, we plan to implement s</w:t>
      </w:r>
      <w:r w:rsidR="00540347">
        <w:t xml:space="preserve">everal study design modifications </w:t>
      </w:r>
      <w:r>
        <w:t xml:space="preserve">following the Dillman Tailored Design Method </w:t>
      </w:r>
      <w:r w:rsidR="00540347">
        <w:t>to encourage participation</w:t>
      </w:r>
      <w:r>
        <w:t xml:space="preserve"> and improve response rates compared to previous studies</w:t>
      </w:r>
      <w:r w:rsidR="004D3E5D" w:rsidRPr="00474224">
        <w:t xml:space="preserve"> (</w:t>
      </w:r>
      <w:r w:rsidR="004D3E5D">
        <w:t>see section B.3 for a discussion of how this was derived</w:t>
      </w:r>
      <w:r w:rsidR="004D3E5D" w:rsidRPr="00587ADA">
        <w:t>)</w:t>
      </w:r>
      <w:r w:rsidR="009F1EB4" w:rsidRPr="00587ADA">
        <w:t xml:space="preserve"> </w:t>
      </w:r>
      <w:r w:rsidR="00587ADA" w:rsidRPr="006745C1">
        <w:fldChar w:fldCharType="begin"/>
      </w:r>
      <w:r w:rsidR="00587ADA" w:rsidRPr="00587ADA">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rsidR="00587ADA" w:rsidRPr="006745C1">
        <w:fldChar w:fldCharType="separate"/>
      </w:r>
      <w:r w:rsidR="00587ADA" w:rsidRPr="00587ADA">
        <w:rPr>
          <w:noProof/>
        </w:rPr>
        <w:t>(</w:t>
      </w:r>
      <w:hyperlink w:anchor="_ENREF_5" w:tooltip="Dillman, 2007 #22" w:history="1">
        <w:r w:rsidR="007578BB" w:rsidRPr="00587ADA">
          <w:rPr>
            <w:noProof/>
          </w:rPr>
          <w:t>Dillman 2007</w:t>
        </w:r>
      </w:hyperlink>
      <w:r w:rsidR="00587ADA" w:rsidRPr="00587ADA">
        <w:rPr>
          <w:noProof/>
        </w:rPr>
        <w:t>)</w:t>
      </w:r>
      <w:r w:rsidR="00587ADA" w:rsidRPr="006745C1">
        <w:fldChar w:fldCharType="end"/>
      </w:r>
      <w:r w:rsidR="00587ADA" w:rsidRPr="00587ADA">
        <w:t>.</w:t>
      </w:r>
      <w:r w:rsidR="004D3E5D" w:rsidRPr="00587ADA">
        <w:t xml:space="preserve"> </w:t>
      </w:r>
      <w:r w:rsidR="004D3E5D">
        <w:t xml:space="preserve">We plan to include a total of </w:t>
      </w:r>
      <w:r w:rsidR="00D657E6">
        <w:t xml:space="preserve">65 </w:t>
      </w:r>
      <w:r w:rsidR="004D3E5D">
        <w:t>low pressure events in this study (</w:t>
      </w:r>
      <w:r w:rsidR="007D35B1">
        <w:t>12</w:t>
      </w:r>
      <w:r w:rsidR="004D3E5D">
        <w:t xml:space="preserve"> at each of </w:t>
      </w:r>
      <w:r w:rsidR="007D35B1">
        <w:t>5</w:t>
      </w:r>
      <w:r w:rsidR="004D3E5D">
        <w:t xml:space="preserve"> utilities).</w:t>
      </w:r>
      <w:r w:rsidR="00540347">
        <w:t xml:space="preserve"> </w:t>
      </w:r>
      <w:r w:rsidR="008B5DE8">
        <w:t xml:space="preserve">Based on the expectation that </w:t>
      </w:r>
      <w:r w:rsidR="00614B3E">
        <w:t>the multi-site study</w:t>
      </w:r>
      <w:r w:rsidR="008B5DE8">
        <w:t xml:space="preserve"> will </w:t>
      </w:r>
      <w:r w:rsidR="00614B3E">
        <w:t>include</w:t>
      </w:r>
      <w:r w:rsidR="008B5DE8">
        <w:t xml:space="preserve"> 15 small events that affect </w:t>
      </w:r>
      <w:r w:rsidR="00937F14">
        <w:t xml:space="preserve">at least </w:t>
      </w:r>
      <w:r w:rsidR="00DE3AE6">
        <w:t>10</w:t>
      </w:r>
      <w:r w:rsidR="008B5DE8">
        <w:t xml:space="preserve"> households, 35 medium events that affect</w:t>
      </w:r>
      <w:r w:rsidR="00937F14">
        <w:t xml:space="preserve"> at least</w:t>
      </w:r>
      <w:r w:rsidR="008B5DE8">
        <w:t xml:space="preserve"> </w:t>
      </w:r>
      <w:r w:rsidR="00DE3AE6">
        <w:t>37</w:t>
      </w:r>
      <w:r w:rsidR="008B5DE8">
        <w:t xml:space="preserve"> households, and 15 large events that affect </w:t>
      </w:r>
      <w:r w:rsidR="00937F14">
        <w:t xml:space="preserve">at least </w:t>
      </w:r>
      <w:r w:rsidR="00DE3AE6">
        <w:t>53</w:t>
      </w:r>
      <w:r w:rsidR="008B5DE8">
        <w:t xml:space="preserve"> househol</w:t>
      </w:r>
      <w:r w:rsidR="00B44292">
        <w:t>d</w:t>
      </w:r>
      <w:r w:rsidR="008B5DE8">
        <w:t>s,</w:t>
      </w:r>
      <w:r w:rsidR="005A6F75">
        <w:t xml:space="preserve"> </w:t>
      </w:r>
      <w:r w:rsidR="008B5DE8">
        <w:t>w</w:t>
      </w:r>
      <w:r w:rsidR="004D3E5D">
        <w:t xml:space="preserve">e expect to obtain data on </w:t>
      </w:r>
      <w:r w:rsidR="00937F14">
        <w:t>approximately 4,0</w:t>
      </w:r>
      <w:r w:rsidR="00130681">
        <w:t>5</w:t>
      </w:r>
      <w:r w:rsidR="00937F14">
        <w:t>0</w:t>
      </w:r>
      <w:r w:rsidR="008B5DE8">
        <w:t xml:space="preserve"> households from 65 events. We estimate that </w:t>
      </w:r>
      <w:r w:rsidR="00614B3E">
        <w:t xml:space="preserve">survey responses will include data on </w:t>
      </w:r>
      <w:r w:rsidR="008B5DE8">
        <w:t xml:space="preserve">2 </w:t>
      </w:r>
      <w:r w:rsidR="00614B3E">
        <w:t>individuals</w:t>
      </w:r>
      <w:r w:rsidR="008B5DE8">
        <w:t xml:space="preserve"> per household, </w:t>
      </w:r>
      <w:r w:rsidR="00614B3E">
        <w:t xml:space="preserve">on average, </w:t>
      </w:r>
      <w:r w:rsidR="008B5DE8">
        <w:t xml:space="preserve">resulting in </w:t>
      </w:r>
      <w:r w:rsidR="004B46DB">
        <w:t>health outcome data on</w:t>
      </w:r>
      <w:r w:rsidR="00130681">
        <w:t xml:space="preserve"> approximately 8,100</w:t>
      </w:r>
      <w:r w:rsidR="00B44292">
        <w:t xml:space="preserve"> individuals</w:t>
      </w:r>
      <w:r w:rsidR="008B5DE8">
        <w:t xml:space="preserve">. </w:t>
      </w:r>
      <w:r w:rsidR="004B46DB">
        <w:t>The proposed</w:t>
      </w:r>
      <w:r w:rsidR="00A075F1">
        <w:t xml:space="preserve"> recruitment schedule will provide </w:t>
      </w:r>
      <w:r w:rsidR="009C59D6">
        <w:t xml:space="preserve">over </w:t>
      </w:r>
      <w:r w:rsidR="00A075F1">
        <w:t>8</w:t>
      </w:r>
      <w:r w:rsidR="009C59D6">
        <w:t>5</w:t>
      </w:r>
      <w:r w:rsidR="00A075F1">
        <w:t>% power to</w:t>
      </w:r>
      <w:r w:rsidR="00A075F1" w:rsidRPr="007F0AA1">
        <w:t xml:space="preserve"> detect a</w:t>
      </w:r>
      <w:r w:rsidR="00A075F1">
        <w:t>n</w:t>
      </w:r>
      <w:r w:rsidR="00A075F1" w:rsidRPr="007F0AA1">
        <w:t xml:space="preserve"> </w:t>
      </w:r>
      <w:r w:rsidR="00A075F1">
        <w:t>odds ratio</w:t>
      </w:r>
      <w:r w:rsidR="00A075F1" w:rsidRPr="007F0AA1">
        <w:t xml:space="preserve"> of </w:t>
      </w:r>
      <w:r w:rsidR="00A075F1">
        <w:t>1.</w:t>
      </w:r>
      <w:r w:rsidR="009C59D6">
        <w:t>8</w:t>
      </w:r>
      <w:r w:rsidR="00A075F1">
        <w:t xml:space="preserve"> in a stratified analysis, thus we will be able to analyze data separately by </w:t>
      </w:r>
      <w:r w:rsidR="00614B3E">
        <w:t>secondary disinfectant</w:t>
      </w:r>
      <w:r w:rsidR="00A075F1">
        <w:t xml:space="preserve"> type. The recruitment schedule will provide over 90% power to detect an odds ratio of 1.6</w:t>
      </w:r>
      <w:r w:rsidR="00F74C31">
        <w:t>, the effect size identified in the Nygard study,</w:t>
      </w:r>
      <w:r w:rsidR="00A075F1">
        <w:t xml:space="preserve"> in an overall analysis </w:t>
      </w:r>
      <w:r w:rsidR="00A075F1" w:rsidRPr="007F7B1D">
        <w:t xml:space="preserve">(see section B.1 for a description of how this was calculated). </w:t>
      </w:r>
    </w:p>
    <w:p w14:paraId="72907955" w14:textId="77777777" w:rsidR="00657A96" w:rsidRDefault="00657A96" w:rsidP="004D3E5D"/>
    <w:p w14:paraId="2FC09054" w14:textId="4154BDED" w:rsidR="004B46DB" w:rsidRDefault="00657A96" w:rsidP="004D3E5D">
      <w:r w:rsidRPr="00281CDB">
        <w:lastRenderedPageBreak/>
        <w:t>Considering the pilot data an</w:t>
      </w:r>
      <w:r>
        <w:t>d the new e-mail contact, we</w:t>
      </w:r>
      <w:r w:rsidRPr="00281CDB">
        <w:t xml:space="preserve"> anticipate that of the estimated 4,050 households that return the survey, 40% of respondents (1,620 households) will respond via the web-based survey, and 60% of respondents (2,430 households) will respond via paper.</w:t>
      </w:r>
      <w:r>
        <w:t xml:space="preserve"> </w:t>
      </w:r>
      <w:r w:rsidRPr="00E50CB6">
        <w:t xml:space="preserve">Each </w:t>
      </w:r>
      <w:r>
        <w:t>household respondent</w:t>
      </w:r>
      <w:r w:rsidRPr="00E50CB6">
        <w:t xml:space="preserve"> will </w:t>
      </w:r>
      <w:r>
        <w:t>complete</w:t>
      </w:r>
      <w:r w:rsidRPr="00E50CB6">
        <w:t xml:space="preserve"> only one</w:t>
      </w:r>
      <w:r>
        <w:t xml:space="preserve"> survey </w:t>
      </w:r>
      <w:r w:rsidRPr="00E50CB6">
        <w:t xml:space="preserve">and the average burden per response for </w:t>
      </w:r>
      <w:r>
        <w:t>both</w:t>
      </w:r>
      <w:r w:rsidRPr="00E50CB6">
        <w:t xml:space="preserve"> versions of the survey is expected to be 12 minutes. </w:t>
      </w:r>
      <w:r w:rsidRPr="00281CDB">
        <w:t>The estimated annual burden hours to respond to web-based questionnaire is 162 hours (1/2 x (1,620) x 12/60) and the paper-based questionnaire is 243 hours (1/2 x (2,430) x 12/60), for a total of 405 (162+243) annual burden hours for households filling out the household survey.</w:t>
      </w:r>
    </w:p>
    <w:p w14:paraId="2B8BA9EA" w14:textId="77777777" w:rsidR="00657A96" w:rsidRDefault="00657A96" w:rsidP="004D3E5D"/>
    <w:p w14:paraId="0EA95E93" w14:textId="235E8E59" w:rsidR="00657A96" w:rsidRPr="00281CDB" w:rsidRDefault="00657A96" w:rsidP="00657A96">
      <w:r w:rsidRPr="00281CDB">
        <w:rPr>
          <w:bCs/>
        </w:rPr>
        <w:t>The burden to the utility personnel participating in the study was also evaluated following the pilot.</w:t>
      </w:r>
      <w:r>
        <w:rPr>
          <w:bCs/>
        </w:rPr>
        <w:t xml:space="preserve"> B</w:t>
      </w:r>
      <w:r w:rsidRPr="00281CDB">
        <w:rPr>
          <w:bCs/>
        </w:rPr>
        <w:t>ecause the CDC Environmental Microbiology Laboratory must sometimes respond to public health emergencies that temporarily limit the lab’s capacity for research projects, it will not be feasible to collect ultrafiltration samp</w:t>
      </w:r>
      <w:r w:rsidR="007F6F4B">
        <w:rPr>
          <w:bCs/>
        </w:rPr>
        <w:t>les (UF) for each of the 65 events</w:t>
      </w:r>
      <w:r w:rsidRPr="00281CDB">
        <w:rPr>
          <w:bCs/>
        </w:rPr>
        <w:t xml:space="preserve"> in the study. Instead, the utility laboratory will collect grab samples from each event and UF </w:t>
      </w:r>
      <w:r w:rsidRPr="00281CDB">
        <w:t>samples will be collected from about 2/3 of all events to allow for efficient progress on the epidemiologic study at times when the CDC lab is unable to receive samples. Utilities will work with CDC to verify event eligibility before proceeding with a study response; at that time, CDC will let them know whether to collect the UF samples. The</w:t>
      </w:r>
      <w:r w:rsidR="007F6F4B">
        <w:t xml:space="preserve"> low pressure event</w:t>
      </w:r>
      <w:r w:rsidRPr="00281CDB">
        <w:t xml:space="preserve"> </w:t>
      </w:r>
      <w:r w:rsidR="007F6F4B">
        <w:t>(</w:t>
      </w:r>
      <w:r w:rsidRPr="00281CDB">
        <w:t>LPE</w:t>
      </w:r>
      <w:r w:rsidR="007F6F4B">
        <w:t>)</w:t>
      </w:r>
      <w:r w:rsidRPr="00281CDB">
        <w:t xml:space="preserve"> Form burden per event for events that include UF samples is 145 minutes (15 minutes to write in the information and 130 minutes to collect and ship the samples). The LPE Form burden per event for events that only include grab samples is 45 minutes (15 minutes to write in the information and 30 minutes to collect and ship the samples). </w:t>
      </w:r>
    </w:p>
    <w:p w14:paraId="46679419" w14:textId="77777777" w:rsidR="00657A96" w:rsidRDefault="00657A96" w:rsidP="004D3E5D"/>
    <w:p w14:paraId="6E5CE890" w14:textId="11D0065E" w:rsidR="006F7474" w:rsidRPr="00283FE0" w:rsidRDefault="006F7474" w:rsidP="006F7474">
      <w:r>
        <w:lastRenderedPageBreak/>
        <w:t>T</w:t>
      </w:r>
      <w:r w:rsidRPr="00281CDB">
        <w:t>he estimated time of 3 hours needed to provide contact information on affected and unaffected households</w:t>
      </w:r>
      <w:r>
        <w:t xml:space="preserve"> was also evaluated following the p</w:t>
      </w:r>
      <w:r w:rsidR="00700D88">
        <w:t>ilot. During</w:t>
      </w:r>
      <w:r w:rsidRPr="00281CDB">
        <w:t xml:space="preserve"> the pilot </w:t>
      </w:r>
      <w:r w:rsidR="00F2421F">
        <w:t>study</w:t>
      </w:r>
      <w:r w:rsidRPr="00281CDB">
        <w:t xml:space="preserve">, it was preferable for utility personnel to use knowledge of the water system and hydraulic principles to select the affected and unaffected areas, instead of using pressure models to identify the areas; the burden and annualized cost of work remained the same. </w:t>
      </w:r>
      <w:r>
        <w:t>The estimated time to</w:t>
      </w:r>
      <w:r w:rsidRPr="00EE6A74">
        <w:t xml:space="preserve"> provide </w:t>
      </w:r>
      <w:r>
        <w:t>contact information on affected</w:t>
      </w:r>
      <w:r w:rsidRPr="00EE6A74">
        <w:t xml:space="preserve"> and </w:t>
      </w:r>
      <w:r>
        <w:t>unaffected households</w:t>
      </w:r>
      <w:r w:rsidRPr="00EE6A74">
        <w:t xml:space="preserve"> </w:t>
      </w:r>
      <w:r>
        <w:t xml:space="preserve">is 3 </w:t>
      </w:r>
      <w:r w:rsidRPr="00283FE0">
        <w:t xml:space="preserve">hours (2 hours for </w:t>
      </w:r>
      <w:r w:rsidR="00373046" w:rsidRPr="00283FE0">
        <w:t xml:space="preserve">utility personnel to use knowledge of the water system and hydraulic principles to select the affected and unaffected areas </w:t>
      </w:r>
      <w:r w:rsidRPr="00283FE0">
        <w:t xml:space="preserve">and 1 hour of clerical time for a total of 3 hours). </w:t>
      </w:r>
    </w:p>
    <w:p w14:paraId="2A21F322" w14:textId="2484798D" w:rsidR="00EF1B21" w:rsidRPr="00283FE0" w:rsidRDefault="00EF1B21" w:rsidP="00726094"/>
    <w:p w14:paraId="73791D04" w14:textId="272AE2A9" w:rsidR="00EF1B21" w:rsidRPr="00283FE0" w:rsidRDefault="00EF1B21" w:rsidP="00EF1B21">
      <w:r w:rsidRPr="00283FE0">
        <w:t>The estimated annualized burden for the LPE</w:t>
      </w:r>
      <w:r w:rsidR="00FC604F" w:rsidRPr="00283FE0">
        <w:t xml:space="preserve"> form is </w:t>
      </w:r>
      <w:r w:rsidR="007D35B1">
        <w:t>9</w:t>
      </w:r>
      <w:r w:rsidR="007F0A74" w:rsidRPr="00283FE0">
        <w:t xml:space="preserve"> hours (15 minutes x </w:t>
      </w:r>
      <w:r w:rsidR="007D35B1">
        <w:t>5</w:t>
      </w:r>
      <w:r w:rsidR="007F0A74" w:rsidRPr="00283FE0">
        <w:t xml:space="preserve"> utilities x </w:t>
      </w:r>
      <w:r w:rsidR="007D35B1">
        <w:t>7</w:t>
      </w:r>
      <w:r w:rsidRPr="00283FE0">
        <w:t xml:space="preserve"> events), the estimated annualized bu</w:t>
      </w:r>
      <w:r w:rsidR="00FC604F" w:rsidRPr="00283FE0">
        <w:t xml:space="preserve">rden for the water samples is </w:t>
      </w:r>
      <w:r w:rsidR="007D35B1">
        <w:t>51</w:t>
      </w:r>
      <w:r w:rsidRPr="00283FE0">
        <w:t xml:space="preserve"> hours [</w:t>
      </w:r>
      <w:r w:rsidR="007D35B1">
        <w:t>5</w:t>
      </w:r>
      <w:r w:rsidR="007F0A74" w:rsidRPr="00283FE0">
        <w:t xml:space="preserve"> utilities*((</w:t>
      </w:r>
      <w:r w:rsidR="00FC604F" w:rsidRPr="00283FE0">
        <w:t>1</w:t>
      </w:r>
      <w:r w:rsidR="000B611A" w:rsidRPr="00283FE0">
        <w:t>30</w:t>
      </w:r>
      <w:r w:rsidR="007F0A74" w:rsidRPr="00283FE0">
        <w:t xml:space="preserve"> minutes x </w:t>
      </w:r>
      <w:r w:rsidR="007D35B1">
        <w:t>4</w:t>
      </w:r>
      <w:r w:rsidR="00FC604F" w:rsidRPr="00283FE0">
        <w:t xml:space="preserve"> events with UF samples) + (</w:t>
      </w:r>
      <w:r w:rsidR="000B611A" w:rsidRPr="00283FE0">
        <w:t>30</w:t>
      </w:r>
      <w:r w:rsidRPr="00283FE0">
        <w:t xml:space="preserve"> minutes x </w:t>
      </w:r>
      <w:r w:rsidR="007D35B1">
        <w:t>3</w:t>
      </w:r>
      <w:r w:rsidRPr="00283FE0">
        <w:t xml:space="preserve"> events without UF samples))], and the estimated annualized burden for the customer contact information is </w:t>
      </w:r>
      <w:r w:rsidR="007D35B1">
        <w:t>105</w:t>
      </w:r>
      <w:r w:rsidRPr="00283FE0">
        <w:t xml:space="preserve"> hours.</w:t>
      </w:r>
    </w:p>
    <w:p w14:paraId="085B0F1A" w14:textId="77777777" w:rsidR="00EF1B21" w:rsidRPr="00283FE0" w:rsidRDefault="00EF1B21" w:rsidP="00EF1B21"/>
    <w:p w14:paraId="285F1A9C" w14:textId="2922063D" w:rsidR="00EF1B21" w:rsidRPr="00281CDB" w:rsidRDefault="00EF1B21" w:rsidP="00EF1B21">
      <w:r w:rsidRPr="00283FE0">
        <w:t xml:space="preserve">Thus, the total annualized response burden for this data collection is estimated at </w:t>
      </w:r>
      <w:r w:rsidR="007F0A74" w:rsidRPr="00283FE0">
        <w:t>5</w:t>
      </w:r>
      <w:r w:rsidR="007D35B1">
        <w:t>71</w:t>
      </w:r>
      <w:r w:rsidRPr="00283FE0">
        <w:t xml:space="preserve"> hours (Table A</w:t>
      </w:r>
      <w:r w:rsidR="00D27553" w:rsidRPr="00283FE0">
        <w:t>.</w:t>
      </w:r>
      <w:r w:rsidR="007F0A74" w:rsidRPr="00283FE0">
        <w:t>12</w:t>
      </w:r>
      <w:r w:rsidR="00D27553" w:rsidRPr="00283FE0">
        <w:t>.1</w:t>
      </w:r>
      <w:r w:rsidRPr="00283FE0">
        <w:t>)</w:t>
      </w:r>
      <w:r w:rsidR="007F0A74" w:rsidRPr="00283FE0">
        <w:t>.</w:t>
      </w:r>
      <w:r w:rsidRPr="00283FE0">
        <w:t xml:space="preserve"> The total burden for the </w:t>
      </w:r>
      <w:r w:rsidR="007F0A74" w:rsidRPr="00283FE0">
        <w:t>30 month period</w:t>
      </w:r>
      <w:r w:rsidRPr="00283FE0">
        <w:t xml:space="preserve"> is estimated to </w:t>
      </w:r>
      <w:r w:rsidRPr="007D35B1">
        <w:t xml:space="preserve">be </w:t>
      </w:r>
      <w:r w:rsidR="007F0A74" w:rsidRPr="007D35B1">
        <w:t>1,</w:t>
      </w:r>
      <w:r w:rsidR="007D35B1">
        <w:t>428</w:t>
      </w:r>
      <w:r w:rsidRPr="00283FE0">
        <w:t xml:space="preserve"> hours.</w:t>
      </w:r>
      <w:r w:rsidRPr="00281CDB">
        <w:t xml:space="preserve"> </w:t>
      </w:r>
    </w:p>
    <w:p w14:paraId="6D309084" w14:textId="01A16F89" w:rsidR="004D3E5D" w:rsidRPr="00B452EC" w:rsidRDefault="004D3E5D" w:rsidP="00726094">
      <w:pPr>
        <w:rPr>
          <w:color w:val="FF0000"/>
        </w:rPr>
      </w:pPr>
    </w:p>
    <w:p w14:paraId="2E5781BC" w14:textId="4037ADEA" w:rsidR="00601E2B" w:rsidRPr="00281CDB" w:rsidRDefault="00154A5C" w:rsidP="00601E2B">
      <w:pPr>
        <w:spacing w:before="120" w:after="240"/>
        <w:rPr>
          <w:b/>
        </w:rPr>
      </w:pPr>
      <w:r>
        <w:rPr>
          <w:b/>
        </w:rPr>
        <w:t>Table</w:t>
      </w:r>
      <w:r w:rsidR="00C23986">
        <w:rPr>
          <w:b/>
        </w:rPr>
        <w:t xml:space="preserve"> A.12</w:t>
      </w:r>
      <w:r w:rsidR="00D27553">
        <w:rPr>
          <w:b/>
        </w:rPr>
        <w:t>.1</w:t>
      </w:r>
      <w:r>
        <w:rPr>
          <w:b/>
        </w:rPr>
        <w:t xml:space="preserve">- Estimated </w:t>
      </w:r>
      <w:r w:rsidR="00601E2B" w:rsidRPr="00281CDB">
        <w:rPr>
          <w:b/>
        </w:rPr>
        <w:t>Annualized Burden Hours</w:t>
      </w:r>
    </w:p>
    <w:tbl>
      <w:tblPr>
        <w:tblW w:w="9900" w:type="dxa"/>
        <w:tblInd w:w="445" w:type="dxa"/>
        <w:tblLayout w:type="fixed"/>
        <w:tblLook w:val="04A0" w:firstRow="1" w:lastRow="0" w:firstColumn="1" w:lastColumn="0" w:noHBand="0" w:noVBand="1"/>
      </w:tblPr>
      <w:tblGrid>
        <w:gridCol w:w="1170"/>
        <w:gridCol w:w="2430"/>
        <w:gridCol w:w="1620"/>
        <w:gridCol w:w="1260"/>
        <w:gridCol w:w="1260"/>
        <w:gridCol w:w="2160"/>
      </w:tblGrid>
      <w:tr w:rsidR="00E73B0C" w:rsidRPr="00281CDB" w14:paraId="487F708E" w14:textId="77777777" w:rsidTr="008909CE">
        <w:trPr>
          <w:trHeight w:val="682"/>
        </w:trPr>
        <w:tc>
          <w:tcPr>
            <w:tcW w:w="1170" w:type="dxa"/>
            <w:tcBorders>
              <w:top w:val="single" w:sz="8" w:space="0" w:color="auto"/>
              <w:left w:val="single" w:sz="4" w:space="0" w:color="auto"/>
              <w:bottom w:val="single" w:sz="8" w:space="0" w:color="auto"/>
              <w:right w:val="single" w:sz="8" w:space="0" w:color="auto"/>
            </w:tcBorders>
          </w:tcPr>
          <w:p w14:paraId="6B3CB07D" w14:textId="38F03EAE" w:rsidR="00E73B0C" w:rsidRPr="00281CDB" w:rsidRDefault="008909CE" w:rsidP="003A479E">
            <w:pPr>
              <w:rPr>
                <w:b/>
                <w:bCs/>
              </w:rPr>
            </w:pPr>
            <w:r>
              <w:rPr>
                <w:b/>
                <w:bCs/>
              </w:rPr>
              <w:t>Type of Respondent</w:t>
            </w:r>
          </w:p>
        </w:tc>
        <w:tc>
          <w:tcPr>
            <w:tcW w:w="2430" w:type="dxa"/>
            <w:tcBorders>
              <w:top w:val="single" w:sz="8" w:space="0" w:color="auto"/>
              <w:left w:val="single" w:sz="4" w:space="0" w:color="auto"/>
              <w:bottom w:val="single" w:sz="8" w:space="0" w:color="auto"/>
              <w:right w:val="single" w:sz="8" w:space="0" w:color="auto"/>
            </w:tcBorders>
            <w:hideMark/>
          </w:tcPr>
          <w:p w14:paraId="6E18D798" w14:textId="146E6C48" w:rsidR="00E73B0C" w:rsidRPr="00281CDB" w:rsidRDefault="00E73B0C" w:rsidP="003A479E">
            <w:pPr>
              <w:rPr>
                <w:b/>
                <w:bCs/>
              </w:rPr>
            </w:pPr>
            <w:r w:rsidRPr="00281CDB">
              <w:rPr>
                <w:b/>
                <w:bCs/>
              </w:rPr>
              <w:t>Form Name</w:t>
            </w:r>
          </w:p>
        </w:tc>
        <w:tc>
          <w:tcPr>
            <w:tcW w:w="1620" w:type="dxa"/>
            <w:tcBorders>
              <w:top w:val="single" w:sz="8" w:space="0" w:color="auto"/>
              <w:left w:val="nil"/>
              <w:bottom w:val="single" w:sz="8" w:space="0" w:color="auto"/>
              <w:right w:val="single" w:sz="8" w:space="0" w:color="auto"/>
            </w:tcBorders>
            <w:hideMark/>
          </w:tcPr>
          <w:p w14:paraId="4A13DB4D" w14:textId="77777777" w:rsidR="00E73B0C" w:rsidRPr="00281CDB" w:rsidRDefault="00E73B0C" w:rsidP="003A479E">
            <w:pPr>
              <w:jc w:val="center"/>
              <w:rPr>
                <w:b/>
                <w:bCs/>
              </w:rPr>
            </w:pPr>
            <w:r w:rsidRPr="00281CDB">
              <w:rPr>
                <w:b/>
                <w:bCs/>
              </w:rPr>
              <w:t>Number of Respondents</w:t>
            </w:r>
          </w:p>
        </w:tc>
        <w:tc>
          <w:tcPr>
            <w:tcW w:w="1260" w:type="dxa"/>
            <w:tcBorders>
              <w:top w:val="single" w:sz="8" w:space="0" w:color="auto"/>
              <w:left w:val="nil"/>
              <w:bottom w:val="single" w:sz="8" w:space="0" w:color="auto"/>
              <w:right w:val="single" w:sz="8" w:space="0" w:color="auto"/>
            </w:tcBorders>
            <w:hideMark/>
          </w:tcPr>
          <w:p w14:paraId="76D10730" w14:textId="77777777" w:rsidR="00E73B0C" w:rsidRPr="00281CDB" w:rsidRDefault="00E73B0C" w:rsidP="003A479E">
            <w:pPr>
              <w:jc w:val="center"/>
              <w:rPr>
                <w:b/>
                <w:bCs/>
              </w:rPr>
            </w:pPr>
            <w:r w:rsidRPr="00281CDB">
              <w:rPr>
                <w:b/>
                <w:bCs/>
              </w:rPr>
              <w:t>Number of Responses per Respondent</w:t>
            </w:r>
          </w:p>
        </w:tc>
        <w:tc>
          <w:tcPr>
            <w:tcW w:w="1260" w:type="dxa"/>
            <w:tcBorders>
              <w:top w:val="single" w:sz="8" w:space="0" w:color="auto"/>
              <w:left w:val="nil"/>
              <w:bottom w:val="single" w:sz="8" w:space="0" w:color="auto"/>
              <w:right w:val="single" w:sz="8" w:space="0" w:color="auto"/>
            </w:tcBorders>
            <w:hideMark/>
          </w:tcPr>
          <w:p w14:paraId="4C0DC40F" w14:textId="77777777" w:rsidR="00E73B0C" w:rsidRPr="00281CDB" w:rsidRDefault="00E73B0C" w:rsidP="003A479E">
            <w:pPr>
              <w:jc w:val="center"/>
              <w:rPr>
                <w:b/>
                <w:bCs/>
              </w:rPr>
            </w:pPr>
            <w:r w:rsidRPr="00281CDB">
              <w:rPr>
                <w:b/>
                <w:bCs/>
              </w:rPr>
              <w:t>Average Burden per Response (hours)</w:t>
            </w:r>
          </w:p>
        </w:tc>
        <w:tc>
          <w:tcPr>
            <w:tcW w:w="2160" w:type="dxa"/>
            <w:tcBorders>
              <w:top w:val="single" w:sz="8" w:space="0" w:color="auto"/>
              <w:left w:val="nil"/>
              <w:bottom w:val="single" w:sz="8" w:space="0" w:color="auto"/>
              <w:right w:val="single" w:sz="8" w:space="0" w:color="auto"/>
            </w:tcBorders>
            <w:hideMark/>
          </w:tcPr>
          <w:p w14:paraId="47274499" w14:textId="77777777" w:rsidR="00E73B0C" w:rsidRPr="00281CDB" w:rsidRDefault="00E73B0C" w:rsidP="003A479E">
            <w:pPr>
              <w:jc w:val="center"/>
              <w:rPr>
                <w:b/>
                <w:bCs/>
              </w:rPr>
            </w:pPr>
            <w:r w:rsidRPr="00281CDB">
              <w:rPr>
                <w:b/>
                <w:bCs/>
              </w:rPr>
              <w:t>Total Burden* (hours)</w:t>
            </w:r>
          </w:p>
        </w:tc>
      </w:tr>
      <w:tr w:rsidR="00E73B0C" w:rsidRPr="00281CDB" w14:paraId="4CE8FF65" w14:textId="77777777" w:rsidTr="008909CE">
        <w:trPr>
          <w:trHeight w:val="20"/>
        </w:trPr>
        <w:tc>
          <w:tcPr>
            <w:tcW w:w="1170" w:type="dxa"/>
            <w:tcBorders>
              <w:top w:val="single" w:sz="8" w:space="0" w:color="auto"/>
              <w:left w:val="single" w:sz="4" w:space="0" w:color="auto"/>
              <w:bottom w:val="single" w:sz="8" w:space="0" w:color="auto"/>
              <w:right w:val="single" w:sz="8" w:space="0" w:color="auto"/>
            </w:tcBorders>
          </w:tcPr>
          <w:p w14:paraId="79DE7068" w14:textId="50043CE7" w:rsidR="00E73B0C" w:rsidRPr="00281CDB" w:rsidRDefault="00FE5AAD" w:rsidP="003A479E">
            <w:r w:rsidRPr="00A618E7">
              <w:rPr>
                <w:szCs w:val="24"/>
              </w:rPr>
              <w:t>Water Utility customer</w:t>
            </w:r>
          </w:p>
        </w:tc>
        <w:tc>
          <w:tcPr>
            <w:tcW w:w="2430" w:type="dxa"/>
            <w:tcBorders>
              <w:top w:val="single" w:sz="8" w:space="0" w:color="auto"/>
              <w:left w:val="single" w:sz="4" w:space="0" w:color="auto"/>
              <w:bottom w:val="single" w:sz="8" w:space="0" w:color="auto"/>
              <w:right w:val="single" w:sz="8" w:space="0" w:color="auto"/>
            </w:tcBorders>
            <w:hideMark/>
          </w:tcPr>
          <w:p w14:paraId="5C0DE2A8" w14:textId="124B9D4E" w:rsidR="00E73B0C" w:rsidRPr="00281CDB" w:rsidRDefault="00E73B0C" w:rsidP="003A479E">
            <w:r w:rsidRPr="00281CDB">
              <w:t>Paper-based questionnaire</w:t>
            </w:r>
          </w:p>
        </w:tc>
        <w:tc>
          <w:tcPr>
            <w:tcW w:w="1620" w:type="dxa"/>
            <w:tcBorders>
              <w:top w:val="nil"/>
              <w:left w:val="nil"/>
              <w:bottom w:val="single" w:sz="8" w:space="0" w:color="auto"/>
              <w:right w:val="single" w:sz="8" w:space="0" w:color="auto"/>
            </w:tcBorders>
            <w:vAlign w:val="center"/>
            <w:hideMark/>
          </w:tcPr>
          <w:p w14:paraId="1BBD3687" w14:textId="77777777" w:rsidR="00E73B0C" w:rsidRPr="00281CDB" w:rsidRDefault="00E73B0C" w:rsidP="003A479E">
            <w:pPr>
              <w:jc w:val="center"/>
            </w:pPr>
            <w:r w:rsidRPr="00281CDB">
              <w:t>1,215</w:t>
            </w:r>
          </w:p>
        </w:tc>
        <w:tc>
          <w:tcPr>
            <w:tcW w:w="1260" w:type="dxa"/>
            <w:tcBorders>
              <w:top w:val="nil"/>
              <w:left w:val="nil"/>
              <w:bottom w:val="single" w:sz="8" w:space="0" w:color="auto"/>
              <w:right w:val="single" w:sz="8" w:space="0" w:color="auto"/>
            </w:tcBorders>
            <w:vAlign w:val="center"/>
            <w:hideMark/>
          </w:tcPr>
          <w:p w14:paraId="44E1974F" w14:textId="77777777" w:rsidR="00E73B0C" w:rsidRPr="00281CDB" w:rsidRDefault="00E73B0C" w:rsidP="003A479E">
            <w:pPr>
              <w:jc w:val="center"/>
            </w:pPr>
            <w:r w:rsidRPr="00281CDB">
              <w:t>1</w:t>
            </w:r>
          </w:p>
        </w:tc>
        <w:tc>
          <w:tcPr>
            <w:tcW w:w="1260" w:type="dxa"/>
            <w:tcBorders>
              <w:top w:val="nil"/>
              <w:left w:val="nil"/>
              <w:bottom w:val="single" w:sz="8" w:space="0" w:color="auto"/>
              <w:right w:val="single" w:sz="8" w:space="0" w:color="auto"/>
            </w:tcBorders>
            <w:vAlign w:val="center"/>
            <w:hideMark/>
          </w:tcPr>
          <w:p w14:paraId="1D76895E" w14:textId="18DC436A" w:rsidR="00E73B0C" w:rsidRPr="00281CDB" w:rsidDel="0056572B" w:rsidRDefault="00E73B0C" w:rsidP="003A479E">
            <w:pPr>
              <w:jc w:val="center"/>
            </w:pPr>
            <w:r w:rsidRPr="00281CDB">
              <w:t>12/60</w:t>
            </w:r>
          </w:p>
        </w:tc>
        <w:tc>
          <w:tcPr>
            <w:tcW w:w="2160" w:type="dxa"/>
            <w:tcBorders>
              <w:top w:val="nil"/>
              <w:left w:val="nil"/>
              <w:bottom w:val="single" w:sz="8" w:space="0" w:color="auto"/>
              <w:right w:val="single" w:sz="8" w:space="0" w:color="auto"/>
            </w:tcBorders>
            <w:vAlign w:val="center"/>
            <w:hideMark/>
          </w:tcPr>
          <w:p w14:paraId="6780A28E" w14:textId="77777777" w:rsidR="00E73B0C" w:rsidRPr="00281CDB" w:rsidRDefault="00E73B0C" w:rsidP="003A479E">
            <w:pPr>
              <w:jc w:val="center"/>
            </w:pPr>
            <w:r w:rsidRPr="00281CDB">
              <w:t>243</w:t>
            </w:r>
          </w:p>
        </w:tc>
      </w:tr>
      <w:tr w:rsidR="00E73B0C" w:rsidRPr="00281CDB" w14:paraId="71C8EE13" w14:textId="77777777" w:rsidTr="008909CE">
        <w:trPr>
          <w:trHeight w:val="20"/>
        </w:trPr>
        <w:tc>
          <w:tcPr>
            <w:tcW w:w="1170" w:type="dxa"/>
            <w:tcBorders>
              <w:top w:val="single" w:sz="8" w:space="0" w:color="auto"/>
              <w:left w:val="single" w:sz="4" w:space="0" w:color="auto"/>
              <w:bottom w:val="single" w:sz="8" w:space="0" w:color="auto"/>
              <w:right w:val="single" w:sz="8" w:space="0" w:color="auto"/>
            </w:tcBorders>
          </w:tcPr>
          <w:p w14:paraId="28316717" w14:textId="2468E574" w:rsidR="00E73B0C" w:rsidRPr="00281CDB" w:rsidRDefault="00FE5AAD" w:rsidP="003A479E">
            <w:r w:rsidRPr="00A618E7">
              <w:rPr>
                <w:szCs w:val="24"/>
              </w:rPr>
              <w:t>Water Utility customer</w:t>
            </w:r>
          </w:p>
        </w:tc>
        <w:tc>
          <w:tcPr>
            <w:tcW w:w="2430" w:type="dxa"/>
            <w:tcBorders>
              <w:top w:val="single" w:sz="8" w:space="0" w:color="auto"/>
              <w:left w:val="single" w:sz="4" w:space="0" w:color="auto"/>
              <w:bottom w:val="single" w:sz="8" w:space="0" w:color="auto"/>
              <w:right w:val="single" w:sz="8" w:space="0" w:color="auto"/>
            </w:tcBorders>
            <w:hideMark/>
          </w:tcPr>
          <w:p w14:paraId="219AAF6B" w14:textId="658B3306" w:rsidR="00E73B0C" w:rsidRPr="00281CDB" w:rsidRDefault="00E73B0C" w:rsidP="003A479E">
            <w:r w:rsidRPr="00281CDB">
              <w:t>Web-based questionnaire</w:t>
            </w:r>
          </w:p>
        </w:tc>
        <w:tc>
          <w:tcPr>
            <w:tcW w:w="1620" w:type="dxa"/>
            <w:tcBorders>
              <w:top w:val="nil"/>
              <w:left w:val="nil"/>
              <w:bottom w:val="single" w:sz="8" w:space="0" w:color="auto"/>
              <w:right w:val="single" w:sz="8" w:space="0" w:color="auto"/>
            </w:tcBorders>
            <w:vAlign w:val="center"/>
            <w:hideMark/>
          </w:tcPr>
          <w:p w14:paraId="46485AA9" w14:textId="77777777" w:rsidR="00E73B0C" w:rsidRPr="00281CDB" w:rsidRDefault="00E73B0C" w:rsidP="003A479E">
            <w:pPr>
              <w:jc w:val="center"/>
            </w:pPr>
            <w:r w:rsidRPr="00281CDB">
              <w:t>810</w:t>
            </w:r>
          </w:p>
        </w:tc>
        <w:tc>
          <w:tcPr>
            <w:tcW w:w="1260" w:type="dxa"/>
            <w:tcBorders>
              <w:top w:val="nil"/>
              <w:left w:val="nil"/>
              <w:bottom w:val="single" w:sz="8" w:space="0" w:color="auto"/>
              <w:right w:val="single" w:sz="8" w:space="0" w:color="auto"/>
            </w:tcBorders>
            <w:vAlign w:val="center"/>
            <w:hideMark/>
          </w:tcPr>
          <w:p w14:paraId="60CAE779" w14:textId="77777777" w:rsidR="00E73B0C" w:rsidRPr="00281CDB" w:rsidRDefault="00E73B0C" w:rsidP="003A479E">
            <w:pPr>
              <w:jc w:val="center"/>
            </w:pPr>
            <w:r w:rsidRPr="00281CDB">
              <w:t>1</w:t>
            </w:r>
          </w:p>
        </w:tc>
        <w:tc>
          <w:tcPr>
            <w:tcW w:w="1260" w:type="dxa"/>
            <w:tcBorders>
              <w:top w:val="nil"/>
              <w:left w:val="nil"/>
              <w:bottom w:val="single" w:sz="8" w:space="0" w:color="auto"/>
              <w:right w:val="single" w:sz="8" w:space="0" w:color="auto"/>
            </w:tcBorders>
            <w:vAlign w:val="center"/>
            <w:hideMark/>
          </w:tcPr>
          <w:p w14:paraId="631F043E" w14:textId="55F724BB" w:rsidR="00E73B0C" w:rsidRPr="00281CDB" w:rsidRDefault="00E73B0C" w:rsidP="00357E86">
            <w:pPr>
              <w:jc w:val="center"/>
            </w:pPr>
            <w:r w:rsidRPr="00281CDB">
              <w:t>12/60</w:t>
            </w:r>
          </w:p>
        </w:tc>
        <w:tc>
          <w:tcPr>
            <w:tcW w:w="2160" w:type="dxa"/>
            <w:tcBorders>
              <w:top w:val="nil"/>
              <w:left w:val="nil"/>
              <w:bottom w:val="single" w:sz="8" w:space="0" w:color="auto"/>
              <w:right w:val="single" w:sz="8" w:space="0" w:color="auto"/>
            </w:tcBorders>
            <w:vAlign w:val="center"/>
            <w:hideMark/>
          </w:tcPr>
          <w:p w14:paraId="37F29EF5" w14:textId="77777777" w:rsidR="00E73B0C" w:rsidRPr="00281CDB" w:rsidRDefault="00E73B0C" w:rsidP="003A479E">
            <w:pPr>
              <w:jc w:val="center"/>
            </w:pPr>
            <w:r w:rsidRPr="00281CDB">
              <w:t>162</w:t>
            </w:r>
          </w:p>
        </w:tc>
      </w:tr>
      <w:tr w:rsidR="00E73B0C" w:rsidRPr="00281CDB" w14:paraId="355FA8A3" w14:textId="77777777" w:rsidTr="008909CE">
        <w:trPr>
          <w:trHeight w:val="349"/>
        </w:trPr>
        <w:tc>
          <w:tcPr>
            <w:tcW w:w="1170" w:type="dxa"/>
            <w:tcBorders>
              <w:top w:val="single" w:sz="8" w:space="0" w:color="auto"/>
              <w:left w:val="single" w:sz="4" w:space="0" w:color="auto"/>
              <w:bottom w:val="single" w:sz="8" w:space="0" w:color="auto"/>
              <w:right w:val="single" w:sz="8" w:space="0" w:color="auto"/>
            </w:tcBorders>
          </w:tcPr>
          <w:p w14:paraId="39680A01" w14:textId="5FDC981C" w:rsidR="00E73B0C" w:rsidRPr="00281CDB" w:rsidRDefault="00FE5AAD" w:rsidP="00FE5AAD">
            <w:r w:rsidRPr="00A618E7">
              <w:rPr>
                <w:szCs w:val="24"/>
              </w:rPr>
              <w:lastRenderedPageBreak/>
              <w:t>Water utility maintenance worker</w:t>
            </w:r>
          </w:p>
        </w:tc>
        <w:tc>
          <w:tcPr>
            <w:tcW w:w="2430" w:type="dxa"/>
            <w:tcBorders>
              <w:top w:val="single" w:sz="8" w:space="0" w:color="auto"/>
              <w:left w:val="single" w:sz="4" w:space="0" w:color="auto"/>
              <w:bottom w:val="single" w:sz="8" w:space="0" w:color="auto"/>
              <w:right w:val="single" w:sz="8" w:space="0" w:color="auto"/>
            </w:tcBorders>
            <w:hideMark/>
          </w:tcPr>
          <w:p w14:paraId="44623D46" w14:textId="0A4CA524" w:rsidR="00E73B0C" w:rsidRPr="00281CDB" w:rsidRDefault="00E73B0C" w:rsidP="003A479E">
            <w:r w:rsidRPr="00281CDB">
              <w:t>LPE form, ultrafilter and grab samples</w:t>
            </w:r>
          </w:p>
        </w:tc>
        <w:tc>
          <w:tcPr>
            <w:tcW w:w="1620" w:type="dxa"/>
            <w:tcBorders>
              <w:top w:val="nil"/>
              <w:left w:val="nil"/>
              <w:bottom w:val="single" w:sz="8" w:space="0" w:color="auto"/>
              <w:right w:val="single" w:sz="8" w:space="0" w:color="auto"/>
            </w:tcBorders>
            <w:vAlign w:val="center"/>
            <w:hideMark/>
          </w:tcPr>
          <w:p w14:paraId="07D56F57" w14:textId="195622EF" w:rsidR="00E73B0C" w:rsidRPr="002C0BC6" w:rsidRDefault="00291F52" w:rsidP="003A479E">
            <w:pPr>
              <w:jc w:val="center"/>
            </w:pPr>
            <w:r>
              <w:t>5</w:t>
            </w:r>
          </w:p>
        </w:tc>
        <w:tc>
          <w:tcPr>
            <w:tcW w:w="1260" w:type="dxa"/>
            <w:tcBorders>
              <w:top w:val="nil"/>
              <w:left w:val="nil"/>
              <w:bottom w:val="single" w:sz="8" w:space="0" w:color="auto"/>
              <w:right w:val="single" w:sz="8" w:space="0" w:color="auto"/>
            </w:tcBorders>
            <w:vAlign w:val="center"/>
            <w:hideMark/>
          </w:tcPr>
          <w:p w14:paraId="221D05F8" w14:textId="1886FD53" w:rsidR="00E73B0C" w:rsidRPr="002C0BC6" w:rsidRDefault="00291F52" w:rsidP="003A479E">
            <w:pPr>
              <w:jc w:val="center"/>
            </w:pPr>
            <w:r>
              <w:t>4</w:t>
            </w:r>
          </w:p>
        </w:tc>
        <w:tc>
          <w:tcPr>
            <w:tcW w:w="1260" w:type="dxa"/>
            <w:tcBorders>
              <w:top w:val="nil"/>
              <w:left w:val="nil"/>
              <w:bottom w:val="single" w:sz="8" w:space="0" w:color="auto"/>
              <w:right w:val="single" w:sz="8" w:space="0" w:color="auto"/>
            </w:tcBorders>
            <w:vAlign w:val="center"/>
            <w:hideMark/>
          </w:tcPr>
          <w:p w14:paraId="4E7AB8C2" w14:textId="5AF08246" w:rsidR="00E73B0C" w:rsidRPr="002C0BC6" w:rsidRDefault="00E73B0C" w:rsidP="00357E86">
            <w:pPr>
              <w:jc w:val="center"/>
            </w:pPr>
            <w:r w:rsidRPr="002C0BC6">
              <w:t xml:space="preserve"> 145/60</w:t>
            </w:r>
          </w:p>
        </w:tc>
        <w:tc>
          <w:tcPr>
            <w:tcW w:w="2160" w:type="dxa"/>
            <w:tcBorders>
              <w:top w:val="nil"/>
              <w:left w:val="nil"/>
              <w:bottom w:val="single" w:sz="8" w:space="0" w:color="auto"/>
              <w:right w:val="single" w:sz="8" w:space="0" w:color="auto"/>
            </w:tcBorders>
            <w:vAlign w:val="center"/>
            <w:hideMark/>
          </w:tcPr>
          <w:p w14:paraId="550ED71F" w14:textId="0DB10C1B" w:rsidR="00E73B0C" w:rsidRPr="002C0BC6" w:rsidRDefault="00E73B0C" w:rsidP="003A479E">
            <w:pPr>
              <w:jc w:val="center"/>
            </w:pPr>
            <w:r w:rsidRPr="002C0BC6">
              <w:t>4</w:t>
            </w:r>
            <w:r w:rsidR="00291F52">
              <w:t>9</w:t>
            </w:r>
          </w:p>
        </w:tc>
      </w:tr>
      <w:tr w:rsidR="00E73B0C" w:rsidRPr="00281CDB" w14:paraId="1C99D2C0" w14:textId="77777777" w:rsidTr="008909CE">
        <w:trPr>
          <w:trHeight w:val="20"/>
        </w:trPr>
        <w:tc>
          <w:tcPr>
            <w:tcW w:w="1170" w:type="dxa"/>
            <w:tcBorders>
              <w:top w:val="single" w:sz="8" w:space="0" w:color="auto"/>
              <w:left w:val="single" w:sz="4" w:space="0" w:color="auto"/>
              <w:bottom w:val="single" w:sz="8" w:space="0" w:color="auto"/>
              <w:right w:val="single" w:sz="8" w:space="0" w:color="auto"/>
            </w:tcBorders>
          </w:tcPr>
          <w:p w14:paraId="342A5EB6" w14:textId="43B59FC8" w:rsidR="00E73B0C" w:rsidRPr="00281CDB" w:rsidRDefault="00FE5AAD" w:rsidP="003A479E">
            <w:r w:rsidRPr="00A618E7">
              <w:rPr>
                <w:szCs w:val="24"/>
              </w:rPr>
              <w:t>Water utility maintenance worker</w:t>
            </w:r>
          </w:p>
        </w:tc>
        <w:tc>
          <w:tcPr>
            <w:tcW w:w="2430" w:type="dxa"/>
            <w:tcBorders>
              <w:top w:val="single" w:sz="8" w:space="0" w:color="auto"/>
              <w:left w:val="single" w:sz="4" w:space="0" w:color="auto"/>
              <w:bottom w:val="single" w:sz="8" w:space="0" w:color="auto"/>
              <w:right w:val="single" w:sz="8" w:space="0" w:color="auto"/>
            </w:tcBorders>
          </w:tcPr>
          <w:p w14:paraId="31D55007" w14:textId="67549D7B" w:rsidR="00E73B0C" w:rsidRPr="00281CDB" w:rsidRDefault="00E73B0C" w:rsidP="003A479E">
            <w:r w:rsidRPr="00281CDB">
              <w:t>LPE form, grab samples</w:t>
            </w:r>
          </w:p>
        </w:tc>
        <w:tc>
          <w:tcPr>
            <w:tcW w:w="1620" w:type="dxa"/>
            <w:tcBorders>
              <w:top w:val="nil"/>
              <w:left w:val="nil"/>
              <w:bottom w:val="single" w:sz="8" w:space="0" w:color="auto"/>
              <w:right w:val="single" w:sz="8" w:space="0" w:color="auto"/>
            </w:tcBorders>
            <w:vAlign w:val="center"/>
          </w:tcPr>
          <w:p w14:paraId="5F6BFC13" w14:textId="5C2A2F10" w:rsidR="00E73B0C" w:rsidRPr="002C0BC6" w:rsidRDefault="00291F52" w:rsidP="003A479E">
            <w:pPr>
              <w:jc w:val="center"/>
            </w:pPr>
            <w:r>
              <w:t>5</w:t>
            </w:r>
          </w:p>
        </w:tc>
        <w:tc>
          <w:tcPr>
            <w:tcW w:w="1260" w:type="dxa"/>
            <w:tcBorders>
              <w:top w:val="nil"/>
              <w:left w:val="nil"/>
              <w:bottom w:val="single" w:sz="8" w:space="0" w:color="auto"/>
              <w:right w:val="single" w:sz="8" w:space="0" w:color="auto"/>
            </w:tcBorders>
            <w:vAlign w:val="center"/>
          </w:tcPr>
          <w:p w14:paraId="4CB25572" w14:textId="595C6F0C" w:rsidR="00E73B0C" w:rsidRPr="002C0BC6" w:rsidRDefault="00291F52" w:rsidP="003A479E">
            <w:pPr>
              <w:jc w:val="center"/>
            </w:pPr>
            <w:r>
              <w:t>3</w:t>
            </w:r>
          </w:p>
        </w:tc>
        <w:tc>
          <w:tcPr>
            <w:tcW w:w="1260" w:type="dxa"/>
            <w:tcBorders>
              <w:top w:val="nil"/>
              <w:left w:val="nil"/>
              <w:bottom w:val="single" w:sz="8" w:space="0" w:color="auto"/>
              <w:right w:val="single" w:sz="8" w:space="0" w:color="auto"/>
            </w:tcBorders>
            <w:vAlign w:val="center"/>
          </w:tcPr>
          <w:p w14:paraId="7084C982" w14:textId="5E9C521E" w:rsidR="00E73B0C" w:rsidRPr="002C0BC6" w:rsidRDefault="00E73B0C" w:rsidP="00357E86">
            <w:pPr>
              <w:jc w:val="center"/>
            </w:pPr>
            <w:r w:rsidRPr="002C0BC6">
              <w:t>45/60</w:t>
            </w:r>
          </w:p>
        </w:tc>
        <w:tc>
          <w:tcPr>
            <w:tcW w:w="2160" w:type="dxa"/>
            <w:tcBorders>
              <w:top w:val="nil"/>
              <w:left w:val="nil"/>
              <w:bottom w:val="single" w:sz="8" w:space="0" w:color="auto"/>
              <w:right w:val="single" w:sz="8" w:space="0" w:color="auto"/>
            </w:tcBorders>
            <w:vAlign w:val="center"/>
          </w:tcPr>
          <w:p w14:paraId="31336AED" w14:textId="4A1D1153" w:rsidR="00E73B0C" w:rsidRPr="002C0BC6" w:rsidRDefault="00291F52" w:rsidP="003A479E">
            <w:pPr>
              <w:jc w:val="center"/>
            </w:pPr>
            <w:r>
              <w:t>12</w:t>
            </w:r>
          </w:p>
        </w:tc>
      </w:tr>
      <w:tr w:rsidR="00E73B0C" w:rsidRPr="00281CDB" w14:paraId="7638CB7F" w14:textId="77777777" w:rsidTr="008909CE">
        <w:trPr>
          <w:trHeight w:val="20"/>
        </w:trPr>
        <w:tc>
          <w:tcPr>
            <w:tcW w:w="1170" w:type="dxa"/>
            <w:tcBorders>
              <w:top w:val="single" w:sz="8" w:space="0" w:color="auto"/>
              <w:left w:val="single" w:sz="4" w:space="0" w:color="auto"/>
              <w:bottom w:val="single" w:sz="8" w:space="0" w:color="auto"/>
              <w:right w:val="single" w:sz="8" w:space="0" w:color="auto"/>
            </w:tcBorders>
          </w:tcPr>
          <w:p w14:paraId="4AA149D7" w14:textId="16AFECD0" w:rsidR="00E73B0C" w:rsidRPr="00281CDB" w:rsidRDefault="00FE5AAD" w:rsidP="003A479E">
            <w:r w:rsidRPr="00A618E7">
              <w:rPr>
                <w:szCs w:val="24"/>
              </w:rPr>
              <w:t>Water utility environmental engineer</w:t>
            </w:r>
            <w:r>
              <w:rPr>
                <w:szCs w:val="24"/>
              </w:rPr>
              <w:t>/</w:t>
            </w:r>
            <w:r w:rsidRPr="00A618E7">
              <w:rPr>
                <w:szCs w:val="24"/>
              </w:rPr>
              <w:t xml:space="preserve"> Water utility billing clerk</w:t>
            </w:r>
          </w:p>
        </w:tc>
        <w:tc>
          <w:tcPr>
            <w:tcW w:w="2430" w:type="dxa"/>
            <w:tcBorders>
              <w:top w:val="single" w:sz="8" w:space="0" w:color="auto"/>
              <w:left w:val="single" w:sz="4" w:space="0" w:color="auto"/>
              <w:bottom w:val="single" w:sz="8" w:space="0" w:color="auto"/>
              <w:right w:val="single" w:sz="8" w:space="0" w:color="auto"/>
            </w:tcBorders>
            <w:hideMark/>
          </w:tcPr>
          <w:p w14:paraId="5436E29F" w14:textId="58803C97" w:rsidR="00E73B0C" w:rsidRPr="00281CDB" w:rsidRDefault="00E73B0C" w:rsidP="003A479E">
            <w:r w:rsidRPr="00281CDB">
              <w:t>Line listings</w:t>
            </w:r>
          </w:p>
        </w:tc>
        <w:tc>
          <w:tcPr>
            <w:tcW w:w="1620" w:type="dxa"/>
            <w:tcBorders>
              <w:top w:val="nil"/>
              <w:left w:val="nil"/>
              <w:bottom w:val="single" w:sz="8" w:space="0" w:color="auto"/>
              <w:right w:val="single" w:sz="8" w:space="0" w:color="auto"/>
            </w:tcBorders>
            <w:vAlign w:val="center"/>
            <w:hideMark/>
          </w:tcPr>
          <w:p w14:paraId="58A0C38E" w14:textId="582E818E" w:rsidR="00E73B0C" w:rsidRPr="002C0BC6" w:rsidRDefault="00291F52" w:rsidP="003A479E">
            <w:pPr>
              <w:jc w:val="center"/>
            </w:pPr>
            <w:r>
              <w:t>5</w:t>
            </w:r>
          </w:p>
        </w:tc>
        <w:tc>
          <w:tcPr>
            <w:tcW w:w="1260" w:type="dxa"/>
            <w:tcBorders>
              <w:top w:val="nil"/>
              <w:left w:val="nil"/>
              <w:bottom w:val="single" w:sz="8" w:space="0" w:color="auto"/>
              <w:right w:val="single" w:sz="8" w:space="0" w:color="auto"/>
            </w:tcBorders>
            <w:vAlign w:val="center"/>
            <w:hideMark/>
          </w:tcPr>
          <w:p w14:paraId="2A7AF79A" w14:textId="0B2D0DB7" w:rsidR="00E73B0C" w:rsidRPr="002C0BC6" w:rsidRDefault="00291F52" w:rsidP="003A479E">
            <w:pPr>
              <w:jc w:val="center"/>
            </w:pPr>
            <w:r>
              <w:t>7</w:t>
            </w:r>
          </w:p>
        </w:tc>
        <w:tc>
          <w:tcPr>
            <w:tcW w:w="1260" w:type="dxa"/>
            <w:tcBorders>
              <w:top w:val="nil"/>
              <w:left w:val="nil"/>
              <w:bottom w:val="single" w:sz="8" w:space="0" w:color="auto"/>
              <w:right w:val="single" w:sz="8" w:space="0" w:color="auto"/>
            </w:tcBorders>
            <w:vAlign w:val="center"/>
            <w:hideMark/>
          </w:tcPr>
          <w:p w14:paraId="4A79A0B1" w14:textId="77777777" w:rsidR="00E73B0C" w:rsidRPr="002C0BC6" w:rsidRDefault="00E73B0C" w:rsidP="003A479E">
            <w:pPr>
              <w:jc w:val="center"/>
            </w:pPr>
            <w:r w:rsidRPr="002C0BC6">
              <w:t>3</w:t>
            </w:r>
          </w:p>
        </w:tc>
        <w:tc>
          <w:tcPr>
            <w:tcW w:w="2160" w:type="dxa"/>
            <w:tcBorders>
              <w:top w:val="nil"/>
              <w:left w:val="nil"/>
              <w:bottom w:val="single" w:sz="8" w:space="0" w:color="auto"/>
              <w:right w:val="single" w:sz="8" w:space="0" w:color="auto"/>
            </w:tcBorders>
            <w:vAlign w:val="center"/>
            <w:hideMark/>
          </w:tcPr>
          <w:p w14:paraId="371686A9" w14:textId="5A73D2E3" w:rsidR="00E73B0C" w:rsidRPr="002C0BC6" w:rsidRDefault="00291F52" w:rsidP="00F82658">
            <w:pPr>
              <w:jc w:val="center"/>
            </w:pPr>
            <w:r>
              <w:t>105</w:t>
            </w:r>
          </w:p>
        </w:tc>
      </w:tr>
      <w:tr w:rsidR="00E73B0C" w:rsidRPr="00281CDB" w14:paraId="2BF3E0E0" w14:textId="77777777" w:rsidTr="008909CE">
        <w:trPr>
          <w:trHeight w:val="20"/>
        </w:trPr>
        <w:tc>
          <w:tcPr>
            <w:tcW w:w="1170" w:type="dxa"/>
            <w:tcBorders>
              <w:top w:val="single" w:sz="8" w:space="0" w:color="auto"/>
              <w:left w:val="single" w:sz="4" w:space="0" w:color="auto"/>
              <w:bottom w:val="single" w:sz="8" w:space="0" w:color="auto"/>
              <w:right w:val="single" w:sz="8" w:space="0" w:color="auto"/>
            </w:tcBorders>
          </w:tcPr>
          <w:p w14:paraId="5001D80A" w14:textId="77777777" w:rsidR="00E73B0C" w:rsidRPr="00281CDB" w:rsidRDefault="00E73B0C" w:rsidP="003A479E"/>
        </w:tc>
        <w:tc>
          <w:tcPr>
            <w:tcW w:w="2430" w:type="dxa"/>
            <w:tcBorders>
              <w:top w:val="single" w:sz="8" w:space="0" w:color="auto"/>
              <w:left w:val="single" w:sz="4" w:space="0" w:color="auto"/>
              <w:bottom w:val="single" w:sz="8" w:space="0" w:color="auto"/>
              <w:right w:val="single" w:sz="8" w:space="0" w:color="auto"/>
            </w:tcBorders>
            <w:hideMark/>
          </w:tcPr>
          <w:p w14:paraId="7BE3B9A0" w14:textId="289AA6E8" w:rsidR="00E73B0C" w:rsidRPr="00281CDB" w:rsidRDefault="00E73B0C" w:rsidP="003A479E">
            <w:r w:rsidRPr="00281CDB">
              <w:t xml:space="preserve">Total </w:t>
            </w:r>
          </w:p>
        </w:tc>
        <w:tc>
          <w:tcPr>
            <w:tcW w:w="1620" w:type="dxa"/>
            <w:tcBorders>
              <w:top w:val="nil"/>
              <w:left w:val="nil"/>
              <w:bottom w:val="single" w:sz="8" w:space="0" w:color="auto"/>
              <w:right w:val="single" w:sz="8" w:space="0" w:color="auto"/>
            </w:tcBorders>
            <w:vAlign w:val="bottom"/>
            <w:hideMark/>
          </w:tcPr>
          <w:p w14:paraId="6A551DF1" w14:textId="77777777" w:rsidR="00E73B0C" w:rsidRPr="002C0BC6" w:rsidRDefault="00E73B0C" w:rsidP="003A479E">
            <w:r w:rsidRPr="002C0BC6">
              <w:t> </w:t>
            </w:r>
          </w:p>
        </w:tc>
        <w:tc>
          <w:tcPr>
            <w:tcW w:w="1260" w:type="dxa"/>
            <w:tcBorders>
              <w:top w:val="nil"/>
              <w:left w:val="nil"/>
              <w:bottom w:val="single" w:sz="8" w:space="0" w:color="auto"/>
              <w:right w:val="single" w:sz="8" w:space="0" w:color="auto"/>
            </w:tcBorders>
            <w:vAlign w:val="bottom"/>
            <w:hideMark/>
          </w:tcPr>
          <w:p w14:paraId="5E6A9944" w14:textId="77777777" w:rsidR="00E73B0C" w:rsidRPr="002C0BC6" w:rsidRDefault="00E73B0C" w:rsidP="003A479E">
            <w:r w:rsidRPr="002C0BC6">
              <w:t> </w:t>
            </w:r>
          </w:p>
        </w:tc>
        <w:tc>
          <w:tcPr>
            <w:tcW w:w="1260" w:type="dxa"/>
            <w:tcBorders>
              <w:top w:val="nil"/>
              <w:left w:val="nil"/>
              <w:bottom w:val="single" w:sz="8" w:space="0" w:color="auto"/>
              <w:right w:val="single" w:sz="8" w:space="0" w:color="auto"/>
            </w:tcBorders>
            <w:vAlign w:val="bottom"/>
            <w:hideMark/>
          </w:tcPr>
          <w:p w14:paraId="3A86A310" w14:textId="77777777" w:rsidR="00E73B0C" w:rsidRPr="002C0BC6" w:rsidRDefault="00E73B0C" w:rsidP="003A479E">
            <w:r w:rsidRPr="002C0BC6">
              <w:t> </w:t>
            </w:r>
          </w:p>
        </w:tc>
        <w:tc>
          <w:tcPr>
            <w:tcW w:w="2160" w:type="dxa"/>
            <w:tcBorders>
              <w:top w:val="nil"/>
              <w:left w:val="nil"/>
              <w:bottom w:val="single" w:sz="8" w:space="0" w:color="auto"/>
              <w:right w:val="single" w:sz="8" w:space="0" w:color="auto"/>
            </w:tcBorders>
            <w:vAlign w:val="center"/>
            <w:hideMark/>
          </w:tcPr>
          <w:p w14:paraId="5A2A8317" w14:textId="286E2B27" w:rsidR="00E73B0C" w:rsidRPr="002C0BC6" w:rsidRDefault="00E73B0C" w:rsidP="003A479E">
            <w:pPr>
              <w:jc w:val="center"/>
            </w:pPr>
            <w:r w:rsidRPr="002C0BC6">
              <w:t>5</w:t>
            </w:r>
            <w:r w:rsidR="00291F52">
              <w:t>71</w:t>
            </w:r>
          </w:p>
        </w:tc>
      </w:tr>
    </w:tbl>
    <w:p w14:paraId="4606AAD8" w14:textId="77777777" w:rsidR="00601E2B" w:rsidRPr="00281CDB" w:rsidRDefault="00601E2B" w:rsidP="00601E2B">
      <w:r w:rsidRPr="00281CDB">
        <w:t>*Estimates have been rounded up to the nearest whole number.</w:t>
      </w:r>
    </w:p>
    <w:p w14:paraId="4698EA28" w14:textId="77777777" w:rsidR="001C7E75" w:rsidRDefault="001C7E75" w:rsidP="004D3E5D">
      <w:pPr>
        <w:rPr>
          <w:b/>
        </w:rPr>
      </w:pPr>
    </w:p>
    <w:p w14:paraId="735BCA1C" w14:textId="77777777" w:rsidR="004D3E5D" w:rsidRPr="008E61A5" w:rsidRDefault="004D3E5D" w:rsidP="004D3E5D">
      <w:pPr>
        <w:rPr>
          <w:b/>
        </w:rPr>
      </w:pPr>
      <w:r w:rsidRPr="008E61A5">
        <w:rPr>
          <w:b/>
        </w:rPr>
        <w:t>B. Annualized Cost to Respondents</w:t>
      </w:r>
    </w:p>
    <w:p w14:paraId="23657C40" w14:textId="103EE057" w:rsidR="004D3E5D" w:rsidRPr="00A618E7" w:rsidRDefault="00295A9A" w:rsidP="004D3E5D">
      <w:r>
        <w:t>T</w:t>
      </w:r>
      <w:r w:rsidR="004D3E5D" w:rsidRPr="00BA6647">
        <w:t xml:space="preserve">he annualized cost to water utility customer survey respondents </w:t>
      </w:r>
      <w:r>
        <w:t xml:space="preserve">for the multi-site study </w:t>
      </w:r>
      <w:r w:rsidR="004D3E5D" w:rsidRPr="00BA6647">
        <w:t xml:space="preserve">was estimated using the </w:t>
      </w:r>
      <w:r>
        <w:t xml:space="preserve">total </w:t>
      </w:r>
      <w:r w:rsidR="004D3E5D" w:rsidRPr="00BA6647">
        <w:t xml:space="preserve">annual burden </w:t>
      </w:r>
      <w:r w:rsidR="00BF2E29">
        <w:t>(</w:t>
      </w:r>
      <w:r w:rsidR="00787B51">
        <w:t>243 + 162</w:t>
      </w:r>
      <w:r w:rsidR="00290838">
        <w:t xml:space="preserve"> </w:t>
      </w:r>
      <w:r w:rsidR="00787B51">
        <w:t>=</w:t>
      </w:r>
      <w:r w:rsidR="00290838">
        <w:t xml:space="preserve"> </w:t>
      </w:r>
      <w:r w:rsidR="00BF2E29">
        <w:t>405</w:t>
      </w:r>
      <w:r w:rsidR="008E5DAC">
        <w:t xml:space="preserve"> </w:t>
      </w:r>
      <w:r w:rsidR="004D3E5D" w:rsidRPr="00BA6647">
        <w:t>hours) and the mean hourly wage in the U.S. for all occupations ($2</w:t>
      </w:r>
      <w:r w:rsidR="00FA1832">
        <w:t>2</w:t>
      </w:r>
      <w:r w:rsidR="004D3E5D" w:rsidRPr="00BA6647">
        <w:t>.</w:t>
      </w:r>
      <w:r w:rsidR="002331E4">
        <w:t>7</w:t>
      </w:r>
      <w:r w:rsidR="00FA1832">
        <w:t>1</w:t>
      </w:r>
      <w:r w:rsidR="004D3E5D" w:rsidRPr="00BA6647">
        <w:t>, obtained from the U.S. Department of Labor’s May 201</w:t>
      </w:r>
      <w:r w:rsidR="00FA1832">
        <w:t>4</w:t>
      </w:r>
      <w:r w:rsidR="004D3E5D" w:rsidRPr="00BA6647">
        <w:t xml:space="preserve"> national occupational employment and wage estimates data, available at: </w:t>
      </w:r>
      <w:hyperlink r:id="rId14" w:anchor="00-0000" w:history="1">
        <w:r w:rsidR="00FA1832" w:rsidRPr="00B0379C">
          <w:rPr>
            <w:rStyle w:val="Hyperlink"/>
          </w:rPr>
          <w:t>http://www.bls.gov/oes/current/oes_nat.htm#00-0000</w:t>
        </w:r>
      </w:hyperlink>
      <w:r w:rsidR="004D3E5D" w:rsidRPr="00BA6647">
        <w:t xml:space="preserve">). Given these numbers, the maximum total annualized cost of this data collection to utility customer respondents is </w:t>
      </w:r>
      <w:r w:rsidR="004D3E5D" w:rsidRPr="00A618E7">
        <w:t xml:space="preserve">estimated to be </w:t>
      </w:r>
      <w:r w:rsidR="00BF2E29" w:rsidRPr="00A618E7">
        <w:t>$</w:t>
      </w:r>
      <w:r w:rsidR="00FA1832" w:rsidRPr="00A618E7">
        <w:t>9,197</w:t>
      </w:r>
      <w:r w:rsidR="00BF2E29" w:rsidRPr="00A618E7">
        <w:t>.</w:t>
      </w:r>
      <w:r w:rsidR="00FA1832" w:rsidRPr="00A618E7">
        <w:t>55</w:t>
      </w:r>
      <w:r w:rsidR="00BE1C86" w:rsidRPr="00A618E7">
        <w:t xml:space="preserve"> (</w:t>
      </w:r>
      <w:r w:rsidR="00BF2E29" w:rsidRPr="00A618E7">
        <w:t>405 x $2</w:t>
      </w:r>
      <w:r w:rsidR="00FA1832" w:rsidRPr="00A618E7">
        <w:t>2</w:t>
      </w:r>
      <w:r w:rsidR="00BF2E29" w:rsidRPr="00A618E7">
        <w:t>.7</w:t>
      </w:r>
      <w:r w:rsidR="00FA1832" w:rsidRPr="00A618E7">
        <w:t>1</w:t>
      </w:r>
      <w:r w:rsidR="00BF2E29" w:rsidRPr="00A618E7">
        <w:t xml:space="preserve"> =$</w:t>
      </w:r>
      <w:r w:rsidR="00FA1832" w:rsidRPr="00A618E7">
        <w:t>9,197.55</w:t>
      </w:r>
      <w:r w:rsidR="00BE1C86" w:rsidRPr="00A618E7">
        <w:t>)</w:t>
      </w:r>
      <w:r w:rsidR="005617B6" w:rsidRPr="00A618E7">
        <w:t xml:space="preserve"> </w:t>
      </w:r>
      <w:r w:rsidR="004D3E5D" w:rsidRPr="00A618E7">
        <w:t>(See Table A.</w:t>
      </w:r>
      <w:r w:rsidR="00C23986" w:rsidRPr="00A618E7">
        <w:t>1</w:t>
      </w:r>
      <w:r w:rsidR="00D27553" w:rsidRPr="00A618E7">
        <w:t>2.2</w:t>
      </w:r>
      <w:r w:rsidR="004D3E5D" w:rsidRPr="00A618E7">
        <w:t xml:space="preserve">). </w:t>
      </w:r>
    </w:p>
    <w:p w14:paraId="075C6245" w14:textId="77777777" w:rsidR="004D3E5D" w:rsidRPr="00A618E7" w:rsidRDefault="004D3E5D" w:rsidP="004D3E5D"/>
    <w:p w14:paraId="7E329B53" w14:textId="23227BAA" w:rsidR="001E419A" w:rsidRPr="00A618E7" w:rsidRDefault="004D3E5D" w:rsidP="004D3E5D">
      <w:r w:rsidRPr="00A618E7">
        <w:t xml:space="preserve">The annualized cost to the water utility company personnel who complete the LPE forms and collect the environmental samples </w:t>
      </w:r>
      <w:r w:rsidR="00295A9A" w:rsidRPr="00A618E7">
        <w:t xml:space="preserve">for the multi-site study </w:t>
      </w:r>
      <w:r w:rsidRPr="00A618E7">
        <w:t xml:space="preserve">was estimated </w:t>
      </w:r>
      <w:r w:rsidR="00231310" w:rsidRPr="00A618E7">
        <w:t xml:space="preserve">to be </w:t>
      </w:r>
      <w:r w:rsidR="00746ACF">
        <w:t>61</w:t>
      </w:r>
      <w:r w:rsidR="00463404" w:rsidRPr="00A618E7">
        <w:t xml:space="preserve"> </w:t>
      </w:r>
      <w:r w:rsidR="00231310" w:rsidRPr="00A618E7">
        <w:t>hours</w:t>
      </w:r>
      <w:r w:rsidRPr="00A618E7">
        <w:t xml:space="preserve"> and the mean hourly wage in the U.S. for</w:t>
      </w:r>
      <w:r w:rsidR="001E419A" w:rsidRPr="00A618E7">
        <w:t xml:space="preserve"> industrial machinery mechanics $2</w:t>
      </w:r>
      <w:r w:rsidR="00FA1832" w:rsidRPr="00A618E7">
        <w:t>4.25</w:t>
      </w:r>
      <w:r w:rsidR="001E419A" w:rsidRPr="00A618E7">
        <w:t xml:space="preserve"> </w:t>
      </w:r>
      <w:r w:rsidR="00231310" w:rsidRPr="00A618E7">
        <w:t>(</w:t>
      </w:r>
      <w:r w:rsidR="001E419A" w:rsidRPr="00A618E7">
        <w:t>obtained from the U.S. Department of Labor’s May 201</w:t>
      </w:r>
      <w:r w:rsidR="00C23986" w:rsidRPr="00A618E7">
        <w:t>4</w:t>
      </w:r>
      <w:r w:rsidR="001E419A" w:rsidRPr="00A618E7">
        <w:t xml:space="preserve"> national occupational employment and wage estimates data, available at: http://www.bls.gov/oes/current/oes499041.htm)</w:t>
      </w:r>
      <w:r w:rsidR="00561A31" w:rsidRPr="00A618E7">
        <w:t>.</w:t>
      </w:r>
      <w:r w:rsidR="001E419A" w:rsidRPr="00A618E7">
        <w:t xml:space="preserve"> </w:t>
      </w:r>
      <w:r w:rsidR="004F5AAD" w:rsidRPr="00A618E7">
        <w:t xml:space="preserve">Given these numbers, the maximum total annualized cost of this data collection to </w:t>
      </w:r>
      <w:r w:rsidR="004F5AAD" w:rsidRPr="00A618E7">
        <w:lastRenderedPageBreak/>
        <w:t>utility company mechanic respondents is estimated to be $</w:t>
      </w:r>
      <w:r w:rsidR="00C23986" w:rsidRPr="00A618E7">
        <w:t>1,</w:t>
      </w:r>
      <w:r w:rsidR="00746ACF">
        <w:t>479</w:t>
      </w:r>
      <w:r w:rsidR="00C23986" w:rsidRPr="00A618E7">
        <w:t>.25</w:t>
      </w:r>
      <w:r w:rsidR="004F5AAD" w:rsidRPr="00A618E7" w:rsidDel="00203169">
        <w:t xml:space="preserve"> </w:t>
      </w:r>
      <w:r w:rsidR="004F5AAD" w:rsidRPr="00A618E7">
        <w:t>(</w:t>
      </w:r>
      <w:r w:rsidR="00746ACF">
        <w:t>61</w:t>
      </w:r>
      <w:r w:rsidR="00553F93" w:rsidRPr="00A618E7">
        <w:t xml:space="preserve"> </w:t>
      </w:r>
      <w:r w:rsidR="004F5AAD" w:rsidRPr="00A618E7">
        <w:t>x $2</w:t>
      </w:r>
      <w:r w:rsidR="00C23986" w:rsidRPr="00A618E7">
        <w:t>4</w:t>
      </w:r>
      <w:r w:rsidR="004F5AAD" w:rsidRPr="00A618E7">
        <w:t>.</w:t>
      </w:r>
      <w:r w:rsidR="00C23986" w:rsidRPr="00A618E7">
        <w:t>25</w:t>
      </w:r>
      <w:r w:rsidR="004F5AAD" w:rsidRPr="00A618E7">
        <w:t>=$</w:t>
      </w:r>
      <w:r w:rsidR="00553F93" w:rsidRPr="00A618E7">
        <w:t>1</w:t>
      </w:r>
      <w:r w:rsidR="00463404" w:rsidRPr="00A618E7">
        <w:t>,</w:t>
      </w:r>
      <w:r w:rsidR="00746ACF">
        <w:t>479</w:t>
      </w:r>
      <w:r w:rsidR="00553F93" w:rsidRPr="00A618E7">
        <w:t>.</w:t>
      </w:r>
      <w:r w:rsidR="00C23986" w:rsidRPr="00A618E7">
        <w:t>25</w:t>
      </w:r>
      <w:r w:rsidR="004F5AAD" w:rsidRPr="00A618E7">
        <w:t>) (See Table A.1</w:t>
      </w:r>
      <w:r w:rsidR="00D27553" w:rsidRPr="00A618E7">
        <w:t>2.2</w:t>
      </w:r>
      <w:r w:rsidR="004F5AAD" w:rsidRPr="00A618E7">
        <w:t>).</w:t>
      </w:r>
    </w:p>
    <w:p w14:paraId="767DAA12" w14:textId="77777777" w:rsidR="001E419A" w:rsidRPr="00A618E7" w:rsidRDefault="001E419A" w:rsidP="004D3E5D"/>
    <w:p w14:paraId="4DF27C89" w14:textId="79DE2D20" w:rsidR="004D3E5D" w:rsidRPr="00A618E7" w:rsidRDefault="00783F3D" w:rsidP="004D3E5D">
      <w:pPr>
        <w:rPr>
          <w:color w:val="FF0000"/>
        </w:rPr>
      </w:pPr>
      <w:r w:rsidRPr="00A618E7">
        <w:t xml:space="preserve">To provide line listings of customer contact information, the utilities will first </w:t>
      </w:r>
      <w:r w:rsidR="00F256FB" w:rsidRPr="00A618E7">
        <w:t>use knowledge of the water system and hydraulic principles to select the affected and unaffected areas</w:t>
      </w:r>
      <w:r w:rsidR="00F256FB" w:rsidRPr="00A618E7" w:rsidDel="00F256FB">
        <w:t xml:space="preserve"> </w:t>
      </w:r>
      <w:r w:rsidRPr="00A618E7">
        <w:t>(to be performed by an engineer, taking approximately 2 hours)</w:t>
      </w:r>
      <w:r w:rsidR="00453588" w:rsidRPr="00A618E7">
        <w:t>,</w:t>
      </w:r>
      <w:r w:rsidRPr="00A618E7">
        <w:t xml:space="preserve"> and then</w:t>
      </w:r>
      <w:r w:rsidR="007F0E5A" w:rsidRPr="00A618E7">
        <w:t xml:space="preserve"> use utility billing records identify </w:t>
      </w:r>
      <w:r w:rsidRPr="00A618E7">
        <w:t>household</w:t>
      </w:r>
      <w:r w:rsidR="007F0E5A" w:rsidRPr="00A618E7">
        <w:t xml:space="preserve"> contact information</w:t>
      </w:r>
      <w:r w:rsidRPr="00A618E7">
        <w:t xml:space="preserve"> (performed by clerical staff</w:t>
      </w:r>
      <w:r w:rsidR="00883D88" w:rsidRPr="00A618E7">
        <w:t>, taking approximately 1 hour</w:t>
      </w:r>
      <w:r w:rsidRPr="00A618E7">
        <w:t>)</w:t>
      </w:r>
      <w:r w:rsidR="00453588" w:rsidRPr="00A618E7">
        <w:t xml:space="preserve"> for CDC staff to randomly select participants</w:t>
      </w:r>
      <w:r w:rsidR="002B2A26" w:rsidRPr="00A618E7">
        <w:t xml:space="preserve"> from</w:t>
      </w:r>
      <w:r w:rsidR="00453588" w:rsidRPr="00A618E7">
        <w:t xml:space="preserve"> (A</w:t>
      </w:r>
      <w:r w:rsidR="00374607" w:rsidRPr="00A618E7">
        <w:t xml:space="preserve">ttachment </w:t>
      </w:r>
      <w:r w:rsidR="00366C1A">
        <w:t>S</w:t>
      </w:r>
      <w:r w:rsidR="00453588" w:rsidRPr="00A618E7">
        <w:t>)</w:t>
      </w:r>
      <w:r w:rsidRPr="00A618E7">
        <w:t xml:space="preserve">. </w:t>
      </w:r>
      <w:r w:rsidR="004F5AAD" w:rsidRPr="00A618E7">
        <w:t>The annualized cost to the water utility company personnel who</w:t>
      </w:r>
      <w:r w:rsidR="00F256FB" w:rsidRPr="00A618E7">
        <w:t xml:space="preserve"> select the affected and unaffected areas </w:t>
      </w:r>
      <w:r w:rsidR="00295A9A" w:rsidRPr="00A618E7">
        <w:t xml:space="preserve">for the multi-site study </w:t>
      </w:r>
      <w:r w:rsidR="004F5AAD" w:rsidRPr="00A618E7">
        <w:t>was estimated using the annual burden (</w:t>
      </w:r>
      <w:r w:rsidR="00366C1A">
        <w:t>105</w:t>
      </w:r>
      <w:r w:rsidR="00C23986" w:rsidRPr="00A618E7">
        <w:t xml:space="preserve"> </w:t>
      </w:r>
      <w:r w:rsidR="00883D88" w:rsidRPr="00A618E7">
        <w:t xml:space="preserve">hours x 2/3 = </w:t>
      </w:r>
      <w:r w:rsidR="00366C1A">
        <w:t>7</w:t>
      </w:r>
      <w:r w:rsidR="00C23986" w:rsidRPr="00A618E7">
        <w:t xml:space="preserve">0 </w:t>
      </w:r>
      <w:r w:rsidR="004F5AAD" w:rsidRPr="00A618E7">
        <w:t xml:space="preserve">hours) and the mean hourly wage in the U.S. </w:t>
      </w:r>
      <w:r w:rsidR="004D3E5D" w:rsidRPr="00A618E7">
        <w:t>environmental engineers ($</w:t>
      </w:r>
      <w:r w:rsidR="00C23986" w:rsidRPr="00A618E7">
        <w:t>41.51</w:t>
      </w:r>
      <w:r w:rsidR="004D3E5D" w:rsidRPr="00A618E7">
        <w:t>, obtained from the U.S. Department</w:t>
      </w:r>
      <w:r w:rsidR="004D3E5D" w:rsidRPr="00BF342A">
        <w:t xml:space="preserve"> of Labor’s May 201</w:t>
      </w:r>
      <w:r w:rsidR="00C23986" w:rsidRPr="00C23986">
        <w:t>4</w:t>
      </w:r>
      <w:r w:rsidR="004D3E5D" w:rsidRPr="00BF342A">
        <w:t xml:space="preserve"> national occupational employment and wage estimates data, available at: http://www.bls.gov/OES/Current/oes172081.htm). Given these numbers, the maximum total </w:t>
      </w:r>
      <w:r w:rsidR="004D3E5D" w:rsidRPr="00A618E7">
        <w:t>annualized cost of this data collection to utility company engineer respondents is estimated to be $</w:t>
      </w:r>
      <w:r w:rsidR="00C23986" w:rsidRPr="00A618E7">
        <w:t>2,</w:t>
      </w:r>
      <w:r w:rsidR="00366C1A">
        <w:t>905.70</w:t>
      </w:r>
      <w:r w:rsidR="004D3E5D" w:rsidRPr="00A618E7" w:rsidDel="00203169">
        <w:t xml:space="preserve"> </w:t>
      </w:r>
      <w:r w:rsidR="004D3E5D" w:rsidRPr="00A618E7">
        <w:t>(</w:t>
      </w:r>
      <w:r w:rsidR="00366C1A">
        <w:t>7</w:t>
      </w:r>
      <w:r w:rsidR="004F5AAD" w:rsidRPr="00A618E7">
        <w:t>0</w:t>
      </w:r>
      <w:r w:rsidR="004D3E5D" w:rsidRPr="00A618E7">
        <w:t xml:space="preserve"> x $4</w:t>
      </w:r>
      <w:r w:rsidR="00C23986" w:rsidRPr="00A618E7">
        <w:t>1</w:t>
      </w:r>
      <w:r w:rsidR="004D3E5D" w:rsidRPr="00A618E7">
        <w:t>.</w:t>
      </w:r>
      <w:r w:rsidR="00C23986" w:rsidRPr="00A618E7">
        <w:t>51</w:t>
      </w:r>
      <w:r w:rsidR="004D3E5D" w:rsidRPr="00A618E7">
        <w:t>=$</w:t>
      </w:r>
      <w:r w:rsidR="00C23986" w:rsidRPr="00A618E7">
        <w:t>2,</w:t>
      </w:r>
      <w:r w:rsidR="00366C1A">
        <w:t>905.70</w:t>
      </w:r>
      <w:r w:rsidR="00E3310E" w:rsidRPr="00A618E7">
        <w:t>)</w:t>
      </w:r>
      <w:r w:rsidR="004D3E5D" w:rsidRPr="00A618E7">
        <w:t xml:space="preserve"> (See Table A.1</w:t>
      </w:r>
      <w:r w:rsidR="00D27553" w:rsidRPr="00A618E7">
        <w:t>2.2</w:t>
      </w:r>
      <w:r w:rsidR="004D3E5D" w:rsidRPr="00A618E7">
        <w:t xml:space="preserve">). </w:t>
      </w:r>
    </w:p>
    <w:p w14:paraId="6AA06151" w14:textId="77777777" w:rsidR="004D3E5D" w:rsidRPr="00A618E7" w:rsidRDefault="004D3E5D" w:rsidP="004D3E5D"/>
    <w:p w14:paraId="25C2608E" w14:textId="091C642B" w:rsidR="004D3E5D" w:rsidRPr="00A618E7" w:rsidRDefault="004D3E5D" w:rsidP="004D3E5D">
      <w:r w:rsidRPr="00A618E7">
        <w:t xml:space="preserve">The annualized cost to water utility clerical staff who provide CDC with the line listings of addresses of affected and unaffected residents </w:t>
      </w:r>
      <w:r w:rsidR="00295A9A" w:rsidRPr="00A618E7">
        <w:t xml:space="preserve">for the multi-site study </w:t>
      </w:r>
      <w:r w:rsidRPr="00A618E7">
        <w:t>was estimated using the annual burden (</w:t>
      </w:r>
      <w:r w:rsidR="00366C1A">
        <w:t>105</w:t>
      </w:r>
      <w:r w:rsidR="009C0534" w:rsidRPr="00A618E7">
        <w:t xml:space="preserve"> </w:t>
      </w:r>
      <w:r w:rsidR="00883D88" w:rsidRPr="00A618E7">
        <w:t xml:space="preserve">hours x 1/3 = </w:t>
      </w:r>
      <w:r w:rsidRPr="00A618E7">
        <w:t>3</w:t>
      </w:r>
      <w:r w:rsidR="00366C1A">
        <w:t>5</w:t>
      </w:r>
      <w:r w:rsidRPr="00A618E7">
        <w:t xml:space="preserve"> hours) and the mean hourly wage in the U.S. for billing and posting clerks ($</w:t>
      </w:r>
      <w:r w:rsidR="009C0534" w:rsidRPr="00A618E7">
        <w:t>17.10</w:t>
      </w:r>
      <w:r w:rsidRPr="00A618E7">
        <w:t>, obtained from the U.S. Department of Labor’s May 201</w:t>
      </w:r>
      <w:r w:rsidR="009C0534" w:rsidRPr="00A618E7">
        <w:t>4</w:t>
      </w:r>
      <w:r w:rsidRPr="00A618E7">
        <w:t xml:space="preserve"> national occupational employment and wage estimates data, available at: </w:t>
      </w:r>
      <w:r w:rsidR="004F5AAD" w:rsidRPr="00A618E7">
        <w:t>http://www.bls.gov/oes/current/oes433021.htm</w:t>
      </w:r>
      <w:r w:rsidRPr="00A618E7">
        <w:t xml:space="preserve">). Given these numbers, the maximum total annualized cost of this data collection to </w:t>
      </w:r>
      <w:r w:rsidRPr="00A618E7">
        <w:lastRenderedPageBreak/>
        <w:t>billing clerks is estimated to be $</w:t>
      </w:r>
      <w:r w:rsidR="009C0534" w:rsidRPr="00A618E7">
        <w:t>5</w:t>
      </w:r>
      <w:r w:rsidR="002F70AA">
        <w:t>98</w:t>
      </w:r>
      <w:r w:rsidR="009C0534" w:rsidRPr="00A618E7">
        <w:t>.</w:t>
      </w:r>
      <w:r w:rsidR="002F70AA">
        <w:t>5</w:t>
      </w:r>
      <w:r w:rsidR="009C0534" w:rsidRPr="00A618E7">
        <w:t>0 (</w:t>
      </w:r>
      <w:r w:rsidRPr="00A618E7">
        <w:t>3</w:t>
      </w:r>
      <w:r w:rsidR="00366C1A">
        <w:t>5</w:t>
      </w:r>
      <w:r w:rsidRPr="00A618E7">
        <w:t xml:space="preserve"> x $</w:t>
      </w:r>
      <w:r w:rsidR="009C0534" w:rsidRPr="00A618E7">
        <w:t>17.10</w:t>
      </w:r>
      <w:r w:rsidRPr="00A618E7">
        <w:t>=$</w:t>
      </w:r>
      <w:r w:rsidR="00366C1A">
        <w:t>598.50</w:t>
      </w:r>
      <w:r w:rsidRPr="00A618E7">
        <w:t>) (See Table A.1</w:t>
      </w:r>
      <w:r w:rsidR="00D27553" w:rsidRPr="00A618E7">
        <w:t>2.2</w:t>
      </w:r>
      <w:r w:rsidRPr="00A618E7">
        <w:t xml:space="preserve">). </w:t>
      </w:r>
    </w:p>
    <w:p w14:paraId="2CFEF24A" w14:textId="77777777" w:rsidR="004D3E5D" w:rsidRPr="00A618E7" w:rsidRDefault="004D3E5D" w:rsidP="004D3E5D"/>
    <w:p w14:paraId="4BA1DE65" w14:textId="213B7354" w:rsidR="004D3E5D" w:rsidRPr="00A618E7" w:rsidRDefault="004D3E5D" w:rsidP="004D3E5D">
      <w:r w:rsidRPr="00A618E7">
        <w:t xml:space="preserve">Summing across the </w:t>
      </w:r>
      <w:r w:rsidR="007E6567" w:rsidRPr="00A618E7">
        <w:t>four</w:t>
      </w:r>
      <w:r w:rsidRPr="00A618E7">
        <w:t xml:space="preserve"> respondent categories, we anticipate that the maximum total annualized cost for the </w:t>
      </w:r>
      <w:r w:rsidR="00295A9A" w:rsidRPr="00A618E7">
        <w:t>multi-site</w:t>
      </w:r>
      <w:r w:rsidRPr="00A618E7">
        <w:t xml:space="preserve"> study would be $</w:t>
      </w:r>
      <w:r w:rsidR="00F2411C">
        <w:t>14,181.00</w:t>
      </w:r>
      <w:r w:rsidR="009C0534" w:rsidRPr="00A618E7">
        <w:t xml:space="preserve">. </w:t>
      </w:r>
    </w:p>
    <w:p w14:paraId="1023AD22" w14:textId="77777777" w:rsidR="004D3E5D" w:rsidRPr="00A618E7" w:rsidRDefault="004D3E5D" w:rsidP="004D3E5D">
      <w:pPr>
        <w:rPr>
          <w:b/>
        </w:rPr>
      </w:pPr>
    </w:p>
    <w:p w14:paraId="7B11914B" w14:textId="14641E8E" w:rsidR="007404FF" w:rsidRPr="00A618E7" w:rsidRDefault="007404FF" w:rsidP="007404FF">
      <w:pPr>
        <w:ind w:left="-90"/>
        <w:rPr>
          <w:b/>
        </w:rPr>
      </w:pPr>
      <w:r w:rsidRPr="00A618E7">
        <w:rPr>
          <w:b/>
        </w:rPr>
        <w:t>Table A.</w:t>
      </w:r>
      <w:r w:rsidR="009C0534" w:rsidRPr="00A618E7">
        <w:rPr>
          <w:b/>
        </w:rPr>
        <w:t>1</w:t>
      </w:r>
      <w:r w:rsidR="00D27553" w:rsidRPr="00A618E7">
        <w:rPr>
          <w:b/>
        </w:rPr>
        <w:t>2.2</w:t>
      </w:r>
      <w:r w:rsidRPr="00A618E7">
        <w:rPr>
          <w:b/>
        </w:rPr>
        <w:t xml:space="preserve">- Estimated Annualized Burden Costs </w:t>
      </w:r>
      <w:r w:rsidRPr="00A618E7">
        <w:rPr>
          <w:b/>
        </w:rPr>
        <w:tab/>
      </w:r>
    </w:p>
    <w:tbl>
      <w:tblPr>
        <w:tblStyle w:val="TableGrid"/>
        <w:tblW w:w="8820" w:type="dxa"/>
        <w:tblInd w:w="18" w:type="dxa"/>
        <w:tblLayout w:type="fixed"/>
        <w:tblLook w:val="04A0" w:firstRow="1" w:lastRow="0" w:firstColumn="1" w:lastColumn="0" w:noHBand="0" w:noVBand="1"/>
      </w:tblPr>
      <w:tblGrid>
        <w:gridCol w:w="3240"/>
        <w:gridCol w:w="1350"/>
        <w:gridCol w:w="1350"/>
        <w:gridCol w:w="1260"/>
        <w:gridCol w:w="1620"/>
      </w:tblGrid>
      <w:tr w:rsidR="00357E86" w:rsidRPr="00A618E7" w14:paraId="425080BC" w14:textId="77777777" w:rsidTr="00357E86">
        <w:tc>
          <w:tcPr>
            <w:tcW w:w="3240" w:type="dxa"/>
          </w:tcPr>
          <w:p w14:paraId="6BFFE55A" w14:textId="353C8E99" w:rsidR="00357E86" w:rsidRPr="00A618E7" w:rsidRDefault="00357E86" w:rsidP="003A479E">
            <w:pPr>
              <w:rPr>
                <w:szCs w:val="24"/>
              </w:rPr>
            </w:pPr>
            <w:r>
              <w:rPr>
                <w:szCs w:val="24"/>
              </w:rPr>
              <w:t xml:space="preserve">Type of </w:t>
            </w:r>
            <w:r w:rsidRPr="00A618E7">
              <w:rPr>
                <w:szCs w:val="24"/>
              </w:rPr>
              <w:t>Respondent</w:t>
            </w:r>
          </w:p>
        </w:tc>
        <w:tc>
          <w:tcPr>
            <w:tcW w:w="1350" w:type="dxa"/>
          </w:tcPr>
          <w:p w14:paraId="16EA6B26" w14:textId="3B12F28C" w:rsidR="00357E86" w:rsidRPr="00A618E7" w:rsidRDefault="00357E86" w:rsidP="003A479E">
            <w:pPr>
              <w:rPr>
                <w:szCs w:val="24"/>
              </w:rPr>
            </w:pPr>
            <w:r>
              <w:rPr>
                <w:szCs w:val="24"/>
              </w:rPr>
              <w:t>Form Name</w:t>
            </w:r>
          </w:p>
        </w:tc>
        <w:tc>
          <w:tcPr>
            <w:tcW w:w="1350" w:type="dxa"/>
          </w:tcPr>
          <w:p w14:paraId="530E9851" w14:textId="2E0721FD" w:rsidR="00357E86" w:rsidRPr="00A618E7" w:rsidRDefault="00357E86" w:rsidP="00357E86">
            <w:pPr>
              <w:rPr>
                <w:szCs w:val="24"/>
              </w:rPr>
            </w:pPr>
            <w:r>
              <w:rPr>
                <w:szCs w:val="24"/>
              </w:rPr>
              <w:t>Total</w:t>
            </w:r>
            <w:r w:rsidRPr="00A618E7">
              <w:rPr>
                <w:szCs w:val="24"/>
              </w:rPr>
              <w:t xml:space="preserve"> Burden Hours</w:t>
            </w:r>
          </w:p>
        </w:tc>
        <w:tc>
          <w:tcPr>
            <w:tcW w:w="1260" w:type="dxa"/>
          </w:tcPr>
          <w:p w14:paraId="71F6478B" w14:textId="77777777" w:rsidR="00357E86" w:rsidRPr="00A618E7" w:rsidRDefault="00357E86" w:rsidP="003A479E">
            <w:pPr>
              <w:rPr>
                <w:szCs w:val="24"/>
              </w:rPr>
            </w:pPr>
            <w:r w:rsidRPr="00A618E7">
              <w:rPr>
                <w:szCs w:val="24"/>
              </w:rPr>
              <w:t>Hourly Wage Rate</w:t>
            </w:r>
          </w:p>
        </w:tc>
        <w:tc>
          <w:tcPr>
            <w:tcW w:w="1620" w:type="dxa"/>
          </w:tcPr>
          <w:p w14:paraId="1023A3D3" w14:textId="62AFBFA0" w:rsidR="00357E86" w:rsidRPr="00A618E7" w:rsidRDefault="00357E86" w:rsidP="00357E86">
            <w:pPr>
              <w:rPr>
                <w:szCs w:val="24"/>
              </w:rPr>
            </w:pPr>
            <w:r>
              <w:rPr>
                <w:szCs w:val="24"/>
              </w:rPr>
              <w:t>Total</w:t>
            </w:r>
            <w:r w:rsidRPr="00A618E7">
              <w:rPr>
                <w:szCs w:val="24"/>
              </w:rPr>
              <w:t xml:space="preserve"> Respondent Cost</w:t>
            </w:r>
          </w:p>
        </w:tc>
      </w:tr>
      <w:tr w:rsidR="00357E86" w:rsidRPr="00A618E7" w14:paraId="4F4FDF09" w14:textId="77777777" w:rsidTr="00357E86">
        <w:tc>
          <w:tcPr>
            <w:tcW w:w="3240" w:type="dxa"/>
            <w:tcBorders>
              <w:right w:val="nil"/>
            </w:tcBorders>
            <w:shd w:val="clear" w:color="auto" w:fill="D9D9D9" w:themeFill="background1" w:themeFillShade="D9"/>
          </w:tcPr>
          <w:p w14:paraId="25679726" w14:textId="77777777" w:rsidR="00357E86" w:rsidRPr="00A618E7" w:rsidRDefault="00357E86" w:rsidP="003A479E">
            <w:pPr>
              <w:rPr>
                <w:szCs w:val="24"/>
              </w:rPr>
            </w:pPr>
          </w:p>
        </w:tc>
        <w:tc>
          <w:tcPr>
            <w:tcW w:w="1350" w:type="dxa"/>
            <w:tcBorders>
              <w:right w:val="nil"/>
            </w:tcBorders>
            <w:shd w:val="clear" w:color="auto" w:fill="D9D9D9" w:themeFill="background1" w:themeFillShade="D9"/>
          </w:tcPr>
          <w:p w14:paraId="1163BDBA" w14:textId="77777777" w:rsidR="00357E86" w:rsidRPr="00A618E7" w:rsidRDefault="00357E86" w:rsidP="003A479E">
            <w:pPr>
              <w:ind w:firstLine="720"/>
              <w:jc w:val="right"/>
              <w:rPr>
                <w:szCs w:val="24"/>
              </w:rPr>
            </w:pPr>
          </w:p>
        </w:tc>
        <w:tc>
          <w:tcPr>
            <w:tcW w:w="1350" w:type="dxa"/>
            <w:tcBorders>
              <w:left w:val="nil"/>
              <w:right w:val="nil"/>
            </w:tcBorders>
            <w:shd w:val="clear" w:color="auto" w:fill="D9D9D9" w:themeFill="background1" w:themeFillShade="D9"/>
          </w:tcPr>
          <w:p w14:paraId="121E4108" w14:textId="3A1D4EC5" w:rsidR="00357E86" w:rsidRPr="00A618E7" w:rsidRDefault="00357E86" w:rsidP="003A479E">
            <w:pPr>
              <w:ind w:firstLine="720"/>
              <w:jc w:val="right"/>
              <w:rPr>
                <w:szCs w:val="24"/>
              </w:rPr>
            </w:pPr>
          </w:p>
        </w:tc>
        <w:tc>
          <w:tcPr>
            <w:tcW w:w="1260" w:type="dxa"/>
            <w:tcBorders>
              <w:left w:val="nil"/>
              <w:right w:val="nil"/>
            </w:tcBorders>
            <w:shd w:val="clear" w:color="auto" w:fill="D9D9D9" w:themeFill="background1" w:themeFillShade="D9"/>
          </w:tcPr>
          <w:p w14:paraId="2DB19A89" w14:textId="77777777" w:rsidR="00357E86" w:rsidRPr="00A618E7" w:rsidRDefault="00357E86" w:rsidP="003A479E">
            <w:pPr>
              <w:jc w:val="right"/>
              <w:rPr>
                <w:szCs w:val="24"/>
              </w:rPr>
            </w:pPr>
          </w:p>
        </w:tc>
        <w:tc>
          <w:tcPr>
            <w:tcW w:w="1620" w:type="dxa"/>
            <w:tcBorders>
              <w:left w:val="nil"/>
            </w:tcBorders>
            <w:shd w:val="clear" w:color="auto" w:fill="D9D9D9" w:themeFill="background1" w:themeFillShade="D9"/>
          </w:tcPr>
          <w:p w14:paraId="11825051" w14:textId="77777777" w:rsidR="00357E86" w:rsidRPr="00A618E7" w:rsidRDefault="00357E86" w:rsidP="003A479E">
            <w:pPr>
              <w:jc w:val="right"/>
              <w:rPr>
                <w:szCs w:val="24"/>
              </w:rPr>
            </w:pPr>
          </w:p>
        </w:tc>
      </w:tr>
      <w:tr w:rsidR="00357E86" w:rsidRPr="00A618E7" w14:paraId="5DF6EBAF" w14:textId="77777777" w:rsidTr="00357E86">
        <w:tc>
          <w:tcPr>
            <w:tcW w:w="3240" w:type="dxa"/>
          </w:tcPr>
          <w:p w14:paraId="462C2B2B" w14:textId="77777777" w:rsidR="00357E86" w:rsidRPr="00A618E7" w:rsidRDefault="00357E86" w:rsidP="003A479E">
            <w:r w:rsidRPr="00A618E7">
              <w:rPr>
                <w:szCs w:val="24"/>
              </w:rPr>
              <w:t>Water Utility customer</w:t>
            </w:r>
          </w:p>
        </w:tc>
        <w:tc>
          <w:tcPr>
            <w:tcW w:w="1350" w:type="dxa"/>
          </w:tcPr>
          <w:p w14:paraId="4B2BAD65" w14:textId="6D2CBB0A" w:rsidR="00357E86" w:rsidRPr="00A618E7" w:rsidRDefault="00FE5AAD" w:rsidP="00281B88">
            <w:pPr>
              <w:rPr>
                <w:szCs w:val="24"/>
              </w:rPr>
            </w:pPr>
            <w:r w:rsidRPr="00281CDB">
              <w:t>Paper-based questionnaire</w:t>
            </w:r>
            <w:r>
              <w:t>/</w:t>
            </w:r>
            <w:r w:rsidRPr="00281CDB">
              <w:t xml:space="preserve"> Web-based questionnaire</w:t>
            </w:r>
          </w:p>
        </w:tc>
        <w:tc>
          <w:tcPr>
            <w:tcW w:w="1350" w:type="dxa"/>
          </w:tcPr>
          <w:p w14:paraId="2780F4BA" w14:textId="3A723A19" w:rsidR="00357E86" w:rsidRPr="00A618E7" w:rsidRDefault="00357E86" w:rsidP="003A479E">
            <w:pPr>
              <w:ind w:firstLine="720"/>
              <w:jc w:val="right"/>
              <w:rPr>
                <w:szCs w:val="24"/>
              </w:rPr>
            </w:pPr>
            <w:r w:rsidRPr="00A618E7">
              <w:rPr>
                <w:szCs w:val="24"/>
              </w:rPr>
              <w:t>405</w:t>
            </w:r>
          </w:p>
        </w:tc>
        <w:tc>
          <w:tcPr>
            <w:tcW w:w="1260" w:type="dxa"/>
          </w:tcPr>
          <w:p w14:paraId="193950D3" w14:textId="28808C9C" w:rsidR="00357E86" w:rsidRPr="00A618E7" w:rsidRDefault="00357E86" w:rsidP="003A479E">
            <w:pPr>
              <w:jc w:val="right"/>
              <w:rPr>
                <w:szCs w:val="24"/>
              </w:rPr>
            </w:pPr>
            <w:r w:rsidRPr="00A618E7">
              <w:rPr>
                <w:szCs w:val="24"/>
              </w:rPr>
              <w:t>22.71</w:t>
            </w:r>
          </w:p>
        </w:tc>
        <w:tc>
          <w:tcPr>
            <w:tcW w:w="1620" w:type="dxa"/>
          </w:tcPr>
          <w:p w14:paraId="46DE6C8B" w14:textId="4D8537E2" w:rsidR="00357E86" w:rsidRPr="00A618E7" w:rsidRDefault="00357E86" w:rsidP="003A479E">
            <w:pPr>
              <w:jc w:val="right"/>
              <w:rPr>
                <w:szCs w:val="24"/>
              </w:rPr>
            </w:pPr>
            <w:r w:rsidRPr="00A618E7">
              <w:rPr>
                <w:szCs w:val="24"/>
              </w:rPr>
              <w:t>9,197.55</w:t>
            </w:r>
          </w:p>
        </w:tc>
      </w:tr>
      <w:tr w:rsidR="00357E86" w:rsidRPr="00A618E7" w14:paraId="62AEC303" w14:textId="77777777" w:rsidTr="00357E86">
        <w:tc>
          <w:tcPr>
            <w:tcW w:w="3240" w:type="dxa"/>
          </w:tcPr>
          <w:p w14:paraId="64BC7496" w14:textId="77777777" w:rsidR="00357E86" w:rsidRPr="00A618E7" w:rsidRDefault="00357E86" w:rsidP="003A479E">
            <w:pPr>
              <w:rPr>
                <w:sz w:val="20"/>
              </w:rPr>
            </w:pPr>
            <w:r w:rsidRPr="00A618E7">
              <w:rPr>
                <w:szCs w:val="24"/>
              </w:rPr>
              <w:t>Water utility environmental engineer</w:t>
            </w:r>
          </w:p>
        </w:tc>
        <w:tc>
          <w:tcPr>
            <w:tcW w:w="1350" w:type="dxa"/>
          </w:tcPr>
          <w:p w14:paraId="7175A28F" w14:textId="72334B07" w:rsidR="00357E86" w:rsidRPr="00A618E7" w:rsidRDefault="00FE5AAD" w:rsidP="00281B88">
            <w:pPr>
              <w:rPr>
                <w:szCs w:val="24"/>
              </w:rPr>
            </w:pPr>
            <w:r w:rsidRPr="00281CDB">
              <w:t>Line listings</w:t>
            </w:r>
          </w:p>
        </w:tc>
        <w:tc>
          <w:tcPr>
            <w:tcW w:w="1350" w:type="dxa"/>
          </w:tcPr>
          <w:p w14:paraId="2CD17A6E" w14:textId="00C42FB7" w:rsidR="00357E86" w:rsidRPr="00A618E7" w:rsidRDefault="003855A6" w:rsidP="003A479E">
            <w:pPr>
              <w:jc w:val="right"/>
              <w:rPr>
                <w:szCs w:val="24"/>
              </w:rPr>
            </w:pPr>
            <w:r>
              <w:rPr>
                <w:szCs w:val="24"/>
              </w:rPr>
              <w:t>7</w:t>
            </w:r>
            <w:r w:rsidR="00357E86" w:rsidRPr="00A618E7">
              <w:rPr>
                <w:szCs w:val="24"/>
              </w:rPr>
              <w:t>0</w:t>
            </w:r>
          </w:p>
        </w:tc>
        <w:tc>
          <w:tcPr>
            <w:tcW w:w="1260" w:type="dxa"/>
          </w:tcPr>
          <w:p w14:paraId="7B52A2ED" w14:textId="60347DB5" w:rsidR="00357E86" w:rsidRPr="00A618E7" w:rsidRDefault="00357E86" w:rsidP="003A479E">
            <w:pPr>
              <w:jc w:val="right"/>
              <w:rPr>
                <w:szCs w:val="24"/>
              </w:rPr>
            </w:pPr>
            <w:r w:rsidRPr="00A618E7">
              <w:rPr>
                <w:szCs w:val="24"/>
              </w:rPr>
              <w:t>41.51</w:t>
            </w:r>
          </w:p>
        </w:tc>
        <w:tc>
          <w:tcPr>
            <w:tcW w:w="1620" w:type="dxa"/>
          </w:tcPr>
          <w:p w14:paraId="2C415D8D" w14:textId="70990179" w:rsidR="00357E86" w:rsidRPr="00A618E7" w:rsidRDefault="00357E86" w:rsidP="003855A6">
            <w:pPr>
              <w:jc w:val="right"/>
              <w:rPr>
                <w:szCs w:val="24"/>
              </w:rPr>
            </w:pPr>
            <w:r w:rsidRPr="00A618E7">
              <w:rPr>
                <w:szCs w:val="24"/>
              </w:rPr>
              <w:t>2,</w:t>
            </w:r>
            <w:r w:rsidR="003855A6">
              <w:rPr>
                <w:szCs w:val="24"/>
              </w:rPr>
              <w:t>905</w:t>
            </w:r>
            <w:r w:rsidRPr="00A618E7">
              <w:rPr>
                <w:szCs w:val="24"/>
              </w:rPr>
              <w:t>.</w:t>
            </w:r>
            <w:r w:rsidR="003855A6">
              <w:rPr>
                <w:szCs w:val="24"/>
              </w:rPr>
              <w:t>7</w:t>
            </w:r>
            <w:r w:rsidRPr="00A618E7">
              <w:rPr>
                <w:szCs w:val="24"/>
              </w:rPr>
              <w:t>0</w:t>
            </w:r>
          </w:p>
        </w:tc>
      </w:tr>
      <w:tr w:rsidR="00357E86" w:rsidRPr="00A618E7" w14:paraId="6E6B8F33" w14:textId="77777777" w:rsidTr="00357E86">
        <w:tc>
          <w:tcPr>
            <w:tcW w:w="3240" w:type="dxa"/>
          </w:tcPr>
          <w:p w14:paraId="657C2D4B" w14:textId="77777777" w:rsidR="00357E86" w:rsidRPr="00A618E7" w:rsidRDefault="00357E86" w:rsidP="003A479E">
            <w:pPr>
              <w:rPr>
                <w:sz w:val="20"/>
              </w:rPr>
            </w:pPr>
            <w:r w:rsidRPr="00A618E7">
              <w:rPr>
                <w:szCs w:val="24"/>
              </w:rPr>
              <w:t>Water utility maintenance worker</w:t>
            </w:r>
          </w:p>
        </w:tc>
        <w:tc>
          <w:tcPr>
            <w:tcW w:w="1350" w:type="dxa"/>
          </w:tcPr>
          <w:p w14:paraId="5EFB909F" w14:textId="0BE8C6D0" w:rsidR="00357E86" w:rsidRPr="00A618E7" w:rsidRDefault="00FE5AAD" w:rsidP="00281B88">
            <w:pPr>
              <w:rPr>
                <w:szCs w:val="24"/>
              </w:rPr>
            </w:pPr>
            <w:r w:rsidRPr="00281CDB">
              <w:t>LPE form, ultrafilter and grab samples</w:t>
            </w:r>
          </w:p>
        </w:tc>
        <w:tc>
          <w:tcPr>
            <w:tcW w:w="1350" w:type="dxa"/>
          </w:tcPr>
          <w:p w14:paraId="67E282F7" w14:textId="38DA7F32" w:rsidR="00357E86" w:rsidRPr="00A618E7" w:rsidRDefault="003855A6" w:rsidP="003855A6">
            <w:pPr>
              <w:jc w:val="right"/>
              <w:rPr>
                <w:szCs w:val="24"/>
              </w:rPr>
            </w:pPr>
            <w:r>
              <w:rPr>
                <w:szCs w:val="24"/>
              </w:rPr>
              <w:t>61</w:t>
            </w:r>
          </w:p>
        </w:tc>
        <w:tc>
          <w:tcPr>
            <w:tcW w:w="1260" w:type="dxa"/>
          </w:tcPr>
          <w:p w14:paraId="77C72D12" w14:textId="6A6DF321" w:rsidR="00357E86" w:rsidRPr="00A618E7" w:rsidRDefault="00357E86" w:rsidP="003A479E">
            <w:pPr>
              <w:jc w:val="right"/>
              <w:rPr>
                <w:szCs w:val="24"/>
              </w:rPr>
            </w:pPr>
            <w:r w:rsidRPr="00A618E7">
              <w:rPr>
                <w:szCs w:val="24"/>
              </w:rPr>
              <w:t>24.25</w:t>
            </w:r>
          </w:p>
        </w:tc>
        <w:tc>
          <w:tcPr>
            <w:tcW w:w="1620" w:type="dxa"/>
          </w:tcPr>
          <w:p w14:paraId="2F190899" w14:textId="314E729D" w:rsidR="00357E86" w:rsidRPr="00A618E7" w:rsidRDefault="00357E86" w:rsidP="003A479E">
            <w:pPr>
              <w:jc w:val="right"/>
              <w:rPr>
                <w:szCs w:val="24"/>
              </w:rPr>
            </w:pPr>
            <w:r w:rsidRPr="00A618E7">
              <w:rPr>
                <w:szCs w:val="24"/>
              </w:rPr>
              <w:t>1,</w:t>
            </w:r>
            <w:r w:rsidR="003855A6">
              <w:rPr>
                <w:szCs w:val="24"/>
              </w:rPr>
              <w:t>479</w:t>
            </w:r>
            <w:r w:rsidRPr="00A618E7">
              <w:rPr>
                <w:szCs w:val="24"/>
              </w:rPr>
              <w:t>.25</w:t>
            </w:r>
          </w:p>
        </w:tc>
      </w:tr>
      <w:tr w:rsidR="00357E86" w:rsidRPr="00A618E7" w14:paraId="37844A38" w14:textId="77777777" w:rsidTr="00357E86">
        <w:tc>
          <w:tcPr>
            <w:tcW w:w="3240" w:type="dxa"/>
          </w:tcPr>
          <w:p w14:paraId="2F618B85" w14:textId="77777777" w:rsidR="00357E86" w:rsidRPr="00A618E7" w:rsidRDefault="00357E86" w:rsidP="003A479E">
            <w:pPr>
              <w:rPr>
                <w:sz w:val="20"/>
              </w:rPr>
            </w:pPr>
            <w:r w:rsidRPr="00A618E7">
              <w:rPr>
                <w:szCs w:val="24"/>
              </w:rPr>
              <w:t>Water utility billing clerk</w:t>
            </w:r>
          </w:p>
        </w:tc>
        <w:tc>
          <w:tcPr>
            <w:tcW w:w="1350" w:type="dxa"/>
          </w:tcPr>
          <w:p w14:paraId="2685A848" w14:textId="16D98441" w:rsidR="00357E86" w:rsidRPr="00A618E7" w:rsidRDefault="00FE5AAD" w:rsidP="00FE5AAD">
            <w:pPr>
              <w:rPr>
                <w:szCs w:val="24"/>
              </w:rPr>
            </w:pPr>
            <w:r w:rsidRPr="00281CDB">
              <w:t>Line listings</w:t>
            </w:r>
          </w:p>
        </w:tc>
        <w:tc>
          <w:tcPr>
            <w:tcW w:w="1350" w:type="dxa"/>
          </w:tcPr>
          <w:p w14:paraId="4C3227AF" w14:textId="298FB585" w:rsidR="00357E86" w:rsidRPr="00A618E7" w:rsidRDefault="00357E86" w:rsidP="003855A6">
            <w:pPr>
              <w:jc w:val="right"/>
              <w:rPr>
                <w:szCs w:val="24"/>
              </w:rPr>
            </w:pPr>
            <w:r w:rsidRPr="00A618E7">
              <w:rPr>
                <w:szCs w:val="24"/>
              </w:rPr>
              <w:t>3</w:t>
            </w:r>
            <w:r w:rsidR="003855A6">
              <w:rPr>
                <w:szCs w:val="24"/>
              </w:rPr>
              <w:t>5</w:t>
            </w:r>
          </w:p>
        </w:tc>
        <w:tc>
          <w:tcPr>
            <w:tcW w:w="1260" w:type="dxa"/>
          </w:tcPr>
          <w:p w14:paraId="3B295185" w14:textId="25019D89" w:rsidR="00357E86" w:rsidRPr="00A618E7" w:rsidRDefault="00357E86" w:rsidP="003A479E">
            <w:pPr>
              <w:jc w:val="right"/>
              <w:rPr>
                <w:szCs w:val="24"/>
              </w:rPr>
            </w:pPr>
            <w:r w:rsidRPr="00A618E7">
              <w:rPr>
                <w:szCs w:val="24"/>
              </w:rPr>
              <w:t>17.10</w:t>
            </w:r>
          </w:p>
        </w:tc>
        <w:tc>
          <w:tcPr>
            <w:tcW w:w="1620" w:type="dxa"/>
          </w:tcPr>
          <w:p w14:paraId="3B293934" w14:textId="093389E9" w:rsidR="00357E86" w:rsidRPr="00A618E7" w:rsidRDefault="003855A6" w:rsidP="003A479E">
            <w:pPr>
              <w:jc w:val="right"/>
              <w:rPr>
                <w:szCs w:val="24"/>
              </w:rPr>
            </w:pPr>
            <w:r>
              <w:rPr>
                <w:szCs w:val="24"/>
              </w:rPr>
              <w:t>598.50</w:t>
            </w:r>
          </w:p>
        </w:tc>
      </w:tr>
      <w:tr w:rsidR="00357E86" w:rsidRPr="00A618E7" w14:paraId="6232417E" w14:textId="77777777" w:rsidTr="00357E86">
        <w:tc>
          <w:tcPr>
            <w:tcW w:w="3240" w:type="dxa"/>
          </w:tcPr>
          <w:p w14:paraId="69202760" w14:textId="77777777" w:rsidR="00357E86" w:rsidRPr="00A618E7" w:rsidRDefault="00357E86" w:rsidP="003A479E">
            <w:pPr>
              <w:rPr>
                <w:szCs w:val="24"/>
              </w:rPr>
            </w:pPr>
            <w:r w:rsidRPr="00A618E7">
              <w:rPr>
                <w:szCs w:val="24"/>
              </w:rPr>
              <w:t xml:space="preserve">Total </w:t>
            </w:r>
          </w:p>
        </w:tc>
        <w:tc>
          <w:tcPr>
            <w:tcW w:w="1350" w:type="dxa"/>
          </w:tcPr>
          <w:p w14:paraId="3761B96A" w14:textId="77777777" w:rsidR="00357E86" w:rsidRPr="00A618E7" w:rsidRDefault="00357E86" w:rsidP="003A479E">
            <w:pPr>
              <w:jc w:val="right"/>
              <w:rPr>
                <w:szCs w:val="24"/>
              </w:rPr>
            </w:pPr>
          </w:p>
        </w:tc>
        <w:tc>
          <w:tcPr>
            <w:tcW w:w="1350" w:type="dxa"/>
          </w:tcPr>
          <w:p w14:paraId="11937055" w14:textId="7095A181" w:rsidR="00357E86" w:rsidRPr="00A618E7" w:rsidRDefault="00357E86" w:rsidP="003A479E">
            <w:pPr>
              <w:jc w:val="right"/>
              <w:rPr>
                <w:szCs w:val="24"/>
              </w:rPr>
            </w:pPr>
          </w:p>
        </w:tc>
        <w:tc>
          <w:tcPr>
            <w:tcW w:w="1260" w:type="dxa"/>
          </w:tcPr>
          <w:p w14:paraId="60493A47" w14:textId="77777777" w:rsidR="00357E86" w:rsidRPr="00A618E7" w:rsidRDefault="00357E86" w:rsidP="003A479E">
            <w:pPr>
              <w:jc w:val="right"/>
              <w:rPr>
                <w:szCs w:val="24"/>
              </w:rPr>
            </w:pPr>
          </w:p>
        </w:tc>
        <w:tc>
          <w:tcPr>
            <w:tcW w:w="1620" w:type="dxa"/>
          </w:tcPr>
          <w:p w14:paraId="744DA7FB" w14:textId="0725E831" w:rsidR="00357E86" w:rsidRPr="00A618E7" w:rsidRDefault="00357E86" w:rsidP="003855A6">
            <w:pPr>
              <w:tabs>
                <w:tab w:val="center" w:pos="702"/>
                <w:tab w:val="right" w:pos="1404"/>
              </w:tabs>
              <w:rPr>
                <w:szCs w:val="24"/>
              </w:rPr>
            </w:pPr>
            <w:r w:rsidRPr="00A618E7">
              <w:rPr>
                <w:szCs w:val="24"/>
              </w:rPr>
              <w:tab/>
            </w:r>
            <w:r w:rsidR="003855A6">
              <w:rPr>
                <w:szCs w:val="24"/>
              </w:rPr>
              <w:t>14,181</w:t>
            </w:r>
            <w:r w:rsidRPr="00A618E7">
              <w:rPr>
                <w:szCs w:val="24"/>
              </w:rPr>
              <w:t>.</w:t>
            </w:r>
            <w:r w:rsidR="003855A6">
              <w:rPr>
                <w:szCs w:val="24"/>
              </w:rPr>
              <w:t>0</w:t>
            </w:r>
            <w:r w:rsidRPr="00A618E7">
              <w:rPr>
                <w:szCs w:val="24"/>
              </w:rPr>
              <w:t xml:space="preserve">0   </w:t>
            </w:r>
          </w:p>
        </w:tc>
      </w:tr>
    </w:tbl>
    <w:p w14:paraId="43B5A9EC" w14:textId="77777777" w:rsidR="002D1C10" w:rsidRPr="00A618E7" w:rsidRDefault="002D1C10" w:rsidP="004D3E5D">
      <w:pPr>
        <w:rPr>
          <w:b/>
        </w:rPr>
      </w:pPr>
    </w:p>
    <w:p w14:paraId="2B44A1E5" w14:textId="18B0D0FA" w:rsidR="004D3E5D" w:rsidRPr="00A618E7" w:rsidRDefault="004D3E5D" w:rsidP="00D832B5">
      <w:pPr>
        <w:pStyle w:val="Heading1"/>
      </w:pPr>
      <w:bookmarkStart w:id="13" w:name="_Toc427663568"/>
      <w:r w:rsidRPr="00A618E7">
        <w:t>13. Estimates of Other Total Annual Cost Burden to Respondents or Record Keepers</w:t>
      </w:r>
      <w:bookmarkEnd w:id="13"/>
    </w:p>
    <w:p w14:paraId="03039BE5" w14:textId="77777777" w:rsidR="004D3E5D" w:rsidRPr="00A618E7" w:rsidRDefault="004D3E5D" w:rsidP="004D3E5D">
      <w:r w:rsidRPr="00A618E7">
        <w:t xml:space="preserve">There are no other costs to respondents or record keepers. </w:t>
      </w:r>
    </w:p>
    <w:p w14:paraId="3C806188" w14:textId="77777777" w:rsidR="002D1C10" w:rsidRPr="00A618E7" w:rsidRDefault="002D1C10" w:rsidP="004D3E5D"/>
    <w:p w14:paraId="242A60DF" w14:textId="77777777" w:rsidR="004D3E5D" w:rsidRPr="00A618E7" w:rsidRDefault="004D3E5D" w:rsidP="00D832B5">
      <w:pPr>
        <w:pStyle w:val="Heading1"/>
      </w:pPr>
      <w:bookmarkStart w:id="14" w:name="_Toc427663569"/>
      <w:r w:rsidRPr="00A618E7">
        <w:t>14. Annualized Cost to the Government</w:t>
      </w:r>
      <w:bookmarkEnd w:id="14"/>
      <w:r w:rsidRPr="00A618E7">
        <w:t xml:space="preserve"> </w:t>
      </w:r>
    </w:p>
    <w:p w14:paraId="2595E3C0" w14:textId="1B2BABA2" w:rsidR="004D3E5D" w:rsidRDefault="004D3E5D" w:rsidP="004D3E5D">
      <w:pPr>
        <w:rPr>
          <w:b/>
        </w:rPr>
      </w:pPr>
      <w:r w:rsidRPr="00A618E7">
        <w:t>The costs incurred by the government for this one-time data collection include the costs for personnel time, printing and mailing paper-based surveys, laboratory supplies, travel, and publication charges (see Table A.1</w:t>
      </w:r>
      <w:r w:rsidR="00D27553" w:rsidRPr="00A618E7">
        <w:t>4</w:t>
      </w:r>
      <w:r w:rsidRPr="00A618E7">
        <w:t>.</w:t>
      </w:r>
      <w:r w:rsidR="00D27553" w:rsidRPr="00A618E7">
        <w:t>1</w:t>
      </w:r>
      <w:r w:rsidRPr="00A618E7">
        <w:t xml:space="preserve">). The estimated annualized cost to the federal </w:t>
      </w:r>
      <w:r w:rsidRPr="00A618E7">
        <w:lastRenderedPageBreak/>
        <w:t xml:space="preserve">government is </w:t>
      </w:r>
      <w:r w:rsidRPr="00A618E7">
        <w:rPr>
          <w:bCs/>
        </w:rPr>
        <w:t>$</w:t>
      </w:r>
      <w:r w:rsidR="00584A5E" w:rsidRPr="00A618E7">
        <w:rPr>
          <w:bCs/>
        </w:rPr>
        <w:t>319,796</w:t>
      </w:r>
      <w:r w:rsidRPr="00A618E7">
        <w:rPr>
          <w:bCs/>
        </w:rPr>
        <w:t xml:space="preserve"> (</w:t>
      </w:r>
      <w:r w:rsidRPr="00A618E7">
        <w:t>Table A.1</w:t>
      </w:r>
      <w:r w:rsidR="00D27553" w:rsidRPr="00A618E7">
        <w:t>4</w:t>
      </w:r>
      <w:r w:rsidRPr="00A618E7">
        <w:t>.</w:t>
      </w:r>
      <w:r w:rsidR="00D27553" w:rsidRPr="00A618E7">
        <w:t>1</w:t>
      </w:r>
      <w:r w:rsidR="00681B2B">
        <w:t>); this estimated cost did not change following the pilot because the changes to the study were negligible.</w:t>
      </w:r>
      <w:r w:rsidRPr="00A618E7">
        <w:t xml:space="preserve"> </w:t>
      </w:r>
      <w:r w:rsidR="002E7C04" w:rsidRPr="00A618E7">
        <w:t xml:space="preserve">The total cost, over a 30 month extension would be </w:t>
      </w:r>
      <w:r w:rsidR="005F2772" w:rsidRPr="00A618E7">
        <w:t>$</w:t>
      </w:r>
      <w:r w:rsidR="002E7C04" w:rsidRPr="00A618E7">
        <w:t>599,809 [($186,675 per year for personnel * 2.5 yrs.) +</w:t>
      </w:r>
      <w:r w:rsidR="002E7C04" w:rsidRPr="00A618E7">
        <w:rPr>
          <w:b/>
        </w:rPr>
        <w:t xml:space="preserve"> </w:t>
      </w:r>
      <w:r w:rsidR="002E7C04" w:rsidRPr="00A618E7">
        <w:t>$133,121 for supplies, travel, and publishing)]</w:t>
      </w:r>
      <w:r w:rsidR="005F2772" w:rsidRPr="00A618E7">
        <w:t>.</w:t>
      </w:r>
      <w:r w:rsidR="00681B2B">
        <w:t xml:space="preserve"> </w:t>
      </w:r>
    </w:p>
    <w:p w14:paraId="024F0A01" w14:textId="77777777" w:rsidR="003D21BB" w:rsidRDefault="003D21BB">
      <w:pPr>
        <w:spacing w:after="200" w:line="276" w:lineRule="auto"/>
        <w:rPr>
          <w:b/>
        </w:rPr>
      </w:pPr>
      <w:r>
        <w:rPr>
          <w:b/>
        </w:rPr>
        <w:br w:type="page"/>
      </w:r>
    </w:p>
    <w:tbl>
      <w:tblPr>
        <w:tblStyle w:val="TableGrid"/>
        <w:tblW w:w="0" w:type="auto"/>
        <w:tblLook w:val="04A0" w:firstRow="1" w:lastRow="0" w:firstColumn="1" w:lastColumn="0" w:noHBand="0" w:noVBand="1"/>
      </w:tblPr>
      <w:tblGrid>
        <w:gridCol w:w="2956"/>
        <w:gridCol w:w="1696"/>
        <w:gridCol w:w="1841"/>
        <w:gridCol w:w="2137"/>
      </w:tblGrid>
      <w:tr w:rsidR="00D014A3" w14:paraId="0224B6D3" w14:textId="77777777" w:rsidTr="00D014A3">
        <w:tc>
          <w:tcPr>
            <w:tcW w:w="3025" w:type="dxa"/>
          </w:tcPr>
          <w:p w14:paraId="2D3F8641" w14:textId="255BC294" w:rsidR="00D014A3" w:rsidRPr="00093AD6" w:rsidRDefault="00582AC1" w:rsidP="00D27553">
            <w:pPr>
              <w:ind w:left="-90"/>
              <w:rPr>
                <w:szCs w:val="24"/>
              </w:rPr>
            </w:pPr>
            <w:r w:rsidRPr="007F7B1D">
              <w:rPr>
                <w:b/>
              </w:rPr>
              <w:lastRenderedPageBreak/>
              <w:t xml:space="preserve">Table </w:t>
            </w:r>
            <w:r>
              <w:rPr>
                <w:b/>
              </w:rPr>
              <w:t>A.1</w:t>
            </w:r>
            <w:r w:rsidR="00D27553">
              <w:rPr>
                <w:b/>
              </w:rPr>
              <w:t>4</w:t>
            </w:r>
            <w:r>
              <w:rPr>
                <w:b/>
              </w:rPr>
              <w:t>.</w:t>
            </w:r>
            <w:r w:rsidR="00D27553">
              <w:rPr>
                <w:b/>
              </w:rPr>
              <w:t>1</w:t>
            </w:r>
            <w:r>
              <w:rPr>
                <w:b/>
              </w:rPr>
              <w:t xml:space="preserve"> </w:t>
            </w:r>
            <w:r w:rsidRPr="007F7B1D">
              <w:rPr>
                <w:b/>
                <w:bCs/>
              </w:rPr>
              <w:t xml:space="preserve">– </w:t>
            </w:r>
            <w:r>
              <w:rPr>
                <w:b/>
                <w:bCs/>
              </w:rPr>
              <w:t xml:space="preserve">Annualized </w:t>
            </w:r>
            <w:r w:rsidRPr="007F7B1D">
              <w:rPr>
                <w:b/>
              </w:rPr>
              <w:t>Budget</w:t>
            </w:r>
            <w:r>
              <w:rPr>
                <w:b/>
              </w:rPr>
              <w:t>, Multi-site and Pilot Study</w:t>
            </w:r>
            <w:r w:rsidR="00A31949">
              <w:rPr>
                <w:b/>
              </w:rPr>
              <w:t xml:space="preserve"> </w:t>
            </w:r>
            <w:r w:rsidR="00D014A3" w:rsidRPr="00093AD6">
              <w:rPr>
                <w:szCs w:val="24"/>
              </w:rPr>
              <w:t>Item</w:t>
            </w:r>
          </w:p>
        </w:tc>
        <w:tc>
          <w:tcPr>
            <w:tcW w:w="1742" w:type="dxa"/>
          </w:tcPr>
          <w:p w14:paraId="790E46CD" w14:textId="77777777" w:rsidR="00D014A3" w:rsidRPr="00093AD6" w:rsidRDefault="00D014A3" w:rsidP="00D014A3">
            <w:pPr>
              <w:jc w:val="center"/>
              <w:rPr>
                <w:szCs w:val="24"/>
              </w:rPr>
            </w:pPr>
            <w:r w:rsidRPr="00093AD6">
              <w:rPr>
                <w:szCs w:val="24"/>
              </w:rPr>
              <w:t>Hours or Units per Year</w:t>
            </w:r>
          </w:p>
        </w:tc>
        <w:tc>
          <w:tcPr>
            <w:tcW w:w="1891" w:type="dxa"/>
          </w:tcPr>
          <w:p w14:paraId="33BF197D" w14:textId="77777777" w:rsidR="00D014A3" w:rsidRPr="00093AD6" w:rsidRDefault="00D014A3" w:rsidP="00D014A3">
            <w:pPr>
              <w:jc w:val="center"/>
              <w:rPr>
                <w:szCs w:val="24"/>
              </w:rPr>
            </w:pPr>
            <w:r w:rsidRPr="00093AD6">
              <w:rPr>
                <w:szCs w:val="24"/>
              </w:rPr>
              <w:t>Hourly or Unit Cost</w:t>
            </w:r>
          </w:p>
        </w:tc>
        <w:tc>
          <w:tcPr>
            <w:tcW w:w="2198" w:type="dxa"/>
          </w:tcPr>
          <w:p w14:paraId="4541A35B" w14:textId="77777777" w:rsidR="00D014A3" w:rsidRPr="00093AD6" w:rsidRDefault="00D014A3" w:rsidP="00D014A3">
            <w:pPr>
              <w:jc w:val="center"/>
              <w:rPr>
                <w:szCs w:val="24"/>
              </w:rPr>
            </w:pPr>
            <w:r w:rsidRPr="00093AD6">
              <w:rPr>
                <w:szCs w:val="24"/>
              </w:rPr>
              <w:t>Total Cost per Year</w:t>
            </w:r>
          </w:p>
        </w:tc>
      </w:tr>
      <w:tr w:rsidR="00D014A3" w14:paraId="3FCC96B8" w14:textId="77777777" w:rsidTr="00D014A3">
        <w:tc>
          <w:tcPr>
            <w:tcW w:w="3025" w:type="dxa"/>
          </w:tcPr>
          <w:p w14:paraId="55866B2F" w14:textId="77777777" w:rsidR="00D014A3" w:rsidRPr="00B77083" w:rsidRDefault="00D014A3" w:rsidP="00D014A3">
            <w:pPr>
              <w:rPr>
                <w:szCs w:val="24"/>
              </w:rPr>
            </w:pPr>
            <w:r w:rsidRPr="00B77083">
              <w:rPr>
                <w:szCs w:val="24"/>
              </w:rPr>
              <w:t>Epidemiologist</w:t>
            </w:r>
          </w:p>
        </w:tc>
        <w:tc>
          <w:tcPr>
            <w:tcW w:w="1742" w:type="dxa"/>
          </w:tcPr>
          <w:p w14:paraId="20CABC33" w14:textId="77777777" w:rsidR="00D014A3" w:rsidRPr="001F4F6D" w:rsidRDefault="00D014A3" w:rsidP="00D014A3">
            <w:pPr>
              <w:jc w:val="right"/>
              <w:rPr>
                <w:szCs w:val="24"/>
              </w:rPr>
            </w:pPr>
            <w:r w:rsidRPr="001F4F6D">
              <w:rPr>
                <w:szCs w:val="24"/>
              </w:rPr>
              <w:t>520</w:t>
            </w:r>
          </w:p>
        </w:tc>
        <w:tc>
          <w:tcPr>
            <w:tcW w:w="1891" w:type="dxa"/>
          </w:tcPr>
          <w:p w14:paraId="1CA2BE01" w14:textId="77777777" w:rsidR="00D014A3" w:rsidRPr="001F4F6D" w:rsidRDefault="00D014A3" w:rsidP="00D014A3">
            <w:pPr>
              <w:jc w:val="right"/>
              <w:rPr>
                <w:szCs w:val="24"/>
              </w:rPr>
            </w:pPr>
            <w:r w:rsidRPr="001F4F6D">
              <w:rPr>
                <w:szCs w:val="24"/>
              </w:rPr>
              <w:t>51.38</w:t>
            </w:r>
          </w:p>
        </w:tc>
        <w:tc>
          <w:tcPr>
            <w:tcW w:w="2198" w:type="dxa"/>
          </w:tcPr>
          <w:p w14:paraId="2A5FFF29" w14:textId="77777777" w:rsidR="00D014A3" w:rsidRPr="001F4F6D" w:rsidRDefault="00D014A3" w:rsidP="00D014A3">
            <w:pPr>
              <w:jc w:val="right"/>
              <w:rPr>
                <w:szCs w:val="24"/>
              </w:rPr>
            </w:pPr>
            <w:r w:rsidRPr="001F4F6D">
              <w:rPr>
                <w:szCs w:val="24"/>
              </w:rPr>
              <w:t>26,718</w:t>
            </w:r>
          </w:p>
        </w:tc>
      </w:tr>
      <w:tr w:rsidR="00D014A3" w14:paraId="4BA354CE" w14:textId="77777777" w:rsidTr="00D014A3">
        <w:tc>
          <w:tcPr>
            <w:tcW w:w="3025" w:type="dxa"/>
          </w:tcPr>
          <w:p w14:paraId="26BEEDFB" w14:textId="77777777" w:rsidR="00D014A3" w:rsidRPr="00B77083" w:rsidRDefault="00D014A3" w:rsidP="00D014A3">
            <w:pPr>
              <w:rPr>
                <w:szCs w:val="24"/>
              </w:rPr>
            </w:pPr>
            <w:r w:rsidRPr="00B77083">
              <w:rPr>
                <w:szCs w:val="24"/>
              </w:rPr>
              <w:t>Sr. Environmental Engineer (Research)</w:t>
            </w:r>
          </w:p>
        </w:tc>
        <w:tc>
          <w:tcPr>
            <w:tcW w:w="1742" w:type="dxa"/>
          </w:tcPr>
          <w:p w14:paraId="05BC878F" w14:textId="77777777" w:rsidR="00D014A3" w:rsidRPr="001F4F6D" w:rsidRDefault="00D014A3" w:rsidP="00D014A3">
            <w:pPr>
              <w:jc w:val="right"/>
              <w:rPr>
                <w:szCs w:val="24"/>
              </w:rPr>
            </w:pPr>
            <w:r w:rsidRPr="001F4F6D">
              <w:rPr>
                <w:szCs w:val="24"/>
              </w:rPr>
              <w:t>416</w:t>
            </w:r>
          </w:p>
        </w:tc>
        <w:tc>
          <w:tcPr>
            <w:tcW w:w="1891" w:type="dxa"/>
          </w:tcPr>
          <w:p w14:paraId="2CA93678" w14:textId="77777777" w:rsidR="00D014A3" w:rsidRPr="001F4F6D" w:rsidRDefault="00D014A3" w:rsidP="00D014A3">
            <w:pPr>
              <w:jc w:val="right"/>
              <w:rPr>
                <w:szCs w:val="24"/>
              </w:rPr>
            </w:pPr>
            <w:r w:rsidRPr="001F4F6D">
              <w:rPr>
                <w:szCs w:val="24"/>
              </w:rPr>
              <w:t>71.76</w:t>
            </w:r>
          </w:p>
        </w:tc>
        <w:tc>
          <w:tcPr>
            <w:tcW w:w="2198" w:type="dxa"/>
          </w:tcPr>
          <w:p w14:paraId="729B51F0" w14:textId="77777777" w:rsidR="00D014A3" w:rsidRPr="001F4F6D" w:rsidRDefault="00D014A3" w:rsidP="00D014A3">
            <w:pPr>
              <w:jc w:val="right"/>
              <w:rPr>
                <w:szCs w:val="24"/>
              </w:rPr>
            </w:pPr>
            <w:r w:rsidRPr="001F4F6D">
              <w:rPr>
                <w:szCs w:val="24"/>
              </w:rPr>
              <w:t>29,853</w:t>
            </w:r>
          </w:p>
        </w:tc>
      </w:tr>
      <w:tr w:rsidR="00D014A3" w14:paraId="34DBD06A" w14:textId="77777777" w:rsidTr="00D014A3">
        <w:tc>
          <w:tcPr>
            <w:tcW w:w="3025" w:type="dxa"/>
          </w:tcPr>
          <w:p w14:paraId="53F93CF9" w14:textId="77777777" w:rsidR="00D014A3" w:rsidRPr="00B77083" w:rsidRDefault="00D014A3" w:rsidP="00D014A3">
            <w:pPr>
              <w:rPr>
                <w:szCs w:val="24"/>
              </w:rPr>
            </w:pPr>
            <w:r w:rsidRPr="00B77083">
              <w:rPr>
                <w:szCs w:val="24"/>
              </w:rPr>
              <w:t>Environmental microbiologist</w:t>
            </w:r>
          </w:p>
        </w:tc>
        <w:tc>
          <w:tcPr>
            <w:tcW w:w="1742" w:type="dxa"/>
          </w:tcPr>
          <w:p w14:paraId="1BA50A01" w14:textId="77777777" w:rsidR="00D014A3" w:rsidRPr="001F4F6D" w:rsidRDefault="00D014A3" w:rsidP="00D014A3">
            <w:pPr>
              <w:jc w:val="right"/>
              <w:rPr>
                <w:szCs w:val="24"/>
              </w:rPr>
            </w:pPr>
            <w:r w:rsidRPr="001F4F6D">
              <w:rPr>
                <w:szCs w:val="24"/>
              </w:rPr>
              <w:t>936</w:t>
            </w:r>
          </w:p>
        </w:tc>
        <w:tc>
          <w:tcPr>
            <w:tcW w:w="1891" w:type="dxa"/>
          </w:tcPr>
          <w:p w14:paraId="257D9145" w14:textId="77777777" w:rsidR="00D014A3" w:rsidRPr="001F4F6D" w:rsidRDefault="00D014A3" w:rsidP="00D014A3">
            <w:pPr>
              <w:jc w:val="right"/>
              <w:rPr>
                <w:szCs w:val="24"/>
              </w:rPr>
            </w:pPr>
            <w:r w:rsidRPr="001F4F6D">
              <w:rPr>
                <w:szCs w:val="24"/>
              </w:rPr>
              <w:t>37.25</w:t>
            </w:r>
          </w:p>
        </w:tc>
        <w:tc>
          <w:tcPr>
            <w:tcW w:w="2198" w:type="dxa"/>
          </w:tcPr>
          <w:p w14:paraId="5D3AD3CA" w14:textId="77777777" w:rsidR="00D014A3" w:rsidRPr="001F4F6D" w:rsidRDefault="00D014A3" w:rsidP="00D014A3">
            <w:pPr>
              <w:jc w:val="right"/>
              <w:rPr>
                <w:szCs w:val="24"/>
              </w:rPr>
            </w:pPr>
            <w:r w:rsidRPr="001F4F6D">
              <w:rPr>
                <w:szCs w:val="24"/>
              </w:rPr>
              <w:t>34,866</w:t>
            </w:r>
          </w:p>
        </w:tc>
      </w:tr>
      <w:tr w:rsidR="00D014A3" w14:paraId="4ABC48F1" w14:textId="77777777" w:rsidTr="00D014A3">
        <w:tc>
          <w:tcPr>
            <w:tcW w:w="3025" w:type="dxa"/>
          </w:tcPr>
          <w:p w14:paraId="6FD738CA" w14:textId="77777777" w:rsidR="00D014A3" w:rsidRPr="00B77083" w:rsidRDefault="00D014A3" w:rsidP="00D014A3">
            <w:pPr>
              <w:rPr>
                <w:szCs w:val="24"/>
              </w:rPr>
            </w:pPr>
            <w:r w:rsidRPr="00B77083">
              <w:rPr>
                <w:szCs w:val="24"/>
              </w:rPr>
              <w:t>Project coordinator</w:t>
            </w:r>
          </w:p>
        </w:tc>
        <w:tc>
          <w:tcPr>
            <w:tcW w:w="1742" w:type="dxa"/>
          </w:tcPr>
          <w:p w14:paraId="2EAA85C2" w14:textId="77777777" w:rsidR="00D014A3" w:rsidRPr="001F4F6D" w:rsidRDefault="00D014A3" w:rsidP="00D014A3">
            <w:pPr>
              <w:jc w:val="right"/>
              <w:rPr>
                <w:szCs w:val="24"/>
              </w:rPr>
            </w:pPr>
            <w:r w:rsidRPr="001F4F6D">
              <w:rPr>
                <w:szCs w:val="24"/>
              </w:rPr>
              <w:t>2080</w:t>
            </w:r>
          </w:p>
        </w:tc>
        <w:tc>
          <w:tcPr>
            <w:tcW w:w="1891" w:type="dxa"/>
          </w:tcPr>
          <w:p w14:paraId="5EDA3E5D" w14:textId="77777777" w:rsidR="00D014A3" w:rsidRPr="001F4F6D" w:rsidRDefault="00D014A3" w:rsidP="00D014A3">
            <w:pPr>
              <w:jc w:val="right"/>
              <w:rPr>
                <w:szCs w:val="24"/>
              </w:rPr>
            </w:pPr>
            <w:r w:rsidRPr="001F4F6D">
              <w:rPr>
                <w:szCs w:val="24"/>
              </w:rPr>
              <w:t>33.65</w:t>
            </w:r>
          </w:p>
        </w:tc>
        <w:tc>
          <w:tcPr>
            <w:tcW w:w="2198" w:type="dxa"/>
          </w:tcPr>
          <w:p w14:paraId="75975C49" w14:textId="77777777" w:rsidR="00D014A3" w:rsidRPr="001F4F6D" w:rsidRDefault="00D014A3" w:rsidP="00D014A3">
            <w:pPr>
              <w:jc w:val="right"/>
              <w:rPr>
                <w:szCs w:val="24"/>
              </w:rPr>
            </w:pPr>
            <w:r w:rsidRPr="001F4F6D">
              <w:rPr>
                <w:szCs w:val="24"/>
              </w:rPr>
              <w:t>69,992</w:t>
            </w:r>
          </w:p>
        </w:tc>
      </w:tr>
      <w:tr w:rsidR="00D014A3" w14:paraId="3DBF8058" w14:textId="77777777" w:rsidTr="00D014A3">
        <w:tc>
          <w:tcPr>
            <w:tcW w:w="3025" w:type="dxa"/>
          </w:tcPr>
          <w:p w14:paraId="34471919" w14:textId="77777777" w:rsidR="00D014A3" w:rsidRPr="00B77083" w:rsidRDefault="00D014A3" w:rsidP="00D014A3">
            <w:pPr>
              <w:rPr>
                <w:szCs w:val="24"/>
              </w:rPr>
            </w:pPr>
            <w:r w:rsidRPr="00B77083">
              <w:rPr>
                <w:szCs w:val="24"/>
              </w:rPr>
              <w:t>IT Support</w:t>
            </w:r>
            <w:r>
              <w:rPr>
                <w:szCs w:val="24"/>
              </w:rPr>
              <w:t xml:space="preserve"> staff</w:t>
            </w:r>
          </w:p>
        </w:tc>
        <w:tc>
          <w:tcPr>
            <w:tcW w:w="1742" w:type="dxa"/>
          </w:tcPr>
          <w:p w14:paraId="269A9BDD" w14:textId="77777777" w:rsidR="00D014A3" w:rsidRPr="001F4F6D" w:rsidRDefault="00D014A3" w:rsidP="00D014A3">
            <w:pPr>
              <w:jc w:val="right"/>
              <w:rPr>
                <w:szCs w:val="24"/>
              </w:rPr>
            </w:pPr>
            <w:r>
              <w:rPr>
                <w:szCs w:val="24"/>
              </w:rPr>
              <w:t>104</w:t>
            </w:r>
          </w:p>
        </w:tc>
        <w:tc>
          <w:tcPr>
            <w:tcW w:w="1891" w:type="dxa"/>
          </w:tcPr>
          <w:p w14:paraId="145A4794" w14:textId="77777777" w:rsidR="00D014A3" w:rsidRPr="001F4F6D" w:rsidRDefault="00D014A3" w:rsidP="00D014A3">
            <w:pPr>
              <w:jc w:val="right"/>
              <w:rPr>
                <w:szCs w:val="24"/>
              </w:rPr>
            </w:pPr>
            <w:r w:rsidRPr="001F4F6D">
              <w:rPr>
                <w:szCs w:val="24"/>
              </w:rPr>
              <w:t>62.50</w:t>
            </w:r>
          </w:p>
        </w:tc>
        <w:tc>
          <w:tcPr>
            <w:tcW w:w="2198" w:type="dxa"/>
          </w:tcPr>
          <w:p w14:paraId="6678A785" w14:textId="77777777" w:rsidR="00D014A3" w:rsidRPr="001F4F6D" w:rsidRDefault="00D014A3" w:rsidP="00D014A3">
            <w:pPr>
              <w:jc w:val="right"/>
              <w:rPr>
                <w:szCs w:val="24"/>
              </w:rPr>
            </w:pPr>
            <w:r>
              <w:rPr>
                <w:szCs w:val="24"/>
              </w:rPr>
              <w:t>6,500</w:t>
            </w:r>
          </w:p>
        </w:tc>
      </w:tr>
      <w:tr w:rsidR="00D014A3" w14:paraId="41EF5A76" w14:textId="77777777" w:rsidTr="00D014A3">
        <w:tc>
          <w:tcPr>
            <w:tcW w:w="3025" w:type="dxa"/>
          </w:tcPr>
          <w:p w14:paraId="76AB8070" w14:textId="77777777" w:rsidR="00D014A3" w:rsidRPr="001603C5" w:rsidRDefault="00D014A3" w:rsidP="00D014A3">
            <w:pPr>
              <w:rPr>
                <w:szCs w:val="24"/>
              </w:rPr>
            </w:pPr>
            <w:r>
              <w:rPr>
                <w:szCs w:val="24"/>
              </w:rPr>
              <w:t>Student Assistant</w:t>
            </w:r>
          </w:p>
        </w:tc>
        <w:tc>
          <w:tcPr>
            <w:tcW w:w="1742" w:type="dxa"/>
          </w:tcPr>
          <w:p w14:paraId="2C6B4C0A" w14:textId="77777777" w:rsidR="00D014A3" w:rsidRPr="001F4F6D" w:rsidRDefault="00D014A3" w:rsidP="00D014A3">
            <w:pPr>
              <w:jc w:val="right"/>
              <w:rPr>
                <w:szCs w:val="24"/>
              </w:rPr>
            </w:pPr>
            <w:r>
              <w:rPr>
                <w:szCs w:val="24"/>
              </w:rPr>
              <w:t>333</w:t>
            </w:r>
          </w:p>
        </w:tc>
        <w:tc>
          <w:tcPr>
            <w:tcW w:w="1891" w:type="dxa"/>
          </w:tcPr>
          <w:p w14:paraId="2B50DF25" w14:textId="77777777" w:rsidR="00D014A3" w:rsidRDefault="00D014A3" w:rsidP="00D014A3">
            <w:pPr>
              <w:jc w:val="right"/>
              <w:rPr>
                <w:szCs w:val="24"/>
              </w:rPr>
            </w:pPr>
            <w:r>
              <w:rPr>
                <w:szCs w:val="24"/>
              </w:rPr>
              <w:t>12.00</w:t>
            </w:r>
          </w:p>
        </w:tc>
        <w:tc>
          <w:tcPr>
            <w:tcW w:w="2198" w:type="dxa"/>
          </w:tcPr>
          <w:p w14:paraId="588D5B2B" w14:textId="77777777" w:rsidR="00D014A3" w:rsidRDefault="00D014A3" w:rsidP="00D014A3">
            <w:pPr>
              <w:jc w:val="right"/>
              <w:rPr>
                <w:szCs w:val="24"/>
              </w:rPr>
            </w:pPr>
            <w:r>
              <w:rPr>
                <w:szCs w:val="24"/>
              </w:rPr>
              <w:t>3,996</w:t>
            </w:r>
          </w:p>
        </w:tc>
      </w:tr>
      <w:tr w:rsidR="00D014A3" w14:paraId="20955C40" w14:textId="77777777" w:rsidTr="00D014A3">
        <w:tc>
          <w:tcPr>
            <w:tcW w:w="3025" w:type="dxa"/>
          </w:tcPr>
          <w:p w14:paraId="166E328B" w14:textId="77777777" w:rsidR="00D014A3" w:rsidRPr="001603C5" w:rsidRDefault="00D014A3" w:rsidP="00D014A3">
            <w:pPr>
              <w:rPr>
                <w:szCs w:val="24"/>
              </w:rPr>
            </w:pPr>
            <w:r w:rsidRPr="001603C5">
              <w:rPr>
                <w:szCs w:val="24"/>
              </w:rPr>
              <w:t>Laboratory support staff (</w:t>
            </w:r>
            <w:r>
              <w:rPr>
                <w:szCs w:val="24"/>
              </w:rPr>
              <w:t>contracto</w:t>
            </w:r>
            <w:r w:rsidRPr="001603C5">
              <w:rPr>
                <w:szCs w:val="24"/>
              </w:rPr>
              <w:t>r)</w:t>
            </w:r>
          </w:p>
        </w:tc>
        <w:tc>
          <w:tcPr>
            <w:tcW w:w="1742" w:type="dxa"/>
          </w:tcPr>
          <w:p w14:paraId="1C95B186" w14:textId="77777777" w:rsidR="00D014A3" w:rsidRPr="001F4F6D" w:rsidRDefault="00D014A3" w:rsidP="00D014A3">
            <w:pPr>
              <w:jc w:val="right"/>
              <w:rPr>
                <w:szCs w:val="24"/>
              </w:rPr>
            </w:pPr>
            <w:r>
              <w:rPr>
                <w:szCs w:val="24"/>
              </w:rPr>
              <w:t>250</w:t>
            </w:r>
          </w:p>
        </w:tc>
        <w:tc>
          <w:tcPr>
            <w:tcW w:w="1891" w:type="dxa"/>
          </w:tcPr>
          <w:p w14:paraId="35C82FE8" w14:textId="77777777" w:rsidR="00D014A3" w:rsidRDefault="00D014A3" w:rsidP="00D014A3">
            <w:pPr>
              <w:jc w:val="right"/>
              <w:rPr>
                <w:szCs w:val="24"/>
              </w:rPr>
            </w:pPr>
            <w:r>
              <w:rPr>
                <w:szCs w:val="24"/>
              </w:rPr>
              <w:t>59.00</w:t>
            </w:r>
          </w:p>
        </w:tc>
        <w:tc>
          <w:tcPr>
            <w:tcW w:w="2198" w:type="dxa"/>
          </w:tcPr>
          <w:p w14:paraId="5BE2A308" w14:textId="77777777" w:rsidR="00D014A3" w:rsidRDefault="00D014A3" w:rsidP="00D014A3">
            <w:pPr>
              <w:jc w:val="right"/>
              <w:rPr>
                <w:szCs w:val="24"/>
              </w:rPr>
            </w:pPr>
            <w:r>
              <w:rPr>
                <w:szCs w:val="24"/>
              </w:rPr>
              <w:t>14,750</w:t>
            </w:r>
          </w:p>
        </w:tc>
      </w:tr>
      <w:tr w:rsidR="00D014A3" w14:paraId="2ABD673D" w14:textId="77777777" w:rsidTr="00D014A3">
        <w:tc>
          <w:tcPr>
            <w:tcW w:w="3025" w:type="dxa"/>
          </w:tcPr>
          <w:p w14:paraId="1D00BDC5" w14:textId="77777777" w:rsidR="00D014A3" w:rsidRPr="001603C5" w:rsidRDefault="00D014A3" w:rsidP="00D014A3">
            <w:pPr>
              <w:rPr>
                <w:sz w:val="20"/>
              </w:rPr>
            </w:pPr>
            <w:r w:rsidRPr="001603C5">
              <w:rPr>
                <w:szCs w:val="24"/>
              </w:rPr>
              <w:t>Laboratory supplies</w:t>
            </w:r>
          </w:p>
        </w:tc>
        <w:tc>
          <w:tcPr>
            <w:tcW w:w="1742" w:type="dxa"/>
          </w:tcPr>
          <w:p w14:paraId="407D0316" w14:textId="77777777" w:rsidR="00D014A3" w:rsidRPr="001F4F6D" w:rsidRDefault="00D014A3" w:rsidP="00D014A3">
            <w:pPr>
              <w:jc w:val="right"/>
              <w:rPr>
                <w:szCs w:val="24"/>
              </w:rPr>
            </w:pPr>
            <w:r>
              <w:rPr>
                <w:szCs w:val="24"/>
              </w:rPr>
              <w:t>426</w:t>
            </w:r>
          </w:p>
        </w:tc>
        <w:tc>
          <w:tcPr>
            <w:tcW w:w="1891" w:type="dxa"/>
          </w:tcPr>
          <w:p w14:paraId="16EC38A3" w14:textId="77777777" w:rsidR="00D014A3" w:rsidRPr="001F4F6D" w:rsidRDefault="00D014A3" w:rsidP="00D014A3">
            <w:pPr>
              <w:jc w:val="right"/>
              <w:rPr>
                <w:szCs w:val="24"/>
              </w:rPr>
            </w:pPr>
            <w:r>
              <w:rPr>
                <w:szCs w:val="24"/>
              </w:rPr>
              <w:t>125.00</w:t>
            </w:r>
          </w:p>
        </w:tc>
        <w:tc>
          <w:tcPr>
            <w:tcW w:w="2198" w:type="dxa"/>
          </w:tcPr>
          <w:p w14:paraId="7F45904A" w14:textId="77777777" w:rsidR="00D014A3" w:rsidRPr="001F4F6D" w:rsidRDefault="00D014A3" w:rsidP="00D014A3">
            <w:pPr>
              <w:jc w:val="right"/>
              <w:rPr>
                <w:szCs w:val="24"/>
              </w:rPr>
            </w:pPr>
            <w:r>
              <w:rPr>
                <w:szCs w:val="24"/>
              </w:rPr>
              <w:t>53,250</w:t>
            </w:r>
          </w:p>
        </w:tc>
      </w:tr>
      <w:tr w:rsidR="00D014A3" w14:paraId="44CCC96D" w14:textId="77777777" w:rsidTr="00D014A3">
        <w:tc>
          <w:tcPr>
            <w:tcW w:w="3025" w:type="dxa"/>
          </w:tcPr>
          <w:p w14:paraId="3F2E487B" w14:textId="77777777" w:rsidR="00D014A3" w:rsidRPr="001603C5" w:rsidRDefault="00D014A3" w:rsidP="00D014A3">
            <w:pPr>
              <w:rPr>
                <w:szCs w:val="24"/>
              </w:rPr>
            </w:pPr>
            <w:r>
              <w:rPr>
                <w:szCs w:val="24"/>
              </w:rPr>
              <w:t>Printing and mailing</w:t>
            </w:r>
          </w:p>
        </w:tc>
        <w:tc>
          <w:tcPr>
            <w:tcW w:w="1742" w:type="dxa"/>
          </w:tcPr>
          <w:p w14:paraId="6D9F6ECC" w14:textId="77777777" w:rsidR="00D014A3" w:rsidRPr="001F4F6D" w:rsidRDefault="00B14F64" w:rsidP="00B14F64">
            <w:pPr>
              <w:jc w:val="right"/>
              <w:rPr>
                <w:szCs w:val="24"/>
              </w:rPr>
            </w:pPr>
            <w:r>
              <w:rPr>
                <w:szCs w:val="24"/>
              </w:rPr>
              <w:t>6,854</w:t>
            </w:r>
            <w:r w:rsidRPr="00B14F64">
              <w:rPr>
                <w:szCs w:val="24"/>
                <w:vertAlign w:val="superscript"/>
              </w:rPr>
              <w:t>a</w:t>
            </w:r>
          </w:p>
        </w:tc>
        <w:tc>
          <w:tcPr>
            <w:tcW w:w="1891" w:type="dxa"/>
          </w:tcPr>
          <w:p w14:paraId="186A7954" w14:textId="77777777" w:rsidR="00D014A3" w:rsidRPr="001F4F6D" w:rsidRDefault="00B14F64" w:rsidP="00D014A3">
            <w:pPr>
              <w:jc w:val="right"/>
              <w:rPr>
                <w:szCs w:val="24"/>
              </w:rPr>
            </w:pPr>
            <w:r>
              <w:rPr>
                <w:szCs w:val="24"/>
              </w:rPr>
              <w:t>10.5</w:t>
            </w:r>
            <w:r w:rsidRPr="00E51E2B">
              <w:rPr>
                <w:szCs w:val="24"/>
                <w:vertAlign w:val="superscript"/>
              </w:rPr>
              <w:t>b</w:t>
            </w:r>
          </w:p>
        </w:tc>
        <w:tc>
          <w:tcPr>
            <w:tcW w:w="2198" w:type="dxa"/>
          </w:tcPr>
          <w:p w14:paraId="47BD50AD" w14:textId="77777777" w:rsidR="00D014A3" w:rsidRPr="001F4F6D" w:rsidRDefault="00D014A3" w:rsidP="00D014A3">
            <w:pPr>
              <w:jc w:val="right"/>
              <w:rPr>
                <w:szCs w:val="24"/>
              </w:rPr>
            </w:pPr>
            <w:r>
              <w:rPr>
                <w:szCs w:val="24"/>
              </w:rPr>
              <w:t>71,971</w:t>
            </w:r>
          </w:p>
        </w:tc>
      </w:tr>
      <w:tr w:rsidR="00D014A3" w14:paraId="09969360" w14:textId="77777777" w:rsidTr="00D014A3">
        <w:tc>
          <w:tcPr>
            <w:tcW w:w="3025" w:type="dxa"/>
          </w:tcPr>
          <w:p w14:paraId="7F58267F" w14:textId="77777777" w:rsidR="00D014A3" w:rsidRPr="00B77083" w:rsidRDefault="00D014A3" w:rsidP="00D014A3">
            <w:pPr>
              <w:rPr>
                <w:szCs w:val="24"/>
              </w:rPr>
            </w:pPr>
            <w:r w:rsidRPr="00B77083">
              <w:rPr>
                <w:szCs w:val="24"/>
              </w:rPr>
              <w:t>Water utility site visits (2 CDC staff/visit)</w:t>
            </w:r>
          </w:p>
        </w:tc>
        <w:tc>
          <w:tcPr>
            <w:tcW w:w="1742" w:type="dxa"/>
          </w:tcPr>
          <w:p w14:paraId="73C9D669" w14:textId="77777777" w:rsidR="00D014A3" w:rsidRPr="001F4F6D" w:rsidRDefault="00D014A3" w:rsidP="00D014A3">
            <w:pPr>
              <w:jc w:val="right"/>
              <w:rPr>
                <w:szCs w:val="24"/>
              </w:rPr>
            </w:pPr>
            <w:r>
              <w:rPr>
                <w:szCs w:val="24"/>
              </w:rPr>
              <w:t>3</w:t>
            </w:r>
          </w:p>
        </w:tc>
        <w:tc>
          <w:tcPr>
            <w:tcW w:w="1891" w:type="dxa"/>
          </w:tcPr>
          <w:p w14:paraId="21337926" w14:textId="77777777" w:rsidR="00D014A3" w:rsidRPr="001F4F6D" w:rsidRDefault="00D014A3" w:rsidP="00D014A3">
            <w:pPr>
              <w:jc w:val="right"/>
              <w:rPr>
                <w:szCs w:val="24"/>
              </w:rPr>
            </w:pPr>
            <w:r>
              <w:rPr>
                <w:szCs w:val="24"/>
              </w:rPr>
              <w:t>2,300</w:t>
            </w:r>
          </w:p>
        </w:tc>
        <w:tc>
          <w:tcPr>
            <w:tcW w:w="2198" w:type="dxa"/>
          </w:tcPr>
          <w:p w14:paraId="4EBB7C26" w14:textId="77777777" w:rsidR="00D014A3" w:rsidRPr="001F4F6D" w:rsidRDefault="00D014A3" w:rsidP="00D014A3">
            <w:pPr>
              <w:jc w:val="right"/>
              <w:rPr>
                <w:szCs w:val="24"/>
              </w:rPr>
            </w:pPr>
            <w:r>
              <w:rPr>
                <w:szCs w:val="24"/>
              </w:rPr>
              <w:t>6,900</w:t>
            </w:r>
          </w:p>
        </w:tc>
      </w:tr>
      <w:tr w:rsidR="00D014A3" w14:paraId="2D849F18" w14:textId="77777777" w:rsidTr="00D014A3">
        <w:tc>
          <w:tcPr>
            <w:tcW w:w="3025" w:type="dxa"/>
          </w:tcPr>
          <w:p w14:paraId="70A08DFB" w14:textId="77777777" w:rsidR="00D014A3" w:rsidRPr="00B77083" w:rsidRDefault="00D014A3" w:rsidP="00D014A3">
            <w:pPr>
              <w:rPr>
                <w:szCs w:val="24"/>
              </w:rPr>
            </w:pPr>
            <w:r w:rsidRPr="00B77083">
              <w:rPr>
                <w:szCs w:val="24"/>
              </w:rPr>
              <w:t>Page charges and reprints for publishing study paper</w:t>
            </w:r>
          </w:p>
        </w:tc>
        <w:tc>
          <w:tcPr>
            <w:tcW w:w="1742" w:type="dxa"/>
          </w:tcPr>
          <w:p w14:paraId="5A73DAA8" w14:textId="77777777" w:rsidR="00D014A3" w:rsidRPr="001F4F6D" w:rsidRDefault="00D014A3" w:rsidP="00D014A3">
            <w:pPr>
              <w:jc w:val="right"/>
              <w:rPr>
                <w:szCs w:val="24"/>
              </w:rPr>
            </w:pPr>
            <w:r w:rsidRPr="001F4F6D">
              <w:rPr>
                <w:szCs w:val="24"/>
              </w:rPr>
              <w:t>1</w:t>
            </w:r>
          </w:p>
        </w:tc>
        <w:tc>
          <w:tcPr>
            <w:tcW w:w="1891" w:type="dxa"/>
          </w:tcPr>
          <w:p w14:paraId="29983E44" w14:textId="77777777" w:rsidR="00D014A3" w:rsidRPr="001F4F6D" w:rsidRDefault="00D014A3" w:rsidP="00D014A3">
            <w:pPr>
              <w:jc w:val="right"/>
              <w:rPr>
                <w:szCs w:val="24"/>
              </w:rPr>
            </w:pPr>
            <w:r w:rsidRPr="001F4F6D">
              <w:rPr>
                <w:szCs w:val="24"/>
              </w:rPr>
              <w:t>1</w:t>
            </w:r>
            <w:r>
              <w:rPr>
                <w:szCs w:val="24"/>
              </w:rPr>
              <w:t>,</w:t>
            </w:r>
            <w:r w:rsidRPr="001F4F6D">
              <w:rPr>
                <w:szCs w:val="24"/>
              </w:rPr>
              <w:t>000</w:t>
            </w:r>
          </w:p>
        </w:tc>
        <w:tc>
          <w:tcPr>
            <w:tcW w:w="2198" w:type="dxa"/>
          </w:tcPr>
          <w:p w14:paraId="50998B5F" w14:textId="77777777" w:rsidR="00D014A3" w:rsidRPr="001F4F6D" w:rsidRDefault="00D014A3" w:rsidP="00D014A3">
            <w:pPr>
              <w:jc w:val="right"/>
              <w:rPr>
                <w:szCs w:val="24"/>
              </w:rPr>
            </w:pPr>
            <w:r w:rsidRPr="001F4F6D">
              <w:rPr>
                <w:szCs w:val="24"/>
              </w:rPr>
              <w:t>1</w:t>
            </w:r>
            <w:r>
              <w:rPr>
                <w:szCs w:val="24"/>
              </w:rPr>
              <w:t>,</w:t>
            </w:r>
            <w:r w:rsidRPr="001F4F6D">
              <w:rPr>
                <w:szCs w:val="24"/>
              </w:rPr>
              <w:t>000</w:t>
            </w:r>
          </w:p>
        </w:tc>
      </w:tr>
      <w:tr w:rsidR="00D014A3" w14:paraId="7FE24B29" w14:textId="77777777" w:rsidTr="00D014A3">
        <w:tc>
          <w:tcPr>
            <w:tcW w:w="3025" w:type="dxa"/>
            <w:shd w:val="clear" w:color="auto" w:fill="D9D9D9" w:themeFill="background1" w:themeFillShade="D9"/>
          </w:tcPr>
          <w:p w14:paraId="53D81E8E" w14:textId="77777777" w:rsidR="00D014A3" w:rsidRPr="00E72C9E" w:rsidRDefault="00D014A3" w:rsidP="00D014A3">
            <w:pPr>
              <w:rPr>
                <w:szCs w:val="24"/>
              </w:rPr>
            </w:pPr>
            <w:r>
              <w:rPr>
                <w:szCs w:val="24"/>
              </w:rPr>
              <w:t>Total:</w:t>
            </w:r>
          </w:p>
        </w:tc>
        <w:tc>
          <w:tcPr>
            <w:tcW w:w="1742" w:type="dxa"/>
            <w:shd w:val="clear" w:color="auto" w:fill="D9D9D9" w:themeFill="background1" w:themeFillShade="D9"/>
          </w:tcPr>
          <w:p w14:paraId="25190853" w14:textId="77777777" w:rsidR="00D014A3" w:rsidRPr="00EF2A8D" w:rsidRDefault="00D014A3" w:rsidP="00D014A3">
            <w:pPr>
              <w:rPr>
                <w:szCs w:val="24"/>
              </w:rPr>
            </w:pPr>
          </w:p>
        </w:tc>
        <w:tc>
          <w:tcPr>
            <w:tcW w:w="1891" w:type="dxa"/>
            <w:shd w:val="clear" w:color="auto" w:fill="D9D9D9" w:themeFill="background1" w:themeFillShade="D9"/>
          </w:tcPr>
          <w:p w14:paraId="4C6130B8" w14:textId="77777777" w:rsidR="00D014A3" w:rsidRPr="00EF2A8D" w:rsidRDefault="00D014A3" w:rsidP="00D014A3">
            <w:pPr>
              <w:rPr>
                <w:szCs w:val="24"/>
              </w:rPr>
            </w:pPr>
          </w:p>
        </w:tc>
        <w:tc>
          <w:tcPr>
            <w:tcW w:w="2198" w:type="dxa"/>
            <w:shd w:val="clear" w:color="auto" w:fill="D9D9D9" w:themeFill="background1" w:themeFillShade="D9"/>
          </w:tcPr>
          <w:p w14:paraId="4796D125" w14:textId="77777777" w:rsidR="00D014A3" w:rsidRPr="00E72C9E" w:rsidRDefault="00D014A3" w:rsidP="00D014A3">
            <w:pPr>
              <w:jc w:val="right"/>
              <w:rPr>
                <w:szCs w:val="24"/>
              </w:rPr>
            </w:pPr>
            <w:r>
              <w:rPr>
                <w:szCs w:val="24"/>
              </w:rPr>
              <w:t>319,796</w:t>
            </w:r>
          </w:p>
        </w:tc>
      </w:tr>
    </w:tbl>
    <w:p w14:paraId="276A521E" w14:textId="77777777" w:rsidR="00B14F64" w:rsidRDefault="00D014A3" w:rsidP="00D014A3">
      <w:pPr>
        <w:rPr>
          <w:b/>
          <w:sz w:val="20"/>
          <w:szCs w:val="20"/>
        </w:rPr>
      </w:pPr>
      <w:r>
        <w:rPr>
          <w:b/>
          <w:sz w:val="20"/>
          <w:szCs w:val="20"/>
          <w:vertAlign w:val="superscript"/>
        </w:rPr>
        <w:t>a</w:t>
      </w:r>
      <w:r w:rsidRPr="00234DCE">
        <w:rPr>
          <w:b/>
          <w:sz w:val="20"/>
          <w:szCs w:val="20"/>
        </w:rPr>
        <w:t>The annual units of mailings were determined from the statistical power calculations and an expecte</w:t>
      </w:r>
      <w:r>
        <w:rPr>
          <w:b/>
          <w:sz w:val="20"/>
          <w:szCs w:val="20"/>
        </w:rPr>
        <w:t>d 60% participant response rate</w:t>
      </w:r>
      <w:r w:rsidR="00B14F64">
        <w:rPr>
          <w:b/>
          <w:sz w:val="20"/>
          <w:szCs w:val="20"/>
        </w:rPr>
        <w:t xml:space="preserve">. Since the mailings will be sent at different frequencies throughout the study, 6,854 annual units reflects the average number of units needed to reach the total cost of $71,971 from our itemized budget. </w:t>
      </w:r>
    </w:p>
    <w:p w14:paraId="34DD03DE" w14:textId="77777777" w:rsidR="00D014A3" w:rsidRPr="00234DCE" w:rsidRDefault="00B14F64" w:rsidP="00D014A3">
      <w:pPr>
        <w:rPr>
          <w:b/>
          <w:sz w:val="20"/>
          <w:szCs w:val="20"/>
        </w:rPr>
      </w:pPr>
      <w:r w:rsidRPr="00B14F64">
        <w:rPr>
          <w:b/>
          <w:sz w:val="20"/>
          <w:szCs w:val="20"/>
          <w:vertAlign w:val="superscript"/>
        </w:rPr>
        <w:t>b</w:t>
      </w:r>
      <w:r w:rsidR="00D014A3" w:rsidRPr="00234DCE">
        <w:rPr>
          <w:b/>
          <w:sz w:val="20"/>
          <w:szCs w:val="20"/>
        </w:rPr>
        <w:t>The unit cost for mailings include the cost for printing, envelopes, labels, and the calendar magnet.</w:t>
      </w:r>
      <w:r>
        <w:rPr>
          <w:b/>
          <w:sz w:val="20"/>
          <w:szCs w:val="20"/>
        </w:rPr>
        <w:t xml:space="preserve"> Since there are multiple mailing items that have different unit costs, the unit cost </w:t>
      </w:r>
      <w:r w:rsidR="000B7B7E">
        <w:rPr>
          <w:b/>
          <w:sz w:val="20"/>
          <w:szCs w:val="20"/>
        </w:rPr>
        <w:t xml:space="preserve">of </w:t>
      </w:r>
      <w:r>
        <w:rPr>
          <w:b/>
          <w:sz w:val="20"/>
          <w:szCs w:val="20"/>
        </w:rPr>
        <w:t>10.5 represents the total unit costs for all mailing items.</w:t>
      </w:r>
    </w:p>
    <w:p w14:paraId="3CCAF151" w14:textId="77777777" w:rsidR="00D014A3" w:rsidRPr="00E51E2B" w:rsidRDefault="00D014A3" w:rsidP="0096049E">
      <w:pPr>
        <w:rPr>
          <w:b/>
          <w:sz w:val="20"/>
          <w:szCs w:val="20"/>
        </w:rPr>
      </w:pPr>
    </w:p>
    <w:p w14:paraId="50987DC0" w14:textId="77777777" w:rsidR="004D3E5D" w:rsidRPr="007F7B1D" w:rsidRDefault="004D3E5D" w:rsidP="004D3E5D">
      <w:r w:rsidRPr="007F7B1D">
        <w:rPr>
          <w:b/>
        </w:rPr>
        <w:t>15. Explanation for Program Changes or Adjustments</w:t>
      </w:r>
    </w:p>
    <w:p w14:paraId="7FCAF58B" w14:textId="7BA1E55C" w:rsidR="00726094" w:rsidRPr="00BF342A" w:rsidRDefault="004D3E5D" w:rsidP="004D3E5D">
      <w:r w:rsidRPr="007F7B1D">
        <w:t>T</w:t>
      </w:r>
      <w:r w:rsidR="00726094">
        <w:t>h</w:t>
      </w:r>
      <w:r w:rsidR="00726094" w:rsidRPr="00BF342A">
        <w:t xml:space="preserve">e burden </w:t>
      </w:r>
      <w:r w:rsidR="004E1FC0" w:rsidRPr="00BF342A">
        <w:t xml:space="preserve">for survey participants </w:t>
      </w:r>
      <w:r w:rsidR="00726094" w:rsidRPr="00BF342A">
        <w:t>has not changed from the burden shown in the current inventory.</w:t>
      </w:r>
      <w:r w:rsidR="004E1FC0" w:rsidRPr="00BF342A">
        <w:t xml:space="preserve"> The burden for water utility participants has decreased slightly from the burden shown in the current inventory. </w:t>
      </w:r>
    </w:p>
    <w:p w14:paraId="69F02B26" w14:textId="77777777" w:rsidR="00726094" w:rsidRPr="007F7B1D" w:rsidRDefault="00726094" w:rsidP="004D3E5D"/>
    <w:p w14:paraId="487A3C86" w14:textId="4AD3A3B8" w:rsidR="004D3E5D" w:rsidRDefault="00726094" w:rsidP="004D3E5D">
      <w:pPr>
        <w:rPr>
          <w:bCs/>
        </w:rPr>
      </w:pPr>
      <w:r w:rsidRPr="00281CDB">
        <w:lastRenderedPageBreak/>
        <w:t>Previously we indicated that we needed 12-18 months for new data collection. To address potential scheduling challenges discovered during the pilot, the study team will</w:t>
      </w:r>
      <w:r w:rsidRPr="00281CDB">
        <w:rPr>
          <w:bCs/>
        </w:rPr>
        <w:t xml:space="preserve"> plan for scheduling conflicts and conduct a staggered scale-up to multiple utility sites, which will require </w:t>
      </w:r>
      <w:r w:rsidR="00BF342A">
        <w:rPr>
          <w:bCs/>
        </w:rPr>
        <w:t>an extension of 30 months of data collection</w:t>
      </w:r>
      <w:r w:rsidRPr="00281CDB">
        <w:rPr>
          <w:bCs/>
        </w:rPr>
        <w:t>.</w:t>
      </w:r>
    </w:p>
    <w:p w14:paraId="3DF960CB" w14:textId="77777777" w:rsidR="00BF342A" w:rsidRPr="007F7B1D" w:rsidRDefault="00BF342A" w:rsidP="004D3E5D"/>
    <w:p w14:paraId="1470BD12" w14:textId="77777777" w:rsidR="004D3E5D" w:rsidRPr="007F7B1D" w:rsidRDefault="004D3E5D" w:rsidP="004D3E5D">
      <w:r w:rsidRPr="007F7B1D">
        <w:rPr>
          <w:b/>
        </w:rPr>
        <w:t>16.  Plans for Tabulation and Publication and Project Time Schedule</w:t>
      </w:r>
    </w:p>
    <w:p w14:paraId="44120D97" w14:textId="0CE8E439" w:rsidR="004D3E5D" w:rsidRDefault="004D3E5D" w:rsidP="004D3E5D">
      <w:r w:rsidRPr="007F7B1D">
        <w:t>Table A</w:t>
      </w:r>
      <w:r w:rsidR="00BF342A">
        <w:t>.</w:t>
      </w:r>
      <w:r w:rsidRPr="007F7B1D">
        <w:t>16</w:t>
      </w:r>
      <w:r w:rsidR="00BF342A">
        <w:t>.1</w:t>
      </w:r>
      <w:r w:rsidRPr="007F7B1D">
        <w:t xml:space="preserve"> provides the data collection activity schedule.</w:t>
      </w:r>
      <w:r w:rsidR="00BF342A">
        <w:t xml:space="preserve"> </w:t>
      </w:r>
      <w:r w:rsidR="00BF342A" w:rsidRPr="00281CDB">
        <w:t xml:space="preserve">Previously we indicated data collection would be completed 12-18 months after obtaining OMB approval. During the pilot, there were scheduling challenges during the winter season or during other busy periods at CDC or the utility. To address this, the study team </w:t>
      </w:r>
      <w:r w:rsidR="00BF342A">
        <w:t xml:space="preserve">has </w:t>
      </w:r>
      <w:r w:rsidR="00BF342A" w:rsidRPr="00281CDB">
        <w:rPr>
          <w:bCs/>
        </w:rPr>
        <w:t>plan</w:t>
      </w:r>
      <w:r w:rsidR="00BF342A">
        <w:rPr>
          <w:bCs/>
        </w:rPr>
        <w:t>ned</w:t>
      </w:r>
      <w:r w:rsidR="00BF342A" w:rsidRPr="00281CDB">
        <w:rPr>
          <w:bCs/>
        </w:rPr>
        <w:t xml:space="preserve"> for scheduling c</w:t>
      </w:r>
      <w:r w:rsidR="00BF342A">
        <w:rPr>
          <w:bCs/>
        </w:rPr>
        <w:t xml:space="preserve">onflicts and implemented a </w:t>
      </w:r>
      <w:r w:rsidR="00BF342A" w:rsidRPr="00281CDB">
        <w:rPr>
          <w:bCs/>
        </w:rPr>
        <w:t>staggered scale-up to multiple utility sites</w:t>
      </w:r>
      <w:r w:rsidR="00BF342A">
        <w:rPr>
          <w:bCs/>
        </w:rPr>
        <w:t>; for these reasons a 30 month extension has been requested.</w:t>
      </w:r>
      <w:r w:rsidR="00652F34">
        <w:rPr>
          <w:bCs/>
        </w:rPr>
        <w:t xml:space="preserve"> </w:t>
      </w:r>
      <w:r w:rsidR="00BF342A" w:rsidRPr="00281CDB">
        <w:rPr>
          <w:bCs/>
        </w:rPr>
        <w:t>There is no change to the anticipated 6 months needed for data analysis and additional 6 months needed for manuscript development.</w:t>
      </w:r>
    </w:p>
    <w:p w14:paraId="2AEC2DF4" w14:textId="77777777" w:rsidR="008A7463" w:rsidRDefault="008A7463" w:rsidP="00B72896">
      <w:pPr>
        <w:spacing w:after="200" w:line="276" w:lineRule="auto"/>
        <w:rPr>
          <w:b/>
        </w:rPr>
      </w:pPr>
    </w:p>
    <w:p w14:paraId="17E4B2D4" w14:textId="77777777" w:rsidR="004D3E5D" w:rsidRPr="007F7B1D" w:rsidRDefault="004D3E5D" w:rsidP="00B72896">
      <w:pPr>
        <w:spacing w:after="200" w:line="276" w:lineRule="auto"/>
        <w:rPr>
          <w:b/>
        </w:rPr>
      </w:pPr>
      <w:r w:rsidRPr="007F7B1D">
        <w:rPr>
          <w:b/>
        </w:rPr>
        <w:t xml:space="preserve">Table </w:t>
      </w:r>
      <w:r>
        <w:rPr>
          <w:b/>
        </w:rPr>
        <w:t>A.1.6</w:t>
      </w:r>
      <w:r w:rsidRPr="007F7B1D">
        <w:rPr>
          <w:b/>
        </w:rPr>
        <w:t xml:space="preserve">- Data collection activity schedule </w:t>
      </w:r>
      <w:r w:rsidRPr="007F7B1D">
        <w:rPr>
          <w:b/>
        </w:rPr>
        <w:tab/>
      </w:r>
    </w:p>
    <w:tbl>
      <w:tblPr>
        <w:tblStyle w:val="TableGrid"/>
        <w:tblW w:w="0" w:type="auto"/>
        <w:tblInd w:w="180" w:type="dxa"/>
        <w:tblLook w:val="00A0" w:firstRow="1" w:lastRow="0" w:firstColumn="1" w:lastColumn="0" w:noHBand="0" w:noVBand="0"/>
      </w:tblPr>
      <w:tblGrid>
        <w:gridCol w:w="2604"/>
        <w:gridCol w:w="5846"/>
      </w:tblGrid>
      <w:tr w:rsidR="004D3E5D" w:rsidRPr="0030460C" w14:paraId="58537CB3" w14:textId="77777777" w:rsidTr="00DA4182">
        <w:tc>
          <w:tcPr>
            <w:tcW w:w="2648" w:type="dxa"/>
          </w:tcPr>
          <w:p w14:paraId="3BAD30F4" w14:textId="77777777" w:rsidR="004D3E5D" w:rsidRPr="0030460C" w:rsidRDefault="004D3E5D" w:rsidP="00DA4182">
            <w:pPr>
              <w:rPr>
                <w:b/>
                <w:szCs w:val="24"/>
              </w:rPr>
            </w:pPr>
            <w:r w:rsidRPr="0030460C">
              <w:rPr>
                <w:b/>
                <w:szCs w:val="24"/>
              </w:rPr>
              <w:t>Activity</w:t>
            </w:r>
          </w:p>
        </w:tc>
        <w:tc>
          <w:tcPr>
            <w:tcW w:w="6028" w:type="dxa"/>
          </w:tcPr>
          <w:p w14:paraId="7E3BD47B" w14:textId="77777777" w:rsidR="004D3E5D" w:rsidRPr="0030460C" w:rsidRDefault="004D3E5D" w:rsidP="00DA4182">
            <w:pPr>
              <w:rPr>
                <w:b/>
                <w:szCs w:val="24"/>
              </w:rPr>
            </w:pPr>
            <w:r w:rsidRPr="0030460C">
              <w:rPr>
                <w:b/>
                <w:szCs w:val="24"/>
              </w:rPr>
              <w:t>Time Frame</w:t>
            </w:r>
          </w:p>
        </w:tc>
      </w:tr>
      <w:tr w:rsidR="004D3E5D" w:rsidRPr="0030460C" w14:paraId="2342B061" w14:textId="77777777" w:rsidTr="00DA4182">
        <w:tc>
          <w:tcPr>
            <w:tcW w:w="2648" w:type="dxa"/>
          </w:tcPr>
          <w:p w14:paraId="15E3CF59" w14:textId="77777777" w:rsidR="004D3E5D" w:rsidRPr="0030460C" w:rsidRDefault="004D3E5D" w:rsidP="00DA4182">
            <w:pPr>
              <w:rPr>
                <w:szCs w:val="24"/>
              </w:rPr>
            </w:pPr>
            <w:r w:rsidRPr="0030460C">
              <w:rPr>
                <w:szCs w:val="24"/>
              </w:rPr>
              <w:t>Data collection</w:t>
            </w:r>
          </w:p>
        </w:tc>
        <w:tc>
          <w:tcPr>
            <w:tcW w:w="6028" w:type="dxa"/>
          </w:tcPr>
          <w:p w14:paraId="5F964785" w14:textId="4AEBC731" w:rsidR="004D3E5D" w:rsidRPr="0030460C" w:rsidRDefault="00BF342A" w:rsidP="00BF342A">
            <w:pPr>
              <w:rPr>
                <w:szCs w:val="24"/>
              </w:rPr>
            </w:pPr>
            <w:r>
              <w:rPr>
                <w:szCs w:val="24"/>
              </w:rPr>
              <w:t>24</w:t>
            </w:r>
            <w:r w:rsidR="004D3E5D" w:rsidRPr="0030460C">
              <w:rPr>
                <w:szCs w:val="24"/>
              </w:rPr>
              <w:t>-</w:t>
            </w:r>
            <w:r>
              <w:rPr>
                <w:szCs w:val="24"/>
              </w:rPr>
              <w:t>30</w:t>
            </w:r>
            <w:r w:rsidR="004D3E5D" w:rsidRPr="0030460C">
              <w:rPr>
                <w:szCs w:val="24"/>
              </w:rPr>
              <w:t xml:space="preserve"> months after obtaining OMB</w:t>
            </w:r>
            <w:r>
              <w:rPr>
                <w:szCs w:val="24"/>
              </w:rPr>
              <w:t xml:space="preserve"> extension</w:t>
            </w:r>
            <w:r w:rsidR="004D3E5D" w:rsidRPr="0030460C">
              <w:rPr>
                <w:szCs w:val="24"/>
              </w:rPr>
              <w:t xml:space="preserve"> </w:t>
            </w:r>
            <w:r w:rsidR="004D3E5D">
              <w:rPr>
                <w:szCs w:val="24"/>
              </w:rPr>
              <w:t>approval</w:t>
            </w:r>
          </w:p>
        </w:tc>
      </w:tr>
      <w:tr w:rsidR="004D3E5D" w:rsidRPr="0030460C" w14:paraId="39AB8A76" w14:textId="77777777" w:rsidTr="00DA4182">
        <w:tc>
          <w:tcPr>
            <w:tcW w:w="2648" w:type="dxa"/>
          </w:tcPr>
          <w:p w14:paraId="507544C4" w14:textId="77777777" w:rsidR="004D3E5D" w:rsidRPr="0030460C" w:rsidRDefault="004D3E5D" w:rsidP="00DA4182">
            <w:pPr>
              <w:rPr>
                <w:szCs w:val="24"/>
              </w:rPr>
            </w:pPr>
            <w:r w:rsidRPr="0030460C">
              <w:rPr>
                <w:szCs w:val="24"/>
              </w:rPr>
              <w:t>Data analysis</w:t>
            </w:r>
          </w:p>
        </w:tc>
        <w:tc>
          <w:tcPr>
            <w:tcW w:w="6028" w:type="dxa"/>
          </w:tcPr>
          <w:p w14:paraId="3DDBF0A4" w14:textId="4D83BFFE" w:rsidR="004D3E5D" w:rsidRPr="0030460C" w:rsidRDefault="00BF342A" w:rsidP="00BF342A">
            <w:pPr>
              <w:rPr>
                <w:szCs w:val="24"/>
              </w:rPr>
            </w:pPr>
            <w:r>
              <w:rPr>
                <w:szCs w:val="24"/>
              </w:rPr>
              <w:t>30</w:t>
            </w:r>
            <w:r w:rsidR="004D3E5D" w:rsidRPr="0030460C">
              <w:rPr>
                <w:szCs w:val="24"/>
              </w:rPr>
              <w:t>-</w:t>
            </w:r>
            <w:r>
              <w:rPr>
                <w:szCs w:val="24"/>
              </w:rPr>
              <w:t>36</w:t>
            </w:r>
            <w:r w:rsidR="004D3E5D" w:rsidRPr="0030460C">
              <w:rPr>
                <w:szCs w:val="24"/>
              </w:rPr>
              <w:t xml:space="preserve"> months after obtaining OMB</w:t>
            </w:r>
            <w:r>
              <w:rPr>
                <w:szCs w:val="24"/>
              </w:rPr>
              <w:t xml:space="preserve"> extension</w:t>
            </w:r>
            <w:r w:rsidR="004D3E5D" w:rsidRPr="0030460C">
              <w:rPr>
                <w:szCs w:val="24"/>
              </w:rPr>
              <w:t xml:space="preserve"> </w:t>
            </w:r>
            <w:r w:rsidR="004D3E5D">
              <w:rPr>
                <w:szCs w:val="24"/>
              </w:rPr>
              <w:t>approval</w:t>
            </w:r>
          </w:p>
        </w:tc>
      </w:tr>
      <w:tr w:rsidR="004D3E5D" w:rsidRPr="0030460C" w14:paraId="0A48A365" w14:textId="77777777" w:rsidTr="00DA4182">
        <w:tc>
          <w:tcPr>
            <w:tcW w:w="2648" w:type="dxa"/>
          </w:tcPr>
          <w:p w14:paraId="04EBA444" w14:textId="77777777" w:rsidR="004D3E5D" w:rsidRPr="0030460C" w:rsidRDefault="004D3E5D" w:rsidP="00DA4182">
            <w:pPr>
              <w:rPr>
                <w:szCs w:val="24"/>
              </w:rPr>
            </w:pPr>
            <w:r w:rsidRPr="0030460C">
              <w:rPr>
                <w:szCs w:val="24"/>
              </w:rPr>
              <w:t>Manuscript development</w:t>
            </w:r>
            <w:r>
              <w:rPr>
                <w:szCs w:val="24"/>
              </w:rPr>
              <w:t xml:space="preserve"> </w:t>
            </w:r>
          </w:p>
        </w:tc>
        <w:tc>
          <w:tcPr>
            <w:tcW w:w="6028" w:type="dxa"/>
          </w:tcPr>
          <w:p w14:paraId="5F097E8C" w14:textId="2E1913B0" w:rsidR="004D3E5D" w:rsidRPr="0030460C" w:rsidRDefault="00BF342A" w:rsidP="00BF342A">
            <w:pPr>
              <w:rPr>
                <w:szCs w:val="24"/>
              </w:rPr>
            </w:pPr>
            <w:r>
              <w:rPr>
                <w:szCs w:val="24"/>
              </w:rPr>
              <w:t>36</w:t>
            </w:r>
            <w:r w:rsidR="004D3E5D" w:rsidRPr="0030460C">
              <w:rPr>
                <w:szCs w:val="24"/>
              </w:rPr>
              <w:t>-</w:t>
            </w:r>
            <w:r>
              <w:rPr>
                <w:szCs w:val="24"/>
              </w:rPr>
              <w:t>40</w:t>
            </w:r>
            <w:r w:rsidR="004D3E5D" w:rsidRPr="0030460C">
              <w:rPr>
                <w:szCs w:val="24"/>
              </w:rPr>
              <w:t xml:space="preserve"> months after obtaining OMB</w:t>
            </w:r>
            <w:r>
              <w:rPr>
                <w:szCs w:val="24"/>
              </w:rPr>
              <w:t xml:space="preserve"> extension</w:t>
            </w:r>
            <w:r w:rsidR="004D3E5D" w:rsidRPr="0030460C">
              <w:rPr>
                <w:szCs w:val="24"/>
              </w:rPr>
              <w:t xml:space="preserve"> </w:t>
            </w:r>
            <w:r w:rsidR="004D3E5D">
              <w:rPr>
                <w:szCs w:val="24"/>
              </w:rPr>
              <w:t>approval</w:t>
            </w:r>
          </w:p>
        </w:tc>
      </w:tr>
    </w:tbl>
    <w:p w14:paraId="1FB107B3" w14:textId="77777777" w:rsidR="004D3E5D" w:rsidRPr="007F7B1D" w:rsidRDefault="004D3E5D" w:rsidP="004D3E5D"/>
    <w:p w14:paraId="3643CE26" w14:textId="77777777" w:rsidR="004D3E5D" w:rsidRPr="007F7B1D" w:rsidRDefault="004D3E5D" w:rsidP="004D3E5D">
      <w:r w:rsidRPr="007F7B1D">
        <w:rPr>
          <w:b/>
        </w:rPr>
        <w:t>17. Reason(s) Display of OMB Expiration Date is Inappropriate</w:t>
      </w:r>
    </w:p>
    <w:p w14:paraId="62486158" w14:textId="46E6D781" w:rsidR="004D3E5D" w:rsidRPr="007F7B1D" w:rsidRDefault="00726094" w:rsidP="004D3E5D">
      <w:r w:rsidRPr="00281CDB">
        <w:t>The display of the OMB expiration date is not inappropriate</w:t>
      </w:r>
      <w:r>
        <w:t>.</w:t>
      </w:r>
      <w:r w:rsidRPr="007F7B1D" w:rsidDel="00726094">
        <w:t xml:space="preserve"> </w:t>
      </w:r>
    </w:p>
    <w:p w14:paraId="0DCB4922" w14:textId="77777777" w:rsidR="004D3E5D" w:rsidRPr="007F7B1D" w:rsidRDefault="004D3E5D" w:rsidP="004D3E5D"/>
    <w:p w14:paraId="4AC160DD" w14:textId="77777777" w:rsidR="004D3E5D" w:rsidRPr="007F7B1D" w:rsidRDefault="004D3E5D" w:rsidP="004D3E5D">
      <w:r w:rsidRPr="007F7B1D">
        <w:rPr>
          <w:b/>
        </w:rPr>
        <w:t>18.  Exceptions for Certification for Paperwork Reduction Act Submissions</w:t>
      </w:r>
    </w:p>
    <w:p w14:paraId="77ADCB02" w14:textId="77777777" w:rsidR="004D3E5D" w:rsidRPr="007F7B1D" w:rsidRDefault="004D3E5D" w:rsidP="004D3E5D">
      <w:r w:rsidRPr="007F7B1D">
        <w:lastRenderedPageBreak/>
        <w:t xml:space="preserve">There </w:t>
      </w:r>
      <w:r>
        <w:t>are</w:t>
      </w:r>
      <w:r w:rsidRPr="007F7B1D">
        <w:t xml:space="preserve"> no exceptions to </w:t>
      </w:r>
      <w:r>
        <w:t xml:space="preserve">the </w:t>
      </w:r>
      <w:r w:rsidRPr="007F7B1D">
        <w:t>certification.</w:t>
      </w:r>
    </w:p>
    <w:p w14:paraId="61520BED" w14:textId="77777777" w:rsidR="004D3E5D" w:rsidRPr="007F7B1D" w:rsidRDefault="004D3E5D" w:rsidP="004D3E5D"/>
    <w:p w14:paraId="23A07B36" w14:textId="77777777" w:rsidR="004D3E5D" w:rsidRDefault="004D3E5D" w:rsidP="004D3E5D">
      <w:pPr>
        <w:rPr>
          <w:b/>
        </w:rPr>
      </w:pPr>
      <w:r>
        <w:rPr>
          <w:b/>
        </w:rPr>
        <w:br w:type="page"/>
      </w:r>
    </w:p>
    <w:p w14:paraId="5EA3809C" w14:textId="231FBD58" w:rsidR="004D3E5D" w:rsidRPr="007F7B1D" w:rsidRDefault="004D3E5D" w:rsidP="004D3E5D">
      <w:pPr>
        <w:rPr>
          <w:b/>
        </w:rPr>
      </w:pPr>
      <w:r w:rsidRPr="007F7B1D">
        <w:rPr>
          <w:b/>
        </w:rPr>
        <w:lastRenderedPageBreak/>
        <w:t>Reference</w:t>
      </w:r>
      <w:r w:rsidR="00CB505D">
        <w:rPr>
          <w:b/>
        </w:rPr>
        <w:t>s</w:t>
      </w:r>
    </w:p>
    <w:p w14:paraId="080CC38B" w14:textId="77777777" w:rsidR="005C76F9" w:rsidRDefault="005C76F9" w:rsidP="007578BB">
      <w:pPr>
        <w:ind w:left="720" w:hanging="720"/>
      </w:pPr>
    </w:p>
    <w:p w14:paraId="4189D124" w14:textId="77777777" w:rsidR="007578BB" w:rsidRDefault="004D3E5D" w:rsidP="007578BB">
      <w:pPr>
        <w:ind w:left="720" w:hanging="720"/>
        <w:rPr>
          <w:noProof/>
        </w:rPr>
      </w:pPr>
      <w:r w:rsidRPr="007F7B1D">
        <w:fldChar w:fldCharType="begin"/>
      </w:r>
      <w:r w:rsidRPr="007F7B1D">
        <w:instrText xml:space="preserve"> ADDIN EN.REFLIST </w:instrText>
      </w:r>
      <w:r w:rsidRPr="007F7B1D">
        <w:fldChar w:fldCharType="separate"/>
      </w:r>
      <w:bookmarkStart w:id="15" w:name="_ENREF_1"/>
      <w:r w:rsidR="007578BB">
        <w:rPr>
          <w:noProof/>
        </w:rPr>
        <w:t xml:space="preserve">Borchardt, M. A., N. L. Haas, et al. (2004). "Vulnerability of drinking-water wells in La Crosse, Wisconsin, to enteric-virus contamination from surface water contributions." </w:t>
      </w:r>
      <w:r w:rsidR="007578BB" w:rsidRPr="007578BB">
        <w:rPr>
          <w:noProof/>
          <w:u w:val="single"/>
        </w:rPr>
        <w:t>Applied and Environmental Microbiology</w:t>
      </w:r>
      <w:r w:rsidR="007578BB">
        <w:rPr>
          <w:noProof/>
        </w:rPr>
        <w:t xml:space="preserve"> </w:t>
      </w:r>
      <w:r w:rsidR="007578BB" w:rsidRPr="007578BB">
        <w:rPr>
          <w:b/>
          <w:noProof/>
        </w:rPr>
        <w:t>70</w:t>
      </w:r>
      <w:r w:rsidR="007578BB">
        <w:rPr>
          <w:noProof/>
        </w:rPr>
        <w:t>(10): 5937-5946.</w:t>
      </w:r>
      <w:bookmarkEnd w:id="15"/>
    </w:p>
    <w:p w14:paraId="5F291E34" w14:textId="77777777" w:rsidR="007578BB" w:rsidRDefault="007578BB" w:rsidP="007578BB">
      <w:pPr>
        <w:ind w:left="720" w:hanging="720"/>
        <w:rPr>
          <w:noProof/>
        </w:rPr>
      </w:pPr>
      <w:bookmarkStart w:id="16" w:name="_ENREF_2"/>
      <w:r>
        <w:rPr>
          <w:noProof/>
        </w:rPr>
        <w:t xml:space="preserve">Colford, J. M., Jr., S. Roy, et al. (2006). "A review of household drinking water intervention trials and an approach to the estimation of endemic waterborne gastroenteritis in the United States." </w:t>
      </w:r>
      <w:r w:rsidRPr="007578BB">
        <w:rPr>
          <w:noProof/>
          <w:u w:val="single"/>
        </w:rPr>
        <w:t>J Water Health</w:t>
      </w:r>
      <w:r>
        <w:rPr>
          <w:noProof/>
        </w:rPr>
        <w:t xml:space="preserve"> </w:t>
      </w:r>
      <w:r w:rsidRPr="007578BB">
        <w:rPr>
          <w:b/>
          <w:noProof/>
        </w:rPr>
        <w:t>4 Suppl 2</w:t>
      </w:r>
      <w:r>
        <w:rPr>
          <w:noProof/>
        </w:rPr>
        <w:t>: 71-88.</w:t>
      </w:r>
      <w:bookmarkEnd w:id="16"/>
    </w:p>
    <w:p w14:paraId="47789FB6" w14:textId="77777777" w:rsidR="007578BB" w:rsidRDefault="007578BB" w:rsidP="007578BB">
      <w:pPr>
        <w:ind w:left="720" w:hanging="720"/>
        <w:rPr>
          <w:noProof/>
        </w:rPr>
      </w:pPr>
      <w:bookmarkStart w:id="17" w:name="_ENREF_3"/>
      <w:r>
        <w:rPr>
          <w:noProof/>
        </w:rPr>
        <w:t xml:space="preserve">Colford, J. M., T. J. Wade, et al. (2005). "A randomized, controlled trial of in-home drinking water intervention to reduce gastrointestinal illness." </w:t>
      </w:r>
      <w:r w:rsidRPr="007578BB">
        <w:rPr>
          <w:noProof/>
          <w:u w:val="single"/>
        </w:rPr>
        <w:t>American Journal of Epidemiology</w:t>
      </w:r>
      <w:r>
        <w:rPr>
          <w:noProof/>
        </w:rPr>
        <w:t xml:space="preserve"> </w:t>
      </w:r>
      <w:r w:rsidRPr="007578BB">
        <w:rPr>
          <w:b/>
          <w:noProof/>
        </w:rPr>
        <w:t>161</w:t>
      </w:r>
      <w:r>
        <w:rPr>
          <w:noProof/>
        </w:rPr>
        <w:t>(5): 472-482.</w:t>
      </w:r>
      <w:bookmarkEnd w:id="17"/>
    </w:p>
    <w:p w14:paraId="7993D564" w14:textId="77777777" w:rsidR="007578BB" w:rsidRDefault="007578BB" w:rsidP="007578BB">
      <w:pPr>
        <w:ind w:left="720" w:hanging="720"/>
        <w:rPr>
          <w:noProof/>
        </w:rPr>
      </w:pPr>
      <w:bookmarkStart w:id="18" w:name="_ENREF_4"/>
      <w:r>
        <w:rPr>
          <w:noProof/>
        </w:rPr>
        <w:t xml:space="preserve">Craun, G. F., J. M. Brunkard, et al. (2010). "Causes of outbreaks associated with drinking water in the United States from 1971 to 2006." </w:t>
      </w:r>
      <w:r w:rsidRPr="007578BB">
        <w:rPr>
          <w:noProof/>
          <w:u w:val="single"/>
        </w:rPr>
        <w:t>Clin Microbiol Rev</w:t>
      </w:r>
      <w:r>
        <w:rPr>
          <w:noProof/>
        </w:rPr>
        <w:t xml:space="preserve"> </w:t>
      </w:r>
      <w:r w:rsidRPr="007578BB">
        <w:rPr>
          <w:b/>
          <w:noProof/>
        </w:rPr>
        <w:t>23</w:t>
      </w:r>
      <w:r>
        <w:rPr>
          <w:noProof/>
        </w:rPr>
        <w:t>(3): 507-528.</w:t>
      </w:r>
      <w:bookmarkEnd w:id="18"/>
    </w:p>
    <w:p w14:paraId="376E5A16" w14:textId="77777777" w:rsidR="007578BB" w:rsidRDefault="007578BB" w:rsidP="007578BB">
      <w:pPr>
        <w:ind w:left="720" w:hanging="720"/>
        <w:rPr>
          <w:noProof/>
        </w:rPr>
      </w:pPr>
      <w:bookmarkStart w:id="19" w:name="_ENREF_5"/>
      <w:r>
        <w:rPr>
          <w:noProof/>
        </w:rPr>
        <w:t xml:space="preserve">Dillman, D. A. (2007). </w:t>
      </w:r>
      <w:r w:rsidRPr="007578BB">
        <w:rPr>
          <w:noProof/>
          <w:u w:val="single"/>
        </w:rPr>
        <w:t>Mail and Internet Surveys: The Tailored Design Method</w:t>
      </w:r>
      <w:r>
        <w:rPr>
          <w:noProof/>
        </w:rPr>
        <w:t>. New Jersey, John Wiley &amp; Sons, Inc.</w:t>
      </w:r>
      <w:bookmarkEnd w:id="19"/>
    </w:p>
    <w:p w14:paraId="1F82C21B" w14:textId="77777777" w:rsidR="007578BB" w:rsidRDefault="007578BB" w:rsidP="007578BB">
      <w:pPr>
        <w:ind w:left="720" w:hanging="720"/>
        <w:rPr>
          <w:noProof/>
        </w:rPr>
      </w:pPr>
      <w:bookmarkStart w:id="20" w:name="_ENREF_6"/>
      <w:r>
        <w:rPr>
          <w:noProof/>
        </w:rPr>
        <w:t xml:space="preserve">Etheridge, B. P., T; Holiday, J; Underwood, R; Woernle, C; Zajac, L; Morrison, M; Brunkard, J; Miller, M; Otto, C; Hightower, A; Wolkon, A; Gargano, J; Freeland, A; EIS Officers (2011). Community Health Impact of Extended Loss of Water Service - Alabama, January 2010. </w:t>
      </w:r>
      <w:r w:rsidRPr="007578BB">
        <w:rPr>
          <w:noProof/>
          <w:u w:val="single"/>
        </w:rPr>
        <w:t>Morbidity and Mortality Weekly Report</w:t>
      </w:r>
      <w:r>
        <w:rPr>
          <w:noProof/>
        </w:rPr>
        <w:t xml:space="preserve">, Centers for Disease Control and Prevention. </w:t>
      </w:r>
      <w:r w:rsidRPr="007578BB">
        <w:rPr>
          <w:b/>
          <w:noProof/>
        </w:rPr>
        <w:t xml:space="preserve">60: </w:t>
      </w:r>
      <w:r>
        <w:rPr>
          <w:noProof/>
        </w:rPr>
        <w:t>161 - 166.</w:t>
      </w:r>
      <w:bookmarkEnd w:id="20"/>
    </w:p>
    <w:p w14:paraId="65CD0BC7" w14:textId="77777777" w:rsidR="00CB505D" w:rsidRDefault="00CB505D" w:rsidP="00CB505D">
      <w:pPr>
        <w:ind w:left="720" w:hanging="720"/>
      </w:pPr>
      <w:bookmarkStart w:id="21" w:name="_ENREF_7"/>
      <w:r w:rsidRPr="006A21E7">
        <w:t xml:space="preserve">Gargano J, Hill V, Adam E, Schneeberger C. Pilot CDC epidemiologic study of low pressure events in drinking water distribution systems and request for utility participants. Water Research Foundation. Public Project Papers. September </w:t>
      </w:r>
      <w:r w:rsidRPr="006A21E7">
        <w:lastRenderedPageBreak/>
        <w:t xml:space="preserve">2014. </w:t>
      </w:r>
      <w:hyperlink r:id="rId15" w:history="1">
        <w:r w:rsidRPr="006A21E7">
          <w:rPr>
            <w:rStyle w:val="Hyperlink"/>
            <w:rFonts w:eastAsiaTheme="majorEastAsia"/>
          </w:rPr>
          <w:t>http://www.waterrf.org/resources/pages/PublicProjectPapers-detail.aspx?ItemID=19</w:t>
        </w:r>
      </w:hyperlink>
      <w:r w:rsidRPr="006A21E7">
        <w:t>.</w:t>
      </w:r>
    </w:p>
    <w:p w14:paraId="765D3D8D" w14:textId="77777777" w:rsidR="007578BB" w:rsidRDefault="007578BB" w:rsidP="007578BB">
      <w:pPr>
        <w:ind w:left="720" w:hanging="720"/>
        <w:rPr>
          <w:noProof/>
        </w:rPr>
      </w:pPr>
      <w:r>
        <w:rPr>
          <w:noProof/>
        </w:rPr>
        <w:t xml:space="preserve">Hellard, M. E., M. I. Sinclair, et al. (2001). "A randomized, blinded, controlled trial investigating the gastrointestinal health effects of drinking water quality." </w:t>
      </w:r>
      <w:r w:rsidRPr="007578BB">
        <w:rPr>
          <w:noProof/>
          <w:u w:val="single"/>
        </w:rPr>
        <w:t>Environ Health Perspect</w:t>
      </w:r>
      <w:r>
        <w:rPr>
          <w:noProof/>
        </w:rPr>
        <w:t xml:space="preserve"> </w:t>
      </w:r>
      <w:r w:rsidRPr="007578BB">
        <w:rPr>
          <w:b/>
          <w:noProof/>
        </w:rPr>
        <w:t>109</w:t>
      </w:r>
      <w:r>
        <w:rPr>
          <w:noProof/>
        </w:rPr>
        <w:t>(8): 773-778.</w:t>
      </w:r>
      <w:bookmarkEnd w:id="21"/>
    </w:p>
    <w:p w14:paraId="56E86680" w14:textId="77777777" w:rsidR="00CB505D" w:rsidRDefault="00CB505D" w:rsidP="00CB505D">
      <w:pPr>
        <w:ind w:left="720" w:hanging="720"/>
      </w:pPr>
      <w:r w:rsidRPr="006A21E7">
        <w:t>Hill V, Gargano J, Adam E, Schneeberger C. (2014). Epidemiologic study of health effects associated with low pressure events in a drinking water distribution system. American Water Works Association (AWWA) 2014 Water Quality Technology Conference. New Orleans, LA.</w:t>
      </w:r>
    </w:p>
    <w:p w14:paraId="720F4FD1" w14:textId="77777777" w:rsidR="007578BB" w:rsidRDefault="007578BB" w:rsidP="007578BB">
      <w:pPr>
        <w:ind w:left="720" w:hanging="720"/>
        <w:rPr>
          <w:noProof/>
        </w:rPr>
      </w:pPr>
      <w:bookmarkStart w:id="22" w:name="_ENREF_8"/>
      <w:r>
        <w:rPr>
          <w:noProof/>
        </w:rPr>
        <w:t xml:space="preserve">Hunter, P. R., R. M. Chalmers, et al. (2005). "Self-reported diarrhea in a control group: a strong association with reporting of low-pressure events in tap water." </w:t>
      </w:r>
      <w:r w:rsidRPr="007578BB">
        <w:rPr>
          <w:noProof/>
          <w:u w:val="single"/>
        </w:rPr>
        <w:t>Clin Infect Dis</w:t>
      </w:r>
      <w:r>
        <w:rPr>
          <w:noProof/>
        </w:rPr>
        <w:t xml:space="preserve"> </w:t>
      </w:r>
      <w:r w:rsidRPr="007578BB">
        <w:rPr>
          <w:b/>
          <w:noProof/>
        </w:rPr>
        <w:t>40</w:t>
      </w:r>
      <w:r>
        <w:rPr>
          <w:noProof/>
        </w:rPr>
        <w:t>(4): e32-34.</w:t>
      </w:r>
      <w:bookmarkEnd w:id="22"/>
    </w:p>
    <w:p w14:paraId="50760008" w14:textId="77777777" w:rsidR="007578BB" w:rsidRDefault="007578BB" w:rsidP="007578BB">
      <w:pPr>
        <w:ind w:left="720" w:hanging="720"/>
        <w:rPr>
          <w:noProof/>
        </w:rPr>
      </w:pPr>
      <w:bookmarkStart w:id="23" w:name="_ENREF_9"/>
      <w:r>
        <w:rPr>
          <w:noProof/>
        </w:rPr>
        <w:t xml:space="preserve">Lambertini, E., S. K. Spencer, et al. (2011). "Virus contamination from operation and maintenance events in small drinking water distribution systems." </w:t>
      </w:r>
      <w:r w:rsidRPr="007578BB">
        <w:rPr>
          <w:noProof/>
          <w:u w:val="single"/>
        </w:rPr>
        <w:t>Journal of Water and Health</w:t>
      </w:r>
      <w:r>
        <w:rPr>
          <w:noProof/>
        </w:rPr>
        <w:t xml:space="preserve"> </w:t>
      </w:r>
      <w:r w:rsidRPr="007578BB">
        <w:rPr>
          <w:b/>
          <w:noProof/>
        </w:rPr>
        <w:t>9</w:t>
      </w:r>
      <w:r>
        <w:rPr>
          <w:noProof/>
        </w:rPr>
        <w:t>(4): 799-812.</w:t>
      </w:r>
      <w:bookmarkEnd w:id="23"/>
    </w:p>
    <w:p w14:paraId="59EC1D87" w14:textId="77777777" w:rsidR="007578BB" w:rsidRDefault="007578BB" w:rsidP="007578BB">
      <w:pPr>
        <w:ind w:left="720" w:hanging="720"/>
        <w:rPr>
          <w:noProof/>
        </w:rPr>
      </w:pPr>
      <w:bookmarkStart w:id="24" w:name="_ENREF_10"/>
      <w:r>
        <w:rPr>
          <w:noProof/>
        </w:rPr>
        <w:t xml:space="preserve">LeChevallier, M. W., R. W. Gullick, et al. (2003). "The potential for health risks from intrusion of contaminants into the distribution system from pressure transients." </w:t>
      </w:r>
      <w:r w:rsidRPr="007578BB">
        <w:rPr>
          <w:noProof/>
          <w:u w:val="single"/>
        </w:rPr>
        <w:t>J Water Health</w:t>
      </w:r>
      <w:r>
        <w:rPr>
          <w:noProof/>
        </w:rPr>
        <w:t xml:space="preserve"> </w:t>
      </w:r>
      <w:r w:rsidRPr="007578BB">
        <w:rPr>
          <w:b/>
          <w:noProof/>
        </w:rPr>
        <w:t>1</w:t>
      </w:r>
      <w:r>
        <w:rPr>
          <w:noProof/>
        </w:rPr>
        <w:t>(1): 3-14.</w:t>
      </w:r>
      <w:bookmarkEnd w:id="24"/>
    </w:p>
    <w:p w14:paraId="5235B017" w14:textId="77777777" w:rsidR="007578BB" w:rsidRDefault="007578BB" w:rsidP="007578BB">
      <w:pPr>
        <w:ind w:left="720" w:hanging="720"/>
        <w:rPr>
          <w:noProof/>
        </w:rPr>
      </w:pPr>
      <w:bookmarkStart w:id="25" w:name="_ENREF_11"/>
      <w:r>
        <w:rPr>
          <w:noProof/>
        </w:rPr>
        <w:t xml:space="preserve">Mead, P. S., L. Slutsker, et al. (1999). "Food-related illness and death in the United States." </w:t>
      </w:r>
      <w:r w:rsidRPr="007578BB">
        <w:rPr>
          <w:noProof/>
          <w:u w:val="single"/>
        </w:rPr>
        <w:t>Emerg Infect Dis</w:t>
      </w:r>
      <w:r>
        <w:rPr>
          <w:noProof/>
        </w:rPr>
        <w:t xml:space="preserve"> </w:t>
      </w:r>
      <w:r w:rsidRPr="007578BB">
        <w:rPr>
          <w:b/>
          <w:noProof/>
        </w:rPr>
        <w:t>5</w:t>
      </w:r>
      <w:r>
        <w:rPr>
          <w:noProof/>
        </w:rPr>
        <w:t>(5): 607-625.</w:t>
      </w:r>
      <w:bookmarkEnd w:id="25"/>
    </w:p>
    <w:p w14:paraId="1B160859" w14:textId="77777777" w:rsidR="00CB505D" w:rsidRDefault="00CB505D" w:rsidP="005C76F9">
      <w:pPr>
        <w:ind w:left="720" w:hanging="720"/>
        <w:rPr>
          <w:noProof/>
        </w:rPr>
      </w:pPr>
      <w:r>
        <w:rPr>
          <w:noProof/>
        </w:rPr>
        <w:t xml:space="preserve">Nygard, K., E. Wahl, et al. (2007). "Breaks and maintenance work in the water distribution systems and gastrointestinal illness: a cohort study." </w:t>
      </w:r>
      <w:r w:rsidRPr="007578BB">
        <w:rPr>
          <w:noProof/>
          <w:u w:val="single"/>
        </w:rPr>
        <w:t>International Journal of Epidemiology</w:t>
      </w:r>
      <w:r>
        <w:rPr>
          <w:noProof/>
        </w:rPr>
        <w:t xml:space="preserve"> </w:t>
      </w:r>
      <w:r w:rsidRPr="007578BB">
        <w:rPr>
          <w:b/>
          <w:noProof/>
        </w:rPr>
        <w:t>36</w:t>
      </w:r>
      <w:r>
        <w:rPr>
          <w:noProof/>
        </w:rPr>
        <w:t>(4): 873-880.</w:t>
      </w:r>
    </w:p>
    <w:p w14:paraId="59F1E0C0" w14:textId="77777777" w:rsidR="007578BB" w:rsidRDefault="007578BB" w:rsidP="007578BB">
      <w:pPr>
        <w:ind w:left="720" w:hanging="720"/>
        <w:rPr>
          <w:noProof/>
        </w:rPr>
      </w:pPr>
      <w:bookmarkStart w:id="26" w:name="_ENREF_13"/>
      <w:r>
        <w:rPr>
          <w:noProof/>
        </w:rPr>
        <w:t xml:space="preserve">Payment, P., L. Richardson, et al. (1991). "A randomized trial to evaluate the risk of gastrointestinal disease due to </w:t>
      </w:r>
      <w:r>
        <w:rPr>
          <w:noProof/>
        </w:rPr>
        <w:lastRenderedPageBreak/>
        <w:t xml:space="preserve">consumption of drinking water meeting current microbiological standards." </w:t>
      </w:r>
      <w:r w:rsidRPr="007578BB">
        <w:rPr>
          <w:noProof/>
          <w:u w:val="single"/>
        </w:rPr>
        <w:t>Am J Public Health</w:t>
      </w:r>
      <w:r>
        <w:rPr>
          <w:noProof/>
        </w:rPr>
        <w:t xml:space="preserve"> </w:t>
      </w:r>
      <w:r w:rsidRPr="007578BB">
        <w:rPr>
          <w:b/>
          <w:noProof/>
        </w:rPr>
        <w:t>81</w:t>
      </w:r>
      <w:r>
        <w:rPr>
          <w:noProof/>
        </w:rPr>
        <w:t>(6): 703-708.</w:t>
      </w:r>
      <w:bookmarkEnd w:id="26"/>
    </w:p>
    <w:p w14:paraId="2F48024A" w14:textId="77777777" w:rsidR="007578BB" w:rsidRDefault="007578BB" w:rsidP="007578BB">
      <w:pPr>
        <w:ind w:left="720" w:hanging="720"/>
        <w:rPr>
          <w:noProof/>
        </w:rPr>
      </w:pPr>
      <w:bookmarkStart w:id="27" w:name="_ENREF_14"/>
      <w:r>
        <w:rPr>
          <w:noProof/>
        </w:rPr>
        <w:t xml:space="preserve">Payment, P., J. Siemiatycki, et al. (1997). "A prospective epidemiological study of gastrointestinal health effects due to the consumption of drinking water." </w:t>
      </w:r>
      <w:r w:rsidRPr="007578BB">
        <w:rPr>
          <w:noProof/>
          <w:u w:val="single"/>
        </w:rPr>
        <w:t>International Journal of Environmental Health Research</w:t>
      </w:r>
      <w:r>
        <w:rPr>
          <w:noProof/>
        </w:rPr>
        <w:t xml:space="preserve"> </w:t>
      </w:r>
      <w:r w:rsidRPr="007578BB">
        <w:rPr>
          <w:b/>
          <w:noProof/>
        </w:rPr>
        <w:t>7</w:t>
      </w:r>
      <w:r>
        <w:rPr>
          <w:noProof/>
        </w:rPr>
        <w:t>(1): 5-31.</w:t>
      </w:r>
      <w:bookmarkEnd w:id="27"/>
    </w:p>
    <w:p w14:paraId="439E997F" w14:textId="77777777" w:rsidR="007578BB" w:rsidRDefault="007578BB" w:rsidP="007578BB">
      <w:pPr>
        <w:ind w:left="720" w:hanging="720"/>
        <w:rPr>
          <w:noProof/>
        </w:rPr>
      </w:pPr>
      <w:bookmarkStart w:id="28" w:name="_ENREF_16"/>
      <w:r>
        <w:rPr>
          <w:noProof/>
        </w:rPr>
        <w:t xml:space="preserve">Swerdlow, D. L., B. A. Woodruff, et al. (1992). "A waterborne outbreak in Missouri of Escherichia coli O157:H7 associated with bloody diarrhea and death." </w:t>
      </w:r>
      <w:r w:rsidRPr="007578BB">
        <w:rPr>
          <w:noProof/>
          <w:u w:val="single"/>
        </w:rPr>
        <w:t>Ann Intern Med</w:t>
      </w:r>
      <w:r>
        <w:rPr>
          <w:noProof/>
        </w:rPr>
        <w:t xml:space="preserve"> </w:t>
      </w:r>
      <w:r w:rsidRPr="007578BB">
        <w:rPr>
          <w:b/>
          <w:noProof/>
        </w:rPr>
        <w:t>117</w:t>
      </w:r>
      <w:r>
        <w:rPr>
          <w:noProof/>
        </w:rPr>
        <w:t>(10): 812-819.</w:t>
      </w:r>
      <w:bookmarkEnd w:id="28"/>
    </w:p>
    <w:p w14:paraId="367378ED" w14:textId="77777777" w:rsidR="007578BB" w:rsidRDefault="007578BB" w:rsidP="007578BB">
      <w:pPr>
        <w:ind w:left="720" w:hanging="720"/>
        <w:rPr>
          <w:noProof/>
        </w:rPr>
      </w:pPr>
      <w:bookmarkStart w:id="29" w:name="_ENREF_17"/>
      <w:r>
        <w:rPr>
          <w:noProof/>
        </w:rPr>
        <w:t xml:space="preserve">U.S. Environmental Protection Agency. (2008). "Total Coliform Rule/Distribution System (TCRDS) Federal Advisory Committee Agreement in Principle."   Retrieved December 6, 2010, from </w:t>
      </w:r>
      <w:hyperlink r:id="rId16" w:history="1">
        <w:r w:rsidRPr="007578BB">
          <w:rPr>
            <w:rStyle w:val="Hyperlink"/>
            <w:noProof/>
          </w:rPr>
          <w:t>http://www.epa.gov/safewater/disinfection/tcr/pdfs/tcrdsac/agreementinprinciple_tcrdsac_2008-09-18.pdf</w:t>
        </w:r>
      </w:hyperlink>
      <w:r>
        <w:rPr>
          <w:noProof/>
        </w:rPr>
        <w:t>.</w:t>
      </w:r>
      <w:bookmarkEnd w:id="29"/>
    </w:p>
    <w:p w14:paraId="06F2E322" w14:textId="578CC620" w:rsidR="007578BB" w:rsidRDefault="007578BB" w:rsidP="007578BB">
      <w:pPr>
        <w:ind w:left="720" w:hanging="720"/>
        <w:rPr>
          <w:noProof/>
        </w:rPr>
      </w:pPr>
      <w:bookmarkStart w:id="30" w:name="_ENREF_18"/>
      <w:r>
        <w:rPr>
          <w:noProof/>
        </w:rPr>
        <w:t xml:space="preserve">U.S. Environmental Protection Agency. (2009). "Aging Water Infrastructure (AWI) Research: Water Distribution Systems."   Retrieved August 24th, 2009, from </w:t>
      </w:r>
      <w:hyperlink r:id="rId17" w:history="1">
        <w:r w:rsidRPr="007578BB">
          <w:rPr>
            <w:rStyle w:val="Hyperlink"/>
            <w:noProof/>
          </w:rPr>
          <w:t>http://www.epa.gov/awi/distributionsys.html</w:t>
        </w:r>
      </w:hyperlink>
      <w:r>
        <w:rPr>
          <w:noProof/>
        </w:rPr>
        <w:t>.</w:t>
      </w:r>
      <w:bookmarkEnd w:id="30"/>
    </w:p>
    <w:p w14:paraId="2F004A52" w14:textId="77777777" w:rsidR="007578BB" w:rsidRDefault="007578BB" w:rsidP="007578BB">
      <w:pPr>
        <w:ind w:left="720" w:hanging="720"/>
        <w:rPr>
          <w:noProof/>
        </w:rPr>
      </w:pPr>
      <w:bookmarkStart w:id="31" w:name="_ENREF_19"/>
      <w:r>
        <w:rPr>
          <w:noProof/>
        </w:rPr>
        <w:t xml:space="preserve">U.S. Environmental Protection Agency and Water Research Foundation. (2010). "Final Priorities of the Distribution System Research and Information Collection Partnership."   Retrieved September 3, 2010, from </w:t>
      </w:r>
      <w:hyperlink r:id="rId18" w:history="1">
        <w:r w:rsidRPr="007578BB">
          <w:rPr>
            <w:rStyle w:val="Hyperlink"/>
            <w:noProof/>
          </w:rPr>
          <w:t>http://www.epa.gov/safewater/disinfection/tcr/pdfs/tcrdsac/finpridsricp051010.pdf</w:t>
        </w:r>
      </w:hyperlink>
      <w:r>
        <w:rPr>
          <w:noProof/>
        </w:rPr>
        <w:t xml:space="preserve"> </w:t>
      </w:r>
      <w:bookmarkEnd w:id="31"/>
    </w:p>
    <w:p w14:paraId="6DDBDB7A" w14:textId="23214B5E" w:rsidR="00DA4182" w:rsidRDefault="004D3E5D">
      <w:r w:rsidRPr="007F7B1D">
        <w:fldChar w:fldCharType="end"/>
      </w:r>
    </w:p>
    <w:sectPr w:rsidR="00DA4182" w:rsidSect="00DA4182">
      <w:footerReference w:type="even" r:id="rId19"/>
      <w:footerReference w:type="defaul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F1355" w14:textId="77777777" w:rsidR="00E22B23" w:rsidRDefault="00E22B23">
      <w:r>
        <w:separator/>
      </w:r>
    </w:p>
  </w:endnote>
  <w:endnote w:type="continuationSeparator" w:id="0">
    <w:p w14:paraId="714B0FC9" w14:textId="77777777" w:rsidR="00E22B23" w:rsidRDefault="00E2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9364A" w14:textId="77777777" w:rsidR="00E22B23" w:rsidRDefault="00E22B23" w:rsidP="00DA418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DF4A619" w14:textId="77777777" w:rsidR="00E22B23" w:rsidRDefault="00E22B23" w:rsidP="00DA41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21EF6" w14:textId="77777777" w:rsidR="00E22B23" w:rsidRDefault="00E22B23" w:rsidP="00DA418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F63EA7">
      <w:rPr>
        <w:rStyle w:val="PageNumber"/>
        <w:rFonts w:eastAsiaTheme="majorEastAsia"/>
        <w:noProof/>
      </w:rPr>
      <w:t>4</w:t>
    </w:r>
    <w:r>
      <w:rPr>
        <w:rStyle w:val="PageNumber"/>
        <w:rFonts w:eastAsiaTheme="majorEastAsia"/>
      </w:rPr>
      <w:fldChar w:fldCharType="end"/>
    </w:r>
  </w:p>
  <w:p w14:paraId="1D3A963E" w14:textId="77777777" w:rsidR="00E22B23" w:rsidRDefault="00E22B23" w:rsidP="00DA41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8C10A" w14:textId="77777777" w:rsidR="00E22B23" w:rsidRDefault="00E22B23">
      <w:r>
        <w:separator/>
      </w:r>
    </w:p>
  </w:footnote>
  <w:footnote w:type="continuationSeparator" w:id="0">
    <w:p w14:paraId="723EAF8F" w14:textId="77777777" w:rsidR="00E22B23" w:rsidRDefault="00E22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592"/>
    <w:multiLevelType w:val="hybridMultilevel"/>
    <w:tmpl w:val="AD60BE90"/>
    <w:lvl w:ilvl="0" w:tplc="CF405B30">
      <w:start w:val="1"/>
      <w:numFmt w:val="bullet"/>
      <w:lvlText w:val=""/>
      <w:lvlJc w:val="left"/>
      <w:pPr>
        <w:tabs>
          <w:tab w:val="num" w:pos="720"/>
        </w:tabs>
        <w:ind w:left="72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F3B5D"/>
    <w:multiLevelType w:val="hybridMultilevel"/>
    <w:tmpl w:val="817623CC"/>
    <w:lvl w:ilvl="0" w:tplc="AEC6741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445BB"/>
    <w:multiLevelType w:val="hybridMultilevel"/>
    <w:tmpl w:val="CC683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460AC"/>
    <w:multiLevelType w:val="hybridMultilevel"/>
    <w:tmpl w:val="C5DA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641F1"/>
    <w:multiLevelType w:val="hybridMultilevel"/>
    <w:tmpl w:val="27BCC3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5E5C6F"/>
    <w:multiLevelType w:val="hybridMultilevel"/>
    <w:tmpl w:val="8A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043C0"/>
    <w:multiLevelType w:val="multilevel"/>
    <w:tmpl w:val="D53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B68F0"/>
    <w:multiLevelType w:val="hybridMultilevel"/>
    <w:tmpl w:val="398873D6"/>
    <w:lvl w:ilvl="0" w:tplc="F2EABA78">
      <w:start w:val="3"/>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764"/>
    <w:multiLevelType w:val="hybridMultilevel"/>
    <w:tmpl w:val="1AB4CC6C"/>
    <w:lvl w:ilvl="0" w:tplc="41C6A8D6">
      <w:start w:val="1"/>
      <w:numFmt w:val="bullet"/>
      <w:lvlText w:val=""/>
      <w:lvlJc w:val="left"/>
      <w:pPr>
        <w:tabs>
          <w:tab w:val="num" w:pos="360"/>
        </w:tabs>
        <w:ind w:left="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17CC2"/>
    <w:multiLevelType w:val="hybridMultilevel"/>
    <w:tmpl w:val="E50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0134885"/>
    <w:multiLevelType w:val="hybridMultilevel"/>
    <w:tmpl w:val="DA6A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42E50D42"/>
    <w:multiLevelType w:val="hybridMultilevel"/>
    <w:tmpl w:val="9886CC8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2E878BE"/>
    <w:multiLevelType w:val="hybridMultilevel"/>
    <w:tmpl w:val="A96618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4B33784"/>
    <w:multiLevelType w:val="hybridMultilevel"/>
    <w:tmpl w:val="FDE27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66BD8"/>
    <w:multiLevelType w:val="hybridMultilevel"/>
    <w:tmpl w:val="F02449F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76D57B5"/>
    <w:multiLevelType w:val="hybridMultilevel"/>
    <w:tmpl w:val="1116DEA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0508B"/>
    <w:multiLevelType w:val="hybridMultilevel"/>
    <w:tmpl w:val="30F6D010"/>
    <w:lvl w:ilvl="0" w:tplc="602E2A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F1AB7"/>
    <w:multiLevelType w:val="hybridMultilevel"/>
    <w:tmpl w:val="363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22C74"/>
    <w:multiLevelType w:val="hybridMultilevel"/>
    <w:tmpl w:val="9E80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92609"/>
    <w:multiLevelType w:val="hybridMultilevel"/>
    <w:tmpl w:val="B3B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33BDD"/>
    <w:multiLevelType w:val="hybridMultilevel"/>
    <w:tmpl w:val="714879F0"/>
    <w:lvl w:ilvl="0" w:tplc="CBC26F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DB531F7"/>
    <w:multiLevelType w:val="hybridMultilevel"/>
    <w:tmpl w:val="F37212C0"/>
    <w:lvl w:ilvl="0" w:tplc="418C1C3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F0C21EC"/>
    <w:multiLevelType w:val="hybridMultilevel"/>
    <w:tmpl w:val="46C438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F513ABF"/>
    <w:multiLevelType w:val="hybridMultilevel"/>
    <w:tmpl w:val="E8ACCBAC"/>
    <w:lvl w:ilvl="0" w:tplc="08F2A05A">
      <w:start w:val="1"/>
      <w:numFmt w:val="decimal"/>
      <w:lvlText w:val="%1."/>
      <w:lvlJc w:val="left"/>
      <w:pPr>
        <w:ind w:left="36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FB4B86"/>
    <w:multiLevelType w:val="hybridMultilevel"/>
    <w:tmpl w:val="A330D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313F"/>
    <w:multiLevelType w:val="hybridMultilevel"/>
    <w:tmpl w:val="D8F4AD7C"/>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B2D4C12"/>
    <w:multiLevelType w:val="hybridMultilevel"/>
    <w:tmpl w:val="0C7E9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4"/>
  </w:num>
  <w:num w:numId="3">
    <w:abstractNumId w:val="14"/>
  </w:num>
  <w:num w:numId="4">
    <w:abstractNumId w:val="12"/>
  </w:num>
  <w:num w:numId="5">
    <w:abstractNumId w:val="13"/>
  </w:num>
  <w:num w:numId="6">
    <w:abstractNumId w:val="20"/>
  </w:num>
  <w:num w:numId="7">
    <w:abstractNumId w:val="15"/>
  </w:num>
  <w:num w:numId="8">
    <w:abstractNumId w:val="2"/>
  </w:num>
  <w:num w:numId="9">
    <w:abstractNumId w:val="23"/>
  </w:num>
  <w:num w:numId="10">
    <w:abstractNumId w:val="7"/>
  </w:num>
  <w:num w:numId="11">
    <w:abstractNumId w:val="6"/>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3"/>
  </w:num>
  <w:num w:numId="16">
    <w:abstractNumId w:val="8"/>
  </w:num>
  <w:num w:numId="17">
    <w:abstractNumId w:val="26"/>
  </w:num>
  <w:num w:numId="18">
    <w:abstractNumId w:val="18"/>
  </w:num>
  <w:num w:numId="19">
    <w:abstractNumId w:val="22"/>
  </w:num>
  <w:num w:numId="20">
    <w:abstractNumId w:val="21"/>
  </w:num>
  <w:num w:numId="21">
    <w:abstractNumId w:val="1"/>
  </w:num>
  <w:num w:numId="22">
    <w:abstractNumId w:val="25"/>
  </w:num>
  <w:num w:numId="23">
    <w:abstractNumId w:val="17"/>
  </w:num>
  <w:num w:numId="24">
    <w:abstractNumId w:val="9"/>
  </w:num>
  <w:num w:numId="25">
    <w:abstractNumId w:val="24"/>
  </w:num>
  <w:num w:numId="26">
    <w:abstractNumId w:val="19"/>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txs2vtwj9avpue5a9ixasf7taxrpwpxeta2&quot;&gt;Dist Study OMB Supp Statement Library v3&lt;record-ids&gt;&lt;item&gt;1&lt;/item&gt;&lt;item&gt;2&lt;/item&gt;&lt;item&gt;3&lt;/item&gt;&lt;item&gt;4&lt;/item&gt;&lt;item&gt;5&lt;/item&gt;&lt;item&gt;6&lt;/item&gt;&lt;item&gt;7&lt;/item&gt;&lt;item&gt;8&lt;/item&gt;&lt;item&gt;9&lt;/item&gt;&lt;item&gt;10&lt;/item&gt;&lt;item&gt;11&lt;/item&gt;&lt;item&gt;12&lt;/item&gt;&lt;item&gt;13&lt;/item&gt;&lt;item&gt;14&lt;/item&gt;&lt;item&gt;22&lt;/item&gt;&lt;item&gt;23&lt;/item&gt;&lt;item&gt;24&lt;/item&gt;&lt;item&gt;25&lt;/item&gt;&lt;item&gt;26&lt;/item&gt;&lt;/record-ids&gt;&lt;/item&gt;&lt;/Libraries&gt;"/>
  </w:docVars>
  <w:rsids>
    <w:rsidRoot w:val="004D3E5D"/>
    <w:rsid w:val="00004747"/>
    <w:rsid w:val="00004B5B"/>
    <w:rsid w:val="00004DDA"/>
    <w:rsid w:val="00007BA0"/>
    <w:rsid w:val="00017DA3"/>
    <w:rsid w:val="000221A2"/>
    <w:rsid w:val="00037A86"/>
    <w:rsid w:val="000408C6"/>
    <w:rsid w:val="00047D39"/>
    <w:rsid w:val="00051AD5"/>
    <w:rsid w:val="00055B55"/>
    <w:rsid w:val="00055D3C"/>
    <w:rsid w:val="00055E9F"/>
    <w:rsid w:val="00055F10"/>
    <w:rsid w:val="00057343"/>
    <w:rsid w:val="00064692"/>
    <w:rsid w:val="00072E15"/>
    <w:rsid w:val="00085BA5"/>
    <w:rsid w:val="00093AD6"/>
    <w:rsid w:val="0009497D"/>
    <w:rsid w:val="000A056A"/>
    <w:rsid w:val="000A65C0"/>
    <w:rsid w:val="000B2D0E"/>
    <w:rsid w:val="000B4BB8"/>
    <w:rsid w:val="000B611A"/>
    <w:rsid w:val="000B6430"/>
    <w:rsid w:val="000B7428"/>
    <w:rsid w:val="000B7B7E"/>
    <w:rsid w:val="000C14E7"/>
    <w:rsid w:val="000C1D46"/>
    <w:rsid w:val="000C4963"/>
    <w:rsid w:val="000D0527"/>
    <w:rsid w:val="000D0E52"/>
    <w:rsid w:val="000D2597"/>
    <w:rsid w:val="000D6D41"/>
    <w:rsid w:val="000E6EEF"/>
    <w:rsid w:val="00111761"/>
    <w:rsid w:val="001168B5"/>
    <w:rsid w:val="00116F7F"/>
    <w:rsid w:val="0012486E"/>
    <w:rsid w:val="00130092"/>
    <w:rsid w:val="00130681"/>
    <w:rsid w:val="001355B9"/>
    <w:rsid w:val="001374C5"/>
    <w:rsid w:val="00152110"/>
    <w:rsid w:val="0015417B"/>
    <w:rsid w:val="00154A5C"/>
    <w:rsid w:val="001555F5"/>
    <w:rsid w:val="00156F25"/>
    <w:rsid w:val="00163C17"/>
    <w:rsid w:val="00165E95"/>
    <w:rsid w:val="00171580"/>
    <w:rsid w:val="0017432F"/>
    <w:rsid w:val="00176D9F"/>
    <w:rsid w:val="00177672"/>
    <w:rsid w:val="00184C65"/>
    <w:rsid w:val="001906CF"/>
    <w:rsid w:val="00192027"/>
    <w:rsid w:val="00192CFC"/>
    <w:rsid w:val="001A3652"/>
    <w:rsid w:val="001A4EAA"/>
    <w:rsid w:val="001B1BE4"/>
    <w:rsid w:val="001B300B"/>
    <w:rsid w:val="001C3006"/>
    <w:rsid w:val="001C5B18"/>
    <w:rsid w:val="001C7E75"/>
    <w:rsid w:val="001D560A"/>
    <w:rsid w:val="001E419A"/>
    <w:rsid w:val="001E682D"/>
    <w:rsid w:val="001F2EAD"/>
    <w:rsid w:val="001F2EF1"/>
    <w:rsid w:val="002037B7"/>
    <w:rsid w:val="00211665"/>
    <w:rsid w:val="00211AE4"/>
    <w:rsid w:val="00231310"/>
    <w:rsid w:val="002331E4"/>
    <w:rsid w:val="00234DCE"/>
    <w:rsid w:val="0024222A"/>
    <w:rsid w:val="0024283D"/>
    <w:rsid w:val="00254C8A"/>
    <w:rsid w:val="002576DA"/>
    <w:rsid w:val="002614D1"/>
    <w:rsid w:val="002619B0"/>
    <w:rsid w:val="00266438"/>
    <w:rsid w:val="002707FD"/>
    <w:rsid w:val="002731D5"/>
    <w:rsid w:val="002761D7"/>
    <w:rsid w:val="00281B88"/>
    <w:rsid w:val="00282DDF"/>
    <w:rsid w:val="00283FE0"/>
    <w:rsid w:val="00290826"/>
    <w:rsid w:val="00290838"/>
    <w:rsid w:val="00291F52"/>
    <w:rsid w:val="00295A9A"/>
    <w:rsid w:val="002A0D0D"/>
    <w:rsid w:val="002A7A3C"/>
    <w:rsid w:val="002B13C7"/>
    <w:rsid w:val="002B22E8"/>
    <w:rsid w:val="002B2A26"/>
    <w:rsid w:val="002C09F8"/>
    <w:rsid w:val="002C0BC6"/>
    <w:rsid w:val="002C2208"/>
    <w:rsid w:val="002C7A16"/>
    <w:rsid w:val="002C7C34"/>
    <w:rsid w:val="002D04E3"/>
    <w:rsid w:val="002D1C10"/>
    <w:rsid w:val="002D45C0"/>
    <w:rsid w:val="002D53B4"/>
    <w:rsid w:val="002D6665"/>
    <w:rsid w:val="002E4EB8"/>
    <w:rsid w:val="002E55B1"/>
    <w:rsid w:val="002E6457"/>
    <w:rsid w:val="002E7C04"/>
    <w:rsid w:val="002F58D7"/>
    <w:rsid w:val="002F70AA"/>
    <w:rsid w:val="00305EA1"/>
    <w:rsid w:val="00310534"/>
    <w:rsid w:val="003220F5"/>
    <w:rsid w:val="003264C8"/>
    <w:rsid w:val="00342276"/>
    <w:rsid w:val="003502F3"/>
    <w:rsid w:val="0035665F"/>
    <w:rsid w:val="00357E86"/>
    <w:rsid w:val="003620CA"/>
    <w:rsid w:val="00366C1A"/>
    <w:rsid w:val="00371FA3"/>
    <w:rsid w:val="00373046"/>
    <w:rsid w:val="003739CE"/>
    <w:rsid w:val="00374607"/>
    <w:rsid w:val="00374B2D"/>
    <w:rsid w:val="00375678"/>
    <w:rsid w:val="0037577A"/>
    <w:rsid w:val="00384160"/>
    <w:rsid w:val="003855A6"/>
    <w:rsid w:val="0039002E"/>
    <w:rsid w:val="00390C8E"/>
    <w:rsid w:val="003A479E"/>
    <w:rsid w:val="003A54BA"/>
    <w:rsid w:val="003B2C80"/>
    <w:rsid w:val="003B2E26"/>
    <w:rsid w:val="003B4426"/>
    <w:rsid w:val="003B56FF"/>
    <w:rsid w:val="003B7890"/>
    <w:rsid w:val="003C512D"/>
    <w:rsid w:val="003D21BB"/>
    <w:rsid w:val="003D3809"/>
    <w:rsid w:val="003D5520"/>
    <w:rsid w:val="003D5921"/>
    <w:rsid w:val="003E11BF"/>
    <w:rsid w:val="003E62D3"/>
    <w:rsid w:val="003F30B2"/>
    <w:rsid w:val="003F3383"/>
    <w:rsid w:val="004022CC"/>
    <w:rsid w:val="00402C20"/>
    <w:rsid w:val="00403506"/>
    <w:rsid w:val="004124CA"/>
    <w:rsid w:val="00412A6E"/>
    <w:rsid w:val="00415FC7"/>
    <w:rsid w:val="004179B6"/>
    <w:rsid w:val="004373A9"/>
    <w:rsid w:val="00444AE4"/>
    <w:rsid w:val="00453588"/>
    <w:rsid w:val="004567E6"/>
    <w:rsid w:val="00463404"/>
    <w:rsid w:val="00473D8E"/>
    <w:rsid w:val="00475181"/>
    <w:rsid w:val="004904BE"/>
    <w:rsid w:val="004910F8"/>
    <w:rsid w:val="00491E8E"/>
    <w:rsid w:val="004A29DC"/>
    <w:rsid w:val="004B0D7E"/>
    <w:rsid w:val="004B41EF"/>
    <w:rsid w:val="004B46DB"/>
    <w:rsid w:val="004B5DA6"/>
    <w:rsid w:val="004C4BE2"/>
    <w:rsid w:val="004D08B1"/>
    <w:rsid w:val="004D0F03"/>
    <w:rsid w:val="004D3E5D"/>
    <w:rsid w:val="004D6D8D"/>
    <w:rsid w:val="004E1FC0"/>
    <w:rsid w:val="004E2903"/>
    <w:rsid w:val="004F1E3A"/>
    <w:rsid w:val="004F3F38"/>
    <w:rsid w:val="004F5AAD"/>
    <w:rsid w:val="00504623"/>
    <w:rsid w:val="00510262"/>
    <w:rsid w:val="005134C8"/>
    <w:rsid w:val="005137F1"/>
    <w:rsid w:val="005168F6"/>
    <w:rsid w:val="0052708C"/>
    <w:rsid w:val="00530804"/>
    <w:rsid w:val="0053575E"/>
    <w:rsid w:val="00537705"/>
    <w:rsid w:val="00540347"/>
    <w:rsid w:val="00541E23"/>
    <w:rsid w:val="00553F93"/>
    <w:rsid w:val="005617B6"/>
    <w:rsid w:val="00561A31"/>
    <w:rsid w:val="005676A5"/>
    <w:rsid w:val="005729A9"/>
    <w:rsid w:val="005816D3"/>
    <w:rsid w:val="00582AC1"/>
    <w:rsid w:val="00582EA1"/>
    <w:rsid w:val="00584A5E"/>
    <w:rsid w:val="00587ACC"/>
    <w:rsid w:val="00587ADA"/>
    <w:rsid w:val="00593257"/>
    <w:rsid w:val="00593934"/>
    <w:rsid w:val="005A6F75"/>
    <w:rsid w:val="005B6782"/>
    <w:rsid w:val="005C76F9"/>
    <w:rsid w:val="005D77E7"/>
    <w:rsid w:val="005E3D3C"/>
    <w:rsid w:val="005E4142"/>
    <w:rsid w:val="005E6634"/>
    <w:rsid w:val="005F1EF8"/>
    <w:rsid w:val="005F2772"/>
    <w:rsid w:val="00601E2B"/>
    <w:rsid w:val="006027C6"/>
    <w:rsid w:val="00607016"/>
    <w:rsid w:val="006105EB"/>
    <w:rsid w:val="00613B5B"/>
    <w:rsid w:val="00614B3E"/>
    <w:rsid w:val="00620E7E"/>
    <w:rsid w:val="006245BD"/>
    <w:rsid w:val="006275AF"/>
    <w:rsid w:val="00627EEB"/>
    <w:rsid w:val="00634FB3"/>
    <w:rsid w:val="006362A9"/>
    <w:rsid w:val="00640FAC"/>
    <w:rsid w:val="00644E24"/>
    <w:rsid w:val="00645280"/>
    <w:rsid w:val="00645314"/>
    <w:rsid w:val="00652F34"/>
    <w:rsid w:val="00657A96"/>
    <w:rsid w:val="00664B25"/>
    <w:rsid w:val="00667B3C"/>
    <w:rsid w:val="006745C1"/>
    <w:rsid w:val="00681B2B"/>
    <w:rsid w:val="006831AC"/>
    <w:rsid w:val="006833B0"/>
    <w:rsid w:val="006839F9"/>
    <w:rsid w:val="00685375"/>
    <w:rsid w:val="00690168"/>
    <w:rsid w:val="00692EE7"/>
    <w:rsid w:val="006A3CB3"/>
    <w:rsid w:val="006A5907"/>
    <w:rsid w:val="006A660B"/>
    <w:rsid w:val="006B08EA"/>
    <w:rsid w:val="006C1207"/>
    <w:rsid w:val="006D3364"/>
    <w:rsid w:val="006D7A32"/>
    <w:rsid w:val="006E31A4"/>
    <w:rsid w:val="006F7474"/>
    <w:rsid w:val="00700D88"/>
    <w:rsid w:val="00704C7C"/>
    <w:rsid w:val="00711B75"/>
    <w:rsid w:val="007134D8"/>
    <w:rsid w:val="007145B7"/>
    <w:rsid w:val="00716DA9"/>
    <w:rsid w:val="00721CFC"/>
    <w:rsid w:val="007256D1"/>
    <w:rsid w:val="00726094"/>
    <w:rsid w:val="007312BD"/>
    <w:rsid w:val="007404FF"/>
    <w:rsid w:val="007415C6"/>
    <w:rsid w:val="00746ACF"/>
    <w:rsid w:val="0075133F"/>
    <w:rsid w:val="00755205"/>
    <w:rsid w:val="007560E2"/>
    <w:rsid w:val="007578BB"/>
    <w:rsid w:val="0076655E"/>
    <w:rsid w:val="00767370"/>
    <w:rsid w:val="00783F3D"/>
    <w:rsid w:val="0078562A"/>
    <w:rsid w:val="00787B51"/>
    <w:rsid w:val="0079338C"/>
    <w:rsid w:val="007934B2"/>
    <w:rsid w:val="00793F40"/>
    <w:rsid w:val="00796B2A"/>
    <w:rsid w:val="007A75CA"/>
    <w:rsid w:val="007B15A1"/>
    <w:rsid w:val="007B51BF"/>
    <w:rsid w:val="007C2818"/>
    <w:rsid w:val="007D35B1"/>
    <w:rsid w:val="007D3F01"/>
    <w:rsid w:val="007D4305"/>
    <w:rsid w:val="007E49B6"/>
    <w:rsid w:val="007E6567"/>
    <w:rsid w:val="007F0A74"/>
    <w:rsid w:val="007F0E5A"/>
    <w:rsid w:val="007F1CC5"/>
    <w:rsid w:val="007F3483"/>
    <w:rsid w:val="007F653D"/>
    <w:rsid w:val="007F6F4B"/>
    <w:rsid w:val="007F7952"/>
    <w:rsid w:val="008111BA"/>
    <w:rsid w:val="00820421"/>
    <w:rsid w:val="0083280D"/>
    <w:rsid w:val="00833F06"/>
    <w:rsid w:val="008412B7"/>
    <w:rsid w:val="008453EC"/>
    <w:rsid w:val="00845467"/>
    <w:rsid w:val="00854132"/>
    <w:rsid w:val="00867FDE"/>
    <w:rsid w:val="0087446D"/>
    <w:rsid w:val="0088004A"/>
    <w:rsid w:val="00883D88"/>
    <w:rsid w:val="0088407A"/>
    <w:rsid w:val="00885646"/>
    <w:rsid w:val="008901BD"/>
    <w:rsid w:val="008909CE"/>
    <w:rsid w:val="00893343"/>
    <w:rsid w:val="00896057"/>
    <w:rsid w:val="008975C7"/>
    <w:rsid w:val="008A3D61"/>
    <w:rsid w:val="008A52FC"/>
    <w:rsid w:val="008A7463"/>
    <w:rsid w:val="008A7858"/>
    <w:rsid w:val="008B0F50"/>
    <w:rsid w:val="008B5DE8"/>
    <w:rsid w:val="008C0333"/>
    <w:rsid w:val="008C6088"/>
    <w:rsid w:val="008D1FF3"/>
    <w:rsid w:val="008D48CB"/>
    <w:rsid w:val="008D5578"/>
    <w:rsid w:val="008D7530"/>
    <w:rsid w:val="008E0B31"/>
    <w:rsid w:val="008E5DAC"/>
    <w:rsid w:val="009053EB"/>
    <w:rsid w:val="0091320F"/>
    <w:rsid w:val="00920162"/>
    <w:rsid w:val="00932146"/>
    <w:rsid w:val="00933BE1"/>
    <w:rsid w:val="00934EC8"/>
    <w:rsid w:val="00937F14"/>
    <w:rsid w:val="00953772"/>
    <w:rsid w:val="00956571"/>
    <w:rsid w:val="0096049E"/>
    <w:rsid w:val="00962C4B"/>
    <w:rsid w:val="00967C58"/>
    <w:rsid w:val="00973D86"/>
    <w:rsid w:val="009745AF"/>
    <w:rsid w:val="00990B87"/>
    <w:rsid w:val="00996371"/>
    <w:rsid w:val="009B101A"/>
    <w:rsid w:val="009B19AB"/>
    <w:rsid w:val="009C0534"/>
    <w:rsid w:val="009C2112"/>
    <w:rsid w:val="009C3837"/>
    <w:rsid w:val="009C59D6"/>
    <w:rsid w:val="009D089F"/>
    <w:rsid w:val="009D52FB"/>
    <w:rsid w:val="009D68C0"/>
    <w:rsid w:val="009E4DBD"/>
    <w:rsid w:val="009E600D"/>
    <w:rsid w:val="009F1EB4"/>
    <w:rsid w:val="009F3952"/>
    <w:rsid w:val="00A015AF"/>
    <w:rsid w:val="00A036FE"/>
    <w:rsid w:val="00A06117"/>
    <w:rsid w:val="00A075F1"/>
    <w:rsid w:val="00A1400D"/>
    <w:rsid w:val="00A216BB"/>
    <w:rsid w:val="00A22306"/>
    <w:rsid w:val="00A27849"/>
    <w:rsid w:val="00A27977"/>
    <w:rsid w:val="00A31949"/>
    <w:rsid w:val="00A33546"/>
    <w:rsid w:val="00A36952"/>
    <w:rsid w:val="00A471A5"/>
    <w:rsid w:val="00A475C8"/>
    <w:rsid w:val="00A618E7"/>
    <w:rsid w:val="00A656A5"/>
    <w:rsid w:val="00A6659A"/>
    <w:rsid w:val="00A71D2C"/>
    <w:rsid w:val="00A72920"/>
    <w:rsid w:val="00A72BC7"/>
    <w:rsid w:val="00A73083"/>
    <w:rsid w:val="00A7402E"/>
    <w:rsid w:val="00A84E0C"/>
    <w:rsid w:val="00A93AD7"/>
    <w:rsid w:val="00A96B48"/>
    <w:rsid w:val="00AA4DE4"/>
    <w:rsid w:val="00AA75C5"/>
    <w:rsid w:val="00AC6CD7"/>
    <w:rsid w:val="00AE0A71"/>
    <w:rsid w:val="00AE331E"/>
    <w:rsid w:val="00AE7B58"/>
    <w:rsid w:val="00AF3E57"/>
    <w:rsid w:val="00B01B90"/>
    <w:rsid w:val="00B0396C"/>
    <w:rsid w:val="00B079F2"/>
    <w:rsid w:val="00B14F64"/>
    <w:rsid w:val="00B20337"/>
    <w:rsid w:val="00B217BB"/>
    <w:rsid w:val="00B21C50"/>
    <w:rsid w:val="00B354D7"/>
    <w:rsid w:val="00B4149C"/>
    <w:rsid w:val="00B42663"/>
    <w:rsid w:val="00B432DA"/>
    <w:rsid w:val="00B44292"/>
    <w:rsid w:val="00B452EC"/>
    <w:rsid w:val="00B46D15"/>
    <w:rsid w:val="00B55C68"/>
    <w:rsid w:val="00B64098"/>
    <w:rsid w:val="00B72896"/>
    <w:rsid w:val="00B80738"/>
    <w:rsid w:val="00B82B26"/>
    <w:rsid w:val="00B83AF6"/>
    <w:rsid w:val="00B87CBF"/>
    <w:rsid w:val="00B9091B"/>
    <w:rsid w:val="00BA1A51"/>
    <w:rsid w:val="00BA6647"/>
    <w:rsid w:val="00BB0109"/>
    <w:rsid w:val="00BB0BC1"/>
    <w:rsid w:val="00BB1E8E"/>
    <w:rsid w:val="00BB6EC9"/>
    <w:rsid w:val="00BC1137"/>
    <w:rsid w:val="00BC1FFE"/>
    <w:rsid w:val="00BE1C86"/>
    <w:rsid w:val="00BF136E"/>
    <w:rsid w:val="00BF1A2C"/>
    <w:rsid w:val="00BF2E29"/>
    <w:rsid w:val="00BF342A"/>
    <w:rsid w:val="00BF79C0"/>
    <w:rsid w:val="00C11B2E"/>
    <w:rsid w:val="00C132EE"/>
    <w:rsid w:val="00C139C7"/>
    <w:rsid w:val="00C212B5"/>
    <w:rsid w:val="00C233F5"/>
    <w:rsid w:val="00C23986"/>
    <w:rsid w:val="00C23CBD"/>
    <w:rsid w:val="00C31C19"/>
    <w:rsid w:val="00C4338B"/>
    <w:rsid w:val="00C43A03"/>
    <w:rsid w:val="00C43E1E"/>
    <w:rsid w:val="00C45ADE"/>
    <w:rsid w:val="00C46F0F"/>
    <w:rsid w:val="00C526E2"/>
    <w:rsid w:val="00C52B65"/>
    <w:rsid w:val="00C60852"/>
    <w:rsid w:val="00C64125"/>
    <w:rsid w:val="00C649DD"/>
    <w:rsid w:val="00C66CB9"/>
    <w:rsid w:val="00C75C3E"/>
    <w:rsid w:val="00C76CBE"/>
    <w:rsid w:val="00C83E36"/>
    <w:rsid w:val="00C90A8F"/>
    <w:rsid w:val="00C96B75"/>
    <w:rsid w:val="00CA0282"/>
    <w:rsid w:val="00CA11A8"/>
    <w:rsid w:val="00CB1DA2"/>
    <w:rsid w:val="00CB2238"/>
    <w:rsid w:val="00CB505D"/>
    <w:rsid w:val="00CC0AB3"/>
    <w:rsid w:val="00CC403C"/>
    <w:rsid w:val="00CC74CB"/>
    <w:rsid w:val="00CD5CC4"/>
    <w:rsid w:val="00CD63EF"/>
    <w:rsid w:val="00CE04E4"/>
    <w:rsid w:val="00CE0A41"/>
    <w:rsid w:val="00CE1018"/>
    <w:rsid w:val="00CE2F4E"/>
    <w:rsid w:val="00CE794C"/>
    <w:rsid w:val="00CF0FF5"/>
    <w:rsid w:val="00CF1E22"/>
    <w:rsid w:val="00D014A3"/>
    <w:rsid w:val="00D22C3F"/>
    <w:rsid w:val="00D23CCB"/>
    <w:rsid w:val="00D27553"/>
    <w:rsid w:val="00D30A58"/>
    <w:rsid w:val="00D32800"/>
    <w:rsid w:val="00D32E73"/>
    <w:rsid w:val="00D3752A"/>
    <w:rsid w:val="00D3753A"/>
    <w:rsid w:val="00D42B34"/>
    <w:rsid w:val="00D46C95"/>
    <w:rsid w:val="00D47FF3"/>
    <w:rsid w:val="00D524C7"/>
    <w:rsid w:val="00D5309E"/>
    <w:rsid w:val="00D62144"/>
    <w:rsid w:val="00D625FE"/>
    <w:rsid w:val="00D64347"/>
    <w:rsid w:val="00D657E6"/>
    <w:rsid w:val="00D66278"/>
    <w:rsid w:val="00D66638"/>
    <w:rsid w:val="00D702EA"/>
    <w:rsid w:val="00D7376D"/>
    <w:rsid w:val="00D749BE"/>
    <w:rsid w:val="00D75A7F"/>
    <w:rsid w:val="00D82A29"/>
    <w:rsid w:val="00D832B5"/>
    <w:rsid w:val="00D954F4"/>
    <w:rsid w:val="00DA01DB"/>
    <w:rsid w:val="00DA0570"/>
    <w:rsid w:val="00DA4182"/>
    <w:rsid w:val="00DC17D9"/>
    <w:rsid w:val="00DC3769"/>
    <w:rsid w:val="00DC68DA"/>
    <w:rsid w:val="00DD1ECE"/>
    <w:rsid w:val="00DD51DB"/>
    <w:rsid w:val="00DD67EC"/>
    <w:rsid w:val="00DE2963"/>
    <w:rsid w:val="00DE36A5"/>
    <w:rsid w:val="00DE3AE6"/>
    <w:rsid w:val="00DF0FE2"/>
    <w:rsid w:val="00DF27AB"/>
    <w:rsid w:val="00E018ED"/>
    <w:rsid w:val="00E02048"/>
    <w:rsid w:val="00E03872"/>
    <w:rsid w:val="00E11A97"/>
    <w:rsid w:val="00E16789"/>
    <w:rsid w:val="00E20E51"/>
    <w:rsid w:val="00E22B23"/>
    <w:rsid w:val="00E24DB2"/>
    <w:rsid w:val="00E26B16"/>
    <w:rsid w:val="00E27161"/>
    <w:rsid w:val="00E31903"/>
    <w:rsid w:val="00E3310E"/>
    <w:rsid w:val="00E34FE8"/>
    <w:rsid w:val="00E4386C"/>
    <w:rsid w:val="00E4479D"/>
    <w:rsid w:val="00E4503C"/>
    <w:rsid w:val="00E45099"/>
    <w:rsid w:val="00E47147"/>
    <w:rsid w:val="00E47981"/>
    <w:rsid w:val="00E51E2B"/>
    <w:rsid w:val="00E51E9F"/>
    <w:rsid w:val="00E6430E"/>
    <w:rsid w:val="00E64769"/>
    <w:rsid w:val="00E64DA6"/>
    <w:rsid w:val="00E70DCC"/>
    <w:rsid w:val="00E72C9E"/>
    <w:rsid w:val="00E73B0C"/>
    <w:rsid w:val="00E804FD"/>
    <w:rsid w:val="00E81B1F"/>
    <w:rsid w:val="00E83333"/>
    <w:rsid w:val="00E84A91"/>
    <w:rsid w:val="00E90BB5"/>
    <w:rsid w:val="00E91BC4"/>
    <w:rsid w:val="00EA044E"/>
    <w:rsid w:val="00EB30EE"/>
    <w:rsid w:val="00EB3B56"/>
    <w:rsid w:val="00EB6245"/>
    <w:rsid w:val="00ED674D"/>
    <w:rsid w:val="00ED6DE9"/>
    <w:rsid w:val="00ED737E"/>
    <w:rsid w:val="00EE3A93"/>
    <w:rsid w:val="00EE6A74"/>
    <w:rsid w:val="00EF0425"/>
    <w:rsid w:val="00EF1B21"/>
    <w:rsid w:val="00EF2A8D"/>
    <w:rsid w:val="00F025B6"/>
    <w:rsid w:val="00F15D7A"/>
    <w:rsid w:val="00F207A4"/>
    <w:rsid w:val="00F23601"/>
    <w:rsid w:val="00F24014"/>
    <w:rsid w:val="00F2411C"/>
    <w:rsid w:val="00F2421F"/>
    <w:rsid w:val="00F256FB"/>
    <w:rsid w:val="00F2578E"/>
    <w:rsid w:val="00F42B62"/>
    <w:rsid w:val="00F469A2"/>
    <w:rsid w:val="00F508E9"/>
    <w:rsid w:val="00F51A7E"/>
    <w:rsid w:val="00F54A0B"/>
    <w:rsid w:val="00F63EA7"/>
    <w:rsid w:val="00F70F38"/>
    <w:rsid w:val="00F712C0"/>
    <w:rsid w:val="00F7185E"/>
    <w:rsid w:val="00F7438B"/>
    <w:rsid w:val="00F74C31"/>
    <w:rsid w:val="00F82658"/>
    <w:rsid w:val="00F842E7"/>
    <w:rsid w:val="00F84B72"/>
    <w:rsid w:val="00F90513"/>
    <w:rsid w:val="00F91A15"/>
    <w:rsid w:val="00FA129B"/>
    <w:rsid w:val="00FA1832"/>
    <w:rsid w:val="00FA261F"/>
    <w:rsid w:val="00FA3A59"/>
    <w:rsid w:val="00FB6BDC"/>
    <w:rsid w:val="00FC604F"/>
    <w:rsid w:val="00FC66AA"/>
    <w:rsid w:val="00FE584F"/>
    <w:rsid w:val="00FE5AAD"/>
    <w:rsid w:val="00FE6AF3"/>
    <w:rsid w:val="00FF22B5"/>
    <w:rsid w:val="00FF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BCA6"/>
  <w15:docId w15:val="{F4177ED0-6908-4D50-9025-7D2ABF38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E5D"/>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qFormat/>
    <w:rsid w:val="00D832B5"/>
    <w:pPr>
      <w:keepNext/>
      <w:outlineLvl w:val="0"/>
    </w:pPr>
    <w:rPr>
      <w:rFonts w:cs="Arial"/>
      <w:b/>
      <w:bCs/>
      <w:kern w:val="32"/>
      <w:szCs w:val="32"/>
    </w:rPr>
  </w:style>
  <w:style w:type="paragraph" w:styleId="Heading2">
    <w:name w:val="heading 2"/>
    <w:basedOn w:val="Normal"/>
    <w:next w:val="Normal"/>
    <w:link w:val="Heading2Char"/>
    <w:uiPriority w:val="9"/>
    <w:semiHidden/>
    <w:unhideWhenUsed/>
    <w:qFormat/>
    <w:rsid w:val="004D3E5D"/>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4D3E5D"/>
    <w:pPr>
      <w:keepNext/>
      <w:keepLines/>
      <w:spacing w:before="200"/>
      <w:outlineLvl w:val="2"/>
    </w:pPr>
    <w:rPr>
      <w:rFonts w:asciiTheme="majorHAnsi" w:eastAsiaTheme="majorEastAsia" w:hAnsiTheme="majorHAnsi"/>
      <w:b/>
      <w:bCs/>
      <w:color w:val="4F81BD" w:themeColor="accent1"/>
      <w:szCs w:val="24"/>
    </w:rPr>
  </w:style>
  <w:style w:type="paragraph" w:styleId="Heading4">
    <w:name w:val="heading 4"/>
    <w:basedOn w:val="Normal"/>
    <w:next w:val="Normal"/>
    <w:link w:val="Heading4Char"/>
    <w:uiPriority w:val="9"/>
    <w:unhideWhenUsed/>
    <w:qFormat/>
    <w:rsid w:val="004D3E5D"/>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B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semiHidden/>
    <w:rsid w:val="004D3E5D"/>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4D3E5D"/>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rsid w:val="004D3E5D"/>
    <w:rPr>
      <w:rFonts w:asciiTheme="majorHAnsi" w:eastAsiaTheme="majorEastAsia" w:hAnsiTheme="majorHAnsi" w:cs="Times New Roman"/>
      <w:b/>
      <w:bCs/>
      <w:i/>
      <w:iCs/>
      <w:color w:val="4F81BD" w:themeColor="accent1"/>
      <w:sz w:val="24"/>
    </w:rPr>
  </w:style>
  <w:style w:type="character" w:styleId="Hyperlink">
    <w:name w:val="Hyperlink"/>
    <w:basedOn w:val="DefaultParagraphFont"/>
    <w:uiPriority w:val="99"/>
    <w:rsid w:val="004D3E5D"/>
    <w:rPr>
      <w:rFonts w:cs="Times New Roman"/>
      <w:color w:val="0000FF"/>
      <w:u w:val="single"/>
    </w:rPr>
  </w:style>
  <w:style w:type="paragraph" w:styleId="Footer">
    <w:name w:val="footer"/>
    <w:basedOn w:val="Normal"/>
    <w:link w:val="FooterChar"/>
    <w:uiPriority w:val="99"/>
    <w:rsid w:val="004D3E5D"/>
    <w:pPr>
      <w:tabs>
        <w:tab w:val="center" w:pos="4320"/>
        <w:tab w:val="right" w:pos="8640"/>
      </w:tabs>
    </w:pPr>
    <w:rPr>
      <w:szCs w:val="24"/>
    </w:rPr>
  </w:style>
  <w:style w:type="character" w:customStyle="1" w:styleId="FooterChar">
    <w:name w:val="Footer Char"/>
    <w:basedOn w:val="DefaultParagraphFont"/>
    <w:link w:val="Footer"/>
    <w:uiPriority w:val="99"/>
    <w:rsid w:val="004D3E5D"/>
    <w:rPr>
      <w:rFonts w:ascii="Times New Roman" w:eastAsia="Times New Roman" w:hAnsi="Times New Roman" w:cs="Times New Roman"/>
      <w:sz w:val="24"/>
      <w:szCs w:val="24"/>
    </w:rPr>
  </w:style>
  <w:style w:type="character" w:styleId="PageNumber">
    <w:name w:val="page number"/>
    <w:basedOn w:val="DefaultParagraphFont"/>
    <w:uiPriority w:val="99"/>
    <w:rsid w:val="004D3E5D"/>
    <w:rPr>
      <w:rFonts w:cs="Times New Roman"/>
    </w:rPr>
  </w:style>
  <w:style w:type="paragraph" w:styleId="BalloonText">
    <w:name w:val="Balloon Text"/>
    <w:basedOn w:val="Normal"/>
    <w:link w:val="BalloonTextChar"/>
    <w:uiPriority w:val="99"/>
    <w:rsid w:val="004D3E5D"/>
    <w:rPr>
      <w:rFonts w:ascii="Tahoma" w:hAnsi="Tahoma" w:cs="Tahoma"/>
      <w:sz w:val="16"/>
      <w:szCs w:val="16"/>
    </w:rPr>
  </w:style>
  <w:style w:type="character" w:customStyle="1" w:styleId="BalloonTextChar">
    <w:name w:val="Balloon Text Char"/>
    <w:basedOn w:val="DefaultParagraphFont"/>
    <w:link w:val="BalloonText"/>
    <w:uiPriority w:val="99"/>
    <w:rsid w:val="004D3E5D"/>
    <w:rPr>
      <w:rFonts w:ascii="Tahoma" w:eastAsia="Times New Roman" w:hAnsi="Tahoma" w:cs="Tahoma"/>
      <w:sz w:val="16"/>
      <w:szCs w:val="16"/>
    </w:rPr>
  </w:style>
  <w:style w:type="character" w:styleId="CommentReference">
    <w:name w:val="annotation reference"/>
    <w:basedOn w:val="DefaultParagraphFont"/>
    <w:uiPriority w:val="99"/>
    <w:rsid w:val="004D3E5D"/>
    <w:rPr>
      <w:rFonts w:cs="Times New Roman"/>
      <w:sz w:val="16"/>
      <w:szCs w:val="16"/>
    </w:rPr>
  </w:style>
  <w:style w:type="paragraph" w:styleId="CommentText">
    <w:name w:val="annotation text"/>
    <w:basedOn w:val="Normal"/>
    <w:link w:val="CommentTextChar"/>
    <w:uiPriority w:val="99"/>
    <w:rsid w:val="004D3E5D"/>
    <w:rPr>
      <w:sz w:val="20"/>
      <w:szCs w:val="20"/>
    </w:rPr>
  </w:style>
  <w:style w:type="character" w:customStyle="1" w:styleId="CommentTextChar">
    <w:name w:val="Comment Text Char"/>
    <w:basedOn w:val="DefaultParagraphFont"/>
    <w:link w:val="CommentText"/>
    <w:uiPriority w:val="99"/>
    <w:rsid w:val="004D3E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D3E5D"/>
    <w:rPr>
      <w:b/>
      <w:bCs/>
    </w:rPr>
  </w:style>
  <w:style w:type="character" w:customStyle="1" w:styleId="CommentSubjectChar">
    <w:name w:val="Comment Subject Char"/>
    <w:basedOn w:val="CommentTextChar"/>
    <w:link w:val="CommentSubject"/>
    <w:uiPriority w:val="99"/>
    <w:rsid w:val="004D3E5D"/>
    <w:rPr>
      <w:rFonts w:ascii="Times New Roman" w:eastAsia="Times New Roman" w:hAnsi="Times New Roman" w:cs="Times New Roman"/>
      <w:b/>
      <w:bCs/>
      <w:sz w:val="20"/>
      <w:szCs w:val="20"/>
    </w:rPr>
  </w:style>
  <w:style w:type="paragraph" w:styleId="ListParagraph">
    <w:name w:val="List Paragraph"/>
    <w:basedOn w:val="Normal"/>
    <w:uiPriority w:val="34"/>
    <w:qFormat/>
    <w:rsid w:val="004D3E5D"/>
    <w:pPr>
      <w:ind w:left="720"/>
      <w:contextualSpacing/>
    </w:pPr>
    <w:rPr>
      <w:szCs w:val="24"/>
    </w:rPr>
  </w:style>
  <w:style w:type="paragraph" w:styleId="Revision">
    <w:name w:val="Revision"/>
    <w:hidden/>
    <w:uiPriority w:val="99"/>
    <w:semiHidden/>
    <w:rsid w:val="004D3E5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3E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D3E5D"/>
    <w:pPr>
      <w:spacing w:after="120"/>
    </w:pPr>
    <w:rPr>
      <w:szCs w:val="24"/>
    </w:rPr>
  </w:style>
  <w:style w:type="character" w:customStyle="1" w:styleId="BodyTextChar">
    <w:name w:val="Body Text Char"/>
    <w:basedOn w:val="DefaultParagraphFont"/>
    <w:link w:val="BodyText"/>
    <w:uiPriority w:val="99"/>
    <w:rsid w:val="004D3E5D"/>
    <w:rPr>
      <w:rFonts w:ascii="Times New Roman" w:eastAsia="Times New Roman" w:hAnsi="Times New Roman" w:cs="Times New Roman"/>
      <w:sz w:val="24"/>
      <w:szCs w:val="24"/>
    </w:rPr>
  </w:style>
  <w:style w:type="paragraph" w:customStyle="1" w:styleId="Default">
    <w:name w:val="Default"/>
    <w:rsid w:val="004D3E5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D3E5D"/>
    <w:rPr>
      <w:rFonts w:cs="Times New Roman"/>
    </w:rPr>
  </w:style>
  <w:style w:type="paragraph" w:styleId="Header">
    <w:name w:val="header"/>
    <w:basedOn w:val="Normal"/>
    <w:link w:val="HeaderChar"/>
    <w:uiPriority w:val="99"/>
    <w:rsid w:val="004D3E5D"/>
    <w:pPr>
      <w:tabs>
        <w:tab w:val="center" w:pos="4680"/>
        <w:tab w:val="right" w:pos="9360"/>
      </w:tabs>
    </w:pPr>
    <w:rPr>
      <w:szCs w:val="24"/>
    </w:rPr>
  </w:style>
  <w:style w:type="character" w:customStyle="1" w:styleId="HeaderChar">
    <w:name w:val="Header Char"/>
    <w:basedOn w:val="DefaultParagraphFont"/>
    <w:link w:val="Header"/>
    <w:uiPriority w:val="99"/>
    <w:rsid w:val="004D3E5D"/>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D3E5D"/>
    <w:rPr>
      <w:rFonts w:ascii="Consolas" w:hAnsi="Consolas"/>
      <w:sz w:val="21"/>
      <w:szCs w:val="21"/>
    </w:rPr>
  </w:style>
  <w:style w:type="character" w:customStyle="1" w:styleId="PlainTextChar">
    <w:name w:val="Plain Text Char"/>
    <w:basedOn w:val="DefaultParagraphFont"/>
    <w:link w:val="PlainText"/>
    <w:uiPriority w:val="99"/>
    <w:semiHidden/>
    <w:rsid w:val="004D3E5D"/>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D3E5D"/>
    <w:rPr>
      <w:rFonts w:cs="Times New Roman"/>
      <w:color w:val="800080" w:themeColor="followedHyperlink"/>
      <w:u w:val="single"/>
    </w:rPr>
  </w:style>
  <w:style w:type="paragraph" w:styleId="NormalWeb">
    <w:name w:val="Normal (Web)"/>
    <w:basedOn w:val="Normal"/>
    <w:uiPriority w:val="99"/>
    <w:semiHidden/>
    <w:unhideWhenUsed/>
    <w:rsid w:val="004D3E5D"/>
    <w:pPr>
      <w:spacing w:before="100" w:beforeAutospacing="1" w:after="100" w:afterAutospacing="1"/>
    </w:pPr>
    <w:rPr>
      <w:szCs w:val="24"/>
    </w:rPr>
  </w:style>
  <w:style w:type="paragraph" w:styleId="TOCHeading">
    <w:name w:val="TOC Heading"/>
    <w:basedOn w:val="Heading1"/>
    <w:next w:val="Normal"/>
    <w:uiPriority w:val="39"/>
    <w:unhideWhenUsed/>
    <w:qFormat/>
    <w:rsid w:val="00D832B5"/>
    <w:pPr>
      <w:keepLines/>
      <w:spacing w:before="480" w:line="276" w:lineRule="auto"/>
      <w:outlineLvl w:val="9"/>
    </w:pPr>
    <w:rPr>
      <w:rFonts w:asciiTheme="majorHAnsi" w:eastAsiaTheme="majorEastAsia" w:hAnsiTheme="majorHAnsi" w:cstheme="majorBidi"/>
      <w:b w:val="0"/>
      <w:color w:val="365F91" w:themeColor="accent1" w:themeShade="BF"/>
      <w:kern w:val="0"/>
      <w:szCs w:val="28"/>
      <w:lang w:eastAsia="ja-JP"/>
    </w:rPr>
  </w:style>
  <w:style w:type="paragraph" w:styleId="TOC1">
    <w:name w:val="toc 1"/>
    <w:basedOn w:val="Normal"/>
    <w:next w:val="Normal"/>
    <w:autoRedefine/>
    <w:uiPriority w:val="39"/>
    <w:unhideWhenUsed/>
    <w:rsid w:val="00D832B5"/>
    <w:pPr>
      <w:tabs>
        <w:tab w:val="left" w:pos="440"/>
        <w:tab w:val="right" w:leader="dot" w:pos="9350"/>
      </w:tabs>
      <w:spacing w:after="100"/>
      <w:ind w:left="360"/>
    </w:pPr>
  </w:style>
  <w:style w:type="paragraph" w:styleId="TOC2">
    <w:name w:val="toc 2"/>
    <w:basedOn w:val="Normal"/>
    <w:next w:val="Normal"/>
    <w:autoRedefine/>
    <w:uiPriority w:val="39"/>
    <w:unhideWhenUsed/>
    <w:rsid w:val="00D832B5"/>
    <w:pPr>
      <w:spacing w:after="100" w:line="259" w:lineRule="auto"/>
      <w:ind w:left="220"/>
    </w:pPr>
    <w:rPr>
      <w:rFonts w:asciiTheme="minorHAnsi" w:eastAsiaTheme="minorEastAsia" w:hAnsiTheme="minorHAnsi"/>
      <w:sz w:val="22"/>
    </w:rPr>
  </w:style>
  <w:style w:type="paragraph" w:styleId="TOC3">
    <w:name w:val="toc 3"/>
    <w:basedOn w:val="Normal"/>
    <w:next w:val="Normal"/>
    <w:autoRedefine/>
    <w:uiPriority w:val="39"/>
    <w:unhideWhenUsed/>
    <w:rsid w:val="00D832B5"/>
    <w:pPr>
      <w:spacing w:after="100" w:line="259" w:lineRule="auto"/>
      <w:ind w:left="44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87696">
      <w:bodyDiv w:val="1"/>
      <w:marLeft w:val="0"/>
      <w:marRight w:val="0"/>
      <w:marTop w:val="0"/>
      <w:marBottom w:val="0"/>
      <w:divBdr>
        <w:top w:val="none" w:sz="0" w:space="0" w:color="auto"/>
        <w:left w:val="none" w:sz="0" w:space="0" w:color="auto"/>
        <w:bottom w:val="none" w:sz="0" w:space="0" w:color="auto"/>
        <w:right w:val="none" w:sz="0" w:space="0" w:color="auto"/>
      </w:divBdr>
    </w:div>
    <w:div w:id="1137843104">
      <w:bodyDiv w:val="1"/>
      <w:marLeft w:val="0"/>
      <w:marRight w:val="0"/>
      <w:marTop w:val="0"/>
      <w:marBottom w:val="0"/>
      <w:divBdr>
        <w:top w:val="none" w:sz="0" w:space="0" w:color="auto"/>
        <w:left w:val="none" w:sz="0" w:space="0" w:color="auto"/>
        <w:bottom w:val="none" w:sz="0" w:space="0" w:color="auto"/>
        <w:right w:val="none" w:sz="0" w:space="0" w:color="auto"/>
      </w:divBdr>
    </w:div>
    <w:div w:id="1821193976">
      <w:bodyDiv w:val="1"/>
      <w:marLeft w:val="0"/>
      <w:marRight w:val="0"/>
      <w:marTop w:val="0"/>
      <w:marBottom w:val="0"/>
      <w:divBdr>
        <w:top w:val="none" w:sz="0" w:space="0" w:color="auto"/>
        <w:left w:val="none" w:sz="0" w:space="0" w:color="auto"/>
        <w:bottom w:val="none" w:sz="0" w:space="0" w:color="auto"/>
        <w:right w:val="none" w:sz="0" w:space="0" w:color="auto"/>
      </w:divBdr>
      <w:divsChild>
        <w:div w:id="490485486">
          <w:marLeft w:val="0"/>
          <w:marRight w:val="0"/>
          <w:marTop w:val="0"/>
          <w:marBottom w:val="0"/>
          <w:divBdr>
            <w:top w:val="none" w:sz="0" w:space="0" w:color="auto"/>
            <w:left w:val="none" w:sz="0" w:space="0" w:color="auto"/>
            <w:bottom w:val="none" w:sz="0" w:space="0" w:color="auto"/>
            <w:right w:val="none" w:sz="0" w:space="0" w:color="auto"/>
          </w:divBdr>
          <w:divsChild>
            <w:div w:id="2088503040">
              <w:marLeft w:val="0"/>
              <w:marRight w:val="0"/>
              <w:marTop w:val="0"/>
              <w:marBottom w:val="0"/>
              <w:divBdr>
                <w:top w:val="none" w:sz="0" w:space="0" w:color="auto"/>
                <w:left w:val="single" w:sz="6" w:space="0" w:color="E2E2E2"/>
                <w:bottom w:val="none" w:sz="0" w:space="0" w:color="auto"/>
                <w:right w:val="single" w:sz="6" w:space="0" w:color="E2E2E2"/>
              </w:divBdr>
              <w:divsChild>
                <w:div w:id="1283151991">
                  <w:marLeft w:val="0"/>
                  <w:marRight w:val="0"/>
                  <w:marTop w:val="0"/>
                  <w:marBottom w:val="0"/>
                  <w:divBdr>
                    <w:top w:val="none" w:sz="0" w:space="0" w:color="auto"/>
                    <w:left w:val="none" w:sz="0" w:space="0" w:color="auto"/>
                    <w:bottom w:val="none" w:sz="0" w:space="0" w:color="auto"/>
                    <w:right w:val="none" w:sz="0" w:space="0" w:color="auto"/>
                  </w:divBdr>
                  <w:divsChild>
                    <w:div w:id="6289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gf9@cdc.gov" TargetMode="External"/><Relationship Id="rId13" Type="http://schemas.openxmlformats.org/officeDocument/2006/relationships/hyperlink" Target="mailto:jalbert@WaterResearchFoundation.org" TargetMode="External"/><Relationship Id="rId18" Type="http://schemas.openxmlformats.org/officeDocument/2006/relationships/hyperlink" Target="http://www.epa.gov/safewater/disinfection/tcr/pdfs/tcrdsac/finpridsricp05101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priebe@WaterResearchFoundation.org" TargetMode="External"/><Relationship Id="rId17" Type="http://schemas.openxmlformats.org/officeDocument/2006/relationships/hyperlink" Target="http://www.epa.gov/awi/distributionsys.html" TargetMode="External"/><Relationship Id="rId2" Type="http://schemas.openxmlformats.org/officeDocument/2006/relationships/numbering" Target="numbering.xml"/><Relationship Id="rId16" Type="http://schemas.openxmlformats.org/officeDocument/2006/relationships/hyperlink" Target="http://www.epa.gov/safewater/disinfection/tcr/pdfs/tcrdsac/agreementinprinciple_tcrdsac_2008-09-1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vine.Audrey@epa.gov" TargetMode="External"/><Relationship Id="rId5" Type="http://schemas.openxmlformats.org/officeDocument/2006/relationships/webSettings" Target="webSettings.xml"/><Relationship Id="rId15" Type="http://schemas.openxmlformats.org/officeDocument/2006/relationships/hyperlink" Target="http://www.waterrf.org/resources/pages/PublicProjectPapers-detail.aspx?ItemID=19" TargetMode="External"/><Relationship Id="rId10" Type="http://schemas.openxmlformats.org/officeDocument/2006/relationships/hyperlink" Target="mailto:Ashbolt.Nick@ep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li.Stig@epa.gov" TargetMode="External"/><Relationship Id="rId14" Type="http://schemas.openxmlformats.org/officeDocument/2006/relationships/hyperlink" Target="http://www.bls.gov/oes/current/oes_na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E0BA-47F9-4B69-80FB-20CAC387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8686</Words>
  <Characters>49514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3</cp:revision>
  <cp:lastPrinted>2015-08-11T15:17:00Z</cp:lastPrinted>
  <dcterms:created xsi:type="dcterms:W3CDTF">2016-02-17T02:40:00Z</dcterms:created>
  <dcterms:modified xsi:type="dcterms:W3CDTF">2016-02-17T02:40:00Z</dcterms:modified>
</cp:coreProperties>
</file>