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0F" w:rsidRPr="00B060ED" w:rsidRDefault="00F5150F" w:rsidP="00F5150F">
      <w:pPr>
        <w:jc w:val="center"/>
        <w:rPr>
          <w:b/>
          <w:sz w:val="28"/>
          <w:szCs w:val="28"/>
        </w:rPr>
      </w:pPr>
      <w:r w:rsidRPr="00B060ED">
        <w:rPr>
          <w:b/>
          <w:sz w:val="28"/>
          <w:szCs w:val="28"/>
        </w:rPr>
        <w:t>“</w:t>
      </w:r>
      <w:r w:rsidR="00B060ED" w:rsidRPr="00B060ED">
        <w:rPr>
          <w:b/>
          <w:sz w:val="28"/>
          <w:szCs w:val="28"/>
        </w:rPr>
        <w:t>Risk and Benefit Perception Scale Development</w:t>
      </w:r>
      <w:r w:rsidRPr="00B060ED">
        <w:rPr>
          <w:b/>
          <w:sz w:val="28"/>
          <w:szCs w:val="28"/>
        </w:rPr>
        <w:t>”</w:t>
      </w:r>
    </w:p>
    <w:p w:rsidR="00F5150F" w:rsidRPr="001076D2" w:rsidRDefault="00F5150F" w:rsidP="00F5150F">
      <w:pPr>
        <w:jc w:val="center"/>
        <w:rPr>
          <w:b/>
          <w:sz w:val="28"/>
          <w:szCs w:val="28"/>
        </w:rPr>
      </w:pPr>
      <w:r>
        <w:rPr>
          <w:b/>
          <w:sz w:val="28"/>
          <w:szCs w:val="28"/>
        </w:rPr>
        <w:t>(OMB Control Number 0910-07</w:t>
      </w:r>
      <w:r w:rsidR="00B060ED">
        <w:rPr>
          <w:b/>
          <w:sz w:val="28"/>
          <w:szCs w:val="28"/>
        </w:rPr>
        <w:t>84</w:t>
      </w:r>
      <w:r w:rsidRPr="001076D2">
        <w:rPr>
          <w:b/>
          <w:sz w:val="28"/>
          <w:szCs w:val="28"/>
        </w:rPr>
        <w:t>)</w:t>
      </w:r>
    </w:p>
    <w:p w:rsidR="00F5150F" w:rsidRPr="001076D2" w:rsidRDefault="00F5150F" w:rsidP="00F5150F">
      <w:pPr>
        <w:jc w:val="center"/>
        <w:rPr>
          <w:b/>
          <w:sz w:val="28"/>
        </w:rPr>
      </w:pPr>
    </w:p>
    <w:p w:rsidR="00F5150F" w:rsidRPr="001076D2" w:rsidRDefault="00F5150F" w:rsidP="00F5150F">
      <w:pPr>
        <w:jc w:val="center"/>
        <w:rPr>
          <w:b/>
          <w:sz w:val="28"/>
        </w:rPr>
      </w:pPr>
    </w:p>
    <w:p w:rsidR="00F5150F" w:rsidRPr="001076D2" w:rsidRDefault="00F5150F" w:rsidP="00F5150F">
      <w:pPr>
        <w:rPr>
          <w:b/>
          <w:sz w:val="28"/>
        </w:rPr>
      </w:pPr>
      <w:r w:rsidRPr="001076D2">
        <w:rPr>
          <w:b/>
          <w:sz w:val="28"/>
        </w:rPr>
        <w:t>Change Request (83-C)</w:t>
      </w:r>
    </w:p>
    <w:p w:rsidR="00F5150F" w:rsidRPr="001076D2" w:rsidRDefault="00F5150F" w:rsidP="00F5150F">
      <w:pPr>
        <w:tabs>
          <w:tab w:val="left" w:pos="3255"/>
        </w:tabs>
        <w:rPr>
          <w:b/>
          <w:sz w:val="28"/>
        </w:rPr>
      </w:pPr>
      <w:r>
        <w:rPr>
          <w:b/>
          <w:sz w:val="28"/>
        </w:rPr>
        <w:tab/>
      </w:r>
    </w:p>
    <w:p w:rsidR="00F5150F" w:rsidRPr="001076D2" w:rsidRDefault="00D136AE" w:rsidP="00F5150F">
      <w:pPr>
        <w:rPr>
          <w:b/>
          <w:sz w:val="28"/>
        </w:rPr>
      </w:pPr>
      <w:r w:rsidRPr="00051C42">
        <w:rPr>
          <w:b/>
          <w:sz w:val="28"/>
        </w:rPr>
        <w:t>October</w:t>
      </w:r>
      <w:r w:rsidR="00F5150F" w:rsidRPr="00051C42">
        <w:rPr>
          <w:b/>
          <w:sz w:val="28"/>
        </w:rPr>
        <w:t xml:space="preserve"> 1</w:t>
      </w:r>
      <w:r w:rsidR="00B060ED" w:rsidRPr="00051C42">
        <w:rPr>
          <w:b/>
          <w:sz w:val="28"/>
        </w:rPr>
        <w:t>5</w:t>
      </w:r>
      <w:r w:rsidR="00F5150F" w:rsidRPr="00051C42">
        <w:rPr>
          <w:b/>
          <w:sz w:val="28"/>
        </w:rPr>
        <w:t>, 2015</w:t>
      </w:r>
    </w:p>
    <w:p w:rsidR="00F5150F" w:rsidRPr="001076D2" w:rsidRDefault="00F5150F" w:rsidP="00F5150F">
      <w:pPr>
        <w:jc w:val="center"/>
      </w:pPr>
    </w:p>
    <w:p w:rsidR="00F5150F" w:rsidRPr="00E64F4E" w:rsidRDefault="00F5150F" w:rsidP="00F5150F">
      <w:pPr>
        <w:rPr>
          <w:sz w:val="28"/>
          <w:szCs w:val="28"/>
        </w:rPr>
      </w:pPr>
      <w:bookmarkStart w:id="0" w:name="_GoBack"/>
      <w:bookmarkEnd w:id="0"/>
    </w:p>
    <w:p w:rsidR="00B060ED" w:rsidRDefault="00F5150F" w:rsidP="00B060ED">
      <w:pPr>
        <w:rPr>
          <w:lang w:eastAsia="ja-JP"/>
        </w:rPr>
      </w:pPr>
      <w:r w:rsidRPr="00AB3DFB">
        <w:t>The Food and Drug Administration is submitting this nonmaterial/non-substantive change request (83-C)</w:t>
      </w:r>
      <w:r w:rsidR="00B060ED">
        <w:t>.</w:t>
      </w:r>
      <w:r w:rsidRPr="00AB3DFB">
        <w:t xml:space="preserve"> </w:t>
      </w:r>
      <w:r w:rsidR="00B060ED">
        <w:t>The purpose of this project is to develop and validate risk and benefit perception scales and to explore various methods for measuring perceptions, attitudes and intentions that can be used for OPDP research moving forward.  The long-term objective is to improve the validity and reliability of risk and benefit perception measures to help ensure effective communication of product information in DTC ads.</w:t>
      </w:r>
      <w:r w:rsidR="00B060ED">
        <w:rPr>
          <w:lang w:eastAsia="ja-JP"/>
        </w:rPr>
        <w:t xml:space="preserve"> We are requesting an amendment to adjust the number of participants in Pretest 2 of this project.  </w:t>
      </w:r>
      <w:r w:rsidR="00B060ED">
        <w:t>We are not seeking to change the study procedure.</w:t>
      </w:r>
    </w:p>
    <w:p w:rsidR="00B060ED" w:rsidRDefault="00B060ED" w:rsidP="00B060ED">
      <w:pPr>
        <w:ind w:left="1440"/>
        <w:rPr>
          <w:lang w:eastAsia="ja-JP"/>
        </w:rPr>
      </w:pPr>
    </w:p>
    <w:p w:rsidR="00F5150F" w:rsidRDefault="00B060ED" w:rsidP="00B060ED">
      <w:r>
        <w:t>The estimated annual hourly burden, formerly estimated as 6,310 hours has increased by 563 hours to a total estimated annual hourly burden of 6,873 hours.  The increase to pretest hours is due to a programming error on the part of the contractor that resulted in a failure to properly randomize participants in Pretest 2. Lack of random assignment to condition means it is not possible to determine if potential differences between conditions are due to our independent variables or the characteristics of the participants in each condition. Thus, we will not be able to use the data from Pretest 2 to determine which items adequately discriminate between levels of the independent variable, drug risk and efficacy.  A total of 543 participants completed Pretest 2 before the programming error was found. This was close to the original burden estimate for Pretest 2, so we are requesting to re-run Pretest 2 again with 500 additional participants in order to have usable data. In addition, based on the pretest numbers, we estimate that we may see more overage in the main study than originally estimated. As a result, we have increased the hours for the main study in order to account for this overage. A revised burden table is presented below.</w:t>
      </w:r>
    </w:p>
    <w:p w:rsidR="00B060ED" w:rsidRDefault="00B060ED" w:rsidP="00B060ED"/>
    <w:p w:rsidR="00B060ED" w:rsidRPr="00CF2375" w:rsidRDefault="00B060ED" w:rsidP="00B060ED">
      <w:pPr>
        <w:ind w:left="720"/>
      </w:pPr>
    </w:p>
    <w:tbl>
      <w:tblPr>
        <w:tblW w:w="5000" w:type="pct"/>
        <w:tblCellMar>
          <w:left w:w="101" w:type="dxa"/>
          <w:right w:w="101" w:type="dxa"/>
        </w:tblCellMar>
        <w:tblLook w:val="04A0" w:firstRow="1" w:lastRow="0" w:firstColumn="1" w:lastColumn="0" w:noHBand="0" w:noVBand="1"/>
      </w:tblPr>
      <w:tblGrid>
        <w:gridCol w:w="1327"/>
        <w:gridCol w:w="1608"/>
        <w:gridCol w:w="1486"/>
        <w:gridCol w:w="2117"/>
        <w:gridCol w:w="1813"/>
        <w:gridCol w:w="1211"/>
      </w:tblGrid>
      <w:tr w:rsidR="00B060ED" w:rsidTr="00B060ED">
        <w:tc>
          <w:tcPr>
            <w:tcW w:w="5000" w:type="pct"/>
            <w:gridSpan w:val="6"/>
            <w:tcBorders>
              <w:top w:val="single" w:sz="6" w:space="0" w:color="auto"/>
              <w:left w:val="single" w:sz="6" w:space="0" w:color="auto"/>
              <w:bottom w:val="nil"/>
              <w:right w:val="single" w:sz="6" w:space="0" w:color="auto"/>
            </w:tcBorders>
            <w:hideMark/>
          </w:tcPr>
          <w:p w:rsidR="00B060ED" w:rsidRPr="006C7E73" w:rsidRDefault="00B060ED" w:rsidP="004C4EFC">
            <w:pPr>
              <w:jc w:val="center"/>
            </w:pPr>
            <w:r w:rsidRPr="006C7E73">
              <w:t>Table 1.--Estimated Annual Reporting Burden</w:t>
            </w:r>
          </w:p>
        </w:tc>
      </w:tr>
      <w:tr w:rsidR="00B060ED" w:rsidTr="00B060ED">
        <w:tc>
          <w:tcPr>
            <w:tcW w:w="694" w:type="pct"/>
            <w:tcBorders>
              <w:top w:val="single" w:sz="6" w:space="0" w:color="auto"/>
              <w:left w:val="single" w:sz="6" w:space="0" w:color="auto"/>
              <w:bottom w:val="single" w:sz="6" w:space="0" w:color="auto"/>
              <w:right w:val="nil"/>
            </w:tcBorders>
          </w:tcPr>
          <w:p w:rsidR="00B060ED" w:rsidRDefault="00B060ED" w:rsidP="004C4EFC"/>
          <w:p w:rsidR="00B060ED" w:rsidRDefault="00B060ED" w:rsidP="004C4EFC">
            <w:r>
              <w:t>Activity</w:t>
            </w:r>
          </w:p>
        </w:tc>
        <w:tc>
          <w:tcPr>
            <w:tcW w:w="841" w:type="pct"/>
            <w:tcBorders>
              <w:top w:val="single" w:sz="6" w:space="0" w:color="auto"/>
              <w:left w:val="single" w:sz="6" w:space="0" w:color="auto"/>
              <w:bottom w:val="nil"/>
              <w:right w:val="nil"/>
            </w:tcBorders>
            <w:hideMark/>
          </w:tcPr>
          <w:p w:rsidR="00B060ED" w:rsidRDefault="00B060ED" w:rsidP="004C4EFC">
            <w:pPr>
              <w:jc w:val="center"/>
            </w:pPr>
            <w:r>
              <w:t>No. of Respondents</w:t>
            </w:r>
          </w:p>
        </w:tc>
        <w:tc>
          <w:tcPr>
            <w:tcW w:w="777" w:type="pct"/>
            <w:tcBorders>
              <w:top w:val="single" w:sz="6" w:space="0" w:color="auto"/>
              <w:left w:val="single" w:sz="6" w:space="0" w:color="auto"/>
              <w:bottom w:val="nil"/>
              <w:right w:val="nil"/>
            </w:tcBorders>
            <w:hideMark/>
          </w:tcPr>
          <w:p w:rsidR="00B060ED" w:rsidRDefault="00B060ED" w:rsidP="004C4EFC">
            <w:pPr>
              <w:jc w:val="center"/>
            </w:pPr>
            <w:r>
              <w:t>No. of Responses per Respondent</w:t>
            </w:r>
          </w:p>
        </w:tc>
        <w:tc>
          <w:tcPr>
            <w:tcW w:w="1107" w:type="pct"/>
            <w:tcBorders>
              <w:top w:val="single" w:sz="6" w:space="0" w:color="auto"/>
              <w:left w:val="single" w:sz="6" w:space="0" w:color="auto"/>
              <w:bottom w:val="nil"/>
              <w:right w:val="nil"/>
            </w:tcBorders>
            <w:hideMark/>
          </w:tcPr>
          <w:p w:rsidR="00B060ED" w:rsidRDefault="00B060ED" w:rsidP="004C4EFC">
            <w:pPr>
              <w:jc w:val="center"/>
            </w:pPr>
            <w:r>
              <w:t>Total Annual Responses</w:t>
            </w:r>
          </w:p>
        </w:tc>
        <w:tc>
          <w:tcPr>
            <w:tcW w:w="948" w:type="pct"/>
            <w:tcBorders>
              <w:top w:val="single" w:sz="6" w:space="0" w:color="auto"/>
              <w:left w:val="single" w:sz="6" w:space="0" w:color="auto"/>
              <w:bottom w:val="nil"/>
              <w:right w:val="nil"/>
            </w:tcBorders>
            <w:hideMark/>
          </w:tcPr>
          <w:p w:rsidR="00B060ED" w:rsidRDefault="00B060ED" w:rsidP="004C4EFC">
            <w:pPr>
              <w:jc w:val="center"/>
            </w:pPr>
            <w:r>
              <w:t>Average Burden per Response</w:t>
            </w:r>
            <w:r w:rsidRPr="008116CA">
              <w:rPr>
                <w:vertAlign w:val="superscript"/>
              </w:rPr>
              <w:t>1</w:t>
            </w:r>
            <w:r>
              <w:t xml:space="preserve"> </w:t>
            </w:r>
          </w:p>
        </w:tc>
        <w:tc>
          <w:tcPr>
            <w:tcW w:w="633" w:type="pct"/>
            <w:tcBorders>
              <w:top w:val="single" w:sz="6" w:space="0" w:color="auto"/>
              <w:left w:val="single" w:sz="6" w:space="0" w:color="auto"/>
              <w:bottom w:val="nil"/>
              <w:right w:val="single" w:sz="6" w:space="0" w:color="auto"/>
            </w:tcBorders>
            <w:hideMark/>
          </w:tcPr>
          <w:p w:rsidR="00B060ED" w:rsidRDefault="00B060ED" w:rsidP="004C4EFC">
            <w:pPr>
              <w:jc w:val="center"/>
            </w:pPr>
            <w:r>
              <w:t>Total Hours</w:t>
            </w:r>
          </w:p>
        </w:tc>
      </w:tr>
      <w:tr w:rsidR="00B060ED" w:rsidTr="00B060ED">
        <w:tc>
          <w:tcPr>
            <w:tcW w:w="694" w:type="pct"/>
            <w:tcBorders>
              <w:top w:val="single" w:sz="6" w:space="0" w:color="auto"/>
              <w:left w:val="single" w:sz="6" w:space="0" w:color="auto"/>
              <w:bottom w:val="single" w:sz="6" w:space="0" w:color="auto"/>
              <w:right w:val="nil"/>
            </w:tcBorders>
          </w:tcPr>
          <w:p w:rsidR="00B060ED" w:rsidRPr="00BC329A" w:rsidRDefault="00B060ED" w:rsidP="004C4EFC">
            <w:r>
              <w:t>Pretest screener</w:t>
            </w:r>
          </w:p>
        </w:tc>
        <w:tc>
          <w:tcPr>
            <w:tcW w:w="841" w:type="pct"/>
            <w:tcBorders>
              <w:top w:val="single" w:sz="6" w:space="0" w:color="auto"/>
              <w:left w:val="single" w:sz="6" w:space="0" w:color="auto"/>
              <w:bottom w:val="nil"/>
              <w:right w:val="nil"/>
            </w:tcBorders>
          </w:tcPr>
          <w:p w:rsidR="00B060ED" w:rsidRDefault="00B060ED" w:rsidP="00B060ED">
            <w:r>
              <w:t>23,000</w:t>
            </w:r>
          </w:p>
        </w:tc>
        <w:tc>
          <w:tcPr>
            <w:tcW w:w="777" w:type="pct"/>
            <w:tcBorders>
              <w:top w:val="single" w:sz="6" w:space="0" w:color="auto"/>
              <w:left w:val="single" w:sz="6" w:space="0" w:color="auto"/>
              <w:bottom w:val="nil"/>
              <w:right w:val="nil"/>
            </w:tcBorders>
          </w:tcPr>
          <w:p w:rsidR="00B060ED" w:rsidRPr="00BC329A" w:rsidRDefault="00B060ED" w:rsidP="004C4EFC">
            <w:r>
              <w:t>1</w:t>
            </w:r>
          </w:p>
        </w:tc>
        <w:tc>
          <w:tcPr>
            <w:tcW w:w="1107" w:type="pct"/>
            <w:tcBorders>
              <w:top w:val="single" w:sz="6" w:space="0" w:color="auto"/>
              <w:left w:val="single" w:sz="6" w:space="0" w:color="auto"/>
              <w:bottom w:val="nil"/>
              <w:right w:val="nil"/>
            </w:tcBorders>
          </w:tcPr>
          <w:p w:rsidR="00B060ED" w:rsidRDefault="00B060ED" w:rsidP="004C4EFC">
            <w:r>
              <w:t>3,000</w:t>
            </w:r>
          </w:p>
        </w:tc>
        <w:tc>
          <w:tcPr>
            <w:tcW w:w="948" w:type="pct"/>
            <w:tcBorders>
              <w:top w:val="single" w:sz="6" w:space="0" w:color="auto"/>
              <w:left w:val="single" w:sz="6" w:space="0" w:color="auto"/>
              <w:bottom w:val="nil"/>
              <w:right w:val="nil"/>
            </w:tcBorders>
          </w:tcPr>
          <w:p w:rsidR="00B060ED" w:rsidRDefault="00B060ED" w:rsidP="004C4EFC">
            <w:r>
              <w:t>0.033</w:t>
            </w:r>
          </w:p>
          <w:p w:rsidR="00B060ED" w:rsidRDefault="00B060ED" w:rsidP="004C4EFC">
            <w:r>
              <w:t>(2 minutes)</w:t>
            </w:r>
          </w:p>
        </w:tc>
        <w:tc>
          <w:tcPr>
            <w:tcW w:w="633" w:type="pct"/>
            <w:tcBorders>
              <w:top w:val="single" w:sz="6" w:space="0" w:color="auto"/>
              <w:left w:val="single" w:sz="6" w:space="0" w:color="auto"/>
              <w:bottom w:val="nil"/>
              <w:right w:val="single" w:sz="6" w:space="0" w:color="auto"/>
            </w:tcBorders>
          </w:tcPr>
          <w:p w:rsidR="00B060ED" w:rsidRDefault="00B060ED" w:rsidP="004C4EFC">
            <w:r>
              <w:t>99</w:t>
            </w:r>
          </w:p>
        </w:tc>
      </w:tr>
      <w:tr w:rsidR="00B060ED" w:rsidTr="00B060ED">
        <w:tc>
          <w:tcPr>
            <w:tcW w:w="694" w:type="pct"/>
            <w:tcBorders>
              <w:top w:val="single" w:sz="6" w:space="0" w:color="auto"/>
              <w:left w:val="single" w:sz="6" w:space="0" w:color="auto"/>
              <w:bottom w:val="single" w:sz="6" w:space="0" w:color="auto"/>
              <w:right w:val="nil"/>
            </w:tcBorders>
            <w:hideMark/>
          </w:tcPr>
          <w:p w:rsidR="00B060ED" w:rsidRPr="00BC329A" w:rsidRDefault="00B060ED" w:rsidP="004C4EFC">
            <w:r>
              <w:t>Main study s</w:t>
            </w:r>
            <w:r w:rsidRPr="00BC329A">
              <w:t>creener</w:t>
            </w:r>
          </w:p>
        </w:tc>
        <w:tc>
          <w:tcPr>
            <w:tcW w:w="841" w:type="pct"/>
            <w:tcBorders>
              <w:top w:val="single" w:sz="6" w:space="0" w:color="auto"/>
              <w:left w:val="single" w:sz="6" w:space="0" w:color="auto"/>
              <w:bottom w:val="nil"/>
              <w:right w:val="nil"/>
            </w:tcBorders>
          </w:tcPr>
          <w:p w:rsidR="00B060ED" w:rsidRPr="00BC329A" w:rsidRDefault="00B060ED" w:rsidP="004C4EFC">
            <w:r>
              <w:t>20,000</w:t>
            </w:r>
          </w:p>
        </w:tc>
        <w:tc>
          <w:tcPr>
            <w:tcW w:w="777" w:type="pct"/>
            <w:tcBorders>
              <w:top w:val="single" w:sz="6" w:space="0" w:color="auto"/>
              <w:left w:val="single" w:sz="6" w:space="0" w:color="auto"/>
              <w:bottom w:val="nil"/>
              <w:right w:val="nil"/>
            </w:tcBorders>
          </w:tcPr>
          <w:p w:rsidR="00B060ED" w:rsidRPr="00BC329A" w:rsidRDefault="00B060ED" w:rsidP="004C4EFC">
            <w:r w:rsidRPr="00BC329A">
              <w:t>1</w:t>
            </w:r>
          </w:p>
        </w:tc>
        <w:tc>
          <w:tcPr>
            <w:tcW w:w="1107" w:type="pct"/>
            <w:tcBorders>
              <w:top w:val="single" w:sz="6" w:space="0" w:color="auto"/>
              <w:left w:val="single" w:sz="6" w:space="0" w:color="auto"/>
              <w:bottom w:val="nil"/>
              <w:right w:val="nil"/>
            </w:tcBorders>
          </w:tcPr>
          <w:p w:rsidR="00B060ED" w:rsidRPr="00BC329A" w:rsidRDefault="00B060ED" w:rsidP="004C4EFC">
            <w:r>
              <w:t>20,000</w:t>
            </w:r>
          </w:p>
        </w:tc>
        <w:tc>
          <w:tcPr>
            <w:tcW w:w="948" w:type="pct"/>
            <w:tcBorders>
              <w:top w:val="single" w:sz="6" w:space="0" w:color="auto"/>
              <w:left w:val="single" w:sz="6" w:space="0" w:color="auto"/>
              <w:bottom w:val="nil"/>
              <w:right w:val="nil"/>
            </w:tcBorders>
            <w:hideMark/>
          </w:tcPr>
          <w:p w:rsidR="00B060ED" w:rsidRDefault="00B060ED" w:rsidP="004C4EFC">
            <w:r>
              <w:t>0.03</w:t>
            </w:r>
          </w:p>
          <w:p w:rsidR="00B060ED" w:rsidRDefault="00B060ED" w:rsidP="004C4EFC">
            <w:r>
              <w:t>(2 minutes)</w:t>
            </w:r>
          </w:p>
          <w:p w:rsidR="00B060ED" w:rsidRPr="00BC329A" w:rsidRDefault="00B060ED" w:rsidP="004C4EFC"/>
        </w:tc>
        <w:tc>
          <w:tcPr>
            <w:tcW w:w="633" w:type="pct"/>
            <w:tcBorders>
              <w:top w:val="single" w:sz="6" w:space="0" w:color="auto"/>
              <w:left w:val="single" w:sz="6" w:space="0" w:color="auto"/>
              <w:bottom w:val="nil"/>
              <w:right w:val="single" w:sz="6" w:space="0" w:color="auto"/>
            </w:tcBorders>
          </w:tcPr>
          <w:p w:rsidR="00B060ED" w:rsidRPr="00BC329A" w:rsidRDefault="00B060ED" w:rsidP="004C4EFC">
            <w:r>
              <w:t>600</w:t>
            </w:r>
          </w:p>
        </w:tc>
      </w:tr>
      <w:tr w:rsidR="00B060ED" w:rsidTr="00B060ED">
        <w:tc>
          <w:tcPr>
            <w:tcW w:w="694" w:type="pct"/>
            <w:tcBorders>
              <w:top w:val="single" w:sz="6" w:space="0" w:color="auto"/>
              <w:left w:val="single" w:sz="6" w:space="0" w:color="auto"/>
              <w:bottom w:val="single" w:sz="6" w:space="0" w:color="auto"/>
              <w:right w:val="nil"/>
            </w:tcBorders>
            <w:hideMark/>
          </w:tcPr>
          <w:p w:rsidR="00B060ED" w:rsidRDefault="00B060ED" w:rsidP="004C4EFC">
            <w:r>
              <w:t xml:space="preserve">Pretest </w:t>
            </w:r>
          </w:p>
        </w:tc>
        <w:tc>
          <w:tcPr>
            <w:tcW w:w="841" w:type="pct"/>
            <w:tcBorders>
              <w:top w:val="single" w:sz="6" w:space="0" w:color="auto"/>
              <w:left w:val="single" w:sz="6" w:space="0" w:color="auto"/>
              <w:bottom w:val="nil"/>
              <w:right w:val="nil"/>
            </w:tcBorders>
          </w:tcPr>
          <w:p w:rsidR="00B060ED" w:rsidRPr="00BC329A" w:rsidRDefault="00B060ED" w:rsidP="004C4EFC">
            <w:r w:rsidRPr="008116CA">
              <w:rPr>
                <w:vertAlign w:val="superscript"/>
              </w:rPr>
              <w:t>1</w:t>
            </w:r>
            <w:r>
              <w:t>1,648</w:t>
            </w:r>
          </w:p>
        </w:tc>
        <w:tc>
          <w:tcPr>
            <w:tcW w:w="777" w:type="pct"/>
            <w:tcBorders>
              <w:top w:val="single" w:sz="6" w:space="0" w:color="auto"/>
              <w:left w:val="single" w:sz="6" w:space="0" w:color="auto"/>
              <w:bottom w:val="nil"/>
              <w:right w:val="nil"/>
            </w:tcBorders>
          </w:tcPr>
          <w:p w:rsidR="00B060ED" w:rsidRPr="00BC329A" w:rsidRDefault="00B060ED" w:rsidP="004C4EFC">
            <w:r w:rsidRPr="00BC329A">
              <w:t>1</w:t>
            </w:r>
          </w:p>
        </w:tc>
        <w:tc>
          <w:tcPr>
            <w:tcW w:w="1107" w:type="pct"/>
            <w:tcBorders>
              <w:top w:val="single" w:sz="6" w:space="0" w:color="auto"/>
              <w:left w:val="single" w:sz="6" w:space="0" w:color="auto"/>
              <w:bottom w:val="nil"/>
              <w:right w:val="nil"/>
            </w:tcBorders>
          </w:tcPr>
          <w:p w:rsidR="00B060ED" w:rsidRPr="00BC329A" w:rsidRDefault="00B060ED" w:rsidP="004C4EFC">
            <w:r>
              <w:t>1,648</w:t>
            </w:r>
          </w:p>
        </w:tc>
        <w:tc>
          <w:tcPr>
            <w:tcW w:w="948" w:type="pct"/>
            <w:tcBorders>
              <w:top w:val="single" w:sz="6" w:space="0" w:color="auto"/>
              <w:left w:val="single" w:sz="6" w:space="0" w:color="auto"/>
              <w:bottom w:val="nil"/>
              <w:right w:val="nil"/>
            </w:tcBorders>
            <w:hideMark/>
          </w:tcPr>
          <w:p w:rsidR="00B060ED" w:rsidRPr="00AB5F2B" w:rsidRDefault="00B060ED" w:rsidP="004C4EFC">
            <w:r w:rsidRPr="00AB5F2B">
              <w:t xml:space="preserve">.5 </w:t>
            </w:r>
          </w:p>
          <w:p w:rsidR="00B060ED" w:rsidRPr="00AB5F2B" w:rsidRDefault="00B060ED" w:rsidP="004C4EFC">
            <w:r w:rsidRPr="00AB5F2B">
              <w:t>(30 minutes)</w:t>
            </w:r>
          </w:p>
          <w:p w:rsidR="00B060ED" w:rsidRPr="00AB5F2B" w:rsidRDefault="00B060ED" w:rsidP="004C4EFC"/>
        </w:tc>
        <w:tc>
          <w:tcPr>
            <w:tcW w:w="633" w:type="pct"/>
            <w:tcBorders>
              <w:top w:val="single" w:sz="6" w:space="0" w:color="auto"/>
              <w:left w:val="single" w:sz="6" w:space="0" w:color="auto"/>
              <w:bottom w:val="nil"/>
              <w:right w:val="single" w:sz="6" w:space="0" w:color="auto"/>
            </w:tcBorders>
          </w:tcPr>
          <w:p w:rsidR="00B060ED" w:rsidRDefault="00B060ED" w:rsidP="004C4EFC">
            <w:r>
              <w:lastRenderedPageBreak/>
              <w:t>824</w:t>
            </w:r>
          </w:p>
        </w:tc>
      </w:tr>
      <w:tr w:rsidR="00B060ED" w:rsidTr="00B060ED">
        <w:tc>
          <w:tcPr>
            <w:tcW w:w="694" w:type="pct"/>
            <w:tcBorders>
              <w:top w:val="single" w:sz="6" w:space="0" w:color="auto"/>
              <w:left w:val="single" w:sz="6" w:space="0" w:color="auto"/>
              <w:bottom w:val="single" w:sz="6" w:space="0" w:color="auto"/>
              <w:right w:val="nil"/>
            </w:tcBorders>
            <w:hideMark/>
          </w:tcPr>
          <w:p w:rsidR="00B060ED" w:rsidRDefault="00B060ED" w:rsidP="004C4EFC">
            <w:r>
              <w:lastRenderedPageBreak/>
              <w:t xml:space="preserve">Main Study </w:t>
            </w:r>
          </w:p>
        </w:tc>
        <w:tc>
          <w:tcPr>
            <w:tcW w:w="841" w:type="pct"/>
            <w:tcBorders>
              <w:top w:val="single" w:sz="6" w:space="0" w:color="auto"/>
              <w:left w:val="single" w:sz="6" w:space="0" w:color="auto"/>
              <w:bottom w:val="nil"/>
              <w:right w:val="nil"/>
            </w:tcBorders>
          </w:tcPr>
          <w:p w:rsidR="00B060ED" w:rsidRPr="00BC329A" w:rsidRDefault="00B060ED" w:rsidP="004C4EFC">
            <w:r>
              <w:t>10</w:t>
            </w:r>
            <w:r w:rsidRPr="00BC329A">
              <w:t>,</w:t>
            </w:r>
            <w:r>
              <w:t>700</w:t>
            </w:r>
          </w:p>
        </w:tc>
        <w:tc>
          <w:tcPr>
            <w:tcW w:w="777" w:type="pct"/>
            <w:tcBorders>
              <w:top w:val="single" w:sz="6" w:space="0" w:color="auto"/>
              <w:left w:val="single" w:sz="6" w:space="0" w:color="auto"/>
              <w:bottom w:val="nil"/>
              <w:right w:val="nil"/>
            </w:tcBorders>
          </w:tcPr>
          <w:p w:rsidR="00B060ED" w:rsidRPr="00BC329A" w:rsidRDefault="00B060ED" w:rsidP="004C4EFC">
            <w:r w:rsidRPr="00BC329A">
              <w:t>1</w:t>
            </w:r>
          </w:p>
        </w:tc>
        <w:tc>
          <w:tcPr>
            <w:tcW w:w="1107" w:type="pct"/>
            <w:tcBorders>
              <w:top w:val="single" w:sz="6" w:space="0" w:color="auto"/>
              <w:left w:val="single" w:sz="6" w:space="0" w:color="auto"/>
              <w:bottom w:val="nil"/>
              <w:right w:val="nil"/>
            </w:tcBorders>
          </w:tcPr>
          <w:p w:rsidR="00B060ED" w:rsidRPr="00BC329A" w:rsidRDefault="00B060ED" w:rsidP="004C4EFC">
            <w:r>
              <w:t>10,700</w:t>
            </w:r>
          </w:p>
        </w:tc>
        <w:tc>
          <w:tcPr>
            <w:tcW w:w="948" w:type="pct"/>
            <w:tcBorders>
              <w:top w:val="single" w:sz="6" w:space="0" w:color="auto"/>
              <w:left w:val="single" w:sz="6" w:space="0" w:color="auto"/>
              <w:bottom w:val="nil"/>
              <w:right w:val="nil"/>
            </w:tcBorders>
            <w:hideMark/>
          </w:tcPr>
          <w:p w:rsidR="00B060ED" w:rsidRPr="00AB5F2B" w:rsidRDefault="00B060ED" w:rsidP="004C4EFC">
            <w:r w:rsidRPr="00AB5F2B">
              <w:t>.5</w:t>
            </w:r>
          </w:p>
          <w:p w:rsidR="00B060ED" w:rsidRPr="00AB5F2B" w:rsidRDefault="00B060ED" w:rsidP="004C4EFC">
            <w:r w:rsidRPr="00AB5F2B">
              <w:t>(30 minutes)</w:t>
            </w:r>
          </w:p>
          <w:p w:rsidR="00B060ED" w:rsidRPr="00AB5F2B" w:rsidRDefault="00B060ED" w:rsidP="004C4EFC"/>
        </w:tc>
        <w:tc>
          <w:tcPr>
            <w:tcW w:w="633" w:type="pct"/>
            <w:tcBorders>
              <w:top w:val="single" w:sz="6" w:space="0" w:color="auto"/>
              <w:left w:val="single" w:sz="6" w:space="0" w:color="auto"/>
              <w:bottom w:val="nil"/>
              <w:right w:val="single" w:sz="6" w:space="0" w:color="auto"/>
            </w:tcBorders>
          </w:tcPr>
          <w:p w:rsidR="00B060ED" w:rsidRDefault="00B060ED" w:rsidP="004C4EFC">
            <w:r>
              <w:t>5,350</w:t>
            </w:r>
          </w:p>
        </w:tc>
      </w:tr>
      <w:tr w:rsidR="00B060ED" w:rsidTr="00B060ED">
        <w:tc>
          <w:tcPr>
            <w:tcW w:w="694" w:type="pct"/>
            <w:tcBorders>
              <w:top w:val="single" w:sz="6" w:space="0" w:color="auto"/>
              <w:left w:val="single" w:sz="6" w:space="0" w:color="auto"/>
              <w:bottom w:val="single" w:sz="6" w:space="0" w:color="auto"/>
              <w:right w:val="nil"/>
            </w:tcBorders>
            <w:hideMark/>
          </w:tcPr>
          <w:p w:rsidR="00B060ED" w:rsidRDefault="00B060ED" w:rsidP="004C4EFC">
            <w:r>
              <w:t>Total</w:t>
            </w:r>
          </w:p>
        </w:tc>
        <w:tc>
          <w:tcPr>
            <w:tcW w:w="841" w:type="pct"/>
            <w:tcBorders>
              <w:top w:val="single" w:sz="6" w:space="0" w:color="auto"/>
              <w:left w:val="single" w:sz="6" w:space="0" w:color="auto"/>
              <w:bottom w:val="single" w:sz="6" w:space="0" w:color="auto"/>
              <w:right w:val="nil"/>
            </w:tcBorders>
          </w:tcPr>
          <w:p w:rsidR="00B060ED" w:rsidRPr="00BC329A" w:rsidRDefault="00B060ED" w:rsidP="004C4EFC">
            <w:r>
              <w:t>35,348</w:t>
            </w:r>
          </w:p>
        </w:tc>
        <w:tc>
          <w:tcPr>
            <w:tcW w:w="777" w:type="pct"/>
            <w:tcBorders>
              <w:top w:val="single" w:sz="6" w:space="0" w:color="auto"/>
              <w:left w:val="single" w:sz="6" w:space="0" w:color="auto"/>
              <w:bottom w:val="single" w:sz="6" w:space="0" w:color="auto"/>
              <w:right w:val="nil"/>
            </w:tcBorders>
          </w:tcPr>
          <w:p w:rsidR="00B060ED" w:rsidRPr="00BC329A" w:rsidRDefault="00B060ED" w:rsidP="004C4EFC">
            <w:r w:rsidRPr="00BC329A">
              <w:t>1</w:t>
            </w:r>
          </w:p>
        </w:tc>
        <w:tc>
          <w:tcPr>
            <w:tcW w:w="1107" w:type="pct"/>
            <w:tcBorders>
              <w:top w:val="single" w:sz="6" w:space="0" w:color="auto"/>
              <w:left w:val="single" w:sz="6" w:space="0" w:color="auto"/>
              <w:bottom w:val="single" w:sz="6" w:space="0" w:color="auto"/>
              <w:right w:val="nil"/>
            </w:tcBorders>
          </w:tcPr>
          <w:p w:rsidR="00B060ED" w:rsidRPr="00BC329A" w:rsidRDefault="00B060ED" w:rsidP="004C4EFC">
            <w:r>
              <w:t>35,348</w:t>
            </w:r>
          </w:p>
        </w:tc>
        <w:tc>
          <w:tcPr>
            <w:tcW w:w="948" w:type="pct"/>
            <w:tcBorders>
              <w:top w:val="single" w:sz="6" w:space="0" w:color="auto"/>
              <w:left w:val="single" w:sz="6" w:space="0" w:color="auto"/>
              <w:bottom w:val="single" w:sz="6" w:space="0" w:color="auto"/>
              <w:right w:val="nil"/>
            </w:tcBorders>
          </w:tcPr>
          <w:p w:rsidR="00B060ED" w:rsidRDefault="00B060ED" w:rsidP="004C4EFC">
            <w:r>
              <w:t>--</w:t>
            </w:r>
          </w:p>
        </w:tc>
        <w:tc>
          <w:tcPr>
            <w:tcW w:w="633" w:type="pct"/>
            <w:tcBorders>
              <w:top w:val="single" w:sz="6" w:space="0" w:color="auto"/>
              <w:left w:val="single" w:sz="6" w:space="0" w:color="auto"/>
              <w:bottom w:val="single" w:sz="6" w:space="0" w:color="auto"/>
              <w:right w:val="single" w:sz="6" w:space="0" w:color="auto"/>
            </w:tcBorders>
          </w:tcPr>
          <w:p w:rsidR="00B060ED" w:rsidRDefault="00B060ED" w:rsidP="004C4EFC">
            <w:r>
              <w:t>6,873</w:t>
            </w:r>
          </w:p>
        </w:tc>
      </w:tr>
    </w:tbl>
    <w:p w:rsidR="00B060ED" w:rsidRPr="00AB3DFB" w:rsidRDefault="00B060ED" w:rsidP="00B060ED">
      <w:r w:rsidRPr="008116CA">
        <w:rPr>
          <w:vertAlign w:val="superscript"/>
        </w:rPr>
        <w:t>1</w:t>
      </w:r>
      <w:r>
        <w:t>With online surveys, several participants may be completing the survey at the time that the total target sample is reached. Those participants are allowed to complete the survey, which can result in the number of completes going slightly over the target number. Based on two waves of pretesting, we estimate this amount at approximately 7% for the main study waves. Thus, if our target is 10,000, we have rounded up by an additional 700 to allow for some overage in each of four waves of testing.</w:t>
      </w:r>
    </w:p>
    <w:p w:rsidR="00CA7AB4" w:rsidRDefault="00CA7AB4"/>
    <w:p w:rsidR="00B060ED" w:rsidRDefault="00B060ED" w:rsidP="00B060ED">
      <w:pPr>
        <w:pStyle w:val="BodyTextIndent"/>
        <w:ind w:firstLine="360"/>
      </w:pPr>
    </w:p>
    <w:tbl>
      <w:tblPr>
        <w:tblW w:w="0" w:type="auto"/>
        <w:tblInd w:w="945" w:type="dxa"/>
        <w:tblCellMar>
          <w:left w:w="101" w:type="dxa"/>
          <w:right w:w="101" w:type="dxa"/>
        </w:tblCellMar>
        <w:tblLook w:val="04A0" w:firstRow="1" w:lastRow="0" w:firstColumn="1" w:lastColumn="0" w:noHBand="0" w:noVBand="1"/>
      </w:tblPr>
      <w:tblGrid>
        <w:gridCol w:w="2149"/>
        <w:gridCol w:w="2782"/>
        <w:gridCol w:w="2548"/>
      </w:tblGrid>
      <w:tr w:rsidR="00B060ED" w:rsidTr="004C4EFC">
        <w:tc>
          <w:tcPr>
            <w:tcW w:w="0" w:type="auto"/>
            <w:gridSpan w:val="3"/>
            <w:tcBorders>
              <w:top w:val="single" w:sz="6" w:space="0" w:color="auto"/>
              <w:left w:val="single" w:sz="6" w:space="0" w:color="auto"/>
              <w:bottom w:val="nil"/>
              <w:right w:val="single" w:sz="6" w:space="0" w:color="auto"/>
            </w:tcBorders>
            <w:hideMark/>
          </w:tcPr>
          <w:p w:rsidR="00B060ED" w:rsidRPr="006C7E73" w:rsidRDefault="00B060ED" w:rsidP="004C4EFC">
            <w:pPr>
              <w:jc w:val="center"/>
            </w:pPr>
            <w:r>
              <w:t>Table 2</w:t>
            </w:r>
            <w:r w:rsidRPr="006C7E73">
              <w:t>.</w:t>
            </w:r>
            <w:r>
              <w:t>—Adjustments to Total Hours</w:t>
            </w:r>
          </w:p>
        </w:tc>
      </w:tr>
      <w:tr w:rsidR="00B060ED" w:rsidTr="004C4EFC">
        <w:tc>
          <w:tcPr>
            <w:tcW w:w="0" w:type="auto"/>
            <w:tcBorders>
              <w:top w:val="single" w:sz="6" w:space="0" w:color="auto"/>
              <w:left w:val="single" w:sz="6" w:space="0" w:color="auto"/>
              <w:bottom w:val="single" w:sz="6" w:space="0" w:color="auto"/>
              <w:right w:val="nil"/>
            </w:tcBorders>
          </w:tcPr>
          <w:p w:rsidR="00B060ED" w:rsidRDefault="00B060ED" w:rsidP="004C4EFC"/>
          <w:p w:rsidR="00B060ED" w:rsidRDefault="00B060ED" w:rsidP="004C4EFC">
            <w:r>
              <w:t>Activity</w:t>
            </w:r>
          </w:p>
        </w:tc>
        <w:tc>
          <w:tcPr>
            <w:tcW w:w="0" w:type="auto"/>
            <w:tcBorders>
              <w:top w:val="single" w:sz="6" w:space="0" w:color="auto"/>
              <w:left w:val="single" w:sz="6" w:space="0" w:color="auto"/>
              <w:bottom w:val="nil"/>
              <w:right w:val="nil"/>
            </w:tcBorders>
            <w:hideMark/>
          </w:tcPr>
          <w:p w:rsidR="00B060ED" w:rsidRDefault="00B060ED" w:rsidP="004C4EFC">
            <w:pPr>
              <w:jc w:val="center"/>
            </w:pPr>
            <w:r>
              <w:t>Adjustment to Total Hours</w:t>
            </w:r>
          </w:p>
        </w:tc>
        <w:tc>
          <w:tcPr>
            <w:tcW w:w="0" w:type="auto"/>
            <w:tcBorders>
              <w:top w:val="single" w:sz="6" w:space="0" w:color="auto"/>
              <w:left w:val="single" w:sz="6" w:space="0" w:color="auto"/>
              <w:bottom w:val="nil"/>
              <w:right w:val="single" w:sz="6" w:space="0" w:color="auto"/>
            </w:tcBorders>
            <w:hideMark/>
          </w:tcPr>
          <w:p w:rsidR="00B060ED" w:rsidRDefault="00B060ED" w:rsidP="004C4EFC">
            <w:pPr>
              <w:jc w:val="center"/>
            </w:pPr>
            <w:r>
              <w:t>Notes</w:t>
            </w:r>
          </w:p>
        </w:tc>
      </w:tr>
      <w:tr w:rsidR="00B060ED" w:rsidTr="004C4EFC">
        <w:tc>
          <w:tcPr>
            <w:tcW w:w="0" w:type="auto"/>
            <w:tcBorders>
              <w:top w:val="single" w:sz="6" w:space="0" w:color="auto"/>
              <w:left w:val="single" w:sz="6" w:space="0" w:color="auto"/>
              <w:bottom w:val="single" w:sz="6" w:space="0" w:color="auto"/>
              <w:right w:val="nil"/>
            </w:tcBorders>
          </w:tcPr>
          <w:p w:rsidR="00B060ED" w:rsidRPr="00BC329A" w:rsidRDefault="00B060ED" w:rsidP="004C4EFC">
            <w:r>
              <w:t>Pretest screener</w:t>
            </w:r>
          </w:p>
        </w:tc>
        <w:tc>
          <w:tcPr>
            <w:tcW w:w="0" w:type="auto"/>
            <w:tcBorders>
              <w:top w:val="single" w:sz="6" w:space="0" w:color="auto"/>
              <w:left w:val="single" w:sz="6" w:space="0" w:color="auto"/>
              <w:bottom w:val="nil"/>
              <w:right w:val="nil"/>
            </w:tcBorders>
          </w:tcPr>
          <w:p w:rsidR="00B060ED" w:rsidRDefault="00B060ED" w:rsidP="004C4EFC">
            <w:r>
              <w:t>39 additional hours</w:t>
            </w:r>
          </w:p>
        </w:tc>
        <w:tc>
          <w:tcPr>
            <w:tcW w:w="0" w:type="auto"/>
            <w:tcBorders>
              <w:top w:val="single" w:sz="6" w:space="0" w:color="auto"/>
              <w:left w:val="single" w:sz="6" w:space="0" w:color="auto"/>
              <w:bottom w:val="nil"/>
              <w:right w:val="single" w:sz="6" w:space="0" w:color="auto"/>
            </w:tcBorders>
          </w:tcPr>
          <w:p w:rsidR="00B060ED" w:rsidRDefault="00B060ED" w:rsidP="004C4EFC">
            <w:r>
              <w:t>Change described above</w:t>
            </w:r>
          </w:p>
        </w:tc>
      </w:tr>
      <w:tr w:rsidR="00B060ED" w:rsidTr="004C4EFC">
        <w:tc>
          <w:tcPr>
            <w:tcW w:w="0" w:type="auto"/>
            <w:tcBorders>
              <w:top w:val="single" w:sz="6" w:space="0" w:color="auto"/>
              <w:left w:val="single" w:sz="6" w:space="0" w:color="auto"/>
              <w:bottom w:val="single" w:sz="6" w:space="0" w:color="auto"/>
              <w:right w:val="nil"/>
            </w:tcBorders>
            <w:hideMark/>
          </w:tcPr>
          <w:p w:rsidR="00B060ED" w:rsidRPr="00BC329A" w:rsidRDefault="00B060ED" w:rsidP="004C4EFC">
            <w:r>
              <w:t>Main study s</w:t>
            </w:r>
            <w:r w:rsidRPr="00BC329A">
              <w:t>creener</w:t>
            </w:r>
          </w:p>
        </w:tc>
        <w:tc>
          <w:tcPr>
            <w:tcW w:w="0" w:type="auto"/>
            <w:tcBorders>
              <w:top w:val="single" w:sz="6" w:space="0" w:color="auto"/>
              <w:left w:val="single" w:sz="6" w:space="0" w:color="auto"/>
              <w:bottom w:val="nil"/>
              <w:right w:val="nil"/>
            </w:tcBorders>
          </w:tcPr>
          <w:p w:rsidR="00B060ED" w:rsidRPr="00BC329A" w:rsidRDefault="00B060ED" w:rsidP="004C4EFC">
            <w:r>
              <w:t>0</w:t>
            </w:r>
          </w:p>
        </w:tc>
        <w:tc>
          <w:tcPr>
            <w:tcW w:w="0" w:type="auto"/>
            <w:tcBorders>
              <w:top w:val="single" w:sz="6" w:space="0" w:color="auto"/>
              <w:left w:val="single" w:sz="6" w:space="0" w:color="auto"/>
              <w:bottom w:val="nil"/>
              <w:right w:val="single" w:sz="6" w:space="0" w:color="auto"/>
            </w:tcBorders>
          </w:tcPr>
          <w:p w:rsidR="00B060ED" w:rsidRPr="00BC329A" w:rsidRDefault="00B060ED" w:rsidP="004C4EFC">
            <w:r>
              <w:t>No Change</w:t>
            </w:r>
          </w:p>
        </w:tc>
      </w:tr>
      <w:tr w:rsidR="00B060ED" w:rsidTr="004C4EFC">
        <w:tc>
          <w:tcPr>
            <w:tcW w:w="0" w:type="auto"/>
            <w:tcBorders>
              <w:top w:val="single" w:sz="6" w:space="0" w:color="auto"/>
              <w:left w:val="single" w:sz="6" w:space="0" w:color="auto"/>
              <w:bottom w:val="single" w:sz="6" w:space="0" w:color="auto"/>
              <w:right w:val="nil"/>
            </w:tcBorders>
            <w:hideMark/>
          </w:tcPr>
          <w:p w:rsidR="00B060ED" w:rsidRDefault="00B060ED" w:rsidP="004C4EFC">
            <w:r>
              <w:t xml:space="preserve">Pretest </w:t>
            </w:r>
          </w:p>
        </w:tc>
        <w:tc>
          <w:tcPr>
            <w:tcW w:w="0" w:type="auto"/>
            <w:tcBorders>
              <w:top w:val="single" w:sz="6" w:space="0" w:color="auto"/>
              <w:left w:val="single" w:sz="6" w:space="0" w:color="auto"/>
              <w:bottom w:val="nil"/>
              <w:right w:val="nil"/>
            </w:tcBorders>
          </w:tcPr>
          <w:p w:rsidR="00B060ED" w:rsidRPr="00BC329A" w:rsidRDefault="00B060ED" w:rsidP="004C4EFC">
            <w:r>
              <w:t>274 additional hours</w:t>
            </w:r>
          </w:p>
        </w:tc>
        <w:tc>
          <w:tcPr>
            <w:tcW w:w="0" w:type="auto"/>
            <w:tcBorders>
              <w:top w:val="single" w:sz="6" w:space="0" w:color="auto"/>
              <w:left w:val="single" w:sz="6" w:space="0" w:color="auto"/>
              <w:bottom w:val="nil"/>
              <w:right w:val="single" w:sz="6" w:space="0" w:color="auto"/>
            </w:tcBorders>
          </w:tcPr>
          <w:p w:rsidR="00B060ED" w:rsidRDefault="00B060ED" w:rsidP="004C4EFC">
            <w:r>
              <w:t>Change described above</w:t>
            </w:r>
          </w:p>
        </w:tc>
      </w:tr>
      <w:tr w:rsidR="00B060ED" w:rsidTr="004C4EFC">
        <w:tc>
          <w:tcPr>
            <w:tcW w:w="0" w:type="auto"/>
            <w:tcBorders>
              <w:top w:val="single" w:sz="6" w:space="0" w:color="auto"/>
              <w:left w:val="single" w:sz="6" w:space="0" w:color="auto"/>
              <w:bottom w:val="single" w:sz="6" w:space="0" w:color="auto"/>
              <w:right w:val="nil"/>
            </w:tcBorders>
            <w:hideMark/>
          </w:tcPr>
          <w:p w:rsidR="00B060ED" w:rsidRDefault="00B060ED" w:rsidP="004C4EFC">
            <w:r>
              <w:t xml:space="preserve">Main Study </w:t>
            </w:r>
          </w:p>
        </w:tc>
        <w:tc>
          <w:tcPr>
            <w:tcW w:w="0" w:type="auto"/>
            <w:tcBorders>
              <w:top w:val="single" w:sz="6" w:space="0" w:color="auto"/>
              <w:left w:val="single" w:sz="6" w:space="0" w:color="auto"/>
              <w:bottom w:val="nil"/>
              <w:right w:val="nil"/>
            </w:tcBorders>
          </w:tcPr>
          <w:p w:rsidR="00B060ED" w:rsidRPr="00BC329A" w:rsidRDefault="00B060ED" w:rsidP="004C4EFC">
            <w:r>
              <w:t>250 additional hours</w:t>
            </w:r>
          </w:p>
        </w:tc>
        <w:tc>
          <w:tcPr>
            <w:tcW w:w="0" w:type="auto"/>
            <w:tcBorders>
              <w:top w:val="single" w:sz="6" w:space="0" w:color="auto"/>
              <w:left w:val="single" w:sz="6" w:space="0" w:color="auto"/>
              <w:bottom w:val="nil"/>
              <w:right w:val="single" w:sz="6" w:space="0" w:color="auto"/>
            </w:tcBorders>
          </w:tcPr>
          <w:p w:rsidR="00B060ED" w:rsidRDefault="00B060ED" w:rsidP="004C4EFC">
            <w:r>
              <w:t>Change described above</w:t>
            </w:r>
          </w:p>
        </w:tc>
      </w:tr>
      <w:tr w:rsidR="00B060ED" w:rsidTr="004C4EFC">
        <w:tc>
          <w:tcPr>
            <w:tcW w:w="0" w:type="auto"/>
            <w:tcBorders>
              <w:top w:val="single" w:sz="6" w:space="0" w:color="auto"/>
              <w:left w:val="single" w:sz="6" w:space="0" w:color="auto"/>
              <w:bottom w:val="single" w:sz="6" w:space="0" w:color="auto"/>
              <w:right w:val="nil"/>
            </w:tcBorders>
            <w:hideMark/>
          </w:tcPr>
          <w:p w:rsidR="00B060ED" w:rsidRDefault="00B060ED" w:rsidP="004C4EFC">
            <w:r>
              <w:t>Total</w:t>
            </w:r>
          </w:p>
        </w:tc>
        <w:tc>
          <w:tcPr>
            <w:tcW w:w="0" w:type="auto"/>
            <w:tcBorders>
              <w:top w:val="single" w:sz="6" w:space="0" w:color="auto"/>
              <w:left w:val="single" w:sz="6" w:space="0" w:color="auto"/>
              <w:bottom w:val="single" w:sz="6" w:space="0" w:color="auto"/>
              <w:right w:val="nil"/>
            </w:tcBorders>
          </w:tcPr>
          <w:p w:rsidR="00B060ED" w:rsidRPr="00BC329A" w:rsidRDefault="00B060ED" w:rsidP="004C4EFC">
            <w:r>
              <w:t>563 additional hours</w:t>
            </w:r>
          </w:p>
        </w:tc>
        <w:tc>
          <w:tcPr>
            <w:tcW w:w="0" w:type="auto"/>
            <w:tcBorders>
              <w:top w:val="single" w:sz="6" w:space="0" w:color="auto"/>
              <w:left w:val="single" w:sz="6" w:space="0" w:color="auto"/>
              <w:bottom w:val="single" w:sz="6" w:space="0" w:color="auto"/>
              <w:right w:val="single" w:sz="6" w:space="0" w:color="auto"/>
            </w:tcBorders>
          </w:tcPr>
          <w:p w:rsidR="00B060ED" w:rsidRDefault="00B060ED" w:rsidP="004C4EFC"/>
        </w:tc>
      </w:tr>
    </w:tbl>
    <w:p w:rsidR="00B060ED" w:rsidRDefault="00B060ED"/>
    <w:sectPr w:rsidR="00B06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50F"/>
    <w:rsid w:val="00051C42"/>
    <w:rsid w:val="00712925"/>
    <w:rsid w:val="0089480F"/>
    <w:rsid w:val="00AE405A"/>
    <w:rsid w:val="00B060ED"/>
    <w:rsid w:val="00CA7AB4"/>
    <w:rsid w:val="00D136AE"/>
    <w:rsid w:val="00ED7E26"/>
    <w:rsid w:val="00F5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060ED"/>
    <w:pPr>
      <w:spacing w:after="120"/>
      <w:ind w:left="360"/>
    </w:pPr>
  </w:style>
  <w:style w:type="character" w:customStyle="1" w:styleId="BodyTextIndentChar">
    <w:name w:val="Body Text Indent Char"/>
    <w:basedOn w:val="DefaultParagraphFont"/>
    <w:link w:val="BodyTextIndent"/>
    <w:rsid w:val="00B060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060ED"/>
    <w:pPr>
      <w:spacing w:after="120"/>
      <w:ind w:left="360"/>
    </w:pPr>
  </w:style>
  <w:style w:type="character" w:customStyle="1" w:styleId="BodyTextIndentChar">
    <w:name w:val="Body Text Indent Char"/>
    <w:basedOn w:val="DefaultParagraphFont"/>
    <w:link w:val="BodyTextIndent"/>
    <w:rsid w:val="00B060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Mizrachi, Ila</cp:lastModifiedBy>
  <cp:revision>3</cp:revision>
  <dcterms:created xsi:type="dcterms:W3CDTF">2015-10-15T17:52:00Z</dcterms:created>
  <dcterms:modified xsi:type="dcterms:W3CDTF">2015-10-16T15:11:00Z</dcterms:modified>
</cp:coreProperties>
</file>