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5A" w:rsidRDefault="00823F5A" w:rsidP="00823F5A">
      <w:pPr>
        <w:rPr>
          <w:b/>
          <w:bCs/>
          <w:color w:val="000000" w:themeColor="text1"/>
          <w:szCs w:val="24"/>
        </w:rPr>
      </w:pPr>
    </w:p>
    <w:p w:rsidR="00823F5A" w:rsidRDefault="00823F5A" w:rsidP="00823F5A">
      <w:pPr>
        <w:rPr>
          <w:b/>
          <w:bCs/>
          <w:color w:val="000000" w:themeColor="text1"/>
          <w:szCs w:val="24"/>
        </w:rPr>
      </w:pPr>
    </w:p>
    <w:p w:rsidR="00823F5A" w:rsidRPr="009A457B" w:rsidRDefault="00823F5A" w:rsidP="00823F5A">
      <w:pPr>
        <w:jc w:val="center"/>
        <w:rPr>
          <w:b/>
          <w:bCs/>
          <w:caps/>
          <w:color w:val="000000" w:themeColor="text1"/>
          <w:szCs w:val="24"/>
        </w:rPr>
      </w:pPr>
      <w:r w:rsidRPr="009A457B">
        <w:rPr>
          <w:b/>
          <w:bCs/>
          <w:caps/>
          <w:color w:val="000000" w:themeColor="text1"/>
          <w:szCs w:val="24"/>
        </w:rPr>
        <w:t>SUPPORTING STATEMENT</w:t>
      </w:r>
    </w:p>
    <w:p w:rsidR="00823F5A" w:rsidRPr="009A457B" w:rsidRDefault="00823F5A" w:rsidP="00823F5A">
      <w:pPr>
        <w:jc w:val="center"/>
        <w:rPr>
          <w:b/>
          <w:bCs/>
          <w:color w:val="000000" w:themeColor="text1"/>
          <w:szCs w:val="24"/>
          <w:lang w:val="pt-BR"/>
        </w:rPr>
      </w:pPr>
      <w:r w:rsidRPr="009A457B">
        <w:rPr>
          <w:b/>
          <w:bCs/>
          <w:color w:val="000000" w:themeColor="text1"/>
        </w:rPr>
        <w:t>COST-EARNINGS SURVEY OF AMERICAN SAMOA LONGLINE FISHERY</w:t>
      </w:r>
    </w:p>
    <w:p w:rsidR="00823F5A" w:rsidRPr="009A457B" w:rsidDel="003655AE" w:rsidRDefault="00823F5A" w:rsidP="00823F5A">
      <w:pPr>
        <w:jc w:val="center"/>
        <w:rPr>
          <w:b/>
          <w:bCs/>
          <w:color w:val="000000" w:themeColor="text1"/>
          <w:szCs w:val="24"/>
          <w:lang w:val="pt-BR"/>
        </w:rPr>
      </w:pPr>
      <w:r w:rsidRPr="009A457B" w:rsidDel="003655AE">
        <w:rPr>
          <w:b/>
          <w:bCs/>
          <w:color w:val="000000" w:themeColor="text1"/>
          <w:szCs w:val="24"/>
          <w:lang w:val="pt-BR"/>
        </w:rPr>
        <w:t>OMB CONTROL NO.: xxxx-xxxx</w:t>
      </w:r>
    </w:p>
    <w:p w:rsidR="00823F5A" w:rsidRDefault="00823F5A" w:rsidP="00823F5A">
      <w:pPr>
        <w:rPr>
          <w:b/>
          <w:bCs/>
          <w:color w:val="000000" w:themeColor="text1"/>
          <w:szCs w:val="24"/>
        </w:rPr>
      </w:pPr>
    </w:p>
    <w:p w:rsidR="00823F5A" w:rsidRDefault="00823F5A" w:rsidP="00823F5A">
      <w:pPr>
        <w:rPr>
          <w:b/>
          <w:bCs/>
          <w:color w:val="000000" w:themeColor="text1"/>
          <w:szCs w:val="24"/>
        </w:rPr>
      </w:pPr>
    </w:p>
    <w:p w:rsidR="00823F5A" w:rsidRPr="009A457B" w:rsidRDefault="00823F5A" w:rsidP="00823F5A">
      <w:pPr>
        <w:rPr>
          <w:color w:val="000000" w:themeColor="text1"/>
          <w:szCs w:val="24"/>
        </w:rPr>
      </w:pPr>
      <w:r w:rsidRPr="009A457B">
        <w:rPr>
          <w:b/>
          <w:bCs/>
          <w:color w:val="000000" w:themeColor="text1"/>
          <w:szCs w:val="24"/>
        </w:rPr>
        <w:t>B.  COLLECTIONS OF INFORMATION EMPLOYING STATISTICAL METHODS</w:t>
      </w:r>
    </w:p>
    <w:p w:rsidR="00823F5A" w:rsidRPr="009A457B" w:rsidRDefault="00823F5A" w:rsidP="00823F5A">
      <w:pPr>
        <w:rPr>
          <w:color w:val="000000" w:themeColor="text1"/>
          <w:szCs w:val="24"/>
        </w:rPr>
      </w:pP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9A457B">
        <w:rPr>
          <w:b/>
          <w:bCs/>
          <w:color w:val="000000" w:themeColor="text1"/>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23F5A" w:rsidRPr="009A457B" w:rsidRDefault="00823F5A" w:rsidP="00823F5A">
      <w:pPr>
        <w:widowControl/>
        <w:rPr>
          <w:color w:val="000000" w:themeColor="text1"/>
          <w:szCs w:val="24"/>
        </w:rPr>
      </w:pPr>
    </w:p>
    <w:p w:rsidR="00823F5A" w:rsidRPr="009A457B" w:rsidRDefault="00823F5A" w:rsidP="00823F5A">
      <w:pPr>
        <w:widowControl/>
        <w:rPr>
          <w:color w:val="000000" w:themeColor="text1"/>
          <w:szCs w:val="24"/>
          <w:u w:val="single"/>
        </w:rPr>
      </w:pPr>
      <w:r w:rsidRPr="009A457B">
        <w:rPr>
          <w:color w:val="000000" w:themeColor="text1"/>
          <w:szCs w:val="24"/>
          <w:u w:val="single"/>
        </w:rPr>
        <w:t>Potential Respondent Universe</w:t>
      </w:r>
    </w:p>
    <w:p w:rsidR="00823F5A" w:rsidRPr="009A457B" w:rsidRDefault="00823F5A" w:rsidP="00823F5A">
      <w:pPr>
        <w:widowControl/>
        <w:rPr>
          <w:color w:val="000000" w:themeColor="text1"/>
          <w:sz w:val="20"/>
          <w:szCs w:val="20"/>
        </w:rPr>
      </w:pPr>
      <w:r w:rsidRPr="009A457B">
        <w:rPr>
          <w:color w:val="000000" w:themeColor="text1"/>
          <w:szCs w:val="24"/>
        </w:rPr>
        <w:t xml:space="preserve">The potential respondent universe is 22, according to the 2013 longline logbook data submitted to the American Samoa Department of Marine and Wildlife Resources.  </w:t>
      </w:r>
    </w:p>
    <w:p w:rsidR="00823F5A" w:rsidRPr="009A457B" w:rsidRDefault="00823F5A" w:rsidP="00823F5A">
      <w:pPr>
        <w:rPr>
          <w:color w:val="000000" w:themeColor="text1"/>
          <w:sz w:val="20"/>
          <w:szCs w:val="20"/>
        </w:rPr>
      </w:pPr>
    </w:p>
    <w:p w:rsidR="00823F5A" w:rsidRPr="009A457B" w:rsidRDefault="00823F5A" w:rsidP="00823F5A">
      <w:pPr>
        <w:widowControl/>
        <w:rPr>
          <w:color w:val="000000" w:themeColor="text1"/>
          <w:szCs w:val="24"/>
          <w:u w:val="single"/>
        </w:rPr>
      </w:pPr>
      <w:r w:rsidRPr="009A457B">
        <w:rPr>
          <w:color w:val="000000" w:themeColor="text1"/>
          <w:szCs w:val="24"/>
          <w:u w:val="single"/>
        </w:rPr>
        <w:t>Sampling and Other Respondent Selection Methods</w:t>
      </w:r>
    </w:p>
    <w:p w:rsidR="00823F5A" w:rsidRPr="009A457B" w:rsidRDefault="00823F5A" w:rsidP="00823F5A">
      <w:pPr>
        <w:rPr>
          <w:color w:val="000000" w:themeColor="text1"/>
          <w:szCs w:val="24"/>
        </w:rPr>
      </w:pPr>
      <w:r w:rsidRPr="009A457B">
        <w:rPr>
          <w:color w:val="000000" w:themeColor="text1"/>
          <w:szCs w:val="24"/>
        </w:rPr>
        <w:t xml:space="preserve">The whole population of longline fishers in American Samoa will be included in this survey, so no sampling or other respondent selection method will be used.  </w:t>
      </w:r>
    </w:p>
    <w:p w:rsidR="00823F5A" w:rsidRPr="009A457B" w:rsidRDefault="00823F5A" w:rsidP="00823F5A">
      <w:pPr>
        <w:widowControl/>
        <w:rPr>
          <w:color w:val="000000" w:themeColor="text1"/>
          <w:szCs w:val="24"/>
          <w:u w:val="single"/>
        </w:rPr>
      </w:pPr>
    </w:p>
    <w:p w:rsidR="00823F5A" w:rsidRPr="009A457B" w:rsidRDefault="00823F5A" w:rsidP="00823F5A">
      <w:pPr>
        <w:widowControl/>
        <w:rPr>
          <w:color w:val="000000" w:themeColor="text1"/>
          <w:szCs w:val="24"/>
          <w:u w:val="single"/>
        </w:rPr>
      </w:pPr>
      <w:r w:rsidRPr="009A457B">
        <w:rPr>
          <w:color w:val="000000" w:themeColor="text1"/>
          <w:szCs w:val="24"/>
          <w:u w:val="single"/>
        </w:rPr>
        <w:t>Expected Response Rate</w:t>
      </w:r>
    </w:p>
    <w:p w:rsidR="00823F5A" w:rsidRPr="009A457B" w:rsidRDefault="00823F5A" w:rsidP="00823F5A">
      <w:pPr>
        <w:widowControl/>
        <w:rPr>
          <w:color w:val="000000" w:themeColor="text1"/>
          <w:szCs w:val="24"/>
        </w:rPr>
      </w:pPr>
      <w:r w:rsidRPr="009A457B">
        <w:rPr>
          <w:color w:val="000000" w:themeColor="text1"/>
          <w:szCs w:val="24"/>
        </w:rPr>
        <w:t>Prior research in fishery economic performance in the Pacific islands areas achieved relatively high response rates.  Previous cost-earnings studies of American Samoa longline</w:t>
      </w:r>
      <w:r w:rsidRPr="009A457B">
        <w:rPr>
          <w:color w:val="000000" w:themeColor="text1"/>
        </w:rPr>
        <w:t xml:space="preserve"> fishery using in-person interviewing methodology</w:t>
      </w:r>
      <w:r w:rsidRPr="009A457B">
        <w:rPr>
          <w:color w:val="000000" w:themeColor="text1"/>
          <w:szCs w:val="24"/>
        </w:rPr>
        <w:t xml:space="preserve"> all received high</w:t>
      </w:r>
      <w:r>
        <w:rPr>
          <w:color w:val="000000" w:themeColor="text1"/>
          <w:szCs w:val="24"/>
        </w:rPr>
        <w:t xml:space="preserve"> response rates </w:t>
      </w:r>
      <w:proofErr w:type="spellStart"/>
      <w:r w:rsidRPr="009A457B">
        <w:rPr>
          <w:color w:val="000000" w:themeColor="text1"/>
          <w:szCs w:val="24"/>
        </w:rPr>
        <w:t>Arita</w:t>
      </w:r>
      <w:proofErr w:type="spellEnd"/>
      <w:r w:rsidRPr="009A457B">
        <w:rPr>
          <w:color w:val="000000" w:themeColor="text1"/>
          <w:szCs w:val="24"/>
        </w:rPr>
        <w:t xml:space="preserve"> and Pan (2009)</w:t>
      </w:r>
      <w:r w:rsidRPr="009A457B">
        <w:rPr>
          <w:rStyle w:val="FootnoteReference"/>
          <w:color w:val="000000" w:themeColor="text1"/>
        </w:rPr>
        <w:footnoteReference w:id="1"/>
      </w:r>
      <w:r w:rsidRPr="009A457B">
        <w:rPr>
          <w:color w:val="000000" w:themeColor="text1"/>
          <w:szCs w:val="24"/>
        </w:rPr>
        <w:t xml:space="preserve"> </w:t>
      </w:r>
      <w:r w:rsidRPr="009A457B">
        <w:rPr>
          <w:color w:val="000000" w:themeColor="text1"/>
        </w:rPr>
        <w:t>achieved 88% response rate and O’Malley and Pooley (2002)</w:t>
      </w:r>
      <w:r w:rsidRPr="009A457B">
        <w:rPr>
          <w:rStyle w:val="FootnoteReference"/>
          <w:color w:val="000000" w:themeColor="text1"/>
        </w:rPr>
        <w:footnoteReference w:id="2"/>
      </w:r>
      <w:r w:rsidRPr="009A457B">
        <w:rPr>
          <w:color w:val="000000" w:themeColor="text1"/>
        </w:rPr>
        <w:t xml:space="preserve"> achieved 82% response rate. </w:t>
      </w:r>
      <w:r w:rsidRPr="009A457B">
        <w:rPr>
          <w:color w:val="000000" w:themeColor="text1"/>
          <w:szCs w:val="24"/>
        </w:rPr>
        <w:t xml:space="preserve"> Given the similar survey instruments, sample composition, and survey methodology between this proposed new survey and the pervious cost-earnings surveys, we assume a 88% response rate and the number of respondents is estimated to be 20.  </w:t>
      </w:r>
    </w:p>
    <w:p w:rsidR="00823F5A" w:rsidRPr="009A457B" w:rsidRDefault="00823F5A" w:rsidP="00823F5A">
      <w:pPr>
        <w:rPr>
          <w:b/>
          <w:color w:val="000000" w:themeColor="text1"/>
          <w:sz w:val="20"/>
          <w:szCs w:val="20"/>
        </w:rPr>
      </w:pPr>
    </w:p>
    <w:p w:rsidR="00823F5A" w:rsidRPr="009A457B" w:rsidRDefault="00823F5A" w:rsidP="00823F5A">
      <w:pPr>
        <w:widowControl/>
        <w:rPr>
          <w:color w:val="000000" w:themeColor="text1"/>
          <w:szCs w:val="24"/>
        </w:rPr>
      </w:pPr>
      <w:r w:rsidRPr="009A457B">
        <w:rPr>
          <w:color w:val="000000" w:themeColor="text1"/>
        </w:rPr>
        <w:t xml:space="preserve">The detailed response rate and target number of surveys are shown in Table 1. </w:t>
      </w:r>
    </w:p>
    <w:p w:rsidR="00823F5A" w:rsidRPr="009A457B" w:rsidRDefault="00823F5A" w:rsidP="00823F5A">
      <w:pPr>
        <w:rPr>
          <w:b/>
          <w:color w:val="000000" w:themeColor="text1"/>
          <w:sz w:val="20"/>
          <w:szCs w:val="20"/>
        </w:rPr>
      </w:pPr>
    </w:p>
    <w:p w:rsidR="00823F5A" w:rsidRPr="009A457B" w:rsidRDefault="00823F5A" w:rsidP="00823F5A">
      <w:pPr>
        <w:widowControl/>
        <w:jc w:val="both"/>
        <w:rPr>
          <w:b/>
          <w:color w:val="000000" w:themeColor="text1"/>
          <w:szCs w:val="24"/>
        </w:rPr>
      </w:pPr>
      <w:r w:rsidRPr="009A457B">
        <w:rPr>
          <w:b/>
          <w:color w:val="000000" w:themeColor="text1"/>
          <w:szCs w:val="24"/>
        </w:rPr>
        <w:t xml:space="preserve"> </w:t>
      </w:r>
      <w:proofErr w:type="gramStart"/>
      <w:r w:rsidRPr="009A457B">
        <w:rPr>
          <w:b/>
          <w:color w:val="000000" w:themeColor="text1"/>
          <w:szCs w:val="24"/>
        </w:rPr>
        <w:t>Table 1.</w:t>
      </w:r>
      <w:proofErr w:type="gramEnd"/>
      <w:r w:rsidRPr="009A457B">
        <w:rPr>
          <w:b/>
          <w:color w:val="000000" w:themeColor="text1"/>
          <w:szCs w:val="24"/>
        </w:rPr>
        <w:t xml:space="preserve"> Response Rate and Target Number of Surveys in American Samoa</w:t>
      </w:r>
    </w:p>
    <w:tbl>
      <w:tblPr>
        <w:tblW w:w="9465" w:type="dxa"/>
        <w:tblInd w:w="93" w:type="dxa"/>
        <w:tblLook w:val="04A0" w:firstRow="1" w:lastRow="0" w:firstColumn="1" w:lastColumn="0" w:noHBand="0" w:noVBand="1"/>
      </w:tblPr>
      <w:tblGrid>
        <w:gridCol w:w="6675"/>
        <w:gridCol w:w="2790"/>
      </w:tblGrid>
      <w:tr w:rsidR="00823F5A" w:rsidRPr="009A457B" w:rsidTr="00C56798">
        <w:trPr>
          <w:trHeight w:val="315"/>
        </w:trPr>
        <w:tc>
          <w:tcPr>
            <w:tcW w:w="6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F5A" w:rsidRPr="009A457B" w:rsidRDefault="00823F5A" w:rsidP="00C56798">
            <w:pPr>
              <w:widowControl/>
              <w:autoSpaceDE/>
              <w:autoSpaceDN/>
              <w:adjustRightInd/>
              <w:rPr>
                <w:rFonts w:eastAsia="Times New Roman"/>
                <w:b/>
                <w:bCs/>
                <w:color w:val="000000" w:themeColor="text1"/>
                <w:szCs w:val="24"/>
                <w:lang w:eastAsia="zh-TW"/>
              </w:rPr>
            </w:pPr>
            <w:r w:rsidRPr="009A457B">
              <w:rPr>
                <w:rFonts w:eastAsia="Times New Roman"/>
                <w:b/>
                <w:bCs/>
                <w:color w:val="000000" w:themeColor="text1"/>
                <w:szCs w:val="24"/>
                <w:lang w:eastAsia="zh-TW"/>
              </w:rPr>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823F5A" w:rsidRPr="009A457B" w:rsidRDefault="00823F5A" w:rsidP="00C56798">
            <w:pPr>
              <w:widowControl/>
              <w:autoSpaceDE/>
              <w:autoSpaceDN/>
              <w:adjustRightInd/>
              <w:jc w:val="center"/>
              <w:rPr>
                <w:rFonts w:eastAsia="Times New Roman"/>
                <w:b/>
                <w:bCs/>
                <w:color w:val="000000" w:themeColor="text1"/>
                <w:szCs w:val="24"/>
                <w:lang w:eastAsia="zh-TW"/>
              </w:rPr>
            </w:pPr>
            <w:r w:rsidRPr="009A457B">
              <w:rPr>
                <w:rFonts w:eastAsia="Times New Roman"/>
                <w:b/>
                <w:bCs/>
                <w:color w:val="000000" w:themeColor="text1"/>
                <w:szCs w:val="24"/>
                <w:lang w:eastAsia="zh-TW"/>
              </w:rPr>
              <w:t>American Samoa</w:t>
            </w:r>
          </w:p>
        </w:tc>
      </w:tr>
      <w:tr w:rsidR="00823F5A" w:rsidRPr="009A457B" w:rsidTr="00C56798">
        <w:trPr>
          <w:trHeight w:val="315"/>
        </w:trPr>
        <w:tc>
          <w:tcPr>
            <w:tcW w:w="6675" w:type="dxa"/>
            <w:tcBorders>
              <w:top w:val="nil"/>
              <w:left w:val="single" w:sz="4" w:space="0" w:color="auto"/>
              <w:bottom w:val="single" w:sz="4" w:space="0" w:color="auto"/>
              <w:right w:val="single" w:sz="4" w:space="0" w:color="auto"/>
            </w:tcBorders>
            <w:shd w:val="clear" w:color="auto" w:fill="auto"/>
            <w:vAlign w:val="bottom"/>
            <w:hideMark/>
          </w:tcPr>
          <w:p w:rsidR="00823F5A" w:rsidRPr="009A457B" w:rsidRDefault="00823F5A" w:rsidP="00C56798">
            <w:pPr>
              <w:widowControl/>
              <w:autoSpaceDE/>
              <w:autoSpaceDN/>
              <w:adjustRightInd/>
              <w:rPr>
                <w:rFonts w:eastAsia="Times New Roman"/>
                <w:color w:val="000000" w:themeColor="text1"/>
                <w:szCs w:val="24"/>
                <w:lang w:eastAsia="zh-TW"/>
              </w:rPr>
            </w:pPr>
            <w:r w:rsidRPr="009A457B">
              <w:rPr>
                <w:rFonts w:eastAsia="Times New Roman"/>
                <w:color w:val="000000" w:themeColor="text1"/>
                <w:szCs w:val="24"/>
                <w:lang w:eastAsia="zh-TW"/>
              </w:rPr>
              <w:t>Total number of boats (population)</w:t>
            </w:r>
          </w:p>
        </w:tc>
        <w:tc>
          <w:tcPr>
            <w:tcW w:w="2790" w:type="dxa"/>
            <w:tcBorders>
              <w:top w:val="nil"/>
              <w:left w:val="nil"/>
              <w:bottom w:val="single" w:sz="4" w:space="0" w:color="auto"/>
              <w:right w:val="single" w:sz="4" w:space="0" w:color="auto"/>
            </w:tcBorders>
            <w:shd w:val="clear" w:color="auto" w:fill="auto"/>
            <w:noWrap/>
            <w:vAlign w:val="bottom"/>
            <w:hideMark/>
          </w:tcPr>
          <w:p w:rsidR="00823F5A" w:rsidRPr="009A457B" w:rsidRDefault="00823F5A" w:rsidP="00C56798">
            <w:pPr>
              <w:widowControl/>
              <w:autoSpaceDE/>
              <w:autoSpaceDN/>
              <w:adjustRightInd/>
              <w:jc w:val="center"/>
              <w:rPr>
                <w:rFonts w:eastAsia="Times New Roman"/>
                <w:color w:val="000000" w:themeColor="text1"/>
                <w:szCs w:val="24"/>
                <w:lang w:eastAsia="zh-TW"/>
              </w:rPr>
            </w:pPr>
            <w:r w:rsidRPr="009A457B">
              <w:rPr>
                <w:rFonts w:eastAsia="Times New Roman"/>
                <w:color w:val="000000" w:themeColor="text1"/>
                <w:szCs w:val="24"/>
                <w:lang w:eastAsia="zh-TW"/>
              </w:rPr>
              <w:t>22</w:t>
            </w:r>
          </w:p>
        </w:tc>
      </w:tr>
      <w:tr w:rsidR="00823F5A" w:rsidRPr="009A457B" w:rsidTr="00C56798">
        <w:trPr>
          <w:trHeight w:val="315"/>
        </w:trPr>
        <w:tc>
          <w:tcPr>
            <w:tcW w:w="6675" w:type="dxa"/>
            <w:tcBorders>
              <w:top w:val="nil"/>
              <w:left w:val="single" w:sz="4" w:space="0" w:color="auto"/>
              <w:bottom w:val="single" w:sz="4" w:space="0" w:color="auto"/>
              <w:right w:val="single" w:sz="4" w:space="0" w:color="auto"/>
            </w:tcBorders>
            <w:shd w:val="clear" w:color="auto" w:fill="auto"/>
            <w:vAlign w:val="bottom"/>
            <w:hideMark/>
          </w:tcPr>
          <w:p w:rsidR="00823F5A" w:rsidRPr="009A457B" w:rsidRDefault="00823F5A" w:rsidP="00C56798">
            <w:pPr>
              <w:widowControl/>
              <w:autoSpaceDE/>
              <w:autoSpaceDN/>
              <w:adjustRightInd/>
              <w:rPr>
                <w:rFonts w:eastAsia="Times New Roman"/>
                <w:color w:val="000000" w:themeColor="text1"/>
                <w:szCs w:val="24"/>
                <w:lang w:eastAsia="zh-TW"/>
              </w:rPr>
            </w:pPr>
            <w:r w:rsidRPr="009A457B">
              <w:rPr>
                <w:rFonts w:eastAsia="Times New Roman"/>
                <w:color w:val="000000" w:themeColor="text1"/>
                <w:szCs w:val="24"/>
                <w:lang w:eastAsia="zh-TW"/>
              </w:rPr>
              <w:t>Expected response rate</w:t>
            </w:r>
          </w:p>
        </w:tc>
        <w:tc>
          <w:tcPr>
            <w:tcW w:w="2790" w:type="dxa"/>
            <w:tcBorders>
              <w:top w:val="nil"/>
              <w:left w:val="nil"/>
              <w:bottom w:val="single" w:sz="4" w:space="0" w:color="auto"/>
              <w:right w:val="single" w:sz="4" w:space="0" w:color="auto"/>
            </w:tcBorders>
            <w:shd w:val="clear" w:color="auto" w:fill="auto"/>
            <w:noWrap/>
            <w:vAlign w:val="bottom"/>
            <w:hideMark/>
          </w:tcPr>
          <w:p w:rsidR="00823F5A" w:rsidRPr="009A457B" w:rsidRDefault="00823F5A" w:rsidP="00C56798">
            <w:pPr>
              <w:widowControl/>
              <w:autoSpaceDE/>
              <w:autoSpaceDN/>
              <w:adjustRightInd/>
              <w:jc w:val="center"/>
              <w:rPr>
                <w:rFonts w:eastAsia="Times New Roman"/>
                <w:color w:val="000000" w:themeColor="text1"/>
                <w:szCs w:val="24"/>
                <w:lang w:eastAsia="zh-TW"/>
              </w:rPr>
            </w:pPr>
            <w:r w:rsidRPr="009A457B">
              <w:rPr>
                <w:rFonts w:eastAsia="Times New Roman"/>
                <w:color w:val="000000" w:themeColor="text1"/>
                <w:szCs w:val="24"/>
                <w:lang w:eastAsia="zh-TW"/>
              </w:rPr>
              <w:t>88%</w:t>
            </w:r>
          </w:p>
        </w:tc>
      </w:tr>
      <w:tr w:rsidR="00823F5A" w:rsidRPr="009A457B" w:rsidTr="00C56798">
        <w:trPr>
          <w:trHeight w:val="315"/>
        </w:trPr>
        <w:tc>
          <w:tcPr>
            <w:tcW w:w="6675" w:type="dxa"/>
            <w:tcBorders>
              <w:top w:val="nil"/>
              <w:left w:val="single" w:sz="4" w:space="0" w:color="auto"/>
              <w:bottom w:val="single" w:sz="4" w:space="0" w:color="auto"/>
              <w:right w:val="single" w:sz="4" w:space="0" w:color="auto"/>
            </w:tcBorders>
            <w:shd w:val="clear" w:color="auto" w:fill="auto"/>
            <w:vAlign w:val="bottom"/>
            <w:hideMark/>
          </w:tcPr>
          <w:p w:rsidR="00823F5A" w:rsidRPr="009A457B" w:rsidRDefault="00823F5A" w:rsidP="00C56798">
            <w:pPr>
              <w:widowControl/>
              <w:autoSpaceDE/>
              <w:autoSpaceDN/>
              <w:adjustRightInd/>
              <w:rPr>
                <w:rFonts w:eastAsia="Times New Roman"/>
                <w:color w:val="000000" w:themeColor="text1"/>
                <w:szCs w:val="24"/>
                <w:lang w:eastAsia="zh-TW"/>
              </w:rPr>
            </w:pPr>
            <w:r w:rsidRPr="009A457B">
              <w:rPr>
                <w:rFonts w:eastAsia="Times New Roman"/>
                <w:color w:val="000000" w:themeColor="text1"/>
                <w:szCs w:val="24"/>
                <w:lang w:eastAsia="zh-TW"/>
              </w:rPr>
              <w:t>Target number of surveys</w:t>
            </w:r>
          </w:p>
        </w:tc>
        <w:tc>
          <w:tcPr>
            <w:tcW w:w="2790" w:type="dxa"/>
            <w:tcBorders>
              <w:top w:val="nil"/>
              <w:left w:val="nil"/>
              <w:bottom w:val="single" w:sz="4" w:space="0" w:color="auto"/>
              <w:right w:val="single" w:sz="4" w:space="0" w:color="auto"/>
            </w:tcBorders>
            <w:shd w:val="clear" w:color="auto" w:fill="auto"/>
            <w:noWrap/>
            <w:vAlign w:val="bottom"/>
            <w:hideMark/>
          </w:tcPr>
          <w:p w:rsidR="00823F5A" w:rsidRPr="009A457B" w:rsidRDefault="00823F5A" w:rsidP="00C56798">
            <w:pPr>
              <w:widowControl/>
              <w:autoSpaceDE/>
              <w:autoSpaceDN/>
              <w:adjustRightInd/>
              <w:jc w:val="center"/>
              <w:rPr>
                <w:rFonts w:eastAsia="Times New Roman"/>
                <w:color w:val="000000" w:themeColor="text1"/>
                <w:szCs w:val="24"/>
                <w:lang w:eastAsia="zh-TW"/>
              </w:rPr>
            </w:pPr>
            <w:r w:rsidRPr="009A457B">
              <w:rPr>
                <w:rFonts w:eastAsia="Times New Roman"/>
                <w:color w:val="000000" w:themeColor="text1"/>
                <w:szCs w:val="24"/>
                <w:lang w:eastAsia="zh-TW"/>
              </w:rPr>
              <w:t>20</w:t>
            </w:r>
          </w:p>
        </w:tc>
      </w:tr>
    </w:tbl>
    <w:p w:rsidR="00823F5A" w:rsidRPr="009A457B" w:rsidRDefault="00823F5A" w:rsidP="00823F5A">
      <w:pPr>
        <w:widowControl/>
        <w:jc w:val="both"/>
        <w:rPr>
          <w:color w:val="000000" w:themeColor="text1"/>
          <w:szCs w:val="24"/>
        </w:rPr>
      </w:pP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themeColor="text1"/>
          <w:szCs w:val="24"/>
        </w:rPr>
      </w:pPr>
      <w:r w:rsidRPr="009A457B">
        <w:rPr>
          <w:b/>
          <w:bCs/>
          <w:color w:val="000000" w:themeColor="text1"/>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themeColor="text1"/>
          <w:sz w:val="20"/>
          <w:szCs w:val="20"/>
        </w:rPr>
      </w:pPr>
    </w:p>
    <w:p w:rsidR="00823F5A" w:rsidRPr="009A457B" w:rsidRDefault="00823F5A" w:rsidP="00823F5A">
      <w:pPr>
        <w:rPr>
          <w:color w:val="000000" w:themeColor="text1"/>
          <w:szCs w:val="24"/>
        </w:rPr>
      </w:pPr>
      <w:r w:rsidRPr="009A457B">
        <w:rPr>
          <w:color w:val="000000" w:themeColor="text1"/>
          <w:szCs w:val="24"/>
        </w:rPr>
        <w:t xml:space="preserve">One time, voluntary surveys will be used to obtain costs and earnings information.  The whole population of longline fishers will be targeted in American Samoa, so no stratification and sample selection will be employed.  </w:t>
      </w:r>
    </w:p>
    <w:p w:rsidR="00823F5A" w:rsidRPr="009A457B" w:rsidRDefault="00823F5A" w:rsidP="00823F5A">
      <w:pPr>
        <w:rPr>
          <w:color w:val="000000" w:themeColor="text1"/>
          <w:szCs w:val="24"/>
        </w:rPr>
      </w:pPr>
    </w:p>
    <w:p w:rsidR="00823F5A" w:rsidRPr="009A457B" w:rsidRDefault="00823F5A" w:rsidP="00823F5A">
      <w:pPr>
        <w:rPr>
          <w:color w:val="000000" w:themeColor="text1"/>
          <w:szCs w:val="24"/>
        </w:rPr>
      </w:pPr>
      <w:r w:rsidRPr="009A457B">
        <w:rPr>
          <w:color w:val="000000" w:themeColor="text1"/>
        </w:rPr>
        <w:t xml:space="preserve">Using the population and target number of surveys in American Samoa listed in Table 1, the sampling errors at the 95% confidence level is 6.8%.  This level of accuracy will provide good estimation of fishing expenses, revenues, and profitability in general.  </w:t>
      </w:r>
      <w:r w:rsidRPr="009A457B">
        <w:rPr>
          <w:color w:val="000000" w:themeColor="text1"/>
          <w:szCs w:val="24"/>
        </w:rPr>
        <w:t xml:space="preserve">The data collected will be used for descriptive and economic analyses.  Detailed economic analyses can be found in Section A, Question 2. </w:t>
      </w:r>
    </w:p>
    <w:p w:rsidR="00823F5A" w:rsidRPr="009A457B" w:rsidRDefault="00823F5A" w:rsidP="00823F5A">
      <w:pPr>
        <w:rPr>
          <w:color w:val="000000" w:themeColor="text1"/>
          <w:szCs w:val="24"/>
        </w:rPr>
      </w:pPr>
    </w:p>
    <w:p w:rsidR="00823F5A" w:rsidRPr="009A457B" w:rsidRDefault="00823F5A" w:rsidP="00823F5A">
      <w:pPr>
        <w:rPr>
          <w:color w:val="000000" w:themeColor="text1"/>
          <w:szCs w:val="24"/>
        </w:rPr>
      </w:pPr>
      <w:r>
        <w:rPr>
          <w:b/>
          <w:bCs/>
          <w:color w:val="000000" w:themeColor="text1"/>
          <w:szCs w:val="24"/>
        </w:rPr>
        <w:t xml:space="preserve">3.  </w:t>
      </w:r>
      <w:r w:rsidRPr="009A457B">
        <w:rPr>
          <w:b/>
          <w:bCs/>
          <w:color w:val="000000" w:themeColor="text1"/>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823F5A" w:rsidRPr="009A457B" w:rsidRDefault="00823F5A" w:rsidP="00823F5A">
      <w:pPr>
        <w:rPr>
          <w:color w:val="000000" w:themeColor="text1"/>
        </w:rPr>
      </w:pPr>
      <w:r>
        <w:rPr>
          <w:color w:val="000000" w:themeColor="text1"/>
        </w:rPr>
        <w:t xml:space="preserve">To maximize response rates of this proposed cost-earnings survey, an outreach was done in April 2015 when NMFS’s economist </w:t>
      </w:r>
      <w:proofErr w:type="spellStart"/>
      <w:r>
        <w:rPr>
          <w:color w:val="000000" w:themeColor="text1"/>
        </w:rPr>
        <w:t>Minling</w:t>
      </w:r>
      <w:proofErr w:type="spellEnd"/>
      <w:r>
        <w:rPr>
          <w:color w:val="000000" w:themeColor="text1"/>
        </w:rPr>
        <w:t xml:space="preserve"> Pan visited American Samoa to conduct a field survey for the American Samoa longline fishing trip cost expenditure.  She contacted about 70% of the longline fishermen and gave them a heads-up about this upcoming cost-earnings survey.  Other</w:t>
      </w:r>
      <w:r w:rsidRPr="009A457B">
        <w:rPr>
          <w:color w:val="000000" w:themeColor="text1"/>
        </w:rPr>
        <w:t xml:space="preserve"> strategies to maximize response rate</w:t>
      </w:r>
      <w:r>
        <w:rPr>
          <w:color w:val="000000" w:themeColor="text1"/>
        </w:rPr>
        <w:t>s</w:t>
      </w:r>
      <w:r w:rsidRPr="009A457B">
        <w:rPr>
          <w:color w:val="000000" w:themeColor="text1"/>
        </w:rPr>
        <w:t xml:space="preserve"> </w:t>
      </w:r>
      <w:r>
        <w:rPr>
          <w:color w:val="000000" w:themeColor="text1"/>
        </w:rPr>
        <w:t>are</w:t>
      </w:r>
      <w:r w:rsidRPr="009A457B">
        <w:rPr>
          <w:color w:val="000000" w:themeColor="text1"/>
        </w:rPr>
        <w:t xml:space="preserve"> </w:t>
      </w:r>
      <w:r>
        <w:rPr>
          <w:color w:val="000000" w:themeColor="text1"/>
        </w:rPr>
        <w:t xml:space="preserve">to adopt previous cost-earning surveys of Hawaii and American Samoa longline fisheries and </w:t>
      </w:r>
      <w:r w:rsidRPr="009A457B">
        <w:rPr>
          <w:color w:val="000000" w:themeColor="text1"/>
        </w:rPr>
        <w:t xml:space="preserve">to keep the survey short.  </w:t>
      </w:r>
      <w:r>
        <w:rPr>
          <w:color w:val="000000" w:themeColor="text1"/>
        </w:rPr>
        <w:t>The questions and format of this proposed survey are similar to previous cost-earnings surveys of Hawaii and American Samoa longline fisheries and it was shown that the previous surveys were feasible given their high response rates.  In addition, t</w:t>
      </w:r>
      <w:r w:rsidRPr="009A457B">
        <w:rPr>
          <w:color w:val="000000" w:themeColor="text1"/>
        </w:rPr>
        <w:t>his proposed survey is the shortest version compared with previous cost-earnings surveys conducted in the longline fishery.  We try to focus on the main questions related to costs, earnings, and fishing characteristics and eliminate any unnecessary questions that appeared in the questionnaires used in previous surveys.  Several steps will be taken to maximize the response rates</w:t>
      </w:r>
      <w:r>
        <w:rPr>
          <w:color w:val="000000" w:themeColor="text1"/>
        </w:rPr>
        <w:t xml:space="preserve"> when implementing the survey</w:t>
      </w:r>
      <w:r w:rsidRPr="009A457B">
        <w:rPr>
          <w:color w:val="000000" w:themeColor="text1"/>
        </w:rPr>
        <w:t>.  First, the participation of the</w:t>
      </w:r>
      <w:r>
        <w:rPr>
          <w:color w:val="000000" w:themeColor="text1"/>
        </w:rPr>
        <w:t xml:space="preserve"> survey is completely voluntary;</w:t>
      </w:r>
      <w:r w:rsidRPr="009A457B">
        <w:rPr>
          <w:color w:val="000000" w:themeColor="text1"/>
        </w:rPr>
        <w:t xml:space="preserve"> if the interviewer feels the fisher does not want to participate, he will immediately terminate the survey and thank the fisher for the time.  Second, interviews will be conducted at times and places that are convenient to fishers. This will minimize any potential disruption to fishers’ fishing practices.  </w:t>
      </w:r>
      <w:r>
        <w:rPr>
          <w:color w:val="000000" w:themeColor="text1"/>
        </w:rPr>
        <w:t>We will not pretest this survey, as it is based on previous, similar surveys which achieved a high response rate.</w:t>
      </w:r>
      <w:r w:rsidRPr="009A457B">
        <w:rPr>
          <w:color w:val="000000" w:themeColor="text1"/>
        </w:rPr>
        <w:t xml:space="preserve"> </w:t>
      </w:r>
    </w:p>
    <w:p w:rsidR="00823F5A" w:rsidRPr="009A457B" w:rsidRDefault="00823F5A" w:rsidP="00823F5A">
      <w:pPr>
        <w:rPr>
          <w:color w:val="000000" w:themeColor="text1"/>
          <w:szCs w:val="24"/>
        </w:rPr>
      </w:pPr>
    </w:p>
    <w:p w:rsidR="00823F5A" w:rsidRPr="009A457B" w:rsidRDefault="00823F5A" w:rsidP="00823F5A">
      <w:pPr>
        <w:rPr>
          <w:rFonts w:ascii="TimesNewRoman" w:hAnsi="TimesNewRoman" w:cs="TimesNewRoman"/>
          <w:color w:val="000000" w:themeColor="text1"/>
          <w:u w:val="single"/>
        </w:rPr>
      </w:pPr>
      <w:r w:rsidRPr="009A457B">
        <w:rPr>
          <w:rFonts w:ascii="TimesNewRoman" w:hAnsi="TimesNewRoman" w:cs="TimesNewRoman"/>
          <w:color w:val="000000" w:themeColor="text1"/>
          <w:u w:val="single"/>
        </w:rPr>
        <w:t>Addressing Non-Response</w:t>
      </w:r>
    </w:p>
    <w:p w:rsidR="00823F5A" w:rsidRPr="009A457B" w:rsidRDefault="00823F5A" w:rsidP="00823F5A">
      <w:pPr>
        <w:rPr>
          <w:rFonts w:ascii="TimesNewRoman" w:hAnsi="TimesNewRoman" w:cs="TimesNewRoman"/>
          <w:color w:val="000000" w:themeColor="text1"/>
          <w:u w:val="single"/>
        </w:rPr>
      </w:pPr>
    </w:p>
    <w:p w:rsidR="00823F5A" w:rsidRPr="009A457B" w:rsidRDefault="00823F5A" w:rsidP="00823F5A">
      <w:pPr>
        <w:rPr>
          <w:color w:val="000000" w:themeColor="text1"/>
        </w:rPr>
      </w:pPr>
      <w:r w:rsidRPr="009A457B">
        <w:rPr>
          <w:color w:val="000000" w:themeColor="text1"/>
          <w:szCs w:val="24"/>
        </w:rPr>
        <w:t xml:space="preserve">The expected response rate is close to 90% and we expect the responses will be representative.  </w:t>
      </w:r>
      <w:bookmarkStart w:id="0" w:name="_GoBack"/>
      <w:bookmarkEnd w:id="0"/>
      <w:r w:rsidRPr="009A457B">
        <w:rPr>
          <w:color w:val="000000" w:themeColor="text1"/>
          <w:szCs w:val="24"/>
        </w:rPr>
        <w:t>To deal with non-response in American Samoa, interviewer</w:t>
      </w:r>
      <w:r w:rsidRPr="009A457B">
        <w:rPr>
          <w:color w:val="000000" w:themeColor="text1"/>
        </w:rPr>
        <w:t xml:space="preserve">s will make several </w:t>
      </w:r>
      <w:r>
        <w:rPr>
          <w:color w:val="000000" w:themeColor="text1"/>
        </w:rPr>
        <w:t>attempts to conduct interviews (i.e.,</w:t>
      </w:r>
      <w:r w:rsidRPr="009A457B">
        <w:rPr>
          <w:color w:val="000000" w:themeColor="text1"/>
        </w:rPr>
        <w:t xml:space="preserve"> rotate between different time of d</w:t>
      </w:r>
      <w:r>
        <w:rPr>
          <w:color w:val="000000" w:themeColor="text1"/>
        </w:rPr>
        <w:t>ay and different days of week).</w:t>
      </w: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themeColor="text1"/>
          <w:szCs w:val="24"/>
        </w:rPr>
      </w:pPr>
    </w:p>
    <w:p w:rsidR="00823F5A" w:rsidRPr="009A457B" w:rsidRDefault="00823F5A" w:rsidP="00823F5A">
      <w:pPr>
        <w:rPr>
          <w:b/>
          <w:color w:val="000000" w:themeColor="text1"/>
          <w:szCs w:val="24"/>
        </w:rPr>
      </w:pPr>
      <w:r>
        <w:rPr>
          <w:b/>
          <w:color w:val="000000" w:themeColor="text1"/>
          <w:szCs w:val="24"/>
        </w:rPr>
        <w:lastRenderedPageBreak/>
        <w:t xml:space="preserve">4.  </w:t>
      </w:r>
      <w:r w:rsidRPr="009A457B">
        <w:rPr>
          <w:b/>
          <w:color w:val="000000" w:themeColor="text1"/>
          <w:szCs w:val="24"/>
        </w:rPr>
        <w:t>Describe any tests of procedures or methods to be undertaken.  Tests are encouraged as effective means to refine collections, but if ten or more test respondents are involved OMB must give prior approval under the Paperwork Reduction Act.</w:t>
      </w: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823F5A" w:rsidRPr="009A457B" w:rsidRDefault="00823F5A" w:rsidP="00823F5A">
      <w:pPr>
        <w:jc w:val="both"/>
        <w:rPr>
          <w:color w:val="000000" w:themeColor="text1"/>
          <w:szCs w:val="24"/>
        </w:rPr>
      </w:pPr>
      <w:r w:rsidRPr="009A457B">
        <w:rPr>
          <w:color w:val="000000" w:themeColor="text1"/>
          <w:szCs w:val="24"/>
        </w:rPr>
        <w:t>We will pre-test the survey with 3 fishers in American Samoa</w:t>
      </w:r>
      <w:r>
        <w:rPr>
          <w:color w:val="000000" w:themeColor="text1"/>
          <w:szCs w:val="24"/>
        </w:rPr>
        <w:t xml:space="preserve"> in order to gather suggested changes that may</w:t>
      </w:r>
      <w:r w:rsidRPr="009A457B">
        <w:rPr>
          <w:color w:val="000000" w:themeColor="text1"/>
          <w:szCs w:val="24"/>
        </w:rPr>
        <w:t xml:space="preserve"> make the instrument easier to understand and complete. </w:t>
      </w: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823F5A" w:rsidRPr="009A457B" w:rsidRDefault="00823F5A" w:rsidP="0082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9A457B">
        <w:rPr>
          <w:b/>
          <w:bCs/>
          <w:color w:val="000000" w:themeColor="text1"/>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823F5A" w:rsidRPr="009A457B" w:rsidRDefault="00823F5A" w:rsidP="00823F5A">
      <w:pPr>
        <w:rPr>
          <w:color w:val="000000" w:themeColor="text1"/>
        </w:rPr>
      </w:pPr>
    </w:p>
    <w:p w:rsidR="00823F5A" w:rsidRPr="009A457B" w:rsidRDefault="00823F5A" w:rsidP="00823F5A">
      <w:pPr>
        <w:suppressLineNumbers/>
        <w:suppressAutoHyphens/>
        <w:rPr>
          <w:color w:val="000000" w:themeColor="text1"/>
          <w:szCs w:val="24"/>
        </w:rPr>
      </w:pPr>
      <w:r w:rsidRPr="009A457B">
        <w:rPr>
          <w:color w:val="000000" w:themeColor="text1"/>
          <w:szCs w:val="24"/>
        </w:rPr>
        <w:t xml:space="preserve">Dr. </w:t>
      </w:r>
      <w:proofErr w:type="spellStart"/>
      <w:r w:rsidRPr="009A457B">
        <w:rPr>
          <w:color w:val="000000" w:themeColor="text1"/>
          <w:szCs w:val="24"/>
        </w:rPr>
        <w:t>Minling</w:t>
      </w:r>
      <w:proofErr w:type="spellEnd"/>
      <w:r w:rsidRPr="009A457B">
        <w:rPr>
          <w:color w:val="000000" w:themeColor="text1"/>
          <w:szCs w:val="24"/>
        </w:rPr>
        <w:t xml:space="preserve"> Pan, economist, employed by the NMFS, was consulted on the statistical design and analysis.</w:t>
      </w:r>
      <w:r w:rsidRPr="009A457B">
        <w:rPr>
          <w:color w:val="000000" w:themeColor="text1"/>
          <w:szCs w:val="24"/>
          <w:vertAlign w:val="superscript"/>
        </w:rPr>
        <w:footnoteReference w:id="3"/>
      </w:r>
      <w:r w:rsidRPr="009A457B">
        <w:rPr>
          <w:color w:val="000000" w:themeColor="text1"/>
          <w:szCs w:val="24"/>
        </w:rPr>
        <w:t xml:space="preserve">  A fieldworker will be hired to collect the data, perform data entry, and conduct statistical analysis under the supervision of NMFS economists.  NMFS economists and WPRFMC staff will use the data for regulatory analysis.  </w:t>
      </w:r>
    </w:p>
    <w:p w:rsidR="005725F8" w:rsidRDefault="00CD26C5"/>
    <w:sectPr w:rsidR="005725F8" w:rsidSect="00964FB1">
      <w:footerReference w:type="even" r:id="rId8"/>
      <w:footerReference w:type="default" r:id="rId9"/>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C5" w:rsidRDefault="00CD26C5" w:rsidP="00823F5A">
      <w:r>
        <w:separator/>
      </w:r>
    </w:p>
  </w:endnote>
  <w:endnote w:type="continuationSeparator" w:id="0">
    <w:p w:rsidR="00CD26C5" w:rsidRDefault="00CD26C5" w:rsidP="0082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CD26C5"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F0A" w:rsidRDefault="00CD2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CD26C5"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3F5A">
      <w:rPr>
        <w:rStyle w:val="PageNumber"/>
        <w:noProof/>
      </w:rPr>
      <w:t>3</w:t>
    </w:r>
    <w:r>
      <w:rPr>
        <w:rStyle w:val="PageNumber"/>
      </w:rPr>
      <w:fldChar w:fldCharType="end"/>
    </w:r>
  </w:p>
  <w:p w:rsidR="001F6F0A" w:rsidRDefault="00CD26C5"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C5" w:rsidRDefault="00CD26C5" w:rsidP="00823F5A">
      <w:r>
        <w:separator/>
      </w:r>
    </w:p>
  </w:footnote>
  <w:footnote w:type="continuationSeparator" w:id="0">
    <w:p w:rsidR="00CD26C5" w:rsidRDefault="00CD26C5" w:rsidP="00823F5A">
      <w:r>
        <w:continuationSeparator/>
      </w:r>
    </w:p>
  </w:footnote>
  <w:footnote w:id="1">
    <w:p w:rsidR="00823F5A" w:rsidRPr="00105D30" w:rsidRDefault="00823F5A" w:rsidP="00823F5A">
      <w:pPr>
        <w:pStyle w:val="FootnoteText"/>
        <w:rPr>
          <w:sz w:val="20"/>
          <w:szCs w:val="20"/>
        </w:rPr>
      </w:pPr>
      <w:r>
        <w:rPr>
          <w:rStyle w:val="FootnoteReference"/>
        </w:rPr>
        <w:footnoteRef/>
      </w:r>
      <w:r>
        <w:t xml:space="preserve"> </w:t>
      </w:r>
      <w:proofErr w:type="spellStart"/>
      <w:proofErr w:type="gramStart"/>
      <w:r w:rsidRPr="00BE5F71">
        <w:rPr>
          <w:sz w:val="20"/>
          <w:szCs w:val="20"/>
        </w:rPr>
        <w:t>Arita</w:t>
      </w:r>
      <w:proofErr w:type="spellEnd"/>
      <w:r w:rsidRPr="00BE5F71">
        <w:rPr>
          <w:sz w:val="20"/>
          <w:szCs w:val="20"/>
        </w:rPr>
        <w:t>, S</w:t>
      </w:r>
      <w:r>
        <w:rPr>
          <w:sz w:val="20"/>
          <w:szCs w:val="20"/>
        </w:rPr>
        <w:t>hawn</w:t>
      </w:r>
      <w:r w:rsidRPr="00BE5F71">
        <w:rPr>
          <w:sz w:val="20"/>
          <w:szCs w:val="20"/>
        </w:rPr>
        <w:t xml:space="preserve"> and </w:t>
      </w:r>
      <w:proofErr w:type="spellStart"/>
      <w:r>
        <w:rPr>
          <w:sz w:val="20"/>
          <w:szCs w:val="20"/>
        </w:rPr>
        <w:t>Minling</w:t>
      </w:r>
      <w:proofErr w:type="spellEnd"/>
      <w:r>
        <w:rPr>
          <w:sz w:val="20"/>
          <w:szCs w:val="20"/>
        </w:rPr>
        <w:t xml:space="preserve"> </w:t>
      </w:r>
      <w:r w:rsidRPr="00BE5F71">
        <w:rPr>
          <w:sz w:val="20"/>
          <w:szCs w:val="20"/>
        </w:rPr>
        <w:t>Pan.</w:t>
      </w:r>
      <w:proofErr w:type="gramEnd"/>
      <w:r w:rsidRPr="00BE5F71">
        <w:rPr>
          <w:sz w:val="20"/>
          <w:szCs w:val="20"/>
        </w:rPr>
        <w:t xml:space="preserve"> 2013. Cost-Earnings Study of the American Samoa Longline Fishery Based on Vessel Operations in 2009. </w:t>
      </w:r>
      <w:proofErr w:type="gramStart"/>
      <w:r w:rsidRPr="00BE5F71">
        <w:rPr>
          <w:sz w:val="20"/>
          <w:szCs w:val="20"/>
        </w:rPr>
        <w:t>PIFSC Working Paper WP-13-009.</w:t>
      </w:r>
      <w:proofErr w:type="gramEnd"/>
    </w:p>
  </w:footnote>
  <w:footnote w:id="2">
    <w:p w:rsidR="00823F5A" w:rsidRDefault="00823F5A" w:rsidP="00823F5A">
      <w:pPr>
        <w:pStyle w:val="FootnoteText"/>
      </w:pPr>
      <w:r>
        <w:rPr>
          <w:rStyle w:val="FootnoteReference"/>
        </w:rPr>
        <w:footnoteRef/>
      </w:r>
      <w:r>
        <w:t xml:space="preserve"> </w:t>
      </w:r>
      <w:proofErr w:type="gramStart"/>
      <w:r w:rsidRPr="00BE5F71">
        <w:rPr>
          <w:sz w:val="20"/>
          <w:szCs w:val="20"/>
        </w:rPr>
        <w:t>O’Malley, J</w:t>
      </w:r>
      <w:r>
        <w:rPr>
          <w:sz w:val="20"/>
          <w:szCs w:val="20"/>
        </w:rPr>
        <w:t xml:space="preserve">oseph </w:t>
      </w:r>
      <w:r w:rsidRPr="00BE5F71">
        <w:rPr>
          <w:sz w:val="20"/>
          <w:szCs w:val="20"/>
        </w:rPr>
        <w:t>M. and S</w:t>
      </w:r>
      <w:r>
        <w:rPr>
          <w:sz w:val="20"/>
          <w:szCs w:val="20"/>
        </w:rPr>
        <w:t xml:space="preserve">amuel </w:t>
      </w:r>
      <w:r w:rsidRPr="00BE5F71">
        <w:rPr>
          <w:sz w:val="20"/>
          <w:szCs w:val="20"/>
        </w:rPr>
        <w:t>G. Pooley</w:t>
      </w:r>
      <w:r>
        <w:rPr>
          <w:sz w:val="20"/>
          <w:szCs w:val="20"/>
        </w:rPr>
        <w:t>.</w:t>
      </w:r>
      <w:proofErr w:type="gramEnd"/>
      <w:r w:rsidRPr="00BE5F71">
        <w:rPr>
          <w:sz w:val="20"/>
          <w:szCs w:val="20"/>
        </w:rPr>
        <w:t xml:space="preserve"> 2002. </w:t>
      </w:r>
      <w:r w:rsidRPr="00BE5F71">
        <w:rPr>
          <w:i/>
          <w:sz w:val="20"/>
          <w:szCs w:val="20"/>
        </w:rPr>
        <w:t>A Description and Economic Analysis of Large American Samoa Longline Vessels</w:t>
      </w:r>
      <w:r w:rsidRPr="00BE5F71">
        <w:rPr>
          <w:sz w:val="20"/>
          <w:szCs w:val="20"/>
        </w:rPr>
        <w:t xml:space="preserve">. Joint Institute for Marine and Atmospheric Research, SOEST Publication 02-02, JIMAR Contribution 02-345. </w:t>
      </w:r>
      <w:proofErr w:type="gramStart"/>
      <w:r w:rsidRPr="00BE5F71">
        <w:rPr>
          <w:sz w:val="20"/>
          <w:szCs w:val="20"/>
        </w:rPr>
        <w:t xml:space="preserve">University of Hawaii at </w:t>
      </w:r>
      <w:proofErr w:type="spellStart"/>
      <w:r w:rsidRPr="00BE5F71">
        <w:rPr>
          <w:sz w:val="20"/>
          <w:szCs w:val="20"/>
        </w:rPr>
        <w:t>Manoa</w:t>
      </w:r>
      <w:proofErr w:type="spellEnd"/>
      <w:r w:rsidRPr="00BE5F71">
        <w:rPr>
          <w:sz w:val="20"/>
          <w:szCs w:val="20"/>
        </w:rPr>
        <w:t>.</w:t>
      </w:r>
      <w:proofErr w:type="gramEnd"/>
      <w:r w:rsidRPr="00BE5F71">
        <w:rPr>
          <w:sz w:val="20"/>
          <w:szCs w:val="20"/>
        </w:rPr>
        <w:t xml:space="preserve"> Honolulu.</w:t>
      </w:r>
    </w:p>
  </w:footnote>
  <w:footnote w:id="3">
    <w:p w:rsidR="00823F5A" w:rsidRPr="00C102C5" w:rsidRDefault="00823F5A" w:rsidP="00823F5A">
      <w:pPr>
        <w:spacing w:after="240"/>
        <w:rPr>
          <w:sz w:val="20"/>
          <w:szCs w:val="20"/>
        </w:rPr>
      </w:pPr>
      <w:r w:rsidRPr="00C102C5">
        <w:rPr>
          <w:sz w:val="20"/>
          <w:szCs w:val="20"/>
          <w:vertAlign w:val="superscript"/>
        </w:rPr>
        <w:footnoteRef/>
      </w:r>
      <w:r>
        <w:rPr>
          <w:sz w:val="20"/>
          <w:szCs w:val="20"/>
        </w:rPr>
        <w:t xml:space="preserve"> </w:t>
      </w:r>
      <w:r w:rsidRPr="00C102C5">
        <w:rPr>
          <w:sz w:val="20"/>
          <w:szCs w:val="20"/>
        </w:rPr>
        <w:t xml:space="preserve">Dr. </w:t>
      </w:r>
      <w:proofErr w:type="spellStart"/>
      <w:r>
        <w:rPr>
          <w:sz w:val="20"/>
          <w:szCs w:val="20"/>
        </w:rPr>
        <w:t>Minling</w:t>
      </w:r>
      <w:proofErr w:type="spellEnd"/>
      <w:r>
        <w:rPr>
          <w:sz w:val="20"/>
          <w:szCs w:val="20"/>
        </w:rPr>
        <w:t xml:space="preserve"> Pan,</w:t>
      </w:r>
      <w:r w:rsidRPr="00C102C5">
        <w:rPr>
          <w:sz w:val="20"/>
          <w:szCs w:val="20"/>
        </w:rPr>
        <w:t xml:space="preserve"> </w:t>
      </w:r>
      <w:r>
        <w:rPr>
          <w:sz w:val="20"/>
          <w:szCs w:val="20"/>
        </w:rPr>
        <w:t xml:space="preserve">Pacific Islands </w:t>
      </w:r>
      <w:r w:rsidRPr="00C102C5">
        <w:rPr>
          <w:sz w:val="20"/>
          <w:szCs w:val="20"/>
        </w:rPr>
        <w:t>Fisheries Science Center, National Marine Fisheries Service and</w:t>
      </w:r>
      <w:r>
        <w:rPr>
          <w:sz w:val="20"/>
          <w:szCs w:val="20"/>
        </w:rPr>
        <w:t xml:space="preserve"> can</w:t>
      </w:r>
      <w:r w:rsidRPr="00C102C5">
        <w:rPr>
          <w:sz w:val="20"/>
          <w:szCs w:val="20"/>
        </w:rPr>
        <w:t xml:space="preserve"> be reached at </w:t>
      </w:r>
      <w:r>
        <w:rPr>
          <w:sz w:val="20"/>
          <w:szCs w:val="20"/>
        </w:rPr>
        <w:t>808</w:t>
      </w:r>
      <w:r w:rsidRPr="00C102C5">
        <w:rPr>
          <w:sz w:val="20"/>
          <w:szCs w:val="20"/>
        </w:rPr>
        <w:t>-</w:t>
      </w:r>
      <w:r>
        <w:rPr>
          <w:sz w:val="20"/>
          <w:szCs w:val="20"/>
        </w:rPr>
        <w:t>944</w:t>
      </w:r>
      <w:r w:rsidRPr="00C102C5">
        <w:rPr>
          <w:sz w:val="20"/>
          <w:szCs w:val="20"/>
        </w:rPr>
        <w:t>-</w:t>
      </w:r>
      <w:r>
        <w:rPr>
          <w:sz w:val="20"/>
          <w:szCs w:val="20"/>
        </w:rPr>
        <w:t>2190</w:t>
      </w:r>
      <w:r w:rsidRPr="00C102C5">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5A"/>
    <w:rsid w:val="002666F4"/>
    <w:rsid w:val="007C6674"/>
    <w:rsid w:val="00823F5A"/>
    <w:rsid w:val="00CD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5A"/>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3F5A"/>
    <w:pPr>
      <w:tabs>
        <w:tab w:val="center" w:pos="4320"/>
        <w:tab w:val="right" w:pos="8640"/>
      </w:tabs>
    </w:pPr>
  </w:style>
  <w:style w:type="character" w:customStyle="1" w:styleId="FooterChar">
    <w:name w:val="Footer Char"/>
    <w:basedOn w:val="DefaultParagraphFont"/>
    <w:link w:val="Footer"/>
    <w:uiPriority w:val="99"/>
    <w:rsid w:val="00823F5A"/>
    <w:rPr>
      <w:rFonts w:ascii="Times New Roman" w:eastAsia="SimSun" w:hAnsi="Times New Roman" w:cs="Times New Roman"/>
      <w:sz w:val="24"/>
      <w:szCs w:val="16"/>
    </w:rPr>
  </w:style>
  <w:style w:type="character" w:styleId="PageNumber">
    <w:name w:val="page number"/>
    <w:basedOn w:val="DefaultParagraphFont"/>
    <w:rsid w:val="00823F5A"/>
  </w:style>
  <w:style w:type="paragraph" w:styleId="FootnoteText">
    <w:name w:val="footnote text"/>
    <w:basedOn w:val="Normal"/>
    <w:link w:val="FootnoteTextChar"/>
    <w:uiPriority w:val="99"/>
    <w:rsid w:val="00823F5A"/>
    <w:pPr>
      <w:widowControl/>
      <w:autoSpaceDE/>
      <w:autoSpaceDN/>
      <w:adjustRightInd/>
    </w:pPr>
  </w:style>
  <w:style w:type="character" w:customStyle="1" w:styleId="FootnoteTextChar">
    <w:name w:val="Footnote Text Char"/>
    <w:basedOn w:val="DefaultParagraphFont"/>
    <w:link w:val="FootnoteText"/>
    <w:uiPriority w:val="99"/>
    <w:rsid w:val="00823F5A"/>
    <w:rPr>
      <w:rFonts w:ascii="Times New Roman" w:eastAsia="SimSun" w:hAnsi="Times New Roman" w:cs="Times New Roman"/>
      <w:sz w:val="24"/>
      <w:szCs w:val="16"/>
    </w:rPr>
  </w:style>
  <w:style w:type="character" w:styleId="FootnoteReference">
    <w:name w:val="footnote reference"/>
    <w:basedOn w:val="DefaultParagraphFont"/>
    <w:uiPriority w:val="99"/>
    <w:rsid w:val="00823F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5A"/>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3F5A"/>
    <w:pPr>
      <w:tabs>
        <w:tab w:val="center" w:pos="4320"/>
        <w:tab w:val="right" w:pos="8640"/>
      </w:tabs>
    </w:pPr>
  </w:style>
  <w:style w:type="character" w:customStyle="1" w:styleId="FooterChar">
    <w:name w:val="Footer Char"/>
    <w:basedOn w:val="DefaultParagraphFont"/>
    <w:link w:val="Footer"/>
    <w:uiPriority w:val="99"/>
    <w:rsid w:val="00823F5A"/>
    <w:rPr>
      <w:rFonts w:ascii="Times New Roman" w:eastAsia="SimSun" w:hAnsi="Times New Roman" w:cs="Times New Roman"/>
      <w:sz w:val="24"/>
      <w:szCs w:val="16"/>
    </w:rPr>
  </w:style>
  <w:style w:type="character" w:styleId="PageNumber">
    <w:name w:val="page number"/>
    <w:basedOn w:val="DefaultParagraphFont"/>
    <w:rsid w:val="00823F5A"/>
  </w:style>
  <w:style w:type="paragraph" w:styleId="FootnoteText">
    <w:name w:val="footnote text"/>
    <w:basedOn w:val="Normal"/>
    <w:link w:val="FootnoteTextChar"/>
    <w:uiPriority w:val="99"/>
    <w:rsid w:val="00823F5A"/>
    <w:pPr>
      <w:widowControl/>
      <w:autoSpaceDE/>
      <w:autoSpaceDN/>
      <w:adjustRightInd/>
    </w:pPr>
  </w:style>
  <w:style w:type="character" w:customStyle="1" w:styleId="FootnoteTextChar">
    <w:name w:val="Footnote Text Char"/>
    <w:basedOn w:val="DefaultParagraphFont"/>
    <w:link w:val="FootnoteText"/>
    <w:uiPriority w:val="99"/>
    <w:rsid w:val="00823F5A"/>
    <w:rPr>
      <w:rFonts w:ascii="Times New Roman" w:eastAsia="SimSun" w:hAnsi="Times New Roman" w:cs="Times New Roman"/>
      <w:sz w:val="24"/>
      <w:szCs w:val="16"/>
    </w:rPr>
  </w:style>
  <w:style w:type="character" w:styleId="FootnoteReference">
    <w:name w:val="footnote reference"/>
    <w:basedOn w:val="DefaultParagraphFont"/>
    <w:uiPriority w:val="99"/>
    <w:rsid w:val="00823F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7F6E9-0C84-439F-9DAB-ECED2EF1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5398</Characters>
  <Application>Microsoft Office Word</Application>
  <DocSecurity>0</DocSecurity>
  <Lines>44</Lines>
  <Paragraphs>12</Paragraphs>
  <ScaleCrop>false</ScaleCrop>
  <Company>NOAA</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2015-10-19T18:10:00Z</dcterms:created>
  <dcterms:modified xsi:type="dcterms:W3CDTF">2015-10-19T18:11:00Z</dcterms:modified>
</cp:coreProperties>
</file>