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B58" w:rsidRDefault="00AE1B58" w:rsidP="00AE1B58">
      <w:pPr>
        <w:widowControl w:val="0"/>
        <w:tabs>
          <w:tab w:val="center" w:pos="4680"/>
        </w:tabs>
        <w:jc w:val="center"/>
        <w:rPr>
          <w:b/>
          <w:szCs w:val="24"/>
        </w:rPr>
      </w:pPr>
      <w:r w:rsidRPr="00981917">
        <w:rPr>
          <w:b/>
          <w:szCs w:val="24"/>
        </w:rPr>
        <w:t>DEPARTMENT OF TRANSPORTATION</w:t>
      </w:r>
    </w:p>
    <w:p w:rsidR="00AE1B58" w:rsidRPr="005478A2" w:rsidRDefault="00AE1B58" w:rsidP="00AE1B58">
      <w:pPr>
        <w:widowControl w:val="0"/>
        <w:tabs>
          <w:tab w:val="center" w:pos="4680"/>
        </w:tabs>
        <w:jc w:val="center"/>
        <w:rPr>
          <w:b/>
          <w:szCs w:val="24"/>
        </w:rPr>
      </w:pPr>
    </w:p>
    <w:p w:rsidR="00AE1B58" w:rsidRDefault="00AE1B58" w:rsidP="00AE1B58">
      <w:pPr>
        <w:widowControl w:val="0"/>
        <w:tabs>
          <w:tab w:val="center" w:pos="4680"/>
        </w:tabs>
        <w:rPr>
          <w:b/>
          <w:szCs w:val="24"/>
          <w:u w:val="single"/>
        </w:rPr>
      </w:pPr>
      <w:r w:rsidRPr="00981917">
        <w:rPr>
          <w:szCs w:val="24"/>
        </w:rPr>
        <w:tab/>
      </w:r>
      <w:r w:rsidRPr="005478A2">
        <w:rPr>
          <w:b/>
          <w:szCs w:val="24"/>
          <w:u w:val="single"/>
        </w:rPr>
        <w:t>SUPPORTING STATEMENT</w:t>
      </w:r>
    </w:p>
    <w:p w:rsidR="00AE1B58" w:rsidRPr="005478A2" w:rsidRDefault="00AE1B58" w:rsidP="00AE1B58">
      <w:pPr>
        <w:widowControl w:val="0"/>
        <w:tabs>
          <w:tab w:val="center" w:pos="4680"/>
        </w:tabs>
        <w:rPr>
          <w:b/>
          <w:szCs w:val="24"/>
          <w:u w:val="single"/>
        </w:rPr>
      </w:pPr>
    </w:p>
    <w:p w:rsidR="00AE1B58" w:rsidRPr="005478A2" w:rsidRDefault="00AE1B58" w:rsidP="00AE1B58">
      <w:pPr>
        <w:widowControl w:val="0"/>
        <w:tabs>
          <w:tab w:val="center" w:pos="4680"/>
        </w:tabs>
        <w:jc w:val="center"/>
        <w:rPr>
          <w:b/>
          <w:color w:val="FF0000"/>
          <w:szCs w:val="24"/>
        </w:rPr>
      </w:pPr>
      <w:r w:rsidRPr="005478A2">
        <w:rPr>
          <w:b/>
          <w:szCs w:val="24"/>
        </w:rPr>
        <w:t>Uniform Administrative Requirements</w:t>
      </w:r>
      <w:r>
        <w:rPr>
          <w:b/>
          <w:szCs w:val="24"/>
        </w:rPr>
        <w:t>, Cost Principles, and Audit Requirements for Federal Awards</w:t>
      </w:r>
    </w:p>
    <w:p w:rsidR="00AE1B58" w:rsidRDefault="00AE1B58" w:rsidP="00AE1B58">
      <w:pPr>
        <w:widowControl w:val="0"/>
        <w:tabs>
          <w:tab w:val="center" w:pos="4680"/>
        </w:tabs>
        <w:jc w:val="center"/>
        <w:rPr>
          <w:b/>
          <w:szCs w:val="24"/>
        </w:rPr>
      </w:pPr>
      <w:r w:rsidRPr="00F24E7C">
        <w:rPr>
          <w:b/>
          <w:szCs w:val="24"/>
        </w:rPr>
        <w:t xml:space="preserve">OMB Control Number </w:t>
      </w:r>
      <w:r>
        <w:rPr>
          <w:b/>
          <w:szCs w:val="24"/>
        </w:rPr>
        <w:t>2105-0520</w:t>
      </w:r>
    </w:p>
    <w:p w:rsidR="00AE1B58" w:rsidRPr="00F24E7C" w:rsidRDefault="00AE1B58" w:rsidP="00AE1B58">
      <w:pPr>
        <w:widowControl w:val="0"/>
        <w:tabs>
          <w:tab w:val="center" w:pos="4680"/>
        </w:tabs>
        <w:jc w:val="center"/>
        <w:rPr>
          <w:b/>
          <w:szCs w:val="24"/>
        </w:rPr>
      </w:pPr>
    </w:p>
    <w:p w:rsidR="00AE1B58" w:rsidRPr="00981917" w:rsidRDefault="00AE1B58" w:rsidP="00AE1B58">
      <w:pPr>
        <w:rPr>
          <w:b/>
          <w:szCs w:val="24"/>
          <w:u w:val="single"/>
        </w:rPr>
      </w:pPr>
      <w:r w:rsidRPr="00981917">
        <w:rPr>
          <w:b/>
          <w:szCs w:val="24"/>
          <w:u w:val="single"/>
        </w:rPr>
        <w:t>INTRODUCTION</w:t>
      </w:r>
    </w:p>
    <w:p w:rsidR="00AE1B58" w:rsidRPr="00981917" w:rsidRDefault="00AE1B58" w:rsidP="00AE1B58">
      <w:pPr>
        <w:rPr>
          <w:b/>
          <w:szCs w:val="24"/>
          <w:u w:val="single"/>
        </w:rPr>
      </w:pPr>
    </w:p>
    <w:p w:rsidR="00AE1B58" w:rsidRPr="00054822" w:rsidRDefault="00AE1B58" w:rsidP="00AE1B58">
      <w:pPr>
        <w:widowControl w:val="0"/>
        <w:tabs>
          <w:tab w:val="center" w:pos="0"/>
        </w:tabs>
        <w:rPr>
          <w:szCs w:val="24"/>
        </w:rPr>
      </w:pPr>
      <w:r w:rsidRPr="00054822">
        <w:rPr>
          <w:szCs w:val="24"/>
        </w:rPr>
        <w:t xml:space="preserve">This is to request the Office of Management and Budget (OMB)  renew </w:t>
      </w:r>
      <w:r>
        <w:rPr>
          <w:szCs w:val="24"/>
        </w:rPr>
        <w:t xml:space="preserve">the </w:t>
      </w:r>
      <w:r w:rsidRPr="00054822">
        <w:rPr>
          <w:szCs w:val="24"/>
        </w:rPr>
        <w:t xml:space="preserve">three-year approved clearance  for the information collection, </w:t>
      </w:r>
      <w:r>
        <w:rPr>
          <w:szCs w:val="24"/>
        </w:rPr>
        <w:t>entitled,</w:t>
      </w:r>
      <w:r w:rsidRPr="00054822">
        <w:rPr>
          <w:szCs w:val="24"/>
        </w:rPr>
        <w:t xml:space="preserve"> “Uniform Administrative Requirements, Cost Principles, and Audit Requirements for Federal Awards”  </w:t>
      </w:r>
      <w:r>
        <w:rPr>
          <w:szCs w:val="24"/>
        </w:rPr>
        <w:t xml:space="preserve">(2CFR 200) with </w:t>
      </w:r>
      <w:r w:rsidRPr="00054822">
        <w:rPr>
          <w:szCs w:val="24"/>
        </w:rPr>
        <w:t>OMB Control No 2105-0520</w:t>
      </w:r>
      <w:r>
        <w:rPr>
          <w:szCs w:val="24"/>
        </w:rPr>
        <w:t xml:space="preserve">. </w:t>
      </w:r>
      <w:r w:rsidRPr="00054822">
        <w:rPr>
          <w:szCs w:val="24"/>
        </w:rPr>
        <w:t xml:space="preserve">Originally </w:t>
      </w:r>
      <w:r>
        <w:rPr>
          <w:szCs w:val="24"/>
        </w:rPr>
        <w:t xml:space="preserve">the </w:t>
      </w:r>
      <w:r w:rsidRPr="00054822">
        <w:rPr>
          <w:szCs w:val="24"/>
        </w:rPr>
        <w:t>OMB</w:t>
      </w:r>
      <w:r>
        <w:rPr>
          <w:szCs w:val="24"/>
        </w:rPr>
        <w:t xml:space="preserve"> guidance under this</w:t>
      </w:r>
      <w:r w:rsidRPr="00054822">
        <w:rPr>
          <w:szCs w:val="24"/>
        </w:rPr>
        <w:t xml:space="preserve"> Control Number was titled: Uniform Administrative Requirements for Grants and Agreements to State and Local Governments and with Institution of Higher Education, Hospitals and Other Non-Profit Organizations (OMB Circulars A-110 and 2 CFR 215). However, on December 26, 2014, OMB issued new guidelines titled:</w:t>
      </w:r>
      <w:r w:rsidRPr="00054822">
        <w:rPr>
          <w:b/>
          <w:szCs w:val="24"/>
        </w:rPr>
        <w:t xml:space="preserve"> </w:t>
      </w:r>
      <w:r w:rsidRPr="00054822">
        <w:rPr>
          <w:szCs w:val="24"/>
        </w:rPr>
        <w:t>Uniform Administrative Requirements, Cost Principles, and Audit Requirements for Federal Awards and these guidelines cover the following data collection standard forms (SF): Application for Federal Assistance (SF-424); Federal Financial Report (SF</w:t>
      </w:r>
      <w:r w:rsidRPr="00054822">
        <w:rPr>
          <w:szCs w:val="24"/>
        </w:rPr>
        <w:noBreakHyphen/>
        <w:t xml:space="preserve">425); Request for Advance or Reimbursement (SF-270); and Outlay Report &amp; Request for Reimbursement for Construction Programs (SF-271).  </w:t>
      </w:r>
    </w:p>
    <w:p w:rsidR="00AE1B58" w:rsidRPr="00054822" w:rsidRDefault="00AE1B58" w:rsidP="00AE1B58">
      <w:pPr>
        <w:rPr>
          <w:szCs w:val="24"/>
        </w:rPr>
      </w:pPr>
    </w:p>
    <w:p w:rsidR="00AE1B58" w:rsidRPr="00054822"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left" w:pos="5940"/>
        </w:tabs>
        <w:rPr>
          <w:rFonts w:ascii="Times New Roman" w:hAnsi="Times New Roman"/>
          <w:color w:val="auto"/>
        </w:rPr>
      </w:pPr>
      <w:r w:rsidRPr="00054822">
        <w:rPr>
          <w:rFonts w:ascii="Times New Roman" w:hAnsi="Times New Roman"/>
          <w:color w:val="auto"/>
        </w:rPr>
        <w:t>There have also been adjustments to the burden estimates.  In 2010, the Department estimated a combined total of 2,704 respondents and 189,280 burden hours.  Due a 35% decrease in appropriations the Department has revised estimates and now has a combined total of 1,758 respondents and burden hours of 123,060. The estimated cost to respondents and the federal government has decreased by 35% in overhead expenses.</w:t>
      </w:r>
    </w:p>
    <w:p w:rsidR="00AE1B58" w:rsidRPr="00C00AA7"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left" w:pos="5940"/>
        </w:tabs>
      </w:pPr>
    </w:p>
    <w:p w:rsidR="00AE1B58" w:rsidRPr="00981917" w:rsidRDefault="00AE1B58" w:rsidP="00AE1B58">
      <w:pPr>
        <w:rPr>
          <w:b/>
          <w:szCs w:val="24"/>
        </w:rPr>
      </w:pPr>
      <w:r w:rsidRPr="00981917">
        <w:rPr>
          <w:b/>
          <w:szCs w:val="24"/>
        </w:rPr>
        <w:t>Part A. Justification</w:t>
      </w:r>
    </w:p>
    <w:p w:rsidR="00AE1B58" w:rsidRPr="00981917" w:rsidRDefault="00AE1B58" w:rsidP="00AE1B58">
      <w:pPr>
        <w:jc w:val="center"/>
        <w:rPr>
          <w:b/>
          <w:szCs w:val="24"/>
        </w:rPr>
      </w:pPr>
    </w:p>
    <w:p w:rsidR="00AE1B58" w:rsidRPr="00A0677C" w:rsidRDefault="00AE1B58" w:rsidP="00AE1B58">
      <w:pPr>
        <w:numPr>
          <w:ilvl w:val="0"/>
          <w:numId w:val="3"/>
        </w:numPr>
        <w:tabs>
          <w:tab w:val="clear" w:pos="720"/>
          <w:tab w:val="num" w:pos="0"/>
          <w:tab w:val="left" w:pos="540"/>
        </w:tabs>
        <w:ind w:left="0" w:firstLine="0"/>
        <w:rPr>
          <w:color w:val="FF0000"/>
          <w:szCs w:val="24"/>
        </w:rPr>
      </w:pPr>
      <w:r w:rsidRPr="00A0677C">
        <w:rPr>
          <w:b/>
          <w:szCs w:val="24"/>
          <w:u w:val="single"/>
        </w:rPr>
        <w:t>Circumstances that make the collection of information necessary</w:t>
      </w:r>
      <w:r w:rsidRPr="00A0677C">
        <w:rPr>
          <w:b/>
          <w:szCs w:val="24"/>
        </w:rPr>
        <w:t xml:space="preserve">.  </w:t>
      </w:r>
    </w:p>
    <w:p w:rsidR="00AE1B58" w:rsidRPr="00A0677C" w:rsidRDefault="00AE1B58" w:rsidP="00AE1B58">
      <w:pPr>
        <w:tabs>
          <w:tab w:val="left" w:pos="540"/>
        </w:tabs>
        <w:rPr>
          <w:color w:val="FF0000"/>
          <w:szCs w:val="24"/>
        </w:rPr>
      </w:pPr>
    </w:p>
    <w:p w:rsidR="00AE1B58" w:rsidRDefault="00AE1B58" w:rsidP="00AE1B58">
      <w:pPr>
        <w:rPr>
          <w:szCs w:val="24"/>
        </w:rPr>
      </w:pPr>
      <w:r>
        <w:rPr>
          <w:szCs w:val="24"/>
        </w:rPr>
        <w:t xml:space="preserve">The Office of Management and </w:t>
      </w:r>
      <w:r w:rsidR="001723E7">
        <w:rPr>
          <w:szCs w:val="24"/>
        </w:rPr>
        <w:t xml:space="preserve">Budget (OMB) </w:t>
      </w:r>
      <w:r>
        <w:rPr>
          <w:szCs w:val="24"/>
        </w:rPr>
        <w:t xml:space="preserve">Circular 2 CFR 200 was issued on December 26, 2014.  The Circular sets standards for administration of Federal grants to all Financial Assistance entities.   Federal grant-making agencies were required to incorporate the contents of the 2 CFR 200 in their grant regulations, which the Department of Transportation (DOT)  codified as 49 U.S.C. 322(a),  and 49 CFR part 1201 and DOT accepts  OMB-required reporting and recordkeeping requirements in Sections 2 CFR 200.206 and 200.327.  </w:t>
      </w:r>
      <w:r w:rsidRPr="00980DC2">
        <w:rPr>
          <w:szCs w:val="24"/>
        </w:rPr>
        <w:t xml:space="preserve">This information </w:t>
      </w:r>
      <w:r>
        <w:rPr>
          <w:szCs w:val="24"/>
        </w:rPr>
        <w:t xml:space="preserve">collection includes </w:t>
      </w:r>
      <w:r w:rsidRPr="00980DC2">
        <w:rPr>
          <w:szCs w:val="24"/>
        </w:rPr>
        <w:t xml:space="preserve">those DOT grant programs that utilize </w:t>
      </w:r>
      <w:r>
        <w:rPr>
          <w:szCs w:val="24"/>
        </w:rPr>
        <w:t>the following OMB standard forms (SF): SF-424; SF</w:t>
      </w:r>
      <w:r>
        <w:rPr>
          <w:szCs w:val="24"/>
        </w:rPr>
        <w:noBreakHyphen/>
        <w:t>425; SF-270</w:t>
      </w:r>
      <w:r w:rsidRPr="00980DC2">
        <w:rPr>
          <w:szCs w:val="24"/>
        </w:rPr>
        <w:t xml:space="preserve">; </w:t>
      </w:r>
      <w:r>
        <w:rPr>
          <w:szCs w:val="24"/>
        </w:rPr>
        <w:t xml:space="preserve">and </w:t>
      </w:r>
      <w:r w:rsidRPr="00980DC2">
        <w:rPr>
          <w:szCs w:val="24"/>
        </w:rPr>
        <w:t>Outlay Report &amp; Request for Reimburs</w:t>
      </w:r>
      <w:r>
        <w:rPr>
          <w:szCs w:val="24"/>
        </w:rPr>
        <w:t xml:space="preserve">ement for Construction Programs SF-271 and collects no additional information.   </w:t>
      </w:r>
    </w:p>
    <w:p w:rsidR="00AE1B58" w:rsidRDefault="00AE1B58" w:rsidP="00AE1B58">
      <w:pPr>
        <w:pStyle w:val="NormalWeb"/>
        <w:rPr>
          <w:rFonts w:ascii="Times New Roman" w:eastAsia="Times New Roman" w:hAnsi="Times New Roman" w:cs="Times New Roman"/>
        </w:rPr>
      </w:pPr>
      <w:r>
        <w:rPr>
          <w:rFonts w:ascii="Times New Roman" w:eastAsia="Times New Roman" w:hAnsi="Times New Roman" w:cs="Times New Roman"/>
        </w:rPr>
        <w:t xml:space="preserve">DOT GOAL:  DOT  annually funds approximately $ 61 billion in grants and cooperative agreements.  Guidance for departmental formula and discretionary grant programs is contained in their authorizing legislation, program regulations, or departmental regulations.  This guidance </w:t>
      </w:r>
      <w:r>
        <w:rPr>
          <w:rFonts w:ascii="Times New Roman" w:eastAsia="Times New Roman" w:hAnsi="Times New Roman" w:cs="Times New Roman"/>
        </w:rPr>
        <w:lastRenderedPageBreak/>
        <w:t>generally includes general project management requirements and the limitation, if any, on spending authority.  Departmental grants are generally made to State and local governments, with lesser amounts going to Indian tribes, universities and nonprofit organizations.  These grants are normally used to assist these entities in the planning, design, and construction of transportation improvements (e.g., highway, transit, and airport improvements).  Collection of this data provides the Department a mechanism for achieving organizational excellence in its grants administration.</w:t>
      </w:r>
    </w:p>
    <w:p w:rsidR="00AE1B58" w:rsidRPr="00981917" w:rsidRDefault="00AE1B58" w:rsidP="00AE1B58">
      <w:pPr>
        <w:widowControl w:val="0"/>
        <w:tabs>
          <w:tab w:val="left" w:pos="540"/>
        </w:tabs>
        <w:ind w:left="1440"/>
        <w:rPr>
          <w:b/>
          <w:szCs w:val="24"/>
        </w:rPr>
      </w:pPr>
    </w:p>
    <w:p w:rsidR="00AE1B58" w:rsidRPr="00A0677C" w:rsidRDefault="00AE1B58" w:rsidP="00AE1B58">
      <w:pPr>
        <w:pStyle w:val="ListParagraph"/>
        <w:widowControl w:val="0"/>
        <w:numPr>
          <w:ilvl w:val="0"/>
          <w:numId w:val="3"/>
        </w:numPr>
        <w:tabs>
          <w:tab w:val="left" w:pos="540"/>
        </w:tabs>
        <w:ind w:hanging="720"/>
        <w:rPr>
          <w:szCs w:val="24"/>
        </w:rPr>
      </w:pPr>
      <w:r w:rsidRPr="00A0677C">
        <w:rPr>
          <w:b/>
          <w:szCs w:val="24"/>
          <w:u w:val="single"/>
        </w:rPr>
        <w:t>How, by whom, and for what purpose is the information to be used</w:t>
      </w:r>
      <w:r w:rsidRPr="00A0677C">
        <w:rPr>
          <w:b/>
          <w:szCs w:val="24"/>
        </w:rPr>
        <w:t>.</w:t>
      </w:r>
      <w:r w:rsidRPr="00A0677C">
        <w:rPr>
          <w:szCs w:val="24"/>
        </w:rPr>
        <w:t xml:space="preserve">  </w:t>
      </w:r>
    </w:p>
    <w:p w:rsidR="00AE1B58" w:rsidRPr="00A0677C" w:rsidRDefault="00AE1B58" w:rsidP="00AE1B58">
      <w:pPr>
        <w:pStyle w:val="ListParagraph"/>
        <w:widowControl w:val="0"/>
        <w:tabs>
          <w:tab w:val="left" w:pos="540"/>
        </w:tabs>
        <w:rPr>
          <w:b/>
          <w:szCs w:val="24"/>
        </w:rPr>
      </w:pPr>
    </w:p>
    <w:p w:rsidR="00AE1B58" w:rsidRPr="001F711A" w:rsidRDefault="00AE1B58" w:rsidP="00AE1B58">
      <w:pPr>
        <w:rPr>
          <w:szCs w:val="24"/>
        </w:rPr>
      </w:pPr>
      <w:r>
        <w:rPr>
          <w:szCs w:val="24"/>
        </w:rPr>
        <w:t>The pre-award information, (SF-424, Application for Federal Assistance), is used to qualify and select grant applications.  The post-award information, (SF-425, Federal Financial Reporting; SF-270, Request for Advance or Reimbursement; SF-271 Outlay Report and Request for Reimbursement for Construction Programs) are used to monitor grantee performance.  The after-the-grant information (SF-425), Federal Financial Report), is used to close out the grant awards,  The information is necessary to ensure minimum fiscal control and accountability for Federal funds and deter fraud, waste and abuse.</w:t>
      </w:r>
    </w:p>
    <w:p w:rsidR="00AE1B58" w:rsidRPr="00981917" w:rsidRDefault="00AE1B58" w:rsidP="00AE1B58">
      <w:pPr>
        <w:widowControl w:val="0"/>
        <w:tabs>
          <w:tab w:val="left" w:pos="540"/>
        </w:tabs>
        <w:rPr>
          <w:b/>
          <w:szCs w:val="24"/>
        </w:rPr>
      </w:pPr>
      <w:r w:rsidRPr="00981917">
        <w:rPr>
          <w:b/>
          <w:szCs w:val="24"/>
        </w:rPr>
        <w:t xml:space="preserve"> </w:t>
      </w:r>
    </w:p>
    <w:p w:rsidR="00AE1B58" w:rsidRPr="00981917" w:rsidRDefault="00AE1B58" w:rsidP="00AE1B58">
      <w:pPr>
        <w:widowControl w:val="0"/>
        <w:tabs>
          <w:tab w:val="left" w:pos="540"/>
        </w:tabs>
        <w:rPr>
          <w:b/>
          <w:szCs w:val="24"/>
        </w:rPr>
      </w:pPr>
      <w:r w:rsidRPr="00981917">
        <w:rPr>
          <w:b/>
          <w:szCs w:val="24"/>
        </w:rPr>
        <w:t>3.</w:t>
      </w:r>
      <w:r w:rsidRPr="00981917">
        <w:rPr>
          <w:b/>
          <w:szCs w:val="24"/>
        </w:rPr>
        <w:tab/>
      </w:r>
      <w:r w:rsidRPr="00981917">
        <w:rPr>
          <w:b/>
          <w:szCs w:val="24"/>
          <w:u w:val="single"/>
        </w:rPr>
        <w:t>Extent of automated information collection</w:t>
      </w:r>
      <w:r w:rsidRPr="00981917">
        <w:rPr>
          <w:b/>
          <w:szCs w:val="24"/>
        </w:rPr>
        <w:t xml:space="preserve">.  </w:t>
      </w:r>
    </w:p>
    <w:p w:rsidR="00AE1B58" w:rsidRPr="00981917" w:rsidRDefault="00AE1B58" w:rsidP="00AE1B58">
      <w:pPr>
        <w:widowControl w:val="0"/>
        <w:tabs>
          <w:tab w:val="left" w:pos="540"/>
        </w:tabs>
        <w:rPr>
          <w:b/>
          <w:szCs w:val="24"/>
        </w:rPr>
      </w:pPr>
    </w:p>
    <w:p w:rsidR="00AE1B58" w:rsidRPr="001F711A" w:rsidRDefault="00AE1B58" w:rsidP="00AE1B58">
      <w:pPr>
        <w:widowControl w:val="0"/>
        <w:tabs>
          <w:tab w:val="left" w:pos="540"/>
        </w:tabs>
        <w:rPr>
          <w:szCs w:val="24"/>
        </w:rPr>
      </w:pPr>
      <w:r w:rsidRPr="001F711A">
        <w:rPr>
          <w:szCs w:val="24"/>
        </w:rPr>
        <w:t xml:space="preserve">The </w:t>
      </w:r>
      <w:r>
        <w:rPr>
          <w:szCs w:val="24"/>
        </w:rPr>
        <w:t xml:space="preserve">financial reporting </w:t>
      </w:r>
      <w:r w:rsidRPr="001F711A">
        <w:rPr>
          <w:szCs w:val="24"/>
        </w:rPr>
        <w:t>forms are government</w:t>
      </w:r>
      <w:r>
        <w:rPr>
          <w:szCs w:val="24"/>
        </w:rPr>
        <w:t>-</w:t>
      </w:r>
      <w:r w:rsidRPr="001F711A">
        <w:rPr>
          <w:szCs w:val="24"/>
        </w:rPr>
        <w:t xml:space="preserve">wide forms under the control of OMB.  OMB provides guidance to Federal agencies on the use of these forms, including the requirement to use a baseline annual information collection burden of </w:t>
      </w:r>
      <w:r>
        <w:rPr>
          <w:szCs w:val="24"/>
        </w:rPr>
        <w:t>27</w:t>
      </w:r>
      <w:r w:rsidRPr="001F711A">
        <w:rPr>
          <w:szCs w:val="24"/>
        </w:rPr>
        <w:t xml:space="preserve"> hours per grantee respondent.  These forms</w:t>
      </w:r>
      <w:r>
        <w:rPr>
          <w:szCs w:val="24"/>
        </w:rPr>
        <w:t xml:space="preserve"> are available online from the OMB</w:t>
      </w:r>
      <w:r w:rsidRPr="001F711A">
        <w:rPr>
          <w:szCs w:val="24"/>
        </w:rPr>
        <w:t xml:space="preserve"> grants web page</w:t>
      </w:r>
      <w:r>
        <w:rPr>
          <w:szCs w:val="24"/>
        </w:rPr>
        <w:t xml:space="preserve"> at </w:t>
      </w:r>
      <w:r w:rsidRPr="00D748B0">
        <w:rPr>
          <w:szCs w:val="24"/>
        </w:rPr>
        <w:t>http://www.whitehouse.gov/omb/grants_forms</w:t>
      </w:r>
      <w:r>
        <w:rPr>
          <w:szCs w:val="24"/>
        </w:rPr>
        <w:t xml:space="preserve"> as well as U.S. Department of Health and Human Services (HHS) via</w:t>
      </w:r>
      <w:r w:rsidRPr="001F711A">
        <w:rPr>
          <w:szCs w:val="24"/>
        </w:rPr>
        <w:t xml:space="preserve"> </w:t>
      </w:r>
      <w:r w:rsidRPr="00D748B0">
        <w:rPr>
          <w:szCs w:val="24"/>
        </w:rPr>
        <w:t>www.grants.gov</w:t>
      </w:r>
      <w:r w:rsidRPr="001F711A">
        <w:rPr>
          <w:szCs w:val="24"/>
        </w:rPr>
        <w:t xml:space="preserve">.  </w:t>
      </w:r>
      <w:r>
        <w:rPr>
          <w:szCs w:val="24"/>
        </w:rPr>
        <w:t xml:space="preserve">Eighty-five percent (85%) of the forms are submitted electronically.  </w:t>
      </w:r>
      <w:r w:rsidRPr="002558AD">
        <w:rPr>
          <w:szCs w:val="24"/>
        </w:rPr>
        <w:t xml:space="preserve">SF-424 is submitted through </w:t>
      </w:r>
      <w:r w:rsidRPr="00D748B0">
        <w:rPr>
          <w:szCs w:val="24"/>
        </w:rPr>
        <w:t>www.grants.gov</w:t>
      </w:r>
      <w:r>
        <w:rPr>
          <w:szCs w:val="24"/>
        </w:rPr>
        <w:t xml:space="preserve"> and the remaining forms are submitted directly to the individual DOT program office either by mail or email.</w:t>
      </w:r>
    </w:p>
    <w:p w:rsidR="00AE1B58" w:rsidRPr="00981917" w:rsidRDefault="00AE1B58" w:rsidP="00AE1B58">
      <w:pPr>
        <w:widowControl w:val="0"/>
        <w:tabs>
          <w:tab w:val="left" w:pos="540"/>
        </w:tabs>
        <w:rPr>
          <w:b/>
          <w:szCs w:val="24"/>
        </w:rPr>
      </w:pPr>
    </w:p>
    <w:p w:rsidR="00AE1B58" w:rsidRPr="00981917" w:rsidRDefault="00AE1B58" w:rsidP="00AE1B58">
      <w:pPr>
        <w:widowControl w:val="0"/>
        <w:numPr>
          <w:ilvl w:val="0"/>
          <w:numId w:val="2"/>
        </w:numPr>
        <w:tabs>
          <w:tab w:val="clear" w:pos="720"/>
          <w:tab w:val="num" w:pos="-90"/>
          <w:tab w:val="left" w:pos="0"/>
          <w:tab w:val="left" w:pos="540"/>
        </w:tabs>
        <w:ind w:left="-90" w:firstLine="0"/>
        <w:rPr>
          <w:b/>
          <w:szCs w:val="24"/>
        </w:rPr>
      </w:pPr>
      <w:r w:rsidRPr="00981917">
        <w:rPr>
          <w:b/>
          <w:szCs w:val="24"/>
          <w:u w:val="single"/>
        </w:rPr>
        <w:t>Describe efforts to identify duplication.</w:t>
      </w:r>
      <w:r w:rsidRPr="00981917">
        <w:rPr>
          <w:b/>
          <w:szCs w:val="24"/>
        </w:rPr>
        <w:t xml:space="preserve">   </w:t>
      </w:r>
    </w:p>
    <w:p w:rsidR="00AE1B58" w:rsidRPr="00981917" w:rsidRDefault="00AE1B58" w:rsidP="00AE1B58">
      <w:pPr>
        <w:widowControl w:val="0"/>
        <w:tabs>
          <w:tab w:val="left" w:pos="0"/>
          <w:tab w:val="left" w:pos="540"/>
        </w:tabs>
        <w:ind w:left="-90"/>
        <w:rPr>
          <w:b/>
          <w:szCs w:val="24"/>
          <w:u w:val="single"/>
        </w:rPr>
      </w:pPr>
    </w:p>
    <w:p w:rsidR="00AE1B58" w:rsidRPr="001F711A"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There is no duplication of effort in regards to the process identified in item 2.</w:t>
      </w:r>
    </w:p>
    <w:p w:rsidR="00AE1B58" w:rsidRPr="00981917" w:rsidRDefault="00AE1B58" w:rsidP="00AE1B58">
      <w:pPr>
        <w:widowControl w:val="0"/>
        <w:tabs>
          <w:tab w:val="left" w:pos="540"/>
        </w:tabs>
        <w:ind w:left="720"/>
        <w:rPr>
          <w:szCs w:val="24"/>
        </w:rPr>
      </w:pPr>
      <w:r w:rsidRPr="00981917">
        <w:rPr>
          <w:szCs w:val="24"/>
        </w:rPr>
        <w:t xml:space="preserve">                      </w:t>
      </w:r>
    </w:p>
    <w:p w:rsidR="00AE1B58" w:rsidRDefault="00AE1B58" w:rsidP="00AE1B58">
      <w:pPr>
        <w:widowControl w:val="0"/>
        <w:numPr>
          <w:ilvl w:val="0"/>
          <w:numId w:val="2"/>
        </w:numPr>
        <w:tabs>
          <w:tab w:val="clear" w:pos="720"/>
          <w:tab w:val="num" w:pos="-90"/>
          <w:tab w:val="left" w:pos="540"/>
        </w:tabs>
        <w:ind w:left="0" w:firstLine="0"/>
        <w:rPr>
          <w:b/>
          <w:szCs w:val="24"/>
        </w:rPr>
      </w:pPr>
      <w:r w:rsidRPr="00981917">
        <w:rPr>
          <w:b/>
          <w:szCs w:val="24"/>
          <w:u w:val="single"/>
        </w:rPr>
        <w:t>Efforts to minimize the burden on small businesses</w:t>
      </w:r>
      <w:r w:rsidRPr="00981917">
        <w:rPr>
          <w:szCs w:val="24"/>
        </w:rPr>
        <w:t xml:space="preserve">.  </w:t>
      </w:r>
    </w:p>
    <w:p w:rsidR="00AE1B58" w:rsidRDefault="00AE1B58" w:rsidP="00AE1B58">
      <w:pPr>
        <w:widowControl w:val="0"/>
        <w:tabs>
          <w:tab w:val="left" w:pos="540"/>
        </w:tabs>
        <w:rPr>
          <w:b/>
          <w:szCs w:val="24"/>
        </w:rPr>
      </w:pPr>
    </w:p>
    <w:p w:rsidR="00AE1B58" w:rsidRPr="00981917" w:rsidRDefault="00AE1B58" w:rsidP="00AE1B58">
      <w:pPr>
        <w:rPr>
          <w:b/>
          <w:szCs w:val="24"/>
        </w:rPr>
      </w:pPr>
      <w:r w:rsidRPr="001F711A">
        <w:rPr>
          <w:szCs w:val="24"/>
        </w:rPr>
        <w:t>The information requirements pertain</w:t>
      </w:r>
      <w:r>
        <w:rPr>
          <w:szCs w:val="24"/>
        </w:rPr>
        <w:t>s</w:t>
      </w:r>
      <w:r w:rsidRPr="001F711A">
        <w:rPr>
          <w:szCs w:val="24"/>
        </w:rPr>
        <w:t xml:space="preserve"> to</w:t>
      </w:r>
      <w:r>
        <w:rPr>
          <w:szCs w:val="24"/>
        </w:rPr>
        <w:t xml:space="preserve"> a few small business or small</w:t>
      </w:r>
      <w:r w:rsidRPr="001F711A">
        <w:rPr>
          <w:szCs w:val="24"/>
        </w:rPr>
        <w:t xml:space="preserve"> entities that receive financial assistance from DOT.  However, OMB controls the info</w:t>
      </w:r>
      <w:r>
        <w:rPr>
          <w:szCs w:val="24"/>
        </w:rPr>
        <w:t>rmation collection requirements of  SF-424, SF-425, SF-270, and SF-271.</w:t>
      </w:r>
    </w:p>
    <w:p w:rsidR="00AE1B58" w:rsidRPr="00981917" w:rsidRDefault="00AE1B58" w:rsidP="00AE1B58">
      <w:pPr>
        <w:widowControl w:val="0"/>
        <w:tabs>
          <w:tab w:val="left" w:pos="0"/>
          <w:tab w:val="left" w:pos="540"/>
        </w:tabs>
        <w:ind w:left="-90"/>
        <w:rPr>
          <w:szCs w:val="24"/>
        </w:rPr>
      </w:pPr>
    </w:p>
    <w:p w:rsidR="00AE1B58" w:rsidRPr="00981917" w:rsidRDefault="00AE1B58" w:rsidP="00AE1B58">
      <w:pPr>
        <w:widowControl w:val="0"/>
        <w:tabs>
          <w:tab w:val="left" w:pos="540"/>
        </w:tabs>
        <w:rPr>
          <w:b/>
          <w:szCs w:val="24"/>
        </w:rPr>
      </w:pPr>
      <w:r w:rsidRPr="00981917">
        <w:rPr>
          <w:b/>
          <w:szCs w:val="24"/>
        </w:rPr>
        <w:t>6.</w:t>
      </w:r>
      <w:r w:rsidRPr="00981917">
        <w:rPr>
          <w:b/>
          <w:szCs w:val="24"/>
        </w:rPr>
        <w:tab/>
      </w:r>
      <w:r w:rsidRPr="00981917">
        <w:rPr>
          <w:b/>
          <w:szCs w:val="24"/>
          <w:u w:val="single"/>
        </w:rPr>
        <w:t>Impact of less frequent collection of information</w:t>
      </w:r>
      <w:r w:rsidRPr="00981917">
        <w:rPr>
          <w:szCs w:val="24"/>
        </w:rPr>
        <w:t xml:space="preserve">.  </w:t>
      </w:r>
    </w:p>
    <w:p w:rsidR="00AE1B58" w:rsidRPr="00981917" w:rsidRDefault="00AE1B58" w:rsidP="00AE1B58">
      <w:pPr>
        <w:widowControl w:val="0"/>
        <w:tabs>
          <w:tab w:val="left" w:pos="540"/>
        </w:tabs>
        <w:rPr>
          <w:b/>
          <w:szCs w:val="24"/>
        </w:rPr>
      </w:pPr>
      <w:r w:rsidRPr="00981917">
        <w:rPr>
          <w:b/>
          <w:szCs w:val="24"/>
        </w:rPr>
        <w:tab/>
      </w:r>
    </w:p>
    <w:p w:rsidR="00AE1B58" w:rsidRDefault="00AE1B58" w:rsidP="00AE1B58">
      <w:pPr>
        <w:widowControl w:val="0"/>
        <w:tabs>
          <w:tab w:val="left" w:pos="540"/>
        </w:tabs>
        <w:rPr>
          <w:szCs w:val="24"/>
        </w:rPr>
      </w:pPr>
      <w:r w:rsidRPr="001F711A">
        <w:rPr>
          <w:szCs w:val="24"/>
        </w:rPr>
        <w:t xml:space="preserve">Information collection requirements follow OMB </w:t>
      </w:r>
      <w:r>
        <w:rPr>
          <w:szCs w:val="24"/>
        </w:rPr>
        <w:t xml:space="preserve">guidelines as prescribed in Circular 2 CFR 200.  No less frequent collection is feasible. </w:t>
      </w:r>
    </w:p>
    <w:p w:rsidR="00AE1B58" w:rsidRDefault="00AE1B58" w:rsidP="00AE1B58">
      <w:pPr>
        <w:widowControl w:val="0"/>
        <w:tabs>
          <w:tab w:val="left" w:pos="540"/>
        </w:tabs>
        <w:rPr>
          <w:szCs w:val="24"/>
        </w:rPr>
      </w:pPr>
    </w:p>
    <w:p w:rsidR="00AE1B58" w:rsidRDefault="00AE1B58" w:rsidP="00AE1B58">
      <w:pPr>
        <w:widowControl w:val="0"/>
        <w:tabs>
          <w:tab w:val="left" w:pos="540"/>
        </w:tabs>
        <w:rPr>
          <w:szCs w:val="24"/>
        </w:rPr>
      </w:pPr>
    </w:p>
    <w:p w:rsidR="00AE1B58" w:rsidRDefault="00AE1B58" w:rsidP="00AE1B58">
      <w:pPr>
        <w:widowControl w:val="0"/>
        <w:tabs>
          <w:tab w:val="left" w:pos="540"/>
        </w:tabs>
        <w:rPr>
          <w:szCs w:val="24"/>
        </w:rPr>
      </w:pPr>
    </w:p>
    <w:p w:rsidR="00AE1B58" w:rsidRPr="00981917" w:rsidRDefault="00AE1B58" w:rsidP="00AE1B58">
      <w:pPr>
        <w:widowControl w:val="0"/>
        <w:tabs>
          <w:tab w:val="left" w:pos="540"/>
        </w:tabs>
        <w:rPr>
          <w:szCs w:val="24"/>
        </w:rPr>
      </w:pPr>
      <w:r w:rsidRPr="00981917">
        <w:rPr>
          <w:b/>
          <w:szCs w:val="24"/>
        </w:rPr>
        <w:t>7.</w:t>
      </w:r>
      <w:r w:rsidRPr="00981917">
        <w:rPr>
          <w:b/>
          <w:szCs w:val="24"/>
        </w:rPr>
        <w:tab/>
      </w:r>
      <w:r w:rsidRPr="00981917">
        <w:rPr>
          <w:b/>
          <w:szCs w:val="24"/>
          <w:u w:val="single"/>
        </w:rPr>
        <w:t>Special Circumstances</w:t>
      </w:r>
      <w:r w:rsidRPr="00981917">
        <w:rPr>
          <w:b/>
          <w:szCs w:val="24"/>
        </w:rPr>
        <w:t xml:space="preserve">.  </w:t>
      </w:r>
    </w:p>
    <w:p w:rsidR="00AE1B58" w:rsidRPr="001F711A" w:rsidRDefault="00AE1B58" w:rsidP="00AE1B58">
      <w:pPr>
        <w:pStyle w:val="NormalWeb"/>
        <w:rPr>
          <w:rFonts w:ascii="Times New Roman" w:hAnsi="Times New Roman" w:cs="Times New Roman"/>
        </w:rPr>
      </w:pPr>
      <w:r w:rsidRPr="001F711A">
        <w:rPr>
          <w:rFonts w:ascii="Times New Roman" w:hAnsi="Times New Roman" w:cs="Times New Roman"/>
        </w:rPr>
        <w:t>The information collection is consistent with 5</w:t>
      </w:r>
      <w:r>
        <w:rPr>
          <w:rFonts w:ascii="Times New Roman" w:hAnsi="Times New Roman" w:cs="Times New Roman"/>
        </w:rPr>
        <w:t xml:space="preserve"> </w:t>
      </w:r>
      <w:r w:rsidRPr="001F711A">
        <w:rPr>
          <w:rFonts w:ascii="Times New Roman" w:hAnsi="Times New Roman" w:cs="Times New Roman"/>
        </w:rPr>
        <w:t>CFR 1320.6 Public Protection.</w:t>
      </w:r>
    </w:p>
    <w:p w:rsidR="00AE1B58" w:rsidRPr="00981917" w:rsidRDefault="00AE1B58" w:rsidP="00AE1B58">
      <w:pPr>
        <w:widowControl w:val="0"/>
        <w:tabs>
          <w:tab w:val="left" w:pos="540"/>
        </w:tabs>
        <w:rPr>
          <w:b/>
          <w:szCs w:val="24"/>
        </w:rPr>
      </w:pPr>
      <w:r w:rsidRPr="00981917">
        <w:rPr>
          <w:b/>
          <w:szCs w:val="24"/>
        </w:rPr>
        <w:t>8.</w:t>
      </w:r>
      <w:r w:rsidRPr="00981917">
        <w:rPr>
          <w:b/>
          <w:szCs w:val="24"/>
        </w:rPr>
        <w:tab/>
      </w:r>
      <w:r w:rsidRPr="00981917">
        <w:rPr>
          <w:b/>
          <w:szCs w:val="24"/>
          <w:u w:val="single"/>
        </w:rPr>
        <w:t>Compliance with 5 CFR 1320.8(d)</w:t>
      </w:r>
      <w:r w:rsidRPr="00981917">
        <w:rPr>
          <w:b/>
          <w:szCs w:val="24"/>
        </w:rPr>
        <w:t>.</w:t>
      </w:r>
      <w:r w:rsidRPr="00981917">
        <w:rPr>
          <w:szCs w:val="24"/>
        </w:rPr>
        <w:t xml:space="preserve">  </w:t>
      </w:r>
    </w:p>
    <w:p w:rsidR="00AE1B58" w:rsidRPr="00981917" w:rsidRDefault="00AE1B58" w:rsidP="00AE1B58">
      <w:pPr>
        <w:widowControl w:val="0"/>
        <w:tabs>
          <w:tab w:val="left" w:pos="540"/>
        </w:tabs>
        <w:rPr>
          <w:szCs w:val="24"/>
        </w:rPr>
      </w:pPr>
    </w:p>
    <w:p w:rsidR="00AE1B58" w:rsidRPr="00CE39FC" w:rsidRDefault="00AE1B58" w:rsidP="00AE1B58">
      <w:pPr>
        <w:widowControl w:val="0"/>
        <w:tabs>
          <w:tab w:val="left" w:pos="540"/>
        </w:tabs>
        <w:rPr>
          <w:szCs w:val="24"/>
        </w:rPr>
      </w:pPr>
      <w:r w:rsidRPr="001F711A">
        <w:rPr>
          <w:szCs w:val="24"/>
        </w:rPr>
        <w:t xml:space="preserve">DOT </w:t>
      </w:r>
      <w:r>
        <w:rPr>
          <w:szCs w:val="24"/>
        </w:rPr>
        <w:t xml:space="preserve">published a </w:t>
      </w:r>
      <w:r w:rsidRPr="001F711A">
        <w:rPr>
          <w:szCs w:val="24"/>
        </w:rPr>
        <w:t>60</w:t>
      </w:r>
      <w:r>
        <w:rPr>
          <w:szCs w:val="24"/>
        </w:rPr>
        <w:t>-</w:t>
      </w:r>
      <w:r w:rsidRPr="001F711A">
        <w:rPr>
          <w:szCs w:val="24"/>
        </w:rPr>
        <w:t xml:space="preserve">Day </w:t>
      </w:r>
      <w:r>
        <w:rPr>
          <w:szCs w:val="24"/>
        </w:rPr>
        <w:t>n</w:t>
      </w:r>
      <w:r w:rsidRPr="001F711A">
        <w:rPr>
          <w:szCs w:val="24"/>
        </w:rPr>
        <w:t xml:space="preserve">otice </w:t>
      </w:r>
      <w:r>
        <w:rPr>
          <w:szCs w:val="24"/>
        </w:rPr>
        <w:t xml:space="preserve">in the Federal Register on June 3, 2015 </w:t>
      </w:r>
      <w:r w:rsidRPr="00D91A35">
        <w:rPr>
          <w:szCs w:val="24"/>
        </w:rPr>
        <w:t>(80 FR</w:t>
      </w:r>
      <w:r>
        <w:rPr>
          <w:szCs w:val="24"/>
        </w:rPr>
        <w:t xml:space="preserve"> </w:t>
      </w:r>
      <w:r w:rsidRPr="00D91A35">
        <w:rPr>
          <w:szCs w:val="24"/>
        </w:rPr>
        <w:t>31643)</w:t>
      </w:r>
      <w:r w:rsidR="00C84AD4" w:rsidRPr="00C84AD4">
        <w:rPr>
          <w:szCs w:val="24"/>
        </w:rPr>
        <w:t xml:space="preserve"> </w:t>
      </w:r>
      <w:r w:rsidR="00C84AD4" w:rsidRPr="001F711A">
        <w:rPr>
          <w:szCs w:val="24"/>
        </w:rPr>
        <w:t>solicit</w:t>
      </w:r>
      <w:r w:rsidR="00C84AD4">
        <w:rPr>
          <w:szCs w:val="24"/>
        </w:rPr>
        <w:t xml:space="preserve">ing </w:t>
      </w:r>
      <w:r w:rsidR="00C84AD4" w:rsidRPr="001F711A">
        <w:rPr>
          <w:szCs w:val="24"/>
        </w:rPr>
        <w:t xml:space="preserve">comments </w:t>
      </w:r>
      <w:r w:rsidR="00C84AD4">
        <w:rPr>
          <w:szCs w:val="24"/>
        </w:rPr>
        <w:t xml:space="preserve">from the public </w:t>
      </w:r>
      <w:r w:rsidR="00C84AD4" w:rsidRPr="001F711A">
        <w:rPr>
          <w:szCs w:val="24"/>
        </w:rPr>
        <w:t xml:space="preserve">on </w:t>
      </w:r>
      <w:r w:rsidR="00C84AD4">
        <w:rPr>
          <w:szCs w:val="24"/>
        </w:rPr>
        <w:t xml:space="preserve">this </w:t>
      </w:r>
      <w:r w:rsidR="00C84AD4" w:rsidRPr="001F711A">
        <w:rPr>
          <w:szCs w:val="24"/>
        </w:rPr>
        <w:t>information collection</w:t>
      </w:r>
      <w:r w:rsidRPr="00D91A35">
        <w:rPr>
          <w:szCs w:val="24"/>
        </w:rPr>
        <w:t>. No comments were received.</w:t>
      </w:r>
      <w:r>
        <w:rPr>
          <w:szCs w:val="24"/>
        </w:rPr>
        <w:t xml:space="preserve"> The 30- Day notice </w:t>
      </w:r>
      <w:r w:rsidRPr="001F711A">
        <w:rPr>
          <w:szCs w:val="24"/>
        </w:rPr>
        <w:t xml:space="preserve">in the Federal Register </w:t>
      </w:r>
      <w:r>
        <w:rPr>
          <w:szCs w:val="24"/>
        </w:rPr>
        <w:t>was published</w:t>
      </w:r>
      <w:r w:rsidR="001723E7">
        <w:rPr>
          <w:szCs w:val="24"/>
        </w:rPr>
        <w:t xml:space="preserve"> </w:t>
      </w:r>
      <w:r w:rsidR="00C84AD4">
        <w:rPr>
          <w:szCs w:val="24"/>
        </w:rPr>
        <w:t xml:space="preserve">August </w:t>
      </w:r>
      <w:r w:rsidR="004C68E1">
        <w:rPr>
          <w:szCs w:val="24"/>
        </w:rPr>
        <w:t>31</w:t>
      </w:r>
      <w:r w:rsidR="00C84AD4">
        <w:rPr>
          <w:szCs w:val="24"/>
        </w:rPr>
        <w:t>, 2015 (</w:t>
      </w:r>
      <w:r w:rsidRPr="004C68E1">
        <w:rPr>
          <w:szCs w:val="24"/>
        </w:rPr>
        <w:t xml:space="preserve">volume </w:t>
      </w:r>
      <w:r w:rsidR="004C68E1" w:rsidRPr="004C68E1">
        <w:rPr>
          <w:szCs w:val="24"/>
        </w:rPr>
        <w:t>80</w:t>
      </w:r>
      <w:r w:rsidRPr="004C68E1">
        <w:rPr>
          <w:szCs w:val="24"/>
        </w:rPr>
        <w:t xml:space="preserve">, Number </w:t>
      </w:r>
      <w:r w:rsidR="004C68E1" w:rsidRPr="004C68E1">
        <w:rPr>
          <w:szCs w:val="24"/>
        </w:rPr>
        <w:t xml:space="preserve">168 </w:t>
      </w:r>
      <w:r w:rsidRPr="004C68E1">
        <w:rPr>
          <w:szCs w:val="24"/>
        </w:rPr>
        <w:t xml:space="preserve">page </w:t>
      </w:r>
      <w:r w:rsidR="004C68E1" w:rsidRPr="004C68E1">
        <w:rPr>
          <w:szCs w:val="24"/>
        </w:rPr>
        <w:t>52538</w:t>
      </w:r>
      <w:r w:rsidR="00C84AD4" w:rsidRPr="004C68E1">
        <w:rPr>
          <w:szCs w:val="24"/>
        </w:rPr>
        <w:t xml:space="preserve">). </w:t>
      </w:r>
      <w:r>
        <w:rPr>
          <w:szCs w:val="24"/>
        </w:rPr>
        <w:t xml:space="preserve"> </w:t>
      </w:r>
    </w:p>
    <w:p w:rsidR="00AE1B58" w:rsidRDefault="00AE1B58" w:rsidP="00AE1B58">
      <w:pPr>
        <w:pStyle w:val="ListParagraph"/>
        <w:widowControl w:val="0"/>
        <w:tabs>
          <w:tab w:val="left" w:pos="540"/>
        </w:tabs>
        <w:ind w:left="0"/>
        <w:rPr>
          <w:b/>
          <w:szCs w:val="24"/>
        </w:rPr>
      </w:pPr>
    </w:p>
    <w:p w:rsidR="00AE1B58" w:rsidRPr="00F37A76" w:rsidRDefault="00AE1B58" w:rsidP="00AE1B58">
      <w:pPr>
        <w:pStyle w:val="ListParagraph"/>
        <w:widowControl w:val="0"/>
        <w:numPr>
          <w:ilvl w:val="0"/>
          <w:numId w:val="5"/>
        </w:numPr>
        <w:tabs>
          <w:tab w:val="clear" w:pos="720"/>
          <w:tab w:val="num" w:pos="540"/>
        </w:tabs>
        <w:ind w:left="0" w:firstLine="0"/>
        <w:rPr>
          <w:b/>
          <w:szCs w:val="24"/>
        </w:rPr>
      </w:pPr>
      <w:r w:rsidRPr="00F37A76">
        <w:rPr>
          <w:b/>
          <w:szCs w:val="24"/>
          <w:u w:val="single"/>
        </w:rPr>
        <w:t>Payment or gifts to respondents</w:t>
      </w:r>
      <w:r w:rsidRPr="00F37A76">
        <w:rPr>
          <w:b/>
          <w:szCs w:val="24"/>
        </w:rPr>
        <w:t>.</w:t>
      </w:r>
    </w:p>
    <w:p w:rsidR="00AE1B58" w:rsidRPr="00981917" w:rsidRDefault="00AE1B58" w:rsidP="00AE1B58">
      <w:pPr>
        <w:widowControl w:val="0"/>
        <w:tabs>
          <w:tab w:val="left" w:pos="540"/>
        </w:tabs>
        <w:ind w:left="720"/>
        <w:rPr>
          <w:szCs w:val="24"/>
        </w:rPr>
      </w:pPr>
    </w:p>
    <w:p w:rsidR="00AE1B58" w:rsidRPr="001F711A" w:rsidRDefault="00AE1B58" w:rsidP="00AE1B58">
      <w:pPr>
        <w:widowControl w:val="0"/>
        <w:tabs>
          <w:tab w:val="left" w:pos="540"/>
        </w:tabs>
        <w:rPr>
          <w:szCs w:val="24"/>
        </w:rPr>
      </w:pPr>
      <w:r>
        <w:rPr>
          <w:szCs w:val="24"/>
        </w:rPr>
        <w:t>Not applicable.</w:t>
      </w:r>
    </w:p>
    <w:p w:rsidR="00AE1B58" w:rsidRPr="00981917" w:rsidRDefault="00AE1B58" w:rsidP="00AE1B58">
      <w:pPr>
        <w:widowControl w:val="0"/>
        <w:tabs>
          <w:tab w:val="left" w:pos="540"/>
        </w:tabs>
        <w:rPr>
          <w:szCs w:val="24"/>
        </w:rPr>
      </w:pPr>
    </w:p>
    <w:p w:rsidR="00AE1B58" w:rsidRPr="00A0677C" w:rsidRDefault="00AE1B58" w:rsidP="00AE1B58">
      <w:pPr>
        <w:pStyle w:val="ListParagraph"/>
        <w:widowControl w:val="0"/>
        <w:numPr>
          <w:ilvl w:val="0"/>
          <w:numId w:val="5"/>
        </w:numPr>
        <w:tabs>
          <w:tab w:val="left" w:pos="540"/>
        </w:tabs>
        <w:ind w:hanging="720"/>
        <w:rPr>
          <w:b/>
          <w:szCs w:val="24"/>
        </w:rPr>
      </w:pPr>
      <w:r w:rsidRPr="00A0677C">
        <w:rPr>
          <w:b/>
          <w:szCs w:val="24"/>
          <w:u w:val="single"/>
        </w:rPr>
        <w:t>Assurance of confidentiality</w:t>
      </w:r>
      <w:r w:rsidRPr="00A0677C">
        <w:rPr>
          <w:b/>
          <w:szCs w:val="24"/>
        </w:rPr>
        <w:t xml:space="preserve">.  </w:t>
      </w:r>
    </w:p>
    <w:p w:rsidR="00AE1B58" w:rsidRPr="00A0677C" w:rsidRDefault="00AE1B58" w:rsidP="00AE1B58">
      <w:pPr>
        <w:widowControl w:val="0"/>
        <w:tabs>
          <w:tab w:val="left" w:pos="540"/>
        </w:tabs>
        <w:ind w:left="360"/>
        <w:rPr>
          <w:b/>
          <w:szCs w:val="24"/>
        </w:rPr>
      </w:pPr>
    </w:p>
    <w:p w:rsidR="00AE1B58" w:rsidRPr="001F711A" w:rsidRDefault="00AE1B58" w:rsidP="00AE1B58">
      <w:pPr>
        <w:autoSpaceDE w:val="0"/>
        <w:autoSpaceDN w:val="0"/>
        <w:adjustRightInd w:val="0"/>
      </w:pPr>
      <w:r>
        <w:t>Assurance of the not sharing proprietary information is located in the Request for Application and is support by 44 U.S.C §3501 Pape</w:t>
      </w:r>
      <w:r w:rsidR="001723E7">
        <w:t xml:space="preserve">rwork Reduction Act as well as </w:t>
      </w:r>
      <w:r>
        <w:t>5 U.S.C</w:t>
      </w:r>
      <w:r w:rsidRPr="001F711A">
        <w:t>.</w:t>
      </w:r>
      <w:r>
        <w:t xml:space="preserve"> §552a.</w:t>
      </w:r>
      <w:r w:rsidRPr="00EE7770">
        <w:rPr>
          <w:rFonts w:ascii="Arial" w:hAnsi="Arial" w:cs="Arial"/>
          <w:szCs w:val="24"/>
        </w:rPr>
        <w:t xml:space="preserve"> </w:t>
      </w:r>
    </w:p>
    <w:p w:rsidR="00AE1B58" w:rsidRPr="00981917" w:rsidRDefault="00AE1B58" w:rsidP="00AE1B58">
      <w:pPr>
        <w:widowControl w:val="0"/>
        <w:tabs>
          <w:tab w:val="left" w:pos="540"/>
        </w:tabs>
        <w:rPr>
          <w:b/>
          <w:szCs w:val="24"/>
        </w:rPr>
      </w:pPr>
    </w:p>
    <w:p w:rsidR="00AE1B58" w:rsidRPr="00981917" w:rsidRDefault="00AE1B58" w:rsidP="00AE1B58">
      <w:pPr>
        <w:widowControl w:val="0"/>
        <w:tabs>
          <w:tab w:val="left" w:pos="540"/>
        </w:tabs>
        <w:rPr>
          <w:b/>
          <w:szCs w:val="24"/>
        </w:rPr>
      </w:pPr>
      <w:r w:rsidRPr="00981917">
        <w:rPr>
          <w:b/>
          <w:szCs w:val="24"/>
        </w:rPr>
        <w:t>11.</w:t>
      </w:r>
      <w:r w:rsidRPr="00981917">
        <w:rPr>
          <w:b/>
          <w:szCs w:val="24"/>
        </w:rPr>
        <w:tab/>
      </w:r>
      <w:r w:rsidRPr="00981917">
        <w:rPr>
          <w:b/>
          <w:szCs w:val="24"/>
          <w:u w:val="single"/>
        </w:rPr>
        <w:t>Justification for collection of sensitive information</w:t>
      </w:r>
      <w:r w:rsidRPr="00981917">
        <w:rPr>
          <w:b/>
          <w:szCs w:val="24"/>
        </w:rPr>
        <w:t xml:space="preserve">.  </w:t>
      </w:r>
    </w:p>
    <w:p w:rsidR="00AE1B58" w:rsidRPr="00981917" w:rsidRDefault="00AE1B58" w:rsidP="00AE1B58">
      <w:pPr>
        <w:widowControl w:val="0"/>
        <w:tabs>
          <w:tab w:val="left" w:pos="540"/>
        </w:tabs>
        <w:rPr>
          <w:b/>
          <w:szCs w:val="24"/>
        </w:rPr>
      </w:pPr>
    </w:p>
    <w:p w:rsidR="00AE1B58" w:rsidRPr="005478A2" w:rsidRDefault="00AE1B58" w:rsidP="00AE1B58">
      <w:pPr>
        <w:rPr>
          <w:szCs w:val="24"/>
        </w:rPr>
      </w:pPr>
      <w:r>
        <w:rPr>
          <w:szCs w:val="24"/>
        </w:rPr>
        <w:t xml:space="preserve">The agency does not collect </w:t>
      </w:r>
      <w:r w:rsidRPr="005478A2">
        <w:rPr>
          <w:szCs w:val="24"/>
        </w:rPr>
        <w:t xml:space="preserve">confidentiality </w:t>
      </w:r>
      <w:r>
        <w:rPr>
          <w:szCs w:val="24"/>
        </w:rPr>
        <w:t>information addressed in the statement.</w:t>
      </w:r>
    </w:p>
    <w:p w:rsidR="00AE1B58" w:rsidRPr="00981917" w:rsidRDefault="00AE1B58" w:rsidP="00AE1B58">
      <w:pPr>
        <w:widowControl w:val="0"/>
        <w:tabs>
          <w:tab w:val="left" w:pos="540"/>
        </w:tabs>
        <w:rPr>
          <w:b/>
          <w:szCs w:val="24"/>
        </w:rPr>
      </w:pPr>
    </w:p>
    <w:p w:rsidR="00AE1B58" w:rsidRDefault="00AE1B58" w:rsidP="00AE1B58">
      <w:pPr>
        <w:widowControl w:val="0"/>
        <w:tabs>
          <w:tab w:val="left" w:pos="540"/>
        </w:tabs>
        <w:rPr>
          <w:b/>
          <w:szCs w:val="24"/>
          <w:u w:val="single"/>
        </w:rPr>
      </w:pPr>
      <w:r w:rsidRPr="00981917">
        <w:rPr>
          <w:b/>
          <w:szCs w:val="24"/>
        </w:rPr>
        <w:t>12.</w:t>
      </w:r>
      <w:r w:rsidRPr="00981917">
        <w:rPr>
          <w:b/>
          <w:szCs w:val="24"/>
        </w:rPr>
        <w:tab/>
      </w:r>
      <w:r w:rsidRPr="00981917">
        <w:rPr>
          <w:b/>
          <w:szCs w:val="24"/>
          <w:u w:val="single"/>
        </w:rPr>
        <w:t xml:space="preserve">Estimate of burden hours for information requested. </w:t>
      </w:r>
    </w:p>
    <w:p w:rsidR="00AE1B58" w:rsidRDefault="00AE1B58" w:rsidP="00AE1B58"/>
    <w:p w:rsidR="00AE1B58" w:rsidRDefault="00AE1B58" w:rsidP="00AE1B58">
      <w:r>
        <w:t>The following procedures were utilized in determining the burden rate.</w:t>
      </w:r>
    </w:p>
    <w:p w:rsidR="00AE1B58" w:rsidRDefault="00AE1B58" w:rsidP="00AE1B58"/>
    <w:p w:rsidR="00AE1B58" w:rsidRDefault="00AE1B58" w:rsidP="00AE1B58">
      <w:r>
        <w:t>Grantees:  The number o</w:t>
      </w:r>
      <w:r w:rsidR="00C84AD4">
        <w:t xml:space="preserve">f grantees </w:t>
      </w:r>
      <w:r w:rsidR="00C84AD4">
        <w:rPr>
          <w:szCs w:val="24"/>
        </w:rPr>
        <w:t xml:space="preserve">1,758 </w:t>
      </w:r>
      <w:r w:rsidR="00C84AD4">
        <w:t>estimated hours X 70</w:t>
      </w:r>
      <w:r>
        <w:t xml:space="preserve"> average hr. rate.</w:t>
      </w:r>
    </w:p>
    <w:p w:rsidR="00AE1B58" w:rsidRDefault="00AE1B58" w:rsidP="00AE1B58"/>
    <w:p w:rsidR="00AE1B58" w:rsidRDefault="00AE1B58" w:rsidP="00AE1B58">
      <w:r>
        <w:t>Annual Recordkeeping and Reporting burden is based on the following:</w:t>
      </w:r>
    </w:p>
    <w:p w:rsidR="00AE1B58" w:rsidRDefault="00AE1B58" w:rsidP="00AE1B58"/>
    <w:p w:rsidR="00AE1B58" w:rsidRDefault="00AE1B58" w:rsidP="00AE1B58">
      <w:pPr>
        <w:pStyle w:val="ListParagraph"/>
        <w:numPr>
          <w:ilvl w:val="0"/>
          <w:numId w:val="7"/>
        </w:numPr>
      </w:pPr>
      <w:r>
        <w:t>The hourly rate was estima</w:t>
      </w:r>
      <w:r w:rsidR="00C84AD4">
        <w:t>ted for a Federal GS-9, step 5 $23.02</w:t>
      </w:r>
      <w:r>
        <w:t xml:space="preserve"> adjusted by an overhead rate of 33%, this prov</w:t>
      </w:r>
      <w:r w:rsidR="00C84AD4">
        <w:t xml:space="preserve">ides an average hourly rate of </w:t>
      </w:r>
      <w:r>
        <w:t>$30.62.  This was used for both grantee and Federal costs.</w:t>
      </w:r>
    </w:p>
    <w:p w:rsidR="00AE1B58" w:rsidRDefault="00AE1B58" w:rsidP="00AE1B58">
      <w:pPr>
        <w:pStyle w:val="ListParagraph"/>
      </w:pPr>
    </w:p>
    <w:p w:rsidR="00AE1B58" w:rsidRDefault="00AE1B58" w:rsidP="00AE1B58">
      <w:pPr>
        <w:pStyle w:val="ListParagraph"/>
      </w:pPr>
    </w:p>
    <w:p w:rsidR="00AE1B58" w:rsidRDefault="00AE1B58" w:rsidP="00AE1B58">
      <w:pPr>
        <w:pStyle w:val="ListParagraph"/>
        <w:numPr>
          <w:ilvl w:val="0"/>
          <w:numId w:val="7"/>
        </w:numPr>
      </w:pPr>
      <w:r>
        <w:t>The number of respondents used is based on historical data from grantee respondents.  This method was used to determine the grant activities of the grant making agencies under the DOT umbrella.</w:t>
      </w:r>
    </w:p>
    <w:p w:rsidR="00AE1B58" w:rsidRDefault="00AE1B58" w:rsidP="00AE1B58">
      <w:pPr>
        <w:pStyle w:val="ListParagraph"/>
      </w:pPr>
    </w:p>
    <w:p w:rsidR="00AE1B58" w:rsidRDefault="00AE1B58" w:rsidP="00AE1B58">
      <w:pPr>
        <w:pStyle w:val="ListParagraph"/>
        <w:numPr>
          <w:ilvl w:val="0"/>
          <w:numId w:val="7"/>
        </w:numPr>
      </w:pPr>
      <w:r>
        <w:t>The number of hours (70) used is based on the OMB burden rate baseline provided on the standard forms.</w:t>
      </w:r>
    </w:p>
    <w:p w:rsidR="00AE1B58" w:rsidRDefault="00AE1B58" w:rsidP="00AE1B58">
      <w:pPr>
        <w:pStyle w:val="ListParagraph"/>
      </w:pPr>
    </w:p>
    <w:p w:rsidR="00AE1B58" w:rsidRDefault="00AE1B58" w:rsidP="00AE1B58"/>
    <w:p w:rsidR="00AE1B58" w:rsidRDefault="00AE1B58" w:rsidP="00AE1B58"/>
    <w:p w:rsidR="00AE1B58" w:rsidRDefault="00AE1B58" w:rsidP="00AE1B58"/>
    <w:p w:rsidR="00AE1B58" w:rsidRDefault="00AE1B58" w:rsidP="00AE1B58">
      <w:pPr>
        <w:widowControl w:val="0"/>
        <w:tabs>
          <w:tab w:val="left" w:pos="540"/>
        </w:tabs>
        <w:rPr>
          <w:b/>
          <w:szCs w:val="24"/>
          <w:u w:val="single"/>
        </w:rPr>
      </w:pPr>
    </w:p>
    <w:p w:rsidR="00AE1B58" w:rsidRPr="00981917" w:rsidRDefault="00AE1B58" w:rsidP="00AE1B58">
      <w:pPr>
        <w:widowControl w:val="0"/>
        <w:tabs>
          <w:tab w:val="left" w:pos="540"/>
        </w:tabs>
        <w:rPr>
          <w:b/>
          <w:szCs w:val="24"/>
        </w:rPr>
      </w:pPr>
      <w:r>
        <w:rPr>
          <w:b/>
          <w:szCs w:val="24"/>
        </w:rPr>
        <w:t xml:space="preserve">                    Burden Summary of 2105--0520</w:t>
      </w:r>
    </w:p>
    <w:tbl>
      <w:tblPr>
        <w:tblStyle w:val="TableGrid"/>
        <w:tblW w:w="0" w:type="auto"/>
        <w:tblLook w:val="04A0" w:firstRow="1" w:lastRow="0" w:firstColumn="1" w:lastColumn="0" w:noHBand="0" w:noVBand="1"/>
      </w:tblPr>
      <w:tblGrid>
        <w:gridCol w:w="1626"/>
        <w:gridCol w:w="3072"/>
        <w:gridCol w:w="1638"/>
      </w:tblGrid>
      <w:tr w:rsidR="00AE1B58"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E1B58" w:rsidRDefault="00AE1B58" w:rsidP="00910FA2">
            <w:pPr>
              <w:rPr>
                <w:szCs w:val="24"/>
              </w:rPr>
            </w:pP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AE1B58" w:rsidRPr="005478A2" w:rsidRDefault="00AE1B58" w:rsidP="00910FA2">
            <w:pPr>
              <w:widowControl w:val="0"/>
              <w:tabs>
                <w:tab w:val="center" w:pos="4680"/>
              </w:tabs>
              <w:rPr>
                <w:b/>
                <w:color w:val="FF0000"/>
                <w:szCs w:val="24"/>
              </w:rPr>
            </w:pPr>
            <w:r w:rsidRPr="005478A2">
              <w:rPr>
                <w:b/>
                <w:szCs w:val="24"/>
              </w:rPr>
              <w:t>Uniform Administrative Requirements</w:t>
            </w:r>
            <w:r>
              <w:rPr>
                <w:b/>
                <w:szCs w:val="24"/>
              </w:rPr>
              <w:t>, Cost Principles, and Audit Requirements for Federal Awards</w:t>
            </w:r>
          </w:p>
          <w:p w:rsidR="00AE1B58" w:rsidRDefault="00AE1B58" w:rsidP="00910FA2">
            <w:pPr>
              <w:rPr>
                <w:szCs w:val="24"/>
                <w:u w:val="single"/>
              </w:rPr>
            </w:pP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AE1B58" w:rsidRPr="00AE7B41" w:rsidRDefault="00AE1B58" w:rsidP="00910FA2">
            <w:pPr>
              <w:rPr>
                <w:b/>
                <w:szCs w:val="24"/>
                <w:u w:val="single"/>
              </w:rPr>
            </w:pPr>
            <w:r w:rsidRPr="00AE7B41">
              <w:rPr>
                <w:b/>
                <w:szCs w:val="24"/>
                <w:u w:val="single"/>
              </w:rPr>
              <w:t>Total</w:t>
            </w:r>
          </w:p>
        </w:tc>
      </w:tr>
      <w:tr w:rsidR="00AE1B58"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 of Respondents</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1,758</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1,758</w:t>
            </w:r>
          </w:p>
        </w:tc>
      </w:tr>
      <w:tr w:rsidR="00AE1B58"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Frequency</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D94202" w:rsidP="00910FA2">
            <w:pPr>
              <w:rPr>
                <w:szCs w:val="24"/>
              </w:rPr>
            </w:pPr>
            <w:r>
              <w:rPr>
                <w:szCs w:val="24"/>
              </w:rPr>
              <w:t>Quarterly</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D94202" w:rsidP="00910FA2">
            <w:pPr>
              <w:rPr>
                <w:szCs w:val="24"/>
              </w:rPr>
            </w:pPr>
            <w:r>
              <w:rPr>
                <w:szCs w:val="24"/>
              </w:rPr>
              <w:t>Quarterly</w:t>
            </w:r>
            <w:bookmarkStart w:id="0" w:name="_GoBack"/>
            <w:bookmarkEnd w:id="0"/>
          </w:p>
        </w:tc>
      </w:tr>
      <w:tr w:rsidR="00AE1B58"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Burden per Respondent</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70</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70</w:t>
            </w:r>
          </w:p>
        </w:tc>
      </w:tr>
      <w:tr w:rsidR="00AE1B58"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Total Annual Burden</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123,060</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1B58" w:rsidRDefault="00AE1B58" w:rsidP="00910FA2">
            <w:pPr>
              <w:rPr>
                <w:szCs w:val="24"/>
              </w:rPr>
            </w:pPr>
            <w:r>
              <w:rPr>
                <w:szCs w:val="24"/>
              </w:rPr>
              <w:t>123,060</w:t>
            </w:r>
          </w:p>
        </w:tc>
      </w:tr>
      <w:tr w:rsidR="00AE1B58" w:rsidTr="00910FA2">
        <w:tc>
          <w:tcPr>
            <w:tcW w:w="1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Annual Costs to Respondent</w:t>
            </w:r>
          </w:p>
        </w:tc>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w:t>
            </w:r>
            <w:r>
              <w:t xml:space="preserve">3,768,097  </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1B58" w:rsidRDefault="00AE1B58" w:rsidP="00910FA2">
            <w:pPr>
              <w:rPr>
                <w:szCs w:val="24"/>
              </w:rPr>
            </w:pPr>
            <w:r>
              <w:rPr>
                <w:szCs w:val="24"/>
              </w:rPr>
              <w:t>$</w:t>
            </w:r>
            <w:r>
              <w:t xml:space="preserve">3,768,097  </w:t>
            </w:r>
          </w:p>
        </w:tc>
      </w:tr>
    </w:tbl>
    <w:p w:rsidR="00AE1B58" w:rsidRPr="00981917" w:rsidRDefault="00AE1B58" w:rsidP="00AE1B58">
      <w:pPr>
        <w:widowControl w:val="0"/>
        <w:tabs>
          <w:tab w:val="left" w:pos="270"/>
          <w:tab w:val="left" w:pos="540"/>
        </w:tabs>
        <w:rPr>
          <w:b/>
          <w:szCs w:val="24"/>
        </w:rPr>
      </w:pPr>
    </w:p>
    <w:p w:rsidR="00AE1B58" w:rsidRDefault="00AE1B58" w:rsidP="00AE1B58">
      <w:pPr>
        <w:rPr>
          <w:szCs w:val="24"/>
        </w:rPr>
      </w:pPr>
    </w:p>
    <w:p w:rsidR="00AE1B58" w:rsidRDefault="00AE1B58" w:rsidP="00AE1B58">
      <w:r w:rsidRPr="00235DC0">
        <w:rPr>
          <w:b/>
        </w:rPr>
        <w:t>Total # of respondents</w:t>
      </w:r>
      <w:r>
        <w:rPr>
          <w:b/>
        </w:rPr>
        <w:t xml:space="preserve"> is</w:t>
      </w:r>
      <w:r>
        <w:t xml:space="preserve">: 1,758 grantees </w:t>
      </w:r>
    </w:p>
    <w:p w:rsidR="00AE1B58" w:rsidRDefault="00AE1B58" w:rsidP="00AE1B58">
      <w:r w:rsidRPr="00235DC0">
        <w:rPr>
          <w:b/>
        </w:rPr>
        <w:t>Estimated # of responses</w:t>
      </w:r>
      <w:r>
        <w:t>: 7,030</w:t>
      </w:r>
    </w:p>
    <w:p w:rsidR="00AE1B58" w:rsidRDefault="00AE1B58" w:rsidP="00AE1B58">
      <w:r w:rsidRPr="00235DC0">
        <w:rPr>
          <w:b/>
        </w:rPr>
        <w:t xml:space="preserve">Estimated </w:t>
      </w:r>
      <w:r>
        <w:rPr>
          <w:b/>
        </w:rPr>
        <w:t xml:space="preserve">Annual </w:t>
      </w:r>
      <w:r w:rsidRPr="00235DC0">
        <w:rPr>
          <w:b/>
        </w:rPr>
        <w:t>Burden per respondent</w:t>
      </w:r>
      <w:r>
        <w:t>: 70 h</w:t>
      </w:r>
      <w:r w:rsidR="001723E7">
        <w:t>ou</w:t>
      </w:r>
      <w:r>
        <w:t>rs</w:t>
      </w:r>
    </w:p>
    <w:p w:rsidR="00AE1B58" w:rsidRDefault="00AE1B58" w:rsidP="00AE1B58">
      <w:r w:rsidRPr="00235DC0">
        <w:rPr>
          <w:b/>
        </w:rPr>
        <w:t>Total Annual Burden Hours</w:t>
      </w:r>
      <w:r>
        <w:t>: 123,060 (1,758 respondents x 70 annual hours per respondent)</w:t>
      </w:r>
    </w:p>
    <w:p w:rsidR="00AE1B58" w:rsidRDefault="00AE1B58" w:rsidP="00AE1B58">
      <w:pPr>
        <w:rPr>
          <w:szCs w:val="24"/>
        </w:rPr>
      </w:pPr>
    </w:p>
    <w:p w:rsidR="00AE1B58" w:rsidRPr="00E70EE8" w:rsidRDefault="00AE1B58" w:rsidP="00AE1B58">
      <w:pPr>
        <w:rPr>
          <w:szCs w:val="24"/>
        </w:rPr>
      </w:pPr>
      <w:r w:rsidRPr="00E70EE8">
        <w:rPr>
          <w:szCs w:val="24"/>
        </w:rPr>
        <w:t xml:space="preserve">Data was captured from DOT’s Grants Information System </w:t>
      </w:r>
      <w:r>
        <w:rPr>
          <w:szCs w:val="24"/>
        </w:rPr>
        <w:t xml:space="preserve">and USAspending.gov </w:t>
      </w:r>
      <w:r w:rsidRPr="00E70EE8">
        <w:rPr>
          <w:szCs w:val="24"/>
        </w:rPr>
        <w:t xml:space="preserve">concerning the number of grant awards and the associated monetary activity.  Since the </w:t>
      </w:r>
      <w:r>
        <w:rPr>
          <w:szCs w:val="24"/>
        </w:rPr>
        <w:t xml:space="preserve">2010 </w:t>
      </w:r>
      <w:r w:rsidRPr="00E70EE8">
        <w:rPr>
          <w:szCs w:val="24"/>
        </w:rPr>
        <w:t>submission</w:t>
      </w:r>
      <w:r>
        <w:rPr>
          <w:szCs w:val="24"/>
        </w:rPr>
        <w:t>,</w:t>
      </w:r>
      <w:r w:rsidRPr="00E70EE8">
        <w:rPr>
          <w:szCs w:val="24"/>
        </w:rPr>
        <w:t xml:space="preserve"> DOT has had a </w:t>
      </w:r>
      <w:r>
        <w:rPr>
          <w:szCs w:val="24"/>
        </w:rPr>
        <w:t>35% decrease</w:t>
      </w:r>
      <w:r w:rsidRPr="00E70EE8">
        <w:rPr>
          <w:szCs w:val="24"/>
        </w:rPr>
        <w:t xml:space="preserve"> in grant activity. Therefore</w:t>
      </w:r>
      <w:r>
        <w:rPr>
          <w:szCs w:val="24"/>
        </w:rPr>
        <w:t>,</w:t>
      </w:r>
      <w:r w:rsidRPr="00E70EE8">
        <w:rPr>
          <w:szCs w:val="24"/>
        </w:rPr>
        <w:t xml:space="preserve"> using 20</w:t>
      </w:r>
      <w:r>
        <w:rPr>
          <w:szCs w:val="24"/>
        </w:rPr>
        <w:t>10</w:t>
      </w:r>
      <w:r w:rsidRPr="00E70EE8">
        <w:rPr>
          <w:szCs w:val="24"/>
        </w:rPr>
        <w:t xml:space="preserve"> as a baseline</w:t>
      </w:r>
      <w:r>
        <w:rPr>
          <w:szCs w:val="24"/>
        </w:rPr>
        <w:t xml:space="preserve"> 189,280 </w:t>
      </w:r>
      <w:r w:rsidRPr="00E70EE8">
        <w:rPr>
          <w:szCs w:val="24"/>
        </w:rPr>
        <w:t>the 201</w:t>
      </w:r>
      <w:r>
        <w:rPr>
          <w:szCs w:val="24"/>
        </w:rPr>
        <w:t>5</w:t>
      </w:r>
      <w:r w:rsidRPr="00E70EE8">
        <w:rPr>
          <w:szCs w:val="24"/>
        </w:rPr>
        <w:t xml:space="preserve"> burden rate (189,280) reflects the 3</w:t>
      </w:r>
      <w:r>
        <w:rPr>
          <w:szCs w:val="24"/>
        </w:rPr>
        <w:t>5</w:t>
      </w:r>
      <w:r w:rsidRPr="00E70EE8">
        <w:rPr>
          <w:szCs w:val="24"/>
        </w:rPr>
        <w:t xml:space="preserve">% </w:t>
      </w:r>
      <w:r>
        <w:rPr>
          <w:szCs w:val="24"/>
        </w:rPr>
        <w:t>de</w:t>
      </w:r>
      <w:r w:rsidRPr="00E70EE8">
        <w:rPr>
          <w:szCs w:val="24"/>
        </w:rPr>
        <w:t xml:space="preserve">crease in activity and the combining of the data collection instruments under </w:t>
      </w:r>
      <w:r>
        <w:rPr>
          <w:szCs w:val="24"/>
        </w:rPr>
        <w:t xml:space="preserve">OMB Circular </w:t>
      </w:r>
      <w:r w:rsidRPr="00E70EE8">
        <w:rPr>
          <w:szCs w:val="24"/>
        </w:rPr>
        <w:t xml:space="preserve">2 CFR </w:t>
      </w:r>
      <w:r>
        <w:rPr>
          <w:szCs w:val="24"/>
        </w:rPr>
        <w:t>200</w:t>
      </w:r>
      <w:r w:rsidRPr="00E70EE8">
        <w:rPr>
          <w:szCs w:val="24"/>
        </w:rPr>
        <w:t xml:space="preserve">. The number of hours used is based on the OMB baseline </w:t>
      </w:r>
      <w:r>
        <w:rPr>
          <w:szCs w:val="24"/>
        </w:rPr>
        <w:t>of 70 burden hours per respondent</w:t>
      </w:r>
      <w:r w:rsidRPr="00E70EE8">
        <w:rPr>
          <w:szCs w:val="24"/>
        </w:rPr>
        <w:t>.</w:t>
      </w:r>
      <w:r>
        <w:rPr>
          <w:szCs w:val="24"/>
        </w:rPr>
        <w:t xml:space="preserve"> </w:t>
      </w:r>
      <w:r w:rsidRPr="00E70EE8">
        <w:rPr>
          <w:szCs w:val="24"/>
        </w:rPr>
        <w:t xml:space="preserve"> The burden </w:t>
      </w:r>
      <w:r>
        <w:rPr>
          <w:szCs w:val="24"/>
        </w:rPr>
        <w:t>decrease</w:t>
      </w:r>
      <w:r w:rsidRPr="00E70EE8">
        <w:rPr>
          <w:szCs w:val="24"/>
        </w:rPr>
        <w:t xml:space="preserve"> is based on </w:t>
      </w:r>
      <w:r>
        <w:rPr>
          <w:szCs w:val="24"/>
        </w:rPr>
        <w:t>the number of recipients obtaining awards and combining the four information collections approved in 2010.</w:t>
      </w:r>
    </w:p>
    <w:tbl>
      <w:tblPr>
        <w:tblW w:w="8890" w:type="dxa"/>
        <w:tblInd w:w="93" w:type="dxa"/>
        <w:tblLook w:val="04A0" w:firstRow="1" w:lastRow="0" w:firstColumn="1" w:lastColumn="0" w:noHBand="0" w:noVBand="1"/>
      </w:tblPr>
      <w:tblGrid>
        <w:gridCol w:w="828"/>
        <w:gridCol w:w="835"/>
        <w:gridCol w:w="242"/>
        <w:gridCol w:w="6985"/>
      </w:tblGrid>
      <w:tr w:rsidR="00AE1B58" w:rsidTr="00910FA2">
        <w:trPr>
          <w:trHeight w:val="300"/>
        </w:trPr>
        <w:tc>
          <w:tcPr>
            <w:tcW w:w="828" w:type="dxa"/>
            <w:tcBorders>
              <w:top w:val="nil"/>
              <w:left w:val="nil"/>
              <w:bottom w:val="nil"/>
              <w:right w:val="nil"/>
            </w:tcBorders>
          </w:tcPr>
          <w:p w:rsidR="00AE1B58" w:rsidRDefault="00AE1B58" w:rsidP="00910FA2">
            <w:pPr>
              <w:jc w:val="center"/>
              <w:rPr>
                <w:rFonts w:ascii="Calibri" w:hAnsi="Calibri"/>
                <w:b/>
                <w:bCs/>
                <w:color w:val="000000"/>
                <w:sz w:val="22"/>
                <w:szCs w:val="22"/>
              </w:rPr>
            </w:pPr>
          </w:p>
        </w:tc>
        <w:tc>
          <w:tcPr>
            <w:tcW w:w="835" w:type="dxa"/>
            <w:tcBorders>
              <w:top w:val="nil"/>
              <w:left w:val="nil"/>
              <w:bottom w:val="nil"/>
              <w:right w:val="nil"/>
            </w:tcBorders>
          </w:tcPr>
          <w:p w:rsidR="00AE1B58" w:rsidRDefault="00AE1B58" w:rsidP="00910FA2">
            <w:pPr>
              <w:jc w:val="center"/>
              <w:rPr>
                <w:rFonts w:ascii="Calibri" w:hAnsi="Calibri"/>
                <w:b/>
                <w:bCs/>
                <w:color w:val="000000"/>
                <w:sz w:val="22"/>
                <w:szCs w:val="22"/>
              </w:rPr>
            </w:pPr>
          </w:p>
        </w:tc>
        <w:tc>
          <w:tcPr>
            <w:tcW w:w="242" w:type="dxa"/>
            <w:tcBorders>
              <w:top w:val="nil"/>
              <w:left w:val="nil"/>
              <w:bottom w:val="nil"/>
              <w:right w:val="nil"/>
            </w:tcBorders>
          </w:tcPr>
          <w:p w:rsidR="00AE1B58" w:rsidRDefault="00AE1B58" w:rsidP="00910FA2">
            <w:pPr>
              <w:jc w:val="center"/>
              <w:rPr>
                <w:rFonts w:ascii="Calibri" w:hAnsi="Calibri"/>
                <w:b/>
                <w:bCs/>
                <w:color w:val="000000"/>
                <w:sz w:val="22"/>
                <w:szCs w:val="22"/>
              </w:rPr>
            </w:pPr>
          </w:p>
        </w:tc>
        <w:tc>
          <w:tcPr>
            <w:tcW w:w="6985" w:type="dxa"/>
            <w:tcBorders>
              <w:top w:val="nil"/>
              <w:left w:val="nil"/>
              <w:bottom w:val="nil"/>
              <w:right w:val="nil"/>
            </w:tcBorders>
            <w:shd w:val="clear" w:color="auto" w:fill="auto"/>
            <w:noWrap/>
            <w:vAlign w:val="bottom"/>
            <w:hideMark/>
          </w:tcPr>
          <w:p w:rsidR="00AE1B58" w:rsidRDefault="00AE1B58" w:rsidP="00910FA2">
            <w:pPr>
              <w:jc w:val="center"/>
              <w:rPr>
                <w:rFonts w:ascii="Calibri" w:hAnsi="Calibri"/>
                <w:b/>
                <w:bCs/>
                <w:color w:val="000000"/>
                <w:sz w:val="22"/>
                <w:szCs w:val="22"/>
              </w:rPr>
            </w:pPr>
          </w:p>
        </w:tc>
      </w:tr>
    </w:tbl>
    <w:p w:rsidR="00AE1B58" w:rsidRDefault="00AE1B58" w:rsidP="00AE1B58">
      <w:pPr>
        <w:widowControl w:val="0"/>
        <w:tabs>
          <w:tab w:val="left" w:pos="540"/>
        </w:tabs>
        <w:rPr>
          <w:b/>
          <w:szCs w:val="24"/>
        </w:rPr>
      </w:pPr>
      <w:r w:rsidRPr="00981917">
        <w:rPr>
          <w:b/>
          <w:szCs w:val="24"/>
        </w:rPr>
        <w:t>13.</w:t>
      </w:r>
      <w:r w:rsidRPr="00981917">
        <w:rPr>
          <w:b/>
          <w:szCs w:val="24"/>
        </w:rPr>
        <w:tab/>
      </w:r>
      <w:r w:rsidRPr="00981917">
        <w:rPr>
          <w:b/>
          <w:szCs w:val="24"/>
          <w:u w:val="single"/>
        </w:rPr>
        <w:t>Estimate of the total annual costs burden</w:t>
      </w:r>
      <w:r w:rsidRPr="00981917">
        <w:rPr>
          <w:b/>
          <w:szCs w:val="24"/>
        </w:rPr>
        <w:t xml:space="preserve">.  </w:t>
      </w:r>
    </w:p>
    <w:p w:rsidR="00AE1B58" w:rsidRDefault="00AE1B58" w:rsidP="00AE1B58">
      <w:pPr>
        <w:widowControl w:val="0"/>
        <w:tabs>
          <w:tab w:val="left" w:pos="360"/>
          <w:tab w:val="left" w:pos="540"/>
        </w:tabs>
        <w:rPr>
          <w:b/>
          <w:szCs w:val="24"/>
        </w:rPr>
      </w:pPr>
    </w:p>
    <w:p w:rsidR="00AE1B58" w:rsidRDefault="00AE1B58" w:rsidP="00AE1B58">
      <w:r w:rsidRPr="00235DC0">
        <w:rPr>
          <w:b/>
        </w:rPr>
        <w:t>Total Annual Cost to Respondents</w:t>
      </w:r>
      <w:r>
        <w:t>: $3,768,097 (1,758 respondents x 70 annual hours per respondent x 30.62)</w:t>
      </w:r>
    </w:p>
    <w:p w:rsidR="00AE1B58" w:rsidRDefault="00AE1B58" w:rsidP="00AE1B58"/>
    <w:p w:rsidR="00AE1B58" w:rsidRPr="00E70EE8" w:rsidRDefault="00AE1B58" w:rsidP="00AE1B58">
      <w:pPr>
        <w:rPr>
          <w:szCs w:val="24"/>
        </w:rPr>
      </w:pPr>
      <w:r w:rsidRPr="00E70EE8">
        <w:rPr>
          <w:szCs w:val="24"/>
        </w:rPr>
        <w:t>The hourly rate was estimated for a Federal GS-9, step 5 ($2</w:t>
      </w:r>
      <w:r>
        <w:rPr>
          <w:szCs w:val="24"/>
        </w:rPr>
        <w:t>3.02</w:t>
      </w:r>
      <w:r w:rsidRPr="00E70EE8">
        <w:rPr>
          <w:szCs w:val="24"/>
        </w:rPr>
        <w:t>) adjust</w:t>
      </w:r>
      <w:r>
        <w:rPr>
          <w:szCs w:val="24"/>
        </w:rPr>
        <w:t>ed by an overhead rate of 33%, w</w:t>
      </w:r>
      <w:r w:rsidRPr="00E70EE8">
        <w:rPr>
          <w:szCs w:val="24"/>
        </w:rPr>
        <w:t>hi</w:t>
      </w:r>
      <w:r>
        <w:rPr>
          <w:szCs w:val="24"/>
        </w:rPr>
        <w:t>ch</w:t>
      </w:r>
      <w:r w:rsidRPr="00E70EE8">
        <w:rPr>
          <w:szCs w:val="24"/>
        </w:rPr>
        <w:t xml:space="preserve"> provides an average hourly rate of $3</w:t>
      </w:r>
      <w:r>
        <w:rPr>
          <w:szCs w:val="24"/>
        </w:rPr>
        <w:t>0</w:t>
      </w:r>
      <w:r w:rsidRPr="00E70EE8">
        <w:rPr>
          <w:szCs w:val="24"/>
        </w:rPr>
        <w:t>.</w:t>
      </w:r>
      <w:r>
        <w:rPr>
          <w:szCs w:val="24"/>
        </w:rPr>
        <w:t>62</w:t>
      </w:r>
      <w:r w:rsidRPr="00E70EE8">
        <w:rPr>
          <w:szCs w:val="24"/>
        </w:rPr>
        <w:t>.  This was used for both grantee and Federal costs.</w:t>
      </w:r>
      <w:r w:rsidRPr="000C7CD9">
        <w:t xml:space="preserve"> </w:t>
      </w:r>
      <w:r w:rsidRPr="00CF556A">
        <w:t xml:space="preserve">There </w:t>
      </w:r>
      <w:r>
        <w:t>are</w:t>
      </w:r>
      <w:r w:rsidRPr="00CF556A">
        <w:t xml:space="preserve"> no additional cost</w:t>
      </w:r>
      <w:r>
        <w:t>s to the respondent</w:t>
      </w:r>
      <w:r w:rsidRPr="00CF556A">
        <w:t>.</w:t>
      </w:r>
    </w:p>
    <w:p w:rsidR="00AE1B58" w:rsidRPr="00CF556A" w:rsidRDefault="00AE1B58" w:rsidP="00AE1B58">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AE1B58" w:rsidRPr="00981917" w:rsidRDefault="00AE1B58" w:rsidP="00AE1B58">
      <w:pPr>
        <w:widowControl w:val="0"/>
        <w:tabs>
          <w:tab w:val="left" w:pos="540"/>
        </w:tabs>
        <w:rPr>
          <w:b/>
          <w:szCs w:val="24"/>
        </w:rPr>
      </w:pPr>
    </w:p>
    <w:p w:rsidR="00AE1B58" w:rsidRPr="00981917" w:rsidRDefault="00AE1B58" w:rsidP="00AE1B58">
      <w:pPr>
        <w:widowControl w:val="0"/>
        <w:tabs>
          <w:tab w:val="left" w:pos="540"/>
        </w:tabs>
        <w:rPr>
          <w:b/>
          <w:szCs w:val="24"/>
        </w:rPr>
      </w:pPr>
      <w:r w:rsidRPr="00981917">
        <w:rPr>
          <w:b/>
          <w:szCs w:val="24"/>
        </w:rPr>
        <w:t>14.</w:t>
      </w:r>
      <w:r w:rsidRPr="00981917">
        <w:rPr>
          <w:b/>
          <w:szCs w:val="24"/>
        </w:rPr>
        <w:tab/>
      </w:r>
      <w:r w:rsidRPr="00981917">
        <w:rPr>
          <w:b/>
          <w:szCs w:val="24"/>
          <w:u w:val="single"/>
        </w:rPr>
        <w:t>Estimates of costs to the Federal Government</w:t>
      </w:r>
      <w:r w:rsidRPr="00981917">
        <w:rPr>
          <w:b/>
          <w:szCs w:val="24"/>
        </w:rPr>
        <w:t xml:space="preserve">.  </w:t>
      </w:r>
    </w:p>
    <w:p w:rsidR="00AE1B58" w:rsidRDefault="00AE1B58" w:rsidP="00AE1B58">
      <w:pPr>
        <w:widowControl w:val="0"/>
        <w:tabs>
          <w:tab w:val="left" w:pos="360"/>
          <w:tab w:val="left" w:pos="540"/>
        </w:tabs>
        <w:rPr>
          <w:szCs w:val="24"/>
        </w:rPr>
      </w:pPr>
    </w:p>
    <w:p w:rsidR="00AE1B58" w:rsidRDefault="00AE1B58" w:rsidP="00AE1B58">
      <w:r w:rsidRPr="00235DC0">
        <w:rPr>
          <w:b/>
        </w:rPr>
        <w:t>Total Annual Cost to Federal Government</w:t>
      </w:r>
      <w:r>
        <w:t xml:space="preserve">: $5,381,465 (7,030 responses x 25 hours x $30.62 hourly rate).  </w:t>
      </w:r>
    </w:p>
    <w:p w:rsidR="00AE1B58" w:rsidRDefault="00AE1B58" w:rsidP="00AE1B58"/>
    <w:p w:rsidR="00AE1B58" w:rsidRDefault="00AE1B58" w:rsidP="00AE1B58">
      <w:r>
        <w:t>There are no additional costs to the Federal Government.</w:t>
      </w:r>
    </w:p>
    <w:p w:rsidR="00AE1B58" w:rsidRDefault="00AE1B58" w:rsidP="00AE1B58"/>
    <w:p w:rsidR="00AE1B58" w:rsidRPr="00981917" w:rsidRDefault="00AE1B58" w:rsidP="00AE1B58">
      <w:pPr>
        <w:rPr>
          <w:b/>
          <w:szCs w:val="24"/>
        </w:rPr>
      </w:pPr>
    </w:p>
    <w:p w:rsidR="00AE1B58" w:rsidRPr="00981917" w:rsidRDefault="00AE1B58" w:rsidP="00AE1B58">
      <w:pPr>
        <w:widowControl w:val="0"/>
        <w:tabs>
          <w:tab w:val="left" w:pos="540"/>
        </w:tabs>
        <w:rPr>
          <w:color w:val="FF0000"/>
          <w:szCs w:val="24"/>
        </w:rPr>
      </w:pPr>
    </w:p>
    <w:p w:rsidR="00AE1B58" w:rsidRDefault="00AE1B58" w:rsidP="00AE1B58">
      <w:pPr>
        <w:widowControl w:val="0"/>
        <w:numPr>
          <w:ilvl w:val="0"/>
          <w:numId w:val="1"/>
        </w:numPr>
        <w:tabs>
          <w:tab w:val="num" w:pos="0"/>
          <w:tab w:val="left" w:pos="540"/>
        </w:tabs>
        <w:ind w:left="0" w:firstLine="0"/>
        <w:rPr>
          <w:b/>
          <w:szCs w:val="24"/>
        </w:rPr>
      </w:pPr>
      <w:r w:rsidRPr="00225376">
        <w:rPr>
          <w:b/>
          <w:szCs w:val="24"/>
          <w:u w:val="single"/>
        </w:rPr>
        <w:t>Explanation of the program change or adjustments</w:t>
      </w:r>
      <w:r w:rsidRPr="00225376">
        <w:rPr>
          <w:b/>
          <w:szCs w:val="24"/>
        </w:rPr>
        <w:t xml:space="preserve">.  </w:t>
      </w:r>
    </w:p>
    <w:p w:rsidR="00AE1B58" w:rsidRPr="00225376" w:rsidRDefault="00AE1B58" w:rsidP="00AE1B58">
      <w:pPr>
        <w:widowControl w:val="0"/>
        <w:tabs>
          <w:tab w:val="left" w:pos="540"/>
        </w:tabs>
        <w:rPr>
          <w:b/>
          <w:szCs w:val="24"/>
        </w:rPr>
      </w:pPr>
    </w:p>
    <w:p w:rsidR="00AE1B58" w:rsidRPr="008856A1" w:rsidRDefault="00AE1B58" w:rsidP="00AE1B58">
      <w:pPr>
        <w:widowControl w:val="0"/>
        <w:tabs>
          <w:tab w:val="center" w:pos="4680"/>
        </w:tabs>
        <w:rPr>
          <w:color w:val="FF0000"/>
          <w:szCs w:val="24"/>
        </w:rPr>
      </w:pPr>
      <w:r>
        <w:t xml:space="preserve">The Department requests a name </w:t>
      </w:r>
      <w:r w:rsidRPr="008856A1">
        <w:t xml:space="preserve">change from </w:t>
      </w:r>
      <w:r w:rsidRPr="008856A1">
        <w:rPr>
          <w:szCs w:val="24"/>
        </w:rPr>
        <w:t>Uniform Administrative Requirements for Grants and Agreements to State and Local Governments and for Grants and Agreements with Institution of Higher Education, Hospitals and Other Non-Profit O</w:t>
      </w:r>
      <w:r w:rsidR="00C84AD4">
        <w:rPr>
          <w:szCs w:val="24"/>
        </w:rPr>
        <w:t>r</w:t>
      </w:r>
      <w:r w:rsidRPr="008856A1">
        <w:rPr>
          <w:szCs w:val="24"/>
        </w:rPr>
        <w:t>g</w:t>
      </w:r>
      <w:r w:rsidR="00C84AD4">
        <w:rPr>
          <w:szCs w:val="24"/>
        </w:rPr>
        <w:t>aniz</w:t>
      </w:r>
      <w:r w:rsidRPr="008856A1">
        <w:rPr>
          <w:szCs w:val="24"/>
        </w:rPr>
        <w:t>ations</w:t>
      </w:r>
      <w:r>
        <w:rPr>
          <w:szCs w:val="24"/>
        </w:rPr>
        <w:t xml:space="preserve"> </w:t>
      </w:r>
      <w:r w:rsidRPr="008856A1">
        <w:t xml:space="preserve">to </w:t>
      </w:r>
      <w:r w:rsidRPr="008856A1">
        <w:rPr>
          <w:szCs w:val="24"/>
        </w:rPr>
        <w:t xml:space="preserve">Uniform Administrative Requirements, Cost Principles, and Audit Requirements for Federal Awards due to new guidance issued by OMB </w:t>
      </w:r>
      <w:r>
        <w:rPr>
          <w:szCs w:val="24"/>
        </w:rPr>
        <w:t>on December 26, 2014 for information collection 2105-0520.</w:t>
      </w:r>
    </w:p>
    <w:p w:rsidR="00AE1B58"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AE1B58"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After careful review of the collections, it was determined that the collected information is identical, with the exception of the guidance document (2 CFR 200), and does not warrant individual collection requests.  </w:t>
      </w:r>
    </w:p>
    <w:p w:rsidR="00AE1B58"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AE1B58"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Since the 2010 submission, the Department determined that there has been a 35% decrease in the number of respondents and burden hours and a 35% decrease in costs, this is due to the a decrease in appropriations which excluded the $48 billion in American Recovery and Reinvestment Act  funding.  In 2010, the Department estimated a combined total of 2,704 respondents and a combined total of 189,280 burden hours.  Based on current data, the Department now estimates a combined total of 1,758 respondents and 123,060 burden hours. </w:t>
      </w:r>
    </w:p>
    <w:p w:rsidR="00AE1B58"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AE1B58" w:rsidRPr="00981917" w:rsidRDefault="00AE1B58" w:rsidP="00AE1B58">
      <w:pPr>
        <w:widowControl w:val="0"/>
        <w:tabs>
          <w:tab w:val="left" w:pos="540"/>
        </w:tabs>
        <w:rPr>
          <w:b/>
          <w:szCs w:val="24"/>
        </w:rPr>
      </w:pPr>
      <w:r w:rsidRPr="00981917">
        <w:rPr>
          <w:b/>
          <w:szCs w:val="24"/>
        </w:rPr>
        <w:t>16.</w:t>
      </w:r>
      <w:r w:rsidRPr="00981917">
        <w:rPr>
          <w:b/>
          <w:szCs w:val="24"/>
        </w:rPr>
        <w:tab/>
      </w:r>
      <w:r w:rsidRPr="00981917">
        <w:rPr>
          <w:b/>
          <w:szCs w:val="24"/>
          <w:u w:val="single"/>
        </w:rPr>
        <w:t>Publication of results of data collection</w:t>
      </w:r>
      <w:r w:rsidRPr="00981917">
        <w:rPr>
          <w:b/>
          <w:szCs w:val="24"/>
        </w:rPr>
        <w:t xml:space="preserve">.  </w:t>
      </w:r>
    </w:p>
    <w:p w:rsidR="00AE1B58" w:rsidRPr="00981917" w:rsidRDefault="00AE1B58" w:rsidP="00AE1B58">
      <w:pPr>
        <w:widowControl w:val="0"/>
        <w:tabs>
          <w:tab w:val="left" w:pos="540"/>
        </w:tabs>
        <w:ind w:left="720"/>
        <w:rPr>
          <w:b/>
          <w:szCs w:val="24"/>
        </w:rPr>
      </w:pPr>
    </w:p>
    <w:p w:rsidR="00AE1B58" w:rsidRPr="00CF556A" w:rsidRDefault="00AE1B58" w:rsidP="00AE1B58">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CF556A">
        <w:rPr>
          <w:rFonts w:ascii="Times New Roman" w:hAnsi="Times New Roman"/>
          <w:color w:val="auto"/>
        </w:rPr>
        <w:t>There are no plans to publish any of the information collected.</w:t>
      </w:r>
    </w:p>
    <w:p w:rsidR="00AE1B58" w:rsidRPr="00981917" w:rsidRDefault="00AE1B58" w:rsidP="00AE1B58">
      <w:pPr>
        <w:widowControl w:val="0"/>
        <w:tabs>
          <w:tab w:val="left" w:pos="540"/>
        </w:tabs>
        <w:rPr>
          <w:szCs w:val="24"/>
        </w:rPr>
      </w:pPr>
    </w:p>
    <w:p w:rsidR="00AE1B58" w:rsidRPr="00FF14E0" w:rsidRDefault="00AE1B58" w:rsidP="00AE1B58">
      <w:pPr>
        <w:pStyle w:val="ListParagraph"/>
        <w:widowControl w:val="0"/>
        <w:numPr>
          <w:ilvl w:val="0"/>
          <w:numId w:val="6"/>
        </w:numPr>
        <w:tabs>
          <w:tab w:val="left" w:pos="540"/>
        </w:tabs>
        <w:ind w:left="540" w:hanging="540"/>
        <w:rPr>
          <w:b/>
          <w:szCs w:val="24"/>
        </w:rPr>
      </w:pPr>
      <w:r w:rsidRPr="00FF14E0">
        <w:rPr>
          <w:b/>
          <w:szCs w:val="24"/>
          <w:u w:val="single"/>
        </w:rPr>
        <w:t>Approval for not displaying the expiration date of OMB approval</w:t>
      </w:r>
      <w:r w:rsidRPr="00FF14E0">
        <w:rPr>
          <w:b/>
          <w:szCs w:val="24"/>
        </w:rPr>
        <w:t xml:space="preserve">.  </w:t>
      </w:r>
    </w:p>
    <w:p w:rsidR="00AE1B58" w:rsidRPr="00E80588" w:rsidRDefault="00AE1B58" w:rsidP="00AE1B58">
      <w:pPr>
        <w:pStyle w:val="ListParagraph"/>
        <w:widowControl w:val="0"/>
        <w:tabs>
          <w:tab w:val="left" w:pos="540"/>
        </w:tabs>
        <w:rPr>
          <w:b/>
          <w:szCs w:val="24"/>
        </w:rPr>
      </w:pPr>
    </w:p>
    <w:p w:rsidR="00AE1B58" w:rsidRDefault="00AE1B58" w:rsidP="00AE1B58">
      <w:pPr>
        <w:widowControl w:val="0"/>
        <w:tabs>
          <w:tab w:val="left" w:pos="540"/>
        </w:tabs>
      </w:pPr>
      <w:r w:rsidRPr="00CF556A">
        <w:t>DOT is not seeking approval to not display the collection expiration dates.</w:t>
      </w:r>
    </w:p>
    <w:p w:rsidR="00AE1B58" w:rsidRPr="00CF556A" w:rsidRDefault="00AE1B58" w:rsidP="00AE1B58">
      <w:pPr>
        <w:widowControl w:val="0"/>
        <w:tabs>
          <w:tab w:val="left" w:pos="540"/>
        </w:tabs>
        <w:rPr>
          <w:b/>
          <w:szCs w:val="24"/>
        </w:rPr>
      </w:pPr>
    </w:p>
    <w:p w:rsidR="00AE1B58" w:rsidRDefault="00AE1B58" w:rsidP="00AE1B58">
      <w:pPr>
        <w:widowControl w:val="0"/>
        <w:numPr>
          <w:ilvl w:val="0"/>
          <w:numId w:val="4"/>
        </w:numPr>
        <w:tabs>
          <w:tab w:val="clear" w:pos="900"/>
          <w:tab w:val="num" w:pos="0"/>
          <w:tab w:val="left" w:pos="540"/>
        </w:tabs>
        <w:ind w:left="0" w:firstLine="0"/>
        <w:rPr>
          <w:b/>
          <w:szCs w:val="24"/>
        </w:rPr>
      </w:pPr>
      <w:r w:rsidRPr="00981917">
        <w:rPr>
          <w:b/>
          <w:szCs w:val="24"/>
          <w:u w:val="single"/>
        </w:rPr>
        <w:t>Exceptions to the certification statement</w:t>
      </w:r>
      <w:r w:rsidRPr="00981917">
        <w:rPr>
          <w:b/>
          <w:szCs w:val="24"/>
        </w:rPr>
        <w:t xml:space="preserve">.  </w:t>
      </w:r>
    </w:p>
    <w:p w:rsidR="00AE1B58" w:rsidRDefault="00AE1B58" w:rsidP="00AE1B58">
      <w:pPr>
        <w:rPr>
          <w:rFonts w:ascii="Arial" w:hAnsi="Arial" w:cs="Arial"/>
          <w:szCs w:val="24"/>
        </w:rPr>
      </w:pPr>
    </w:p>
    <w:p w:rsidR="00AE1B58" w:rsidRPr="00CF556A" w:rsidRDefault="00AE1B58" w:rsidP="00AE1B58">
      <w:pPr>
        <w:rPr>
          <w:szCs w:val="24"/>
        </w:rPr>
      </w:pPr>
      <w:r w:rsidRPr="00CF556A">
        <w:rPr>
          <w:szCs w:val="24"/>
        </w:rPr>
        <w:t>There are no exceptions to the certification statement.</w:t>
      </w:r>
    </w:p>
    <w:p w:rsidR="00AE1B58" w:rsidRPr="00981917" w:rsidRDefault="00AE1B58" w:rsidP="00AE1B58">
      <w:pPr>
        <w:widowControl w:val="0"/>
        <w:tabs>
          <w:tab w:val="left" w:pos="540"/>
        </w:tabs>
        <w:rPr>
          <w:b/>
          <w:szCs w:val="24"/>
        </w:rPr>
      </w:pPr>
      <w:r>
        <w:rPr>
          <w:b/>
          <w:szCs w:val="24"/>
          <w:u w:val="single"/>
        </w:rPr>
        <w:t xml:space="preserve"> </w:t>
      </w:r>
    </w:p>
    <w:p w:rsidR="00AE1B58" w:rsidRPr="00981917" w:rsidRDefault="00AE1B58" w:rsidP="00AE1B58">
      <w:pPr>
        <w:widowControl w:val="0"/>
        <w:ind w:left="720"/>
        <w:rPr>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autoSpaceDE w:val="0"/>
        <w:autoSpaceDN w:val="0"/>
        <w:adjustRightInd w:val="0"/>
        <w:spacing w:before="6" w:line="50" w:lineRule="exact"/>
        <w:rPr>
          <w:sz w:val="5"/>
          <w:szCs w:val="5"/>
        </w:rPr>
      </w:pPr>
    </w:p>
    <w:tbl>
      <w:tblPr>
        <w:tblW w:w="10791" w:type="dxa"/>
        <w:tblInd w:w="-708" w:type="dxa"/>
        <w:tblLayout w:type="fixed"/>
        <w:tblCellMar>
          <w:left w:w="0" w:type="dxa"/>
          <w:right w:w="0" w:type="dxa"/>
        </w:tblCellMar>
        <w:tblLook w:val="0000" w:firstRow="0" w:lastRow="0" w:firstColumn="0" w:lastColumn="0" w:noHBand="0" w:noVBand="0"/>
      </w:tblPr>
      <w:tblGrid>
        <w:gridCol w:w="2691"/>
        <w:gridCol w:w="2700"/>
        <w:gridCol w:w="2700"/>
        <w:gridCol w:w="2700"/>
      </w:tblGrid>
      <w:tr w:rsidR="00AE1B58" w:rsidTr="00910FA2">
        <w:trPr>
          <w:trHeight w:hRule="exact" w:val="360"/>
        </w:trPr>
        <w:tc>
          <w:tcPr>
            <w:tcW w:w="10791" w:type="dxa"/>
            <w:gridSpan w:val="4"/>
            <w:tcBorders>
              <w:top w:val="single" w:sz="8" w:space="0" w:color="CCCCCC"/>
              <w:left w:val="nil"/>
              <w:bottom w:val="single" w:sz="8" w:space="0" w:color="CCCCCC"/>
              <w:right w:val="single" w:sz="8" w:space="0" w:color="CCCCCC"/>
            </w:tcBorders>
            <w:shd w:val="clear" w:color="auto" w:fill="003399"/>
          </w:tcPr>
          <w:p w:rsidR="00AE1B58" w:rsidRDefault="00AE1B58" w:rsidP="00910FA2">
            <w:pPr>
              <w:autoSpaceDE w:val="0"/>
              <w:autoSpaceDN w:val="0"/>
              <w:adjustRightInd w:val="0"/>
              <w:spacing w:line="250" w:lineRule="exact"/>
              <w:ind w:left="4866" w:right="4844"/>
              <w:jc w:val="center"/>
              <w:rPr>
                <w:szCs w:val="24"/>
              </w:rPr>
            </w:pPr>
            <w:r>
              <w:rPr>
                <w:rFonts w:ascii="Arial" w:hAnsi="Arial" w:cs="Arial"/>
                <w:color w:val="FFFFFF"/>
                <w:sz w:val="22"/>
                <w:szCs w:val="22"/>
              </w:rPr>
              <w:t>List of ICs</w:t>
            </w:r>
          </w:p>
        </w:tc>
      </w:tr>
      <w:tr w:rsidR="00AE1B58" w:rsidTr="00910FA2">
        <w:trPr>
          <w:trHeight w:hRule="exact" w:val="360"/>
        </w:trPr>
        <w:tc>
          <w:tcPr>
            <w:tcW w:w="2691" w:type="dxa"/>
            <w:tcBorders>
              <w:top w:val="single" w:sz="8" w:space="0" w:color="CCCCCC"/>
              <w:left w:val="nil"/>
              <w:bottom w:val="single" w:sz="8" w:space="0" w:color="CCCCCC"/>
              <w:right w:val="single" w:sz="8" w:space="0" w:color="CCCCCC"/>
            </w:tcBorders>
            <w:shd w:val="clear" w:color="auto" w:fill="003399"/>
          </w:tcPr>
          <w:p w:rsidR="00AE1B58" w:rsidRDefault="00AE1B58" w:rsidP="00910FA2">
            <w:pPr>
              <w:autoSpaceDE w:val="0"/>
              <w:autoSpaceDN w:val="0"/>
              <w:adjustRightInd w:val="0"/>
              <w:spacing w:line="250" w:lineRule="exact"/>
              <w:ind w:left="956" w:right="935"/>
              <w:jc w:val="center"/>
              <w:rPr>
                <w:szCs w:val="24"/>
              </w:rPr>
            </w:pPr>
            <w:r>
              <w:rPr>
                <w:rFonts w:ascii="Arial" w:hAnsi="Arial" w:cs="Arial"/>
                <w:color w:val="FFFFFF"/>
                <w:sz w:val="22"/>
                <w:szCs w:val="22"/>
              </w:rPr>
              <w:t>IC Title</w:t>
            </w:r>
          </w:p>
        </w:tc>
        <w:tc>
          <w:tcPr>
            <w:tcW w:w="2700" w:type="dxa"/>
            <w:tcBorders>
              <w:top w:val="single" w:sz="8" w:space="0" w:color="CCCCCC"/>
              <w:left w:val="single" w:sz="8" w:space="0" w:color="CCCCCC"/>
              <w:bottom w:val="single" w:sz="8" w:space="0" w:color="CCCCCC"/>
              <w:right w:val="single" w:sz="8" w:space="0" w:color="CCCCCC"/>
            </w:tcBorders>
            <w:shd w:val="clear" w:color="auto" w:fill="003399"/>
          </w:tcPr>
          <w:p w:rsidR="00AE1B58" w:rsidRDefault="00AE1B58" w:rsidP="00910FA2">
            <w:pPr>
              <w:autoSpaceDE w:val="0"/>
              <w:autoSpaceDN w:val="0"/>
              <w:adjustRightInd w:val="0"/>
              <w:spacing w:line="250" w:lineRule="exact"/>
              <w:ind w:left="882" w:right="-20"/>
              <w:rPr>
                <w:szCs w:val="24"/>
              </w:rPr>
            </w:pPr>
            <w:r>
              <w:rPr>
                <w:rFonts w:ascii="Arial" w:hAnsi="Arial" w:cs="Arial"/>
                <w:color w:val="FFFFFF"/>
                <w:sz w:val="22"/>
                <w:szCs w:val="22"/>
              </w:rPr>
              <w:t>Form No.</w:t>
            </w:r>
          </w:p>
        </w:tc>
        <w:tc>
          <w:tcPr>
            <w:tcW w:w="2700" w:type="dxa"/>
            <w:tcBorders>
              <w:top w:val="single" w:sz="8" w:space="0" w:color="CCCCCC"/>
              <w:left w:val="single" w:sz="8" w:space="0" w:color="CCCCCC"/>
              <w:bottom w:val="single" w:sz="8" w:space="0" w:color="CCCCCC"/>
              <w:right w:val="single" w:sz="8" w:space="0" w:color="CCCCCC"/>
            </w:tcBorders>
            <w:shd w:val="clear" w:color="auto" w:fill="003399"/>
          </w:tcPr>
          <w:p w:rsidR="00AE1B58" w:rsidRDefault="00AE1B58" w:rsidP="00910FA2">
            <w:pPr>
              <w:autoSpaceDE w:val="0"/>
              <w:autoSpaceDN w:val="0"/>
              <w:adjustRightInd w:val="0"/>
              <w:spacing w:line="250" w:lineRule="exact"/>
              <w:ind w:left="759" w:right="-20"/>
              <w:rPr>
                <w:szCs w:val="24"/>
              </w:rPr>
            </w:pPr>
            <w:r>
              <w:rPr>
                <w:rFonts w:ascii="Arial" w:hAnsi="Arial" w:cs="Arial"/>
                <w:color w:val="FFFFFF"/>
                <w:sz w:val="22"/>
                <w:szCs w:val="22"/>
              </w:rPr>
              <w:t>Form Name</w:t>
            </w:r>
          </w:p>
        </w:tc>
        <w:tc>
          <w:tcPr>
            <w:tcW w:w="2700" w:type="dxa"/>
            <w:tcBorders>
              <w:top w:val="single" w:sz="8" w:space="0" w:color="CCCCCC"/>
              <w:left w:val="single" w:sz="8" w:space="0" w:color="CCCCCC"/>
              <w:bottom w:val="single" w:sz="8" w:space="0" w:color="CCCCCC"/>
              <w:right w:val="single" w:sz="8" w:space="0" w:color="CCCCCC"/>
            </w:tcBorders>
            <w:shd w:val="clear" w:color="auto" w:fill="003399"/>
          </w:tcPr>
          <w:p w:rsidR="00AE1B58" w:rsidRDefault="00AE1B58" w:rsidP="00910FA2">
            <w:pPr>
              <w:autoSpaceDE w:val="0"/>
              <w:autoSpaceDN w:val="0"/>
              <w:adjustRightInd w:val="0"/>
              <w:spacing w:line="250" w:lineRule="exact"/>
              <w:ind w:left="710" w:right="-20"/>
              <w:rPr>
                <w:szCs w:val="24"/>
              </w:rPr>
            </w:pPr>
            <w:r>
              <w:rPr>
                <w:rFonts w:ascii="Arial" w:hAnsi="Arial" w:cs="Arial"/>
                <w:color w:val="FFFFFF"/>
                <w:sz w:val="22"/>
                <w:szCs w:val="22"/>
              </w:rPr>
              <w:t>CFR Citation</w:t>
            </w:r>
          </w:p>
        </w:tc>
      </w:tr>
      <w:tr w:rsidR="00AE1B58" w:rsidTr="00910FA2">
        <w:trPr>
          <w:trHeight w:hRule="exact" w:val="2080"/>
        </w:trPr>
        <w:tc>
          <w:tcPr>
            <w:tcW w:w="2691" w:type="dxa"/>
            <w:tcBorders>
              <w:top w:val="single" w:sz="8" w:space="0" w:color="CCCCCC"/>
              <w:left w:val="nil"/>
              <w:bottom w:val="single" w:sz="8" w:space="0" w:color="CCCCCC"/>
              <w:right w:val="single" w:sz="8" w:space="0" w:color="CCCCCC"/>
            </w:tcBorders>
          </w:tcPr>
          <w:p w:rsidR="00AE1B58" w:rsidRDefault="00AE1B58" w:rsidP="00910FA2">
            <w:pPr>
              <w:autoSpaceDE w:val="0"/>
              <w:autoSpaceDN w:val="0"/>
              <w:adjustRightInd w:val="0"/>
              <w:spacing w:before="20"/>
              <w:ind w:left="31" w:right="158" w:firstLine="67"/>
              <w:rPr>
                <w:szCs w:val="24"/>
              </w:rPr>
            </w:pPr>
            <w:r w:rsidRPr="005478A2">
              <w:rPr>
                <w:b/>
                <w:szCs w:val="24"/>
              </w:rPr>
              <w:t>Uniform Administrative Requirements</w:t>
            </w:r>
            <w:r>
              <w:rPr>
                <w:b/>
                <w:szCs w:val="24"/>
              </w:rPr>
              <w:t>, Cost Principles, and Audit Requirements for Federal Awards</w:t>
            </w:r>
          </w:p>
        </w:tc>
        <w:tc>
          <w:tcPr>
            <w:tcW w:w="2700" w:type="dxa"/>
            <w:tcBorders>
              <w:top w:val="single" w:sz="8" w:space="0" w:color="CCCCCC"/>
              <w:left w:val="single" w:sz="8" w:space="0" w:color="CCCCCC"/>
              <w:bottom w:val="single" w:sz="8" w:space="0" w:color="CCCCCC"/>
              <w:right w:val="single" w:sz="8" w:space="0" w:color="CCCCCC"/>
            </w:tcBorders>
          </w:tcPr>
          <w:p w:rsidR="00AE1B58" w:rsidRDefault="00AE1B58" w:rsidP="00910FA2">
            <w:pPr>
              <w:autoSpaceDE w:val="0"/>
              <w:autoSpaceDN w:val="0"/>
              <w:adjustRightInd w:val="0"/>
              <w:spacing w:line="254" w:lineRule="exact"/>
              <w:ind w:left="30" w:right="122"/>
              <w:rPr>
                <w:szCs w:val="24"/>
              </w:rPr>
            </w:pPr>
            <w:r>
              <w:rPr>
                <w:rFonts w:ascii="Arial" w:hAnsi="Arial" w:cs="Arial"/>
                <w:sz w:val="22"/>
                <w:szCs w:val="22"/>
              </w:rPr>
              <w:t>SF-270, SF-271, SF-425, SF-424</w:t>
            </w:r>
          </w:p>
        </w:tc>
        <w:tc>
          <w:tcPr>
            <w:tcW w:w="2700" w:type="dxa"/>
            <w:tcBorders>
              <w:top w:val="single" w:sz="8" w:space="0" w:color="CCCCCC"/>
              <w:left w:val="single" w:sz="8" w:space="0" w:color="CCCCCC"/>
              <w:bottom w:val="single" w:sz="8" w:space="0" w:color="CCCCCC"/>
              <w:right w:val="single" w:sz="8" w:space="0" w:color="CCCCCC"/>
            </w:tcBorders>
          </w:tcPr>
          <w:p w:rsidR="00AE1B58" w:rsidRDefault="00AE1B58" w:rsidP="00910FA2">
            <w:pPr>
              <w:autoSpaceDE w:val="0"/>
              <w:autoSpaceDN w:val="0"/>
              <w:adjustRightInd w:val="0"/>
              <w:spacing w:before="20"/>
              <w:ind w:left="30" w:right="122"/>
              <w:rPr>
                <w:szCs w:val="24"/>
              </w:rPr>
            </w:pPr>
            <w:r>
              <w:rPr>
                <w:rFonts w:ascii="Arial" w:hAnsi="Arial" w:cs="Arial"/>
                <w:sz w:val="22"/>
                <w:szCs w:val="22"/>
              </w:rPr>
              <w:t>Request for Advance or Reimbursement, Outlay Report &amp; Request for Reimbursement for Construction Programs, Federal Financial Report, Application of Federal Assistance</w:t>
            </w:r>
          </w:p>
        </w:tc>
        <w:tc>
          <w:tcPr>
            <w:tcW w:w="2700" w:type="dxa"/>
            <w:tcBorders>
              <w:top w:val="single" w:sz="8" w:space="0" w:color="CCCCCC"/>
              <w:left w:val="single" w:sz="8" w:space="0" w:color="CCCCCC"/>
              <w:bottom w:val="single" w:sz="8" w:space="0" w:color="CCCCCC"/>
              <w:right w:val="single" w:sz="8" w:space="0" w:color="CCCCCC"/>
            </w:tcBorders>
          </w:tcPr>
          <w:p w:rsidR="00AE1B58" w:rsidRDefault="00AE1B58" w:rsidP="00910FA2">
            <w:pPr>
              <w:autoSpaceDE w:val="0"/>
              <w:autoSpaceDN w:val="0"/>
              <w:adjustRightInd w:val="0"/>
              <w:spacing w:line="250" w:lineRule="exact"/>
              <w:ind w:left="30" w:right="-20"/>
              <w:rPr>
                <w:szCs w:val="24"/>
              </w:rPr>
            </w:pPr>
            <w:r>
              <w:rPr>
                <w:rFonts w:ascii="Arial" w:hAnsi="Arial" w:cs="Arial"/>
                <w:sz w:val="22"/>
                <w:szCs w:val="22"/>
              </w:rPr>
              <w:t>5 CFR 1320.6</w:t>
            </w:r>
          </w:p>
        </w:tc>
      </w:tr>
      <w:tr w:rsidR="00AE1B58" w:rsidTr="00910FA2">
        <w:trPr>
          <w:trHeight w:hRule="exact" w:val="2080"/>
        </w:trPr>
        <w:tc>
          <w:tcPr>
            <w:tcW w:w="2691" w:type="dxa"/>
            <w:tcBorders>
              <w:top w:val="single" w:sz="8" w:space="0" w:color="CCCCCC"/>
              <w:left w:val="nil"/>
              <w:bottom w:val="single" w:sz="8" w:space="0" w:color="CCCCCC"/>
              <w:right w:val="single" w:sz="8" w:space="0" w:color="CCCCCC"/>
            </w:tcBorders>
          </w:tcPr>
          <w:p w:rsidR="00AE1B58" w:rsidRDefault="00AE1B58" w:rsidP="00910FA2">
            <w:pPr>
              <w:autoSpaceDE w:val="0"/>
              <w:autoSpaceDN w:val="0"/>
              <w:adjustRightInd w:val="0"/>
              <w:spacing w:before="20"/>
              <w:ind w:left="31" w:right="159" w:firstLine="67"/>
              <w:rPr>
                <w:szCs w:val="24"/>
              </w:rPr>
            </w:pPr>
          </w:p>
        </w:tc>
        <w:tc>
          <w:tcPr>
            <w:tcW w:w="2700" w:type="dxa"/>
            <w:tcBorders>
              <w:top w:val="single" w:sz="8" w:space="0" w:color="CCCCCC"/>
              <w:left w:val="single" w:sz="8" w:space="0" w:color="CCCCCC"/>
              <w:bottom w:val="single" w:sz="8" w:space="0" w:color="CCCCCC"/>
              <w:right w:val="single" w:sz="8" w:space="0" w:color="CCCCCC"/>
            </w:tcBorders>
          </w:tcPr>
          <w:p w:rsidR="00AE1B58" w:rsidRDefault="00AE1B58" w:rsidP="00910FA2">
            <w:pPr>
              <w:autoSpaceDE w:val="0"/>
              <w:autoSpaceDN w:val="0"/>
              <w:adjustRightInd w:val="0"/>
              <w:spacing w:line="254" w:lineRule="exact"/>
              <w:ind w:left="30" w:right="122"/>
              <w:rPr>
                <w:szCs w:val="24"/>
              </w:rPr>
            </w:pPr>
          </w:p>
        </w:tc>
        <w:tc>
          <w:tcPr>
            <w:tcW w:w="2700" w:type="dxa"/>
            <w:tcBorders>
              <w:top w:val="single" w:sz="8" w:space="0" w:color="CCCCCC"/>
              <w:left w:val="single" w:sz="8" w:space="0" w:color="CCCCCC"/>
              <w:bottom w:val="single" w:sz="8" w:space="0" w:color="CCCCCC"/>
              <w:right w:val="single" w:sz="8" w:space="0" w:color="CCCCCC"/>
            </w:tcBorders>
          </w:tcPr>
          <w:p w:rsidR="00AE1B58" w:rsidRDefault="00AE1B58" w:rsidP="00910FA2">
            <w:pPr>
              <w:autoSpaceDE w:val="0"/>
              <w:autoSpaceDN w:val="0"/>
              <w:adjustRightInd w:val="0"/>
              <w:spacing w:before="20"/>
              <w:ind w:left="30" w:right="214" w:firstLine="67"/>
              <w:rPr>
                <w:szCs w:val="24"/>
              </w:rPr>
            </w:pPr>
          </w:p>
        </w:tc>
        <w:tc>
          <w:tcPr>
            <w:tcW w:w="2700" w:type="dxa"/>
            <w:tcBorders>
              <w:top w:val="single" w:sz="8" w:space="0" w:color="CCCCCC"/>
              <w:left w:val="single" w:sz="8" w:space="0" w:color="CCCCCC"/>
              <w:bottom w:val="single" w:sz="8" w:space="0" w:color="CCCCCC"/>
              <w:right w:val="single" w:sz="8" w:space="0" w:color="CCCCCC"/>
            </w:tcBorders>
          </w:tcPr>
          <w:p w:rsidR="00AE1B58" w:rsidRDefault="00AE1B58" w:rsidP="00910FA2">
            <w:pPr>
              <w:autoSpaceDE w:val="0"/>
              <w:autoSpaceDN w:val="0"/>
              <w:adjustRightInd w:val="0"/>
              <w:spacing w:line="250" w:lineRule="exact"/>
              <w:ind w:left="30" w:right="-20"/>
              <w:rPr>
                <w:szCs w:val="24"/>
              </w:rPr>
            </w:pPr>
          </w:p>
        </w:tc>
      </w:tr>
    </w:tbl>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AE1B58" w:rsidRDefault="00AE1B58" w:rsidP="00AE1B58">
      <w:pPr>
        <w:widowControl w:val="0"/>
        <w:rPr>
          <w:b/>
          <w:szCs w:val="24"/>
        </w:rPr>
      </w:pPr>
    </w:p>
    <w:p w:rsidR="00B86D4B" w:rsidRDefault="00D94202"/>
    <w:sectPr w:rsidR="00B86D4B" w:rsidSect="00C00AA7">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2FB" w:rsidRDefault="00C432FB">
      <w:r>
        <w:separator/>
      </w:r>
    </w:p>
  </w:endnote>
  <w:endnote w:type="continuationSeparator" w:id="0">
    <w:p w:rsidR="00C432FB" w:rsidRDefault="00C4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E0" w:rsidRDefault="00D94202">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E0" w:rsidRDefault="00D94202">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2FB" w:rsidRDefault="00C432FB">
      <w:r>
        <w:separator/>
      </w:r>
    </w:p>
  </w:footnote>
  <w:footnote w:type="continuationSeparator" w:id="0">
    <w:p w:rsidR="00C432FB" w:rsidRDefault="00C43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E0" w:rsidRDefault="001723E7"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A4EE0" w:rsidRDefault="00D94202">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EE0" w:rsidRDefault="001723E7"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202">
      <w:rPr>
        <w:rStyle w:val="PageNumber"/>
        <w:noProof/>
      </w:rPr>
      <w:t>4</w:t>
    </w:r>
    <w:r>
      <w:rPr>
        <w:rStyle w:val="PageNumber"/>
      </w:rPr>
      <w:fldChar w:fldCharType="end"/>
    </w:r>
  </w:p>
  <w:p w:rsidR="00AA4EE0" w:rsidRDefault="00D94202">
    <w:pPr>
      <w:widowControl w:val="0"/>
    </w:pPr>
  </w:p>
  <w:p w:rsidR="00AA4EE0" w:rsidRDefault="00D94202">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2925"/>
    <w:multiLevelType w:val="hybridMultilevel"/>
    <w:tmpl w:val="68D2D4CA"/>
    <w:lvl w:ilvl="0" w:tplc="EF9CCF02">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66843"/>
    <w:multiLevelType w:val="hybridMultilevel"/>
    <w:tmpl w:val="4CD88A06"/>
    <w:lvl w:ilvl="0" w:tplc="AB8490D4">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F4572DC"/>
    <w:multiLevelType w:val="hybridMultilevel"/>
    <w:tmpl w:val="F4A28D08"/>
    <w:lvl w:ilvl="0" w:tplc="0409000F">
      <w:start w:val="1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FE461D"/>
    <w:multiLevelType w:val="hybridMultilevel"/>
    <w:tmpl w:val="5EE8709C"/>
    <w:lvl w:ilvl="0" w:tplc="D47AC800">
      <w:start w:val="1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A7D5D7B"/>
    <w:multiLevelType w:val="hybridMultilevel"/>
    <w:tmpl w:val="28EC3730"/>
    <w:lvl w:ilvl="0" w:tplc="C83408E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4613BC"/>
    <w:multiLevelType w:val="hybridMultilevel"/>
    <w:tmpl w:val="C72A4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58"/>
    <w:rsid w:val="001723E7"/>
    <w:rsid w:val="00367D48"/>
    <w:rsid w:val="004C68E1"/>
    <w:rsid w:val="008475A6"/>
    <w:rsid w:val="00AE1B58"/>
    <w:rsid w:val="00B11C9E"/>
    <w:rsid w:val="00C432FB"/>
    <w:rsid w:val="00C84AD4"/>
    <w:rsid w:val="00D94202"/>
    <w:rsid w:val="00FE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E1B58"/>
  </w:style>
  <w:style w:type="paragraph" w:styleId="Header">
    <w:name w:val="header"/>
    <w:basedOn w:val="Normal"/>
    <w:link w:val="HeaderChar"/>
    <w:rsid w:val="00AE1B58"/>
    <w:pPr>
      <w:tabs>
        <w:tab w:val="center" w:pos="4320"/>
        <w:tab w:val="right" w:pos="8640"/>
      </w:tabs>
    </w:pPr>
  </w:style>
  <w:style w:type="character" w:customStyle="1" w:styleId="HeaderChar">
    <w:name w:val="Header Char"/>
    <w:basedOn w:val="DefaultParagraphFont"/>
    <w:link w:val="Header"/>
    <w:rsid w:val="00AE1B58"/>
    <w:rPr>
      <w:rFonts w:ascii="Times New Roman" w:eastAsia="Times New Roman" w:hAnsi="Times New Roman" w:cs="Times New Roman"/>
      <w:sz w:val="24"/>
      <w:szCs w:val="20"/>
    </w:rPr>
  </w:style>
  <w:style w:type="paragraph" w:styleId="BodyText3">
    <w:name w:val="Body Text 3"/>
    <w:basedOn w:val="Normal"/>
    <w:link w:val="BodyText3Char"/>
    <w:rsid w:val="00AE1B58"/>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szCs w:val="24"/>
    </w:rPr>
  </w:style>
  <w:style w:type="character" w:customStyle="1" w:styleId="BodyText3Char">
    <w:name w:val="Body Text 3 Char"/>
    <w:basedOn w:val="DefaultParagraphFont"/>
    <w:link w:val="BodyText3"/>
    <w:rsid w:val="00AE1B58"/>
    <w:rPr>
      <w:rFonts w:ascii="Letter Gothic 12cpi" w:eastAsia="Times New Roman" w:hAnsi="Letter Gothic 12cpi" w:cs="Times New Roman"/>
      <w:color w:val="FF0000"/>
      <w:sz w:val="24"/>
      <w:szCs w:val="24"/>
    </w:rPr>
  </w:style>
  <w:style w:type="paragraph" w:styleId="NormalWeb">
    <w:name w:val="Normal (Web)"/>
    <w:basedOn w:val="Normal"/>
    <w:uiPriority w:val="99"/>
    <w:rsid w:val="00AE1B58"/>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AE1B58"/>
    <w:pPr>
      <w:ind w:left="720"/>
      <w:contextualSpacing/>
    </w:pPr>
  </w:style>
  <w:style w:type="table" w:styleId="TableGrid">
    <w:name w:val="Table Grid"/>
    <w:basedOn w:val="TableNormal"/>
    <w:rsid w:val="00AE1B5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E1B58"/>
  </w:style>
  <w:style w:type="paragraph" w:styleId="Header">
    <w:name w:val="header"/>
    <w:basedOn w:val="Normal"/>
    <w:link w:val="HeaderChar"/>
    <w:rsid w:val="00AE1B58"/>
    <w:pPr>
      <w:tabs>
        <w:tab w:val="center" w:pos="4320"/>
        <w:tab w:val="right" w:pos="8640"/>
      </w:tabs>
    </w:pPr>
  </w:style>
  <w:style w:type="character" w:customStyle="1" w:styleId="HeaderChar">
    <w:name w:val="Header Char"/>
    <w:basedOn w:val="DefaultParagraphFont"/>
    <w:link w:val="Header"/>
    <w:rsid w:val="00AE1B58"/>
    <w:rPr>
      <w:rFonts w:ascii="Times New Roman" w:eastAsia="Times New Roman" w:hAnsi="Times New Roman" w:cs="Times New Roman"/>
      <w:sz w:val="24"/>
      <w:szCs w:val="20"/>
    </w:rPr>
  </w:style>
  <w:style w:type="paragraph" w:styleId="BodyText3">
    <w:name w:val="Body Text 3"/>
    <w:basedOn w:val="Normal"/>
    <w:link w:val="BodyText3Char"/>
    <w:rsid w:val="00AE1B58"/>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szCs w:val="24"/>
    </w:rPr>
  </w:style>
  <w:style w:type="character" w:customStyle="1" w:styleId="BodyText3Char">
    <w:name w:val="Body Text 3 Char"/>
    <w:basedOn w:val="DefaultParagraphFont"/>
    <w:link w:val="BodyText3"/>
    <w:rsid w:val="00AE1B58"/>
    <w:rPr>
      <w:rFonts w:ascii="Letter Gothic 12cpi" w:eastAsia="Times New Roman" w:hAnsi="Letter Gothic 12cpi" w:cs="Times New Roman"/>
      <w:color w:val="FF0000"/>
      <w:sz w:val="24"/>
      <w:szCs w:val="24"/>
    </w:rPr>
  </w:style>
  <w:style w:type="paragraph" w:styleId="NormalWeb">
    <w:name w:val="Normal (Web)"/>
    <w:basedOn w:val="Normal"/>
    <w:uiPriority w:val="99"/>
    <w:rsid w:val="00AE1B58"/>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AE1B58"/>
    <w:pPr>
      <w:ind w:left="720"/>
      <w:contextualSpacing/>
    </w:pPr>
  </w:style>
  <w:style w:type="table" w:styleId="TableGrid">
    <w:name w:val="Table Grid"/>
    <w:basedOn w:val="TableNormal"/>
    <w:rsid w:val="00AE1B58"/>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2016-04-04T19:31:00Z</dcterms:created>
  <dcterms:modified xsi:type="dcterms:W3CDTF">2016-04-04T19:31:00Z</dcterms:modified>
</cp:coreProperties>
</file>